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FA79A48" w:rsidR="00E978D0" w:rsidRPr="00B57B36" w:rsidRDefault="00DF2D39" w:rsidP="00E978D0">
      <w:pPr>
        <w:pStyle w:val="CETTitle"/>
      </w:pPr>
      <w:r>
        <w:t>Screening study of potassium carbonate solvents for bio-energy carbon capture and storage</w:t>
      </w:r>
      <w:r w:rsidR="00DC5967">
        <w:t xml:space="preserve"> (BECCS)</w:t>
      </w:r>
    </w:p>
    <w:p w14:paraId="0488FED2" w14:textId="1A745FAB" w:rsidR="00B57E6F" w:rsidRPr="00B57B36" w:rsidRDefault="00DF2D39" w:rsidP="00DF2D39">
      <w:pPr>
        <w:pStyle w:val="CETAuthors"/>
      </w:pPr>
      <w:r>
        <w:t>Nima Mirzaei</w:t>
      </w:r>
      <w:r w:rsidR="00B57E6F" w:rsidRPr="00B57B36">
        <w:t xml:space="preserve">, </w:t>
      </w:r>
      <w:r>
        <w:t>Aishwarya Babu, Efthymios Kantarelis, Matth</w:t>
      </w:r>
      <w:r w:rsidR="004002B5">
        <w:t>ä</w:t>
      </w:r>
      <w:r>
        <w:t>us U. B</w:t>
      </w:r>
      <w:r w:rsidR="004002B5">
        <w:t>ä</w:t>
      </w:r>
      <w:r>
        <w:t>bler</w:t>
      </w:r>
      <w:r w:rsidR="00B57E6F" w:rsidRPr="00B57B36">
        <w:t>*</w:t>
      </w:r>
    </w:p>
    <w:p w14:paraId="3D72B0B0" w14:textId="7948642A" w:rsidR="00B57E6F" w:rsidRPr="00B57B36" w:rsidRDefault="00DF2D39" w:rsidP="00DF2D39">
      <w:pPr>
        <w:pStyle w:val="CETAddress"/>
      </w:pPr>
      <w:r>
        <w:t>KTH Royal Institute of Technology, Department of Chemical Engineering, Division of Process Technology, Teknikringen 42</w:t>
      </w:r>
      <w:r w:rsidR="00B57E6F" w:rsidRPr="00B57B36">
        <w:t xml:space="preserve"> </w:t>
      </w:r>
    </w:p>
    <w:p w14:paraId="73F1267A" w14:textId="2B08D6E5" w:rsidR="00B57E6F" w:rsidRDefault="00DF2D39" w:rsidP="00DF2D39">
      <w:pPr>
        <w:pStyle w:val="CETemail"/>
      </w:pPr>
      <w:r w:rsidRPr="00DF2D39">
        <w:t>*</w:t>
      </w:r>
      <w:r>
        <w:rPr>
          <w:vertAlign w:val="superscript"/>
        </w:rPr>
        <w:t xml:space="preserve"> </w:t>
      </w:r>
      <w:hyperlink r:id="rId10" w:history="1">
        <w:r w:rsidR="00E72FA5" w:rsidRPr="001C2046">
          <w:rPr>
            <w:rStyle w:val="Hyperlink"/>
          </w:rPr>
          <w:t>babler@kth.se</w:t>
        </w:r>
      </w:hyperlink>
    </w:p>
    <w:p w14:paraId="5BBA8311" w14:textId="2B55722C" w:rsidR="00E72FA5" w:rsidRDefault="006048D3" w:rsidP="00C81410">
      <w:r>
        <w:rPr>
          <w:lang w:bidi="fa-IR"/>
        </w:rPr>
        <w:t>The present</w:t>
      </w:r>
      <w:r w:rsidR="00C81410">
        <w:rPr>
          <w:lang w:bidi="fa-IR"/>
        </w:rPr>
        <w:t xml:space="preserve"> work</w:t>
      </w:r>
      <w:r>
        <w:rPr>
          <w:lang w:bidi="fa-IR"/>
        </w:rPr>
        <w:t xml:space="preserve"> aims at investigating</w:t>
      </w:r>
      <w:r w:rsidR="00C81410">
        <w:rPr>
          <w:lang w:bidi="fa-IR"/>
        </w:rPr>
        <w:t xml:space="preserve"> absorption of CO</w:t>
      </w:r>
      <w:r w:rsidR="00C81410">
        <w:rPr>
          <w:vertAlign w:val="subscript"/>
          <w:lang w:bidi="fa-IR"/>
        </w:rPr>
        <w:t>2</w:t>
      </w:r>
      <w:r w:rsidR="00C81410">
        <w:rPr>
          <w:lang w:bidi="fa-IR"/>
        </w:rPr>
        <w:t xml:space="preserve"> into </w:t>
      </w:r>
      <w:r w:rsidR="0043528B">
        <w:rPr>
          <w:lang w:bidi="fa-IR"/>
        </w:rPr>
        <w:t xml:space="preserve">promoted and unpromoted </w:t>
      </w:r>
      <w:r w:rsidR="00C81410">
        <w:rPr>
          <w:lang w:bidi="fa-IR"/>
        </w:rPr>
        <w:t>aqueous K</w:t>
      </w:r>
      <w:r w:rsidR="00C81410">
        <w:rPr>
          <w:vertAlign w:val="subscript"/>
          <w:lang w:bidi="fa-IR"/>
        </w:rPr>
        <w:t>2</w:t>
      </w:r>
      <w:r w:rsidR="00C81410">
        <w:rPr>
          <w:lang w:bidi="fa-IR"/>
        </w:rPr>
        <w:t>CO</w:t>
      </w:r>
      <w:r w:rsidR="00C81410">
        <w:rPr>
          <w:vertAlign w:val="subscript"/>
          <w:lang w:bidi="fa-IR"/>
        </w:rPr>
        <w:t>3</w:t>
      </w:r>
      <w:r w:rsidR="00C81410">
        <w:rPr>
          <w:lang w:bidi="fa-IR"/>
        </w:rPr>
        <w:t xml:space="preserve">. </w:t>
      </w:r>
      <w:r w:rsidR="00FA00FF">
        <w:rPr>
          <w:lang w:bidi="fa-IR"/>
        </w:rPr>
        <w:t xml:space="preserve">For this we performed a series </w:t>
      </w:r>
      <w:r w:rsidR="0043528B">
        <w:rPr>
          <w:lang w:bidi="fa-IR"/>
        </w:rPr>
        <w:t xml:space="preserve">of </w:t>
      </w:r>
      <w:r w:rsidR="00C81410">
        <w:rPr>
          <w:lang w:bidi="fa-IR"/>
        </w:rPr>
        <w:t xml:space="preserve">lab experiments in </w:t>
      </w:r>
      <w:r w:rsidR="00B205C6">
        <w:rPr>
          <w:lang w:bidi="fa-IR"/>
        </w:rPr>
        <w:t xml:space="preserve">a </w:t>
      </w:r>
      <w:proofErr w:type="spellStart"/>
      <w:r w:rsidR="00C81410">
        <w:rPr>
          <w:lang w:bidi="fa-IR"/>
        </w:rPr>
        <w:t>thermostated</w:t>
      </w:r>
      <w:proofErr w:type="spellEnd"/>
      <w:r w:rsidR="00C81410">
        <w:rPr>
          <w:lang w:bidi="fa-IR"/>
        </w:rPr>
        <w:t xml:space="preserve"> batch</w:t>
      </w:r>
      <w:r w:rsidR="005B7922">
        <w:rPr>
          <w:lang w:bidi="fa-IR"/>
        </w:rPr>
        <w:t xml:space="preserve"> stirred</w:t>
      </w:r>
      <w:r w:rsidR="00501D07">
        <w:rPr>
          <w:lang w:bidi="fa-IR"/>
        </w:rPr>
        <w:t xml:space="preserve"> tank</w:t>
      </w:r>
      <w:r w:rsidR="00C81410">
        <w:rPr>
          <w:lang w:bidi="fa-IR"/>
        </w:rPr>
        <w:t xml:space="preserve"> gas-liquid reactor containing the solvent. </w:t>
      </w:r>
      <w:r w:rsidR="00B205C6">
        <w:rPr>
          <w:lang w:bidi="fa-IR"/>
        </w:rPr>
        <w:t xml:space="preserve">The absorption of </w:t>
      </w:r>
      <w:r w:rsidR="00C81410">
        <w:rPr>
          <w:lang w:bidi="fa-IR"/>
        </w:rPr>
        <w:t>CO</w:t>
      </w:r>
      <w:r w:rsidR="00C81410">
        <w:rPr>
          <w:vertAlign w:val="subscript"/>
          <w:lang w:bidi="fa-IR"/>
        </w:rPr>
        <w:t>2</w:t>
      </w:r>
      <w:r w:rsidR="00C81410">
        <w:t xml:space="preserve"> </w:t>
      </w:r>
      <w:r w:rsidR="00B205C6">
        <w:t>was</w:t>
      </w:r>
      <w:r w:rsidR="00C81410">
        <w:t xml:space="preserve"> monitored by the dec</w:t>
      </w:r>
      <w:r w:rsidR="00B205C6">
        <w:t>rease</w:t>
      </w:r>
      <w:r w:rsidR="00C81410">
        <w:t xml:space="preserve"> in the reactor pressure. To compare the different </w:t>
      </w:r>
      <w:r w:rsidR="00513ECE">
        <w:t xml:space="preserve">solvent </w:t>
      </w:r>
      <w:r w:rsidR="00C81410">
        <w:t xml:space="preserve">blends, the experimental conditions, i.e., injection pressure, reactor temperature, </w:t>
      </w:r>
      <w:r w:rsidR="00513ECE">
        <w:t xml:space="preserve">stirring speed, </w:t>
      </w:r>
      <w:r w:rsidR="00C81410">
        <w:t xml:space="preserve">and solvent volume </w:t>
      </w:r>
      <w:r w:rsidR="002246BC">
        <w:t>we</w:t>
      </w:r>
      <w:r w:rsidR="00C81410">
        <w:t xml:space="preserve">re kept constant. </w:t>
      </w:r>
      <w:r w:rsidR="00513ECE">
        <w:t>For the interpretation of the experiment</w:t>
      </w:r>
      <w:r w:rsidR="00FA00FF">
        <w:t>s a simple absorption model is formulated based on which</w:t>
      </w:r>
      <w:r w:rsidR="00513ECE">
        <w:t xml:space="preserve"> an apparent absorption rate is derived. </w:t>
      </w:r>
      <w:r w:rsidR="00C81410">
        <w:t xml:space="preserve">Among the </w:t>
      </w:r>
      <w:r w:rsidR="00FA00FF">
        <w:t xml:space="preserve">different </w:t>
      </w:r>
      <w:r w:rsidR="00C81410">
        <w:t xml:space="preserve">rate promoters studied, we found that </w:t>
      </w:r>
      <w:r w:rsidR="00FA00FF">
        <w:t>V</w:t>
      </w:r>
      <w:r w:rsidR="00FA00FF">
        <w:rPr>
          <w:vertAlign w:val="subscript"/>
        </w:rPr>
        <w:t>2</w:t>
      </w:r>
      <w:r w:rsidR="00FA00FF">
        <w:t>O</w:t>
      </w:r>
      <w:r w:rsidR="00FA00FF">
        <w:rPr>
          <w:vertAlign w:val="subscript"/>
        </w:rPr>
        <w:t>5</w:t>
      </w:r>
      <w:r w:rsidR="00FA00FF" w:rsidRPr="00335C13">
        <w:t xml:space="preserve"> results </w:t>
      </w:r>
      <w:r w:rsidR="00FA00FF">
        <w:t xml:space="preserve">in a substantial increase of the absorption rate, while the </w:t>
      </w:r>
      <w:r w:rsidR="00B205C6">
        <w:t>use</w:t>
      </w:r>
      <w:r w:rsidR="00C81410">
        <w:t xml:space="preserve"> of B(OH)</w:t>
      </w:r>
      <w:r w:rsidR="00C81410">
        <w:rPr>
          <w:vertAlign w:val="subscript"/>
        </w:rPr>
        <w:t>3</w:t>
      </w:r>
      <w:r w:rsidR="00C81410">
        <w:t xml:space="preserve"> in conjunction with V</w:t>
      </w:r>
      <w:r w:rsidR="00C81410">
        <w:rPr>
          <w:vertAlign w:val="subscript"/>
        </w:rPr>
        <w:t>2</w:t>
      </w:r>
      <w:r w:rsidR="00C81410">
        <w:t>O</w:t>
      </w:r>
      <w:r w:rsidR="00C81410">
        <w:rPr>
          <w:vertAlign w:val="subscript"/>
        </w:rPr>
        <w:t>5</w:t>
      </w:r>
      <w:r w:rsidR="00C81410">
        <w:t xml:space="preserve"> </w:t>
      </w:r>
      <w:r w:rsidR="00B205C6">
        <w:t>does not provide any tangible benefits</w:t>
      </w:r>
      <w:r w:rsidR="00C81410">
        <w:t xml:space="preserve">. </w:t>
      </w:r>
      <w:r w:rsidR="00513ECE">
        <w:t xml:space="preserve">A semi-qualitative comparison with rate constants </w:t>
      </w:r>
      <w:r w:rsidR="00FA00FF">
        <w:t xml:space="preserve">reported </w:t>
      </w:r>
      <w:r w:rsidR="00513ECE">
        <w:t>in the literature suggest</w:t>
      </w:r>
      <w:r w:rsidR="00FA00FF">
        <w:t>s</w:t>
      </w:r>
      <w:r w:rsidR="00513ECE">
        <w:t xml:space="preserve"> that this hindering effect</w:t>
      </w:r>
      <w:r w:rsidR="00587D35">
        <w:t xml:space="preserve"> of B(OH)</w:t>
      </w:r>
      <w:r w:rsidR="00587D35">
        <w:rPr>
          <w:vertAlign w:val="subscript"/>
        </w:rPr>
        <w:t>3</w:t>
      </w:r>
      <w:r w:rsidR="00513ECE">
        <w:t xml:space="preserve"> is due to the lower pH of the </w:t>
      </w:r>
      <w:r w:rsidR="009A3083">
        <w:t>solvent containing B(OH)</w:t>
      </w:r>
      <w:r w:rsidR="009A3083" w:rsidRPr="00335C13">
        <w:rPr>
          <w:vertAlign w:val="subscript"/>
        </w:rPr>
        <w:t>3</w:t>
      </w:r>
      <w:r w:rsidR="009A3083">
        <w:t>.</w:t>
      </w:r>
      <w:r w:rsidR="00B205C6">
        <w:t xml:space="preserve"> The solvent blends containing amine-promoters MEA and piperazine demonstrated rapid absorption</w:t>
      </w:r>
      <w:r w:rsidR="00171582">
        <w:t>.</w:t>
      </w:r>
      <w:r w:rsidR="00B205C6">
        <w:t xml:space="preserve"> </w:t>
      </w:r>
      <w:r w:rsidR="00171582">
        <w:t>C</w:t>
      </w:r>
      <w:r w:rsidR="00B205C6">
        <w:t xml:space="preserve">omparison with the literature indicates that absorption </w:t>
      </w:r>
      <w:r w:rsidR="00171582">
        <w:t>in the presence of t</w:t>
      </w:r>
      <w:r w:rsidR="008E6FEF">
        <w:t xml:space="preserve">hese promoters </w:t>
      </w:r>
      <w:r w:rsidR="00B205C6">
        <w:t>is mass transfer limited under the experimental conditions.</w:t>
      </w:r>
    </w:p>
    <w:p w14:paraId="0D82D382" w14:textId="32844A2E" w:rsidR="00651AE8" w:rsidRDefault="00651AE8" w:rsidP="00A945D9">
      <w:pPr>
        <w:pStyle w:val="CETHeading1"/>
      </w:pPr>
      <w:r>
        <w:t>Introduction</w:t>
      </w:r>
    </w:p>
    <w:p w14:paraId="3296A63E" w14:textId="293CC590" w:rsidR="006E4352" w:rsidRDefault="007E5CBF" w:rsidP="007E5CBF">
      <w:pPr>
        <w:rPr>
          <w:lang w:bidi="fa-IR"/>
        </w:rPr>
      </w:pPr>
      <w:r w:rsidRPr="004002B5">
        <w:rPr>
          <w:lang w:bidi="fa-IR"/>
        </w:rPr>
        <w:t>Bio-energy carbon capture and storage (BECCS) is an accepted method for achieving negative green-house gas emissions.</w:t>
      </w:r>
      <w:r w:rsidR="006E4352">
        <w:rPr>
          <w:lang w:bidi="fa-IR"/>
        </w:rPr>
        <w:t xml:space="preserve"> BECCS is based on the principle to capture and store CO</w:t>
      </w:r>
      <w:r w:rsidR="006E4352" w:rsidRPr="00335C13">
        <w:rPr>
          <w:vertAlign w:val="subscript"/>
          <w:lang w:bidi="fa-IR"/>
        </w:rPr>
        <w:t>2</w:t>
      </w:r>
      <w:r w:rsidR="006E4352">
        <w:rPr>
          <w:lang w:bidi="fa-IR"/>
        </w:rPr>
        <w:t xml:space="preserve"> that originates from the </w:t>
      </w:r>
      <w:r w:rsidR="00532DC4">
        <w:rPr>
          <w:lang w:bidi="fa-IR"/>
        </w:rPr>
        <w:t>conversion</w:t>
      </w:r>
      <w:r w:rsidR="006E4352">
        <w:rPr>
          <w:lang w:bidi="fa-IR"/>
        </w:rPr>
        <w:t xml:space="preserve"> of biomass. Biomass is a renewable </w:t>
      </w:r>
      <w:r w:rsidR="00FA00FF">
        <w:rPr>
          <w:lang w:bidi="fa-IR"/>
        </w:rPr>
        <w:t>feedstock</w:t>
      </w:r>
      <w:r w:rsidR="006E4352">
        <w:rPr>
          <w:lang w:bidi="fa-IR"/>
        </w:rPr>
        <w:t xml:space="preserve"> that forms by binding CO</w:t>
      </w:r>
      <w:r w:rsidR="006E4352" w:rsidRPr="00335C13">
        <w:rPr>
          <w:vertAlign w:val="subscript"/>
          <w:lang w:bidi="fa-IR"/>
        </w:rPr>
        <w:t>2</w:t>
      </w:r>
      <w:r w:rsidR="006E4352">
        <w:rPr>
          <w:lang w:bidi="fa-IR"/>
        </w:rPr>
        <w:t xml:space="preserve"> from the atmosphere. Hence, by capturing and storing the CO</w:t>
      </w:r>
      <w:r w:rsidR="006E4352" w:rsidRPr="00335C13">
        <w:rPr>
          <w:vertAlign w:val="subscript"/>
          <w:lang w:bidi="fa-IR"/>
        </w:rPr>
        <w:t>2</w:t>
      </w:r>
      <w:r w:rsidR="006E4352">
        <w:rPr>
          <w:lang w:bidi="fa-IR"/>
        </w:rPr>
        <w:t xml:space="preserve"> that originates from the conversion of biomass a net removal of carbon from the atmosphere is achieved. In its simplest setup BECCS is built around power plants, pulp-and-paper mills or </w:t>
      </w:r>
      <w:r w:rsidR="008B2C20">
        <w:rPr>
          <w:lang w:bidi="fa-IR"/>
        </w:rPr>
        <w:t xml:space="preserve">waste incinerators </w:t>
      </w:r>
      <w:r w:rsidR="006E4352">
        <w:rPr>
          <w:lang w:bidi="fa-IR"/>
        </w:rPr>
        <w:t xml:space="preserve">that use biomass as feedstock </w:t>
      </w:r>
      <w:r w:rsidR="001F0310">
        <w:rPr>
          <w:lang w:bidi="fa-IR"/>
        </w:rPr>
        <w:t>(Rosa et al. 2021)</w:t>
      </w:r>
      <w:r w:rsidR="008B2C20">
        <w:rPr>
          <w:lang w:bidi="fa-IR"/>
        </w:rPr>
        <w:t>. The biogenic CO</w:t>
      </w:r>
      <w:r w:rsidR="008B2C20" w:rsidRPr="00335C13">
        <w:rPr>
          <w:vertAlign w:val="subscript"/>
          <w:lang w:bidi="fa-IR"/>
        </w:rPr>
        <w:t>2</w:t>
      </w:r>
      <w:r w:rsidR="008B2C20">
        <w:rPr>
          <w:lang w:bidi="fa-IR"/>
        </w:rPr>
        <w:t xml:space="preserve"> </w:t>
      </w:r>
      <w:r w:rsidR="00532DC4">
        <w:rPr>
          <w:lang w:bidi="fa-IR"/>
        </w:rPr>
        <w:t xml:space="preserve">that </w:t>
      </w:r>
      <w:r w:rsidR="008B2C20">
        <w:rPr>
          <w:lang w:bidi="fa-IR"/>
        </w:rPr>
        <w:t>leaves these plants with the flue gas</w:t>
      </w:r>
      <w:r w:rsidR="00532DC4">
        <w:rPr>
          <w:lang w:bidi="fa-IR"/>
        </w:rPr>
        <w:t xml:space="preserve"> is</w:t>
      </w:r>
      <w:r w:rsidR="002D14CA">
        <w:rPr>
          <w:lang w:bidi="fa-IR"/>
        </w:rPr>
        <w:t xml:space="preserve"> </w:t>
      </w:r>
      <w:r w:rsidR="0081418D">
        <w:rPr>
          <w:lang w:bidi="fa-IR"/>
        </w:rPr>
        <w:t>sent to an absorption unit for CO</w:t>
      </w:r>
      <w:r w:rsidR="0081418D">
        <w:rPr>
          <w:vertAlign w:val="subscript"/>
          <w:lang w:bidi="fa-IR"/>
        </w:rPr>
        <w:t>2</w:t>
      </w:r>
      <w:r w:rsidR="0081418D">
        <w:rPr>
          <w:lang w:bidi="fa-IR"/>
        </w:rPr>
        <w:t xml:space="preserve"> removal</w:t>
      </w:r>
      <w:r w:rsidR="00532DC4">
        <w:rPr>
          <w:lang w:bidi="fa-IR"/>
        </w:rPr>
        <w:t>.</w:t>
      </w:r>
    </w:p>
    <w:p w14:paraId="6BC62286" w14:textId="55600394" w:rsidR="007E5CBF" w:rsidRPr="00FA00FF" w:rsidRDefault="00177033" w:rsidP="009A1157">
      <w:pPr>
        <w:rPr>
          <w:lang w:bidi="fa-IR"/>
        </w:rPr>
      </w:pPr>
      <w:r w:rsidRPr="004002B5">
        <w:rPr>
          <w:lang w:bidi="fa-IR"/>
        </w:rPr>
        <w:t xml:space="preserve">In </w:t>
      </w:r>
      <w:r w:rsidR="00532DC4">
        <w:rPr>
          <w:lang w:bidi="fa-IR"/>
        </w:rPr>
        <w:t xml:space="preserve">an </w:t>
      </w:r>
      <w:r w:rsidRPr="004002B5">
        <w:rPr>
          <w:lang w:bidi="fa-IR"/>
        </w:rPr>
        <w:t xml:space="preserve">absorption </w:t>
      </w:r>
      <w:r w:rsidR="00532DC4">
        <w:rPr>
          <w:lang w:bidi="fa-IR"/>
        </w:rPr>
        <w:t>unit</w:t>
      </w:r>
      <w:r w:rsidRPr="004002B5">
        <w:rPr>
          <w:lang w:bidi="fa-IR"/>
        </w:rPr>
        <w:t>, a liquid solvent is used to wash</w:t>
      </w:r>
      <w:r w:rsidR="00532DC4">
        <w:rPr>
          <w:lang w:bidi="fa-IR"/>
        </w:rPr>
        <w:t xml:space="preserve"> out the</w:t>
      </w:r>
      <w:r w:rsidRPr="004002B5">
        <w:rPr>
          <w:lang w:bidi="fa-IR"/>
        </w:rPr>
        <w:t xml:space="preserve"> CO</w:t>
      </w:r>
      <w:r w:rsidRPr="004002B5">
        <w:rPr>
          <w:vertAlign w:val="subscript"/>
          <w:lang w:bidi="fa-IR"/>
        </w:rPr>
        <w:t>2</w:t>
      </w:r>
      <w:r w:rsidRPr="004002B5">
        <w:rPr>
          <w:lang w:bidi="fa-IR"/>
        </w:rPr>
        <w:t xml:space="preserve"> from the </w:t>
      </w:r>
      <w:r w:rsidR="00532DC4">
        <w:rPr>
          <w:lang w:bidi="fa-IR"/>
        </w:rPr>
        <w:t xml:space="preserve">flue </w:t>
      </w:r>
      <w:r w:rsidRPr="004002B5">
        <w:rPr>
          <w:lang w:bidi="fa-IR"/>
        </w:rPr>
        <w:t>gas</w:t>
      </w:r>
      <w:r w:rsidR="009A1157" w:rsidRPr="004002B5">
        <w:rPr>
          <w:lang w:bidi="fa-IR"/>
        </w:rPr>
        <w:t xml:space="preserve">. </w:t>
      </w:r>
      <w:r w:rsidR="00532DC4">
        <w:rPr>
          <w:lang w:bidi="fa-IR"/>
        </w:rPr>
        <w:t>This is done in an absorption column where t</w:t>
      </w:r>
      <w:r w:rsidR="009A1157" w:rsidRPr="004002B5">
        <w:rPr>
          <w:lang w:bidi="fa-IR"/>
        </w:rPr>
        <w:t>he solvent flows counter-currently to the gas from top to bottom, leaving the column rich in CO</w:t>
      </w:r>
      <w:r w:rsidR="009A1157" w:rsidRPr="004002B5">
        <w:rPr>
          <w:vertAlign w:val="subscript"/>
          <w:lang w:bidi="fa-IR"/>
        </w:rPr>
        <w:t>2</w:t>
      </w:r>
      <w:r w:rsidR="009A1157" w:rsidRPr="004002B5">
        <w:rPr>
          <w:lang w:bidi="fa-IR"/>
        </w:rPr>
        <w:t xml:space="preserve">. </w:t>
      </w:r>
      <w:r w:rsidR="007E5CBF" w:rsidRPr="004002B5">
        <w:rPr>
          <w:lang w:bidi="fa-IR"/>
        </w:rPr>
        <w:t xml:space="preserve">The use of </w:t>
      </w:r>
      <w:r w:rsidR="00532DC4">
        <w:rPr>
          <w:lang w:bidi="fa-IR"/>
        </w:rPr>
        <w:t xml:space="preserve">aqueous </w:t>
      </w:r>
      <w:r w:rsidR="007E5CBF" w:rsidRPr="004002B5">
        <w:rPr>
          <w:lang w:bidi="fa-IR"/>
        </w:rPr>
        <w:t>K</w:t>
      </w:r>
      <w:r w:rsidR="007E5CBF" w:rsidRPr="004002B5">
        <w:rPr>
          <w:vertAlign w:val="subscript"/>
          <w:lang w:bidi="fa-IR"/>
        </w:rPr>
        <w:t>2</w:t>
      </w:r>
      <w:r w:rsidR="007E5CBF" w:rsidRPr="004002B5">
        <w:rPr>
          <w:lang w:bidi="fa-IR"/>
        </w:rPr>
        <w:t>CO</w:t>
      </w:r>
      <w:r w:rsidR="007E5CBF" w:rsidRPr="004002B5">
        <w:rPr>
          <w:vertAlign w:val="subscript"/>
          <w:lang w:bidi="fa-IR"/>
        </w:rPr>
        <w:t>3</w:t>
      </w:r>
      <w:r w:rsidR="007E5CBF" w:rsidRPr="004002B5">
        <w:rPr>
          <w:lang w:bidi="fa-IR"/>
        </w:rPr>
        <w:t xml:space="preserve"> </w:t>
      </w:r>
      <w:r w:rsidR="008C29B7">
        <w:rPr>
          <w:lang w:bidi="fa-IR"/>
        </w:rPr>
        <w:t xml:space="preserve">as </w:t>
      </w:r>
      <w:r w:rsidR="007E5CBF" w:rsidRPr="004002B5">
        <w:rPr>
          <w:lang w:bidi="fa-IR"/>
        </w:rPr>
        <w:t>solvent</w:t>
      </w:r>
      <w:r w:rsidR="008C29B7">
        <w:rPr>
          <w:lang w:bidi="fa-IR"/>
        </w:rPr>
        <w:t xml:space="preserve"> has been favoured by many recent BECCS projects. The reason for this </w:t>
      </w:r>
      <w:r w:rsidR="00A16929">
        <w:rPr>
          <w:lang w:bidi="fa-IR"/>
        </w:rPr>
        <w:t xml:space="preserve">is </w:t>
      </w:r>
      <w:r w:rsidR="008C29B7">
        <w:rPr>
          <w:lang w:bidi="fa-IR"/>
        </w:rPr>
        <w:t>its</w:t>
      </w:r>
      <w:r w:rsidR="007E5CBF" w:rsidRPr="004002B5">
        <w:rPr>
          <w:lang w:bidi="fa-IR"/>
        </w:rPr>
        <w:t xml:space="preserve"> low regeneration energy </w:t>
      </w:r>
      <w:r w:rsidR="008C29B7">
        <w:rPr>
          <w:lang w:bidi="fa-IR"/>
        </w:rPr>
        <w:t>and the flexibility in operating conditions which</w:t>
      </w:r>
      <w:r w:rsidR="007E5CBF" w:rsidRPr="004002B5">
        <w:rPr>
          <w:lang w:bidi="fa-IR"/>
        </w:rPr>
        <w:t xml:space="preserve"> enables integration of the capture unit into </w:t>
      </w:r>
      <w:proofErr w:type="gramStart"/>
      <w:r w:rsidR="007E5CBF" w:rsidRPr="004002B5">
        <w:rPr>
          <w:lang w:bidi="fa-IR"/>
        </w:rPr>
        <w:t>e.g.</w:t>
      </w:r>
      <w:proofErr w:type="gramEnd"/>
      <w:r w:rsidR="007E5CBF" w:rsidRPr="004002B5">
        <w:rPr>
          <w:lang w:bidi="fa-IR"/>
        </w:rPr>
        <w:t xml:space="preserve"> district heating networks</w:t>
      </w:r>
      <w:r w:rsidR="00D87BD6">
        <w:rPr>
          <w:lang w:bidi="fa-IR"/>
        </w:rPr>
        <w:t xml:space="preserve"> (Gustafsson et al. 2021)</w:t>
      </w:r>
      <w:r w:rsidR="007E5CBF" w:rsidRPr="004002B5">
        <w:rPr>
          <w:lang w:bidi="fa-IR"/>
        </w:rPr>
        <w:t xml:space="preserve">. </w:t>
      </w:r>
      <w:r w:rsidR="008C29B7" w:rsidRPr="00FA00FF">
        <w:rPr>
          <w:lang w:bidi="fa-IR"/>
        </w:rPr>
        <w:t xml:space="preserve">Moreover, </w:t>
      </w:r>
      <w:r w:rsidR="008C29B7" w:rsidRPr="00335C13">
        <w:rPr>
          <w:lang w:bidi="fa-IR"/>
        </w:rPr>
        <w:t>c</w:t>
      </w:r>
      <w:r w:rsidR="007E5CBF" w:rsidRPr="00335C13">
        <w:rPr>
          <w:lang w:bidi="fa-IR"/>
        </w:rPr>
        <w:t xml:space="preserve">ompared to </w:t>
      </w:r>
      <w:proofErr w:type="spellStart"/>
      <w:r w:rsidR="007E5CBF" w:rsidRPr="00335C13">
        <w:rPr>
          <w:lang w:bidi="fa-IR"/>
        </w:rPr>
        <w:t>amine</w:t>
      </w:r>
      <w:proofErr w:type="spellEnd"/>
      <w:r w:rsidR="007E5CBF" w:rsidRPr="00335C13">
        <w:rPr>
          <w:lang w:bidi="fa-IR"/>
        </w:rPr>
        <w:t>-based technologies, K</w:t>
      </w:r>
      <w:r w:rsidR="007E5CBF" w:rsidRPr="00335C13">
        <w:rPr>
          <w:vertAlign w:val="subscript"/>
          <w:lang w:bidi="fa-IR"/>
        </w:rPr>
        <w:t>2</w:t>
      </w:r>
      <w:r w:rsidR="007E5CBF" w:rsidRPr="00335C13">
        <w:rPr>
          <w:lang w:bidi="fa-IR"/>
        </w:rPr>
        <w:t>CO</w:t>
      </w:r>
      <w:r w:rsidR="007E5CBF" w:rsidRPr="00335C13">
        <w:rPr>
          <w:vertAlign w:val="subscript"/>
          <w:lang w:bidi="fa-IR"/>
        </w:rPr>
        <w:t>3</w:t>
      </w:r>
      <w:r w:rsidR="007E5CBF" w:rsidRPr="00335C13">
        <w:rPr>
          <w:lang w:bidi="fa-IR"/>
        </w:rPr>
        <w:t xml:space="preserve"> is more stable, non-toxic, and non-volatile. However, absorption of CO</w:t>
      </w:r>
      <w:r w:rsidR="007E5CBF" w:rsidRPr="00335C13">
        <w:rPr>
          <w:vertAlign w:val="subscript"/>
          <w:lang w:bidi="fa-IR"/>
        </w:rPr>
        <w:t>2</w:t>
      </w:r>
      <w:r w:rsidR="007E5CBF" w:rsidRPr="00335C13">
        <w:rPr>
          <w:lang w:bidi="fa-IR"/>
        </w:rPr>
        <w:t xml:space="preserve"> into aqueous K</w:t>
      </w:r>
      <w:r w:rsidR="007E5CBF" w:rsidRPr="00335C13">
        <w:rPr>
          <w:vertAlign w:val="subscript"/>
          <w:lang w:bidi="fa-IR"/>
        </w:rPr>
        <w:t>2</w:t>
      </w:r>
      <w:r w:rsidR="007E5CBF" w:rsidRPr="00335C13">
        <w:rPr>
          <w:lang w:bidi="fa-IR"/>
        </w:rPr>
        <w:t>CO</w:t>
      </w:r>
      <w:r w:rsidR="007E5CBF" w:rsidRPr="00335C13">
        <w:rPr>
          <w:vertAlign w:val="subscript"/>
          <w:lang w:bidi="fa-IR"/>
        </w:rPr>
        <w:t>3</w:t>
      </w:r>
      <w:r w:rsidR="007E5CBF" w:rsidRPr="00335C13">
        <w:rPr>
          <w:lang w:bidi="fa-IR"/>
        </w:rPr>
        <w:t xml:space="preserve"> is slow. Hence, promoters are used to enhance the absorption</w:t>
      </w:r>
      <w:r w:rsidR="008C29B7" w:rsidRPr="00335C13">
        <w:rPr>
          <w:lang w:bidi="fa-IR"/>
        </w:rPr>
        <w:t>.</w:t>
      </w:r>
    </w:p>
    <w:p w14:paraId="71257B4A" w14:textId="02AC6770" w:rsidR="00651AE8" w:rsidRPr="0091099F" w:rsidRDefault="00FC1174" w:rsidP="00651AE8">
      <w:pPr>
        <w:pStyle w:val="CETBodytext"/>
      </w:pPr>
      <w:r>
        <w:t xml:space="preserve">Amines, chief among them </w:t>
      </w:r>
      <w:proofErr w:type="spellStart"/>
      <w:r>
        <w:t>monoethanolamine</w:t>
      </w:r>
      <w:proofErr w:type="spellEnd"/>
      <w:r>
        <w:t xml:space="preserve"> (MEA) and piperazine (</w:t>
      </w:r>
      <w:proofErr w:type="spellStart"/>
      <w:r>
        <w:t>Pz</w:t>
      </w:r>
      <w:proofErr w:type="spellEnd"/>
      <w:r>
        <w:t>)</w:t>
      </w:r>
      <w:r w:rsidR="00EC3283">
        <w:t>,</w:t>
      </w:r>
      <w:r>
        <w:t xml:space="preserve"> are known to be </w:t>
      </w:r>
      <w:r w:rsidR="00D87BD6">
        <w:t>efficient</w:t>
      </w:r>
      <w:r>
        <w:t xml:space="preserve"> promoters for K</w:t>
      </w:r>
      <w:r>
        <w:rPr>
          <w:vertAlign w:val="subscript"/>
        </w:rPr>
        <w:t>2</w:t>
      </w:r>
      <w:r>
        <w:t>CO</w:t>
      </w:r>
      <w:r>
        <w:rPr>
          <w:vertAlign w:val="subscript"/>
        </w:rPr>
        <w:t>3</w:t>
      </w:r>
      <w:r>
        <w:t xml:space="preserve"> solvents. </w:t>
      </w:r>
      <w:r w:rsidR="000C12F2">
        <w:t xml:space="preserve">Cullinane and Rochelle (2004) showed that </w:t>
      </w:r>
      <w:r w:rsidR="002F1A0E">
        <w:t>the addition</w:t>
      </w:r>
      <w:r w:rsidR="000C12F2">
        <w:t xml:space="preserve"> of 5 </w:t>
      </w:r>
      <w:proofErr w:type="spellStart"/>
      <w:r w:rsidR="000C12F2">
        <w:t>wt</w:t>
      </w:r>
      <w:proofErr w:type="spellEnd"/>
      <w:r w:rsidR="000C12F2">
        <w:t xml:space="preserve">% </w:t>
      </w:r>
      <w:proofErr w:type="spellStart"/>
      <w:r w:rsidR="000C12F2">
        <w:t>Pz</w:t>
      </w:r>
      <w:proofErr w:type="spellEnd"/>
      <w:r w:rsidR="000C12F2">
        <w:t xml:space="preserve"> to 20 </w:t>
      </w:r>
      <w:proofErr w:type="spellStart"/>
      <w:r w:rsidR="000C12F2">
        <w:t>wt</w:t>
      </w:r>
      <w:proofErr w:type="spellEnd"/>
      <w:r w:rsidR="000C12F2">
        <w:t>% K</w:t>
      </w:r>
      <w:r w:rsidR="000C12F2">
        <w:rPr>
          <w:vertAlign w:val="subscript"/>
        </w:rPr>
        <w:t>2</w:t>
      </w:r>
      <w:r w:rsidR="000C12F2">
        <w:t>CO</w:t>
      </w:r>
      <w:r w:rsidR="000C12F2">
        <w:rPr>
          <w:vertAlign w:val="subscript"/>
        </w:rPr>
        <w:t>3</w:t>
      </w:r>
      <w:r w:rsidR="000C12F2">
        <w:t xml:space="preserve"> enhances the absorption rate of CO</w:t>
      </w:r>
      <w:r w:rsidR="000C12F2">
        <w:rPr>
          <w:vertAlign w:val="subscript"/>
        </w:rPr>
        <w:t>2</w:t>
      </w:r>
      <w:r w:rsidR="000C12F2">
        <w:t xml:space="preserve"> by almost </w:t>
      </w:r>
      <w:r w:rsidR="00C47C43">
        <w:t xml:space="preserve">a factor </w:t>
      </w:r>
      <w:r w:rsidR="000C12F2">
        <w:t>15.</w:t>
      </w:r>
      <w:r w:rsidR="00C916B6">
        <w:t xml:space="preserve"> Likewise,</w:t>
      </w:r>
      <w:r w:rsidR="000C12F2">
        <w:t xml:space="preserve"> </w:t>
      </w:r>
      <w:proofErr w:type="gramStart"/>
      <w:r w:rsidR="002F1A0E">
        <w:t>Thee</w:t>
      </w:r>
      <w:proofErr w:type="gramEnd"/>
      <w:r w:rsidR="002F1A0E">
        <w:t xml:space="preserve"> et al</w:t>
      </w:r>
      <w:r w:rsidR="009A1157">
        <w:t>.</w:t>
      </w:r>
      <w:r w:rsidR="002F1A0E">
        <w:t xml:space="preserve"> (2012</w:t>
      </w:r>
      <w:r w:rsidR="000C5C38">
        <w:t>b</w:t>
      </w:r>
      <w:r w:rsidR="002F1A0E">
        <w:t>) demonstrated that the reaction of CO</w:t>
      </w:r>
      <w:r w:rsidR="002F1A0E">
        <w:rPr>
          <w:vertAlign w:val="subscript"/>
        </w:rPr>
        <w:t>2</w:t>
      </w:r>
      <w:r w:rsidR="002F1A0E">
        <w:t xml:space="preserve"> with </w:t>
      </w:r>
      <w:r w:rsidR="000A3F31">
        <w:t xml:space="preserve">30 </w:t>
      </w:r>
      <w:proofErr w:type="spellStart"/>
      <w:r w:rsidR="000A3F31">
        <w:t>wt</w:t>
      </w:r>
      <w:proofErr w:type="spellEnd"/>
      <w:r w:rsidR="000A3F31">
        <w:t xml:space="preserve">% </w:t>
      </w:r>
      <w:r w:rsidR="002F1A0E">
        <w:t>aqueous K</w:t>
      </w:r>
      <w:r w:rsidR="002F1A0E">
        <w:rPr>
          <w:vertAlign w:val="subscript"/>
        </w:rPr>
        <w:t>2</w:t>
      </w:r>
      <w:r w:rsidR="002F1A0E">
        <w:t>CO</w:t>
      </w:r>
      <w:r w:rsidR="002F1A0E">
        <w:rPr>
          <w:vertAlign w:val="subscript"/>
        </w:rPr>
        <w:t>3</w:t>
      </w:r>
      <w:r w:rsidR="002F1A0E">
        <w:t xml:space="preserve"> </w:t>
      </w:r>
      <w:r w:rsidR="000A3F31">
        <w:t xml:space="preserve">promoted with 5 </w:t>
      </w:r>
      <w:proofErr w:type="spellStart"/>
      <w:r w:rsidR="000A3F31">
        <w:t>wt</w:t>
      </w:r>
      <w:proofErr w:type="spellEnd"/>
      <w:r w:rsidR="000A3F31">
        <w:t>% MEA</w:t>
      </w:r>
      <w:r w:rsidR="002F1A0E">
        <w:t xml:space="preserve"> increases</w:t>
      </w:r>
      <w:r w:rsidR="000A3F31">
        <w:t xml:space="preserve"> by factor of 16</w:t>
      </w:r>
      <w:r w:rsidR="00D305EE">
        <w:t xml:space="preserve">. The enhancement of the </w:t>
      </w:r>
      <w:r w:rsidR="00C278FF">
        <w:t>reaction</w:t>
      </w:r>
      <w:r w:rsidR="00D305EE">
        <w:t xml:space="preserve"> rate when adding amines to aqueous K</w:t>
      </w:r>
      <w:r w:rsidR="00D305EE" w:rsidRPr="00335C13">
        <w:rPr>
          <w:vertAlign w:val="subscript"/>
        </w:rPr>
        <w:t>2</w:t>
      </w:r>
      <w:r w:rsidR="00D305EE">
        <w:t>CO</w:t>
      </w:r>
      <w:r w:rsidR="00D305EE" w:rsidRPr="00335C13">
        <w:rPr>
          <w:vertAlign w:val="subscript"/>
        </w:rPr>
        <w:t>3</w:t>
      </w:r>
      <w:r w:rsidR="00D305EE">
        <w:t xml:space="preserve"> can be explained by a </w:t>
      </w:r>
      <w:r w:rsidR="00651AE8">
        <w:t>zwitterion mechanism</w:t>
      </w:r>
      <w:r w:rsidR="000C5C38">
        <w:t xml:space="preserve"> (</w:t>
      </w:r>
      <w:proofErr w:type="spellStart"/>
      <w:r w:rsidR="000C5C38">
        <w:t>Danckwerts</w:t>
      </w:r>
      <w:proofErr w:type="spellEnd"/>
      <w:r w:rsidR="000C5C38">
        <w:t>, 1979)</w:t>
      </w:r>
      <w:r w:rsidR="00651AE8">
        <w:t>:</w:t>
      </w:r>
    </w:p>
    <w:tbl>
      <w:tblPr>
        <w:tblW w:w="5000" w:type="pct"/>
        <w:tblLook w:val="04A0" w:firstRow="1" w:lastRow="0" w:firstColumn="1" w:lastColumn="0" w:noHBand="0" w:noVBand="1"/>
      </w:tblPr>
      <w:tblGrid>
        <w:gridCol w:w="7986"/>
        <w:gridCol w:w="801"/>
      </w:tblGrid>
      <w:tr w:rsidR="00651AE8" w:rsidRPr="00C56EC5" w14:paraId="405BACBC" w14:textId="77777777" w:rsidTr="001D34CD">
        <w:tc>
          <w:tcPr>
            <w:tcW w:w="8188" w:type="dxa"/>
            <w:shd w:val="clear" w:color="auto" w:fill="auto"/>
            <w:vAlign w:val="center"/>
          </w:tcPr>
          <w:p w14:paraId="45F7ACD6" w14:textId="558F9C95" w:rsidR="00651AE8" w:rsidRPr="00335C13" w:rsidRDefault="001D34CD" w:rsidP="00BB2D40">
            <w:pPr>
              <w:pStyle w:val="CETBodytext"/>
              <w:rPr>
                <w:lang w:val="sv-SE"/>
              </w:rPr>
            </w:pPr>
            <m:oMathPara>
              <m:oMathParaPr>
                <m:jc m:val="left"/>
              </m:oMathParaPr>
              <m:oMath>
                <m:r>
                  <m:rPr>
                    <m:nor/>
                  </m:rPr>
                  <w:rPr>
                    <w:rFonts w:ascii="Cambria Math" w:hAnsi="Cambria Math"/>
                  </w:rPr>
                  <m:t>C</m:t>
                </m:r>
                <m:sSub>
                  <m:sSubPr>
                    <m:ctrlPr>
                      <w:rPr>
                        <w:rFonts w:ascii="Cambria Math" w:hAnsi="Cambria Math"/>
                        <w:i/>
                      </w:rPr>
                    </m:ctrlPr>
                  </m:sSubPr>
                  <m:e>
                    <m:r>
                      <m:rPr>
                        <m:nor/>
                      </m:rPr>
                      <w:rPr>
                        <w:rFonts w:ascii="Cambria Math" w:hAnsi="Cambria Math"/>
                      </w:rPr>
                      <m:t>O</m:t>
                    </m:r>
                  </m:e>
                  <m:sub>
                    <m:r>
                      <m:rPr>
                        <m:nor/>
                      </m:rPr>
                      <w:rPr>
                        <w:rFonts w:ascii="Cambria Math" w:hAnsi="Cambria Math"/>
                      </w:rPr>
                      <m:t>2</m:t>
                    </m:r>
                  </m:sub>
                </m:sSub>
                <m:r>
                  <m:rPr>
                    <m:nor/>
                  </m:rPr>
                  <w:rPr>
                    <w:rFonts w:ascii="Cambria Math" w:hAnsi="Cambria Math"/>
                  </w:rPr>
                  <m:t>+</m:t>
                </m:r>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r>
                  <m:rPr>
                    <m:nor/>
                  </m:rPr>
                  <w:rPr>
                    <w:rFonts w:ascii="Cambria Math" w:hAnsi="Cambria Math"/>
                  </w:rPr>
                  <m:t>NH⇌</m:t>
                </m:r>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sSup>
                  <m:sSupPr>
                    <m:ctrlPr>
                      <w:rPr>
                        <w:rFonts w:ascii="Cambria Math" w:hAnsi="Cambria Math"/>
                        <w:i/>
                      </w:rPr>
                    </m:ctrlPr>
                  </m:sSupPr>
                  <m:e>
                    <m:r>
                      <m:rPr>
                        <m:nor/>
                      </m:rPr>
                      <w:rPr>
                        <w:rFonts w:ascii="Cambria Math" w:hAnsi="Cambria Math"/>
                      </w:rPr>
                      <m:t>N</m:t>
                    </m:r>
                  </m:e>
                  <m:sup>
                    <m:r>
                      <m:rPr>
                        <m:nor/>
                      </m:rPr>
                      <w:rPr>
                        <w:rFonts w:ascii="Cambria Math" w:hAnsi="Cambria Math"/>
                      </w:rPr>
                      <m:t>-</m:t>
                    </m:r>
                  </m:sup>
                </m:sSup>
                <m:r>
                  <m:rPr>
                    <m:nor/>
                  </m:rPr>
                  <w:rPr>
                    <w:rFonts w:ascii="Cambria Math" w:hAnsi="Cambria Math"/>
                  </w:rPr>
                  <m:t>HC</m:t>
                </m:r>
                <m:sSubSup>
                  <m:sSubSupPr>
                    <m:ctrlPr>
                      <w:rPr>
                        <w:rFonts w:ascii="Cambria Math" w:hAnsi="Cambria Math"/>
                        <w:i/>
                      </w:rPr>
                    </m:ctrlPr>
                  </m:sSubSupPr>
                  <m:e>
                    <m:r>
                      <m:rPr>
                        <m:nor/>
                      </m:rPr>
                      <w:rPr>
                        <w:rFonts w:ascii="Cambria Math" w:hAnsi="Cambria Math"/>
                      </w:rPr>
                      <m:t>O</m:t>
                    </m:r>
                  </m:e>
                  <m:sub>
                    <m:r>
                      <w:rPr>
                        <w:rFonts w:ascii="Cambria Math" w:hAnsi="Cambria Math"/>
                      </w:rPr>
                      <m:t>2</m:t>
                    </m:r>
                  </m:sub>
                  <m:sup>
                    <m:r>
                      <w:rPr>
                        <w:rFonts w:ascii="Cambria Math" w:hAnsi="Cambria Math"/>
                      </w:rPr>
                      <m:t>+</m:t>
                    </m:r>
                  </m:sup>
                </m:sSubSup>
              </m:oMath>
            </m:oMathPara>
          </w:p>
        </w:tc>
        <w:tc>
          <w:tcPr>
            <w:tcW w:w="815" w:type="dxa"/>
            <w:shd w:val="clear" w:color="auto" w:fill="auto"/>
            <w:vAlign w:val="center"/>
          </w:tcPr>
          <w:p w14:paraId="49AE5765" w14:textId="744757AC" w:rsidR="00651AE8" w:rsidRPr="009B73F0" w:rsidRDefault="00651AE8" w:rsidP="00BB2D40">
            <w:pPr>
              <w:pStyle w:val="CETEquation"/>
              <w:jc w:val="right"/>
            </w:pPr>
            <w:r w:rsidRPr="009B73F0">
              <w:t>(</w:t>
            </w:r>
            <w:bookmarkStart w:id="0" w:name="rxn_CO2_amine"/>
            <w:r>
              <w:fldChar w:fldCharType="begin"/>
            </w:r>
            <w:r>
              <w:instrText xml:space="preserve"> SEQ Eq \* MERGEFORMAT </w:instrText>
            </w:r>
            <w:r>
              <w:fldChar w:fldCharType="separate"/>
            </w:r>
            <w:r w:rsidR="00673BCD">
              <w:rPr>
                <w:noProof/>
              </w:rPr>
              <w:t>1</w:t>
            </w:r>
            <w:r>
              <w:fldChar w:fldCharType="end"/>
            </w:r>
            <w:bookmarkEnd w:id="0"/>
            <w:r w:rsidRPr="009B73F0">
              <w:t>)</w:t>
            </w:r>
          </w:p>
        </w:tc>
      </w:tr>
      <w:tr w:rsidR="00651AE8" w:rsidRPr="00C56EC5" w14:paraId="4DE0D228" w14:textId="77777777" w:rsidTr="001D34CD">
        <w:tc>
          <w:tcPr>
            <w:tcW w:w="8188" w:type="dxa"/>
            <w:shd w:val="clear" w:color="auto" w:fill="auto"/>
            <w:vAlign w:val="center"/>
          </w:tcPr>
          <w:p w14:paraId="1AECFDB7" w14:textId="6DE84752" w:rsidR="00651AE8" w:rsidRPr="001D34CD" w:rsidRDefault="00000000" w:rsidP="001D34CD">
            <w:pPr>
              <w:pStyle w:val="CETBodytext"/>
              <w:rPr>
                <w:rFonts w:ascii="Cambria Math" w:hAnsi="Cambria Math"/>
                <w:i/>
              </w:rPr>
            </w:pPr>
            <m:oMathPara>
              <m:oMathParaPr>
                <m:jc m:val="left"/>
              </m:oMathParaPr>
              <m:oMath>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sSup>
                  <m:sSupPr>
                    <m:ctrlPr>
                      <w:rPr>
                        <w:rFonts w:ascii="Cambria Math" w:hAnsi="Cambria Math"/>
                        <w:i/>
                      </w:rPr>
                    </m:ctrlPr>
                  </m:sSupPr>
                  <m:e>
                    <m:r>
                      <m:rPr>
                        <m:nor/>
                      </m:rPr>
                      <w:rPr>
                        <w:rFonts w:ascii="Cambria Math" w:hAnsi="Cambria Math"/>
                      </w:rPr>
                      <m:t>N</m:t>
                    </m:r>
                  </m:e>
                  <m:sup>
                    <m:r>
                      <m:rPr>
                        <m:nor/>
                      </m:rPr>
                      <w:rPr>
                        <w:rFonts w:ascii="Cambria Math" w:hAnsi="Cambria Math"/>
                      </w:rPr>
                      <m:t>-</m:t>
                    </m:r>
                  </m:sup>
                </m:sSup>
                <m:r>
                  <m:rPr>
                    <m:nor/>
                  </m:rPr>
                  <w:rPr>
                    <w:rFonts w:ascii="Cambria Math" w:hAnsi="Cambria Math"/>
                  </w:rPr>
                  <m:t>HC</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2</m:t>
                    </m:r>
                  </m:sub>
                  <m:sup>
                    <m:r>
                      <m:rPr>
                        <m:nor/>
                      </m:rPr>
                      <w:rPr>
                        <w:rFonts w:ascii="Cambria Math" w:hAnsi="Cambria Math"/>
                      </w:rPr>
                      <m:t>+</m:t>
                    </m:r>
                  </m:sup>
                </m:sSubSup>
                <m:r>
                  <m:rPr>
                    <m:nor/>
                  </m:rPr>
                  <w:rPr>
                    <w:rFonts w:ascii="Cambria Math" w:hAnsi="Cambria Math"/>
                  </w:rPr>
                  <m:t>+B→</m:t>
                </m:r>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r>
                  <m:rPr>
                    <m:nor/>
                  </m:rPr>
                  <w:rPr>
                    <w:rFonts w:ascii="Cambria Math" w:hAnsi="Cambria Math"/>
                  </w:rPr>
                  <m:t>NC</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2</m:t>
                    </m:r>
                  </m:sub>
                  <m:sup>
                    <m:r>
                      <m:rPr>
                        <m:nor/>
                      </m:rPr>
                      <w:rPr>
                        <w:rFonts w:ascii="Cambria Math" w:hAnsi="Cambria Math"/>
                      </w:rPr>
                      <m:t>-</m:t>
                    </m:r>
                  </m:sup>
                </m:sSubSup>
                <m:r>
                  <m:rPr>
                    <m:nor/>
                  </m:rPr>
                  <w:rPr>
                    <w:rFonts w:ascii="Cambria Math" w:hAnsi="Cambria Math"/>
                  </w:rPr>
                  <m:t>+B</m:t>
                </m:r>
                <m:sSup>
                  <m:sSupPr>
                    <m:ctrlPr>
                      <w:rPr>
                        <w:rFonts w:ascii="Cambria Math" w:hAnsi="Cambria Math"/>
                        <w:i/>
                      </w:rPr>
                    </m:ctrlPr>
                  </m:sSupPr>
                  <m:e>
                    <m:r>
                      <m:rPr>
                        <m:nor/>
                      </m:rPr>
                      <w:rPr>
                        <w:rFonts w:ascii="Cambria Math" w:hAnsi="Cambria Math"/>
                      </w:rPr>
                      <m:t>H</m:t>
                    </m:r>
                  </m:e>
                  <m:sup>
                    <m:r>
                      <m:rPr>
                        <m:nor/>
                      </m:rPr>
                      <w:rPr>
                        <w:rFonts w:ascii="Cambria Math" w:hAnsi="Cambria Math"/>
                      </w:rPr>
                      <m:t>+</m:t>
                    </m:r>
                  </m:sup>
                </m:sSup>
                <m:r>
                  <w:rPr>
                    <w:rFonts w:ascii="Cambria Math" w:hAnsi="Cambria Math"/>
                  </w:rPr>
                  <m:t xml:space="preserve"> </m:t>
                </m:r>
              </m:oMath>
            </m:oMathPara>
          </w:p>
        </w:tc>
        <w:tc>
          <w:tcPr>
            <w:tcW w:w="815" w:type="dxa"/>
            <w:shd w:val="clear" w:color="auto" w:fill="auto"/>
            <w:vAlign w:val="center"/>
          </w:tcPr>
          <w:p w14:paraId="10CE1AA4" w14:textId="2F45F47B" w:rsidR="00651AE8" w:rsidRPr="009B73F0" w:rsidRDefault="00651AE8" w:rsidP="00BB2D40">
            <w:pPr>
              <w:pStyle w:val="CETEquation"/>
              <w:jc w:val="right"/>
            </w:pPr>
            <w:r>
              <w:t>(</w:t>
            </w:r>
            <w:bookmarkStart w:id="1" w:name="rxn_zwitterion"/>
            <w:r>
              <w:fldChar w:fldCharType="begin"/>
            </w:r>
            <w:r>
              <w:instrText xml:space="preserve"> SEQ Eq \* MERGEFORMAT </w:instrText>
            </w:r>
            <w:r>
              <w:fldChar w:fldCharType="separate"/>
            </w:r>
            <w:r w:rsidR="00673BCD">
              <w:rPr>
                <w:noProof/>
              </w:rPr>
              <w:t>2</w:t>
            </w:r>
            <w:r>
              <w:fldChar w:fldCharType="end"/>
            </w:r>
            <w:bookmarkEnd w:id="1"/>
            <w:r>
              <w:t>)</w:t>
            </w:r>
          </w:p>
        </w:tc>
      </w:tr>
    </w:tbl>
    <w:p w14:paraId="5C7B0519" w14:textId="133C374B" w:rsidR="00673BCD" w:rsidRDefault="00D305EE" w:rsidP="00651AE8">
      <w:pPr>
        <w:pStyle w:val="CETBodytext"/>
      </w:pPr>
      <w:r>
        <w:lastRenderedPageBreak/>
        <w:t>In this mechanism</w:t>
      </w:r>
      <w:r w:rsidR="00651AE8">
        <w:t xml:space="preserve">, </w:t>
      </w:r>
      <w:proofErr w:type="gramStart"/>
      <w:r w:rsidR="00651AE8">
        <w:t>CO</w:t>
      </w:r>
      <w:r w:rsidR="00651AE8">
        <w:rPr>
          <w:vertAlign w:val="subscript"/>
        </w:rPr>
        <w:t>2</w:t>
      </w:r>
      <w:proofErr w:type="gramEnd"/>
      <w:r w:rsidR="00651AE8">
        <w:t xml:space="preserve"> and </w:t>
      </w:r>
      <w:r>
        <w:t xml:space="preserve">the </w:t>
      </w:r>
      <w:r w:rsidR="00651AE8">
        <w:t>amine</w:t>
      </w:r>
      <w:r>
        <w:t xml:space="preserve"> R</w:t>
      </w:r>
      <w:r w:rsidRPr="002169F6">
        <w:rPr>
          <w:vertAlign w:val="subscript"/>
        </w:rPr>
        <w:t>2</w:t>
      </w:r>
      <w:r>
        <w:t>NH</w:t>
      </w:r>
      <w:r w:rsidR="00651AE8">
        <w:t xml:space="preserve"> react to </w:t>
      </w:r>
      <w:proofErr w:type="gramStart"/>
      <w:r w:rsidR="00651AE8">
        <w:t>produce</w:t>
      </w:r>
      <w:proofErr w:type="gramEnd"/>
      <w:r w:rsidR="00651AE8">
        <w:t xml:space="preserve"> </w:t>
      </w:r>
      <w:r>
        <w:t xml:space="preserve">the </w:t>
      </w:r>
      <w:r w:rsidR="00651AE8">
        <w:t xml:space="preserve">zwitterion, which </w:t>
      </w:r>
      <w:r>
        <w:t>then</w:t>
      </w:r>
      <w:r w:rsidR="00EC3283">
        <w:t xml:space="preserve"> undergoes</w:t>
      </w:r>
      <w:r>
        <w:t xml:space="preserve"> </w:t>
      </w:r>
      <w:r w:rsidR="00651AE8">
        <w:t xml:space="preserve">an irreversible reaction with </w:t>
      </w:r>
      <w:r w:rsidR="00C47C43">
        <w:t xml:space="preserve">the </w:t>
      </w:r>
      <w:r w:rsidR="00651AE8">
        <w:t xml:space="preserve">base </w:t>
      </w:r>
      <w:r w:rsidR="001D34CD">
        <w:t>B</w:t>
      </w:r>
      <w:r w:rsidR="00651AE8">
        <w:t xml:space="preserve"> (</w:t>
      </w:r>
      <w:r w:rsidR="001D34CD">
        <w:t>CO</w:t>
      </w:r>
      <w:r w:rsidR="001D34CD">
        <w:rPr>
          <w:vertAlign w:val="subscript"/>
        </w:rPr>
        <w:t>3</w:t>
      </w:r>
      <w:r w:rsidR="001D34CD">
        <w:rPr>
          <w:vertAlign w:val="superscript"/>
        </w:rPr>
        <w:t>2-</w:t>
      </w:r>
      <w:r w:rsidR="00651AE8">
        <w:t>,</w:t>
      </w:r>
      <w:r w:rsidR="001D34CD">
        <w:t xml:space="preserve"> OH</w:t>
      </w:r>
      <w:r w:rsidR="001D34CD">
        <w:rPr>
          <w:vertAlign w:val="superscript"/>
        </w:rPr>
        <w:t>-</w:t>
      </w:r>
      <w:r w:rsidR="001D34CD">
        <w:t xml:space="preserve">, </w:t>
      </w:r>
      <w:r>
        <w:t xml:space="preserve">or </w:t>
      </w:r>
      <w:r w:rsidR="001D34CD">
        <w:t>the</w:t>
      </w:r>
      <w:r w:rsidR="00651AE8">
        <w:t xml:space="preserve"> amine itself) to produce carbamates. </w:t>
      </w:r>
      <w:proofErr w:type="spellStart"/>
      <w:r w:rsidR="00651AE8">
        <w:t>Danckwerts</w:t>
      </w:r>
      <w:proofErr w:type="spellEnd"/>
      <w:r w:rsidR="00651AE8">
        <w:t xml:space="preserve"> (1979) showed that</w:t>
      </w:r>
      <w:r w:rsidR="008C29B7">
        <w:t xml:space="preserve"> if the acid-base reaction (</w:t>
      </w:r>
      <w:r w:rsidR="008C29B7">
        <w:fldChar w:fldCharType="begin"/>
      </w:r>
      <w:r w:rsidR="008C29B7">
        <w:instrText xml:space="preserve"> REF rxn_zwitterion \h </w:instrText>
      </w:r>
      <w:r w:rsidR="008C29B7">
        <w:fldChar w:fldCharType="separate"/>
      </w:r>
      <w:r w:rsidR="00673BCD">
        <w:rPr>
          <w:noProof/>
        </w:rPr>
        <w:t>2</w:t>
      </w:r>
      <w:r w:rsidR="008C29B7">
        <w:fldChar w:fldCharType="end"/>
      </w:r>
      <w:r w:rsidR="008C29B7">
        <w:t>) is fast (a condition typically satisfied due to abundance of CO</w:t>
      </w:r>
      <w:r w:rsidR="008C29B7">
        <w:rPr>
          <w:vertAlign w:val="subscript"/>
        </w:rPr>
        <w:t>3</w:t>
      </w:r>
      <w:r w:rsidR="008C29B7">
        <w:rPr>
          <w:vertAlign w:val="superscript"/>
        </w:rPr>
        <w:t>2-</w:t>
      </w:r>
      <w:r w:rsidR="008C29B7">
        <w:t xml:space="preserve"> in K</w:t>
      </w:r>
      <w:r w:rsidR="008C29B7">
        <w:rPr>
          <w:vertAlign w:val="subscript"/>
        </w:rPr>
        <w:t>2</w:t>
      </w:r>
      <w:r w:rsidR="008C29B7">
        <w:t>CO</w:t>
      </w:r>
      <w:r w:rsidR="008C29B7">
        <w:rPr>
          <w:vertAlign w:val="subscript"/>
        </w:rPr>
        <w:t>3</w:t>
      </w:r>
      <w:r w:rsidR="008C29B7">
        <w:t xml:space="preserve"> solvents</w:t>
      </w:r>
      <w:r w:rsidR="00E554A9">
        <w:t>, that is B = CO</w:t>
      </w:r>
      <w:r w:rsidR="00E554A9">
        <w:rPr>
          <w:vertAlign w:val="subscript"/>
        </w:rPr>
        <w:t>3</w:t>
      </w:r>
      <w:r w:rsidR="00E554A9">
        <w:rPr>
          <w:vertAlign w:val="superscript"/>
        </w:rPr>
        <w:t>2-</w:t>
      </w:r>
      <w:r w:rsidR="008C29B7">
        <w:t xml:space="preserve"> (Laddha and </w:t>
      </w:r>
      <w:proofErr w:type="spellStart"/>
      <w:r w:rsidR="008C29B7">
        <w:t>Danckwerts</w:t>
      </w:r>
      <w:proofErr w:type="spellEnd"/>
      <w:r w:rsidR="008C29B7">
        <w:t>, 1982)),</w:t>
      </w:r>
      <w:r w:rsidR="00651AE8">
        <w:t xml:space="preserve"> the </w:t>
      </w:r>
      <w:r w:rsidR="008C29B7">
        <w:t>overall reaction</w:t>
      </w:r>
      <w:r w:rsidR="00EC3283">
        <w:t xml:space="preserve"> rate</w:t>
      </w:r>
      <w:r w:rsidR="008C29B7">
        <w:t xml:space="preserve"> </w:t>
      </w:r>
      <w:r w:rsidR="00651AE8">
        <w:t xml:space="preserve">is </w:t>
      </w:r>
      <w:r w:rsidR="008C29B7">
        <w:t xml:space="preserve">of </w:t>
      </w:r>
      <w:r w:rsidR="00651AE8">
        <w:t xml:space="preserve">first-order </w:t>
      </w:r>
      <w:r w:rsidR="00E445F4">
        <w:t>with respect to</w:t>
      </w:r>
      <w:r w:rsidR="00651AE8">
        <w:t xml:space="preserve"> both amine and CO</w:t>
      </w:r>
      <w:r w:rsidR="00651AE8">
        <w:rPr>
          <w:vertAlign w:val="subscript"/>
        </w:rPr>
        <w:t>2</w:t>
      </w:r>
      <w:r w:rsidR="00EC3283">
        <w:t xml:space="preserve"> concentration</w:t>
      </w:r>
      <w:r w:rsidR="00E445F4">
        <w:t>s</w:t>
      </w:r>
      <w:r w:rsidR="00EC3283">
        <w:t>.</w:t>
      </w:r>
      <w:r w:rsidR="00673BCD">
        <w:t xml:space="preserve"> The carbamate is regenerated back to the active amine form in reaction with water:</w:t>
      </w:r>
    </w:p>
    <w:tbl>
      <w:tblPr>
        <w:tblW w:w="5000" w:type="pct"/>
        <w:tblLook w:val="04A0" w:firstRow="1" w:lastRow="0" w:firstColumn="1" w:lastColumn="0" w:noHBand="0" w:noVBand="1"/>
      </w:tblPr>
      <w:tblGrid>
        <w:gridCol w:w="7986"/>
        <w:gridCol w:w="801"/>
      </w:tblGrid>
      <w:tr w:rsidR="00673BCD" w:rsidRPr="00C56EC5" w14:paraId="14C11EE1" w14:textId="77777777" w:rsidTr="00673BCD">
        <w:tc>
          <w:tcPr>
            <w:tcW w:w="7986" w:type="dxa"/>
            <w:shd w:val="clear" w:color="auto" w:fill="auto"/>
            <w:vAlign w:val="center"/>
          </w:tcPr>
          <w:p w14:paraId="61BD6A19" w14:textId="3AB4A63C" w:rsidR="00673BCD" w:rsidRPr="00335C13" w:rsidRDefault="00000000" w:rsidP="005321B3">
            <w:pPr>
              <w:pStyle w:val="CETBodytext"/>
              <w:rPr>
                <w:lang w:val="sv-SE"/>
              </w:rPr>
            </w:pPr>
            <m:oMathPara>
              <m:oMathParaPr>
                <m:jc m:val="left"/>
              </m:oMathParaPr>
              <m:oMath>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r>
                  <m:rPr>
                    <m:nor/>
                  </m:rPr>
                  <w:rPr>
                    <w:rFonts w:ascii="Cambria Math" w:hAnsi="Cambria Math"/>
                  </w:rPr>
                  <m:t>NC</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2</m:t>
                    </m:r>
                  </m:sub>
                  <m:sup>
                    <m:r>
                      <m:rPr>
                        <m:nor/>
                      </m:rPr>
                      <w:rPr>
                        <w:rFonts w:ascii="Cambria Math" w:hAnsi="Cambria Math"/>
                      </w:rPr>
                      <m:t>-</m:t>
                    </m:r>
                  </m:sup>
                </m:sSubSup>
                <m:r>
                  <m:rPr>
                    <m:nor/>
                  </m:rPr>
                  <w:rPr>
                    <w:rFonts w:ascii="Cambria Math" w:hAnsi="Cambria Math"/>
                  </w:rPr>
                  <m:t>+</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O⇌</m:t>
                </m:r>
                <m:sSub>
                  <m:sSubPr>
                    <m:ctrlPr>
                      <w:rPr>
                        <w:rFonts w:ascii="Cambria Math" w:hAnsi="Cambria Math"/>
                        <w:i/>
                      </w:rPr>
                    </m:ctrlPr>
                  </m:sSubPr>
                  <m:e>
                    <m:r>
                      <m:rPr>
                        <m:nor/>
                      </m:rPr>
                      <w:rPr>
                        <w:rFonts w:ascii="Cambria Math" w:hAnsi="Cambria Math"/>
                      </w:rPr>
                      <m:t>R</m:t>
                    </m:r>
                  </m:e>
                  <m:sub>
                    <m:r>
                      <m:rPr>
                        <m:nor/>
                      </m:rPr>
                      <w:rPr>
                        <w:rFonts w:ascii="Cambria Math" w:hAnsi="Cambria Math"/>
                      </w:rPr>
                      <m:t>2</m:t>
                    </m:r>
                  </m:sub>
                </m:sSub>
                <m:r>
                  <m:rPr>
                    <m:nor/>
                  </m:rPr>
                  <w:rPr>
                    <w:rFonts w:ascii="Cambria Math" w:hAnsi="Cambria Math"/>
                  </w:rPr>
                  <m:t>NH+HC</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3</m:t>
                    </m:r>
                  </m:sub>
                  <m:sup>
                    <m:r>
                      <m:rPr>
                        <m:nor/>
                      </m:rPr>
                      <w:rPr>
                        <w:rFonts w:ascii="Cambria Math" w:hAnsi="Cambria Math"/>
                      </w:rPr>
                      <m:t>-</m:t>
                    </m:r>
                  </m:sup>
                </m:sSubSup>
              </m:oMath>
            </m:oMathPara>
          </w:p>
        </w:tc>
        <w:tc>
          <w:tcPr>
            <w:tcW w:w="801" w:type="dxa"/>
            <w:shd w:val="clear" w:color="auto" w:fill="auto"/>
            <w:vAlign w:val="center"/>
          </w:tcPr>
          <w:p w14:paraId="3A9C2EED" w14:textId="60603443" w:rsidR="00673BCD" w:rsidRPr="009B73F0" w:rsidRDefault="00673BCD" w:rsidP="005321B3">
            <w:pPr>
              <w:pStyle w:val="CETEquation"/>
              <w:jc w:val="right"/>
            </w:pPr>
            <w:r w:rsidRPr="009B73F0">
              <w:t>(</w:t>
            </w:r>
            <w:fldSimple w:instr=" SEQ EQ \* MERGEFORMAT ">
              <w:r>
                <w:rPr>
                  <w:noProof/>
                </w:rPr>
                <w:t>3</w:t>
              </w:r>
            </w:fldSimple>
            <w:r w:rsidRPr="009B73F0">
              <w:t>)</w:t>
            </w:r>
          </w:p>
        </w:tc>
      </w:tr>
    </w:tbl>
    <w:p w14:paraId="6BB085FA" w14:textId="42D648DA" w:rsidR="00E25ED3" w:rsidRDefault="002F1A0E" w:rsidP="00651AE8">
      <w:pPr>
        <w:pStyle w:val="CETBodytext"/>
      </w:pPr>
      <w:r>
        <w:t xml:space="preserve">Despite their </w:t>
      </w:r>
      <w:r w:rsidR="00E25986">
        <w:t>excellent promoting behavior,</w:t>
      </w:r>
      <w:r w:rsidR="002D7EE2">
        <w:t xml:space="preserve"> the high regeneration energy of </w:t>
      </w:r>
      <w:r w:rsidR="00E445F4">
        <w:t xml:space="preserve">the </w:t>
      </w:r>
      <w:r w:rsidR="002D7EE2">
        <w:t>amines as well as their</w:t>
      </w:r>
      <w:r w:rsidR="00E25986">
        <w:t xml:space="preserve"> </w:t>
      </w:r>
      <w:r w:rsidR="002D7EE2">
        <w:t xml:space="preserve">volatility, thermal degradation, and </w:t>
      </w:r>
      <w:r w:rsidR="008C29B7">
        <w:t xml:space="preserve">tendency to </w:t>
      </w:r>
      <w:r w:rsidR="00EC3283">
        <w:t xml:space="preserve">form harmful </w:t>
      </w:r>
      <w:r w:rsidR="002D7EE2">
        <w:t>oxidation</w:t>
      </w:r>
      <w:r w:rsidR="008C29B7">
        <w:t xml:space="preserve"> products </w:t>
      </w:r>
      <w:r w:rsidR="00D305EE">
        <w:t xml:space="preserve">are of </w:t>
      </w:r>
      <w:r w:rsidR="002D7EE2">
        <w:t xml:space="preserve">concern </w:t>
      </w:r>
      <w:r w:rsidR="00C47C43">
        <w:t>when using amines as</w:t>
      </w:r>
      <w:r w:rsidR="00D305EE">
        <w:t xml:space="preserve"> promoters </w:t>
      </w:r>
      <w:r w:rsidR="000C5C38">
        <w:t>(Du, 2016)</w:t>
      </w:r>
      <w:r w:rsidR="002D7EE2">
        <w:t>.</w:t>
      </w:r>
    </w:p>
    <w:p w14:paraId="37BC3B76" w14:textId="30E0E581" w:rsidR="00CA13D6" w:rsidRPr="00CA13D6" w:rsidRDefault="002D7EE2" w:rsidP="00CA13D6">
      <w:pPr>
        <w:pStyle w:val="CETBodytext"/>
        <w:rPr>
          <w:noProof/>
        </w:rPr>
      </w:pPr>
      <w:r>
        <w:t>Ino</w:t>
      </w:r>
      <w:r w:rsidR="005C5ABC">
        <w:t xml:space="preserve">rganic promoters are </w:t>
      </w:r>
      <w:r w:rsidR="00E445F4">
        <w:t>regarded</w:t>
      </w:r>
      <w:r w:rsidR="005C5ABC">
        <w:t xml:space="preserve"> as</w:t>
      </w:r>
      <w:r w:rsidR="009C4156">
        <w:t xml:space="preserve"> </w:t>
      </w:r>
      <w:r w:rsidR="005C5ABC">
        <w:t xml:space="preserve">alternatives </w:t>
      </w:r>
      <w:r w:rsidR="00D01F14">
        <w:t>to amines</w:t>
      </w:r>
      <w:r w:rsidR="00025A65">
        <w:t xml:space="preserve">, </w:t>
      </w:r>
      <w:r w:rsidR="00D01F14">
        <w:t xml:space="preserve">as </w:t>
      </w:r>
      <w:r w:rsidR="00025A65">
        <w:t>they are relatively stable and less volatile</w:t>
      </w:r>
      <w:r w:rsidR="005C5ABC">
        <w:t xml:space="preserve">. </w:t>
      </w:r>
      <w:r w:rsidR="00C47C43">
        <w:t>B</w:t>
      </w:r>
      <w:r w:rsidR="005C5ABC">
        <w:t>oric acid</w:t>
      </w:r>
      <w:r w:rsidR="00A30CE5">
        <w:t xml:space="preserve"> B(OH)</w:t>
      </w:r>
      <w:r w:rsidR="00A30CE5">
        <w:rPr>
          <w:vertAlign w:val="subscript"/>
        </w:rPr>
        <w:t>3</w:t>
      </w:r>
      <w:r w:rsidR="005C5ABC">
        <w:t xml:space="preserve"> (BA) and vanadium pentoxide</w:t>
      </w:r>
      <w:r w:rsidR="00E445F4">
        <w:t xml:space="preserve"> V</w:t>
      </w:r>
      <w:r w:rsidR="00E445F4">
        <w:rPr>
          <w:vertAlign w:val="subscript"/>
        </w:rPr>
        <w:t>2</w:t>
      </w:r>
      <w:r w:rsidR="00E445F4">
        <w:t>O</w:t>
      </w:r>
      <w:r w:rsidR="00E445F4">
        <w:rPr>
          <w:vertAlign w:val="subscript"/>
        </w:rPr>
        <w:t>5</w:t>
      </w:r>
      <w:r w:rsidR="009C4156">
        <w:t xml:space="preserve"> (</w:t>
      </w:r>
      <w:r w:rsidR="009E4532">
        <w:t>VO</w:t>
      </w:r>
      <w:r w:rsidR="009C4156">
        <w:t>)</w:t>
      </w:r>
      <w:r w:rsidR="005C5ABC">
        <w:t xml:space="preserve"> </w:t>
      </w:r>
      <w:r w:rsidR="00C47C43">
        <w:t>and mixtures thereof are the most prominent member</w:t>
      </w:r>
      <w:r w:rsidR="00A16929">
        <w:t>s</w:t>
      </w:r>
      <w:r w:rsidR="00C47C43">
        <w:t xml:space="preserve"> of this category</w:t>
      </w:r>
      <w:r w:rsidR="000C5C38">
        <w:t xml:space="preserve"> (Eic</w:t>
      </w:r>
      <w:r w:rsidR="00D5552E">
        <w:t>k</w:t>
      </w:r>
      <w:r w:rsidR="000C5C38">
        <w:t>meyer, 1984)</w:t>
      </w:r>
      <w:r w:rsidR="00E25ED3">
        <w:rPr>
          <w:noProof/>
        </w:rPr>
        <w:t>.</w:t>
      </w:r>
      <w:r w:rsidR="00D305EE">
        <w:rPr>
          <w:noProof/>
        </w:rPr>
        <w:t xml:space="preserve"> </w:t>
      </w:r>
      <w:r w:rsidR="00E445F4">
        <w:rPr>
          <w:noProof/>
        </w:rPr>
        <w:t>VO</w:t>
      </w:r>
      <w:r w:rsidR="00E25ED3">
        <w:rPr>
          <w:noProof/>
        </w:rPr>
        <w:t xml:space="preserve"> is commonly used as a corrosion inhibitor, but </w:t>
      </w:r>
      <w:r w:rsidR="00D01F14">
        <w:rPr>
          <w:noProof/>
        </w:rPr>
        <w:t>was</w:t>
      </w:r>
      <w:r w:rsidR="00E25ED3">
        <w:rPr>
          <w:noProof/>
        </w:rPr>
        <w:t xml:space="preserve"> </w:t>
      </w:r>
      <w:r w:rsidR="00C47C43">
        <w:rPr>
          <w:noProof/>
        </w:rPr>
        <w:t xml:space="preserve">found </w:t>
      </w:r>
      <w:r w:rsidR="00E25ED3">
        <w:rPr>
          <w:noProof/>
        </w:rPr>
        <w:t>to</w:t>
      </w:r>
      <w:r w:rsidR="005712E7">
        <w:rPr>
          <w:noProof/>
        </w:rPr>
        <w:t xml:space="preserve"> also enhance the hydrolysis of</w:t>
      </w:r>
      <w:r w:rsidR="00E25ED3">
        <w:rPr>
          <w:noProof/>
        </w:rPr>
        <w:t xml:space="preserve"> CO</w:t>
      </w:r>
      <w:r w:rsidR="00E25ED3">
        <w:rPr>
          <w:noProof/>
          <w:vertAlign w:val="subscript"/>
        </w:rPr>
        <w:t>2</w:t>
      </w:r>
      <w:r w:rsidR="00E25ED3">
        <w:rPr>
          <w:noProof/>
        </w:rPr>
        <w:t xml:space="preserve"> through its vanadate species HVO</w:t>
      </w:r>
      <w:r w:rsidR="00E25ED3" w:rsidRPr="00E25ED3">
        <w:rPr>
          <w:noProof/>
          <w:vertAlign w:val="subscript"/>
        </w:rPr>
        <w:t>4</w:t>
      </w:r>
      <w:r w:rsidR="00E25ED3">
        <w:rPr>
          <w:noProof/>
          <w:vertAlign w:val="superscript"/>
        </w:rPr>
        <w:t>2-</w:t>
      </w:r>
      <w:r w:rsidR="00E25ED3">
        <w:rPr>
          <w:noProof/>
        </w:rPr>
        <w:t xml:space="preserve"> and HV</w:t>
      </w:r>
      <w:r w:rsidR="00E25ED3">
        <w:rPr>
          <w:noProof/>
          <w:vertAlign w:val="subscript"/>
        </w:rPr>
        <w:t>2</w:t>
      </w:r>
      <w:r w:rsidR="00E25ED3">
        <w:rPr>
          <w:noProof/>
        </w:rPr>
        <w:t>O</w:t>
      </w:r>
      <w:r w:rsidR="00E25ED3">
        <w:rPr>
          <w:noProof/>
          <w:vertAlign w:val="subscript"/>
        </w:rPr>
        <w:t>7</w:t>
      </w:r>
      <w:r w:rsidR="00E25ED3">
        <w:rPr>
          <w:noProof/>
          <w:vertAlign w:val="superscript"/>
        </w:rPr>
        <w:t>3-</w:t>
      </w:r>
      <w:r w:rsidR="000C5C38">
        <w:rPr>
          <w:noProof/>
        </w:rPr>
        <w:t xml:space="preserve"> (Nicholas</w:t>
      </w:r>
      <w:r w:rsidR="0024023C">
        <w:rPr>
          <w:noProof/>
        </w:rPr>
        <w:t xml:space="preserve"> et al.</w:t>
      </w:r>
      <w:r w:rsidR="000C5C38">
        <w:rPr>
          <w:noProof/>
        </w:rPr>
        <w:t>, 2014</w:t>
      </w:r>
      <w:r w:rsidR="00C47C43">
        <w:rPr>
          <w:noProof/>
        </w:rPr>
        <w:t>)</w:t>
      </w:r>
      <w:r w:rsidR="00E25ED3">
        <w:rPr>
          <w:noProof/>
        </w:rPr>
        <w:t>.</w:t>
      </w:r>
      <w:r w:rsidR="004F318E">
        <w:rPr>
          <w:noProof/>
        </w:rPr>
        <w:t xml:space="preserve"> </w:t>
      </w:r>
      <w:r w:rsidR="00E445F4">
        <w:rPr>
          <w:noProof/>
        </w:rPr>
        <w:t>The f</w:t>
      </w:r>
      <w:r w:rsidR="006A0F8C">
        <w:rPr>
          <w:noProof/>
        </w:rPr>
        <w:t xml:space="preserve">ormation of </w:t>
      </w:r>
      <w:r w:rsidR="00CA13D6">
        <w:rPr>
          <w:noProof/>
        </w:rPr>
        <w:t>vanadium oligomers</w:t>
      </w:r>
      <w:r w:rsidR="006A0F8C">
        <w:rPr>
          <w:noProof/>
        </w:rPr>
        <w:t xml:space="preserve"> </w:t>
      </w:r>
      <w:r w:rsidR="00D01F14">
        <w:rPr>
          <w:noProof/>
        </w:rPr>
        <w:t>was</w:t>
      </w:r>
      <w:r w:rsidR="006A0F8C">
        <w:rPr>
          <w:noProof/>
        </w:rPr>
        <w:t xml:space="preserve"> stated as an issue </w:t>
      </w:r>
      <w:r w:rsidR="00E445F4">
        <w:rPr>
          <w:noProof/>
        </w:rPr>
        <w:t>concerning the use of</w:t>
      </w:r>
      <w:r w:rsidR="005712E7">
        <w:rPr>
          <w:noProof/>
        </w:rPr>
        <w:t xml:space="preserve"> </w:t>
      </w:r>
      <w:r w:rsidR="006A0F8C">
        <w:rPr>
          <w:noProof/>
        </w:rPr>
        <w:t>VO</w:t>
      </w:r>
      <w:r w:rsidR="005712E7">
        <w:rPr>
          <w:noProof/>
        </w:rPr>
        <w:t xml:space="preserve"> as rate promoter</w:t>
      </w:r>
      <w:r w:rsidR="006A0F8C">
        <w:rPr>
          <w:noProof/>
        </w:rPr>
        <w:t>, as the</w:t>
      </w:r>
      <w:r w:rsidR="005712E7">
        <w:rPr>
          <w:noProof/>
        </w:rPr>
        <w:t xml:space="preserve"> oligomers</w:t>
      </w:r>
      <w:r w:rsidR="006A0F8C">
        <w:rPr>
          <w:noProof/>
        </w:rPr>
        <w:t xml:space="preserve"> may not be active towards CO</w:t>
      </w:r>
      <w:r w:rsidR="006A0F8C">
        <w:rPr>
          <w:noProof/>
          <w:vertAlign w:val="subscript"/>
        </w:rPr>
        <w:t>2</w:t>
      </w:r>
      <w:r w:rsidR="000C5C38">
        <w:rPr>
          <w:noProof/>
        </w:rPr>
        <w:t xml:space="preserve"> (Nicholas</w:t>
      </w:r>
      <w:r w:rsidR="0024023C">
        <w:rPr>
          <w:noProof/>
        </w:rPr>
        <w:t xml:space="preserve"> et al.</w:t>
      </w:r>
      <w:r w:rsidR="000C5C38">
        <w:rPr>
          <w:noProof/>
        </w:rPr>
        <w:t>, 2014)</w:t>
      </w:r>
      <w:r w:rsidR="006A0F8C">
        <w:rPr>
          <w:noProof/>
        </w:rPr>
        <w:t xml:space="preserve">. </w:t>
      </w:r>
      <w:r w:rsidR="00D305EE">
        <w:rPr>
          <w:noProof/>
        </w:rPr>
        <w:t xml:space="preserve">However, </w:t>
      </w:r>
      <w:r w:rsidR="006A0F8C">
        <w:rPr>
          <w:noProof/>
        </w:rPr>
        <w:t>McCann et al. (201</w:t>
      </w:r>
      <w:r w:rsidR="000C5C38">
        <w:rPr>
          <w:noProof/>
        </w:rPr>
        <w:t>5</w:t>
      </w:r>
      <w:r w:rsidR="006A0F8C">
        <w:rPr>
          <w:noProof/>
        </w:rPr>
        <w:t xml:space="preserve">) </w:t>
      </w:r>
      <w:r w:rsidR="00D738E4">
        <w:rPr>
          <w:noProof/>
        </w:rPr>
        <w:t>showed that</w:t>
      </w:r>
      <w:r w:rsidR="005712E7">
        <w:rPr>
          <w:noProof/>
        </w:rPr>
        <w:t xml:space="preserve"> </w:t>
      </w:r>
      <w:r w:rsidR="00D738E4">
        <w:rPr>
          <w:noProof/>
        </w:rPr>
        <w:t xml:space="preserve">over </w:t>
      </w:r>
      <w:r w:rsidR="006D1327">
        <w:rPr>
          <w:noProof/>
        </w:rPr>
        <w:t xml:space="preserve">the </w:t>
      </w:r>
      <w:r w:rsidR="003A5DC7">
        <w:rPr>
          <w:noProof/>
        </w:rPr>
        <w:t>relevant</w:t>
      </w:r>
      <w:r w:rsidR="00D738E4">
        <w:rPr>
          <w:noProof/>
        </w:rPr>
        <w:t xml:space="preserve"> pH</w:t>
      </w:r>
      <w:r w:rsidR="003A5DC7">
        <w:rPr>
          <w:noProof/>
        </w:rPr>
        <w:t xml:space="preserve"> </w:t>
      </w:r>
      <w:r w:rsidR="003A5DC7" w:rsidRPr="00114324">
        <w:rPr>
          <w:noProof/>
        </w:rPr>
        <w:t>(8.5-10.5)</w:t>
      </w:r>
      <w:r w:rsidR="00D738E4" w:rsidRPr="00114324">
        <w:rPr>
          <w:noProof/>
        </w:rPr>
        <w:t xml:space="preserve"> </w:t>
      </w:r>
      <w:r w:rsidR="003A5DC7" w:rsidRPr="00114324">
        <w:rPr>
          <w:noProof/>
        </w:rPr>
        <w:t xml:space="preserve">and temperature (up to 84 </w:t>
      </w:r>
      <w:r w:rsidR="003A5DC7" w:rsidRPr="00114324">
        <w:rPr>
          <w:rFonts w:cs="Arial"/>
          <w:noProof/>
        </w:rPr>
        <w:t>˚</w:t>
      </w:r>
      <w:r w:rsidR="003A5DC7" w:rsidRPr="00114324">
        <w:rPr>
          <w:noProof/>
        </w:rPr>
        <w:t>C)</w:t>
      </w:r>
      <w:r w:rsidR="003A5DC7">
        <w:rPr>
          <w:noProof/>
        </w:rPr>
        <w:t xml:space="preserve"> </w:t>
      </w:r>
      <w:r w:rsidR="00D738E4">
        <w:rPr>
          <w:noProof/>
        </w:rPr>
        <w:t>range</w:t>
      </w:r>
      <w:r w:rsidR="003A5DC7">
        <w:rPr>
          <w:noProof/>
        </w:rPr>
        <w:t>s</w:t>
      </w:r>
      <w:r w:rsidR="00D738E4">
        <w:rPr>
          <w:noProof/>
        </w:rPr>
        <w:t xml:space="preserve"> </w:t>
      </w:r>
      <w:r w:rsidR="00D305EE">
        <w:rPr>
          <w:noProof/>
        </w:rPr>
        <w:t xml:space="preserve">for </w:t>
      </w:r>
      <w:r w:rsidR="005712E7">
        <w:rPr>
          <w:noProof/>
        </w:rPr>
        <w:t>CO</w:t>
      </w:r>
      <w:r w:rsidR="005712E7" w:rsidRPr="00A16929">
        <w:rPr>
          <w:noProof/>
          <w:vertAlign w:val="subscript"/>
        </w:rPr>
        <w:t>2</w:t>
      </w:r>
      <w:r w:rsidR="005712E7">
        <w:rPr>
          <w:noProof/>
        </w:rPr>
        <w:t xml:space="preserve"> </w:t>
      </w:r>
      <w:r w:rsidR="00D738E4">
        <w:rPr>
          <w:noProof/>
        </w:rPr>
        <w:t>absorption</w:t>
      </w:r>
      <w:r w:rsidR="005712E7">
        <w:rPr>
          <w:noProof/>
        </w:rPr>
        <w:t>, instead of forming vanadium oligomers, VO tends to</w:t>
      </w:r>
      <w:r w:rsidR="00D738E4">
        <w:rPr>
          <w:noProof/>
        </w:rPr>
        <w:t xml:space="preserve"> </w:t>
      </w:r>
      <w:r w:rsidR="005712E7">
        <w:rPr>
          <w:noProof/>
        </w:rPr>
        <w:t>form carbonato-vanadate complexes:</w:t>
      </w:r>
    </w:p>
    <w:tbl>
      <w:tblPr>
        <w:tblW w:w="5000" w:type="pct"/>
        <w:tblLook w:val="04A0" w:firstRow="1" w:lastRow="0" w:firstColumn="1" w:lastColumn="0" w:noHBand="0" w:noVBand="1"/>
      </w:tblPr>
      <w:tblGrid>
        <w:gridCol w:w="7988"/>
        <w:gridCol w:w="799"/>
      </w:tblGrid>
      <w:tr w:rsidR="00CA13D6" w:rsidRPr="00C56EC5" w14:paraId="232577F5" w14:textId="77777777" w:rsidTr="00BB2D40">
        <w:tc>
          <w:tcPr>
            <w:tcW w:w="8188" w:type="dxa"/>
            <w:shd w:val="clear" w:color="auto" w:fill="auto"/>
            <w:vAlign w:val="center"/>
          </w:tcPr>
          <w:p w14:paraId="3F5F5642" w14:textId="6CE39368" w:rsidR="00CA13D6" w:rsidRPr="009B73F0" w:rsidRDefault="00000000" w:rsidP="00BB2D40">
            <w:pPr>
              <w:pStyle w:val="CETBodytext"/>
              <w:rPr>
                <w:lang w:val="sv-SE"/>
              </w:rPr>
            </w:pPr>
            <m:oMathPara>
              <m:oMathParaPr>
                <m:jc m:val="left"/>
              </m:oMathParaPr>
              <m:oMath>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V</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4</m:t>
                    </m:r>
                  </m:sub>
                  <m:sup>
                    <m:r>
                      <m:rPr>
                        <m:nor/>
                      </m:rPr>
                      <w:rPr>
                        <w:rFonts w:ascii="Cambria Math" w:hAnsi="Cambria Math"/>
                      </w:rPr>
                      <m:t>2-</m:t>
                    </m:r>
                  </m:sup>
                </m:sSubSup>
                <m:r>
                  <m:rPr>
                    <m:nor/>
                  </m:rPr>
                  <w:rPr>
                    <w:rFonts w:ascii="Cambria Math" w:hAnsi="Cambria Math"/>
                  </w:rPr>
                  <m:t>+</m:t>
                </m:r>
                <m:sSubSup>
                  <m:sSubSupPr>
                    <m:ctrlPr>
                      <w:rPr>
                        <w:rFonts w:ascii="Cambria Math" w:hAnsi="Cambria Math"/>
                        <w:i/>
                      </w:rPr>
                    </m:ctrlPr>
                  </m:sSubSupPr>
                  <m:e>
                    <m:r>
                      <m:rPr>
                        <m:nor/>
                      </m:rPr>
                      <w:rPr>
                        <w:rFonts w:ascii="Cambria Math" w:hAnsi="Cambria Math"/>
                      </w:rPr>
                      <m:t>CO</m:t>
                    </m:r>
                  </m:e>
                  <m:sub>
                    <m:r>
                      <m:rPr>
                        <m:nor/>
                      </m:rPr>
                      <w:rPr>
                        <w:rFonts w:ascii="Cambria Math" w:hAnsi="Cambria Math"/>
                      </w:rPr>
                      <m:t>3</m:t>
                    </m:r>
                  </m:sub>
                  <m:sup>
                    <m:r>
                      <m:rPr>
                        <m:nor/>
                      </m:rPr>
                      <w:rPr>
                        <w:rFonts w:ascii="Cambria Math" w:hAnsi="Cambria Math"/>
                      </w:rPr>
                      <m:t>2-</m:t>
                    </m:r>
                  </m:sup>
                </m:sSubSup>
                <m:r>
                  <m:rPr>
                    <m:nor/>
                  </m:rPr>
                  <w:rPr>
                    <w:rFonts w:ascii="Cambria Math" w:hAnsi="Cambria Math"/>
                  </w:rPr>
                  <m:t>+</m:t>
                </m:r>
                <m:sSup>
                  <m:sSupPr>
                    <m:ctrlPr>
                      <w:rPr>
                        <w:rFonts w:ascii="Cambria Math" w:hAnsi="Cambria Math"/>
                        <w:i/>
                      </w:rPr>
                    </m:ctrlPr>
                  </m:sSupPr>
                  <m:e>
                    <m:r>
                      <m:rPr>
                        <m:nor/>
                      </m:rPr>
                      <w:rPr>
                        <w:rFonts w:ascii="Cambria Math" w:hAnsi="Cambria Math"/>
                      </w:rPr>
                      <m:t>H</m:t>
                    </m:r>
                  </m:e>
                  <m:sup>
                    <m:r>
                      <m:rPr>
                        <m:nor/>
                      </m:rPr>
                      <w:rPr>
                        <w:rFonts w:ascii="Cambria Math" w:hAnsi="Cambria Math"/>
                      </w:rPr>
                      <m:t>+</m:t>
                    </m:r>
                  </m:sup>
                </m:sSup>
                <m:r>
                  <m:rPr>
                    <m:nor/>
                  </m:rPr>
                  <w:rPr>
                    <w:rFonts w:ascii="Cambria Math" w:hAnsi="Cambria Math"/>
                  </w:rPr>
                  <m:t>⇌HV</m:t>
                </m:r>
                <m:sSub>
                  <m:sSubPr>
                    <m:ctrlPr>
                      <w:rPr>
                        <w:rFonts w:ascii="Cambria Math" w:hAnsi="Cambria Math"/>
                        <w:i/>
                      </w:rPr>
                    </m:ctrlPr>
                  </m:sSubPr>
                  <m:e>
                    <m:r>
                      <m:rPr>
                        <m:nor/>
                      </m:rPr>
                      <w:rPr>
                        <w:rFonts w:ascii="Cambria Math" w:hAnsi="Cambria Math"/>
                      </w:rPr>
                      <m:t>O</m:t>
                    </m:r>
                  </m:e>
                  <m:sub>
                    <m:r>
                      <m:rPr>
                        <m:nor/>
                      </m:rPr>
                      <w:rPr>
                        <w:rFonts w:ascii="Cambria Math" w:hAnsi="Cambria Math"/>
                      </w:rPr>
                      <m:t>4</m:t>
                    </m:r>
                  </m:sub>
                </m:sSub>
                <m:r>
                  <m:rPr>
                    <m:nor/>
                  </m:rPr>
                  <w:rPr>
                    <w:rFonts w:ascii="Cambria Math" w:hAnsi="Cambria Math"/>
                  </w:rPr>
                  <m:t>C</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2</m:t>
                    </m:r>
                  </m:sub>
                  <m:sup>
                    <m:r>
                      <m:rPr>
                        <m:nor/>
                      </m:rPr>
                      <w:rPr>
                        <w:rFonts w:ascii="Cambria Math" w:hAnsi="Cambria Math"/>
                      </w:rPr>
                      <m:t>2-</m:t>
                    </m:r>
                  </m:sup>
                </m:sSubSup>
                <m:r>
                  <m:rPr>
                    <m:nor/>
                  </m:rPr>
                  <w:rPr>
                    <w:rFonts w:ascii="Cambria Math" w:hAnsi="Cambria Math"/>
                  </w:rPr>
                  <m:t>+</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O</m:t>
                </m:r>
              </m:oMath>
            </m:oMathPara>
          </w:p>
        </w:tc>
        <w:tc>
          <w:tcPr>
            <w:tcW w:w="815" w:type="dxa"/>
            <w:shd w:val="clear" w:color="auto" w:fill="auto"/>
            <w:vAlign w:val="center"/>
          </w:tcPr>
          <w:p w14:paraId="477D0B40" w14:textId="5A98CB4C" w:rsidR="00CA13D6" w:rsidRPr="009B73F0" w:rsidRDefault="00CA13D6" w:rsidP="00BB2D40">
            <w:pPr>
              <w:pStyle w:val="CETEquation"/>
              <w:jc w:val="right"/>
            </w:pPr>
            <w:r w:rsidRPr="009B73F0">
              <w:t>(</w:t>
            </w:r>
            <w:bookmarkStart w:id="2" w:name="rxn_CO2_V1"/>
            <w:r>
              <w:fldChar w:fldCharType="begin"/>
            </w:r>
            <w:r>
              <w:instrText xml:space="preserve"> SEQ Eq \* MERGEFORMAT </w:instrText>
            </w:r>
            <w:r>
              <w:fldChar w:fldCharType="separate"/>
            </w:r>
            <w:r w:rsidR="00673BCD">
              <w:rPr>
                <w:noProof/>
              </w:rPr>
              <w:t>4</w:t>
            </w:r>
            <w:r>
              <w:fldChar w:fldCharType="end"/>
            </w:r>
            <w:bookmarkEnd w:id="2"/>
            <w:r w:rsidRPr="009B73F0">
              <w:t>)</w:t>
            </w:r>
          </w:p>
        </w:tc>
      </w:tr>
      <w:tr w:rsidR="00CA13D6" w:rsidRPr="00C56EC5" w14:paraId="505C27F6" w14:textId="77777777" w:rsidTr="00BB2D40">
        <w:tc>
          <w:tcPr>
            <w:tcW w:w="8188" w:type="dxa"/>
            <w:shd w:val="clear" w:color="auto" w:fill="auto"/>
            <w:vAlign w:val="center"/>
          </w:tcPr>
          <w:p w14:paraId="6104F873" w14:textId="782FA172" w:rsidR="00CA13D6" w:rsidRPr="00CA13D6" w:rsidRDefault="00000000" w:rsidP="00CA13D6">
            <w:pPr>
              <w:pStyle w:val="CETBodytext"/>
            </w:pPr>
            <m:oMathPara>
              <m:oMathParaPr>
                <m:jc m:val="left"/>
              </m:oMathParaPr>
              <m:oMath>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V</m:t>
                </m:r>
                <m:sSubSup>
                  <m:sSubSupPr>
                    <m:ctrlPr>
                      <w:rPr>
                        <w:rFonts w:ascii="Cambria Math" w:hAnsi="Cambria Math"/>
                        <w:i/>
                      </w:rPr>
                    </m:ctrlPr>
                  </m:sSubSupPr>
                  <m:e>
                    <m:r>
                      <m:rPr>
                        <m:nor/>
                      </m:rPr>
                      <w:rPr>
                        <w:rFonts w:ascii="Cambria Math" w:hAnsi="Cambria Math"/>
                      </w:rPr>
                      <m:t>O</m:t>
                    </m:r>
                  </m:e>
                  <m:sub>
                    <m:r>
                      <m:rPr>
                        <m:nor/>
                      </m:rPr>
                      <w:rPr>
                        <w:rFonts w:ascii="Cambria Math" w:hAnsi="Cambria Math"/>
                      </w:rPr>
                      <m:t>4</m:t>
                    </m:r>
                  </m:sub>
                  <m:sup>
                    <m:r>
                      <m:rPr>
                        <m:nor/>
                      </m:rPr>
                      <w:rPr>
                        <w:rFonts w:ascii="Cambria Math" w:hAnsi="Cambria Math"/>
                      </w:rPr>
                      <m:t>2-</m:t>
                    </m:r>
                  </m:sup>
                </m:sSubSup>
                <m:r>
                  <m:rPr>
                    <m:nor/>
                  </m:rPr>
                  <w:rPr>
                    <w:rFonts w:ascii="Cambria Math" w:hAnsi="Cambria Math"/>
                  </w:rPr>
                  <m:t>+2</m:t>
                </m:r>
                <m:sSubSup>
                  <m:sSubSupPr>
                    <m:ctrlPr>
                      <w:rPr>
                        <w:rFonts w:ascii="Cambria Math" w:hAnsi="Cambria Math"/>
                        <w:i/>
                      </w:rPr>
                    </m:ctrlPr>
                  </m:sSubSupPr>
                  <m:e>
                    <m:r>
                      <m:rPr>
                        <m:nor/>
                      </m:rPr>
                      <w:rPr>
                        <w:rFonts w:ascii="Cambria Math" w:hAnsi="Cambria Math"/>
                      </w:rPr>
                      <m:t>CO</m:t>
                    </m:r>
                  </m:e>
                  <m:sub>
                    <m:r>
                      <m:rPr>
                        <m:nor/>
                      </m:rPr>
                      <w:rPr>
                        <w:rFonts w:ascii="Cambria Math" w:hAnsi="Cambria Math"/>
                      </w:rPr>
                      <m:t>3</m:t>
                    </m:r>
                  </m:sub>
                  <m:sup>
                    <m:r>
                      <m:rPr>
                        <m:nor/>
                      </m:rPr>
                      <w:rPr>
                        <w:rFonts w:ascii="Cambria Math" w:hAnsi="Cambria Math"/>
                      </w:rPr>
                      <m:t>2-</m:t>
                    </m:r>
                  </m:sup>
                </m:sSubSup>
                <m:r>
                  <m:rPr>
                    <m:nor/>
                  </m:rPr>
                  <w:rPr>
                    <w:rFonts w:ascii="Cambria Math" w:hAnsi="Cambria Math"/>
                  </w:rPr>
                  <m:t>+2</m:t>
                </m:r>
                <m:sSup>
                  <m:sSupPr>
                    <m:ctrlPr>
                      <w:rPr>
                        <w:rFonts w:ascii="Cambria Math" w:hAnsi="Cambria Math"/>
                        <w:i/>
                      </w:rPr>
                    </m:ctrlPr>
                  </m:sSupPr>
                  <m:e>
                    <m:r>
                      <m:rPr>
                        <m:nor/>
                      </m:rPr>
                      <w:rPr>
                        <w:rFonts w:ascii="Cambria Math" w:hAnsi="Cambria Math"/>
                      </w:rPr>
                      <m:t>H</m:t>
                    </m:r>
                  </m:e>
                  <m:sup>
                    <m:r>
                      <m:rPr>
                        <m:nor/>
                      </m:rPr>
                      <w:rPr>
                        <w:rFonts w:ascii="Cambria Math" w:hAnsi="Cambria Math"/>
                      </w:rPr>
                      <m:t>+</m:t>
                    </m:r>
                  </m:sup>
                </m:sSup>
                <m:r>
                  <m:rPr>
                    <m:nor/>
                  </m:rPr>
                  <w:rPr>
                    <w:rFonts w:ascii="Cambria Math" w:hAnsi="Cambria Math"/>
                  </w:rPr>
                  <m:t>⇌V</m:t>
                </m:r>
                <m:sSub>
                  <m:sSubPr>
                    <m:ctrlPr>
                      <w:rPr>
                        <w:rFonts w:ascii="Cambria Math" w:hAnsi="Cambria Math"/>
                        <w:i/>
                      </w:rPr>
                    </m:ctrlPr>
                  </m:sSubPr>
                  <m:e>
                    <m:r>
                      <m:rPr>
                        <m:nor/>
                      </m:rPr>
                      <w:rPr>
                        <w:rFonts w:ascii="Cambria Math" w:hAnsi="Cambria Math"/>
                      </w:rPr>
                      <m:t>O</m:t>
                    </m:r>
                  </m:e>
                  <m:sub>
                    <m:r>
                      <m:rPr>
                        <m:nor/>
                      </m:rPr>
                      <w:rPr>
                        <w:rFonts w:ascii="Cambria Math" w:hAnsi="Cambria Math"/>
                      </w:rPr>
                      <m:t>4</m:t>
                    </m:r>
                  </m:sub>
                </m:sSub>
                <m:sSubSup>
                  <m:sSubSupPr>
                    <m:ctrlPr>
                      <w:rPr>
                        <w:rFonts w:ascii="Cambria Math" w:hAnsi="Cambria Math"/>
                        <w:i/>
                      </w:rPr>
                    </m:ctrlPr>
                  </m:sSubSupPr>
                  <m:e>
                    <m:d>
                      <m:dPr>
                        <m:ctrlPr>
                          <w:rPr>
                            <w:rFonts w:ascii="Cambria Math" w:hAnsi="Cambria Math"/>
                            <w:i/>
                          </w:rPr>
                        </m:ctrlPr>
                      </m:dPr>
                      <m:e>
                        <m:r>
                          <m:rPr>
                            <m:nor/>
                          </m:rPr>
                          <w:rPr>
                            <w:rFonts w:ascii="Cambria Math" w:hAnsi="Cambria Math"/>
                          </w:rPr>
                          <m:t>C</m:t>
                        </m:r>
                        <m:sSub>
                          <m:sSubPr>
                            <m:ctrlPr>
                              <w:rPr>
                                <w:rFonts w:ascii="Cambria Math" w:hAnsi="Cambria Math"/>
                                <w:i/>
                              </w:rPr>
                            </m:ctrlPr>
                          </m:sSubPr>
                          <m:e>
                            <m:r>
                              <m:rPr>
                                <m:nor/>
                              </m:rPr>
                              <w:rPr>
                                <w:rFonts w:ascii="Cambria Math" w:hAnsi="Cambria Math"/>
                              </w:rPr>
                              <m:t>O</m:t>
                            </m:r>
                          </m:e>
                          <m:sub>
                            <m:r>
                              <m:rPr>
                                <m:nor/>
                              </m:rPr>
                              <w:rPr>
                                <w:rFonts w:ascii="Cambria Math" w:hAnsi="Cambria Math"/>
                              </w:rPr>
                              <m:t>2</m:t>
                            </m:r>
                          </m:sub>
                        </m:sSub>
                      </m:e>
                    </m:d>
                  </m:e>
                  <m:sub>
                    <m:r>
                      <m:rPr>
                        <m:nor/>
                      </m:rPr>
                      <w:rPr>
                        <w:rFonts w:ascii="Cambria Math" w:hAnsi="Cambria Math"/>
                      </w:rPr>
                      <m:t>2</m:t>
                    </m:r>
                  </m:sub>
                  <m:sup>
                    <m:r>
                      <m:rPr>
                        <m:nor/>
                      </m:rPr>
                      <w:rPr>
                        <w:rFonts w:ascii="Cambria Math" w:hAnsi="Cambria Math"/>
                      </w:rPr>
                      <m:t>3-</m:t>
                    </m:r>
                  </m:sup>
                </m:sSubSup>
                <m:r>
                  <m:rPr>
                    <m:nor/>
                  </m:rPr>
                  <w:rPr>
                    <w:rFonts w:ascii="Cambria Math" w:hAnsi="Cambria Math"/>
                  </w:rPr>
                  <m:t>+2</m:t>
                </m:r>
                <m:sSub>
                  <m:sSubPr>
                    <m:ctrlPr>
                      <w:rPr>
                        <w:rFonts w:ascii="Cambria Math" w:hAnsi="Cambria Math"/>
                        <w:i/>
                      </w:rPr>
                    </m:ctrlPr>
                  </m:sSubPr>
                  <m:e>
                    <m:r>
                      <m:rPr>
                        <m:nor/>
                      </m:rPr>
                      <w:rPr>
                        <w:rFonts w:ascii="Cambria Math" w:hAnsi="Cambria Math"/>
                      </w:rPr>
                      <m:t>H</m:t>
                    </m:r>
                  </m:e>
                  <m:sub>
                    <m:r>
                      <m:rPr>
                        <m:nor/>
                      </m:rPr>
                      <w:rPr>
                        <w:rFonts w:ascii="Cambria Math" w:hAnsi="Cambria Math"/>
                      </w:rPr>
                      <m:t>2</m:t>
                    </m:r>
                  </m:sub>
                </m:sSub>
                <m:r>
                  <m:rPr>
                    <m:nor/>
                  </m:rPr>
                  <w:rPr>
                    <w:rFonts w:ascii="Cambria Math" w:hAnsi="Cambria Math"/>
                  </w:rPr>
                  <m:t>O</m:t>
                </m:r>
              </m:oMath>
            </m:oMathPara>
          </w:p>
        </w:tc>
        <w:tc>
          <w:tcPr>
            <w:tcW w:w="815" w:type="dxa"/>
            <w:shd w:val="clear" w:color="auto" w:fill="auto"/>
            <w:vAlign w:val="center"/>
          </w:tcPr>
          <w:p w14:paraId="16BC497E" w14:textId="1F55317E" w:rsidR="00CA13D6" w:rsidRPr="009B73F0" w:rsidRDefault="00CA13D6" w:rsidP="00BB2D40">
            <w:pPr>
              <w:pStyle w:val="CETEquation"/>
              <w:jc w:val="right"/>
            </w:pPr>
            <w:r>
              <w:t>(</w:t>
            </w:r>
            <w:bookmarkStart w:id="3" w:name="rxn_CO2_V2"/>
            <w:r>
              <w:fldChar w:fldCharType="begin"/>
            </w:r>
            <w:r>
              <w:instrText xml:space="preserve"> SEQ Eq \* MERGEFORMAT </w:instrText>
            </w:r>
            <w:r>
              <w:fldChar w:fldCharType="separate"/>
            </w:r>
            <w:r w:rsidR="00673BCD">
              <w:rPr>
                <w:noProof/>
              </w:rPr>
              <w:t>5</w:t>
            </w:r>
            <w:r>
              <w:fldChar w:fldCharType="end"/>
            </w:r>
            <w:bookmarkEnd w:id="3"/>
            <w:r>
              <w:t>)</w:t>
            </w:r>
          </w:p>
        </w:tc>
      </w:tr>
    </w:tbl>
    <w:p w14:paraId="45FAEF2D" w14:textId="50810275" w:rsidR="00216EFE" w:rsidRPr="00D738E4" w:rsidRDefault="009C4156" w:rsidP="00D738E4">
      <w:pPr>
        <w:pStyle w:val="CETBodytext"/>
        <w:rPr>
          <w:noProof/>
        </w:rPr>
      </w:pPr>
      <w:r>
        <w:rPr>
          <w:noProof/>
        </w:rPr>
        <w:t>The equilibrium constants for reactions (</w:t>
      </w:r>
      <w:r>
        <w:rPr>
          <w:noProof/>
        </w:rPr>
        <w:fldChar w:fldCharType="begin"/>
      </w:r>
      <w:r>
        <w:rPr>
          <w:noProof/>
        </w:rPr>
        <w:instrText xml:space="preserve"> REF rxn_CO2_V1 \h </w:instrText>
      </w:r>
      <w:r>
        <w:rPr>
          <w:noProof/>
        </w:rPr>
      </w:r>
      <w:r>
        <w:rPr>
          <w:noProof/>
        </w:rPr>
        <w:fldChar w:fldCharType="separate"/>
      </w:r>
      <w:r w:rsidR="00673BCD">
        <w:rPr>
          <w:noProof/>
        </w:rPr>
        <w:t>4</w:t>
      </w:r>
      <w:r>
        <w:rPr>
          <w:noProof/>
        </w:rPr>
        <w:fldChar w:fldCharType="end"/>
      </w:r>
      <w:r>
        <w:rPr>
          <w:noProof/>
        </w:rPr>
        <w:t>-</w:t>
      </w:r>
      <w:r>
        <w:rPr>
          <w:noProof/>
        </w:rPr>
        <w:fldChar w:fldCharType="begin"/>
      </w:r>
      <w:r>
        <w:rPr>
          <w:noProof/>
        </w:rPr>
        <w:instrText xml:space="preserve"> REF rxn_CO2_V2 \h </w:instrText>
      </w:r>
      <w:r>
        <w:rPr>
          <w:noProof/>
        </w:rPr>
      </w:r>
      <w:r>
        <w:rPr>
          <w:noProof/>
        </w:rPr>
        <w:fldChar w:fldCharType="separate"/>
      </w:r>
      <w:r w:rsidR="00673BCD">
        <w:rPr>
          <w:noProof/>
        </w:rPr>
        <w:t>5</w:t>
      </w:r>
      <w:r>
        <w:rPr>
          <w:noProof/>
        </w:rPr>
        <w:fldChar w:fldCharType="end"/>
      </w:r>
      <w:r>
        <w:rPr>
          <w:noProof/>
        </w:rPr>
        <w:t>) are high</w:t>
      </w:r>
      <w:r w:rsidR="00305D47">
        <w:rPr>
          <w:noProof/>
        </w:rPr>
        <w:t xml:space="preserve"> (</w:t>
      </w:r>
      <m:oMath>
        <m:r>
          <m:rPr>
            <m:sty m:val="p"/>
          </m:rPr>
          <w:rPr>
            <w:rFonts w:ascii="Cambria Math" w:hAnsi="Cambria Math"/>
            <w:noProof/>
          </w:rPr>
          <m:t>p</m:t>
        </m:r>
        <m:sSub>
          <m:sSubPr>
            <m:ctrlPr>
              <w:rPr>
                <w:rFonts w:ascii="Cambria Math" w:hAnsi="Cambria Math"/>
                <w:i/>
                <w:noProof/>
              </w:rPr>
            </m:ctrlPr>
          </m:sSubPr>
          <m:e>
            <m:r>
              <w:rPr>
                <w:rFonts w:ascii="Cambria Math" w:hAnsi="Cambria Math"/>
                <w:noProof/>
              </w:rPr>
              <m:t>K</m:t>
            </m:r>
          </m:e>
          <m:sub>
            <m:r>
              <w:rPr>
                <w:rFonts w:ascii="Cambria Math" w:hAnsi="Cambria Math"/>
                <w:noProof/>
              </w:rPr>
              <m:t>a</m:t>
            </m:r>
          </m:sub>
        </m:sSub>
      </m:oMath>
      <w:r w:rsidR="00E251E4">
        <w:rPr>
          <w:noProof/>
        </w:rPr>
        <w:t xml:space="preserve"> </w:t>
      </w:r>
      <w:r w:rsidR="002E5D57">
        <w:rPr>
          <w:noProof/>
        </w:rPr>
        <w:t>around</w:t>
      </w:r>
      <w:r w:rsidR="00305D47">
        <w:rPr>
          <w:noProof/>
        </w:rPr>
        <w:t xml:space="preserve"> </w:t>
      </w:r>
      <w:r w:rsidR="002E5D57">
        <w:rPr>
          <w:noProof/>
        </w:rPr>
        <w:t>-</w:t>
      </w:r>
      <w:r w:rsidR="00305D47">
        <w:rPr>
          <w:noProof/>
        </w:rPr>
        <w:t xml:space="preserve">11 and </w:t>
      </w:r>
      <w:r w:rsidR="002E5D57">
        <w:rPr>
          <w:noProof/>
        </w:rPr>
        <w:t>-</w:t>
      </w:r>
      <w:r w:rsidR="00305D47">
        <w:rPr>
          <w:noProof/>
        </w:rPr>
        <w:t>20</w:t>
      </w:r>
      <w:r w:rsidR="00DF77C2">
        <w:rPr>
          <w:noProof/>
        </w:rPr>
        <w:t>,</w:t>
      </w:r>
      <w:r w:rsidR="002E5D57">
        <w:rPr>
          <w:noProof/>
        </w:rPr>
        <w:t xml:space="preserve"> respectively</w:t>
      </w:r>
      <w:r w:rsidR="00DF77C2">
        <w:rPr>
          <w:noProof/>
        </w:rPr>
        <w:t>,</w:t>
      </w:r>
      <w:r w:rsidR="002E5D57">
        <w:rPr>
          <w:noProof/>
        </w:rPr>
        <w:t xml:space="preserve"> </w:t>
      </w:r>
      <w:r w:rsidR="00305D47">
        <w:rPr>
          <w:noProof/>
        </w:rPr>
        <w:t>at room temperature)</w:t>
      </w:r>
      <w:r w:rsidR="00175440">
        <w:rPr>
          <w:noProof/>
        </w:rPr>
        <w:t xml:space="preserve">, </w:t>
      </w:r>
      <w:r w:rsidR="00305D47">
        <w:rPr>
          <w:noProof/>
        </w:rPr>
        <w:t>indicating</w:t>
      </w:r>
      <w:r w:rsidR="00175440">
        <w:rPr>
          <w:noProof/>
        </w:rPr>
        <w:t xml:space="preserve"> that in aqueous K</w:t>
      </w:r>
      <w:r w:rsidR="00175440">
        <w:rPr>
          <w:noProof/>
          <w:vertAlign w:val="subscript"/>
        </w:rPr>
        <w:t>2</w:t>
      </w:r>
      <w:r w:rsidR="00175440">
        <w:rPr>
          <w:noProof/>
        </w:rPr>
        <w:t>CO</w:t>
      </w:r>
      <w:r w:rsidR="00175440">
        <w:rPr>
          <w:noProof/>
          <w:vertAlign w:val="subscript"/>
        </w:rPr>
        <w:t>3</w:t>
      </w:r>
      <w:r w:rsidR="00175440">
        <w:rPr>
          <w:noProof/>
        </w:rPr>
        <w:t>,</w:t>
      </w:r>
      <w:r>
        <w:rPr>
          <w:noProof/>
        </w:rPr>
        <w:t xml:space="preserve"> </w:t>
      </w:r>
      <w:r w:rsidR="00D738E4">
        <w:rPr>
          <w:noProof/>
        </w:rPr>
        <w:t>the mono-vanadates</w:t>
      </w:r>
      <w:r w:rsidR="00175440">
        <w:rPr>
          <w:noProof/>
        </w:rPr>
        <w:t>, as well as the reaction complexes,</w:t>
      </w:r>
      <w:r w:rsidR="00D738E4">
        <w:rPr>
          <w:noProof/>
        </w:rPr>
        <w:t xml:space="preserve"> remain the major constituents of vana</w:t>
      </w:r>
      <w:r w:rsidR="00CA13D6">
        <w:rPr>
          <w:noProof/>
        </w:rPr>
        <w:t>date</w:t>
      </w:r>
      <w:r w:rsidR="00D738E4">
        <w:rPr>
          <w:noProof/>
        </w:rPr>
        <w:t xml:space="preserve"> species</w:t>
      </w:r>
      <w:r w:rsidR="00305D47">
        <w:rPr>
          <w:noProof/>
        </w:rPr>
        <w:t xml:space="preserve"> </w:t>
      </w:r>
      <w:r w:rsidR="000C5C38">
        <w:rPr>
          <w:noProof/>
        </w:rPr>
        <w:t>(McCann</w:t>
      </w:r>
      <w:r w:rsidR="00543F8F">
        <w:rPr>
          <w:noProof/>
        </w:rPr>
        <w:t xml:space="preserve"> et al.</w:t>
      </w:r>
      <w:r w:rsidR="000C5C38">
        <w:rPr>
          <w:noProof/>
        </w:rPr>
        <w:t>, 2015)</w:t>
      </w:r>
      <w:r w:rsidR="00D738E4">
        <w:rPr>
          <w:noProof/>
        </w:rPr>
        <w:t>.</w:t>
      </w:r>
      <w:r w:rsidR="00CA13D6">
        <w:rPr>
          <w:noProof/>
        </w:rPr>
        <w:t xml:space="preserve"> In alkaline environments, VO behaves as an acid, resulting in lower contribution from OH</w:t>
      </w:r>
      <w:r w:rsidR="00CA13D6">
        <w:rPr>
          <w:noProof/>
          <w:vertAlign w:val="superscript"/>
        </w:rPr>
        <w:t>-</w:t>
      </w:r>
      <w:r w:rsidR="00CA13D6">
        <w:rPr>
          <w:noProof/>
        </w:rPr>
        <w:t xml:space="preserve"> to the reaction rate. To form the active species HVO</w:t>
      </w:r>
      <w:r w:rsidR="00CA13D6">
        <w:rPr>
          <w:noProof/>
          <w:vertAlign w:val="subscript"/>
        </w:rPr>
        <w:t>4</w:t>
      </w:r>
      <w:r w:rsidR="00CA13D6">
        <w:rPr>
          <w:noProof/>
          <w:vertAlign w:val="superscript"/>
        </w:rPr>
        <w:t>2-</w:t>
      </w:r>
      <w:r w:rsidR="00CA13D6">
        <w:rPr>
          <w:noProof/>
        </w:rPr>
        <w:t>, VO first has to dissociate completely into H</w:t>
      </w:r>
      <w:r w:rsidR="00CA13D6">
        <w:rPr>
          <w:noProof/>
          <w:vertAlign w:val="subscript"/>
        </w:rPr>
        <w:t>2</w:t>
      </w:r>
      <w:r w:rsidR="00CA13D6">
        <w:rPr>
          <w:noProof/>
        </w:rPr>
        <w:t>VO</w:t>
      </w:r>
      <w:r w:rsidR="00CA13D6">
        <w:rPr>
          <w:noProof/>
          <w:vertAlign w:val="subscript"/>
        </w:rPr>
        <w:t>4</w:t>
      </w:r>
      <w:r w:rsidR="00CA13D6">
        <w:rPr>
          <w:noProof/>
          <w:vertAlign w:val="superscript"/>
        </w:rPr>
        <w:t>-</w:t>
      </w:r>
      <w:r w:rsidR="00CA13D6">
        <w:rPr>
          <w:noProof/>
        </w:rPr>
        <w:t xml:space="preserve">, additionally resulting in lower chemical capacity. As such, </w:t>
      </w:r>
      <w:r w:rsidR="005712E7">
        <w:rPr>
          <w:noProof/>
        </w:rPr>
        <w:t xml:space="preserve">the </w:t>
      </w:r>
      <w:r w:rsidR="00CA13D6">
        <w:rPr>
          <w:noProof/>
        </w:rPr>
        <w:t>concentration</w:t>
      </w:r>
      <w:r w:rsidR="005712E7">
        <w:rPr>
          <w:noProof/>
        </w:rPr>
        <w:t xml:space="preserve"> of</w:t>
      </w:r>
      <w:r w:rsidR="00CA13D6">
        <w:rPr>
          <w:noProof/>
        </w:rPr>
        <w:t xml:space="preserve"> </w:t>
      </w:r>
      <w:r w:rsidR="005712E7">
        <w:rPr>
          <w:noProof/>
        </w:rPr>
        <w:t xml:space="preserve">VO </w:t>
      </w:r>
      <w:r w:rsidR="00CA13D6">
        <w:rPr>
          <w:noProof/>
        </w:rPr>
        <w:t xml:space="preserve">as promoter needs to be </w:t>
      </w:r>
      <w:r w:rsidR="005712E7">
        <w:rPr>
          <w:noProof/>
        </w:rPr>
        <w:t xml:space="preserve">kept small </w:t>
      </w:r>
      <w:r w:rsidR="00E91518">
        <w:rPr>
          <w:noProof/>
        </w:rPr>
        <w:t>to balance the rate enhancing effect with the decrease in chemical capacity</w:t>
      </w:r>
      <w:r w:rsidR="00CA13D6">
        <w:rPr>
          <w:noProof/>
        </w:rPr>
        <w:t>.</w:t>
      </w:r>
    </w:p>
    <w:p w14:paraId="5809E042" w14:textId="7DA2B33A" w:rsidR="00CC63A0" w:rsidRDefault="00216EFE" w:rsidP="00CC63A0">
      <w:pPr>
        <w:pStyle w:val="CETBodytext"/>
        <w:rPr>
          <w:noProof/>
        </w:rPr>
      </w:pPr>
      <w:r>
        <w:rPr>
          <w:noProof/>
        </w:rPr>
        <w:t xml:space="preserve">Similar to VO, </w:t>
      </w:r>
      <w:r w:rsidR="00086166">
        <w:rPr>
          <w:noProof/>
        </w:rPr>
        <w:t>BA</w:t>
      </w:r>
      <w:r>
        <w:rPr>
          <w:noProof/>
        </w:rPr>
        <w:t xml:space="preserve"> also demonstrates acidic behaviour. However, it solely behaves as a weak acid, partially </w:t>
      </w:r>
      <w:r w:rsidR="00025A65">
        <w:rPr>
          <w:noProof/>
        </w:rPr>
        <w:t>deprotonating</w:t>
      </w:r>
      <w:r>
        <w:rPr>
          <w:noProof/>
        </w:rPr>
        <w:t xml:space="preserve"> to its active species, B(OH)</w:t>
      </w:r>
      <w:r>
        <w:rPr>
          <w:noProof/>
          <w:vertAlign w:val="subscript"/>
        </w:rPr>
        <w:t>4</w:t>
      </w:r>
      <w:r>
        <w:rPr>
          <w:noProof/>
          <w:vertAlign w:val="superscript"/>
        </w:rPr>
        <w:t>-</w:t>
      </w:r>
      <w:r>
        <w:rPr>
          <w:noProof/>
        </w:rPr>
        <w:t>. Hence,</w:t>
      </w:r>
      <w:r w:rsidR="00E91518">
        <w:rPr>
          <w:noProof/>
        </w:rPr>
        <w:t xml:space="preserve"> the </w:t>
      </w:r>
      <w:r>
        <w:rPr>
          <w:noProof/>
        </w:rPr>
        <w:t>loss in chemical capacity of aqueous K</w:t>
      </w:r>
      <w:r>
        <w:rPr>
          <w:noProof/>
          <w:vertAlign w:val="subscript"/>
        </w:rPr>
        <w:t>2</w:t>
      </w:r>
      <w:r>
        <w:rPr>
          <w:noProof/>
        </w:rPr>
        <w:t>CO</w:t>
      </w:r>
      <w:r>
        <w:rPr>
          <w:noProof/>
          <w:vertAlign w:val="subscript"/>
        </w:rPr>
        <w:t>3</w:t>
      </w:r>
      <w:r>
        <w:rPr>
          <w:noProof/>
        </w:rPr>
        <w:t xml:space="preserve"> in presence of BA</w:t>
      </w:r>
      <w:r w:rsidR="00E91518">
        <w:rPr>
          <w:noProof/>
        </w:rPr>
        <w:t xml:space="preserve"> is relatively low</w:t>
      </w:r>
      <w:r w:rsidR="006A0F8C">
        <w:rPr>
          <w:noProof/>
        </w:rPr>
        <w:t xml:space="preserve">, </w:t>
      </w:r>
      <w:r w:rsidR="00E91518">
        <w:rPr>
          <w:noProof/>
        </w:rPr>
        <w:t xml:space="preserve">although the concentration </w:t>
      </w:r>
      <w:r w:rsidR="00C840B8">
        <w:rPr>
          <w:noProof/>
        </w:rPr>
        <w:t>of</w:t>
      </w:r>
      <w:r w:rsidR="006A0F8C">
        <w:rPr>
          <w:noProof/>
        </w:rPr>
        <w:t xml:space="preserve"> OH</w:t>
      </w:r>
      <w:r w:rsidR="006A0F8C">
        <w:rPr>
          <w:noProof/>
          <w:vertAlign w:val="superscript"/>
        </w:rPr>
        <w:t>-</w:t>
      </w:r>
      <w:r w:rsidR="006A0F8C">
        <w:rPr>
          <w:noProof/>
        </w:rPr>
        <w:t xml:space="preserve"> decreases</w:t>
      </w:r>
      <w:r>
        <w:rPr>
          <w:noProof/>
        </w:rPr>
        <w:t>.</w:t>
      </w:r>
      <w:r w:rsidR="004D759D">
        <w:rPr>
          <w:noProof/>
        </w:rPr>
        <w:t xml:space="preserve"> </w:t>
      </w:r>
      <w:r w:rsidR="00086166">
        <w:rPr>
          <w:noProof/>
        </w:rPr>
        <w:t>In their pilot campaign, Smith et al. (2012) did not observe substantial improvements in the absorption rate of CO</w:t>
      </w:r>
      <w:r w:rsidR="00086166">
        <w:rPr>
          <w:noProof/>
          <w:vertAlign w:val="subscript"/>
        </w:rPr>
        <w:t>2</w:t>
      </w:r>
      <w:r w:rsidR="00086166">
        <w:rPr>
          <w:noProof/>
        </w:rPr>
        <w:t xml:space="preserve"> in BA-promoted aqeuous K</w:t>
      </w:r>
      <w:r w:rsidR="00086166">
        <w:rPr>
          <w:noProof/>
          <w:vertAlign w:val="subscript"/>
        </w:rPr>
        <w:t>2</w:t>
      </w:r>
      <w:r w:rsidR="00086166">
        <w:rPr>
          <w:noProof/>
        </w:rPr>
        <w:t>CO</w:t>
      </w:r>
      <w:r w:rsidR="00086166">
        <w:rPr>
          <w:noProof/>
          <w:vertAlign w:val="subscript"/>
        </w:rPr>
        <w:t>3</w:t>
      </w:r>
      <w:r w:rsidR="00086166">
        <w:rPr>
          <w:noProof/>
        </w:rPr>
        <w:t>.</w:t>
      </w:r>
      <w:r w:rsidR="004D759D">
        <w:rPr>
          <w:noProof/>
        </w:rPr>
        <w:t xml:space="preserve"> </w:t>
      </w:r>
      <w:r w:rsidR="00D5552E">
        <w:rPr>
          <w:noProof/>
        </w:rPr>
        <w:t>In</w:t>
      </w:r>
      <w:r w:rsidR="004D759D">
        <w:rPr>
          <w:noProof/>
        </w:rPr>
        <w:t xml:space="preserve"> another work by the same group,</w:t>
      </w:r>
      <w:r w:rsidR="00086166">
        <w:rPr>
          <w:noProof/>
        </w:rPr>
        <w:t xml:space="preserve"> </w:t>
      </w:r>
      <w:r w:rsidR="004D759D">
        <w:rPr>
          <w:noProof/>
        </w:rPr>
        <w:t xml:space="preserve">it was reported </w:t>
      </w:r>
      <w:r w:rsidR="002607E6">
        <w:rPr>
          <w:noProof/>
        </w:rPr>
        <w:t xml:space="preserve">that BA exhibits promotive behaviour </w:t>
      </w:r>
      <w:r w:rsidR="00E91518">
        <w:rPr>
          <w:noProof/>
        </w:rPr>
        <w:t xml:space="preserve">comparable to that </w:t>
      </w:r>
      <w:r w:rsidR="002607E6">
        <w:rPr>
          <w:noProof/>
        </w:rPr>
        <w:t>of tertiary and hindered amines</w:t>
      </w:r>
      <w:r w:rsidR="00E91518">
        <w:rPr>
          <w:noProof/>
        </w:rPr>
        <w:t>. However, the promotive effect was relatively mild and</w:t>
      </w:r>
      <w:r w:rsidR="002607E6">
        <w:rPr>
          <w:noProof/>
        </w:rPr>
        <w:t xml:space="preserve"> does not indicate improvements in absorption rate compared to unpromoted K</w:t>
      </w:r>
      <w:r w:rsidR="002607E6">
        <w:rPr>
          <w:noProof/>
          <w:vertAlign w:val="subscript"/>
        </w:rPr>
        <w:t>2</w:t>
      </w:r>
      <w:r w:rsidR="002607E6">
        <w:rPr>
          <w:noProof/>
        </w:rPr>
        <w:t>CO</w:t>
      </w:r>
      <w:r w:rsidR="002607E6">
        <w:rPr>
          <w:noProof/>
          <w:vertAlign w:val="subscript"/>
        </w:rPr>
        <w:t>3</w:t>
      </w:r>
      <w:r w:rsidR="009E4532">
        <w:rPr>
          <w:noProof/>
        </w:rPr>
        <w:t xml:space="preserve"> (Thee et al. 2012a)</w:t>
      </w:r>
      <w:r w:rsidR="002607E6">
        <w:rPr>
          <w:noProof/>
        </w:rPr>
        <w:t>.</w:t>
      </w:r>
    </w:p>
    <w:p w14:paraId="083A52EC" w14:textId="77777777" w:rsidR="00B52D27" w:rsidRPr="00A01078" w:rsidRDefault="00E251E4" w:rsidP="00B52D27">
      <w:pPr>
        <w:pStyle w:val="CETBodytext"/>
        <w:rPr>
          <w:noProof/>
          <w:highlight w:val="yellow"/>
          <w:lang w:val="en-GB"/>
        </w:rPr>
      </w:pPr>
      <w:r>
        <w:rPr>
          <w:noProof/>
        </w:rPr>
        <w:t xml:space="preserve">The </w:t>
      </w:r>
      <w:r w:rsidR="00B52D27">
        <w:rPr>
          <w:noProof/>
        </w:rPr>
        <w:t xml:space="preserve">overall </w:t>
      </w:r>
      <w:r>
        <w:rPr>
          <w:noProof/>
        </w:rPr>
        <w:t>reaction rate of CO</w:t>
      </w:r>
      <w:r>
        <w:rPr>
          <w:noProof/>
          <w:vertAlign w:val="subscript"/>
        </w:rPr>
        <w:t>2</w:t>
      </w:r>
      <w:r>
        <w:rPr>
          <w:noProof/>
        </w:rPr>
        <w:t xml:space="preserve"> in promoted solvents </w:t>
      </w:r>
      <w:r w:rsidR="00B52D27">
        <w:rPr>
          <w:noProof/>
        </w:rPr>
        <w:t>can be described as sum of its reaction rate with the individual species in the solvent:</w:t>
      </w:r>
    </w:p>
    <w:tbl>
      <w:tblPr>
        <w:tblW w:w="5000" w:type="pct"/>
        <w:tblLook w:val="04A0" w:firstRow="1" w:lastRow="0" w:firstColumn="1" w:lastColumn="0" w:noHBand="0" w:noVBand="1"/>
      </w:tblPr>
      <w:tblGrid>
        <w:gridCol w:w="7983"/>
        <w:gridCol w:w="804"/>
      </w:tblGrid>
      <w:tr w:rsidR="00B52D27" w:rsidRPr="00B52D27" w14:paraId="2EC2E565" w14:textId="77777777" w:rsidTr="00F25B35">
        <w:tc>
          <w:tcPr>
            <w:tcW w:w="8188" w:type="dxa"/>
            <w:shd w:val="clear" w:color="auto" w:fill="auto"/>
            <w:vAlign w:val="center"/>
          </w:tcPr>
          <w:p w14:paraId="408BD238" w14:textId="499092AC" w:rsidR="00B52D27" w:rsidRPr="00B52D27" w:rsidRDefault="00000000" w:rsidP="00F25B35">
            <w:pPr>
              <w:pStyle w:val="CETBodytext"/>
              <w:rPr>
                <w:noProof/>
                <w:lang w:val="en-GB"/>
              </w:rPr>
            </w:pPr>
            <m:oMathPara>
              <m:oMathParaPr>
                <m:jc m:val="left"/>
              </m:oMathParaPr>
              <m:oMath>
                <m:sSub>
                  <m:sSubPr>
                    <m:ctrlPr>
                      <w:rPr>
                        <w:rFonts w:ascii="Cambria Math" w:hAnsi="Cambria Math"/>
                        <w:i/>
                        <w:noProof/>
                        <w:lang w:val="en-GB"/>
                      </w:rPr>
                    </m:ctrlPr>
                  </m:sSubPr>
                  <m:e>
                    <m:r>
                      <w:rPr>
                        <w:rFonts w:ascii="Cambria Math" w:hAnsi="Cambria Math"/>
                        <w:noProof/>
                        <w:lang w:val="en-GB"/>
                      </w:rPr>
                      <m:t>r</m:t>
                    </m:r>
                  </m:e>
                  <m:sub>
                    <m:r>
                      <m:rPr>
                        <m:sty m:val="p"/>
                      </m:rPr>
                      <w:rPr>
                        <w:rFonts w:ascii="Cambria Math" w:hAnsi="Cambria Math"/>
                        <w:noProof/>
                        <w:lang w:val="en-GB"/>
                      </w:rPr>
                      <m:t>C</m:t>
                    </m:r>
                    <m:sSub>
                      <m:sSubPr>
                        <m:ctrlPr>
                          <w:rPr>
                            <w:rFonts w:ascii="Cambria Math" w:hAnsi="Cambria Math"/>
                            <w:iCs/>
                            <w:noProof/>
                            <w:lang w:val="en-GB"/>
                          </w:rPr>
                        </m:ctrlPr>
                      </m:sSubPr>
                      <m:e>
                        <m:r>
                          <m:rPr>
                            <m:sty m:val="p"/>
                          </m:rPr>
                          <w:rPr>
                            <w:rFonts w:ascii="Cambria Math" w:hAnsi="Cambria Math"/>
                            <w:noProof/>
                            <w:lang w:val="en-GB"/>
                          </w:rPr>
                          <m:t>O</m:t>
                        </m:r>
                      </m:e>
                      <m:sub>
                        <m:r>
                          <m:rPr>
                            <m:sty m:val="p"/>
                          </m:rPr>
                          <w:rPr>
                            <w:rFonts w:ascii="Cambria Math" w:hAnsi="Cambria Math"/>
                            <w:noProof/>
                            <w:lang w:val="en-GB"/>
                          </w:rPr>
                          <m:t>2</m:t>
                        </m:r>
                      </m:sub>
                    </m:sSub>
                  </m:sub>
                </m:sSub>
                <m:r>
                  <m:rPr>
                    <m:lit/>
                  </m:rPr>
                  <w:rPr>
                    <w:rFonts w:ascii="Cambria Math" w:hAnsi="Cambria Math"/>
                    <w:noProof/>
                    <w:lang w:val="en-GB"/>
                  </w:rPr>
                  <m:t>/</m:t>
                </m:r>
                <m:d>
                  <m:dPr>
                    <m:begChr m:val="["/>
                    <m:endChr m:val="]"/>
                    <m:ctrlPr>
                      <w:rPr>
                        <w:rFonts w:ascii="Cambria Math" w:hAnsi="Cambria Math"/>
                        <w:i/>
                        <w:noProof/>
                        <w:lang w:val="en-GB"/>
                      </w:rPr>
                    </m:ctrlPr>
                  </m:dPr>
                  <m:e>
                    <m:r>
                      <m:rPr>
                        <m:sty m:val="p"/>
                      </m:rPr>
                      <w:rPr>
                        <w:rFonts w:ascii="Cambria Math" w:hAnsi="Cambria Math"/>
                        <w:noProof/>
                        <w:lang w:val="en-GB"/>
                      </w:rPr>
                      <m:t>C</m:t>
                    </m:r>
                    <m:sSub>
                      <m:sSubPr>
                        <m:ctrlPr>
                          <w:rPr>
                            <w:rFonts w:ascii="Cambria Math" w:hAnsi="Cambria Math"/>
                            <w:iCs/>
                            <w:noProof/>
                            <w:lang w:val="en-GB"/>
                          </w:rPr>
                        </m:ctrlPr>
                      </m:sSubPr>
                      <m:e>
                        <m:r>
                          <m:rPr>
                            <m:sty m:val="p"/>
                          </m:rPr>
                          <w:rPr>
                            <w:rFonts w:ascii="Cambria Math" w:hAnsi="Cambria Math"/>
                            <w:noProof/>
                            <w:lang w:val="en-GB"/>
                          </w:rPr>
                          <m:t>O</m:t>
                        </m:r>
                      </m:e>
                      <m:sub>
                        <m:r>
                          <m:rPr>
                            <m:sty m:val="p"/>
                          </m:rPr>
                          <w:rPr>
                            <w:rFonts w:ascii="Cambria Math" w:hAnsi="Cambria Math"/>
                            <w:noProof/>
                            <w:lang w:val="en-GB"/>
                          </w:rPr>
                          <m:t>2</m:t>
                        </m:r>
                      </m:sub>
                    </m:sSub>
                  </m:e>
                </m:d>
                <m:r>
                  <w:rPr>
                    <w:rFonts w:ascii="Cambria Math" w:hAnsi="Cambria Math"/>
                    <w:noProof/>
                    <w:lang w:val="en-GB"/>
                  </w:rPr>
                  <m:t>=</m:t>
                </m:r>
                <m:nary>
                  <m:naryPr>
                    <m:chr m:val="∑"/>
                    <m:limLoc m:val="undOvr"/>
                    <m:supHide m:val="1"/>
                    <m:ctrlPr>
                      <w:rPr>
                        <w:rFonts w:ascii="Cambria Math" w:hAnsi="Cambria Math"/>
                        <w:i/>
                        <w:noProof/>
                        <w:lang w:val="en-GB"/>
                      </w:rPr>
                    </m:ctrlPr>
                  </m:naryPr>
                  <m:sub>
                    <m:r>
                      <m:rPr>
                        <m:sty m:val="p"/>
                      </m:rPr>
                      <w:rPr>
                        <w:rFonts w:ascii="Cambria Math" w:hAnsi="Cambria Math"/>
                        <w:noProof/>
                        <w:lang w:val="en-GB"/>
                      </w:rPr>
                      <m:t>A</m:t>
                    </m:r>
                  </m:sub>
                  <m:sup/>
                  <m:e>
                    <m:sSub>
                      <m:sSubPr>
                        <m:ctrlPr>
                          <w:rPr>
                            <w:rFonts w:ascii="Cambria Math" w:hAnsi="Cambria Math"/>
                            <w:i/>
                            <w:noProof/>
                            <w:lang w:val="en-GB"/>
                          </w:rPr>
                        </m:ctrlPr>
                      </m:sSubPr>
                      <m:e>
                        <m:r>
                          <w:rPr>
                            <w:rFonts w:ascii="Cambria Math" w:hAnsi="Cambria Math"/>
                            <w:noProof/>
                            <w:lang w:val="en-GB"/>
                          </w:rPr>
                          <m:t>k</m:t>
                        </m:r>
                      </m:e>
                      <m:sub>
                        <m:r>
                          <m:rPr>
                            <m:sty m:val="p"/>
                          </m:rPr>
                          <w:rPr>
                            <w:rFonts w:ascii="Cambria Math" w:hAnsi="Cambria Math"/>
                            <w:noProof/>
                            <w:lang w:val="en-GB"/>
                          </w:rPr>
                          <m:t>A</m:t>
                        </m:r>
                      </m:sub>
                    </m:sSub>
                    <m:d>
                      <m:dPr>
                        <m:begChr m:val="["/>
                        <m:endChr m:val="]"/>
                        <m:ctrlPr>
                          <w:rPr>
                            <w:rFonts w:ascii="Cambria Math" w:hAnsi="Cambria Math"/>
                            <w:i/>
                            <w:noProof/>
                            <w:lang w:val="en-GB"/>
                          </w:rPr>
                        </m:ctrlPr>
                      </m:dPr>
                      <m:e>
                        <m:r>
                          <m:rPr>
                            <m:sty m:val="p"/>
                          </m:rPr>
                          <w:rPr>
                            <w:rFonts w:ascii="Cambria Math" w:hAnsi="Cambria Math"/>
                            <w:noProof/>
                            <w:lang w:val="en-GB"/>
                          </w:rPr>
                          <m:t>A</m:t>
                        </m:r>
                      </m:e>
                    </m:d>
                  </m:e>
                </m:nary>
              </m:oMath>
            </m:oMathPara>
          </w:p>
        </w:tc>
        <w:tc>
          <w:tcPr>
            <w:tcW w:w="815" w:type="dxa"/>
            <w:shd w:val="clear" w:color="auto" w:fill="auto"/>
            <w:vAlign w:val="center"/>
          </w:tcPr>
          <w:p w14:paraId="4F0C87CF" w14:textId="6D2E82B4" w:rsidR="00B52D27" w:rsidRPr="00B52D27" w:rsidRDefault="00B52D27" w:rsidP="00F25B35">
            <w:pPr>
              <w:pStyle w:val="CETEquation"/>
              <w:jc w:val="right"/>
            </w:pPr>
            <w:r w:rsidRPr="00B52D27">
              <w:t>(</w:t>
            </w:r>
            <w:fldSimple w:instr=" SEQ Eq \* MERGEFORMAT ">
              <w:r w:rsidR="00673BCD">
                <w:rPr>
                  <w:noProof/>
                </w:rPr>
                <w:t>6</w:t>
              </w:r>
            </w:fldSimple>
            <w:r w:rsidRPr="00B52D27">
              <w:t>)</w:t>
            </w:r>
          </w:p>
        </w:tc>
      </w:tr>
    </w:tbl>
    <w:p w14:paraId="62CE7A6F" w14:textId="77777777" w:rsidR="002D4691" w:rsidRDefault="00B52D27" w:rsidP="00B52D27">
      <w:pPr>
        <w:pStyle w:val="CETBodytext"/>
        <w:rPr>
          <w:noProof/>
          <w:lang w:val="en-GB"/>
        </w:rPr>
      </w:pPr>
      <w:r w:rsidRPr="00B52D27">
        <w:rPr>
          <w:noProof/>
          <w:lang w:val="en-GB"/>
        </w:rPr>
        <w:t xml:space="preserve">where </w:t>
      </w:r>
      <m:oMath>
        <m:sSub>
          <m:sSubPr>
            <m:ctrlPr>
              <w:rPr>
                <w:rFonts w:ascii="Cambria Math" w:hAnsi="Cambria Math"/>
                <w:i/>
                <w:noProof/>
                <w:lang w:val="en-GB"/>
              </w:rPr>
            </m:ctrlPr>
          </m:sSubPr>
          <m:e>
            <m:r>
              <w:rPr>
                <w:rFonts w:ascii="Cambria Math" w:hAnsi="Cambria Math"/>
                <w:noProof/>
                <w:lang w:val="en-GB"/>
              </w:rPr>
              <m:t>r</m:t>
            </m:r>
          </m:e>
          <m:sub>
            <m:r>
              <m:rPr>
                <m:sty m:val="p"/>
              </m:rPr>
              <w:rPr>
                <w:rFonts w:ascii="Cambria Math" w:hAnsi="Cambria Math"/>
                <w:noProof/>
                <w:lang w:val="en-GB"/>
              </w:rPr>
              <m:t>C</m:t>
            </m:r>
            <m:sSub>
              <m:sSubPr>
                <m:ctrlPr>
                  <w:rPr>
                    <w:rFonts w:ascii="Cambria Math" w:hAnsi="Cambria Math"/>
                    <w:iCs/>
                    <w:noProof/>
                    <w:lang w:val="en-GB"/>
                  </w:rPr>
                </m:ctrlPr>
              </m:sSubPr>
              <m:e>
                <m:r>
                  <m:rPr>
                    <m:sty m:val="p"/>
                  </m:rPr>
                  <w:rPr>
                    <w:rFonts w:ascii="Cambria Math" w:hAnsi="Cambria Math"/>
                    <w:noProof/>
                    <w:lang w:val="en-GB"/>
                  </w:rPr>
                  <m:t>O</m:t>
                </m:r>
              </m:e>
              <m:sub>
                <m:r>
                  <m:rPr>
                    <m:sty m:val="p"/>
                  </m:rPr>
                  <w:rPr>
                    <w:rFonts w:ascii="Cambria Math" w:hAnsi="Cambria Math"/>
                    <w:noProof/>
                    <w:lang w:val="en-GB"/>
                  </w:rPr>
                  <m:t>2</m:t>
                </m:r>
              </m:sub>
            </m:sSub>
          </m:sub>
        </m:sSub>
      </m:oMath>
      <w:r w:rsidRPr="00B52D27">
        <w:rPr>
          <w:noProof/>
          <w:lang w:val="en-GB"/>
        </w:rPr>
        <w:t xml:space="preserve"> is the rate of CO</w:t>
      </w:r>
      <w:r w:rsidRPr="00B52D27">
        <w:rPr>
          <w:noProof/>
          <w:vertAlign w:val="subscript"/>
          <w:lang w:val="en-GB"/>
        </w:rPr>
        <w:t>2</w:t>
      </w:r>
      <w:r w:rsidRPr="00B52D27">
        <w:rPr>
          <w:noProof/>
          <w:lang w:val="en-GB"/>
        </w:rPr>
        <w:t xml:space="preserve"> consumption, </w:t>
      </w:r>
      <m:oMath>
        <m:d>
          <m:dPr>
            <m:begChr m:val="["/>
            <m:endChr m:val="]"/>
            <m:ctrlPr>
              <w:rPr>
                <w:rFonts w:ascii="Cambria Math" w:hAnsi="Cambria Math"/>
                <w:i/>
                <w:noProof/>
                <w:lang w:val="en-GB"/>
              </w:rPr>
            </m:ctrlPr>
          </m:dPr>
          <m:e>
            <m:r>
              <m:rPr>
                <m:nor/>
              </m:rPr>
              <w:rPr>
                <w:rFonts w:ascii="Cambria Math" w:hAnsi="Cambria Math"/>
                <w:noProof/>
                <w:lang w:val="en-GB"/>
              </w:rPr>
              <m:t>C</m:t>
            </m:r>
            <m:sSub>
              <m:sSubPr>
                <m:ctrlPr>
                  <w:rPr>
                    <w:rFonts w:ascii="Cambria Math" w:hAnsi="Cambria Math"/>
                    <w:i/>
                    <w:noProof/>
                    <w:lang w:val="en-GB"/>
                  </w:rPr>
                </m:ctrlPr>
              </m:sSubPr>
              <m:e>
                <m:r>
                  <m:rPr>
                    <m:nor/>
                  </m:rPr>
                  <w:rPr>
                    <w:rFonts w:ascii="Cambria Math" w:hAnsi="Cambria Math"/>
                    <w:noProof/>
                    <w:lang w:val="en-GB"/>
                  </w:rPr>
                  <m:t>O</m:t>
                </m:r>
              </m:e>
              <m:sub>
                <m:r>
                  <m:rPr>
                    <m:nor/>
                  </m:rPr>
                  <w:rPr>
                    <w:rFonts w:ascii="Cambria Math" w:hAnsi="Cambria Math"/>
                    <w:noProof/>
                    <w:lang w:val="en-GB"/>
                  </w:rPr>
                  <m:t>2</m:t>
                </m:r>
              </m:sub>
            </m:sSub>
          </m:e>
        </m:d>
      </m:oMath>
      <w:r w:rsidRPr="00B52D27">
        <w:rPr>
          <w:noProof/>
          <w:lang w:val="en-GB"/>
        </w:rPr>
        <w:t xml:space="preserve"> is the concentration of free CO</w:t>
      </w:r>
      <w:r w:rsidRPr="00B52D27">
        <w:rPr>
          <w:noProof/>
          <w:vertAlign w:val="subscript"/>
          <w:lang w:val="en-GB"/>
        </w:rPr>
        <w:t>2</w:t>
      </w:r>
      <w:r w:rsidRPr="00B52D27">
        <w:rPr>
          <w:noProof/>
          <w:lang w:val="en-GB"/>
        </w:rPr>
        <w:t xml:space="preserve"> in the solvent, </w:t>
      </w:r>
      <m:oMath>
        <m:d>
          <m:dPr>
            <m:begChr m:val="["/>
            <m:endChr m:val="]"/>
            <m:ctrlPr>
              <w:rPr>
                <w:rFonts w:ascii="Cambria Math" w:hAnsi="Cambria Math"/>
                <w:i/>
                <w:noProof/>
                <w:lang w:val="en-GB"/>
              </w:rPr>
            </m:ctrlPr>
          </m:dPr>
          <m:e>
            <m:r>
              <m:rPr>
                <m:sty m:val="p"/>
              </m:rPr>
              <w:rPr>
                <w:rFonts w:ascii="Cambria Math" w:hAnsi="Cambria Math"/>
                <w:noProof/>
                <w:lang w:val="en-GB"/>
              </w:rPr>
              <m:t>A</m:t>
            </m:r>
          </m:e>
        </m:d>
      </m:oMath>
      <w:r w:rsidRPr="00B52D27">
        <w:rPr>
          <w:noProof/>
          <w:lang w:val="en-GB"/>
        </w:rPr>
        <w:t xml:space="preserve"> is the concentration of reactive species (OH</w:t>
      </w:r>
      <w:r w:rsidRPr="00B52D27">
        <w:rPr>
          <w:noProof/>
          <w:vertAlign w:val="superscript"/>
          <w:lang w:val="en-GB"/>
        </w:rPr>
        <w:t>-</w:t>
      </w:r>
      <w:r w:rsidRPr="00B52D27">
        <w:rPr>
          <w:noProof/>
          <w:lang w:val="en-GB"/>
        </w:rPr>
        <w:t xml:space="preserve"> as well as the active promoter species), and </w:t>
      </w:r>
      <m:oMath>
        <m:sSub>
          <m:sSubPr>
            <m:ctrlPr>
              <w:rPr>
                <w:rFonts w:ascii="Cambria Math" w:hAnsi="Cambria Math"/>
                <w:i/>
                <w:noProof/>
                <w:lang w:val="en-GB"/>
              </w:rPr>
            </m:ctrlPr>
          </m:sSubPr>
          <m:e>
            <m:r>
              <w:rPr>
                <w:rFonts w:ascii="Cambria Math" w:hAnsi="Cambria Math"/>
                <w:noProof/>
                <w:lang w:val="en-GB"/>
              </w:rPr>
              <m:t>k</m:t>
            </m:r>
          </m:e>
          <m:sub>
            <m:r>
              <m:rPr>
                <m:sty m:val="p"/>
              </m:rPr>
              <w:rPr>
                <w:rFonts w:ascii="Cambria Math" w:hAnsi="Cambria Math"/>
                <w:noProof/>
                <w:lang w:val="en-GB"/>
              </w:rPr>
              <m:t>A</m:t>
            </m:r>
          </m:sub>
        </m:sSub>
      </m:oMath>
      <w:r w:rsidRPr="00B52D27">
        <w:rPr>
          <w:noProof/>
          <w:lang w:val="en-GB"/>
        </w:rPr>
        <w:t xml:space="preserve"> is the reaction rate constant of species A.</w:t>
      </w:r>
      <w:r>
        <w:rPr>
          <w:noProof/>
          <w:lang w:val="en-GB"/>
        </w:rPr>
        <w:t xml:space="preserve"> </w:t>
      </w:r>
      <w:r w:rsidR="008E7143">
        <w:rPr>
          <w:noProof/>
          <w:lang w:val="en-GB"/>
        </w:rPr>
        <w:t>Quantitative resea</w:t>
      </w:r>
      <w:r w:rsidR="008E7143" w:rsidRPr="002D4691">
        <w:rPr>
          <w:noProof/>
          <w:lang w:val="en-GB"/>
        </w:rPr>
        <w:t xml:space="preserve">rch into the role of promoters aims at determining </w:t>
      </w:r>
      <m:oMath>
        <m:sSub>
          <m:sSubPr>
            <m:ctrlPr>
              <w:rPr>
                <w:rFonts w:ascii="Cambria Math" w:hAnsi="Cambria Math"/>
                <w:i/>
                <w:noProof/>
                <w:lang w:val="en-GB"/>
              </w:rPr>
            </m:ctrlPr>
          </m:sSubPr>
          <m:e>
            <m:r>
              <w:rPr>
                <w:rFonts w:ascii="Cambria Math" w:hAnsi="Cambria Math"/>
                <w:noProof/>
                <w:lang w:val="en-GB"/>
              </w:rPr>
              <m:t>k</m:t>
            </m:r>
          </m:e>
          <m:sub>
            <m:r>
              <w:rPr>
                <w:rFonts w:ascii="Cambria Math" w:hAnsi="Cambria Math"/>
                <w:noProof/>
                <w:lang w:val="en-GB"/>
              </w:rPr>
              <m:t>A</m:t>
            </m:r>
          </m:sub>
        </m:sSub>
      </m:oMath>
      <w:r w:rsidRPr="002D4691">
        <w:rPr>
          <w:noProof/>
          <w:lang w:val="en-GB"/>
        </w:rPr>
        <w:t xml:space="preserve"> for different promoters.</w:t>
      </w:r>
    </w:p>
    <w:p w14:paraId="76299F49" w14:textId="468AD51E" w:rsidR="005D2E07" w:rsidRPr="005D2E07" w:rsidRDefault="00E33D81" w:rsidP="00B52D27">
      <w:pPr>
        <w:pStyle w:val="CETBodytext"/>
        <w:rPr>
          <w:noProof/>
          <w:sz w:val="14"/>
          <w:szCs w:val="16"/>
          <w:lang w:val="sv-SE"/>
        </w:rPr>
      </w:pPr>
      <w:r>
        <w:rPr>
          <w:noProof/>
        </w:rPr>
        <w:t>In this work, the absorption of CO</w:t>
      </w:r>
      <w:r w:rsidRPr="00D5552E">
        <w:rPr>
          <w:noProof/>
          <w:vertAlign w:val="subscript"/>
        </w:rPr>
        <w:t>2</w:t>
      </w:r>
      <w:r>
        <w:rPr>
          <w:noProof/>
        </w:rPr>
        <w:t xml:space="preserve"> into </w:t>
      </w:r>
      <w:r w:rsidR="0064284D">
        <w:rPr>
          <w:noProof/>
        </w:rPr>
        <w:t>blends of aq</w:t>
      </w:r>
      <w:r w:rsidR="000B5A07">
        <w:rPr>
          <w:noProof/>
        </w:rPr>
        <w:t>u</w:t>
      </w:r>
      <w:r w:rsidR="0064284D">
        <w:rPr>
          <w:noProof/>
        </w:rPr>
        <w:t>eous K</w:t>
      </w:r>
      <w:r w:rsidR="0064284D">
        <w:rPr>
          <w:noProof/>
          <w:vertAlign w:val="subscript"/>
        </w:rPr>
        <w:t>2</w:t>
      </w:r>
      <w:r w:rsidR="0064284D">
        <w:rPr>
          <w:noProof/>
        </w:rPr>
        <w:t>CO</w:t>
      </w:r>
      <w:r w:rsidR="0064284D">
        <w:rPr>
          <w:noProof/>
          <w:vertAlign w:val="subscript"/>
        </w:rPr>
        <w:t>3</w:t>
      </w:r>
      <w:r w:rsidR="0064284D">
        <w:rPr>
          <w:noProof/>
        </w:rPr>
        <w:t xml:space="preserve"> with the above-mentioned promoters (MEA, Pz, VO</w:t>
      </w:r>
      <w:r w:rsidR="000B5A07">
        <w:rPr>
          <w:noProof/>
        </w:rPr>
        <w:t>,</w:t>
      </w:r>
      <w:r w:rsidR="0064284D">
        <w:rPr>
          <w:noProof/>
        </w:rPr>
        <w:t xml:space="preserve"> and BA) </w:t>
      </w:r>
      <w:r>
        <w:rPr>
          <w:noProof/>
        </w:rPr>
        <w:t xml:space="preserve">was </w:t>
      </w:r>
      <w:r w:rsidR="00C47C43">
        <w:rPr>
          <w:noProof/>
        </w:rPr>
        <w:t>investigated</w:t>
      </w:r>
      <w:r>
        <w:rPr>
          <w:noProof/>
        </w:rPr>
        <w:t xml:space="preserve"> in</w:t>
      </w:r>
      <w:r w:rsidR="000B5A07">
        <w:rPr>
          <w:noProof/>
        </w:rPr>
        <w:t xml:space="preserve"> a bench-scale stirred </w:t>
      </w:r>
      <w:r w:rsidR="00981FF7">
        <w:rPr>
          <w:noProof/>
        </w:rPr>
        <w:t xml:space="preserve">tank </w:t>
      </w:r>
      <w:r w:rsidR="000B5A07">
        <w:rPr>
          <w:noProof/>
        </w:rPr>
        <w:t>reactor</w:t>
      </w:r>
      <w:r w:rsidR="00981FF7">
        <w:rPr>
          <w:noProof/>
        </w:rPr>
        <w:t xml:space="preserve"> operated in batch mode</w:t>
      </w:r>
      <w:r>
        <w:rPr>
          <w:noProof/>
        </w:rPr>
        <w:t xml:space="preserve">. The </w:t>
      </w:r>
      <w:r w:rsidR="00C47C43">
        <w:rPr>
          <w:noProof/>
        </w:rPr>
        <w:t xml:space="preserve">measured </w:t>
      </w:r>
      <w:r>
        <w:rPr>
          <w:noProof/>
        </w:rPr>
        <w:t>data was</w:t>
      </w:r>
      <w:r w:rsidR="000B5A07">
        <w:rPr>
          <w:noProof/>
        </w:rPr>
        <w:t xml:space="preserve"> qualitatively assessed by the time of the absorption process</w:t>
      </w:r>
      <w:r w:rsidR="006B6CD6">
        <w:rPr>
          <w:noProof/>
        </w:rPr>
        <w:t xml:space="preserve"> and by the means of a simple absorption model</w:t>
      </w:r>
      <w:r w:rsidR="000B5A07">
        <w:rPr>
          <w:noProof/>
        </w:rPr>
        <w:t xml:space="preserve">. The results of this experimental campaign </w:t>
      </w:r>
      <w:r w:rsidR="00A945D9">
        <w:rPr>
          <w:noProof/>
        </w:rPr>
        <w:t>are</w:t>
      </w:r>
      <w:r w:rsidR="000B5A07">
        <w:rPr>
          <w:noProof/>
        </w:rPr>
        <w:t xml:space="preserve"> </w:t>
      </w:r>
      <w:r w:rsidR="00A945D9">
        <w:rPr>
          <w:noProof/>
        </w:rPr>
        <w:t>compared with literature data and the discrepancies are addressed.</w:t>
      </w:r>
    </w:p>
    <w:p w14:paraId="4F15B3A6" w14:textId="3A5EB7E8" w:rsidR="001304A2" w:rsidRDefault="001304A2" w:rsidP="001304A2">
      <w:pPr>
        <w:pStyle w:val="CETHeading1"/>
      </w:pPr>
      <w:r>
        <w:t>Experimental procedure</w:t>
      </w:r>
    </w:p>
    <w:p w14:paraId="2BFC3100" w14:textId="632570D5" w:rsidR="001304A2" w:rsidRDefault="001304A2" w:rsidP="001304A2">
      <w:pPr>
        <w:pStyle w:val="CETheadingx"/>
      </w:pPr>
      <w:r>
        <w:t>Materials</w:t>
      </w:r>
    </w:p>
    <w:p w14:paraId="51090D71" w14:textId="6B69B84C" w:rsidR="00042BB4" w:rsidRPr="005301E3" w:rsidRDefault="001304A2" w:rsidP="00042BB4">
      <w:pPr>
        <w:pStyle w:val="CETBodytext"/>
        <w:rPr>
          <w:rFonts w:cs="Arial"/>
        </w:rPr>
      </w:pPr>
      <w:r>
        <w:t xml:space="preserve">Potassium carbonate (ACS Reagent </w:t>
      </w:r>
      <w:r>
        <w:rPr>
          <w:rFonts w:cs="Arial"/>
        </w:rPr>
        <w:t>≥ 99.0%, Merck), vanadium pentoxide (</w:t>
      </w:r>
      <w:r w:rsidRPr="009E4532">
        <w:rPr>
          <w:rFonts w:cs="Arial"/>
        </w:rPr>
        <w:t>≥ 9</w:t>
      </w:r>
      <w:r w:rsidR="009E4532" w:rsidRPr="009E4532">
        <w:rPr>
          <w:rFonts w:cs="Arial"/>
        </w:rPr>
        <w:t>9.6</w:t>
      </w:r>
      <w:r w:rsidRPr="009E4532">
        <w:rPr>
          <w:rFonts w:cs="Arial"/>
        </w:rPr>
        <w:t>%, Merck</w:t>
      </w:r>
      <w:r>
        <w:rPr>
          <w:rFonts w:cs="Arial"/>
        </w:rPr>
        <w:t xml:space="preserve">), boric acid (ACS Reagent ≥ 99.5%, Merck), </w:t>
      </w:r>
      <w:proofErr w:type="spellStart"/>
      <w:r>
        <w:rPr>
          <w:rFonts w:cs="Arial"/>
        </w:rPr>
        <w:t>monoethanolamine</w:t>
      </w:r>
      <w:proofErr w:type="spellEnd"/>
      <w:r>
        <w:rPr>
          <w:rFonts w:cs="Arial"/>
        </w:rPr>
        <w:t xml:space="preserve"> (</w:t>
      </w:r>
      <w:r w:rsidRPr="009E4532">
        <w:rPr>
          <w:rFonts w:cs="Arial"/>
        </w:rPr>
        <w:t>≥ 9</w:t>
      </w:r>
      <w:r w:rsidR="009E4532">
        <w:rPr>
          <w:rFonts w:cs="Arial"/>
        </w:rPr>
        <w:t>9</w:t>
      </w:r>
      <w:r w:rsidRPr="009E4532">
        <w:rPr>
          <w:rFonts w:cs="Arial"/>
        </w:rPr>
        <w:t>%, Merck</w:t>
      </w:r>
      <w:r>
        <w:rPr>
          <w:rFonts w:cs="Arial"/>
        </w:rPr>
        <w:t>), and piperazine (Reagent Plus, ≥ 99%, Merck) were used</w:t>
      </w:r>
      <w:r w:rsidR="00042BB4">
        <w:rPr>
          <w:rFonts w:cs="Arial"/>
        </w:rPr>
        <w:t xml:space="preserve"> </w:t>
      </w:r>
      <w:r w:rsidR="0074230B">
        <w:rPr>
          <w:rFonts w:cs="Arial"/>
        </w:rPr>
        <w:t>without further purification</w:t>
      </w:r>
      <w:r w:rsidR="00042BB4">
        <w:rPr>
          <w:rFonts w:cs="Arial"/>
        </w:rPr>
        <w:t>. Solvents blends were prepared based on the desired mass fractions of K</w:t>
      </w:r>
      <w:r w:rsidR="00042BB4">
        <w:rPr>
          <w:rFonts w:cs="Arial"/>
          <w:vertAlign w:val="subscript"/>
        </w:rPr>
        <w:t>2</w:t>
      </w:r>
      <w:r w:rsidR="00042BB4">
        <w:rPr>
          <w:rFonts w:cs="Arial"/>
        </w:rPr>
        <w:t>CO</w:t>
      </w:r>
      <w:r w:rsidR="00042BB4">
        <w:rPr>
          <w:rFonts w:cs="Arial"/>
          <w:vertAlign w:val="subscript"/>
        </w:rPr>
        <w:t>3</w:t>
      </w:r>
      <w:r w:rsidR="00042BB4">
        <w:rPr>
          <w:rFonts w:cs="Arial"/>
        </w:rPr>
        <w:t xml:space="preserve"> and the promoter(s) with deionized water.</w:t>
      </w:r>
      <w:r w:rsidR="00DC52F2">
        <w:rPr>
          <w:rFonts w:cs="Arial"/>
        </w:rPr>
        <w:t xml:space="preserve"> </w:t>
      </w:r>
      <w:r w:rsidR="004805BE">
        <w:rPr>
          <w:rFonts w:cs="Arial"/>
        </w:rPr>
        <w:t>Promoter</w:t>
      </w:r>
      <w:r w:rsidR="00DC52F2">
        <w:rPr>
          <w:rFonts w:cs="Arial"/>
        </w:rPr>
        <w:t xml:space="preserve"> concentrations were chosen based </w:t>
      </w:r>
      <w:r w:rsidR="004805BE">
        <w:rPr>
          <w:rFonts w:cs="Arial"/>
        </w:rPr>
        <w:t>on</w:t>
      </w:r>
      <w:r w:rsidR="00331A5C">
        <w:rPr>
          <w:rFonts w:cs="Arial"/>
        </w:rPr>
        <w:t xml:space="preserve"> the higher </w:t>
      </w:r>
      <w:r w:rsidR="00331A5C">
        <w:rPr>
          <w:rFonts w:cs="Arial"/>
        </w:rPr>
        <w:lastRenderedPageBreak/>
        <w:t>limits of th</w:t>
      </w:r>
      <w:r w:rsidR="004805BE">
        <w:rPr>
          <w:rFonts w:cs="Arial"/>
        </w:rPr>
        <w:t>ose</w:t>
      </w:r>
      <w:r w:rsidR="00331A5C">
        <w:rPr>
          <w:rFonts w:cs="Arial"/>
        </w:rPr>
        <w:t xml:space="preserve"> reported in the literature.</w:t>
      </w:r>
      <w:r w:rsidR="00042BB4">
        <w:rPr>
          <w:rFonts w:cs="Arial"/>
        </w:rPr>
        <w:t xml:space="preserve"> All solvent blends were used as fresh, </w:t>
      </w:r>
      <w:proofErr w:type="gramStart"/>
      <w:r w:rsidR="00042BB4">
        <w:rPr>
          <w:rFonts w:cs="Arial"/>
        </w:rPr>
        <w:t>i.e.</w:t>
      </w:r>
      <w:proofErr w:type="gramEnd"/>
      <w:r w:rsidR="00042BB4">
        <w:rPr>
          <w:rFonts w:cs="Arial"/>
        </w:rPr>
        <w:t xml:space="preserve"> no CO</w:t>
      </w:r>
      <w:r w:rsidR="00042BB4">
        <w:rPr>
          <w:rFonts w:cs="Arial"/>
          <w:vertAlign w:val="subscript"/>
        </w:rPr>
        <w:t>2</w:t>
      </w:r>
      <w:r w:rsidR="00042BB4">
        <w:rPr>
          <w:rFonts w:cs="Arial"/>
        </w:rPr>
        <w:t xml:space="preserve"> was absorbed prior to the experiment.</w:t>
      </w:r>
    </w:p>
    <w:p w14:paraId="41A31B87" w14:textId="0A89A732" w:rsidR="001304A2" w:rsidRDefault="00042BB4" w:rsidP="00042BB4">
      <w:pPr>
        <w:pStyle w:val="CETheadingx"/>
      </w:pPr>
      <w:r>
        <w:t>Experimental setup</w:t>
      </w:r>
      <w:r w:rsidR="00A01078">
        <w:t xml:space="preserve"> and procedure</w:t>
      </w:r>
    </w:p>
    <w:p w14:paraId="3E67BB6D" w14:textId="3A30689B" w:rsidR="00042BB4" w:rsidRDefault="00C2545C" w:rsidP="00042BB4">
      <w:pPr>
        <w:pStyle w:val="CETBodytext"/>
      </w:pPr>
      <w:r>
        <w:t xml:space="preserve">Figure 1.a shows </w:t>
      </w:r>
      <w:r w:rsidR="00E33D81">
        <w:t>a</w:t>
      </w:r>
      <w:r>
        <w:t xml:space="preserve"> schematic of the</w:t>
      </w:r>
      <w:r w:rsidR="00E33D81">
        <w:t xml:space="preserve"> experimental</w:t>
      </w:r>
      <w:r>
        <w:t xml:space="preserve"> setup used </w:t>
      </w:r>
      <w:r w:rsidR="00E33D81">
        <w:t xml:space="preserve">in </w:t>
      </w:r>
      <w:r>
        <w:t>the experiments. The setup comprised of a</w:t>
      </w:r>
      <w:r w:rsidR="0074230B">
        <w:t xml:space="preserve"> </w:t>
      </w:r>
      <w:r w:rsidR="00E81D2C">
        <w:t xml:space="preserve">batch </w:t>
      </w:r>
      <w:r w:rsidR="0074230B">
        <w:t>stirre</w:t>
      </w:r>
      <w:r w:rsidR="00E81D2C">
        <w:t>d tank</w:t>
      </w:r>
      <w:r w:rsidR="0074230B">
        <w:t xml:space="preserve"> gas-liquid reactor (</w:t>
      </w:r>
      <w:proofErr w:type="spellStart"/>
      <w:r w:rsidR="0074230B">
        <w:t>Miniclave</w:t>
      </w:r>
      <w:proofErr w:type="spellEnd"/>
      <w:r w:rsidR="0074230B">
        <w:t xml:space="preserve">, 300 ml, </w:t>
      </w:r>
      <w:proofErr w:type="spellStart"/>
      <w:r w:rsidR="0074230B">
        <w:t>B</w:t>
      </w:r>
      <w:r w:rsidR="00543271">
        <w:rPr>
          <w:rFonts w:cs="Arial"/>
        </w:rPr>
        <w:t>ü</w:t>
      </w:r>
      <w:r w:rsidR="0074230B">
        <w:t>chiglas</w:t>
      </w:r>
      <w:proofErr w:type="spellEnd"/>
      <w:r w:rsidR="0074230B">
        <w:t>)</w:t>
      </w:r>
      <w:r>
        <w:t xml:space="preserve"> </w:t>
      </w:r>
      <w:r w:rsidR="00F709FA">
        <w:t xml:space="preserve">and a </w:t>
      </w:r>
      <w:r>
        <w:t xml:space="preserve">gas storage unit (double-ended </w:t>
      </w:r>
      <w:r w:rsidR="00F709FA">
        <w:t xml:space="preserve">gas sampling bomb </w:t>
      </w:r>
      <w:r>
        <w:t>cylinder, 500 ml, Swagelok)</w:t>
      </w:r>
      <w:r w:rsidR="00717CC6">
        <w:t>.</w:t>
      </w:r>
      <w:r w:rsidR="00E36816">
        <w:t xml:space="preserve"> The stirring in the liquid phase was achieved using</w:t>
      </w:r>
      <w:r w:rsidR="00566D99">
        <w:t xml:space="preserve"> a stir bar</w:t>
      </w:r>
      <w:r w:rsidR="00A01078">
        <w:t xml:space="preserve"> (25 mm)</w:t>
      </w:r>
      <w:r w:rsidR="00566D99">
        <w:t xml:space="preserve"> and a</w:t>
      </w:r>
      <w:r w:rsidR="00E36816">
        <w:t xml:space="preserve"> magnetic stirrer.</w:t>
      </w:r>
      <w:r w:rsidR="00D5552E">
        <w:t xml:space="preserve"> </w:t>
      </w:r>
      <w:r w:rsidR="00E36816">
        <w:t xml:space="preserve">To </w:t>
      </w:r>
      <w:r w:rsidR="00566D99">
        <w:t>achieve</w:t>
      </w:r>
      <w:r w:rsidR="00E36816">
        <w:t xml:space="preserve"> </w:t>
      </w:r>
      <w:r w:rsidR="00A01078">
        <w:t>a flat</w:t>
      </w:r>
      <w:r w:rsidR="00E36816">
        <w:t xml:space="preserve"> gas-liquid interfac</w:t>
      </w:r>
      <w:r w:rsidR="00566D99">
        <w:t>e</w:t>
      </w:r>
      <w:r w:rsidR="00E36816">
        <w:t xml:space="preserve">, the reactor was equipped </w:t>
      </w:r>
      <w:r w:rsidR="00566D99">
        <w:t>with a baffle.</w:t>
      </w:r>
      <w:r w:rsidR="00717CC6">
        <w:t xml:space="preserve"> The temperature in the reactor </w:t>
      </w:r>
      <w:r w:rsidR="009E4532">
        <w:t>was</w:t>
      </w:r>
      <w:r w:rsidR="00717CC6">
        <w:t xml:space="preserve"> </w:t>
      </w:r>
      <w:r w:rsidR="00F709FA">
        <w:t>controlled</w:t>
      </w:r>
      <w:r w:rsidR="00717CC6">
        <w:t xml:space="preserve"> by recirculating water using a thermal bath (Haake F3)</w:t>
      </w:r>
      <w:r w:rsidR="00020D13">
        <w:t>.</w:t>
      </w:r>
      <w:r w:rsidR="00717CC6">
        <w:t xml:space="preserve"> Gas pressure in the</w:t>
      </w:r>
      <w:r w:rsidR="00E33D81">
        <w:t xml:space="preserve"> gas storage unit and the reactor were </w:t>
      </w:r>
      <w:r w:rsidR="00717CC6">
        <w:t>monitored by the two pressure sensors (DMP331i, BD Sensors, 0-1</w:t>
      </w:r>
      <w:r w:rsidR="00A01078">
        <w:t>00</w:t>
      </w:r>
      <w:r w:rsidR="00717CC6">
        <w:t xml:space="preserve"> </w:t>
      </w:r>
      <w:r w:rsidR="00A01078" w:rsidRPr="00A01078">
        <w:t>kPa</w:t>
      </w:r>
      <w:r w:rsidR="00717CC6">
        <w:t xml:space="preserve"> and 0-10</w:t>
      </w:r>
      <w:r w:rsidR="00A01078">
        <w:t>00</w:t>
      </w:r>
      <w:r w:rsidR="00717CC6">
        <w:t xml:space="preserve"> </w:t>
      </w:r>
      <w:r w:rsidR="00A01078">
        <w:t>kPa</w:t>
      </w:r>
      <w:r w:rsidR="00717CC6">
        <w:t>).</w:t>
      </w:r>
      <w:r w:rsidR="00020D13">
        <w:t xml:space="preserve"> Temperature and pressure </w:t>
      </w:r>
      <w:r w:rsidR="00D5552E">
        <w:t>we</w:t>
      </w:r>
      <w:r w:rsidR="00020D13">
        <w:t xml:space="preserve">re recorded using NI </w:t>
      </w:r>
      <w:r w:rsidR="00020D13" w:rsidRPr="009E4532">
        <w:t>USB-</w:t>
      </w:r>
      <w:r w:rsidR="00177033" w:rsidRPr="009E4532">
        <w:t>6</w:t>
      </w:r>
      <w:r w:rsidR="00020D13" w:rsidRPr="009E4532">
        <w:t>431</w:t>
      </w:r>
      <w:r w:rsidR="00020D13">
        <w:t xml:space="preserve"> via LabView interface.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031"/>
      </w:tblGrid>
      <w:tr w:rsidR="00F67E5B" w14:paraId="6F8D585A" w14:textId="77777777" w:rsidTr="00F709FA">
        <w:trPr>
          <w:trHeight w:val="4031"/>
        </w:trPr>
        <w:tc>
          <w:tcPr>
            <w:tcW w:w="4501" w:type="dxa"/>
            <w:vAlign w:val="center"/>
          </w:tcPr>
          <w:p w14:paraId="20B2B2E8" w14:textId="77C29826" w:rsidR="00F67E5B" w:rsidRDefault="00F709FA" w:rsidP="0074230B">
            <w:pPr>
              <w:pStyle w:val="CETBodytext"/>
              <w:jc w:val="center"/>
            </w:pPr>
            <w:r>
              <w:rPr>
                <w:noProof/>
              </w:rPr>
              <w:drawing>
                <wp:anchor distT="0" distB="0" distL="114300" distR="114300" simplePos="0" relativeHeight="251660288" behindDoc="0" locked="0" layoutInCell="1" allowOverlap="1" wp14:anchorId="5219D960" wp14:editId="72A7C959">
                  <wp:simplePos x="0" y="0"/>
                  <wp:positionH relativeFrom="column">
                    <wp:posOffset>-26670</wp:posOffset>
                  </wp:positionH>
                  <wp:positionV relativeFrom="paragraph">
                    <wp:posOffset>-2376170</wp:posOffset>
                  </wp:positionV>
                  <wp:extent cx="2882900" cy="2244725"/>
                  <wp:effectExtent l="0" t="0" r="0" b="3175"/>
                  <wp:wrapSquare wrapText="bothSides"/>
                  <wp:docPr id="7" name="Picture 7"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90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8D3">
              <w:rPr>
                <w:noProof/>
              </w:rPr>
              <mc:AlternateContent>
                <mc:Choice Requires="wps">
                  <w:drawing>
                    <wp:anchor distT="0" distB="0" distL="114300" distR="114300" simplePos="0" relativeHeight="251658240" behindDoc="0" locked="0" layoutInCell="1" allowOverlap="1" wp14:anchorId="467ECDCC" wp14:editId="64FE6B40">
                      <wp:simplePos x="0" y="0"/>
                      <wp:positionH relativeFrom="column">
                        <wp:posOffset>82550</wp:posOffset>
                      </wp:positionH>
                      <wp:positionV relativeFrom="paragraph">
                        <wp:posOffset>-5715</wp:posOffset>
                      </wp:positionV>
                      <wp:extent cx="416560" cy="3714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6E91" w14:textId="524FB75A" w:rsidR="004E4154" w:rsidRPr="004E4154" w:rsidRDefault="004E4154">
                                  <w:pPr>
                                    <w:rPr>
                                      <w:b/>
                                      <w:bCs/>
                                      <w:sz w:val="28"/>
                                      <w:szCs w:val="32"/>
                                      <w:lang w:val="en-US"/>
                                    </w:rPr>
                                  </w:pPr>
                                  <w:r w:rsidRPr="004E4154">
                                    <w:rPr>
                                      <w:b/>
                                      <w:bCs/>
                                      <w:sz w:val="28"/>
                                      <w:szCs w:val="32"/>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ECDCC" id="_x0000_t202" coordsize="21600,21600" o:spt="202" path="m,l,21600r21600,l21600,xe">
                      <v:stroke joinstyle="miter"/>
                      <v:path gradientshapeok="t" o:connecttype="rect"/>
                    </v:shapetype>
                    <v:shape id="Text Box 3" o:spid="_x0000_s1026" type="#_x0000_t202" style="position:absolute;left:0;text-align:left;margin-left:6.5pt;margin-top:-.45pt;width:32.8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" filled="f" stroked="f">
                      <v:path arrowok="t"/>
                      <v:textbox>
                        <w:txbxContent>
                          <w:p w14:paraId="76E76E91" w14:textId="524FB75A" w:rsidR="004E4154" w:rsidRPr="004E4154" w:rsidRDefault="004E4154">
                            <w:pPr>
                              <w:rPr>
                                <w:b/>
                                <w:bCs/>
                                <w:sz w:val="28"/>
                                <w:szCs w:val="32"/>
                                <w:lang w:val="en-US"/>
                              </w:rPr>
                            </w:pPr>
                            <w:r w:rsidRPr="004E4154">
                              <w:rPr>
                                <w:b/>
                                <w:bCs/>
                                <w:sz w:val="28"/>
                                <w:szCs w:val="32"/>
                                <w:lang w:val="en-US"/>
                              </w:rPr>
                              <w:t>(a)</w:t>
                            </w:r>
                          </w:p>
                        </w:txbxContent>
                      </v:textbox>
                    </v:shape>
                  </w:pict>
                </mc:Fallback>
              </mc:AlternateContent>
            </w:r>
          </w:p>
        </w:tc>
        <w:tc>
          <w:tcPr>
            <w:tcW w:w="4502" w:type="dxa"/>
            <w:vAlign w:val="center"/>
          </w:tcPr>
          <w:p w14:paraId="028626DB" w14:textId="34B6BD3B" w:rsidR="00F67E5B" w:rsidRDefault="00F709FA" w:rsidP="00F709FA">
            <w:pPr>
              <w:pStyle w:val="CETBodytext"/>
              <w:jc w:val="center"/>
            </w:pPr>
            <w:r>
              <w:rPr>
                <w:noProof/>
              </w:rPr>
              <mc:AlternateContent>
                <mc:Choice Requires="wps">
                  <w:drawing>
                    <wp:anchor distT="0" distB="0" distL="114300" distR="114300" simplePos="0" relativeHeight="251659264" behindDoc="0" locked="0" layoutInCell="1" allowOverlap="1" wp14:anchorId="37BAA962" wp14:editId="02FABF17">
                      <wp:simplePos x="0" y="0"/>
                      <wp:positionH relativeFrom="column">
                        <wp:posOffset>197485</wp:posOffset>
                      </wp:positionH>
                      <wp:positionV relativeFrom="paragraph">
                        <wp:posOffset>50800</wp:posOffset>
                      </wp:positionV>
                      <wp:extent cx="416560" cy="371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4A37" w14:textId="1506BEC6" w:rsidR="004E4154" w:rsidRPr="004E4154" w:rsidRDefault="004E4154" w:rsidP="004E4154">
                                  <w:pPr>
                                    <w:rPr>
                                      <w:b/>
                                      <w:bCs/>
                                      <w:sz w:val="28"/>
                                      <w:szCs w:val="32"/>
                                      <w:lang w:val="en-US"/>
                                    </w:rPr>
                                  </w:pPr>
                                  <w:r w:rsidRPr="004E4154">
                                    <w:rPr>
                                      <w:b/>
                                      <w:bCs/>
                                      <w:sz w:val="28"/>
                                      <w:szCs w:val="32"/>
                                      <w:lang w:val="en-US"/>
                                    </w:rPr>
                                    <w:t>(</w:t>
                                  </w:r>
                                  <w:r w:rsidR="00C2545C">
                                    <w:rPr>
                                      <w:b/>
                                      <w:bCs/>
                                      <w:sz w:val="28"/>
                                      <w:szCs w:val="32"/>
                                      <w:lang w:val="en-US"/>
                                    </w:rPr>
                                    <w:t>b</w:t>
                                  </w:r>
                                  <w:r w:rsidRPr="004E4154">
                                    <w:rPr>
                                      <w:b/>
                                      <w:bCs/>
                                      <w:sz w:val="28"/>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A962" id="Text Box 2" o:spid="_x0000_s1027" type="#_x0000_t202" style="position:absolute;left:0;text-align:left;margin-left:15.55pt;margin-top:4pt;width:32.8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" filled="f" stroked="f">
                      <v:path arrowok="t"/>
                      <v:textbox>
                        <w:txbxContent>
                          <w:p w14:paraId="7FE74A37" w14:textId="1506BEC6" w:rsidR="004E4154" w:rsidRPr="004E4154" w:rsidRDefault="004E4154" w:rsidP="004E4154">
                            <w:pPr>
                              <w:rPr>
                                <w:b/>
                                <w:bCs/>
                                <w:sz w:val="28"/>
                                <w:szCs w:val="32"/>
                                <w:lang w:val="en-US"/>
                              </w:rPr>
                            </w:pPr>
                            <w:r w:rsidRPr="004E4154">
                              <w:rPr>
                                <w:b/>
                                <w:bCs/>
                                <w:sz w:val="28"/>
                                <w:szCs w:val="32"/>
                                <w:lang w:val="en-US"/>
                              </w:rPr>
                              <w:t>(</w:t>
                            </w:r>
                            <w:r w:rsidR="00C2545C">
                              <w:rPr>
                                <w:b/>
                                <w:bCs/>
                                <w:sz w:val="28"/>
                                <w:szCs w:val="32"/>
                                <w:lang w:val="en-US"/>
                              </w:rPr>
                              <w:t>b</w:t>
                            </w:r>
                            <w:r w:rsidRPr="004E4154">
                              <w:rPr>
                                <w:b/>
                                <w:bCs/>
                                <w:sz w:val="28"/>
                                <w:szCs w:val="32"/>
                                <w:lang w:val="en-US"/>
                              </w:rPr>
                              <w:t>)</w:t>
                            </w:r>
                          </w:p>
                        </w:txbxContent>
                      </v:textbox>
                    </v:shape>
                  </w:pict>
                </mc:Fallback>
              </mc:AlternateContent>
            </w:r>
            <w:r>
              <w:rPr>
                <w:noProof/>
              </w:rPr>
              <w:drawing>
                <wp:anchor distT="0" distB="0" distL="114300" distR="114300" simplePos="0" relativeHeight="251661312" behindDoc="0" locked="0" layoutInCell="1" allowOverlap="1" wp14:anchorId="63604B2D" wp14:editId="4C66DF80">
                  <wp:simplePos x="0" y="0"/>
                  <wp:positionH relativeFrom="column">
                    <wp:posOffset>83820</wp:posOffset>
                  </wp:positionH>
                  <wp:positionV relativeFrom="paragraph">
                    <wp:posOffset>534035</wp:posOffset>
                  </wp:positionV>
                  <wp:extent cx="2230120" cy="1339850"/>
                  <wp:effectExtent l="6985" t="0" r="5715" b="5715"/>
                  <wp:wrapSquare wrapText="bothSides"/>
                  <wp:docPr id="9" name="Picture 9" descr="A picture containing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mille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24129"/>
                          <a:stretch/>
                        </pic:blipFill>
                        <pic:spPr bwMode="auto">
                          <a:xfrm rot="5400000">
                            <a:off x="0" y="0"/>
                            <a:ext cx="2230120"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70317A4" w14:textId="2926AD95" w:rsidR="00042BB4" w:rsidRDefault="00F67E5B" w:rsidP="00F67E5B">
      <w:pPr>
        <w:pStyle w:val="CETCaption"/>
      </w:pPr>
      <w:r>
        <w:t xml:space="preserve">Figure 1: </w:t>
      </w:r>
      <w:r w:rsidR="00C2545C">
        <w:t>(a) Schematic of the gas injection setup used in the experiments. (b) View of the stirred batch reactor.</w:t>
      </w:r>
    </w:p>
    <w:p w14:paraId="1FCE0069" w14:textId="7BFE0A5E" w:rsidR="00717CC6" w:rsidRDefault="00020D13" w:rsidP="00717CC6">
      <w:pPr>
        <w:pStyle w:val="CETBodytext"/>
      </w:pPr>
      <w:r>
        <w:t xml:space="preserve">Prior to </w:t>
      </w:r>
      <w:r w:rsidR="00E33D81">
        <w:t>each</w:t>
      </w:r>
      <w:r>
        <w:t xml:space="preserve"> experiment, </w:t>
      </w:r>
      <w:r w:rsidR="00AC44E9">
        <w:t>the pH of the solvent was measured. T</w:t>
      </w:r>
      <w:r>
        <w:t>he reactor was loaded with approximately 150 ml of the solvent</w:t>
      </w:r>
      <w:r w:rsidR="00E33D81">
        <w:t xml:space="preserve"> blend</w:t>
      </w:r>
      <w:r>
        <w:t xml:space="preserve"> and then closed. The whole apparatus was </w:t>
      </w:r>
      <w:r w:rsidR="00887A48">
        <w:t>evacuated</w:t>
      </w:r>
      <w:r>
        <w:t xml:space="preserve"> for approximately five minutes</w:t>
      </w:r>
      <w:r w:rsidR="00A01078">
        <w:t xml:space="preserve"> to 1 kPa,</w:t>
      </w:r>
      <w:r w:rsidR="00887A48">
        <w:t xml:space="preserve"> to remove the residual atmospheric air</w:t>
      </w:r>
      <w:r>
        <w:t xml:space="preserve">. After </w:t>
      </w:r>
      <w:r w:rsidR="00887A48">
        <w:t>evacuation</w:t>
      </w:r>
      <w:r>
        <w:t xml:space="preserve">, </w:t>
      </w:r>
      <w:r w:rsidR="00CA4470">
        <w:t xml:space="preserve">the gas storage unit was filled with </w:t>
      </w:r>
      <w:r w:rsidR="00887A48">
        <w:t>more than</w:t>
      </w:r>
      <w:r w:rsidR="00CA4470">
        <w:t xml:space="preserve"> </w:t>
      </w:r>
      <w:r w:rsidR="00A01078">
        <w:t>550</w:t>
      </w:r>
      <w:r w:rsidR="00CA4470">
        <w:t xml:space="preserve"> </w:t>
      </w:r>
      <w:r w:rsidR="00A01078">
        <w:t>kPa</w:t>
      </w:r>
      <w:r w:rsidR="00887A48">
        <w:t xml:space="preserve"> of</w:t>
      </w:r>
      <w:r w:rsidR="00CA4470">
        <w:t xml:space="preserve"> CO</w:t>
      </w:r>
      <w:r w:rsidR="00CA4470">
        <w:rPr>
          <w:vertAlign w:val="subscript"/>
        </w:rPr>
        <w:t>2</w:t>
      </w:r>
      <w:r w:rsidR="00CA4470">
        <w:t xml:space="preserve">. At the same time, the </w:t>
      </w:r>
      <w:r w:rsidR="00887A48">
        <w:t>heating</w:t>
      </w:r>
      <w:r w:rsidR="00CA4470">
        <w:t xml:space="preserve"> bath</w:t>
      </w:r>
      <w:r w:rsidR="00887A48">
        <w:t xml:space="preserve"> was</w:t>
      </w:r>
      <w:r w:rsidR="00CA4470">
        <w:t xml:space="preserve"> turned on</w:t>
      </w:r>
      <w:r w:rsidR="00887A48">
        <w:t xml:space="preserve"> and</w:t>
      </w:r>
      <w:r w:rsidR="00CA4470">
        <w:t xml:space="preserve"> the pressure and </w:t>
      </w:r>
      <w:r w:rsidR="00325531">
        <w:t xml:space="preserve">the </w:t>
      </w:r>
      <w:r w:rsidR="00CA4470">
        <w:t>temperature in the reactor were allowed to equilibrate for</w:t>
      </w:r>
      <w:r w:rsidR="005301E3">
        <w:t xml:space="preserve"> 1-2 hours</w:t>
      </w:r>
      <w:r w:rsidR="00CA4470">
        <w:t>. The reactor</w:t>
      </w:r>
      <w:r w:rsidR="00887A48">
        <w:t xml:space="preserve"> temperature</w:t>
      </w:r>
      <w:r w:rsidR="00CA4470">
        <w:t xml:space="preserve"> was </w:t>
      </w:r>
      <w:r w:rsidR="00887A48">
        <w:t>controlled at</w:t>
      </w:r>
      <w:r w:rsidR="00CA4470">
        <w:t xml:space="preserve"> approximately 50</w:t>
      </w:r>
      <w:r w:rsidR="005676A0">
        <w:t xml:space="preserve"> </w:t>
      </w:r>
      <w:r w:rsidR="00CA4470">
        <w:rPr>
          <w:rFonts w:cs="Arial"/>
        </w:rPr>
        <w:t>˚</w:t>
      </w:r>
      <w:r w:rsidR="00CA4470">
        <w:t>C.</w:t>
      </w:r>
      <w:r w:rsidR="005301E3">
        <w:t xml:space="preserve"> The absorption </w:t>
      </w:r>
      <w:r w:rsidR="00E33D81">
        <w:t xml:space="preserve">experiment </w:t>
      </w:r>
      <w:r w:rsidR="005301E3">
        <w:t xml:space="preserve">was </w:t>
      </w:r>
      <w:r w:rsidR="00E33D81">
        <w:t xml:space="preserve">started </w:t>
      </w:r>
      <w:r w:rsidR="005301E3">
        <w:t>by opening the valve between the storage unit and the reactor</w:t>
      </w:r>
      <w:r w:rsidR="005676A0">
        <w:t>, prompting the transfer of CO</w:t>
      </w:r>
      <w:r w:rsidR="005676A0">
        <w:rPr>
          <w:vertAlign w:val="subscript"/>
        </w:rPr>
        <w:t>2</w:t>
      </w:r>
      <w:r w:rsidR="005676A0">
        <w:t xml:space="preserve"> to the reactor</w:t>
      </w:r>
      <w:r w:rsidR="005301E3">
        <w:t>.</w:t>
      </w:r>
      <w:r w:rsidR="005676A0">
        <w:t xml:space="preserve"> The valve was left open for almost one minute to allow the pressure in the reactor and the storage to equilibrate, at approximately 4</w:t>
      </w:r>
      <w:r w:rsidR="00A01078">
        <w:t>00</w:t>
      </w:r>
      <w:r w:rsidR="005676A0">
        <w:t xml:space="preserve"> </w:t>
      </w:r>
      <w:r w:rsidR="00A01078">
        <w:t>kPa</w:t>
      </w:r>
      <w:r w:rsidR="005676A0">
        <w:t xml:space="preserve">. </w:t>
      </w:r>
      <w:r w:rsidR="00E33D81">
        <w:t>Then the valve was closed again and the CO</w:t>
      </w:r>
      <w:r w:rsidR="00E33D81" w:rsidRPr="00566D99">
        <w:rPr>
          <w:vertAlign w:val="subscript"/>
        </w:rPr>
        <w:t>2</w:t>
      </w:r>
      <w:r w:rsidR="00E33D81">
        <w:t xml:space="preserve"> in the reactor was allowed to be absorbed by the solvent. </w:t>
      </w:r>
      <w:r w:rsidR="00887A48">
        <w:t>The a</w:t>
      </w:r>
      <w:r w:rsidR="005301E3">
        <w:t>bsorption of CO</w:t>
      </w:r>
      <w:r w:rsidR="005301E3">
        <w:rPr>
          <w:vertAlign w:val="subscript"/>
        </w:rPr>
        <w:t>2</w:t>
      </w:r>
      <w:r w:rsidR="005301E3">
        <w:t xml:space="preserve"> was </w:t>
      </w:r>
      <w:r w:rsidR="00887A48">
        <w:t>observed and monitored</w:t>
      </w:r>
      <w:r w:rsidR="005301E3">
        <w:t xml:space="preserve"> by the drop in the reactor pressure over time</w:t>
      </w:r>
      <w:r w:rsidR="005676A0">
        <w:t>.</w:t>
      </w:r>
    </w:p>
    <w:p w14:paraId="0C19A031" w14:textId="7C7D5E5A" w:rsidR="006279E1" w:rsidRDefault="00134C9B" w:rsidP="00134C9B">
      <w:pPr>
        <w:pStyle w:val="CETheadingx"/>
      </w:pPr>
      <w:r>
        <w:t xml:space="preserve">Data </w:t>
      </w:r>
      <w:r w:rsidR="00887A48">
        <w:t>analysis</w:t>
      </w:r>
    </w:p>
    <w:p w14:paraId="50665F59" w14:textId="517DF465" w:rsidR="006279E1" w:rsidRPr="00566D99" w:rsidRDefault="002A7A77" w:rsidP="006279E1">
      <w:pPr>
        <w:pStyle w:val="CETBodytext"/>
        <w:rPr>
          <w:lang w:val="en-GB"/>
        </w:rPr>
      </w:pPr>
      <w:r>
        <w:rPr>
          <w:lang w:val="en-GB"/>
        </w:rPr>
        <w:t xml:space="preserve">The data collected in each experiment consists of a time series of the pressure in the gas-liquid reactor </w:t>
      </w:r>
      <m:oMath>
        <m:sSub>
          <m:sSubPr>
            <m:ctrlPr>
              <w:rPr>
                <w:rFonts w:ascii="Cambria Math" w:hAnsi="Cambria Math"/>
                <w:i/>
                <w:lang w:val="en-GB"/>
              </w:rPr>
            </m:ctrlPr>
          </m:sSubPr>
          <m:e>
            <m:r>
              <w:rPr>
                <w:rFonts w:ascii="Cambria Math" w:hAnsi="Cambria Math"/>
                <w:lang w:val="en-GB"/>
              </w:rPr>
              <m:t>p</m:t>
            </m:r>
          </m:e>
          <m:sub>
            <m:sSub>
              <m:sSubPr>
                <m:ctrlPr>
                  <w:rPr>
                    <w:rFonts w:ascii="Cambria Math" w:hAnsi="Cambria Math"/>
                    <w:iCs/>
                    <w:lang w:val="en-GB"/>
                  </w:rPr>
                </m:ctrlPr>
              </m:sSubPr>
              <m:e>
                <m:r>
                  <m:rPr>
                    <m:sty m:val="p"/>
                  </m:rP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i/>
                <w:lang w:val="en-GB"/>
              </w:rPr>
            </m:ctrlPr>
          </m:dPr>
          <m:e>
            <m:r>
              <w:rPr>
                <w:rFonts w:ascii="Cambria Math" w:hAnsi="Cambria Math"/>
                <w:lang w:val="en-GB"/>
              </w:rPr>
              <m:t>t</m:t>
            </m:r>
          </m:e>
        </m:d>
      </m:oMath>
      <w:r>
        <w:rPr>
          <w:lang w:val="en-GB"/>
        </w:rPr>
        <w:t>. The latter decreases in time due to the absorption of CO</w:t>
      </w:r>
      <w:r w:rsidRPr="00B52D27">
        <w:rPr>
          <w:vertAlign w:val="subscript"/>
          <w:lang w:val="en-GB"/>
        </w:rPr>
        <w:t>2</w:t>
      </w:r>
      <w:r>
        <w:rPr>
          <w:lang w:val="en-GB"/>
        </w:rPr>
        <w:t xml:space="preserve">. For the interpretation of the experimental </w:t>
      </w:r>
      <w:r w:rsidR="00B52D27">
        <w:rPr>
          <w:lang w:val="en-GB"/>
        </w:rPr>
        <w:t>data,</w:t>
      </w:r>
      <w:r>
        <w:rPr>
          <w:lang w:val="en-GB"/>
        </w:rPr>
        <w:t xml:space="preserve"> we propose the following simple model:</w:t>
      </w:r>
    </w:p>
    <w:tbl>
      <w:tblPr>
        <w:tblW w:w="5000" w:type="pct"/>
        <w:tblLook w:val="04A0" w:firstRow="1" w:lastRow="0" w:firstColumn="1" w:lastColumn="0" w:noHBand="0" w:noVBand="1"/>
      </w:tblPr>
      <w:tblGrid>
        <w:gridCol w:w="7983"/>
        <w:gridCol w:w="804"/>
      </w:tblGrid>
      <w:tr w:rsidR="009B73F0" w:rsidRPr="00E33D81" w14:paraId="16961A67" w14:textId="77777777" w:rsidTr="00272E5C">
        <w:tc>
          <w:tcPr>
            <w:tcW w:w="8188" w:type="dxa"/>
            <w:shd w:val="clear" w:color="auto" w:fill="auto"/>
            <w:vAlign w:val="center"/>
          </w:tcPr>
          <w:p w14:paraId="3C63295B" w14:textId="07FBAB09" w:rsidR="009B73F0" w:rsidRPr="00566D99" w:rsidRDefault="00000000" w:rsidP="009B73F0">
            <w:pPr>
              <w:pStyle w:val="CETBodytext"/>
              <w:rPr>
                <w:lang w:val="en-GB"/>
              </w:rPr>
            </w:pPr>
            <m:oMathPara>
              <m:oMathParaPr>
                <m:jc m:val="left"/>
              </m:oMathParaPr>
              <m:oMath>
                <m:f>
                  <m:fPr>
                    <m:ctrlPr>
                      <w:rPr>
                        <w:rFonts w:ascii="Cambria Math" w:hAnsi="Cambria Math"/>
                        <w:i/>
                        <w:lang w:val="en-GB"/>
                      </w:rPr>
                    </m:ctrlPr>
                  </m:fPr>
                  <m:num>
                    <m:r>
                      <w:rPr>
                        <w:rFonts w:ascii="Cambria Math" w:hAnsi="Cambria Math"/>
                        <w:lang w:val="sv-SE"/>
                      </w:rPr>
                      <m:t>d</m:t>
                    </m:r>
                    <m:sSub>
                      <m:sSubPr>
                        <m:ctrlPr>
                          <w:rPr>
                            <w:rFonts w:ascii="Cambria Math" w:hAnsi="Cambria Math"/>
                            <w:i/>
                            <w:lang w:val="en-GB"/>
                          </w:rPr>
                        </m:ctrlPr>
                      </m:sSubPr>
                      <m:e>
                        <m:r>
                          <w:rPr>
                            <w:rFonts w:ascii="Cambria Math" w:hAnsi="Cambria Math"/>
                            <w:lang w:val="sv-SE"/>
                          </w:rPr>
                          <m:t>p</m:t>
                        </m:r>
                      </m:e>
                      <m:sub>
                        <m:r>
                          <m:rPr>
                            <m:sty m:val="p"/>
                          </m:rPr>
                          <w:rPr>
                            <w:rFonts w:ascii="Cambria Math" w:hAnsi="Cambria Math"/>
                            <w:lang w:val="sv-SE"/>
                          </w:rPr>
                          <m:t>C</m:t>
                        </m:r>
                        <m:sSub>
                          <m:sSubPr>
                            <m:ctrlPr>
                              <w:rPr>
                                <w:rFonts w:ascii="Cambria Math" w:hAnsi="Cambria Math"/>
                                <w:iCs/>
                                <w:lang w:val="en-GB"/>
                              </w:rPr>
                            </m:ctrlPr>
                          </m:sSubPr>
                          <m:e>
                            <m:r>
                              <m:rPr>
                                <m:sty m:val="p"/>
                              </m:rPr>
                              <w:rPr>
                                <w:rFonts w:ascii="Cambria Math" w:hAnsi="Cambria Math"/>
                                <w:lang w:val="sv-SE"/>
                              </w:rPr>
                              <m:t>O</m:t>
                            </m:r>
                          </m:e>
                          <m:sub>
                            <m:r>
                              <m:rPr>
                                <m:sty m:val="p"/>
                              </m:rPr>
                              <w:rPr>
                                <w:rFonts w:ascii="Cambria Math" w:hAnsi="Cambria Math"/>
                                <w:lang w:val="sv-SE"/>
                              </w:rPr>
                              <m:t>2</m:t>
                            </m:r>
                          </m:sub>
                        </m:sSub>
                      </m:sub>
                    </m:sSub>
                  </m:num>
                  <m:den>
                    <m:r>
                      <w:rPr>
                        <w:rFonts w:ascii="Cambria Math" w:hAnsi="Cambria Math"/>
                        <w:lang w:val="sv-SE"/>
                      </w:rPr>
                      <m:t>dt</m:t>
                    </m:r>
                  </m:den>
                </m:f>
                <m:r>
                  <w:rPr>
                    <w:rFonts w:ascii="Cambria Math" w:hAnsi="Cambria Math"/>
                    <w:lang w:val="sv-SE"/>
                  </w:rPr>
                  <m:t>=K</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sv-SE"/>
                          </w:rPr>
                          <m:t>p</m:t>
                        </m:r>
                      </m:e>
                      <m:sub>
                        <m:r>
                          <m:rPr>
                            <m:sty m:val="p"/>
                          </m:rPr>
                          <w:rPr>
                            <w:rFonts w:ascii="Cambria Math" w:hAnsi="Cambria Math"/>
                            <w:lang w:val="sv-SE"/>
                          </w:rPr>
                          <m:t>C</m:t>
                        </m:r>
                        <m:sSub>
                          <m:sSubPr>
                            <m:ctrlPr>
                              <w:rPr>
                                <w:rFonts w:ascii="Cambria Math" w:hAnsi="Cambria Math"/>
                                <w:iCs/>
                                <w:lang w:val="en-GB"/>
                              </w:rPr>
                            </m:ctrlPr>
                          </m:sSubPr>
                          <m:e>
                            <m:r>
                              <m:rPr>
                                <m:sty m:val="p"/>
                              </m:rPr>
                              <w:rPr>
                                <w:rFonts w:ascii="Cambria Math" w:hAnsi="Cambria Math"/>
                                <w:lang w:val="sv-SE"/>
                              </w:rPr>
                              <m:t>O</m:t>
                            </m:r>
                          </m:e>
                          <m:sub>
                            <m:r>
                              <m:rPr>
                                <m:sty m:val="p"/>
                              </m:rPr>
                              <w:rPr>
                                <w:rFonts w:ascii="Cambria Math" w:hAnsi="Cambria Math"/>
                                <w:lang w:val="sv-SE"/>
                              </w:rPr>
                              <m:t>2</m:t>
                            </m:r>
                          </m:sub>
                        </m:sSub>
                      </m:sub>
                    </m:sSub>
                    <m:r>
                      <w:rPr>
                        <w:rFonts w:ascii="Cambria Math" w:hAnsi="Cambria Math"/>
                        <w:lang w:val="sv-SE"/>
                      </w:rPr>
                      <m:t>-</m:t>
                    </m:r>
                    <m:sSubSup>
                      <m:sSubSupPr>
                        <m:ctrlPr>
                          <w:rPr>
                            <w:rFonts w:ascii="Cambria Math" w:hAnsi="Cambria Math"/>
                            <w:i/>
                            <w:lang w:val="en-GB"/>
                          </w:rPr>
                        </m:ctrlPr>
                      </m:sSubSupPr>
                      <m:e>
                        <m:r>
                          <w:rPr>
                            <w:rFonts w:ascii="Cambria Math" w:hAnsi="Cambria Math"/>
                            <w:lang w:val="sv-SE"/>
                          </w:rPr>
                          <m:t>p</m:t>
                        </m:r>
                      </m:e>
                      <m:sub>
                        <m:r>
                          <m:rPr>
                            <m:sty m:val="p"/>
                          </m:rPr>
                          <w:rPr>
                            <w:rFonts w:ascii="Cambria Math" w:hAnsi="Cambria Math"/>
                            <w:lang w:val="sv-SE"/>
                          </w:rPr>
                          <m:t>C</m:t>
                        </m:r>
                        <m:sSub>
                          <m:sSubPr>
                            <m:ctrlPr>
                              <w:rPr>
                                <w:rFonts w:ascii="Cambria Math" w:hAnsi="Cambria Math"/>
                                <w:iCs/>
                                <w:lang w:val="en-GB"/>
                              </w:rPr>
                            </m:ctrlPr>
                          </m:sSubPr>
                          <m:e>
                            <m:r>
                              <m:rPr>
                                <m:sty m:val="p"/>
                              </m:rPr>
                              <w:rPr>
                                <w:rFonts w:ascii="Cambria Math" w:hAnsi="Cambria Math"/>
                                <w:lang w:val="sv-SE"/>
                              </w:rPr>
                              <m:t>O</m:t>
                            </m:r>
                          </m:e>
                          <m:sub>
                            <m:r>
                              <m:rPr>
                                <m:sty m:val="p"/>
                              </m:rPr>
                              <w:rPr>
                                <w:rFonts w:ascii="Cambria Math" w:hAnsi="Cambria Math"/>
                                <w:lang w:val="sv-SE"/>
                              </w:rPr>
                              <m:t>2</m:t>
                            </m:r>
                          </m:sub>
                        </m:sSub>
                      </m:sub>
                      <m:sup>
                        <m:r>
                          <w:rPr>
                            <w:rFonts w:ascii="Cambria Math" w:hAnsi="Cambria Math"/>
                            <w:lang w:val="sv-SE"/>
                          </w:rPr>
                          <m:t>*</m:t>
                        </m:r>
                      </m:sup>
                    </m:sSubSup>
                  </m:e>
                </m:d>
              </m:oMath>
            </m:oMathPara>
          </w:p>
        </w:tc>
        <w:tc>
          <w:tcPr>
            <w:tcW w:w="815" w:type="dxa"/>
            <w:shd w:val="clear" w:color="auto" w:fill="auto"/>
            <w:vAlign w:val="center"/>
          </w:tcPr>
          <w:p w14:paraId="43365635" w14:textId="705CF016" w:rsidR="009B73F0" w:rsidRPr="00E33D81" w:rsidRDefault="009B73F0" w:rsidP="00272E5C">
            <w:pPr>
              <w:pStyle w:val="CETEquation"/>
              <w:jc w:val="right"/>
            </w:pPr>
            <w:r w:rsidRPr="00E33D81">
              <w:t>(</w:t>
            </w:r>
            <w:bookmarkStart w:id="4" w:name="ovrabs"/>
            <w:r w:rsidRPr="00E33D81">
              <w:fldChar w:fldCharType="begin"/>
            </w:r>
            <w:r w:rsidRPr="00E33D81">
              <w:instrText xml:space="preserve"> SEQ Eq \* MERGEFORMAT </w:instrText>
            </w:r>
            <w:r w:rsidRPr="00E33D81">
              <w:fldChar w:fldCharType="separate"/>
            </w:r>
            <w:r w:rsidR="00673BCD">
              <w:rPr>
                <w:noProof/>
              </w:rPr>
              <w:t>7</w:t>
            </w:r>
            <w:r w:rsidRPr="00E33D81">
              <w:fldChar w:fldCharType="end"/>
            </w:r>
            <w:bookmarkEnd w:id="4"/>
            <w:r w:rsidRPr="00E33D81">
              <w:t>)</w:t>
            </w:r>
          </w:p>
        </w:tc>
      </w:tr>
    </w:tbl>
    <w:p w14:paraId="3D08C82C" w14:textId="3C6BE7F3" w:rsidR="00AE1988" w:rsidRPr="00566D99" w:rsidRDefault="006279E1" w:rsidP="00AE1988">
      <w:pPr>
        <w:pStyle w:val="CETBodytext"/>
        <w:rPr>
          <w:lang w:val="en-GB"/>
        </w:rPr>
      </w:pPr>
      <w:r w:rsidRPr="00566D99">
        <w:rPr>
          <w:lang w:val="en-GB"/>
        </w:rPr>
        <w:t xml:space="preserve">where </w:t>
      </w:r>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Sub>
      </m:oMath>
      <w:r w:rsidRPr="00566D99">
        <w:rPr>
          <w:lang w:val="en-GB"/>
        </w:rPr>
        <w:t xml:space="preserve"> is the pressure in the </w:t>
      </w:r>
      <w:r w:rsidR="002A7A77">
        <w:rPr>
          <w:lang w:val="en-GB"/>
        </w:rPr>
        <w:t>reactor</w:t>
      </w:r>
      <w:r w:rsidRPr="00566D99">
        <w:rPr>
          <w:lang w:val="en-GB"/>
        </w:rPr>
        <w:t>,</w:t>
      </w:r>
      <w:r w:rsidR="009150F3" w:rsidRPr="00566D99">
        <w:rPr>
          <w:lang w:val="en-GB"/>
        </w:rPr>
        <w:t xml:space="preserve"> </w:t>
      </w:r>
      <m:oMath>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oMath>
      <w:r w:rsidRPr="00566D99">
        <w:rPr>
          <w:lang w:val="en-GB"/>
        </w:rPr>
        <w:t xml:space="preserve"> is the equilibrium pressure </w:t>
      </w:r>
      <w:r w:rsidR="002A7A77">
        <w:rPr>
          <w:lang w:val="en-GB"/>
        </w:rPr>
        <w:t xml:space="preserve">that establishes at the end of each experiment, and </w:t>
      </w:r>
      <m:oMath>
        <m:r>
          <w:rPr>
            <w:rFonts w:ascii="Cambria Math" w:hAnsi="Cambria Math"/>
            <w:lang w:val="en-GB"/>
          </w:rPr>
          <m:t>K</m:t>
        </m:r>
      </m:oMath>
      <w:r w:rsidR="00A01078">
        <w:rPr>
          <w:lang w:val="en-GB"/>
        </w:rPr>
        <w:t xml:space="preserve"> </w:t>
      </w:r>
      <w:r w:rsidR="002A7A77">
        <w:rPr>
          <w:lang w:val="en-GB"/>
        </w:rPr>
        <w:t>is the apparent absorption rate factor</w:t>
      </w:r>
      <w:r w:rsidR="009150F3" w:rsidRPr="00566D99">
        <w:rPr>
          <w:lang w:val="en-GB"/>
        </w:rPr>
        <w:t xml:space="preserve">. </w:t>
      </w:r>
      <w:r w:rsidR="00511D35" w:rsidRPr="00566D99">
        <w:rPr>
          <w:lang w:val="en-GB"/>
        </w:rPr>
        <w:t xml:space="preserve">For a starting pressure of </w:t>
      </w:r>
      <m:oMath>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d>
              <m:dPr>
                <m:ctrlPr>
                  <w:rPr>
                    <w:rFonts w:ascii="Cambria Math" w:hAnsi="Cambria Math"/>
                    <w:i/>
                    <w:lang w:val="en-GB"/>
                  </w:rPr>
                </m:ctrlPr>
              </m:dPr>
              <m:e>
                <m:r>
                  <w:rPr>
                    <w:rFonts w:ascii="Cambria Math" w:hAnsi="Cambria Math"/>
                    <w:lang w:val="en-GB"/>
                  </w:rPr>
                  <m:t>0</m:t>
                </m:r>
              </m:e>
            </m:d>
          </m:sup>
        </m:sSubSup>
      </m:oMath>
      <w:r w:rsidR="00511D35" w:rsidRPr="00566D99">
        <w:rPr>
          <w:lang w:val="en-GB"/>
        </w:rPr>
        <w:t xml:space="preserve">, assuming that the change in solvent properties is negligible </w:t>
      </w:r>
      <w:r w:rsidR="00E33D81" w:rsidRPr="00566D99">
        <w:rPr>
          <w:lang w:val="en-GB"/>
        </w:rPr>
        <w:t xml:space="preserve">such </w:t>
      </w:r>
      <w:r w:rsidR="00511D35" w:rsidRPr="00566D99">
        <w:rPr>
          <w:lang w:val="en-GB"/>
        </w:rPr>
        <w:t xml:space="preserve">that </w:t>
      </w:r>
      <m:oMath>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oMath>
      <w:r w:rsidR="00511D35" w:rsidRPr="00566D99">
        <w:rPr>
          <w:lang w:val="en-GB"/>
        </w:rPr>
        <w:t xml:space="preserve"> can be considered constant, equation (</w:t>
      </w:r>
      <w:r w:rsidR="00511D35" w:rsidRPr="00566D99">
        <w:rPr>
          <w:lang w:val="en-GB"/>
        </w:rPr>
        <w:fldChar w:fldCharType="begin"/>
      </w:r>
      <w:r w:rsidR="00511D35" w:rsidRPr="00566D99">
        <w:rPr>
          <w:lang w:val="en-GB"/>
        </w:rPr>
        <w:instrText xml:space="preserve"> REF ovrabs \h </w:instrText>
      </w:r>
      <w:r w:rsidR="00511D35" w:rsidRPr="00566D99">
        <w:rPr>
          <w:lang w:val="en-GB"/>
        </w:rPr>
      </w:r>
      <w:r w:rsidR="00511D35" w:rsidRPr="00566D99">
        <w:rPr>
          <w:lang w:val="en-GB"/>
        </w:rPr>
        <w:fldChar w:fldCharType="separate"/>
      </w:r>
      <w:r w:rsidR="00673BCD">
        <w:rPr>
          <w:noProof/>
        </w:rPr>
        <w:t>7</w:t>
      </w:r>
      <w:r w:rsidR="00511D35" w:rsidRPr="00566D99">
        <w:rPr>
          <w:lang w:val="en-GB"/>
        </w:rPr>
        <w:fldChar w:fldCharType="end"/>
      </w:r>
      <w:r w:rsidR="00511D35" w:rsidRPr="00566D99">
        <w:rPr>
          <w:lang w:val="en-GB"/>
        </w:rPr>
        <w:t xml:space="preserve">) </w:t>
      </w:r>
      <w:r w:rsidR="002A7A77">
        <w:rPr>
          <w:lang w:val="en-GB"/>
        </w:rPr>
        <w:t>can be</w:t>
      </w:r>
      <w:r w:rsidR="00511D35" w:rsidRPr="00566D99">
        <w:rPr>
          <w:lang w:val="en-GB"/>
        </w:rPr>
        <w:t xml:space="preserve"> </w:t>
      </w:r>
      <w:r w:rsidR="00E33D81" w:rsidRPr="00566D99">
        <w:rPr>
          <w:lang w:val="en-GB"/>
        </w:rPr>
        <w:t>integrated to yield</w:t>
      </w:r>
      <w:r w:rsidR="00511D35" w:rsidRPr="00566D99">
        <w:rPr>
          <w:lang w:val="en-GB"/>
        </w:rPr>
        <w:t>:</w:t>
      </w:r>
    </w:p>
    <w:tbl>
      <w:tblPr>
        <w:tblW w:w="5000" w:type="pct"/>
        <w:tblLook w:val="04A0" w:firstRow="1" w:lastRow="0" w:firstColumn="1" w:lastColumn="0" w:noHBand="0" w:noVBand="1"/>
      </w:tblPr>
      <w:tblGrid>
        <w:gridCol w:w="7984"/>
        <w:gridCol w:w="803"/>
      </w:tblGrid>
      <w:tr w:rsidR="00AE1988" w:rsidRPr="00E33D81" w14:paraId="1C97BCDA" w14:textId="77777777" w:rsidTr="00272E5C">
        <w:tc>
          <w:tcPr>
            <w:tcW w:w="8188" w:type="dxa"/>
            <w:shd w:val="clear" w:color="auto" w:fill="auto"/>
            <w:vAlign w:val="center"/>
          </w:tcPr>
          <w:p w14:paraId="1B6F515F" w14:textId="5296A547" w:rsidR="00AE1988" w:rsidRPr="00566D99" w:rsidRDefault="00000000" w:rsidP="00272E5C">
            <w:pPr>
              <w:pStyle w:val="CET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r>
                  <w:rPr>
                    <w:rFonts w:ascii="Cambria Math" w:hAnsi="Cambria Math"/>
                    <w:lang w:val="en-GB"/>
                  </w:rPr>
                  <m:t>=</m:t>
                </m:r>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d>
                          <m:dPr>
                            <m:ctrlPr>
                              <w:rPr>
                                <w:rFonts w:ascii="Cambria Math" w:hAnsi="Cambria Math"/>
                                <w:i/>
                                <w:lang w:val="en-GB"/>
                              </w:rPr>
                            </m:ctrlPr>
                          </m:dPr>
                          <m:e>
                            <m:r>
                              <w:rPr>
                                <w:rFonts w:ascii="Cambria Math" w:hAnsi="Cambria Math"/>
                                <w:lang w:val="en-GB"/>
                              </w:rPr>
                              <m:t>0</m:t>
                            </m:r>
                          </m:e>
                        </m:d>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e>
                </m:d>
                <m:r>
                  <m:rPr>
                    <m:sty m:val="p"/>
                  </m:rPr>
                  <w:rPr>
                    <w:rFonts w:ascii="Cambria Math" w:hAnsi="Cambria Math"/>
                    <w:lang w:val="en-GB"/>
                  </w:rPr>
                  <m:t>ex</m:t>
                </m:r>
                <m:func>
                  <m:funcPr>
                    <m:ctrlPr>
                      <w:rPr>
                        <w:rFonts w:ascii="Cambria Math" w:hAnsi="Cambria Math"/>
                        <w:lang w:val="en-GB"/>
                      </w:rPr>
                    </m:ctrlPr>
                  </m:funcPr>
                  <m:fName>
                    <m:r>
                      <m:rPr>
                        <m:sty m:val="p"/>
                      </m:rPr>
                      <w:rPr>
                        <w:rFonts w:ascii="Cambria Math" w:hAnsi="Cambria Math"/>
                        <w:lang w:val="en-GB"/>
                      </w:rPr>
                      <m:t>p</m:t>
                    </m:r>
                  </m:fName>
                  <m:e>
                    <m:d>
                      <m:dPr>
                        <m:ctrlPr>
                          <w:rPr>
                            <w:rFonts w:ascii="Cambria Math" w:hAnsi="Cambria Math"/>
                            <w:i/>
                            <w:lang w:val="en-GB"/>
                          </w:rPr>
                        </m:ctrlPr>
                      </m:dPr>
                      <m:e>
                        <m:r>
                          <w:rPr>
                            <w:rFonts w:ascii="Cambria Math" w:hAnsi="Cambria Math"/>
                            <w:lang w:val="en-GB"/>
                          </w:rPr>
                          <m:t>-Kt</m:t>
                        </m:r>
                      </m:e>
                    </m:d>
                  </m:e>
                </m:func>
              </m:oMath>
            </m:oMathPara>
          </w:p>
        </w:tc>
        <w:tc>
          <w:tcPr>
            <w:tcW w:w="815" w:type="dxa"/>
            <w:shd w:val="clear" w:color="auto" w:fill="auto"/>
            <w:vAlign w:val="center"/>
          </w:tcPr>
          <w:p w14:paraId="18916336" w14:textId="406EF6C4" w:rsidR="00AE1988" w:rsidRPr="00E33D81" w:rsidRDefault="00AE1988" w:rsidP="00272E5C">
            <w:pPr>
              <w:pStyle w:val="CETEquation"/>
              <w:jc w:val="right"/>
            </w:pPr>
            <w:r w:rsidRPr="00E33D81">
              <w:t>(</w:t>
            </w:r>
            <w:bookmarkStart w:id="5" w:name="p_decay"/>
            <w:r w:rsidRPr="00E33D81">
              <w:fldChar w:fldCharType="begin"/>
            </w:r>
            <w:r w:rsidRPr="00E33D81">
              <w:instrText xml:space="preserve"> SEQ Eq \* MERGEFORMAT </w:instrText>
            </w:r>
            <w:r w:rsidRPr="00E33D81">
              <w:fldChar w:fldCharType="separate"/>
            </w:r>
            <w:r w:rsidR="00673BCD">
              <w:rPr>
                <w:noProof/>
              </w:rPr>
              <w:t>8</w:t>
            </w:r>
            <w:r w:rsidRPr="00E33D81">
              <w:fldChar w:fldCharType="end"/>
            </w:r>
            <w:bookmarkEnd w:id="5"/>
            <w:r w:rsidRPr="00E33D81">
              <w:t>)</w:t>
            </w:r>
          </w:p>
        </w:tc>
      </w:tr>
    </w:tbl>
    <w:p w14:paraId="49A6B7E6" w14:textId="1A25190D" w:rsidR="0019359F" w:rsidRPr="00566D99" w:rsidRDefault="002A44E2" w:rsidP="00AE1988">
      <w:pPr>
        <w:pStyle w:val="CETBodytext"/>
        <w:rPr>
          <w:lang w:val="en-GB"/>
        </w:rPr>
      </w:pPr>
      <w:r w:rsidRPr="00566D99">
        <w:rPr>
          <w:lang w:val="en-GB"/>
        </w:rPr>
        <w:t>Equation (</w:t>
      </w:r>
      <w:r w:rsidRPr="00AC44E9">
        <w:rPr>
          <w:lang w:val="en-GB"/>
        </w:rPr>
        <w:fldChar w:fldCharType="begin"/>
      </w:r>
      <w:r w:rsidRPr="00566D99">
        <w:rPr>
          <w:lang w:val="en-GB"/>
        </w:rPr>
        <w:instrText xml:space="preserve"> REF p_decay \h </w:instrText>
      </w:r>
      <w:r w:rsidRPr="00AC44E9">
        <w:rPr>
          <w:lang w:val="en-GB"/>
        </w:rPr>
      </w:r>
      <w:r w:rsidRPr="00AC44E9">
        <w:rPr>
          <w:lang w:val="en-GB"/>
        </w:rPr>
        <w:fldChar w:fldCharType="separate"/>
      </w:r>
      <w:r w:rsidR="00673BCD">
        <w:rPr>
          <w:noProof/>
        </w:rPr>
        <w:t>8</w:t>
      </w:r>
      <w:r w:rsidRPr="00AC44E9">
        <w:rPr>
          <w:lang w:val="en-GB"/>
        </w:rPr>
        <w:fldChar w:fldCharType="end"/>
      </w:r>
      <w:r w:rsidRPr="00566D99">
        <w:rPr>
          <w:lang w:val="en-GB"/>
        </w:rPr>
        <w:t xml:space="preserve">) </w:t>
      </w:r>
      <w:r w:rsidR="00887A48">
        <w:rPr>
          <w:lang w:val="en-GB"/>
        </w:rPr>
        <w:t>describes</w:t>
      </w:r>
      <w:r w:rsidRPr="00566D99">
        <w:rPr>
          <w:lang w:val="en-GB"/>
        </w:rPr>
        <w:t xml:space="preserve"> the </w:t>
      </w:r>
      <w:r w:rsidR="00887A48">
        <w:rPr>
          <w:lang w:val="en-GB"/>
        </w:rPr>
        <w:t>exponential time dependence of the</w:t>
      </w:r>
      <w:r w:rsidRPr="00566D99">
        <w:rPr>
          <w:lang w:val="en-GB"/>
        </w:rPr>
        <w:t xml:space="preserve"> CO</w:t>
      </w:r>
      <w:r w:rsidRPr="00566D99">
        <w:rPr>
          <w:vertAlign w:val="subscript"/>
          <w:lang w:val="en-GB"/>
        </w:rPr>
        <w:t>2</w:t>
      </w:r>
      <w:r w:rsidRPr="00566D99">
        <w:rPr>
          <w:lang w:val="en-GB"/>
        </w:rPr>
        <w:t xml:space="preserve"> </w:t>
      </w:r>
      <w:r w:rsidR="00887A48">
        <w:rPr>
          <w:lang w:val="en-GB"/>
        </w:rPr>
        <w:t xml:space="preserve">absorption </w:t>
      </w:r>
      <w:r w:rsidRPr="00566D99">
        <w:rPr>
          <w:lang w:val="en-GB"/>
        </w:rPr>
        <w:t xml:space="preserve">in a batch gas-liquid </w:t>
      </w:r>
      <w:r w:rsidR="00887A48">
        <w:rPr>
          <w:lang w:val="en-GB"/>
        </w:rPr>
        <w:t>reactor</w:t>
      </w:r>
      <w:r w:rsidRPr="00566D99">
        <w:rPr>
          <w:lang w:val="en-GB"/>
        </w:rPr>
        <w:t>.</w:t>
      </w:r>
      <w:r w:rsidR="00BE5CA1" w:rsidRPr="00566D99">
        <w:rPr>
          <w:lang w:val="en-GB"/>
        </w:rPr>
        <w:t xml:space="preserve"> At the </w:t>
      </w:r>
      <w:r w:rsidR="00887A48">
        <w:rPr>
          <w:lang w:val="en-GB"/>
        </w:rPr>
        <w:t>beginning</w:t>
      </w:r>
      <w:r w:rsidR="00BE5CA1" w:rsidRPr="00566D99">
        <w:rPr>
          <w:lang w:val="en-GB"/>
        </w:rPr>
        <w:t xml:space="preserve"> of the experiment, due to the high driving force (</w:t>
      </w:r>
      <m:oMath>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d>
              <m:dPr>
                <m:ctrlPr>
                  <w:rPr>
                    <w:rFonts w:ascii="Cambria Math" w:hAnsi="Cambria Math"/>
                    <w:i/>
                    <w:lang w:val="en-GB"/>
                  </w:rPr>
                </m:ctrlPr>
              </m:dPr>
              <m:e>
                <m:r>
                  <w:rPr>
                    <w:rFonts w:ascii="Cambria Math" w:hAnsi="Cambria Math"/>
                    <w:lang w:val="en-GB"/>
                  </w:rPr>
                  <m:t>0</m:t>
                </m:r>
              </m:e>
            </m:d>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oMath>
      <w:r w:rsidR="00BE5CA1" w:rsidRPr="00566D99">
        <w:rPr>
          <w:lang w:val="en-GB"/>
        </w:rPr>
        <w:t>) the absorption rate is high</w:t>
      </w:r>
      <w:r w:rsidR="0019359F" w:rsidRPr="00566D99">
        <w:rPr>
          <w:lang w:val="en-GB"/>
        </w:rPr>
        <w:t>.</w:t>
      </w:r>
      <w:r w:rsidR="00BE5CA1" w:rsidRPr="00566D99">
        <w:rPr>
          <w:lang w:val="en-GB"/>
        </w:rPr>
        <w:t xml:space="preserve"> </w:t>
      </w:r>
      <w:r w:rsidR="0019359F" w:rsidRPr="00566D99">
        <w:rPr>
          <w:lang w:val="en-GB"/>
        </w:rPr>
        <w:t xml:space="preserve">As the </w:t>
      </w:r>
      <w:r w:rsidR="0019359F" w:rsidRPr="00566D99">
        <w:rPr>
          <w:lang w:val="en-GB"/>
        </w:rPr>
        <w:lastRenderedPageBreak/>
        <w:t xml:space="preserve">experiment approaches equilibrium, the driving force </w:t>
      </w:r>
      <w:r w:rsidR="00887A48">
        <w:rPr>
          <w:lang w:val="en-GB"/>
        </w:rPr>
        <w:t>diminishes and eventually equals to</w:t>
      </w:r>
      <w:r w:rsidR="0019359F" w:rsidRPr="00566D99">
        <w:rPr>
          <w:lang w:val="en-GB"/>
        </w:rPr>
        <w:t xml:space="preserve"> zero, </w:t>
      </w:r>
      <w:r w:rsidR="00887A48">
        <w:rPr>
          <w:lang w:val="en-GB"/>
        </w:rPr>
        <w:t>hence the</w:t>
      </w:r>
      <w:r w:rsidR="0019359F" w:rsidRPr="00566D99">
        <w:rPr>
          <w:lang w:val="en-GB"/>
        </w:rPr>
        <w:t xml:space="preserve"> pressure decay flattens out. </w:t>
      </w:r>
      <w:r w:rsidR="00245C26">
        <w:rPr>
          <w:lang w:val="en-GB"/>
        </w:rPr>
        <w:t>Linearization of e</w:t>
      </w:r>
      <w:r w:rsidR="002E4172" w:rsidRPr="00566D99">
        <w:rPr>
          <w:lang w:val="en-GB"/>
        </w:rPr>
        <w:t>quation (</w:t>
      </w:r>
      <w:r w:rsidR="002E4172" w:rsidRPr="00566D99">
        <w:rPr>
          <w:lang w:val="en-GB"/>
        </w:rPr>
        <w:fldChar w:fldCharType="begin"/>
      </w:r>
      <w:r w:rsidR="002E4172" w:rsidRPr="00566D99">
        <w:rPr>
          <w:lang w:val="en-GB"/>
        </w:rPr>
        <w:instrText xml:space="preserve"> REF p_decay \h </w:instrText>
      </w:r>
      <w:r w:rsidR="002E4172" w:rsidRPr="00566D99">
        <w:rPr>
          <w:lang w:val="en-GB"/>
        </w:rPr>
      </w:r>
      <w:r w:rsidR="002E4172" w:rsidRPr="00566D99">
        <w:rPr>
          <w:lang w:val="en-GB"/>
        </w:rPr>
        <w:fldChar w:fldCharType="separate"/>
      </w:r>
      <w:r w:rsidR="00673BCD">
        <w:rPr>
          <w:noProof/>
        </w:rPr>
        <w:t>8</w:t>
      </w:r>
      <w:r w:rsidR="002E4172" w:rsidRPr="00566D99">
        <w:rPr>
          <w:lang w:val="en-GB"/>
        </w:rPr>
        <w:fldChar w:fldCharType="end"/>
      </w:r>
      <w:r w:rsidR="002E4172" w:rsidRPr="00566D99">
        <w:rPr>
          <w:lang w:val="en-GB"/>
        </w:rPr>
        <w:t xml:space="preserve">) </w:t>
      </w:r>
      <w:r w:rsidR="00245C26">
        <w:rPr>
          <w:lang w:val="en-GB"/>
        </w:rPr>
        <w:t>results in</w:t>
      </w:r>
      <w:r w:rsidR="002E4172" w:rsidRPr="00566D99">
        <w:rPr>
          <w:lang w:val="en-GB"/>
        </w:rPr>
        <w:t>:</w:t>
      </w:r>
    </w:p>
    <w:tbl>
      <w:tblPr>
        <w:tblW w:w="5000" w:type="pct"/>
        <w:tblLook w:val="04A0" w:firstRow="1" w:lastRow="0" w:firstColumn="1" w:lastColumn="0" w:noHBand="0" w:noVBand="1"/>
      </w:tblPr>
      <w:tblGrid>
        <w:gridCol w:w="7983"/>
        <w:gridCol w:w="804"/>
      </w:tblGrid>
      <w:tr w:rsidR="0019359F" w:rsidRPr="00E33D81" w14:paraId="2028AEA0" w14:textId="77777777" w:rsidTr="00272E5C">
        <w:tc>
          <w:tcPr>
            <w:tcW w:w="8188" w:type="dxa"/>
            <w:shd w:val="clear" w:color="auto" w:fill="auto"/>
            <w:vAlign w:val="center"/>
          </w:tcPr>
          <w:p w14:paraId="4C363DAD" w14:textId="46CADE4E" w:rsidR="0019359F" w:rsidRPr="00566D99" w:rsidRDefault="00000000" w:rsidP="00272E5C">
            <w:pPr>
              <w:pStyle w:val="CETBodytext"/>
              <w:rPr>
                <w:lang w:val="en-GB"/>
              </w:rPr>
            </w:pPr>
            <m:oMathPara>
              <m:oMathParaPr>
                <m:jc m:val="left"/>
              </m:oMathParaPr>
              <m:oMath>
                <m:func>
                  <m:funcPr>
                    <m:ctrlPr>
                      <w:rPr>
                        <w:rFonts w:ascii="Cambria Math" w:hAnsi="Cambria Math"/>
                        <w:i/>
                        <w:lang w:val="en-GB"/>
                      </w:rPr>
                    </m:ctrlPr>
                  </m:funcPr>
                  <m:fName>
                    <m:r>
                      <m:rPr>
                        <m:sty m:val="p"/>
                      </m:rPr>
                      <w:rPr>
                        <w:rFonts w:ascii="Cambria Math" w:hAnsi="Cambria Math"/>
                        <w:lang w:val="en-GB"/>
                      </w:rPr>
                      <m:t>ln</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e>
                    </m:d>
                    <m:r>
                      <w:rPr>
                        <w:rFonts w:ascii="Cambria Math" w:hAnsi="Cambria Math"/>
                        <w:lang w:val="en-GB"/>
                      </w:rPr>
                      <m:t>=-Kt+</m:t>
                    </m:r>
                    <m:func>
                      <m:funcPr>
                        <m:ctrlPr>
                          <w:rPr>
                            <w:rFonts w:ascii="Cambria Math" w:hAnsi="Cambria Math"/>
                            <w:i/>
                            <w:lang w:val="en-GB"/>
                          </w:rPr>
                        </m:ctrlPr>
                      </m:funcPr>
                      <m:fName>
                        <m:r>
                          <m:rPr>
                            <m:sty m:val="p"/>
                          </m:rPr>
                          <w:rPr>
                            <w:rFonts w:ascii="Cambria Math" w:hAnsi="Cambria Math"/>
                            <w:lang w:val="en-GB"/>
                          </w:rPr>
                          <m:t>ln</m:t>
                        </m:r>
                      </m:fName>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d>
                                  <m:dPr>
                                    <m:ctrlPr>
                                      <w:rPr>
                                        <w:rFonts w:ascii="Cambria Math" w:hAnsi="Cambria Math"/>
                                        <w:i/>
                                        <w:lang w:val="en-GB"/>
                                      </w:rPr>
                                    </m:ctrlPr>
                                  </m:dPr>
                                  <m:e>
                                    <m:r>
                                      <w:rPr>
                                        <w:rFonts w:ascii="Cambria Math" w:hAnsi="Cambria Math"/>
                                        <w:lang w:val="en-GB"/>
                                      </w:rPr>
                                      <m:t>0</m:t>
                                    </m:r>
                                  </m:e>
                                </m:d>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p</m:t>
                                </m:r>
                              </m:e>
                              <m:sub>
                                <m:r>
                                  <m:rPr>
                                    <m:sty m:val="p"/>
                                  </m:rPr>
                                  <w:rPr>
                                    <w:rFonts w:ascii="Cambria Math" w:hAnsi="Cambria Math"/>
                                    <w:lang w:val="en-GB"/>
                                  </w:rPr>
                                  <m:t>C</m:t>
                                </m:r>
                                <m:sSub>
                                  <m:sSubPr>
                                    <m:ctrlPr>
                                      <w:rPr>
                                        <w:rFonts w:ascii="Cambria Math" w:hAnsi="Cambria Math"/>
                                        <w:iCs/>
                                        <w:lang w:val="en-GB"/>
                                      </w:rPr>
                                    </m:ctrlPr>
                                  </m:sSubPr>
                                  <m:e>
                                    <m:r>
                                      <m:rPr>
                                        <m:sty m:val="p"/>
                                      </m:rPr>
                                      <w:rPr>
                                        <w:rFonts w:ascii="Cambria Math" w:hAnsi="Cambria Math"/>
                                        <w:lang w:val="en-GB"/>
                                      </w:rPr>
                                      <m:t>O</m:t>
                                    </m:r>
                                  </m:e>
                                  <m:sub>
                                    <m:r>
                                      <m:rPr>
                                        <m:sty m:val="p"/>
                                      </m:rPr>
                                      <w:rPr>
                                        <w:rFonts w:ascii="Cambria Math" w:hAnsi="Cambria Math"/>
                                        <w:lang w:val="en-GB"/>
                                      </w:rPr>
                                      <m:t>2</m:t>
                                    </m:r>
                                  </m:sub>
                                </m:sSub>
                              </m:sub>
                              <m:sup>
                                <m:r>
                                  <w:rPr>
                                    <w:rFonts w:ascii="Cambria Math" w:hAnsi="Cambria Math"/>
                                    <w:lang w:val="en-GB"/>
                                  </w:rPr>
                                  <m:t>*</m:t>
                                </m:r>
                              </m:sup>
                            </m:sSubSup>
                          </m:e>
                        </m:d>
                      </m:e>
                    </m:func>
                  </m:e>
                </m:func>
              </m:oMath>
            </m:oMathPara>
          </w:p>
        </w:tc>
        <w:tc>
          <w:tcPr>
            <w:tcW w:w="815" w:type="dxa"/>
            <w:shd w:val="clear" w:color="auto" w:fill="auto"/>
            <w:vAlign w:val="center"/>
          </w:tcPr>
          <w:p w14:paraId="57E8FC6C" w14:textId="2CA090B6" w:rsidR="0019359F" w:rsidRPr="00E33D81" w:rsidRDefault="0019359F" w:rsidP="00272E5C">
            <w:pPr>
              <w:pStyle w:val="CETEquation"/>
              <w:jc w:val="right"/>
            </w:pPr>
            <w:r w:rsidRPr="00E33D81">
              <w:t>(</w:t>
            </w:r>
            <w:bookmarkStart w:id="6" w:name="p_decay_log"/>
            <w:r w:rsidR="002E4172" w:rsidRPr="00E33D81">
              <w:fldChar w:fldCharType="begin"/>
            </w:r>
            <w:r w:rsidR="002E4172" w:rsidRPr="00E33D81">
              <w:instrText xml:space="preserve"> SEQ Eq \* MERGEFORMAT </w:instrText>
            </w:r>
            <w:r w:rsidR="002E4172" w:rsidRPr="00E33D81">
              <w:fldChar w:fldCharType="separate"/>
            </w:r>
            <w:r w:rsidR="00673BCD">
              <w:rPr>
                <w:noProof/>
              </w:rPr>
              <w:t>9</w:t>
            </w:r>
            <w:r w:rsidR="002E4172" w:rsidRPr="00E33D81">
              <w:fldChar w:fldCharType="end"/>
            </w:r>
            <w:bookmarkEnd w:id="6"/>
            <w:r w:rsidRPr="00E33D81">
              <w:t>)</w:t>
            </w:r>
          </w:p>
        </w:tc>
      </w:tr>
    </w:tbl>
    <w:p w14:paraId="07EDAB20" w14:textId="0B034C49" w:rsidR="00511D35" w:rsidRPr="00566D99" w:rsidRDefault="002E4172" w:rsidP="00AE1988">
      <w:pPr>
        <w:pStyle w:val="CETBodytext"/>
        <w:rPr>
          <w:lang w:val="en-GB"/>
        </w:rPr>
      </w:pPr>
      <w:r w:rsidRPr="00566D99">
        <w:rPr>
          <w:lang w:val="en-GB"/>
        </w:rPr>
        <w:t>E</w:t>
      </w:r>
      <w:r w:rsidR="00AE1988" w:rsidRPr="00566D99">
        <w:rPr>
          <w:lang w:val="en-GB"/>
        </w:rPr>
        <w:t>quation (</w:t>
      </w:r>
      <w:r w:rsidRPr="00AC44E9">
        <w:rPr>
          <w:lang w:val="en-GB"/>
        </w:rPr>
        <w:fldChar w:fldCharType="begin"/>
      </w:r>
      <w:r w:rsidRPr="00566D99">
        <w:rPr>
          <w:lang w:val="en-GB"/>
        </w:rPr>
        <w:instrText xml:space="preserve"> REF p_decay_log \h </w:instrText>
      </w:r>
      <w:r w:rsidRPr="00AC44E9">
        <w:rPr>
          <w:lang w:val="en-GB"/>
        </w:rPr>
      </w:r>
      <w:r w:rsidRPr="00AC44E9">
        <w:rPr>
          <w:lang w:val="en-GB"/>
        </w:rPr>
        <w:fldChar w:fldCharType="separate"/>
      </w:r>
      <w:r w:rsidR="00673BCD">
        <w:rPr>
          <w:noProof/>
        </w:rPr>
        <w:t>9</w:t>
      </w:r>
      <w:r w:rsidRPr="00AC44E9">
        <w:rPr>
          <w:lang w:val="en-GB"/>
        </w:rPr>
        <w:fldChar w:fldCharType="end"/>
      </w:r>
      <w:r w:rsidR="00AE1988" w:rsidRPr="00566D99">
        <w:rPr>
          <w:lang w:val="en-GB"/>
        </w:rPr>
        <w:t xml:space="preserve">) indicates that the </w:t>
      </w:r>
      <w:r w:rsidR="00A757A9" w:rsidRPr="00566D99">
        <w:rPr>
          <w:lang w:val="en-GB"/>
        </w:rPr>
        <w:t xml:space="preserve">logarithm of pressure decay </w:t>
      </w:r>
      <w:r w:rsidR="00245C26">
        <w:rPr>
          <w:lang w:val="en-GB"/>
        </w:rPr>
        <w:t>as a function of</w:t>
      </w:r>
      <w:r w:rsidR="00A757A9" w:rsidRPr="00566D99">
        <w:rPr>
          <w:lang w:val="en-GB"/>
        </w:rPr>
        <w:t xml:space="preserve"> time is </w:t>
      </w:r>
      <w:r w:rsidRPr="00566D99">
        <w:rPr>
          <w:lang w:val="en-GB"/>
        </w:rPr>
        <w:t xml:space="preserve">a </w:t>
      </w:r>
      <w:r w:rsidR="00245C26">
        <w:rPr>
          <w:lang w:val="en-GB"/>
        </w:rPr>
        <w:t xml:space="preserve">straight </w:t>
      </w:r>
      <w:r w:rsidRPr="00566D99">
        <w:rPr>
          <w:lang w:val="en-GB"/>
        </w:rPr>
        <w:t>line,</w:t>
      </w:r>
      <w:r w:rsidR="00A757A9" w:rsidRPr="00566D99">
        <w:rPr>
          <w:lang w:val="en-GB"/>
        </w:rPr>
        <w:t xml:space="preserve"> the slope </w:t>
      </w:r>
      <w:r w:rsidR="00245C26">
        <w:rPr>
          <w:lang w:val="en-GB"/>
        </w:rPr>
        <w:t xml:space="preserve">of </w:t>
      </w:r>
      <w:r w:rsidRPr="00566D99">
        <w:rPr>
          <w:lang w:val="en-GB"/>
        </w:rPr>
        <w:t>which</w:t>
      </w:r>
      <w:r w:rsidR="00CA575F">
        <w:rPr>
          <w:lang w:val="en-GB"/>
        </w:rPr>
        <w:t xml:space="preserve"> is</w:t>
      </w:r>
      <w:r w:rsidR="00A757A9" w:rsidRPr="00566D99">
        <w:rPr>
          <w:lang w:val="en-GB"/>
        </w:rPr>
        <w:t xml:space="preserve"> </w:t>
      </w:r>
      <m:oMath>
        <m:r>
          <w:rPr>
            <w:rFonts w:ascii="Cambria Math" w:hAnsi="Cambria Math"/>
            <w:lang w:val="en-GB"/>
          </w:rPr>
          <m:t>K</m:t>
        </m:r>
      </m:oMath>
      <w:r w:rsidR="00F6497A">
        <w:rPr>
          <w:lang w:val="en-GB"/>
        </w:rPr>
        <w:t xml:space="preserve">. </w:t>
      </w:r>
      <w:r w:rsidR="00412B05">
        <w:rPr>
          <w:lang w:val="en-GB"/>
        </w:rPr>
        <w:t xml:space="preserve">The apparent absorption rate </w:t>
      </w:r>
      <m:oMath>
        <m:r>
          <w:rPr>
            <w:rFonts w:ascii="Cambria Math" w:hAnsi="Cambria Math"/>
            <w:lang w:val="en-GB"/>
          </w:rPr>
          <m:t>K</m:t>
        </m:r>
      </m:oMath>
      <w:r w:rsidR="00A757A9" w:rsidRPr="00566D99">
        <w:rPr>
          <w:lang w:val="en-GB"/>
        </w:rPr>
        <w:t xml:space="preserve"> </w:t>
      </w:r>
      <w:r w:rsidR="00245C26">
        <w:rPr>
          <w:lang w:val="en-GB"/>
        </w:rPr>
        <w:t>is</w:t>
      </w:r>
      <w:r w:rsidR="00A757A9" w:rsidRPr="00566D99">
        <w:rPr>
          <w:lang w:val="en-GB"/>
        </w:rPr>
        <w:t xml:space="preserve"> a function</w:t>
      </w:r>
      <w:r w:rsidR="002A44E2" w:rsidRPr="00566D99">
        <w:rPr>
          <w:lang w:val="en-GB"/>
        </w:rPr>
        <w:t xml:space="preserve"> of the interface area between the gas and </w:t>
      </w:r>
      <w:r w:rsidR="00245C26">
        <w:rPr>
          <w:lang w:val="en-GB"/>
        </w:rPr>
        <w:t xml:space="preserve">the </w:t>
      </w:r>
      <w:r w:rsidR="002A44E2" w:rsidRPr="00566D99">
        <w:rPr>
          <w:lang w:val="en-GB"/>
        </w:rPr>
        <w:t>liquid, the</w:t>
      </w:r>
      <w:r w:rsidR="00A757A9" w:rsidRPr="00566D99">
        <w:rPr>
          <w:lang w:val="en-GB"/>
        </w:rPr>
        <w:t xml:space="preserve"> liquid-side mass transfer resistance</w:t>
      </w:r>
      <w:r w:rsidR="002A44E2" w:rsidRPr="00566D99">
        <w:rPr>
          <w:lang w:val="en-GB"/>
        </w:rPr>
        <w:t xml:space="preserve"> (stirring), and the kinetics of CO</w:t>
      </w:r>
      <w:r w:rsidR="002A44E2" w:rsidRPr="00566D99">
        <w:rPr>
          <w:vertAlign w:val="subscript"/>
          <w:lang w:val="en-GB"/>
        </w:rPr>
        <w:t>2</w:t>
      </w:r>
      <w:r w:rsidR="002A44E2" w:rsidRPr="00566D99">
        <w:rPr>
          <w:lang w:val="en-GB"/>
        </w:rPr>
        <w:t xml:space="preserve"> reaction with the solvent. Provided that the </w:t>
      </w:r>
      <w:r w:rsidRPr="00566D99">
        <w:rPr>
          <w:lang w:val="en-GB"/>
        </w:rPr>
        <w:t>experimental conditions, i.e</w:t>
      </w:r>
      <w:r w:rsidR="00412B05">
        <w:rPr>
          <w:lang w:val="en-GB"/>
        </w:rPr>
        <w:t>.</w:t>
      </w:r>
      <w:r w:rsidRPr="00566D99">
        <w:rPr>
          <w:lang w:val="en-GB"/>
        </w:rPr>
        <w:t>,</w:t>
      </w:r>
      <w:r w:rsidR="002A44E2" w:rsidRPr="00566D99">
        <w:rPr>
          <w:lang w:val="en-GB"/>
        </w:rPr>
        <w:t xml:space="preserve"> stirring speed</w:t>
      </w:r>
      <w:r w:rsidRPr="00566D99">
        <w:rPr>
          <w:lang w:val="en-GB"/>
        </w:rPr>
        <w:t>, solvent temperature, and starting pressure</w:t>
      </w:r>
      <w:r w:rsidR="002A44E2" w:rsidRPr="00566D99">
        <w:rPr>
          <w:lang w:val="en-GB"/>
        </w:rPr>
        <w:t xml:space="preserve"> are fixed, the</w:t>
      </w:r>
      <w:r w:rsidRPr="00566D99">
        <w:rPr>
          <w:lang w:val="en-GB"/>
        </w:rPr>
        <w:t xml:space="preserve"> difference in apparent absorption rates between two solvents can be </w:t>
      </w:r>
      <w:r w:rsidR="00245C26">
        <w:rPr>
          <w:lang w:val="en-GB"/>
        </w:rPr>
        <w:t>attributed</w:t>
      </w:r>
      <w:r w:rsidRPr="00566D99">
        <w:rPr>
          <w:lang w:val="en-GB"/>
        </w:rPr>
        <w:t xml:space="preserve"> to the effect of promoters</w:t>
      </w:r>
      <w:r w:rsidR="002A44E2" w:rsidRPr="00566D99">
        <w:rPr>
          <w:lang w:val="en-GB"/>
        </w:rPr>
        <w:t>.</w:t>
      </w:r>
    </w:p>
    <w:p w14:paraId="44BF0CBF" w14:textId="0569DB44" w:rsidR="00134C9B" w:rsidRDefault="00134C9B" w:rsidP="00134C9B">
      <w:pPr>
        <w:pStyle w:val="CETHeading1"/>
      </w:pPr>
      <w:r>
        <w:t>Results</w:t>
      </w:r>
      <w:r w:rsidR="00690364">
        <w:t xml:space="preserve"> and discussion</w:t>
      </w:r>
    </w:p>
    <w:p w14:paraId="60B14111" w14:textId="2E71CC75" w:rsidR="00C7332C" w:rsidRPr="00AC44E9" w:rsidRDefault="002E4172" w:rsidP="00E27B2E">
      <w:pPr>
        <w:pStyle w:val="CETBodytext"/>
        <w:rPr>
          <w:vertAlign w:val="subscript"/>
          <w:lang w:val="en-GB"/>
        </w:rPr>
      </w:pPr>
      <w:r w:rsidRPr="00AC44E9">
        <w:rPr>
          <w:lang w:val="en-GB"/>
        </w:rPr>
        <w:t xml:space="preserve">Figure 2 shows the </w:t>
      </w:r>
      <w:r w:rsidR="00422968">
        <w:rPr>
          <w:lang w:val="en-GB"/>
        </w:rPr>
        <w:t xml:space="preserve">decay of the </w:t>
      </w:r>
      <w:r w:rsidRPr="00AC44E9">
        <w:rPr>
          <w:lang w:val="en-GB"/>
        </w:rPr>
        <w:t xml:space="preserve">pressure </w:t>
      </w:r>
      <w:r w:rsidR="00422968">
        <w:rPr>
          <w:lang w:val="en-GB"/>
        </w:rPr>
        <w:t>inside the reactor</w:t>
      </w:r>
      <w:r w:rsidR="00422968" w:rsidRPr="00AC44E9">
        <w:rPr>
          <w:lang w:val="en-GB"/>
        </w:rPr>
        <w:t xml:space="preserve"> </w:t>
      </w:r>
      <w:r w:rsidRPr="00AC44E9">
        <w:rPr>
          <w:lang w:val="en-GB"/>
        </w:rPr>
        <w:t xml:space="preserve">for </w:t>
      </w:r>
      <w:r w:rsidR="007E116E" w:rsidRPr="00AC44E9">
        <w:rPr>
          <w:lang w:val="en-GB"/>
        </w:rPr>
        <w:t xml:space="preserve">blends of aqueous 25 </w:t>
      </w:r>
      <w:proofErr w:type="spellStart"/>
      <w:r w:rsidR="007E116E" w:rsidRPr="00AC44E9">
        <w:rPr>
          <w:lang w:val="en-GB"/>
        </w:rPr>
        <w:t>wt</w:t>
      </w:r>
      <w:proofErr w:type="spellEnd"/>
      <w:r w:rsidR="007E116E" w:rsidRPr="00AC44E9">
        <w:rPr>
          <w:lang w:val="en-GB"/>
        </w:rPr>
        <w:t>% K</w:t>
      </w:r>
      <w:r w:rsidR="007E116E" w:rsidRPr="00AC44E9">
        <w:rPr>
          <w:vertAlign w:val="subscript"/>
          <w:lang w:val="en-GB"/>
        </w:rPr>
        <w:t>2</w:t>
      </w:r>
      <w:r w:rsidR="007E116E" w:rsidRPr="00AC44E9">
        <w:rPr>
          <w:lang w:val="en-GB"/>
        </w:rPr>
        <w:t>CO</w:t>
      </w:r>
      <w:r w:rsidR="007E116E" w:rsidRPr="00AC44E9">
        <w:rPr>
          <w:vertAlign w:val="subscript"/>
          <w:lang w:val="en-GB"/>
        </w:rPr>
        <w:t>3</w:t>
      </w:r>
      <w:r w:rsidR="007E116E" w:rsidRPr="00AC44E9">
        <w:rPr>
          <w:lang w:val="en-GB"/>
        </w:rPr>
        <w:t xml:space="preserve">, </w:t>
      </w:r>
      <w:r w:rsidR="0046593D" w:rsidRPr="00AC44E9">
        <w:rPr>
          <w:lang w:val="en-GB"/>
        </w:rPr>
        <w:t xml:space="preserve">without promoter (blue) and with 3 </w:t>
      </w:r>
      <w:proofErr w:type="spellStart"/>
      <w:r w:rsidR="0046593D" w:rsidRPr="00AC44E9">
        <w:rPr>
          <w:lang w:val="en-GB"/>
        </w:rPr>
        <w:t>wt</w:t>
      </w:r>
      <w:proofErr w:type="spellEnd"/>
      <w:r w:rsidR="0046593D" w:rsidRPr="00AC44E9">
        <w:rPr>
          <w:lang w:val="en-GB"/>
        </w:rPr>
        <w:t>% V</w:t>
      </w:r>
      <w:r w:rsidR="0046593D" w:rsidRPr="00AC44E9">
        <w:rPr>
          <w:vertAlign w:val="subscript"/>
          <w:lang w:val="en-GB"/>
        </w:rPr>
        <w:t>2</w:t>
      </w:r>
      <w:r w:rsidR="0046593D" w:rsidRPr="00AC44E9">
        <w:rPr>
          <w:lang w:val="en-GB"/>
        </w:rPr>
        <w:t>O</w:t>
      </w:r>
      <w:r w:rsidR="0046593D" w:rsidRPr="00AC44E9">
        <w:rPr>
          <w:vertAlign w:val="subscript"/>
          <w:lang w:val="en-GB"/>
        </w:rPr>
        <w:t>5</w:t>
      </w:r>
      <w:r w:rsidR="0046593D" w:rsidRPr="00AC44E9">
        <w:rPr>
          <w:lang w:val="en-GB"/>
        </w:rPr>
        <w:t xml:space="preserve"> (</w:t>
      </w:r>
      <w:r w:rsidR="008A49D4" w:rsidRPr="00AC44E9">
        <w:rPr>
          <w:lang w:val="en-GB"/>
        </w:rPr>
        <w:t>yellow</w:t>
      </w:r>
      <w:r w:rsidR="0046593D" w:rsidRPr="00AC44E9">
        <w:rPr>
          <w:lang w:val="en-GB"/>
        </w:rPr>
        <w:t xml:space="preserve">), 7 </w:t>
      </w:r>
      <w:proofErr w:type="spellStart"/>
      <w:r w:rsidR="0046593D" w:rsidRPr="00AC44E9">
        <w:rPr>
          <w:lang w:val="en-GB"/>
        </w:rPr>
        <w:t>wt</w:t>
      </w:r>
      <w:proofErr w:type="spellEnd"/>
      <w:r w:rsidR="0046593D" w:rsidRPr="00AC44E9">
        <w:rPr>
          <w:lang w:val="en-GB"/>
        </w:rPr>
        <w:t>% B(OH)</w:t>
      </w:r>
      <w:r w:rsidR="0046593D" w:rsidRPr="00AC44E9">
        <w:rPr>
          <w:vertAlign w:val="subscript"/>
          <w:lang w:val="en-GB"/>
        </w:rPr>
        <w:t>3</w:t>
      </w:r>
      <w:r w:rsidR="0046593D" w:rsidRPr="00AC44E9">
        <w:rPr>
          <w:lang w:val="en-GB"/>
        </w:rPr>
        <w:t xml:space="preserve"> (red), 7 </w:t>
      </w:r>
      <w:proofErr w:type="spellStart"/>
      <w:r w:rsidR="0046593D" w:rsidRPr="00AC44E9">
        <w:rPr>
          <w:lang w:val="en-GB"/>
        </w:rPr>
        <w:t>wt</w:t>
      </w:r>
      <w:proofErr w:type="spellEnd"/>
      <w:r w:rsidR="0046593D" w:rsidRPr="00AC44E9">
        <w:rPr>
          <w:lang w:val="en-GB"/>
        </w:rPr>
        <w:t xml:space="preserve">% piperazine (purple), and 7 </w:t>
      </w:r>
      <w:proofErr w:type="spellStart"/>
      <w:r w:rsidR="0046593D" w:rsidRPr="00AC44E9">
        <w:rPr>
          <w:lang w:val="en-GB"/>
        </w:rPr>
        <w:t>wt</w:t>
      </w:r>
      <w:proofErr w:type="spellEnd"/>
      <w:r w:rsidR="0046593D" w:rsidRPr="00AC44E9">
        <w:rPr>
          <w:lang w:val="en-GB"/>
        </w:rPr>
        <w:t>% MEA</w:t>
      </w:r>
      <w:r w:rsidR="000C5C38" w:rsidRPr="00AC44E9">
        <w:rPr>
          <w:lang w:val="en-GB"/>
        </w:rPr>
        <w:t xml:space="preserve"> (green)</w:t>
      </w:r>
      <w:r w:rsidR="0046593D" w:rsidRPr="00AC44E9">
        <w:rPr>
          <w:lang w:val="en-GB"/>
        </w:rPr>
        <w:t>.</w:t>
      </w:r>
      <w:r w:rsidR="007E116E" w:rsidRPr="00AC44E9">
        <w:rPr>
          <w:lang w:val="en-GB"/>
        </w:rPr>
        <w:t xml:space="preserve"> </w:t>
      </w:r>
      <w:r w:rsidR="0046593D" w:rsidRPr="00AC44E9">
        <w:rPr>
          <w:lang w:val="en-GB"/>
        </w:rPr>
        <w:t xml:space="preserve">The experiments were performed </w:t>
      </w:r>
      <w:r w:rsidR="007E116E" w:rsidRPr="00AC44E9">
        <w:rPr>
          <w:lang w:val="en-GB"/>
        </w:rPr>
        <w:t xml:space="preserve">under the same conditions, </w:t>
      </w:r>
      <w:r w:rsidR="00422968">
        <w:rPr>
          <w:lang w:val="en-GB"/>
        </w:rPr>
        <w:t>namely a</w:t>
      </w:r>
      <w:r w:rsidR="0046593D" w:rsidRPr="00AC44E9">
        <w:rPr>
          <w:lang w:val="en-GB"/>
        </w:rPr>
        <w:t xml:space="preserve"> </w:t>
      </w:r>
      <w:r w:rsidR="007E116E" w:rsidRPr="00AC44E9">
        <w:rPr>
          <w:lang w:val="en-GB"/>
        </w:rPr>
        <w:t xml:space="preserve">temperature of 50 </w:t>
      </w:r>
      <w:r w:rsidR="007E116E" w:rsidRPr="00AC44E9">
        <w:rPr>
          <w:rFonts w:cs="Arial"/>
          <w:lang w:val="en-GB"/>
        </w:rPr>
        <w:t>˚</w:t>
      </w:r>
      <w:r w:rsidR="007E116E" w:rsidRPr="00AC44E9">
        <w:rPr>
          <w:lang w:val="en-GB"/>
        </w:rPr>
        <w:t>C</w:t>
      </w:r>
      <w:r w:rsidR="00422968">
        <w:rPr>
          <w:lang w:val="en-GB"/>
        </w:rPr>
        <w:t xml:space="preserve">, a </w:t>
      </w:r>
      <w:r w:rsidR="007E116E" w:rsidRPr="00AC44E9">
        <w:rPr>
          <w:lang w:val="en-GB"/>
        </w:rPr>
        <w:t>starting CO</w:t>
      </w:r>
      <w:r w:rsidR="007E116E" w:rsidRPr="00AC44E9">
        <w:rPr>
          <w:vertAlign w:val="subscript"/>
          <w:lang w:val="en-GB"/>
        </w:rPr>
        <w:t>2</w:t>
      </w:r>
      <w:r w:rsidR="007E116E" w:rsidRPr="00AC44E9">
        <w:rPr>
          <w:lang w:val="en-GB"/>
        </w:rPr>
        <w:t xml:space="preserve"> pressure</w:t>
      </w:r>
      <w:r w:rsidR="00422968">
        <w:rPr>
          <w:lang w:val="en-GB"/>
        </w:rPr>
        <w:t xml:space="preserve"> of</w:t>
      </w:r>
      <w:r w:rsidR="007E116E" w:rsidRPr="00AC44E9">
        <w:rPr>
          <w:lang w:val="en-GB"/>
        </w:rPr>
        <w:t xml:space="preserve"> approximately 4</w:t>
      </w:r>
      <w:r w:rsidR="005241E0">
        <w:rPr>
          <w:lang w:val="en-GB"/>
        </w:rPr>
        <w:t>00</w:t>
      </w:r>
      <w:r w:rsidR="007E116E" w:rsidRPr="00AC44E9">
        <w:rPr>
          <w:lang w:val="en-GB"/>
        </w:rPr>
        <w:t xml:space="preserve"> </w:t>
      </w:r>
      <w:r w:rsidR="005241E0">
        <w:rPr>
          <w:lang w:val="en-GB"/>
        </w:rPr>
        <w:t>kPa</w:t>
      </w:r>
      <w:r w:rsidR="00422968">
        <w:rPr>
          <w:lang w:val="en-GB"/>
        </w:rPr>
        <w:t xml:space="preserve">, </w:t>
      </w:r>
      <w:r w:rsidR="00422968" w:rsidRPr="005241E0">
        <w:rPr>
          <w:lang w:val="en-GB"/>
        </w:rPr>
        <w:t xml:space="preserve">and a stirring speed of </w:t>
      </w:r>
      <w:r w:rsidR="005241E0">
        <w:rPr>
          <w:lang w:val="en-GB"/>
        </w:rPr>
        <w:t>500 rpm</w:t>
      </w:r>
      <w:r w:rsidR="007E116E" w:rsidRPr="00AC44E9">
        <w:rPr>
          <w:lang w:val="en-GB"/>
        </w:rPr>
        <w:t>.</w:t>
      </w:r>
      <w:r w:rsidR="000C5C38" w:rsidRPr="00AC44E9">
        <w:rPr>
          <w:lang w:val="en-GB"/>
        </w:rPr>
        <w:t xml:space="preserve"> </w:t>
      </w:r>
      <w:r w:rsidR="008A49D4" w:rsidRPr="00AC44E9">
        <w:rPr>
          <w:lang w:val="en-GB"/>
        </w:rPr>
        <w:t xml:space="preserve">The apparent rates of absorption for the </w:t>
      </w:r>
      <w:r w:rsidR="00422968">
        <w:rPr>
          <w:lang w:val="en-GB"/>
        </w:rPr>
        <w:t>different solvent</w:t>
      </w:r>
      <w:r w:rsidR="008A49D4" w:rsidRPr="00AC44E9">
        <w:rPr>
          <w:lang w:val="en-GB"/>
        </w:rPr>
        <w:t xml:space="preserve"> blends, calculated by equation (</w:t>
      </w:r>
      <w:r w:rsidR="008A49D4" w:rsidRPr="00AC44E9">
        <w:rPr>
          <w:lang w:val="en-GB"/>
        </w:rPr>
        <w:fldChar w:fldCharType="begin"/>
      </w:r>
      <w:r w:rsidR="008A49D4" w:rsidRPr="00AC44E9">
        <w:rPr>
          <w:lang w:val="en-GB"/>
        </w:rPr>
        <w:instrText xml:space="preserve"> REF p_decay_log \h </w:instrText>
      </w:r>
      <w:r w:rsidR="008A49D4" w:rsidRPr="00AC44E9">
        <w:rPr>
          <w:lang w:val="en-GB"/>
        </w:rPr>
      </w:r>
      <w:r w:rsidR="008A49D4" w:rsidRPr="00AC44E9">
        <w:rPr>
          <w:lang w:val="en-GB"/>
        </w:rPr>
        <w:fldChar w:fldCharType="separate"/>
      </w:r>
      <w:r w:rsidR="00673BCD">
        <w:rPr>
          <w:noProof/>
        </w:rPr>
        <w:t>9</w:t>
      </w:r>
      <w:r w:rsidR="008A49D4" w:rsidRPr="00AC44E9">
        <w:rPr>
          <w:lang w:val="en-GB"/>
        </w:rPr>
        <w:fldChar w:fldCharType="end"/>
      </w:r>
      <w:r w:rsidR="008A49D4" w:rsidRPr="00AC44E9">
        <w:rPr>
          <w:lang w:val="en-GB"/>
        </w:rPr>
        <w:t xml:space="preserve">) are shown in the inset of Figure 2, where blends containing multiple promoters, 3 </w:t>
      </w:r>
      <w:proofErr w:type="spellStart"/>
      <w:r w:rsidR="008A49D4" w:rsidRPr="00AC44E9">
        <w:rPr>
          <w:lang w:val="en-GB"/>
        </w:rPr>
        <w:t>wt</w:t>
      </w:r>
      <w:proofErr w:type="spellEnd"/>
      <w:r w:rsidR="008A49D4" w:rsidRPr="00AC44E9">
        <w:rPr>
          <w:lang w:val="en-GB"/>
        </w:rPr>
        <w:t>% V</w:t>
      </w:r>
      <w:r w:rsidR="008A49D4" w:rsidRPr="00AC44E9">
        <w:rPr>
          <w:vertAlign w:val="subscript"/>
          <w:lang w:val="en-GB"/>
        </w:rPr>
        <w:t>2</w:t>
      </w:r>
      <w:r w:rsidR="008A49D4" w:rsidRPr="00AC44E9">
        <w:rPr>
          <w:lang w:val="en-GB"/>
        </w:rPr>
        <w:t>O</w:t>
      </w:r>
      <w:r w:rsidR="008A49D4" w:rsidRPr="00AC44E9">
        <w:rPr>
          <w:vertAlign w:val="subscript"/>
          <w:lang w:val="en-GB"/>
        </w:rPr>
        <w:t>5</w:t>
      </w:r>
      <w:r w:rsidR="008A49D4" w:rsidRPr="00AC44E9">
        <w:rPr>
          <w:lang w:val="en-GB"/>
        </w:rPr>
        <w:t xml:space="preserve"> and 3 </w:t>
      </w:r>
      <w:proofErr w:type="spellStart"/>
      <w:r w:rsidR="008A49D4" w:rsidRPr="00AC44E9">
        <w:rPr>
          <w:lang w:val="en-GB"/>
        </w:rPr>
        <w:t>wt</w:t>
      </w:r>
      <w:proofErr w:type="spellEnd"/>
      <w:r w:rsidR="008A49D4" w:rsidRPr="00AC44E9">
        <w:rPr>
          <w:lang w:val="en-GB"/>
        </w:rPr>
        <w:t>% B(OH)</w:t>
      </w:r>
      <w:r w:rsidR="008A49D4" w:rsidRPr="00AC44E9">
        <w:rPr>
          <w:vertAlign w:val="subscript"/>
          <w:lang w:val="en-GB"/>
        </w:rPr>
        <w:t>3</w:t>
      </w:r>
      <w:r w:rsidR="008A49D4" w:rsidRPr="00AC44E9">
        <w:rPr>
          <w:lang w:val="en-GB"/>
        </w:rPr>
        <w:t xml:space="preserve"> (orange) as well as 3 </w:t>
      </w:r>
      <w:proofErr w:type="spellStart"/>
      <w:r w:rsidR="008A49D4" w:rsidRPr="00AC44E9">
        <w:rPr>
          <w:lang w:val="en-GB"/>
        </w:rPr>
        <w:t>wt</w:t>
      </w:r>
      <w:proofErr w:type="spellEnd"/>
      <w:r w:rsidR="008A49D4" w:rsidRPr="00AC44E9">
        <w:rPr>
          <w:lang w:val="en-GB"/>
        </w:rPr>
        <w:t>% V</w:t>
      </w:r>
      <w:r w:rsidR="008A49D4" w:rsidRPr="00AC44E9">
        <w:rPr>
          <w:vertAlign w:val="subscript"/>
          <w:lang w:val="en-GB"/>
        </w:rPr>
        <w:t>2</w:t>
      </w:r>
      <w:r w:rsidR="008A49D4" w:rsidRPr="00AC44E9">
        <w:rPr>
          <w:lang w:val="en-GB"/>
        </w:rPr>
        <w:t>O</w:t>
      </w:r>
      <w:r w:rsidR="008A49D4" w:rsidRPr="00AC44E9">
        <w:rPr>
          <w:vertAlign w:val="subscript"/>
          <w:lang w:val="en-GB"/>
        </w:rPr>
        <w:t>5</w:t>
      </w:r>
      <w:r w:rsidR="008A49D4" w:rsidRPr="00AC44E9">
        <w:rPr>
          <w:lang w:val="en-GB"/>
        </w:rPr>
        <w:t xml:space="preserve"> and 6 </w:t>
      </w:r>
      <w:proofErr w:type="spellStart"/>
      <w:r w:rsidR="008A49D4" w:rsidRPr="00AC44E9">
        <w:rPr>
          <w:lang w:val="en-GB"/>
        </w:rPr>
        <w:t>wt</w:t>
      </w:r>
      <w:proofErr w:type="spellEnd"/>
      <w:r w:rsidR="008A49D4" w:rsidRPr="00AC44E9">
        <w:rPr>
          <w:lang w:val="en-GB"/>
        </w:rPr>
        <w:t>% B(OH)</w:t>
      </w:r>
      <w:r w:rsidR="008A49D4" w:rsidRPr="00AC44E9">
        <w:rPr>
          <w:vertAlign w:val="subscript"/>
          <w:lang w:val="en-GB"/>
        </w:rPr>
        <w:t>3</w:t>
      </w:r>
      <w:r w:rsidR="00750322" w:rsidRPr="00AC44E9">
        <w:rPr>
          <w:vertAlign w:val="subscript"/>
          <w:lang w:val="en-GB"/>
        </w:rPr>
        <w:t xml:space="preserve"> </w:t>
      </w:r>
      <w:r w:rsidR="00750322" w:rsidRPr="00AC44E9">
        <w:rPr>
          <w:lang w:val="en-GB"/>
        </w:rPr>
        <w:t>(brown)</w:t>
      </w:r>
      <w:r w:rsidR="008A49D4" w:rsidRPr="00AC44E9">
        <w:rPr>
          <w:lang w:val="en-GB"/>
        </w:rPr>
        <w:t xml:space="preserve"> are also included.</w:t>
      </w:r>
    </w:p>
    <w:p w14:paraId="47305C46" w14:textId="092B1811" w:rsidR="002E4172" w:rsidRPr="00AC44E9" w:rsidRDefault="00C7332C" w:rsidP="00AE1988">
      <w:pPr>
        <w:pStyle w:val="CETBodytext"/>
        <w:rPr>
          <w:lang w:val="en-GB"/>
        </w:rPr>
      </w:pPr>
      <w:r w:rsidRPr="00AC44E9">
        <w:rPr>
          <w:lang w:val="en-GB"/>
        </w:rPr>
        <w:t xml:space="preserve">Among the blends tested, the one promoted with MEA </w:t>
      </w:r>
      <w:r w:rsidR="00422968">
        <w:rPr>
          <w:lang w:val="en-GB"/>
        </w:rPr>
        <w:t xml:space="preserve">(green) </w:t>
      </w:r>
      <w:r w:rsidRPr="00AC44E9">
        <w:rPr>
          <w:lang w:val="en-GB"/>
        </w:rPr>
        <w:t>demonstrated the highest absorption rate (</w:t>
      </w:r>
      <w:r w:rsidR="00245C26">
        <w:rPr>
          <w:lang w:val="en-GB"/>
        </w:rPr>
        <w:t>expressed</w:t>
      </w:r>
      <w:r w:rsidRPr="00AC44E9">
        <w:rPr>
          <w:lang w:val="en-GB"/>
        </w:rPr>
        <w:t xml:space="preserve"> by the </w:t>
      </w:r>
      <w:r w:rsidR="00245C26">
        <w:rPr>
          <w:lang w:val="en-GB"/>
        </w:rPr>
        <w:t>rapid</w:t>
      </w:r>
      <w:r w:rsidRPr="00AC44E9">
        <w:rPr>
          <w:lang w:val="en-GB"/>
        </w:rPr>
        <w:t xml:space="preserve"> pressure </w:t>
      </w:r>
      <w:r w:rsidR="00245C26">
        <w:rPr>
          <w:lang w:val="en-GB"/>
        </w:rPr>
        <w:t>decrease</w:t>
      </w:r>
      <w:r w:rsidRPr="00AC44E9">
        <w:rPr>
          <w:lang w:val="en-GB"/>
        </w:rPr>
        <w:t xml:space="preserve">), followed by </w:t>
      </w:r>
      <w:proofErr w:type="spellStart"/>
      <w:r w:rsidRPr="00AC44E9">
        <w:rPr>
          <w:lang w:val="en-GB"/>
        </w:rPr>
        <w:t>Pz</w:t>
      </w:r>
      <w:proofErr w:type="spellEnd"/>
      <w:r w:rsidR="00422968">
        <w:rPr>
          <w:lang w:val="en-GB"/>
        </w:rPr>
        <w:t xml:space="preserve"> (purple)</w:t>
      </w:r>
      <w:r w:rsidRPr="00AC44E9">
        <w:rPr>
          <w:lang w:val="en-GB"/>
        </w:rPr>
        <w:t>. The solvent blend with VO</w:t>
      </w:r>
      <w:r w:rsidR="00422968">
        <w:rPr>
          <w:lang w:val="en-GB"/>
        </w:rPr>
        <w:t xml:space="preserve"> (yellow)</w:t>
      </w:r>
      <w:r w:rsidRPr="00AC44E9">
        <w:rPr>
          <w:lang w:val="en-GB"/>
        </w:rPr>
        <w:t xml:space="preserve"> also showed significant </w:t>
      </w:r>
      <w:r w:rsidR="006C2DBF">
        <w:rPr>
          <w:lang w:val="en-GB"/>
        </w:rPr>
        <w:t>enhancement</w:t>
      </w:r>
      <w:r w:rsidRPr="00AC44E9">
        <w:rPr>
          <w:lang w:val="en-GB"/>
        </w:rPr>
        <w:t xml:space="preserve"> in the absorption rate,</w:t>
      </w:r>
      <w:r w:rsidR="00D771A7" w:rsidRPr="00AC44E9">
        <w:rPr>
          <w:lang w:val="en-GB"/>
        </w:rPr>
        <w:t xml:space="preserve"> albeit not as fast as amine-promoters.</w:t>
      </w:r>
      <w:r w:rsidRPr="00AC44E9">
        <w:rPr>
          <w:lang w:val="en-GB"/>
        </w:rPr>
        <w:t xml:space="preserve"> </w:t>
      </w:r>
      <w:r w:rsidR="00D771A7" w:rsidRPr="00AC44E9">
        <w:rPr>
          <w:lang w:val="en-GB"/>
        </w:rPr>
        <w:t>However,</w:t>
      </w:r>
      <w:r w:rsidRPr="00AC44E9">
        <w:rPr>
          <w:lang w:val="en-GB"/>
        </w:rPr>
        <w:t xml:space="preserve"> the blend promoted with BA </w:t>
      </w:r>
      <w:r w:rsidR="00422968">
        <w:rPr>
          <w:lang w:val="en-GB"/>
        </w:rPr>
        <w:t xml:space="preserve">(red) </w:t>
      </w:r>
      <w:r w:rsidRPr="00AC44E9">
        <w:rPr>
          <w:lang w:val="en-GB"/>
        </w:rPr>
        <w:t>indicated similar absorption rate to that of the unpromoted solvent</w:t>
      </w:r>
      <w:r w:rsidR="00422968">
        <w:rPr>
          <w:lang w:val="en-GB"/>
        </w:rPr>
        <w:t xml:space="preserve"> (blue)</w:t>
      </w:r>
      <w:r w:rsidR="00782F6B">
        <w:rPr>
          <w:lang w:val="en-GB"/>
        </w:rPr>
        <w:t xml:space="preserve"> (repetition of experiments with unpromoted K</w:t>
      </w:r>
      <w:r w:rsidR="00782F6B">
        <w:rPr>
          <w:vertAlign w:val="subscript"/>
          <w:lang w:val="en-GB"/>
        </w:rPr>
        <w:t>2</w:t>
      </w:r>
      <w:r w:rsidR="00782F6B">
        <w:rPr>
          <w:lang w:val="en-GB"/>
        </w:rPr>
        <w:t>CO</w:t>
      </w:r>
      <w:r w:rsidR="00782F6B">
        <w:rPr>
          <w:vertAlign w:val="subscript"/>
          <w:lang w:val="en-GB"/>
        </w:rPr>
        <w:t>3</w:t>
      </w:r>
      <w:r w:rsidR="00782F6B">
        <w:rPr>
          <w:lang w:val="en-GB"/>
        </w:rPr>
        <w:t xml:space="preserve"> </w:t>
      </w:r>
      <w:r w:rsidR="00DD7253">
        <w:rPr>
          <w:lang w:val="en-GB"/>
        </w:rPr>
        <w:t>indicated no significant difference with the BA-promoted solvent</w:t>
      </w:r>
      <w:r w:rsidR="00782F6B">
        <w:rPr>
          <w:lang w:val="en-GB"/>
        </w:rPr>
        <w:t>)</w:t>
      </w:r>
      <w:r w:rsidRPr="00AC44E9">
        <w:rPr>
          <w:lang w:val="en-GB"/>
        </w:rPr>
        <w:t>. Furthermore, addition of BA to VO</w:t>
      </w:r>
      <w:r w:rsidR="00E27B2E" w:rsidRPr="00AC44E9">
        <w:rPr>
          <w:lang w:val="en-GB"/>
        </w:rPr>
        <w:t xml:space="preserve"> demonstrates</w:t>
      </w:r>
      <w:r w:rsidRPr="00AC44E9">
        <w:rPr>
          <w:lang w:val="en-GB"/>
        </w:rPr>
        <w:t xml:space="preserve"> an inhibiting effect on the absorption rate</w:t>
      </w:r>
      <w:r w:rsidR="00422968">
        <w:rPr>
          <w:lang w:val="en-GB"/>
        </w:rPr>
        <w:t xml:space="preserve"> (column 2 to 5 in the inset in Fig. 2)</w:t>
      </w:r>
      <w:r w:rsidRPr="00AC44E9">
        <w:rPr>
          <w:lang w:val="en-GB"/>
        </w:rPr>
        <w:t xml:space="preserve">; 6 </w:t>
      </w:r>
      <w:proofErr w:type="spellStart"/>
      <w:r w:rsidRPr="00AC44E9">
        <w:rPr>
          <w:lang w:val="en-GB"/>
        </w:rPr>
        <w:t>wt</w:t>
      </w:r>
      <w:proofErr w:type="spellEnd"/>
      <w:r w:rsidRPr="00AC44E9">
        <w:rPr>
          <w:lang w:val="en-GB"/>
        </w:rPr>
        <w:t xml:space="preserve">% BA </w:t>
      </w:r>
      <w:r w:rsidR="00422968">
        <w:rPr>
          <w:lang w:val="en-GB"/>
        </w:rPr>
        <w:t xml:space="preserve">nearly completely inhibited the enhancing effect of </w:t>
      </w:r>
      <w:r w:rsidRPr="00AC44E9">
        <w:rPr>
          <w:lang w:val="en-GB"/>
        </w:rPr>
        <w:t>VO.</w:t>
      </w:r>
    </w:p>
    <w:p w14:paraId="2196EAFB" w14:textId="06A51B2B" w:rsidR="005F0F31" w:rsidRDefault="0019359F" w:rsidP="00BE5CA1">
      <w:pPr>
        <w:pStyle w:val="CETBodytext"/>
      </w:pPr>
      <w:r>
        <w:rPr>
          <w:noProof/>
        </w:rPr>
        <w:drawing>
          <wp:inline distT="0" distB="0" distL="0" distR="0" wp14:anchorId="193F5E4D" wp14:editId="1A9B399A">
            <wp:extent cx="3001010" cy="3001010"/>
            <wp:effectExtent l="0" t="0" r="0" b="0"/>
            <wp:docPr id="10" name="Picture 1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010" cy="3001010"/>
                    </a:xfrm>
                    <a:prstGeom prst="rect">
                      <a:avLst/>
                    </a:prstGeom>
                    <a:noFill/>
                    <a:ln>
                      <a:noFill/>
                    </a:ln>
                  </pic:spPr>
                </pic:pic>
              </a:graphicData>
            </a:graphic>
          </wp:inline>
        </w:drawing>
      </w:r>
    </w:p>
    <w:p w14:paraId="1EE27160" w14:textId="3A1D5537" w:rsidR="00B80F70" w:rsidRDefault="005F0F31" w:rsidP="00B80F70">
      <w:pPr>
        <w:pStyle w:val="CETCaption"/>
        <w:spacing w:before="0"/>
        <w:rPr>
          <w:lang w:val="en-US"/>
        </w:rPr>
      </w:pPr>
      <w:r>
        <w:t xml:space="preserve">Figure 2: Pressure decay curves for blends of fresh 25 </w:t>
      </w:r>
      <w:proofErr w:type="spellStart"/>
      <w:r>
        <w:t>wt</w:t>
      </w:r>
      <w:proofErr w:type="spellEnd"/>
      <w:r>
        <w:t>% aqueous K</w:t>
      </w:r>
      <w:r>
        <w:rPr>
          <w:vertAlign w:val="subscript"/>
        </w:rPr>
        <w:t>2</w:t>
      </w:r>
      <w:r>
        <w:t>CO</w:t>
      </w:r>
      <w:r>
        <w:rPr>
          <w:vertAlign w:val="subscript"/>
        </w:rPr>
        <w:t>3</w:t>
      </w:r>
      <w:r>
        <w:t xml:space="preserve"> with and without promoters. </w:t>
      </w:r>
      <w:r w:rsidR="00C56EC5">
        <w:t>Inset</w:t>
      </w:r>
      <w:r w:rsidR="00C56EC5">
        <w:rPr>
          <w:lang w:val="en-US"/>
        </w:rPr>
        <w:t>: Apparent absorption rate for these blends calculated using slope of the pressure curves.</w:t>
      </w:r>
      <w:r w:rsidR="002A44E2">
        <w:rPr>
          <w:lang w:val="en-US"/>
        </w:rPr>
        <w:t xml:space="preserve"> Error bars are calculated from the standard deviation in </w:t>
      </w:r>
      <w:r w:rsidR="00245C26">
        <w:rPr>
          <w:lang w:val="en-US"/>
        </w:rPr>
        <w:t xml:space="preserve">the </w:t>
      </w:r>
      <w:r w:rsidR="009E4532">
        <w:rPr>
          <w:lang w:val="en-US"/>
        </w:rPr>
        <w:t>case</w:t>
      </w:r>
      <w:r w:rsidR="00245C26">
        <w:rPr>
          <w:lang w:val="en-US"/>
        </w:rPr>
        <w:t xml:space="preserve"> </w:t>
      </w:r>
      <w:r w:rsidR="002A44E2">
        <w:rPr>
          <w:lang w:val="en-US"/>
        </w:rPr>
        <w:t>multiple experiments</w:t>
      </w:r>
      <w:r w:rsidR="009E4532">
        <w:rPr>
          <w:lang w:val="en-US"/>
        </w:rPr>
        <w:t xml:space="preserve"> were performed</w:t>
      </w:r>
      <w:r w:rsidR="002A44E2">
        <w:rPr>
          <w:lang w:val="en-US"/>
        </w:rPr>
        <w:t>.</w:t>
      </w:r>
    </w:p>
    <w:p w14:paraId="58CEEEE3" w14:textId="3FDDC6B8" w:rsidR="00E27B2E" w:rsidRPr="00B52D27" w:rsidRDefault="00483BDE" w:rsidP="00B52D27">
      <w:pPr>
        <w:pStyle w:val="CETBodytext"/>
        <w:rPr>
          <w:lang w:val="en-GB"/>
        </w:rPr>
      </w:pPr>
      <w:r w:rsidRPr="00B52D27">
        <w:rPr>
          <w:lang w:val="en-GB"/>
        </w:rPr>
        <w:t xml:space="preserve">To compare the experimental results with the literature, </w:t>
      </w:r>
      <w:r w:rsidR="00E27B2E" w:rsidRPr="00B52D27">
        <w:rPr>
          <w:lang w:val="en-GB"/>
        </w:rPr>
        <w:t>extra information about the blends (solvent pH before the experiment and approximate concentration of promoter(s) in molarity) are provided in Table 1. Additionally, the reaction rate constants for the promoters, compiled from the indicated literature, are included.</w:t>
      </w:r>
    </w:p>
    <w:p w14:paraId="6160D623" w14:textId="77777777" w:rsidR="008F6C29" w:rsidRDefault="008F6C29">
      <w:pPr>
        <w:tabs>
          <w:tab w:val="clear" w:pos="7100"/>
        </w:tabs>
        <w:spacing w:after="200" w:line="276" w:lineRule="auto"/>
        <w:jc w:val="left"/>
        <w:rPr>
          <w:i/>
        </w:rPr>
      </w:pPr>
      <w:r>
        <w:br w:type="page"/>
      </w:r>
    </w:p>
    <w:p w14:paraId="34C730A8" w14:textId="576539A2" w:rsidR="00E27B2E" w:rsidRPr="00483BDE" w:rsidRDefault="00E27B2E" w:rsidP="008F6C29">
      <w:pPr>
        <w:pStyle w:val="CETCaption"/>
        <w:spacing w:after="0"/>
        <w:rPr>
          <w:lang w:val="en-US"/>
        </w:rPr>
      </w:pPr>
      <w:r w:rsidRPr="009F7ACA">
        <w:lastRenderedPageBreak/>
        <w:t xml:space="preserve">Table 1: </w:t>
      </w:r>
      <w:r w:rsidR="00581384">
        <w:t>P</w:t>
      </w:r>
      <w:r>
        <w:t xml:space="preserve">romoter concentration and pH of </w:t>
      </w:r>
      <w:r w:rsidR="00581384">
        <w:t xml:space="preserve">the solvent </w:t>
      </w:r>
      <w:r>
        <w:t xml:space="preserve">blends used in </w:t>
      </w:r>
      <w:r w:rsidR="00581384">
        <w:t xml:space="preserve">the </w:t>
      </w:r>
      <w:r>
        <w:t xml:space="preserve">experiments </w:t>
      </w:r>
      <w:r w:rsidR="00581384">
        <w:t xml:space="preserve">together with the rate constants </w:t>
      </w:r>
      <w:r>
        <w:t xml:space="preserve">at 50 </w:t>
      </w:r>
      <w:r>
        <w:rPr>
          <w:rFonts w:cs="Arial"/>
        </w:rPr>
        <w:t>˚</w:t>
      </w:r>
      <w:r>
        <w:t>C</w:t>
      </w:r>
      <w:r w:rsidR="00581384">
        <w:t xml:space="preserve"> as reported in the literature.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50"/>
        <w:gridCol w:w="2340"/>
        <w:gridCol w:w="1080"/>
        <w:gridCol w:w="630"/>
        <w:gridCol w:w="1530"/>
        <w:gridCol w:w="2520"/>
      </w:tblGrid>
      <w:tr w:rsidR="00E27B2E" w:rsidRPr="009F7ACA" w14:paraId="61D8F048" w14:textId="77777777" w:rsidTr="0098098D">
        <w:tc>
          <w:tcPr>
            <w:tcW w:w="450" w:type="dxa"/>
            <w:tcBorders>
              <w:top w:val="single" w:sz="12" w:space="0" w:color="008000"/>
              <w:bottom w:val="single" w:sz="6" w:space="0" w:color="008000"/>
            </w:tcBorders>
            <w:shd w:val="clear" w:color="auto" w:fill="FFFFFF"/>
          </w:tcPr>
          <w:p w14:paraId="58A260C4" w14:textId="77777777" w:rsidR="00E27B2E" w:rsidRDefault="00E27B2E" w:rsidP="0098098D">
            <w:pPr>
              <w:pStyle w:val="CETBodytext"/>
              <w:jc w:val="left"/>
              <w:rPr>
                <w:lang w:val="en-GB"/>
              </w:rPr>
            </w:pPr>
          </w:p>
        </w:tc>
        <w:tc>
          <w:tcPr>
            <w:tcW w:w="2340" w:type="dxa"/>
            <w:tcBorders>
              <w:top w:val="single" w:sz="12" w:space="0" w:color="008000"/>
              <w:bottom w:val="single" w:sz="6" w:space="0" w:color="008000"/>
            </w:tcBorders>
            <w:shd w:val="clear" w:color="auto" w:fill="FFFFFF"/>
          </w:tcPr>
          <w:p w14:paraId="68672C56" w14:textId="77777777" w:rsidR="00E27B2E" w:rsidRPr="009F7ACA" w:rsidRDefault="00E27B2E" w:rsidP="0098098D">
            <w:pPr>
              <w:pStyle w:val="CETBodytext"/>
              <w:jc w:val="left"/>
              <w:rPr>
                <w:lang w:val="en-GB"/>
              </w:rPr>
            </w:pPr>
            <w:r>
              <w:rPr>
                <w:lang w:val="en-GB"/>
              </w:rPr>
              <w:t>Blend</w:t>
            </w:r>
            <w:r>
              <w:rPr>
                <w:lang w:val="en-GB"/>
              </w:rPr>
              <w:br/>
              <w:t xml:space="preserve">25 </w:t>
            </w:r>
            <w:proofErr w:type="spellStart"/>
            <w:r>
              <w:rPr>
                <w:lang w:val="en-GB"/>
              </w:rPr>
              <w:t>wt</w:t>
            </w:r>
            <w:proofErr w:type="spellEnd"/>
            <w:r>
              <w:rPr>
                <w:lang w:val="en-GB"/>
              </w:rPr>
              <w:t>% K</w:t>
            </w:r>
            <w:r>
              <w:rPr>
                <w:vertAlign w:val="subscript"/>
                <w:lang w:val="en-GB"/>
              </w:rPr>
              <w:t>2</w:t>
            </w:r>
            <w:r>
              <w:rPr>
                <w:lang w:val="en-GB"/>
              </w:rPr>
              <w:t>CO</w:t>
            </w:r>
            <w:r>
              <w:rPr>
                <w:vertAlign w:val="subscript"/>
                <w:lang w:val="en-GB"/>
              </w:rPr>
              <w:t>3</w:t>
            </w:r>
            <w:r w:rsidRPr="009F7ACA">
              <w:rPr>
                <w:lang w:val="en-GB"/>
              </w:rPr>
              <w:t xml:space="preserve"> </w:t>
            </w:r>
          </w:p>
        </w:tc>
        <w:tc>
          <w:tcPr>
            <w:tcW w:w="1080" w:type="dxa"/>
            <w:tcBorders>
              <w:top w:val="single" w:sz="12" w:space="0" w:color="008000"/>
              <w:bottom w:val="single" w:sz="6" w:space="0" w:color="008000"/>
            </w:tcBorders>
            <w:shd w:val="clear" w:color="auto" w:fill="FFFFFF"/>
          </w:tcPr>
          <w:p w14:paraId="591CBB67" w14:textId="77777777" w:rsidR="00E27B2E" w:rsidRPr="009F7ACA" w:rsidRDefault="00E27B2E" w:rsidP="0098098D">
            <w:pPr>
              <w:pStyle w:val="CETBodytext"/>
              <w:jc w:val="left"/>
              <w:rPr>
                <w:lang w:val="en-GB"/>
              </w:rPr>
            </w:pPr>
            <w:r>
              <w:rPr>
                <w:lang w:val="en-GB"/>
              </w:rPr>
              <w:t>Promoter(s) conc. (M)</w:t>
            </w:r>
          </w:p>
        </w:tc>
        <w:tc>
          <w:tcPr>
            <w:tcW w:w="630" w:type="dxa"/>
            <w:tcBorders>
              <w:top w:val="single" w:sz="12" w:space="0" w:color="008000"/>
              <w:bottom w:val="single" w:sz="6" w:space="0" w:color="008000"/>
            </w:tcBorders>
            <w:shd w:val="clear" w:color="auto" w:fill="FFFFFF"/>
          </w:tcPr>
          <w:p w14:paraId="3E4E484B" w14:textId="77777777" w:rsidR="00E27B2E" w:rsidRPr="009F7ACA" w:rsidRDefault="00E27B2E" w:rsidP="0098098D">
            <w:pPr>
              <w:pStyle w:val="CETBodytext"/>
              <w:jc w:val="left"/>
              <w:rPr>
                <w:lang w:val="en-GB"/>
              </w:rPr>
            </w:pPr>
            <w:r>
              <w:rPr>
                <w:lang w:val="en-GB"/>
              </w:rPr>
              <w:t>pH (Exp.)</w:t>
            </w:r>
          </w:p>
        </w:tc>
        <w:tc>
          <w:tcPr>
            <w:tcW w:w="1530" w:type="dxa"/>
            <w:tcBorders>
              <w:top w:val="single" w:sz="12" w:space="0" w:color="008000"/>
              <w:bottom w:val="single" w:sz="6" w:space="0" w:color="008000"/>
            </w:tcBorders>
            <w:shd w:val="clear" w:color="auto" w:fill="FFFFFF"/>
          </w:tcPr>
          <w:p w14:paraId="5C3831F9" w14:textId="77777777" w:rsidR="00E27B2E" w:rsidRDefault="00E27B2E" w:rsidP="0098098D">
            <w:pPr>
              <w:pStyle w:val="CETBodytext"/>
              <w:ind w:right="-1"/>
              <w:jc w:val="left"/>
              <w:rPr>
                <w:rFonts w:cs="Arial"/>
                <w:szCs w:val="18"/>
                <w:lang w:val="en-GB"/>
              </w:rPr>
            </w:pPr>
            <w:r>
              <w:rPr>
                <w:lang w:val="en-GB"/>
              </w:rPr>
              <w:t>Promoter rate constant (M</w:t>
            </w:r>
            <w:r>
              <w:rPr>
                <w:vertAlign w:val="superscript"/>
                <w:lang w:val="en-GB"/>
              </w:rPr>
              <w:t>-</w:t>
            </w:r>
            <w:proofErr w:type="gramStart"/>
            <w:r>
              <w:rPr>
                <w:vertAlign w:val="superscript"/>
                <w:lang w:val="en-GB"/>
              </w:rPr>
              <w:t>1</w:t>
            </w:r>
            <w:r>
              <w:rPr>
                <w:lang w:val="en-GB"/>
              </w:rPr>
              <w:t>.s</w:t>
            </w:r>
            <w:proofErr w:type="gramEnd"/>
            <w:r>
              <w:rPr>
                <w:vertAlign w:val="superscript"/>
                <w:lang w:val="en-GB"/>
              </w:rPr>
              <w:t>-1</w:t>
            </w:r>
            <w:r>
              <w:rPr>
                <w:lang w:val="en-GB"/>
              </w:rPr>
              <w:t>)</w:t>
            </w:r>
          </w:p>
        </w:tc>
        <w:tc>
          <w:tcPr>
            <w:tcW w:w="2520" w:type="dxa"/>
            <w:tcBorders>
              <w:top w:val="single" w:sz="12" w:space="0" w:color="008000"/>
              <w:bottom w:val="single" w:sz="6" w:space="0" w:color="008000"/>
            </w:tcBorders>
            <w:shd w:val="clear" w:color="auto" w:fill="FFFFFF"/>
          </w:tcPr>
          <w:p w14:paraId="72E1F74B" w14:textId="77777777" w:rsidR="00E27B2E" w:rsidRPr="009F7ACA" w:rsidRDefault="00E27B2E" w:rsidP="0098098D">
            <w:pPr>
              <w:pStyle w:val="CETBodytext"/>
              <w:ind w:right="-1"/>
              <w:jc w:val="left"/>
              <w:rPr>
                <w:rFonts w:cs="Arial"/>
                <w:szCs w:val="18"/>
                <w:lang w:val="en-GB"/>
              </w:rPr>
            </w:pPr>
            <w:r>
              <w:rPr>
                <w:rFonts w:cs="Arial"/>
                <w:szCs w:val="18"/>
                <w:lang w:val="en-GB"/>
              </w:rPr>
              <w:t>Reference for rate</w:t>
            </w:r>
            <w:r>
              <w:rPr>
                <w:rFonts w:cs="Arial"/>
                <w:szCs w:val="18"/>
                <w:lang w:val="en-GB"/>
              </w:rPr>
              <w:br/>
              <w:t>constant expression</w:t>
            </w:r>
          </w:p>
        </w:tc>
      </w:tr>
      <w:tr w:rsidR="00E27B2E" w:rsidRPr="009F7ACA" w14:paraId="627A34CD" w14:textId="77777777" w:rsidTr="0098098D">
        <w:tc>
          <w:tcPr>
            <w:tcW w:w="450" w:type="dxa"/>
            <w:shd w:val="clear" w:color="auto" w:fill="FFFFFF"/>
          </w:tcPr>
          <w:p w14:paraId="5A86D3B2" w14:textId="77777777" w:rsidR="00E27B2E" w:rsidRDefault="00E27B2E" w:rsidP="0098098D">
            <w:pPr>
              <w:pStyle w:val="CETBodytext"/>
              <w:rPr>
                <w:lang w:val="en-GB"/>
              </w:rPr>
            </w:pPr>
            <w:r>
              <w:rPr>
                <w:lang w:val="en-GB"/>
              </w:rPr>
              <w:t>1</w:t>
            </w:r>
          </w:p>
        </w:tc>
        <w:tc>
          <w:tcPr>
            <w:tcW w:w="2340" w:type="dxa"/>
            <w:shd w:val="clear" w:color="auto" w:fill="FFFFFF"/>
          </w:tcPr>
          <w:p w14:paraId="01742FD4" w14:textId="77777777" w:rsidR="00E27B2E" w:rsidRPr="009F7ACA" w:rsidRDefault="00E27B2E" w:rsidP="0098098D">
            <w:pPr>
              <w:pStyle w:val="CETBodytext"/>
              <w:rPr>
                <w:lang w:val="en-GB"/>
              </w:rPr>
            </w:pPr>
            <w:r>
              <w:rPr>
                <w:lang w:val="en-GB"/>
              </w:rPr>
              <w:t xml:space="preserve">+ 7 </w:t>
            </w:r>
            <w:proofErr w:type="spellStart"/>
            <w:r>
              <w:rPr>
                <w:lang w:val="en-GB"/>
              </w:rPr>
              <w:t>wt</w:t>
            </w:r>
            <w:proofErr w:type="spellEnd"/>
            <w:r>
              <w:rPr>
                <w:lang w:val="en-GB"/>
              </w:rPr>
              <w:t>% MEA</w:t>
            </w:r>
          </w:p>
        </w:tc>
        <w:tc>
          <w:tcPr>
            <w:tcW w:w="1080" w:type="dxa"/>
            <w:shd w:val="clear" w:color="auto" w:fill="FFFFFF"/>
          </w:tcPr>
          <w:p w14:paraId="615B9B86" w14:textId="77777777" w:rsidR="00E27B2E" w:rsidRPr="009F7ACA" w:rsidRDefault="00E27B2E" w:rsidP="0098098D">
            <w:pPr>
              <w:pStyle w:val="CETBodytext"/>
              <w:rPr>
                <w:lang w:val="en-GB"/>
              </w:rPr>
            </w:pPr>
            <w:r>
              <w:rPr>
                <w:lang w:val="en-GB"/>
              </w:rPr>
              <w:t>1.3</w:t>
            </w:r>
          </w:p>
        </w:tc>
        <w:tc>
          <w:tcPr>
            <w:tcW w:w="630" w:type="dxa"/>
            <w:shd w:val="clear" w:color="auto" w:fill="FFFFFF"/>
          </w:tcPr>
          <w:p w14:paraId="126A56C6" w14:textId="77777777" w:rsidR="00E27B2E" w:rsidRPr="009F7ACA" w:rsidRDefault="00E27B2E" w:rsidP="0098098D">
            <w:pPr>
              <w:pStyle w:val="CETBodytext"/>
              <w:rPr>
                <w:lang w:val="en-GB"/>
              </w:rPr>
            </w:pPr>
            <w:r>
              <w:rPr>
                <w:lang w:val="en-GB"/>
              </w:rPr>
              <w:t>11.5</w:t>
            </w:r>
          </w:p>
        </w:tc>
        <w:tc>
          <w:tcPr>
            <w:tcW w:w="1530" w:type="dxa"/>
            <w:shd w:val="clear" w:color="auto" w:fill="FFFFFF"/>
          </w:tcPr>
          <w:p w14:paraId="148FA8DF" w14:textId="77777777" w:rsidR="00E27B2E" w:rsidRPr="009F7ACA" w:rsidRDefault="00E27B2E" w:rsidP="0098098D">
            <w:pPr>
              <w:pStyle w:val="CETBodytext"/>
              <w:ind w:right="-1"/>
              <w:rPr>
                <w:rFonts w:cs="Arial"/>
                <w:szCs w:val="18"/>
                <w:lang w:val="en-GB"/>
              </w:rPr>
            </w:pPr>
            <w:r>
              <w:rPr>
                <w:rFonts w:cs="Arial"/>
                <w:szCs w:val="18"/>
                <w:lang w:val="en-GB"/>
              </w:rPr>
              <w:t>3.05</w:t>
            </w:r>
            <m:oMath>
              <m:r>
                <w:rPr>
                  <w:rFonts w:ascii="Cambria Math" w:hAnsi="Cambria Math" w:cs="Arial"/>
                  <w:szCs w:val="18"/>
                  <w:lang w:val="en-GB"/>
                </w:rPr>
                <m:t>×</m:t>
              </m:r>
            </m:oMath>
            <w:r>
              <w:rPr>
                <w:rFonts w:cs="Arial"/>
                <w:szCs w:val="18"/>
                <w:lang w:val="en-GB"/>
              </w:rPr>
              <w:t>10</w:t>
            </w:r>
            <w:r>
              <w:rPr>
                <w:rFonts w:cs="Arial"/>
                <w:szCs w:val="18"/>
                <w:vertAlign w:val="superscript"/>
                <w:lang w:val="en-GB"/>
              </w:rPr>
              <w:t>4</w:t>
            </w:r>
          </w:p>
        </w:tc>
        <w:tc>
          <w:tcPr>
            <w:tcW w:w="2520" w:type="dxa"/>
            <w:shd w:val="clear" w:color="auto" w:fill="FFFFFF"/>
          </w:tcPr>
          <w:p w14:paraId="664E3CAA" w14:textId="766E6023" w:rsidR="00E27B2E" w:rsidRPr="009F7ACA" w:rsidRDefault="00E27B2E" w:rsidP="0098098D">
            <w:pPr>
              <w:pStyle w:val="CETBodytext"/>
              <w:ind w:right="-1"/>
              <w:jc w:val="left"/>
              <w:rPr>
                <w:rFonts w:cs="Arial"/>
                <w:szCs w:val="18"/>
                <w:lang w:val="en-GB"/>
              </w:rPr>
            </w:pPr>
            <w:r>
              <w:rPr>
                <w:rFonts w:cs="Arial"/>
                <w:szCs w:val="18"/>
                <w:lang w:val="en-GB"/>
              </w:rPr>
              <w:t>(Thee et al. 2012</w:t>
            </w:r>
            <w:r w:rsidR="009E4532">
              <w:rPr>
                <w:rFonts w:cs="Arial"/>
                <w:szCs w:val="18"/>
                <w:lang w:val="en-GB"/>
              </w:rPr>
              <w:t>b</w:t>
            </w:r>
            <w:r>
              <w:rPr>
                <w:rFonts w:cs="Arial"/>
                <w:szCs w:val="18"/>
                <w:lang w:val="en-GB"/>
              </w:rPr>
              <w:t>)</w:t>
            </w:r>
          </w:p>
        </w:tc>
      </w:tr>
      <w:tr w:rsidR="00E27B2E" w:rsidRPr="009F7ACA" w14:paraId="65892531" w14:textId="77777777" w:rsidTr="0098098D">
        <w:tc>
          <w:tcPr>
            <w:tcW w:w="450" w:type="dxa"/>
            <w:shd w:val="clear" w:color="auto" w:fill="FFFFFF"/>
          </w:tcPr>
          <w:p w14:paraId="05487DA9" w14:textId="77777777" w:rsidR="00E27B2E" w:rsidRDefault="00E27B2E" w:rsidP="0098098D">
            <w:pPr>
              <w:pStyle w:val="CETBodytext"/>
              <w:rPr>
                <w:lang w:val="en-GB"/>
              </w:rPr>
            </w:pPr>
            <w:r>
              <w:rPr>
                <w:lang w:val="en-GB"/>
              </w:rPr>
              <w:t>2</w:t>
            </w:r>
          </w:p>
        </w:tc>
        <w:tc>
          <w:tcPr>
            <w:tcW w:w="2340" w:type="dxa"/>
            <w:shd w:val="clear" w:color="auto" w:fill="FFFFFF"/>
          </w:tcPr>
          <w:p w14:paraId="4909600F" w14:textId="77777777" w:rsidR="00E27B2E" w:rsidRPr="009F7ACA" w:rsidRDefault="00E27B2E" w:rsidP="0098098D">
            <w:pPr>
              <w:pStyle w:val="CETBodytext"/>
              <w:rPr>
                <w:lang w:val="en-GB"/>
              </w:rPr>
            </w:pPr>
            <w:r>
              <w:rPr>
                <w:lang w:val="en-GB"/>
              </w:rPr>
              <w:t xml:space="preserve">+ 7 </w:t>
            </w:r>
            <w:proofErr w:type="spellStart"/>
            <w:r>
              <w:rPr>
                <w:lang w:val="en-GB"/>
              </w:rPr>
              <w:t>wt</w:t>
            </w:r>
            <w:proofErr w:type="spellEnd"/>
            <w:r>
              <w:rPr>
                <w:lang w:val="en-GB"/>
              </w:rPr>
              <w:t xml:space="preserve">% </w:t>
            </w:r>
            <w:proofErr w:type="spellStart"/>
            <w:r>
              <w:rPr>
                <w:lang w:val="en-GB"/>
              </w:rPr>
              <w:t>Pz</w:t>
            </w:r>
            <w:proofErr w:type="spellEnd"/>
          </w:p>
        </w:tc>
        <w:tc>
          <w:tcPr>
            <w:tcW w:w="1080" w:type="dxa"/>
            <w:shd w:val="clear" w:color="auto" w:fill="FFFFFF"/>
          </w:tcPr>
          <w:p w14:paraId="07B70AFA" w14:textId="77777777" w:rsidR="00E27B2E" w:rsidRPr="009F7ACA" w:rsidRDefault="00E27B2E" w:rsidP="0098098D">
            <w:pPr>
              <w:pStyle w:val="CETBodytext"/>
              <w:rPr>
                <w:lang w:val="en-GB"/>
              </w:rPr>
            </w:pPr>
            <w:r>
              <w:rPr>
                <w:lang w:val="en-GB"/>
              </w:rPr>
              <w:t>1</w:t>
            </w:r>
          </w:p>
        </w:tc>
        <w:tc>
          <w:tcPr>
            <w:tcW w:w="630" w:type="dxa"/>
            <w:shd w:val="clear" w:color="auto" w:fill="FFFFFF"/>
          </w:tcPr>
          <w:p w14:paraId="142CBF09" w14:textId="256E84A5" w:rsidR="00E27B2E" w:rsidRPr="009F7ACA" w:rsidRDefault="006C2DBF" w:rsidP="0098098D">
            <w:pPr>
              <w:pStyle w:val="CETBodytext"/>
              <w:rPr>
                <w:lang w:val="en-GB"/>
              </w:rPr>
            </w:pPr>
            <w:r>
              <w:rPr>
                <w:lang w:val="en-GB"/>
              </w:rPr>
              <w:t>12.8</w:t>
            </w:r>
          </w:p>
        </w:tc>
        <w:tc>
          <w:tcPr>
            <w:tcW w:w="1530" w:type="dxa"/>
            <w:shd w:val="clear" w:color="auto" w:fill="FFFFFF"/>
          </w:tcPr>
          <w:p w14:paraId="13A9882D" w14:textId="77777777" w:rsidR="00E27B2E" w:rsidRPr="009F7ACA" w:rsidRDefault="00E27B2E" w:rsidP="0098098D">
            <w:pPr>
              <w:pStyle w:val="CETBodytext"/>
              <w:ind w:right="-1"/>
              <w:rPr>
                <w:rFonts w:cs="Arial"/>
                <w:szCs w:val="18"/>
                <w:lang w:val="en-GB"/>
              </w:rPr>
            </w:pPr>
            <w:r>
              <w:rPr>
                <w:rFonts w:cs="Arial"/>
                <w:szCs w:val="18"/>
                <w:lang w:val="en-GB"/>
              </w:rPr>
              <w:t>1.52</w:t>
            </w:r>
            <m:oMath>
              <m:r>
                <w:rPr>
                  <w:rFonts w:ascii="Cambria Math" w:hAnsi="Cambria Math" w:cs="Arial"/>
                  <w:szCs w:val="18"/>
                  <w:lang w:val="en-GB"/>
                </w:rPr>
                <m:t>×</m:t>
              </m:r>
            </m:oMath>
            <w:r>
              <w:rPr>
                <w:rFonts w:cs="Arial"/>
                <w:szCs w:val="18"/>
                <w:lang w:val="en-GB"/>
              </w:rPr>
              <w:t>10</w:t>
            </w:r>
            <w:r>
              <w:rPr>
                <w:rFonts w:cs="Arial"/>
                <w:szCs w:val="18"/>
                <w:vertAlign w:val="superscript"/>
                <w:lang w:val="en-GB"/>
              </w:rPr>
              <w:t>5</w:t>
            </w:r>
          </w:p>
        </w:tc>
        <w:tc>
          <w:tcPr>
            <w:tcW w:w="2520" w:type="dxa"/>
            <w:shd w:val="clear" w:color="auto" w:fill="FFFFFF"/>
          </w:tcPr>
          <w:p w14:paraId="69D9D9E5" w14:textId="56D32067" w:rsidR="00E27B2E" w:rsidRPr="009F7ACA" w:rsidRDefault="009E4532" w:rsidP="0098098D">
            <w:pPr>
              <w:pStyle w:val="CETBodytext"/>
              <w:ind w:right="-1"/>
              <w:jc w:val="left"/>
              <w:rPr>
                <w:rFonts w:cs="Arial"/>
                <w:szCs w:val="18"/>
                <w:lang w:val="en-GB"/>
              </w:rPr>
            </w:pPr>
            <w:r>
              <w:rPr>
                <w:rFonts w:cs="Arial"/>
                <w:szCs w:val="18"/>
                <w:lang w:val="en-GB"/>
              </w:rPr>
              <w:t>(Bishnoi and Rochelle, 2000)</w:t>
            </w:r>
          </w:p>
        </w:tc>
      </w:tr>
      <w:tr w:rsidR="00E27B2E" w:rsidRPr="009F7ACA" w14:paraId="2F8EAFEC" w14:textId="77777777" w:rsidTr="0098098D">
        <w:tc>
          <w:tcPr>
            <w:tcW w:w="450" w:type="dxa"/>
            <w:shd w:val="clear" w:color="auto" w:fill="FFFFFF"/>
          </w:tcPr>
          <w:p w14:paraId="5964C46E" w14:textId="77777777" w:rsidR="00E27B2E" w:rsidRDefault="00E27B2E" w:rsidP="0098098D">
            <w:pPr>
              <w:pStyle w:val="CETBodytext"/>
              <w:rPr>
                <w:lang w:val="en-GB"/>
              </w:rPr>
            </w:pPr>
            <w:r>
              <w:rPr>
                <w:lang w:val="en-GB"/>
              </w:rPr>
              <w:t>3</w:t>
            </w:r>
          </w:p>
        </w:tc>
        <w:tc>
          <w:tcPr>
            <w:tcW w:w="2340" w:type="dxa"/>
            <w:shd w:val="clear" w:color="auto" w:fill="FFFFFF"/>
          </w:tcPr>
          <w:p w14:paraId="09D0A4ED" w14:textId="77777777" w:rsidR="00E27B2E" w:rsidRPr="009F7ACA" w:rsidRDefault="00E27B2E" w:rsidP="0098098D">
            <w:pPr>
              <w:pStyle w:val="CETBodytext"/>
              <w:rPr>
                <w:lang w:val="en-GB"/>
              </w:rPr>
            </w:pPr>
            <w:r>
              <w:rPr>
                <w:lang w:val="en-GB"/>
              </w:rPr>
              <w:t xml:space="preserve">+ 3 </w:t>
            </w:r>
            <w:proofErr w:type="spellStart"/>
            <w:r>
              <w:rPr>
                <w:lang w:val="en-GB"/>
              </w:rPr>
              <w:t>wt</w:t>
            </w:r>
            <w:proofErr w:type="spellEnd"/>
            <w:r>
              <w:rPr>
                <w:lang w:val="en-GB"/>
              </w:rPr>
              <w:t>% VO</w:t>
            </w:r>
          </w:p>
        </w:tc>
        <w:tc>
          <w:tcPr>
            <w:tcW w:w="1080" w:type="dxa"/>
            <w:shd w:val="clear" w:color="auto" w:fill="FFFFFF"/>
          </w:tcPr>
          <w:p w14:paraId="2453E055" w14:textId="77777777" w:rsidR="00E27B2E" w:rsidRPr="009F7ACA" w:rsidRDefault="00E27B2E" w:rsidP="0098098D">
            <w:pPr>
              <w:pStyle w:val="CETBodytext"/>
              <w:rPr>
                <w:lang w:val="en-GB"/>
              </w:rPr>
            </w:pPr>
            <w:r>
              <w:rPr>
                <w:lang w:val="en-GB"/>
              </w:rPr>
              <w:t>0.3</w:t>
            </w:r>
          </w:p>
        </w:tc>
        <w:tc>
          <w:tcPr>
            <w:tcW w:w="630" w:type="dxa"/>
            <w:shd w:val="clear" w:color="auto" w:fill="FFFFFF"/>
          </w:tcPr>
          <w:p w14:paraId="40D1D440" w14:textId="77777777" w:rsidR="00E27B2E" w:rsidRPr="009F7ACA" w:rsidRDefault="00E27B2E" w:rsidP="0098098D">
            <w:pPr>
              <w:pStyle w:val="CETBodytext"/>
              <w:rPr>
                <w:lang w:val="en-GB"/>
              </w:rPr>
            </w:pPr>
            <w:r>
              <w:rPr>
                <w:lang w:val="en-GB"/>
              </w:rPr>
              <w:t>10.2</w:t>
            </w:r>
          </w:p>
        </w:tc>
        <w:tc>
          <w:tcPr>
            <w:tcW w:w="1530" w:type="dxa"/>
            <w:shd w:val="clear" w:color="auto" w:fill="FFFFFF"/>
          </w:tcPr>
          <w:p w14:paraId="4CC87E01" w14:textId="77777777" w:rsidR="00E27B2E" w:rsidRPr="009F7ACA" w:rsidRDefault="00E27B2E" w:rsidP="0098098D">
            <w:pPr>
              <w:pStyle w:val="CETBodytext"/>
              <w:ind w:right="-1"/>
              <w:rPr>
                <w:rFonts w:cs="Arial"/>
                <w:szCs w:val="18"/>
                <w:lang w:val="en-GB"/>
              </w:rPr>
            </w:pPr>
            <w:r>
              <w:rPr>
                <w:rFonts w:cs="Arial"/>
                <w:szCs w:val="18"/>
                <w:lang w:val="en-GB"/>
              </w:rPr>
              <w:t>3.88</w:t>
            </w:r>
            <m:oMath>
              <m:r>
                <w:rPr>
                  <w:rFonts w:ascii="Cambria Math" w:hAnsi="Cambria Math" w:cs="Arial"/>
                  <w:szCs w:val="18"/>
                  <w:lang w:val="en-GB"/>
                </w:rPr>
                <m:t>×</m:t>
              </m:r>
            </m:oMath>
            <w:r>
              <w:rPr>
                <w:rFonts w:cs="Arial"/>
                <w:szCs w:val="18"/>
                <w:lang w:val="en-GB"/>
              </w:rPr>
              <w:t>10</w:t>
            </w:r>
            <w:r>
              <w:rPr>
                <w:rFonts w:cs="Arial"/>
                <w:szCs w:val="18"/>
                <w:vertAlign w:val="superscript"/>
                <w:lang w:val="en-GB"/>
              </w:rPr>
              <w:t>4</w:t>
            </w:r>
          </w:p>
        </w:tc>
        <w:tc>
          <w:tcPr>
            <w:tcW w:w="2520" w:type="dxa"/>
            <w:shd w:val="clear" w:color="auto" w:fill="FFFFFF"/>
          </w:tcPr>
          <w:p w14:paraId="4296D5A3" w14:textId="69C129B8" w:rsidR="00E27B2E" w:rsidRPr="009F7ACA" w:rsidRDefault="009E4532" w:rsidP="0098098D">
            <w:pPr>
              <w:pStyle w:val="CETBodytext"/>
              <w:ind w:right="-1"/>
              <w:jc w:val="left"/>
              <w:rPr>
                <w:rFonts w:cs="Arial"/>
                <w:szCs w:val="18"/>
                <w:lang w:val="en-GB"/>
              </w:rPr>
            </w:pPr>
            <w:r>
              <w:rPr>
                <w:rFonts w:cs="Arial"/>
                <w:szCs w:val="18"/>
                <w:lang w:val="en-GB"/>
              </w:rPr>
              <w:t>(Nicholas et al. 2014)</w:t>
            </w:r>
          </w:p>
        </w:tc>
      </w:tr>
      <w:tr w:rsidR="00E27B2E" w:rsidRPr="009F7ACA" w14:paraId="54EE357B" w14:textId="77777777" w:rsidTr="0098098D">
        <w:tc>
          <w:tcPr>
            <w:tcW w:w="450" w:type="dxa"/>
            <w:shd w:val="clear" w:color="auto" w:fill="FFFFFF"/>
          </w:tcPr>
          <w:p w14:paraId="0FFFC52F" w14:textId="77777777" w:rsidR="00E27B2E" w:rsidRDefault="00E27B2E" w:rsidP="0098098D">
            <w:pPr>
              <w:pStyle w:val="CETBodytext"/>
              <w:rPr>
                <w:lang w:val="en-GB"/>
              </w:rPr>
            </w:pPr>
            <w:r>
              <w:rPr>
                <w:lang w:val="en-GB"/>
              </w:rPr>
              <w:t>4</w:t>
            </w:r>
          </w:p>
        </w:tc>
        <w:tc>
          <w:tcPr>
            <w:tcW w:w="2340" w:type="dxa"/>
            <w:shd w:val="clear" w:color="auto" w:fill="FFFFFF"/>
          </w:tcPr>
          <w:p w14:paraId="623C4462" w14:textId="77777777" w:rsidR="00E27B2E" w:rsidRDefault="00E27B2E" w:rsidP="0098098D">
            <w:pPr>
              <w:pStyle w:val="CETBodytext"/>
              <w:rPr>
                <w:lang w:val="en-GB"/>
              </w:rPr>
            </w:pPr>
            <w:r>
              <w:rPr>
                <w:lang w:val="en-GB"/>
              </w:rPr>
              <w:t xml:space="preserve">+ 3 </w:t>
            </w:r>
            <w:proofErr w:type="spellStart"/>
            <w:r>
              <w:rPr>
                <w:lang w:val="en-GB"/>
              </w:rPr>
              <w:t>wt</w:t>
            </w:r>
            <w:proofErr w:type="spellEnd"/>
            <w:r>
              <w:rPr>
                <w:lang w:val="en-GB"/>
              </w:rPr>
              <w:t xml:space="preserve">% VO + 3 </w:t>
            </w:r>
            <w:proofErr w:type="spellStart"/>
            <w:r>
              <w:rPr>
                <w:lang w:val="en-GB"/>
              </w:rPr>
              <w:t>wt</w:t>
            </w:r>
            <w:proofErr w:type="spellEnd"/>
            <w:r>
              <w:rPr>
                <w:lang w:val="en-GB"/>
              </w:rPr>
              <w:t>% BA</w:t>
            </w:r>
          </w:p>
        </w:tc>
        <w:tc>
          <w:tcPr>
            <w:tcW w:w="1080" w:type="dxa"/>
            <w:shd w:val="clear" w:color="auto" w:fill="FFFFFF"/>
          </w:tcPr>
          <w:p w14:paraId="3D18592A" w14:textId="77777777" w:rsidR="00E27B2E" w:rsidRDefault="00E27B2E" w:rsidP="0098098D">
            <w:pPr>
              <w:pStyle w:val="CETBodytext"/>
              <w:rPr>
                <w:lang w:val="en-GB"/>
              </w:rPr>
            </w:pPr>
            <w:r>
              <w:rPr>
                <w:lang w:val="en-GB"/>
              </w:rPr>
              <w:t>0.3, 0.6</w:t>
            </w:r>
          </w:p>
        </w:tc>
        <w:tc>
          <w:tcPr>
            <w:tcW w:w="630" w:type="dxa"/>
            <w:shd w:val="clear" w:color="auto" w:fill="FFFFFF"/>
          </w:tcPr>
          <w:p w14:paraId="6A2179DF" w14:textId="77777777" w:rsidR="00E27B2E" w:rsidRDefault="00E27B2E" w:rsidP="0098098D">
            <w:pPr>
              <w:pStyle w:val="CETBodytext"/>
              <w:rPr>
                <w:lang w:val="en-GB"/>
              </w:rPr>
            </w:pPr>
            <w:r>
              <w:rPr>
                <w:lang w:val="en-GB"/>
              </w:rPr>
              <w:t>9.9</w:t>
            </w:r>
          </w:p>
        </w:tc>
        <w:tc>
          <w:tcPr>
            <w:tcW w:w="1530" w:type="dxa"/>
            <w:shd w:val="clear" w:color="auto" w:fill="FFFFFF"/>
          </w:tcPr>
          <w:p w14:paraId="214D4325" w14:textId="77777777" w:rsidR="00E27B2E" w:rsidRDefault="00E27B2E" w:rsidP="0098098D">
            <w:pPr>
              <w:pStyle w:val="CETBodytext"/>
              <w:ind w:right="-1"/>
              <w:rPr>
                <w:rFonts w:cs="Arial"/>
                <w:szCs w:val="18"/>
                <w:lang w:val="en-GB"/>
              </w:rPr>
            </w:pPr>
            <w:r>
              <w:rPr>
                <w:rFonts w:cs="Arial"/>
                <w:szCs w:val="18"/>
                <w:lang w:val="en-GB"/>
              </w:rPr>
              <w:t>-</w:t>
            </w:r>
          </w:p>
        </w:tc>
        <w:tc>
          <w:tcPr>
            <w:tcW w:w="2520" w:type="dxa"/>
            <w:shd w:val="clear" w:color="auto" w:fill="FFFFFF"/>
          </w:tcPr>
          <w:p w14:paraId="2C15A1D5" w14:textId="77777777" w:rsidR="00E27B2E" w:rsidRDefault="00E27B2E" w:rsidP="0098098D">
            <w:pPr>
              <w:pStyle w:val="CETBodytext"/>
              <w:ind w:right="-1"/>
              <w:jc w:val="left"/>
              <w:rPr>
                <w:rFonts w:cs="Arial"/>
                <w:szCs w:val="18"/>
                <w:lang w:val="en-GB"/>
              </w:rPr>
            </w:pPr>
          </w:p>
        </w:tc>
      </w:tr>
      <w:tr w:rsidR="00E27B2E" w:rsidRPr="009F7ACA" w14:paraId="13820F13" w14:textId="77777777" w:rsidTr="0098098D">
        <w:tc>
          <w:tcPr>
            <w:tcW w:w="450" w:type="dxa"/>
            <w:shd w:val="clear" w:color="auto" w:fill="FFFFFF"/>
          </w:tcPr>
          <w:p w14:paraId="51868600" w14:textId="77777777" w:rsidR="00E27B2E" w:rsidRDefault="00E27B2E" w:rsidP="0098098D">
            <w:pPr>
              <w:pStyle w:val="CETBodytext"/>
              <w:rPr>
                <w:lang w:val="en-GB"/>
              </w:rPr>
            </w:pPr>
            <w:r>
              <w:rPr>
                <w:lang w:val="en-GB"/>
              </w:rPr>
              <w:t>5</w:t>
            </w:r>
          </w:p>
        </w:tc>
        <w:tc>
          <w:tcPr>
            <w:tcW w:w="2340" w:type="dxa"/>
            <w:shd w:val="clear" w:color="auto" w:fill="FFFFFF"/>
          </w:tcPr>
          <w:p w14:paraId="30CF916E" w14:textId="77777777" w:rsidR="00E27B2E" w:rsidRDefault="00E27B2E" w:rsidP="0098098D">
            <w:pPr>
              <w:pStyle w:val="CETBodytext"/>
              <w:rPr>
                <w:lang w:val="en-GB"/>
              </w:rPr>
            </w:pPr>
            <w:r>
              <w:rPr>
                <w:lang w:val="en-GB"/>
              </w:rPr>
              <w:t xml:space="preserve">+ 3 </w:t>
            </w:r>
            <w:proofErr w:type="spellStart"/>
            <w:r>
              <w:rPr>
                <w:lang w:val="en-GB"/>
              </w:rPr>
              <w:t>wt</w:t>
            </w:r>
            <w:proofErr w:type="spellEnd"/>
            <w:r>
              <w:rPr>
                <w:lang w:val="en-GB"/>
              </w:rPr>
              <w:t xml:space="preserve">% VO + 6 </w:t>
            </w:r>
            <w:proofErr w:type="spellStart"/>
            <w:r>
              <w:rPr>
                <w:lang w:val="en-GB"/>
              </w:rPr>
              <w:t>wt</w:t>
            </w:r>
            <w:proofErr w:type="spellEnd"/>
            <w:r>
              <w:rPr>
                <w:lang w:val="en-GB"/>
              </w:rPr>
              <w:t>% BA</w:t>
            </w:r>
          </w:p>
        </w:tc>
        <w:tc>
          <w:tcPr>
            <w:tcW w:w="1080" w:type="dxa"/>
            <w:shd w:val="clear" w:color="auto" w:fill="FFFFFF"/>
          </w:tcPr>
          <w:p w14:paraId="260B043A" w14:textId="77777777" w:rsidR="00E27B2E" w:rsidRDefault="00E27B2E" w:rsidP="0098098D">
            <w:pPr>
              <w:pStyle w:val="CETBodytext"/>
              <w:rPr>
                <w:lang w:val="en-GB"/>
              </w:rPr>
            </w:pPr>
            <w:r>
              <w:rPr>
                <w:lang w:val="en-GB"/>
              </w:rPr>
              <w:t>0.3, 1.2</w:t>
            </w:r>
          </w:p>
        </w:tc>
        <w:tc>
          <w:tcPr>
            <w:tcW w:w="630" w:type="dxa"/>
            <w:shd w:val="clear" w:color="auto" w:fill="FFFFFF"/>
          </w:tcPr>
          <w:p w14:paraId="0FADE1B1" w14:textId="77777777" w:rsidR="00E27B2E" w:rsidRDefault="00E27B2E" w:rsidP="0098098D">
            <w:pPr>
              <w:pStyle w:val="CETBodytext"/>
              <w:rPr>
                <w:lang w:val="en-GB"/>
              </w:rPr>
            </w:pPr>
            <w:r>
              <w:rPr>
                <w:lang w:val="en-GB"/>
              </w:rPr>
              <w:t>9.6</w:t>
            </w:r>
          </w:p>
        </w:tc>
        <w:tc>
          <w:tcPr>
            <w:tcW w:w="1530" w:type="dxa"/>
            <w:shd w:val="clear" w:color="auto" w:fill="FFFFFF"/>
          </w:tcPr>
          <w:p w14:paraId="1CB7F4C2" w14:textId="77777777" w:rsidR="00E27B2E" w:rsidRDefault="00E27B2E" w:rsidP="0098098D">
            <w:pPr>
              <w:pStyle w:val="CETBodytext"/>
              <w:ind w:right="-1"/>
              <w:rPr>
                <w:rFonts w:cs="Arial"/>
                <w:szCs w:val="18"/>
                <w:lang w:val="en-GB"/>
              </w:rPr>
            </w:pPr>
            <w:r>
              <w:rPr>
                <w:rFonts w:cs="Arial"/>
                <w:szCs w:val="18"/>
                <w:lang w:val="en-GB"/>
              </w:rPr>
              <w:t>-</w:t>
            </w:r>
          </w:p>
        </w:tc>
        <w:tc>
          <w:tcPr>
            <w:tcW w:w="2520" w:type="dxa"/>
            <w:shd w:val="clear" w:color="auto" w:fill="FFFFFF"/>
          </w:tcPr>
          <w:p w14:paraId="58356575" w14:textId="77777777" w:rsidR="00E27B2E" w:rsidRDefault="00E27B2E" w:rsidP="0098098D">
            <w:pPr>
              <w:pStyle w:val="CETBodytext"/>
              <w:ind w:right="-1"/>
              <w:jc w:val="left"/>
              <w:rPr>
                <w:rFonts w:cs="Arial"/>
                <w:szCs w:val="18"/>
                <w:lang w:val="en-GB"/>
              </w:rPr>
            </w:pPr>
          </w:p>
        </w:tc>
      </w:tr>
      <w:tr w:rsidR="00E27B2E" w:rsidRPr="009F7ACA" w14:paraId="25166B02" w14:textId="77777777" w:rsidTr="0098098D">
        <w:tc>
          <w:tcPr>
            <w:tcW w:w="450" w:type="dxa"/>
            <w:shd w:val="clear" w:color="auto" w:fill="FFFFFF"/>
          </w:tcPr>
          <w:p w14:paraId="7F891002" w14:textId="77777777" w:rsidR="00E27B2E" w:rsidRDefault="00E27B2E" w:rsidP="0098098D">
            <w:pPr>
              <w:pStyle w:val="CETBodytext"/>
              <w:rPr>
                <w:lang w:val="en-GB"/>
              </w:rPr>
            </w:pPr>
            <w:r>
              <w:rPr>
                <w:lang w:val="en-GB"/>
              </w:rPr>
              <w:t>6</w:t>
            </w:r>
          </w:p>
        </w:tc>
        <w:tc>
          <w:tcPr>
            <w:tcW w:w="2340" w:type="dxa"/>
            <w:shd w:val="clear" w:color="auto" w:fill="FFFFFF"/>
          </w:tcPr>
          <w:p w14:paraId="48382133" w14:textId="77777777" w:rsidR="00E27B2E" w:rsidRPr="009F7ACA" w:rsidRDefault="00E27B2E" w:rsidP="0098098D">
            <w:pPr>
              <w:pStyle w:val="CETBodytext"/>
              <w:rPr>
                <w:lang w:val="en-GB"/>
              </w:rPr>
            </w:pPr>
            <w:r>
              <w:rPr>
                <w:lang w:val="en-GB"/>
              </w:rPr>
              <w:t xml:space="preserve">+ 7 </w:t>
            </w:r>
            <w:proofErr w:type="spellStart"/>
            <w:r>
              <w:rPr>
                <w:lang w:val="en-GB"/>
              </w:rPr>
              <w:t>wt</w:t>
            </w:r>
            <w:proofErr w:type="spellEnd"/>
            <w:r>
              <w:rPr>
                <w:lang w:val="en-GB"/>
              </w:rPr>
              <w:t>% BA</w:t>
            </w:r>
          </w:p>
        </w:tc>
        <w:tc>
          <w:tcPr>
            <w:tcW w:w="1080" w:type="dxa"/>
            <w:shd w:val="clear" w:color="auto" w:fill="FFFFFF"/>
          </w:tcPr>
          <w:p w14:paraId="2C5E80C3" w14:textId="77777777" w:rsidR="00E27B2E" w:rsidRPr="009F7ACA" w:rsidRDefault="00E27B2E" w:rsidP="0098098D">
            <w:pPr>
              <w:pStyle w:val="CETBodytext"/>
              <w:rPr>
                <w:lang w:val="en-GB"/>
              </w:rPr>
            </w:pPr>
            <w:r>
              <w:rPr>
                <w:lang w:val="en-GB"/>
              </w:rPr>
              <w:t>1.4</w:t>
            </w:r>
          </w:p>
        </w:tc>
        <w:tc>
          <w:tcPr>
            <w:tcW w:w="630" w:type="dxa"/>
            <w:shd w:val="clear" w:color="auto" w:fill="FFFFFF"/>
          </w:tcPr>
          <w:p w14:paraId="407E8D82" w14:textId="77777777" w:rsidR="00E27B2E" w:rsidRPr="009F7ACA" w:rsidRDefault="00E27B2E" w:rsidP="0098098D">
            <w:pPr>
              <w:pStyle w:val="CETBodytext"/>
              <w:rPr>
                <w:lang w:val="en-GB"/>
              </w:rPr>
            </w:pPr>
            <w:r>
              <w:rPr>
                <w:lang w:val="en-GB"/>
              </w:rPr>
              <w:t>9.2</w:t>
            </w:r>
          </w:p>
        </w:tc>
        <w:tc>
          <w:tcPr>
            <w:tcW w:w="1530" w:type="dxa"/>
            <w:shd w:val="clear" w:color="auto" w:fill="FFFFFF"/>
          </w:tcPr>
          <w:p w14:paraId="520797CE" w14:textId="77777777" w:rsidR="00E27B2E" w:rsidRPr="00C858D3" w:rsidRDefault="00E27B2E" w:rsidP="0098098D">
            <w:pPr>
              <w:pStyle w:val="CETBodytext"/>
              <w:ind w:right="-1"/>
              <w:rPr>
                <w:rFonts w:cs="Arial"/>
                <w:szCs w:val="18"/>
                <w:lang w:val="en-GB"/>
              </w:rPr>
            </w:pPr>
            <w:r>
              <w:rPr>
                <w:rFonts w:cs="Arial"/>
                <w:szCs w:val="18"/>
                <w:lang w:val="en-GB"/>
              </w:rPr>
              <w:t>2.67</w:t>
            </w:r>
            <m:oMath>
              <m:r>
                <w:rPr>
                  <w:rFonts w:ascii="Cambria Math" w:hAnsi="Cambria Math" w:cs="Arial"/>
                  <w:szCs w:val="18"/>
                  <w:lang w:val="en-GB"/>
                </w:rPr>
                <m:t>×</m:t>
              </m:r>
            </m:oMath>
            <w:r>
              <w:rPr>
                <w:rFonts w:cs="Arial"/>
                <w:szCs w:val="18"/>
                <w:lang w:val="en-GB"/>
              </w:rPr>
              <w:t>10</w:t>
            </w:r>
            <w:r>
              <w:rPr>
                <w:rFonts w:cs="Arial"/>
                <w:szCs w:val="18"/>
                <w:vertAlign w:val="superscript"/>
                <w:lang w:val="en-GB"/>
              </w:rPr>
              <w:t>2</w:t>
            </w:r>
          </w:p>
        </w:tc>
        <w:tc>
          <w:tcPr>
            <w:tcW w:w="2520" w:type="dxa"/>
            <w:shd w:val="clear" w:color="auto" w:fill="FFFFFF"/>
          </w:tcPr>
          <w:p w14:paraId="0857A30A" w14:textId="40BBC177" w:rsidR="00E27B2E" w:rsidRPr="009F7ACA" w:rsidRDefault="00E27B2E" w:rsidP="0098098D">
            <w:pPr>
              <w:pStyle w:val="CETBodytext"/>
              <w:ind w:right="-1"/>
              <w:jc w:val="left"/>
              <w:rPr>
                <w:rFonts w:cs="Arial"/>
                <w:szCs w:val="18"/>
                <w:lang w:val="en-GB"/>
              </w:rPr>
            </w:pPr>
            <w:r>
              <w:rPr>
                <w:rFonts w:cs="Arial"/>
                <w:szCs w:val="18"/>
                <w:lang w:val="en-GB"/>
              </w:rPr>
              <w:t>(Thee et al. 2012</w:t>
            </w:r>
            <w:r w:rsidR="009E4532">
              <w:rPr>
                <w:rFonts w:cs="Arial"/>
                <w:szCs w:val="18"/>
                <w:lang w:val="en-GB"/>
              </w:rPr>
              <w:t>a</w:t>
            </w:r>
            <w:r>
              <w:rPr>
                <w:rFonts w:cs="Arial"/>
                <w:szCs w:val="18"/>
                <w:lang w:val="en-GB"/>
              </w:rPr>
              <w:t>)</w:t>
            </w:r>
          </w:p>
        </w:tc>
      </w:tr>
    </w:tbl>
    <w:p w14:paraId="2447BA8A" w14:textId="538A6CDE" w:rsidR="00690364" w:rsidRDefault="00F91B94" w:rsidP="00F91B94">
      <w:pPr>
        <w:pStyle w:val="CETheadingx"/>
      </w:pPr>
      <w:r>
        <w:t xml:space="preserve">Blends with MEA and </w:t>
      </w:r>
      <w:proofErr w:type="spellStart"/>
      <w:r>
        <w:t>Pz</w:t>
      </w:r>
      <w:proofErr w:type="spellEnd"/>
    </w:p>
    <w:p w14:paraId="4C992EFF" w14:textId="4C4D987E" w:rsidR="00293827" w:rsidRDefault="00581384" w:rsidP="006F0597">
      <w:pPr>
        <w:pStyle w:val="CETBodytext"/>
      </w:pPr>
      <w:r>
        <w:t xml:space="preserve">Experiments with 7 </w:t>
      </w:r>
      <w:proofErr w:type="spellStart"/>
      <w:r>
        <w:t>wt</w:t>
      </w:r>
      <w:proofErr w:type="spellEnd"/>
      <w:r>
        <w:t xml:space="preserve">% MEA and </w:t>
      </w:r>
      <w:r w:rsidR="006F0597">
        <w:t xml:space="preserve">7 </w:t>
      </w:r>
      <w:proofErr w:type="spellStart"/>
      <w:r w:rsidR="006F0597">
        <w:t>wt</w:t>
      </w:r>
      <w:proofErr w:type="spellEnd"/>
      <w:r w:rsidR="006F0597">
        <w:t xml:space="preserve">% </w:t>
      </w:r>
      <w:proofErr w:type="spellStart"/>
      <w:r w:rsidR="006F0597">
        <w:t>Pz</w:t>
      </w:r>
      <w:proofErr w:type="spellEnd"/>
      <w:r w:rsidR="006F0597">
        <w:t xml:space="preserve"> are shown by the green and purple curves in Fig</w:t>
      </w:r>
      <w:r w:rsidR="001D2743">
        <w:t>ure</w:t>
      </w:r>
      <w:r w:rsidR="006F0597">
        <w:t xml:space="preserve"> 2. The molarity of MEA and </w:t>
      </w:r>
      <w:proofErr w:type="spellStart"/>
      <w:r w:rsidR="006F0597">
        <w:t>Pz</w:t>
      </w:r>
      <w:proofErr w:type="spellEnd"/>
      <w:r w:rsidR="006F0597">
        <w:t xml:space="preserve"> in the two experiments is roughly the same </w:t>
      </w:r>
      <w:r w:rsidR="00293827">
        <w:t xml:space="preserve">(Table 1, 1.3 M MEA to 1 M </w:t>
      </w:r>
      <w:proofErr w:type="spellStart"/>
      <w:r w:rsidR="00293827">
        <w:t>Pz</w:t>
      </w:r>
      <w:proofErr w:type="spellEnd"/>
      <w:r w:rsidR="00293827">
        <w:t>). Assuming</w:t>
      </w:r>
      <w:r w:rsidR="00293827" w:rsidRPr="00293827">
        <w:t xml:space="preserve"> </w:t>
      </w:r>
      <w:r w:rsidR="006C2DBF">
        <w:t>negligible</w:t>
      </w:r>
      <w:r w:rsidR="00293827">
        <w:t xml:space="preserve"> contribution from OH</w:t>
      </w:r>
      <w:r w:rsidR="00293827">
        <w:rPr>
          <w:vertAlign w:val="superscript"/>
        </w:rPr>
        <w:t>-</w:t>
      </w:r>
      <w:r w:rsidR="00293827">
        <w:t xml:space="preserve"> to the absorption, and uniform concentrations </w:t>
      </w:r>
      <w:r w:rsidR="006F0597">
        <w:t xml:space="preserve">throughout </w:t>
      </w:r>
      <w:r w:rsidR="00293827">
        <w:t xml:space="preserve">the solvent, </w:t>
      </w:r>
      <w:r w:rsidR="006F0597">
        <w:t xml:space="preserve">the data in </w:t>
      </w:r>
      <w:r w:rsidR="00293827">
        <w:t>Figure 2 would suggest that</w:t>
      </w:r>
      <w:r w:rsidR="0047657D">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MEA</m:t>
            </m:r>
          </m:sub>
        </m:sSub>
      </m:oMath>
      <w:r w:rsidR="0047657D">
        <w:t xml:space="preserve"> and </w:t>
      </w:r>
      <m:oMath>
        <m:sSub>
          <m:sSubPr>
            <m:ctrlPr>
              <w:rPr>
                <w:rFonts w:ascii="Cambria Math" w:hAnsi="Cambria Math"/>
                <w:i/>
              </w:rPr>
            </m:ctrlPr>
          </m:sSubPr>
          <m:e>
            <m:r>
              <w:rPr>
                <w:rFonts w:ascii="Cambria Math" w:hAnsi="Cambria Math"/>
              </w:rPr>
              <m:t>k</m:t>
            </m:r>
          </m:e>
          <m:sub>
            <m:r>
              <m:rPr>
                <m:sty m:val="p"/>
              </m:rPr>
              <w:rPr>
                <w:rFonts w:ascii="Cambria Math" w:hAnsi="Cambria Math"/>
              </w:rPr>
              <m:t>Pz</m:t>
            </m:r>
          </m:sub>
        </m:sSub>
      </m:oMath>
      <w:r w:rsidR="00293827">
        <w:t xml:space="preserve"> are rather close. However, </w:t>
      </w:r>
      <w:r w:rsidR="005F37AF">
        <w:t xml:space="preserve">as indicated in Table 1 (rows 1 and 2), the rate constant of </w:t>
      </w:r>
      <w:proofErr w:type="spellStart"/>
      <w:r w:rsidR="005F37AF">
        <w:t>Pz</w:t>
      </w:r>
      <w:proofErr w:type="spellEnd"/>
      <w:r w:rsidR="005F37AF">
        <w:t xml:space="preserve"> is 5 times that of MEA, suggesting </w:t>
      </w:r>
      <w:r w:rsidR="00A01078">
        <w:t xml:space="preserve">that the </w:t>
      </w:r>
      <w:r w:rsidR="008F6C29">
        <w:t>uniform concentration assumption</w:t>
      </w:r>
      <w:r w:rsidR="00E02967">
        <w:t xml:space="preserve"> is invalid</w:t>
      </w:r>
      <w:r w:rsidR="005F37AF">
        <w:t>. Due to high starting pressure in experiments (</w:t>
      </w:r>
      <m:oMath>
        <m:sSubSup>
          <m:sSubSupPr>
            <m:ctrlPr>
              <w:rPr>
                <w:rFonts w:ascii="Cambria Math" w:hAnsi="Cambria Math"/>
                <w:i/>
              </w:rPr>
            </m:ctrlPr>
          </m:sSubSupPr>
          <m:e>
            <m:r>
              <w:rPr>
                <w:rFonts w:ascii="Cambria Math" w:hAnsi="Cambria Math"/>
              </w:rPr>
              <m:t>p</m:t>
            </m:r>
          </m:e>
          <m:sub>
            <m:r>
              <m:rPr>
                <m:sty m:val="p"/>
              </m:rPr>
              <w:rPr>
                <w:rFonts w:ascii="Cambria Math" w:hAnsi="Cambria Math"/>
              </w:rPr>
              <m:t>C</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sub>
          <m:sup>
            <m:d>
              <m:dPr>
                <m:ctrlPr>
                  <w:rPr>
                    <w:rFonts w:ascii="Cambria Math" w:hAnsi="Cambria Math"/>
                    <w:i/>
                  </w:rPr>
                </m:ctrlPr>
              </m:dPr>
              <m:e>
                <m:r>
                  <w:rPr>
                    <w:rFonts w:ascii="Cambria Math" w:hAnsi="Cambria Math"/>
                  </w:rPr>
                  <m:t>0</m:t>
                </m:r>
              </m:e>
            </m:d>
          </m:sup>
        </m:sSubSup>
        <m:r>
          <w:rPr>
            <w:rFonts w:ascii="Cambria Math" w:hAnsi="Cambria Math"/>
          </w:rPr>
          <m:t>≈400</m:t>
        </m:r>
      </m:oMath>
      <w:r w:rsidR="005F37AF">
        <w:t xml:space="preserve"> </w:t>
      </w:r>
      <w:r w:rsidR="001152DE">
        <w:t>kPa</w:t>
      </w:r>
      <w:r w:rsidR="005F37AF">
        <w:t>), the solvent close to the gas-liquid interface</w:t>
      </w:r>
      <w:r w:rsidR="00842690">
        <w:t xml:space="preserve"> is depleted of amines</w:t>
      </w:r>
      <w:r w:rsidR="005F37AF">
        <w:t xml:space="preserve">, which renders the experiments </w:t>
      </w:r>
      <w:r w:rsidR="00483BDE">
        <w:t>mass transfer</w:t>
      </w:r>
      <w:r w:rsidR="005F37AF">
        <w:t xml:space="preserve">-limited and unresponsive to </w:t>
      </w:r>
      <w:r w:rsidR="006C2DBF">
        <w:t xml:space="preserve">the </w:t>
      </w:r>
      <w:r w:rsidR="005F37AF">
        <w:t xml:space="preserve">higher reaction rate of </w:t>
      </w:r>
      <w:proofErr w:type="spellStart"/>
      <w:r w:rsidR="005F37AF">
        <w:t>Pz</w:t>
      </w:r>
      <w:proofErr w:type="spellEnd"/>
      <w:r w:rsidR="005F37AF">
        <w:t xml:space="preserve">. </w:t>
      </w:r>
      <w:r w:rsidR="00B130BA">
        <w:t xml:space="preserve">Hence, the similar absorption rates of the MEA-blend and the </w:t>
      </w:r>
      <w:proofErr w:type="spellStart"/>
      <w:r w:rsidR="00B130BA">
        <w:t>Pz</w:t>
      </w:r>
      <w:proofErr w:type="spellEnd"/>
      <w:r w:rsidR="00B130BA">
        <w:t>-blend observed in Figure 2 is caused by mass transfer limitations</w:t>
      </w:r>
      <w:r w:rsidR="00B130BA">
        <w:t>. To overcome the mass transfer limited regime, these two blends need to be tested with lower CO</w:t>
      </w:r>
      <w:r w:rsidR="00B130BA">
        <w:rPr>
          <w:vertAlign w:val="subscript"/>
        </w:rPr>
        <w:t>2</w:t>
      </w:r>
      <w:r w:rsidR="00B130BA">
        <w:t xml:space="preserve"> pressure and higher stirring speed.</w:t>
      </w:r>
    </w:p>
    <w:p w14:paraId="21DAD8B6" w14:textId="7952B11A" w:rsidR="00D771A7" w:rsidRDefault="00D771A7" w:rsidP="00D771A7">
      <w:pPr>
        <w:pStyle w:val="CETheadingx"/>
      </w:pPr>
      <w:r>
        <w:t>Blends with VO and BA</w:t>
      </w:r>
    </w:p>
    <w:p w14:paraId="62384162" w14:textId="040FD1C2" w:rsidR="000B615F" w:rsidRDefault="00872311" w:rsidP="00293827">
      <w:pPr>
        <w:pStyle w:val="CETBodytext"/>
      </w:pPr>
      <w:r>
        <w:t xml:space="preserve">Experiments with 3 </w:t>
      </w:r>
      <w:proofErr w:type="spellStart"/>
      <w:r>
        <w:t>wt</w:t>
      </w:r>
      <w:proofErr w:type="spellEnd"/>
      <w:r>
        <w:t xml:space="preserve">% VO and 7 </w:t>
      </w:r>
      <w:proofErr w:type="spellStart"/>
      <w:r>
        <w:t>wt</w:t>
      </w:r>
      <w:proofErr w:type="spellEnd"/>
      <w:r>
        <w:t xml:space="preserve">% BA are shown </w:t>
      </w:r>
      <w:r w:rsidR="001D2743">
        <w:t xml:space="preserve">by the yellow and red curves in Figure 2. </w:t>
      </w:r>
      <w:r w:rsidR="008A2455">
        <w:t xml:space="preserve">With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K</m:t>
                </m:r>
              </m:e>
              <m:sub>
                <m:r>
                  <w:rPr>
                    <w:rFonts w:ascii="Cambria Math" w:hAnsi="Cambria Math"/>
                  </w:rPr>
                  <m:t>a</m:t>
                </m:r>
              </m:sub>
            </m:sSub>
          </m:sub>
        </m:sSub>
      </m:oMath>
      <w:r w:rsidR="008A2455">
        <w:t xml:space="preserve"> of 9.15, approximately half of the BA concentration is in its active form, B(OH)</w:t>
      </w:r>
      <w:r w:rsidR="008A2455">
        <w:rPr>
          <w:vertAlign w:val="subscript"/>
        </w:rPr>
        <w:t>4</w:t>
      </w:r>
      <w:r w:rsidR="008A2455">
        <w:rPr>
          <w:vertAlign w:val="superscript"/>
        </w:rPr>
        <w:t>-</w:t>
      </w:r>
      <w:r w:rsidR="008A2455">
        <w:t xml:space="preserve">. It can be noted from Table 1 that </w:t>
      </w:r>
      <m:oMath>
        <m:sSub>
          <m:sSubPr>
            <m:ctrlPr>
              <w:rPr>
                <w:rFonts w:ascii="Cambria Math" w:hAnsi="Cambria Math"/>
                <w:i/>
              </w:rPr>
            </m:ctrlPr>
          </m:sSubPr>
          <m:e>
            <m:r>
              <w:rPr>
                <w:rFonts w:ascii="Cambria Math" w:hAnsi="Cambria Math"/>
              </w:rPr>
              <m:t>k</m:t>
            </m:r>
          </m:e>
          <m:sub>
            <m:r>
              <m:rPr>
                <m:sty m:val="p"/>
              </m:rPr>
              <w:rPr>
                <w:rFonts w:ascii="Cambria Math" w:hAnsi="Cambria Math"/>
              </w:rPr>
              <m:t>BA</m:t>
            </m:r>
          </m:sub>
        </m:sSub>
      </m:oMath>
      <w:r w:rsidR="008A2455">
        <w:t xml:space="preserve"> is two orders of magnitude </w:t>
      </w:r>
      <w:proofErr w:type="gramStart"/>
      <w:r w:rsidR="008A2455">
        <w:t>lower</w:t>
      </w:r>
      <w:proofErr w:type="gramEnd"/>
      <w:r w:rsidR="008A2455">
        <w:t xml:space="preserve"> than that of other promoters, while at pH of 9.2, the contribution of OH</w:t>
      </w:r>
      <w:r w:rsidR="008A2455">
        <w:rPr>
          <w:vertAlign w:val="superscript"/>
        </w:rPr>
        <w:t>-</w:t>
      </w:r>
      <w:r w:rsidR="008A2455">
        <w:t xml:space="preserve"> to the reaction rate is 100 folds less compared to the unpromoted solvent (</w:t>
      </w:r>
      <w:r w:rsidR="009E6BA3">
        <w:t xml:space="preserve">that has </w:t>
      </w:r>
      <w:r w:rsidR="008A2455">
        <w:t xml:space="preserve">pH = 11.5). Taking </w:t>
      </w:r>
      <m:oMath>
        <m:sSub>
          <m:sSubPr>
            <m:ctrlPr>
              <w:rPr>
                <w:rFonts w:ascii="Cambria Math" w:hAnsi="Cambria Math"/>
                <w:i/>
              </w:rPr>
            </m:ctrlPr>
          </m:sSubPr>
          <m:e>
            <m:r>
              <w:rPr>
                <w:rFonts w:ascii="Cambria Math" w:hAnsi="Cambria Math"/>
              </w:rPr>
              <m:t>k</m:t>
            </m:r>
          </m:e>
          <m:sub>
            <m:r>
              <m:rPr>
                <m:sty m:val="p"/>
              </m:rPr>
              <w:rPr>
                <w:rFonts w:ascii="Cambria Math" w:hAnsi="Cambria Math"/>
              </w:rPr>
              <m:t>OH</m:t>
            </m:r>
          </m:sub>
        </m:sSub>
        <m:r>
          <w:rPr>
            <w:rFonts w:ascii="Cambria Math" w:hAnsi="Cambria Math"/>
          </w:rPr>
          <m:t>=4.7×</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8A2455">
        <w:t xml:space="preserve"> M</w:t>
      </w:r>
      <w:r w:rsidR="008A2455">
        <w:rPr>
          <w:vertAlign w:val="superscript"/>
        </w:rPr>
        <w:t>-1</w:t>
      </w:r>
      <w:r w:rsidR="008A2455">
        <w:t>.s</w:t>
      </w:r>
      <w:r w:rsidR="008A2455">
        <w:rPr>
          <w:vertAlign w:val="superscript"/>
        </w:rPr>
        <w:t>-1</w:t>
      </w:r>
      <w:r w:rsidR="00BE7F70">
        <w:t xml:space="preserve"> (</w:t>
      </w:r>
      <w:proofErr w:type="spellStart"/>
      <w:r w:rsidR="00BE7F70">
        <w:t>Danckwerts</w:t>
      </w:r>
      <w:proofErr w:type="spellEnd"/>
      <w:r w:rsidR="00BE7F70">
        <w:t xml:space="preserve"> and Sharma, 1966)</w:t>
      </w:r>
      <w:r w:rsidR="001C7388">
        <w:t xml:space="preserve">, the product </w:t>
      </w:r>
      <m:oMath>
        <m:sSub>
          <m:sSubPr>
            <m:ctrlPr>
              <w:rPr>
                <w:rFonts w:ascii="Cambria Math" w:hAnsi="Cambria Math"/>
                <w:i/>
              </w:rPr>
            </m:ctrlPr>
          </m:sSubPr>
          <m:e>
            <m:r>
              <w:rPr>
                <w:rFonts w:ascii="Cambria Math" w:hAnsi="Cambria Math"/>
              </w:rPr>
              <m:t>k</m:t>
            </m:r>
          </m:e>
          <m:sub>
            <m:r>
              <m:rPr>
                <m:sty m:val="p"/>
              </m:rPr>
              <w:rPr>
                <w:rFonts w:ascii="Cambria Math" w:hAnsi="Cambria Math"/>
              </w:rPr>
              <m:t>OH</m:t>
            </m:r>
          </m:sub>
        </m:sSub>
        <m:d>
          <m:dPr>
            <m:begChr m:val="["/>
            <m:endChr m:val="]"/>
            <m:ctrlPr>
              <w:rPr>
                <w:rFonts w:ascii="Cambria Math" w:hAnsi="Cambria Math"/>
                <w:i/>
              </w:rPr>
            </m:ctrlPr>
          </m:dPr>
          <m:e>
            <m:r>
              <m:rPr>
                <m:sty m:val="p"/>
              </m:rPr>
              <w:rPr>
                <w:rFonts w:ascii="Cambria Math" w:hAnsi="Cambria Math"/>
              </w:rPr>
              <m:t>O</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e>
        </m:d>
      </m:oMath>
      <w:r w:rsidR="001C7388">
        <w:t xml:space="preserve"> </w:t>
      </w:r>
      <w:r w:rsidR="009E6BA3">
        <w:t>in</w:t>
      </w:r>
      <w:r w:rsidR="001C7388">
        <w:t xml:space="preserve"> the unpromoted solvent is </w:t>
      </w:r>
      <w:r w:rsidR="0036115E">
        <w:t>similar</w:t>
      </w:r>
      <w:r w:rsidR="00E21C40">
        <w:t xml:space="preserve"> in</w:t>
      </w:r>
      <w:r w:rsidR="006F0597">
        <w:t xml:space="preserve"> magnitude to</w:t>
      </w:r>
      <w:r w:rsidR="001C7388">
        <w:t xml:space="preserve"> that of </w:t>
      </w:r>
      <m:oMath>
        <m:sSub>
          <m:sSubPr>
            <m:ctrlPr>
              <w:rPr>
                <w:rFonts w:ascii="Cambria Math" w:hAnsi="Cambria Math"/>
                <w:i/>
              </w:rPr>
            </m:ctrlPr>
          </m:sSubPr>
          <m:e>
            <m:r>
              <w:rPr>
                <w:rFonts w:ascii="Cambria Math" w:hAnsi="Cambria Math"/>
              </w:rPr>
              <m:t>k</m:t>
            </m:r>
          </m:e>
          <m:sub>
            <m:r>
              <m:rPr>
                <m:sty m:val="p"/>
              </m:rPr>
              <w:rPr>
                <w:rFonts w:ascii="Cambria Math" w:hAnsi="Cambria Math"/>
              </w:rPr>
              <m:t>BA</m:t>
            </m:r>
          </m:sub>
        </m:sSub>
        <m:d>
          <m:dPr>
            <m:begChr m:val="["/>
            <m:endChr m:val="]"/>
            <m:ctrlPr>
              <w:rPr>
                <w:rFonts w:ascii="Cambria Math" w:hAnsi="Cambria Math"/>
                <w:i/>
              </w:rPr>
            </m:ctrlPr>
          </m:dPr>
          <m:e>
            <m:r>
              <m:rPr>
                <m:sty m:val="p"/>
              </m:rPr>
              <w:rPr>
                <w:rFonts w:ascii="Cambria Math" w:hAnsi="Cambria Math"/>
              </w:rPr>
              <m:t>B</m:t>
            </m:r>
            <m:sSubSup>
              <m:sSubSupPr>
                <m:ctrlPr>
                  <w:rPr>
                    <w:rFonts w:ascii="Cambria Math" w:hAnsi="Cambria Math"/>
                    <w:iCs/>
                  </w:rPr>
                </m:ctrlPr>
              </m:sSubSupPr>
              <m:e>
                <m:d>
                  <m:dPr>
                    <m:ctrlPr>
                      <w:rPr>
                        <w:rFonts w:ascii="Cambria Math" w:hAnsi="Cambria Math"/>
                        <w:iCs/>
                      </w:rPr>
                    </m:ctrlPr>
                  </m:dPr>
                  <m:e>
                    <m:r>
                      <m:rPr>
                        <m:sty m:val="p"/>
                      </m:rPr>
                      <w:rPr>
                        <w:rFonts w:ascii="Cambria Math" w:hAnsi="Cambria Math"/>
                      </w:rPr>
                      <m:t>OH</m:t>
                    </m:r>
                  </m:e>
                </m:d>
              </m:e>
              <m:sub>
                <m:r>
                  <m:rPr>
                    <m:sty m:val="p"/>
                  </m:rPr>
                  <w:rPr>
                    <w:rFonts w:ascii="Cambria Math" w:hAnsi="Cambria Math"/>
                  </w:rPr>
                  <m:t>4</m:t>
                </m:r>
              </m:sub>
              <m:sup>
                <m:r>
                  <m:rPr>
                    <m:sty m:val="p"/>
                  </m:rPr>
                  <w:rPr>
                    <w:rFonts w:ascii="Cambria Math" w:hAnsi="Cambria Math"/>
                  </w:rPr>
                  <m:t>-</m:t>
                </m:r>
              </m:sup>
            </m:sSubSup>
          </m:e>
        </m:d>
      </m:oMath>
      <w:r w:rsidR="001C7388">
        <w:t xml:space="preserve"> in </w:t>
      </w:r>
      <w:r w:rsidR="0036115E">
        <w:t xml:space="preserve">the </w:t>
      </w:r>
      <w:r w:rsidR="001C7388">
        <w:t>solvent promoted with BA</w:t>
      </w:r>
      <w:r w:rsidR="007C011B">
        <w:t xml:space="preserve">, resulting in practically the same absorption rate </w:t>
      </w:r>
      <w:r w:rsidR="00B47F42">
        <w:t>as</w:t>
      </w:r>
      <w:r w:rsidR="007C011B">
        <w:t xml:space="preserve"> th</w:t>
      </w:r>
      <w:r w:rsidR="00B47F42">
        <w:t>at of the</w:t>
      </w:r>
      <w:r w:rsidR="007C011B">
        <w:t xml:space="preserve"> unpromoted solvent.</w:t>
      </w:r>
    </w:p>
    <w:p w14:paraId="78BF877F" w14:textId="1800EE05" w:rsidR="007C011B" w:rsidRDefault="00FE61DD" w:rsidP="000C6F06">
      <w:pPr>
        <w:pStyle w:val="CETBodytext"/>
      </w:pPr>
      <w:r>
        <w:t>A s</w:t>
      </w:r>
      <w:r w:rsidR="000B615F">
        <w:t xml:space="preserve">imilar </w:t>
      </w:r>
      <w:r w:rsidR="006F0597">
        <w:t>argument can be used to explain the VO-blend.</w:t>
      </w:r>
      <w:r w:rsidR="000B615F">
        <w:t xml:space="preserve"> </w:t>
      </w:r>
      <w:r w:rsidR="006F0597">
        <w:t>The monomeric vanadium species</w:t>
      </w:r>
      <w:r w:rsidR="000B615F">
        <w:t xml:space="preserve"> (H</w:t>
      </w:r>
      <w:r w:rsidR="000B615F">
        <w:rPr>
          <w:vertAlign w:val="subscript"/>
        </w:rPr>
        <w:t>2</w:t>
      </w:r>
      <w:r w:rsidR="000B615F">
        <w:t>VO</w:t>
      </w:r>
      <w:r w:rsidR="000B615F">
        <w:rPr>
          <w:vertAlign w:val="subscript"/>
        </w:rPr>
        <w:t>4</w:t>
      </w:r>
      <w:r w:rsidR="000B615F">
        <w:rPr>
          <w:vertAlign w:val="superscript"/>
        </w:rPr>
        <w:t>-</w:t>
      </w:r>
      <w:r w:rsidR="000B615F">
        <w:t xml:space="preserve"> to HVO</w:t>
      </w:r>
      <w:r w:rsidR="000B615F">
        <w:rPr>
          <w:vertAlign w:val="subscript"/>
        </w:rPr>
        <w:t>4</w:t>
      </w:r>
      <w:r w:rsidR="000B615F">
        <w:rPr>
          <w:vertAlign w:val="superscript"/>
        </w:rPr>
        <w:t>2-</w:t>
      </w:r>
      <w:r w:rsidR="000B615F">
        <w:t>)</w:t>
      </w:r>
      <w:r w:rsidR="006F0597">
        <w:t xml:space="preserve"> have a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K</m:t>
                </m:r>
              </m:e>
              <m:sub>
                <m:r>
                  <w:rPr>
                    <w:rFonts w:ascii="Cambria Math" w:hAnsi="Cambria Math"/>
                  </w:rPr>
                  <m:t>a</m:t>
                </m:r>
              </m:sub>
            </m:sSub>
          </m:sub>
        </m:sSub>
      </m:oMath>
      <w:r w:rsidR="006F0597">
        <w:t xml:space="preserve"> of 7.8.</w:t>
      </w:r>
      <w:r w:rsidR="000B615F">
        <w:t xml:space="preserve"> </w:t>
      </w:r>
      <w:r w:rsidR="006F0597">
        <w:t xml:space="preserve">It </w:t>
      </w:r>
      <w:r w:rsidR="000B615F">
        <w:t xml:space="preserve">could </w:t>
      </w:r>
      <w:r w:rsidR="006F0597">
        <w:t xml:space="preserve">thus </w:t>
      </w:r>
      <w:r w:rsidR="000B615F">
        <w:t xml:space="preserve">be determined that most of the vanadium in the VO-promoted solvent </w:t>
      </w:r>
      <w:r w:rsidR="006F0597">
        <w:t xml:space="preserve">at </w:t>
      </w:r>
      <w:r w:rsidR="000B615F">
        <w:t>pH = 10.2 is in form of the active species, HVO</w:t>
      </w:r>
      <w:r w:rsidR="000B615F">
        <w:rPr>
          <w:vertAlign w:val="subscript"/>
        </w:rPr>
        <w:t>4</w:t>
      </w:r>
      <w:r w:rsidR="000B615F">
        <w:rPr>
          <w:vertAlign w:val="superscript"/>
        </w:rPr>
        <w:t>2-</w:t>
      </w:r>
      <w:r w:rsidR="000B615F">
        <w:t>. Gi</w:t>
      </w:r>
      <w:r w:rsidR="000C6F06">
        <w:t xml:space="preserve">ven the high value of </w:t>
      </w:r>
      <m:oMath>
        <m:sSub>
          <m:sSubPr>
            <m:ctrlPr>
              <w:rPr>
                <w:rFonts w:ascii="Cambria Math" w:hAnsi="Cambria Math"/>
                <w:i/>
              </w:rPr>
            </m:ctrlPr>
          </m:sSubPr>
          <m:e>
            <m:r>
              <w:rPr>
                <w:rFonts w:ascii="Cambria Math" w:hAnsi="Cambria Math"/>
              </w:rPr>
              <m:t>k</m:t>
            </m:r>
          </m:e>
          <m:sub>
            <m:r>
              <m:rPr>
                <m:sty m:val="p"/>
              </m:rPr>
              <w:rPr>
                <w:rFonts w:ascii="Cambria Math" w:hAnsi="Cambria Math"/>
              </w:rPr>
              <m:t>VO</m:t>
            </m:r>
          </m:sub>
        </m:sSub>
      </m:oMath>
      <w:r w:rsidR="000C6F06">
        <w:t xml:space="preserve"> (Table </w:t>
      </w:r>
      <w:r w:rsidR="00E554A9">
        <w:t>1</w:t>
      </w:r>
      <w:r w:rsidR="000C6F06">
        <w:t xml:space="preserve">), despite the drop in pH by one unit, the product </w:t>
      </w:r>
      <m:oMath>
        <m:sSub>
          <m:sSubPr>
            <m:ctrlPr>
              <w:rPr>
                <w:rFonts w:ascii="Cambria Math" w:hAnsi="Cambria Math"/>
                <w:i/>
              </w:rPr>
            </m:ctrlPr>
          </m:sSubPr>
          <m:e>
            <m:r>
              <w:rPr>
                <w:rFonts w:ascii="Cambria Math" w:hAnsi="Cambria Math"/>
              </w:rPr>
              <m:t>k</m:t>
            </m:r>
          </m:e>
          <m:sub>
            <m:r>
              <m:rPr>
                <m:sty m:val="p"/>
              </m:rPr>
              <w:rPr>
                <w:rFonts w:ascii="Cambria Math" w:hAnsi="Cambria Math"/>
              </w:rPr>
              <m:t>VO</m:t>
            </m:r>
          </m:sub>
        </m:sSub>
        <m:d>
          <m:dPr>
            <m:begChr m:val="["/>
            <m:endChr m:val="]"/>
            <m:ctrlPr>
              <w:rPr>
                <w:rFonts w:ascii="Cambria Math" w:hAnsi="Cambria Math"/>
                <w:i/>
              </w:rPr>
            </m:ctrlPr>
          </m:dPr>
          <m:e>
            <m:r>
              <m:rPr>
                <m:sty m:val="p"/>
              </m:rPr>
              <w:rPr>
                <w:rFonts w:ascii="Cambria Math" w:hAnsi="Cambria Math"/>
              </w:rPr>
              <m:t>HV</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e>
        </m:d>
      </m:oMath>
      <w:r w:rsidR="000C6F06">
        <w:t xml:space="preserve"> is over 100 times larger than that of the rate product for unpromoted solvent. </w:t>
      </w:r>
    </w:p>
    <w:p w14:paraId="33892A86" w14:textId="4F69FB78" w:rsidR="000C6F06" w:rsidRPr="008D0302" w:rsidRDefault="00830172" w:rsidP="00830172">
      <w:pPr>
        <w:pStyle w:val="CETBodytext"/>
      </w:pPr>
      <w:r>
        <w:t>With the lower pH caused by the addition of BA (Table 1, rows 4-5), the concentration of HVO</w:t>
      </w:r>
      <w:r>
        <w:rPr>
          <w:vertAlign w:val="subscript"/>
        </w:rPr>
        <w:t>4</w:t>
      </w:r>
      <w:r>
        <w:rPr>
          <w:vertAlign w:val="superscript"/>
        </w:rPr>
        <w:t>2-</w:t>
      </w:r>
      <w:r>
        <w:t xml:space="preserve"> decreases, hindering the contribution of VO to the absorption. The partial replacement of </w:t>
      </w:r>
      <w:proofErr w:type="gramStart"/>
      <w:r>
        <w:t>HVO</w:t>
      </w:r>
      <w:r>
        <w:rPr>
          <w:vertAlign w:val="subscript"/>
        </w:rPr>
        <w:t>4</w:t>
      </w:r>
      <w:r>
        <w:rPr>
          <w:vertAlign w:val="superscript"/>
        </w:rPr>
        <w:t>2</w:t>
      </w:r>
      <w:r>
        <w:rPr>
          <w:vertAlign w:val="superscript"/>
        </w:rPr>
        <w:softHyphen/>
        <w:t>-</w:t>
      </w:r>
      <w:proofErr w:type="gramEnd"/>
      <w:r>
        <w:t xml:space="preserve"> with active boron species lowers the overall reaction rate product (see equation </w:t>
      </w:r>
      <w:r w:rsidR="00161A37">
        <w:t>6</w:t>
      </w:r>
      <w:r>
        <w:t>) due to the relatively low activity of B(OH)</w:t>
      </w:r>
      <w:r>
        <w:rPr>
          <w:vertAlign w:val="subscript"/>
        </w:rPr>
        <w:t>4</w:t>
      </w:r>
      <w:r>
        <w:rPr>
          <w:vertAlign w:val="superscript"/>
        </w:rPr>
        <w:t>-</w:t>
      </w:r>
      <w:r>
        <w:t xml:space="preserve"> towards CO</w:t>
      </w:r>
      <w:r>
        <w:rPr>
          <w:vertAlign w:val="subscript"/>
        </w:rPr>
        <w:t>2</w:t>
      </w:r>
      <w:r>
        <w:t xml:space="preserve">. </w:t>
      </w:r>
      <w:r w:rsidR="008D0302">
        <w:t>Consequently</w:t>
      </w:r>
      <w:r>
        <w:t xml:space="preserve">, </w:t>
      </w:r>
      <w:r w:rsidR="008D0302">
        <w:t>increasing concentration of BA in presence of VO in aqueous K</w:t>
      </w:r>
      <w:r w:rsidR="008D0302">
        <w:rPr>
          <w:vertAlign w:val="subscript"/>
        </w:rPr>
        <w:t>2</w:t>
      </w:r>
      <w:r w:rsidR="008D0302">
        <w:t>CO</w:t>
      </w:r>
      <w:r w:rsidR="008D0302">
        <w:rPr>
          <w:vertAlign w:val="subscript"/>
        </w:rPr>
        <w:t>3</w:t>
      </w:r>
      <w:r w:rsidR="008D0302">
        <w:t xml:space="preserve"> results in lower CO</w:t>
      </w:r>
      <w:r w:rsidR="008D0302">
        <w:rPr>
          <w:vertAlign w:val="subscript"/>
        </w:rPr>
        <w:t>2</w:t>
      </w:r>
      <w:r w:rsidR="008D0302">
        <w:t xml:space="preserve"> absorption rate.</w:t>
      </w:r>
    </w:p>
    <w:p w14:paraId="7EE69EE0" w14:textId="4870C4A0" w:rsidR="000C6F06" w:rsidRDefault="00177033" w:rsidP="000C6F06">
      <w:pPr>
        <w:pStyle w:val="CETHeading1"/>
      </w:pPr>
      <w:r>
        <w:t>Conclusions</w:t>
      </w:r>
    </w:p>
    <w:p w14:paraId="17EEFF7C" w14:textId="3069D9CA" w:rsidR="00930C3B" w:rsidRDefault="000C6F06" w:rsidP="00B47F42">
      <w:pPr>
        <w:pStyle w:val="CETBodytext"/>
      </w:pPr>
      <w:r>
        <w:t xml:space="preserve">In this work, </w:t>
      </w:r>
      <w:r w:rsidR="003B075D">
        <w:t>the absorption of CO</w:t>
      </w:r>
      <w:r w:rsidR="003B075D">
        <w:rPr>
          <w:vertAlign w:val="subscript"/>
        </w:rPr>
        <w:t>2</w:t>
      </w:r>
      <w:r w:rsidR="003B075D">
        <w:t xml:space="preserve"> into </w:t>
      </w:r>
      <w:r w:rsidR="00B47F42">
        <w:t xml:space="preserve">fresh </w:t>
      </w:r>
      <w:r w:rsidR="003B075D">
        <w:t>aqueous K</w:t>
      </w:r>
      <w:r w:rsidR="003B075D">
        <w:rPr>
          <w:vertAlign w:val="subscript"/>
        </w:rPr>
        <w:t>2</w:t>
      </w:r>
      <w:r w:rsidR="003B075D">
        <w:t>CO</w:t>
      </w:r>
      <w:r w:rsidR="003B075D">
        <w:rPr>
          <w:vertAlign w:val="subscript"/>
        </w:rPr>
        <w:t>3</w:t>
      </w:r>
      <w:r w:rsidR="003B075D">
        <w:t xml:space="preserve"> in </w:t>
      </w:r>
      <w:r w:rsidR="00E02967">
        <w:t>the presence</w:t>
      </w:r>
      <w:r w:rsidR="003B075D">
        <w:t xml:space="preserve"> of </w:t>
      </w:r>
      <w:r w:rsidR="00B81EF0">
        <w:t>different</w:t>
      </w:r>
      <w:r w:rsidR="003B075D">
        <w:t xml:space="preserve"> rate promoters</w:t>
      </w:r>
      <w:r>
        <w:t xml:space="preserve"> </w:t>
      </w:r>
      <w:r w:rsidR="00B81EF0">
        <w:t xml:space="preserve">was </w:t>
      </w:r>
      <w:r>
        <w:t xml:space="preserve">experimentally </w:t>
      </w:r>
      <w:r w:rsidR="00E72FA5">
        <w:t>investigated</w:t>
      </w:r>
      <w:r>
        <w:t>.</w:t>
      </w:r>
      <w:r w:rsidR="00E72FA5">
        <w:t xml:space="preserve"> To compare the results, the experiments were </w:t>
      </w:r>
      <w:r w:rsidR="00E02967">
        <w:t>conducted</w:t>
      </w:r>
      <w:r w:rsidR="00E72FA5">
        <w:t xml:space="preserve"> under </w:t>
      </w:r>
      <w:r w:rsidR="00B81EF0">
        <w:t xml:space="preserve">the </w:t>
      </w:r>
      <w:r w:rsidR="00E72FA5">
        <w:t xml:space="preserve">same operating conditions, </w:t>
      </w:r>
      <w:proofErr w:type="gramStart"/>
      <w:r w:rsidR="00E72FA5">
        <w:t>i.e.</w:t>
      </w:r>
      <w:proofErr w:type="gramEnd"/>
      <w:r w:rsidR="00E72FA5">
        <w:t xml:space="preserve"> temperature of 50 </w:t>
      </w:r>
      <w:r w:rsidR="00E72FA5">
        <w:rPr>
          <w:rFonts w:cs="Arial"/>
        </w:rPr>
        <w:t>˚</w:t>
      </w:r>
      <w:r w:rsidR="00E72FA5">
        <w:t>C</w:t>
      </w:r>
      <w:r w:rsidR="00BB58AD">
        <w:t>,</w:t>
      </w:r>
      <w:r w:rsidR="00E72FA5">
        <w:t xml:space="preserve"> starting pressure of approximately 4</w:t>
      </w:r>
      <w:r w:rsidR="00E02967">
        <w:t>00</w:t>
      </w:r>
      <w:r w:rsidR="00E72FA5">
        <w:t xml:space="preserve"> </w:t>
      </w:r>
      <w:r w:rsidR="00E02967">
        <w:t>kPa</w:t>
      </w:r>
      <w:r w:rsidR="00BB58AD">
        <w:t>, and stirring speed of 500 rpm</w:t>
      </w:r>
      <w:r w:rsidR="00E72FA5">
        <w:t>.</w:t>
      </w:r>
      <w:r>
        <w:t xml:space="preserve"> </w:t>
      </w:r>
      <w:r w:rsidR="003B075D">
        <w:t xml:space="preserve">The results indicated that while the </w:t>
      </w:r>
      <w:r w:rsidR="00B81EF0">
        <w:t xml:space="preserve">apparent </w:t>
      </w:r>
      <w:r w:rsidR="003B075D">
        <w:t xml:space="preserve">absorption rate increased significantly in the presence of amines, mass transfer limitations arising from the experimental conditions prevent a fair comparison of piperazine and </w:t>
      </w:r>
      <w:proofErr w:type="spellStart"/>
      <w:r w:rsidR="003B075D">
        <w:t>monoethanolamine</w:t>
      </w:r>
      <w:proofErr w:type="spellEnd"/>
      <w:r w:rsidR="003B075D">
        <w:t xml:space="preserve"> with each other.</w:t>
      </w:r>
      <w:r w:rsidR="00930C3B">
        <w:t xml:space="preserve"> Under mass transfer limited conditions,</w:t>
      </w:r>
      <w:r w:rsidR="00000982">
        <w:t xml:space="preserve"> the gas-liquid interface is depleted of amines</w:t>
      </w:r>
      <w:r w:rsidR="00930C3B">
        <w:t>.</w:t>
      </w:r>
      <w:r w:rsidR="00000982">
        <w:t xml:space="preserve"> As such, the absorption rate is controlled by the stirring rate and is insensitive towards the reaction rate of CO</w:t>
      </w:r>
      <w:r w:rsidR="00000982">
        <w:rPr>
          <w:vertAlign w:val="subscript"/>
        </w:rPr>
        <w:t>2</w:t>
      </w:r>
      <w:r w:rsidR="00000982">
        <w:t xml:space="preserve"> with the constituents in the solvent.</w:t>
      </w:r>
      <w:r w:rsidR="003B075D">
        <w:t xml:space="preserve"> It was also </w:t>
      </w:r>
      <w:r w:rsidR="00E72FA5">
        <w:t xml:space="preserve">determined that the addition of vanadium pentoxide improves the </w:t>
      </w:r>
      <w:r w:rsidR="00B81EF0">
        <w:t xml:space="preserve">apparent </w:t>
      </w:r>
      <w:r w:rsidR="00E72FA5">
        <w:t xml:space="preserve">absorption rate, albeit not as effectively as the amines. The presence of boric acid in conjunction with the vanadium pentoxide inhibited the </w:t>
      </w:r>
      <w:r w:rsidR="00B81EF0">
        <w:t xml:space="preserve">rate-enhancement effect of the latter. Theoretical analysis of the data reveals that this inhibiting effect is </w:t>
      </w:r>
      <w:r w:rsidR="00513ECE">
        <w:t>solely</w:t>
      </w:r>
      <w:r w:rsidR="00B81EF0">
        <w:t xml:space="preserve"> due</w:t>
      </w:r>
      <w:r w:rsidR="00AC44E9">
        <w:t xml:space="preserve"> to</w:t>
      </w:r>
      <w:r w:rsidR="00B81EF0">
        <w:t xml:space="preserve"> the lower pH of the VO-BA-blend compared to the VO-blend</w:t>
      </w:r>
      <w:r w:rsidR="00E72FA5">
        <w:t>.</w:t>
      </w:r>
      <w:r w:rsidR="00000982">
        <w:t xml:space="preserve"> </w:t>
      </w:r>
      <w:r w:rsidR="007C011B">
        <w:t>At low pH, the concentration of active vanadium species and hence the VO contribution to the reaction rate decreases.</w:t>
      </w:r>
      <w:r w:rsidR="00E72FA5">
        <w:t xml:space="preserve"> </w:t>
      </w:r>
      <w:r w:rsidR="000C5C38">
        <w:t xml:space="preserve">The results concerning solvents with inorganic rate promoters </w:t>
      </w:r>
      <w:proofErr w:type="gramStart"/>
      <w:r w:rsidR="000C5C38">
        <w:t>were in agreement</w:t>
      </w:r>
      <w:proofErr w:type="gramEnd"/>
      <w:r w:rsidR="000C5C38">
        <w:t xml:space="preserve"> with literature.</w:t>
      </w:r>
    </w:p>
    <w:p w14:paraId="1814385E" w14:textId="77777777" w:rsidR="008D0302" w:rsidRDefault="008D0302">
      <w:pPr>
        <w:tabs>
          <w:tab w:val="clear" w:pos="7100"/>
        </w:tabs>
        <w:spacing w:after="200" w:line="276" w:lineRule="auto"/>
        <w:jc w:val="left"/>
        <w:rPr>
          <w:b/>
          <w:lang w:val="en-US"/>
        </w:rPr>
      </w:pPr>
      <w:r>
        <w:br w:type="page"/>
      </w:r>
    </w:p>
    <w:p w14:paraId="34B84A2B" w14:textId="51A73E77" w:rsidR="009A1157" w:rsidRPr="009A1157" w:rsidRDefault="009A1157" w:rsidP="009A1157">
      <w:pPr>
        <w:pStyle w:val="CETHeadingxx"/>
        <w:rPr>
          <w:lang w:val="en-GB"/>
        </w:rPr>
        <w:sectPr w:rsidR="009A1157" w:rsidRPr="009A1157" w:rsidSect="007D0951">
          <w:type w:val="continuous"/>
          <w:pgSz w:w="11906" w:h="16838" w:code="9"/>
          <w:pgMar w:top="1701" w:right="1418" w:bottom="1701" w:left="1701" w:header="1701" w:footer="0" w:gutter="0"/>
          <w:cols w:space="708"/>
          <w:formProt w:val="0"/>
          <w:titlePg/>
          <w:docGrid w:linePitch="360"/>
        </w:sectPr>
      </w:pPr>
      <w:r w:rsidRPr="009A1157">
        <w:lastRenderedPageBreak/>
        <w:t>Nomenclature</w:t>
      </w:r>
    </w:p>
    <w:p w14:paraId="11C36731" w14:textId="61FAEFC5" w:rsidR="00F35818" w:rsidRPr="00F35818" w:rsidRDefault="00000000" w:rsidP="00F35818">
      <w:pPr>
        <w:pStyle w:val="CETBodytext"/>
        <w:jc w:val="left"/>
        <w:rPr>
          <w:rFonts w:eastAsia="SimSun"/>
        </w:rPr>
      </w:pPr>
      <m:oMath>
        <m:d>
          <m:dPr>
            <m:begChr m:val="["/>
            <m:endChr m:val="]"/>
            <m:ctrlPr>
              <w:rPr>
                <w:rFonts w:ascii="Cambria Math" w:eastAsia="SimSun" w:hAnsi="Cambria Math"/>
                <w:i/>
              </w:rPr>
            </m:ctrlPr>
          </m:dPr>
          <m:e>
            <m:r>
              <m:rPr>
                <m:nor/>
              </m:rPr>
              <w:rPr>
                <w:rFonts w:ascii="Cambria Math" w:eastAsia="SimSun" w:hAnsi="Cambria Math"/>
              </w:rPr>
              <m:t>A</m:t>
            </m:r>
          </m:e>
        </m:d>
      </m:oMath>
      <w:r w:rsidR="00F35818">
        <w:rPr>
          <w:rFonts w:eastAsia="SimSun"/>
        </w:rPr>
        <w:t xml:space="preserve"> – concentration of active species in solvent, </w:t>
      </w:r>
      <w:r w:rsidR="00930C3B">
        <w:rPr>
          <w:rFonts w:eastAsia="SimSun"/>
        </w:rPr>
        <w:t>M</w:t>
      </w:r>
      <w:r w:rsidR="00930C3B">
        <w:rPr>
          <w:rFonts w:eastAsia="SimSun"/>
        </w:rPr>
        <w:tab/>
      </w:r>
    </w:p>
    <w:p w14:paraId="7BC3633F" w14:textId="71ACB62C" w:rsidR="00F35818" w:rsidRPr="00F35818" w:rsidRDefault="00000000" w:rsidP="00F35818">
      <w:pPr>
        <w:pStyle w:val="CETBodytext"/>
        <w:jc w:val="left"/>
        <w:rPr>
          <w:rFonts w:eastAsia="SimSun"/>
        </w:rPr>
      </w:pPr>
      <m:oMath>
        <m:d>
          <m:dPr>
            <m:begChr m:val="["/>
            <m:endChr m:val="]"/>
            <m:ctrlPr>
              <w:rPr>
                <w:rFonts w:ascii="Cambria Math" w:eastAsia="SimSun" w:hAnsi="Cambria Math"/>
                <w:i/>
              </w:rPr>
            </m:ctrlPr>
          </m:dPr>
          <m:e>
            <m:r>
              <m:rPr>
                <m:nor/>
              </m:rPr>
              <w:rPr>
                <w:rFonts w:ascii="Cambria Math" w:eastAsia="SimSun" w:hAnsi="Cambria Math"/>
              </w:rPr>
              <m:t>C</m:t>
            </m:r>
            <m:sSub>
              <m:sSubPr>
                <m:ctrlPr>
                  <w:rPr>
                    <w:rFonts w:ascii="Cambria Math" w:eastAsia="SimSun" w:hAnsi="Cambria Math"/>
                    <w:i/>
                  </w:rPr>
                </m:ctrlPr>
              </m:sSubPr>
              <m:e>
                <m:r>
                  <m:rPr>
                    <m:nor/>
                  </m:rPr>
                  <w:rPr>
                    <w:rFonts w:ascii="Cambria Math" w:eastAsia="SimSun" w:hAnsi="Cambria Math"/>
                  </w:rPr>
                  <m:t>O</m:t>
                </m:r>
              </m:e>
              <m:sub>
                <m:r>
                  <m:rPr>
                    <m:nor/>
                  </m:rPr>
                  <w:rPr>
                    <w:rFonts w:ascii="Cambria Math" w:eastAsia="SimSun" w:hAnsi="Cambria Math"/>
                  </w:rPr>
                  <m:t>2</m:t>
                </m:r>
              </m:sub>
            </m:sSub>
          </m:e>
        </m:d>
      </m:oMath>
      <w:r w:rsidR="00F35818" w:rsidRPr="009A1157">
        <w:rPr>
          <w:rFonts w:eastAsia="SimSun"/>
        </w:rPr>
        <w:t xml:space="preserve"> – </w:t>
      </w:r>
      <w:r w:rsidR="00F35818">
        <w:rPr>
          <w:rFonts w:eastAsia="SimSun"/>
        </w:rPr>
        <w:t>concentration of free CO</w:t>
      </w:r>
      <w:r w:rsidR="00F35818">
        <w:rPr>
          <w:rFonts w:eastAsia="SimSun"/>
          <w:vertAlign w:val="subscript"/>
        </w:rPr>
        <w:t>2</w:t>
      </w:r>
      <w:r w:rsidR="00F35818">
        <w:rPr>
          <w:rFonts w:eastAsia="SimSun"/>
        </w:rPr>
        <w:t xml:space="preserve"> in the solvent</w:t>
      </w:r>
      <w:r w:rsidR="00F35818" w:rsidRPr="009A1157">
        <w:rPr>
          <w:rFonts w:eastAsia="SimSun"/>
        </w:rPr>
        <w:t xml:space="preserve">, </w:t>
      </w:r>
      <w:r w:rsidR="00F35818">
        <w:rPr>
          <w:rFonts w:eastAsia="SimSun"/>
        </w:rPr>
        <w:t>M</w:t>
      </w:r>
    </w:p>
    <w:p w14:paraId="2848953F" w14:textId="03925421" w:rsidR="00F35818" w:rsidRDefault="00000000" w:rsidP="009A1157">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k</m:t>
            </m:r>
          </m:e>
          <m:sub>
            <m:r>
              <w:rPr>
                <w:rFonts w:ascii="Cambria Math" w:eastAsia="SimSun" w:hAnsi="Cambria Math"/>
              </w:rPr>
              <m:t>A</m:t>
            </m:r>
          </m:sub>
        </m:sSub>
      </m:oMath>
      <w:r w:rsidR="00F35818" w:rsidRPr="009A1157">
        <w:rPr>
          <w:rFonts w:eastAsia="SimSun"/>
        </w:rPr>
        <w:t xml:space="preserve"> – </w:t>
      </w:r>
      <w:r w:rsidR="00F35818">
        <w:rPr>
          <w:rFonts w:eastAsia="SimSun"/>
        </w:rPr>
        <w:t>reaction rate constant of CO</w:t>
      </w:r>
      <w:r w:rsidR="00F35818">
        <w:rPr>
          <w:rFonts w:eastAsia="SimSun"/>
          <w:vertAlign w:val="subscript"/>
        </w:rPr>
        <w:t>2</w:t>
      </w:r>
      <w:r w:rsidR="00F35818">
        <w:rPr>
          <w:rFonts w:eastAsia="SimSun"/>
        </w:rPr>
        <w:t xml:space="preserve"> with species A</w:t>
      </w:r>
      <w:r w:rsidR="00F35818" w:rsidRPr="009A1157">
        <w:rPr>
          <w:rFonts w:eastAsia="SimSun"/>
        </w:rPr>
        <w:t xml:space="preserve">, </w:t>
      </w:r>
      <w:r w:rsidR="00F35818">
        <w:rPr>
          <w:rFonts w:eastAsia="SimSun"/>
        </w:rPr>
        <w:t>M</w:t>
      </w:r>
      <w:r w:rsidR="00F35818">
        <w:rPr>
          <w:rFonts w:eastAsia="SimSun"/>
          <w:vertAlign w:val="superscript"/>
        </w:rPr>
        <w:t>-</w:t>
      </w:r>
      <w:proofErr w:type="gramStart"/>
      <w:r w:rsidR="00F35818">
        <w:rPr>
          <w:rFonts w:eastAsia="SimSun"/>
          <w:vertAlign w:val="superscript"/>
        </w:rPr>
        <w:t>1</w:t>
      </w:r>
      <w:r w:rsidR="00F35818">
        <w:rPr>
          <w:rFonts w:eastAsia="SimSun"/>
        </w:rPr>
        <w:t>.s</w:t>
      </w:r>
      <w:proofErr w:type="gramEnd"/>
      <w:r w:rsidR="00F35818">
        <w:rPr>
          <w:rFonts w:eastAsia="SimSun"/>
          <w:vertAlign w:val="superscript"/>
        </w:rPr>
        <w:t>-1</w:t>
      </w:r>
    </w:p>
    <w:p w14:paraId="3734E88F" w14:textId="47BE0482" w:rsidR="00C81410" w:rsidRPr="00C81410" w:rsidRDefault="00C81410" w:rsidP="009A1157">
      <w:pPr>
        <w:pStyle w:val="CETBodytext"/>
        <w:jc w:val="left"/>
        <w:rPr>
          <w:rFonts w:eastAsia="SimSun"/>
        </w:rPr>
      </w:pPr>
      <m:oMath>
        <m:r>
          <w:rPr>
            <w:rFonts w:ascii="Cambria Math" w:eastAsia="SimSun" w:hAnsi="Cambria Math"/>
          </w:rPr>
          <m:t>K</m:t>
        </m:r>
      </m:oMath>
      <w:r>
        <w:rPr>
          <w:rFonts w:eastAsia="SimSun"/>
        </w:rPr>
        <w:t xml:space="preserve"> – apparent absorption rate of CO</w:t>
      </w:r>
      <w:r>
        <w:rPr>
          <w:rFonts w:eastAsia="SimSun"/>
          <w:vertAlign w:val="subscript"/>
        </w:rPr>
        <w:t>2</w:t>
      </w:r>
      <w:r>
        <w:rPr>
          <w:rFonts w:eastAsia="SimSun"/>
        </w:rPr>
        <w:t>, s</w:t>
      </w:r>
      <w:r>
        <w:rPr>
          <w:rFonts w:eastAsia="SimSun"/>
          <w:vertAlign w:val="superscript"/>
        </w:rPr>
        <w:t>-1</w:t>
      </w:r>
    </w:p>
    <w:p w14:paraId="7AB1FE6C" w14:textId="4B57D899" w:rsidR="00F35818" w:rsidRDefault="00000000" w:rsidP="00F35818">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p</m:t>
            </m:r>
          </m:e>
          <m:sub>
            <m:r>
              <m:rPr>
                <m:nor/>
              </m:rPr>
              <w:rPr>
                <w:rFonts w:ascii="Cambria Math" w:eastAsia="SimSun" w:hAnsi="Cambria Math"/>
              </w:rPr>
              <m:t>C</m:t>
            </m:r>
            <m:sSub>
              <m:sSubPr>
                <m:ctrlPr>
                  <w:rPr>
                    <w:rFonts w:ascii="Cambria Math" w:eastAsia="SimSun" w:hAnsi="Cambria Math"/>
                    <w:i/>
                  </w:rPr>
                </m:ctrlPr>
              </m:sSubPr>
              <m:e>
                <m:r>
                  <m:rPr>
                    <m:nor/>
                  </m:rPr>
                  <w:rPr>
                    <w:rFonts w:ascii="Cambria Math" w:eastAsia="SimSun" w:hAnsi="Cambria Math"/>
                  </w:rPr>
                  <m:t>O</m:t>
                </m:r>
              </m:e>
              <m:sub>
                <m:r>
                  <m:rPr>
                    <m:nor/>
                  </m:rPr>
                  <w:rPr>
                    <w:rFonts w:ascii="Cambria Math" w:eastAsia="SimSun" w:hAnsi="Cambria Math"/>
                  </w:rPr>
                  <m:t>2</m:t>
                </m:r>
              </m:sub>
            </m:sSub>
          </m:sub>
          <m:sup>
            <m:d>
              <m:dPr>
                <m:ctrlPr>
                  <w:rPr>
                    <w:rFonts w:ascii="Cambria Math" w:eastAsia="SimSun" w:hAnsi="Cambria Math"/>
                    <w:i/>
                  </w:rPr>
                </m:ctrlPr>
              </m:dPr>
              <m:e>
                <m:r>
                  <w:rPr>
                    <w:rFonts w:ascii="Cambria Math" w:eastAsia="SimSun" w:hAnsi="Cambria Math"/>
                  </w:rPr>
                  <m:t>0</m:t>
                </m:r>
              </m:e>
            </m:d>
          </m:sup>
        </m:sSubSup>
      </m:oMath>
      <w:r w:rsidR="009A1157" w:rsidRPr="009A1157">
        <w:rPr>
          <w:rFonts w:eastAsia="SimSun"/>
        </w:rPr>
        <w:t xml:space="preserve"> – </w:t>
      </w:r>
      <w:r w:rsidR="009A1157">
        <w:rPr>
          <w:rFonts w:eastAsia="SimSun"/>
        </w:rPr>
        <w:t>starting pressure of CO</w:t>
      </w:r>
      <w:r w:rsidR="009A1157">
        <w:rPr>
          <w:rFonts w:eastAsia="SimSun"/>
          <w:vertAlign w:val="subscript"/>
        </w:rPr>
        <w:t>2</w:t>
      </w:r>
      <w:r w:rsidR="009A1157" w:rsidRPr="009A1157">
        <w:rPr>
          <w:rFonts w:eastAsia="SimSun"/>
        </w:rPr>
        <w:t xml:space="preserve">, </w:t>
      </w:r>
      <w:r w:rsidR="009A1157">
        <w:rPr>
          <w:rFonts w:eastAsia="SimSun"/>
        </w:rPr>
        <w:t>P</w:t>
      </w:r>
      <w:r w:rsidR="00F35818">
        <w:rPr>
          <w:rFonts w:eastAsia="SimSun"/>
        </w:rPr>
        <w:t>a</w:t>
      </w:r>
    </w:p>
    <w:p w14:paraId="7820D354" w14:textId="197A6242" w:rsidR="00F35818" w:rsidRPr="009A1157" w:rsidRDefault="00F35818" w:rsidP="00F35818">
      <w:pPr>
        <w:pStyle w:val="CETBodytext"/>
        <w:jc w:val="left"/>
        <w:rPr>
          <w:rFonts w:eastAsia="SimSun"/>
        </w:rPr>
        <w:sectPr w:rsidR="00F35818" w:rsidRPr="009A1157" w:rsidSect="0077098D">
          <w:type w:val="continuous"/>
          <w:pgSz w:w="11906" w:h="16838" w:code="9"/>
          <w:pgMar w:top="1701" w:right="1418" w:bottom="1701" w:left="1701" w:header="1701" w:footer="0" w:gutter="0"/>
          <w:cols w:space="708"/>
          <w:formProt w:val="0"/>
          <w:titlePg/>
          <w:docGrid w:linePitch="360"/>
        </w:sectPr>
      </w:pPr>
    </w:p>
    <w:p w14:paraId="2E973CC6" w14:textId="3554DF2D" w:rsidR="00F35818" w:rsidRPr="00F35818" w:rsidRDefault="00000000" w:rsidP="009A1157">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p</m:t>
            </m:r>
          </m:e>
          <m:sub>
            <m:r>
              <m:rPr>
                <m:nor/>
              </m:rPr>
              <w:rPr>
                <w:rFonts w:ascii="Cambria Math" w:eastAsia="SimSun" w:hAnsi="Cambria Math"/>
              </w:rPr>
              <m:t>C</m:t>
            </m:r>
            <m:sSub>
              <m:sSubPr>
                <m:ctrlPr>
                  <w:rPr>
                    <w:rFonts w:ascii="Cambria Math" w:eastAsia="SimSun" w:hAnsi="Cambria Math"/>
                    <w:i/>
                  </w:rPr>
                </m:ctrlPr>
              </m:sSubPr>
              <m:e>
                <m:r>
                  <m:rPr>
                    <m:nor/>
                  </m:rPr>
                  <w:rPr>
                    <w:rFonts w:ascii="Cambria Math" w:eastAsia="SimSun" w:hAnsi="Cambria Math"/>
                  </w:rPr>
                  <m:t>O</m:t>
                </m:r>
              </m:e>
              <m:sub>
                <m:r>
                  <m:rPr>
                    <m:nor/>
                  </m:rPr>
                  <w:rPr>
                    <w:rFonts w:ascii="Cambria Math" w:eastAsia="SimSun" w:hAnsi="Cambria Math"/>
                  </w:rPr>
                  <m:t>2</m:t>
                </m:r>
              </m:sub>
            </m:sSub>
          </m:sub>
          <m:sup>
            <m:r>
              <w:rPr>
                <w:rFonts w:ascii="Cambria Math" w:eastAsia="SimSun" w:hAnsi="Cambria Math"/>
              </w:rPr>
              <m:t>*</m:t>
            </m:r>
          </m:sup>
        </m:sSubSup>
      </m:oMath>
      <w:r w:rsidR="00F35818">
        <w:rPr>
          <w:rFonts w:eastAsia="SimSun"/>
        </w:rPr>
        <w:t xml:space="preserve"> - equilibrium</w:t>
      </w:r>
      <w:r w:rsidR="00C81410">
        <w:rPr>
          <w:rFonts w:eastAsia="SimSun"/>
        </w:rPr>
        <w:t xml:space="preserve"> (final)</w:t>
      </w:r>
      <w:r w:rsidR="00F35818">
        <w:rPr>
          <w:rFonts w:eastAsia="SimSun"/>
        </w:rPr>
        <w:t xml:space="preserve"> pressure of CO</w:t>
      </w:r>
      <w:r w:rsidR="00F35818">
        <w:rPr>
          <w:rFonts w:eastAsia="SimSun"/>
          <w:vertAlign w:val="subscript"/>
        </w:rPr>
        <w:t>2</w:t>
      </w:r>
      <w:r w:rsidR="00F35818">
        <w:rPr>
          <w:rFonts w:eastAsia="SimSun"/>
        </w:rPr>
        <w:t>, Pa</w:t>
      </w:r>
    </w:p>
    <w:p w14:paraId="1E583747" w14:textId="41E8CB64" w:rsidR="009A1157" w:rsidRDefault="00000000" w:rsidP="00C46BAC">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r</m:t>
            </m:r>
          </m:e>
          <m:sub>
            <m:r>
              <m:rPr>
                <m:nor/>
              </m:rPr>
              <w:rPr>
                <w:rFonts w:ascii="Cambria Math" w:eastAsia="SimSun" w:hAnsi="Cambria Math"/>
              </w:rPr>
              <m:t>C</m:t>
            </m:r>
            <m:sSub>
              <m:sSubPr>
                <m:ctrlPr>
                  <w:rPr>
                    <w:rFonts w:ascii="Cambria Math" w:eastAsia="SimSun" w:hAnsi="Cambria Math"/>
                    <w:i/>
                  </w:rPr>
                </m:ctrlPr>
              </m:sSubPr>
              <m:e>
                <m:r>
                  <m:rPr>
                    <m:nor/>
                  </m:rPr>
                  <w:rPr>
                    <w:rFonts w:ascii="Cambria Math" w:eastAsia="SimSun" w:hAnsi="Cambria Math"/>
                  </w:rPr>
                  <m:t>O</m:t>
                </m:r>
              </m:e>
              <m:sub>
                <m:r>
                  <m:rPr>
                    <m:nor/>
                  </m:rPr>
                  <w:rPr>
                    <w:rFonts w:ascii="Cambria Math" w:eastAsia="SimSun" w:hAnsi="Cambria Math"/>
                  </w:rPr>
                  <m:t>2</m:t>
                </m:r>
              </m:sub>
            </m:sSub>
          </m:sub>
        </m:sSub>
      </m:oMath>
      <w:r w:rsidR="00F35818">
        <w:rPr>
          <w:rFonts w:eastAsia="SimSun"/>
        </w:rPr>
        <w:t xml:space="preserve"> – rate of CO</w:t>
      </w:r>
      <w:r w:rsidR="00F35818">
        <w:rPr>
          <w:rFonts w:eastAsia="SimSun"/>
          <w:vertAlign w:val="subscript"/>
        </w:rPr>
        <w:t>2</w:t>
      </w:r>
      <w:r w:rsidR="00F35818">
        <w:rPr>
          <w:rFonts w:eastAsia="SimSun"/>
        </w:rPr>
        <w:t xml:space="preserve"> reaction, M.s</w:t>
      </w:r>
      <w:r w:rsidR="00F35818">
        <w:rPr>
          <w:rFonts w:eastAsia="SimSun"/>
          <w:vertAlign w:val="superscript"/>
        </w:rPr>
        <w:t>-1</w:t>
      </w:r>
    </w:p>
    <w:p w14:paraId="2ECE56B8" w14:textId="66447DE1" w:rsidR="00930C3B" w:rsidRPr="00930C3B" w:rsidRDefault="00930C3B" w:rsidP="00C46BAC">
      <w:pPr>
        <w:pStyle w:val="CETBodytext"/>
        <w:spacing w:before="120" w:after="120" w:line="240" w:lineRule="auto"/>
        <w:jc w:val="left"/>
        <w:rPr>
          <w:rFonts w:eastAsia="SimSun"/>
          <w:b/>
          <w:bCs/>
        </w:rPr>
      </w:pPr>
      <w:r w:rsidRPr="00930C3B">
        <w:rPr>
          <w:rFonts w:eastAsia="SimSun"/>
          <w:b/>
          <w:bCs/>
        </w:rPr>
        <w:t>Abbreviations</w:t>
      </w:r>
    </w:p>
    <w:p w14:paraId="7E1B4063" w14:textId="77777777" w:rsidR="00930C3B" w:rsidRDefault="00930C3B" w:rsidP="00C46BAC">
      <w:pPr>
        <w:pStyle w:val="CETBodytext"/>
        <w:jc w:val="left"/>
      </w:pPr>
      <w:r>
        <w:t>BA – boric acid</w:t>
      </w:r>
    </w:p>
    <w:p w14:paraId="2F17A79D" w14:textId="30B3A5BA" w:rsidR="00C46BAC" w:rsidRDefault="00C46BAC" w:rsidP="00C46BAC">
      <w:pPr>
        <w:pStyle w:val="CETBodytext"/>
        <w:jc w:val="left"/>
      </w:pPr>
      <w:r>
        <w:t>BECCS – bio-energy carbon capture and storage</w:t>
      </w:r>
    </w:p>
    <w:p w14:paraId="7AA16E54" w14:textId="77777777" w:rsidR="00930C3B" w:rsidRDefault="00930C3B" w:rsidP="009A1157">
      <w:pPr>
        <w:pStyle w:val="CETBodytext"/>
        <w:jc w:val="left"/>
      </w:pPr>
      <w:r>
        <w:t xml:space="preserve">MEA – </w:t>
      </w:r>
      <w:proofErr w:type="spellStart"/>
      <w:r>
        <w:t>monoethanolamine</w:t>
      </w:r>
      <w:proofErr w:type="spellEnd"/>
    </w:p>
    <w:p w14:paraId="23AF0BA8" w14:textId="77777777" w:rsidR="00930C3B" w:rsidRDefault="00930C3B" w:rsidP="009A1157">
      <w:pPr>
        <w:pStyle w:val="CETBodytext"/>
        <w:jc w:val="left"/>
      </w:pPr>
      <w:proofErr w:type="spellStart"/>
      <w:r>
        <w:t>Pz</w:t>
      </w:r>
      <w:proofErr w:type="spellEnd"/>
      <w:r>
        <w:t xml:space="preserve"> – piperazine</w:t>
      </w:r>
    </w:p>
    <w:p w14:paraId="041E6BE1" w14:textId="0D5EFE3B" w:rsidR="00930C3B" w:rsidRPr="00930C3B" w:rsidRDefault="00930C3B" w:rsidP="00930C3B">
      <w:pPr>
        <w:pStyle w:val="CETBodytext"/>
        <w:jc w:val="left"/>
        <w:rPr>
          <w:rFonts w:eastAsia="SimSun"/>
        </w:rPr>
      </w:pPr>
      <w:r>
        <w:t>VO – vanadium pentoxide</w:t>
      </w:r>
    </w:p>
    <w:p w14:paraId="4F1327F8" w14:textId="77777777" w:rsidR="00600535" w:rsidRPr="00C94562" w:rsidRDefault="00600535" w:rsidP="00600535">
      <w:pPr>
        <w:pStyle w:val="CETReference"/>
      </w:pPr>
      <w:r w:rsidRPr="00C94562">
        <w:t>References</w:t>
      </w:r>
    </w:p>
    <w:p w14:paraId="30682E98" w14:textId="384A852B" w:rsidR="00483BDE" w:rsidRPr="00483BDE" w:rsidRDefault="00483BDE" w:rsidP="00483BDE">
      <w:pPr>
        <w:pStyle w:val="Bibliography"/>
        <w:rPr>
          <w:noProof/>
          <w:sz w:val="24"/>
          <w:szCs w:val="24"/>
        </w:rPr>
      </w:pPr>
      <w:r w:rsidRPr="00483BDE">
        <w:rPr>
          <w:noProof/>
        </w:rPr>
        <w:t>Bishnoi S., Rochelle G. T., 2000, Absorption of carbon dioxide into aqueous piperazine: reaction kinetics,</w:t>
      </w:r>
      <w:r>
        <w:rPr>
          <w:noProof/>
        </w:rPr>
        <w:t xml:space="preserve"> </w:t>
      </w:r>
      <w:r w:rsidRPr="00483BDE">
        <w:rPr>
          <w:noProof/>
        </w:rPr>
        <w:t>mass transfer and solubility</w:t>
      </w:r>
      <w:r>
        <w:rPr>
          <w:noProof/>
        </w:rPr>
        <w:t>,</w:t>
      </w:r>
      <w:r w:rsidRPr="00483BDE">
        <w:rPr>
          <w:noProof/>
        </w:rPr>
        <w:t xml:space="preserve"> Chemical Engineering Science, 55(22), 5531-5543.</w:t>
      </w:r>
    </w:p>
    <w:p w14:paraId="27D047B3" w14:textId="3BC9B73C" w:rsidR="00483BDE" w:rsidRPr="00483BDE" w:rsidRDefault="00483BDE" w:rsidP="00483BDE">
      <w:pPr>
        <w:pStyle w:val="Bibliography"/>
        <w:rPr>
          <w:noProof/>
        </w:rPr>
      </w:pPr>
      <w:r w:rsidRPr="00483BDE">
        <w:rPr>
          <w:noProof/>
        </w:rPr>
        <w:t>Cullinane J. T., Rochelle G. T.</w:t>
      </w:r>
      <w:r>
        <w:rPr>
          <w:noProof/>
        </w:rPr>
        <w:t>,</w:t>
      </w:r>
      <w:r w:rsidRPr="00483BDE">
        <w:rPr>
          <w:noProof/>
        </w:rPr>
        <w:t xml:space="preserve"> 2004</w:t>
      </w:r>
      <w:r>
        <w:rPr>
          <w:noProof/>
        </w:rPr>
        <w:t>,</w:t>
      </w:r>
      <w:r w:rsidRPr="00483BDE">
        <w:rPr>
          <w:noProof/>
        </w:rPr>
        <w:t xml:space="preserve"> Carbon doixide absorption with aqueous potassium carbonate promoted by piperazine</w:t>
      </w:r>
      <w:r>
        <w:rPr>
          <w:noProof/>
        </w:rPr>
        <w:t>,</w:t>
      </w:r>
      <w:r w:rsidRPr="00483BDE">
        <w:rPr>
          <w:noProof/>
        </w:rPr>
        <w:t xml:space="preserve"> Chemical Engineering Sciences, 59, 3619-3630.</w:t>
      </w:r>
    </w:p>
    <w:p w14:paraId="7C5B66A1" w14:textId="744BB49C" w:rsidR="00483BDE" w:rsidRPr="00483BDE" w:rsidRDefault="00483BDE" w:rsidP="00483BDE">
      <w:pPr>
        <w:pStyle w:val="Bibliography"/>
        <w:rPr>
          <w:noProof/>
        </w:rPr>
      </w:pPr>
      <w:r w:rsidRPr="00483BDE">
        <w:rPr>
          <w:noProof/>
        </w:rPr>
        <w:t>Danckwerts P. V.</w:t>
      </w:r>
      <w:r w:rsidR="00C94562">
        <w:rPr>
          <w:noProof/>
        </w:rPr>
        <w:t>,</w:t>
      </w:r>
      <w:r w:rsidRPr="00483BDE">
        <w:rPr>
          <w:noProof/>
        </w:rPr>
        <w:t xml:space="preserve"> 1979</w:t>
      </w:r>
      <w:r w:rsidR="00C94562">
        <w:rPr>
          <w:noProof/>
        </w:rPr>
        <w:t>,</w:t>
      </w:r>
      <w:r w:rsidRPr="00483BDE">
        <w:rPr>
          <w:noProof/>
        </w:rPr>
        <w:t xml:space="preserve"> The reaction of CO</w:t>
      </w:r>
      <w:r w:rsidRPr="00C94562">
        <w:rPr>
          <w:noProof/>
          <w:vertAlign w:val="subscript"/>
        </w:rPr>
        <w:t>2</w:t>
      </w:r>
      <w:r w:rsidRPr="00483BDE">
        <w:rPr>
          <w:noProof/>
        </w:rPr>
        <w:t xml:space="preserve"> with ethanolamines</w:t>
      </w:r>
      <w:r w:rsidR="00C94562">
        <w:rPr>
          <w:noProof/>
        </w:rPr>
        <w:t>,</w:t>
      </w:r>
      <w:r w:rsidRPr="00483BDE">
        <w:rPr>
          <w:noProof/>
        </w:rPr>
        <w:t xml:space="preserve"> Chemical Engineering Science, 34(4), 443-446.</w:t>
      </w:r>
    </w:p>
    <w:p w14:paraId="597D2F10" w14:textId="65E89E4A" w:rsidR="00483BDE" w:rsidRPr="00483BDE" w:rsidRDefault="00483BDE" w:rsidP="00483BDE">
      <w:pPr>
        <w:pStyle w:val="Bibliography"/>
        <w:rPr>
          <w:noProof/>
        </w:rPr>
      </w:pPr>
      <w:r w:rsidRPr="00483BDE">
        <w:rPr>
          <w:noProof/>
        </w:rPr>
        <w:t>Danckwerts P. V., Sharma M. M.</w:t>
      </w:r>
      <w:r w:rsidR="00C94562">
        <w:rPr>
          <w:noProof/>
        </w:rPr>
        <w:t>,</w:t>
      </w:r>
      <w:r w:rsidRPr="00483BDE">
        <w:rPr>
          <w:noProof/>
        </w:rPr>
        <w:t xml:space="preserve"> 1966</w:t>
      </w:r>
      <w:r w:rsidR="00C94562">
        <w:rPr>
          <w:noProof/>
        </w:rPr>
        <w:t>,</w:t>
      </w:r>
      <w:r w:rsidRPr="00483BDE">
        <w:rPr>
          <w:noProof/>
        </w:rPr>
        <w:t xml:space="preserve"> The absorption of carbon doixide into solutions of alkalis and amines (With some notes on hydrogen sulphide and carbonyl sulphide)</w:t>
      </w:r>
      <w:r w:rsidR="00C94562">
        <w:rPr>
          <w:noProof/>
        </w:rPr>
        <w:t>,</w:t>
      </w:r>
      <w:r w:rsidRPr="00483BDE">
        <w:rPr>
          <w:noProof/>
        </w:rPr>
        <w:t xml:space="preserve"> The Chemical Engineer, 244-280.</w:t>
      </w:r>
    </w:p>
    <w:p w14:paraId="32836D54" w14:textId="1EBDCCC6" w:rsidR="00483BDE" w:rsidRPr="00483BDE" w:rsidRDefault="00483BDE" w:rsidP="00483BDE">
      <w:pPr>
        <w:pStyle w:val="Bibliography"/>
        <w:rPr>
          <w:noProof/>
        </w:rPr>
      </w:pPr>
      <w:r w:rsidRPr="00483BDE">
        <w:rPr>
          <w:noProof/>
        </w:rPr>
        <w:t>Du Y.</w:t>
      </w:r>
      <w:r w:rsidR="00C94562">
        <w:rPr>
          <w:noProof/>
        </w:rPr>
        <w:t>,</w:t>
      </w:r>
      <w:r w:rsidRPr="00483BDE">
        <w:rPr>
          <w:noProof/>
        </w:rPr>
        <w:t xml:space="preserve"> 2016</w:t>
      </w:r>
      <w:r w:rsidR="00C94562">
        <w:rPr>
          <w:noProof/>
        </w:rPr>
        <w:t>,</w:t>
      </w:r>
      <w:r w:rsidRPr="00483BDE">
        <w:rPr>
          <w:noProof/>
        </w:rPr>
        <w:t xml:space="preserve"> Amine Solvent Development for Carbon Dioxide Capture</w:t>
      </w:r>
      <w:r w:rsidR="00C94562">
        <w:rPr>
          <w:noProof/>
        </w:rPr>
        <w:t>, PhD Thesis,</w:t>
      </w:r>
      <w:r w:rsidRPr="00483BDE">
        <w:rPr>
          <w:noProof/>
        </w:rPr>
        <w:t xml:space="preserve"> The University of Texas at Austin</w:t>
      </w:r>
      <w:r w:rsidR="00C94562">
        <w:rPr>
          <w:noProof/>
        </w:rPr>
        <w:t>, Austin, USA</w:t>
      </w:r>
      <w:r w:rsidRPr="00483BDE">
        <w:rPr>
          <w:noProof/>
        </w:rPr>
        <w:t>.</w:t>
      </w:r>
    </w:p>
    <w:p w14:paraId="7705F44C" w14:textId="745B0991" w:rsidR="00483BDE" w:rsidRDefault="00483BDE" w:rsidP="00483BDE">
      <w:pPr>
        <w:pStyle w:val="Bibliography"/>
        <w:rPr>
          <w:noProof/>
        </w:rPr>
      </w:pPr>
      <w:r w:rsidRPr="00483BDE">
        <w:rPr>
          <w:noProof/>
        </w:rPr>
        <w:t>Eickmeyer A. G.</w:t>
      </w:r>
      <w:r w:rsidR="00C94562">
        <w:rPr>
          <w:noProof/>
        </w:rPr>
        <w:t>,</w:t>
      </w:r>
      <w:r w:rsidRPr="00483BDE">
        <w:rPr>
          <w:noProof/>
        </w:rPr>
        <w:t xml:space="preserve"> 1984</w:t>
      </w:r>
      <w:r w:rsidR="00C94562">
        <w:rPr>
          <w:noProof/>
        </w:rPr>
        <w:t xml:space="preserve">, </w:t>
      </w:r>
      <w:r w:rsidR="00C94562" w:rsidRPr="00C94562">
        <w:rPr>
          <w:noProof/>
        </w:rPr>
        <w:t>Removal of CO</w:t>
      </w:r>
      <w:r w:rsidR="00C94562" w:rsidRPr="00C94562">
        <w:rPr>
          <w:noProof/>
          <w:vertAlign w:val="subscript"/>
        </w:rPr>
        <w:t>2</w:t>
      </w:r>
      <w:r w:rsidR="00C94562" w:rsidRPr="00C94562">
        <w:rPr>
          <w:noProof/>
        </w:rPr>
        <w:t xml:space="preserve"> From Gas Mixtures</w:t>
      </w:r>
      <w:r w:rsidR="00C94562">
        <w:rPr>
          <w:noProof/>
        </w:rPr>
        <w:t>,</w:t>
      </w:r>
      <w:r w:rsidRPr="00483BDE">
        <w:rPr>
          <w:noProof/>
        </w:rPr>
        <w:t xml:space="preserve"> United States of America Patent No. 4430312.</w:t>
      </w:r>
    </w:p>
    <w:p w14:paraId="66D7A8DD" w14:textId="1C57FEDB" w:rsidR="001F0310" w:rsidRPr="001F0310" w:rsidRDefault="001F0310" w:rsidP="00483BDE">
      <w:pPr>
        <w:pStyle w:val="Bibliography"/>
        <w:rPr>
          <w:noProof/>
          <w:lang w:val="en-US" w:bidi="fa-IR"/>
        </w:rPr>
      </w:pPr>
      <w:r>
        <w:rPr>
          <w:noProof/>
        </w:rPr>
        <w:t>Gustafsson K, Sadegh-Vaziri R., Gr</w:t>
      </w:r>
      <w:r>
        <w:rPr>
          <w:noProof/>
          <w:lang w:val="sv-SE" w:bidi="fa-IR"/>
        </w:rPr>
        <w:t>önkvist</w:t>
      </w:r>
      <w:r>
        <w:rPr>
          <w:noProof/>
          <w:lang w:val="en-US" w:bidi="fa-IR"/>
        </w:rPr>
        <w:t xml:space="preserve"> S., Levihn F., Sundberg C., 2021, BECCS with combined heat and power: assessing the energy penalty, International Journal of Greenhouse Gas Control, </w:t>
      </w:r>
      <w:r w:rsidR="00D87BD6">
        <w:rPr>
          <w:noProof/>
          <w:lang w:val="en-US" w:bidi="fa-IR"/>
        </w:rPr>
        <w:t>100, 103434.</w:t>
      </w:r>
    </w:p>
    <w:p w14:paraId="3A79FE12" w14:textId="120E458E" w:rsidR="00483BDE" w:rsidRPr="00483BDE" w:rsidRDefault="00483BDE" w:rsidP="00483BDE">
      <w:pPr>
        <w:pStyle w:val="Bibliography"/>
        <w:rPr>
          <w:noProof/>
        </w:rPr>
      </w:pPr>
      <w:r w:rsidRPr="00483BDE">
        <w:rPr>
          <w:noProof/>
        </w:rPr>
        <w:t>Laddha S. S., Danckwerts, P. V.</w:t>
      </w:r>
      <w:r w:rsidR="00C94562">
        <w:rPr>
          <w:noProof/>
        </w:rPr>
        <w:t xml:space="preserve">, </w:t>
      </w:r>
      <w:r w:rsidRPr="00483BDE">
        <w:rPr>
          <w:noProof/>
        </w:rPr>
        <w:t>1982</w:t>
      </w:r>
      <w:r w:rsidR="00C94562">
        <w:rPr>
          <w:noProof/>
        </w:rPr>
        <w:t>,</w:t>
      </w:r>
      <w:r w:rsidRPr="00483BDE">
        <w:rPr>
          <w:noProof/>
        </w:rPr>
        <w:t xml:space="preserve"> The absorption of CO</w:t>
      </w:r>
      <w:r w:rsidRPr="00C94562">
        <w:rPr>
          <w:noProof/>
          <w:vertAlign w:val="subscript"/>
        </w:rPr>
        <w:t>2</w:t>
      </w:r>
      <w:r w:rsidRPr="00483BDE">
        <w:rPr>
          <w:noProof/>
        </w:rPr>
        <w:t xml:space="preserve"> by amine-potash solutions</w:t>
      </w:r>
      <w:r w:rsidR="00C94562">
        <w:rPr>
          <w:noProof/>
        </w:rPr>
        <w:t>,</w:t>
      </w:r>
      <w:r w:rsidRPr="00483BDE">
        <w:rPr>
          <w:noProof/>
        </w:rPr>
        <w:t xml:space="preserve"> Chemical Engineering Sciences, 37(5), 665-667.</w:t>
      </w:r>
    </w:p>
    <w:p w14:paraId="3BDA5945" w14:textId="278E9124" w:rsidR="00483BDE" w:rsidRPr="00483BDE" w:rsidRDefault="00483BDE" w:rsidP="00483BDE">
      <w:pPr>
        <w:pStyle w:val="Bibliography"/>
        <w:rPr>
          <w:noProof/>
        </w:rPr>
      </w:pPr>
      <w:r w:rsidRPr="00483BDE">
        <w:rPr>
          <w:noProof/>
        </w:rPr>
        <w:t>McCann N., Imle M., Hasse H.</w:t>
      </w:r>
      <w:r w:rsidR="00C94562">
        <w:rPr>
          <w:noProof/>
        </w:rPr>
        <w:t>,</w:t>
      </w:r>
      <w:r w:rsidRPr="00483BDE">
        <w:rPr>
          <w:noProof/>
        </w:rPr>
        <w:t xml:space="preserve"> 2015</w:t>
      </w:r>
      <w:r w:rsidR="00C94562">
        <w:rPr>
          <w:noProof/>
        </w:rPr>
        <w:t>,</w:t>
      </w:r>
      <w:r w:rsidRPr="00483BDE">
        <w:rPr>
          <w:noProof/>
        </w:rPr>
        <w:t xml:space="preserve"> Carbonate complexes of vanadate</w:t>
      </w:r>
      <w:r w:rsidR="00C94562">
        <w:rPr>
          <w:noProof/>
        </w:rPr>
        <w:t>,</w:t>
      </w:r>
      <w:r w:rsidRPr="00483BDE">
        <w:rPr>
          <w:noProof/>
        </w:rPr>
        <w:t xml:space="preserve"> Polyhedron, 95, 81-85.</w:t>
      </w:r>
    </w:p>
    <w:p w14:paraId="429F9232" w14:textId="28D6763A" w:rsidR="00483BDE" w:rsidRDefault="00483BDE" w:rsidP="00483BDE">
      <w:pPr>
        <w:pStyle w:val="Bibliography"/>
        <w:rPr>
          <w:noProof/>
        </w:rPr>
      </w:pPr>
      <w:r w:rsidRPr="00483BDE">
        <w:rPr>
          <w:noProof/>
        </w:rPr>
        <w:t>Nicholas N. J., da Silva G., Kentish S., Stevens G. W.</w:t>
      </w:r>
      <w:r w:rsidR="00C94562">
        <w:rPr>
          <w:noProof/>
        </w:rPr>
        <w:t xml:space="preserve">, </w:t>
      </w:r>
      <w:r w:rsidRPr="00483BDE">
        <w:rPr>
          <w:noProof/>
        </w:rPr>
        <w:t>2014</w:t>
      </w:r>
      <w:r w:rsidR="00C94562">
        <w:rPr>
          <w:noProof/>
        </w:rPr>
        <w:t>,</w:t>
      </w:r>
      <w:r w:rsidRPr="00483BDE">
        <w:rPr>
          <w:noProof/>
        </w:rPr>
        <w:t xml:space="preserve"> Use of </w:t>
      </w:r>
      <w:r w:rsidR="00C94562">
        <w:rPr>
          <w:noProof/>
        </w:rPr>
        <w:t>v</w:t>
      </w:r>
      <w:r w:rsidRPr="00483BDE">
        <w:rPr>
          <w:noProof/>
        </w:rPr>
        <w:t>anadium</w:t>
      </w:r>
      <w:r w:rsidR="00C94562">
        <w:rPr>
          <w:noProof/>
        </w:rPr>
        <w:t xml:space="preserve"> </w:t>
      </w:r>
      <w:r w:rsidRPr="00483BDE">
        <w:rPr>
          <w:noProof/>
        </w:rPr>
        <w:t xml:space="preserve">(V) </w:t>
      </w:r>
      <w:r w:rsidR="00C94562">
        <w:rPr>
          <w:noProof/>
        </w:rPr>
        <w:t>o</w:t>
      </w:r>
      <w:r w:rsidRPr="00483BDE">
        <w:rPr>
          <w:noProof/>
        </w:rPr>
        <w:t xml:space="preserve">xide as a </w:t>
      </w:r>
      <w:r w:rsidR="00C94562">
        <w:rPr>
          <w:noProof/>
        </w:rPr>
        <w:t>c</w:t>
      </w:r>
      <w:r w:rsidRPr="00483BDE">
        <w:rPr>
          <w:noProof/>
        </w:rPr>
        <w:t>atalyst for CO</w:t>
      </w:r>
      <w:r w:rsidRPr="00C94562">
        <w:rPr>
          <w:noProof/>
          <w:vertAlign w:val="subscript"/>
        </w:rPr>
        <w:t>2</w:t>
      </w:r>
      <w:r w:rsidRPr="00483BDE">
        <w:rPr>
          <w:noProof/>
        </w:rPr>
        <w:t xml:space="preserve"> </w:t>
      </w:r>
      <w:r w:rsidR="00C94562">
        <w:rPr>
          <w:noProof/>
        </w:rPr>
        <w:t>h</w:t>
      </w:r>
      <w:r w:rsidRPr="00483BDE">
        <w:rPr>
          <w:noProof/>
        </w:rPr>
        <w:t xml:space="preserve">ydration in </w:t>
      </w:r>
      <w:r w:rsidR="00C94562">
        <w:rPr>
          <w:noProof/>
        </w:rPr>
        <w:t>p</w:t>
      </w:r>
      <w:r w:rsidRPr="00483BDE">
        <w:rPr>
          <w:noProof/>
        </w:rPr>
        <w:t xml:space="preserve">otassium </w:t>
      </w:r>
      <w:r w:rsidR="00C94562">
        <w:rPr>
          <w:noProof/>
        </w:rPr>
        <w:t>c</w:t>
      </w:r>
      <w:r w:rsidRPr="00483BDE">
        <w:rPr>
          <w:noProof/>
        </w:rPr>
        <w:t xml:space="preserve">arbonate </w:t>
      </w:r>
      <w:r w:rsidR="00C94562">
        <w:rPr>
          <w:noProof/>
        </w:rPr>
        <w:t>s</w:t>
      </w:r>
      <w:r w:rsidRPr="00483BDE">
        <w:rPr>
          <w:noProof/>
        </w:rPr>
        <w:t>ystems</w:t>
      </w:r>
      <w:r w:rsidR="00C94562">
        <w:rPr>
          <w:noProof/>
        </w:rPr>
        <w:t>,</w:t>
      </w:r>
      <w:r w:rsidRPr="00483BDE">
        <w:rPr>
          <w:noProof/>
        </w:rPr>
        <w:t xml:space="preserve"> Industrial &amp; Engineering Chemistry Research, 53(8), 3029-3039.</w:t>
      </w:r>
    </w:p>
    <w:p w14:paraId="45A3CCF7" w14:textId="0956165B" w:rsidR="001F0310" w:rsidRPr="00483BDE" w:rsidRDefault="001F0310" w:rsidP="00483BDE">
      <w:pPr>
        <w:pStyle w:val="Bibliography"/>
        <w:rPr>
          <w:noProof/>
        </w:rPr>
      </w:pPr>
      <w:r>
        <w:rPr>
          <w:noProof/>
        </w:rPr>
        <w:t>Rosa L., Sanchez D. L., Mazzotti M, 2021, Assessment of carbon dioxide removal potential via BECCS in a carbon-neutral Europe, Energy &amp; Environmental Science, 14(5), 3086-3097.</w:t>
      </w:r>
    </w:p>
    <w:p w14:paraId="7EB851BD" w14:textId="4A2763CD" w:rsidR="00483BDE" w:rsidRPr="00483BDE" w:rsidRDefault="00483BDE" w:rsidP="00483BDE">
      <w:pPr>
        <w:pStyle w:val="Bibliography"/>
        <w:rPr>
          <w:noProof/>
        </w:rPr>
      </w:pPr>
      <w:r w:rsidRPr="00483BDE">
        <w:rPr>
          <w:noProof/>
        </w:rPr>
        <w:t>Smith K. H., Anderson C. J., Tao W., Endo K., Mumford K. A., Kentish S. E.,</w:t>
      </w:r>
      <w:r w:rsidR="00C94562">
        <w:rPr>
          <w:noProof/>
        </w:rPr>
        <w:t xml:space="preserve"> </w:t>
      </w:r>
      <w:r w:rsidR="00C94562" w:rsidRPr="00C94562">
        <w:rPr>
          <w:noProof/>
        </w:rPr>
        <w:t>Qader A</w:t>
      </w:r>
      <w:r w:rsidR="00C94562">
        <w:rPr>
          <w:noProof/>
        </w:rPr>
        <w:t>.,</w:t>
      </w:r>
      <w:r w:rsidR="00C94562" w:rsidRPr="00C94562">
        <w:rPr>
          <w:noProof/>
        </w:rPr>
        <w:t xml:space="preserve"> Hooper B</w:t>
      </w:r>
      <w:r w:rsidR="00C94562">
        <w:rPr>
          <w:noProof/>
        </w:rPr>
        <w:t>,</w:t>
      </w:r>
      <w:r w:rsidRPr="00483BDE">
        <w:rPr>
          <w:noProof/>
        </w:rPr>
        <w:t xml:space="preserve"> Stevens G. W.</w:t>
      </w:r>
      <w:r w:rsidR="00C94562">
        <w:rPr>
          <w:noProof/>
        </w:rPr>
        <w:t>,</w:t>
      </w:r>
      <w:r w:rsidRPr="00483BDE">
        <w:rPr>
          <w:noProof/>
        </w:rPr>
        <w:t xml:space="preserve"> 2012</w:t>
      </w:r>
      <w:r w:rsidR="00C94562">
        <w:rPr>
          <w:noProof/>
        </w:rPr>
        <w:t>,</w:t>
      </w:r>
      <w:r w:rsidRPr="00483BDE">
        <w:rPr>
          <w:noProof/>
        </w:rPr>
        <w:t xml:space="preserve"> Pre-combustion capture of CO</w:t>
      </w:r>
      <w:r w:rsidRPr="00C94562">
        <w:rPr>
          <w:noProof/>
          <w:vertAlign w:val="subscript"/>
        </w:rPr>
        <w:t>2</w:t>
      </w:r>
      <w:r w:rsidRPr="00483BDE">
        <w:rPr>
          <w:noProof/>
        </w:rPr>
        <w:t xml:space="preserve"> - Results from solvent absorption pilot plant trials using 30 wt% potassium carbonate and boric acid promoted potassium carbonate solvent</w:t>
      </w:r>
      <w:r w:rsidR="00C94562">
        <w:rPr>
          <w:noProof/>
        </w:rPr>
        <w:t>,</w:t>
      </w:r>
      <w:r w:rsidRPr="00483BDE">
        <w:rPr>
          <w:noProof/>
        </w:rPr>
        <w:t xml:space="preserve"> International Journal of Greenhouse Gas Control, 10, 64-73.</w:t>
      </w:r>
    </w:p>
    <w:p w14:paraId="0024CE1A" w14:textId="2E33E4AE" w:rsidR="00483BDE" w:rsidRPr="00483BDE" w:rsidRDefault="00483BDE" w:rsidP="00483BDE">
      <w:pPr>
        <w:pStyle w:val="Bibliography"/>
        <w:rPr>
          <w:noProof/>
        </w:rPr>
      </w:pPr>
      <w:r w:rsidRPr="00483BDE">
        <w:rPr>
          <w:noProof/>
        </w:rPr>
        <w:t>Thee H., Smith K. H., da Silva G., Kentish S. E., Stevens G. W.</w:t>
      </w:r>
      <w:r w:rsidR="00C94562">
        <w:rPr>
          <w:noProof/>
        </w:rPr>
        <w:t>,</w:t>
      </w:r>
      <w:r w:rsidRPr="00483BDE">
        <w:rPr>
          <w:noProof/>
        </w:rPr>
        <w:t xml:space="preserve"> 2012</w:t>
      </w:r>
      <w:r w:rsidR="00C94562">
        <w:rPr>
          <w:noProof/>
        </w:rPr>
        <w:t>,</w:t>
      </w:r>
      <w:r w:rsidRPr="00483BDE">
        <w:rPr>
          <w:noProof/>
        </w:rPr>
        <w:t xml:space="preserve"> Carbon dioxide absorption into unpromoted and borate-catalyzed potassium carbonate solutions. Chemical Engineering Journal, 181-182, 694-701.</w:t>
      </w:r>
    </w:p>
    <w:p w14:paraId="0AC81F16" w14:textId="58F4546E" w:rsidR="00EA29A3" w:rsidRPr="00483BDE" w:rsidRDefault="00483BDE" w:rsidP="0010763C">
      <w:pPr>
        <w:pStyle w:val="CETReferencetext"/>
      </w:pPr>
      <w:r w:rsidRPr="00483BDE">
        <w:rPr>
          <w:noProof/>
        </w:rPr>
        <w:t>Thee H., Suryaputradinata Y. A., Mumford K. A., Smith K. H., da Silva G., Kentish S. E., Stevens G. W.</w:t>
      </w:r>
      <w:r w:rsidR="00C94562">
        <w:rPr>
          <w:noProof/>
        </w:rPr>
        <w:t>,</w:t>
      </w:r>
      <w:r w:rsidRPr="00483BDE">
        <w:rPr>
          <w:noProof/>
        </w:rPr>
        <w:t xml:space="preserve"> 2012</w:t>
      </w:r>
      <w:r w:rsidR="00C94562">
        <w:rPr>
          <w:noProof/>
        </w:rPr>
        <w:t>,</w:t>
      </w:r>
      <w:r w:rsidR="0010763C">
        <w:rPr>
          <w:noProof/>
        </w:rPr>
        <w:t xml:space="preserve"> </w:t>
      </w:r>
      <w:r w:rsidRPr="00483BDE">
        <w:rPr>
          <w:noProof/>
        </w:rPr>
        <w:t>A kinetic and process modelling study of CO</w:t>
      </w:r>
      <w:r w:rsidRPr="00C94562">
        <w:rPr>
          <w:noProof/>
          <w:vertAlign w:val="subscript"/>
        </w:rPr>
        <w:t>2</w:t>
      </w:r>
      <w:r w:rsidRPr="00483BDE">
        <w:rPr>
          <w:noProof/>
        </w:rPr>
        <w:t xml:space="preserve"> capture with MEA-promoted potassium carbonate solutions</w:t>
      </w:r>
      <w:r w:rsidR="00C94562">
        <w:rPr>
          <w:noProof/>
        </w:rPr>
        <w:t>,</w:t>
      </w:r>
      <w:r w:rsidRPr="00483BDE">
        <w:rPr>
          <w:noProof/>
        </w:rPr>
        <w:t xml:space="preserve"> Chemical Engineering Journal, 210, 271-279</w:t>
      </w:r>
      <w:r w:rsidR="00BB58AD">
        <w:rPr>
          <w:noProof/>
        </w:rPr>
        <w:t>.</w:t>
      </w:r>
    </w:p>
    <w:sectPr w:rsidR="00EA29A3" w:rsidRPr="00483BD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52F2A" w14:textId="77777777" w:rsidR="00C651D7" w:rsidRDefault="00C651D7" w:rsidP="004F5E36">
      <w:r>
        <w:separator/>
      </w:r>
    </w:p>
  </w:endnote>
  <w:endnote w:type="continuationSeparator" w:id="0">
    <w:p w14:paraId="7A8F6A3F" w14:textId="77777777" w:rsidR="00C651D7" w:rsidRDefault="00C651D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230A" w14:textId="77777777" w:rsidR="00C651D7" w:rsidRDefault="00C651D7" w:rsidP="004F5E36">
      <w:r>
        <w:separator/>
      </w:r>
    </w:p>
  </w:footnote>
  <w:footnote w:type="continuationSeparator" w:id="0">
    <w:p w14:paraId="24DB74F2" w14:textId="77777777" w:rsidR="00C651D7" w:rsidRDefault="00C651D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42F7731"/>
    <w:multiLevelType w:val="hybridMultilevel"/>
    <w:tmpl w:val="28ACB1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5662595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982"/>
    <w:rsid w:val="000027C0"/>
    <w:rsid w:val="000052FB"/>
    <w:rsid w:val="000117CB"/>
    <w:rsid w:val="00020D13"/>
    <w:rsid w:val="000213FD"/>
    <w:rsid w:val="00025A65"/>
    <w:rsid w:val="0003148D"/>
    <w:rsid w:val="00031EEC"/>
    <w:rsid w:val="00042BB4"/>
    <w:rsid w:val="0004669B"/>
    <w:rsid w:val="00051566"/>
    <w:rsid w:val="000562A9"/>
    <w:rsid w:val="00062A9A"/>
    <w:rsid w:val="00065058"/>
    <w:rsid w:val="0008173D"/>
    <w:rsid w:val="00082E9E"/>
    <w:rsid w:val="00086166"/>
    <w:rsid w:val="00086C39"/>
    <w:rsid w:val="000924FE"/>
    <w:rsid w:val="000A03B2"/>
    <w:rsid w:val="000A3F31"/>
    <w:rsid w:val="000B5A07"/>
    <w:rsid w:val="000B615F"/>
    <w:rsid w:val="000C12F2"/>
    <w:rsid w:val="000C5C38"/>
    <w:rsid w:val="000C6F06"/>
    <w:rsid w:val="000D0268"/>
    <w:rsid w:val="000D34BE"/>
    <w:rsid w:val="000E102F"/>
    <w:rsid w:val="000E36F1"/>
    <w:rsid w:val="000E3A73"/>
    <w:rsid w:val="000E414A"/>
    <w:rsid w:val="000F093C"/>
    <w:rsid w:val="000F7752"/>
    <w:rsid w:val="000F787B"/>
    <w:rsid w:val="0010763C"/>
    <w:rsid w:val="00114324"/>
    <w:rsid w:val="001152DE"/>
    <w:rsid w:val="0012091F"/>
    <w:rsid w:val="00126BC2"/>
    <w:rsid w:val="001304A2"/>
    <w:rsid w:val="001308B6"/>
    <w:rsid w:val="0013121F"/>
    <w:rsid w:val="00131FE6"/>
    <w:rsid w:val="0013263F"/>
    <w:rsid w:val="001329AB"/>
    <w:rsid w:val="001331DF"/>
    <w:rsid w:val="00134C9B"/>
    <w:rsid w:val="00134DE4"/>
    <w:rsid w:val="0014034D"/>
    <w:rsid w:val="00144D16"/>
    <w:rsid w:val="00150E59"/>
    <w:rsid w:val="00152DE3"/>
    <w:rsid w:val="00153F75"/>
    <w:rsid w:val="00161A37"/>
    <w:rsid w:val="0016269C"/>
    <w:rsid w:val="00164CF9"/>
    <w:rsid w:val="001667A6"/>
    <w:rsid w:val="00171582"/>
    <w:rsid w:val="00175440"/>
    <w:rsid w:val="00176718"/>
    <w:rsid w:val="00177033"/>
    <w:rsid w:val="00184AD6"/>
    <w:rsid w:val="0019359F"/>
    <w:rsid w:val="00194E78"/>
    <w:rsid w:val="001A4AF7"/>
    <w:rsid w:val="001A6384"/>
    <w:rsid w:val="001B0349"/>
    <w:rsid w:val="001B1E93"/>
    <w:rsid w:val="001B65C1"/>
    <w:rsid w:val="001C684B"/>
    <w:rsid w:val="001C7388"/>
    <w:rsid w:val="001D0CFB"/>
    <w:rsid w:val="001D21AF"/>
    <w:rsid w:val="001D2743"/>
    <w:rsid w:val="001D34CD"/>
    <w:rsid w:val="001D53FC"/>
    <w:rsid w:val="001F0310"/>
    <w:rsid w:val="001F42A5"/>
    <w:rsid w:val="001F7B9D"/>
    <w:rsid w:val="00201C93"/>
    <w:rsid w:val="002169F6"/>
    <w:rsid w:val="00216EFE"/>
    <w:rsid w:val="002224B4"/>
    <w:rsid w:val="002246BC"/>
    <w:rsid w:val="0022497E"/>
    <w:rsid w:val="00233A7D"/>
    <w:rsid w:val="0024023C"/>
    <w:rsid w:val="002447EF"/>
    <w:rsid w:val="00245C26"/>
    <w:rsid w:val="00251550"/>
    <w:rsid w:val="002525A6"/>
    <w:rsid w:val="002607E6"/>
    <w:rsid w:val="00263B05"/>
    <w:rsid w:val="0027221A"/>
    <w:rsid w:val="00275B61"/>
    <w:rsid w:val="00280FAF"/>
    <w:rsid w:val="00282656"/>
    <w:rsid w:val="00290CE0"/>
    <w:rsid w:val="00293827"/>
    <w:rsid w:val="00296B83"/>
    <w:rsid w:val="002A44E2"/>
    <w:rsid w:val="002A7A77"/>
    <w:rsid w:val="002B19B2"/>
    <w:rsid w:val="002B4015"/>
    <w:rsid w:val="002B78CE"/>
    <w:rsid w:val="002B7E83"/>
    <w:rsid w:val="002C2FB6"/>
    <w:rsid w:val="002D14CA"/>
    <w:rsid w:val="002D4691"/>
    <w:rsid w:val="002D7EE2"/>
    <w:rsid w:val="002E4172"/>
    <w:rsid w:val="002E5D57"/>
    <w:rsid w:val="002E5FA7"/>
    <w:rsid w:val="002F1A0E"/>
    <w:rsid w:val="002F2897"/>
    <w:rsid w:val="002F3309"/>
    <w:rsid w:val="003008CE"/>
    <w:rsid w:val="003009B7"/>
    <w:rsid w:val="00300BFE"/>
    <w:rsid w:val="00300E56"/>
    <w:rsid w:val="0030152C"/>
    <w:rsid w:val="0030469C"/>
    <w:rsid w:val="00305D47"/>
    <w:rsid w:val="00311A49"/>
    <w:rsid w:val="0031296E"/>
    <w:rsid w:val="00321CA6"/>
    <w:rsid w:val="00323763"/>
    <w:rsid w:val="00323C5F"/>
    <w:rsid w:val="00325531"/>
    <w:rsid w:val="00331A5C"/>
    <w:rsid w:val="00334C09"/>
    <w:rsid w:val="00335C13"/>
    <w:rsid w:val="0036115E"/>
    <w:rsid w:val="003668E6"/>
    <w:rsid w:val="003723D4"/>
    <w:rsid w:val="00381905"/>
    <w:rsid w:val="00384CC8"/>
    <w:rsid w:val="003871FD"/>
    <w:rsid w:val="003A1E30"/>
    <w:rsid w:val="003A2829"/>
    <w:rsid w:val="003A5DC7"/>
    <w:rsid w:val="003A6FC6"/>
    <w:rsid w:val="003A7D1C"/>
    <w:rsid w:val="003B075D"/>
    <w:rsid w:val="003B304B"/>
    <w:rsid w:val="003B3146"/>
    <w:rsid w:val="003E1BAF"/>
    <w:rsid w:val="003F015E"/>
    <w:rsid w:val="004002B5"/>
    <w:rsid w:val="00400414"/>
    <w:rsid w:val="00412B05"/>
    <w:rsid w:val="0041446B"/>
    <w:rsid w:val="00417196"/>
    <w:rsid w:val="00422968"/>
    <w:rsid w:val="0043528B"/>
    <w:rsid w:val="0044071E"/>
    <w:rsid w:val="0044329C"/>
    <w:rsid w:val="00453E24"/>
    <w:rsid w:val="00457456"/>
    <w:rsid w:val="004577FE"/>
    <w:rsid w:val="00457B9C"/>
    <w:rsid w:val="0046164A"/>
    <w:rsid w:val="00462087"/>
    <w:rsid w:val="004628D2"/>
    <w:rsid w:val="00462DCD"/>
    <w:rsid w:val="004648AD"/>
    <w:rsid w:val="0046593D"/>
    <w:rsid w:val="004703A9"/>
    <w:rsid w:val="004760DE"/>
    <w:rsid w:val="004763D7"/>
    <w:rsid w:val="0047657D"/>
    <w:rsid w:val="004805BE"/>
    <w:rsid w:val="00483BDE"/>
    <w:rsid w:val="00491F2F"/>
    <w:rsid w:val="004A004E"/>
    <w:rsid w:val="004A24CF"/>
    <w:rsid w:val="004A29C0"/>
    <w:rsid w:val="004C3D1D"/>
    <w:rsid w:val="004C3D84"/>
    <w:rsid w:val="004C7913"/>
    <w:rsid w:val="004D759D"/>
    <w:rsid w:val="004E4154"/>
    <w:rsid w:val="004E4DD6"/>
    <w:rsid w:val="004F318E"/>
    <w:rsid w:val="004F5E36"/>
    <w:rsid w:val="00501D07"/>
    <w:rsid w:val="00507B47"/>
    <w:rsid w:val="00507BEF"/>
    <w:rsid w:val="00507CC9"/>
    <w:rsid w:val="005119A5"/>
    <w:rsid w:val="00511D35"/>
    <w:rsid w:val="00513ECE"/>
    <w:rsid w:val="00516AAC"/>
    <w:rsid w:val="005241E0"/>
    <w:rsid w:val="005278B7"/>
    <w:rsid w:val="005301E3"/>
    <w:rsid w:val="00532016"/>
    <w:rsid w:val="00532DC4"/>
    <w:rsid w:val="005346C8"/>
    <w:rsid w:val="00543271"/>
    <w:rsid w:val="00543E7D"/>
    <w:rsid w:val="00543F8F"/>
    <w:rsid w:val="00547A68"/>
    <w:rsid w:val="00551AF3"/>
    <w:rsid w:val="005531C9"/>
    <w:rsid w:val="00566D99"/>
    <w:rsid w:val="005676A0"/>
    <w:rsid w:val="00570C43"/>
    <w:rsid w:val="005712E7"/>
    <w:rsid w:val="005732E2"/>
    <w:rsid w:val="00581384"/>
    <w:rsid w:val="00583D1C"/>
    <w:rsid w:val="00587D35"/>
    <w:rsid w:val="005B2110"/>
    <w:rsid w:val="005B61E6"/>
    <w:rsid w:val="005B7922"/>
    <w:rsid w:val="005C5ABC"/>
    <w:rsid w:val="005C77E1"/>
    <w:rsid w:val="005D2E07"/>
    <w:rsid w:val="005D386E"/>
    <w:rsid w:val="005D668A"/>
    <w:rsid w:val="005D6A2F"/>
    <w:rsid w:val="005E1A82"/>
    <w:rsid w:val="005E794C"/>
    <w:rsid w:val="005E7C48"/>
    <w:rsid w:val="005F0A28"/>
    <w:rsid w:val="005F0E5E"/>
    <w:rsid w:val="005F0F31"/>
    <w:rsid w:val="005F37AF"/>
    <w:rsid w:val="00600535"/>
    <w:rsid w:val="006048D3"/>
    <w:rsid w:val="00610CD6"/>
    <w:rsid w:val="00620DEE"/>
    <w:rsid w:val="00621F92"/>
    <w:rsid w:val="0062280A"/>
    <w:rsid w:val="00625639"/>
    <w:rsid w:val="006277AA"/>
    <w:rsid w:val="006279E1"/>
    <w:rsid w:val="00631B33"/>
    <w:rsid w:val="0064184D"/>
    <w:rsid w:val="006422CC"/>
    <w:rsid w:val="0064284D"/>
    <w:rsid w:val="00642B44"/>
    <w:rsid w:val="00651AE8"/>
    <w:rsid w:val="00660E3E"/>
    <w:rsid w:val="00662E74"/>
    <w:rsid w:val="00673BCD"/>
    <w:rsid w:val="00675B4C"/>
    <w:rsid w:val="00680C23"/>
    <w:rsid w:val="00690364"/>
    <w:rsid w:val="00693766"/>
    <w:rsid w:val="006A0F8C"/>
    <w:rsid w:val="006A3281"/>
    <w:rsid w:val="006B4888"/>
    <w:rsid w:val="006B6CD6"/>
    <w:rsid w:val="006C2DBF"/>
    <w:rsid w:val="006C2E45"/>
    <w:rsid w:val="006C359C"/>
    <w:rsid w:val="006C5579"/>
    <w:rsid w:val="006D1327"/>
    <w:rsid w:val="006D4B44"/>
    <w:rsid w:val="006D6E8B"/>
    <w:rsid w:val="006E3D4F"/>
    <w:rsid w:val="006E4352"/>
    <w:rsid w:val="006E737D"/>
    <w:rsid w:val="006F0597"/>
    <w:rsid w:val="00713973"/>
    <w:rsid w:val="00717CC6"/>
    <w:rsid w:val="00720A24"/>
    <w:rsid w:val="00730E89"/>
    <w:rsid w:val="00732386"/>
    <w:rsid w:val="0073514D"/>
    <w:rsid w:val="0074230B"/>
    <w:rsid w:val="007447F3"/>
    <w:rsid w:val="00750322"/>
    <w:rsid w:val="0075499F"/>
    <w:rsid w:val="007661C8"/>
    <w:rsid w:val="00766EFA"/>
    <w:rsid w:val="007700B7"/>
    <w:rsid w:val="0077098D"/>
    <w:rsid w:val="00781EAB"/>
    <w:rsid w:val="00782F6B"/>
    <w:rsid w:val="00791B35"/>
    <w:rsid w:val="007931FA"/>
    <w:rsid w:val="007A4861"/>
    <w:rsid w:val="007A7BBA"/>
    <w:rsid w:val="007B0C50"/>
    <w:rsid w:val="007B48F9"/>
    <w:rsid w:val="007C011B"/>
    <w:rsid w:val="007C1A43"/>
    <w:rsid w:val="007D0951"/>
    <w:rsid w:val="007E116E"/>
    <w:rsid w:val="007E5CBF"/>
    <w:rsid w:val="0080013E"/>
    <w:rsid w:val="00813288"/>
    <w:rsid w:val="0081418D"/>
    <w:rsid w:val="008168FC"/>
    <w:rsid w:val="00830172"/>
    <w:rsid w:val="00830996"/>
    <w:rsid w:val="008345F1"/>
    <w:rsid w:val="00842690"/>
    <w:rsid w:val="00865B07"/>
    <w:rsid w:val="008667EA"/>
    <w:rsid w:val="00872311"/>
    <w:rsid w:val="0087637F"/>
    <w:rsid w:val="00876D81"/>
    <w:rsid w:val="00887A48"/>
    <w:rsid w:val="00892AD5"/>
    <w:rsid w:val="008A1512"/>
    <w:rsid w:val="008A2455"/>
    <w:rsid w:val="008A49D4"/>
    <w:rsid w:val="008B2C20"/>
    <w:rsid w:val="008B7C03"/>
    <w:rsid w:val="008C29B7"/>
    <w:rsid w:val="008C5664"/>
    <w:rsid w:val="008C6AC0"/>
    <w:rsid w:val="008D0302"/>
    <w:rsid w:val="008D32B9"/>
    <w:rsid w:val="008D433B"/>
    <w:rsid w:val="008D4A16"/>
    <w:rsid w:val="008E566E"/>
    <w:rsid w:val="008E6FEF"/>
    <w:rsid w:val="008E7143"/>
    <w:rsid w:val="008F31E8"/>
    <w:rsid w:val="008F69A8"/>
    <w:rsid w:val="008F6C29"/>
    <w:rsid w:val="0090161A"/>
    <w:rsid w:val="00901EB6"/>
    <w:rsid w:val="00904C62"/>
    <w:rsid w:val="0091099F"/>
    <w:rsid w:val="009150F3"/>
    <w:rsid w:val="00915DBA"/>
    <w:rsid w:val="00922151"/>
    <w:rsid w:val="00922BA8"/>
    <w:rsid w:val="00924DAC"/>
    <w:rsid w:val="00927058"/>
    <w:rsid w:val="00930C3B"/>
    <w:rsid w:val="00942750"/>
    <w:rsid w:val="009450CE"/>
    <w:rsid w:val="009459BB"/>
    <w:rsid w:val="0094645E"/>
    <w:rsid w:val="00947179"/>
    <w:rsid w:val="0095164B"/>
    <w:rsid w:val="00954090"/>
    <w:rsid w:val="009573E7"/>
    <w:rsid w:val="00963E05"/>
    <w:rsid w:val="00964A45"/>
    <w:rsid w:val="00967843"/>
    <w:rsid w:val="00967D54"/>
    <w:rsid w:val="00971028"/>
    <w:rsid w:val="00981FF7"/>
    <w:rsid w:val="00993B84"/>
    <w:rsid w:val="00996483"/>
    <w:rsid w:val="00996F45"/>
    <w:rsid w:val="00996F5A"/>
    <w:rsid w:val="009A1157"/>
    <w:rsid w:val="009A3083"/>
    <w:rsid w:val="009A4600"/>
    <w:rsid w:val="009B041A"/>
    <w:rsid w:val="009B4FE3"/>
    <w:rsid w:val="009B73F0"/>
    <w:rsid w:val="009C2523"/>
    <w:rsid w:val="009C37C3"/>
    <w:rsid w:val="009C4156"/>
    <w:rsid w:val="009C7C86"/>
    <w:rsid w:val="009D2FF7"/>
    <w:rsid w:val="009D41CC"/>
    <w:rsid w:val="009E4532"/>
    <w:rsid w:val="009E6BA3"/>
    <w:rsid w:val="009E7884"/>
    <w:rsid w:val="009E788A"/>
    <w:rsid w:val="009F0E08"/>
    <w:rsid w:val="009F7ACA"/>
    <w:rsid w:val="00A01078"/>
    <w:rsid w:val="00A16929"/>
    <w:rsid w:val="00A1763D"/>
    <w:rsid w:val="00A17CEC"/>
    <w:rsid w:val="00A27EF0"/>
    <w:rsid w:val="00A30CE5"/>
    <w:rsid w:val="00A42361"/>
    <w:rsid w:val="00A50B20"/>
    <w:rsid w:val="00A51390"/>
    <w:rsid w:val="00A60D13"/>
    <w:rsid w:val="00A6103B"/>
    <w:rsid w:val="00A71BDA"/>
    <w:rsid w:val="00A7223D"/>
    <w:rsid w:val="00A72745"/>
    <w:rsid w:val="00A7445B"/>
    <w:rsid w:val="00A757A9"/>
    <w:rsid w:val="00A76EFC"/>
    <w:rsid w:val="00A87D50"/>
    <w:rsid w:val="00A91010"/>
    <w:rsid w:val="00A945D9"/>
    <w:rsid w:val="00A94E35"/>
    <w:rsid w:val="00A97F29"/>
    <w:rsid w:val="00AA702E"/>
    <w:rsid w:val="00AA7D26"/>
    <w:rsid w:val="00AB0964"/>
    <w:rsid w:val="00AB5011"/>
    <w:rsid w:val="00AC44E9"/>
    <w:rsid w:val="00AC7368"/>
    <w:rsid w:val="00AD16B9"/>
    <w:rsid w:val="00AE1988"/>
    <w:rsid w:val="00AE377D"/>
    <w:rsid w:val="00AF0EBA"/>
    <w:rsid w:val="00B0220D"/>
    <w:rsid w:val="00B02C8A"/>
    <w:rsid w:val="00B1295A"/>
    <w:rsid w:val="00B130BA"/>
    <w:rsid w:val="00B140AA"/>
    <w:rsid w:val="00B17FBD"/>
    <w:rsid w:val="00B205C6"/>
    <w:rsid w:val="00B315A6"/>
    <w:rsid w:val="00B31813"/>
    <w:rsid w:val="00B33365"/>
    <w:rsid w:val="00B47F42"/>
    <w:rsid w:val="00B52D27"/>
    <w:rsid w:val="00B57B36"/>
    <w:rsid w:val="00B57E6F"/>
    <w:rsid w:val="00B80F70"/>
    <w:rsid w:val="00B81EF0"/>
    <w:rsid w:val="00B8686D"/>
    <w:rsid w:val="00B93F69"/>
    <w:rsid w:val="00BA3EC4"/>
    <w:rsid w:val="00BB1218"/>
    <w:rsid w:val="00BB1DDC"/>
    <w:rsid w:val="00BB58AD"/>
    <w:rsid w:val="00BC30C9"/>
    <w:rsid w:val="00BD077D"/>
    <w:rsid w:val="00BD7BA3"/>
    <w:rsid w:val="00BE3E58"/>
    <w:rsid w:val="00BE5CA1"/>
    <w:rsid w:val="00BE7F70"/>
    <w:rsid w:val="00C01616"/>
    <w:rsid w:val="00C0162B"/>
    <w:rsid w:val="00C068ED"/>
    <w:rsid w:val="00C22E0C"/>
    <w:rsid w:val="00C2545C"/>
    <w:rsid w:val="00C278FF"/>
    <w:rsid w:val="00C345B1"/>
    <w:rsid w:val="00C40142"/>
    <w:rsid w:val="00C46BAC"/>
    <w:rsid w:val="00C47C43"/>
    <w:rsid w:val="00C512FA"/>
    <w:rsid w:val="00C52C3C"/>
    <w:rsid w:val="00C55E44"/>
    <w:rsid w:val="00C56EC5"/>
    <w:rsid w:val="00C57182"/>
    <w:rsid w:val="00C57863"/>
    <w:rsid w:val="00C640AF"/>
    <w:rsid w:val="00C651D7"/>
    <w:rsid w:val="00C655FD"/>
    <w:rsid w:val="00C7332C"/>
    <w:rsid w:val="00C75407"/>
    <w:rsid w:val="00C81410"/>
    <w:rsid w:val="00C840B8"/>
    <w:rsid w:val="00C858D3"/>
    <w:rsid w:val="00C870A8"/>
    <w:rsid w:val="00C916B6"/>
    <w:rsid w:val="00C94434"/>
    <w:rsid w:val="00C94562"/>
    <w:rsid w:val="00CA0D4A"/>
    <w:rsid w:val="00CA0D75"/>
    <w:rsid w:val="00CA13D6"/>
    <w:rsid w:val="00CA1C95"/>
    <w:rsid w:val="00CA4470"/>
    <w:rsid w:val="00CA575F"/>
    <w:rsid w:val="00CA5A9C"/>
    <w:rsid w:val="00CB0625"/>
    <w:rsid w:val="00CC4C20"/>
    <w:rsid w:val="00CC63A0"/>
    <w:rsid w:val="00CD3517"/>
    <w:rsid w:val="00CD417C"/>
    <w:rsid w:val="00CD5FE2"/>
    <w:rsid w:val="00CE7C68"/>
    <w:rsid w:val="00D01F14"/>
    <w:rsid w:val="00D02B4C"/>
    <w:rsid w:val="00D040C4"/>
    <w:rsid w:val="00D20AD1"/>
    <w:rsid w:val="00D305EE"/>
    <w:rsid w:val="00D46B7E"/>
    <w:rsid w:val="00D5552E"/>
    <w:rsid w:val="00D57C84"/>
    <w:rsid w:val="00D6057D"/>
    <w:rsid w:val="00D648EC"/>
    <w:rsid w:val="00D71640"/>
    <w:rsid w:val="00D738E4"/>
    <w:rsid w:val="00D771A7"/>
    <w:rsid w:val="00D836C5"/>
    <w:rsid w:val="00D84576"/>
    <w:rsid w:val="00D87BD6"/>
    <w:rsid w:val="00DA1399"/>
    <w:rsid w:val="00DA24C6"/>
    <w:rsid w:val="00DA4D7B"/>
    <w:rsid w:val="00DC52F2"/>
    <w:rsid w:val="00DC5967"/>
    <w:rsid w:val="00DD271C"/>
    <w:rsid w:val="00DD7253"/>
    <w:rsid w:val="00DE264A"/>
    <w:rsid w:val="00DF13B9"/>
    <w:rsid w:val="00DF2D39"/>
    <w:rsid w:val="00DF5072"/>
    <w:rsid w:val="00DF77C2"/>
    <w:rsid w:val="00E02967"/>
    <w:rsid w:val="00E02D18"/>
    <w:rsid w:val="00E03D3F"/>
    <w:rsid w:val="00E041E7"/>
    <w:rsid w:val="00E21363"/>
    <w:rsid w:val="00E21C40"/>
    <w:rsid w:val="00E23CA1"/>
    <w:rsid w:val="00E251E4"/>
    <w:rsid w:val="00E25986"/>
    <w:rsid w:val="00E25ED3"/>
    <w:rsid w:val="00E27B2E"/>
    <w:rsid w:val="00E33D81"/>
    <w:rsid w:val="00E33DD7"/>
    <w:rsid w:val="00E36816"/>
    <w:rsid w:val="00E409A8"/>
    <w:rsid w:val="00E445F4"/>
    <w:rsid w:val="00E455C7"/>
    <w:rsid w:val="00E50C12"/>
    <w:rsid w:val="00E554A9"/>
    <w:rsid w:val="00E6497A"/>
    <w:rsid w:val="00E65B91"/>
    <w:rsid w:val="00E7209D"/>
    <w:rsid w:val="00E72EAD"/>
    <w:rsid w:val="00E72FA5"/>
    <w:rsid w:val="00E77223"/>
    <w:rsid w:val="00E81D2C"/>
    <w:rsid w:val="00E8528B"/>
    <w:rsid w:val="00E85B94"/>
    <w:rsid w:val="00E91518"/>
    <w:rsid w:val="00E978D0"/>
    <w:rsid w:val="00EA29A3"/>
    <w:rsid w:val="00EA4613"/>
    <w:rsid w:val="00EA7F91"/>
    <w:rsid w:val="00EB1523"/>
    <w:rsid w:val="00EC0E49"/>
    <w:rsid w:val="00EC101F"/>
    <w:rsid w:val="00EC1D9F"/>
    <w:rsid w:val="00EC3283"/>
    <w:rsid w:val="00ED093E"/>
    <w:rsid w:val="00EE0131"/>
    <w:rsid w:val="00EE17B0"/>
    <w:rsid w:val="00EF06D9"/>
    <w:rsid w:val="00EF575A"/>
    <w:rsid w:val="00F13796"/>
    <w:rsid w:val="00F26934"/>
    <w:rsid w:val="00F3049E"/>
    <w:rsid w:val="00F30C64"/>
    <w:rsid w:val="00F32BA2"/>
    <w:rsid w:val="00F32CDB"/>
    <w:rsid w:val="00F35818"/>
    <w:rsid w:val="00F35EB2"/>
    <w:rsid w:val="00F565FE"/>
    <w:rsid w:val="00F57913"/>
    <w:rsid w:val="00F638CE"/>
    <w:rsid w:val="00F63A70"/>
    <w:rsid w:val="00F63D8C"/>
    <w:rsid w:val="00F6497A"/>
    <w:rsid w:val="00F67AE6"/>
    <w:rsid w:val="00F67E5B"/>
    <w:rsid w:val="00F709FA"/>
    <w:rsid w:val="00F7534E"/>
    <w:rsid w:val="00F8103A"/>
    <w:rsid w:val="00F91B94"/>
    <w:rsid w:val="00F93EDF"/>
    <w:rsid w:val="00FA00FF"/>
    <w:rsid w:val="00FA1802"/>
    <w:rsid w:val="00FA21D0"/>
    <w:rsid w:val="00FA5F5F"/>
    <w:rsid w:val="00FB580C"/>
    <w:rsid w:val="00FB730C"/>
    <w:rsid w:val="00FB7762"/>
    <w:rsid w:val="00FC1174"/>
    <w:rsid w:val="00FC2695"/>
    <w:rsid w:val="00FC3E03"/>
    <w:rsid w:val="00FC3FC1"/>
    <w:rsid w:val="00FE61DD"/>
    <w:rsid w:val="00FE778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2E96237D-0FFA-4E77-A216-E44AF4E3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5D386E"/>
    <w:rPr>
      <w:color w:val="808080"/>
    </w:rPr>
  </w:style>
  <w:style w:type="character" w:styleId="UnresolvedMention">
    <w:name w:val="Unresolved Mention"/>
    <w:basedOn w:val="DefaultParagraphFont"/>
    <w:uiPriority w:val="99"/>
    <w:semiHidden/>
    <w:unhideWhenUsed/>
    <w:rsid w:val="00E72FA5"/>
    <w:rPr>
      <w:color w:val="605E5C"/>
      <w:shd w:val="clear" w:color="auto" w:fill="E1DFDD"/>
    </w:rPr>
  </w:style>
  <w:style w:type="paragraph" w:styleId="Revision">
    <w:name w:val="Revision"/>
    <w:hidden/>
    <w:uiPriority w:val="99"/>
    <w:semiHidden/>
    <w:rsid w:val="00F1379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051">
      <w:bodyDiv w:val="1"/>
      <w:marLeft w:val="0"/>
      <w:marRight w:val="0"/>
      <w:marTop w:val="0"/>
      <w:marBottom w:val="0"/>
      <w:divBdr>
        <w:top w:val="none" w:sz="0" w:space="0" w:color="auto"/>
        <w:left w:val="none" w:sz="0" w:space="0" w:color="auto"/>
        <w:bottom w:val="none" w:sz="0" w:space="0" w:color="auto"/>
        <w:right w:val="none" w:sz="0" w:space="0" w:color="auto"/>
      </w:divBdr>
    </w:div>
    <w:div w:id="65424605">
      <w:bodyDiv w:val="1"/>
      <w:marLeft w:val="0"/>
      <w:marRight w:val="0"/>
      <w:marTop w:val="0"/>
      <w:marBottom w:val="0"/>
      <w:divBdr>
        <w:top w:val="none" w:sz="0" w:space="0" w:color="auto"/>
        <w:left w:val="none" w:sz="0" w:space="0" w:color="auto"/>
        <w:bottom w:val="none" w:sz="0" w:space="0" w:color="auto"/>
        <w:right w:val="none" w:sz="0" w:space="0" w:color="auto"/>
      </w:divBdr>
    </w:div>
    <w:div w:id="69935007">
      <w:bodyDiv w:val="1"/>
      <w:marLeft w:val="0"/>
      <w:marRight w:val="0"/>
      <w:marTop w:val="0"/>
      <w:marBottom w:val="0"/>
      <w:divBdr>
        <w:top w:val="none" w:sz="0" w:space="0" w:color="auto"/>
        <w:left w:val="none" w:sz="0" w:space="0" w:color="auto"/>
        <w:bottom w:val="none" w:sz="0" w:space="0" w:color="auto"/>
        <w:right w:val="none" w:sz="0" w:space="0" w:color="auto"/>
      </w:divBdr>
    </w:div>
    <w:div w:id="71245357">
      <w:bodyDiv w:val="1"/>
      <w:marLeft w:val="0"/>
      <w:marRight w:val="0"/>
      <w:marTop w:val="0"/>
      <w:marBottom w:val="0"/>
      <w:divBdr>
        <w:top w:val="none" w:sz="0" w:space="0" w:color="auto"/>
        <w:left w:val="none" w:sz="0" w:space="0" w:color="auto"/>
        <w:bottom w:val="none" w:sz="0" w:space="0" w:color="auto"/>
        <w:right w:val="none" w:sz="0" w:space="0" w:color="auto"/>
      </w:divBdr>
    </w:div>
    <w:div w:id="87967054">
      <w:bodyDiv w:val="1"/>
      <w:marLeft w:val="0"/>
      <w:marRight w:val="0"/>
      <w:marTop w:val="0"/>
      <w:marBottom w:val="0"/>
      <w:divBdr>
        <w:top w:val="none" w:sz="0" w:space="0" w:color="auto"/>
        <w:left w:val="none" w:sz="0" w:space="0" w:color="auto"/>
        <w:bottom w:val="none" w:sz="0" w:space="0" w:color="auto"/>
        <w:right w:val="none" w:sz="0" w:space="0" w:color="auto"/>
      </w:divBdr>
    </w:div>
    <w:div w:id="113445917">
      <w:bodyDiv w:val="1"/>
      <w:marLeft w:val="0"/>
      <w:marRight w:val="0"/>
      <w:marTop w:val="0"/>
      <w:marBottom w:val="0"/>
      <w:divBdr>
        <w:top w:val="none" w:sz="0" w:space="0" w:color="auto"/>
        <w:left w:val="none" w:sz="0" w:space="0" w:color="auto"/>
        <w:bottom w:val="none" w:sz="0" w:space="0" w:color="auto"/>
        <w:right w:val="none" w:sz="0" w:space="0" w:color="auto"/>
      </w:divBdr>
    </w:div>
    <w:div w:id="113598703">
      <w:bodyDiv w:val="1"/>
      <w:marLeft w:val="0"/>
      <w:marRight w:val="0"/>
      <w:marTop w:val="0"/>
      <w:marBottom w:val="0"/>
      <w:divBdr>
        <w:top w:val="none" w:sz="0" w:space="0" w:color="auto"/>
        <w:left w:val="none" w:sz="0" w:space="0" w:color="auto"/>
        <w:bottom w:val="none" w:sz="0" w:space="0" w:color="auto"/>
        <w:right w:val="none" w:sz="0" w:space="0" w:color="auto"/>
      </w:divBdr>
    </w:div>
    <w:div w:id="129592701">
      <w:bodyDiv w:val="1"/>
      <w:marLeft w:val="0"/>
      <w:marRight w:val="0"/>
      <w:marTop w:val="0"/>
      <w:marBottom w:val="0"/>
      <w:divBdr>
        <w:top w:val="none" w:sz="0" w:space="0" w:color="auto"/>
        <w:left w:val="none" w:sz="0" w:space="0" w:color="auto"/>
        <w:bottom w:val="none" w:sz="0" w:space="0" w:color="auto"/>
        <w:right w:val="none" w:sz="0" w:space="0" w:color="auto"/>
      </w:divBdr>
    </w:div>
    <w:div w:id="130028438">
      <w:bodyDiv w:val="1"/>
      <w:marLeft w:val="0"/>
      <w:marRight w:val="0"/>
      <w:marTop w:val="0"/>
      <w:marBottom w:val="0"/>
      <w:divBdr>
        <w:top w:val="none" w:sz="0" w:space="0" w:color="auto"/>
        <w:left w:val="none" w:sz="0" w:space="0" w:color="auto"/>
        <w:bottom w:val="none" w:sz="0" w:space="0" w:color="auto"/>
        <w:right w:val="none" w:sz="0" w:space="0" w:color="auto"/>
      </w:divBdr>
    </w:div>
    <w:div w:id="131675638">
      <w:bodyDiv w:val="1"/>
      <w:marLeft w:val="0"/>
      <w:marRight w:val="0"/>
      <w:marTop w:val="0"/>
      <w:marBottom w:val="0"/>
      <w:divBdr>
        <w:top w:val="none" w:sz="0" w:space="0" w:color="auto"/>
        <w:left w:val="none" w:sz="0" w:space="0" w:color="auto"/>
        <w:bottom w:val="none" w:sz="0" w:space="0" w:color="auto"/>
        <w:right w:val="none" w:sz="0" w:space="0" w:color="auto"/>
      </w:divBdr>
    </w:div>
    <w:div w:id="205652987">
      <w:bodyDiv w:val="1"/>
      <w:marLeft w:val="0"/>
      <w:marRight w:val="0"/>
      <w:marTop w:val="0"/>
      <w:marBottom w:val="0"/>
      <w:divBdr>
        <w:top w:val="none" w:sz="0" w:space="0" w:color="auto"/>
        <w:left w:val="none" w:sz="0" w:space="0" w:color="auto"/>
        <w:bottom w:val="none" w:sz="0" w:space="0" w:color="auto"/>
        <w:right w:val="none" w:sz="0" w:space="0" w:color="auto"/>
      </w:divBdr>
    </w:div>
    <w:div w:id="216940349">
      <w:bodyDiv w:val="1"/>
      <w:marLeft w:val="0"/>
      <w:marRight w:val="0"/>
      <w:marTop w:val="0"/>
      <w:marBottom w:val="0"/>
      <w:divBdr>
        <w:top w:val="none" w:sz="0" w:space="0" w:color="auto"/>
        <w:left w:val="none" w:sz="0" w:space="0" w:color="auto"/>
        <w:bottom w:val="none" w:sz="0" w:space="0" w:color="auto"/>
        <w:right w:val="none" w:sz="0" w:space="0" w:color="auto"/>
      </w:divBdr>
    </w:div>
    <w:div w:id="219367499">
      <w:bodyDiv w:val="1"/>
      <w:marLeft w:val="0"/>
      <w:marRight w:val="0"/>
      <w:marTop w:val="0"/>
      <w:marBottom w:val="0"/>
      <w:divBdr>
        <w:top w:val="none" w:sz="0" w:space="0" w:color="auto"/>
        <w:left w:val="none" w:sz="0" w:space="0" w:color="auto"/>
        <w:bottom w:val="none" w:sz="0" w:space="0" w:color="auto"/>
        <w:right w:val="none" w:sz="0" w:space="0" w:color="auto"/>
      </w:divBdr>
    </w:div>
    <w:div w:id="234246147">
      <w:bodyDiv w:val="1"/>
      <w:marLeft w:val="0"/>
      <w:marRight w:val="0"/>
      <w:marTop w:val="0"/>
      <w:marBottom w:val="0"/>
      <w:divBdr>
        <w:top w:val="none" w:sz="0" w:space="0" w:color="auto"/>
        <w:left w:val="none" w:sz="0" w:space="0" w:color="auto"/>
        <w:bottom w:val="none" w:sz="0" w:space="0" w:color="auto"/>
        <w:right w:val="none" w:sz="0" w:space="0" w:color="auto"/>
      </w:divBdr>
    </w:div>
    <w:div w:id="272254611">
      <w:bodyDiv w:val="1"/>
      <w:marLeft w:val="0"/>
      <w:marRight w:val="0"/>
      <w:marTop w:val="0"/>
      <w:marBottom w:val="0"/>
      <w:divBdr>
        <w:top w:val="none" w:sz="0" w:space="0" w:color="auto"/>
        <w:left w:val="none" w:sz="0" w:space="0" w:color="auto"/>
        <w:bottom w:val="none" w:sz="0" w:space="0" w:color="auto"/>
        <w:right w:val="none" w:sz="0" w:space="0" w:color="auto"/>
      </w:divBdr>
    </w:div>
    <w:div w:id="285698137">
      <w:bodyDiv w:val="1"/>
      <w:marLeft w:val="0"/>
      <w:marRight w:val="0"/>
      <w:marTop w:val="0"/>
      <w:marBottom w:val="0"/>
      <w:divBdr>
        <w:top w:val="none" w:sz="0" w:space="0" w:color="auto"/>
        <w:left w:val="none" w:sz="0" w:space="0" w:color="auto"/>
        <w:bottom w:val="none" w:sz="0" w:space="0" w:color="auto"/>
        <w:right w:val="none" w:sz="0" w:space="0" w:color="auto"/>
      </w:divBdr>
    </w:div>
    <w:div w:id="290481137">
      <w:bodyDiv w:val="1"/>
      <w:marLeft w:val="0"/>
      <w:marRight w:val="0"/>
      <w:marTop w:val="0"/>
      <w:marBottom w:val="0"/>
      <w:divBdr>
        <w:top w:val="none" w:sz="0" w:space="0" w:color="auto"/>
        <w:left w:val="none" w:sz="0" w:space="0" w:color="auto"/>
        <w:bottom w:val="none" w:sz="0" w:space="0" w:color="auto"/>
        <w:right w:val="none" w:sz="0" w:space="0" w:color="auto"/>
      </w:divBdr>
    </w:div>
    <w:div w:id="293145241">
      <w:bodyDiv w:val="1"/>
      <w:marLeft w:val="0"/>
      <w:marRight w:val="0"/>
      <w:marTop w:val="0"/>
      <w:marBottom w:val="0"/>
      <w:divBdr>
        <w:top w:val="none" w:sz="0" w:space="0" w:color="auto"/>
        <w:left w:val="none" w:sz="0" w:space="0" w:color="auto"/>
        <w:bottom w:val="none" w:sz="0" w:space="0" w:color="auto"/>
        <w:right w:val="none" w:sz="0" w:space="0" w:color="auto"/>
      </w:divBdr>
    </w:div>
    <w:div w:id="297996688">
      <w:bodyDiv w:val="1"/>
      <w:marLeft w:val="0"/>
      <w:marRight w:val="0"/>
      <w:marTop w:val="0"/>
      <w:marBottom w:val="0"/>
      <w:divBdr>
        <w:top w:val="none" w:sz="0" w:space="0" w:color="auto"/>
        <w:left w:val="none" w:sz="0" w:space="0" w:color="auto"/>
        <w:bottom w:val="none" w:sz="0" w:space="0" w:color="auto"/>
        <w:right w:val="none" w:sz="0" w:space="0" w:color="auto"/>
      </w:divBdr>
    </w:div>
    <w:div w:id="302153708">
      <w:bodyDiv w:val="1"/>
      <w:marLeft w:val="0"/>
      <w:marRight w:val="0"/>
      <w:marTop w:val="0"/>
      <w:marBottom w:val="0"/>
      <w:divBdr>
        <w:top w:val="none" w:sz="0" w:space="0" w:color="auto"/>
        <w:left w:val="none" w:sz="0" w:space="0" w:color="auto"/>
        <w:bottom w:val="none" w:sz="0" w:space="0" w:color="auto"/>
        <w:right w:val="none" w:sz="0" w:space="0" w:color="auto"/>
      </w:divBdr>
    </w:div>
    <w:div w:id="304555729">
      <w:bodyDiv w:val="1"/>
      <w:marLeft w:val="0"/>
      <w:marRight w:val="0"/>
      <w:marTop w:val="0"/>
      <w:marBottom w:val="0"/>
      <w:divBdr>
        <w:top w:val="none" w:sz="0" w:space="0" w:color="auto"/>
        <w:left w:val="none" w:sz="0" w:space="0" w:color="auto"/>
        <w:bottom w:val="none" w:sz="0" w:space="0" w:color="auto"/>
        <w:right w:val="none" w:sz="0" w:space="0" w:color="auto"/>
      </w:divBdr>
    </w:div>
    <w:div w:id="327366831">
      <w:bodyDiv w:val="1"/>
      <w:marLeft w:val="0"/>
      <w:marRight w:val="0"/>
      <w:marTop w:val="0"/>
      <w:marBottom w:val="0"/>
      <w:divBdr>
        <w:top w:val="none" w:sz="0" w:space="0" w:color="auto"/>
        <w:left w:val="none" w:sz="0" w:space="0" w:color="auto"/>
        <w:bottom w:val="none" w:sz="0" w:space="0" w:color="auto"/>
        <w:right w:val="none" w:sz="0" w:space="0" w:color="auto"/>
      </w:divBdr>
    </w:div>
    <w:div w:id="336689979">
      <w:bodyDiv w:val="1"/>
      <w:marLeft w:val="0"/>
      <w:marRight w:val="0"/>
      <w:marTop w:val="0"/>
      <w:marBottom w:val="0"/>
      <w:divBdr>
        <w:top w:val="none" w:sz="0" w:space="0" w:color="auto"/>
        <w:left w:val="none" w:sz="0" w:space="0" w:color="auto"/>
        <w:bottom w:val="none" w:sz="0" w:space="0" w:color="auto"/>
        <w:right w:val="none" w:sz="0" w:space="0" w:color="auto"/>
      </w:divBdr>
    </w:div>
    <w:div w:id="338430011">
      <w:bodyDiv w:val="1"/>
      <w:marLeft w:val="0"/>
      <w:marRight w:val="0"/>
      <w:marTop w:val="0"/>
      <w:marBottom w:val="0"/>
      <w:divBdr>
        <w:top w:val="none" w:sz="0" w:space="0" w:color="auto"/>
        <w:left w:val="none" w:sz="0" w:space="0" w:color="auto"/>
        <w:bottom w:val="none" w:sz="0" w:space="0" w:color="auto"/>
        <w:right w:val="none" w:sz="0" w:space="0" w:color="auto"/>
      </w:divBdr>
    </w:div>
    <w:div w:id="343283451">
      <w:bodyDiv w:val="1"/>
      <w:marLeft w:val="0"/>
      <w:marRight w:val="0"/>
      <w:marTop w:val="0"/>
      <w:marBottom w:val="0"/>
      <w:divBdr>
        <w:top w:val="none" w:sz="0" w:space="0" w:color="auto"/>
        <w:left w:val="none" w:sz="0" w:space="0" w:color="auto"/>
        <w:bottom w:val="none" w:sz="0" w:space="0" w:color="auto"/>
        <w:right w:val="none" w:sz="0" w:space="0" w:color="auto"/>
      </w:divBdr>
    </w:div>
    <w:div w:id="343744883">
      <w:bodyDiv w:val="1"/>
      <w:marLeft w:val="0"/>
      <w:marRight w:val="0"/>
      <w:marTop w:val="0"/>
      <w:marBottom w:val="0"/>
      <w:divBdr>
        <w:top w:val="none" w:sz="0" w:space="0" w:color="auto"/>
        <w:left w:val="none" w:sz="0" w:space="0" w:color="auto"/>
        <w:bottom w:val="none" w:sz="0" w:space="0" w:color="auto"/>
        <w:right w:val="none" w:sz="0" w:space="0" w:color="auto"/>
      </w:divBdr>
    </w:div>
    <w:div w:id="362941911">
      <w:bodyDiv w:val="1"/>
      <w:marLeft w:val="0"/>
      <w:marRight w:val="0"/>
      <w:marTop w:val="0"/>
      <w:marBottom w:val="0"/>
      <w:divBdr>
        <w:top w:val="none" w:sz="0" w:space="0" w:color="auto"/>
        <w:left w:val="none" w:sz="0" w:space="0" w:color="auto"/>
        <w:bottom w:val="none" w:sz="0" w:space="0" w:color="auto"/>
        <w:right w:val="none" w:sz="0" w:space="0" w:color="auto"/>
      </w:divBdr>
    </w:div>
    <w:div w:id="366831454">
      <w:bodyDiv w:val="1"/>
      <w:marLeft w:val="0"/>
      <w:marRight w:val="0"/>
      <w:marTop w:val="0"/>
      <w:marBottom w:val="0"/>
      <w:divBdr>
        <w:top w:val="none" w:sz="0" w:space="0" w:color="auto"/>
        <w:left w:val="none" w:sz="0" w:space="0" w:color="auto"/>
        <w:bottom w:val="none" w:sz="0" w:space="0" w:color="auto"/>
        <w:right w:val="none" w:sz="0" w:space="0" w:color="auto"/>
      </w:divBdr>
    </w:div>
    <w:div w:id="368068275">
      <w:bodyDiv w:val="1"/>
      <w:marLeft w:val="0"/>
      <w:marRight w:val="0"/>
      <w:marTop w:val="0"/>
      <w:marBottom w:val="0"/>
      <w:divBdr>
        <w:top w:val="none" w:sz="0" w:space="0" w:color="auto"/>
        <w:left w:val="none" w:sz="0" w:space="0" w:color="auto"/>
        <w:bottom w:val="none" w:sz="0" w:space="0" w:color="auto"/>
        <w:right w:val="none" w:sz="0" w:space="0" w:color="auto"/>
      </w:divBdr>
    </w:div>
    <w:div w:id="401024958">
      <w:bodyDiv w:val="1"/>
      <w:marLeft w:val="0"/>
      <w:marRight w:val="0"/>
      <w:marTop w:val="0"/>
      <w:marBottom w:val="0"/>
      <w:divBdr>
        <w:top w:val="none" w:sz="0" w:space="0" w:color="auto"/>
        <w:left w:val="none" w:sz="0" w:space="0" w:color="auto"/>
        <w:bottom w:val="none" w:sz="0" w:space="0" w:color="auto"/>
        <w:right w:val="none" w:sz="0" w:space="0" w:color="auto"/>
      </w:divBdr>
    </w:div>
    <w:div w:id="425729415">
      <w:bodyDiv w:val="1"/>
      <w:marLeft w:val="0"/>
      <w:marRight w:val="0"/>
      <w:marTop w:val="0"/>
      <w:marBottom w:val="0"/>
      <w:divBdr>
        <w:top w:val="none" w:sz="0" w:space="0" w:color="auto"/>
        <w:left w:val="none" w:sz="0" w:space="0" w:color="auto"/>
        <w:bottom w:val="none" w:sz="0" w:space="0" w:color="auto"/>
        <w:right w:val="none" w:sz="0" w:space="0" w:color="auto"/>
      </w:divBdr>
    </w:div>
    <w:div w:id="440033411">
      <w:bodyDiv w:val="1"/>
      <w:marLeft w:val="0"/>
      <w:marRight w:val="0"/>
      <w:marTop w:val="0"/>
      <w:marBottom w:val="0"/>
      <w:divBdr>
        <w:top w:val="none" w:sz="0" w:space="0" w:color="auto"/>
        <w:left w:val="none" w:sz="0" w:space="0" w:color="auto"/>
        <w:bottom w:val="none" w:sz="0" w:space="0" w:color="auto"/>
        <w:right w:val="none" w:sz="0" w:space="0" w:color="auto"/>
      </w:divBdr>
    </w:div>
    <w:div w:id="442653041">
      <w:bodyDiv w:val="1"/>
      <w:marLeft w:val="0"/>
      <w:marRight w:val="0"/>
      <w:marTop w:val="0"/>
      <w:marBottom w:val="0"/>
      <w:divBdr>
        <w:top w:val="none" w:sz="0" w:space="0" w:color="auto"/>
        <w:left w:val="none" w:sz="0" w:space="0" w:color="auto"/>
        <w:bottom w:val="none" w:sz="0" w:space="0" w:color="auto"/>
        <w:right w:val="none" w:sz="0" w:space="0" w:color="auto"/>
      </w:divBdr>
    </w:div>
    <w:div w:id="449400527">
      <w:bodyDiv w:val="1"/>
      <w:marLeft w:val="0"/>
      <w:marRight w:val="0"/>
      <w:marTop w:val="0"/>
      <w:marBottom w:val="0"/>
      <w:divBdr>
        <w:top w:val="none" w:sz="0" w:space="0" w:color="auto"/>
        <w:left w:val="none" w:sz="0" w:space="0" w:color="auto"/>
        <w:bottom w:val="none" w:sz="0" w:space="0" w:color="auto"/>
        <w:right w:val="none" w:sz="0" w:space="0" w:color="auto"/>
      </w:divBdr>
    </w:div>
    <w:div w:id="503278439">
      <w:bodyDiv w:val="1"/>
      <w:marLeft w:val="0"/>
      <w:marRight w:val="0"/>
      <w:marTop w:val="0"/>
      <w:marBottom w:val="0"/>
      <w:divBdr>
        <w:top w:val="none" w:sz="0" w:space="0" w:color="auto"/>
        <w:left w:val="none" w:sz="0" w:space="0" w:color="auto"/>
        <w:bottom w:val="none" w:sz="0" w:space="0" w:color="auto"/>
        <w:right w:val="none" w:sz="0" w:space="0" w:color="auto"/>
      </w:divBdr>
    </w:div>
    <w:div w:id="513768952">
      <w:bodyDiv w:val="1"/>
      <w:marLeft w:val="0"/>
      <w:marRight w:val="0"/>
      <w:marTop w:val="0"/>
      <w:marBottom w:val="0"/>
      <w:divBdr>
        <w:top w:val="none" w:sz="0" w:space="0" w:color="auto"/>
        <w:left w:val="none" w:sz="0" w:space="0" w:color="auto"/>
        <w:bottom w:val="none" w:sz="0" w:space="0" w:color="auto"/>
        <w:right w:val="none" w:sz="0" w:space="0" w:color="auto"/>
      </w:divBdr>
    </w:div>
    <w:div w:id="528417710">
      <w:bodyDiv w:val="1"/>
      <w:marLeft w:val="0"/>
      <w:marRight w:val="0"/>
      <w:marTop w:val="0"/>
      <w:marBottom w:val="0"/>
      <w:divBdr>
        <w:top w:val="none" w:sz="0" w:space="0" w:color="auto"/>
        <w:left w:val="none" w:sz="0" w:space="0" w:color="auto"/>
        <w:bottom w:val="none" w:sz="0" w:space="0" w:color="auto"/>
        <w:right w:val="none" w:sz="0" w:space="0" w:color="auto"/>
      </w:divBdr>
    </w:div>
    <w:div w:id="544677820">
      <w:bodyDiv w:val="1"/>
      <w:marLeft w:val="0"/>
      <w:marRight w:val="0"/>
      <w:marTop w:val="0"/>
      <w:marBottom w:val="0"/>
      <w:divBdr>
        <w:top w:val="none" w:sz="0" w:space="0" w:color="auto"/>
        <w:left w:val="none" w:sz="0" w:space="0" w:color="auto"/>
        <w:bottom w:val="none" w:sz="0" w:space="0" w:color="auto"/>
        <w:right w:val="none" w:sz="0" w:space="0" w:color="auto"/>
      </w:divBdr>
    </w:div>
    <w:div w:id="564292003">
      <w:bodyDiv w:val="1"/>
      <w:marLeft w:val="0"/>
      <w:marRight w:val="0"/>
      <w:marTop w:val="0"/>
      <w:marBottom w:val="0"/>
      <w:divBdr>
        <w:top w:val="none" w:sz="0" w:space="0" w:color="auto"/>
        <w:left w:val="none" w:sz="0" w:space="0" w:color="auto"/>
        <w:bottom w:val="none" w:sz="0" w:space="0" w:color="auto"/>
        <w:right w:val="none" w:sz="0" w:space="0" w:color="auto"/>
      </w:divBdr>
    </w:div>
    <w:div w:id="584916968">
      <w:bodyDiv w:val="1"/>
      <w:marLeft w:val="0"/>
      <w:marRight w:val="0"/>
      <w:marTop w:val="0"/>
      <w:marBottom w:val="0"/>
      <w:divBdr>
        <w:top w:val="none" w:sz="0" w:space="0" w:color="auto"/>
        <w:left w:val="none" w:sz="0" w:space="0" w:color="auto"/>
        <w:bottom w:val="none" w:sz="0" w:space="0" w:color="auto"/>
        <w:right w:val="none" w:sz="0" w:space="0" w:color="auto"/>
      </w:divBdr>
    </w:div>
    <w:div w:id="589847405">
      <w:bodyDiv w:val="1"/>
      <w:marLeft w:val="0"/>
      <w:marRight w:val="0"/>
      <w:marTop w:val="0"/>
      <w:marBottom w:val="0"/>
      <w:divBdr>
        <w:top w:val="none" w:sz="0" w:space="0" w:color="auto"/>
        <w:left w:val="none" w:sz="0" w:space="0" w:color="auto"/>
        <w:bottom w:val="none" w:sz="0" w:space="0" w:color="auto"/>
        <w:right w:val="none" w:sz="0" w:space="0" w:color="auto"/>
      </w:divBdr>
    </w:div>
    <w:div w:id="592400308">
      <w:bodyDiv w:val="1"/>
      <w:marLeft w:val="0"/>
      <w:marRight w:val="0"/>
      <w:marTop w:val="0"/>
      <w:marBottom w:val="0"/>
      <w:divBdr>
        <w:top w:val="none" w:sz="0" w:space="0" w:color="auto"/>
        <w:left w:val="none" w:sz="0" w:space="0" w:color="auto"/>
        <w:bottom w:val="none" w:sz="0" w:space="0" w:color="auto"/>
        <w:right w:val="none" w:sz="0" w:space="0" w:color="auto"/>
      </w:divBdr>
    </w:div>
    <w:div w:id="603002895">
      <w:bodyDiv w:val="1"/>
      <w:marLeft w:val="0"/>
      <w:marRight w:val="0"/>
      <w:marTop w:val="0"/>
      <w:marBottom w:val="0"/>
      <w:divBdr>
        <w:top w:val="none" w:sz="0" w:space="0" w:color="auto"/>
        <w:left w:val="none" w:sz="0" w:space="0" w:color="auto"/>
        <w:bottom w:val="none" w:sz="0" w:space="0" w:color="auto"/>
        <w:right w:val="none" w:sz="0" w:space="0" w:color="auto"/>
      </w:divBdr>
    </w:div>
    <w:div w:id="607201220">
      <w:bodyDiv w:val="1"/>
      <w:marLeft w:val="0"/>
      <w:marRight w:val="0"/>
      <w:marTop w:val="0"/>
      <w:marBottom w:val="0"/>
      <w:divBdr>
        <w:top w:val="none" w:sz="0" w:space="0" w:color="auto"/>
        <w:left w:val="none" w:sz="0" w:space="0" w:color="auto"/>
        <w:bottom w:val="none" w:sz="0" w:space="0" w:color="auto"/>
        <w:right w:val="none" w:sz="0" w:space="0" w:color="auto"/>
      </w:divBdr>
    </w:div>
    <w:div w:id="609431948">
      <w:bodyDiv w:val="1"/>
      <w:marLeft w:val="0"/>
      <w:marRight w:val="0"/>
      <w:marTop w:val="0"/>
      <w:marBottom w:val="0"/>
      <w:divBdr>
        <w:top w:val="none" w:sz="0" w:space="0" w:color="auto"/>
        <w:left w:val="none" w:sz="0" w:space="0" w:color="auto"/>
        <w:bottom w:val="none" w:sz="0" w:space="0" w:color="auto"/>
        <w:right w:val="none" w:sz="0" w:space="0" w:color="auto"/>
      </w:divBdr>
    </w:div>
    <w:div w:id="614488621">
      <w:bodyDiv w:val="1"/>
      <w:marLeft w:val="0"/>
      <w:marRight w:val="0"/>
      <w:marTop w:val="0"/>
      <w:marBottom w:val="0"/>
      <w:divBdr>
        <w:top w:val="none" w:sz="0" w:space="0" w:color="auto"/>
        <w:left w:val="none" w:sz="0" w:space="0" w:color="auto"/>
        <w:bottom w:val="none" w:sz="0" w:space="0" w:color="auto"/>
        <w:right w:val="none" w:sz="0" w:space="0" w:color="auto"/>
      </w:divBdr>
    </w:div>
    <w:div w:id="624889303">
      <w:bodyDiv w:val="1"/>
      <w:marLeft w:val="0"/>
      <w:marRight w:val="0"/>
      <w:marTop w:val="0"/>
      <w:marBottom w:val="0"/>
      <w:divBdr>
        <w:top w:val="none" w:sz="0" w:space="0" w:color="auto"/>
        <w:left w:val="none" w:sz="0" w:space="0" w:color="auto"/>
        <w:bottom w:val="none" w:sz="0" w:space="0" w:color="auto"/>
        <w:right w:val="none" w:sz="0" w:space="0" w:color="auto"/>
      </w:divBdr>
    </w:div>
    <w:div w:id="624894541">
      <w:bodyDiv w:val="1"/>
      <w:marLeft w:val="0"/>
      <w:marRight w:val="0"/>
      <w:marTop w:val="0"/>
      <w:marBottom w:val="0"/>
      <w:divBdr>
        <w:top w:val="none" w:sz="0" w:space="0" w:color="auto"/>
        <w:left w:val="none" w:sz="0" w:space="0" w:color="auto"/>
        <w:bottom w:val="none" w:sz="0" w:space="0" w:color="auto"/>
        <w:right w:val="none" w:sz="0" w:space="0" w:color="auto"/>
      </w:divBdr>
    </w:div>
    <w:div w:id="626546140">
      <w:bodyDiv w:val="1"/>
      <w:marLeft w:val="0"/>
      <w:marRight w:val="0"/>
      <w:marTop w:val="0"/>
      <w:marBottom w:val="0"/>
      <w:divBdr>
        <w:top w:val="none" w:sz="0" w:space="0" w:color="auto"/>
        <w:left w:val="none" w:sz="0" w:space="0" w:color="auto"/>
        <w:bottom w:val="none" w:sz="0" w:space="0" w:color="auto"/>
        <w:right w:val="none" w:sz="0" w:space="0" w:color="auto"/>
      </w:divBdr>
    </w:div>
    <w:div w:id="627398036">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46711156">
      <w:bodyDiv w:val="1"/>
      <w:marLeft w:val="0"/>
      <w:marRight w:val="0"/>
      <w:marTop w:val="0"/>
      <w:marBottom w:val="0"/>
      <w:divBdr>
        <w:top w:val="none" w:sz="0" w:space="0" w:color="auto"/>
        <w:left w:val="none" w:sz="0" w:space="0" w:color="auto"/>
        <w:bottom w:val="none" w:sz="0" w:space="0" w:color="auto"/>
        <w:right w:val="none" w:sz="0" w:space="0" w:color="auto"/>
      </w:divBdr>
    </w:div>
    <w:div w:id="661933506">
      <w:bodyDiv w:val="1"/>
      <w:marLeft w:val="0"/>
      <w:marRight w:val="0"/>
      <w:marTop w:val="0"/>
      <w:marBottom w:val="0"/>
      <w:divBdr>
        <w:top w:val="none" w:sz="0" w:space="0" w:color="auto"/>
        <w:left w:val="none" w:sz="0" w:space="0" w:color="auto"/>
        <w:bottom w:val="none" w:sz="0" w:space="0" w:color="auto"/>
        <w:right w:val="none" w:sz="0" w:space="0" w:color="auto"/>
      </w:divBdr>
    </w:div>
    <w:div w:id="669912986">
      <w:bodyDiv w:val="1"/>
      <w:marLeft w:val="0"/>
      <w:marRight w:val="0"/>
      <w:marTop w:val="0"/>
      <w:marBottom w:val="0"/>
      <w:divBdr>
        <w:top w:val="none" w:sz="0" w:space="0" w:color="auto"/>
        <w:left w:val="none" w:sz="0" w:space="0" w:color="auto"/>
        <w:bottom w:val="none" w:sz="0" w:space="0" w:color="auto"/>
        <w:right w:val="none" w:sz="0" w:space="0" w:color="auto"/>
      </w:divBdr>
    </w:div>
    <w:div w:id="683165291">
      <w:bodyDiv w:val="1"/>
      <w:marLeft w:val="0"/>
      <w:marRight w:val="0"/>
      <w:marTop w:val="0"/>
      <w:marBottom w:val="0"/>
      <w:divBdr>
        <w:top w:val="none" w:sz="0" w:space="0" w:color="auto"/>
        <w:left w:val="none" w:sz="0" w:space="0" w:color="auto"/>
        <w:bottom w:val="none" w:sz="0" w:space="0" w:color="auto"/>
        <w:right w:val="none" w:sz="0" w:space="0" w:color="auto"/>
      </w:divBdr>
    </w:div>
    <w:div w:id="693307667">
      <w:bodyDiv w:val="1"/>
      <w:marLeft w:val="0"/>
      <w:marRight w:val="0"/>
      <w:marTop w:val="0"/>
      <w:marBottom w:val="0"/>
      <w:divBdr>
        <w:top w:val="none" w:sz="0" w:space="0" w:color="auto"/>
        <w:left w:val="none" w:sz="0" w:space="0" w:color="auto"/>
        <w:bottom w:val="none" w:sz="0" w:space="0" w:color="auto"/>
        <w:right w:val="none" w:sz="0" w:space="0" w:color="auto"/>
      </w:divBdr>
    </w:div>
    <w:div w:id="715814780">
      <w:bodyDiv w:val="1"/>
      <w:marLeft w:val="0"/>
      <w:marRight w:val="0"/>
      <w:marTop w:val="0"/>
      <w:marBottom w:val="0"/>
      <w:divBdr>
        <w:top w:val="none" w:sz="0" w:space="0" w:color="auto"/>
        <w:left w:val="none" w:sz="0" w:space="0" w:color="auto"/>
        <w:bottom w:val="none" w:sz="0" w:space="0" w:color="auto"/>
        <w:right w:val="none" w:sz="0" w:space="0" w:color="auto"/>
      </w:divBdr>
    </w:div>
    <w:div w:id="717436645">
      <w:bodyDiv w:val="1"/>
      <w:marLeft w:val="0"/>
      <w:marRight w:val="0"/>
      <w:marTop w:val="0"/>
      <w:marBottom w:val="0"/>
      <w:divBdr>
        <w:top w:val="none" w:sz="0" w:space="0" w:color="auto"/>
        <w:left w:val="none" w:sz="0" w:space="0" w:color="auto"/>
        <w:bottom w:val="none" w:sz="0" w:space="0" w:color="auto"/>
        <w:right w:val="none" w:sz="0" w:space="0" w:color="auto"/>
      </w:divBdr>
    </w:div>
    <w:div w:id="718822697">
      <w:bodyDiv w:val="1"/>
      <w:marLeft w:val="0"/>
      <w:marRight w:val="0"/>
      <w:marTop w:val="0"/>
      <w:marBottom w:val="0"/>
      <w:divBdr>
        <w:top w:val="none" w:sz="0" w:space="0" w:color="auto"/>
        <w:left w:val="none" w:sz="0" w:space="0" w:color="auto"/>
        <w:bottom w:val="none" w:sz="0" w:space="0" w:color="auto"/>
        <w:right w:val="none" w:sz="0" w:space="0" w:color="auto"/>
      </w:divBdr>
    </w:div>
    <w:div w:id="719742723">
      <w:bodyDiv w:val="1"/>
      <w:marLeft w:val="0"/>
      <w:marRight w:val="0"/>
      <w:marTop w:val="0"/>
      <w:marBottom w:val="0"/>
      <w:divBdr>
        <w:top w:val="none" w:sz="0" w:space="0" w:color="auto"/>
        <w:left w:val="none" w:sz="0" w:space="0" w:color="auto"/>
        <w:bottom w:val="none" w:sz="0" w:space="0" w:color="auto"/>
        <w:right w:val="none" w:sz="0" w:space="0" w:color="auto"/>
      </w:divBdr>
    </w:div>
    <w:div w:id="720130550">
      <w:bodyDiv w:val="1"/>
      <w:marLeft w:val="0"/>
      <w:marRight w:val="0"/>
      <w:marTop w:val="0"/>
      <w:marBottom w:val="0"/>
      <w:divBdr>
        <w:top w:val="none" w:sz="0" w:space="0" w:color="auto"/>
        <w:left w:val="none" w:sz="0" w:space="0" w:color="auto"/>
        <w:bottom w:val="none" w:sz="0" w:space="0" w:color="auto"/>
        <w:right w:val="none" w:sz="0" w:space="0" w:color="auto"/>
      </w:divBdr>
    </w:div>
    <w:div w:id="728574104">
      <w:bodyDiv w:val="1"/>
      <w:marLeft w:val="0"/>
      <w:marRight w:val="0"/>
      <w:marTop w:val="0"/>
      <w:marBottom w:val="0"/>
      <w:divBdr>
        <w:top w:val="none" w:sz="0" w:space="0" w:color="auto"/>
        <w:left w:val="none" w:sz="0" w:space="0" w:color="auto"/>
        <w:bottom w:val="none" w:sz="0" w:space="0" w:color="auto"/>
        <w:right w:val="none" w:sz="0" w:space="0" w:color="auto"/>
      </w:divBdr>
    </w:div>
    <w:div w:id="753093661">
      <w:bodyDiv w:val="1"/>
      <w:marLeft w:val="0"/>
      <w:marRight w:val="0"/>
      <w:marTop w:val="0"/>
      <w:marBottom w:val="0"/>
      <w:divBdr>
        <w:top w:val="none" w:sz="0" w:space="0" w:color="auto"/>
        <w:left w:val="none" w:sz="0" w:space="0" w:color="auto"/>
        <w:bottom w:val="none" w:sz="0" w:space="0" w:color="auto"/>
        <w:right w:val="none" w:sz="0" w:space="0" w:color="auto"/>
      </w:divBdr>
    </w:div>
    <w:div w:id="754083985">
      <w:bodyDiv w:val="1"/>
      <w:marLeft w:val="0"/>
      <w:marRight w:val="0"/>
      <w:marTop w:val="0"/>
      <w:marBottom w:val="0"/>
      <w:divBdr>
        <w:top w:val="none" w:sz="0" w:space="0" w:color="auto"/>
        <w:left w:val="none" w:sz="0" w:space="0" w:color="auto"/>
        <w:bottom w:val="none" w:sz="0" w:space="0" w:color="auto"/>
        <w:right w:val="none" w:sz="0" w:space="0" w:color="auto"/>
      </w:divBdr>
    </w:div>
    <w:div w:id="761800184">
      <w:bodyDiv w:val="1"/>
      <w:marLeft w:val="0"/>
      <w:marRight w:val="0"/>
      <w:marTop w:val="0"/>
      <w:marBottom w:val="0"/>
      <w:divBdr>
        <w:top w:val="none" w:sz="0" w:space="0" w:color="auto"/>
        <w:left w:val="none" w:sz="0" w:space="0" w:color="auto"/>
        <w:bottom w:val="none" w:sz="0" w:space="0" w:color="auto"/>
        <w:right w:val="none" w:sz="0" w:space="0" w:color="auto"/>
      </w:divBdr>
    </w:div>
    <w:div w:id="77910533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972">
      <w:bodyDiv w:val="1"/>
      <w:marLeft w:val="0"/>
      <w:marRight w:val="0"/>
      <w:marTop w:val="0"/>
      <w:marBottom w:val="0"/>
      <w:divBdr>
        <w:top w:val="none" w:sz="0" w:space="0" w:color="auto"/>
        <w:left w:val="none" w:sz="0" w:space="0" w:color="auto"/>
        <w:bottom w:val="none" w:sz="0" w:space="0" w:color="auto"/>
        <w:right w:val="none" w:sz="0" w:space="0" w:color="auto"/>
      </w:divBdr>
    </w:div>
    <w:div w:id="808014578">
      <w:bodyDiv w:val="1"/>
      <w:marLeft w:val="0"/>
      <w:marRight w:val="0"/>
      <w:marTop w:val="0"/>
      <w:marBottom w:val="0"/>
      <w:divBdr>
        <w:top w:val="none" w:sz="0" w:space="0" w:color="auto"/>
        <w:left w:val="none" w:sz="0" w:space="0" w:color="auto"/>
        <w:bottom w:val="none" w:sz="0" w:space="0" w:color="auto"/>
        <w:right w:val="none" w:sz="0" w:space="0" w:color="auto"/>
      </w:divBdr>
    </w:div>
    <w:div w:id="808594006">
      <w:bodyDiv w:val="1"/>
      <w:marLeft w:val="0"/>
      <w:marRight w:val="0"/>
      <w:marTop w:val="0"/>
      <w:marBottom w:val="0"/>
      <w:divBdr>
        <w:top w:val="none" w:sz="0" w:space="0" w:color="auto"/>
        <w:left w:val="none" w:sz="0" w:space="0" w:color="auto"/>
        <w:bottom w:val="none" w:sz="0" w:space="0" w:color="auto"/>
        <w:right w:val="none" w:sz="0" w:space="0" w:color="auto"/>
      </w:divBdr>
    </w:div>
    <w:div w:id="836503395">
      <w:bodyDiv w:val="1"/>
      <w:marLeft w:val="0"/>
      <w:marRight w:val="0"/>
      <w:marTop w:val="0"/>
      <w:marBottom w:val="0"/>
      <w:divBdr>
        <w:top w:val="none" w:sz="0" w:space="0" w:color="auto"/>
        <w:left w:val="none" w:sz="0" w:space="0" w:color="auto"/>
        <w:bottom w:val="none" w:sz="0" w:space="0" w:color="auto"/>
        <w:right w:val="none" w:sz="0" w:space="0" w:color="auto"/>
      </w:divBdr>
    </w:div>
    <w:div w:id="842235345">
      <w:bodyDiv w:val="1"/>
      <w:marLeft w:val="0"/>
      <w:marRight w:val="0"/>
      <w:marTop w:val="0"/>
      <w:marBottom w:val="0"/>
      <w:divBdr>
        <w:top w:val="none" w:sz="0" w:space="0" w:color="auto"/>
        <w:left w:val="none" w:sz="0" w:space="0" w:color="auto"/>
        <w:bottom w:val="none" w:sz="0" w:space="0" w:color="auto"/>
        <w:right w:val="none" w:sz="0" w:space="0" w:color="auto"/>
      </w:divBdr>
    </w:div>
    <w:div w:id="85245679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758053">
      <w:bodyDiv w:val="1"/>
      <w:marLeft w:val="0"/>
      <w:marRight w:val="0"/>
      <w:marTop w:val="0"/>
      <w:marBottom w:val="0"/>
      <w:divBdr>
        <w:top w:val="none" w:sz="0" w:space="0" w:color="auto"/>
        <w:left w:val="none" w:sz="0" w:space="0" w:color="auto"/>
        <w:bottom w:val="none" w:sz="0" w:space="0" w:color="auto"/>
        <w:right w:val="none" w:sz="0" w:space="0" w:color="auto"/>
      </w:divBdr>
    </w:div>
    <w:div w:id="873808209">
      <w:bodyDiv w:val="1"/>
      <w:marLeft w:val="0"/>
      <w:marRight w:val="0"/>
      <w:marTop w:val="0"/>
      <w:marBottom w:val="0"/>
      <w:divBdr>
        <w:top w:val="none" w:sz="0" w:space="0" w:color="auto"/>
        <w:left w:val="none" w:sz="0" w:space="0" w:color="auto"/>
        <w:bottom w:val="none" w:sz="0" w:space="0" w:color="auto"/>
        <w:right w:val="none" w:sz="0" w:space="0" w:color="auto"/>
      </w:divBdr>
    </w:div>
    <w:div w:id="881751922">
      <w:bodyDiv w:val="1"/>
      <w:marLeft w:val="0"/>
      <w:marRight w:val="0"/>
      <w:marTop w:val="0"/>
      <w:marBottom w:val="0"/>
      <w:divBdr>
        <w:top w:val="none" w:sz="0" w:space="0" w:color="auto"/>
        <w:left w:val="none" w:sz="0" w:space="0" w:color="auto"/>
        <w:bottom w:val="none" w:sz="0" w:space="0" w:color="auto"/>
        <w:right w:val="none" w:sz="0" w:space="0" w:color="auto"/>
      </w:divBdr>
    </w:div>
    <w:div w:id="917206807">
      <w:bodyDiv w:val="1"/>
      <w:marLeft w:val="0"/>
      <w:marRight w:val="0"/>
      <w:marTop w:val="0"/>
      <w:marBottom w:val="0"/>
      <w:divBdr>
        <w:top w:val="none" w:sz="0" w:space="0" w:color="auto"/>
        <w:left w:val="none" w:sz="0" w:space="0" w:color="auto"/>
        <w:bottom w:val="none" w:sz="0" w:space="0" w:color="auto"/>
        <w:right w:val="none" w:sz="0" w:space="0" w:color="auto"/>
      </w:divBdr>
    </w:div>
    <w:div w:id="93031102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69381">
      <w:bodyDiv w:val="1"/>
      <w:marLeft w:val="0"/>
      <w:marRight w:val="0"/>
      <w:marTop w:val="0"/>
      <w:marBottom w:val="0"/>
      <w:divBdr>
        <w:top w:val="none" w:sz="0" w:space="0" w:color="auto"/>
        <w:left w:val="none" w:sz="0" w:space="0" w:color="auto"/>
        <w:bottom w:val="none" w:sz="0" w:space="0" w:color="auto"/>
        <w:right w:val="none" w:sz="0" w:space="0" w:color="auto"/>
      </w:divBdr>
    </w:div>
    <w:div w:id="933592099">
      <w:bodyDiv w:val="1"/>
      <w:marLeft w:val="0"/>
      <w:marRight w:val="0"/>
      <w:marTop w:val="0"/>
      <w:marBottom w:val="0"/>
      <w:divBdr>
        <w:top w:val="none" w:sz="0" w:space="0" w:color="auto"/>
        <w:left w:val="none" w:sz="0" w:space="0" w:color="auto"/>
        <w:bottom w:val="none" w:sz="0" w:space="0" w:color="auto"/>
        <w:right w:val="none" w:sz="0" w:space="0" w:color="auto"/>
      </w:divBdr>
    </w:div>
    <w:div w:id="934021483">
      <w:bodyDiv w:val="1"/>
      <w:marLeft w:val="0"/>
      <w:marRight w:val="0"/>
      <w:marTop w:val="0"/>
      <w:marBottom w:val="0"/>
      <w:divBdr>
        <w:top w:val="none" w:sz="0" w:space="0" w:color="auto"/>
        <w:left w:val="none" w:sz="0" w:space="0" w:color="auto"/>
        <w:bottom w:val="none" w:sz="0" w:space="0" w:color="auto"/>
        <w:right w:val="none" w:sz="0" w:space="0" w:color="auto"/>
      </w:divBdr>
    </w:div>
    <w:div w:id="956523730">
      <w:bodyDiv w:val="1"/>
      <w:marLeft w:val="0"/>
      <w:marRight w:val="0"/>
      <w:marTop w:val="0"/>
      <w:marBottom w:val="0"/>
      <w:divBdr>
        <w:top w:val="none" w:sz="0" w:space="0" w:color="auto"/>
        <w:left w:val="none" w:sz="0" w:space="0" w:color="auto"/>
        <w:bottom w:val="none" w:sz="0" w:space="0" w:color="auto"/>
        <w:right w:val="none" w:sz="0" w:space="0" w:color="auto"/>
      </w:divBdr>
    </w:div>
    <w:div w:id="963779365">
      <w:bodyDiv w:val="1"/>
      <w:marLeft w:val="0"/>
      <w:marRight w:val="0"/>
      <w:marTop w:val="0"/>
      <w:marBottom w:val="0"/>
      <w:divBdr>
        <w:top w:val="none" w:sz="0" w:space="0" w:color="auto"/>
        <w:left w:val="none" w:sz="0" w:space="0" w:color="auto"/>
        <w:bottom w:val="none" w:sz="0" w:space="0" w:color="auto"/>
        <w:right w:val="none" w:sz="0" w:space="0" w:color="auto"/>
      </w:divBdr>
    </w:div>
    <w:div w:id="969481495">
      <w:bodyDiv w:val="1"/>
      <w:marLeft w:val="0"/>
      <w:marRight w:val="0"/>
      <w:marTop w:val="0"/>
      <w:marBottom w:val="0"/>
      <w:divBdr>
        <w:top w:val="none" w:sz="0" w:space="0" w:color="auto"/>
        <w:left w:val="none" w:sz="0" w:space="0" w:color="auto"/>
        <w:bottom w:val="none" w:sz="0" w:space="0" w:color="auto"/>
        <w:right w:val="none" w:sz="0" w:space="0" w:color="auto"/>
      </w:divBdr>
    </w:div>
    <w:div w:id="1068845802">
      <w:bodyDiv w:val="1"/>
      <w:marLeft w:val="0"/>
      <w:marRight w:val="0"/>
      <w:marTop w:val="0"/>
      <w:marBottom w:val="0"/>
      <w:divBdr>
        <w:top w:val="none" w:sz="0" w:space="0" w:color="auto"/>
        <w:left w:val="none" w:sz="0" w:space="0" w:color="auto"/>
        <w:bottom w:val="none" w:sz="0" w:space="0" w:color="auto"/>
        <w:right w:val="none" w:sz="0" w:space="0" w:color="auto"/>
      </w:divBdr>
    </w:div>
    <w:div w:id="1070928209">
      <w:bodyDiv w:val="1"/>
      <w:marLeft w:val="0"/>
      <w:marRight w:val="0"/>
      <w:marTop w:val="0"/>
      <w:marBottom w:val="0"/>
      <w:divBdr>
        <w:top w:val="none" w:sz="0" w:space="0" w:color="auto"/>
        <w:left w:val="none" w:sz="0" w:space="0" w:color="auto"/>
        <w:bottom w:val="none" w:sz="0" w:space="0" w:color="auto"/>
        <w:right w:val="none" w:sz="0" w:space="0" w:color="auto"/>
      </w:divBdr>
    </w:div>
    <w:div w:id="1084954429">
      <w:bodyDiv w:val="1"/>
      <w:marLeft w:val="0"/>
      <w:marRight w:val="0"/>
      <w:marTop w:val="0"/>
      <w:marBottom w:val="0"/>
      <w:divBdr>
        <w:top w:val="none" w:sz="0" w:space="0" w:color="auto"/>
        <w:left w:val="none" w:sz="0" w:space="0" w:color="auto"/>
        <w:bottom w:val="none" w:sz="0" w:space="0" w:color="auto"/>
        <w:right w:val="none" w:sz="0" w:space="0" w:color="auto"/>
      </w:divBdr>
    </w:div>
    <w:div w:id="1104303519">
      <w:bodyDiv w:val="1"/>
      <w:marLeft w:val="0"/>
      <w:marRight w:val="0"/>
      <w:marTop w:val="0"/>
      <w:marBottom w:val="0"/>
      <w:divBdr>
        <w:top w:val="none" w:sz="0" w:space="0" w:color="auto"/>
        <w:left w:val="none" w:sz="0" w:space="0" w:color="auto"/>
        <w:bottom w:val="none" w:sz="0" w:space="0" w:color="auto"/>
        <w:right w:val="none" w:sz="0" w:space="0" w:color="auto"/>
      </w:divBdr>
    </w:div>
    <w:div w:id="1120103874">
      <w:bodyDiv w:val="1"/>
      <w:marLeft w:val="0"/>
      <w:marRight w:val="0"/>
      <w:marTop w:val="0"/>
      <w:marBottom w:val="0"/>
      <w:divBdr>
        <w:top w:val="none" w:sz="0" w:space="0" w:color="auto"/>
        <w:left w:val="none" w:sz="0" w:space="0" w:color="auto"/>
        <w:bottom w:val="none" w:sz="0" w:space="0" w:color="auto"/>
        <w:right w:val="none" w:sz="0" w:space="0" w:color="auto"/>
      </w:divBdr>
    </w:div>
    <w:div w:id="1136723473">
      <w:bodyDiv w:val="1"/>
      <w:marLeft w:val="0"/>
      <w:marRight w:val="0"/>
      <w:marTop w:val="0"/>
      <w:marBottom w:val="0"/>
      <w:divBdr>
        <w:top w:val="none" w:sz="0" w:space="0" w:color="auto"/>
        <w:left w:val="none" w:sz="0" w:space="0" w:color="auto"/>
        <w:bottom w:val="none" w:sz="0" w:space="0" w:color="auto"/>
        <w:right w:val="none" w:sz="0" w:space="0" w:color="auto"/>
      </w:divBdr>
    </w:div>
    <w:div w:id="1138458077">
      <w:bodyDiv w:val="1"/>
      <w:marLeft w:val="0"/>
      <w:marRight w:val="0"/>
      <w:marTop w:val="0"/>
      <w:marBottom w:val="0"/>
      <w:divBdr>
        <w:top w:val="none" w:sz="0" w:space="0" w:color="auto"/>
        <w:left w:val="none" w:sz="0" w:space="0" w:color="auto"/>
        <w:bottom w:val="none" w:sz="0" w:space="0" w:color="auto"/>
        <w:right w:val="none" w:sz="0" w:space="0" w:color="auto"/>
      </w:divBdr>
    </w:div>
    <w:div w:id="1141386005">
      <w:bodyDiv w:val="1"/>
      <w:marLeft w:val="0"/>
      <w:marRight w:val="0"/>
      <w:marTop w:val="0"/>
      <w:marBottom w:val="0"/>
      <w:divBdr>
        <w:top w:val="none" w:sz="0" w:space="0" w:color="auto"/>
        <w:left w:val="none" w:sz="0" w:space="0" w:color="auto"/>
        <w:bottom w:val="none" w:sz="0" w:space="0" w:color="auto"/>
        <w:right w:val="none" w:sz="0" w:space="0" w:color="auto"/>
      </w:divBdr>
    </w:div>
    <w:div w:id="1149205039">
      <w:bodyDiv w:val="1"/>
      <w:marLeft w:val="0"/>
      <w:marRight w:val="0"/>
      <w:marTop w:val="0"/>
      <w:marBottom w:val="0"/>
      <w:divBdr>
        <w:top w:val="none" w:sz="0" w:space="0" w:color="auto"/>
        <w:left w:val="none" w:sz="0" w:space="0" w:color="auto"/>
        <w:bottom w:val="none" w:sz="0" w:space="0" w:color="auto"/>
        <w:right w:val="none" w:sz="0" w:space="0" w:color="auto"/>
      </w:divBdr>
    </w:div>
    <w:div w:id="1163737230">
      <w:bodyDiv w:val="1"/>
      <w:marLeft w:val="0"/>
      <w:marRight w:val="0"/>
      <w:marTop w:val="0"/>
      <w:marBottom w:val="0"/>
      <w:divBdr>
        <w:top w:val="none" w:sz="0" w:space="0" w:color="auto"/>
        <w:left w:val="none" w:sz="0" w:space="0" w:color="auto"/>
        <w:bottom w:val="none" w:sz="0" w:space="0" w:color="auto"/>
        <w:right w:val="none" w:sz="0" w:space="0" w:color="auto"/>
      </w:divBdr>
    </w:div>
    <w:div w:id="1190949589">
      <w:bodyDiv w:val="1"/>
      <w:marLeft w:val="0"/>
      <w:marRight w:val="0"/>
      <w:marTop w:val="0"/>
      <w:marBottom w:val="0"/>
      <w:divBdr>
        <w:top w:val="none" w:sz="0" w:space="0" w:color="auto"/>
        <w:left w:val="none" w:sz="0" w:space="0" w:color="auto"/>
        <w:bottom w:val="none" w:sz="0" w:space="0" w:color="auto"/>
        <w:right w:val="none" w:sz="0" w:space="0" w:color="auto"/>
      </w:divBdr>
    </w:div>
    <w:div w:id="1195388567">
      <w:bodyDiv w:val="1"/>
      <w:marLeft w:val="0"/>
      <w:marRight w:val="0"/>
      <w:marTop w:val="0"/>
      <w:marBottom w:val="0"/>
      <w:divBdr>
        <w:top w:val="none" w:sz="0" w:space="0" w:color="auto"/>
        <w:left w:val="none" w:sz="0" w:space="0" w:color="auto"/>
        <w:bottom w:val="none" w:sz="0" w:space="0" w:color="auto"/>
        <w:right w:val="none" w:sz="0" w:space="0" w:color="auto"/>
      </w:divBdr>
    </w:div>
    <w:div w:id="1206481917">
      <w:bodyDiv w:val="1"/>
      <w:marLeft w:val="0"/>
      <w:marRight w:val="0"/>
      <w:marTop w:val="0"/>
      <w:marBottom w:val="0"/>
      <w:divBdr>
        <w:top w:val="none" w:sz="0" w:space="0" w:color="auto"/>
        <w:left w:val="none" w:sz="0" w:space="0" w:color="auto"/>
        <w:bottom w:val="none" w:sz="0" w:space="0" w:color="auto"/>
        <w:right w:val="none" w:sz="0" w:space="0" w:color="auto"/>
      </w:divBdr>
    </w:div>
    <w:div w:id="1213543467">
      <w:bodyDiv w:val="1"/>
      <w:marLeft w:val="0"/>
      <w:marRight w:val="0"/>
      <w:marTop w:val="0"/>
      <w:marBottom w:val="0"/>
      <w:divBdr>
        <w:top w:val="none" w:sz="0" w:space="0" w:color="auto"/>
        <w:left w:val="none" w:sz="0" w:space="0" w:color="auto"/>
        <w:bottom w:val="none" w:sz="0" w:space="0" w:color="auto"/>
        <w:right w:val="none" w:sz="0" w:space="0" w:color="auto"/>
      </w:divBdr>
    </w:div>
    <w:div w:id="1217820366">
      <w:bodyDiv w:val="1"/>
      <w:marLeft w:val="0"/>
      <w:marRight w:val="0"/>
      <w:marTop w:val="0"/>
      <w:marBottom w:val="0"/>
      <w:divBdr>
        <w:top w:val="none" w:sz="0" w:space="0" w:color="auto"/>
        <w:left w:val="none" w:sz="0" w:space="0" w:color="auto"/>
        <w:bottom w:val="none" w:sz="0" w:space="0" w:color="auto"/>
        <w:right w:val="none" w:sz="0" w:space="0" w:color="auto"/>
      </w:divBdr>
    </w:div>
    <w:div w:id="1230848674">
      <w:bodyDiv w:val="1"/>
      <w:marLeft w:val="0"/>
      <w:marRight w:val="0"/>
      <w:marTop w:val="0"/>
      <w:marBottom w:val="0"/>
      <w:divBdr>
        <w:top w:val="none" w:sz="0" w:space="0" w:color="auto"/>
        <w:left w:val="none" w:sz="0" w:space="0" w:color="auto"/>
        <w:bottom w:val="none" w:sz="0" w:space="0" w:color="auto"/>
        <w:right w:val="none" w:sz="0" w:space="0" w:color="auto"/>
      </w:divBdr>
    </w:div>
    <w:div w:id="1234657892">
      <w:bodyDiv w:val="1"/>
      <w:marLeft w:val="0"/>
      <w:marRight w:val="0"/>
      <w:marTop w:val="0"/>
      <w:marBottom w:val="0"/>
      <w:divBdr>
        <w:top w:val="none" w:sz="0" w:space="0" w:color="auto"/>
        <w:left w:val="none" w:sz="0" w:space="0" w:color="auto"/>
        <w:bottom w:val="none" w:sz="0" w:space="0" w:color="auto"/>
        <w:right w:val="none" w:sz="0" w:space="0" w:color="auto"/>
      </w:divBdr>
    </w:div>
    <w:div w:id="1240483911">
      <w:bodyDiv w:val="1"/>
      <w:marLeft w:val="0"/>
      <w:marRight w:val="0"/>
      <w:marTop w:val="0"/>
      <w:marBottom w:val="0"/>
      <w:divBdr>
        <w:top w:val="none" w:sz="0" w:space="0" w:color="auto"/>
        <w:left w:val="none" w:sz="0" w:space="0" w:color="auto"/>
        <w:bottom w:val="none" w:sz="0" w:space="0" w:color="auto"/>
        <w:right w:val="none" w:sz="0" w:space="0" w:color="auto"/>
      </w:divBdr>
    </w:div>
    <w:div w:id="1283267322">
      <w:bodyDiv w:val="1"/>
      <w:marLeft w:val="0"/>
      <w:marRight w:val="0"/>
      <w:marTop w:val="0"/>
      <w:marBottom w:val="0"/>
      <w:divBdr>
        <w:top w:val="none" w:sz="0" w:space="0" w:color="auto"/>
        <w:left w:val="none" w:sz="0" w:space="0" w:color="auto"/>
        <w:bottom w:val="none" w:sz="0" w:space="0" w:color="auto"/>
        <w:right w:val="none" w:sz="0" w:space="0" w:color="auto"/>
      </w:divBdr>
    </w:div>
    <w:div w:id="1284384989">
      <w:bodyDiv w:val="1"/>
      <w:marLeft w:val="0"/>
      <w:marRight w:val="0"/>
      <w:marTop w:val="0"/>
      <w:marBottom w:val="0"/>
      <w:divBdr>
        <w:top w:val="none" w:sz="0" w:space="0" w:color="auto"/>
        <w:left w:val="none" w:sz="0" w:space="0" w:color="auto"/>
        <w:bottom w:val="none" w:sz="0" w:space="0" w:color="auto"/>
        <w:right w:val="none" w:sz="0" w:space="0" w:color="auto"/>
      </w:divBdr>
    </w:div>
    <w:div w:id="1301111621">
      <w:bodyDiv w:val="1"/>
      <w:marLeft w:val="0"/>
      <w:marRight w:val="0"/>
      <w:marTop w:val="0"/>
      <w:marBottom w:val="0"/>
      <w:divBdr>
        <w:top w:val="none" w:sz="0" w:space="0" w:color="auto"/>
        <w:left w:val="none" w:sz="0" w:space="0" w:color="auto"/>
        <w:bottom w:val="none" w:sz="0" w:space="0" w:color="auto"/>
        <w:right w:val="none" w:sz="0" w:space="0" w:color="auto"/>
      </w:divBdr>
    </w:div>
    <w:div w:id="1319571767">
      <w:bodyDiv w:val="1"/>
      <w:marLeft w:val="0"/>
      <w:marRight w:val="0"/>
      <w:marTop w:val="0"/>
      <w:marBottom w:val="0"/>
      <w:divBdr>
        <w:top w:val="none" w:sz="0" w:space="0" w:color="auto"/>
        <w:left w:val="none" w:sz="0" w:space="0" w:color="auto"/>
        <w:bottom w:val="none" w:sz="0" w:space="0" w:color="auto"/>
        <w:right w:val="none" w:sz="0" w:space="0" w:color="auto"/>
      </w:divBdr>
    </w:div>
    <w:div w:id="1323703014">
      <w:bodyDiv w:val="1"/>
      <w:marLeft w:val="0"/>
      <w:marRight w:val="0"/>
      <w:marTop w:val="0"/>
      <w:marBottom w:val="0"/>
      <w:divBdr>
        <w:top w:val="none" w:sz="0" w:space="0" w:color="auto"/>
        <w:left w:val="none" w:sz="0" w:space="0" w:color="auto"/>
        <w:bottom w:val="none" w:sz="0" w:space="0" w:color="auto"/>
        <w:right w:val="none" w:sz="0" w:space="0" w:color="auto"/>
      </w:divBdr>
    </w:div>
    <w:div w:id="1361862172">
      <w:bodyDiv w:val="1"/>
      <w:marLeft w:val="0"/>
      <w:marRight w:val="0"/>
      <w:marTop w:val="0"/>
      <w:marBottom w:val="0"/>
      <w:divBdr>
        <w:top w:val="none" w:sz="0" w:space="0" w:color="auto"/>
        <w:left w:val="none" w:sz="0" w:space="0" w:color="auto"/>
        <w:bottom w:val="none" w:sz="0" w:space="0" w:color="auto"/>
        <w:right w:val="none" w:sz="0" w:space="0" w:color="auto"/>
      </w:divBdr>
    </w:div>
    <w:div w:id="1367289986">
      <w:bodyDiv w:val="1"/>
      <w:marLeft w:val="0"/>
      <w:marRight w:val="0"/>
      <w:marTop w:val="0"/>
      <w:marBottom w:val="0"/>
      <w:divBdr>
        <w:top w:val="none" w:sz="0" w:space="0" w:color="auto"/>
        <w:left w:val="none" w:sz="0" w:space="0" w:color="auto"/>
        <w:bottom w:val="none" w:sz="0" w:space="0" w:color="auto"/>
        <w:right w:val="none" w:sz="0" w:space="0" w:color="auto"/>
      </w:divBdr>
    </w:div>
    <w:div w:id="1398092321">
      <w:bodyDiv w:val="1"/>
      <w:marLeft w:val="0"/>
      <w:marRight w:val="0"/>
      <w:marTop w:val="0"/>
      <w:marBottom w:val="0"/>
      <w:divBdr>
        <w:top w:val="none" w:sz="0" w:space="0" w:color="auto"/>
        <w:left w:val="none" w:sz="0" w:space="0" w:color="auto"/>
        <w:bottom w:val="none" w:sz="0" w:space="0" w:color="auto"/>
        <w:right w:val="none" w:sz="0" w:space="0" w:color="auto"/>
      </w:divBdr>
    </w:div>
    <w:div w:id="1414934913">
      <w:bodyDiv w:val="1"/>
      <w:marLeft w:val="0"/>
      <w:marRight w:val="0"/>
      <w:marTop w:val="0"/>
      <w:marBottom w:val="0"/>
      <w:divBdr>
        <w:top w:val="none" w:sz="0" w:space="0" w:color="auto"/>
        <w:left w:val="none" w:sz="0" w:space="0" w:color="auto"/>
        <w:bottom w:val="none" w:sz="0" w:space="0" w:color="auto"/>
        <w:right w:val="none" w:sz="0" w:space="0" w:color="auto"/>
      </w:divBdr>
    </w:div>
    <w:div w:id="142109811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625120">
      <w:bodyDiv w:val="1"/>
      <w:marLeft w:val="0"/>
      <w:marRight w:val="0"/>
      <w:marTop w:val="0"/>
      <w:marBottom w:val="0"/>
      <w:divBdr>
        <w:top w:val="none" w:sz="0" w:space="0" w:color="auto"/>
        <w:left w:val="none" w:sz="0" w:space="0" w:color="auto"/>
        <w:bottom w:val="none" w:sz="0" w:space="0" w:color="auto"/>
        <w:right w:val="none" w:sz="0" w:space="0" w:color="auto"/>
      </w:divBdr>
    </w:div>
    <w:div w:id="1462260795">
      <w:bodyDiv w:val="1"/>
      <w:marLeft w:val="0"/>
      <w:marRight w:val="0"/>
      <w:marTop w:val="0"/>
      <w:marBottom w:val="0"/>
      <w:divBdr>
        <w:top w:val="none" w:sz="0" w:space="0" w:color="auto"/>
        <w:left w:val="none" w:sz="0" w:space="0" w:color="auto"/>
        <w:bottom w:val="none" w:sz="0" w:space="0" w:color="auto"/>
        <w:right w:val="none" w:sz="0" w:space="0" w:color="auto"/>
      </w:divBdr>
    </w:div>
    <w:div w:id="1462458062">
      <w:bodyDiv w:val="1"/>
      <w:marLeft w:val="0"/>
      <w:marRight w:val="0"/>
      <w:marTop w:val="0"/>
      <w:marBottom w:val="0"/>
      <w:divBdr>
        <w:top w:val="none" w:sz="0" w:space="0" w:color="auto"/>
        <w:left w:val="none" w:sz="0" w:space="0" w:color="auto"/>
        <w:bottom w:val="none" w:sz="0" w:space="0" w:color="auto"/>
        <w:right w:val="none" w:sz="0" w:space="0" w:color="auto"/>
      </w:divBdr>
    </w:div>
    <w:div w:id="147524704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1797524">
      <w:bodyDiv w:val="1"/>
      <w:marLeft w:val="0"/>
      <w:marRight w:val="0"/>
      <w:marTop w:val="0"/>
      <w:marBottom w:val="0"/>
      <w:divBdr>
        <w:top w:val="none" w:sz="0" w:space="0" w:color="auto"/>
        <w:left w:val="none" w:sz="0" w:space="0" w:color="auto"/>
        <w:bottom w:val="none" w:sz="0" w:space="0" w:color="auto"/>
        <w:right w:val="none" w:sz="0" w:space="0" w:color="auto"/>
      </w:divBdr>
    </w:div>
    <w:div w:id="1494562808">
      <w:bodyDiv w:val="1"/>
      <w:marLeft w:val="0"/>
      <w:marRight w:val="0"/>
      <w:marTop w:val="0"/>
      <w:marBottom w:val="0"/>
      <w:divBdr>
        <w:top w:val="none" w:sz="0" w:space="0" w:color="auto"/>
        <w:left w:val="none" w:sz="0" w:space="0" w:color="auto"/>
        <w:bottom w:val="none" w:sz="0" w:space="0" w:color="auto"/>
        <w:right w:val="none" w:sz="0" w:space="0" w:color="auto"/>
      </w:divBdr>
    </w:div>
    <w:div w:id="1515075286">
      <w:bodyDiv w:val="1"/>
      <w:marLeft w:val="0"/>
      <w:marRight w:val="0"/>
      <w:marTop w:val="0"/>
      <w:marBottom w:val="0"/>
      <w:divBdr>
        <w:top w:val="none" w:sz="0" w:space="0" w:color="auto"/>
        <w:left w:val="none" w:sz="0" w:space="0" w:color="auto"/>
        <w:bottom w:val="none" w:sz="0" w:space="0" w:color="auto"/>
        <w:right w:val="none" w:sz="0" w:space="0" w:color="auto"/>
      </w:divBdr>
    </w:div>
    <w:div w:id="1519270423">
      <w:bodyDiv w:val="1"/>
      <w:marLeft w:val="0"/>
      <w:marRight w:val="0"/>
      <w:marTop w:val="0"/>
      <w:marBottom w:val="0"/>
      <w:divBdr>
        <w:top w:val="none" w:sz="0" w:space="0" w:color="auto"/>
        <w:left w:val="none" w:sz="0" w:space="0" w:color="auto"/>
        <w:bottom w:val="none" w:sz="0" w:space="0" w:color="auto"/>
        <w:right w:val="none" w:sz="0" w:space="0" w:color="auto"/>
      </w:divBdr>
    </w:div>
    <w:div w:id="1526937729">
      <w:bodyDiv w:val="1"/>
      <w:marLeft w:val="0"/>
      <w:marRight w:val="0"/>
      <w:marTop w:val="0"/>
      <w:marBottom w:val="0"/>
      <w:divBdr>
        <w:top w:val="none" w:sz="0" w:space="0" w:color="auto"/>
        <w:left w:val="none" w:sz="0" w:space="0" w:color="auto"/>
        <w:bottom w:val="none" w:sz="0" w:space="0" w:color="auto"/>
        <w:right w:val="none" w:sz="0" w:space="0" w:color="auto"/>
      </w:divBdr>
    </w:div>
    <w:div w:id="1535003835">
      <w:bodyDiv w:val="1"/>
      <w:marLeft w:val="0"/>
      <w:marRight w:val="0"/>
      <w:marTop w:val="0"/>
      <w:marBottom w:val="0"/>
      <w:divBdr>
        <w:top w:val="none" w:sz="0" w:space="0" w:color="auto"/>
        <w:left w:val="none" w:sz="0" w:space="0" w:color="auto"/>
        <w:bottom w:val="none" w:sz="0" w:space="0" w:color="auto"/>
        <w:right w:val="none" w:sz="0" w:space="0" w:color="auto"/>
      </w:divBdr>
    </w:div>
    <w:div w:id="1561017842">
      <w:bodyDiv w:val="1"/>
      <w:marLeft w:val="0"/>
      <w:marRight w:val="0"/>
      <w:marTop w:val="0"/>
      <w:marBottom w:val="0"/>
      <w:divBdr>
        <w:top w:val="none" w:sz="0" w:space="0" w:color="auto"/>
        <w:left w:val="none" w:sz="0" w:space="0" w:color="auto"/>
        <w:bottom w:val="none" w:sz="0" w:space="0" w:color="auto"/>
        <w:right w:val="none" w:sz="0" w:space="0" w:color="auto"/>
      </w:divBdr>
    </w:div>
    <w:div w:id="1562516909">
      <w:bodyDiv w:val="1"/>
      <w:marLeft w:val="0"/>
      <w:marRight w:val="0"/>
      <w:marTop w:val="0"/>
      <w:marBottom w:val="0"/>
      <w:divBdr>
        <w:top w:val="none" w:sz="0" w:space="0" w:color="auto"/>
        <w:left w:val="none" w:sz="0" w:space="0" w:color="auto"/>
        <w:bottom w:val="none" w:sz="0" w:space="0" w:color="auto"/>
        <w:right w:val="none" w:sz="0" w:space="0" w:color="auto"/>
      </w:divBdr>
    </w:div>
    <w:div w:id="1562521005">
      <w:bodyDiv w:val="1"/>
      <w:marLeft w:val="0"/>
      <w:marRight w:val="0"/>
      <w:marTop w:val="0"/>
      <w:marBottom w:val="0"/>
      <w:divBdr>
        <w:top w:val="none" w:sz="0" w:space="0" w:color="auto"/>
        <w:left w:val="none" w:sz="0" w:space="0" w:color="auto"/>
        <w:bottom w:val="none" w:sz="0" w:space="0" w:color="auto"/>
        <w:right w:val="none" w:sz="0" w:space="0" w:color="auto"/>
      </w:divBdr>
    </w:div>
    <w:div w:id="1563444635">
      <w:bodyDiv w:val="1"/>
      <w:marLeft w:val="0"/>
      <w:marRight w:val="0"/>
      <w:marTop w:val="0"/>
      <w:marBottom w:val="0"/>
      <w:divBdr>
        <w:top w:val="none" w:sz="0" w:space="0" w:color="auto"/>
        <w:left w:val="none" w:sz="0" w:space="0" w:color="auto"/>
        <w:bottom w:val="none" w:sz="0" w:space="0" w:color="auto"/>
        <w:right w:val="none" w:sz="0" w:space="0" w:color="auto"/>
      </w:divBdr>
    </w:div>
    <w:div w:id="1575551964">
      <w:bodyDiv w:val="1"/>
      <w:marLeft w:val="0"/>
      <w:marRight w:val="0"/>
      <w:marTop w:val="0"/>
      <w:marBottom w:val="0"/>
      <w:divBdr>
        <w:top w:val="none" w:sz="0" w:space="0" w:color="auto"/>
        <w:left w:val="none" w:sz="0" w:space="0" w:color="auto"/>
        <w:bottom w:val="none" w:sz="0" w:space="0" w:color="auto"/>
        <w:right w:val="none" w:sz="0" w:space="0" w:color="auto"/>
      </w:divBdr>
    </w:div>
    <w:div w:id="1576670677">
      <w:bodyDiv w:val="1"/>
      <w:marLeft w:val="0"/>
      <w:marRight w:val="0"/>
      <w:marTop w:val="0"/>
      <w:marBottom w:val="0"/>
      <w:divBdr>
        <w:top w:val="none" w:sz="0" w:space="0" w:color="auto"/>
        <w:left w:val="none" w:sz="0" w:space="0" w:color="auto"/>
        <w:bottom w:val="none" w:sz="0" w:space="0" w:color="auto"/>
        <w:right w:val="none" w:sz="0" w:space="0" w:color="auto"/>
      </w:divBdr>
    </w:div>
    <w:div w:id="1579092085">
      <w:bodyDiv w:val="1"/>
      <w:marLeft w:val="0"/>
      <w:marRight w:val="0"/>
      <w:marTop w:val="0"/>
      <w:marBottom w:val="0"/>
      <w:divBdr>
        <w:top w:val="none" w:sz="0" w:space="0" w:color="auto"/>
        <w:left w:val="none" w:sz="0" w:space="0" w:color="auto"/>
        <w:bottom w:val="none" w:sz="0" w:space="0" w:color="auto"/>
        <w:right w:val="none" w:sz="0" w:space="0" w:color="auto"/>
      </w:divBdr>
    </w:div>
    <w:div w:id="1588074589">
      <w:bodyDiv w:val="1"/>
      <w:marLeft w:val="0"/>
      <w:marRight w:val="0"/>
      <w:marTop w:val="0"/>
      <w:marBottom w:val="0"/>
      <w:divBdr>
        <w:top w:val="none" w:sz="0" w:space="0" w:color="auto"/>
        <w:left w:val="none" w:sz="0" w:space="0" w:color="auto"/>
        <w:bottom w:val="none" w:sz="0" w:space="0" w:color="auto"/>
        <w:right w:val="none" w:sz="0" w:space="0" w:color="auto"/>
      </w:divBdr>
    </w:div>
    <w:div w:id="1593469285">
      <w:bodyDiv w:val="1"/>
      <w:marLeft w:val="0"/>
      <w:marRight w:val="0"/>
      <w:marTop w:val="0"/>
      <w:marBottom w:val="0"/>
      <w:divBdr>
        <w:top w:val="none" w:sz="0" w:space="0" w:color="auto"/>
        <w:left w:val="none" w:sz="0" w:space="0" w:color="auto"/>
        <w:bottom w:val="none" w:sz="0" w:space="0" w:color="auto"/>
        <w:right w:val="none" w:sz="0" w:space="0" w:color="auto"/>
      </w:divBdr>
    </w:div>
    <w:div w:id="1604872787">
      <w:bodyDiv w:val="1"/>
      <w:marLeft w:val="0"/>
      <w:marRight w:val="0"/>
      <w:marTop w:val="0"/>
      <w:marBottom w:val="0"/>
      <w:divBdr>
        <w:top w:val="none" w:sz="0" w:space="0" w:color="auto"/>
        <w:left w:val="none" w:sz="0" w:space="0" w:color="auto"/>
        <w:bottom w:val="none" w:sz="0" w:space="0" w:color="auto"/>
        <w:right w:val="none" w:sz="0" w:space="0" w:color="auto"/>
      </w:divBdr>
    </w:div>
    <w:div w:id="1608539765">
      <w:bodyDiv w:val="1"/>
      <w:marLeft w:val="0"/>
      <w:marRight w:val="0"/>
      <w:marTop w:val="0"/>
      <w:marBottom w:val="0"/>
      <w:divBdr>
        <w:top w:val="none" w:sz="0" w:space="0" w:color="auto"/>
        <w:left w:val="none" w:sz="0" w:space="0" w:color="auto"/>
        <w:bottom w:val="none" w:sz="0" w:space="0" w:color="auto"/>
        <w:right w:val="none" w:sz="0" w:space="0" w:color="auto"/>
      </w:divBdr>
    </w:div>
    <w:div w:id="1609657101">
      <w:bodyDiv w:val="1"/>
      <w:marLeft w:val="0"/>
      <w:marRight w:val="0"/>
      <w:marTop w:val="0"/>
      <w:marBottom w:val="0"/>
      <w:divBdr>
        <w:top w:val="none" w:sz="0" w:space="0" w:color="auto"/>
        <w:left w:val="none" w:sz="0" w:space="0" w:color="auto"/>
        <w:bottom w:val="none" w:sz="0" w:space="0" w:color="auto"/>
        <w:right w:val="none" w:sz="0" w:space="0" w:color="auto"/>
      </w:divBdr>
    </w:div>
    <w:div w:id="1617826874">
      <w:bodyDiv w:val="1"/>
      <w:marLeft w:val="0"/>
      <w:marRight w:val="0"/>
      <w:marTop w:val="0"/>
      <w:marBottom w:val="0"/>
      <w:divBdr>
        <w:top w:val="none" w:sz="0" w:space="0" w:color="auto"/>
        <w:left w:val="none" w:sz="0" w:space="0" w:color="auto"/>
        <w:bottom w:val="none" w:sz="0" w:space="0" w:color="auto"/>
        <w:right w:val="none" w:sz="0" w:space="0" w:color="auto"/>
      </w:divBdr>
    </w:div>
    <w:div w:id="1630554940">
      <w:bodyDiv w:val="1"/>
      <w:marLeft w:val="0"/>
      <w:marRight w:val="0"/>
      <w:marTop w:val="0"/>
      <w:marBottom w:val="0"/>
      <w:divBdr>
        <w:top w:val="none" w:sz="0" w:space="0" w:color="auto"/>
        <w:left w:val="none" w:sz="0" w:space="0" w:color="auto"/>
        <w:bottom w:val="none" w:sz="0" w:space="0" w:color="auto"/>
        <w:right w:val="none" w:sz="0" w:space="0" w:color="auto"/>
      </w:divBdr>
    </w:div>
    <w:div w:id="1635255001">
      <w:bodyDiv w:val="1"/>
      <w:marLeft w:val="0"/>
      <w:marRight w:val="0"/>
      <w:marTop w:val="0"/>
      <w:marBottom w:val="0"/>
      <w:divBdr>
        <w:top w:val="none" w:sz="0" w:space="0" w:color="auto"/>
        <w:left w:val="none" w:sz="0" w:space="0" w:color="auto"/>
        <w:bottom w:val="none" w:sz="0" w:space="0" w:color="auto"/>
        <w:right w:val="none" w:sz="0" w:space="0" w:color="auto"/>
      </w:divBdr>
    </w:div>
    <w:div w:id="1648049478">
      <w:bodyDiv w:val="1"/>
      <w:marLeft w:val="0"/>
      <w:marRight w:val="0"/>
      <w:marTop w:val="0"/>
      <w:marBottom w:val="0"/>
      <w:divBdr>
        <w:top w:val="none" w:sz="0" w:space="0" w:color="auto"/>
        <w:left w:val="none" w:sz="0" w:space="0" w:color="auto"/>
        <w:bottom w:val="none" w:sz="0" w:space="0" w:color="auto"/>
        <w:right w:val="none" w:sz="0" w:space="0" w:color="auto"/>
      </w:divBdr>
    </w:div>
    <w:div w:id="1649095121">
      <w:bodyDiv w:val="1"/>
      <w:marLeft w:val="0"/>
      <w:marRight w:val="0"/>
      <w:marTop w:val="0"/>
      <w:marBottom w:val="0"/>
      <w:divBdr>
        <w:top w:val="none" w:sz="0" w:space="0" w:color="auto"/>
        <w:left w:val="none" w:sz="0" w:space="0" w:color="auto"/>
        <w:bottom w:val="none" w:sz="0" w:space="0" w:color="auto"/>
        <w:right w:val="none" w:sz="0" w:space="0" w:color="auto"/>
      </w:divBdr>
    </w:div>
    <w:div w:id="1664164898">
      <w:bodyDiv w:val="1"/>
      <w:marLeft w:val="0"/>
      <w:marRight w:val="0"/>
      <w:marTop w:val="0"/>
      <w:marBottom w:val="0"/>
      <w:divBdr>
        <w:top w:val="none" w:sz="0" w:space="0" w:color="auto"/>
        <w:left w:val="none" w:sz="0" w:space="0" w:color="auto"/>
        <w:bottom w:val="none" w:sz="0" w:space="0" w:color="auto"/>
        <w:right w:val="none" w:sz="0" w:space="0" w:color="auto"/>
      </w:divBdr>
    </w:div>
    <w:div w:id="1668706581">
      <w:bodyDiv w:val="1"/>
      <w:marLeft w:val="0"/>
      <w:marRight w:val="0"/>
      <w:marTop w:val="0"/>
      <w:marBottom w:val="0"/>
      <w:divBdr>
        <w:top w:val="none" w:sz="0" w:space="0" w:color="auto"/>
        <w:left w:val="none" w:sz="0" w:space="0" w:color="auto"/>
        <w:bottom w:val="none" w:sz="0" w:space="0" w:color="auto"/>
        <w:right w:val="none" w:sz="0" w:space="0" w:color="auto"/>
      </w:divBdr>
    </w:div>
    <w:div w:id="167610843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69926">
      <w:bodyDiv w:val="1"/>
      <w:marLeft w:val="0"/>
      <w:marRight w:val="0"/>
      <w:marTop w:val="0"/>
      <w:marBottom w:val="0"/>
      <w:divBdr>
        <w:top w:val="none" w:sz="0" w:space="0" w:color="auto"/>
        <w:left w:val="none" w:sz="0" w:space="0" w:color="auto"/>
        <w:bottom w:val="none" w:sz="0" w:space="0" w:color="auto"/>
        <w:right w:val="none" w:sz="0" w:space="0" w:color="auto"/>
      </w:divBdr>
    </w:div>
    <w:div w:id="1708724520">
      <w:bodyDiv w:val="1"/>
      <w:marLeft w:val="0"/>
      <w:marRight w:val="0"/>
      <w:marTop w:val="0"/>
      <w:marBottom w:val="0"/>
      <w:divBdr>
        <w:top w:val="none" w:sz="0" w:space="0" w:color="auto"/>
        <w:left w:val="none" w:sz="0" w:space="0" w:color="auto"/>
        <w:bottom w:val="none" w:sz="0" w:space="0" w:color="auto"/>
        <w:right w:val="none" w:sz="0" w:space="0" w:color="auto"/>
      </w:divBdr>
    </w:div>
    <w:div w:id="1709377666">
      <w:bodyDiv w:val="1"/>
      <w:marLeft w:val="0"/>
      <w:marRight w:val="0"/>
      <w:marTop w:val="0"/>
      <w:marBottom w:val="0"/>
      <w:divBdr>
        <w:top w:val="none" w:sz="0" w:space="0" w:color="auto"/>
        <w:left w:val="none" w:sz="0" w:space="0" w:color="auto"/>
        <w:bottom w:val="none" w:sz="0" w:space="0" w:color="auto"/>
        <w:right w:val="none" w:sz="0" w:space="0" w:color="auto"/>
      </w:divBdr>
    </w:div>
    <w:div w:id="1716660281">
      <w:bodyDiv w:val="1"/>
      <w:marLeft w:val="0"/>
      <w:marRight w:val="0"/>
      <w:marTop w:val="0"/>
      <w:marBottom w:val="0"/>
      <w:divBdr>
        <w:top w:val="none" w:sz="0" w:space="0" w:color="auto"/>
        <w:left w:val="none" w:sz="0" w:space="0" w:color="auto"/>
        <w:bottom w:val="none" w:sz="0" w:space="0" w:color="auto"/>
        <w:right w:val="none" w:sz="0" w:space="0" w:color="auto"/>
      </w:divBdr>
    </w:div>
    <w:div w:id="1726564856">
      <w:bodyDiv w:val="1"/>
      <w:marLeft w:val="0"/>
      <w:marRight w:val="0"/>
      <w:marTop w:val="0"/>
      <w:marBottom w:val="0"/>
      <w:divBdr>
        <w:top w:val="none" w:sz="0" w:space="0" w:color="auto"/>
        <w:left w:val="none" w:sz="0" w:space="0" w:color="auto"/>
        <w:bottom w:val="none" w:sz="0" w:space="0" w:color="auto"/>
        <w:right w:val="none" w:sz="0" w:space="0" w:color="auto"/>
      </w:divBdr>
    </w:div>
    <w:div w:id="1733232115">
      <w:bodyDiv w:val="1"/>
      <w:marLeft w:val="0"/>
      <w:marRight w:val="0"/>
      <w:marTop w:val="0"/>
      <w:marBottom w:val="0"/>
      <w:divBdr>
        <w:top w:val="none" w:sz="0" w:space="0" w:color="auto"/>
        <w:left w:val="none" w:sz="0" w:space="0" w:color="auto"/>
        <w:bottom w:val="none" w:sz="0" w:space="0" w:color="auto"/>
        <w:right w:val="none" w:sz="0" w:space="0" w:color="auto"/>
      </w:divBdr>
    </w:div>
    <w:div w:id="1746798992">
      <w:bodyDiv w:val="1"/>
      <w:marLeft w:val="0"/>
      <w:marRight w:val="0"/>
      <w:marTop w:val="0"/>
      <w:marBottom w:val="0"/>
      <w:divBdr>
        <w:top w:val="none" w:sz="0" w:space="0" w:color="auto"/>
        <w:left w:val="none" w:sz="0" w:space="0" w:color="auto"/>
        <w:bottom w:val="none" w:sz="0" w:space="0" w:color="auto"/>
        <w:right w:val="none" w:sz="0" w:space="0" w:color="auto"/>
      </w:divBdr>
    </w:div>
    <w:div w:id="1755662666">
      <w:bodyDiv w:val="1"/>
      <w:marLeft w:val="0"/>
      <w:marRight w:val="0"/>
      <w:marTop w:val="0"/>
      <w:marBottom w:val="0"/>
      <w:divBdr>
        <w:top w:val="none" w:sz="0" w:space="0" w:color="auto"/>
        <w:left w:val="none" w:sz="0" w:space="0" w:color="auto"/>
        <w:bottom w:val="none" w:sz="0" w:space="0" w:color="auto"/>
        <w:right w:val="none" w:sz="0" w:space="0" w:color="auto"/>
      </w:divBdr>
    </w:div>
    <w:div w:id="1757511157">
      <w:bodyDiv w:val="1"/>
      <w:marLeft w:val="0"/>
      <w:marRight w:val="0"/>
      <w:marTop w:val="0"/>
      <w:marBottom w:val="0"/>
      <w:divBdr>
        <w:top w:val="none" w:sz="0" w:space="0" w:color="auto"/>
        <w:left w:val="none" w:sz="0" w:space="0" w:color="auto"/>
        <w:bottom w:val="none" w:sz="0" w:space="0" w:color="auto"/>
        <w:right w:val="none" w:sz="0" w:space="0" w:color="auto"/>
      </w:divBdr>
    </w:div>
    <w:div w:id="1769420123">
      <w:bodyDiv w:val="1"/>
      <w:marLeft w:val="0"/>
      <w:marRight w:val="0"/>
      <w:marTop w:val="0"/>
      <w:marBottom w:val="0"/>
      <w:divBdr>
        <w:top w:val="none" w:sz="0" w:space="0" w:color="auto"/>
        <w:left w:val="none" w:sz="0" w:space="0" w:color="auto"/>
        <w:bottom w:val="none" w:sz="0" w:space="0" w:color="auto"/>
        <w:right w:val="none" w:sz="0" w:space="0" w:color="auto"/>
      </w:divBdr>
    </w:div>
    <w:div w:id="1771659466">
      <w:bodyDiv w:val="1"/>
      <w:marLeft w:val="0"/>
      <w:marRight w:val="0"/>
      <w:marTop w:val="0"/>
      <w:marBottom w:val="0"/>
      <w:divBdr>
        <w:top w:val="none" w:sz="0" w:space="0" w:color="auto"/>
        <w:left w:val="none" w:sz="0" w:space="0" w:color="auto"/>
        <w:bottom w:val="none" w:sz="0" w:space="0" w:color="auto"/>
        <w:right w:val="none" w:sz="0" w:space="0" w:color="auto"/>
      </w:divBdr>
    </w:div>
    <w:div w:id="1782798873">
      <w:bodyDiv w:val="1"/>
      <w:marLeft w:val="0"/>
      <w:marRight w:val="0"/>
      <w:marTop w:val="0"/>
      <w:marBottom w:val="0"/>
      <w:divBdr>
        <w:top w:val="none" w:sz="0" w:space="0" w:color="auto"/>
        <w:left w:val="none" w:sz="0" w:space="0" w:color="auto"/>
        <w:bottom w:val="none" w:sz="0" w:space="0" w:color="auto"/>
        <w:right w:val="none" w:sz="0" w:space="0" w:color="auto"/>
      </w:divBdr>
    </w:div>
    <w:div w:id="1804032719">
      <w:bodyDiv w:val="1"/>
      <w:marLeft w:val="0"/>
      <w:marRight w:val="0"/>
      <w:marTop w:val="0"/>
      <w:marBottom w:val="0"/>
      <w:divBdr>
        <w:top w:val="none" w:sz="0" w:space="0" w:color="auto"/>
        <w:left w:val="none" w:sz="0" w:space="0" w:color="auto"/>
        <w:bottom w:val="none" w:sz="0" w:space="0" w:color="auto"/>
        <w:right w:val="none" w:sz="0" w:space="0" w:color="auto"/>
      </w:divBdr>
    </w:div>
    <w:div w:id="1805582470">
      <w:bodyDiv w:val="1"/>
      <w:marLeft w:val="0"/>
      <w:marRight w:val="0"/>
      <w:marTop w:val="0"/>
      <w:marBottom w:val="0"/>
      <w:divBdr>
        <w:top w:val="none" w:sz="0" w:space="0" w:color="auto"/>
        <w:left w:val="none" w:sz="0" w:space="0" w:color="auto"/>
        <w:bottom w:val="none" w:sz="0" w:space="0" w:color="auto"/>
        <w:right w:val="none" w:sz="0" w:space="0" w:color="auto"/>
      </w:divBdr>
    </w:div>
    <w:div w:id="1805658432">
      <w:bodyDiv w:val="1"/>
      <w:marLeft w:val="0"/>
      <w:marRight w:val="0"/>
      <w:marTop w:val="0"/>
      <w:marBottom w:val="0"/>
      <w:divBdr>
        <w:top w:val="none" w:sz="0" w:space="0" w:color="auto"/>
        <w:left w:val="none" w:sz="0" w:space="0" w:color="auto"/>
        <w:bottom w:val="none" w:sz="0" w:space="0" w:color="auto"/>
        <w:right w:val="none" w:sz="0" w:space="0" w:color="auto"/>
      </w:divBdr>
    </w:div>
    <w:div w:id="1807624476">
      <w:bodyDiv w:val="1"/>
      <w:marLeft w:val="0"/>
      <w:marRight w:val="0"/>
      <w:marTop w:val="0"/>
      <w:marBottom w:val="0"/>
      <w:divBdr>
        <w:top w:val="none" w:sz="0" w:space="0" w:color="auto"/>
        <w:left w:val="none" w:sz="0" w:space="0" w:color="auto"/>
        <w:bottom w:val="none" w:sz="0" w:space="0" w:color="auto"/>
        <w:right w:val="none" w:sz="0" w:space="0" w:color="auto"/>
      </w:divBdr>
    </w:div>
    <w:div w:id="1807965415">
      <w:bodyDiv w:val="1"/>
      <w:marLeft w:val="0"/>
      <w:marRight w:val="0"/>
      <w:marTop w:val="0"/>
      <w:marBottom w:val="0"/>
      <w:divBdr>
        <w:top w:val="none" w:sz="0" w:space="0" w:color="auto"/>
        <w:left w:val="none" w:sz="0" w:space="0" w:color="auto"/>
        <w:bottom w:val="none" w:sz="0" w:space="0" w:color="auto"/>
        <w:right w:val="none" w:sz="0" w:space="0" w:color="auto"/>
      </w:divBdr>
    </w:div>
    <w:div w:id="1821265256">
      <w:bodyDiv w:val="1"/>
      <w:marLeft w:val="0"/>
      <w:marRight w:val="0"/>
      <w:marTop w:val="0"/>
      <w:marBottom w:val="0"/>
      <w:divBdr>
        <w:top w:val="none" w:sz="0" w:space="0" w:color="auto"/>
        <w:left w:val="none" w:sz="0" w:space="0" w:color="auto"/>
        <w:bottom w:val="none" w:sz="0" w:space="0" w:color="auto"/>
        <w:right w:val="none" w:sz="0" w:space="0" w:color="auto"/>
      </w:divBdr>
    </w:div>
    <w:div w:id="1839033003">
      <w:bodyDiv w:val="1"/>
      <w:marLeft w:val="0"/>
      <w:marRight w:val="0"/>
      <w:marTop w:val="0"/>
      <w:marBottom w:val="0"/>
      <w:divBdr>
        <w:top w:val="none" w:sz="0" w:space="0" w:color="auto"/>
        <w:left w:val="none" w:sz="0" w:space="0" w:color="auto"/>
        <w:bottom w:val="none" w:sz="0" w:space="0" w:color="auto"/>
        <w:right w:val="none" w:sz="0" w:space="0" w:color="auto"/>
      </w:divBdr>
    </w:div>
    <w:div w:id="1847280522">
      <w:bodyDiv w:val="1"/>
      <w:marLeft w:val="0"/>
      <w:marRight w:val="0"/>
      <w:marTop w:val="0"/>
      <w:marBottom w:val="0"/>
      <w:divBdr>
        <w:top w:val="none" w:sz="0" w:space="0" w:color="auto"/>
        <w:left w:val="none" w:sz="0" w:space="0" w:color="auto"/>
        <w:bottom w:val="none" w:sz="0" w:space="0" w:color="auto"/>
        <w:right w:val="none" w:sz="0" w:space="0" w:color="auto"/>
      </w:divBdr>
    </w:div>
    <w:div w:id="1859274067">
      <w:bodyDiv w:val="1"/>
      <w:marLeft w:val="0"/>
      <w:marRight w:val="0"/>
      <w:marTop w:val="0"/>
      <w:marBottom w:val="0"/>
      <w:divBdr>
        <w:top w:val="none" w:sz="0" w:space="0" w:color="auto"/>
        <w:left w:val="none" w:sz="0" w:space="0" w:color="auto"/>
        <w:bottom w:val="none" w:sz="0" w:space="0" w:color="auto"/>
        <w:right w:val="none" w:sz="0" w:space="0" w:color="auto"/>
      </w:divBdr>
    </w:div>
    <w:div w:id="1892887002">
      <w:bodyDiv w:val="1"/>
      <w:marLeft w:val="0"/>
      <w:marRight w:val="0"/>
      <w:marTop w:val="0"/>
      <w:marBottom w:val="0"/>
      <w:divBdr>
        <w:top w:val="none" w:sz="0" w:space="0" w:color="auto"/>
        <w:left w:val="none" w:sz="0" w:space="0" w:color="auto"/>
        <w:bottom w:val="none" w:sz="0" w:space="0" w:color="auto"/>
        <w:right w:val="none" w:sz="0" w:space="0" w:color="auto"/>
      </w:divBdr>
    </w:div>
    <w:div w:id="1926454470">
      <w:bodyDiv w:val="1"/>
      <w:marLeft w:val="0"/>
      <w:marRight w:val="0"/>
      <w:marTop w:val="0"/>
      <w:marBottom w:val="0"/>
      <w:divBdr>
        <w:top w:val="none" w:sz="0" w:space="0" w:color="auto"/>
        <w:left w:val="none" w:sz="0" w:space="0" w:color="auto"/>
        <w:bottom w:val="none" w:sz="0" w:space="0" w:color="auto"/>
        <w:right w:val="none" w:sz="0" w:space="0" w:color="auto"/>
      </w:divBdr>
    </w:div>
    <w:div w:id="1963027270">
      <w:bodyDiv w:val="1"/>
      <w:marLeft w:val="0"/>
      <w:marRight w:val="0"/>
      <w:marTop w:val="0"/>
      <w:marBottom w:val="0"/>
      <w:divBdr>
        <w:top w:val="none" w:sz="0" w:space="0" w:color="auto"/>
        <w:left w:val="none" w:sz="0" w:space="0" w:color="auto"/>
        <w:bottom w:val="none" w:sz="0" w:space="0" w:color="auto"/>
        <w:right w:val="none" w:sz="0" w:space="0" w:color="auto"/>
      </w:divBdr>
    </w:div>
    <w:div w:id="1969238021">
      <w:bodyDiv w:val="1"/>
      <w:marLeft w:val="0"/>
      <w:marRight w:val="0"/>
      <w:marTop w:val="0"/>
      <w:marBottom w:val="0"/>
      <w:divBdr>
        <w:top w:val="none" w:sz="0" w:space="0" w:color="auto"/>
        <w:left w:val="none" w:sz="0" w:space="0" w:color="auto"/>
        <w:bottom w:val="none" w:sz="0" w:space="0" w:color="auto"/>
        <w:right w:val="none" w:sz="0" w:space="0" w:color="auto"/>
      </w:divBdr>
    </w:div>
    <w:div w:id="1970699904">
      <w:bodyDiv w:val="1"/>
      <w:marLeft w:val="0"/>
      <w:marRight w:val="0"/>
      <w:marTop w:val="0"/>
      <w:marBottom w:val="0"/>
      <w:divBdr>
        <w:top w:val="none" w:sz="0" w:space="0" w:color="auto"/>
        <w:left w:val="none" w:sz="0" w:space="0" w:color="auto"/>
        <w:bottom w:val="none" w:sz="0" w:space="0" w:color="auto"/>
        <w:right w:val="none" w:sz="0" w:space="0" w:color="auto"/>
      </w:divBdr>
    </w:div>
    <w:div w:id="1975333290">
      <w:bodyDiv w:val="1"/>
      <w:marLeft w:val="0"/>
      <w:marRight w:val="0"/>
      <w:marTop w:val="0"/>
      <w:marBottom w:val="0"/>
      <w:divBdr>
        <w:top w:val="none" w:sz="0" w:space="0" w:color="auto"/>
        <w:left w:val="none" w:sz="0" w:space="0" w:color="auto"/>
        <w:bottom w:val="none" w:sz="0" w:space="0" w:color="auto"/>
        <w:right w:val="none" w:sz="0" w:space="0" w:color="auto"/>
      </w:divBdr>
    </w:div>
    <w:div w:id="1975868062">
      <w:bodyDiv w:val="1"/>
      <w:marLeft w:val="0"/>
      <w:marRight w:val="0"/>
      <w:marTop w:val="0"/>
      <w:marBottom w:val="0"/>
      <w:divBdr>
        <w:top w:val="none" w:sz="0" w:space="0" w:color="auto"/>
        <w:left w:val="none" w:sz="0" w:space="0" w:color="auto"/>
        <w:bottom w:val="none" w:sz="0" w:space="0" w:color="auto"/>
        <w:right w:val="none" w:sz="0" w:space="0" w:color="auto"/>
      </w:divBdr>
    </w:div>
    <w:div w:id="1987583877">
      <w:bodyDiv w:val="1"/>
      <w:marLeft w:val="0"/>
      <w:marRight w:val="0"/>
      <w:marTop w:val="0"/>
      <w:marBottom w:val="0"/>
      <w:divBdr>
        <w:top w:val="none" w:sz="0" w:space="0" w:color="auto"/>
        <w:left w:val="none" w:sz="0" w:space="0" w:color="auto"/>
        <w:bottom w:val="none" w:sz="0" w:space="0" w:color="auto"/>
        <w:right w:val="none" w:sz="0" w:space="0" w:color="auto"/>
      </w:divBdr>
    </w:div>
    <w:div w:id="2005162491">
      <w:bodyDiv w:val="1"/>
      <w:marLeft w:val="0"/>
      <w:marRight w:val="0"/>
      <w:marTop w:val="0"/>
      <w:marBottom w:val="0"/>
      <w:divBdr>
        <w:top w:val="none" w:sz="0" w:space="0" w:color="auto"/>
        <w:left w:val="none" w:sz="0" w:space="0" w:color="auto"/>
        <w:bottom w:val="none" w:sz="0" w:space="0" w:color="auto"/>
        <w:right w:val="none" w:sz="0" w:space="0" w:color="auto"/>
      </w:divBdr>
    </w:div>
    <w:div w:id="2017413955">
      <w:bodyDiv w:val="1"/>
      <w:marLeft w:val="0"/>
      <w:marRight w:val="0"/>
      <w:marTop w:val="0"/>
      <w:marBottom w:val="0"/>
      <w:divBdr>
        <w:top w:val="none" w:sz="0" w:space="0" w:color="auto"/>
        <w:left w:val="none" w:sz="0" w:space="0" w:color="auto"/>
        <w:bottom w:val="none" w:sz="0" w:space="0" w:color="auto"/>
        <w:right w:val="none" w:sz="0" w:space="0" w:color="auto"/>
      </w:divBdr>
    </w:div>
    <w:div w:id="2018000355">
      <w:bodyDiv w:val="1"/>
      <w:marLeft w:val="0"/>
      <w:marRight w:val="0"/>
      <w:marTop w:val="0"/>
      <w:marBottom w:val="0"/>
      <w:divBdr>
        <w:top w:val="none" w:sz="0" w:space="0" w:color="auto"/>
        <w:left w:val="none" w:sz="0" w:space="0" w:color="auto"/>
        <w:bottom w:val="none" w:sz="0" w:space="0" w:color="auto"/>
        <w:right w:val="none" w:sz="0" w:space="0" w:color="auto"/>
      </w:divBdr>
    </w:div>
    <w:div w:id="2026638155">
      <w:bodyDiv w:val="1"/>
      <w:marLeft w:val="0"/>
      <w:marRight w:val="0"/>
      <w:marTop w:val="0"/>
      <w:marBottom w:val="0"/>
      <w:divBdr>
        <w:top w:val="none" w:sz="0" w:space="0" w:color="auto"/>
        <w:left w:val="none" w:sz="0" w:space="0" w:color="auto"/>
        <w:bottom w:val="none" w:sz="0" w:space="0" w:color="auto"/>
        <w:right w:val="none" w:sz="0" w:space="0" w:color="auto"/>
      </w:divBdr>
    </w:div>
    <w:div w:id="2039508273">
      <w:bodyDiv w:val="1"/>
      <w:marLeft w:val="0"/>
      <w:marRight w:val="0"/>
      <w:marTop w:val="0"/>
      <w:marBottom w:val="0"/>
      <w:divBdr>
        <w:top w:val="none" w:sz="0" w:space="0" w:color="auto"/>
        <w:left w:val="none" w:sz="0" w:space="0" w:color="auto"/>
        <w:bottom w:val="none" w:sz="0" w:space="0" w:color="auto"/>
        <w:right w:val="none" w:sz="0" w:space="0" w:color="auto"/>
      </w:divBdr>
    </w:div>
    <w:div w:id="2048673671">
      <w:bodyDiv w:val="1"/>
      <w:marLeft w:val="0"/>
      <w:marRight w:val="0"/>
      <w:marTop w:val="0"/>
      <w:marBottom w:val="0"/>
      <w:divBdr>
        <w:top w:val="none" w:sz="0" w:space="0" w:color="auto"/>
        <w:left w:val="none" w:sz="0" w:space="0" w:color="auto"/>
        <w:bottom w:val="none" w:sz="0" w:space="0" w:color="auto"/>
        <w:right w:val="none" w:sz="0" w:space="0" w:color="auto"/>
      </w:divBdr>
    </w:div>
    <w:div w:id="2058387088">
      <w:bodyDiv w:val="1"/>
      <w:marLeft w:val="0"/>
      <w:marRight w:val="0"/>
      <w:marTop w:val="0"/>
      <w:marBottom w:val="0"/>
      <w:divBdr>
        <w:top w:val="none" w:sz="0" w:space="0" w:color="auto"/>
        <w:left w:val="none" w:sz="0" w:space="0" w:color="auto"/>
        <w:bottom w:val="none" w:sz="0" w:space="0" w:color="auto"/>
        <w:right w:val="none" w:sz="0" w:space="0" w:color="auto"/>
      </w:divBdr>
    </w:div>
    <w:div w:id="2061241365">
      <w:bodyDiv w:val="1"/>
      <w:marLeft w:val="0"/>
      <w:marRight w:val="0"/>
      <w:marTop w:val="0"/>
      <w:marBottom w:val="0"/>
      <w:divBdr>
        <w:top w:val="none" w:sz="0" w:space="0" w:color="auto"/>
        <w:left w:val="none" w:sz="0" w:space="0" w:color="auto"/>
        <w:bottom w:val="none" w:sz="0" w:space="0" w:color="auto"/>
        <w:right w:val="none" w:sz="0" w:space="0" w:color="auto"/>
      </w:divBdr>
    </w:div>
    <w:div w:id="2064675817">
      <w:bodyDiv w:val="1"/>
      <w:marLeft w:val="0"/>
      <w:marRight w:val="0"/>
      <w:marTop w:val="0"/>
      <w:marBottom w:val="0"/>
      <w:divBdr>
        <w:top w:val="none" w:sz="0" w:space="0" w:color="auto"/>
        <w:left w:val="none" w:sz="0" w:space="0" w:color="auto"/>
        <w:bottom w:val="none" w:sz="0" w:space="0" w:color="auto"/>
        <w:right w:val="none" w:sz="0" w:space="0" w:color="auto"/>
      </w:divBdr>
    </w:div>
    <w:div w:id="2066876735">
      <w:bodyDiv w:val="1"/>
      <w:marLeft w:val="0"/>
      <w:marRight w:val="0"/>
      <w:marTop w:val="0"/>
      <w:marBottom w:val="0"/>
      <w:divBdr>
        <w:top w:val="none" w:sz="0" w:space="0" w:color="auto"/>
        <w:left w:val="none" w:sz="0" w:space="0" w:color="auto"/>
        <w:bottom w:val="none" w:sz="0" w:space="0" w:color="auto"/>
        <w:right w:val="none" w:sz="0" w:space="0" w:color="auto"/>
      </w:divBdr>
    </w:div>
    <w:div w:id="2080051780">
      <w:bodyDiv w:val="1"/>
      <w:marLeft w:val="0"/>
      <w:marRight w:val="0"/>
      <w:marTop w:val="0"/>
      <w:marBottom w:val="0"/>
      <w:divBdr>
        <w:top w:val="none" w:sz="0" w:space="0" w:color="auto"/>
        <w:left w:val="none" w:sz="0" w:space="0" w:color="auto"/>
        <w:bottom w:val="none" w:sz="0" w:space="0" w:color="auto"/>
        <w:right w:val="none" w:sz="0" w:space="0" w:color="auto"/>
      </w:divBdr>
    </w:div>
    <w:div w:id="2084912656">
      <w:bodyDiv w:val="1"/>
      <w:marLeft w:val="0"/>
      <w:marRight w:val="0"/>
      <w:marTop w:val="0"/>
      <w:marBottom w:val="0"/>
      <w:divBdr>
        <w:top w:val="none" w:sz="0" w:space="0" w:color="auto"/>
        <w:left w:val="none" w:sz="0" w:space="0" w:color="auto"/>
        <w:bottom w:val="none" w:sz="0" w:space="0" w:color="auto"/>
        <w:right w:val="none" w:sz="0" w:space="0" w:color="auto"/>
      </w:divBdr>
    </w:div>
    <w:div w:id="2092117950">
      <w:bodyDiv w:val="1"/>
      <w:marLeft w:val="0"/>
      <w:marRight w:val="0"/>
      <w:marTop w:val="0"/>
      <w:marBottom w:val="0"/>
      <w:divBdr>
        <w:top w:val="none" w:sz="0" w:space="0" w:color="auto"/>
        <w:left w:val="none" w:sz="0" w:space="0" w:color="auto"/>
        <w:bottom w:val="none" w:sz="0" w:space="0" w:color="auto"/>
        <w:right w:val="none" w:sz="0" w:space="0" w:color="auto"/>
      </w:divBdr>
    </w:div>
    <w:div w:id="2107387570">
      <w:bodyDiv w:val="1"/>
      <w:marLeft w:val="0"/>
      <w:marRight w:val="0"/>
      <w:marTop w:val="0"/>
      <w:marBottom w:val="0"/>
      <w:divBdr>
        <w:top w:val="none" w:sz="0" w:space="0" w:color="auto"/>
        <w:left w:val="none" w:sz="0" w:space="0" w:color="auto"/>
        <w:bottom w:val="none" w:sz="0" w:space="0" w:color="auto"/>
        <w:right w:val="none" w:sz="0" w:space="0" w:color="auto"/>
      </w:divBdr>
    </w:div>
    <w:div w:id="211428228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218758">
      <w:bodyDiv w:val="1"/>
      <w:marLeft w:val="0"/>
      <w:marRight w:val="0"/>
      <w:marTop w:val="0"/>
      <w:marBottom w:val="0"/>
      <w:divBdr>
        <w:top w:val="none" w:sz="0" w:space="0" w:color="auto"/>
        <w:left w:val="none" w:sz="0" w:space="0" w:color="auto"/>
        <w:bottom w:val="none" w:sz="0" w:space="0" w:color="auto"/>
        <w:right w:val="none" w:sz="0" w:space="0" w:color="auto"/>
      </w:divBdr>
    </w:div>
    <w:div w:id="2140686157">
      <w:bodyDiv w:val="1"/>
      <w:marLeft w:val="0"/>
      <w:marRight w:val="0"/>
      <w:marTop w:val="0"/>
      <w:marBottom w:val="0"/>
      <w:divBdr>
        <w:top w:val="none" w:sz="0" w:space="0" w:color="auto"/>
        <w:left w:val="none" w:sz="0" w:space="0" w:color="auto"/>
        <w:bottom w:val="none" w:sz="0" w:space="0" w:color="auto"/>
        <w:right w:val="none" w:sz="0" w:space="0" w:color="auto"/>
      </w:divBdr>
    </w:div>
    <w:div w:id="2143234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bler@kth.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Dan79</b:Tag>
    <b:SourceType>JournalArticle</b:SourceType>
    <b:Guid>{4F2614F0-862F-4870-AF89-12F5306C343C}</b:Guid>
    <b:Title>The reaction of CO2 with ethanolamines</b:Title>
    <b:JournalName>Chemical Engineering Science</b:JournalName>
    <b:Year>1979</b:Year>
    <b:Pages>443-446</b:Pages>
    <b:Author>
      <b:Author>
        <b:NameList>
          <b:Person>
            <b:Last>Danckwerts</b:Last>
            <b:First>P.</b:First>
            <b:Middle>V.</b:Middle>
          </b:Person>
        </b:NameList>
      </b:Author>
    </b:Author>
    <b:Volume>34</b:Volume>
    <b:Issue>4</b:Issue>
    <b:DOI>10.1016/0009-2509(79)85087-3</b:DOI>
    <b:RefOrder>1</b:RefOrder>
  </b:Source>
  <b:Source>
    <b:Tag>Lad82</b:Tag>
    <b:SourceType>JournalArticle</b:SourceType>
    <b:Guid>{48C9A9DA-0B31-48B8-9FAD-DF09C4BDBC6F}</b:Guid>
    <b:Title>The absorption of CO2 by amine-potash solutions</b:Title>
    <b:JournalName>Chemical Engineering Sciences</b:JournalName>
    <b:Year>1982</b:Year>
    <b:Pages>665-667</b:Pages>
    <b:Author>
      <b:Author>
        <b:NameList>
          <b:Person>
            <b:Last>Laddha</b:Last>
            <b:First>S.</b:First>
            <b:Middle>S.</b:Middle>
          </b:Person>
          <b:Person>
            <b:Last>Danckwerts</b:Last>
            <b:First>P.</b:First>
            <b:Middle>V.</b:Middle>
          </b:Person>
        </b:NameList>
      </b:Author>
    </b:Author>
    <b:Volume>37</b:Volume>
    <b:Issue>5</b:Issue>
    <b:DOI>10.1016/0009-2509(82)85024-0</b:DOI>
    <b:RefOrder>2</b:RefOrder>
  </b:Source>
  <b:Source>
    <b:Tag>Bis00</b:Tag>
    <b:SourceType>JournalArticle</b:SourceType>
    <b:Guid>{6029DE65-BD81-448C-B517-2732D97460AA}</b:Guid>
    <b:Title>Absorption of carbon dioxide into aqueous piperazine: reaction kinetics, mass transfer and solubility</b:Title>
    <b:JournalName>Chemical Engineering Science</b:JournalName>
    <b:Year>2000</b:Year>
    <b:Pages>5531-5543</b:Pages>
    <b:Author>
      <b:Author>
        <b:NameList>
          <b:Person>
            <b:Last>Bishnoi</b:Last>
            <b:First>Sanjay</b:First>
          </b:Person>
          <b:Person>
            <b:Last>Rochelle</b:Last>
            <b:First>Gary</b:First>
            <b:Middle>T.</b:Middle>
          </b:Person>
        </b:NameList>
      </b:Author>
    </b:Author>
    <b:Volume>55</b:Volume>
    <b:Issue>22</b:Issue>
    <b:DOI>10.1016/S0009-2509(00)00182-2</b:DOI>
    <b:RefOrder>8</b:RefOrder>
  </b:Source>
  <b:Source>
    <b:Tag>The12</b:Tag>
    <b:SourceType>JournalArticle</b:SourceType>
    <b:Guid>{3D054550-639F-44F6-B97F-F956E10CA2F5}</b:Guid>
    <b:Title>A kinetic and process modelling study of CO2 capture with MEA-promoted potassium carbonate solutions</b:Title>
    <b:JournalName>Chemical Engineering Journal</b:JournalName>
    <b:Year>2012</b:Year>
    <b:Pages>271-279</b:Pages>
    <b:Author>
      <b:Author>
        <b:NameList>
          <b:Person>
            <b:Last>Thee</b:Last>
            <b:First>Hendy</b:First>
          </b:Person>
          <b:Person>
            <b:Last>Suryaputradinata</b:Last>
            <b:First>Yohanes</b:First>
            <b:Middle>A.</b:Middle>
          </b:Person>
          <b:Person>
            <b:Last>Mumford</b:Last>
            <b:First>Kathryn</b:First>
            <b:Middle>A.</b:Middle>
          </b:Person>
          <b:Person>
            <b:Last>Smith</b:Last>
            <b:First>Kathryn</b:First>
            <b:Middle>H.</b:Middle>
          </b:Person>
          <b:Person>
            <b:Last>da Silva</b:Last>
            <b:First>Gabriel</b:First>
          </b:Person>
          <b:Person>
            <b:Last>Kentish</b:Last>
            <b:First>Sandra</b:First>
            <b:Middle>E.</b:Middle>
          </b:Person>
          <b:Person>
            <b:Last>Stevens</b:Last>
            <b:First>Geoffrey</b:First>
            <b:Middle>W.</b:Middle>
          </b:Person>
        </b:NameList>
      </b:Author>
    </b:Author>
    <b:Volume>210</b:Volume>
    <b:DOI>10.1016/j.cej.2012.08.092</b:DOI>
    <b:RefOrder>10</b:RefOrder>
  </b:Source>
  <b:Source>
    <b:Tag>Nic14</b:Tag>
    <b:SourceType>JournalArticle</b:SourceType>
    <b:Guid>{8B3554E5-E9BF-470E-961C-D4C8293A75E4}</b:Guid>
    <b:Title>Use of Vanadium(V) Oxide as a Catalyst for CO2 Hydration in Potassium Carbonate Systems</b:Title>
    <b:JournalName>Industrial &amp; Engineering Chemistry Research</b:JournalName>
    <b:Year>2014</b:Year>
    <b:Pages>3029-3039</b:Pages>
    <b:Author>
      <b:Author>
        <b:NameList>
          <b:Person>
            <b:Last>Nicholas</b:Last>
            <b:First>Nathan</b:First>
            <b:Middle>Johann</b:Middle>
          </b:Person>
          <b:Person>
            <b:Last>da Silva</b:Last>
            <b:First>Gabriel</b:First>
          </b:Person>
          <b:Person>
            <b:Last>Kentish</b:Last>
            <b:First>Sandra</b:First>
          </b:Person>
          <b:Person>
            <b:Last>Stevens</b:Last>
            <b:First>Geoffrey</b:First>
            <b:Middle>W.</b:Middle>
          </b:Person>
        </b:NameList>
      </b:Author>
    </b:Author>
    <b:Volume>53</b:Volume>
    <b:Issue>8</b:Issue>
    <b:RefOrder>5</b:RefOrder>
  </b:Source>
  <b:Source>
    <b:Tag>Cul04</b:Tag>
    <b:SourceType>JournalArticle</b:SourceType>
    <b:Guid>{ADBB35C0-D388-4714-91E8-4635266C0761}</b:Guid>
    <b:Author>
      <b:Author>
        <b:NameList>
          <b:Person>
            <b:Last>Cullinane</b:Last>
            <b:First>J.</b:First>
            <b:Middle>Tim</b:Middle>
          </b:Person>
          <b:Person>
            <b:Last>Rochelle</b:Last>
            <b:First>Gary</b:First>
            <b:Middle>T.</b:Middle>
          </b:Person>
        </b:NameList>
      </b:Author>
    </b:Author>
    <b:Title>Carbon doixide absorption with aqueous potassium carbonate promoted by piperazine</b:Title>
    <b:JournalName>Chemical Engineering Sciences</b:JournalName>
    <b:Year>2004</b:Year>
    <b:Pages>3619-3630</b:Pages>
    <b:Volume>59</b:Volume>
    <b:RefOrder>11</b:RefOrder>
  </b:Source>
  <b:Source>
    <b:Tag>DuY16</b:Tag>
    <b:SourceType>Report</b:SourceType>
    <b:Guid>{B59A51D8-A65B-4EA4-8086-ECD1DB08C668}</b:Guid>
    <b:Title>Amine Solvent Development for Carbon Dioxide Capture</b:Title>
    <b:Year>2016</b:Year>
    <b:Publisher>The University of Texas at Austin</b:Publisher>
    <b:City>Austin</b:City>
    <b:Author>
      <b:Author>
        <b:NameList>
          <b:Person>
            <b:Last>Du</b:Last>
            <b:First>Yang</b:First>
          </b:Person>
        </b:NameList>
      </b:Author>
    </b:Author>
    <b:RefOrder>3</b:RefOrder>
  </b:Source>
  <b:Source>
    <b:Tag>Eic84</b:Tag>
    <b:SourceType>Patent</b:SourceType>
    <b:Guid>{050E13F6-2887-44F2-BB85-287ED0572F54}</b:Guid>
    <b:Year>1984</b:Year>
    <b:Author>
      <b:Inventor>
        <b:NameList>
          <b:Person>
            <b:Last>Eickmeyer</b:Last>
            <b:First>Allan</b:First>
            <b:Middle>G.</b:Middle>
          </b:Person>
        </b:NameList>
      </b:Inventor>
    </b:Author>
    <b:CountryRegion>United States of America</b:CountryRegion>
    <b:PatentNumber>4430312</b:PatentNumber>
    <b:Title>Removal of CO2 From Gas Mixtures</b:Title>
    <b:RefOrder>4</b:RefOrder>
  </b:Source>
  <b:Source>
    <b:Tag>Mat20</b:Tag>
    <b:SourceType>JournalArticle</b:SourceType>
    <b:Guid>{4A874DA8-3EBE-475D-A013-049838371504}</b:Guid>
    <b:Title>Catalysis of CO2 Absorption in an Aqueous Alkanolamine Solution by Boron Compounds: A Combined Computrational and Experimental Study</b:Title>
    <b:Year>2020</b:Year>
    <b:JournalName>Industrial &amp; Engineering Chemistry Research</b:JournalName>
    <b:Pages>13016-13023</b:Pages>
    <b:Author>
      <b:Author>
        <b:NameList>
          <b:Person>
            <b:Last>Matsuzaki</b:Last>
            <b:First>Yoichi</b:First>
          </b:Person>
          <b:Person>
            <b:Last>Yamamoto</b:Last>
            <b:First>Shin</b:First>
          </b:Person>
          <b:Person>
            <b:Last>Yamada</b:Last>
            <b:First>Hidetaka</b:First>
          </b:Person>
          <b:Person>
            <b:Last>Chowdhury</b:Last>
            <b:First>Firoz</b:First>
            <b:Middle>A.</b:Middle>
          </b:Person>
          <b:Person>
            <b:Last>Goto</b:Last>
            <b:First>Kazuya</b:First>
          </b:Person>
        </b:NameList>
      </b:Author>
    </b:Author>
    <b:Volume>59</b:Volume>
    <b:RefOrder>12</b:RefOrder>
  </b:Source>
  <b:Source>
    <b:Tag>Smi12</b:Tag>
    <b:SourceType>JournalArticle</b:SourceType>
    <b:Guid>{CD733BF6-B5FF-4D7C-81BD-59577A628501}</b:Guid>
    <b:Title>Pre-combustion capture of CO2 - Results from solvent absorption pilot plant trials using 30 wt% potassium carbonate and boric acid promoted potassium carbonate solvent</b:Title>
    <b:JournalName>International Journal of Greenhouse Gas Control</b:JournalName>
    <b:Year>2012</b:Year>
    <b:Pages>64-73</b:Pages>
    <b:Author>
      <b:Author>
        <b:NameList>
          <b:Person>
            <b:Last>Smith</b:Last>
            <b:First>Kathryn</b:First>
            <b:Middle>H.</b:Middle>
          </b:Person>
          <b:Person>
            <b:Last>Anderson</b:Last>
            <b:First>Clare</b:First>
            <b:Middle>J.</b:Middle>
          </b:Person>
          <b:Person>
            <b:Last>Tao</b:Last>
            <b:First>Wendy</b:First>
          </b:Person>
          <b:Person>
            <b:Last>Endo</b:Last>
            <b:First>Kohei</b:First>
          </b:Person>
          <b:Person>
            <b:Last>Mumford</b:Last>
            <b:First>Kathryn</b:First>
            <b:Middle>A.</b:Middle>
          </b:Person>
          <b:Person>
            <b:Last>Kentish</b:Last>
            <b:First>Sandra</b:First>
            <b:Middle>E.</b:Middle>
          </b:Person>
          <b:Person>
            <b:Last>Qader</b:Last>
            <b:First>Abdul</b:First>
          </b:Person>
          <b:Person>
            <b:Last>Hooper</b:Last>
            <b:First>Barry</b:First>
          </b:Person>
          <b:Person>
            <b:Last>Stevens</b:Last>
            <b:First>Geoff</b:First>
            <b:Middle>W.</b:Middle>
          </b:Person>
        </b:NameList>
      </b:Author>
    </b:Author>
    <b:Volume>10</b:Volume>
    <b:RefOrder>13</b:RefOrder>
  </b:Source>
  <b:Source>
    <b:Tag>The121</b:Tag>
    <b:SourceType>JournalArticle</b:SourceType>
    <b:Guid>{EF6D6C1E-71B3-4AAC-85BB-7CFD10649C0C}</b:Guid>
    <b:Author>
      <b:Author>
        <b:NameList>
          <b:Person>
            <b:Last>Thee</b:Last>
            <b:First>Hendy</b:First>
          </b:Person>
          <b:Person>
            <b:Last>Smith</b:Last>
            <b:First>Kathryn</b:First>
            <b:Middle>H.</b:Middle>
          </b:Person>
          <b:Person>
            <b:Last>da Silva</b:Last>
            <b:First>Gabriel</b:First>
          </b:Person>
          <b:Person>
            <b:Last>Kentish</b:Last>
            <b:First>Sandra</b:First>
            <b:Middle>E.</b:Middle>
          </b:Person>
          <b:Person>
            <b:Last>Stevens</b:Last>
            <b:First>Geoffrey</b:First>
            <b:Middle>W.</b:Middle>
          </b:Person>
        </b:NameList>
      </b:Author>
    </b:Author>
    <b:Title>Carbon dioxide absorption into unpromoted and borate-catalyzed potassium carbonate solutions</b:Title>
    <b:JournalName>Chemical Engineering Journal</b:JournalName>
    <b:Year>2012</b:Year>
    <b:Pages>694-701</b:Pages>
    <b:Volume>181-182</b:Volume>
    <b:RefOrder>7</b:RefOrder>
  </b:Source>
  <b:Source>
    <b:Tag>McC15</b:Tag>
    <b:SourceType>JournalArticle</b:SourceType>
    <b:Guid>{361F2C22-A43C-44C6-8178-30DF2C12FC80}</b:Guid>
    <b:Title>Carbonate complexes of vanadate</b:Title>
    <b:JournalName>Polyhedron</b:JournalName>
    <b:Year>2015</b:Year>
    <b:Pages>81-85</b:Pages>
    <b:Author>
      <b:Author>
        <b:NameList>
          <b:Person>
            <b:Last>McCann</b:Last>
            <b:First>Nichola</b:First>
          </b:Person>
          <b:Person>
            <b:Last>Imle</b:Last>
            <b:First>Michael</b:First>
          </b:Person>
          <b:Person>
            <b:Last>Hasse</b:Last>
            <b:First>Hans</b:First>
          </b:Person>
        </b:NameList>
      </b:Author>
    </b:Author>
    <b:Volume>95</b:Volume>
    <b:RefOrder>6</b:RefOrder>
  </b:Source>
  <b:Source>
    <b:Tag>Dan66</b:Tag>
    <b:SourceType>JournalArticle</b:SourceType>
    <b:Guid>{B0840151-949E-4C94-AD76-F521F60526CA}</b:Guid>
    <b:Title>The absorption of carbon doixide into solutions of alkalis and amines (With some notes on hydrogen sulphide and carbonyl sulphide)</b:Title>
    <b:JournalName>The Chemical Engineer</b:JournalName>
    <b:Year>1966</b:Year>
    <b:Pages>244-280</b:Pages>
    <b:Author>
      <b:Author>
        <b:NameList>
          <b:Person>
            <b:Last>Danckwerts</b:Last>
            <b:First>P.</b:First>
            <b:Middle>V.</b:Middle>
          </b:Person>
          <b:Person>
            <b:Last>Sharma</b:Last>
            <b:First>M.</b:First>
            <b:Middle>M.</b:Middle>
          </b:Person>
        </b:NameList>
      </b:Author>
    </b:Author>
    <b:RefOrder>9</b:RefOrder>
  </b:Source>
</b:Sources>
</file>

<file path=customXml/itemProps1.xml><?xml version="1.0" encoding="utf-8"?>
<ds:datastoreItem xmlns:ds="http://schemas.openxmlformats.org/officeDocument/2006/customXml" ds:itemID="{0AE71366-D5DB-432A-BDC9-7871A33F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6</Pages>
  <Words>3414</Words>
  <Characters>19466</Characters>
  <Application>Microsoft Office Word</Application>
  <DocSecurity>0</DocSecurity>
  <Lines>162</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Nima Mirzaei</cp:lastModifiedBy>
  <cp:revision>72</cp:revision>
  <cp:lastPrinted>2015-05-12T18:31:00Z</cp:lastPrinted>
  <dcterms:created xsi:type="dcterms:W3CDTF">2023-03-13T21:21:00Z</dcterms:created>
  <dcterms:modified xsi:type="dcterms:W3CDTF">2023-06-12T12:21:00Z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