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A5A62">
        <w:trPr>
          <w:trHeight w:val="852"/>
          <w:jc w:val="center"/>
        </w:trPr>
        <w:tc>
          <w:tcPr>
            <w:tcW w:w="6940" w:type="dxa"/>
            <w:vMerge w:val="restart"/>
            <w:tcBorders>
              <w:right w:val="single" w:sz="4" w:space="0" w:color="auto"/>
            </w:tcBorders>
          </w:tcPr>
          <w:p w14:paraId="38C3D2BA" w14:textId="79361D53" w:rsidR="000A03B2" w:rsidRPr="00B57B36" w:rsidRDefault="00A2690C"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S</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A5A6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A5A62">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D8E2545" w:rsidR="00E978D0" w:rsidRPr="00BD31BA" w:rsidRDefault="009A5A62" w:rsidP="00E978D0">
      <w:pPr>
        <w:pStyle w:val="CETTitle"/>
        <w:rPr>
          <w:lang w:val="en-US"/>
        </w:rPr>
      </w:pPr>
      <w:r w:rsidRPr="00BD31BA">
        <w:rPr>
          <w:lang w:val="en-US"/>
        </w:rPr>
        <w:t xml:space="preserve">The importance of tailoring Carbon Capture design to optimize plant Capex and improve system </w:t>
      </w:r>
      <w:proofErr w:type="gramStart"/>
      <w:r w:rsidRPr="00BD31BA">
        <w:rPr>
          <w:lang w:val="en-US"/>
        </w:rPr>
        <w:t>efficiency</w:t>
      </w:r>
      <w:proofErr w:type="gramEnd"/>
    </w:p>
    <w:p w14:paraId="0488FED2" w14:textId="2C23DC13" w:rsidR="00B57E6F" w:rsidRPr="00314C27" w:rsidRDefault="009A5A62" w:rsidP="00B57E6F">
      <w:pPr>
        <w:pStyle w:val="CETAuthors"/>
        <w:rPr>
          <w:lang w:val="it-IT"/>
        </w:rPr>
      </w:pPr>
      <w:r w:rsidRPr="00314C27">
        <w:rPr>
          <w:lang w:val="it-IT"/>
        </w:rPr>
        <w:t>Fabio E.G. Ferrari</w:t>
      </w:r>
      <w:r w:rsidR="00532956" w:rsidRPr="00314C27">
        <w:rPr>
          <w:vertAlign w:val="superscript"/>
          <w:lang w:val="it-IT"/>
        </w:rPr>
        <w:t>a</w:t>
      </w:r>
      <w:r w:rsidR="00CB68BA" w:rsidRPr="00314C27">
        <w:rPr>
          <w:lang w:val="it-IT"/>
        </w:rPr>
        <w:t>. Lucrezia Del Gesso, Paolo Felici, Andrea Orsetti</w:t>
      </w:r>
    </w:p>
    <w:p w14:paraId="6B2D21B3" w14:textId="6AC6F0DA" w:rsidR="00B57E6F" w:rsidRPr="00314C27" w:rsidRDefault="00B57E6F" w:rsidP="00B57E6F">
      <w:pPr>
        <w:pStyle w:val="CETAddress"/>
        <w:rPr>
          <w:lang w:val="it-IT"/>
        </w:rPr>
      </w:pPr>
      <w:r w:rsidRPr="00314C27">
        <w:rPr>
          <w:vertAlign w:val="superscript"/>
          <w:lang w:val="it-IT"/>
        </w:rPr>
        <w:t>a</w:t>
      </w:r>
      <w:r w:rsidR="00CB68BA" w:rsidRPr="00314C27">
        <w:rPr>
          <w:lang w:val="it-IT"/>
        </w:rPr>
        <w:t>NextChem</w:t>
      </w:r>
      <w:r w:rsidR="00532956" w:rsidRPr="00314C27">
        <w:rPr>
          <w:lang w:val="it-IT"/>
        </w:rPr>
        <w:t xml:space="preserve"> Spa, via Gaetano de Castillia 6a Milano</w:t>
      </w:r>
    </w:p>
    <w:p w14:paraId="32B4876C" w14:textId="7434C224" w:rsidR="00313119" w:rsidRPr="00BD31BA" w:rsidRDefault="00E15DEC" w:rsidP="00B57E6F">
      <w:pPr>
        <w:pStyle w:val="CETAddress"/>
        <w:rPr>
          <w:lang w:val="en-US"/>
        </w:rPr>
      </w:pPr>
      <w:r w:rsidRPr="00BD31BA">
        <w:rPr>
          <w:lang w:val="en-US"/>
        </w:rPr>
        <w:t>f</w:t>
      </w:r>
      <w:r w:rsidR="00313119" w:rsidRPr="00BD31BA">
        <w:rPr>
          <w:lang w:val="en-US"/>
        </w:rPr>
        <w:t>.</w:t>
      </w:r>
      <w:r w:rsidRPr="00BD31BA">
        <w:rPr>
          <w:lang w:val="en-US"/>
        </w:rPr>
        <w:t>ferrari</w:t>
      </w:r>
      <w:r w:rsidR="00313119" w:rsidRPr="00BD31BA">
        <w:rPr>
          <w:lang w:val="en-US"/>
        </w:rPr>
        <w:t>@</w:t>
      </w:r>
      <w:r w:rsidRPr="00BD31BA">
        <w:rPr>
          <w:lang w:val="en-US"/>
        </w:rPr>
        <w:t>nextchem</w:t>
      </w:r>
      <w:r w:rsidR="00313119" w:rsidRPr="00BD31BA">
        <w:rPr>
          <w:lang w:val="en-US"/>
        </w:rPr>
        <w:t>.it</w:t>
      </w:r>
    </w:p>
    <w:p w14:paraId="7008913F" w14:textId="77777777" w:rsidR="00532956" w:rsidRPr="00BD31BA" w:rsidRDefault="00532956" w:rsidP="00600535">
      <w:pPr>
        <w:pStyle w:val="CETBodytext"/>
      </w:pPr>
    </w:p>
    <w:p w14:paraId="672E0462" w14:textId="77777777" w:rsidR="002302A0" w:rsidRPr="00BD31BA" w:rsidRDefault="002302A0" w:rsidP="002302A0">
      <w:pPr>
        <w:pStyle w:val="CETBodytext"/>
      </w:pPr>
      <w:r w:rsidRPr="00BD31BA">
        <w:t>The necessity to reduce the environmental impact of industrial production sites in the recent years has accelerated the decarbonization strategies of many companies and the possibility to install Post-Combustion Carbon Capture units in new or existing assets has become one of the key elements to achieve the target to minimize plants carbon footprint.</w:t>
      </w:r>
    </w:p>
    <w:p w14:paraId="6B6B011C" w14:textId="0D110B11" w:rsidR="002302A0" w:rsidRPr="00BD31BA" w:rsidRDefault="00097247" w:rsidP="002302A0">
      <w:pPr>
        <w:pStyle w:val="CETBodytext"/>
      </w:pPr>
      <w:r>
        <w:t>I</w:t>
      </w:r>
      <w:r w:rsidR="002302A0" w:rsidRPr="00BD31BA">
        <w:t xml:space="preserve">n the installation of such </w:t>
      </w:r>
      <w:r w:rsidR="00A338D9" w:rsidRPr="00BD31BA">
        <w:t>units,</w:t>
      </w:r>
      <w:r w:rsidR="002302A0" w:rsidRPr="00BD31BA">
        <w:t xml:space="preserve"> it is possible to identify multiple technical solutions that would tailor the implementation of the Carbon Capture unit by optimizing the number of equipment and increase the system efficiency, minimizing the relevant </w:t>
      </w:r>
      <w:proofErr w:type="spellStart"/>
      <w:r w:rsidR="002302A0" w:rsidRPr="00BD31BA">
        <w:t>Op</w:t>
      </w:r>
      <w:r w:rsidR="00505C62">
        <w:t>E</w:t>
      </w:r>
      <w:r w:rsidR="002302A0" w:rsidRPr="00BD31BA">
        <w:t>x</w:t>
      </w:r>
      <w:proofErr w:type="spellEnd"/>
      <w:r w:rsidR="002302A0" w:rsidRPr="00BD31BA">
        <w:t>.</w:t>
      </w:r>
    </w:p>
    <w:p w14:paraId="03168364" w14:textId="77777777" w:rsidR="002302A0" w:rsidRPr="00BD31BA" w:rsidRDefault="002302A0" w:rsidP="002302A0">
      <w:pPr>
        <w:pStyle w:val="CETBodytext"/>
      </w:pPr>
      <w:r w:rsidRPr="00BD31BA">
        <w:t>The capability to manage the peculiarities of the specific industry and the criticalities of existing plants would lead to better designed solutions. Two case studies are presented relevant to different technical installations, specifically the Amine Post Combustion Carbon Capture for a Steam Reformer and a Power Generation plant.</w:t>
      </w:r>
    </w:p>
    <w:p w14:paraId="11BB3C51" w14:textId="77777777" w:rsidR="002302A0" w:rsidRPr="00BD31BA" w:rsidRDefault="002302A0" w:rsidP="002302A0">
      <w:pPr>
        <w:pStyle w:val="CETBodytext"/>
      </w:pPr>
      <w:r w:rsidRPr="00BD31BA">
        <w:t>The necessity to reduce the flue gas inlet temperature to Carbon Capture unit offers the possibility to improve the heat recovery within the system, therefore increasing the overall efficiency; at the same time a clear identification of the key emission points can provide room to integrate different units, using the same absorption equipment or a single regeneration loop.</w:t>
      </w:r>
    </w:p>
    <w:p w14:paraId="674D9ED3" w14:textId="59F5C70B" w:rsidR="00313119" w:rsidRPr="00BD31BA" w:rsidRDefault="002302A0" w:rsidP="002302A0">
      <w:pPr>
        <w:pStyle w:val="CETBodytext"/>
      </w:pPr>
      <w:r w:rsidRPr="00BD31BA">
        <w:t xml:space="preserve">The wide range of Carbon </w:t>
      </w:r>
      <w:r w:rsidR="00C34738" w:rsidRPr="00BD31BA">
        <w:t>Dio</w:t>
      </w:r>
      <w:r w:rsidRPr="00BD31BA">
        <w:t>xide concentrations that characterizes the different post-Combustion services (</w:t>
      </w:r>
      <w:proofErr w:type="gramStart"/>
      <w:r w:rsidRPr="00BD31BA">
        <w:t>i.e.</w:t>
      </w:r>
      <w:proofErr w:type="gramEnd"/>
      <w:r w:rsidRPr="00BD31BA">
        <w:t xml:space="preserve"> from Reforming to Gasification) shall be combined with the possible presence of critical contaminants, therefore requiring dedicated optimization</w:t>
      </w:r>
      <w:r w:rsidR="00E94204" w:rsidRPr="00BD31BA">
        <w:t>s</w:t>
      </w:r>
      <w:r w:rsidRPr="00BD31BA">
        <w:t xml:space="preserve"> that will be described and analyzed in the present paper.</w:t>
      </w:r>
    </w:p>
    <w:p w14:paraId="476B2F2E" w14:textId="77777777" w:rsidR="00600535" w:rsidRPr="00BD31BA" w:rsidRDefault="00600535" w:rsidP="00600535">
      <w:pPr>
        <w:pStyle w:val="CETHeading1"/>
      </w:pPr>
      <w:r w:rsidRPr="00BD31BA">
        <w:t>Introduction</w:t>
      </w:r>
    </w:p>
    <w:p w14:paraId="541F9C3F" w14:textId="0ECB3789" w:rsidR="00133ADB" w:rsidRPr="00BD31BA" w:rsidRDefault="002C62DF" w:rsidP="00CD55E5">
      <w:pPr>
        <w:pStyle w:val="CETBodytext"/>
      </w:pPr>
      <w:r w:rsidRPr="00BD31BA">
        <w:t xml:space="preserve">The goals </w:t>
      </w:r>
      <w:r w:rsidR="008629E3" w:rsidRPr="00BD31BA">
        <w:t xml:space="preserve">agreed during Paris climate accord </w:t>
      </w:r>
      <w:r w:rsidR="00707794" w:rsidRPr="00BD31BA">
        <w:t>ha</w:t>
      </w:r>
      <w:r w:rsidR="00284376" w:rsidRPr="00BD31BA">
        <w:t xml:space="preserve">ve committed the world industry in keeping the global warming </w:t>
      </w:r>
      <w:r w:rsidR="009D5912" w:rsidRPr="00BD31BA">
        <w:t>below 2°C above preindustrial levels, therefore implying a strong reduction in CO</w:t>
      </w:r>
      <w:r w:rsidR="009D5912" w:rsidRPr="00BD31BA">
        <w:rPr>
          <w:vertAlign w:val="subscript"/>
        </w:rPr>
        <w:t>2</w:t>
      </w:r>
      <w:r w:rsidR="009D5912" w:rsidRPr="00BD31BA">
        <w:t xml:space="preserve"> emissions of about 40% to be achieved by 2030.</w:t>
      </w:r>
    </w:p>
    <w:p w14:paraId="2315801B" w14:textId="77777777" w:rsidR="00960574" w:rsidRPr="00BD31BA" w:rsidRDefault="000829D1" w:rsidP="00CD55E5">
      <w:pPr>
        <w:pStyle w:val="CETBodytext"/>
      </w:pPr>
      <w:r w:rsidRPr="00BD31BA">
        <w:t xml:space="preserve">Among the different technical solutions, </w:t>
      </w:r>
      <w:r w:rsidR="00CD55E5" w:rsidRPr="00BD31BA">
        <w:t xml:space="preserve">Carbon Capture and Storage (CCS) is </w:t>
      </w:r>
      <w:r w:rsidR="006F5318" w:rsidRPr="00BD31BA">
        <w:t>the simplest implementation</w:t>
      </w:r>
      <w:r w:rsidR="00960574" w:rsidRPr="00BD31BA">
        <w:t xml:space="preserve"> and it foresees a </w:t>
      </w:r>
      <w:r w:rsidR="00CD55E5" w:rsidRPr="00BD31BA">
        <w:t>process where a CO</w:t>
      </w:r>
      <w:r w:rsidR="00CD55E5" w:rsidRPr="00BD31BA">
        <w:rPr>
          <w:vertAlign w:val="subscript"/>
        </w:rPr>
        <w:t>2</w:t>
      </w:r>
      <w:r w:rsidR="00CD55E5" w:rsidRPr="00BD31BA">
        <w:t xml:space="preserve"> rich stream is separated from a gas mixture and compressed, </w:t>
      </w:r>
      <w:proofErr w:type="gramStart"/>
      <w:r w:rsidR="00CD55E5" w:rsidRPr="00BD31BA">
        <w:t>treated</w:t>
      </w:r>
      <w:proofErr w:type="gramEnd"/>
      <w:r w:rsidR="00CD55E5" w:rsidRPr="00BD31BA">
        <w:t xml:space="preserve"> and stored in a safe long-term location.</w:t>
      </w:r>
    </w:p>
    <w:p w14:paraId="764AB9B2" w14:textId="5079DF05" w:rsidR="00CD55E5" w:rsidRPr="00BD31BA" w:rsidRDefault="00CD55E5" w:rsidP="00CD55E5">
      <w:pPr>
        <w:pStyle w:val="CETBodytext"/>
      </w:pPr>
      <w:r w:rsidRPr="00BD31BA">
        <w:t>CCS is a proven and well understood technology</w:t>
      </w:r>
      <w:r w:rsidR="00101B5D" w:rsidRPr="00BD31BA">
        <w:t>, because s</w:t>
      </w:r>
      <w:r w:rsidRPr="00BD31BA">
        <w:t xml:space="preserve">ince the 1930s, carbon capture equipment has been used commercially to purify natural gas, </w:t>
      </w:r>
      <w:r w:rsidR="008B44EC" w:rsidRPr="00BD31BA">
        <w:t>hydrogen,</w:t>
      </w:r>
      <w:r w:rsidRPr="00BD31BA">
        <w:t xml:space="preserve"> and other gas streams in industrial settings. CO</w:t>
      </w:r>
      <w:r w:rsidRPr="00BD31BA">
        <w:rPr>
          <w:vertAlign w:val="subscript"/>
        </w:rPr>
        <w:t>2</w:t>
      </w:r>
      <w:r w:rsidRPr="00BD31BA">
        <w:t xml:space="preserve"> was first injected underground in commercial-scale operations in 1972. Over 260 million of tons of CO</w:t>
      </w:r>
      <w:r w:rsidRPr="00BD31BA">
        <w:rPr>
          <w:vertAlign w:val="subscript"/>
        </w:rPr>
        <w:t>2</w:t>
      </w:r>
      <w:r w:rsidRPr="00BD31BA">
        <w:t xml:space="preserve"> emissions from human activity (anthropogenic sources) has already been captured and stored. The </w:t>
      </w:r>
      <w:r w:rsidR="003E1F37" w:rsidRPr="00BD31BA">
        <w:t xml:space="preserve">current </w:t>
      </w:r>
      <w:r w:rsidRPr="00BD31BA">
        <w:t>global capture and storage stands over 40 million of tons per year</w:t>
      </w:r>
      <w:r w:rsidR="00141DD1" w:rsidRPr="00BD31BA">
        <w:t xml:space="preserve">, while </w:t>
      </w:r>
      <w:r w:rsidR="00526462" w:rsidRPr="00BD31BA">
        <w:t xml:space="preserve">only in Europe are estimated about 80 </w:t>
      </w:r>
      <w:proofErr w:type="gramStart"/>
      <w:r w:rsidR="00526462" w:rsidRPr="00BD31BA">
        <w:t>millions</w:t>
      </w:r>
      <w:proofErr w:type="gramEnd"/>
      <w:r w:rsidR="00526462" w:rsidRPr="00BD31BA">
        <w:t xml:space="preserve"> of tons per year by 2030</w:t>
      </w:r>
      <w:r w:rsidR="003E1F37" w:rsidRPr="00BD31BA">
        <w:t xml:space="preserve"> on existing and planned CCUS facilities </w:t>
      </w:r>
      <w:r w:rsidR="0068603F" w:rsidRPr="00BD31BA">
        <w:t>(IAOGP</w:t>
      </w:r>
      <w:r w:rsidR="00C94CA3" w:rsidRPr="00BD31BA">
        <w:t>, 2020)</w:t>
      </w:r>
      <w:r w:rsidRPr="00BD31BA">
        <w:t>. In point-source CO</w:t>
      </w:r>
      <w:r w:rsidRPr="00BD31BA">
        <w:rPr>
          <w:vertAlign w:val="subscript"/>
        </w:rPr>
        <w:t>2</w:t>
      </w:r>
      <w:r w:rsidRPr="00BD31BA">
        <w:t xml:space="preserve"> capture or Post-Combustion CO</w:t>
      </w:r>
      <w:r w:rsidRPr="00BD31BA">
        <w:rPr>
          <w:vertAlign w:val="subscript"/>
        </w:rPr>
        <w:t>2</w:t>
      </w:r>
      <w:r w:rsidRPr="00BD31BA">
        <w:t xml:space="preserve"> Capture (PCC), C</w:t>
      </w:r>
      <w:r w:rsidR="00A4122F" w:rsidRPr="00BD31BA">
        <w:t>arbon Dioxide</w:t>
      </w:r>
      <w:r w:rsidRPr="00BD31BA">
        <w:t xml:space="preserve"> is separated from the flue gas of a conventional plant, after fuels have completely burnt. Thus, the CO</w:t>
      </w:r>
      <w:r w:rsidRPr="00BD31BA">
        <w:rPr>
          <w:vertAlign w:val="subscript"/>
        </w:rPr>
        <w:t>2</w:t>
      </w:r>
      <w:r w:rsidRPr="00BD31BA">
        <w:t xml:space="preserve"> needs to be separated from a mixture of mainly N</w:t>
      </w:r>
      <w:r w:rsidRPr="00BD31BA">
        <w:rPr>
          <w:vertAlign w:val="subscript"/>
        </w:rPr>
        <w:t>2</w:t>
      </w:r>
      <w:r w:rsidRPr="00BD31BA">
        <w:t>, H</w:t>
      </w:r>
      <w:r w:rsidRPr="00BD31BA">
        <w:rPr>
          <w:vertAlign w:val="subscript"/>
        </w:rPr>
        <w:t>2</w:t>
      </w:r>
      <w:r w:rsidRPr="00BD31BA">
        <w:t>O, O</w:t>
      </w:r>
      <w:r w:rsidRPr="00BD31BA">
        <w:rPr>
          <w:vertAlign w:val="subscript"/>
        </w:rPr>
        <w:t>2</w:t>
      </w:r>
      <w:r w:rsidRPr="00BD31BA">
        <w:t xml:space="preserve">, and other minor constituents like NOx and </w:t>
      </w:r>
      <w:proofErr w:type="spellStart"/>
      <w:r w:rsidRPr="00BD31BA">
        <w:t>SOx</w:t>
      </w:r>
      <w:proofErr w:type="spellEnd"/>
      <w:r w:rsidRPr="00BD31BA">
        <w:t>.</w:t>
      </w:r>
    </w:p>
    <w:p w14:paraId="52F08347" w14:textId="77777777" w:rsidR="00B3707D" w:rsidRPr="00BD31BA" w:rsidRDefault="00B3707D" w:rsidP="00CD55E5">
      <w:pPr>
        <w:pStyle w:val="CETBodytext"/>
      </w:pPr>
    </w:p>
    <w:p w14:paraId="5CCEF0C1" w14:textId="77777777" w:rsidR="00B3707D" w:rsidRPr="00BD31BA" w:rsidRDefault="00B3707D" w:rsidP="00CD55E5">
      <w:pPr>
        <w:pStyle w:val="CETBodytext"/>
      </w:pPr>
    </w:p>
    <w:p w14:paraId="63829516" w14:textId="77777777" w:rsidR="00B3707D" w:rsidRPr="00BD31BA" w:rsidRDefault="00B3707D" w:rsidP="00CD55E5">
      <w:pPr>
        <w:pStyle w:val="CETBodytext"/>
      </w:pPr>
    </w:p>
    <w:p w14:paraId="0B0D1FAC" w14:textId="77777777" w:rsidR="00B3707D" w:rsidRPr="00BD31BA" w:rsidRDefault="00B3707D" w:rsidP="00CD55E5">
      <w:pPr>
        <w:pStyle w:val="CETBodytext"/>
      </w:pPr>
    </w:p>
    <w:p w14:paraId="2F65979B" w14:textId="77777777" w:rsidR="00B3707D" w:rsidRPr="00BD31BA" w:rsidRDefault="00B3707D" w:rsidP="00CD55E5">
      <w:pPr>
        <w:pStyle w:val="CETBodytext"/>
      </w:pPr>
    </w:p>
    <w:p w14:paraId="2FD4F3F7" w14:textId="3775A514" w:rsidR="00B3707D" w:rsidRPr="00BD31BA" w:rsidRDefault="00762DFA" w:rsidP="00762DFA">
      <w:pPr>
        <w:pStyle w:val="CETBodytext"/>
        <w:jc w:val="center"/>
      </w:pPr>
      <w:r w:rsidRPr="00BD31BA">
        <w:rPr>
          <w:noProof/>
        </w:rPr>
        <w:drawing>
          <wp:inline distT="0" distB="0" distL="0" distR="0" wp14:anchorId="374ACAC8" wp14:editId="51C109CE">
            <wp:extent cx="5048250" cy="3703888"/>
            <wp:effectExtent l="0" t="0" r="0" b="0"/>
            <wp:docPr id="3" name="Picture 3" descr="Graphical user interface,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 bubble chart&#10;&#10;Description automatically generated"/>
                    <pic:cNvPicPr/>
                  </pic:nvPicPr>
                  <pic:blipFill>
                    <a:blip r:embed="rId13"/>
                    <a:stretch>
                      <a:fillRect/>
                    </a:stretch>
                  </pic:blipFill>
                  <pic:spPr>
                    <a:xfrm>
                      <a:off x="0" y="0"/>
                      <a:ext cx="5051685" cy="3706408"/>
                    </a:xfrm>
                    <a:prstGeom prst="rect">
                      <a:avLst/>
                    </a:prstGeom>
                  </pic:spPr>
                </pic:pic>
              </a:graphicData>
            </a:graphic>
          </wp:inline>
        </w:drawing>
      </w:r>
    </w:p>
    <w:p w14:paraId="68D1FAD7" w14:textId="3A77E747" w:rsidR="00762DFA" w:rsidRPr="00BD31BA" w:rsidRDefault="00762DFA" w:rsidP="00762DFA">
      <w:pPr>
        <w:pStyle w:val="CETCaption"/>
        <w:spacing w:before="0"/>
        <w:jc w:val="center"/>
        <w:rPr>
          <w:lang w:val="en-US"/>
        </w:rPr>
      </w:pPr>
      <w:r w:rsidRPr="00BD31BA">
        <w:rPr>
          <w:rStyle w:val="CETCaptionCarattere"/>
          <w:i/>
          <w:lang w:val="en-US"/>
        </w:rPr>
        <w:t xml:space="preserve">Figure 1: </w:t>
      </w:r>
      <w:r w:rsidR="00F0233B" w:rsidRPr="00BD31BA">
        <w:rPr>
          <w:rStyle w:val="CETCaptionCarattere"/>
          <w:i/>
          <w:lang w:val="en-US"/>
        </w:rPr>
        <w:t xml:space="preserve">Large-Scale CCUS Facilities in Operation, Construction, and Advanced Development </w:t>
      </w:r>
      <w:r w:rsidR="008B44EC">
        <w:rPr>
          <w:rStyle w:val="CETCaptionCarattere"/>
          <w:i/>
          <w:lang w:val="en-US"/>
        </w:rPr>
        <w:t>(</w:t>
      </w:r>
      <w:r w:rsidR="00215D80" w:rsidRPr="00BD31BA">
        <w:rPr>
          <w:rStyle w:val="CETCaptionCarattere"/>
          <w:i/>
          <w:lang w:val="en-US"/>
        </w:rPr>
        <w:t>HSBC</w:t>
      </w:r>
      <w:r w:rsidR="0068603F" w:rsidRPr="00BD31BA">
        <w:rPr>
          <w:rStyle w:val="CETCaptionCarattere"/>
          <w:i/>
          <w:lang w:val="en-US"/>
        </w:rPr>
        <w:t>, 2020</w:t>
      </w:r>
      <w:r w:rsidR="008B44EC">
        <w:rPr>
          <w:rStyle w:val="CETCaptionCarattere"/>
          <w:i/>
          <w:lang w:val="en-US"/>
        </w:rPr>
        <w:t>)</w:t>
      </w:r>
      <w:r w:rsidRPr="00BD31BA">
        <w:rPr>
          <w:rStyle w:val="CETCaptionCarattere"/>
          <w:i/>
          <w:lang w:val="en-US"/>
        </w:rPr>
        <w:t>.</w:t>
      </w:r>
    </w:p>
    <w:p w14:paraId="6FCA0319" w14:textId="217DA233" w:rsidR="00CD55E5" w:rsidRPr="00BD31BA" w:rsidRDefault="00CD55E5" w:rsidP="00CD55E5">
      <w:pPr>
        <w:pStyle w:val="CETBodytext"/>
      </w:pPr>
      <w:r w:rsidRPr="00BD31BA">
        <w:t>Reactive amine absorption processes have been widely deployed in natural and industrial gas streams purification applications, especially for acid gas (CO</w:t>
      </w:r>
      <w:r w:rsidRPr="00BD31BA">
        <w:rPr>
          <w:vertAlign w:val="subscript"/>
        </w:rPr>
        <w:t>2</w:t>
      </w:r>
      <w:r w:rsidRPr="00BD31BA">
        <w:t>, H</w:t>
      </w:r>
      <w:r w:rsidRPr="00BD31BA">
        <w:rPr>
          <w:vertAlign w:val="subscript"/>
        </w:rPr>
        <w:t>2</w:t>
      </w:r>
      <w:r w:rsidRPr="00BD31BA">
        <w:t>S) removal. The consolidated operating experience boosted the application of these technologies to the treatment of flue gas</w:t>
      </w:r>
      <w:r w:rsidR="00872A1B" w:rsidRPr="00BD31BA">
        <w:t xml:space="preserve"> (Mokhatab et al., </w:t>
      </w:r>
      <w:r w:rsidR="008A2B30" w:rsidRPr="00BD31BA">
        <w:t>2012)</w:t>
      </w:r>
      <w:r w:rsidRPr="00BD31BA">
        <w:t>.</w:t>
      </w:r>
    </w:p>
    <w:p w14:paraId="33E5C846" w14:textId="49CA723E" w:rsidR="00CD55E5" w:rsidRPr="00BD31BA" w:rsidRDefault="00CD55E5" w:rsidP="00CD55E5">
      <w:pPr>
        <w:pStyle w:val="CETBodytext"/>
      </w:pPr>
      <w:r w:rsidRPr="00BD31BA">
        <w:t xml:space="preserve">Alternatively, traditional carbonate–based absorbent solutions have been reconsidered as substitute to amine. Carbonate based solution have a higher degradation resistance to oxygen than amines but their lower efficiency at atmospheric pressure requires the flue gas to be compressed to reach the optimal operating conditions. </w:t>
      </w:r>
      <w:r w:rsidR="00B13385" w:rsidRPr="00BD31BA">
        <w:t>I</w:t>
      </w:r>
      <w:r w:rsidR="00C55E61" w:rsidRPr="00BD31BA">
        <w:t>t is industrial experience that t</w:t>
      </w:r>
      <w:r w:rsidRPr="00BD31BA">
        <w:t>his</w:t>
      </w:r>
      <w:r w:rsidR="00C55E61" w:rsidRPr="00BD31BA">
        <w:t xml:space="preserve"> solution</w:t>
      </w:r>
      <w:r w:rsidRPr="00BD31BA">
        <w:t xml:space="preserve"> may not be economical or feasible for some processes</w:t>
      </w:r>
      <w:r w:rsidR="00442AAF" w:rsidRPr="00BD31BA">
        <w:t>, especially for low CO</w:t>
      </w:r>
      <w:r w:rsidR="00442AAF" w:rsidRPr="00BD31BA">
        <w:rPr>
          <w:vertAlign w:val="subscript"/>
        </w:rPr>
        <w:t>2</w:t>
      </w:r>
      <w:r w:rsidR="00442AAF" w:rsidRPr="00BD31BA">
        <w:t xml:space="preserve"> concentrations</w:t>
      </w:r>
      <w:r w:rsidR="0069773B" w:rsidRPr="00BD31BA">
        <w:t xml:space="preserve"> (</w:t>
      </w:r>
      <w:r w:rsidR="00505FE3" w:rsidRPr="00BD31BA">
        <w:t>Smith et al.</w:t>
      </w:r>
      <w:r w:rsidR="00BF458D" w:rsidRPr="00BD31BA">
        <w:t>, 2016)</w:t>
      </w:r>
      <w:r w:rsidRPr="00BD31BA">
        <w:t>.</w:t>
      </w:r>
    </w:p>
    <w:p w14:paraId="1140F861" w14:textId="77777777" w:rsidR="00CD55E5" w:rsidRPr="00BD31BA" w:rsidRDefault="00CD55E5" w:rsidP="00CD55E5">
      <w:pPr>
        <w:pStyle w:val="CETBodytext"/>
      </w:pPr>
      <w:r w:rsidRPr="00BD31BA">
        <w:t>CCS can also be obtained by separation with membranes. Membranes are specific equipment designed to allow for selective permeation of one gas through them. The typical driver for separation is pressure, meaning that the overall flue gas must be fed at high pressure to overcome the pressure drop of the membrane. This limits the application of this technology to flue gases at high pressure or with a high concentration of CO</w:t>
      </w:r>
      <w:r w:rsidRPr="00BD31BA">
        <w:rPr>
          <w:vertAlign w:val="subscript"/>
        </w:rPr>
        <w:t>2</w:t>
      </w:r>
      <w:r w:rsidRPr="00BD31BA">
        <w:t xml:space="preserve">. Furthermore, membranes have not yet been applied for large scale applications and their reliability and costs still </w:t>
      </w:r>
      <w:proofErr w:type="gramStart"/>
      <w:r w:rsidRPr="00BD31BA">
        <w:t>have to</w:t>
      </w:r>
      <w:proofErr w:type="gramEnd"/>
      <w:r w:rsidRPr="00BD31BA">
        <w:t xml:space="preserve"> be improved.</w:t>
      </w:r>
    </w:p>
    <w:p w14:paraId="048557A4" w14:textId="6A206BAA" w:rsidR="00CD55E5" w:rsidRPr="00BD31BA" w:rsidRDefault="006D4DD9" w:rsidP="00CD55E5">
      <w:pPr>
        <w:pStyle w:val="CETBodytext"/>
      </w:pPr>
      <w:r w:rsidRPr="00BD31BA">
        <w:t xml:space="preserve">An additional </w:t>
      </w:r>
      <w:r w:rsidR="0010695D" w:rsidRPr="00BD31BA">
        <w:t>methodology</w:t>
      </w:r>
      <w:r w:rsidRPr="00BD31BA">
        <w:t xml:space="preserve"> to </w:t>
      </w:r>
      <w:r w:rsidR="006B4105" w:rsidRPr="00BD31BA">
        <w:t>implement</w:t>
      </w:r>
      <w:r w:rsidR="0010695D" w:rsidRPr="00BD31BA">
        <w:t xml:space="preserve"> </w:t>
      </w:r>
      <w:r w:rsidR="006B4105" w:rsidRPr="00BD31BA">
        <w:t xml:space="preserve">a </w:t>
      </w:r>
      <w:r w:rsidR="00CD55E5" w:rsidRPr="00BD31BA">
        <w:t xml:space="preserve">Carbon </w:t>
      </w:r>
      <w:r w:rsidR="0010695D" w:rsidRPr="00BD31BA">
        <w:t>Capture</w:t>
      </w:r>
      <w:r w:rsidR="006B4105" w:rsidRPr="00BD31BA">
        <w:t xml:space="preserve"> system</w:t>
      </w:r>
      <w:r w:rsidR="0010695D" w:rsidRPr="00BD31BA">
        <w:t xml:space="preserve"> </w:t>
      </w:r>
      <w:r w:rsidRPr="00BD31BA">
        <w:t>is</w:t>
      </w:r>
      <w:r w:rsidR="00CD55E5" w:rsidRPr="00BD31BA">
        <w:t xml:space="preserve"> by distillation of a liquefied gas stream and refrigeration separation. Liquefying a gas allows the separation of its component in a distillation column thanks to the different volatility of the gases and refrigerated separation can be applied also for CCS. Even though the TRL of this technology still </w:t>
      </w:r>
      <w:r w:rsidR="00BC0278" w:rsidRPr="00BD31BA">
        <w:t>must</w:t>
      </w:r>
      <w:r w:rsidR="00CD55E5" w:rsidRPr="00BD31BA">
        <w:t xml:space="preserve"> be improved, the separation by refrigeration is interesting when CO</w:t>
      </w:r>
      <w:r w:rsidR="00CD55E5" w:rsidRPr="00BD31BA">
        <w:rPr>
          <w:vertAlign w:val="subscript"/>
        </w:rPr>
        <w:t>2</w:t>
      </w:r>
      <w:r w:rsidR="00CD55E5" w:rsidRPr="00BD31BA">
        <w:t xml:space="preserve"> needs to be liquefied for storage and shipping purposes</w:t>
      </w:r>
      <w:r w:rsidR="0051069F" w:rsidRPr="00BD31BA">
        <w:t xml:space="preserve"> (Baxter et al., 2019)</w:t>
      </w:r>
      <w:r w:rsidR="00CD55E5" w:rsidRPr="00BD31BA">
        <w:t>.</w:t>
      </w:r>
    </w:p>
    <w:p w14:paraId="0A7FDD1D" w14:textId="5527E606" w:rsidR="00CD55E5" w:rsidRPr="00BD31BA" w:rsidRDefault="00CD55E5" w:rsidP="00CD55E5">
      <w:pPr>
        <w:pStyle w:val="CETBodytext"/>
      </w:pPr>
      <w:r w:rsidRPr="00BD31BA">
        <w:t xml:space="preserve">PCC systems are generally simple add-on facilities, whose installation does not require major retrofitting works in the existing plant. Tie-ins to the existing plant and integration with existing facilities are </w:t>
      </w:r>
      <w:r w:rsidR="00BE3BC2" w:rsidRPr="00BD31BA">
        <w:t xml:space="preserve">usually </w:t>
      </w:r>
      <w:r w:rsidR="00DB4ACD" w:rsidRPr="00BD31BA">
        <w:t xml:space="preserve">impacting </w:t>
      </w:r>
      <w:r w:rsidRPr="00BD31BA">
        <w:t xml:space="preserve">the following </w:t>
      </w:r>
      <w:r w:rsidR="00332700" w:rsidRPr="00BD31BA">
        <w:t xml:space="preserve">main intervention </w:t>
      </w:r>
      <w:r w:rsidRPr="00BD31BA">
        <w:t>areas:</w:t>
      </w:r>
    </w:p>
    <w:p w14:paraId="66524D4B" w14:textId="553D55B7" w:rsidR="00CD55E5" w:rsidRPr="00BD31BA" w:rsidRDefault="00CD55E5" w:rsidP="007B7F7A">
      <w:pPr>
        <w:pStyle w:val="CETBodytext"/>
        <w:numPr>
          <w:ilvl w:val="0"/>
          <w:numId w:val="25"/>
        </w:numPr>
      </w:pPr>
      <w:r w:rsidRPr="00BD31BA">
        <w:t>integration with the flue gas path;</w:t>
      </w:r>
    </w:p>
    <w:p w14:paraId="7E6C1314" w14:textId="1B7E8D17" w:rsidR="00CD55E5" w:rsidRPr="00BD31BA" w:rsidRDefault="00CD55E5" w:rsidP="007B7F7A">
      <w:pPr>
        <w:pStyle w:val="CETBodytext"/>
        <w:numPr>
          <w:ilvl w:val="0"/>
          <w:numId w:val="25"/>
        </w:numPr>
      </w:pPr>
      <w:r w:rsidRPr="00BD31BA">
        <w:t>interfacing with the plant combustion control system;</w:t>
      </w:r>
    </w:p>
    <w:p w14:paraId="1324E87E" w14:textId="60F77E86" w:rsidR="00CD55E5" w:rsidRPr="00BD31BA" w:rsidRDefault="00CD55E5" w:rsidP="007B7F7A">
      <w:pPr>
        <w:pStyle w:val="CETBodytext"/>
        <w:numPr>
          <w:ilvl w:val="0"/>
          <w:numId w:val="25"/>
        </w:numPr>
      </w:pPr>
      <w:r w:rsidRPr="00BD31BA">
        <w:t>provision of utilities (Steam, Cooling Water, Demi Water, Instrument Air, Nitrogen, Electricity).</w:t>
      </w:r>
    </w:p>
    <w:p w14:paraId="6DBC5A1B" w14:textId="5F4A7F42" w:rsidR="00C8340D" w:rsidRDefault="008777AD" w:rsidP="008777AD">
      <w:pPr>
        <w:pStyle w:val="CETBodytext"/>
      </w:pPr>
      <w:r w:rsidRPr="00BD31BA">
        <w:t>Among the technological alternatives, chemical absorption-based process for CO</w:t>
      </w:r>
      <w:r w:rsidRPr="00BD31BA">
        <w:rPr>
          <w:vertAlign w:val="subscript"/>
        </w:rPr>
        <w:t>2</w:t>
      </w:r>
      <w:r w:rsidRPr="00BD31BA">
        <w:t xml:space="preserve"> capture from post-combustion streams is the most adopted solution</w:t>
      </w:r>
      <w:r w:rsidR="00CC2331">
        <w:t>. A</w:t>
      </w:r>
      <w:r w:rsidRPr="00BD31BA">
        <w:t xml:space="preserve">mine-based PCC </w:t>
      </w:r>
      <w:r w:rsidR="00CC2331">
        <w:t xml:space="preserve">has been </w:t>
      </w:r>
      <w:r w:rsidR="004B7518">
        <w:t>evaluated</w:t>
      </w:r>
      <w:r w:rsidR="00CC2331">
        <w:t xml:space="preserve"> as the </w:t>
      </w:r>
      <w:r w:rsidR="0014435D">
        <w:t xml:space="preserve">benchmark in this paper </w:t>
      </w:r>
      <w:r w:rsidR="007C2009">
        <w:t>due to</w:t>
      </w:r>
      <w:r w:rsidR="0014435D">
        <w:t xml:space="preserve"> the following</w:t>
      </w:r>
      <w:r w:rsidR="00D5721E">
        <w:t xml:space="preserve"> considerations</w:t>
      </w:r>
      <w:r w:rsidR="00C8340D">
        <w:t>:</w:t>
      </w:r>
    </w:p>
    <w:p w14:paraId="769A0AA9" w14:textId="7D863661" w:rsidR="008777AD" w:rsidRDefault="00C8340D" w:rsidP="0001293F">
      <w:pPr>
        <w:pStyle w:val="CETBodytext"/>
        <w:numPr>
          <w:ilvl w:val="0"/>
          <w:numId w:val="27"/>
        </w:numPr>
      </w:pPr>
      <w:r>
        <w:t>It is</w:t>
      </w:r>
      <w:r w:rsidR="008777AD" w:rsidRPr="00BD31BA">
        <w:t xml:space="preserve"> the most reliable and flexible option, specifically due to its resistance to degradation in presence of Oxygen, </w:t>
      </w:r>
      <w:proofErr w:type="gramStart"/>
      <w:r w:rsidR="008777AD" w:rsidRPr="00BD31BA">
        <w:t>NO</w:t>
      </w:r>
      <w:r w:rsidR="008777AD" w:rsidRPr="00BE4FD9">
        <w:rPr>
          <w:vertAlign w:val="subscript"/>
        </w:rPr>
        <w:t>x</w:t>
      </w:r>
      <w:proofErr w:type="gramEnd"/>
      <w:r w:rsidR="008777AD" w:rsidRPr="00BD31BA">
        <w:t xml:space="preserve"> and </w:t>
      </w:r>
      <w:proofErr w:type="spellStart"/>
      <w:r w:rsidR="008777AD" w:rsidRPr="00BD31BA">
        <w:t>SO</w:t>
      </w:r>
      <w:r w:rsidR="008777AD" w:rsidRPr="00BE4FD9">
        <w:rPr>
          <w:vertAlign w:val="subscript"/>
        </w:rPr>
        <w:t>x</w:t>
      </w:r>
      <w:proofErr w:type="spellEnd"/>
      <w:r w:rsidR="008B13AE">
        <w:t>;</w:t>
      </w:r>
    </w:p>
    <w:p w14:paraId="4775A6E9" w14:textId="78E0E9BA" w:rsidR="0001293F" w:rsidRDefault="00A74BC5" w:rsidP="0001293F">
      <w:pPr>
        <w:pStyle w:val="CETBodytext"/>
        <w:numPr>
          <w:ilvl w:val="0"/>
          <w:numId w:val="27"/>
        </w:numPr>
      </w:pPr>
      <w:r>
        <w:t>Amine</w:t>
      </w:r>
      <w:r w:rsidR="003B0C5A">
        <w:t>-based</w:t>
      </w:r>
      <w:r>
        <w:t xml:space="preserve"> systems are effective </w:t>
      </w:r>
      <w:r w:rsidR="00FC0D46">
        <w:t xml:space="preserve">in a wide range of </w:t>
      </w:r>
      <w:r w:rsidR="00F227FB">
        <w:t>fl</w:t>
      </w:r>
      <w:r w:rsidR="00903253">
        <w:t xml:space="preserve">ue </w:t>
      </w:r>
      <w:r w:rsidR="00F227FB">
        <w:t>g</w:t>
      </w:r>
      <w:r w:rsidR="00903253">
        <w:t>as</w:t>
      </w:r>
      <w:r w:rsidR="00FC0D46">
        <w:t xml:space="preserve"> CO</w:t>
      </w:r>
      <w:r w:rsidR="00FC0D46">
        <w:rPr>
          <w:vertAlign w:val="subscript"/>
        </w:rPr>
        <w:t>2</w:t>
      </w:r>
      <w:r w:rsidR="00903253">
        <w:t xml:space="preserve"> concentration</w:t>
      </w:r>
      <w:r w:rsidR="003B0C5A">
        <w:t>s</w:t>
      </w:r>
      <w:r w:rsidR="008B13AE">
        <w:t>;</w:t>
      </w:r>
    </w:p>
    <w:p w14:paraId="7589E06E" w14:textId="5291B617" w:rsidR="00DE681F" w:rsidRDefault="003B0C5A" w:rsidP="00DE681F">
      <w:pPr>
        <w:pStyle w:val="CETBodytext"/>
        <w:numPr>
          <w:ilvl w:val="0"/>
          <w:numId w:val="27"/>
        </w:numPr>
      </w:pPr>
      <w:r>
        <w:t xml:space="preserve">It is a </w:t>
      </w:r>
      <w:r w:rsidR="005673A8">
        <w:t>well-known</w:t>
      </w:r>
      <w:r>
        <w:t xml:space="preserve"> technology that is </w:t>
      </w:r>
      <w:r w:rsidR="00BA45D2">
        <w:t xml:space="preserve">already been used extensively and it is </w:t>
      </w:r>
      <w:proofErr w:type="gramStart"/>
      <w:r w:rsidR="00BA45D2">
        <w:t>similar to</w:t>
      </w:r>
      <w:proofErr w:type="gramEnd"/>
      <w:r w:rsidR="00BA45D2">
        <w:t xml:space="preserve"> other </w:t>
      </w:r>
      <w:r w:rsidR="00820FA9">
        <w:t xml:space="preserve">end-of-pipe environmental control systems used </w:t>
      </w:r>
      <w:r w:rsidR="00F227FB">
        <w:t>for the treatment of flue gases</w:t>
      </w:r>
      <w:r w:rsidR="008B13AE">
        <w:t>;</w:t>
      </w:r>
    </w:p>
    <w:p w14:paraId="48DAB83B" w14:textId="4065C4C5" w:rsidR="00DE681F" w:rsidRDefault="00DE681F" w:rsidP="006315A0">
      <w:pPr>
        <w:pStyle w:val="CETBodytext"/>
        <w:numPr>
          <w:ilvl w:val="0"/>
          <w:numId w:val="27"/>
        </w:numPr>
      </w:pPr>
      <w:r>
        <w:t>Major efforts a</w:t>
      </w:r>
      <w:r w:rsidR="008A764B">
        <w:t xml:space="preserve">re </w:t>
      </w:r>
      <w:r w:rsidR="00A96878">
        <w:t>ongoing</w:t>
      </w:r>
      <w:r w:rsidR="008A764B">
        <w:t xml:space="preserve"> to improve this process </w:t>
      </w:r>
      <w:r w:rsidR="00FA5637">
        <w:t>for it</w:t>
      </w:r>
      <w:r w:rsidR="008A764B">
        <w:t xml:space="preserve"> is </w:t>
      </w:r>
      <w:r w:rsidR="00FA5637">
        <w:t xml:space="preserve">regarded as </w:t>
      </w:r>
      <w:r w:rsidR="008A764B">
        <w:t xml:space="preserve">the </w:t>
      </w:r>
      <w:r w:rsidR="00FA5637">
        <w:t>system that will lead the CO</w:t>
      </w:r>
      <w:r w:rsidR="00FA5637">
        <w:rPr>
          <w:vertAlign w:val="subscript"/>
        </w:rPr>
        <w:t>2</w:t>
      </w:r>
      <w:r w:rsidR="00FA5637">
        <w:t xml:space="preserve"> abatement efforts</w:t>
      </w:r>
      <w:r w:rsidR="00272617">
        <w:t xml:space="preserve"> for example using different columns configurations or solvent concentrations (</w:t>
      </w:r>
      <w:proofErr w:type="spellStart"/>
      <w:r w:rsidR="00272617">
        <w:t>Kayahan</w:t>
      </w:r>
      <w:proofErr w:type="spellEnd"/>
      <w:r w:rsidR="00272617">
        <w:t xml:space="preserve"> et al 2023)</w:t>
      </w:r>
      <w:r w:rsidR="00FA5637">
        <w:t>.</w:t>
      </w:r>
    </w:p>
    <w:p w14:paraId="647F6748" w14:textId="457928ED" w:rsidR="00C8340D" w:rsidRPr="00BD31BA" w:rsidRDefault="00C8340D" w:rsidP="008777AD">
      <w:pPr>
        <w:pStyle w:val="CETBodytext"/>
      </w:pPr>
    </w:p>
    <w:p w14:paraId="2B11CD3B" w14:textId="248B63D5" w:rsidR="007E0C56" w:rsidRPr="00BD31BA" w:rsidRDefault="00CD55E5" w:rsidP="00CD55E5">
      <w:pPr>
        <w:pStyle w:val="CETBodytext"/>
      </w:pPr>
      <w:r w:rsidRPr="00BD31BA">
        <w:t xml:space="preserve">The process scheme of chemical absorption processes for PCC is essentially the same as the one for conventional oil &amp; gas applications. A simplified diagram of a typical chemical absorption-based PCC plant is shown in Figure </w:t>
      </w:r>
      <w:r w:rsidR="008B30EC" w:rsidRPr="00BD31BA">
        <w:t>2:</w:t>
      </w:r>
    </w:p>
    <w:p w14:paraId="4F5DA33D" w14:textId="7230C457" w:rsidR="00A9731E" w:rsidRPr="00BD31BA" w:rsidRDefault="008143BF" w:rsidP="008143BF">
      <w:pPr>
        <w:pStyle w:val="CETBodytext"/>
        <w:jc w:val="center"/>
      </w:pPr>
      <w:r w:rsidRPr="00BD31BA">
        <w:rPr>
          <w:noProof/>
        </w:rPr>
        <w:drawing>
          <wp:inline distT="0" distB="0" distL="0" distR="0" wp14:anchorId="53E92DC6" wp14:editId="338DDB9F">
            <wp:extent cx="2628265" cy="2004060"/>
            <wp:effectExtent l="0" t="0" r="635" b="0"/>
            <wp:docPr id="35" name="Picture 3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 engineering drawing&#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28265" cy="2004060"/>
                    </a:xfrm>
                    <a:prstGeom prst="rect">
                      <a:avLst/>
                    </a:prstGeom>
                  </pic:spPr>
                </pic:pic>
              </a:graphicData>
            </a:graphic>
          </wp:inline>
        </w:drawing>
      </w:r>
    </w:p>
    <w:p w14:paraId="564C409D" w14:textId="3F48AFFD" w:rsidR="00A9731E" w:rsidRPr="00BD31BA" w:rsidRDefault="00A9731E" w:rsidP="008B30EC">
      <w:pPr>
        <w:pStyle w:val="CETCaption"/>
        <w:spacing w:before="0"/>
        <w:jc w:val="center"/>
        <w:rPr>
          <w:lang w:val="en-US"/>
        </w:rPr>
      </w:pPr>
      <w:r w:rsidRPr="00BD31BA">
        <w:rPr>
          <w:rStyle w:val="CETCaptionCarattere"/>
          <w:i/>
          <w:lang w:val="en-US"/>
        </w:rPr>
        <w:t xml:space="preserve">Figure </w:t>
      </w:r>
      <w:r w:rsidR="008B30EC" w:rsidRPr="00BD31BA">
        <w:rPr>
          <w:rStyle w:val="CETCaptionCarattere"/>
          <w:i/>
          <w:lang w:val="en-US"/>
        </w:rPr>
        <w:t>2</w:t>
      </w:r>
      <w:r w:rsidRPr="00BD31BA">
        <w:rPr>
          <w:rStyle w:val="CETCaptionCarattere"/>
          <w:i/>
          <w:lang w:val="en-US"/>
        </w:rPr>
        <w:t xml:space="preserve">: </w:t>
      </w:r>
      <w:r w:rsidR="008143BF" w:rsidRPr="00BD31BA">
        <w:rPr>
          <w:rStyle w:val="CETCaptionCarattere"/>
          <w:i/>
          <w:lang w:val="en-US"/>
        </w:rPr>
        <w:t>Simplified diagram of a chemical absorption process for CO</w:t>
      </w:r>
      <w:r w:rsidR="008143BF" w:rsidRPr="00BD31BA">
        <w:rPr>
          <w:rStyle w:val="CETCaptionCarattere"/>
          <w:i/>
          <w:vertAlign w:val="subscript"/>
          <w:lang w:val="en-US"/>
        </w:rPr>
        <w:t>2</w:t>
      </w:r>
      <w:r w:rsidR="008143BF" w:rsidRPr="00BD31BA">
        <w:rPr>
          <w:rStyle w:val="CETCaptionCarattere"/>
          <w:i/>
          <w:lang w:val="en-US"/>
        </w:rPr>
        <w:t xml:space="preserve"> capture.</w:t>
      </w:r>
    </w:p>
    <w:p w14:paraId="45AF120D" w14:textId="56520B24" w:rsidR="00F02767" w:rsidRPr="00BD31BA" w:rsidRDefault="00493D11" w:rsidP="00CD55E5">
      <w:pPr>
        <w:pStyle w:val="CETBodytext"/>
      </w:pPr>
      <w:r w:rsidRPr="00BD31BA">
        <w:t xml:space="preserve">The </w:t>
      </w:r>
      <w:r w:rsidR="00A74297" w:rsidRPr="00BD31BA">
        <w:t xml:space="preserve">typical </w:t>
      </w:r>
      <w:r w:rsidR="00DB75D4" w:rsidRPr="00BD31BA">
        <w:t>PCC plant foresees a flue gas stream that is firstly cooled in a Quenching Column that reduces its temperature to the optimum value (</w:t>
      </w:r>
      <w:r w:rsidR="008B44EC" w:rsidRPr="00BD31BA">
        <w:t>i.e.,</w:t>
      </w:r>
      <w:r w:rsidR="00DB75D4" w:rsidRPr="00BD31BA">
        <w:t xml:space="preserve"> between 35 to 43°C) </w:t>
      </w:r>
      <w:r w:rsidR="006B17BE" w:rsidRPr="00BD31BA">
        <w:t>and it is delivered to an Absorption Column where it enters in contact in counter</w:t>
      </w:r>
      <w:r w:rsidR="0076310E" w:rsidRPr="00BD31BA">
        <w:t>-</w:t>
      </w:r>
      <w:r w:rsidR="006B17BE" w:rsidRPr="00BD31BA">
        <w:t xml:space="preserve">current </w:t>
      </w:r>
      <w:r w:rsidR="00172428" w:rsidRPr="00BD31BA">
        <w:t xml:space="preserve">on packed beds </w:t>
      </w:r>
      <w:r w:rsidR="006B17BE" w:rsidRPr="00BD31BA">
        <w:t>with the amine solution.</w:t>
      </w:r>
    </w:p>
    <w:p w14:paraId="0402E116" w14:textId="7C8E7CBB" w:rsidR="00F02767" w:rsidRPr="00BD31BA" w:rsidRDefault="00C33FBF" w:rsidP="00CD55E5">
      <w:pPr>
        <w:pStyle w:val="CETBodytext"/>
      </w:pPr>
      <w:r w:rsidRPr="00BD31BA">
        <w:t xml:space="preserve">The cleaned flue gas leaves the top of the column, while the rich </w:t>
      </w:r>
      <w:r w:rsidR="004A0024" w:rsidRPr="00BD31BA">
        <w:t xml:space="preserve">solution is sent to the Regeneration Column </w:t>
      </w:r>
      <w:r w:rsidR="00FF38C0" w:rsidRPr="00BD31BA">
        <w:t xml:space="preserve">after having recovered </w:t>
      </w:r>
      <w:r w:rsidR="009D0128" w:rsidRPr="00BD31BA">
        <w:t>part of the lean solution</w:t>
      </w:r>
      <w:r w:rsidR="009918C3" w:rsidRPr="00BD31BA">
        <w:t xml:space="preserve"> heat with a feed/effluent </w:t>
      </w:r>
      <w:r w:rsidR="00FF38C0" w:rsidRPr="00BD31BA">
        <w:t>exchanger.</w:t>
      </w:r>
    </w:p>
    <w:p w14:paraId="7610EECA" w14:textId="65AC437D" w:rsidR="00F02767" w:rsidRPr="00BD31BA" w:rsidRDefault="009D0128" w:rsidP="00CD55E5">
      <w:pPr>
        <w:pStyle w:val="CETBodytext"/>
      </w:pPr>
      <w:r w:rsidRPr="00BD31BA">
        <w:t xml:space="preserve">The stripping vapor from column reboiler </w:t>
      </w:r>
      <w:r w:rsidR="00C7741F" w:rsidRPr="00BD31BA">
        <w:t xml:space="preserve">flows upward while the rich solution proceeds downward in the Regenerator </w:t>
      </w:r>
      <w:r w:rsidR="00E74A8A" w:rsidRPr="00BD31BA">
        <w:t xml:space="preserve">therefore achieving the regeneration of amine solution at the column bottom, while from the top </w:t>
      </w:r>
      <w:r w:rsidR="005972FE" w:rsidRPr="00BD31BA">
        <w:t>an almost clean CO</w:t>
      </w:r>
      <w:r w:rsidR="005972FE" w:rsidRPr="00BD31BA">
        <w:rPr>
          <w:vertAlign w:val="subscript"/>
        </w:rPr>
        <w:t>2</w:t>
      </w:r>
      <w:r w:rsidR="005972FE" w:rsidRPr="00BD31BA">
        <w:t xml:space="preserve"> is delivered to battery limits downstream </w:t>
      </w:r>
      <w:r w:rsidR="000540B1" w:rsidRPr="00BD31BA">
        <w:t>the overhead condensation.</w:t>
      </w:r>
    </w:p>
    <w:p w14:paraId="6BA3EBD8" w14:textId="5C40E351" w:rsidR="00A9731E" w:rsidRPr="00BD31BA" w:rsidRDefault="007C4B70" w:rsidP="00CD55E5">
      <w:pPr>
        <w:pStyle w:val="CETBodytext"/>
      </w:pPr>
      <w:r w:rsidRPr="00BD31BA">
        <w:t xml:space="preserve">The present paper will </w:t>
      </w:r>
      <w:r w:rsidR="008F26E4" w:rsidRPr="00BD31BA">
        <w:t xml:space="preserve">evaluate the main elements that condition the system design, the general evaluation on the criteria that shall be followed to </w:t>
      </w:r>
      <w:r w:rsidR="009F745D" w:rsidRPr="00BD31BA">
        <w:t>calculate</w:t>
      </w:r>
      <w:r w:rsidR="008F26E4" w:rsidRPr="00BD31BA">
        <w:t xml:space="preserve"> main equipment sizing and </w:t>
      </w:r>
      <w:r w:rsidR="00E50F47" w:rsidRPr="00BD31BA">
        <w:t xml:space="preserve">two case studies that highlight the importance of tailoring the system topology when addressing the project specific </w:t>
      </w:r>
      <w:r w:rsidR="009F745D" w:rsidRPr="00BD31BA">
        <w:t>conditions.</w:t>
      </w:r>
    </w:p>
    <w:p w14:paraId="31B46620" w14:textId="3E7BFB62" w:rsidR="001B6405" w:rsidRPr="00BD31BA" w:rsidRDefault="00FB0D93" w:rsidP="001B6405">
      <w:pPr>
        <w:pStyle w:val="CETHeading1"/>
        <w:tabs>
          <w:tab w:val="num" w:pos="360"/>
        </w:tabs>
      </w:pPr>
      <w:r w:rsidRPr="00BD31BA">
        <w:t xml:space="preserve">Modelling </w:t>
      </w:r>
      <w:r w:rsidR="00910CD4" w:rsidRPr="00BD31BA">
        <w:t xml:space="preserve">Strategy for </w:t>
      </w:r>
      <w:r w:rsidRPr="00BD31BA">
        <w:t xml:space="preserve">CCS </w:t>
      </w:r>
      <w:r w:rsidR="00910CD4" w:rsidRPr="00BD31BA">
        <w:t>system</w:t>
      </w:r>
    </w:p>
    <w:p w14:paraId="3CCF4549" w14:textId="5CF6FEDC" w:rsidR="00F16BDE" w:rsidRPr="00BD31BA" w:rsidRDefault="00EC049D" w:rsidP="00666CFB">
      <w:pPr>
        <w:pStyle w:val="CETBodytext"/>
      </w:pPr>
      <w:r w:rsidRPr="00BD31BA">
        <w:t xml:space="preserve">In the industrial application most of the available </w:t>
      </w:r>
      <w:r w:rsidR="005B451C" w:rsidRPr="00BD31BA">
        <w:t xml:space="preserve">processes are licensed technologies, therefore </w:t>
      </w:r>
      <w:r w:rsidR="001810F9" w:rsidRPr="00BD31BA">
        <w:t xml:space="preserve">the relevant solution model is considered </w:t>
      </w:r>
      <w:r w:rsidR="00F16BDE" w:rsidRPr="00BD31BA">
        <w:t>confidential,</w:t>
      </w:r>
      <w:r w:rsidR="001810F9" w:rsidRPr="00BD31BA">
        <w:t xml:space="preserve"> and it is </w:t>
      </w:r>
      <w:r w:rsidR="00C17A95" w:rsidRPr="00BD31BA">
        <w:t xml:space="preserve">often </w:t>
      </w:r>
      <w:r w:rsidR="001810F9" w:rsidRPr="00BD31BA">
        <w:t xml:space="preserve">not available </w:t>
      </w:r>
      <w:r w:rsidR="00F16BDE" w:rsidRPr="00BD31BA">
        <w:t>to the engineering companies.</w:t>
      </w:r>
    </w:p>
    <w:p w14:paraId="07BA9BB9" w14:textId="3D169288" w:rsidR="00666CFB" w:rsidRPr="00BD31BA" w:rsidRDefault="00905233" w:rsidP="00666CFB">
      <w:pPr>
        <w:pStyle w:val="CETBodytext"/>
      </w:pPr>
      <w:r w:rsidRPr="00BD31BA">
        <w:t>However</w:t>
      </w:r>
      <w:r w:rsidR="00B37254" w:rsidRPr="00BD31BA">
        <w:t>,</w:t>
      </w:r>
      <w:r w:rsidRPr="00BD31BA">
        <w:t xml:space="preserve"> </w:t>
      </w:r>
      <w:r w:rsidR="008B44EC" w:rsidRPr="00BD31BA">
        <w:t>to</w:t>
      </w:r>
      <w:r w:rsidRPr="00BD31BA">
        <w:t xml:space="preserve"> </w:t>
      </w:r>
      <w:r w:rsidR="009E0932" w:rsidRPr="00BD31BA">
        <w:t>perform</w:t>
      </w:r>
      <w:r w:rsidR="008D2ED6" w:rsidRPr="00BD31BA">
        <w:t xml:space="preserve"> system optimization</w:t>
      </w:r>
      <w:r w:rsidR="009E0932" w:rsidRPr="00BD31BA">
        <w:t>s</w:t>
      </w:r>
      <w:r w:rsidR="008D2ED6" w:rsidRPr="00BD31BA">
        <w:t xml:space="preserve"> well before Licensor’s involvement</w:t>
      </w:r>
      <w:r w:rsidR="007161B1" w:rsidRPr="00BD31BA">
        <w:t>,</w:t>
      </w:r>
      <w:r w:rsidR="008D2ED6" w:rsidRPr="00BD31BA">
        <w:t xml:space="preserve"> it </w:t>
      </w:r>
      <w:r w:rsidR="00D86B9B">
        <w:t>is</w:t>
      </w:r>
      <w:r w:rsidR="002E6926" w:rsidRPr="00572C80">
        <w:t xml:space="preserve"> </w:t>
      </w:r>
      <w:r w:rsidR="00572C80">
        <w:t xml:space="preserve">a </w:t>
      </w:r>
      <w:r w:rsidR="00F90918" w:rsidRPr="00572C80">
        <w:t>technical</w:t>
      </w:r>
      <w:r w:rsidR="002E6926" w:rsidRPr="00BD31BA">
        <w:t xml:space="preserve"> advantage to create </w:t>
      </w:r>
      <w:r w:rsidR="00A51503" w:rsidRPr="00BD31BA">
        <w:t>internal model</w:t>
      </w:r>
      <w:r w:rsidR="00C17A95" w:rsidRPr="00BD31BA">
        <w:t>s</w:t>
      </w:r>
      <w:r w:rsidR="00A51503" w:rsidRPr="00BD31BA">
        <w:t xml:space="preserve"> that leverage on</w:t>
      </w:r>
      <w:r w:rsidR="004638C6">
        <w:t xml:space="preserve"> the </w:t>
      </w:r>
      <w:r w:rsidR="009E0932" w:rsidRPr="00BD31BA">
        <w:t>market</w:t>
      </w:r>
      <w:r w:rsidR="00D86B9B">
        <w:t xml:space="preserve"> experience</w:t>
      </w:r>
      <w:r w:rsidR="009E0932" w:rsidRPr="00BD31BA">
        <w:t xml:space="preserve"> to </w:t>
      </w:r>
      <w:r w:rsidR="00DE1B8C" w:rsidRPr="00BD31BA">
        <w:t>simulate</w:t>
      </w:r>
      <w:r w:rsidR="00F90918" w:rsidRPr="00BD31BA">
        <w:t xml:space="preserve"> </w:t>
      </w:r>
      <w:r w:rsidR="00DE1B8C" w:rsidRPr="00BD31BA">
        <w:t>plants performances and anticipate system design.</w:t>
      </w:r>
    </w:p>
    <w:p w14:paraId="7F3FD2FA" w14:textId="13C08DC2" w:rsidR="00DE1B8C" w:rsidRPr="00BD31BA" w:rsidRDefault="00CE57C1" w:rsidP="00666CFB">
      <w:pPr>
        <w:pStyle w:val="CETBodytext"/>
      </w:pPr>
      <w:r w:rsidRPr="00BD31BA">
        <w:t>Th</w:t>
      </w:r>
      <w:r w:rsidR="006779BC" w:rsidRPr="00BD31BA">
        <w:t>o</w:t>
      </w:r>
      <w:r w:rsidRPr="00BD31BA">
        <w:t>s</w:t>
      </w:r>
      <w:r w:rsidR="006779BC" w:rsidRPr="00BD31BA">
        <w:t>e</w:t>
      </w:r>
      <w:r w:rsidRPr="00BD31BA">
        <w:t xml:space="preserve"> </w:t>
      </w:r>
      <w:r w:rsidR="006779BC" w:rsidRPr="00BD31BA">
        <w:t xml:space="preserve">company </w:t>
      </w:r>
      <w:r w:rsidRPr="00BD31BA">
        <w:t>internal tool</w:t>
      </w:r>
      <w:r w:rsidR="006779BC" w:rsidRPr="00BD31BA">
        <w:t>s</w:t>
      </w:r>
      <w:r w:rsidRPr="00BD31BA">
        <w:t xml:space="preserve"> </w:t>
      </w:r>
      <w:r w:rsidR="006779BC" w:rsidRPr="00BD31BA">
        <w:t>are</w:t>
      </w:r>
      <w:r w:rsidRPr="00BD31BA">
        <w:t xml:space="preserve"> not considered </w:t>
      </w:r>
      <w:r w:rsidR="003E5F51" w:rsidRPr="00BD31BA">
        <w:t xml:space="preserve">substitutive </w:t>
      </w:r>
      <w:r w:rsidR="00DB42FE" w:rsidRPr="00BD31BA">
        <w:t>to</w:t>
      </w:r>
      <w:r w:rsidR="003E5F51" w:rsidRPr="00BD31BA">
        <w:t xml:space="preserve"> the essential know-how from </w:t>
      </w:r>
      <w:r w:rsidR="008B44EC" w:rsidRPr="00BD31BA">
        <w:t>Licensors,</w:t>
      </w:r>
      <w:r w:rsidR="00FB4355" w:rsidRPr="00BD31BA">
        <w:t xml:space="preserve"> but</w:t>
      </w:r>
      <w:r w:rsidR="003E5F51" w:rsidRPr="00BD31BA">
        <w:t xml:space="preserve"> </w:t>
      </w:r>
      <w:r w:rsidR="00AD5FE2">
        <w:t xml:space="preserve">they are </w:t>
      </w:r>
      <w:r w:rsidR="003E5F51" w:rsidRPr="00BD31BA">
        <w:t xml:space="preserve">a </w:t>
      </w:r>
      <w:r w:rsidR="00594757">
        <w:t>strategic instrument</w:t>
      </w:r>
      <w:r w:rsidR="001008FB" w:rsidRPr="00BD31BA">
        <w:t xml:space="preserve"> to perform in advance multiple sensiti</w:t>
      </w:r>
      <w:r w:rsidR="009F6222" w:rsidRPr="00BD31BA">
        <w:t>vities as well as optimizations on the overall plant operation</w:t>
      </w:r>
      <w:r w:rsidR="000E15F5" w:rsidRPr="00BD31BA">
        <w:t xml:space="preserve">, especially when the Carbon Capture system </w:t>
      </w:r>
      <w:r w:rsidR="00DB42FE" w:rsidRPr="00BD31BA">
        <w:t>must</w:t>
      </w:r>
      <w:r w:rsidR="000E15F5" w:rsidRPr="00BD31BA">
        <w:t xml:space="preserve"> be integrated </w:t>
      </w:r>
      <w:r w:rsidR="00FB4355" w:rsidRPr="00BD31BA">
        <w:t>among other units.</w:t>
      </w:r>
    </w:p>
    <w:p w14:paraId="72B1872D" w14:textId="3F42F36C" w:rsidR="00666CFB" w:rsidRPr="00BD31BA" w:rsidRDefault="004A1A85" w:rsidP="00666CFB">
      <w:pPr>
        <w:pStyle w:val="CETBodytext"/>
      </w:pPr>
      <w:r w:rsidRPr="00BD31BA">
        <w:t>Two main</w:t>
      </w:r>
      <w:r w:rsidR="00D86B9B">
        <w:t xml:space="preserve"> </w:t>
      </w:r>
      <w:r w:rsidR="00D8219B" w:rsidRPr="00BD31BA">
        <w:t>software</w:t>
      </w:r>
      <w:r w:rsidRPr="00BD31BA">
        <w:t xml:space="preserve"> are used to model the Carbon Capture plant</w:t>
      </w:r>
      <w:r w:rsidR="00613CB6" w:rsidRPr="00BD31BA">
        <w:t xml:space="preserve"> and they are used in combination to </w:t>
      </w:r>
      <w:r w:rsidR="008B44EC" w:rsidRPr="00BD31BA">
        <w:t>countercheck</w:t>
      </w:r>
      <w:r w:rsidR="00613CB6" w:rsidRPr="00BD31BA">
        <w:t xml:space="preserve"> the calculation</w:t>
      </w:r>
      <w:r w:rsidR="009B4228" w:rsidRPr="00BD31BA">
        <w:t>s</w:t>
      </w:r>
      <w:r w:rsidR="00613CB6" w:rsidRPr="00BD31BA">
        <w:t xml:space="preserve"> and ensure the highest reliability during early project phases:</w:t>
      </w:r>
    </w:p>
    <w:p w14:paraId="7FAAE482" w14:textId="6A62DBF5" w:rsidR="00613CB6" w:rsidRPr="00BD31BA" w:rsidRDefault="00095237" w:rsidP="00613CB6">
      <w:pPr>
        <w:pStyle w:val="CETBodytext"/>
        <w:numPr>
          <w:ilvl w:val="0"/>
          <w:numId w:val="26"/>
        </w:numPr>
      </w:pPr>
      <w:proofErr w:type="spellStart"/>
      <w:r w:rsidRPr="00BD31BA">
        <w:t>AspenPlus</w:t>
      </w:r>
      <w:proofErr w:type="spellEnd"/>
      <w:r w:rsidRPr="00BD31BA">
        <w:t xml:space="preserve">® and </w:t>
      </w:r>
      <w:proofErr w:type="spellStart"/>
      <w:r w:rsidRPr="00BD31BA">
        <w:t>Hysys</w:t>
      </w:r>
      <w:proofErr w:type="spellEnd"/>
      <w:r w:rsidRPr="00BD31BA">
        <w:t xml:space="preserve"> ®</w:t>
      </w:r>
      <w:r w:rsidR="006538DF" w:rsidRPr="00BD31BA">
        <w:t xml:space="preserve"> from </w:t>
      </w:r>
      <w:proofErr w:type="spellStart"/>
      <w:r w:rsidR="006538DF" w:rsidRPr="00BD31BA">
        <w:t>Aspentech</w:t>
      </w:r>
      <w:proofErr w:type="spellEnd"/>
      <w:r w:rsidR="006538DF" w:rsidRPr="00BD31BA">
        <w:t>;</w:t>
      </w:r>
    </w:p>
    <w:p w14:paraId="0C129480" w14:textId="701C7D7C" w:rsidR="00095237" w:rsidRPr="00BD31BA" w:rsidRDefault="00095237" w:rsidP="00613CB6">
      <w:pPr>
        <w:pStyle w:val="CETBodytext"/>
        <w:numPr>
          <w:ilvl w:val="0"/>
          <w:numId w:val="26"/>
        </w:numPr>
      </w:pPr>
      <w:r w:rsidRPr="00BD31BA">
        <w:t>Pro</w:t>
      </w:r>
      <w:r w:rsidR="00C03580" w:rsidRPr="00BD31BA">
        <w:t xml:space="preserve">Max® </w:t>
      </w:r>
      <w:r w:rsidR="009B4228" w:rsidRPr="00BD31BA">
        <w:t>from Bryan Research &amp; Engineering.</w:t>
      </w:r>
    </w:p>
    <w:p w14:paraId="100702E6" w14:textId="09EA6BC9" w:rsidR="009B4228" w:rsidRPr="00BD31BA" w:rsidRDefault="009B4228" w:rsidP="009B4228">
      <w:pPr>
        <w:pStyle w:val="CETBodytext"/>
      </w:pPr>
    </w:p>
    <w:p w14:paraId="0135C0EF" w14:textId="35D4B865" w:rsidR="005352A7" w:rsidRPr="00BD31BA" w:rsidRDefault="005352A7" w:rsidP="009B4228">
      <w:pPr>
        <w:pStyle w:val="CETBodytext"/>
      </w:pPr>
      <w:r w:rsidRPr="00BD31BA">
        <w:t>The key aspects that have be</w:t>
      </w:r>
      <w:r w:rsidR="0003309F" w:rsidRPr="00BD31BA">
        <w:t>en</w:t>
      </w:r>
      <w:r w:rsidRPr="00BD31BA">
        <w:t xml:space="preserve"> considered when modelling the Carbon Capture plants </w:t>
      </w:r>
      <w:r w:rsidR="003E132B" w:rsidRPr="00BD31BA">
        <w:t>are the following:</w:t>
      </w:r>
    </w:p>
    <w:p w14:paraId="1D21B7D9" w14:textId="2043EAED" w:rsidR="003E132B" w:rsidRPr="00BD31BA" w:rsidRDefault="003E132B" w:rsidP="003E132B">
      <w:pPr>
        <w:pStyle w:val="CETBodytext"/>
        <w:numPr>
          <w:ilvl w:val="0"/>
          <w:numId w:val="26"/>
        </w:numPr>
      </w:pPr>
      <w:r w:rsidRPr="00BD31BA">
        <w:t>Identification of the Thermodynamic model;</w:t>
      </w:r>
    </w:p>
    <w:p w14:paraId="68984C01" w14:textId="497627A8" w:rsidR="003E132B" w:rsidRPr="00BD31BA" w:rsidRDefault="00C81379" w:rsidP="003E132B">
      <w:pPr>
        <w:pStyle w:val="CETBodytext"/>
        <w:numPr>
          <w:ilvl w:val="0"/>
          <w:numId w:val="26"/>
        </w:numPr>
      </w:pPr>
      <w:r w:rsidRPr="00BD31BA">
        <w:t>Definition of the Amine solution composition.</w:t>
      </w:r>
    </w:p>
    <w:p w14:paraId="350349D1" w14:textId="7586394A" w:rsidR="00666CFB" w:rsidRPr="00BD31BA" w:rsidRDefault="0003309F" w:rsidP="00666CFB">
      <w:pPr>
        <w:pStyle w:val="CETBodytext"/>
      </w:pPr>
      <w:r w:rsidRPr="00BD31BA">
        <w:t xml:space="preserve">One of the most comprehensive </w:t>
      </w:r>
      <w:r w:rsidR="008C1B8C" w:rsidRPr="00BD31BA">
        <w:t>models</w:t>
      </w:r>
      <w:r w:rsidR="00F00929" w:rsidRPr="00BD31BA">
        <w:t>,</w:t>
      </w:r>
      <w:r w:rsidR="00436D9B" w:rsidRPr="00BD31BA">
        <w:t xml:space="preserve"> </w:t>
      </w:r>
      <w:r w:rsidR="00783A4F" w:rsidRPr="00BD31BA">
        <w:t xml:space="preserve">with a good fit </w:t>
      </w:r>
      <w:r w:rsidR="00714E98" w:rsidRPr="00BD31BA">
        <w:t xml:space="preserve">with </w:t>
      </w:r>
      <w:r w:rsidR="00783A4F" w:rsidRPr="00BD31BA">
        <w:t xml:space="preserve">Carbon Capture plant </w:t>
      </w:r>
      <w:r w:rsidR="00A62257" w:rsidRPr="00BD31BA">
        <w:t>operation</w:t>
      </w:r>
      <w:r w:rsidR="00F00929" w:rsidRPr="00BD31BA">
        <w:t>,</w:t>
      </w:r>
      <w:r w:rsidR="00A62257" w:rsidRPr="00BD31BA">
        <w:t xml:space="preserve"> </w:t>
      </w:r>
      <w:r w:rsidR="00783A4F" w:rsidRPr="00BD31BA">
        <w:t xml:space="preserve">is </w:t>
      </w:r>
      <w:r w:rsidR="003F2F61" w:rsidRPr="00BD31BA">
        <w:t xml:space="preserve">the one described in </w:t>
      </w:r>
      <w:r w:rsidR="008A138C" w:rsidRPr="00BD31BA">
        <w:t>the paper by Zhang (Zhan</w:t>
      </w:r>
      <w:r w:rsidR="00AD2D27">
        <w:t>g</w:t>
      </w:r>
      <w:r w:rsidR="008A138C" w:rsidRPr="00BD31BA">
        <w:t xml:space="preserve"> et al., </w:t>
      </w:r>
      <w:r w:rsidR="00BD7678" w:rsidRPr="00BD31BA">
        <w:t>2011)</w:t>
      </w:r>
      <w:r w:rsidR="000C68F2" w:rsidRPr="00BD31BA">
        <w:t xml:space="preserve"> and </w:t>
      </w:r>
      <w:r w:rsidR="00955DFF" w:rsidRPr="00BD31BA">
        <w:t>uses</w:t>
      </w:r>
      <w:r w:rsidR="00FD7C8E" w:rsidRPr="00BD31BA">
        <w:t xml:space="preserve"> </w:t>
      </w:r>
      <w:r w:rsidR="00955DFF" w:rsidRPr="00BD31BA">
        <w:t>electrolyte</w:t>
      </w:r>
      <w:r w:rsidR="00FD7C8E" w:rsidRPr="00BD31BA">
        <w:t>-NRTL activity coefficients for liquid phases properties definition</w:t>
      </w:r>
      <w:r w:rsidR="00151539" w:rsidRPr="00BD31BA">
        <w:t xml:space="preserve">, while PC-SAFT equation of state </w:t>
      </w:r>
      <w:r w:rsidR="000B2F3E" w:rsidRPr="00BD31BA">
        <w:t xml:space="preserve">is deployed </w:t>
      </w:r>
      <w:r w:rsidR="00151539" w:rsidRPr="00BD31BA">
        <w:t>for vapor phase.</w:t>
      </w:r>
    </w:p>
    <w:p w14:paraId="5A46368E" w14:textId="77777777" w:rsidR="00DC7785" w:rsidRPr="00BD31BA" w:rsidRDefault="00DC7785" w:rsidP="00846A48">
      <w:pPr>
        <w:pStyle w:val="CETBodytext"/>
      </w:pPr>
    </w:p>
    <w:p w14:paraId="4F97AC6A" w14:textId="612EC4F1" w:rsidR="000C2D78" w:rsidRPr="00BD31BA" w:rsidRDefault="0083725D" w:rsidP="00846A48">
      <w:pPr>
        <w:pStyle w:val="CETBodytext"/>
      </w:pPr>
      <w:r w:rsidRPr="00BD31BA">
        <w:t>The original study describes the CO</w:t>
      </w:r>
      <w:r w:rsidRPr="00BD31BA">
        <w:rPr>
          <w:vertAlign w:val="subscript"/>
        </w:rPr>
        <w:t>2</w:t>
      </w:r>
      <w:r w:rsidRPr="00BD31BA">
        <w:t xml:space="preserve"> absorption with MEA only using the following equilibrium reaction</w:t>
      </w:r>
      <w:r w:rsidR="00F00929" w:rsidRPr="00BD31BA">
        <w:t>s</w:t>
      </w:r>
      <w:r w:rsidRPr="00BD31BA">
        <w:t>:</w:t>
      </w:r>
    </w:p>
    <w:p w14:paraId="776D9532" w14:textId="577E5039" w:rsidR="00846A48" w:rsidRPr="00314C27" w:rsidRDefault="0083725D" w:rsidP="00846A48">
      <w:pPr>
        <w:pStyle w:val="CETBodytext"/>
        <w:rPr>
          <w:lang w:val="it-IT"/>
        </w:rPr>
      </w:pPr>
      <w:r w:rsidRPr="00314C27">
        <w:rPr>
          <w:lang w:val="it-IT"/>
        </w:rPr>
        <w:t>2</w:t>
      </w:r>
      <w:r w:rsidR="00F00929" w:rsidRPr="00314C27">
        <w:rPr>
          <w:lang w:val="it-IT"/>
        </w:rPr>
        <w:t xml:space="preserve"> </w:t>
      </w:r>
      <w:r w:rsidR="00846A48" w:rsidRPr="00314C27">
        <w:rPr>
          <w:lang w:val="it-IT"/>
        </w:rPr>
        <w:t>H</w:t>
      </w:r>
      <w:r w:rsidR="00846A48" w:rsidRPr="00314C27">
        <w:rPr>
          <w:vertAlign w:val="subscript"/>
          <w:lang w:val="it-IT"/>
        </w:rPr>
        <w:t>2</w:t>
      </w:r>
      <w:r w:rsidRPr="00314C27">
        <w:rPr>
          <w:lang w:val="it-IT"/>
        </w:rPr>
        <w:t>O</w:t>
      </w:r>
      <w:r w:rsidR="00846A48" w:rsidRPr="00314C27">
        <w:rPr>
          <w:lang w:val="it-IT"/>
        </w:rPr>
        <w:t xml:space="preserve"> </w:t>
      </w:r>
      <w:r w:rsidR="00F27EDB" w:rsidRPr="00314C27">
        <w:rPr>
          <w:rFonts w:cs="Arial"/>
          <w:lang w:val="it-IT"/>
        </w:rPr>
        <w:t>↔</w:t>
      </w:r>
      <w:r w:rsidR="00846A48" w:rsidRPr="00314C27">
        <w:rPr>
          <w:lang w:val="it-IT"/>
        </w:rPr>
        <w:t xml:space="preserve"> H</w:t>
      </w:r>
      <w:r w:rsidR="00846A48" w:rsidRPr="00314C27">
        <w:rPr>
          <w:vertAlign w:val="subscript"/>
          <w:lang w:val="it-IT"/>
        </w:rPr>
        <w:t>3</w:t>
      </w:r>
      <w:r w:rsidR="004F2709" w:rsidRPr="00314C27">
        <w:rPr>
          <w:lang w:val="it-IT"/>
        </w:rPr>
        <w:t>O</w:t>
      </w:r>
      <w:r w:rsidR="004F2709" w:rsidRPr="00314C27">
        <w:rPr>
          <w:vertAlign w:val="superscript"/>
          <w:lang w:val="it-IT"/>
        </w:rPr>
        <w:t>+</w:t>
      </w:r>
      <w:r w:rsidR="004F2709" w:rsidRPr="00314C27">
        <w:rPr>
          <w:lang w:val="it-IT"/>
        </w:rPr>
        <w:t xml:space="preserve"> </w:t>
      </w:r>
      <w:r w:rsidR="00846A48" w:rsidRPr="00314C27">
        <w:rPr>
          <w:lang w:val="it-IT"/>
        </w:rPr>
        <w:t xml:space="preserve">+ </w:t>
      </w:r>
      <w:r w:rsidR="0047275E" w:rsidRPr="00314C27">
        <w:rPr>
          <w:lang w:val="it-IT"/>
        </w:rPr>
        <w:t>OH</w:t>
      </w:r>
      <w:r w:rsidR="0047275E" w:rsidRPr="00314C27">
        <w:rPr>
          <w:vertAlign w:val="superscript"/>
          <w:lang w:val="it-IT"/>
        </w:rPr>
        <w:t>-</w:t>
      </w:r>
      <w:r w:rsidR="00846A48" w:rsidRPr="00314C27">
        <w:rPr>
          <w:lang w:val="it-IT"/>
        </w:rPr>
        <w:tab/>
        <w:t>(1)</w:t>
      </w:r>
    </w:p>
    <w:p w14:paraId="42019B3F" w14:textId="4ACE94AB" w:rsidR="00846A48" w:rsidRPr="00314C27" w:rsidRDefault="0047275E" w:rsidP="00846A48">
      <w:pPr>
        <w:pStyle w:val="CETBodytext"/>
        <w:rPr>
          <w:lang w:val="it-IT"/>
        </w:rPr>
      </w:pPr>
      <w:r w:rsidRPr="00314C27">
        <w:rPr>
          <w:lang w:val="it-IT"/>
        </w:rPr>
        <w:t>CO</w:t>
      </w:r>
      <w:r w:rsidRPr="00314C27">
        <w:rPr>
          <w:vertAlign w:val="subscript"/>
          <w:lang w:val="it-IT"/>
        </w:rPr>
        <w:t>2</w:t>
      </w:r>
      <w:r w:rsidRPr="00314C27">
        <w:rPr>
          <w:lang w:val="it-IT"/>
        </w:rPr>
        <w:t xml:space="preserve"> + 2</w:t>
      </w:r>
      <w:r w:rsidR="00F00929" w:rsidRPr="00314C27">
        <w:rPr>
          <w:lang w:val="it-IT"/>
        </w:rPr>
        <w:t xml:space="preserve"> </w:t>
      </w:r>
      <w:r w:rsidR="00846A48" w:rsidRPr="00314C27">
        <w:rPr>
          <w:lang w:val="it-IT"/>
        </w:rPr>
        <w:t>H</w:t>
      </w:r>
      <w:r w:rsidR="00846A48" w:rsidRPr="00314C27">
        <w:rPr>
          <w:vertAlign w:val="subscript"/>
          <w:lang w:val="it-IT"/>
        </w:rPr>
        <w:t>2</w:t>
      </w:r>
      <w:r w:rsidR="00846A48" w:rsidRPr="00314C27">
        <w:rPr>
          <w:lang w:val="it-IT"/>
        </w:rPr>
        <w:t>O + HCO</w:t>
      </w:r>
      <w:r w:rsidR="0068686E" w:rsidRPr="00314C27">
        <w:rPr>
          <w:vertAlign w:val="subscript"/>
          <w:lang w:val="it-IT"/>
        </w:rPr>
        <w:t>3</w:t>
      </w:r>
      <w:r w:rsidR="0068686E" w:rsidRPr="00314C27">
        <w:rPr>
          <w:vertAlign w:val="superscript"/>
          <w:lang w:val="it-IT"/>
        </w:rPr>
        <w:t>-</w:t>
      </w:r>
      <w:r w:rsidR="00846A48" w:rsidRPr="00314C27">
        <w:rPr>
          <w:lang w:val="it-IT"/>
        </w:rPr>
        <w:t xml:space="preserve"> </w:t>
      </w:r>
      <w:r w:rsidR="002422D1" w:rsidRPr="00314C27">
        <w:rPr>
          <w:rFonts w:cs="Arial"/>
          <w:lang w:val="it-IT"/>
        </w:rPr>
        <w:t>↔</w:t>
      </w:r>
      <w:r w:rsidR="00846A48" w:rsidRPr="00314C27">
        <w:rPr>
          <w:lang w:val="it-IT"/>
        </w:rPr>
        <w:t xml:space="preserve"> H</w:t>
      </w:r>
      <w:r w:rsidR="00846A48" w:rsidRPr="00314C27">
        <w:rPr>
          <w:vertAlign w:val="subscript"/>
          <w:lang w:val="it-IT"/>
        </w:rPr>
        <w:t>3</w:t>
      </w:r>
      <w:r w:rsidR="0068686E" w:rsidRPr="00314C27">
        <w:rPr>
          <w:lang w:val="it-IT"/>
        </w:rPr>
        <w:t>O</w:t>
      </w:r>
      <w:r w:rsidR="0068686E" w:rsidRPr="00314C27">
        <w:rPr>
          <w:vertAlign w:val="superscript"/>
          <w:lang w:val="it-IT"/>
        </w:rPr>
        <w:t>+</w:t>
      </w:r>
      <w:r w:rsidR="00846A48" w:rsidRPr="00314C27">
        <w:rPr>
          <w:lang w:val="it-IT"/>
        </w:rPr>
        <w:tab/>
        <w:t>(2)</w:t>
      </w:r>
    </w:p>
    <w:p w14:paraId="52AD91EF" w14:textId="722A2FF2" w:rsidR="00846A48" w:rsidRPr="00314C27" w:rsidRDefault="002422D1" w:rsidP="00846A48">
      <w:pPr>
        <w:pStyle w:val="CETBodytext"/>
        <w:rPr>
          <w:lang w:val="it-IT"/>
        </w:rPr>
      </w:pPr>
      <w:r w:rsidRPr="00314C27">
        <w:rPr>
          <w:lang w:val="it-IT"/>
        </w:rPr>
        <w:t>HCO</w:t>
      </w:r>
      <w:r w:rsidRPr="00314C27">
        <w:rPr>
          <w:vertAlign w:val="subscript"/>
          <w:lang w:val="it-IT"/>
        </w:rPr>
        <w:t>3</w:t>
      </w:r>
      <w:r w:rsidRPr="00314C27">
        <w:rPr>
          <w:vertAlign w:val="superscript"/>
          <w:lang w:val="it-IT"/>
        </w:rPr>
        <w:t>-</w:t>
      </w:r>
      <w:r w:rsidRPr="00314C27">
        <w:rPr>
          <w:lang w:val="it-IT"/>
        </w:rPr>
        <w:t xml:space="preserve"> + 2</w:t>
      </w:r>
      <w:r w:rsidR="00F00929" w:rsidRPr="00314C27">
        <w:rPr>
          <w:lang w:val="it-IT"/>
        </w:rPr>
        <w:t xml:space="preserve"> </w:t>
      </w:r>
      <w:r w:rsidRPr="00314C27">
        <w:rPr>
          <w:lang w:val="it-IT"/>
        </w:rPr>
        <w:t>H</w:t>
      </w:r>
      <w:r w:rsidRPr="00314C27">
        <w:rPr>
          <w:vertAlign w:val="subscript"/>
          <w:lang w:val="it-IT"/>
        </w:rPr>
        <w:t>2</w:t>
      </w:r>
      <w:r w:rsidRPr="00314C27">
        <w:rPr>
          <w:lang w:val="it-IT"/>
        </w:rPr>
        <w:t xml:space="preserve">O </w:t>
      </w:r>
      <w:r w:rsidRPr="00314C27">
        <w:rPr>
          <w:rFonts w:cs="Arial"/>
          <w:lang w:val="it-IT"/>
        </w:rPr>
        <w:t>↔ CO</w:t>
      </w:r>
      <w:r w:rsidRPr="00314C27">
        <w:rPr>
          <w:rFonts w:cs="Arial"/>
          <w:vertAlign w:val="subscript"/>
          <w:lang w:val="it-IT"/>
        </w:rPr>
        <w:t>3</w:t>
      </w:r>
      <w:r w:rsidRPr="00314C27">
        <w:rPr>
          <w:rFonts w:cs="Arial"/>
          <w:vertAlign w:val="superscript"/>
          <w:lang w:val="it-IT"/>
        </w:rPr>
        <w:t>2-</w:t>
      </w:r>
      <w:r w:rsidR="00973376" w:rsidRPr="00314C27">
        <w:rPr>
          <w:rFonts w:cs="Arial"/>
          <w:lang w:val="it-IT"/>
        </w:rPr>
        <w:t xml:space="preserve"> + </w:t>
      </w:r>
      <w:r w:rsidR="00973376" w:rsidRPr="00314C27">
        <w:rPr>
          <w:lang w:val="it-IT"/>
        </w:rPr>
        <w:t>H</w:t>
      </w:r>
      <w:r w:rsidR="00973376" w:rsidRPr="00314C27">
        <w:rPr>
          <w:vertAlign w:val="subscript"/>
          <w:lang w:val="it-IT"/>
        </w:rPr>
        <w:t>3</w:t>
      </w:r>
      <w:r w:rsidR="00973376" w:rsidRPr="00314C27">
        <w:rPr>
          <w:lang w:val="it-IT"/>
        </w:rPr>
        <w:t>O</w:t>
      </w:r>
      <w:r w:rsidR="00973376" w:rsidRPr="00314C27">
        <w:rPr>
          <w:vertAlign w:val="superscript"/>
          <w:lang w:val="it-IT"/>
        </w:rPr>
        <w:t>+</w:t>
      </w:r>
      <w:r w:rsidR="00846A48" w:rsidRPr="00314C27">
        <w:rPr>
          <w:lang w:val="it-IT"/>
        </w:rPr>
        <w:tab/>
        <w:t>(3)</w:t>
      </w:r>
    </w:p>
    <w:p w14:paraId="67C453B1" w14:textId="27E0DBE2" w:rsidR="00846A48" w:rsidRPr="00314C27" w:rsidRDefault="00973376" w:rsidP="00846A48">
      <w:pPr>
        <w:pStyle w:val="CETBodytext"/>
        <w:rPr>
          <w:lang w:val="it-IT"/>
        </w:rPr>
      </w:pPr>
      <w:r w:rsidRPr="00314C27">
        <w:rPr>
          <w:lang w:val="it-IT"/>
        </w:rPr>
        <w:t>MEACOO- + H</w:t>
      </w:r>
      <w:r w:rsidRPr="00314C27">
        <w:rPr>
          <w:vertAlign w:val="subscript"/>
          <w:lang w:val="it-IT"/>
        </w:rPr>
        <w:t>2</w:t>
      </w:r>
      <w:r w:rsidRPr="00314C27">
        <w:rPr>
          <w:lang w:val="it-IT"/>
        </w:rPr>
        <w:t xml:space="preserve">O </w:t>
      </w:r>
      <w:r w:rsidRPr="00314C27">
        <w:rPr>
          <w:rFonts w:cs="Arial"/>
          <w:lang w:val="it-IT"/>
        </w:rPr>
        <w:t xml:space="preserve">↔ MEA + </w:t>
      </w:r>
      <w:r w:rsidRPr="00314C27">
        <w:rPr>
          <w:lang w:val="it-IT"/>
        </w:rPr>
        <w:t>HCO</w:t>
      </w:r>
      <w:r w:rsidRPr="00314C27">
        <w:rPr>
          <w:vertAlign w:val="subscript"/>
          <w:lang w:val="it-IT"/>
        </w:rPr>
        <w:t>3</w:t>
      </w:r>
      <w:r w:rsidRPr="00314C27">
        <w:rPr>
          <w:vertAlign w:val="superscript"/>
          <w:lang w:val="it-IT"/>
        </w:rPr>
        <w:t>-</w:t>
      </w:r>
      <w:r w:rsidR="00846A48" w:rsidRPr="00314C27">
        <w:rPr>
          <w:lang w:val="it-IT"/>
        </w:rPr>
        <w:tab/>
        <w:t>(4)</w:t>
      </w:r>
    </w:p>
    <w:p w14:paraId="71CB8D48" w14:textId="3F3EEC2A" w:rsidR="00846A48" w:rsidRPr="00BD31BA" w:rsidRDefault="00F00929" w:rsidP="00846A48">
      <w:pPr>
        <w:pStyle w:val="CETBodytext"/>
      </w:pPr>
      <w:r w:rsidRPr="00BD31BA">
        <w:t>MEAH</w:t>
      </w:r>
      <w:r w:rsidRPr="00BD31BA">
        <w:rPr>
          <w:vertAlign w:val="superscript"/>
        </w:rPr>
        <w:t>+</w:t>
      </w:r>
      <w:r w:rsidR="00846A48" w:rsidRPr="00BD31BA">
        <w:t xml:space="preserve"> </w:t>
      </w:r>
      <w:r w:rsidRPr="00BD31BA">
        <w:t>H</w:t>
      </w:r>
      <w:r w:rsidRPr="00BD31BA">
        <w:rPr>
          <w:vertAlign w:val="subscript"/>
        </w:rPr>
        <w:t>2</w:t>
      </w:r>
      <w:r w:rsidRPr="00BD31BA">
        <w:t xml:space="preserve">O </w:t>
      </w:r>
      <w:r w:rsidRPr="00BD31BA">
        <w:rPr>
          <w:rFonts w:cs="Arial"/>
        </w:rPr>
        <w:t xml:space="preserve">↔ MEA </w:t>
      </w:r>
      <w:r w:rsidRPr="00BD31BA">
        <w:t>+ HCO</w:t>
      </w:r>
      <w:r w:rsidRPr="00BD31BA">
        <w:rPr>
          <w:vertAlign w:val="subscript"/>
        </w:rPr>
        <w:t>3</w:t>
      </w:r>
      <w:r w:rsidRPr="00BD31BA">
        <w:rPr>
          <w:vertAlign w:val="superscript"/>
        </w:rPr>
        <w:t>-</w:t>
      </w:r>
      <w:r w:rsidR="00846A48" w:rsidRPr="00BD31BA">
        <w:tab/>
        <w:t>(5)</w:t>
      </w:r>
    </w:p>
    <w:p w14:paraId="41AF56DB" w14:textId="5879F766" w:rsidR="00EB411E" w:rsidRPr="00BD31BA" w:rsidRDefault="008B372B" w:rsidP="00A455C5">
      <w:pPr>
        <w:pStyle w:val="CETBodytext"/>
      </w:pPr>
      <w:r w:rsidRPr="00BD31BA">
        <w:t xml:space="preserve">The model has been upgraded in a subsequent study (Zhang et al, 2013) to include </w:t>
      </w:r>
      <w:r w:rsidR="00D214C5" w:rsidRPr="00BD31BA">
        <w:t>the formation of carbamate and bicarbon</w:t>
      </w:r>
      <w:r w:rsidR="008C1B8C" w:rsidRPr="00BD31BA">
        <w:t xml:space="preserve">ate and better describe </w:t>
      </w:r>
      <w:r w:rsidR="00200EC0" w:rsidRPr="00BD31BA">
        <w:t>system kinetic limitations.</w:t>
      </w:r>
    </w:p>
    <w:p w14:paraId="72941992" w14:textId="62E60FB6" w:rsidR="00200EC0" w:rsidRPr="00BD31BA" w:rsidRDefault="005A5F0A" w:rsidP="00A455C5">
      <w:pPr>
        <w:pStyle w:val="CETBodytext"/>
      </w:pPr>
      <w:proofErr w:type="spellStart"/>
      <w:r w:rsidRPr="00BD31BA">
        <w:t>NextChem</w:t>
      </w:r>
      <w:proofErr w:type="spellEnd"/>
      <w:r w:rsidRPr="00BD31BA">
        <w:t xml:space="preserve"> </w:t>
      </w:r>
      <w:r w:rsidR="00236155" w:rsidRPr="00BD31BA">
        <w:t xml:space="preserve">has furtherly improved its </w:t>
      </w:r>
      <w:r w:rsidR="009361D5" w:rsidRPr="00BD31BA">
        <w:t>internal</w:t>
      </w:r>
      <w:r w:rsidRPr="00BD31BA">
        <w:t xml:space="preserve"> model</w:t>
      </w:r>
      <w:r w:rsidR="00FF2C8C" w:rsidRPr="00BD31BA">
        <w:t>s</w:t>
      </w:r>
      <w:r w:rsidRPr="00BD31BA">
        <w:t xml:space="preserve"> </w:t>
      </w:r>
      <w:r w:rsidR="00236155" w:rsidRPr="00BD31BA">
        <w:t xml:space="preserve">with </w:t>
      </w:r>
      <w:r w:rsidRPr="00BD31BA">
        <w:t xml:space="preserve">the introduction of </w:t>
      </w:r>
      <w:r w:rsidR="00FF2C8C" w:rsidRPr="00BD31BA">
        <w:t xml:space="preserve">the additional </w:t>
      </w:r>
      <w:r w:rsidR="00E70310" w:rsidRPr="00BD31BA">
        <w:t>components that constitute the Amine solution formulations</w:t>
      </w:r>
      <w:r w:rsidR="00C27AFA" w:rsidRPr="00BD31BA">
        <w:t xml:space="preserve"> using available literature data </w:t>
      </w:r>
      <w:r w:rsidR="00E70310" w:rsidRPr="00BD31BA">
        <w:t>(</w:t>
      </w:r>
      <w:r w:rsidR="001606CE" w:rsidRPr="00BD31BA">
        <w:t>Singh et al., 2013</w:t>
      </w:r>
      <w:r w:rsidR="00E70310" w:rsidRPr="00BD31BA">
        <w:t>)</w:t>
      </w:r>
      <w:r w:rsidR="003A04FD" w:rsidRPr="00BD31BA">
        <w:t xml:space="preserve"> and tuning the simulator </w:t>
      </w:r>
      <w:r w:rsidR="00DE1E5A" w:rsidRPr="00BD31BA">
        <w:t>parameters</w:t>
      </w:r>
      <w:r w:rsidR="003A04FD" w:rsidRPr="00BD31BA">
        <w:t xml:space="preserve"> with </w:t>
      </w:r>
      <w:r w:rsidR="00730C5D" w:rsidRPr="00BD31BA">
        <w:t xml:space="preserve">the operating </w:t>
      </w:r>
      <w:r w:rsidR="00802871" w:rsidRPr="00BD31BA">
        <w:t>information</w:t>
      </w:r>
      <w:r w:rsidR="00730C5D" w:rsidRPr="00BD31BA">
        <w:t xml:space="preserve"> from existing plants</w:t>
      </w:r>
      <w:r w:rsidR="00E70310" w:rsidRPr="00BD31BA">
        <w:t>.</w:t>
      </w:r>
    </w:p>
    <w:p w14:paraId="68091EE7" w14:textId="28B9834B" w:rsidR="00F00929" w:rsidRPr="00BD31BA" w:rsidRDefault="00084ED8" w:rsidP="00084ED8">
      <w:pPr>
        <w:pStyle w:val="CETBodytext"/>
        <w:jc w:val="center"/>
      </w:pPr>
      <w:r w:rsidRPr="00BD31BA">
        <w:rPr>
          <w:noProof/>
        </w:rPr>
        <w:drawing>
          <wp:inline distT="0" distB="0" distL="0" distR="0" wp14:anchorId="59F21CE2" wp14:editId="3E9DA652">
            <wp:extent cx="3609833" cy="2047503"/>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5"/>
                    <a:stretch>
                      <a:fillRect/>
                    </a:stretch>
                  </pic:blipFill>
                  <pic:spPr>
                    <a:xfrm>
                      <a:off x="0" y="0"/>
                      <a:ext cx="3618923" cy="2052659"/>
                    </a:xfrm>
                    <a:prstGeom prst="rect">
                      <a:avLst/>
                    </a:prstGeom>
                  </pic:spPr>
                </pic:pic>
              </a:graphicData>
            </a:graphic>
          </wp:inline>
        </w:drawing>
      </w:r>
    </w:p>
    <w:p w14:paraId="32AD5803" w14:textId="6578659F" w:rsidR="00084ED8" w:rsidRPr="00BD31BA" w:rsidRDefault="00084ED8" w:rsidP="00084ED8">
      <w:pPr>
        <w:pStyle w:val="CETCaption"/>
        <w:spacing w:before="0"/>
        <w:jc w:val="center"/>
        <w:rPr>
          <w:lang w:val="en-US"/>
        </w:rPr>
      </w:pPr>
      <w:r w:rsidRPr="00BD31BA">
        <w:rPr>
          <w:rStyle w:val="CETCaptionCarattere"/>
          <w:i/>
          <w:lang w:val="en-US"/>
        </w:rPr>
        <w:t xml:space="preserve">Figure </w:t>
      </w:r>
      <w:r w:rsidR="002D0051" w:rsidRPr="00BD31BA">
        <w:rPr>
          <w:rStyle w:val="CETCaptionCarattere"/>
          <w:i/>
          <w:lang w:val="en-US"/>
        </w:rPr>
        <w:t>3</w:t>
      </w:r>
      <w:r w:rsidRPr="00BD31BA">
        <w:rPr>
          <w:rStyle w:val="CETCaptionCarattere"/>
          <w:i/>
          <w:lang w:val="en-US"/>
        </w:rPr>
        <w:t xml:space="preserve">: </w:t>
      </w:r>
      <w:r w:rsidR="004B2F04" w:rsidRPr="00BD31BA">
        <w:rPr>
          <w:rStyle w:val="CETCaptionCarattere"/>
          <w:i/>
          <w:lang w:val="en-US"/>
        </w:rPr>
        <w:t>Tabulation of the e</w:t>
      </w:r>
      <w:r w:rsidR="00C27AFA" w:rsidRPr="00BD31BA">
        <w:rPr>
          <w:rStyle w:val="CETCaptionCarattere"/>
          <w:i/>
          <w:lang w:val="en-US"/>
        </w:rPr>
        <w:t xml:space="preserve">nergy consumption </w:t>
      </w:r>
      <w:r w:rsidR="004B2F04" w:rsidRPr="00BD31BA">
        <w:rPr>
          <w:rStyle w:val="CETCaptionCarattere"/>
          <w:i/>
          <w:lang w:val="en-US"/>
        </w:rPr>
        <w:t>in the stripper from different sources (Singh et al., 2013)</w:t>
      </w:r>
      <w:r w:rsidRPr="00BD31BA">
        <w:rPr>
          <w:rStyle w:val="CETCaptionCarattere"/>
          <w:i/>
          <w:lang w:val="en-US"/>
        </w:rPr>
        <w:t>.</w:t>
      </w:r>
    </w:p>
    <w:p w14:paraId="6FEEAB4F" w14:textId="1B7C44D5" w:rsidR="001F577F" w:rsidRPr="00BD31BA" w:rsidRDefault="001F577F" w:rsidP="00A455C5">
      <w:pPr>
        <w:pStyle w:val="CETBodytext"/>
      </w:pPr>
      <w:r w:rsidRPr="00BD31BA">
        <w:t xml:space="preserve">The </w:t>
      </w:r>
      <w:r w:rsidR="0078031C" w:rsidRPr="00BD31BA">
        <w:t>implementation of these models provides simulation</w:t>
      </w:r>
      <w:r w:rsidR="00E458F1" w:rsidRPr="00BD31BA">
        <w:t xml:space="preserve"> results</w:t>
      </w:r>
      <w:r w:rsidR="0078031C" w:rsidRPr="00BD31BA">
        <w:t xml:space="preserve"> that </w:t>
      </w:r>
      <w:r w:rsidR="00E458F1" w:rsidRPr="00BD31BA">
        <w:t>are</w:t>
      </w:r>
      <w:r w:rsidR="00686643" w:rsidRPr="00BD31BA">
        <w:t xml:space="preserve"> sufficiently close</w:t>
      </w:r>
      <w:r w:rsidR="00E458F1" w:rsidRPr="00BD31BA">
        <w:t xml:space="preserve"> to the </w:t>
      </w:r>
      <w:r w:rsidR="008160E4" w:rsidRPr="00BD31BA">
        <w:t xml:space="preserve">plant </w:t>
      </w:r>
      <w:r w:rsidR="00E458F1" w:rsidRPr="00BD31BA">
        <w:t xml:space="preserve">expected performance </w:t>
      </w:r>
      <w:r w:rsidR="00700AC8" w:rsidRPr="00BD31BA">
        <w:t>and</w:t>
      </w:r>
      <w:r w:rsidR="00CC4581" w:rsidRPr="00BD31BA">
        <w:t xml:space="preserve"> allow for a preliminary evaluation on </w:t>
      </w:r>
      <w:r w:rsidR="00700AC8" w:rsidRPr="00BD31BA">
        <w:t xml:space="preserve">the </w:t>
      </w:r>
      <w:r w:rsidR="00CC4581" w:rsidRPr="00BD31BA">
        <w:t xml:space="preserve">equipment sizing, especially for </w:t>
      </w:r>
      <w:r w:rsidR="008160E4" w:rsidRPr="00BD31BA">
        <w:t xml:space="preserve">the </w:t>
      </w:r>
      <w:r w:rsidR="00CC4581" w:rsidRPr="00BD31BA">
        <w:t>critical columns</w:t>
      </w:r>
      <w:r w:rsidR="00DC7785" w:rsidRPr="00BD31BA">
        <w:t>, therefore enabling a better optimization of the design.</w:t>
      </w:r>
    </w:p>
    <w:p w14:paraId="2D3554D2" w14:textId="268FBDCD" w:rsidR="00CC4581" w:rsidRPr="00BD31BA" w:rsidRDefault="00667A08" w:rsidP="00A455C5">
      <w:pPr>
        <w:pStyle w:val="CETBodytext"/>
      </w:pPr>
      <w:r w:rsidRPr="00BD31BA">
        <w:t xml:space="preserve">The models have been </w:t>
      </w:r>
      <w:r w:rsidR="00C63D57" w:rsidRPr="00BD31BA">
        <w:t xml:space="preserve">furtherly </w:t>
      </w:r>
      <w:r w:rsidRPr="00BD31BA">
        <w:t xml:space="preserve">tuned taking advantage from </w:t>
      </w:r>
      <w:r w:rsidR="004A2AE0" w:rsidRPr="00BD31BA">
        <w:t xml:space="preserve">the </w:t>
      </w:r>
      <w:r w:rsidRPr="00BD31BA">
        <w:t xml:space="preserve">company database </w:t>
      </w:r>
      <w:r w:rsidR="004A2AE0" w:rsidRPr="00BD31BA">
        <w:t>tha</w:t>
      </w:r>
      <w:r w:rsidR="004275F6" w:rsidRPr="00BD31BA">
        <w:t>t includes</w:t>
      </w:r>
      <w:r w:rsidRPr="00BD31BA">
        <w:t xml:space="preserve"> the </w:t>
      </w:r>
      <w:r w:rsidR="004275F6" w:rsidRPr="00BD31BA">
        <w:t xml:space="preserve">data of the </w:t>
      </w:r>
      <w:r w:rsidR="00515431" w:rsidRPr="00BD31BA">
        <w:t xml:space="preserve">already built plants as well as all the literature available </w:t>
      </w:r>
      <w:r w:rsidR="004275F6" w:rsidRPr="00BD31BA">
        <w:t>information</w:t>
      </w:r>
      <w:r w:rsidR="00504176" w:rsidRPr="00BD31BA">
        <w:t>.</w:t>
      </w:r>
    </w:p>
    <w:p w14:paraId="2C4AF857" w14:textId="26B52FAF" w:rsidR="00F348A5" w:rsidRPr="00BD31BA" w:rsidRDefault="00F348A5" w:rsidP="00F348A5">
      <w:pPr>
        <w:pStyle w:val="CETHeading1"/>
      </w:pPr>
      <w:r w:rsidRPr="00BD31BA">
        <w:t>Recognized issue</w:t>
      </w:r>
      <w:r w:rsidR="0089753B" w:rsidRPr="00BD31BA">
        <w:t>s</w:t>
      </w:r>
      <w:r w:rsidRPr="00BD31BA">
        <w:t xml:space="preserve"> when designing the </w:t>
      </w:r>
      <w:proofErr w:type="gramStart"/>
      <w:r w:rsidRPr="00BD31BA">
        <w:t>CCS</w:t>
      </w:r>
      <w:proofErr w:type="gramEnd"/>
    </w:p>
    <w:p w14:paraId="5325DC46" w14:textId="6BA7AAFA" w:rsidR="00F348A5" w:rsidRPr="00BD31BA" w:rsidRDefault="00F348A5" w:rsidP="00F348A5">
      <w:pPr>
        <w:pStyle w:val="CETBodytext"/>
      </w:pPr>
      <w:r w:rsidRPr="00BD31BA">
        <w:t xml:space="preserve">The current state of the art on the use of commercially available </w:t>
      </w:r>
      <w:r w:rsidR="00BD31BA" w:rsidRPr="00BD31BA">
        <w:t>software</w:t>
      </w:r>
      <w:r w:rsidRPr="00BD31BA">
        <w:t xml:space="preserve"> and the implementation of conventional models do not provide a fully comprehensive description for all the </w:t>
      </w:r>
      <w:r w:rsidR="00624C3D" w:rsidRPr="00BD31BA">
        <w:t>phenomena</w:t>
      </w:r>
      <w:r w:rsidRPr="00BD31BA">
        <w:t xml:space="preserve"> connected with Carbon Capture unit.</w:t>
      </w:r>
    </w:p>
    <w:p w14:paraId="1594202F" w14:textId="77777777" w:rsidR="00CC4581" w:rsidRPr="00BD31BA" w:rsidRDefault="00CC4581" w:rsidP="00A455C5">
      <w:pPr>
        <w:pStyle w:val="CETBodytext"/>
      </w:pPr>
    </w:p>
    <w:p w14:paraId="701FEE84" w14:textId="6E01303C" w:rsidR="005D0183" w:rsidRPr="00BD31BA" w:rsidRDefault="0074178F" w:rsidP="00A455C5">
      <w:pPr>
        <w:pStyle w:val="CETBodytext"/>
      </w:pPr>
      <w:r w:rsidRPr="00BD31BA">
        <w:t xml:space="preserve">The interaction between </w:t>
      </w:r>
      <w:r w:rsidR="0009487A" w:rsidRPr="00BD31BA">
        <w:t>CO</w:t>
      </w:r>
      <w:r w:rsidR="0009487A" w:rsidRPr="00BD31BA">
        <w:rPr>
          <w:vertAlign w:val="subscript"/>
        </w:rPr>
        <w:t>2</w:t>
      </w:r>
      <w:r w:rsidRPr="00BD31BA">
        <w:t xml:space="preserve"> Capture </w:t>
      </w:r>
      <w:r w:rsidR="00924C27" w:rsidRPr="00BD31BA">
        <w:t>aminic</w:t>
      </w:r>
      <w:r w:rsidR="00A46F2B" w:rsidRPr="00BD31BA">
        <w:t xml:space="preserve"> </w:t>
      </w:r>
      <w:r w:rsidRPr="00BD31BA">
        <w:t>solution</w:t>
      </w:r>
      <w:r w:rsidR="000D004F" w:rsidRPr="00BD31BA">
        <w:t xml:space="preserve"> and </w:t>
      </w:r>
      <w:r w:rsidR="00284FE3" w:rsidRPr="00BD31BA">
        <w:t xml:space="preserve">other air pollutants, </w:t>
      </w:r>
      <w:r w:rsidR="008B44EC" w:rsidRPr="00BD31BA">
        <w:t>i.e.,</w:t>
      </w:r>
      <w:r w:rsidR="00284FE3" w:rsidRPr="00BD31BA">
        <w:t xml:space="preserve"> SO</w:t>
      </w:r>
      <w:r w:rsidR="00284FE3" w:rsidRPr="00BD31BA">
        <w:rPr>
          <w:vertAlign w:val="subscript"/>
        </w:rPr>
        <w:t>2</w:t>
      </w:r>
      <w:r w:rsidR="00284FE3" w:rsidRPr="00BD31BA">
        <w:t xml:space="preserve"> and NOx</w:t>
      </w:r>
      <w:r w:rsidR="00A906C1" w:rsidRPr="00BD31BA">
        <w:t xml:space="preserve">, </w:t>
      </w:r>
      <w:r w:rsidR="0096598B" w:rsidRPr="00BD31BA">
        <w:t>usually cannot be fully described</w:t>
      </w:r>
      <w:r w:rsidR="0089753B" w:rsidRPr="00BD31BA">
        <w:t xml:space="preserve">. </w:t>
      </w:r>
      <w:r w:rsidR="00AF5432" w:rsidRPr="00BD31BA">
        <w:t xml:space="preserve">Specifically acid gases </w:t>
      </w:r>
      <w:r w:rsidR="000B16F7" w:rsidRPr="00BD31BA">
        <w:t xml:space="preserve">react with MEA to form heat-stable salts that reduce </w:t>
      </w:r>
      <w:r w:rsidR="008A2993" w:rsidRPr="00BD31BA">
        <w:t xml:space="preserve">solvent </w:t>
      </w:r>
      <w:r w:rsidR="000B16F7" w:rsidRPr="00BD31BA">
        <w:t>CO</w:t>
      </w:r>
      <w:r w:rsidR="000B16F7" w:rsidRPr="00BD31BA">
        <w:rPr>
          <w:vertAlign w:val="subscript"/>
        </w:rPr>
        <w:t>2</w:t>
      </w:r>
      <w:r w:rsidR="000B16F7" w:rsidRPr="00BD31BA">
        <w:t xml:space="preserve"> absorption capacity </w:t>
      </w:r>
      <w:r w:rsidR="009509A0" w:rsidRPr="00BD31BA">
        <w:t>and cannot be removed from the solution</w:t>
      </w:r>
      <w:r w:rsidR="007F5B03">
        <w:t xml:space="preserve"> (</w:t>
      </w:r>
      <w:proofErr w:type="spellStart"/>
      <w:r w:rsidR="007F5B03">
        <w:t>Supap</w:t>
      </w:r>
      <w:proofErr w:type="spellEnd"/>
      <w:r w:rsidR="00D25041">
        <w:t xml:space="preserve"> et al., 2011)</w:t>
      </w:r>
      <w:r w:rsidR="009509A0" w:rsidRPr="00BD31BA">
        <w:t>.</w:t>
      </w:r>
    </w:p>
    <w:p w14:paraId="07554E1A" w14:textId="1A2465E2" w:rsidR="0091700C" w:rsidRPr="00BD31BA" w:rsidRDefault="0091700C" w:rsidP="00A455C5">
      <w:pPr>
        <w:pStyle w:val="CETBodytext"/>
      </w:pPr>
      <w:r w:rsidRPr="00BD31BA">
        <w:t>Very low concentration</w:t>
      </w:r>
      <w:r w:rsidR="00D46009" w:rsidRPr="00BD31BA">
        <w:t>s</w:t>
      </w:r>
      <w:r w:rsidRPr="00BD31BA">
        <w:t xml:space="preserve"> of </w:t>
      </w:r>
      <w:r w:rsidR="004247FF" w:rsidRPr="00BD31BA">
        <w:t xml:space="preserve">those components </w:t>
      </w:r>
      <w:r w:rsidR="003D7106" w:rsidRPr="00BD31BA">
        <w:t>are</w:t>
      </w:r>
      <w:r w:rsidR="00D46009" w:rsidRPr="00BD31BA">
        <w:t xml:space="preserve"> necessary to minimize</w:t>
      </w:r>
      <w:r w:rsidR="004C0D6E" w:rsidRPr="00BD31BA">
        <w:t xml:space="preserve"> </w:t>
      </w:r>
      <w:r w:rsidR="00491B62" w:rsidRPr="00BD31BA">
        <w:t>the</w:t>
      </w:r>
      <w:r w:rsidR="004E3235" w:rsidRPr="00BD31BA">
        <w:t xml:space="preserve"> loss of solvent</w:t>
      </w:r>
      <w:r w:rsidR="009A5C5C" w:rsidRPr="00BD31BA">
        <w:t xml:space="preserve">, </w:t>
      </w:r>
      <w:r w:rsidR="00491B62" w:rsidRPr="00BD31BA">
        <w:t>which is mainly</w:t>
      </w:r>
      <w:r w:rsidR="00272C38" w:rsidRPr="00BD31BA">
        <w:t xml:space="preserve"> caused by</w:t>
      </w:r>
      <w:r w:rsidR="009A5C5C" w:rsidRPr="00BD31BA">
        <w:t xml:space="preserve"> SO</w:t>
      </w:r>
      <w:r w:rsidR="009A5C5C" w:rsidRPr="00BD31BA">
        <w:rPr>
          <w:vertAlign w:val="subscript"/>
        </w:rPr>
        <w:t>2</w:t>
      </w:r>
      <w:r w:rsidR="009A5C5C" w:rsidRPr="00BD31BA">
        <w:t xml:space="preserve"> </w:t>
      </w:r>
      <w:r w:rsidR="00A72285" w:rsidRPr="00BD31BA">
        <w:t xml:space="preserve">and </w:t>
      </w:r>
      <w:r w:rsidR="00272C38" w:rsidRPr="00BD31BA">
        <w:t>NO</w:t>
      </w:r>
      <w:r w:rsidR="00813398" w:rsidRPr="00BD31BA">
        <w:rPr>
          <w:vertAlign w:val="subscript"/>
        </w:rPr>
        <w:t>2</w:t>
      </w:r>
      <w:r w:rsidR="003C1E29" w:rsidRPr="00BD31BA">
        <w:t xml:space="preserve"> (typically about 5% of total NOx is NO</w:t>
      </w:r>
      <w:r w:rsidR="003C1E29" w:rsidRPr="00BD31BA">
        <w:rPr>
          <w:vertAlign w:val="subscript"/>
        </w:rPr>
        <w:t>2</w:t>
      </w:r>
      <w:r w:rsidR="00427859" w:rsidRPr="00BD31BA">
        <w:t>)</w:t>
      </w:r>
      <w:r w:rsidR="00992A5A" w:rsidRPr="00BD31BA">
        <w:t xml:space="preserve"> (</w:t>
      </w:r>
      <w:r w:rsidR="00675F59" w:rsidRPr="00BD31BA">
        <w:t>Rao et al., 2</w:t>
      </w:r>
      <w:r w:rsidR="002F75CF" w:rsidRPr="00BD31BA">
        <w:t>002)</w:t>
      </w:r>
      <w:r w:rsidR="00427859" w:rsidRPr="00BD31BA">
        <w:t>.</w:t>
      </w:r>
    </w:p>
    <w:p w14:paraId="3C3018B7" w14:textId="21138742" w:rsidR="009509A0" w:rsidRPr="00BD31BA" w:rsidRDefault="004247FF" w:rsidP="00A455C5">
      <w:pPr>
        <w:pStyle w:val="CETBodytext"/>
      </w:pPr>
      <w:r w:rsidRPr="00BD31BA">
        <w:t>To</w:t>
      </w:r>
      <w:r w:rsidR="00607996" w:rsidRPr="00BD31BA">
        <w:t xml:space="preserve"> manage </w:t>
      </w:r>
      <w:r w:rsidR="00B05085" w:rsidRPr="00BD31BA">
        <w:t xml:space="preserve">solvent </w:t>
      </w:r>
      <w:r w:rsidR="006026C7" w:rsidRPr="00BD31BA">
        <w:t>degradation,</w:t>
      </w:r>
      <w:r w:rsidR="00B05085" w:rsidRPr="00BD31BA">
        <w:t xml:space="preserve"> the </w:t>
      </w:r>
      <w:r w:rsidR="00E36E9D" w:rsidRPr="00BD31BA">
        <w:t xml:space="preserve">same is </w:t>
      </w:r>
      <w:r w:rsidR="00CF0E68" w:rsidRPr="00BD31BA">
        <w:t>estimate</w:t>
      </w:r>
      <w:r w:rsidR="000E4E9B" w:rsidRPr="00BD31BA">
        <w:t xml:space="preserve">d from experimental </w:t>
      </w:r>
      <w:r w:rsidR="00E36E9D" w:rsidRPr="00BD31BA">
        <w:t>data and parametrically included in the</w:t>
      </w:r>
      <w:r w:rsidR="00E91AB4" w:rsidRPr="00BD31BA">
        <w:t xml:space="preserve"> overall plant</w:t>
      </w:r>
      <w:r w:rsidR="00E36E9D" w:rsidRPr="00BD31BA">
        <w:t xml:space="preserve"> sizing criteria.</w:t>
      </w:r>
    </w:p>
    <w:p w14:paraId="0BFB83A9" w14:textId="77777777" w:rsidR="00981CC7" w:rsidRDefault="00981CC7" w:rsidP="00A455C5">
      <w:pPr>
        <w:pStyle w:val="CETBodytext"/>
      </w:pPr>
    </w:p>
    <w:p w14:paraId="106F9B5B" w14:textId="2C771119" w:rsidR="00EB411E" w:rsidRPr="00BD31BA" w:rsidRDefault="00981CC7" w:rsidP="00A455C5">
      <w:pPr>
        <w:pStyle w:val="CETBodytext"/>
      </w:pPr>
      <w:r>
        <w:t>Another</w:t>
      </w:r>
      <w:r w:rsidR="00866C39">
        <w:t xml:space="preserve"> </w:t>
      </w:r>
      <w:r w:rsidR="00300C62">
        <w:t xml:space="preserve">critical </w:t>
      </w:r>
      <w:r w:rsidR="00866C39">
        <w:t xml:space="preserve">element that </w:t>
      </w:r>
      <w:r w:rsidR="004524A9">
        <w:t xml:space="preserve">shall be considered </w:t>
      </w:r>
      <w:r w:rsidR="009D2007">
        <w:t xml:space="preserve">when addressing the design of Carbon Capture </w:t>
      </w:r>
      <w:r w:rsidR="00F82D36">
        <w:t>units</w:t>
      </w:r>
      <w:r w:rsidR="009D2007">
        <w:t xml:space="preserve"> </w:t>
      </w:r>
      <w:proofErr w:type="gramStart"/>
      <w:r>
        <w:t>is</w:t>
      </w:r>
      <w:r w:rsidR="009D2007">
        <w:t xml:space="preserve"> connected with</w:t>
      </w:r>
      <w:proofErr w:type="gramEnd"/>
      <w:r w:rsidR="009D2007">
        <w:t xml:space="preserve"> an adequate description of the system pressure drop, in order to </w:t>
      </w:r>
      <w:r>
        <w:t xml:space="preserve">be in the position to assess </w:t>
      </w:r>
      <w:r w:rsidR="00BA7766">
        <w:t>the Carbon Dioxide partial pressure inside the</w:t>
      </w:r>
      <w:r w:rsidR="00300C62">
        <w:t xml:space="preserve"> absorption</w:t>
      </w:r>
      <w:r w:rsidR="00BA7766">
        <w:t xml:space="preserve"> column and identify the optimum </w:t>
      </w:r>
      <w:r w:rsidR="008C1146">
        <w:t>CO</w:t>
      </w:r>
      <w:r w:rsidR="008C1146" w:rsidRPr="008C1146">
        <w:rPr>
          <w:vertAlign w:val="subscript"/>
        </w:rPr>
        <w:t>2</w:t>
      </w:r>
      <w:r w:rsidR="008C1146">
        <w:t xml:space="preserve"> loading</w:t>
      </w:r>
      <w:r w:rsidR="00300C62">
        <w:t xml:space="preserve">, therefore </w:t>
      </w:r>
      <w:r w:rsidR="008C1146">
        <w:t xml:space="preserve">consequentially </w:t>
      </w:r>
      <w:r w:rsidR="00300C62">
        <w:t>impacting on the</w:t>
      </w:r>
      <w:r w:rsidR="008C1146">
        <w:t xml:space="preserve"> solvent circulation rate.</w:t>
      </w:r>
      <w:r w:rsidR="00874371">
        <w:t xml:space="preserve"> The adopted solution has been </w:t>
      </w:r>
      <w:r w:rsidR="009E6CC7">
        <w:t xml:space="preserve">to </w:t>
      </w:r>
      <w:r w:rsidR="00596509">
        <w:t xml:space="preserve">tune the simulated results with the direct feedback provided by the </w:t>
      </w:r>
      <w:r w:rsidR="00F82D36">
        <w:t xml:space="preserve">Vendors of </w:t>
      </w:r>
      <w:r w:rsidR="00596509">
        <w:t>column internal</w:t>
      </w:r>
      <w:r w:rsidR="00F82D36">
        <w:t>s (</w:t>
      </w:r>
      <w:r w:rsidR="008B44EC">
        <w:t>i.e.,</w:t>
      </w:r>
      <w:r w:rsidR="00F82D36">
        <w:t xml:space="preserve"> trays or structured packings)</w:t>
      </w:r>
      <w:r w:rsidR="00B7400C">
        <w:t>,</w:t>
      </w:r>
      <w:r w:rsidR="00596509">
        <w:t xml:space="preserve"> </w:t>
      </w:r>
      <w:r w:rsidR="00854AE7">
        <w:t xml:space="preserve">therefore identifying reasonable </w:t>
      </w:r>
      <w:r w:rsidR="00B6245C">
        <w:t>margin</w:t>
      </w:r>
      <w:r w:rsidR="000D6A24">
        <w:t>s</w:t>
      </w:r>
      <w:r w:rsidR="00B6245C">
        <w:t xml:space="preserve"> of conservativeness that will ensure the system performance within the guaranteed operation.</w:t>
      </w:r>
    </w:p>
    <w:p w14:paraId="50E4201C" w14:textId="79872712" w:rsidR="00D64C66" w:rsidRDefault="00427673" w:rsidP="00A455C5">
      <w:pPr>
        <w:pStyle w:val="CETBodytext"/>
      </w:pPr>
      <w:r>
        <w:t xml:space="preserve">The last </w:t>
      </w:r>
      <w:r w:rsidR="00FB2E56">
        <w:t xml:space="preserve">issue that </w:t>
      </w:r>
      <w:r w:rsidR="00F17484">
        <w:t>must</w:t>
      </w:r>
      <w:r w:rsidR="00CA77C8">
        <w:t xml:space="preserve"> be</w:t>
      </w:r>
      <w:r w:rsidR="00FB2E56">
        <w:t xml:space="preserve"> </w:t>
      </w:r>
      <w:r w:rsidR="00E52920">
        <w:t>highlight</w:t>
      </w:r>
      <w:r w:rsidR="00CA77C8">
        <w:t>ed</w:t>
      </w:r>
      <w:r w:rsidR="00E52920">
        <w:t xml:space="preserve"> is </w:t>
      </w:r>
      <w:r w:rsidR="003607FC">
        <w:t xml:space="preserve">the </w:t>
      </w:r>
      <w:r w:rsidR="00F82D36">
        <w:t>calculation of</w:t>
      </w:r>
      <w:r w:rsidR="003607FC">
        <w:t xml:space="preserve"> the </w:t>
      </w:r>
      <w:r w:rsidR="008B5D08">
        <w:t>heat of regeneration at different operating conditions as well a</w:t>
      </w:r>
      <w:r w:rsidR="002A530B">
        <w:t>s at various CO</w:t>
      </w:r>
      <w:r w:rsidR="002A530B" w:rsidRPr="00CB2B63">
        <w:rPr>
          <w:vertAlign w:val="subscript"/>
        </w:rPr>
        <w:t>2</w:t>
      </w:r>
      <w:r w:rsidR="002A530B">
        <w:t xml:space="preserve"> loading</w:t>
      </w:r>
      <w:r w:rsidR="00F17484">
        <w:t xml:space="preserve">. This </w:t>
      </w:r>
      <w:r w:rsidR="009279D4">
        <w:t>element is fundamental because it</w:t>
      </w:r>
      <w:r w:rsidR="002A530B">
        <w:t xml:space="preserve"> affect</w:t>
      </w:r>
      <w:r w:rsidR="00CB2B63">
        <w:t>s</w:t>
      </w:r>
      <w:r w:rsidR="002A530B">
        <w:t xml:space="preserve"> </w:t>
      </w:r>
      <w:r w:rsidR="0001317A">
        <w:t>the Stripping Column performance (</w:t>
      </w:r>
      <w:proofErr w:type="spellStart"/>
      <w:r w:rsidR="00CC5929">
        <w:t>Michailos</w:t>
      </w:r>
      <w:proofErr w:type="spellEnd"/>
      <w:r w:rsidR="00CC5929">
        <w:t xml:space="preserve"> et al., 2022)</w:t>
      </w:r>
      <w:r w:rsidR="009279D4">
        <w:t xml:space="preserve"> and</w:t>
      </w:r>
      <w:r w:rsidR="00846FC2">
        <w:t xml:space="preserve"> might deeply </w:t>
      </w:r>
      <w:r w:rsidR="009B44D5">
        <w:t>condition the integration of the CCS in the overall system.</w:t>
      </w:r>
      <w:r w:rsidR="009A4EF2">
        <w:t xml:space="preserve"> </w:t>
      </w:r>
      <w:proofErr w:type="gramStart"/>
      <w:r w:rsidR="009A4EF2">
        <w:t>In order to</w:t>
      </w:r>
      <w:proofErr w:type="gramEnd"/>
      <w:r w:rsidR="009A4EF2">
        <w:t xml:space="preserve"> mitigate the </w:t>
      </w:r>
      <w:r w:rsidR="009F08A0">
        <w:t xml:space="preserve">uncertainties connected with the identification of </w:t>
      </w:r>
      <w:r w:rsidR="002046EA">
        <w:t>system operating conditions,</w:t>
      </w:r>
      <w:r w:rsidR="00F31304">
        <w:t xml:space="preserve"> </w:t>
      </w:r>
      <w:r w:rsidR="002046EA">
        <w:t xml:space="preserve">it </w:t>
      </w:r>
      <w:r w:rsidR="00F82D36">
        <w:t>might be</w:t>
      </w:r>
      <w:r w:rsidR="002046EA">
        <w:t xml:space="preserve"> essential to </w:t>
      </w:r>
      <w:r w:rsidR="007A3DC0">
        <w:t xml:space="preserve">start the optimization analysis from Licensor </w:t>
      </w:r>
      <w:r w:rsidR="001D3FAE">
        <w:t xml:space="preserve">initial input, which is important to have a first </w:t>
      </w:r>
      <w:r w:rsidR="00056B29">
        <w:t xml:space="preserve">critical guess on the most plausible parameters </w:t>
      </w:r>
      <w:r w:rsidR="00EC7201">
        <w:t>for the specific service.</w:t>
      </w:r>
    </w:p>
    <w:p w14:paraId="68D26B83" w14:textId="59C0FB90" w:rsidR="00600535" w:rsidRPr="00BD31BA" w:rsidRDefault="00D74AA2" w:rsidP="00437510">
      <w:pPr>
        <w:pStyle w:val="CETHeading1"/>
      </w:pPr>
      <w:r w:rsidRPr="00BD31BA">
        <w:t>Criteria for the system design</w:t>
      </w:r>
    </w:p>
    <w:p w14:paraId="3C419D44" w14:textId="1D79B651" w:rsidR="00E43879" w:rsidRDefault="00421871" w:rsidP="00891E6B">
      <w:pPr>
        <w:pStyle w:val="CETBodytext"/>
      </w:pPr>
      <w:r>
        <w:t>Carbon Dioxide remov</w:t>
      </w:r>
      <w:r w:rsidR="0014682F">
        <w:t>a</w:t>
      </w:r>
      <w:r>
        <w:t xml:space="preserve">l from flue gas is </w:t>
      </w:r>
      <w:r w:rsidR="00A54AC2">
        <w:t>mainly a gas-liquid mass transfer process</w:t>
      </w:r>
      <w:r w:rsidR="00E6364E">
        <w:t xml:space="preserve"> and the chemical reaction that permit</w:t>
      </w:r>
      <w:r w:rsidR="003C4AAF">
        <w:t>s</w:t>
      </w:r>
      <w:r w:rsidR="00E6364E">
        <w:t xml:space="preserve"> CO</w:t>
      </w:r>
      <w:r w:rsidR="00E6364E" w:rsidRPr="003C4AAF">
        <w:rPr>
          <w:vertAlign w:val="subscript"/>
        </w:rPr>
        <w:t>2</w:t>
      </w:r>
      <w:r w:rsidR="00E6364E">
        <w:t xml:space="preserve"> diffusion </w:t>
      </w:r>
      <w:r w:rsidR="002E4CD8">
        <w:t xml:space="preserve">into the liquid film inside the Absorption Column </w:t>
      </w:r>
      <w:r w:rsidR="00D84D5F">
        <w:t>is affected by al</w:t>
      </w:r>
      <w:r w:rsidR="00371C36">
        <w:t>l</w:t>
      </w:r>
      <w:r w:rsidR="00D84D5F">
        <w:t xml:space="preserve"> </w:t>
      </w:r>
      <w:r w:rsidR="008E1A88">
        <w:t xml:space="preserve">feedstock </w:t>
      </w:r>
      <w:r w:rsidR="00D84D5F">
        <w:t>main operating variables, such as:</w:t>
      </w:r>
    </w:p>
    <w:p w14:paraId="29C8A0DF" w14:textId="0AAD9EF7" w:rsidR="00D84D5F" w:rsidRDefault="000354CB" w:rsidP="000354CB">
      <w:pPr>
        <w:pStyle w:val="CETBodytext"/>
        <w:numPr>
          <w:ilvl w:val="0"/>
          <w:numId w:val="26"/>
        </w:numPr>
      </w:pPr>
      <w:r>
        <w:t>Flue Gas inlet temperature and pressure;</w:t>
      </w:r>
    </w:p>
    <w:p w14:paraId="41B81351" w14:textId="79711158" w:rsidR="000354CB" w:rsidRPr="00BD31BA" w:rsidRDefault="000354CB" w:rsidP="000354CB">
      <w:pPr>
        <w:pStyle w:val="CETBodytext"/>
        <w:numPr>
          <w:ilvl w:val="0"/>
          <w:numId w:val="26"/>
        </w:numPr>
      </w:pPr>
      <w:r>
        <w:t>Flue Gas composition and CO</w:t>
      </w:r>
      <w:r w:rsidRPr="009871B1">
        <w:rPr>
          <w:vertAlign w:val="subscript"/>
        </w:rPr>
        <w:t>2</w:t>
      </w:r>
      <w:r>
        <w:t xml:space="preserve"> Concentration</w:t>
      </w:r>
      <w:r w:rsidR="008E1A88">
        <w:t>.</w:t>
      </w:r>
    </w:p>
    <w:p w14:paraId="64A786C8" w14:textId="7B2CB95B" w:rsidR="00031B02" w:rsidRDefault="009871B1" w:rsidP="00357897">
      <w:pPr>
        <w:pStyle w:val="CETBodytext"/>
      </w:pPr>
      <w:r>
        <w:t xml:space="preserve">Even if </w:t>
      </w:r>
      <w:r w:rsidR="007B48AB">
        <w:t>this consideration seems prosaic, it is critical to adequately manage the inlet conditions to Carbon Capture</w:t>
      </w:r>
      <w:r w:rsidR="004C44D6">
        <w:t xml:space="preserve"> plant</w:t>
      </w:r>
      <w:r w:rsidR="007B48AB">
        <w:t>, in case providing essential pre-treatment system to ensure the optimum o</w:t>
      </w:r>
      <w:r w:rsidR="005D7B5D">
        <w:t>perating variables</w:t>
      </w:r>
      <w:r w:rsidR="003E0DB1">
        <w:t>.</w:t>
      </w:r>
    </w:p>
    <w:p w14:paraId="6D404F85" w14:textId="080E6047" w:rsidR="003E0DB1" w:rsidRDefault="003E0DB1" w:rsidP="00357897">
      <w:pPr>
        <w:pStyle w:val="CETBodytext"/>
      </w:pPr>
      <w:r>
        <w:t>Reference is given to the work of Rao for the</w:t>
      </w:r>
      <w:r w:rsidR="003B00E2">
        <w:t xml:space="preserve"> U.S: Department of Energy</w:t>
      </w:r>
      <w:r>
        <w:t xml:space="preserve"> (Rao</w:t>
      </w:r>
      <w:r w:rsidR="003B00E2">
        <w:t xml:space="preserve"> et al, 2002), because</w:t>
      </w:r>
      <w:r w:rsidR="004C44D6">
        <w:t>,</w:t>
      </w:r>
      <w:r w:rsidR="003B00E2">
        <w:t xml:space="preserve"> even if </w:t>
      </w:r>
      <w:r w:rsidR="002429B5">
        <w:t>the</w:t>
      </w:r>
      <w:r w:rsidR="003C4AAF">
        <w:t>ir</w:t>
      </w:r>
      <w:r w:rsidR="002429B5">
        <w:t xml:space="preserve"> presented numbers are not applicable to all services, the study is an exhaustive </w:t>
      </w:r>
      <w:r w:rsidR="001B2193">
        <w:t>collection of all the main critical operating parameters to be considered when designing a Carbon Capture plant.</w:t>
      </w:r>
    </w:p>
    <w:p w14:paraId="2A902E0E" w14:textId="784393A4" w:rsidR="007F5B03" w:rsidRDefault="007F5B03" w:rsidP="00357897">
      <w:pPr>
        <w:pStyle w:val="CETBodytext"/>
      </w:pPr>
    </w:p>
    <w:p w14:paraId="76D14727" w14:textId="6AA9CC61" w:rsidR="00D25041" w:rsidRPr="00BD31BA" w:rsidRDefault="005135E8" w:rsidP="00D25041">
      <w:pPr>
        <w:pStyle w:val="CETBodytext"/>
      </w:pPr>
      <w:r>
        <w:t>Moreover, it is important to have a clear picture on the Carbon Dioxide concentration for the specific industrial service, as listed in Table 1 below, because this element may deeply impact on the identification of the solution to be implemented for the Carbon Capture, as qualified in the following Case Studies.</w:t>
      </w:r>
    </w:p>
    <w:p w14:paraId="55A3AC10" w14:textId="77777777" w:rsidR="00D25041" w:rsidRPr="00BD31BA" w:rsidRDefault="00D25041" w:rsidP="00D25041">
      <w:pPr>
        <w:pStyle w:val="CETBodytext"/>
      </w:pPr>
    </w:p>
    <w:p w14:paraId="030CB643" w14:textId="25502B10" w:rsidR="00D25041" w:rsidRPr="00BD31BA" w:rsidRDefault="00D25041" w:rsidP="00D25041">
      <w:pPr>
        <w:pStyle w:val="CETTabletitle"/>
        <w:spacing w:before="0"/>
        <w:jc w:val="both"/>
        <w:rPr>
          <w:lang w:val="en-US"/>
        </w:rPr>
      </w:pPr>
      <w:r w:rsidRPr="00BD31BA">
        <w:rPr>
          <w:lang w:val="en-US"/>
        </w:rPr>
        <w:t xml:space="preserve">Table 1: </w:t>
      </w:r>
      <w:r w:rsidR="003B0D94">
        <w:rPr>
          <w:lang w:val="en-US"/>
        </w:rPr>
        <w:t>Emission sources for different Industrial systems.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02"/>
        <w:gridCol w:w="3157"/>
        <w:gridCol w:w="1846"/>
      </w:tblGrid>
      <w:tr w:rsidR="003B0D94" w:rsidRPr="00BD31BA" w14:paraId="3B3F0A8F" w14:textId="77777777" w:rsidTr="003B0D94">
        <w:tc>
          <w:tcPr>
            <w:tcW w:w="2002" w:type="dxa"/>
            <w:tcBorders>
              <w:top w:val="single" w:sz="12" w:space="0" w:color="008000"/>
              <w:bottom w:val="single" w:sz="6" w:space="0" w:color="008000"/>
            </w:tcBorders>
            <w:shd w:val="clear" w:color="auto" w:fill="FFFFFF"/>
          </w:tcPr>
          <w:p w14:paraId="19B8D0A7" w14:textId="2624F778" w:rsidR="003B0D94" w:rsidRPr="00BD31BA" w:rsidRDefault="003B0D94">
            <w:pPr>
              <w:pStyle w:val="CETBodytext"/>
            </w:pPr>
          </w:p>
        </w:tc>
        <w:tc>
          <w:tcPr>
            <w:tcW w:w="3157" w:type="dxa"/>
            <w:tcBorders>
              <w:top w:val="single" w:sz="12" w:space="0" w:color="008000"/>
              <w:bottom w:val="single" w:sz="6" w:space="0" w:color="008000"/>
            </w:tcBorders>
            <w:shd w:val="clear" w:color="auto" w:fill="FFFFFF"/>
          </w:tcPr>
          <w:p w14:paraId="6935E643" w14:textId="4641CE90" w:rsidR="003B0D94" w:rsidRPr="005135E8" w:rsidRDefault="003B0D94">
            <w:pPr>
              <w:pStyle w:val="CETBodytext"/>
              <w:rPr>
                <w:b/>
                <w:bCs/>
              </w:rPr>
            </w:pPr>
            <w:r w:rsidRPr="005135E8">
              <w:rPr>
                <w:b/>
                <w:bCs/>
              </w:rPr>
              <w:t>Emission Source</w:t>
            </w:r>
          </w:p>
        </w:tc>
        <w:tc>
          <w:tcPr>
            <w:tcW w:w="1846" w:type="dxa"/>
            <w:tcBorders>
              <w:top w:val="single" w:sz="12" w:space="0" w:color="008000"/>
              <w:bottom w:val="single" w:sz="6" w:space="0" w:color="008000"/>
            </w:tcBorders>
            <w:shd w:val="clear" w:color="auto" w:fill="FFFFFF"/>
          </w:tcPr>
          <w:p w14:paraId="5E247DC7" w14:textId="5F501880" w:rsidR="003B0D94" w:rsidRPr="005135E8" w:rsidRDefault="003B0D94">
            <w:pPr>
              <w:pStyle w:val="CETBodytext"/>
              <w:rPr>
                <w:b/>
                <w:bCs/>
              </w:rPr>
            </w:pPr>
            <w:r w:rsidRPr="005135E8">
              <w:rPr>
                <w:b/>
                <w:bCs/>
              </w:rPr>
              <w:t>CO</w:t>
            </w:r>
            <w:r w:rsidRPr="005135E8">
              <w:rPr>
                <w:b/>
                <w:bCs/>
                <w:vertAlign w:val="subscript"/>
              </w:rPr>
              <w:t>2</w:t>
            </w:r>
            <w:r w:rsidRPr="005135E8">
              <w:rPr>
                <w:b/>
                <w:bCs/>
              </w:rPr>
              <w:t xml:space="preserve"> Content (vol%)</w:t>
            </w:r>
          </w:p>
        </w:tc>
      </w:tr>
      <w:tr w:rsidR="003B0D94" w:rsidRPr="00BD31BA" w14:paraId="0DFA04E8" w14:textId="77777777" w:rsidTr="003B0D94">
        <w:trPr>
          <w:trHeight w:val="552"/>
        </w:trPr>
        <w:tc>
          <w:tcPr>
            <w:tcW w:w="2002" w:type="dxa"/>
            <w:shd w:val="clear" w:color="auto" w:fill="FFFFFF"/>
          </w:tcPr>
          <w:p w14:paraId="7C84DE05" w14:textId="30078775" w:rsidR="003B0D94" w:rsidRPr="00BD31BA" w:rsidRDefault="003B0D94">
            <w:pPr>
              <w:pStyle w:val="CETBodytext"/>
              <w:jc w:val="left"/>
            </w:pPr>
            <w:r>
              <w:t>Power Generation</w:t>
            </w:r>
          </w:p>
        </w:tc>
        <w:tc>
          <w:tcPr>
            <w:tcW w:w="3157" w:type="dxa"/>
            <w:shd w:val="clear" w:color="auto" w:fill="FFFFFF"/>
            <w:vAlign w:val="center"/>
          </w:tcPr>
          <w:p w14:paraId="1046705D" w14:textId="0B7799E5" w:rsidR="003B0D94" w:rsidRPr="00BD31BA" w:rsidRDefault="003B0D94">
            <w:pPr>
              <w:pStyle w:val="CETBodytext"/>
              <w:jc w:val="left"/>
            </w:pPr>
            <w:r>
              <w:t>Coal to power</w:t>
            </w:r>
          </w:p>
        </w:tc>
        <w:tc>
          <w:tcPr>
            <w:tcW w:w="1846" w:type="dxa"/>
            <w:shd w:val="clear" w:color="auto" w:fill="FFFFFF"/>
            <w:vAlign w:val="center"/>
          </w:tcPr>
          <w:p w14:paraId="79514DB7" w14:textId="1A2251C4" w:rsidR="003B0D94" w:rsidRPr="00BD31BA" w:rsidRDefault="003B0D94">
            <w:pPr>
              <w:pStyle w:val="CETBodytext"/>
              <w:jc w:val="left"/>
            </w:pPr>
            <w:r>
              <w:t>12-15</w:t>
            </w:r>
          </w:p>
        </w:tc>
      </w:tr>
      <w:tr w:rsidR="003B0D94" w:rsidRPr="00BD31BA" w14:paraId="47DBA936" w14:textId="77777777" w:rsidTr="003B0D94">
        <w:trPr>
          <w:trHeight w:val="549"/>
        </w:trPr>
        <w:tc>
          <w:tcPr>
            <w:tcW w:w="2002" w:type="dxa"/>
            <w:shd w:val="clear" w:color="auto" w:fill="FFFFFF"/>
          </w:tcPr>
          <w:p w14:paraId="4B9AFC17" w14:textId="0A285F5C" w:rsidR="003B0D94" w:rsidRPr="00BD31BA" w:rsidRDefault="003B0D94">
            <w:pPr>
              <w:pStyle w:val="CETBodytext"/>
              <w:jc w:val="left"/>
            </w:pPr>
          </w:p>
        </w:tc>
        <w:tc>
          <w:tcPr>
            <w:tcW w:w="3157" w:type="dxa"/>
            <w:shd w:val="clear" w:color="auto" w:fill="FFFFFF"/>
            <w:vAlign w:val="center"/>
          </w:tcPr>
          <w:p w14:paraId="13C5E6F5" w14:textId="402154C2" w:rsidR="003B0D94" w:rsidRPr="00BD31BA" w:rsidRDefault="003B0D94">
            <w:pPr>
              <w:pStyle w:val="CETBodytext"/>
              <w:jc w:val="left"/>
            </w:pPr>
            <w:r>
              <w:t>NG to power</w:t>
            </w:r>
          </w:p>
        </w:tc>
        <w:tc>
          <w:tcPr>
            <w:tcW w:w="1846" w:type="dxa"/>
            <w:shd w:val="clear" w:color="auto" w:fill="FFFFFF"/>
            <w:vAlign w:val="center"/>
          </w:tcPr>
          <w:p w14:paraId="2A3A0E5C" w14:textId="04C28664" w:rsidR="003B0D94" w:rsidRPr="00BD31BA" w:rsidRDefault="003B0D94">
            <w:pPr>
              <w:pStyle w:val="CETBodytext"/>
              <w:jc w:val="left"/>
            </w:pPr>
            <w:r>
              <w:t>3-10</w:t>
            </w:r>
          </w:p>
        </w:tc>
      </w:tr>
      <w:tr w:rsidR="003B0D94" w:rsidRPr="00BD31BA" w14:paraId="77B24FF5" w14:textId="77777777" w:rsidTr="003B0D94">
        <w:trPr>
          <w:trHeight w:val="549"/>
        </w:trPr>
        <w:tc>
          <w:tcPr>
            <w:tcW w:w="2002" w:type="dxa"/>
            <w:shd w:val="clear" w:color="auto" w:fill="FFFFFF"/>
          </w:tcPr>
          <w:p w14:paraId="34263A93" w14:textId="77777777" w:rsidR="003B0D94" w:rsidRPr="00BD31BA" w:rsidRDefault="003B0D94">
            <w:pPr>
              <w:pStyle w:val="CETBodytext"/>
              <w:jc w:val="left"/>
            </w:pPr>
          </w:p>
        </w:tc>
        <w:tc>
          <w:tcPr>
            <w:tcW w:w="3157" w:type="dxa"/>
            <w:shd w:val="clear" w:color="auto" w:fill="FFFFFF"/>
            <w:vAlign w:val="center"/>
          </w:tcPr>
          <w:p w14:paraId="39A1EE4C" w14:textId="16405E24" w:rsidR="003B0D94" w:rsidRPr="00BD31BA" w:rsidRDefault="003B0D94">
            <w:pPr>
              <w:pStyle w:val="CETBodytext"/>
              <w:jc w:val="left"/>
            </w:pPr>
            <w:r>
              <w:t>Oil to power</w:t>
            </w:r>
          </w:p>
        </w:tc>
        <w:tc>
          <w:tcPr>
            <w:tcW w:w="1846" w:type="dxa"/>
            <w:shd w:val="clear" w:color="auto" w:fill="FFFFFF"/>
            <w:vAlign w:val="center"/>
          </w:tcPr>
          <w:p w14:paraId="143FABBC" w14:textId="64D1CE83" w:rsidR="003B0D94" w:rsidRPr="00BD31BA" w:rsidRDefault="003B0D94">
            <w:pPr>
              <w:pStyle w:val="CETBodytext"/>
              <w:jc w:val="left"/>
            </w:pPr>
            <w:r>
              <w:t>3-8</w:t>
            </w:r>
          </w:p>
        </w:tc>
      </w:tr>
      <w:tr w:rsidR="003B0D94" w:rsidRPr="00BD31BA" w14:paraId="31E2DFF0" w14:textId="77777777" w:rsidTr="003B0D94">
        <w:trPr>
          <w:trHeight w:val="549"/>
        </w:trPr>
        <w:tc>
          <w:tcPr>
            <w:tcW w:w="2002" w:type="dxa"/>
            <w:shd w:val="clear" w:color="auto" w:fill="FFFFFF"/>
          </w:tcPr>
          <w:p w14:paraId="3A13CAA5" w14:textId="77777777" w:rsidR="003B0D94" w:rsidRPr="00BD31BA" w:rsidRDefault="003B0D94">
            <w:pPr>
              <w:pStyle w:val="CETBodytext"/>
              <w:jc w:val="left"/>
            </w:pPr>
          </w:p>
        </w:tc>
        <w:tc>
          <w:tcPr>
            <w:tcW w:w="3157" w:type="dxa"/>
            <w:shd w:val="clear" w:color="auto" w:fill="FFFFFF"/>
            <w:vAlign w:val="center"/>
          </w:tcPr>
          <w:p w14:paraId="2451DEDB" w14:textId="64483D55" w:rsidR="003B0D94" w:rsidRPr="00BD31BA" w:rsidRDefault="003B0D94">
            <w:pPr>
              <w:pStyle w:val="CETBodytext"/>
              <w:jc w:val="left"/>
            </w:pPr>
            <w:r>
              <w:t>Bioenergy</w:t>
            </w:r>
          </w:p>
        </w:tc>
        <w:tc>
          <w:tcPr>
            <w:tcW w:w="1846" w:type="dxa"/>
            <w:shd w:val="clear" w:color="auto" w:fill="FFFFFF"/>
            <w:vAlign w:val="center"/>
          </w:tcPr>
          <w:p w14:paraId="73DF32E6" w14:textId="0CEAA1DD" w:rsidR="003B0D94" w:rsidRPr="00BD31BA" w:rsidRDefault="003B0D94">
            <w:pPr>
              <w:pStyle w:val="CETBodytext"/>
              <w:jc w:val="left"/>
            </w:pPr>
            <w:r>
              <w:t>3-8</w:t>
            </w:r>
          </w:p>
        </w:tc>
      </w:tr>
      <w:tr w:rsidR="003B0D94" w:rsidRPr="00BD31BA" w14:paraId="01FFBC5B" w14:textId="77777777" w:rsidTr="003B0D94">
        <w:trPr>
          <w:trHeight w:val="549"/>
        </w:trPr>
        <w:tc>
          <w:tcPr>
            <w:tcW w:w="2002" w:type="dxa"/>
            <w:shd w:val="clear" w:color="auto" w:fill="FFFFFF"/>
          </w:tcPr>
          <w:p w14:paraId="64FD3AE9" w14:textId="6EC8D0DD" w:rsidR="003B0D94" w:rsidRPr="00BD31BA" w:rsidRDefault="003B0D94">
            <w:pPr>
              <w:pStyle w:val="CETBodytext"/>
              <w:jc w:val="left"/>
            </w:pPr>
            <w:r>
              <w:t>Large Emitters</w:t>
            </w:r>
          </w:p>
        </w:tc>
        <w:tc>
          <w:tcPr>
            <w:tcW w:w="3157" w:type="dxa"/>
            <w:shd w:val="clear" w:color="auto" w:fill="FFFFFF"/>
            <w:vAlign w:val="center"/>
          </w:tcPr>
          <w:p w14:paraId="61C9E3F8" w14:textId="5ABA12E6" w:rsidR="003B0D94" w:rsidRPr="00BD31BA" w:rsidRDefault="003B0D94">
            <w:pPr>
              <w:pStyle w:val="CETBodytext"/>
              <w:jc w:val="left"/>
            </w:pPr>
            <w:r>
              <w:t>Cement production</w:t>
            </w:r>
          </w:p>
        </w:tc>
        <w:tc>
          <w:tcPr>
            <w:tcW w:w="1846" w:type="dxa"/>
            <w:shd w:val="clear" w:color="auto" w:fill="FFFFFF"/>
            <w:vAlign w:val="center"/>
          </w:tcPr>
          <w:p w14:paraId="193B8D71" w14:textId="42F04BC3" w:rsidR="003B0D94" w:rsidRPr="00BD31BA" w:rsidRDefault="003B0D94">
            <w:pPr>
              <w:pStyle w:val="CETBodytext"/>
              <w:jc w:val="left"/>
            </w:pPr>
            <w:r>
              <w:t>14-33</w:t>
            </w:r>
          </w:p>
        </w:tc>
      </w:tr>
      <w:tr w:rsidR="003B0D94" w:rsidRPr="00BD31BA" w14:paraId="2EBD19FA" w14:textId="77777777" w:rsidTr="003B0D94">
        <w:trPr>
          <w:trHeight w:val="549"/>
        </w:trPr>
        <w:tc>
          <w:tcPr>
            <w:tcW w:w="2002" w:type="dxa"/>
            <w:shd w:val="clear" w:color="auto" w:fill="FFFFFF"/>
          </w:tcPr>
          <w:p w14:paraId="7F892516" w14:textId="77777777" w:rsidR="003B0D94" w:rsidRPr="00BD31BA" w:rsidRDefault="003B0D94">
            <w:pPr>
              <w:pStyle w:val="CETBodytext"/>
              <w:jc w:val="left"/>
            </w:pPr>
          </w:p>
        </w:tc>
        <w:tc>
          <w:tcPr>
            <w:tcW w:w="3157" w:type="dxa"/>
            <w:shd w:val="clear" w:color="auto" w:fill="FFFFFF"/>
            <w:vAlign w:val="center"/>
          </w:tcPr>
          <w:p w14:paraId="4B60CA9B" w14:textId="6F22E5C5" w:rsidR="003B0D94" w:rsidRPr="00BD31BA" w:rsidRDefault="003B0D94">
            <w:pPr>
              <w:pStyle w:val="CETBodytext"/>
              <w:jc w:val="left"/>
            </w:pPr>
            <w:r>
              <w:t>Iron and Steel</w:t>
            </w:r>
          </w:p>
        </w:tc>
        <w:tc>
          <w:tcPr>
            <w:tcW w:w="1846" w:type="dxa"/>
            <w:shd w:val="clear" w:color="auto" w:fill="FFFFFF"/>
            <w:vAlign w:val="center"/>
          </w:tcPr>
          <w:p w14:paraId="5B4981D6" w14:textId="2510DBC5" w:rsidR="003B0D94" w:rsidRPr="00BD31BA" w:rsidRDefault="003B0D94">
            <w:pPr>
              <w:pStyle w:val="CETBodytext"/>
              <w:jc w:val="left"/>
            </w:pPr>
            <w:r>
              <w:t>15</w:t>
            </w:r>
          </w:p>
        </w:tc>
      </w:tr>
      <w:tr w:rsidR="003B0D94" w:rsidRPr="00BD31BA" w14:paraId="6E36E5EF" w14:textId="77777777" w:rsidTr="003B0D94">
        <w:trPr>
          <w:trHeight w:val="549"/>
        </w:trPr>
        <w:tc>
          <w:tcPr>
            <w:tcW w:w="2002" w:type="dxa"/>
            <w:shd w:val="clear" w:color="auto" w:fill="FFFFFF"/>
          </w:tcPr>
          <w:p w14:paraId="5F362F65" w14:textId="77777777" w:rsidR="003B0D94" w:rsidRPr="00BD31BA" w:rsidRDefault="003B0D94">
            <w:pPr>
              <w:pStyle w:val="CETBodytext"/>
              <w:jc w:val="left"/>
            </w:pPr>
          </w:p>
        </w:tc>
        <w:tc>
          <w:tcPr>
            <w:tcW w:w="3157" w:type="dxa"/>
            <w:shd w:val="clear" w:color="auto" w:fill="FFFFFF"/>
            <w:vAlign w:val="center"/>
          </w:tcPr>
          <w:p w14:paraId="3CC50F62" w14:textId="576C2206" w:rsidR="003B0D94" w:rsidRPr="00BD31BA" w:rsidRDefault="003B0D94">
            <w:pPr>
              <w:pStyle w:val="CETBodytext"/>
              <w:jc w:val="left"/>
            </w:pPr>
            <w:r>
              <w:t>Refineries (excluding H</w:t>
            </w:r>
            <w:r w:rsidRPr="00185530">
              <w:rPr>
                <w:vertAlign w:val="subscript"/>
              </w:rPr>
              <w:t>2</w:t>
            </w:r>
            <w:r>
              <w:t xml:space="preserve"> e NH</w:t>
            </w:r>
            <w:r w:rsidRPr="00185530">
              <w:rPr>
                <w:vertAlign w:val="subscript"/>
              </w:rPr>
              <w:t>3</w:t>
            </w:r>
            <w:r>
              <w:t>)</w:t>
            </w:r>
          </w:p>
        </w:tc>
        <w:tc>
          <w:tcPr>
            <w:tcW w:w="1846" w:type="dxa"/>
            <w:shd w:val="clear" w:color="auto" w:fill="FFFFFF"/>
            <w:vAlign w:val="center"/>
          </w:tcPr>
          <w:p w14:paraId="6EEBE656" w14:textId="325556AC" w:rsidR="003B0D94" w:rsidRPr="00BD31BA" w:rsidRDefault="003B0D94">
            <w:pPr>
              <w:pStyle w:val="CETBodytext"/>
              <w:jc w:val="left"/>
            </w:pPr>
            <w:r>
              <w:t>3-13</w:t>
            </w:r>
          </w:p>
        </w:tc>
      </w:tr>
      <w:tr w:rsidR="003B0D94" w:rsidRPr="00BD31BA" w14:paraId="61544F5B" w14:textId="77777777" w:rsidTr="003B0D94">
        <w:trPr>
          <w:trHeight w:val="549"/>
        </w:trPr>
        <w:tc>
          <w:tcPr>
            <w:tcW w:w="2002" w:type="dxa"/>
            <w:shd w:val="clear" w:color="auto" w:fill="FFFFFF"/>
          </w:tcPr>
          <w:p w14:paraId="4CF42B6C" w14:textId="77777777" w:rsidR="003B0D94" w:rsidRPr="00BD31BA" w:rsidRDefault="003B0D94">
            <w:pPr>
              <w:pStyle w:val="CETBodytext"/>
              <w:jc w:val="left"/>
            </w:pPr>
          </w:p>
        </w:tc>
        <w:tc>
          <w:tcPr>
            <w:tcW w:w="3157" w:type="dxa"/>
            <w:shd w:val="clear" w:color="auto" w:fill="FFFFFF"/>
            <w:vAlign w:val="center"/>
          </w:tcPr>
          <w:p w14:paraId="4E329FFB" w14:textId="0B5B22DE" w:rsidR="003B0D94" w:rsidRPr="00BD31BA" w:rsidRDefault="003B0D94">
            <w:pPr>
              <w:pStyle w:val="CETBodytext"/>
              <w:jc w:val="left"/>
            </w:pPr>
            <w:r>
              <w:t>Ethylene production</w:t>
            </w:r>
          </w:p>
        </w:tc>
        <w:tc>
          <w:tcPr>
            <w:tcW w:w="1846" w:type="dxa"/>
            <w:shd w:val="clear" w:color="auto" w:fill="FFFFFF"/>
            <w:vAlign w:val="center"/>
          </w:tcPr>
          <w:p w14:paraId="0730408C" w14:textId="63010C17" w:rsidR="003B0D94" w:rsidRPr="00BD31BA" w:rsidRDefault="003B0D94">
            <w:pPr>
              <w:pStyle w:val="CETBodytext"/>
              <w:jc w:val="left"/>
            </w:pPr>
            <w:r>
              <w:t>12</w:t>
            </w:r>
          </w:p>
        </w:tc>
      </w:tr>
      <w:tr w:rsidR="003B0D94" w:rsidRPr="00BD31BA" w14:paraId="44735370" w14:textId="77777777" w:rsidTr="003B0D94">
        <w:trPr>
          <w:trHeight w:val="549"/>
        </w:trPr>
        <w:tc>
          <w:tcPr>
            <w:tcW w:w="2002" w:type="dxa"/>
            <w:shd w:val="clear" w:color="auto" w:fill="FFFFFF"/>
          </w:tcPr>
          <w:p w14:paraId="2C49667E" w14:textId="77777777" w:rsidR="003B0D94" w:rsidRPr="00BD31BA" w:rsidRDefault="003B0D94">
            <w:pPr>
              <w:pStyle w:val="CETBodytext"/>
              <w:jc w:val="left"/>
            </w:pPr>
          </w:p>
        </w:tc>
        <w:tc>
          <w:tcPr>
            <w:tcW w:w="3157" w:type="dxa"/>
            <w:shd w:val="clear" w:color="auto" w:fill="FFFFFF"/>
            <w:vAlign w:val="center"/>
          </w:tcPr>
          <w:p w14:paraId="16EDC100" w14:textId="452B7110" w:rsidR="003B0D94" w:rsidRPr="00BD31BA" w:rsidRDefault="003B0D94">
            <w:pPr>
              <w:pStyle w:val="CETBodytext"/>
              <w:jc w:val="left"/>
            </w:pPr>
            <w:r>
              <w:t>Waste Combustion</w:t>
            </w:r>
          </w:p>
        </w:tc>
        <w:tc>
          <w:tcPr>
            <w:tcW w:w="1846" w:type="dxa"/>
            <w:shd w:val="clear" w:color="auto" w:fill="FFFFFF"/>
            <w:vAlign w:val="center"/>
          </w:tcPr>
          <w:p w14:paraId="3A11CC95" w14:textId="54071487" w:rsidR="003B0D94" w:rsidRPr="00BD31BA" w:rsidRDefault="003B0D94">
            <w:pPr>
              <w:pStyle w:val="CETBodytext"/>
              <w:jc w:val="left"/>
            </w:pPr>
            <w:r>
              <w:t>20</w:t>
            </w:r>
          </w:p>
        </w:tc>
      </w:tr>
      <w:tr w:rsidR="003B0D94" w:rsidRPr="00BD31BA" w14:paraId="0B33EB8F" w14:textId="77777777" w:rsidTr="003B0D94">
        <w:trPr>
          <w:trHeight w:val="540"/>
        </w:trPr>
        <w:tc>
          <w:tcPr>
            <w:tcW w:w="2002" w:type="dxa"/>
            <w:shd w:val="clear" w:color="auto" w:fill="FFFFFF"/>
          </w:tcPr>
          <w:p w14:paraId="50F74FDD" w14:textId="71B3CCF3" w:rsidR="003B0D94" w:rsidRPr="00BD31BA" w:rsidRDefault="003B0D94">
            <w:pPr>
              <w:pStyle w:val="CETBodytext"/>
              <w:jc w:val="left"/>
            </w:pPr>
            <w:r>
              <w:t>High Purity Sources</w:t>
            </w:r>
          </w:p>
        </w:tc>
        <w:tc>
          <w:tcPr>
            <w:tcW w:w="3157" w:type="dxa"/>
            <w:shd w:val="clear" w:color="auto" w:fill="FFFFFF"/>
            <w:vAlign w:val="center"/>
          </w:tcPr>
          <w:p w14:paraId="3ABFA38F" w14:textId="11A8D760" w:rsidR="003B0D94" w:rsidRPr="00BD31BA" w:rsidRDefault="003B0D94">
            <w:pPr>
              <w:pStyle w:val="CETBodytext"/>
              <w:jc w:val="left"/>
            </w:pPr>
            <w:r>
              <w:t>NH3 production</w:t>
            </w:r>
          </w:p>
        </w:tc>
        <w:tc>
          <w:tcPr>
            <w:tcW w:w="1846" w:type="dxa"/>
            <w:shd w:val="clear" w:color="auto" w:fill="FFFFFF"/>
            <w:vAlign w:val="center"/>
          </w:tcPr>
          <w:p w14:paraId="64F2695B" w14:textId="024C1BF0" w:rsidR="003B0D94" w:rsidRPr="00BD31BA" w:rsidRDefault="003B0D94">
            <w:pPr>
              <w:pStyle w:val="CETBodytext"/>
              <w:jc w:val="left"/>
            </w:pPr>
            <w:r>
              <w:t>100</w:t>
            </w:r>
          </w:p>
        </w:tc>
      </w:tr>
      <w:tr w:rsidR="003B0D94" w:rsidRPr="00BD31BA" w14:paraId="348E9532" w14:textId="77777777" w:rsidTr="003B0D94">
        <w:trPr>
          <w:trHeight w:val="540"/>
        </w:trPr>
        <w:tc>
          <w:tcPr>
            <w:tcW w:w="2002" w:type="dxa"/>
            <w:shd w:val="clear" w:color="auto" w:fill="FFFFFF"/>
          </w:tcPr>
          <w:p w14:paraId="2D5AECA2" w14:textId="77777777" w:rsidR="003B0D94" w:rsidRPr="00BD31BA" w:rsidRDefault="003B0D94">
            <w:pPr>
              <w:pStyle w:val="CETBodytext"/>
              <w:jc w:val="left"/>
            </w:pPr>
          </w:p>
        </w:tc>
        <w:tc>
          <w:tcPr>
            <w:tcW w:w="3157" w:type="dxa"/>
            <w:shd w:val="clear" w:color="auto" w:fill="FFFFFF"/>
            <w:vAlign w:val="center"/>
          </w:tcPr>
          <w:p w14:paraId="1434CF0E" w14:textId="36F5C548" w:rsidR="003B0D94" w:rsidRPr="00BD31BA" w:rsidRDefault="003B0D94">
            <w:pPr>
              <w:pStyle w:val="CETBodytext"/>
              <w:jc w:val="left"/>
            </w:pPr>
            <w:r>
              <w:t>H2 production</w:t>
            </w:r>
          </w:p>
        </w:tc>
        <w:tc>
          <w:tcPr>
            <w:tcW w:w="1846" w:type="dxa"/>
            <w:shd w:val="clear" w:color="auto" w:fill="FFFFFF"/>
            <w:vAlign w:val="center"/>
          </w:tcPr>
          <w:p w14:paraId="48F81B82" w14:textId="554ABCC1" w:rsidR="003B0D94" w:rsidRPr="00BD31BA" w:rsidRDefault="003B0D94">
            <w:pPr>
              <w:pStyle w:val="CETBodytext"/>
              <w:jc w:val="left"/>
            </w:pPr>
            <w:r>
              <w:t>70-90</w:t>
            </w:r>
          </w:p>
        </w:tc>
      </w:tr>
      <w:tr w:rsidR="003B0D94" w:rsidRPr="00BD31BA" w14:paraId="2D6A2DBC" w14:textId="77777777" w:rsidTr="003B0D94">
        <w:trPr>
          <w:trHeight w:val="540"/>
        </w:trPr>
        <w:tc>
          <w:tcPr>
            <w:tcW w:w="2002" w:type="dxa"/>
            <w:shd w:val="clear" w:color="auto" w:fill="FFFFFF"/>
          </w:tcPr>
          <w:p w14:paraId="52A2F2C7" w14:textId="77777777" w:rsidR="003B0D94" w:rsidRPr="00BD31BA" w:rsidRDefault="003B0D94">
            <w:pPr>
              <w:pStyle w:val="CETBodytext"/>
              <w:jc w:val="left"/>
            </w:pPr>
          </w:p>
        </w:tc>
        <w:tc>
          <w:tcPr>
            <w:tcW w:w="3157" w:type="dxa"/>
            <w:shd w:val="clear" w:color="auto" w:fill="FFFFFF"/>
            <w:vAlign w:val="center"/>
          </w:tcPr>
          <w:p w14:paraId="5048A56B" w14:textId="768A8C6A" w:rsidR="003B0D94" w:rsidRPr="00BD31BA" w:rsidRDefault="003B0D94">
            <w:pPr>
              <w:pStyle w:val="CETBodytext"/>
              <w:jc w:val="left"/>
            </w:pPr>
            <w:r>
              <w:t>NG production</w:t>
            </w:r>
          </w:p>
        </w:tc>
        <w:tc>
          <w:tcPr>
            <w:tcW w:w="1846" w:type="dxa"/>
            <w:shd w:val="clear" w:color="auto" w:fill="FFFFFF"/>
            <w:vAlign w:val="center"/>
          </w:tcPr>
          <w:p w14:paraId="0DFECDA5" w14:textId="15BC47D1" w:rsidR="003B0D94" w:rsidRPr="00BD31BA" w:rsidRDefault="003B0D94">
            <w:pPr>
              <w:pStyle w:val="CETBodytext"/>
              <w:jc w:val="left"/>
            </w:pPr>
            <w:r>
              <w:t>5-70%</w:t>
            </w:r>
          </w:p>
        </w:tc>
      </w:tr>
      <w:tr w:rsidR="003B0D94" w:rsidRPr="00BD31BA" w14:paraId="086541EF" w14:textId="77777777" w:rsidTr="003B0D94">
        <w:trPr>
          <w:trHeight w:val="540"/>
        </w:trPr>
        <w:tc>
          <w:tcPr>
            <w:tcW w:w="2002" w:type="dxa"/>
            <w:shd w:val="clear" w:color="auto" w:fill="FFFFFF"/>
          </w:tcPr>
          <w:p w14:paraId="32A84E50" w14:textId="77777777" w:rsidR="003B0D94" w:rsidRPr="00BD31BA" w:rsidRDefault="003B0D94">
            <w:pPr>
              <w:pStyle w:val="CETBodytext"/>
              <w:jc w:val="left"/>
            </w:pPr>
          </w:p>
        </w:tc>
        <w:tc>
          <w:tcPr>
            <w:tcW w:w="3157" w:type="dxa"/>
            <w:shd w:val="clear" w:color="auto" w:fill="FFFFFF"/>
            <w:vAlign w:val="center"/>
          </w:tcPr>
          <w:p w14:paraId="7DD12867" w14:textId="4BE5DDB9" w:rsidR="003B0D94" w:rsidRPr="00BD31BA" w:rsidRDefault="003B0D94">
            <w:pPr>
              <w:pStyle w:val="CETBodytext"/>
              <w:jc w:val="left"/>
            </w:pPr>
            <w:r>
              <w:t>Biomass fermentation</w:t>
            </w:r>
          </w:p>
        </w:tc>
        <w:tc>
          <w:tcPr>
            <w:tcW w:w="1846" w:type="dxa"/>
            <w:shd w:val="clear" w:color="auto" w:fill="FFFFFF"/>
            <w:vAlign w:val="center"/>
          </w:tcPr>
          <w:p w14:paraId="5C07F359" w14:textId="0BB26121" w:rsidR="003B0D94" w:rsidRPr="00BD31BA" w:rsidRDefault="003B0D94">
            <w:pPr>
              <w:pStyle w:val="CETBodytext"/>
              <w:jc w:val="left"/>
            </w:pPr>
            <w:r>
              <w:t>100</w:t>
            </w:r>
          </w:p>
        </w:tc>
      </w:tr>
    </w:tbl>
    <w:p w14:paraId="3269243A" w14:textId="3D468BEF" w:rsidR="00357897" w:rsidRPr="00BD31BA" w:rsidRDefault="00357897" w:rsidP="00357897">
      <w:pPr>
        <w:pStyle w:val="CETHeading1"/>
      </w:pPr>
      <w:r w:rsidRPr="00BD31BA">
        <w:t xml:space="preserve">Case Study 1 </w:t>
      </w:r>
      <w:r w:rsidR="00B677E8" w:rsidRPr="00BD31BA">
        <w:t>–</w:t>
      </w:r>
      <w:r w:rsidRPr="00BD31BA">
        <w:t xml:space="preserve"> </w:t>
      </w:r>
      <w:r w:rsidR="00B677E8" w:rsidRPr="00BD31BA">
        <w:t>Steam Reformer</w:t>
      </w:r>
    </w:p>
    <w:p w14:paraId="5D1985D6" w14:textId="25D9DCF9" w:rsidR="001E556B" w:rsidRDefault="0053021F" w:rsidP="00357897">
      <w:pPr>
        <w:pStyle w:val="CETBodytext"/>
      </w:pPr>
      <w:r>
        <w:t xml:space="preserve">The currently </w:t>
      </w:r>
      <w:r w:rsidR="00A003EA">
        <w:t xml:space="preserve">most </w:t>
      </w:r>
      <w:r w:rsidR="007F0496">
        <w:t>widespread</w:t>
      </w:r>
      <w:r w:rsidR="00A003EA">
        <w:t xml:space="preserve"> application of </w:t>
      </w:r>
      <w:r w:rsidR="0043021E">
        <w:t xml:space="preserve">post combustion </w:t>
      </w:r>
      <w:r w:rsidR="00A003EA">
        <w:t xml:space="preserve">Carbon </w:t>
      </w:r>
      <w:r w:rsidR="008C34B7">
        <w:t>Capture systems to Steam Reformer</w:t>
      </w:r>
      <w:r w:rsidR="007F0496">
        <w:t>s</w:t>
      </w:r>
      <w:r w:rsidR="008C34B7">
        <w:t xml:space="preserve"> </w:t>
      </w:r>
      <w:r w:rsidR="007F0496">
        <w:t>i</w:t>
      </w:r>
      <w:r w:rsidR="008C34B7">
        <w:t xml:space="preserve">s </w:t>
      </w:r>
      <w:r w:rsidR="00C640E9">
        <w:t xml:space="preserve">within Ammonia plants, especially when they are integrated with a downstream </w:t>
      </w:r>
      <w:r w:rsidR="007F0496">
        <w:t xml:space="preserve">Urea production plant. The reason is </w:t>
      </w:r>
      <w:r w:rsidR="00CB196D">
        <w:t>that the captured CO</w:t>
      </w:r>
      <w:r w:rsidR="00CB196D" w:rsidRPr="00141B19">
        <w:rPr>
          <w:vertAlign w:val="subscript"/>
        </w:rPr>
        <w:t>2</w:t>
      </w:r>
      <w:r w:rsidR="00CB196D">
        <w:t xml:space="preserve"> can be utilized to increase the Urea production capacity</w:t>
      </w:r>
      <w:r w:rsidR="0043021E">
        <w:t xml:space="preserve"> together with the </w:t>
      </w:r>
      <w:r w:rsidR="00C772A1">
        <w:t>flow</w:t>
      </w:r>
      <w:r w:rsidR="00141B19">
        <w:t>rate</w:t>
      </w:r>
      <w:r w:rsidR="0043021E">
        <w:t xml:space="preserve"> from the process carbon capture </w:t>
      </w:r>
      <w:r w:rsidR="00B61936">
        <w:t>on syngas.</w:t>
      </w:r>
    </w:p>
    <w:p w14:paraId="6A941FFA" w14:textId="77777777" w:rsidR="00B61936" w:rsidRDefault="00B61936" w:rsidP="00357897">
      <w:pPr>
        <w:pStyle w:val="CETBodytext"/>
      </w:pPr>
    </w:p>
    <w:p w14:paraId="54C12190" w14:textId="77BDF940" w:rsidR="001E556B" w:rsidRDefault="00C84EC5" w:rsidP="00357897">
      <w:pPr>
        <w:pStyle w:val="CETBodytext"/>
      </w:pPr>
      <w:r>
        <w:t>The real challenge however is the possibility to retrofit the existing</w:t>
      </w:r>
      <w:r w:rsidR="0089580B">
        <w:t xml:space="preserve"> stream reformers, whether if they are</w:t>
      </w:r>
      <w:r w:rsidR="001438B8">
        <w:t xml:space="preserve"> foreseen</w:t>
      </w:r>
      <w:r w:rsidR="0089580B">
        <w:t xml:space="preserve"> for </w:t>
      </w:r>
      <w:r w:rsidR="001438B8">
        <w:t>an</w:t>
      </w:r>
      <w:r w:rsidR="0089580B">
        <w:t xml:space="preserve"> Ammonia </w:t>
      </w:r>
      <w:r w:rsidR="001438B8">
        <w:t xml:space="preserve">plant </w:t>
      </w:r>
      <w:r w:rsidR="0089580B">
        <w:t xml:space="preserve">or </w:t>
      </w:r>
      <w:r w:rsidR="002C397A">
        <w:t>dedicated</w:t>
      </w:r>
      <w:r w:rsidR="0089580B">
        <w:t xml:space="preserve"> to Hydrogen</w:t>
      </w:r>
      <w:r w:rsidR="001438B8">
        <w:t xml:space="preserve"> production.</w:t>
      </w:r>
    </w:p>
    <w:p w14:paraId="6DAEE52B" w14:textId="16252EB1" w:rsidR="00DF1B5C" w:rsidRDefault="00DF1B5C" w:rsidP="00DF1B5C">
      <w:pPr>
        <w:pStyle w:val="CETBodytext"/>
      </w:pPr>
      <w:r w:rsidRPr="00BD31BA">
        <w:t>The CO</w:t>
      </w:r>
      <w:r w:rsidRPr="00DF1B5C">
        <w:rPr>
          <w:vertAlign w:val="subscript"/>
        </w:rPr>
        <w:t>2</w:t>
      </w:r>
      <w:r w:rsidRPr="00BD31BA">
        <w:t xml:space="preserve"> avoidance cost </w:t>
      </w:r>
      <w:r w:rsidR="003C4AAF">
        <w:t>to</w:t>
      </w:r>
      <w:r w:rsidRPr="00BD31BA">
        <w:t xml:space="preserve"> retrofit</w:t>
      </w:r>
      <w:r w:rsidR="003C4AAF">
        <w:t xml:space="preserve"> existing</w:t>
      </w:r>
      <w:r w:rsidRPr="00BD31BA">
        <w:t xml:space="preserve"> systems </w:t>
      </w:r>
      <w:r w:rsidR="003C4AAF">
        <w:t>has been</w:t>
      </w:r>
      <w:r w:rsidRPr="00BD31BA">
        <w:t xml:space="preserve"> found generally higher than </w:t>
      </w:r>
      <w:r w:rsidR="003C4AAF">
        <w:t>that of</w:t>
      </w:r>
      <w:r w:rsidRPr="00BD31BA">
        <w:t xml:space="preserve"> new plants, mainly because of the higher energy penalty resulting from </w:t>
      </w:r>
      <w:r w:rsidR="003C4AAF">
        <w:t xml:space="preserve">a </w:t>
      </w:r>
      <w:r w:rsidRPr="00BD31BA">
        <w:t>less efficient heat integration (Rao et al., 2002)</w:t>
      </w:r>
      <w:r w:rsidR="001456CA">
        <w:t xml:space="preserve">, however </w:t>
      </w:r>
      <w:r w:rsidR="003A1A47">
        <w:t xml:space="preserve">the issue can be mitigated by </w:t>
      </w:r>
      <w:r w:rsidR="00F15921">
        <w:t xml:space="preserve">clearly </w:t>
      </w:r>
      <w:r w:rsidR="003A1A47">
        <w:t xml:space="preserve">identifying </w:t>
      </w:r>
      <w:r w:rsidR="00EB0454">
        <w:t>system inefficiencies.</w:t>
      </w:r>
    </w:p>
    <w:p w14:paraId="60B96882" w14:textId="00BABFDD" w:rsidR="00EB0454" w:rsidRDefault="00EB0454" w:rsidP="00DF1B5C">
      <w:pPr>
        <w:pStyle w:val="CETBodytext"/>
      </w:pPr>
    </w:p>
    <w:p w14:paraId="175F3909" w14:textId="5B2E655F" w:rsidR="00745A4A" w:rsidRDefault="00745A4A" w:rsidP="00DF1B5C">
      <w:pPr>
        <w:pStyle w:val="CETBodytext"/>
      </w:pPr>
      <w:r>
        <w:t xml:space="preserve">Most of older </w:t>
      </w:r>
      <w:r w:rsidR="006707EE">
        <w:t>Ammonia Plants are characterized by high temperatures at the Reformer Stack</w:t>
      </w:r>
      <w:r w:rsidR="000D7E79">
        <w:t xml:space="preserve"> (</w:t>
      </w:r>
      <w:r w:rsidR="008B44EC">
        <w:t>e.g.,</w:t>
      </w:r>
      <w:r w:rsidR="000D7E79">
        <w:t xml:space="preserve"> 160-180°C)</w:t>
      </w:r>
      <w:r w:rsidR="006707EE">
        <w:t xml:space="preserve">, because the energy integration has been </w:t>
      </w:r>
      <w:r w:rsidR="00C84353">
        <w:t>previously focused</w:t>
      </w:r>
      <w:r w:rsidR="006707EE">
        <w:t xml:space="preserve"> on</w:t>
      </w:r>
      <w:r w:rsidR="008B13AE">
        <w:t>ly on</w:t>
      </w:r>
      <w:r w:rsidR="006707EE">
        <w:t xml:space="preserve"> the existing Carbon Capture plant on </w:t>
      </w:r>
      <w:r w:rsidR="00212F2B">
        <w:t xml:space="preserve">syngas. It is therefore essential to consider the complete retrofit of the emission point as well as </w:t>
      </w:r>
      <w:r w:rsidR="00C84353">
        <w:t>the analysis of</w:t>
      </w:r>
      <w:r w:rsidR="00212F2B">
        <w:t xml:space="preserve"> the reformer convective section</w:t>
      </w:r>
      <w:r w:rsidR="00C84353">
        <w:t>.</w:t>
      </w:r>
      <w:r w:rsidR="002808EE">
        <w:t xml:space="preserve"> This </w:t>
      </w:r>
      <w:r w:rsidR="00E970B5">
        <w:t>analysis might be critical and shall leverage on contractor experience</w:t>
      </w:r>
      <w:r w:rsidR="006E6B52">
        <w:t>,</w:t>
      </w:r>
      <w:r w:rsidR="00E970B5">
        <w:t xml:space="preserve"> especially in case of limited plot area</w:t>
      </w:r>
      <w:r w:rsidR="005116CF">
        <w:t xml:space="preserve"> and if multiple emission points shall be managed.</w:t>
      </w:r>
    </w:p>
    <w:p w14:paraId="3765B67D" w14:textId="54169C52" w:rsidR="005116CF" w:rsidRDefault="005116CF" w:rsidP="00DF1B5C">
      <w:pPr>
        <w:pStyle w:val="CETBodytext"/>
      </w:pPr>
    </w:p>
    <w:p w14:paraId="0277D780" w14:textId="1FECDAB3" w:rsidR="005116CF" w:rsidRDefault="00A217B3" w:rsidP="00DF1B5C">
      <w:pPr>
        <w:pStyle w:val="CETBodytext"/>
      </w:pPr>
      <w:r>
        <w:t>T</w:t>
      </w:r>
      <w:r w:rsidR="00F851C5">
        <w:t xml:space="preserve">he possibility to fully recover the </w:t>
      </w:r>
      <w:r w:rsidR="00F9786F">
        <w:t xml:space="preserve">heat from Flue Gas might ensure the reuse of this </w:t>
      </w:r>
      <w:r w:rsidR="00881271">
        <w:t xml:space="preserve">energy in the Carbon Capture regeneration system, while the possibility to </w:t>
      </w:r>
      <w:r w:rsidR="005578C1">
        <w:t xml:space="preserve">install a single PCC system for multiple emission points can provide a reduction up to </w:t>
      </w:r>
      <w:r w:rsidR="008B13AE">
        <w:t>10-</w:t>
      </w:r>
      <w:r w:rsidR="005578C1">
        <w:t>20% o</w:t>
      </w:r>
      <w:r w:rsidR="00B52C25">
        <w:t>f</w:t>
      </w:r>
      <w:r w:rsidR="005578C1">
        <w:t xml:space="preserve"> the overall retrofit </w:t>
      </w:r>
      <w:proofErr w:type="spellStart"/>
      <w:r w:rsidR="005578C1">
        <w:t>CapEx</w:t>
      </w:r>
      <w:proofErr w:type="spellEnd"/>
      <w:r w:rsidR="005578C1">
        <w:t>.</w:t>
      </w:r>
    </w:p>
    <w:p w14:paraId="40751636" w14:textId="20B6A906" w:rsidR="00B677E8" w:rsidRDefault="00EC0CB4" w:rsidP="00B677E8">
      <w:pPr>
        <w:pStyle w:val="CETBodytext"/>
      </w:pPr>
      <w:r w:rsidRPr="00EC0CB4">
        <w:t xml:space="preserve">The </w:t>
      </w:r>
      <w:proofErr w:type="spellStart"/>
      <w:r w:rsidRPr="00EC0CB4">
        <w:t>CapEx</w:t>
      </w:r>
      <w:proofErr w:type="spellEnd"/>
      <w:r w:rsidRPr="00EC0CB4">
        <w:t xml:space="preserve"> optimization can b</w:t>
      </w:r>
      <w:r>
        <w:t xml:space="preserve">e achieved by foreseeing dedicated </w:t>
      </w:r>
      <w:r w:rsidR="00263E08">
        <w:t>Quenchers close to the emission point</w:t>
      </w:r>
      <w:r w:rsidR="00B52C25">
        <w:t>s</w:t>
      </w:r>
      <w:r w:rsidR="00263E08">
        <w:t xml:space="preserve">, with common Absorption and Regeneration columns for </w:t>
      </w:r>
      <w:r w:rsidR="003E1F22">
        <w:t xml:space="preserve">all </w:t>
      </w:r>
      <w:r w:rsidR="00263E08">
        <w:t xml:space="preserve">Flue Gases </w:t>
      </w:r>
      <w:r w:rsidR="007779C0">
        <w:t>cleaning</w:t>
      </w:r>
      <w:r w:rsidR="003E1F22">
        <w:t>s.</w:t>
      </w:r>
      <w:r w:rsidR="00A23CEE">
        <w:t xml:space="preserve"> </w:t>
      </w:r>
      <w:r w:rsidR="00120DF2">
        <w:t>Doing this</w:t>
      </w:r>
      <w:r w:rsidR="00A23CEE">
        <w:t xml:space="preserve"> will </w:t>
      </w:r>
      <w:r w:rsidR="00EC197E">
        <w:t xml:space="preserve">reduce the dimension of the ducts from the quencher to the absorber while </w:t>
      </w:r>
      <w:r w:rsidR="00E17685">
        <w:t xml:space="preserve">having a single line of absorption and regeneration. </w:t>
      </w:r>
    </w:p>
    <w:p w14:paraId="66E1F081" w14:textId="4F575EE8" w:rsidR="00B677E8" w:rsidRPr="00BD31BA" w:rsidRDefault="00B677E8" w:rsidP="00B677E8">
      <w:pPr>
        <w:pStyle w:val="CETHeading1"/>
      </w:pPr>
      <w:r w:rsidRPr="00BD31BA">
        <w:t>Case Study 2 – Power Generation Plant</w:t>
      </w:r>
    </w:p>
    <w:p w14:paraId="6EDEF73E" w14:textId="409AC3A1" w:rsidR="00F82D36" w:rsidRDefault="000E56E2" w:rsidP="00B677E8">
      <w:pPr>
        <w:pStyle w:val="CETBodytext"/>
      </w:pPr>
      <w:r>
        <w:t xml:space="preserve">The possibility to reduce the carbon footprint of Power Generation Plants is one of the key topics that is </w:t>
      </w:r>
      <w:r w:rsidR="003B0D94">
        <w:t xml:space="preserve">now </w:t>
      </w:r>
      <w:r>
        <w:t>driving the industry</w:t>
      </w:r>
      <w:r w:rsidR="00F82D36">
        <w:t>,</w:t>
      </w:r>
      <w:r>
        <w:t xml:space="preserve"> especially due to</w:t>
      </w:r>
      <w:r w:rsidR="003B0D94">
        <w:t xml:space="preserve"> the</w:t>
      </w:r>
      <w:r>
        <w:t xml:space="preserve"> sensible increase in the emissions that has been caused by the electricity demand growth.</w:t>
      </w:r>
    </w:p>
    <w:p w14:paraId="04D46B5E" w14:textId="0C4FC651" w:rsidR="00B677E8" w:rsidRPr="00BD31BA" w:rsidRDefault="000E56E2" w:rsidP="00B677E8">
      <w:pPr>
        <w:pStyle w:val="CETBodytext"/>
      </w:pPr>
      <w:r>
        <w:t xml:space="preserve">Power Plants have been up to now characterized by large Carbon Capture units associated to Coal-Fired systems, however </w:t>
      </w:r>
      <w:proofErr w:type="spellStart"/>
      <w:r>
        <w:t>NextChem</w:t>
      </w:r>
      <w:proofErr w:type="spellEnd"/>
      <w:r>
        <w:t xml:space="preserve"> experience has shown</w:t>
      </w:r>
      <w:r w:rsidR="00F82D36">
        <w:t xml:space="preserve"> the importance to provide solutions that can be applied also to smaller producers.</w:t>
      </w:r>
    </w:p>
    <w:p w14:paraId="6427BB34" w14:textId="5797DFFE" w:rsidR="00B677E8" w:rsidRDefault="003B0D94" w:rsidP="00B677E8">
      <w:pPr>
        <w:pStyle w:val="CETBodytext"/>
      </w:pPr>
      <w:r>
        <w:t>The rationale when addressing the design of those plants shall consider the following elements:</w:t>
      </w:r>
    </w:p>
    <w:p w14:paraId="7878E970" w14:textId="24DE73DC" w:rsidR="003B0D94" w:rsidRDefault="003B0D94" w:rsidP="003B0D94">
      <w:pPr>
        <w:pStyle w:val="CETBodytext"/>
        <w:numPr>
          <w:ilvl w:val="0"/>
          <w:numId w:val="26"/>
        </w:numPr>
      </w:pPr>
      <w:r>
        <w:t>Power Generation Plants are characterized by very low concentration</w:t>
      </w:r>
      <w:r w:rsidR="008B44EC">
        <w:t>s</w:t>
      </w:r>
      <w:r>
        <w:t xml:space="preserve"> of Carbon Dioxide in the Flue Gas. This element is critical because leads to larger equipment in the absorption section and higher </w:t>
      </w:r>
      <w:proofErr w:type="spellStart"/>
      <w:r>
        <w:t>OpEx</w:t>
      </w:r>
      <w:proofErr w:type="spellEnd"/>
      <w:r>
        <w:t xml:space="preserve"> due to the higher </w:t>
      </w:r>
      <w:proofErr w:type="spellStart"/>
      <w:r>
        <w:t>amminic</w:t>
      </w:r>
      <w:proofErr w:type="spellEnd"/>
      <w:r>
        <w:t xml:space="preserve"> solvent </w:t>
      </w:r>
      <w:r w:rsidR="008B44EC">
        <w:t>to</w:t>
      </w:r>
      <w:r>
        <w:t xml:space="preserve"> be circulated in the unit.</w:t>
      </w:r>
    </w:p>
    <w:p w14:paraId="0E58F663" w14:textId="649FFCE3" w:rsidR="003B0D94" w:rsidRDefault="003B0D94" w:rsidP="003B0D94">
      <w:pPr>
        <w:pStyle w:val="CETBodytext"/>
        <w:numPr>
          <w:ilvl w:val="0"/>
          <w:numId w:val="26"/>
        </w:numPr>
      </w:pPr>
      <w:proofErr w:type="spellStart"/>
      <w:r>
        <w:t>CapEx</w:t>
      </w:r>
      <w:proofErr w:type="spellEnd"/>
      <w:r>
        <w:t xml:space="preserve"> optimization shall not be the </w:t>
      </w:r>
      <w:r w:rsidR="00A66411">
        <w:t>only</w:t>
      </w:r>
      <w:r>
        <w:t xml:space="preserve"> criteria to size the unit, but operational flexibility might be the most important element</w:t>
      </w:r>
      <w:r w:rsidR="005135E8">
        <w:t>.</w:t>
      </w:r>
      <w:r>
        <w:t xml:space="preserve"> </w:t>
      </w:r>
      <w:r w:rsidR="005135E8">
        <w:t>In Combined Cycle units where multiple Gas Turbine</w:t>
      </w:r>
      <w:r w:rsidR="00A66411">
        <w:t>s</w:t>
      </w:r>
      <w:r w:rsidR="005135E8">
        <w:t xml:space="preserve"> are present, the system is often characterized by fluctuations in the energy requirements, therefore </w:t>
      </w:r>
      <w:r w:rsidR="008B44EC">
        <w:t>imposing</w:t>
      </w:r>
      <w:r w:rsidR="005135E8">
        <w:t xml:space="preserve"> </w:t>
      </w:r>
      <w:r w:rsidR="001F640D">
        <w:t xml:space="preserve">frequent </w:t>
      </w:r>
      <w:r w:rsidR="005135E8">
        <w:t>turndowns and ramp-ups.</w:t>
      </w:r>
    </w:p>
    <w:p w14:paraId="2A5710F7" w14:textId="4FCED4BA" w:rsidR="00A66411" w:rsidRDefault="00A66411" w:rsidP="00A66411">
      <w:pPr>
        <w:pStyle w:val="CETBodytext"/>
        <w:ind w:left="720"/>
      </w:pPr>
      <w:r>
        <w:t xml:space="preserve">In those </w:t>
      </w:r>
      <w:r w:rsidR="001F640D">
        <w:t>cases,</w:t>
      </w:r>
      <w:r>
        <w:t xml:space="preserve"> it is usually effective to consider the installation of multiple Carbon Capture units, going against the economy of scale, because it is more advantageous to ensure a higher flexibility that overcomes </w:t>
      </w:r>
      <w:r w:rsidR="001F640D">
        <w:t xml:space="preserve">CCS </w:t>
      </w:r>
      <w:r>
        <w:t>technical limitations (</w:t>
      </w:r>
      <w:r w:rsidR="008B44EC">
        <w:t>e.g.,</w:t>
      </w:r>
      <w:r>
        <w:t xml:space="preserve"> turndown not lower than 50%), at the expenses of </w:t>
      </w:r>
      <w:r w:rsidR="001F640D">
        <w:t>a</w:t>
      </w:r>
      <w:r>
        <w:t xml:space="preserve"> lower per-unit cost.</w:t>
      </w:r>
    </w:p>
    <w:p w14:paraId="2DC60FF5" w14:textId="18105131" w:rsidR="00A66411" w:rsidRDefault="00A66411" w:rsidP="00A66411">
      <w:pPr>
        <w:pStyle w:val="CETBodytext"/>
        <w:numPr>
          <w:ilvl w:val="0"/>
          <w:numId w:val="26"/>
        </w:numPr>
      </w:pPr>
      <w:r>
        <w:t xml:space="preserve">In case of multiple combined cycle plants, it is still possible to evaluate additional </w:t>
      </w:r>
      <w:proofErr w:type="spellStart"/>
      <w:r>
        <w:t>CapEx</w:t>
      </w:r>
      <w:proofErr w:type="spellEnd"/>
      <w:r>
        <w:t xml:space="preserve"> optimizations by studying the frequency of simultaneous operation of the different emission points.</w:t>
      </w:r>
    </w:p>
    <w:p w14:paraId="5BA643DA" w14:textId="370236EB" w:rsidR="00A66411" w:rsidRDefault="00A66411" w:rsidP="00A66411">
      <w:pPr>
        <w:pStyle w:val="CETBodytext"/>
        <w:ind w:left="720"/>
      </w:pPr>
      <w:r>
        <w:t>Those cases of</w:t>
      </w:r>
      <w:r w:rsidR="001F640D">
        <w:t>ten provide the opportunity to foresee common regeneration columns, designed to have a single stripping item dedicated to multiple absorption sections.</w:t>
      </w:r>
    </w:p>
    <w:p w14:paraId="3DC4E70B" w14:textId="76FD1D1F" w:rsidR="001F640D" w:rsidRDefault="001F640D" w:rsidP="001F640D">
      <w:pPr>
        <w:pStyle w:val="CETBodytext"/>
        <w:numPr>
          <w:ilvl w:val="0"/>
          <w:numId w:val="26"/>
        </w:numPr>
      </w:pPr>
      <w:r>
        <w:t xml:space="preserve">The system layout is a critical element to be addressed since design early phases, especially when the clean Flue Gas shall be collected back to the power generation stack. In those </w:t>
      </w:r>
      <w:r w:rsidR="008B44EC">
        <w:t>cases,</w:t>
      </w:r>
      <w:r>
        <w:t xml:space="preserve"> the Flue Gas duct design as well as the pressure drop downstream Absorption Column might deeply affect unit design.</w:t>
      </w:r>
    </w:p>
    <w:p w14:paraId="66E57488" w14:textId="0BB473A1" w:rsidR="001F640D" w:rsidRDefault="001F640D" w:rsidP="001F640D">
      <w:pPr>
        <w:pStyle w:val="CETBodytext"/>
      </w:pPr>
    </w:p>
    <w:p w14:paraId="24C4A262" w14:textId="77777777" w:rsidR="001F640D" w:rsidRDefault="001F640D" w:rsidP="001F640D">
      <w:pPr>
        <w:pStyle w:val="CETBodytext"/>
      </w:pPr>
    </w:p>
    <w:p w14:paraId="3AE55CB5" w14:textId="260C34E5" w:rsidR="00A236A6" w:rsidRPr="008B44EC" w:rsidRDefault="00A236A6" w:rsidP="00A236A6">
      <w:pPr>
        <w:pStyle w:val="CETHeading1"/>
      </w:pPr>
      <w:r w:rsidRPr="008B44EC">
        <w:t>Conclusions</w:t>
      </w:r>
    </w:p>
    <w:p w14:paraId="4F3F0900" w14:textId="28070AF1" w:rsidR="008B44EC" w:rsidRDefault="008B44EC" w:rsidP="00600535">
      <w:pPr>
        <w:pStyle w:val="CETBodytext"/>
      </w:pPr>
      <w:r>
        <w:t xml:space="preserve">The possibility and necessity to install Post-Combustion Carbon Capture Units </w:t>
      </w:r>
      <w:r w:rsidR="000523A7">
        <w:t xml:space="preserve">for new or existing facilities has been often addressed as a problem of sub-optimization through the provision of oversized systems regardless of the relevant consumptions or a matter of optimization on the overall </w:t>
      </w:r>
      <w:proofErr w:type="spellStart"/>
      <w:r w:rsidR="000523A7">
        <w:t>CapEx</w:t>
      </w:r>
      <w:proofErr w:type="spellEnd"/>
      <w:r w:rsidR="000523A7">
        <w:t>.</w:t>
      </w:r>
    </w:p>
    <w:p w14:paraId="313B86E2" w14:textId="330CB9F9" w:rsidR="000523A7" w:rsidRDefault="000523A7" w:rsidP="00600535">
      <w:pPr>
        <w:pStyle w:val="CETBodytext"/>
      </w:pPr>
      <w:proofErr w:type="spellStart"/>
      <w:r>
        <w:t>NextChem</w:t>
      </w:r>
      <w:proofErr w:type="spellEnd"/>
      <w:r>
        <w:t xml:space="preserve"> experience on the market has shown the importance to have a robust simulation to fully outline the system with dedicated sensitivities, coupled with an effective collaboration with CCS Licensors.</w:t>
      </w:r>
    </w:p>
    <w:p w14:paraId="0A476226" w14:textId="2E1E8D44" w:rsidR="000523A7" w:rsidRDefault="000523A7" w:rsidP="00600535">
      <w:pPr>
        <w:pStyle w:val="CETBodytext"/>
      </w:pPr>
      <w:r>
        <w:t>Those elements shall be the foundation to evaluate the industrial application peculiarities and tailor the design for the specific service, by identifying the system criticalities and in some cases disregard the optimum solution in view of the operational constraints.</w:t>
      </w:r>
    </w:p>
    <w:p w14:paraId="5241D7FB" w14:textId="4DF7FCCC" w:rsidR="008B44EC" w:rsidRDefault="000523A7" w:rsidP="00600535">
      <w:pPr>
        <w:pStyle w:val="CETBodytext"/>
      </w:pPr>
      <w:r>
        <w:t xml:space="preserve">It is therefore </w:t>
      </w:r>
      <w:r w:rsidR="00794952">
        <w:t>effective</w:t>
      </w:r>
      <w:r>
        <w:t xml:space="preserve"> to foresee dedicated Feasibility Analysis </w:t>
      </w:r>
      <w:r w:rsidR="00794952">
        <w:t>to</w:t>
      </w:r>
      <w:r>
        <w:t xml:space="preserve"> study the preferable solution that might be applied in the specific context and then optimize the </w:t>
      </w:r>
      <w:r w:rsidR="00794952">
        <w:t xml:space="preserve">identified system configuration to minimize the relevant </w:t>
      </w:r>
      <w:proofErr w:type="spellStart"/>
      <w:r w:rsidR="00794952">
        <w:t>CapEx</w:t>
      </w:r>
      <w:proofErr w:type="spellEnd"/>
      <w:r w:rsidR="00794952">
        <w:t xml:space="preserve"> and </w:t>
      </w:r>
      <w:proofErr w:type="spellStart"/>
      <w:r w:rsidR="00794952">
        <w:t>OpEx</w:t>
      </w:r>
      <w:proofErr w:type="spellEnd"/>
      <w:r w:rsidR="00794952">
        <w:t>.</w:t>
      </w:r>
    </w:p>
    <w:p w14:paraId="2A557CD6" w14:textId="7FFB0253" w:rsidR="008B44EC" w:rsidRPr="008B44EC" w:rsidRDefault="00794952" w:rsidP="00600535">
      <w:pPr>
        <w:pStyle w:val="CETBodytext"/>
      </w:pPr>
      <w:r>
        <w:t>This approach combined with the experience on similar cases, such as the ones outlined in the present paper, shall offer the opportunity to facilitate the implementation of those essential instrument to decarbonize the industrial panorama.</w:t>
      </w:r>
    </w:p>
    <w:p w14:paraId="2E42C400" w14:textId="77777777" w:rsidR="00A236A6" w:rsidRPr="00802BA1" w:rsidRDefault="00A236A6" w:rsidP="00600535">
      <w:pPr>
        <w:pStyle w:val="CETBodytext"/>
      </w:pPr>
    </w:p>
    <w:p w14:paraId="4F1327F8" w14:textId="190A2D24" w:rsidR="00600535" w:rsidRPr="00BD31BA" w:rsidRDefault="00600535" w:rsidP="00600535">
      <w:pPr>
        <w:pStyle w:val="CETReference"/>
        <w:rPr>
          <w:lang w:val="en-US"/>
        </w:rPr>
      </w:pPr>
      <w:r w:rsidRPr="00BD31BA">
        <w:rPr>
          <w:lang w:val="en-US"/>
        </w:rPr>
        <w:t>References</w:t>
      </w:r>
    </w:p>
    <w:p w14:paraId="490660A9" w14:textId="77777777" w:rsidR="008B44EC" w:rsidRPr="00BD31BA" w:rsidRDefault="008B44EC" w:rsidP="008B44EC">
      <w:pPr>
        <w:pStyle w:val="CETReferencetext"/>
        <w:rPr>
          <w:lang w:val="en-US"/>
        </w:rPr>
      </w:pPr>
      <w:r w:rsidRPr="00BD31BA">
        <w:rPr>
          <w:lang w:val="en-US"/>
        </w:rPr>
        <w:t xml:space="preserve">Baxter L. L., Baxter A., Bever E., Burt S., Chamberlain S., </w:t>
      </w:r>
      <w:proofErr w:type="spellStart"/>
      <w:r w:rsidRPr="00BD31BA">
        <w:rPr>
          <w:lang w:val="en-US"/>
        </w:rPr>
        <w:t>Frankman</w:t>
      </w:r>
      <w:proofErr w:type="spellEnd"/>
      <w:r w:rsidRPr="00BD31BA">
        <w:rPr>
          <w:lang w:val="en-US"/>
        </w:rPr>
        <w:t xml:space="preserve"> D., </w:t>
      </w:r>
      <w:proofErr w:type="spellStart"/>
      <w:r w:rsidRPr="00BD31BA">
        <w:rPr>
          <w:lang w:val="en-US"/>
        </w:rPr>
        <w:t>Hoeger</w:t>
      </w:r>
      <w:proofErr w:type="spellEnd"/>
      <w:r w:rsidRPr="00BD31BA">
        <w:rPr>
          <w:lang w:val="en-US"/>
        </w:rPr>
        <w:t xml:space="preserve"> C., Mansfield E., Parkinson D., Sayre A., and Stitt </w:t>
      </w:r>
      <w:proofErr w:type="gramStart"/>
      <w:r w:rsidRPr="00BD31BA">
        <w:rPr>
          <w:lang w:val="en-US"/>
        </w:rPr>
        <w:t>K..</w:t>
      </w:r>
      <w:proofErr w:type="gramEnd"/>
      <w:r w:rsidRPr="00BD31BA">
        <w:rPr>
          <w:lang w:val="en-US"/>
        </w:rPr>
        <w:t xml:space="preserve"> Cryogenic Carbon Capture Development Final/Technical Report, 2019. Web. doi:10.2172/1572908.</w:t>
      </w:r>
    </w:p>
    <w:p w14:paraId="7445A107" w14:textId="615CA29F" w:rsidR="00F0233B" w:rsidRDefault="00F0233B" w:rsidP="00E65B91">
      <w:pPr>
        <w:pStyle w:val="CETReferencetext"/>
        <w:rPr>
          <w:lang w:val="en-US"/>
        </w:rPr>
      </w:pPr>
    </w:p>
    <w:p w14:paraId="42614EE1" w14:textId="77777777" w:rsidR="008B44EC" w:rsidRPr="00BD31BA" w:rsidRDefault="008B44EC" w:rsidP="008B44EC">
      <w:pPr>
        <w:pStyle w:val="CETReferencetext"/>
        <w:rPr>
          <w:lang w:val="en-US"/>
        </w:rPr>
      </w:pPr>
      <w:r w:rsidRPr="00BD31BA">
        <w:rPr>
          <w:lang w:val="en-US"/>
        </w:rPr>
        <w:t>HSBC, Centre of Sustainable Finance, CCUS for Paris Alignment, September 2020 Report.</w:t>
      </w:r>
    </w:p>
    <w:p w14:paraId="3396FC7E" w14:textId="77777777" w:rsidR="008B44EC" w:rsidRPr="00BD31BA" w:rsidRDefault="008B44EC" w:rsidP="00E65B91">
      <w:pPr>
        <w:pStyle w:val="CETReferencetext"/>
        <w:rPr>
          <w:lang w:val="en-US"/>
        </w:rPr>
      </w:pPr>
    </w:p>
    <w:p w14:paraId="55C25FA6" w14:textId="359DC7E3" w:rsidR="00F0233B" w:rsidRDefault="00C94CA3" w:rsidP="00E65B91">
      <w:pPr>
        <w:pStyle w:val="CETReferencetext"/>
        <w:rPr>
          <w:lang w:val="en-US"/>
        </w:rPr>
      </w:pPr>
      <w:r w:rsidRPr="00BD31BA">
        <w:rPr>
          <w:lang w:val="en-US"/>
        </w:rPr>
        <w:t xml:space="preserve">IAOGP, </w:t>
      </w:r>
      <w:r w:rsidR="00845CDA" w:rsidRPr="00BD31BA">
        <w:rPr>
          <w:lang w:val="en-US"/>
        </w:rPr>
        <w:t>International Association of Oil &amp; Gas Producers</w:t>
      </w:r>
      <w:r w:rsidR="00ED3642" w:rsidRPr="00BD31BA">
        <w:rPr>
          <w:lang w:val="en-US"/>
        </w:rPr>
        <w:t>, Global CCS Institute</w:t>
      </w:r>
      <w:r w:rsidR="00DC29B2" w:rsidRPr="00BD31BA">
        <w:rPr>
          <w:lang w:val="en-US"/>
        </w:rPr>
        <w:t>,</w:t>
      </w:r>
      <w:r w:rsidR="00845CDA" w:rsidRPr="00BD31BA">
        <w:rPr>
          <w:lang w:val="en-US"/>
        </w:rPr>
        <w:t xml:space="preserve"> October 2022 Report.</w:t>
      </w:r>
    </w:p>
    <w:p w14:paraId="46E85853" w14:textId="77777777" w:rsidR="00214EDC" w:rsidRDefault="00214EDC" w:rsidP="00E65B91">
      <w:pPr>
        <w:pStyle w:val="CETReferencetext"/>
        <w:rPr>
          <w:lang w:val="en-US"/>
        </w:rPr>
      </w:pPr>
    </w:p>
    <w:p w14:paraId="12D3F0FB" w14:textId="68646976" w:rsidR="00214EDC" w:rsidRDefault="002B6CAD" w:rsidP="00421942">
      <w:pPr>
        <w:pStyle w:val="CETReferencetext"/>
        <w:rPr>
          <w:lang w:val="en-US"/>
        </w:rPr>
      </w:pPr>
      <w:proofErr w:type="spellStart"/>
      <w:r>
        <w:rPr>
          <w:rStyle w:val="text"/>
        </w:rPr>
        <w:t>Kayahan</w:t>
      </w:r>
      <w:proofErr w:type="spellEnd"/>
      <w:r>
        <w:rPr>
          <w:rStyle w:val="react-xocs-alternative-link"/>
        </w:rPr>
        <w:t xml:space="preserve"> </w:t>
      </w:r>
      <w:r w:rsidR="00214EDC">
        <w:rPr>
          <w:rStyle w:val="react-xocs-alternative-link"/>
        </w:rPr>
        <w:t>E</w:t>
      </w:r>
      <w:r>
        <w:rPr>
          <w:rStyle w:val="react-xocs-alternative-link"/>
        </w:rPr>
        <w:t>.</w:t>
      </w:r>
      <w:r>
        <w:rPr>
          <w:rFonts w:cs="Arial"/>
          <w:color w:val="2E2E2E"/>
        </w:rPr>
        <w:t xml:space="preserve">, </w:t>
      </w:r>
      <w:r>
        <w:rPr>
          <w:rStyle w:val="given-name"/>
        </w:rPr>
        <w:t>Di</w:t>
      </w:r>
      <w:r>
        <w:rPr>
          <w:rStyle w:val="react-xocs-alternative-link"/>
        </w:rPr>
        <w:t xml:space="preserve"> </w:t>
      </w:r>
      <w:r w:rsidR="00214EDC">
        <w:rPr>
          <w:rStyle w:val="text"/>
        </w:rPr>
        <w:t>Caprio U</w:t>
      </w:r>
      <w:r>
        <w:rPr>
          <w:rStyle w:val="text"/>
        </w:rPr>
        <w:t>.</w:t>
      </w:r>
      <w:r w:rsidR="00214EDC">
        <w:rPr>
          <w:rFonts w:cs="Arial"/>
          <w:color w:val="2E2E2E"/>
        </w:rPr>
        <w:t>,</w:t>
      </w:r>
      <w:r>
        <w:rPr>
          <w:rFonts w:cs="Arial"/>
          <w:color w:val="2E2E2E"/>
        </w:rPr>
        <w:t xml:space="preserve"> </w:t>
      </w:r>
      <w:r w:rsidR="00214EDC">
        <w:rPr>
          <w:rStyle w:val="text"/>
        </w:rPr>
        <w:t>Van den Bogaert</w:t>
      </w:r>
      <w:r>
        <w:rPr>
          <w:rStyle w:val="react-xocs-alternative-link"/>
        </w:rPr>
        <w:t xml:space="preserve"> </w:t>
      </w:r>
      <w:r w:rsidR="00901EC7">
        <w:rPr>
          <w:rStyle w:val="react-xocs-alternative-link"/>
        </w:rPr>
        <w:t>A</w:t>
      </w:r>
      <w:r>
        <w:rPr>
          <w:rStyle w:val="react-xocs-alternative-link"/>
        </w:rPr>
        <w:t>.</w:t>
      </w:r>
      <w:r w:rsidR="00214EDC">
        <w:rPr>
          <w:rFonts w:cs="Arial"/>
          <w:color w:val="2E2E2E"/>
        </w:rPr>
        <w:t>,</w:t>
      </w:r>
      <w:r w:rsidR="00901EC7">
        <w:rPr>
          <w:rStyle w:val="text"/>
        </w:rPr>
        <w:t xml:space="preserve"> </w:t>
      </w:r>
      <w:r w:rsidR="00214EDC">
        <w:rPr>
          <w:rStyle w:val="text"/>
        </w:rPr>
        <w:t>Khan</w:t>
      </w:r>
      <w:r>
        <w:rPr>
          <w:rStyle w:val="react-xocs-alternative-link"/>
        </w:rPr>
        <w:t xml:space="preserve"> </w:t>
      </w:r>
      <w:r w:rsidR="00901EC7">
        <w:rPr>
          <w:rStyle w:val="react-xocs-alternative-link"/>
        </w:rPr>
        <w:t>M</w:t>
      </w:r>
      <w:r>
        <w:rPr>
          <w:rStyle w:val="react-xocs-alternative-link"/>
        </w:rPr>
        <w:t>.</w:t>
      </w:r>
      <w:r w:rsidR="00214EDC">
        <w:rPr>
          <w:rFonts w:cs="Arial"/>
          <w:color w:val="2E2E2E"/>
        </w:rPr>
        <w:t>,</w:t>
      </w:r>
      <w:r>
        <w:rPr>
          <w:rFonts w:cs="Arial"/>
          <w:color w:val="2E2E2E"/>
        </w:rPr>
        <w:t xml:space="preserve"> </w:t>
      </w:r>
      <w:r w:rsidR="00214EDC">
        <w:rPr>
          <w:rStyle w:val="text"/>
        </w:rPr>
        <w:t>Bulut</w:t>
      </w:r>
      <w:r w:rsidR="00901EC7">
        <w:rPr>
          <w:rStyle w:val="text"/>
        </w:rPr>
        <w:t xml:space="preserve"> M</w:t>
      </w:r>
      <w:r>
        <w:rPr>
          <w:rStyle w:val="text"/>
        </w:rPr>
        <w:t>.</w:t>
      </w:r>
      <w:r w:rsidR="00214EDC">
        <w:rPr>
          <w:rFonts w:cs="Arial"/>
          <w:color w:val="2E2E2E"/>
        </w:rPr>
        <w:t>,</w:t>
      </w:r>
      <w:r w:rsidR="00901EC7">
        <w:rPr>
          <w:rStyle w:val="given-name"/>
        </w:rPr>
        <w:t xml:space="preserve"> </w:t>
      </w:r>
      <w:proofErr w:type="spellStart"/>
      <w:r w:rsidR="00214EDC">
        <w:rPr>
          <w:rStyle w:val="text"/>
        </w:rPr>
        <w:t>Braeken</w:t>
      </w:r>
      <w:proofErr w:type="spellEnd"/>
      <w:r w:rsidR="00901EC7">
        <w:rPr>
          <w:rStyle w:val="text"/>
        </w:rPr>
        <w:t xml:space="preserve"> L</w:t>
      </w:r>
      <w:r>
        <w:rPr>
          <w:rStyle w:val="text"/>
        </w:rPr>
        <w:t>.</w:t>
      </w:r>
      <w:r w:rsidR="00214EDC">
        <w:rPr>
          <w:rFonts w:cs="Arial"/>
          <w:color w:val="2E2E2E"/>
        </w:rPr>
        <w:t>,</w:t>
      </w:r>
      <w:r w:rsidR="00901EC7">
        <w:rPr>
          <w:rStyle w:val="text"/>
        </w:rPr>
        <w:t xml:space="preserve"> </w:t>
      </w:r>
      <w:r w:rsidR="00214EDC">
        <w:rPr>
          <w:rStyle w:val="text"/>
        </w:rPr>
        <w:t xml:space="preserve">Van </w:t>
      </w:r>
      <w:proofErr w:type="spellStart"/>
      <w:r w:rsidR="00214EDC">
        <w:rPr>
          <w:rStyle w:val="text"/>
        </w:rPr>
        <w:t>Gerven</w:t>
      </w:r>
      <w:proofErr w:type="spellEnd"/>
      <w:r>
        <w:rPr>
          <w:rStyle w:val="react-xocs-alternative-link"/>
        </w:rPr>
        <w:t xml:space="preserve"> </w:t>
      </w:r>
      <w:r w:rsidR="00901EC7">
        <w:rPr>
          <w:rStyle w:val="react-xocs-alternative-link"/>
        </w:rPr>
        <w:t>T</w:t>
      </w:r>
      <w:r>
        <w:rPr>
          <w:rStyle w:val="react-xocs-alternative-link"/>
        </w:rPr>
        <w:t>.</w:t>
      </w:r>
      <w:r w:rsidR="00214EDC">
        <w:rPr>
          <w:rFonts w:cs="Arial"/>
          <w:color w:val="2E2E2E"/>
        </w:rPr>
        <w:t>,</w:t>
      </w:r>
      <w:r>
        <w:rPr>
          <w:rFonts w:cs="Arial"/>
          <w:color w:val="2E2E2E"/>
        </w:rPr>
        <w:t xml:space="preserve"> </w:t>
      </w:r>
      <w:proofErr w:type="spellStart"/>
      <w:r w:rsidR="00214EDC">
        <w:rPr>
          <w:rStyle w:val="text"/>
        </w:rPr>
        <w:t>Leblebici</w:t>
      </w:r>
      <w:proofErr w:type="spellEnd"/>
      <w:r w:rsidR="00901EC7">
        <w:rPr>
          <w:rStyle w:val="text"/>
        </w:rPr>
        <w:t xml:space="preserve"> M.E.</w:t>
      </w:r>
      <w:r w:rsidR="00054E02">
        <w:rPr>
          <w:rStyle w:val="text"/>
        </w:rPr>
        <w:t>,</w:t>
      </w:r>
      <w:r w:rsidR="008D4818" w:rsidRPr="008D4818">
        <w:t xml:space="preserve"> </w:t>
      </w:r>
      <w:r w:rsidR="008D4818" w:rsidRPr="008D4818">
        <w:rPr>
          <w:rStyle w:val="text"/>
        </w:rPr>
        <w:t xml:space="preserve">A new look to the old solvent: Mass transfer performance and mechanism of CO2 absorption into pure </w:t>
      </w:r>
      <w:proofErr w:type="spellStart"/>
      <w:r w:rsidR="008D4818" w:rsidRPr="008D4818">
        <w:rPr>
          <w:rStyle w:val="text"/>
        </w:rPr>
        <w:t>monoethanolamine</w:t>
      </w:r>
      <w:proofErr w:type="spellEnd"/>
      <w:r w:rsidR="008D4818" w:rsidRPr="008D4818">
        <w:rPr>
          <w:rStyle w:val="text"/>
        </w:rPr>
        <w:t xml:space="preserve"> in a spray column</w:t>
      </w:r>
      <w:r w:rsidR="005148D1">
        <w:rPr>
          <w:rStyle w:val="text"/>
        </w:rPr>
        <w:t xml:space="preserve">. </w:t>
      </w:r>
      <w:r w:rsidR="00421942" w:rsidRPr="00421942">
        <w:rPr>
          <w:rStyle w:val="text"/>
        </w:rPr>
        <w:t>Chemical Engineering and Processing - Process Intensification</w:t>
      </w:r>
      <w:r w:rsidR="00C552F9">
        <w:rPr>
          <w:rStyle w:val="text"/>
        </w:rPr>
        <w:t>,</w:t>
      </w:r>
      <w:r>
        <w:rPr>
          <w:rStyle w:val="text"/>
        </w:rPr>
        <w:t xml:space="preserve"> </w:t>
      </w:r>
      <w:r w:rsidR="00421942" w:rsidRPr="00421942">
        <w:rPr>
          <w:rStyle w:val="text"/>
        </w:rPr>
        <w:t>Volume 184, February 2023, 109285</w:t>
      </w:r>
      <w:r w:rsidR="00421942">
        <w:rPr>
          <w:rStyle w:val="text"/>
        </w:rPr>
        <w:t>.</w:t>
      </w:r>
    </w:p>
    <w:p w14:paraId="010A1933" w14:textId="77777777" w:rsidR="008B44EC" w:rsidRPr="00BD31BA" w:rsidRDefault="008B44EC" w:rsidP="00E65B91">
      <w:pPr>
        <w:pStyle w:val="CETReferencetext"/>
        <w:rPr>
          <w:lang w:val="en-US"/>
        </w:rPr>
      </w:pPr>
    </w:p>
    <w:p w14:paraId="1DE45C10" w14:textId="528DB3BA" w:rsidR="00FB7890" w:rsidRDefault="005F053B" w:rsidP="00FB7890">
      <w:pPr>
        <w:pStyle w:val="CETReferencetext"/>
        <w:rPr>
          <w:lang w:val="en-US"/>
        </w:rPr>
      </w:pPr>
      <w:proofErr w:type="spellStart"/>
      <w:r>
        <w:rPr>
          <w:lang w:val="en-US"/>
        </w:rPr>
        <w:t>Michailos</w:t>
      </w:r>
      <w:proofErr w:type="spellEnd"/>
      <w:r>
        <w:rPr>
          <w:lang w:val="en-US"/>
        </w:rPr>
        <w:t xml:space="preserve"> S., Gibbins J., </w:t>
      </w:r>
      <w:r w:rsidR="00FB7890" w:rsidRPr="00FB7890">
        <w:rPr>
          <w:lang w:val="en-US"/>
        </w:rPr>
        <w:t xml:space="preserve">A Modelling Study of Post-Combustion Capture Plant Process Conditions to Facilitate 95–99% CO2 Capture Levels </w:t>
      </w:r>
      <w:proofErr w:type="gramStart"/>
      <w:r w:rsidR="00FB7890" w:rsidRPr="00FB7890">
        <w:rPr>
          <w:lang w:val="en-US"/>
        </w:rPr>
        <w:t>From</w:t>
      </w:r>
      <w:proofErr w:type="gramEnd"/>
      <w:r w:rsidR="00FB7890" w:rsidRPr="00FB7890">
        <w:rPr>
          <w:lang w:val="en-US"/>
        </w:rPr>
        <w:t xml:space="preserve"> Gas Turbine Flue Gases</w:t>
      </w:r>
      <w:r>
        <w:rPr>
          <w:lang w:val="en-US"/>
        </w:rPr>
        <w:t xml:space="preserve">, </w:t>
      </w:r>
      <w:r w:rsidR="00224A56" w:rsidRPr="00224A56">
        <w:rPr>
          <w:lang w:val="en-US"/>
        </w:rPr>
        <w:t>Frontiers in Energy Research</w:t>
      </w:r>
      <w:r w:rsidR="00CC5929">
        <w:rPr>
          <w:lang w:val="en-US"/>
        </w:rPr>
        <w:t>,</w:t>
      </w:r>
      <w:r w:rsidR="00224A56" w:rsidRPr="00224A56">
        <w:rPr>
          <w:lang w:val="en-US"/>
        </w:rPr>
        <w:t xml:space="preserve"> </w:t>
      </w:r>
      <w:r w:rsidR="00997E69">
        <w:rPr>
          <w:lang w:val="en-US"/>
        </w:rPr>
        <w:t>2022,</w:t>
      </w:r>
      <w:r w:rsidR="00997E69" w:rsidRPr="00997E69">
        <w:rPr>
          <w:lang w:val="en-US"/>
        </w:rPr>
        <w:t xml:space="preserve"> </w:t>
      </w:r>
      <w:r w:rsidR="00997E69">
        <w:rPr>
          <w:lang w:val="en-US"/>
        </w:rPr>
        <w:t>Vol. 10.</w:t>
      </w:r>
    </w:p>
    <w:p w14:paraId="647C80B4" w14:textId="77777777" w:rsidR="008B44EC" w:rsidRPr="00BD31BA" w:rsidRDefault="008B44EC" w:rsidP="008B44EC">
      <w:pPr>
        <w:pStyle w:val="CETReferencetext"/>
        <w:rPr>
          <w:lang w:val="en-US"/>
        </w:rPr>
      </w:pPr>
    </w:p>
    <w:p w14:paraId="17626A89" w14:textId="77777777" w:rsidR="008B44EC" w:rsidRPr="00BD31BA" w:rsidRDefault="008B44EC" w:rsidP="008B44EC">
      <w:pPr>
        <w:pStyle w:val="CETReferencetext"/>
        <w:rPr>
          <w:lang w:val="en-US"/>
        </w:rPr>
      </w:pPr>
      <w:r w:rsidRPr="00BD31BA">
        <w:rPr>
          <w:lang w:val="en-US"/>
        </w:rPr>
        <w:t>Mokhatab S., Poe W. A., Chapter 7 - Natural Gas Sweetening, Handbook of Natural Gas Transmission and Processing (Second Edition), 2012, 253-290.</w:t>
      </w:r>
    </w:p>
    <w:p w14:paraId="204C53F0" w14:textId="77777777" w:rsidR="00FB7890" w:rsidRPr="00BD31BA" w:rsidRDefault="00FB7890" w:rsidP="00E65B91">
      <w:pPr>
        <w:pStyle w:val="CETReferencetext"/>
        <w:rPr>
          <w:lang w:val="en-US"/>
        </w:rPr>
      </w:pPr>
    </w:p>
    <w:p w14:paraId="25E8ABBB" w14:textId="24C928EB" w:rsidR="002F75CF" w:rsidRPr="00BD31BA" w:rsidRDefault="002F75CF" w:rsidP="00E65B91">
      <w:pPr>
        <w:pStyle w:val="CETReferencetext"/>
        <w:rPr>
          <w:lang w:val="en-US"/>
        </w:rPr>
      </w:pPr>
      <w:r w:rsidRPr="00BD31BA">
        <w:rPr>
          <w:lang w:val="en-US"/>
        </w:rPr>
        <w:t>Rao</w:t>
      </w:r>
      <w:r w:rsidR="00E36DD3" w:rsidRPr="00BD31BA">
        <w:rPr>
          <w:lang w:val="en-US"/>
        </w:rPr>
        <w:t xml:space="preserve"> A.B.,</w:t>
      </w:r>
      <w:r w:rsidRPr="00BD31BA">
        <w:rPr>
          <w:lang w:val="en-US"/>
        </w:rPr>
        <w:t xml:space="preserve"> Rubin </w:t>
      </w:r>
      <w:r w:rsidR="00E36DD3" w:rsidRPr="00BD31BA">
        <w:rPr>
          <w:lang w:val="en-US"/>
        </w:rPr>
        <w:t xml:space="preserve">E.S., </w:t>
      </w:r>
      <w:r w:rsidR="00E127B4" w:rsidRPr="00BD31BA">
        <w:rPr>
          <w:lang w:val="en-US"/>
        </w:rPr>
        <w:t>A Technical, Economic, and Environmental Assessment of Amine-Based CO2 Capture Technology for Power Plant Greenhouse Gas Control</w:t>
      </w:r>
      <w:r w:rsidR="005F1E5A" w:rsidRPr="00BD31BA">
        <w:rPr>
          <w:lang w:val="en-US"/>
        </w:rPr>
        <w:t>,</w:t>
      </w:r>
      <w:r w:rsidR="006F325F" w:rsidRPr="00BD31BA">
        <w:rPr>
          <w:lang w:val="en-US"/>
        </w:rPr>
        <w:t xml:space="preserve"> Environmental Science &amp; Technology 36 (20), 2002, 4467-4475</w:t>
      </w:r>
    </w:p>
    <w:p w14:paraId="324E8BB8" w14:textId="77777777" w:rsidR="008B44EC" w:rsidRPr="00BD31BA" w:rsidRDefault="008B44EC" w:rsidP="008B44EC">
      <w:pPr>
        <w:pStyle w:val="CETReferencetext"/>
        <w:rPr>
          <w:lang w:val="en-US"/>
        </w:rPr>
      </w:pPr>
    </w:p>
    <w:p w14:paraId="0A52D97B" w14:textId="77777777" w:rsidR="008B44EC" w:rsidRPr="00BD31BA" w:rsidRDefault="008B44EC" w:rsidP="008B44EC">
      <w:pPr>
        <w:pStyle w:val="CETReferencetext"/>
        <w:rPr>
          <w:lang w:val="en-US"/>
        </w:rPr>
      </w:pPr>
      <w:r w:rsidRPr="00BD31BA">
        <w:rPr>
          <w:lang w:val="en-US"/>
        </w:rPr>
        <w:t xml:space="preserve">Singh P., Van </w:t>
      </w:r>
      <w:proofErr w:type="spellStart"/>
      <w:r w:rsidRPr="00BD31BA">
        <w:rPr>
          <w:lang w:val="en-US"/>
        </w:rPr>
        <w:t>Swaaij</w:t>
      </w:r>
      <w:proofErr w:type="spellEnd"/>
      <w:r w:rsidRPr="00BD31BA">
        <w:rPr>
          <w:lang w:val="en-US"/>
        </w:rPr>
        <w:t xml:space="preserve"> W., </w:t>
      </w:r>
      <w:proofErr w:type="spellStart"/>
      <w:r w:rsidRPr="00BD31BA">
        <w:rPr>
          <w:lang w:val="en-US"/>
        </w:rPr>
        <w:t>Brilman</w:t>
      </w:r>
      <w:proofErr w:type="spellEnd"/>
      <w:r w:rsidRPr="00BD31BA">
        <w:rPr>
          <w:lang w:val="en-US"/>
        </w:rPr>
        <w:t xml:space="preserve"> W., Energy Efficient Solvents for CO2 Absorption from Flue Gas: Vapor Liquid Equilibrium and Pilot Plant Study. Energy Procedia. 37, 2013, 2021-2046.</w:t>
      </w:r>
    </w:p>
    <w:p w14:paraId="3577E5B3" w14:textId="53B3C271" w:rsidR="008B44EC" w:rsidRDefault="008B44EC" w:rsidP="00E65B91">
      <w:pPr>
        <w:pStyle w:val="CETReferencetext"/>
        <w:rPr>
          <w:lang w:val="en-US"/>
        </w:rPr>
      </w:pPr>
    </w:p>
    <w:p w14:paraId="77718E1E" w14:textId="61BF0B72" w:rsidR="008457C7" w:rsidRPr="00BD31BA" w:rsidRDefault="008457C7" w:rsidP="00E65B91">
      <w:pPr>
        <w:pStyle w:val="CETReferencetext"/>
        <w:rPr>
          <w:lang w:val="en-US"/>
        </w:rPr>
      </w:pPr>
      <w:r w:rsidRPr="00BD31BA">
        <w:rPr>
          <w:lang w:val="en-US"/>
        </w:rPr>
        <w:t>Smith</w:t>
      </w:r>
      <w:r w:rsidR="003C1A7C" w:rsidRPr="00BD31BA">
        <w:rPr>
          <w:lang w:val="en-US"/>
        </w:rPr>
        <w:t xml:space="preserve"> K.H.</w:t>
      </w:r>
      <w:r w:rsidRPr="00BD31BA">
        <w:rPr>
          <w:lang w:val="en-US"/>
        </w:rPr>
        <w:t>,</w:t>
      </w:r>
      <w:r w:rsidR="000E3A62" w:rsidRPr="00BD31BA">
        <w:rPr>
          <w:lang w:val="en-US"/>
        </w:rPr>
        <w:t xml:space="preserve"> Nicholas</w:t>
      </w:r>
      <w:r w:rsidR="003C1A7C" w:rsidRPr="00BD31BA">
        <w:rPr>
          <w:lang w:val="en-US"/>
        </w:rPr>
        <w:t xml:space="preserve"> N.J.</w:t>
      </w:r>
      <w:r w:rsidR="00246685" w:rsidRPr="00BD31BA">
        <w:rPr>
          <w:lang w:val="en-US"/>
        </w:rPr>
        <w:t>,</w:t>
      </w:r>
      <w:r w:rsidRPr="00BD31BA">
        <w:rPr>
          <w:lang w:val="en-US"/>
        </w:rPr>
        <w:t xml:space="preserve"> Stevens</w:t>
      </w:r>
      <w:r w:rsidR="003C1A7C" w:rsidRPr="00BD31BA">
        <w:rPr>
          <w:lang w:val="en-US"/>
        </w:rPr>
        <w:t xml:space="preserve"> G.W.</w:t>
      </w:r>
      <w:r w:rsidRPr="00BD31BA">
        <w:rPr>
          <w:lang w:val="en-US"/>
        </w:rPr>
        <w:t>, in Absorption-Based Post-combustion Capture of Carbon Dioxide, 2016</w:t>
      </w:r>
      <w:r w:rsidR="008A2B30" w:rsidRPr="00BD31BA">
        <w:rPr>
          <w:lang w:val="en-US"/>
        </w:rPr>
        <w:t>, 145</w:t>
      </w:r>
      <w:r w:rsidR="00242E12" w:rsidRPr="00BD31BA">
        <w:rPr>
          <w:lang w:val="en-US"/>
        </w:rPr>
        <w:t>-</w:t>
      </w:r>
      <w:r w:rsidR="008A2B30" w:rsidRPr="00BD31BA">
        <w:rPr>
          <w:lang w:val="en-US"/>
        </w:rPr>
        <w:t>166</w:t>
      </w:r>
      <w:r w:rsidR="00BD7678" w:rsidRPr="00BD31BA">
        <w:rPr>
          <w:lang w:val="en-US"/>
        </w:rPr>
        <w:t>.</w:t>
      </w:r>
    </w:p>
    <w:p w14:paraId="019BA62B" w14:textId="558DB2E7" w:rsidR="0051069F" w:rsidRDefault="0051069F" w:rsidP="00E65B91">
      <w:pPr>
        <w:pStyle w:val="CETReferencetext"/>
        <w:rPr>
          <w:lang w:val="en-US"/>
        </w:rPr>
      </w:pPr>
    </w:p>
    <w:p w14:paraId="21879620" w14:textId="77777777" w:rsidR="008B44EC" w:rsidRPr="00BD31BA" w:rsidRDefault="008B44EC" w:rsidP="008B44EC">
      <w:pPr>
        <w:pStyle w:val="CETReferencetext"/>
        <w:rPr>
          <w:lang w:val="en-US"/>
        </w:rPr>
      </w:pPr>
      <w:proofErr w:type="spellStart"/>
      <w:r w:rsidRPr="00BD31BA">
        <w:rPr>
          <w:lang w:val="en-US"/>
        </w:rPr>
        <w:t>Supap</w:t>
      </w:r>
      <w:proofErr w:type="spellEnd"/>
      <w:r w:rsidRPr="00BD31BA">
        <w:rPr>
          <w:lang w:val="en-US"/>
        </w:rPr>
        <w:t xml:space="preserve"> T., Idem R., </w:t>
      </w:r>
      <w:proofErr w:type="spellStart"/>
      <w:r w:rsidRPr="00BD31BA">
        <w:rPr>
          <w:lang w:val="en-US"/>
        </w:rPr>
        <w:t>Tontiwachwuthikul</w:t>
      </w:r>
      <w:proofErr w:type="spellEnd"/>
      <w:r w:rsidRPr="00BD31BA">
        <w:rPr>
          <w:lang w:val="en-US"/>
        </w:rPr>
        <w:t xml:space="preserve"> P., Mechanism of formation of heat stable salts (HSSs) and their roles in further degradation of </w:t>
      </w:r>
      <w:proofErr w:type="spellStart"/>
      <w:r w:rsidRPr="00BD31BA">
        <w:rPr>
          <w:lang w:val="en-US"/>
        </w:rPr>
        <w:t>monoethanolamine</w:t>
      </w:r>
      <w:proofErr w:type="spellEnd"/>
      <w:r w:rsidRPr="00BD31BA">
        <w:rPr>
          <w:lang w:val="en-US"/>
        </w:rPr>
        <w:t xml:space="preserve"> during CO2 capture from flue gas streams, Energy Procedia, Volume 4, 2011, 591-598.</w:t>
      </w:r>
    </w:p>
    <w:p w14:paraId="68175F72" w14:textId="77777777" w:rsidR="008B44EC" w:rsidRPr="00BD31BA" w:rsidRDefault="008B44EC" w:rsidP="00E65B91">
      <w:pPr>
        <w:pStyle w:val="CETReferencetext"/>
        <w:rPr>
          <w:lang w:val="en-US"/>
        </w:rPr>
      </w:pPr>
    </w:p>
    <w:p w14:paraId="6EC4A451" w14:textId="3EFF2988" w:rsidR="00960E87" w:rsidRPr="00BD31BA" w:rsidRDefault="00960E87" w:rsidP="00960E87">
      <w:pPr>
        <w:pStyle w:val="CETReferencetext"/>
        <w:rPr>
          <w:lang w:val="en-US"/>
        </w:rPr>
      </w:pPr>
      <w:r w:rsidRPr="00BD31BA">
        <w:rPr>
          <w:lang w:val="en-US"/>
        </w:rPr>
        <w:t xml:space="preserve">Zhang, Y.; Que, H.; Chen, C.-C. Thermodynamic modeling for CO2 absorption in aqueous MEA solution with electrolyte NRTL model. Fluid Phase </w:t>
      </w:r>
      <w:proofErr w:type="spellStart"/>
      <w:r w:rsidRPr="00BD31BA">
        <w:rPr>
          <w:lang w:val="en-US"/>
        </w:rPr>
        <w:t>Equilib</w:t>
      </w:r>
      <w:proofErr w:type="spellEnd"/>
      <w:r w:rsidRPr="00BD31BA">
        <w:rPr>
          <w:lang w:val="en-US"/>
        </w:rPr>
        <w:t>. 2011, 311, 67-75.</w:t>
      </w:r>
    </w:p>
    <w:p w14:paraId="5DE922DE" w14:textId="77777777" w:rsidR="0060236C" w:rsidRPr="00BD31BA" w:rsidRDefault="0060236C" w:rsidP="00960E87">
      <w:pPr>
        <w:pStyle w:val="CETReferencetext"/>
        <w:rPr>
          <w:lang w:val="en-US"/>
        </w:rPr>
      </w:pPr>
    </w:p>
    <w:p w14:paraId="33CE40E6" w14:textId="087E4AA8" w:rsidR="0060236C" w:rsidRPr="00BD31BA" w:rsidRDefault="0060236C" w:rsidP="0060236C">
      <w:pPr>
        <w:pStyle w:val="CETReferencetext"/>
        <w:rPr>
          <w:lang w:val="en-US"/>
        </w:rPr>
      </w:pPr>
      <w:r w:rsidRPr="00BD31BA">
        <w:rPr>
          <w:lang w:val="en-US"/>
        </w:rPr>
        <w:t xml:space="preserve">Zhang, Y.; Chen, C.-C. Modeling CO2 Absorption and Desorption by Aqueous </w:t>
      </w:r>
      <w:proofErr w:type="spellStart"/>
      <w:r w:rsidRPr="00BD31BA">
        <w:rPr>
          <w:lang w:val="en-US"/>
        </w:rPr>
        <w:t>Monoethanolamine</w:t>
      </w:r>
      <w:proofErr w:type="spellEnd"/>
      <w:r w:rsidRPr="00BD31BA">
        <w:rPr>
          <w:lang w:val="en-US"/>
        </w:rPr>
        <w:t xml:space="preserve"> Solution with Aspen Rate-based Model. Energy Procedia 2013, 37, 1584-1596.</w:t>
      </w:r>
    </w:p>
    <w:p w14:paraId="0C4A6A66" w14:textId="77777777" w:rsidR="00AA20BF" w:rsidRPr="00BD31BA" w:rsidRDefault="00AA20BF" w:rsidP="009443AD">
      <w:pPr>
        <w:pStyle w:val="CETReferencetext"/>
        <w:rPr>
          <w:lang w:val="en-US"/>
        </w:rPr>
      </w:pPr>
    </w:p>
    <w:sectPr w:rsidR="00AA20BF" w:rsidRPr="00BD31BA" w:rsidSect="00EF06D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0EC5C" w14:textId="77777777" w:rsidR="003F3CA1" w:rsidRDefault="003F3CA1" w:rsidP="004F5E36">
      <w:r>
        <w:separator/>
      </w:r>
    </w:p>
  </w:endnote>
  <w:endnote w:type="continuationSeparator" w:id="0">
    <w:p w14:paraId="1DAF186F" w14:textId="77777777" w:rsidR="003F3CA1" w:rsidRDefault="003F3CA1" w:rsidP="004F5E36">
      <w:r>
        <w:continuationSeparator/>
      </w:r>
    </w:p>
  </w:endnote>
  <w:endnote w:type="continuationNotice" w:id="1">
    <w:p w14:paraId="4E9155E1" w14:textId="77777777" w:rsidR="003F3CA1" w:rsidRDefault="003F3C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0D5D" w14:textId="77777777" w:rsidR="00532956" w:rsidRDefault="0053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8E89" w14:textId="77777777" w:rsidR="00532956" w:rsidRDefault="00532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0F9A" w14:textId="77777777" w:rsidR="00532956" w:rsidRDefault="0053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7899D" w14:textId="77777777" w:rsidR="003F3CA1" w:rsidRDefault="003F3CA1" w:rsidP="004F5E36">
      <w:r>
        <w:separator/>
      </w:r>
    </w:p>
  </w:footnote>
  <w:footnote w:type="continuationSeparator" w:id="0">
    <w:p w14:paraId="57A478C6" w14:textId="77777777" w:rsidR="003F3CA1" w:rsidRDefault="003F3CA1" w:rsidP="004F5E36">
      <w:r>
        <w:continuationSeparator/>
      </w:r>
    </w:p>
  </w:footnote>
  <w:footnote w:type="continuationNotice" w:id="1">
    <w:p w14:paraId="10F4BF22" w14:textId="77777777" w:rsidR="003F3CA1" w:rsidRDefault="003F3C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70ED" w14:textId="77777777" w:rsidR="00532956" w:rsidRDefault="00532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8D30" w14:textId="77777777" w:rsidR="00532956" w:rsidRDefault="00532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18DA" w14:textId="77777777" w:rsidR="00532956" w:rsidRDefault="00532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06E74"/>
    <w:multiLevelType w:val="hybridMultilevel"/>
    <w:tmpl w:val="70DE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5F7102"/>
    <w:multiLevelType w:val="hybridMultilevel"/>
    <w:tmpl w:val="AEAEEF1C"/>
    <w:lvl w:ilvl="0" w:tplc="AE6A8FB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76FFC"/>
    <w:multiLevelType w:val="hybridMultilevel"/>
    <w:tmpl w:val="F268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F564E2"/>
    <w:multiLevelType w:val="hybridMultilevel"/>
    <w:tmpl w:val="DEF03E2A"/>
    <w:lvl w:ilvl="0" w:tplc="88A6C7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751518">
    <w:abstractNumId w:val="11"/>
  </w:num>
  <w:num w:numId="2" w16cid:durableId="1045714188">
    <w:abstractNumId w:val="8"/>
  </w:num>
  <w:num w:numId="3" w16cid:durableId="463960809">
    <w:abstractNumId w:val="3"/>
  </w:num>
  <w:num w:numId="4" w16cid:durableId="1187065400">
    <w:abstractNumId w:val="2"/>
  </w:num>
  <w:num w:numId="5" w16cid:durableId="1479034494">
    <w:abstractNumId w:val="1"/>
  </w:num>
  <w:num w:numId="6" w16cid:durableId="375783874">
    <w:abstractNumId w:val="0"/>
  </w:num>
  <w:num w:numId="7" w16cid:durableId="951130854">
    <w:abstractNumId w:val="9"/>
  </w:num>
  <w:num w:numId="8" w16cid:durableId="1423145111">
    <w:abstractNumId w:val="7"/>
  </w:num>
  <w:num w:numId="9" w16cid:durableId="1082292332">
    <w:abstractNumId w:val="6"/>
  </w:num>
  <w:num w:numId="10" w16cid:durableId="1777403392">
    <w:abstractNumId w:val="5"/>
  </w:num>
  <w:num w:numId="11" w16cid:durableId="618727219">
    <w:abstractNumId w:val="4"/>
  </w:num>
  <w:num w:numId="12" w16cid:durableId="362705265">
    <w:abstractNumId w:val="20"/>
  </w:num>
  <w:num w:numId="13" w16cid:durableId="1059590811">
    <w:abstractNumId w:val="13"/>
  </w:num>
  <w:num w:numId="14" w16cid:durableId="775634176">
    <w:abstractNumId w:val="21"/>
  </w:num>
  <w:num w:numId="15" w16cid:durableId="1780248845">
    <w:abstractNumId w:val="23"/>
  </w:num>
  <w:num w:numId="16" w16cid:durableId="689992136">
    <w:abstractNumId w:val="22"/>
  </w:num>
  <w:num w:numId="17" w16cid:durableId="783305553">
    <w:abstractNumId w:val="12"/>
  </w:num>
  <w:num w:numId="18" w16cid:durableId="1060784750">
    <w:abstractNumId w:val="13"/>
    <w:lvlOverride w:ilvl="0">
      <w:startOverride w:val="1"/>
    </w:lvlOverride>
  </w:num>
  <w:num w:numId="19" w16cid:durableId="866723614">
    <w:abstractNumId w:val="19"/>
  </w:num>
  <w:num w:numId="20" w16cid:durableId="789513579">
    <w:abstractNumId w:val="18"/>
  </w:num>
  <w:num w:numId="21" w16cid:durableId="776752543">
    <w:abstractNumId w:val="15"/>
  </w:num>
  <w:num w:numId="22" w16cid:durableId="741945760">
    <w:abstractNumId w:val="14"/>
  </w:num>
  <w:num w:numId="23" w16cid:durableId="4721350">
    <w:abstractNumId w:val="11"/>
  </w:num>
  <w:num w:numId="24" w16cid:durableId="1119370575">
    <w:abstractNumId w:val="17"/>
  </w:num>
  <w:num w:numId="25" w16cid:durableId="494882530">
    <w:abstractNumId w:val="24"/>
  </w:num>
  <w:num w:numId="26" w16cid:durableId="645207077">
    <w:abstractNumId w:val="16"/>
  </w:num>
  <w:num w:numId="27" w16cid:durableId="1780681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93F"/>
    <w:rsid w:val="0001317A"/>
    <w:rsid w:val="00013809"/>
    <w:rsid w:val="00013CD3"/>
    <w:rsid w:val="0003148D"/>
    <w:rsid w:val="00031B02"/>
    <w:rsid w:val="00031EEC"/>
    <w:rsid w:val="0003309F"/>
    <w:rsid w:val="00033623"/>
    <w:rsid w:val="000354CB"/>
    <w:rsid w:val="000403CF"/>
    <w:rsid w:val="00041B10"/>
    <w:rsid w:val="000428B5"/>
    <w:rsid w:val="00050252"/>
    <w:rsid w:val="00050780"/>
    <w:rsid w:val="00051566"/>
    <w:rsid w:val="000523A7"/>
    <w:rsid w:val="000540B1"/>
    <w:rsid w:val="00054E02"/>
    <w:rsid w:val="00055322"/>
    <w:rsid w:val="000562A9"/>
    <w:rsid w:val="00056B29"/>
    <w:rsid w:val="00062A9A"/>
    <w:rsid w:val="00063A6A"/>
    <w:rsid w:val="00065058"/>
    <w:rsid w:val="00066B00"/>
    <w:rsid w:val="0007300A"/>
    <w:rsid w:val="00076BF0"/>
    <w:rsid w:val="000829D1"/>
    <w:rsid w:val="00084ED8"/>
    <w:rsid w:val="00086C39"/>
    <w:rsid w:val="0009487A"/>
    <w:rsid w:val="00095237"/>
    <w:rsid w:val="00096807"/>
    <w:rsid w:val="00097247"/>
    <w:rsid w:val="000A03B2"/>
    <w:rsid w:val="000A536F"/>
    <w:rsid w:val="000B16F7"/>
    <w:rsid w:val="000B1D4F"/>
    <w:rsid w:val="000B2F3E"/>
    <w:rsid w:val="000B40B3"/>
    <w:rsid w:val="000B6121"/>
    <w:rsid w:val="000C16D9"/>
    <w:rsid w:val="000C2D78"/>
    <w:rsid w:val="000C68F2"/>
    <w:rsid w:val="000D004F"/>
    <w:rsid w:val="000D0268"/>
    <w:rsid w:val="000D34BE"/>
    <w:rsid w:val="000D4130"/>
    <w:rsid w:val="000D4744"/>
    <w:rsid w:val="000D6A24"/>
    <w:rsid w:val="000D7E79"/>
    <w:rsid w:val="000E102F"/>
    <w:rsid w:val="000E15F5"/>
    <w:rsid w:val="000E36F1"/>
    <w:rsid w:val="000E3A62"/>
    <w:rsid w:val="000E3A73"/>
    <w:rsid w:val="000E414A"/>
    <w:rsid w:val="000E4E9B"/>
    <w:rsid w:val="000E56E2"/>
    <w:rsid w:val="000F093C"/>
    <w:rsid w:val="000F5E8D"/>
    <w:rsid w:val="000F787B"/>
    <w:rsid w:val="000F7B10"/>
    <w:rsid w:val="001008FB"/>
    <w:rsid w:val="00101B5D"/>
    <w:rsid w:val="0010695D"/>
    <w:rsid w:val="001127FF"/>
    <w:rsid w:val="0012091F"/>
    <w:rsid w:val="00120DF2"/>
    <w:rsid w:val="00126BC2"/>
    <w:rsid w:val="001308B6"/>
    <w:rsid w:val="0013121F"/>
    <w:rsid w:val="00131FE6"/>
    <w:rsid w:val="0013263F"/>
    <w:rsid w:val="001331DF"/>
    <w:rsid w:val="00133ADB"/>
    <w:rsid w:val="00134DE4"/>
    <w:rsid w:val="0014034D"/>
    <w:rsid w:val="00140500"/>
    <w:rsid w:val="00141B19"/>
    <w:rsid w:val="00141DD1"/>
    <w:rsid w:val="001438B8"/>
    <w:rsid w:val="0014435D"/>
    <w:rsid w:val="001445B9"/>
    <w:rsid w:val="00144D16"/>
    <w:rsid w:val="001456CA"/>
    <w:rsid w:val="0014682F"/>
    <w:rsid w:val="00150E59"/>
    <w:rsid w:val="00151539"/>
    <w:rsid w:val="00152DE3"/>
    <w:rsid w:val="0015485B"/>
    <w:rsid w:val="00155FD2"/>
    <w:rsid w:val="001606CE"/>
    <w:rsid w:val="00164CF9"/>
    <w:rsid w:val="001667A6"/>
    <w:rsid w:val="00171CA5"/>
    <w:rsid w:val="00172428"/>
    <w:rsid w:val="0017251E"/>
    <w:rsid w:val="001810F9"/>
    <w:rsid w:val="00181C60"/>
    <w:rsid w:val="00183D16"/>
    <w:rsid w:val="00184AD6"/>
    <w:rsid w:val="00185530"/>
    <w:rsid w:val="001915E0"/>
    <w:rsid w:val="0019371E"/>
    <w:rsid w:val="00193AFD"/>
    <w:rsid w:val="00195019"/>
    <w:rsid w:val="001A4AF7"/>
    <w:rsid w:val="001A61B7"/>
    <w:rsid w:val="001A7D40"/>
    <w:rsid w:val="001B0349"/>
    <w:rsid w:val="001B1E93"/>
    <w:rsid w:val="001B2193"/>
    <w:rsid w:val="001B3D59"/>
    <w:rsid w:val="001B6405"/>
    <w:rsid w:val="001B65C1"/>
    <w:rsid w:val="001C684B"/>
    <w:rsid w:val="001D0CFB"/>
    <w:rsid w:val="001D21AF"/>
    <w:rsid w:val="001D3F00"/>
    <w:rsid w:val="001D3FAE"/>
    <w:rsid w:val="001D53FC"/>
    <w:rsid w:val="001D69A1"/>
    <w:rsid w:val="001E2C4F"/>
    <w:rsid w:val="001E40AF"/>
    <w:rsid w:val="001E556B"/>
    <w:rsid w:val="001F165E"/>
    <w:rsid w:val="001F2033"/>
    <w:rsid w:val="001F42A5"/>
    <w:rsid w:val="001F577F"/>
    <w:rsid w:val="001F640D"/>
    <w:rsid w:val="001F7B9D"/>
    <w:rsid w:val="00200EC0"/>
    <w:rsid w:val="00201C93"/>
    <w:rsid w:val="002046EA"/>
    <w:rsid w:val="00212F2B"/>
    <w:rsid w:val="0021344D"/>
    <w:rsid w:val="00214EDC"/>
    <w:rsid w:val="00215D80"/>
    <w:rsid w:val="00216875"/>
    <w:rsid w:val="00217544"/>
    <w:rsid w:val="002224B4"/>
    <w:rsid w:val="00222E86"/>
    <w:rsid w:val="0022417C"/>
    <w:rsid w:val="00224A56"/>
    <w:rsid w:val="002302A0"/>
    <w:rsid w:val="00236155"/>
    <w:rsid w:val="002422D1"/>
    <w:rsid w:val="002429B5"/>
    <w:rsid w:val="00242E12"/>
    <w:rsid w:val="0024381D"/>
    <w:rsid w:val="002447EF"/>
    <w:rsid w:val="00245607"/>
    <w:rsid w:val="00246685"/>
    <w:rsid w:val="0024671D"/>
    <w:rsid w:val="00251550"/>
    <w:rsid w:val="00263B05"/>
    <w:rsid w:val="00263E08"/>
    <w:rsid w:val="0027221A"/>
    <w:rsid w:val="00272617"/>
    <w:rsid w:val="00272C38"/>
    <w:rsid w:val="002740EC"/>
    <w:rsid w:val="00275229"/>
    <w:rsid w:val="00275B61"/>
    <w:rsid w:val="00276E14"/>
    <w:rsid w:val="002808EE"/>
    <w:rsid w:val="00280FAF"/>
    <w:rsid w:val="00282656"/>
    <w:rsid w:val="00283475"/>
    <w:rsid w:val="00284376"/>
    <w:rsid w:val="00284FE3"/>
    <w:rsid w:val="00296B83"/>
    <w:rsid w:val="002A530B"/>
    <w:rsid w:val="002A6A82"/>
    <w:rsid w:val="002B0CA1"/>
    <w:rsid w:val="002B172A"/>
    <w:rsid w:val="002B3103"/>
    <w:rsid w:val="002B4015"/>
    <w:rsid w:val="002B6CAD"/>
    <w:rsid w:val="002B7732"/>
    <w:rsid w:val="002B78CE"/>
    <w:rsid w:val="002B7B21"/>
    <w:rsid w:val="002C2FB6"/>
    <w:rsid w:val="002C3095"/>
    <w:rsid w:val="002C397A"/>
    <w:rsid w:val="002C62DF"/>
    <w:rsid w:val="002C6A69"/>
    <w:rsid w:val="002D0051"/>
    <w:rsid w:val="002D1F92"/>
    <w:rsid w:val="002E4CD8"/>
    <w:rsid w:val="002E5FA7"/>
    <w:rsid w:val="002E6926"/>
    <w:rsid w:val="002F0DF7"/>
    <w:rsid w:val="002F3309"/>
    <w:rsid w:val="002F54CF"/>
    <w:rsid w:val="002F75CF"/>
    <w:rsid w:val="003008CE"/>
    <w:rsid w:val="003009B7"/>
    <w:rsid w:val="00300C62"/>
    <w:rsid w:val="00300E56"/>
    <w:rsid w:val="0030152C"/>
    <w:rsid w:val="0030469C"/>
    <w:rsid w:val="0030476B"/>
    <w:rsid w:val="00305A2E"/>
    <w:rsid w:val="003064E4"/>
    <w:rsid w:val="003069AF"/>
    <w:rsid w:val="00313119"/>
    <w:rsid w:val="003136F5"/>
    <w:rsid w:val="00314C27"/>
    <w:rsid w:val="00314D01"/>
    <w:rsid w:val="00321CA6"/>
    <w:rsid w:val="00323763"/>
    <w:rsid w:val="00323C5F"/>
    <w:rsid w:val="00332700"/>
    <w:rsid w:val="00334C09"/>
    <w:rsid w:val="0034350E"/>
    <w:rsid w:val="0034385A"/>
    <w:rsid w:val="00343ABC"/>
    <w:rsid w:val="00352934"/>
    <w:rsid w:val="00356180"/>
    <w:rsid w:val="00357897"/>
    <w:rsid w:val="003607FC"/>
    <w:rsid w:val="0036773C"/>
    <w:rsid w:val="00371C36"/>
    <w:rsid w:val="003723D4"/>
    <w:rsid w:val="00381905"/>
    <w:rsid w:val="00384CC8"/>
    <w:rsid w:val="003871FD"/>
    <w:rsid w:val="00387492"/>
    <w:rsid w:val="003900E4"/>
    <w:rsid w:val="003A04FD"/>
    <w:rsid w:val="003A1A47"/>
    <w:rsid w:val="003A1E30"/>
    <w:rsid w:val="003A2829"/>
    <w:rsid w:val="003A6FC6"/>
    <w:rsid w:val="003A7D1C"/>
    <w:rsid w:val="003B00E2"/>
    <w:rsid w:val="003B0C5A"/>
    <w:rsid w:val="003B0D94"/>
    <w:rsid w:val="003B304B"/>
    <w:rsid w:val="003B3146"/>
    <w:rsid w:val="003C1A7C"/>
    <w:rsid w:val="003C1E29"/>
    <w:rsid w:val="003C4AAF"/>
    <w:rsid w:val="003D1C09"/>
    <w:rsid w:val="003D3FBC"/>
    <w:rsid w:val="003D7106"/>
    <w:rsid w:val="003E0DB1"/>
    <w:rsid w:val="003E132B"/>
    <w:rsid w:val="003E1F22"/>
    <w:rsid w:val="003E1F37"/>
    <w:rsid w:val="003E31AC"/>
    <w:rsid w:val="003E4AE1"/>
    <w:rsid w:val="003E4F30"/>
    <w:rsid w:val="003E5F51"/>
    <w:rsid w:val="003F015E"/>
    <w:rsid w:val="003F2F61"/>
    <w:rsid w:val="003F3CA1"/>
    <w:rsid w:val="003F4453"/>
    <w:rsid w:val="003F4D80"/>
    <w:rsid w:val="00400414"/>
    <w:rsid w:val="004129F4"/>
    <w:rsid w:val="00413FB4"/>
    <w:rsid w:val="0041446B"/>
    <w:rsid w:val="00421871"/>
    <w:rsid w:val="00421942"/>
    <w:rsid w:val="004239D3"/>
    <w:rsid w:val="004247FF"/>
    <w:rsid w:val="0042747D"/>
    <w:rsid w:val="004275F6"/>
    <w:rsid w:val="00427673"/>
    <w:rsid w:val="00427859"/>
    <w:rsid w:val="0043021E"/>
    <w:rsid w:val="00436D9B"/>
    <w:rsid w:val="00437510"/>
    <w:rsid w:val="0044071E"/>
    <w:rsid w:val="00442AAF"/>
    <w:rsid w:val="0044329C"/>
    <w:rsid w:val="00445819"/>
    <w:rsid w:val="004470AF"/>
    <w:rsid w:val="00450220"/>
    <w:rsid w:val="004524A9"/>
    <w:rsid w:val="00453E24"/>
    <w:rsid w:val="00457456"/>
    <w:rsid w:val="004577FE"/>
    <w:rsid w:val="00457B9C"/>
    <w:rsid w:val="0046164A"/>
    <w:rsid w:val="004620C4"/>
    <w:rsid w:val="004628D2"/>
    <w:rsid w:val="00462DCD"/>
    <w:rsid w:val="004638C6"/>
    <w:rsid w:val="00463956"/>
    <w:rsid w:val="004648AD"/>
    <w:rsid w:val="00465FA5"/>
    <w:rsid w:val="004703A9"/>
    <w:rsid w:val="0047275E"/>
    <w:rsid w:val="00473BD9"/>
    <w:rsid w:val="00475A92"/>
    <w:rsid w:val="004760DE"/>
    <w:rsid w:val="0047619A"/>
    <w:rsid w:val="004763D7"/>
    <w:rsid w:val="00480704"/>
    <w:rsid w:val="0048216A"/>
    <w:rsid w:val="004828D5"/>
    <w:rsid w:val="00484C3D"/>
    <w:rsid w:val="00486459"/>
    <w:rsid w:val="0048726B"/>
    <w:rsid w:val="00491B62"/>
    <w:rsid w:val="00493D11"/>
    <w:rsid w:val="004A0024"/>
    <w:rsid w:val="004A004E"/>
    <w:rsid w:val="004A1A85"/>
    <w:rsid w:val="004A24CF"/>
    <w:rsid w:val="004A2AE0"/>
    <w:rsid w:val="004B2F04"/>
    <w:rsid w:val="004B7518"/>
    <w:rsid w:val="004C0A49"/>
    <w:rsid w:val="004C0D6E"/>
    <w:rsid w:val="004C2403"/>
    <w:rsid w:val="004C29FA"/>
    <w:rsid w:val="004C388D"/>
    <w:rsid w:val="004C3D1D"/>
    <w:rsid w:val="004C3D84"/>
    <w:rsid w:val="004C44D6"/>
    <w:rsid w:val="004C6C03"/>
    <w:rsid w:val="004C7913"/>
    <w:rsid w:val="004D31AB"/>
    <w:rsid w:val="004D67CC"/>
    <w:rsid w:val="004E0678"/>
    <w:rsid w:val="004E3235"/>
    <w:rsid w:val="004E4DD6"/>
    <w:rsid w:val="004F0D0E"/>
    <w:rsid w:val="004F2709"/>
    <w:rsid w:val="004F5E36"/>
    <w:rsid w:val="00503785"/>
    <w:rsid w:val="00504176"/>
    <w:rsid w:val="00504C69"/>
    <w:rsid w:val="00505B50"/>
    <w:rsid w:val="00505C62"/>
    <w:rsid w:val="00505FE3"/>
    <w:rsid w:val="00507B47"/>
    <w:rsid w:val="00507BEF"/>
    <w:rsid w:val="00507CC9"/>
    <w:rsid w:val="0051069F"/>
    <w:rsid w:val="005116CF"/>
    <w:rsid w:val="005119A5"/>
    <w:rsid w:val="00512BFA"/>
    <w:rsid w:val="005135E8"/>
    <w:rsid w:val="005148D1"/>
    <w:rsid w:val="00515431"/>
    <w:rsid w:val="00516AAC"/>
    <w:rsid w:val="00516F9D"/>
    <w:rsid w:val="005241F5"/>
    <w:rsid w:val="00526462"/>
    <w:rsid w:val="005278B7"/>
    <w:rsid w:val="0053021F"/>
    <w:rsid w:val="00532016"/>
    <w:rsid w:val="00532956"/>
    <w:rsid w:val="005346C8"/>
    <w:rsid w:val="005352A7"/>
    <w:rsid w:val="00540309"/>
    <w:rsid w:val="00542A10"/>
    <w:rsid w:val="00542D07"/>
    <w:rsid w:val="00543D40"/>
    <w:rsid w:val="00543DF2"/>
    <w:rsid w:val="00543E7D"/>
    <w:rsid w:val="00546AE2"/>
    <w:rsid w:val="00547A68"/>
    <w:rsid w:val="005517C2"/>
    <w:rsid w:val="005531C9"/>
    <w:rsid w:val="005578C1"/>
    <w:rsid w:val="00563718"/>
    <w:rsid w:val="0056534E"/>
    <w:rsid w:val="00566384"/>
    <w:rsid w:val="005673A8"/>
    <w:rsid w:val="00570C43"/>
    <w:rsid w:val="00571097"/>
    <w:rsid w:val="00571208"/>
    <w:rsid w:val="00572C80"/>
    <w:rsid w:val="00577252"/>
    <w:rsid w:val="00583FCE"/>
    <w:rsid w:val="00593690"/>
    <w:rsid w:val="00594757"/>
    <w:rsid w:val="00594BCE"/>
    <w:rsid w:val="00596509"/>
    <w:rsid w:val="005972FE"/>
    <w:rsid w:val="005A50B7"/>
    <w:rsid w:val="005A546E"/>
    <w:rsid w:val="005A5F0A"/>
    <w:rsid w:val="005B2110"/>
    <w:rsid w:val="005B451C"/>
    <w:rsid w:val="005B61E6"/>
    <w:rsid w:val="005B734C"/>
    <w:rsid w:val="005B7BDD"/>
    <w:rsid w:val="005C1F74"/>
    <w:rsid w:val="005C77E1"/>
    <w:rsid w:val="005D0183"/>
    <w:rsid w:val="005D01C0"/>
    <w:rsid w:val="005D4B20"/>
    <w:rsid w:val="005D65B7"/>
    <w:rsid w:val="005D668A"/>
    <w:rsid w:val="005D6A2F"/>
    <w:rsid w:val="005D7B5D"/>
    <w:rsid w:val="005E0F6D"/>
    <w:rsid w:val="005E1A82"/>
    <w:rsid w:val="005E4970"/>
    <w:rsid w:val="005E794C"/>
    <w:rsid w:val="005E7C48"/>
    <w:rsid w:val="005F053B"/>
    <w:rsid w:val="005F0A28"/>
    <w:rsid w:val="005F0E5E"/>
    <w:rsid w:val="005F1469"/>
    <w:rsid w:val="005F1E5A"/>
    <w:rsid w:val="005F4A8D"/>
    <w:rsid w:val="00600535"/>
    <w:rsid w:val="0060236C"/>
    <w:rsid w:val="006026C7"/>
    <w:rsid w:val="00603EFD"/>
    <w:rsid w:val="006043C3"/>
    <w:rsid w:val="006053BD"/>
    <w:rsid w:val="00607996"/>
    <w:rsid w:val="00610CD6"/>
    <w:rsid w:val="00613CB6"/>
    <w:rsid w:val="0061732E"/>
    <w:rsid w:val="00620DEE"/>
    <w:rsid w:val="00621F92"/>
    <w:rsid w:val="0062280A"/>
    <w:rsid w:val="0062458C"/>
    <w:rsid w:val="00624C3D"/>
    <w:rsid w:val="00625639"/>
    <w:rsid w:val="00627372"/>
    <w:rsid w:val="00630F0E"/>
    <w:rsid w:val="006315A0"/>
    <w:rsid w:val="00631B33"/>
    <w:rsid w:val="00632385"/>
    <w:rsid w:val="006409E9"/>
    <w:rsid w:val="0064184D"/>
    <w:rsid w:val="006422CC"/>
    <w:rsid w:val="006501FD"/>
    <w:rsid w:val="006536E2"/>
    <w:rsid w:val="006538DF"/>
    <w:rsid w:val="006544B1"/>
    <w:rsid w:val="00656552"/>
    <w:rsid w:val="00660DEC"/>
    <w:rsid w:val="00660E3E"/>
    <w:rsid w:val="00662E74"/>
    <w:rsid w:val="00663E68"/>
    <w:rsid w:val="00666CFB"/>
    <w:rsid w:val="00667A08"/>
    <w:rsid w:val="00667FEE"/>
    <w:rsid w:val="006707EE"/>
    <w:rsid w:val="00670DDA"/>
    <w:rsid w:val="00673B78"/>
    <w:rsid w:val="00675F59"/>
    <w:rsid w:val="006779BC"/>
    <w:rsid w:val="00680C23"/>
    <w:rsid w:val="00684D43"/>
    <w:rsid w:val="0068603F"/>
    <w:rsid w:val="00686643"/>
    <w:rsid w:val="0068686E"/>
    <w:rsid w:val="00687D3D"/>
    <w:rsid w:val="00693766"/>
    <w:rsid w:val="00694D0F"/>
    <w:rsid w:val="0069773B"/>
    <w:rsid w:val="00697FFB"/>
    <w:rsid w:val="006A006F"/>
    <w:rsid w:val="006A3281"/>
    <w:rsid w:val="006A5347"/>
    <w:rsid w:val="006B0FE5"/>
    <w:rsid w:val="006B17BE"/>
    <w:rsid w:val="006B4105"/>
    <w:rsid w:val="006B4888"/>
    <w:rsid w:val="006B616D"/>
    <w:rsid w:val="006C2E45"/>
    <w:rsid w:val="006C359C"/>
    <w:rsid w:val="006C5579"/>
    <w:rsid w:val="006D4DD9"/>
    <w:rsid w:val="006D6E8B"/>
    <w:rsid w:val="006E1E76"/>
    <w:rsid w:val="006E6B52"/>
    <w:rsid w:val="006E737D"/>
    <w:rsid w:val="006E7814"/>
    <w:rsid w:val="006F325F"/>
    <w:rsid w:val="006F3E88"/>
    <w:rsid w:val="006F4877"/>
    <w:rsid w:val="006F5318"/>
    <w:rsid w:val="006F5EFC"/>
    <w:rsid w:val="007001C3"/>
    <w:rsid w:val="00700AC8"/>
    <w:rsid w:val="00707794"/>
    <w:rsid w:val="0071228D"/>
    <w:rsid w:val="00713973"/>
    <w:rsid w:val="00714E98"/>
    <w:rsid w:val="007161B1"/>
    <w:rsid w:val="00717997"/>
    <w:rsid w:val="00720A24"/>
    <w:rsid w:val="00727B1B"/>
    <w:rsid w:val="007309C4"/>
    <w:rsid w:val="00730C5D"/>
    <w:rsid w:val="00732386"/>
    <w:rsid w:val="00734E65"/>
    <w:rsid w:val="0073514D"/>
    <w:rsid w:val="00736CE0"/>
    <w:rsid w:val="0074178F"/>
    <w:rsid w:val="007447F3"/>
    <w:rsid w:val="00745A4A"/>
    <w:rsid w:val="007471F4"/>
    <w:rsid w:val="0075053E"/>
    <w:rsid w:val="0075499F"/>
    <w:rsid w:val="00755E97"/>
    <w:rsid w:val="00762DFA"/>
    <w:rsid w:val="0076310E"/>
    <w:rsid w:val="007659D6"/>
    <w:rsid w:val="007661C8"/>
    <w:rsid w:val="0077098D"/>
    <w:rsid w:val="00776708"/>
    <w:rsid w:val="007779C0"/>
    <w:rsid w:val="0078031C"/>
    <w:rsid w:val="00783A4F"/>
    <w:rsid w:val="00783BF8"/>
    <w:rsid w:val="0078529D"/>
    <w:rsid w:val="007914DC"/>
    <w:rsid w:val="007931FA"/>
    <w:rsid w:val="00794952"/>
    <w:rsid w:val="007A3DC0"/>
    <w:rsid w:val="007A4861"/>
    <w:rsid w:val="007A7BBA"/>
    <w:rsid w:val="007B0C50"/>
    <w:rsid w:val="007B169D"/>
    <w:rsid w:val="007B22CC"/>
    <w:rsid w:val="007B48AB"/>
    <w:rsid w:val="007B48F9"/>
    <w:rsid w:val="007B6F8B"/>
    <w:rsid w:val="007B7F7A"/>
    <w:rsid w:val="007C05EB"/>
    <w:rsid w:val="007C1A43"/>
    <w:rsid w:val="007C2009"/>
    <w:rsid w:val="007C2E09"/>
    <w:rsid w:val="007C4B70"/>
    <w:rsid w:val="007C6579"/>
    <w:rsid w:val="007C7ACB"/>
    <w:rsid w:val="007D0317"/>
    <w:rsid w:val="007D040C"/>
    <w:rsid w:val="007D0951"/>
    <w:rsid w:val="007D5512"/>
    <w:rsid w:val="007E0C56"/>
    <w:rsid w:val="007E1A89"/>
    <w:rsid w:val="007E5E89"/>
    <w:rsid w:val="007F0496"/>
    <w:rsid w:val="007F1BC4"/>
    <w:rsid w:val="007F5B03"/>
    <w:rsid w:val="007F5F37"/>
    <w:rsid w:val="007F7843"/>
    <w:rsid w:val="0080013E"/>
    <w:rsid w:val="00801712"/>
    <w:rsid w:val="00801D8A"/>
    <w:rsid w:val="00802871"/>
    <w:rsid w:val="00802BA1"/>
    <w:rsid w:val="00805123"/>
    <w:rsid w:val="00813288"/>
    <w:rsid w:val="00813398"/>
    <w:rsid w:val="008143BF"/>
    <w:rsid w:val="0081583C"/>
    <w:rsid w:val="008160E4"/>
    <w:rsid w:val="008168FC"/>
    <w:rsid w:val="00820FA9"/>
    <w:rsid w:val="00830996"/>
    <w:rsid w:val="00831623"/>
    <w:rsid w:val="00832534"/>
    <w:rsid w:val="008345F1"/>
    <w:rsid w:val="0083725D"/>
    <w:rsid w:val="00844B1F"/>
    <w:rsid w:val="008457C7"/>
    <w:rsid w:val="00845CDA"/>
    <w:rsid w:val="00846A48"/>
    <w:rsid w:val="00846FC2"/>
    <w:rsid w:val="00854AE7"/>
    <w:rsid w:val="008577A0"/>
    <w:rsid w:val="008602CA"/>
    <w:rsid w:val="00860571"/>
    <w:rsid w:val="008629E3"/>
    <w:rsid w:val="0086309A"/>
    <w:rsid w:val="00865B07"/>
    <w:rsid w:val="008667EA"/>
    <w:rsid w:val="00866C39"/>
    <w:rsid w:val="00872A1B"/>
    <w:rsid w:val="00874371"/>
    <w:rsid w:val="0087637F"/>
    <w:rsid w:val="0087765A"/>
    <w:rsid w:val="008777AD"/>
    <w:rsid w:val="00881271"/>
    <w:rsid w:val="00886D56"/>
    <w:rsid w:val="00891E6B"/>
    <w:rsid w:val="00892AD5"/>
    <w:rsid w:val="00894559"/>
    <w:rsid w:val="0089580B"/>
    <w:rsid w:val="0089753B"/>
    <w:rsid w:val="008A138C"/>
    <w:rsid w:val="008A1512"/>
    <w:rsid w:val="008A17C1"/>
    <w:rsid w:val="008A2993"/>
    <w:rsid w:val="008A2B30"/>
    <w:rsid w:val="008A50EB"/>
    <w:rsid w:val="008A764B"/>
    <w:rsid w:val="008B13AE"/>
    <w:rsid w:val="008B1643"/>
    <w:rsid w:val="008B30EC"/>
    <w:rsid w:val="008B33F5"/>
    <w:rsid w:val="008B372B"/>
    <w:rsid w:val="008B44EC"/>
    <w:rsid w:val="008B5D08"/>
    <w:rsid w:val="008B7C03"/>
    <w:rsid w:val="008C1146"/>
    <w:rsid w:val="008C1B8C"/>
    <w:rsid w:val="008C2218"/>
    <w:rsid w:val="008C34B7"/>
    <w:rsid w:val="008D1E73"/>
    <w:rsid w:val="008D2ED6"/>
    <w:rsid w:val="008D32B9"/>
    <w:rsid w:val="008D3750"/>
    <w:rsid w:val="008D433B"/>
    <w:rsid w:val="008D4818"/>
    <w:rsid w:val="008D4A16"/>
    <w:rsid w:val="008D662C"/>
    <w:rsid w:val="008E1A88"/>
    <w:rsid w:val="008E566E"/>
    <w:rsid w:val="008F076C"/>
    <w:rsid w:val="008F26E4"/>
    <w:rsid w:val="008F4981"/>
    <w:rsid w:val="0090161A"/>
    <w:rsid w:val="00901EB6"/>
    <w:rsid w:val="00901EC7"/>
    <w:rsid w:val="009030A0"/>
    <w:rsid w:val="00903253"/>
    <w:rsid w:val="00904C62"/>
    <w:rsid w:val="00905233"/>
    <w:rsid w:val="009064AC"/>
    <w:rsid w:val="00910CD4"/>
    <w:rsid w:val="00911076"/>
    <w:rsid w:val="00911668"/>
    <w:rsid w:val="00912E93"/>
    <w:rsid w:val="0091410A"/>
    <w:rsid w:val="0091454F"/>
    <w:rsid w:val="00916E30"/>
    <w:rsid w:val="0091700C"/>
    <w:rsid w:val="00922BA8"/>
    <w:rsid w:val="00924C27"/>
    <w:rsid w:val="00924DAC"/>
    <w:rsid w:val="00927058"/>
    <w:rsid w:val="009279D4"/>
    <w:rsid w:val="00935A15"/>
    <w:rsid w:val="009361D5"/>
    <w:rsid w:val="00942750"/>
    <w:rsid w:val="009443AD"/>
    <w:rsid w:val="009450CE"/>
    <w:rsid w:val="0094531D"/>
    <w:rsid w:val="009459BB"/>
    <w:rsid w:val="0094626E"/>
    <w:rsid w:val="00947179"/>
    <w:rsid w:val="009509A0"/>
    <w:rsid w:val="0095164B"/>
    <w:rsid w:val="00954090"/>
    <w:rsid w:val="00955DFF"/>
    <w:rsid w:val="00956A90"/>
    <w:rsid w:val="009573E7"/>
    <w:rsid w:val="00960574"/>
    <w:rsid w:val="00960E87"/>
    <w:rsid w:val="00961972"/>
    <w:rsid w:val="00963727"/>
    <w:rsid w:val="00963E05"/>
    <w:rsid w:val="00964A45"/>
    <w:rsid w:val="0096598B"/>
    <w:rsid w:val="00967843"/>
    <w:rsid w:val="00967D54"/>
    <w:rsid w:val="00971028"/>
    <w:rsid w:val="00973376"/>
    <w:rsid w:val="009736ED"/>
    <w:rsid w:val="00981CC7"/>
    <w:rsid w:val="00984D72"/>
    <w:rsid w:val="0098550A"/>
    <w:rsid w:val="009871B1"/>
    <w:rsid w:val="009918C3"/>
    <w:rsid w:val="00992990"/>
    <w:rsid w:val="00992A5A"/>
    <w:rsid w:val="00993488"/>
    <w:rsid w:val="00993B84"/>
    <w:rsid w:val="00996483"/>
    <w:rsid w:val="00996F5A"/>
    <w:rsid w:val="00997B82"/>
    <w:rsid w:val="00997E69"/>
    <w:rsid w:val="00997F59"/>
    <w:rsid w:val="009A3E17"/>
    <w:rsid w:val="009A4EF2"/>
    <w:rsid w:val="009A5A62"/>
    <w:rsid w:val="009A5C5C"/>
    <w:rsid w:val="009B041A"/>
    <w:rsid w:val="009B1546"/>
    <w:rsid w:val="009B3245"/>
    <w:rsid w:val="009B3428"/>
    <w:rsid w:val="009B4009"/>
    <w:rsid w:val="009B4228"/>
    <w:rsid w:val="009B44D5"/>
    <w:rsid w:val="009B6901"/>
    <w:rsid w:val="009C37C3"/>
    <w:rsid w:val="009C38CD"/>
    <w:rsid w:val="009C7C86"/>
    <w:rsid w:val="009D0128"/>
    <w:rsid w:val="009D2007"/>
    <w:rsid w:val="009D2FF7"/>
    <w:rsid w:val="009D542B"/>
    <w:rsid w:val="009D5912"/>
    <w:rsid w:val="009E0932"/>
    <w:rsid w:val="009E3777"/>
    <w:rsid w:val="009E608E"/>
    <w:rsid w:val="009E6B9A"/>
    <w:rsid w:val="009E6CC7"/>
    <w:rsid w:val="009E7884"/>
    <w:rsid w:val="009E788A"/>
    <w:rsid w:val="009F08A0"/>
    <w:rsid w:val="009F0E08"/>
    <w:rsid w:val="009F3395"/>
    <w:rsid w:val="009F40D5"/>
    <w:rsid w:val="009F6222"/>
    <w:rsid w:val="009F6604"/>
    <w:rsid w:val="009F745D"/>
    <w:rsid w:val="00A003EA"/>
    <w:rsid w:val="00A035B2"/>
    <w:rsid w:val="00A07EF6"/>
    <w:rsid w:val="00A07F0A"/>
    <w:rsid w:val="00A1636E"/>
    <w:rsid w:val="00A16FEB"/>
    <w:rsid w:val="00A1763D"/>
    <w:rsid w:val="00A17CEC"/>
    <w:rsid w:val="00A217B3"/>
    <w:rsid w:val="00A236A6"/>
    <w:rsid w:val="00A23CEE"/>
    <w:rsid w:val="00A2466D"/>
    <w:rsid w:val="00A26428"/>
    <w:rsid w:val="00A2658E"/>
    <w:rsid w:val="00A2690C"/>
    <w:rsid w:val="00A27EF0"/>
    <w:rsid w:val="00A30E33"/>
    <w:rsid w:val="00A338D9"/>
    <w:rsid w:val="00A4122F"/>
    <w:rsid w:val="00A42361"/>
    <w:rsid w:val="00A43073"/>
    <w:rsid w:val="00A455C5"/>
    <w:rsid w:val="00A46F2B"/>
    <w:rsid w:val="00A4761C"/>
    <w:rsid w:val="00A50B20"/>
    <w:rsid w:val="00A50F34"/>
    <w:rsid w:val="00A51390"/>
    <w:rsid w:val="00A51503"/>
    <w:rsid w:val="00A54AC2"/>
    <w:rsid w:val="00A57D36"/>
    <w:rsid w:val="00A6090B"/>
    <w:rsid w:val="00A60D13"/>
    <w:rsid w:val="00A62257"/>
    <w:rsid w:val="00A66411"/>
    <w:rsid w:val="00A7223D"/>
    <w:rsid w:val="00A72285"/>
    <w:rsid w:val="00A72745"/>
    <w:rsid w:val="00A74297"/>
    <w:rsid w:val="00A742A4"/>
    <w:rsid w:val="00A74BC5"/>
    <w:rsid w:val="00A76EFC"/>
    <w:rsid w:val="00A82FEC"/>
    <w:rsid w:val="00A83C81"/>
    <w:rsid w:val="00A87D50"/>
    <w:rsid w:val="00A906C1"/>
    <w:rsid w:val="00A91010"/>
    <w:rsid w:val="00A91D51"/>
    <w:rsid w:val="00A94540"/>
    <w:rsid w:val="00A95355"/>
    <w:rsid w:val="00A96878"/>
    <w:rsid w:val="00A96B40"/>
    <w:rsid w:val="00A9731E"/>
    <w:rsid w:val="00A97F29"/>
    <w:rsid w:val="00AA100C"/>
    <w:rsid w:val="00AA20BF"/>
    <w:rsid w:val="00AA702E"/>
    <w:rsid w:val="00AA7D26"/>
    <w:rsid w:val="00AB0964"/>
    <w:rsid w:val="00AB5011"/>
    <w:rsid w:val="00AC48A9"/>
    <w:rsid w:val="00AC54DB"/>
    <w:rsid w:val="00AC6416"/>
    <w:rsid w:val="00AC7368"/>
    <w:rsid w:val="00AD13F0"/>
    <w:rsid w:val="00AD14DE"/>
    <w:rsid w:val="00AD16B9"/>
    <w:rsid w:val="00AD2D27"/>
    <w:rsid w:val="00AD5FE2"/>
    <w:rsid w:val="00AE1C1F"/>
    <w:rsid w:val="00AE377D"/>
    <w:rsid w:val="00AF0EBA"/>
    <w:rsid w:val="00AF4E83"/>
    <w:rsid w:val="00AF5432"/>
    <w:rsid w:val="00B01383"/>
    <w:rsid w:val="00B01604"/>
    <w:rsid w:val="00B02C8A"/>
    <w:rsid w:val="00B031A8"/>
    <w:rsid w:val="00B042B6"/>
    <w:rsid w:val="00B05085"/>
    <w:rsid w:val="00B13385"/>
    <w:rsid w:val="00B17FBD"/>
    <w:rsid w:val="00B2451B"/>
    <w:rsid w:val="00B25752"/>
    <w:rsid w:val="00B2708F"/>
    <w:rsid w:val="00B315A6"/>
    <w:rsid w:val="00B31813"/>
    <w:rsid w:val="00B320A4"/>
    <w:rsid w:val="00B33365"/>
    <w:rsid w:val="00B3707D"/>
    <w:rsid w:val="00B37254"/>
    <w:rsid w:val="00B4067F"/>
    <w:rsid w:val="00B41A62"/>
    <w:rsid w:val="00B4290D"/>
    <w:rsid w:val="00B477EB"/>
    <w:rsid w:val="00B47C8A"/>
    <w:rsid w:val="00B51F08"/>
    <w:rsid w:val="00B5231A"/>
    <w:rsid w:val="00B52C25"/>
    <w:rsid w:val="00B57B36"/>
    <w:rsid w:val="00B57E6F"/>
    <w:rsid w:val="00B60A8C"/>
    <w:rsid w:val="00B61936"/>
    <w:rsid w:val="00B6245C"/>
    <w:rsid w:val="00B677E8"/>
    <w:rsid w:val="00B71A2D"/>
    <w:rsid w:val="00B73607"/>
    <w:rsid w:val="00B7400C"/>
    <w:rsid w:val="00B80737"/>
    <w:rsid w:val="00B80E10"/>
    <w:rsid w:val="00B83194"/>
    <w:rsid w:val="00B8686D"/>
    <w:rsid w:val="00B92F0F"/>
    <w:rsid w:val="00B93F69"/>
    <w:rsid w:val="00B96E24"/>
    <w:rsid w:val="00B97127"/>
    <w:rsid w:val="00BA0E93"/>
    <w:rsid w:val="00BA101B"/>
    <w:rsid w:val="00BA1C49"/>
    <w:rsid w:val="00BA45D2"/>
    <w:rsid w:val="00BA4972"/>
    <w:rsid w:val="00BA6D63"/>
    <w:rsid w:val="00BA7766"/>
    <w:rsid w:val="00BB1DDC"/>
    <w:rsid w:val="00BB6CB3"/>
    <w:rsid w:val="00BC00D2"/>
    <w:rsid w:val="00BC0278"/>
    <w:rsid w:val="00BC30C9"/>
    <w:rsid w:val="00BC4CC8"/>
    <w:rsid w:val="00BC5AA4"/>
    <w:rsid w:val="00BC6B46"/>
    <w:rsid w:val="00BD077D"/>
    <w:rsid w:val="00BD31BA"/>
    <w:rsid w:val="00BD3706"/>
    <w:rsid w:val="00BD5A1B"/>
    <w:rsid w:val="00BD7678"/>
    <w:rsid w:val="00BE1147"/>
    <w:rsid w:val="00BE1E57"/>
    <w:rsid w:val="00BE3BC2"/>
    <w:rsid w:val="00BE3E58"/>
    <w:rsid w:val="00BE4FD9"/>
    <w:rsid w:val="00BF1124"/>
    <w:rsid w:val="00BF458D"/>
    <w:rsid w:val="00BF77F9"/>
    <w:rsid w:val="00C001ED"/>
    <w:rsid w:val="00C01616"/>
    <w:rsid w:val="00C0162B"/>
    <w:rsid w:val="00C02DA3"/>
    <w:rsid w:val="00C02F97"/>
    <w:rsid w:val="00C03580"/>
    <w:rsid w:val="00C068ED"/>
    <w:rsid w:val="00C17A95"/>
    <w:rsid w:val="00C20A1E"/>
    <w:rsid w:val="00C22E0C"/>
    <w:rsid w:val="00C23535"/>
    <w:rsid w:val="00C248CD"/>
    <w:rsid w:val="00C27AFA"/>
    <w:rsid w:val="00C326AE"/>
    <w:rsid w:val="00C33FBF"/>
    <w:rsid w:val="00C340A8"/>
    <w:rsid w:val="00C345B1"/>
    <w:rsid w:val="00C34738"/>
    <w:rsid w:val="00C350F5"/>
    <w:rsid w:val="00C40142"/>
    <w:rsid w:val="00C417EC"/>
    <w:rsid w:val="00C52C3C"/>
    <w:rsid w:val="00C53A29"/>
    <w:rsid w:val="00C552F9"/>
    <w:rsid w:val="00C55DFA"/>
    <w:rsid w:val="00C55E61"/>
    <w:rsid w:val="00C57182"/>
    <w:rsid w:val="00C57863"/>
    <w:rsid w:val="00C62624"/>
    <w:rsid w:val="00C63D57"/>
    <w:rsid w:val="00C640AF"/>
    <w:rsid w:val="00C640E9"/>
    <w:rsid w:val="00C655FD"/>
    <w:rsid w:val="00C6685B"/>
    <w:rsid w:val="00C714B3"/>
    <w:rsid w:val="00C724E5"/>
    <w:rsid w:val="00C73478"/>
    <w:rsid w:val="00C74151"/>
    <w:rsid w:val="00C741BD"/>
    <w:rsid w:val="00C75407"/>
    <w:rsid w:val="00C772A1"/>
    <w:rsid w:val="00C7741F"/>
    <w:rsid w:val="00C81379"/>
    <w:rsid w:val="00C8340D"/>
    <w:rsid w:val="00C84353"/>
    <w:rsid w:val="00C84EC5"/>
    <w:rsid w:val="00C855A0"/>
    <w:rsid w:val="00C870A8"/>
    <w:rsid w:val="00C900F4"/>
    <w:rsid w:val="00C94434"/>
    <w:rsid w:val="00C94CA3"/>
    <w:rsid w:val="00CA0D4A"/>
    <w:rsid w:val="00CA0D75"/>
    <w:rsid w:val="00CA1C95"/>
    <w:rsid w:val="00CA5961"/>
    <w:rsid w:val="00CA5A9C"/>
    <w:rsid w:val="00CA5D69"/>
    <w:rsid w:val="00CA77C8"/>
    <w:rsid w:val="00CB196D"/>
    <w:rsid w:val="00CB2547"/>
    <w:rsid w:val="00CB2B63"/>
    <w:rsid w:val="00CB526A"/>
    <w:rsid w:val="00CB68BA"/>
    <w:rsid w:val="00CC2331"/>
    <w:rsid w:val="00CC4581"/>
    <w:rsid w:val="00CC4BF3"/>
    <w:rsid w:val="00CC4C20"/>
    <w:rsid w:val="00CC5929"/>
    <w:rsid w:val="00CD19C3"/>
    <w:rsid w:val="00CD240A"/>
    <w:rsid w:val="00CD3517"/>
    <w:rsid w:val="00CD55E5"/>
    <w:rsid w:val="00CD5FE2"/>
    <w:rsid w:val="00CD67FF"/>
    <w:rsid w:val="00CE1662"/>
    <w:rsid w:val="00CE572B"/>
    <w:rsid w:val="00CE57C1"/>
    <w:rsid w:val="00CE68EF"/>
    <w:rsid w:val="00CE7C68"/>
    <w:rsid w:val="00CF0575"/>
    <w:rsid w:val="00CF0E68"/>
    <w:rsid w:val="00CF2753"/>
    <w:rsid w:val="00CF540F"/>
    <w:rsid w:val="00D01F70"/>
    <w:rsid w:val="00D02B4C"/>
    <w:rsid w:val="00D040C4"/>
    <w:rsid w:val="00D055B4"/>
    <w:rsid w:val="00D069DB"/>
    <w:rsid w:val="00D12D7B"/>
    <w:rsid w:val="00D20AD1"/>
    <w:rsid w:val="00D214C5"/>
    <w:rsid w:val="00D25041"/>
    <w:rsid w:val="00D32D43"/>
    <w:rsid w:val="00D33ACC"/>
    <w:rsid w:val="00D350DC"/>
    <w:rsid w:val="00D35E20"/>
    <w:rsid w:val="00D3661C"/>
    <w:rsid w:val="00D373F0"/>
    <w:rsid w:val="00D37C54"/>
    <w:rsid w:val="00D46009"/>
    <w:rsid w:val="00D46B7E"/>
    <w:rsid w:val="00D5721E"/>
    <w:rsid w:val="00D57C84"/>
    <w:rsid w:val="00D6057D"/>
    <w:rsid w:val="00D61805"/>
    <w:rsid w:val="00D648EC"/>
    <w:rsid w:val="00D64C66"/>
    <w:rsid w:val="00D701C4"/>
    <w:rsid w:val="00D71640"/>
    <w:rsid w:val="00D7493C"/>
    <w:rsid w:val="00D74AA2"/>
    <w:rsid w:val="00D8219B"/>
    <w:rsid w:val="00D82D1F"/>
    <w:rsid w:val="00D836C5"/>
    <w:rsid w:val="00D8392C"/>
    <w:rsid w:val="00D84576"/>
    <w:rsid w:val="00D84D5F"/>
    <w:rsid w:val="00D86B9B"/>
    <w:rsid w:val="00D94AE5"/>
    <w:rsid w:val="00D953BE"/>
    <w:rsid w:val="00DA0985"/>
    <w:rsid w:val="00DA1399"/>
    <w:rsid w:val="00DA24C6"/>
    <w:rsid w:val="00DA4D7B"/>
    <w:rsid w:val="00DB06DA"/>
    <w:rsid w:val="00DB3F9E"/>
    <w:rsid w:val="00DB42FE"/>
    <w:rsid w:val="00DB4ACD"/>
    <w:rsid w:val="00DB4F13"/>
    <w:rsid w:val="00DB75D4"/>
    <w:rsid w:val="00DB762A"/>
    <w:rsid w:val="00DC2876"/>
    <w:rsid w:val="00DC29B2"/>
    <w:rsid w:val="00DC55F5"/>
    <w:rsid w:val="00DC7785"/>
    <w:rsid w:val="00DC7853"/>
    <w:rsid w:val="00DC7F5E"/>
    <w:rsid w:val="00DD271C"/>
    <w:rsid w:val="00DE1B8C"/>
    <w:rsid w:val="00DE1E5A"/>
    <w:rsid w:val="00DE264A"/>
    <w:rsid w:val="00DE5592"/>
    <w:rsid w:val="00DE681F"/>
    <w:rsid w:val="00DF147B"/>
    <w:rsid w:val="00DF1B5C"/>
    <w:rsid w:val="00DF5072"/>
    <w:rsid w:val="00E00039"/>
    <w:rsid w:val="00E02D18"/>
    <w:rsid w:val="00E03D3F"/>
    <w:rsid w:val="00E041E7"/>
    <w:rsid w:val="00E0732D"/>
    <w:rsid w:val="00E127B4"/>
    <w:rsid w:val="00E15DEC"/>
    <w:rsid w:val="00E17685"/>
    <w:rsid w:val="00E211BD"/>
    <w:rsid w:val="00E23CA1"/>
    <w:rsid w:val="00E27052"/>
    <w:rsid w:val="00E309C2"/>
    <w:rsid w:val="00E32018"/>
    <w:rsid w:val="00E32975"/>
    <w:rsid w:val="00E3332F"/>
    <w:rsid w:val="00E33DD7"/>
    <w:rsid w:val="00E3561F"/>
    <w:rsid w:val="00E36DD3"/>
    <w:rsid w:val="00E36E9D"/>
    <w:rsid w:val="00E4052E"/>
    <w:rsid w:val="00E409A8"/>
    <w:rsid w:val="00E43879"/>
    <w:rsid w:val="00E448B4"/>
    <w:rsid w:val="00E458F1"/>
    <w:rsid w:val="00E50C12"/>
    <w:rsid w:val="00E50F47"/>
    <w:rsid w:val="00E51762"/>
    <w:rsid w:val="00E52920"/>
    <w:rsid w:val="00E552DD"/>
    <w:rsid w:val="00E556A5"/>
    <w:rsid w:val="00E6364E"/>
    <w:rsid w:val="00E65B91"/>
    <w:rsid w:val="00E70310"/>
    <w:rsid w:val="00E7209D"/>
    <w:rsid w:val="00E72EAD"/>
    <w:rsid w:val="00E74A8A"/>
    <w:rsid w:val="00E76277"/>
    <w:rsid w:val="00E77223"/>
    <w:rsid w:val="00E817A1"/>
    <w:rsid w:val="00E820AB"/>
    <w:rsid w:val="00E82579"/>
    <w:rsid w:val="00E8305E"/>
    <w:rsid w:val="00E8528B"/>
    <w:rsid w:val="00E85B94"/>
    <w:rsid w:val="00E91AB4"/>
    <w:rsid w:val="00E91D03"/>
    <w:rsid w:val="00E94204"/>
    <w:rsid w:val="00E951F4"/>
    <w:rsid w:val="00E970B5"/>
    <w:rsid w:val="00E978D0"/>
    <w:rsid w:val="00EA00FA"/>
    <w:rsid w:val="00EA4613"/>
    <w:rsid w:val="00EA4F3E"/>
    <w:rsid w:val="00EA6E56"/>
    <w:rsid w:val="00EA7F91"/>
    <w:rsid w:val="00EB0454"/>
    <w:rsid w:val="00EB0CEA"/>
    <w:rsid w:val="00EB1523"/>
    <w:rsid w:val="00EB411E"/>
    <w:rsid w:val="00EB4C79"/>
    <w:rsid w:val="00EB5A0C"/>
    <w:rsid w:val="00EB5C77"/>
    <w:rsid w:val="00EC049D"/>
    <w:rsid w:val="00EC0CB4"/>
    <w:rsid w:val="00EC0E49"/>
    <w:rsid w:val="00EC101F"/>
    <w:rsid w:val="00EC197E"/>
    <w:rsid w:val="00EC1D9F"/>
    <w:rsid w:val="00EC20B4"/>
    <w:rsid w:val="00EC7201"/>
    <w:rsid w:val="00ED1AC3"/>
    <w:rsid w:val="00ED3642"/>
    <w:rsid w:val="00EE0131"/>
    <w:rsid w:val="00EE17B0"/>
    <w:rsid w:val="00EF06D9"/>
    <w:rsid w:val="00EF1CC1"/>
    <w:rsid w:val="00F00929"/>
    <w:rsid w:val="00F0141B"/>
    <w:rsid w:val="00F0233B"/>
    <w:rsid w:val="00F02767"/>
    <w:rsid w:val="00F10723"/>
    <w:rsid w:val="00F1269E"/>
    <w:rsid w:val="00F131B6"/>
    <w:rsid w:val="00F15773"/>
    <w:rsid w:val="00F15921"/>
    <w:rsid w:val="00F16BDE"/>
    <w:rsid w:val="00F17484"/>
    <w:rsid w:val="00F214D7"/>
    <w:rsid w:val="00F2204A"/>
    <w:rsid w:val="00F227FB"/>
    <w:rsid w:val="00F25F25"/>
    <w:rsid w:val="00F27EDB"/>
    <w:rsid w:val="00F3049E"/>
    <w:rsid w:val="00F30C64"/>
    <w:rsid w:val="00F30F1A"/>
    <w:rsid w:val="00F31304"/>
    <w:rsid w:val="00F32BA2"/>
    <w:rsid w:val="00F32CDB"/>
    <w:rsid w:val="00F348A5"/>
    <w:rsid w:val="00F4024F"/>
    <w:rsid w:val="00F44B35"/>
    <w:rsid w:val="00F44C3B"/>
    <w:rsid w:val="00F452F8"/>
    <w:rsid w:val="00F475AA"/>
    <w:rsid w:val="00F51093"/>
    <w:rsid w:val="00F525EE"/>
    <w:rsid w:val="00F52850"/>
    <w:rsid w:val="00F55FA4"/>
    <w:rsid w:val="00F565FE"/>
    <w:rsid w:val="00F56BD6"/>
    <w:rsid w:val="00F62978"/>
    <w:rsid w:val="00F63A70"/>
    <w:rsid w:val="00F63D8C"/>
    <w:rsid w:val="00F71E67"/>
    <w:rsid w:val="00F7534E"/>
    <w:rsid w:val="00F76937"/>
    <w:rsid w:val="00F82D36"/>
    <w:rsid w:val="00F851C5"/>
    <w:rsid w:val="00F90918"/>
    <w:rsid w:val="00F93EDF"/>
    <w:rsid w:val="00F95516"/>
    <w:rsid w:val="00F9593E"/>
    <w:rsid w:val="00F9786F"/>
    <w:rsid w:val="00F97BCC"/>
    <w:rsid w:val="00FA1802"/>
    <w:rsid w:val="00FA21D0"/>
    <w:rsid w:val="00FA5637"/>
    <w:rsid w:val="00FA5F5F"/>
    <w:rsid w:val="00FB0D93"/>
    <w:rsid w:val="00FB19CD"/>
    <w:rsid w:val="00FB2E56"/>
    <w:rsid w:val="00FB4355"/>
    <w:rsid w:val="00FB730C"/>
    <w:rsid w:val="00FB7890"/>
    <w:rsid w:val="00FC0D46"/>
    <w:rsid w:val="00FC2695"/>
    <w:rsid w:val="00FC3E03"/>
    <w:rsid w:val="00FC3FC1"/>
    <w:rsid w:val="00FC6A68"/>
    <w:rsid w:val="00FC7D78"/>
    <w:rsid w:val="00FD7C8E"/>
    <w:rsid w:val="00FE6B88"/>
    <w:rsid w:val="00FF2C8C"/>
    <w:rsid w:val="00FF38C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1AD7D4B-4AF8-4C89-809B-005EE5BE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E309C2"/>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B3245"/>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B324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6315A0"/>
    <w:pPr>
      <w:spacing w:after="0" w:line="240" w:lineRule="auto"/>
    </w:pPr>
    <w:rPr>
      <w:rFonts w:ascii="Arial" w:eastAsia="Times New Roman" w:hAnsi="Arial" w:cs="Times New Roman"/>
      <w:sz w:val="18"/>
      <w:szCs w:val="20"/>
      <w:lang w:val="en-GB"/>
    </w:rPr>
  </w:style>
  <w:style w:type="character" w:customStyle="1" w:styleId="react-xocs-alternative-link">
    <w:name w:val="react-xocs-alternative-link"/>
    <w:basedOn w:val="DefaultParagraphFont"/>
    <w:rsid w:val="00214EDC"/>
  </w:style>
  <w:style w:type="character" w:customStyle="1" w:styleId="given-name">
    <w:name w:val="given-name"/>
    <w:basedOn w:val="DefaultParagraphFont"/>
    <w:rsid w:val="00214EDC"/>
  </w:style>
  <w:style w:type="character" w:customStyle="1" w:styleId="text">
    <w:name w:val="text"/>
    <w:basedOn w:val="DefaultParagraphFont"/>
    <w:rsid w:val="00214EDC"/>
  </w:style>
  <w:style w:type="character" w:customStyle="1" w:styleId="author-ref">
    <w:name w:val="author-ref"/>
    <w:basedOn w:val="DefaultParagraphFont"/>
    <w:rsid w:val="0021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7366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660992">
      <w:bodyDiv w:val="1"/>
      <w:marLeft w:val="0"/>
      <w:marRight w:val="0"/>
      <w:marTop w:val="0"/>
      <w:marBottom w:val="0"/>
      <w:divBdr>
        <w:top w:val="none" w:sz="0" w:space="0" w:color="auto"/>
        <w:left w:val="none" w:sz="0" w:space="0" w:color="auto"/>
        <w:bottom w:val="none" w:sz="0" w:space="0" w:color="auto"/>
        <w:right w:val="none" w:sz="0" w:space="0" w:color="auto"/>
      </w:divBdr>
      <w:divsChild>
        <w:div w:id="424302252">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516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da0ee4-96db-4ff3-bc32-b20af218176f">
      <Terms xmlns="http://schemas.microsoft.com/office/infopath/2007/PartnerControls"/>
    </lcf76f155ced4ddcb4097134ff3c332f>
    <TaxCatchAll xmlns="0844b5b3-4e21-4f0c-8892-99d882f5a2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712FA0D642F4AA1E1A1A510AE81C0" ma:contentTypeVersion="16" ma:contentTypeDescription="Create a new document." ma:contentTypeScope="" ma:versionID="df95a18f81884c8088e8e8402aa7a317">
  <xsd:schema xmlns:xsd="http://www.w3.org/2001/XMLSchema" xmlns:xs="http://www.w3.org/2001/XMLSchema" xmlns:p="http://schemas.microsoft.com/office/2006/metadata/properties" xmlns:ns2="42da0ee4-96db-4ff3-bc32-b20af218176f" xmlns:ns3="0844b5b3-4e21-4f0c-8892-99d882f5a257" targetNamespace="http://schemas.microsoft.com/office/2006/metadata/properties" ma:root="true" ma:fieldsID="543c8cf2ff8e0b6907e5f7fd857dd7a4" ns2:_="" ns3:_="">
    <xsd:import namespace="42da0ee4-96db-4ff3-bc32-b20af218176f"/>
    <xsd:import namespace="0844b5b3-4e21-4f0c-8892-99d882f5a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a0ee4-96db-4ff3-bc32-b20af2181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448396-408b-4432-96f7-7c4181d1c8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44b5b3-4e21-4f0c-8892-99d882f5a2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4e40d7-b806-42cc-969c-9168c41d00b4}" ma:internalName="TaxCatchAll" ma:showField="CatchAllData" ma:web="0844b5b3-4e21-4f0c-8892-99d882f5a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3B28-346B-412B-B2E7-F7F5CE9B1DB2}">
  <ds:schemaRefs>
    <ds:schemaRef ds:uri="http://schemas.microsoft.com/office/2006/metadata/properties"/>
    <ds:schemaRef ds:uri="http://schemas.microsoft.com/office/infopath/2007/PartnerControls"/>
    <ds:schemaRef ds:uri="42da0ee4-96db-4ff3-bc32-b20af218176f"/>
    <ds:schemaRef ds:uri="0844b5b3-4e21-4f0c-8892-99d882f5a257"/>
  </ds:schemaRefs>
</ds:datastoreItem>
</file>

<file path=customXml/itemProps2.xml><?xml version="1.0" encoding="utf-8"?>
<ds:datastoreItem xmlns:ds="http://schemas.openxmlformats.org/officeDocument/2006/customXml" ds:itemID="{BA18DE83-8BC4-4EE6-B5B1-C96BD247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a0ee4-96db-4ff3-bc32-b20af218176f"/>
    <ds:schemaRef ds:uri="0844b5b3-4e21-4f0c-8892-99d882f5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A5F86-28B9-4714-A34C-FA72868FEC07}">
  <ds:schemaRefs>
    <ds:schemaRef ds:uri="http://schemas.microsoft.com/sharepoint/v3/contenttype/forms"/>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3398</Words>
  <Characters>19372</Characters>
  <Application>Microsoft Office Word</Application>
  <DocSecurity>4</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F.Ferrari@nextchem.it</dc:creator>
  <cp:keywords/>
  <cp:lastModifiedBy>Ferrari Fabio</cp:lastModifiedBy>
  <cp:revision>169</cp:revision>
  <cp:lastPrinted>2015-05-13T21:31:00Z</cp:lastPrinted>
  <dcterms:created xsi:type="dcterms:W3CDTF">2023-04-12T07:53:00Z</dcterms:created>
  <dcterms:modified xsi:type="dcterms:W3CDTF">2023-09-09T00:48:00Z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e18d9558-26a3-4f93-8788-04a494c05692_Enabled">
    <vt:lpwstr>true</vt:lpwstr>
  </property>
  <property fmtid="{D5CDD505-2E9C-101B-9397-08002B2CF9AE}" pid="5" name="MSIP_Label_e18d9558-26a3-4f93-8788-04a494c05692_SetDate">
    <vt:lpwstr>2023-02-23T14:47:23Z</vt:lpwstr>
  </property>
  <property fmtid="{D5CDD505-2E9C-101B-9397-08002B2CF9AE}" pid="6" name="MSIP_Label_e18d9558-26a3-4f93-8788-04a494c05692_Method">
    <vt:lpwstr>Standard</vt:lpwstr>
  </property>
  <property fmtid="{D5CDD505-2E9C-101B-9397-08002B2CF9AE}" pid="7" name="MSIP_Label_e18d9558-26a3-4f93-8788-04a494c05692_Name">
    <vt:lpwstr>e18d9558-26a3-4f93-8788-04a494c05692</vt:lpwstr>
  </property>
  <property fmtid="{D5CDD505-2E9C-101B-9397-08002B2CF9AE}" pid="8" name="MSIP_Label_e18d9558-26a3-4f93-8788-04a494c05692_SiteId">
    <vt:lpwstr>7cc91888-5aa0-49e5-a836-22cda2eae0fc</vt:lpwstr>
  </property>
  <property fmtid="{D5CDD505-2E9C-101B-9397-08002B2CF9AE}" pid="9" name="MSIP_Label_e18d9558-26a3-4f93-8788-04a494c05692_ActionId">
    <vt:lpwstr>143008ad-501c-47fa-b5b9-923a4cd9c41f</vt:lpwstr>
  </property>
  <property fmtid="{D5CDD505-2E9C-101B-9397-08002B2CF9AE}" pid="10" name="MSIP_Label_e18d9558-26a3-4f93-8788-04a494c05692_ContentBits">
    <vt:lpwstr>0</vt:lpwstr>
  </property>
  <property fmtid="{D5CDD505-2E9C-101B-9397-08002B2CF9AE}" pid="11" name="ContentTypeId">
    <vt:lpwstr>0x010100E06712FA0D642F4AA1E1A1A510AE81C0</vt:lpwstr>
  </property>
  <property fmtid="{D5CDD505-2E9C-101B-9397-08002B2CF9AE}" pid="12" name="MediaServiceImageTags">
    <vt:lpwstr/>
  </property>
</Properties>
</file>