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FDA49" w14:textId="77777777" w:rsidR="00573939" w:rsidRDefault="00573939">
      <w:pPr>
        <w:widowControl w:val="0"/>
        <w:pBdr>
          <w:top w:val="nil"/>
          <w:left w:val="nil"/>
          <w:bottom w:val="nil"/>
          <w:right w:val="nil"/>
          <w:between w:val="nil"/>
        </w:pBdr>
        <w:spacing w:line="276" w:lineRule="auto"/>
        <w:jc w:val="left"/>
        <w:rPr>
          <w:color w:val="000000"/>
          <w:sz w:val="22"/>
          <w:szCs w:val="22"/>
        </w:rPr>
      </w:pPr>
    </w:p>
    <w:tbl>
      <w:tblPr>
        <w:tblStyle w:val="a"/>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573939" w14:paraId="7A02D1F5" w14:textId="77777777">
        <w:trPr>
          <w:trHeight w:val="852"/>
          <w:jc w:val="center"/>
        </w:trPr>
        <w:tc>
          <w:tcPr>
            <w:tcW w:w="6940" w:type="dxa"/>
            <w:vMerge w:val="restart"/>
            <w:tcBorders>
              <w:right w:val="single" w:sz="4" w:space="0" w:color="000000"/>
            </w:tcBorders>
          </w:tcPr>
          <w:p w14:paraId="3A662160" w14:textId="77777777" w:rsidR="00573939" w:rsidRDefault="00A33BC8">
            <w:pPr>
              <w:tabs>
                <w:tab w:val="left" w:pos="-108"/>
              </w:tabs>
              <w:ind w:left="-108"/>
              <w:jc w:val="left"/>
              <w:rPr>
                <w:b/>
                <w:i/>
                <w:color w:val="000066"/>
                <w:sz w:val="12"/>
                <w:szCs w:val="12"/>
              </w:rPr>
            </w:pPr>
            <w:r>
              <w:rPr>
                <w:rFonts w:ascii="AdvP6960" w:eastAsia="AdvP6960" w:hAnsi="AdvP6960" w:cs="AdvP6960"/>
                <w:noProof/>
                <w:color w:val="241F20"/>
                <w:lang w:val="en-US" w:eastAsia="en-US"/>
              </w:rPr>
              <w:drawing>
                <wp:inline distT="0" distB="0" distL="0" distR="0" wp14:anchorId="082A4731" wp14:editId="58F9DBF8">
                  <wp:extent cx="640080" cy="373380"/>
                  <wp:effectExtent l="0" t="0" r="0" b="0"/>
                  <wp:docPr id="2" name="image2.jpg" descr="cetlogo"/>
                  <wp:cNvGraphicFramePr/>
                  <a:graphic xmlns:a="http://schemas.openxmlformats.org/drawingml/2006/main">
                    <a:graphicData uri="http://schemas.openxmlformats.org/drawingml/2006/picture">
                      <pic:pic xmlns:pic="http://schemas.openxmlformats.org/drawingml/2006/picture">
                        <pic:nvPicPr>
                          <pic:cNvPr id="0" name="image2.jpg" descr="cetlogo"/>
                          <pic:cNvPicPr preferRelativeResize="0"/>
                        </pic:nvPicPr>
                        <pic:blipFill>
                          <a:blip r:embed="rId6"/>
                          <a:srcRect/>
                          <a:stretch>
                            <a:fillRect/>
                          </a:stretch>
                        </pic:blipFill>
                        <pic:spPr>
                          <a:xfrm>
                            <a:off x="0" y="0"/>
                            <a:ext cx="640080" cy="373380"/>
                          </a:xfrm>
                          <a:prstGeom prst="rect">
                            <a:avLst/>
                          </a:prstGeom>
                          <a:ln/>
                        </pic:spPr>
                      </pic:pic>
                    </a:graphicData>
                  </a:graphic>
                </wp:inline>
              </w:drawing>
            </w:r>
            <w:r>
              <w:rPr>
                <w:rFonts w:ascii="AdvP6960" w:eastAsia="AdvP6960" w:hAnsi="AdvP6960" w:cs="AdvP6960"/>
                <w:color w:val="241F20"/>
              </w:rPr>
              <w:t xml:space="preserve"> </w:t>
            </w:r>
            <w:r>
              <w:rPr>
                <w:b/>
                <w:i/>
                <w:color w:val="000066"/>
                <w:sz w:val="24"/>
                <w:szCs w:val="24"/>
              </w:rPr>
              <w:t>CHEMICAL ENGINEERING</w:t>
            </w:r>
            <w:r>
              <w:rPr>
                <w:b/>
                <w:i/>
                <w:color w:val="0033FF"/>
                <w:sz w:val="24"/>
                <w:szCs w:val="24"/>
              </w:rPr>
              <w:t xml:space="preserve"> </w:t>
            </w:r>
            <w:r>
              <w:rPr>
                <w:b/>
                <w:i/>
                <w:color w:val="666666"/>
                <w:sz w:val="24"/>
                <w:szCs w:val="24"/>
              </w:rPr>
              <w:t>TRANSACTIONS</w:t>
            </w:r>
            <w:r>
              <w:rPr>
                <w:color w:val="333333"/>
                <w:sz w:val="24"/>
                <w:szCs w:val="24"/>
              </w:rPr>
              <w:t xml:space="preserve"> </w:t>
            </w:r>
            <w:r>
              <w:rPr>
                <w:b/>
                <w:i/>
                <w:color w:val="000066"/>
                <w:sz w:val="27"/>
                <w:szCs w:val="27"/>
              </w:rPr>
              <w:br/>
            </w:r>
          </w:p>
          <w:p w14:paraId="7B1B2734" w14:textId="77777777" w:rsidR="00573939" w:rsidRDefault="00A33BC8">
            <w:pPr>
              <w:tabs>
                <w:tab w:val="left" w:pos="-108"/>
              </w:tabs>
              <w:ind w:left="-108"/>
              <w:rPr>
                <w:b/>
                <w:i/>
                <w:color w:val="000066"/>
                <w:sz w:val="22"/>
                <w:szCs w:val="22"/>
              </w:rPr>
            </w:pPr>
            <w:r>
              <w:rPr>
                <w:b/>
                <w:i/>
                <w:color w:val="000066"/>
                <w:sz w:val="22"/>
                <w:szCs w:val="22"/>
              </w:rPr>
              <w:t>VOL.    , 2023</w:t>
            </w:r>
          </w:p>
        </w:tc>
        <w:tc>
          <w:tcPr>
            <w:tcW w:w="1842" w:type="dxa"/>
            <w:tcBorders>
              <w:left w:val="single" w:sz="4" w:space="0" w:color="000000"/>
              <w:bottom w:val="nil"/>
              <w:right w:val="single" w:sz="4" w:space="0" w:color="000000"/>
            </w:tcBorders>
          </w:tcPr>
          <w:p w14:paraId="5BBBF318" w14:textId="77777777" w:rsidR="00573939" w:rsidRDefault="00A33BC8">
            <w:pPr>
              <w:jc w:val="right"/>
              <w:rPr>
                <w:sz w:val="14"/>
                <w:szCs w:val="14"/>
              </w:rPr>
            </w:pPr>
            <w:r>
              <w:rPr>
                <w:sz w:val="14"/>
                <w:szCs w:val="14"/>
              </w:rPr>
              <w:t>A publication of</w:t>
            </w:r>
          </w:p>
          <w:p w14:paraId="5469CDA3" w14:textId="77777777" w:rsidR="00573939" w:rsidRDefault="00A33BC8">
            <w:pPr>
              <w:jc w:val="right"/>
            </w:pPr>
            <w:r>
              <w:rPr>
                <w:noProof/>
                <w:lang w:val="en-US" w:eastAsia="en-US"/>
              </w:rPr>
              <w:drawing>
                <wp:inline distT="0" distB="0" distL="0" distR="0" wp14:anchorId="0478A9A4" wp14:editId="2410A550">
                  <wp:extent cx="670560" cy="358140"/>
                  <wp:effectExtent l="0" t="0" r="0" b="0"/>
                  <wp:docPr id="4" name="image3.jpg" descr="aidiclogo_grande"/>
                  <wp:cNvGraphicFramePr/>
                  <a:graphic xmlns:a="http://schemas.openxmlformats.org/drawingml/2006/main">
                    <a:graphicData uri="http://schemas.openxmlformats.org/drawingml/2006/picture">
                      <pic:pic xmlns:pic="http://schemas.openxmlformats.org/drawingml/2006/picture">
                        <pic:nvPicPr>
                          <pic:cNvPr id="0" name="image3.jpg" descr="aidiclogo_grande"/>
                          <pic:cNvPicPr preferRelativeResize="0"/>
                        </pic:nvPicPr>
                        <pic:blipFill>
                          <a:blip r:embed="rId7"/>
                          <a:srcRect/>
                          <a:stretch>
                            <a:fillRect/>
                          </a:stretch>
                        </pic:blipFill>
                        <pic:spPr>
                          <a:xfrm>
                            <a:off x="0" y="0"/>
                            <a:ext cx="670560" cy="358140"/>
                          </a:xfrm>
                          <a:prstGeom prst="rect">
                            <a:avLst/>
                          </a:prstGeom>
                          <a:ln/>
                        </pic:spPr>
                      </pic:pic>
                    </a:graphicData>
                  </a:graphic>
                </wp:inline>
              </w:drawing>
            </w:r>
          </w:p>
        </w:tc>
      </w:tr>
      <w:tr w:rsidR="00573939" w14:paraId="093AD0D0" w14:textId="77777777">
        <w:trPr>
          <w:trHeight w:val="567"/>
          <w:jc w:val="center"/>
        </w:trPr>
        <w:tc>
          <w:tcPr>
            <w:tcW w:w="6940" w:type="dxa"/>
            <w:vMerge/>
            <w:tcBorders>
              <w:right w:val="single" w:sz="4" w:space="0" w:color="000000"/>
            </w:tcBorders>
          </w:tcPr>
          <w:p w14:paraId="593DABD9" w14:textId="77777777" w:rsidR="00573939" w:rsidRDefault="00573939">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14:paraId="2DF689D0" w14:textId="77777777" w:rsidR="00573939" w:rsidRDefault="00A33BC8">
            <w:pPr>
              <w:jc w:val="right"/>
              <w:rPr>
                <w:sz w:val="14"/>
                <w:szCs w:val="14"/>
              </w:rPr>
            </w:pPr>
            <w:r>
              <w:rPr>
                <w:sz w:val="14"/>
                <w:szCs w:val="14"/>
              </w:rPr>
              <w:t>The Italian Association</w:t>
            </w:r>
          </w:p>
          <w:p w14:paraId="6611AC34" w14:textId="77777777" w:rsidR="00573939" w:rsidRDefault="00A33BC8">
            <w:pPr>
              <w:jc w:val="right"/>
              <w:rPr>
                <w:sz w:val="14"/>
                <w:szCs w:val="14"/>
              </w:rPr>
            </w:pPr>
            <w:r>
              <w:rPr>
                <w:sz w:val="14"/>
                <w:szCs w:val="14"/>
              </w:rPr>
              <w:t>of Chemical Engineering</w:t>
            </w:r>
          </w:p>
          <w:p w14:paraId="4F083735" w14:textId="77777777" w:rsidR="00573939" w:rsidRDefault="00A33BC8">
            <w:pPr>
              <w:jc w:val="right"/>
              <w:rPr>
                <w:sz w:val="13"/>
                <w:szCs w:val="13"/>
              </w:rPr>
            </w:pPr>
            <w:r>
              <w:rPr>
                <w:sz w:val="13"/>
                <w:szCs w:val="13"/>
              </w:rPr>
              <w:t>Online at www.cetjournal.it</w:t>
            </w:r>
          </w:p>
        </w:tc>
      </w:tr>
      <w:tr w:rsidR="00573939" w14:paraId="2C7EA711" w14:textId="77777777">
        <w:trPr>
          <w:trHeight w:val="68"/>
          <w:jc w:val="center"/>
        </w:trPr>
        <w:tc>
          <w:tcPr>
            <w:tcW w:w="8782" w:type="dxa"/>
            <w:gridSpan w:val="2"/>
          </w:tcPr>
          <w:p w14:paraId="306965E6" w14:textId="77777777" w:rsidR="00573939" w:rsidRDefault="00A33BC8">
            <w:pPr>
              <w:ind w:left="-107"/>
              <w:rPr>
                <w:rFonts w:ascii="Tahoma" w:eastAsia="Tahoma" w:hAnsi="Tahoma" w:cs="Tahoma"/>
                <w:color w:val="000000"/>
                <w:sz w:val="14"/>
                <w:szCs w:val="14"/>
              </w:rPr>
            </w:pPr>
            <w:r>
              <w:rPr>
                <w:rFonts w:ascii="Tahoma" w:eastAsia="Tahoma" w:hAnsi="Tahoma" w:cs="Tahoma"/>
                <w:color w:val="333333"/>
                <w:sz w:val="14"/>
                <w:szCs w:val="14"/>
              </w:rPr>
              <w:t>Guest Editors:</w:t>
            </w:r>
            <w:r>
              <w:rPr>
                <w:rFonts w:ascii="Tahoma" w:eastAsia="Tahoma" w:hAnsi="Tahoma" w:cs="Tahoma"/>
                <w:color w:val="000000"/>
                <w:sz w:val="14"/>
                <w:szCs w:val="14"/>
                <w:highlight w:val="white"/>
              </w:rPr>
              <w:t xml:space="preserve"> </w:t>
            </w:r>
          </w:p>
          <w:p w14:paraId="5676F415" w14:textId="77777777" w:rsidR="00573939" w:rsidRDefault="00A33BC8">
            <w:pPr>
              <w:tabs>
                <w:tab w:val="left" w:pos="-108"/>
              </w:tabs>
              <w:ind w:left="-107"/>
              <w:jc w:val="left"/>
            </w:pPr>
            <w:r>
              <w:rPr>
                <w:rFonts w:ascii="Tahoma" w:eastAsia="Tahoma" w:hAnsi="Tahoma" w:cs="Tahoma"/>
                <w:color w:val="333333"/>
                <w:sz w:val="14"/>
                <w:szCs w:val="14"/>
              </w:rPr>
              <w:t xml:space="preserve">Copyright © 2023, AIDIC </w:t>
            </w:r>
            <w:proofErr w:type="spellStart"/>
            <w:r>
              <w:rPr>
                <w:rFonts w:ascii="Tahoma" w:eastAsia="Tahoma" w:hAnsi="Tahoma" w:cs="Tahoma"/>
                <w:color w:val="333333"/>
                <w:sz w:val="14"/>
                <w:szCs w:val="14"/>
              </w:rPr>
              <w:t>Servizi</w:t>
            </w:r>
            <w:proofErr w:type="spellEnd"/>
            <w:r>
              <w:rPr>
                <w:rFonts w:ascii="Tahoma" w:eastAsia="Tahoma" w:hAnsi="Tahoma" w:cs="Tahoma"/>
                <w:color w:val="333333"/>
                <w:sz w:val="14"/>
                <w:szCs w:val="14"/>
              </w:rPr>
              <w:t xml:space="preserve"> </w:t>
            </w:r>
            <w:proofErr w:type="spellStart"/>
            <w:r>
              <w:rPr>
                <w:rFonts w:ascii="Tahoma" w:eastAsia="Tahoma" w:hAnsi="Tahoma" w:cs="Tahoma"/>
                <w:color w:val="333333"/>
                <w:sz w:val="14"/>
                <w:szCs w:val="14"/>
              </w:rPr>
              <w:t>S.r.l</w:t>
            </w:r>
            <w:proofErr w:type="spellEnd"/>
            <w:r>
              <w:rPr>
                <w:rFonts w:ascii="Tahoma" w:eastAsia="Tahoma" w:hAnsi="Tahoma" w:cs="Tahoma"/>
                <w:color w:val="333333"/>
                <w:sz w:val="14"/>
                <w:szCs w:val="14"/>
              </w:rPr>
              <w:t>.</w:t>
            </w:r>
            <w:r>
              <w:rPr>
                <w:rFonts w:ascii="Tahoma" w:eastAsia="Tahoma" w:hAnsi="Tahoma" w:cs="Tahoma"/>
                <w:color w:val="333333"/>
                <w:sz w:val="14"/>
                <w:szCs w:val="14"/>
              </w:rPr>
              <w:br/>
            </w:r>
            <w:r>
              <w:rPr>
                <w:rFonts w:ascii="Tahoma" w:eastAsia="Tahoma" w:hAnsi="Tahoma" w:cs="Tahoma"/>
                <w:b/>
                <w:color w:val="000000"/>
                <w:sz w:val="14"/>
                <w:szCs w:val="14"/>
              </w:rPr>
              <w:t>ISBN</w:t>
            </w:r>
            <w:r>
              <w:rPr>
                <w:rFonts w:ascii="Tahoma" w:eastAsia="Tahoma" w:hAnsi="Tahoma" w:cs="Tahoma"/>
                <w:color w:val="000000"/>
                <w:sz w:val="14"/>
                <w:szCs w:val="14"/>
              </w:rPr>
              <w:t xml:space="preserve"> </w:t>
            </w:r>
            <w:r>
              <w:rPr>
                <w:rFonts w:ascii="Tahoma" w:eastAsia="Tahoma" w:hAnsi="Tahoma" w:cs="Tahoma"/>
                <w:sz w:val="14"/>
                <w:szCs w:val="14"/>
              </w:rPr>
              <w:t>979-12-81206-XX-X</w:t>
            </w:r>
            <w:r>
              <w:rPr>
                <w:rFonts w:ascii="Tahoma" w:eastAsia="Tahoma" w:hAnsi="Tahoma" w:cs="Tahoma"/>
                <w:color w:val="333333"/>
                <w:sz w:val="14"/>
                <w:szCs w:val="14"/>
              </w:rPr>
              <w:t xml:space="preserve">; </w:t>
            </w:r>
            <w:r>
              <w:rPr>
                <w:rFonts w:ascii="Tahoma" w:eastAsia="Tahoma" w:hAnsi="Tahoma" w:cs="Tahoma"/>
                <w:b/>
                <w:color w:val="333333"/>
                <w:sz w:val="14"/>
                <w:szCs w:val="14"/>
              </w:rPr>
              <w:t>ISSN</w:t>
            </w:r>
            <w:r>
              <w:rPr>
                <w:rFonts w:ascii="Tahoma" w:eastAsia="Tahoma" w:hAnsi="Tahoma" w:cs="Tahoma"/>
                <w:color w:val="333333"/>
                <w:sz w:val="14"/>
                <w:szCs w:val="14"/>
              </w:rPr>
              <w:t xml:space="preserve"> 2283-9216</w:t>
            </w:r>
          </w:p>
        </w:tc>
      </w:tr>
    </w:tbl>
    <w:p w14:paraId="11DBFE10" w14:textId="77777777" w:rsidR="00573939" w:rsidRDefault="00A33BC8">
      <w:pPr>
        <w:pBdr>
          <w:top w:val="nil"/>
          <w:left w:val="nil"/>
          <w:bottom w:val="nil"/>
          <w:right w:val="nil"/>
          <w:between w:val="nil"/>
        </w:pBdr>
        <w:spacing w:before="480" w:after="120"/>
        <w:jc w:val="center"/>
        <w:rPr>
          <w:color w:val="000000"/>
          <w:sz w:val="32"/>
          <w:szCs w:val="32"/>
        </w:rPr>
      </w:pPr>
      <w:r>
        <w:rPr>
          <w:sz w:val="32"/>
          <w:szCs w:val="32"/>
        </w:rPr>
        <w:t>Simulating renewable energy production scenarios under water and food constraints</w:t>
      </w:r>
    </w:p>
    <w:p w14:paraId="3FAE58D8" w14:textId="616825EA" w:rsidR="00573939" w:rsidRPr="00054F92" w:rsidRDefault="00A33BC8">
      <w:pPr>
        <w:keepNext/>
        <w:pBdr>
          <w:top w:val="nil"/>
          <w:left w:val="nil"/>
          <w:bottom w:val="nil"/>
          <w:right w:val="nil"/>
          <w:between w:val="nil"/>
        </w:pBdr>
        <w:spacing w:after="120"/>
        <w:rPr>
          <w:sz w:val="24"/>
          <w:szCs w:val="24"/>
          <w:lang w:val="fr-FR"/>
        </w:rPr>
      </w:pPr>
      <w:r w:rsidRPr="00054F92">
        <w:rPr>
          <w:sz w:val="24"/>
          <w:szCs w:val="24"/>
          <w:lang w:val="fr-FR"/>
        </w:rPr>
        <w:t>Amaya Saint-</w:t>
      </w:r>
      <w:proofErr w:type="gramStart"/>
      <w:r w:rsidRPr="00054F92">
        <w:rPr>
          <w:sz w:val="24"/>
          <w:szCs w:val="24"/>
          <w:lang w:val="fr-FR"/>
        </w:rPr>
        <w:t>Bois</w:t>
      </w:r>
      <w:r w:rsidRPr="00054F92">
        <w:rPr>
          <w:color w:val="000000"/>
          <w:sz w:val="24"/>
          <w:szCs w:val="24"/>
          <w:vertAlign w:val="superscript"/>
          <w:lang w:val="fr-FR"/>
        </w:rPr>
        <w:t>a,</w:t>
      </w:r>
      <w:r w:rsidRPr="00054F92">
        <w:rPr>
          <w:sz w:val="24"/>
          <w:szCs w:val="24"/>
          <w:lang w:val="fr-FR"/>
        </w:rPr>
        <w:t>*</w:t>
      </w:r>
      <w:proofErr w:type="gramEnd"/>
      <w:r w:rsidRPr="00054F92">
        <w:rPr>
          <w:color w:val="000000"/>
          <w:sz w:val="24"/>
          <w:szCs w:val="24"/>
          <w:lang w:val="fr-FR"/>
        </w:rPr>
        <w:t>,</w:t>
      </w:r>
      <w:r w:rsidRPr="00054F92">
        <w:rPr>
          <w:sz w:val="24"/>
          <w:szCs w:val="24"/>
          <w:lang w:val="fr-FR"/>
        </w:rPr>
        <w:t xml:space="preserve"> Marianne</w:t>
      </w:r>
      <w:r w:rsidRPr="00054F92">
        <w:rPr>
          <w:color w:val="000000"/>
          <w:sz w:val="24"/>
          <w:szCs w:val="24"/>
          <w:lang w:val="fr-FR"/>
        </w:rPr>
        <w:t xml:space="preserve"> </w:t>
      </w:r>
      <w:proofErr w:type="spellStart"/>
      <w:r w:rsidRPr="00054F92">
        <w:rPr>
          <w:sz w:val="24"/>
          <w:szCs w:val="24"/>
          <w:lang w:val="fr-FR"/>
        </w:rPr>
        <w:t>Boix</w:t>
      </w:r>
      <w:r w:rsidRPr="00054F92">
        <w:rPr>
          <w:sz w:val="24"/>
          <w:szCs w:val="24"/>
          <w:vertAlign w:val="superscript"/>
          <w:lang w:val="fr-FR"/>
        </w:rPr>
        <w:t>a</w:t>
      </w:r>
      <w:proofErr w:type="spellEnd"/>
      <w:r w:rsidRPr="00054F92">
        <w:rPr>
          <w:color w:val="000000"/>
          <w:sz w:val="24"/>
          <w:szCs w:val="24"/>
          <w:lang w:val="fr-FR"/>
        </w:rPr>
        <w:t>,</w:t>
      </w:r>
      <w:r w:rsidRPr="00054F92">
        <w:rPr>
          <w:sz w:val="24"/>
          <w:szCs w:val="24"/>
          <w:lang w:val="fr-FR"/>
        </w:rPr>
        <w:t xml:space="preserve"> Ludovic </w:t>
      </w:r>
      <w:proofErr w:type="spellStart"/>
      <w:r w:rsidRPr="00054F92">
        <w:rPr>
          <w:sz w:val="24"/>
          <w:szCs w:val="24"/>
          <w:lang w:val="fr-FR"/>
        </w:rPr>
        <w:t>Montastruc</w:t>
      </w:r>
      <w:r w:rsidRPr="00054F92">
        <w:rPr>
          <w:sz w:val="24"/>
          <w:szCs w:val="24"/>
          <w:vertAlign w:val="superscript"/>
          <w:lang w:val="fr-FR"/>
        </w:rPr>
        <w:t>a</w:t>
      </w:r>
      <w:proofErr w:type="spellEnd"/>
      <w:r w:rsidRPr="00054F92">
        <w:rPr>
          <w:sz w:val="24"/>
          <w:szCs w:val="24"/>
          <w:lang w:val="fr-FR"/>
        </w:rPr>
        <w:t xml:space="preserve">, Olivier </w:t>
      </w:r>
      <w:proofErr w:type="spellStart"/>
      <w:r w:rsidRPr="00054F92">
        <w:rPr>
          <w:sz w:val="24"/>
          <w:szCs w:val="24"/>
          <w:lang w:val="fr-FR"/>
        </w:rPr>
        <w:t>Th</w:t>
      </w:r>
      <w:r w:rsidR="00054F92">
        <w:rPr>
          <w:sz w:val="24"/>
          <w:szCs w:val="24"/>
          <w:lang w:val="fr-FR"/>
        </w:rPr>
        <w:t>e</w:t>
      </w:r>
      <w:r w:rsidRPr="00054F92">
        <w:rPr>
          <w:sz w:val="24"/>
          <w:szCs w:val="24"/>
          <w:lang w:val="fr-FR"/>
        </w:rPr>
        <w:t>rond</w:t>
      </w:r>
      <w:r w:rsidRPr="00054F92">
        <w:rPr>
          <w:sz w:val="24"/>
          <w:szCs w:val="24"/>
          <w:vertAlign w:val="superscript"/>
          <w:lang w:val="fr-FR"/>
        </w:rPr>
        <w:t>b</w:t>
      </w:r>
      <w:proofErr w:type="spellEnd"/>
    </w:p>
    <w:p w14:paraId="1E9336AE" w14:textId="77777777" w:rsidR="00573939" w:rsidRPr="00054F92" w:rsidRDefault="00A33BC8">
      <w:pPr>
        <w:keepNext/>
        <w:pBdr>
          <w:top w:val="nil"/>
          <w:left w:val="nil"/>
          <w:bottom w:val="nil"/>
          <w:right w:val="nil"/>
          <w:between w:val="nil"/>
        </w:pBdr>
        <w:rPr>
          <w:color w:val="000000"/>
          <w:sz w:val="16"/>
          <w:szCs w:val="16"/>
          <w:lang w:val="fr-FR"/>
        </w:rPr>
      </w:pPr>
      <w:proofErr w:type="gramStart"/>
      <w:r w:rsidRPr="00054F92">
        <w:rPr>
          <w:color w:val="000000"/>
          <w:sz w:val="16"/>
          <w:szCs w:val="16"/>
          <w:vertAlign w:val="superscript"/>
          <w:lang w:val="fr-FR"/>
        </w:rPr>
        <w:t>a</w:t>
      </w:r>
      <w:proofErr w:type="gramEnd"/>
      <w:r w:rsidRPr="00054F92">
        <w:rPr>
          <w:color w:val="000000"/>
          <w:sz w:val="16"/>
          <w:szCs w:val="16"/>
          <w:vertAlign w:val="superscript"/>
          <w:lang w:val="fr-FR"/>
        </w:rPr>
        <w:t xml:space="preserve"> </w:t>
      </w:r>
      <w:r w:rsidRPr="00054F92">
        <w:rPr>
          <w:sz w:val="16"/>
          <w:szCs w:val="16"/>
          <w:lang w:val="fr-FR"/>
        </w:rPr>
        <w:t xml:space="preserve">Laboratoire de Génie Chimique, UMR 5503 CNRS, Toulouse INP, UPS, 4 Allée Emile </w:t>
      </w:r>
      <w:proofErr w:type="spellStart"/>
      <w:r w:rsidRPr="00054F92">
        <w:rPr>
          <w:sz w:val="16"/>
          <w:szCs w:val="16"/>
          <w:lang w:val="fr-FR"/>
        </w:rPr>
        <w:t>Monso</w:t>
      </w:r>
      <w:proofErr w:type="spellEnd"/>
      <w:r w:rsidRPr="00054F92">
        <w:rPr>
          <w:sz w:val="16"/>
          <w:szCs w:val="16"/>
          <w:lang w:val="fr-FR"/>
        </w:rPr>
        <w:t>, 31432 Toulouse Cedex 4, France</w:t>
      </w:r>
    </w:p>
    <w:p w14:paraId="73F9A6BF" w14:textId="77777777" w:rsidR="00757E75" w:rsidRDefault="00A33BC8" w:rsidP="00054F92">
      <w:pPr>
        <w:keepNext/>
        <w:pBdr>
          <w:top w:val="nil"/>
          <w:left w:val="nil"/>
          <w:bottom w:val="nil"/>
          <w:right w:val="nil"/>
          <w:between w:val="nil"/>
        </w:pBdr>
        <w:spacing w:line="276" w:lineRule="auto"/>
        <w:jc w:val="left"/>
        <w:rPr>
          <w:color w:val="000000"/>
          <w:sz w:val="16"/>
          <w:szCs w:val="16"/>
          <w:lang w:val="fr-FR"/>
        </w:rPr>
      </w:pPr>
      <w:proofErr w:type="gramStart"/>
      <w:r w:rsidRPr="00054F92">
        <w:rPr>
          <w:color w:val="000000"/>
          <w:sz w:val="16"/>
          <w:szCs w:val="16"/>
          <w:vertAlign w:val="superscript"/>
          <w:lang w:val="fr-FR"/>
        </w:rPr>
        <w:t>b</w:t>
      </w:r>
      <w:proofErr w:type="gramEnd"/>
      <w:r w:rsidRPr="00054F92">
        <w:rPr>
          <w:color w:val="000000"/>
          <w:sz w:val="16"/>
          <w:szCs w:val="16"/>
          <w:vertAlign w:val="superscript"/>
          <w:lang w:val="fr-FR"/>
        </w:rPr>
        <w:t xml:space="preserve"> </w:t>
      </w:r>
      <w:r w:rsidR="00054F92" w:rsidRPr="00054F92">
        <w:rPr>
          <w:sz w:val="16"/>
          <w:szCs w:val="16"/>
          <w:lang w:val="fr-FR"/>
        </w:rPr>
        <w:t xml:space="preserve">Université de Lorraine, INRAE, LAE, F-68000 Colmar, </w:t>
      </w:r>
      <w:r w:rsidR="00054F92">
        <w:rPr>
          <w:sz w:val="16"/>
          <w:szCs w:val="16"/>
          <w:lang w:val="fr-FR"/>
        </w:rPr>
        <w:t>France</w:t>
      </w:r>
      <w:r w:rsidRPr="00757E75">
        <w:rPr>
          <w:color w:val="000000"/>
          <w:sz w:val="16"/>
          <w:szCs w:val="16"/>
          <w:lang w:val="fr-FR"/>
        </w:rPr>
        <w:t xml:space="preserve"> </w:t>
      </w:r>
    </w:p>
    <w:p w14:paraId="0A3E8662" w14:textId="75B320AE" w:rsidR="00573939" w:rsidRPr="009B4294" w:rsidRDefault="00A33BC8" w:rsidP="00054F92">
      <w:pPr>
        <w:keepNext/>
        <w:pBdr>
          <w:top w:val="nil"/>
          <w:left w:val="nil"/>
          <w:bottom w:val="nil"/>
          <w:right w:val="nil"/>
          <w:between w:val="nil"/>
        </w:pBdr>
        <w:spacing w:line="276" w:lineRule="auto"/>
        <w:jc w:val="left"/>
        <w:rPr>
          <w:lang w:val="en-US"/>
        </w:rPr>
      </w:pPr>
      <w:r w:rsidRPr="009B4294">
        <w:rPr>
          <w:sz w:val="16"/>
          <w:szCs w:val="16"/>
          <w:lang w:val="en-US"/>
        </w:rPr>
        <w:t>amaya.saintbois</w:t>
      </w:r>
      <w:r w:rsidRPr="009B4294">
        <w:rPr>
          <w:color w:val="000000"/>
          <w:sz w:val="16"/>
          <w:szCs w:val="16"/>
          <w:lang w:val="en-US"/>
        </w:rPr>
        <w:t>@</w:t>
      </w:r>
      <w:r w:rsidRPr="009B4294">
        <w:rPr>
          <w:sz w:val="16"/>
          <w:szCs w:val="16"/>
          <w:lang w:val="en-US"/>
        </w:rPr>
        <w:t xml:space="preserve">toulouse-inp.fr </w:t>
      </w:r>
    </w:p>
    <w:p w14:paraId="31BFE931" w14:textId="286ED824" w:rsidR="00573939" w:rsidRDefault="00A33BC8">
      <w:pPr>
        <w:spacing w:before="200" w:after="120" w:line="240" w:lineRule="auto"/>
      </w:pPr>
      <w:bookmarkStart w:id="0" w:name="_gjdgxs" w:colFirst="0" w:colLast="0"/>
      <w:bookmarkEnd w:id="0"/>
      <w:r>
        <w:t xml:space="preserve">Energy and agriculture are two big greenhouse gas emitters. Emissions of greenhouse gases lead to rising temperatures and originate long-term shifts in weather patterns, i.e. climate change, causing intense droughts, severe fires, rising sea levels and flooding, together with destructive storms. To reduce emissions, an energy transition from fossil fuels to renewable and low-carbon energy sources is essential, and this </w:t>
      </w:r>
      <w:proofErr w:type="gramStart"/>
      <w:r>
        <w:t>cannot be led</w:t>
      </w:r>
      <w:proofErr w:type="gramEnd"/>
      <w:r>
        <w:t xml:space="preserve"> without considering the deep interlinkages that exist between energy, water and food. Renewable production units </w:t>
      </w:r>
      <w:r w:rsidR="00054F92">
        <w:t xml:space="preserve">can </w:t>
      </w:r>
      <w:r>
        <w:t>enter into competition with agriculture</w:t>
      </w:r>
      <w:r w:rsidR="00054F92">
        <w:t xml:space="preserve"> through land use</w:t>
      </w:r>
      <w:r>
        <w:t xml:space="preserve">, and both energy and agriculture are water dependent. Digital tools appear as an efficient and agile way </w:t>
      </w:r>
      <w:r w:rsidR="0068204B">
        <w:t>to manage water-energy-food systems</w:t>
      </w:r>
      <w:r>
        <w:t xml:space="preserve">. Developing a generic digital tool that contributes to the acceleration of a </w:t>
      </w:r>
      <w:r w:rsidR="00054F92">
        <w:t xml:space="preserve">sustainable </w:t>
      </w:r>
      <w:r>
        <w:t xml:space="preserve">energy transition is the aim of this research work. The current work </w:t>
      </w:r>
      <w:proofErr w:type="gramStart"/>
      <w:r>
        <w:t>is focused</w:t>
      </w:r>
      <w:proofErr w:type="gramEnd"/>
      <w:r>
        <w:t xml:space="preserve"> on extending Maelia, a spatially explicit multi-agent simulation platform for integrated assessment </w:t>
      </w:r>
      <w:r w:rsidR="00054F92">
        <w:t xml:space="preserve">and modelling </w:t>
      </w:r>
      <w:r>
        <w:t xml:space="preserve">of socio-agro-ecological systems, that enables the simulation of fine-grained spatial and temporal land management scenarios. The platform </w:t>
      </w:r>
      <w:r w:rsidR="00054F92">
        <w:t>includes</w:t>
      </w:r>
      <w:r>
        <w:t xml:space="preserve"> agriculture and hydrology models, </w:t>
      </w:r>
      <w:r w:rsidR="00054F92">
        <w:t>consider</w:t>
      </w:r>
      <w:r w:rsidR="00215232">
        <w:t>s</w:t>
      </w:r>
      <w:r>
        <w:t xml:space="preserve"> biomass production and recycling one</w:t>
      </w:r>
      <w:r w:rsidR="00215232">
        <w:t>s</w:t>
      </w:r>
      <w:r>
        <w:t xml:space="preserve">, and </w:t>
      </w:r>
      <w:r w:rsidR="00054F92">
        <w:t>through</w:t>
      </w:r>
      <w:r>
        <w:t xml:space="preserve"> this research work, will a</w:t>
      </w:r>
      <w:r w:rsidR="00054F92">
        <w:t>l</w:t>
      </w:r>
      <w:r>
        <w:t xml:space="preserve">so integrate solar and windmill models. To make Maelia an innovative digital decision tool </w:t>
      </w:r>
      <w:r w:rsidR="00215232">
        <w:t>that</w:t>
      </w:r>
      <w:r w:rsidR="00054F92">
        <w:t xml:space="preserve"> deal</w:t>
      </w:r>
      <w:r w:rsidR="00215232">
        <w:t>s</w:t>
      </w:r>
      <w:r w:rsidR="00054F92">
        <w:t xml:space="preserve"> with </w:t>
      </w:r>
      <w:r w:rsidR="00215232">
        <w:t>water-energy-food systems</w:t>
      </w:r>
      <w:r>
        <w:t xml:space="preserve">, data </w:t>
      </w:r>
      <w:proofErr w:type="gramStart"/>
      <w:r>
        <w:t>must be collected</w:t>
      </w:r>
      <w:proofErr w:type="gramEnd"/>
      <w:r>
        <w:t>, assembled and treated</w:t>
      </w:r>
      <w:r w:rsidR="00054F92">
        <w:t xml:space="preserve"> with</w:t>
      </w:r>
      <w:r>
        <w:t xml:space="preserve"> R, Python and QGIS. </w:t>
      </w:r>
    </w:p>
    <w:p w14:paraId="2A61BD17" w14:textId="77777777" w:rsidR="00573939" w:rsidRDefault="00A33BC8">
      <w:pPr>
        <w:keepNext/>
        <w:numPr>
          <w:ilvl w:val="0"/>
          <w:numId w:val="4"/>
        </w:numPr>
        <w:pBdr>
          <w:top w:val="nil"/>
          <w:left w:val="nil"/>
          <w:bottom w:val="nil"/>
          <w:right w:val="nil"/>
          <w:between w:val="nil"/>
        </w:pBdr>
        <w:spacing w:before="240" w:after="120" w:line="240" w:lineRule="auto"/>
        <w:rPr>
          <w:b/>
          <w:color w:val="000000"/>
          <w:sz w:val="20"/>
          <w:szCs w:val="20"/>
        </w:rPr>
      </w:pPr>
      <w:r>
        <w:rPr>
          <w:b/>
          <w:color w:val="000000"/>
          <w:sz w:val="20"/>
          <w:szCs w:val="20"/>
        </w:rPr>
        <w:t>Introduction</w:t>
      </w:r>
    </w:p>
    <w:p w14:paraId="029FEF5B" w14:textId="7CA29288" w:rsidR="00573939" w:rsidRDefault="00A33BC8">
      <w:pPr>
        <w:spacing w:before="240" w:after="240" w:line="240" w:lineRule="auto"/>
      </w:pPr>
      <w:r>
        <w:t xml:space="preserve">Today, French total agricultural land surface is superior to the one theoretically needed to feed the country’s population on the national average diet (PARCEL, 2019). Installing windmills and solar panels in agricultural land can thus be among the actions taken in a context where an energy transition is </w:t>
      </w:r>
      <w:r w:rsidR="004D14FC">
        <w:t>required</w:t>
      </w:r>
      <w:r>
        <w:t xml:space="preserve">. Integrating renewable energy production units in agricultural land must consider water </w:t>
      </w:r>
      <w:r w:rsidR="0036385C">
        <w:t xml:space="preserve">resource conservation </w:t>
      </w:r>
      <w:r>
        <w:t>and food</w:t>
      </w:r>
      <w:r w:rsidR="0036385C">
        <w:t xml:space="preserve"> production</w:t>
      </w:r>
      <w:r>
        <w:t xml:space="preserve"> constraints</w:t>
      </w:r>
      <w:r w:rsidR="0036385C">
        <w:t xml:space="preserve"> and objectives</w:t>
      </w:r>
      <w:r w:rsidR="00704725">
        <w:t>, since i</w:t>
      </w:r>
      <w:r w:rsidR="005B2BAC">
        <w:t xml:space="preserve">nstalling energy production </w:t>
      </w:r>
      <w:r w:rsidR="0068204B">
        <w:t xml:space="preserve">units in agricultural land </w:t>
      </w:r>
      <w:r w:rsidR="005B2BAC">
        <w:t>limit</w:t>
      </w:r>
      <w:r w:rsidR="0068204B">
        <w:t>s</w:t>
      </w:r>
      <w:r w:rsidR="005B2BAC">
        <w:t xml:space="preserve"> the area dedicated to the food production. </w:t>
      </w:r>
      <w:r>
        <w:t xml:space="preserve">Water management problems in agricultural </w:t>
      </w:r>
      <w:r w:rsidR="005B2BAC">
        <w:t>water-</w:t>
      </w:r>
      <w:r w:rsidR="0068204B">
        <w:t>deficient</w:t>
      </w:r>
      <w:r w:rsidR="005B2BAC">
        <w:t xml:space="preserve"> basin</w:t>
      </w:r>
      <w:r w:rsidR="0068204B">
        <w:t>s</w:t>
      </w:r>
      <w:r w:rsidR="005B2BAC">
        <w:t xml:space="preserve"> </w:t>
      </w:r>
      <w:r>
        <w:t xml:space="preserve">is an age-old issue in France that has caused dire political tensions (SudOuest.fr and AFP, 2015). </w:t>
      </w:r>
      <w:r w:rsidR="005B2BAC">
        <w:t xml:space="preserve">Irrigation </w:t>
      </w:r>
      <w:r>
        <w:t>directly affect</w:t>
      </w:r>
      <w:r w:rsidR="00E52FF6">
        <w:t>s</w:t>
      </w:r>
      <w:r>
        <w:t xml:space="preserve"> the state of ground-water systems (</w:t>
      </w:r>
      <w:proofErr w:type="spellStart"/>
      <w:r>
        <w:t>Eaufrance</w:t>
      </w:r>
      <w:proofErr w:type="spellEnd"/>
      <w:r>
        <w:t xml:space="preserve">, 2019), and </w:t>
      </w:r>
      <w:r w:rsidR="00E52FF6">
        <w:t>the effect of</w:t>
      </w:r>
      <w:r>
        <w:t xml:space="preserve"> solar panels</w:t>
      </w:r>
      <w:r w:rsidR="00E52FF6">
        <w:t xml:space="preserve"> (</w:t>
      </w:r>
      <w:hyperlink r:id="rId8">
        <w:r w:rsidR="00E52FF6">
          <w:t>Tsai et al.</w:t>
        </w:r>
      </w:hyperlink>
      <w:r w:rsidR="00E52FF6">
        <w:t>, 2019)</w:t>
      </w:r>
      <w:r>
        <w:t xml:space="preserve"> and windmills</w:t>
      </w:r>
      <w:r w:rsidR="00E52FF6">
        <w:t xml:space="preserve"> (</w:t>
      </w:r>
      <w:proofErr w:type="spellStart"/>
      <w:r>
        <w:t>Guidehouse</w:t>
      </w:r>
      <w:proofErr w:type="spellEnd"/>
      <w:r>
        <w:t xml:space="preserve"> INSIGHTS, 2021)</w:t>
      </w:r>
      <w:r w:rsidR="00E52FF6">
        <w:t xml:space="preserve"> on ground-water systems must be studied</w:t>
      </w:r>
      <w:r>
        <w:t xml:space="preserve">. Literature shows that a </w:t>
      </w:r>
      <w:r w:rsidR="00E52FF6">
        <w:t>N</w:t>
      </w:r>
      <w:r>
        <w:t>exus approach, that considers the interdisciplinary and transdisciplinary dimensions of water-energy-food systems (WEF Nexus, 2011), is a no way around when considering complex interactions between energy, water and food resources (</w:t>
      </w:r>
      <w:proofErr w:type="spellStart"/>
      <w:r>
        <w:t>Giampietro</w:t>
      </w:r>
      <w:proofErr w:type="spellEnd"/>
      <w:r>
        <w:t>, 2018).</w:t>
      </w:r>
    </w:p>
    <w:p w14:paraId="4CAE1AEC" w14:textId="1DC50E62" w:rsidR="00573939" w:rsidRDefault="00A33BC8">
      <w:pPr>
        <w:spacing w:before="240" w:after="240" w:line="240" w:lineRule="auto"/>
      </w:pPr>
      <w:r>
        <w:t xml:space="preserve">Literature reviews have evidenced the lack of decision tools based on mathematical, programming and dynamic precise and realistic </w:t>
      </w:r>
      <w:r w:rsidR="00704725">
        <w:t>models that</w:t>
      </w:r>
      <w:r>
        <w:t xml:space="preserve"> serve stakeholders involved in </w:t>
      </w:r>
      <w:r w:rsidR="004D14FC">
        <w:t>WEF</w:t>
      </w:r>
      <w:r>
        <w:t xml:space="preserve"> systems, and help them make optimized decisions that consider operational, tactical, and strategic decision levels. Multi-agent models and stochastic programming </w:t>
      </w:r>
      <w:proofErr w:type="gramStart"/>
      <w:r>
        <w:t>are cited</w:t>
      </w:r>
      <w:proofErr w:type="gramEnd"/>
      <w:r>
        <w:t xml:space="preserve"> as future directions of studies for the Process System Engineering</w:t>
      </w:r>
      <w:r w:rsidR="004D14FC">
        <w:t xml:space="preserve"> (PSE</w:t>
      </w:r>
      <w:r>
        <w:t xml:space="preserve">) community to correctly address these </w:t>
      </w:r>
      <w:r w:rsidR="004D14FC">
        <w:t xml:space="preserve">WEF </w:t>
      </w:r>
      <w:r w:rsidR="00AF51CE">
        <w:t>systems with a N</w:t>
      </w:r>
      <w:r>
        <w:t xml:space="preserve">exus approach (Peña-Torres et al., 2022). Classical PSE approaches build models that provide optimized strategic solutions, constraining tactical and operational ones. In WEF systems, operational conditions, such as meteorological conditions, are not flexible. Multi-agent models are suitable for simulating such systems. They enable leading bottom-up multi-level approaches where the </w:t>
      </w:r>
      <w:r>
        <w:lastRenderedPageBreak/>
        <w:t xml:space="preserve">operational level </w:t>
      </w:r>
      <w:proofErr w:type="gramStart"/>
      <w:r>
        <w:t>is taken</w:t>
      </w:r>
      <w:proofErr w:type="gramEnd"/>
      <w:r>
        <w:t xml:space="preserve"> into account from the beginning, and constrain</w:t>
      </w:r>
      <w:r w:rsidR="00E52FF6">
        <w:t>s</w:t>
      </w:r>
      <w:r>
        <w:t xml:space="preserve"> possible tactical and strategic solutions.</w:t>
      </w:r>
    </w:p>
    <w:p w14:paraId="4E4BB7A9" w14:textId="264286AC" w:rsidR="00573939" w:rsidRDefault="00A33BC8">
      <w:pPr>
        <w:spacing w:before="200" w:after="200" w:line="240" w:lineRule="auto"/>
      </w:pPr>
      <w:r>
        <w:t>MAELIA (</w:t>
      </w:r>
      <w:proofErr w:type="spellStart"/>
      <w:r>
        <w:t>Th</w:t>
      </w:r>
      <w:r w:rsidR="004D14FC">
        <w:t>e</w:t>
      </w:r>
      <w:r>
        <w:t>rond</w:t>
      </w:r>
      <w:proofErr w:type="spellEnd"/>
      <w:r>
        <w:t xml:space="preserve"> et al., 2014), is a</w:t>
      </w:r>
      <w:r w:rsidR="00AF51CE">
        <w:t xml:space="preserve">n integrated assessment and </w:t>
      </w:r>
      <w:proofErr w:type="spellStart"/>
      <w:r w:rsidR="00AF51CE">
        <w:t>modeling</w:t>
      </w:r>
      <w:proofErr w:type="spellEnd"/>
      <w:r w:rsidR="006426C0">
        <w:t xml:space="preserve"> </w:t>
      </w:r>
      <w:r w:rsidR="004D14FC">
        <w:t xml:space="preserve">platform </w:t>
      </w:r>
      <w:r>
        <w:t>that enables fine-scale realistic simulation</w:t>
      </w:r>
      <w:r w:rsidR="002C401B">
        <w:t>s</w:t>
      </w:r>
      <w:r>
        <w:t xml:space="preserve"> of water-food scenarios, defined by water and crop management strategies, and constrained by </w:t>
      </w:r>
      <w:r w:rsidR="002C401B">
        <w:t xml:space="preserve">the </w:t>
      </w:r>
      <w:r w:rsidR="004D14FC">
        <w:t>hydrology of the different water resources at the watershed level</w:t>
      </w:r>
      <w:r>
        <w:t xml:space="preserve">. </w:t>
      </w:r>
      <w:r w:rsidR="006426C0">
        <w:t xml:space="preserve">The </w:t>
      </w:r>
      <w:r w:rsidR="004D14FC">
        <w:t xml:space="preserve">structure of the agricultural territory </w:t>
      </w:r>
      <w:r w:rsidR="006426C0">
        <w:t>is described through</w:t>
      </w:r>
      <w:r w:rsidR="004D14FC">
        <w:t xml:space="preserve"> </w:t>
      </w:r>
      <w:r>
        <w:t>GIS data</w:t>
      </w:r>
      <w:r w:rsidR="006426C0">
        <w:t>,</w:t>
      </w:r>
      <w:r w:rsidR="004D14FC">
        <w:t xml:space="preserve"> </w:t>
      </w:r>
      <w:r w:rsidR="006426C0">
        <w:t>dynamics of the socio-agro-hydrological systems</w:t>
      </w:r>
      <w:r w:rsidR="00724245">
        <w:t xml:space="preserve"> are described</w:t>
      </w:r>
      <w:r w:rsidR="006426C0">
        <w:t xml:space="preserve"> through </w:t>
      </w:r>
      <w:r w:rsidR="00513224">
        <w:t>coupled</w:t>
      </w:r>
      <w:r w:rsidR="004D14FC">
        <w:t xml:space="preserve"> models </w:t>
      </w:r>
      <w:r w:rsidR="006426C0">
        <w:t xml:space="preserve">of </w:t>
      </w:r>
      <w:r w:rsidR="004D14FC">
        <w:t xml:space="preserve">ecological systems (e.g. soil-crop and </w:t>
      </w:r>
      <w:r w:rsidR="00513224">
        <w:t>water resources</w:t>
      </w:r>
      <w:r w:rsidR="006426C0">
        <w:t xml:space="preserve">), and </w:t>
      </w:r>
      <w:r w:rsidR="004D14FC">
        <w:t>agent</w:t>
      </w:r>
      <w:r w:rsidR="00513224">
        <w:t xml:space="preserve"> (e.g. farmers, dam manager, water policy)</w:t>
      </w:r>
      <w:r w:rsidR="006426C0">
        <w:t xml:space="preserve"> </w:t>
      </w:r>
      <w:proofErr w:type="spellStart"/>
      <w:r w:rsidR="006426C0">
        <w:t>behaviors</w:t>
      </w:r>
      <w:proofErr w:type="spellEnd"/>
      <w:r w:rsidR="00724245">
        <w:t xml:space="preserve"> are described through actions associated to the agents of the multi-agent architecture</w:t>
      </w:r>
      <w:r w:rsidR="00AF51CE">
        <w:t xml:space="preserve"> the modelling platform accounts with</w:t>
      </w:r>
      <w:r w:rsidR="00724245">
        <w:t>.</w:t>
      </w:r>
      <w:r w:rsidR="004D14FC">
        <w:t xml:space="preserve"> </w:t>
      </w:r>
      <w:r w:rsidR="00724245">
        <w:t>Maelia</w:t>
      </w:r>
      <w:r w:rsidR="004D14FC">
        <w:t xml:space="preserve"> integrate</w:t>
      </w:r>
      <w:r w:rsidR="00513224">
        <w:t>s</w:t>
      </w:r>
      <w:r w:rsidR="004D14FC">
        <w:t xml:space="preserve"> a</w:t>
      </w:r>
      <w:r>
        <w:t xml:space="preserve"> graphical interface </w:t>
      </w:r>
      <w:r w:rsidR="00724245">
        <w:t>that allows visualizing</w:t>
      </w:r>
      <w:r>
        <w:t xml:space="preserve"> </w:t>
      </w:r>
      <w:r w:rsidR="004D14FC">
        <w:t xml:space="preserve">spatiotemporal dynamics </w:t>
      </w:r>
      <w:r>
        <w:t>during the simulations, together with dynamic plots that show the evolution of environmental, economic, and social indicators that characterize the simulated scenarios.</w:t>
      </w:r>
      <w:r w:rsidR="00724245">
        <w:t xml:space="preserve"> Maelia helps local stakeholders reach farming sustainability and water conservation objectives, by enabling them to design adapted cropping and farming systems, as well as adapted resource management strategies</w:t>
      </w:r>
      <w:r w:rsidR="005B2BAC">
        <w:t xml:space="preserve"> </w:t>
      </w:r>
      <w:r w:rsidR="005B2BAC" w:rsidRPr="00724245">
        <w:rPr>
          <w:lang w:val="en-US"/>
        </w:rPr>
        <w:t>(</w:t>
      </w:r>
      <w:proofErr w:type="spellStart"/>
      <w:r w:rsidR="005B2BAC" w:rsidRPr="00724245">
        <w:rPr>
          <w:lang w:val="en-US"/>
        </w:rPr>
        <w:t>Allain</w:t>
      </w:r>
      <w:proofErr w:type="spellEnd"/>
      <w:r w:rsidR="005B2BAC" w:rsidRPr="00724245">
        <w:rPr>
          <w:lang w:val="en-US"/>
        </w:rPr>
        <w:t xml:space="preserve"> et al., 2018; </w:t>
      </w:r>
      <w:r w:rsidR="005A6575" w:rsidRPr="00FD21BF">
        <w:rPr>
          <w:lang w:val="en-US"/>
        </w:rPr>
        <w:t xml:space="preserve">Martin et al., 2016; </w:t>
      </w:r>
      <w:proofErr w:type="spellStart"/>
      <w:r w:rsidR="005B2BAC" w:rsidRPr="00FD21BF">
        <w:rPr>
          <w:lang w:val="en-US"/>
        </w:rPr>
        <w:t>Mazzega</w:t>
      </w:r>
      <w:proofErr w:type="spellEnd"/>
      <w:r w:rsidR="005B2BAC" w:rsidRPr="00FD21BF">
        <w:rPr>
          <w:lang w:val="en-US"/>
        </w:rPr>
        <w:t xml:space="preserve"> et al.</w:t>
      </w:r>
      <w:r w:rsidR="005A6575" w:rsidRPr="00FD21BF">
        <w:rPr>
          <w:lang w:val="en-US"/>
        </w:rPr>
        <w:t>, 2014</w:t>
      </w:r>
      <w:r w:rsidR="00AA4EEA" w:rsidRPr="00FD21BF">
        <w:rPr>
          <w:lang w:val="en-US"/>
        </w:rPr>
        <w:t>;</w:t>
      </w:r>
      <w:r w:rsidR="005B2BAC" w:rsidRPr="00FD21BF">
        <w:rPr>
          <w:lang w:val="en-US"/>
        </w:rPr>
        <w:t xml:space="preserve"> </w:t>
      </w:r>
      <w:proofErr w:type="spellStart"/>
      <w:r w:rsidR="005B2BAC" w:rsidRPr="00FD21BF">
        <w:rPr>
          <w:lang w:val="en-US"/>
        </w:rPr>
        <w:t>Murgue</w:t>
      </w:r>
      <w:proofErr w:type="spellEnd"/>
      <w:r w:rsidR="005B2BAC" w:rsidRPr="00FD21BF">
        <w:rPr>
          <w:lang w:val="en-US"/>
        </w:rPr>
        <w:t xml:space="preserve"> et al., 2016</w:t>
      </w:r>
      <w:r w:rsidR="00AA4EEA" w:rsidRPr="00FD21BF">
        <w:rPr>
          <w:lang w:val="en-US"/>
        </w:rPr>
        <w:t>;</w:t>
      </w:r>
      <w:r w:rsidR="005B2BAC" w:rsidRPr="00FD21BF">
        <w:rPr>
          <w:lang w:val="en-US"/>
        </w:rPr>
        <w:t xml:space="preserve"> </w:t>
      </w:r>
      <w:proofErr w:type="spellStart"/>
      <w:r w:rsidR="005B2BAC" w:rsidRPr="00FD21BF">
        <w:rPr>
          <w:lang w:val="en-US"/>
        </w:rPr>
        <w:t>Tribouillois</w:t>
      </w:r>
      <w:proofErr w:type="spellEnd"/>
      <w:r w:rsidR="005B2BAC" w:rsidRPr="00FD21BF">
        <w:rPr>
          <w:lang w:val="en-US"/>
        </w:rPr>
        <w:t xml:space="preserve"> et al. 2022). </w:t>
      </w:r>
      <w:r w:rsidRPr="00FD21BF">
        <w:t>The</w:t>
      </w:r>
      <w:r>
        <w:t xml:space="preserve"> platform has been developed by researchers based in France, with whom a collaboration to integrate solar and windmill models in the platform has been agreed upon.</w:t>
      </w:r>
    </w:p>
    <w:p w14:paraId="49D1BCC3" w14:textId="77777777" w:rsidR="00573939" w:rsidRDefault="00A33BC8">
      <w:pPr>
        <w:keepNext/>
        <w:numPr>
          <w:ilvl w:val="0"/>
          <w:numId w:val="4"/>
        </w:numPr>
        <w:pBdr>
          <w:top w:val="nil"/>
          <w:left w:val="nil"/>
          <w:bottom w:val="nil"/>
          <w:right w:val="nil"/>
          <w:between w:val="nil"/>
        </w:pBdr>
        <w:spacing w:before="240" w:after="120" w:line="240" w:lineRule="auto"/>
        <w:rPr>
          <w:b/>
          <w:color w:val="000000"/>
          <w:sz w:val="20"/>
          <w:szCs w:val="20"/>
        </w:rPr>
      </w:pPr>
      <w:r>
        <w:rPr>
          <w:b/>
          <w:color w:val="000000"/>
          <w:sz w:val="20"/>
          <w:szCs w:val="20"/>
        </w:rPr>
        <w:t>Methodological framework</w:t>
      </w:r>
    </w:p>
    <w:p w14:paraId="0E437409" w14:textId="5050BC0D" w:rsidR="00573939" w:rsidRDefault="00704725">
      <w:pPr>
        <w:spacing w:before="200" w:after="200" w:line="240" w:lineRule="auto"/>
      </w:pPr>
      <w:r>
        <w:t>The present study has designed a</w:t>
      </w:r>
      <w:r w:rsidR="00A33BC8">
        <w:t xml:space="preserve"> methodological framework</w:t>
      </w:r>
      <w:r>
        <w:t xml:space="preserve"> to </w:t>
      </w:r>
      <w:r w:rsidR="00BF7910">
        <w:t>help</w:t>
      </w:r>
      <w:r w:rsidR="00A33BC8">
        <w:t xml:space="preserve"> stakeholders of water-energy-food systems make informed, sustainable and viable decisions. The framework relies on programming languages such as Python and R, on QGIS, a Geographical Information System tool, and on Maelia, which </w:t>
      </w:r>
      <w:proofErr w:type="gramStart"/>
      <w:r w:rsidR="00A33BC8">
        <w:t>is based</w:t>
      </w:r>
      <w:proofErr w:type="gramEnd"/>
      <w:r w:rsidR="00A33BC8">
        <w:t xml:space="preserve"> on GAMA Platform (2023), a spatially explicit multi-agent simulation platform. An R Shiny app </w:t>
      </w:r>
      <w:proofErr w:type="gramStart"/>
      <w:r w:rsidR="00A33BC8">
        <w:t>has been designed</w:t>
      </w:r>
      <w:proofErr w:type="gramEnd"/>
      <w:r w:rsidR="00A33BC8">
        <w:t xml:space="preserve"> to ease the data preparation step needed to run Water-Food simulations. To use Maelia as a digital decision tool, the following seven steps illustrated in Figure 1 below </w:t>
      </w:r>
      <w:proofErr w:type="gramStart"/>
      <w:r w:rsidR="00A33BC8">
        <w:t>must be followed</w:t>
      </w:r>
      <w:proofErr w:type="gramEnd"/>
      <w:r w:rsidR="00A33BC8">
        <w:t xml:space="preserve">.  </w:t>
      </w:r>
    </w:p>
    <w:p w14:paraId="4CC74606" w14:textId="77777777" w:rsidR="00573939" w:rsidRDefault="003664FF" w:rsidP="003664FF">
      <w:pPr>
        <w:spacing w:before="240" w:after="240" w:line="276" w:lineRule="auto"/>
        <w:jc w:val="left"/>
      </w:pPr>
      <w:r>
        <w:rPr>
          <w:noProof/>
          <w:lang w:val="en-US" w:eastAsia="en-US"/>
        </w:rPr>
        <w:drawing>
          <wp:inline distT="0" distB="0" distL="0" distR="0" wp14:anchorId="2DA2B266" wp14:editId="55A2BFB5">
            <wp:extent cx="5579745" cy="2484755"/>
            <wp:effectExtent l="0" t="0" r="190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ethodological workflow article conference E2DT - schéma_compl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9745" cy="2484755"/>
                    </a:xfrm>
                    <a:prstGeom prst="rect">
                      <a:avLst/>
                    </a:prstGeom>
                  </pic:spPr>
                </pic:pic>
              </a:graphicData>
            </a:graphic>
          </wp:inline>
        </w:drawing>
      </w:r>
    </w:p>
    <w:p w14:paraId="13D63C55" w14:textId="77777777" w:rsidR="00573939" w:rsidRDefault="00A33BC8">
      <w:pPr>
        <w:spacing w:before="240" w:after="240"/>
      </w:pPr>
      <w:r>
        <w:rPr>
          <w:i/>
        </w:rPr>
        <w:t>Figure 1: Methodological framework of the innovative digital decision tool</w:t>
      </w:r>
    </w:p>
    <w:p w14:paraId="1CD54ECA" w14:textId="0DA2509F" w:rsidR="00573939" w:rsidRDefault="00A33BC8">
      <w:pPr>
        <w:spacing w:before="240" w:after="240" w:line="240" w:lineRule="auto"/>
      </w:pPr>
      <w:r>
        <w:t>Steps 1 to 3 are already operational and have paved the way for studies such as the assessment of popular management strategies designed to solve water imbalances (</w:t>
      </w:r>
      <w:proofErr w:type="spellStart"/>
      <w:r>
        <w:t>Allain</w:t>
      </w:r>
      <w:proofErr w:type="spellEnd"/>
      <w:r>
        <w:t xml:space="preserve"> et al., 2018). Step 4 </w:t>
      </w:r>
      <w:proofErr w:type="gramStart"/>
      <w:r>
        <w:t>has been implemented</w:t>
      </w:r>
      <w:proofErr w:type="gramEnd"/>
      <w:r>
        <w:t xml:space="preserve"> recently and is presented in the following section. Step 5 to 7 are under development. The above workflow illustrates that the designed approach aims at treating water as a constraint, and acts upon food and energy components</w:t>
      </w:r>
      <w:r w:rsidR="00CB48D6">
        <w:t>, admitting the fact</w:t>
      </w:r>
      <w:r>
        <w:t xml:space="preserve"> that structural water management changes fall within the area of responsibility of </w:t>
      </w:r>
      <w:r w:rsidR="00513224">
        <w:t>public institutions</w:t>
      </w:r>
      <w:r>
        <w:t xml:space="preserve">. What makes this digital tool innovative is that the simulations that lie at the core of the approach, are: 1. done at a daily temporal </w:t>
      </w:r>
      <w:r w:rsidR="00513224">
        <w:t xml:space="preserve">and field </w:t>
      </w:r>
      <w:r>
        <w:t xml:space="preserve">scales, 2. consider </w:t>
      </w:r>
      <w:r w:rsidR="00513224">
        <w:t xml:space="preserve">soil </w:t>
      </w:r>
      <w:r>
        <w:t xml:space="preserve">and water biophysical effects </w:t>
      </w:r>
      <w:r w:rsidR="00513224">
        <w:t xml:space="preserve">and </w:t>
      </w:r>
      <w:r>
        <w:t>crops and energy management strategies, and 3. take into account farmers working habits, as well as, meteorological, logistic and economic operational constraints.</w:t>
      </w:r>
    </w:p>
    <w:p w14:paraId="3E3C60EB" w14:textId="55574705" w:rsidR="00573939" w:rsidRDefault="00A33BC8">
      <w:pPr>
        <w:spacing w:before="240" w:after="240" w:line="240" w:lineRule="auto"/>
      </w:pPr>
      <w:r>
        <w:t xml:space="preserve">An inventory of all the data needed to run Water-Food simulations with Maelia </w:t>
      </w:r>
      <w:proofErr w:type="gramStart"/>
      <w:r>
        <w:t>can be found</w:t>
      </w:r>
      <w:proofErr w:type="gramEnd"/>
      <w:r>
        <w:t xml:space="preserve"> in Maelia (2022). Section 3 below details additional data needed to run Water-Food-Energy simulations, and an inventory of this additional data </w:t>
      </w:r>
      <w:proofErr w:type="gramStart"/>
      <w:r>
        <w:t xml:space="preserve">will </w:t>
      </w:r>
      <w:r w:rsidR="009B4294">
        <w:t>also</w:t>
      </w:r>
      <w:proofErr w:type="gramEnd"/>
      <w:r w:rsidR="009B4294">
        <w:t xml:space="preserve"> </w:t>
      </w:r>
      <w:r>
        <w:t xml:space="preserve">be given in Maelia (2022), once all the steps of the above framework are operational.  </w:t>
      </w:r>
    </w:p>
    <w:p w14:paraId="2D5EE06D" w14:textId="77777777" w:rsidR="00573939" w:rsidRDefault="00A33BC8">
      <w:pPr>
        <w:keepNext/>
        <w:numPr>
          <w:ilvl w:val="0"/>
          <w:numId w:val="4"/>
        </w:numPr>
        <w:pBdr>
          <w:top w:val="nil"/>
          <w:left w:val="nil"/>
          <w:bottom w:val="nil"/>
          <w:right w:val="nil"/>
          <w:between w:val="nil"/>
        </w:pBdr>
        <w:spacing w:before="240" w:after="120" w:line="240" w:lineRule="auto"/>
        <w:rPr>
          <w:b/>
          <w:color w:val="000000"/>
          <w:sz w:val="20"/>
          <w:szCs w:val="20"/>
        </w:rPr>
      </w:pPr>
      <w:bookmarkStart w:id="1" w:name="_30j0zll" w:colFirst="0" w:colLast="0"/>
      <w:bookmarkEnd w:id="1"/>
      <w:r>
        <w:rPr>
          <w:b/>
          <w:color w:val="000000"/>
          <w:sz w:val="20"/>
          <w:szCs w:val="20"/>
        </w:rPr>
        <w:lastRenderedPageBreak/>
        <w:t>Water - Food - Energy data preparation</w:t>
      </w:r>
    </w:p>
    <w:p w14:paraId="2BD49342" w14:textId="4C729A86" w:rsidR="00573939" w:rsidRDefault="00A33BC8">
      <w:pPr>
        <w:spacing w:before="240" w:after="240" w:line="240" w:lineRule="auto"/>
      </w:pPr>
      <w:r>
        <w:t xml:space="preserve">The goal of this section is to shed light on the selection of resource production and consumption, environmental, economic and social indicators that aim to characterize the state of water-food-energy systems under initial conditions of different scenarios of incorporation of renewable energy production units in existing water and </w:t>
      </w:r>
      <w:r w:rsidR="00513224">
        <w:t xml:space="preserve">agricultural </w:t>
      </w:r>
      <w:r>
        <w:t xml:space="preserve">land management scenarios. The indicators </w:t>
      </w:r>
      <w:proofErr w:type="gramStart"/>
      <w:r>
        <w:t>have been identified</w:t>
      </w:r>
      <w:proofErr w:type="gramEnd"/>
      <w:r>
        <w:t xml:space="preserve"> as relevant for enabling the comparison of different scenarios’ initial states with respect to an established reference scenario. They </w:t>
      </w:r>
      <w:proofErr w:type="gramStart"/>
      <w:r>
        <w:t>are not intended</w:t>
      </w:r>
      <w:proofErr w:type="gramEnd"/>
      <w:r>
        <w:t xml:space="preserve"> to serve as indicators of the precise environmental, economic or social state of the systems. The </w:t>
      </w:r>
      <w:r w:rsidR="00513224">
        <w:t>objective is to use them</w:t>
      </w:r>
      <w:r>
        <w:t xml:space="preserve"> to feed data to an algorithm that will produce optimized management solutions of different scenarios of solar panels and windmills installations in agricultural land under water constraints. </w:t>
      </w:r>
    </w:p>
    <w:p w14:paraId="152226C4" w14:textId="7C406608" w:rsidR="00573939" w:rsidRDefault="00A33BC8">
      <w:pPr>
        <w:spacing w:before="200" w:after="200" w:line="240" w:lineRule="auto"/>
      </w:pPr>
      <w:r>
        <w:t xml:space="preserve">The indicators </w:t>
      </w:r>
      <w:proofErr w:type="gramStart"/>
      <w:r>
        <w:t>have been chosen</w:t>
      </w:r>
      <w:proofErr w:type="gramEnd"/>
      <w:r>
        <w:t xml:space="preserve"> according to the water-food-energy nexus literature that incites studies to evaluate water-energy-food systems in terms of sustainability, resilience and synergy (</w:t>
      </w:r>
      <w:proofErr w:type="spellStart"/>
      <w:r>
        <w:t>Giampietro</w:t>
      </w:r>
      <w:proofErr w:type="spellEnd"/>
      <w:r>
        <w:t xml:space="preserve"> et al., 2013). Sustainability characterizes a system’s capacity to satisfy its present needs without jeopardizing its ability to satisfy its future needs. Indicators of sustainability are those that measure resources’ availability and accessibility, resources’ security, as well as the feasibility, viability and desirability of management solutions. Indicators of resilience charac</w:t>
      </w:r>
      <w:r w:rsidR="00B233B2">
        <w:t>terize the system’s capacity</w:t>
      </w:r>
      <w:r w:rsidR="00A323F9" w:rsidRPr="00A323F9">
        <w:t xml:space="preserve"> </w:t>
      </w:r>
      <w:r w:rsidR="00A323F9">
        <w:t>to ensure the provision of the system functions in the face of shocks and stresses (</w:t>
      </w:r>
      <w:proofErr w:type="spellStart"/>
      <w:r w:rsidR="00A323F9">
        <w:t>Dardonville</w:t>
      </w:r>
      <w:proofErr w:type="spellEnd"/>
      <w:r w:rsidR="00A323F9">
        <w:t xml:space="preserve"> et al., 2021, </w:t>
      </w:r>
      <w:proofErr w:type="spellStart"/>
      <w:r w:rsidR="00A323F9">
        <w:t>Meuwissen</w:t>
      </w:r>
      <w:proofErr w:type="spellEnd"/>
      <w:r w:rsidR="00A323F9">
        <w:t xml:space="preserve"> et al., 2019)</w:t>
      </w:r>
      <w:r>
        <w:t xml:space="preserve">. Synergy indicators evaluate the degree to which interactions and trade-offs among resources are considered. The evaluations of the above criteria </w:t>
      </w:r>
      <w:proofErr w:type="gramStart"/>
      <w:r>
        <w:t>are considered</w:t>
      </w:r>
      <w:proofErr w:type="gramEnd"/>
      <w:r>
        <w:t xml:space="preserve"> complete if the indicators address all three economic, environmental and social dimensions. </w:t>
      </w:r>
    </w:p>
    <w:p w14:paraId="5A35F43C" w14:textId="77777777" w:rsidR="00573939" w:rsidRDefault="00A33BC8">
      <w:pPr>
        <w:spacing w:before="240" w:after="240" w:line="276" w:lineRule="auto"/>
      </w:pPr>
      <w:r>
        <w:t xml:space="preserve">Selected indicators </w:t>
      </w:r>
      <w:proofErr w:type="gramStart"/>
      <w:r w:rsidR="003664FF">
        <w:t>are summarized</w:t>
      </w:r>
      <w:proofErr w:type="gramEnd"/>
      <w:r w:rsidR="003664FF">
        <w:t xml:space="preserve"> in Table 1 below</w:t>
      </w:r>
      <w:r>
        <w:t>:</w:t>
      </w:r>
    </w:p>
    <w:p w14:paraId="62E78320" w14:textId="77777777" w:rsidR="00573939" w:rsidRDefault="00A33BC8">
      <w:pPr>
        <w:keepNext/>
        <w:spacing w:before="240" w:after="80" w:line="240" w:lineRule="auto"/>
        <w:jc w:val="left"/>
        <w:rPr>
          <w:i/>
        </w:rPr>
      </w:pPr>
      <w:r>
        <w:rPr>
          <w:i/>
        </w:rPr>
        <w:t>Table 1: Multi-criteria indicators selected for a sustainable assessment of water-food-energy systems</w:t>
      </w:r>
    </w:p>
    <w:tbl>
      <w:tblPr>
        <w:tblStyle w:val="a0"/>
        <w:tblW w:w="8700" w:type="dxa"/>
        <w:tblInd w:w="0" w:type="dxa"/>
        <w:tblBorders>
          <w:top w:val="single" w:sz="12" w:space="0" w:color="008000"/>
          <w:bottom w:val="single" w:sz="12" w:space="0" w:color="008000"/>
          <w:insideH w:val="single" w:sz="12" w:space="0" w:color="008000"/>
        </w:tblBorders>
        <w:tblLayout w:type="fixed"/>
        <w:tblLook w:val="0000" w:firstRow="0" w:lastRow="0" w:firstColumn="0" w:lastColumn="0" w:noHBand="0" w:noVBand="0"/>
      </w:tblPr>
      <w:tblGrid>
        <w:gridCol w:w="1890"/>
        <w:gridCol w:w="2280"/>
        <w:gridCol w:w="2325"/>
        <w:gridCol w:w="2205"/>
      </w:tblGrid>
      <w:tr w:rsidR="00573939" w14:paraId="203141A1" w14:textId="77777777">
        <w:tc>
          <w:tcPr>
            <w:tcW w:w="1890" w:type="dxa"/>
            <w:shd w:val="clear" w:color="auto" w:fill="FFFFFF"/>
          </w:tcPr>
          <w:p w14:paraId="669E60F4" w14:textId="77777777" w:rsidR="00573939" w:rsidRDefault="00A33BC8">
            <w:pPr>
              <w:widowControl w:val="0"/>
              <w:spacing w:line="240" w:lineRule="auto"/>
              <w:jc w:val="center"/>
            </w:pPr>
            <w:r>
              <w:t xml:space="preserve">Indicators </w:t>
            </w:r>
          </w:p>
        </w:tc>
        <w:tc>
          <w:tcPr>
            <w:tcW w:w="2280" w:type="dxa"/>
            <w:shd w:val="clear" w:color="auto" w:fill="FFFFFF"/>
          </w:tcPr>
          <w:p w14:paraId="64FA53EB" w14:textId="77777777" w:rsidR="00573939" w:rsidRDefault="00A33BC8">
            <w:pPr>
              <w:jc w:val="center"/>
            </w:pPr>
            <w:r>
              <w:t>Energy</w:t>
            </w:r>
          </w:p>
        </w:tc>
        <w:tc>
          <w:tcPr>
            <w:tcW w:w="2325" w:type="dxa"/>
            <w:shd w:val="clear" w:color="auto" w:fill="FFFFFF"/>
          </w:tcPr>
          <w:p w14:paraId="7272520F" w14:textId="77777777" w:rsidR="00573939" w:rsidRDefault="00A33BC8">
            <w:pPr>
              <w:jc w:val="center"/>
            </w:pPr>
            <w:r>
              <w:t>Water</w:t>
            </w:r>
          </w:p>
        </w:tc>
        <w:tc>
          <w:tcPr>
            <w:tcW w:w="2205" w:type="dxa"/>
            <w:shd w:val="clear" w:color="auto" w:fill="FFFFFF"/>
          </w:tcPr>
          <w:p w14:paraId="26C2F4AC" w14:textId="77777777" w:rsidR="00573939" w:rsidRDefault="00A33BC8">
            <w:pPr>
              <w:jc w:val="center"/>
            </w:pPr>
            <w:r>
              <w:t>Food</w:t>
            </w:r>
          </w:p>
        </w:tc>
      </w:tr>
      <w:tr w:rsidR="00573939" w14:paraId="2E2DC137" w14:textId="77777777">
        <w:trPr>
          <w:trHeight w:val="1286"/>
        </w:trPr>
        <w:tc>
          <w:tcPr>
            <w:tcW w:w="1890" w:type="dxa"/>
            <w:shd w:val="clear" w:color="auto" w:fill="FFFFFF"/>
          </w:tcPr>
          <w:p w14:paraId="1CAF7A7B" w14:textId="77777777" w:rsidR="00573939" w:rsidRDefault="00A33BC8">
            <w:pPr>
              <w:widowControl w:val="0"/>
              <w:spacing w:line="240" w:lineRule="auto"/>
              <w:jc w:val="center"/>
            </w:pPr>
            <w:r>
              <w:t>Resource production and consumption Evaluation</w:t>
            </w:r>
          </w:p>
        </w:tc>
        <w:tc>
          <w:tcPr>
            <w:tcW w:w="2280" w:type="dxa"/>
            <w:shd w:val="clear" w:color="auto" w:fill="FFFFFF"/>
          </w:tcPr>
          <w:p w14:paraId="12FA94FB" w14:textId="77777777" w:rsidR="00573939" w:rsidRDefault="00A33BC8">
            <w:pPr>
              <w:widowControl w:val="0"/>
              <w:spacing w:line="240" w:lineRule="auto"/>
              <w:jc w:val="center"/>
            </w:pPr>
            <w:r>
              <w:t>Annual integrated energy production, Annual electricity consumption, Energy self-sufficiency rate, Energy payback time</w:t>
            </w:r>
          </w:p>
        </w:tc>
        <w:tc>
          <w:tcPr>
            <w:tcW w:w="2325" w:type="dxa"/>
            <w:shd w:val="clear" w:color="auto" w:fill="FFFFFF"/>
          </w:tcPr>
          <w:p w14:paraId="323221EC" w14:textId="2520B07A" w:rsidR="00573939" w:rsidRDefault="00A33BC8">
            <w:pPr>
              <w:widowControl w:val="0"/>
              <w:pBdr>
                <w:top w:val="nil"/>
                <w:left w:val="nil"/>
                <w:bottom w:val="nil"/>
                <w:right w:val="nil"/>
                <w:between w:val="nil"/>
              </w:pBdr>
              <w:spacing w:line="240" w:lineRule="auto"/>
              <w:jc w:val="center"/>
            </w:pPr>
            <w:r>
              <w:t>Total water used for irrigation, Total water released from reservoirs, Duration of river flow below low-water regulating flow</w:t>
            </w:r>
            <w:r w:rsidR="00A323F9">
              <w:t xml:space="preserve"> (LWRF</w:t>
            </w:r>
            <w:r>
              <w:t>)</w:t>
            </w:r>
          </w:p>
        </w:tc>
        <w:tc>
          <w:tcPr>
            <w:tcW w:w="2205" w:type="dxa"/>
            <w:shd w:val="clear" w:color="auto" w:fill="FFFFFF"/>
          </w:tcPr>
          <w:p w14:paraId="484C322D" w14:textId="77777777" w:rsidR="00573939" w:rsidRDefault="00A33BC8">
            <w:pPr>
              <w:widowControl w:val="0"/>
              <w:spacing w:line="240" w:lineRule="auto"/>
              <w:jc w:val="center"/>
            </w:pPr>
            <w:r>
              <w:t>Annual energy and protein yields of crops, Annual food consumption, Food self-sufficiency rate, Total arable land surface</w:t>
            </w:r>
          </w:p>
        </w:tc>
      </w:tr>
      <w:tr w:rsidR="00573939" w14:paraId="37C295A9" w14:textId="77777777" w:rsidTr="003664FF">
        <w:trPr>
          <w:trHeight w:val="968"/>
        </w:trPr>
        <w:tc>
          <w:tcPr>
            <w:tcW w:w="1890" w:type="dxa"/>
            <w:shd w:val="clear" w:color="auto" w:fill="FFFFFF"/>
          </w:tcPr>
          <w:p w14:paraId="2C5A1ECB" w14:textId="77777777" w:rsidR="00573939" w:rsidRDefault="00A33BC8">
            <w:pPr>
              <w:widowControl w:val="0"/>
              <w:pBdr>
                <w:top w:val="nil"/>
                <w:left w:val="nil"/>
                <w:bottom w:val="nil"/>
                <w:right w:val="nil"/>
                <w:between w:val="nil"/>
              </w:pBdr>
              <w:spacing w:line="240" w:lineRule="auto"/>
              <w:jc w:val="center"/>
            </w:pPr>
            <w:r>
              <w:t>Economic Evaluation</w:t>
            </w:r>
          </w:p>
        </w:tc>
        <w:tc>
          <w:tcPr>
            <w:tcW w:w="2280" w:type="dxa"/>
            <w:shd w:val="clear" w:color="auto" w:fill="FFFFFF"/>
          </w:tcPr>
          <w:p w14:paraId="185C13FC" w14:textId="77777777" w:rsidR="00573939" w:rsidRDefault="00A33BC8">
            <w:pPr>
              <w:widowControl w:val="0"/>
              <w:pBdr>
                <w:top w:val="nil"/>
                <w:left w:val="nil"/>
                <w:bottom w:val="nil"/>
                <w:right w:val="nil"/>
                <w:between w:val="nil"/>
              </w:pBdr>
              <w:spacing w:line="240" w:lineRule="auto"/>
              <w:jc w:val="center"/>
            </w:pPr>
            <w:r>
              <w:t>Time it takes to reach a positive return on investment, Net present value, Internal rate of return</w:t>
            </w:r>
          </w:p>
        </w:tc>
        <w:tc>
          <w:tcPr>
            <w:tcW w:w="2325" w:type="dxa"/>
            <w:shd w:val="clear" w:color="auto" w:fill="FFFFFF"/>
          </w:tcPr>
          <w:p w14:paraId="1F7773E7" w14:textId="77777777" w:rsidR="00573939" w:rsidRDefault="00A33BC8">
            <w:pPr>
              <w:widowControl w:val="0"/>
              <w:pBdr>
                <w:top w:val="nil"/>
                <w:left w:val="nil"/>
                <w:bottom w:val="nil"/>
                <w:right w:val="nil"/>
                <w:between w:val="nil"/>
              </w:pBdr>
              <w:spacing w:line="240" w:lineRule="auto"/>
              <w:jc w:val="center"/>
            </w:pPr>
            <w:r>
              <w:t>Water costs (irrigation costs and taxes)</w:t>
            </w:r>
          </w:p>
        </w:tc>
        <w:tc>
          <w:tcPr>
            <w:tcW w:w="2205" w:type="dxa"/>
            <w:shd w:val="clear" w:color="auto" w:fill="FFFFFF"/>
          </w:tcPr>
          <w:p w14:paraId="44A63817" w14:textId="77777777" w:rsidR="00573939" w:rsidRDefault="00A33BC8">
            <w:pPr>
              <w:widowControl w:val="0"/>
              <w:pBdr>
                <w:top w:val="nil"/>
                <w:left w:val="nil"/>
                <w:bottom w:val="nil"/>
                <w:right w:val="nil"/>
                <w:between w:val="nil"/>
              </w:pBdr>
              <w:spacing w:line="240" w:lineRule="auto"/>
              <w:jc w:val="center"/>
            </w:pPr>
            <w:r>
              <w:t>Gross Margin</w:t>
            </w:r>
          </w:p>
        </w:tc>
      </w:tr>
      <w:tr w:rsidR="00573939" w14:paraId="5B9FFB71" w14:textId="77777777" w:rsidTr="003664FF">
        <w:trPr>
          <w:trHeight w:val="812"/>
        </w:trPr>
        <w:tc>
          <w:tcPr>
            <w:tcW w:w="1890" w:type="dxa"/>
            <w:shd w:val="clear" w:color="auto" w:fill="FFFFFF"/>
          </w:tcPr>
          <w:p w14:paraId="3EF43CED" w14:textId="77777777" w:rsidR="00573939" w:rsidRDefault="00A33BC8">
            <w:pPr>
              <w:widowControl w:val="0"/>
              <w:pBdr>
                <w:top w:val="nil"/>
                <w:left w:val="nil"/>
                <w:bottom w:val="nil"/>
                <w:right w:val="nil"/>
                <w:between w:val="nil"/>
              </w:pBdr>
              <w:spacing w:line="240" w:lineRule="auto"/>
              <w:jc w:val="center"/>
            </w:pPr>
            <w:r>
              <w:t>Environmental Evaluation</w:t>
            </w:r>
          </w:p>
        </w:tc>
        <w:tc>
          <w:tcPr>
            <w:tcW w:w="2280" w:type="dxa"/>
            <w:shd w:val="clear" w:color="auto" w:fill="FFFFFF"/>
          </w:tcPr>
          <w:p w14:paraId="3AD22358" w14:textId="77777777" w:rsidR="00573939" w:rsidRDefault="00A33BC8">
            <w:pPr>
              <w:widowControl w:val="0"/>
              <w:pBdr>
                <w:top w:val="nil"/>
                <w:left w:val="nil"/>
                <w:bottom w:val="nil"/>
                <w:right w:val="nil"/>
                <w:between w:val="nil"/>
              </w:pBdr>
              <w:spacing w:line="240" w:lineRule="auto"/>
              <w:jc w:val="center"/>
            </w:pPr>
            <w:r>
              <w:t xml:space="preserve">Single score - LCA with EF.3.0 (Environmental Footprint) method </w:t>
            </w:r>
          </w:p>
        </w:tc>
        <w:tc>
          <w:tcPr>
            <w:tcW w:w="2325" w:type="dxa"/>
            <w:shd w:val="clear" w:color="auto" w:fill="FFFFFF"/>
          </w:tcPr>
          <w:p w14:paraId="2AA2B93E" w14:textId="77777777" w:rsidR="00573939" w:rsidRDefault="00A33BC8">
            <w:pPr>
              <w:widowControl w:val="0"/>
              <w:pBdr>
                <w:top w:val="nil"/>
                <w:left w:val="nil"/>
                <w:bottom w:val="nil"/>
                <w:right w:val="nil"/>
                <w:between w:val="nil"/>
              </w:pBdr>
              <w:spacing w:line="240" w:lineRule="auto"/>
              <w:jc w:val="center"/>
            </w:pPr>
            <w:r>
              <w:t>Wasted rain water</w:t>
            </w:r>
          </w:p>
        </w:tc>
        <w:tc>
          <w:tcPr>
            <w:tcW w:w="2205" w:type="dxa"/>
            <w:shd w:val="clear" w:color="auto" w:fill="FFFFFF"/>
          </w:tcPr>
          <w:p w14:paraId="3FA943EF" w14:textId="77777777" w:rsidR="00573939" w:rsidRDefault="00A33BC8">
            <w:pPr>
              <w:widowControl w:val="0"/>
              <w:pBdr>
                <w:top w:val="nil"/>
                <w:left w:val="nil"/>
                <w:bottom w:val="nil"/>
                <w:right w:val="nil"/>
                <w:between w:val="nil"/>
              </w:pBdr>
              <w:spacing w:line="240" w:lineRule="auto"/>
              <w:jc w:val="center"/>
            </w:pPr>
            <w:r>
              <w:t>Single score - LCA with EF.3.0 (Environmental Footprint) method</w:t>
            </w:r>
          </w:p>
        </w:tc>
      </w:tr>
      <w:tr w:rsidR="00573939" w14:paraId="041AA628" w14:textId="77777777">
        <w:trPr>
          <w:trHeight w:val="812"/>
        </w:trPr>
        <w:tc>
          <w:tcPr>
            <w:tcW w:w="1890" w:type="dxa"/>
            <w:shd w:val="clear" w:color="auto" w:fill="FFFFFF"/>
          </w:tcPr>
          <w:p w14:paraId="237E132A" w14:textId="77777777" w:rsidR="00573939" w:rsidRDefault="00A33BC8">
            <w:pPr>
              <w:widowControl w:val="0"/>
              <w:pBdr>
                <w:top w:val="nil"/>
                <w:left w:val="nil"/>
                <w:bottom w:val="nil"/>
                <w:right w:val="nil"/>
                <w:between w:val="nil"/>
              </w:pBdr>
              <w:spacing w:line="240" w:lineRule="auto"/>
              <w:jc w:val="center"/>
            </w:pPr>
            <w:r>
              <w:t>Social Evaluation</w:t>
            </w:r>
          </w:p>
        </w:tc>
        <w:tc>
          <w:tcPr>
            <w:tcW w:w="2280" w:type="dxa"/>
            <w:shd w:val="clear" w:color="auto" w:fill="FFFFFF"/>
          </w:tcPr>
          <w:p w14:paraId="4376ECE0" w14:textId="77777777" w:rsidR="00A323F9" w:rsidRDefault="00A33BC8">
            <w:pPr>
              <w:widowControl w:val="0"/>
              <w:pBdr>
                <w:top w:val="nil"/>
                <w:left w:val="nil"/>
                <w:bottom w:val="nil"/>
                <w:right w:val="nil"/>
                <w:between w:val="nil"/>
              </w:pBdr>
              <w:spacing w:line="240" w:lineRule="auto"/>
              <w:jc w:val="center"/>
            </w:pPr>
            <w:r>
              <w:t xml:space="preserve">Farmer working hours </w:t>
            </w:r>
          </w:p>
          <w:p w14:paraId="36B2086D" w14:textId="1B4865D2" w:rsidR="00573939" w:rsidRDefault="00A33BC8">
            <w:pPr>
              <w:widowControl w:val="0"/>
              <w:pBdr>
                <w:top w:val="nil"/>
                <w:left w:val="nil"/>
                <w:bottom w:val="nil"/>
                <w:right w:val="nil"/>
                <w:between w:val="nil"/>
              </w:pBdr>
              <w:spacing w:line="240" w:lineRule="auto"/>
              <w:jc w:val="center"/>
            </w:pPr>
            <w:r>
              <w:t>spent at producing renewable energy</w:t>
            </w:r>
          </w:p>
        </w:tc>
        <w:tc>
          <w:tcPr>
            <w:tcW w:w="2325" w:type="dxa"/>
            <w:shd w:val="clear" w:color="auto" w:fill="FFFFFF"/>
          </w:tcPr>
          <w:p w14:paraId="5AC17C82" w14:textId="77777777" w:rsidR="00A323F9" w:rsidRDefault="00A33BC8">
            <w:pPr>
              <w:widowControl w:val="0"/>
              <w:pBdr>
                <w:top w:val="nil"/>
                <w:left w:val="nil"/>
                <w:bottom w:val="nil"/>
                <w:right w:val="nil"/>
                <w:between w:val="nil"/>
              </w:pBdr>
              <w:spacing w:line="240" w:lineRule="auto"/>
              <w:jc w:val="center"/>
            </w:pPr>
            <w:r>
              <w:t>Farmer working hours</w:t>
            </w:r>
          </w:p>
          <w:p w14:paraId="66FA1317" w14:textId="3D9D6892" w:rsidR="00573939" w:rsidRDefault="00A33BC8">
            <w:pPr>
              <w:widowControl w:val="0"/>
              <w:pBdr>
                <w:top w:val="nil"/>
                <w:left w:val="nil"/>
                <w:bottom w:val="nil"/>
                <w:right w:val="nil"/>
                <w:between w:val="nil"/>
              </w:pBdr>
              <w:spacing w:line="240" w:lineRule="auto"/>
              <w:jc w:val="center"/>
            </w:pPr>
            <w:r>
              <w:t xml:space="preserve"> spent at irrigating crops</w:t>
            </w:r>
          </w:p>
        </w:tc>
        <w:tc>
          <w:tcPr>
            <w:tcW w:w="2205" w:type="dxa"/>
            <w:shd w:val="clear" w:color="auto" w:fill="FFFFFF"/>
          </w:tcPr>
          <w:p w14:paraId="22BB3CDD" w14:textId="77777777" w:rsidR="00573939" w:rsidRDefault="00A33BC8">
            <w:pPr>
              <w:widowControl w:val="0"/>
              <w:pBdr>
                <w:top w:val="nil"/>
                <w:left w:val="nil"/>
                <w:bottom w:val="nil"/>
                <w:right w:val="nil"/>
                <w:between w:val="nil"/>
              </w:pBdr>
              <w:spacing w:line="240" w:lineRule="auto"/>
              <w:jc w:val="center"/>
            </w:pPr>
            <w:r>
              <w:t xml:space="preserve">Farmer working hours spent for all technical operations other than irrigation </w:t>
            </w:r>
          </w:p>
        </w:tc>
      </w:tr>
    </w:tbl>
    <w:p w14:paraId="0D650508" w14:textId="77777777" w:rsidR="00573939" w:rsidRDefault="00A33BC8">
      <w:pPr>
        <w:keepNext/>
        <w:pBdr>
          <w:top w:val="nil"/>
          <w:left w:val="nil"/>
          <w:bottom w:val="nil"/>
          <w:right w:val="nil"/>
          <w:between w:val="nil"/>
        </w:pBdr>
        <w:spacing w:before="120" w:after="120" w:line="240" w:lineRule="auto"/>
        <w:jc w:val="left"/>
        <w:rPr>
          <w:b/>
        </w:rPr>
      </w:pPr>
      <w:r>
        <w:rPr>
          <w:b/>
        </w:rPr>
        <w:t>3.1 Resource production and consumption evaluation</w:t>
      </w:r>
    </w:p>
    <w:p w14:paraId="777EB5BB" w14:textId="0D49A442" w:rsidR="00573939" w:rsidRDefault="00A33BC8">
      <w:pPr>
        <w:widowControl w:val="0"/>
        <w:pBdr>
          <w:top w:val="nil"/>
          <w:left w:val="nil"/>
          <w:bottom w:val="nil"/>
          <w:right w:val="nil"/>
          <w:between w:val="nil"/>
        </w:pBdr>
        <w:spacing w:line="240" w:lineRule="auto"/>
      </w:pPr>
      <w:r>
        <w:rPr>
          <w:u w:val="single"/>
        </w:rPr>
        <w:t>Energy production and consumption</w:t>
      </w:r>
      <w:r>
        <w:t xml:space="preserve">: The aim of the selected indicators </w:t>
      </w:r>
      <w:r w:rsidR="00A323F9">
        <w:t xml:space="preserve">regarding energy </w:t>
      </w:r>
      <w:r>
        <w:t>is to estimate the territorial degree of energy autonomy under different scenarios of renewable energy</w:t>
      </w:r>
      <w:r w:rsidR="00704725">
        <w:t xml:space="preserve"> production in </w:t>
      </w:r>
      <w:r>
        <w:t xml:space="preserve">agricultural land. To estimate the energy self-sufficiency rate for each scenario, the following indicators </w:t>
      </w:r>
      <w:proofErr w:type="gramStart"/>
      <w:r>
        <w:t>are computed</w:t>
      </w:r>
      <w:proofErr w:type="gramEnd"/>
      <w:r>
        <w:t xml:space="preserve"> for ever</w:t>
      </w:r>
      <w:r w:rsidR="003664FF">
        <w:t xml:space="preserve">y </w:t>
      </w:r>
      <w:r w:rsidR="00A323F9">
        <w:t xml:space="preserve">field </w:t>
      </w:r>
      <w:r w:rsidR="003664FF">
        <w:t xml:space="preserve">of the </w:t>
      </w:r>
      <w:r w:rsidR="00704725">
        <w:t>case study</w:t>
      </w:r>
      <w:r>
        <w:t xml:space="preserve">: </w:t>
      </w:r>
    </w:p>
    <w:p w14:paraId="530EBF1E" w14:textId="0BD8F67F" w:rsidR="00573939" w:rsidRDefault="00A33BC8">
      <w:pPr>
        <w:widowControl w:val="0"/>
        <w:numPr>
          <w:ilvl w:val="0"/>
          <w:numId w:val="1"/>
        </w:numPr>
        <w:spacing w:line="240" w:lineRule="auto"/>
        <w:rPr>
          <w:rFonts w:ascii="Times New Roman" w:eastAsia="Times New Roman" w:hAnsi="Times New Roman" w:cs="Times New Roman"/>
          <w:sz w:val="22"/>
          <w:szCs w:val="22"/>
        </w:rPr>
      </w:pPr>
      <w:r>
        <w:t xml:space="preserve">Potential production of solar and wind energy based on climate daily data produced by </w:t>
      </w:r>
      <w:proofErr w:type="spellStart"/>
      <w:r>
        <w:t>Météo</w:t>
      </w:r>
      <w:proofErr w:type="spellEnd"/>
      <w:r>
        <w:t xml:space="preserve"> France for spatial polygons of 8km*8km surfaces (</w:t>
      </w:r>
      <w:proofErr w:type="spellStart"/>
      <w:r w:rsidR="001E0E4A" w:rsidRPr="00FD21BF">
        <w:rPr>
          <w:lang w:val="en-US"/>
        </w:rPr>
        <w:t>Tribouillois</w:t>
      </w:r>
      <w:proofErr w:type="spellEnd"/>
      <w:r w:rsidR="001E0E4A" w:rsidRPr="00FD21BF">
        <w:rPr>
          <w:lang w:val="en-US"/>
        </w:rPr>
        <w:t xml:space="preserve"> et al.</w:t>
      </w:r>
      <w:r w:rsidR="00283528">
        <w:rPr>
          <w:lang w:val="en-US"/>
        </w:rPr>
        <w:t>,</w:t>
      </w:r>
      <w:r w:rsidR="001E0E4A" w:rsidRPr="00FD21BF">
        <w:rPr>
          <w:lang w:val="en-US"/>
        </w:rPr>
        <w:t xml:space="preserve"> 2022</w:t>
      </w:r>
      <w:r>
        <w:t>).</w:t>
      </w:r>
    </w:p>
    <w:p w14:paraId="77C6C939" w14:textId="77777777" w:rsidR="00573939" w:rsidRDefault="00A33BC8">
      <w:pPr>
        <w:widowControl w:val="0"/>
        <w:numPr>
          <w:ilvl w:val="0"/>
          <w:numId w:val="1"/>
        </w:numPr>
        <w:spacing w:line="240" w:lineRule="auto"/>
        <w:rPr>
          <w:rFonts w:ascii="Times New Roman" w:eastAsia="Times New Roman" w:hAnsi="Times New Roman" w:cs="Times New Roman"/>
          <w:sz w:val="22"/>
          <w:szCs w:val="22"/>
        </w:rPr>
      </w:pPr>
      <w:r>
        <w:t>Mean electricity consumption of the territorial population estimated across all sectors with national open data produced by the French national operators of the electricity transport and distribution systems (</w:t>
      </w:r>
      <w:proofErr w:type="spellStart"/>
      <w:r>
        <w:t>Agence</w:t>
      </w:r>
      <w:proofErr w:type="spellEnd"/>
      <w:r>
        <w:t xml:space="preserve"> ORE &amp; </w:t>
      </w:r>
      <w:proofErr w:type="spellStart"/>
      <w:r>
        <w:t>Gestionnaires</w:t>
      </w:r>
      <w:proofErr w:type="spellEnd"/>
      <w:r>
        <w:t xml:space="preserve"> de </w:t>
      </w:r>
      <w:proofErr w:type="spellStart"/>
      <w:r>
        <w:t>réseaux</w:t>
      </w:r>
      <w:proofErr w:type="spellEnd"/>
      <w:r>
        <w:t xml:space="preserve"> </w:t>
      </w:r>
      <w:proofErr w:type="spellStart"/>
      <w:r>
        <w:t>électricité</w:t>
      </w:r>
      <w:proofErr w:type="spellEnd"/>
      <w:r>
        <w:t xml:space="preserve"> </w:t>
      </w:r>
      <w:proofErr w:type="gramStart"/>
      <w:r>
        <w:t>et</w:t>
      </w:r>
      <w:proofErr w:type="gramEnd"/>
      <w:r>
        <w:t xml:space="preserve"> </w:t>
      </w:r>
      <w:proofErr w:type="spellStart"/>
      <w:r>
        <w:t>gaz</w:t>
      </w:r>
      <w:proofErr w:type="spellEnd"/>
      <w:r>
        <w:t>, 2022).</w:t>
      </w:r>
    </w:p>
    <w:p w14:paraId="20227C0E" w14:textId="5867A5F2" w:rsidR="00573939" w:rsidRDefault="007435D6">
      <w:pPr>
        <w:widowControl w:val="0"/>
        <w:spacing w:before="200" w:after="200" w:line="240" w:lineRule="auto"/>
      </w:pPr>
      <w:r>
        <w:t xml:space="preserve">Note that the compliance of land characteristics and security distances with road, rail and air routes with national regulations on solar panels and windmills installation </w:t>
      </w:r>
      <w:proofErr w:type="gramStart"/>
      <w:r>
        <w:t>are checked</w:t>
      </w:r>
      <w:proofErr w:type="gramEnd"/>
      <w:r>
        <w:t xml:space="preserve"> for fields to be considered as eligible for production of renewable energy. </w:t>
      </w:r>
      <w:r w:rsidR="00A33BC8">
        <w:t xml:space="preserve">Energy payback time of solar panels and windmills is a sustainability indicator of the simulated scenarios, since energy payback time must remain small compared to the solar panels and windmills lifespan. </w:t>
      </w:r>
    </w:p>
    <w:p w14:paraId="65FDF1BC" w14:textId="3F3C0FA5" w:rsidR="00573939" w:rsidRDefault="00A33BC8">
      <w:pPr>
        <w:widowControl w:val="0"/>
        <w:spacing w:before="200" w:after="200" w:line="240" w:lineRule="auto"/>
      </w:pPr>
      <w:r>
        <w:rPr>
          <w:u w:val="single"/>
        </w:rPr>
        <w:lastRenderedPageBreak/>
        <w:t>Water production and consumption</w:t>
      </w:r>
      <w:r>
        <w:t xml:space="preserve">: The aim of the selected indicators is to estimate water </w:t>
      </w:r>
      <w:r w:rsidR="00A323F9">
        <w:t xml:space="preserve">withdrawals </w:t>
      </w:r>
      <w:r>
        <w:t xml:space="preserve">and compliance with water management national regulations under different scenarios of renewable energy </w:t>
      </w:r>
      <w:r w:rsidR="007435D6">
        <w:t>production</w:t>
      </w:r>
      <w:r>
        <w:t xml:space="preserve"> in agricultural land. To estimate these, the following indicators </w:t>
      </w:r>
      <w:proofErr w:type="gramStart"/>
      <w:r>
        <w:t xml:space="preserve">are </w:t>
      </w:r>
      <w:r w:rsidR="007435D6">
        <w:t>evaluated</w:t>
      </w:r>
      <w:proofErr w:type="gramEnd"/>
      <w:r>
        <w:t xml:space="preserve"> </w:t>
      </w:r>
      <w:r w:rsidR="007435D6">
        <w:t xml:space="preserve">through </w:t>
      </w:r>
      <w:proofErr w:type="spellStart"/>
      <w:r w:rsidR="007435D6">
        <w:t>Maelia’s</w:t>
      </w:r>
      <w:proofErr w:type="spellEnd"/>
      <w:r w:rsidR="007435D6">
        <w:t xml:space="preserve"> Water-Food simulations </w:t>
      </w:r>
      <w:r>
        <w:t xml:space="preserve">for </w:t>
      </w:r>
      <w:r w:rsidR="007435D6">
        <w:t>each</w:t>
      </w:r>
      <w:r>
        <w:t xml:space="preserve"> </w:t>
      </w:r>
      <w:r w:rsidR="007435D6">
        <w:t xml:space="preserve">field </w:t>
      </w:r>
      <w:r>
        <w:t>of the case</w:t>
      </w:r>
      <w:r w:rsidR="00AF51CE">
        <w:t xml:space="preserve"> </w:t>
      </w:r>
      <w:r w:rsidR="003664FF">
        <w:t>study</w:t>
      </w:r>
      <w:r w:rsidR="007435D6">
        <w:t xml:space="preserve"> land</w:t>
      </w:r>
      <w:r w:rsidR="003664FF">
        <w:t>, at every time step</w:t>
      </w:r>
      <w:r>
        <w:t xml:space="preserve">: </w:t>
      </w:r>
    </w:p>
    <w:p w14:paraId="5A2FB288" w14:textId="2EE51E40" w:rsidR="00573939" w:rsidRDefault="00A33BC8">
      <w:pPr>
        <w:widowControl w:val="0"/>
        <w:numPr>
          <w:ilvl w:val="0"/>
          <w:numId w:val="2"/>
        </w:numPr>
        <w:spacing w:line="240" w:lineRule="auto"/>
        <w:rPr>
          <w:rFonts w:ascii="Times New Roman" w:eastAsia="Times New Roman" w:hAnsi="Times New Roman" w:cs="Times New Roman"/>
          <w:sz w:val="22"/>
          <w:szCs w:val="22"/>
        </w:rPr>
      </w:pPr>
      <w:r>
        <w:t>Total volumes of water used for irrigation.</w:t>
      </w:r>
    </w:p>
    <w:p w14:paraId="72E0E132" w14:textId="22557B8A" w:rsidR="00573939" w:rsidRDefault="00A33BC8">
      <w:pPr>
        <w:widowControl w:val="0"/>
        <w:numPr>
          <w:ilvl w:val="0"/>
          <w:numId w:val="2"/>
        </w:numPr>
        <w:spacing w:line="240" w:lineRule="auto"/>
        <w:rPr>
          <w:rFonts w:ascii="Times New Roman" w:eastAsia="Times New Roman" w:hAnsi="Times New Roman" w:cs="Times New Roman"/>
          <w:sz w:val="22"/>
          <w:szCs w:val="22"/>
        </w:rPr>
      </w:pPr>
      <w:r>
        <w:t>Total volumes of water released from reservoirs.</w:t>
      </w:r>
    </w:p>
    <w:p w14:paraId="382C3A8B" w14:textId="7E30F0E6" w:rsidR="00573939" w:rsidRDefault="00A33BC8">
      <w:pPr>
        <w:widowControl w:val="0"/>
        <w:numPr>
          <w:ilvl w:val="0"/>
          <w:numId w:val="2"/>
        </w:numPr>
        <w:spacing w:line="240" w:lineRule="auto"/>
        <w:jc w:val="left"/>
        <w:rPr>
          <w:rFonts w:ascii="Times New Roman" w:eastAsia="Times New Roman" w:hAnsi="Times New Roman" w:cs="Times New Roman"/>
          <w:sz w:val="22"/>
          <w:szCs w:val="22"/>
        </w:rPr>
      </w:pPr>
      <w:r>
        <w:t>Total duration of river flow below LWRF (low-water regulating fl</w:t>
      </w:r>
      <w:r w:rsidR="007435D6">
        <w:t>²</w:t>
      </w:r>
      <w:r>
        <w:t xml:space="preserve">ow). </w:t>
      </w:r>
    </w:p>
    <w:p w14:paraId="13CEB83F" w14:textId="0F6B48CD" w:rsidR="00573939" w:rsidRDefault="00A33BC8">
      <w:pPr>
        <w:widowControl w:val="0"/>
        <w:spacing w:before="200" w:after="200" w:line="240" w:lineRule="auto"/>
      </w:pPr>
      <w:r>
        <w:t>The first indicator above illustrates the</w:t>
      </w:r>
      <w:r w:rsidR="00402A2C">
        <w:t xml:space="preserve"> crop management strategies’</w:t>
      </w:r>
      <w:r>
        <w:t xml:space="preserve"> degree</w:t>
      </w:r>
      <w:r w:rsidR="00402A2C">
        <w:t>s</w:t>
      </w:r>
      <w:r>
        <w:t xml:space="preserve"> of </w:t>
      </w:r>
      <w:r w:rsidR="00402A2C">
        <w:t xml:space="preserve">water </w:t>
      </w:r>
      <w:r>
        <w:t xml:space="preserve">dependency, and the </w:t>
      </w:r>
      <w:r w:rsidR="00A323F9">
        <w:t xml:space="preserve">potential </w:t>
      </w:r>
      <w:r w:rsidR="00402A2C">
        <w:t>synergies</w:t>
      </w:r>
      <w:r>
        <w:t xml:space="preserve"> between </w:t>
      </w:r>
      <w:r w:rsidR="00A323F9">
        <w:t>renewable energy</w:t>
      </w:r>
      <w:r w:rsidR="00402A2C">
        <w:t xml:space="preserve"> production</w:t>
      </w:r>
      <w:r w:rsidR="00A323F9">
        <w:t xml:space="preserve"> and limiting water withdrawals for irrigation</w:t>
      </w:r>
      <w:r>
        <w:t xml:space="preserve">. The second indicator measures the desirability of the scenarios, since the higher the volumes of water released from reservoirs to supply river flows, the less desirable are the scenarios, since these water releases have an economic cost, and indicate a water </w:t>
      </w:r>
      <w:r w:rsidR="00810600">
        <w:t>deficient</w:t>
      </w:r>
      <w:r w:rsidR="00FC50B7">
        <w:t xml:space="preserve"> </w:t>
      </w:r>
      <w:r>
        <w:t xml:space="preserve">situation. The third indicator </w:t>
      </w:r>
      <w:proofErr w:type="gramStart"/>
      <w:r>
        <w:t>is based</w:t>
      </w:r>
      <w:proofErr w:type="gramEnd"/>
      <w:r>
        <w:t xml:space="preserve"> on a threshold established by the European Parliament to ensure water sustainability (The European Parliament and the Council of the European Union, 2000). </w:t>
      </w:r>
    </w:p>
    <w:p w14:paraId="7C7F02E1" w14:textId="653E04B5" w:rsidR="00573939" w:rsidRDefault="00A33BC8">
      <w:pPr>
        <w:widowControl w:val="0"/>
        <w:spacing w:before="200" w:after="200" w:line="240" w:lineRule="auto"/>
      </w:pPr>
      <w:r>
        <w:rPr>
          <w:u w:val="single"/>
        </w:rPr>
        <w:t>Food production and consumption</w:t>
      </w:r>
      <w:r>
        <w:t>: The aim of the selected indicators is to estimate the territorial degree of food autonomy under different scenarios of renewable energy</w:t>
      </w:r>
      <w:r w:rsidR="002E7382">
        <w:t xml:space="preserve"> production, i.e. </w:t>
      </w:r>
      <w:r>
        <w:t xml:space="preserve">the total </w:t>
      </w:r>
      <w:r w:rsidR="00FC50B7">
        <w:t>agricultural production in ter</w:t>
      </w:r>
      <w:r w:rsidR="00075506">
        <w:t>m</w:t>
      </w:r>
      <w:r w:rsidR="00FC50B7">
        <w:t xml:space="preserve">s of energy (kcal) and protein </w:t>
      </w:r>
      <w:r>
        <w:t xml:space="preserve">of the simulated scenarios </w:t>
      </w:r>
      <w:r w:rsidR="002E7382">
        <w:t>compared</w:t>
      </w:r>
      <w:r>
        <w:t xml:space="preserve"> to </w:t>
      </w:r>
      <w:r w:rsidR="00FC50B7">
        <w:t xml:space="preserve">the one </w:t>
      </w:r>
      <w:r w:rsidR="00075506">
        <w:t>needed</w:t>
      </w:r>
      <w:r w:rsidR="00FC50B7">
        <w:t xml:space="preserve"> </w:t>
      </w:r>
      <w:r>
        <w:t>to</w:t>
      </w:r>
      <w:r w:rsidR="00075506">
        <w:t xml:space="preserve"> achieve a food self-sufficient</w:t>
      </w:r>
      <w:r>
        <w:t xml:space="preserve"> territory. The following indicators </w:t>
      </w:r>
      <w:proofErr w:type="gramStart"/>
      <w:r>
        <w:t>are computed</w:t>
      </w:r>
      <w:proofErr w:type="gramEnd"/>
      <w:r>
        <w:t xml:space="preserve"> to estimate the food self-sufficiency rate</w:t>
      </w:r>
      <w:r w:rsidR="003664FF">
        <w:t xml:space="preserve"> for each scenario</w:t>
      </w:r>
      <w:r>
        <w:t>:</w:t>
      </w:r>
    </w:p>
    <w:p w14:paraId="2F9E6235" w14:textId="7D9EE6CE" w:rsidR="00573939" w:rsidRDefault="00A33BC8">
      <w:pPr>
        <w:widowControl w:val="0"/>
        <w:numPr>
          <w:ilvl w:val="0"/>
          <w:numId w:val="3"/>
        </w:numPr>
        <w:spacing w:line="240" w:lineRule="auto"/>
        <w:rPr>
          <w:rFonts w:ascii="Times New Roman" w:eastAsia="Times New Roman" w:hAnsi="Times New Roman" w:cs="Times New Roman"/>
          <w:sz w:val="22"/>
          <w:szCs w:val="22"/>
        </w:rPr>
      </w:pPr>
      <w:r>
        <w:t xml:space="preserve">Total crops’ energy and protein yields estimated with </w:t>
      </w:r>
      <w:proofErr w:type="spellStart"/>
      <w:r>
        <w:t>Maelia’s</w:t>
      </w:r>
      <w:proofErr w:type="spellEnd"/>
      <w:r>
        <w:t xml:space="preserve"> Water-Food simulations.</w:t>
      </w:r>
    </w:p>
    <w:p w14:paraId="6A2A5774" w14:textId="77777777" w:rsidR="00573939" w:rsidRPr="00054F92" w:rsidRDefault="00A33BC8">
      <w:pPr>
        <w:widowControl w:val="0"/>
        <w:numPr>
          <w:ilvl w:val="0"/>
          <w:numId w:val="3"/>
        </w:numPr>
        <w:spacing w:line="240" w:lineRule="auto"/>
        <w:rPr>
          <w:rFonts w:ascii="Times New Roman" w:eastAsia="Times New Roman" w:hAnsi="Times New Roman" w:cs="Times New Roman"/>
          <w:sz w:val="22"/>
          <w:szCs w:val="22"/>
          <w:lang w:val="fr-FR"/>
        </w:rPr>
      </w:pPr>
      <w:proofErr w:type="spellStart"/>
      <w:r w:rsidRPr="00054F92">
        <w:rPr>
          <w:lang w:val="fr-FR"/>
        </w:rPr>
        <w:t>Mean</w:t>
      </w:r>
      <w:proofErr w:type="spellEnd"/>
      <w:r w:rsidRPr="00054F92">
        <w:rPr>
          <w:lang w:val="fr-FR"/>
        </w:rPr>
        <w:t xml:space="preserve"> </w:t>
      </w:r>
      <w:proofErr w:type="spellStart"/>
      <w:r w:rsidRPr="00054F92">
        <w:rPr>
          <w:lang w:val="fr-FR"/>
        </w:rPr>
        <w:t>food</w:t>
      </w:r>
      <w:proofErr w:type="spellEnd"/>
      <w:r w:rsidRPr="00054F92">
        <w:rPr>
          <w:lang w:val="fr-FR"/>
        </w:rPr>
        <w:t xml:space="preserve"> </w:t>
      </w:r>
      <w:proofErr w:type="spellStart"/>
      <w:r w:rsidRPr="00054F92">
        <w:rPr>
          <w:lang w:val="fr-FR"/>
        </w:rPr>
        <w:t>consumption</w:t>
      </w:r>
      <w:proofErr w:type="spellEnd"/>
      <w:r w:rsidRPr="00054F92">
        <w:rPr>
          <w:lang w:val="fr-FR"/>
        </w:rPr>
        <w:t xml:space="preserve"> of the territorial population </w:t>
      </w:r>
      <w:proofErr w:type="spellStart"/>
      <w:r w:rsidRPr="00054F92">
        <w:rPr>
          <w:lang w:val="fr-FR"/>
        </w:rPr>
        <w:t>estimated</w:t>
      </w:r>
      <w:proofErr w:type="spellEnd"/>
      <w:r w:rsidRPr="00054F92">
        <w:rPr>
          <w:lang w:val="fr-FR"/>
        </w:rPr>
        <w:t xml:space="preserve"> </w:t>
      </w:r>
      <w:proofErr w:type="spellStart"/>
      <w:r w:rsidRPr="00054F92">
        <w:rPr>
          <w:lang w:val="fr-FR"/>
        </w:rPr>
        <w:t>with</w:t>
      </w:r>
      <w:proofErr w:type="spellEnd"/>
      <w:r w:rsidRPr="00054F92">
        <w:rPr>
          <w:lang w:val="fr-FR"/>
        </w:rPr>
        <w:t xml:space="preserve"> national open </w:t>
      </w:r>
      <w:proofErr w:type="spellStart"/>
      <w:r w:rsidRPr="00054F92">
        <w:rPr>
          <w:lang w:val="fr-FR"/>
        </w:rPr>
        <w:t>datasets</w:t>
      </w:r>
      <w:proofErr w:type="spellEnd"/>
      <w:r w:rsidRPr="00054F92">
        <w:rPr>
          <w:lang w:val="fr-FR"/>
        </w:rPr>
        <w:t xml:space="preserve"> (Agence nationale de sécurité sanitaire, de l'alimentation, de l'environnement et du travail (Anses), 2021). </w:t>
      </w:r>
    </w:p>
    <w:p w14:paraId="7569F2ED" w14:textId="209ED208" w:rsidR="00573939" w:rsidRDefault="00213855">
      <w:pPr>
        <w:widowControl w:val="0"/>
        <w:spacing w:before="200" w:after="200" w:line="240" w:lineRule="auto"/>
      </w:pPr>
      <w:r w:rsidRPr="00213855">
        <w:rPr>
          <w:lang w:val="en-US"/>
        </w:rPr>
        <w:t>A</w:t>
      </w:r>
      <w:r>
        <w:rPr>
          <w:lang w:val="en-US"/>
        </w:rPr>
        <w:t xml:space="preserve">dditionally, </w:t>
      </w:r>
      <w:r>
        <w:t>t</w:t>
      </w:r>
      <w:r w:rsidR="00A33BC8">
        <w:t xml:space="preserve">he </w:t>
      </w:r>
      <w:r w:rsidR="00ED5070">
        <w:t>ratio</w:t>
      </w:r>
      <w:r w:rsidR="00A33BC8">
        <w:t xml:space="preserve"> of the total arable land surface </w:t>
      </w:r>
      <w:r w:rsidR="002E7382">
        <w:t>of</w:t>
      </w:r>
      <w:r w:rsidR="00A33BC8">
        <w:t xml:space="preserve"> different </w:t>
      </w:r>
      <w:r w:rsidR="00FC50B7">
        <w:t>WEF</w:t>
      </w:r>
      <w:r w:rsidR="00A33BC8">
        <w:t xml:space="preserve"> scenarios</w:t>
      </w:r>
      <w:r>
        <w:t xml:space="preserve"> </w:t>
      </w:r>
      <w:r w:rsidR="00A33BC8">
        <w:t>with respect to the total agricultural land theoretically needed to achieve a food self-sufficiency terr</w:t>
      </w:r>
      <w:r>
        <w:t xml:space="preserve">itory (PARCEL, 2019) </w:t>
      </w:r>
      <w:r w:rsidR="00ED5070">
        <w:t xml:space="preserve">can constitute </w:t>
      </w:r>
      <w:r>
        <w:t>a</w:t>
      </w:r>
      <w:r w:rsidR="00A33BC8">
        <w:t xml:space="preserve"> measure in </w:t>
      </w:r>
      <w:r>
        <w:t xml:space="preserve">favour </w:t>
      </w:r>
      <w:r w:rsidR="00ED5070">
        <w:t>or</w:t>
      </w:r>
      <w:r>
        <w:t xml:space="preserve"> against</w:t>
      </w:r>
      <w:r w:rsidR="00A33BC8">
        <w:t xml:space="preserve"> the installation of renewable energy production units in arable land. </w:t>
      </w:r>
    </w:p>
    <w:p w14:paraId="229CD706" w14:textId="2FBDD4F0" w:rsidR="008E7887" w:rsidRPr="00B14409" w:rsidRDefault="00A33BC8" w:rsidP="00B14409">
      <w:pPr>
        <w:keepNext/>
        <w:pBdr>
          <w:top w:val="nil"/>
          <w:left w:val="nil"/>
          <w:bottom w:val="nil"/>
          <w:right w:val="nil"/>
          <w:between w:val="nil"/>
        </w:pBdr>
        <w:spacing w:before="120" w:after="120" w:line="240" w:lineRule="auto"/>
        <w:jc w:val="left"/>
        <w:rPr>
          <w:b/>
        </w:rPr>
      </w:pPr>
      <w:r>
        <w:rPr>
          <w:b/>
        </w:rPr>
        <w:t>3.2 Economic evaluation</w:t>
      </w:r>
    </w:p>
    <w:p w14:paraId="6C24CC32" w14:textId="4F66452D" w:rsidR="001228E6" w:rsidRDefault="003664FF" w:rsidP="00FF32D0">
      <w:pPr>
        <w:widowControl w:val="0"/>
        <w:spacing w:line="240" w:lineRule="auto"/>
      </w:pPr>
      <w:r>
        <w:rPr>
          <w:u w:val="single"/>
        </w:rPr>
        <w:t>Energy economic evaluati</w:t>
      </w:r>
      <w:r w:rsidRPr="003664FF">
        <w:rPr>
          <w:u w:val="single"/>
        </w:rPr>
        <w:t>on</w:t>
      </w:r>
      <w:r w:rsidR="00A33BC8">
        <w:t xml:space="preserve">: The aim of the selected indicators is to estimate the </w:t>
      </w:r>
      <w:r w:rsidR="00FC50B7">
        <w:t xml:space="preserve">economic viability </w:t>
      </w:r>
      <w:r w:rsidR="00A33BC8">
        <w:t xml:space="preserve">of </w:t>
      </w:r>
      <w:r w:rsidR="00255DD0">
        <w:t>different scenarios of</w:t>
      </w:r>
      <w:r w:rsidR="00A33BC8">
        <w:t xml:space="preserve"> renewable energy </w:t>
      </w:r>
      <w:r w:rsidR="00255DD0">
        <w:t xml:space="preserve">production </w:t>
      </w:r>
      <w:r w:rsidR="00A33BC8">
        <w:t xml:space="preserve">in agricultural land. The comparison of the time it takes for solar panels and windmills to generate economic benefits higher than their investment and </w:t>
      </w:r>
      <w:r w:rsidR="008C6CF3">
        <w:t>operating</w:t>
      </w:r>
      <w:r w:rsidR="00A33BC8">
        <w:t xml:space="preserve"> costs, to their lifespan time, indicates whether they are economically profitable.</w:t>
      </w:r>
      <w:r w:rsidR="008C6CF3">
        <w:t xml:space="preserve"> Mean national investment and operating costs are considered. </w:t>
      </w:r>
      <w:r w:rsidR="00A33BC8">
        <w:t>Evaluating the net present value and the internal rate of return of the different scenarios, enables comparison of profitability and desira</w:t>
      </w:r>
      <w:r w:rsidR="00ED4EDA">
        <w:t xml:space="preserve">bility of different scenarios. </w:t>
      </w:r>
    </w:p>
    <w:p w14:paraId="7CDBDD6F" w14:textId="77777777" w:rsidR="00FF32D0" w:rsidRPr="00FF32D0" w:rsidRDefault="00FF32D0" w:rsidP="00FF32D0">
      <w:pPr>
        <w:widowControl w:val="0"/>
        <w:spacing w:line="240" w:lineRule="auto"/>
      </w:pPr>
    </w:p>
    <w:p w14:paraId="0CBEE504" w14:textId="73F61588" w:rsidR="00573939" w:rsidRDefault="00A33BC8">
      <w:pPr>
        <w:widowControl w:val="0"/>
        <w:spacing w:line="240" w:lineRule="auto"/>
      </w:pPr>
      <w:r>
        <w:rPr>
          <w:u w:val="single"/>
        </w:rPr>
        <w:t>Water and food economic evaluation</w:t>
      </w:r>
      <w:r>
        <w:t xml:space="preserve">: Based on outputs of Water-Food scenarios simulations, Maelia enables the computation of gross margins per </w:t>
      </w:r>
      <w:r w:rsidR="00FC50B7">
        <w:t>field</w:t>
      </w:r>
      <w:r>
        <w:t xml:space="preserve">, under different </w:t>
      </w:r>
      <w:r w:rsidR="00FC50B7">
        <w:t>WEF</w:t>
      </w:r>
      <w:r>
        <w:t xml:space="preserve"> scenarios, that consider water and crops’ management strategies costs and benefits simultaneously. The platform’s website gives details on formulas and data used for these computations (Maelia, 2016).</w:t>
      </w:r>
    </w:p>
    <w:p w14:paraId="42A4FA4B" w14:textId="77777777" w:rsidR="008E7887" w:rsidRDefault="008E7887">
      <w:pPr>
        <w:widowControl w:val="0"/>
        <w:spacing w:line="240" w:lineRule="auto"/>
        <w:rPr>
          <w:b/>
        </w:rPr>
      </w:pPr>
    </w:p>
    <w:p w14:paraId="24432AD5" w14:textId="77777777" w:rsidR="00FF32D0" w:rsidRDefault="00A33BC8" w:rsidP="00FF32D0">
      <w:pPr>
        <w:keepNext/>
        <w:pBdr>
          <w:top w:val="nil"/>
          <w:left w:val="nil"/>
          <w:bottom w:val="nil"/>
          <w:right w:val="nil"/>
          <w:between w:val="nil"/>
        </w:pBdr>
        <w:spacing w:before="120" w:after="120" w:line="240" w:lineRule="auto"/>
        <w:jc w:val="left"/>
        <w:rPr>
          <w:b/>
        </w:rPr>
      </w:pPr>
      <w:r>
        <w:rPr>
          <w:b/>
        </w:rPr>
        <w:t>3.3 Environmental evaluation</w:t>
      </w:r>
    </w:p>
    <w:p w14:paraId="356517F1" w14:textId="1F66AB42" w:rsidR="00573939" w:rsidRPr="001545AB" w:rsidRDefault="00A33BC8" w:rsidP="001B7BD5">
      <w:pPr>
        <w:keepNext/>
        <w:pBdr>
          <w:top w:val="nil"/>
          <w:left w:val="nil"/>
          <w:bottom w:val="nil"/>
          <w:right w:val="nil"/>
          <w:between w:val="nil"/>
        </w:pBdr>
        <w:spacing w:before="120" w:after="120" w:line="240" w:lineRule="auto"/>
      </w:pPr>
      <w:r>
        <w:rPr>
          <w:u w:val="single"/>
        </w:rPr>
        <w:t>Energy and food environmental evaluation</w:t>
      </w:r>
      <w:r>
        <w:t xml:space="preserve">: </w:t>
      </w:r>
      <w:r w:rsidR="00FC50B7">
        <w:t>T</w:t>
      </w:r>
      <w:r>
        <w:t xml:space="preserve">he environmental impact of </w:t>
      </w:r>
      <w:r w:rsidR="00DE1D1D">
        <w:t>energy production</w:t>
      </w:r>
      <w:r>
        <w:t xml:space="preserve"> units and crops in arable land under different </w:t>
      </w:r>
      <w:r w:rsidR="00FC50B7">
        <w:t>WEF</w:t>
      </w:r>
      <w:r>
        <w:t xml:space="preserve"> scenarios </w:t>
      </w:r>
      <w:proofErr w:type="gramStart"/>
      <w:r>
        <w:t>is evaluated</w:t>
      </w:r>
      <w:proofErr w:type="gramEnd"/>
      <w:r>
        <w:t xml:space="preserve"> in comparison with an initial reference situation. </w:t>
      </w:r>
      <w:r w:rsidR="00A57419">
        <w:t>E</w:t>
      </w:r>
      <w:r w:rsidR="001545AB">
        <w:t>nd scores resulting from all impact and damage life cycle assessments</w:t>
      </w:r>
      <w:r w:rsidR="00A57419">
        <w:t xml:space="preserve"> (LCA)</w:t>
      </w:r>
      <w:r w:rsidR="001545AB">
        <w:t xml:space="preserve"> midpoint and endpoint categories </w:t>
      </w:r>
      <w:r w:rsidR="0085138E">
        <w:t xml:space="preserve">derived </w:t>
      </w:r>
      <w:r>
        <w:t xml:space="preserve">from </w:t>
      </w:r>
      <w:r w:rsidR="00A57419">
        <w:t xml:space="preserve">LCA </w:t>
      </w:r>
      <w:r>
        <w:t xml:space="preserve">studies undertaken with an Environmental Footprint method (European Commission, 2022), and </w:t>
      </w:r>
      <w:proofErr w:type="spellStart"/>
      <w:r w:rsidR="007E16A3">
        <w:t>catalog</w:t>
      </w:r>
      <w:r w:rsidR="00FC50B7">
        <w:t>ed</w:t>
      </w:r>
      <w:proofErr w:type="spellEnd"/>
      <w:r>
        <w:t xml:space="preserve"> in well-known LCA databases: </w:t>
      </w:r>
      <w:proofErr w:type="spellStart"/>
      <w:r>
        <w:t>Ecoinvent</w:t>
      </w:r>
      <w:proofErr w:type="spellEnd"/>
      <w:r>
        <w:t xml:space="preserve"> (</w:t>
      </w:r>
      <w:proofErr w:type="spellStart"/>
      <w:r>
        <w:t>Ecoinvent</w:t>
      </w:r>
      <w:proofErr w:type="spellEnd"/>
      <w:r>
        <w:t xml:space="preserve">, 2013) for energy production units and </w:t>
      </w:r>
      <w:proofErr w:type="spellStart"/>
      <w:r>
        <w:t>Agribalyse</w:t>
      </w:r>
      <w:proofErr w:type="spellEnd"/>
      <w:r>
        <w:t xml:space="preserve"> (</w:t>
      </w:r>
      <w:proofErr w:type="spellStart"/>
      <w:r>
        <w:t>Agribalyse</w:t>
      </w:r>
      <w:proofErr w:type="spellEnd"/>
      <w:r>
        <w:t>, 2022) for crops</w:t>
      </w:r>
      <w:r w:rsidR="00A57419">
        <w:t>, are considered</w:t>
      </w:r>
      <w:r>
        <w:t>.</w:t>
      </w:r>
      <w:r w:rsidR="0085138E">
        <w:t xml:space="preserve"> </w:t>
      </w:r>
      <w:r>
        <w:t>Figure 2 below illustrates the approach.</w:t>
      </w:r>
    </w:p>
    <w:p w14:paraId="02545398" w14:textId="77777777" w:rsidR="00573939" w:rsidRDefault="00A33BC8">
      <w:pPr>
        <w:widowControl w:val="0"/>
        <w:spacing w:before="200" w:after="200" w:line="240" w:lineRule="auto"/>
        <w:jc w:val="left"/>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en-US" w:eastAsia="en-US"/>
        </w:rPr>
        <w:drawing>
          <wp:inline distT="114300" distB="114300" distL="114300" distR="114300" wp14:anchorId="5FA1559F" wp14:editId="4B5EB0EB">
            <wp:extent cx="3709988" cy="11225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709988" cy="1122550"/>
                    </a:xfrm>
                    <a:prstGeom prst="rect">
                      <a:avLst/>
                    </a:prstGeom>
                    <a:ln/>
                  </pic:spPr>
                </pic:pic>
              </a:graphicData>
            </a:graphic>
          </wp:inline>
        </w:drawing>
      </w:r>
    </w:p>
    <w:p w14:paraId="781795ED" w14:textId="77777777" w:rsidR="00573939" w:rsidRDefault="00A33BC8">
      <w:pPr>
        <w:spacing w:before="240" w:after="240"/>
        <w:rPr>
          <w:rFonts w:ascii="Times New Roman" w:eastAsia="Times New Roman" w:hAnsi="Times New Roman" w:cs="Times New Roman"/>
          <w:sz w:val="22"/>
          <w:szCs w:val="22"/>
        </w:rPr>
      </w:pPr>
      <w:r>
        <w:rPr>
          <w:i/>
        </w:rPr>
        <w:lastRenderedPageBreak/>
        <w:t>Figure 2: Illustration of the energy and food environmental evaluation approach</w:t>
      </w:r>
    </w:p>
    <w:p w14:paraId="3BDFAFA5" w14:textId="1433955E" w:rsidR="00573939" w:rsidRDefault="00A33BC8">
      <w:pPr>
        <w:widowControl w:val="0"/>
        <w:spacing w:before="200" w:after="200" w:line="240" w:lineRule="auto"/>
      </w:pPr>
      <w:proofErr w:type="gramStart"/>
      <w:r>
        <w:t xml:space="preserve">A final crop environmental impact score and a final energy environmental impact score are computed for each scenario by doing the sum of the impacts of the crops, respectively the energy units, added to the simulated scenario with respect to the reference scenario, minus the sum of the impacts of the crops, respectively </w:t>
      </w:r>
      <w:r w:rsidR="001545AB">
        <w:t xml:space="preserve">the </w:t>
      </w:r>
      <w:r>
        <w:t>energy units, removed in the simulated scenario with res</w:t>
      </w:r>
      <w:r w:rsidR="0085138E">
        <w:t>pect to the reference scenario.</w:t>
      </w:r>
      <w:proofErr w:type="gramEnd"/>
    </w:p>
    <w:p w14:paraId="0F6211CE" w14:textId="6AF2C7DB" w:rsidR="00573939" w:rsidRDefault="00A33BC8">
      <w:pPr>
        <w:widowControl w:val="0"/>
        <w:spacing w:before="200" w:after="200" w:line="240" w:lineRule="auto"/>
      </w:pPr>
      <w:r>
        <w:rPr>
          <w:u w:val="single"/>
        </w:rPr>
        <w:t>Water environmental evaluation</w:t>
      </w:r>
      <w:r>
        <w:t xml:space="preserve">: To evaluate sustainability of the </w:t>
      </w:r>
      <w:r w:rsidR="00FC50B7">
        <w:t>WEF</w:t>
      </w:r>
      <w:r>
        <w:t xml:space="preserve"> scenarios from an environmental point of view with respect to water, the annual </w:t>
      </w:r>
      <w:r w:rsidR="00FC50B7">
        <w:t xml:space="preserve">efficiency of </w:t>
      </w:r>
      <w:proofErr w:type="gramStart"/>
      <w:r>
        <w:t>rain water</w:t>
      </w:r>
      <w:proofErr w:type="gramEnd"/>
      <w:r>
        <w:t xml:space="preserve"> is estimated for each scenario. Maelia enables the computation of this indicator by estimating the total water </w:t>
      </w:r>
      <w:r w:rsidR="000F694F">
        <w:t>withdrawn</w:t>
      </w:r>
      <w:r>
        <w:t xml:space="preserve"> from </w:t>
      </w:r>
      <w:r w:rsidR="0036385C">
        <w:t>all water resources (</w:t>
      </w:r>
      <w:r>
        <w:t>hill reservoirs</w:t>
      </w:r>
      <w:r w:rsidR="0036385C">
        <w:t xml:space="preserve">, </w:t>
      </w:r>
      <w:r>
        <w:t>water tables</w:t>
      </w:r>
      <w:r w:rsidR="0036385C">
        <w:t xml:space="preserve"> and rivers)</w:t>
      </w:r>
      <w:r w:rsidR="000F694F">
        <w:t xml:space="preserve"> for irrigation</w:t>
      </w:r>
      <w:r>
        <w:t xml:space="preserve">. </w:t>
      </w:r>
    </w:p>
    <w:p w14:paraId="4051BC8A" w14:textId="77777777" w:rsidR="00573939" w:rsidRDefault="00A33BC8">
      <w:pPr>
        <w:keepNext/>
        <w:pBdr>
          <w:top w:val="nil"/>
          <w:left w:val="nil"/>
          <w:bottom w:val="nil"/>
          <w:right w:val="nil"/>
          <w:between w:val="nil"/>
        </w:pBdr>
        <w:spacing w:before="120" w:after="120" w:line="240" w:lineRule="auto"/>
        <w:jc w:val="left"/>
      </w:pPr>
      <w:r>
        <w:rPr>
          <w:b/>
        </w:rPr>
        <w:t>3.4 Social evaluation</w:t>
      </w:r>
    </w:p>
    <w:p w14:paraId="1ABAD686" w14:textId="655012DA" w:rsidR="00573939" w:rsidRDefault="00A33BC8">
      <w:pPr>
        <w:widowControl w:val="0"/>
        <w:spacing w:before="200" w:after="200" w:line="240" w:lineRule="auto"/>
        <w:rPr>
          <w:b/>
          <w:sz w:val="20"/>
          <w:szCs w:val="20"/>
        </w:rPr>
      </w:pPr>
      <w:r>
        <w:t xml:space="preserve">As a first indicator of social sustainability of the </w:t>
      </w:r>
      <w:r w:rsidR="0036385C">
        <w:t>WEF</w:t>
      </w:r>
      <w:r>
        <w:t xml:space="preserve"> scenarios, the total </w:t>
      </w:r>
      <w:proofErr w:type="gramStart"/>
      <w:r>
        <w:t>farmer’s</w:t>
      </w:r>
      <w:proofErr w:type="gramEnd"/>
      <w:r>
        <w:t xml:space="preserve"> working hours spent at irrigation, and the total farmer’s working hours spent for all the other technical operations involved in crop management techniques are evaluated by Maelia. The total </w:t>
      </w:r>
      <w:proofErr w:type="gramStart"/>
      <w:r>
        <w:t>farmer’s</w:t>
      </w:r>
      <w:proofErr w:type="gramEnd"/>
      <w:r>
        <w:t xml:space="preserve"> working hours spent producing renewable energy is considered null, since the installation and maintenance of renewable energy units is ensured by external experts. </w:t>
      </w:r>
    </w:p>
    <w:p w14:paraId="0CC484BC" w14:textId="77777777" w:rsidR="00573939" w:rsidRDefault="00A33BC8">
      <w:pPr>
        <w:keepNext/>
        <w:numPr>
          <w:ilvl w:val="0"/>
          <w:numId w:val="4"/>
        </w:numPr>
        <w:pBdr>
          <w:top w:val="nil"/>
          <w:left w:val="nil"/>
          <w:bottom w:val="nil"/>
          <w:right w:val="nil"/>
          <w:between w:val="nil"/>
        </w:pBdr>
        <w:spacing w:before="240" w:after="120" w:line="240" w:lineRule="auto"/>
        <w:rPr>
          <w:b/>
          <w:color w:val="000000"/>
          <w:sz w:val="20"/>
          <w:szCs w:val="20"/>
        </w:rPr>
      </w:pPr>
      <w:r>
        <w:rPr>
          <w:b/>
          <w:color w:val="000000"/>
          <w:sz w:val="20"/>
          <w:szCs w:val="20"/>
        </w:rPr>
        <w:t>Conclusions</w:t>
      </w:r>
    </w:p>
    <w:p w14:paraId="6A24E0A8" w14:textId="53DC2E2A" w:rsidR="00573939" w:rsidRDefault="00A33BC8">
      <w:pPr>
        <w:spacing w:before="240" w:after="240" w:line="240" w:lineRule="auto"/>
      </w:pPr>
      <w:bookmarkStart w:id="2" w:name="_1fob9te" w:colFirst="0" w:colLast="0"/>
      <w:bookmarkEnd w:id="2"/>
      <w:r>
        <w:t xml:space="preserve">To sum up, the aim of this research </w:t>
      </w:r>
      <w:r w:rsidR="0036385C">
        <w:t>is to develop a state-of-the-art digital decision tool for stakeholders of the WEF nexus intervening at all operational,</w:t>
      </w:r>
      <w:r w:rsidR="000F694F">
        <w:t xml:space="preserve"> tactical, and strategic levels, by extending</w:t>
      </w:r>
      <w:r w:rsidR="0036385C">
        <w:t xml:space="preserve"> </w:t>
      </w:r>
      <w:r w:rsidR="000F694F">
        <w:t>Maelia</w:t>
      </w:r>
      <w:r>
        <w:t xml:space="preserve">, a spatially explicit multi-agent simulation platform for integrated assessment of socio-agro-ecological systems. </w:t>
      </w:r>
      <w:proofErr w:type="gramStart"/>
      <w:r>
        <w:t>Th</w:t>
      </w:r>
      <w:r w:rsidR="0036385C">
        <w:t>is new version of the MAELIA</w:t>
      </w:r>
      <w:r>
        <w:t xml:space="preserve"> platform is a novelty</w:t>
      </w:r>
      <w:r w:rsidR="0036385C">
        <w:t xml:space="preserve"> </w:t>
      </w:r>
      <w:r>
        <w:t>due to</w:t>
      </w:r>
      <w:r w:rsidR="0036385C">
        <w:t>: (</w:t>
      </w:r>
      <w:proofErr w:type="spellStart"/>
      <w:r w:rsidR="0036385C">
        <w:t>i</w:t>
      </w:r>
      <w:proofErr w:type="spellEnd"/>
      <w:r w:rsidR="0036385C">
        <w:t xml:space="preserve">) </w:t>
      </w:r>
      <w:r>
        <w:t>the precise and realistic biophysic</w:t>
      </w:r>
      <w:r w:rsidR="0036385C">
        <w:t>al</w:t>
      </w:r>
      <w:r>
        <w:t xml:space="preserve"> models it integrates, </w:t>
      </w:r>
      <w:r w:rsidR="0036385C">
        <w:t>(ii)</w:t>
      </w:r>
      <w:r>
        <w:t xml:space="preserve"> its bottom-up approach; its multi-agent architecture considers operational constrain</w:t>
      </w:r>
      <w:r w:rsidR="00774CB8">
        <w:t xml:space="preserve">ts at daily time steps and </w:t>
      </w:r>
      <w:r w:rsidR="000F694F">
        <w:t>field</w:t>
      </w:r>
      <w:r>
        <w:t xml:space="preserve"> </w:t>
      </w:r>
      <w:r w:rsidR="000F694F">
        <w:t>levels</w:t>
      </w:r>
      <w:r>
        <w:t xml:space="preserve">, at the same time it considers tactical and strategic constraints, and </w:t>
      </w:r>
      <w:r w:rsidR="0036385C">
        <w:t xml:space="preserve">(iii) </w:t>
      </w:r>
      <w:r>
        <w:t xml:space="preserve">its ability to model </w:t>
      </w:r>
      <w:r w:rsidR="0036385C">
        <w:t xml:space="preserve">a large panel of </w:t>
      </w:r>
      <w:r>
        <w:t>scenarios in varied territories with different local characteristics.</w:t>
      </w:r>
      <w:proofErr w:type="gramEnd"/>
      <w:r>
        <w:t xml:space="preserve"> </w:t>
      </w:r>
    </w:p>
    <w:p w14:paraId="485600B4" w14:textId="55B89BC0" w:rsidR="00B7451D" w:rsidRDefault="00A33BC8">
      <w:pPr>
        <w:spacing w:before="240" w:after="240" w:line="240" w:lineRule="auto"/>
      </w:pPr>
      <w:bookmarkStart w:id="3" w:name="_3znysh7" w:colFirst="0" w:colLast="0"/>
      <w:bookmarkEnd w:id="3"/>
      <w:r>
        <w:t xml:space="preserve">At the writing </w:t>
      </w:r>
      <w:r w:rsidR="0036385C">
        <w:t xml:space="preserve">time </w:t>
      </w:r>
      <w:r>
        <w:t>of this article, the data collection, analysis</w:t>
      </w:r>
      <w:r w:rsidR="00B7451D">
        <w:t>,</w:t>
      </w:r>
      <w:r>
        <w:t xml:space="preserve"> and </w:t>
      </w:r>
      <w:r w:rsidR="00B7451D">
        <w:t xml:space="preserve">selection of </w:t>
      </w:r>
      <w:r>
        <w:t>multi-criteria indicators needed to feed algorithm</w:t>
      </w:r>
      <w:r w:rsidR="0036385C">
        <w:t>s</w:t>
      </w:r>
      <w:r>
        <w:t xml:space="preserve"> that will generate optimized </w:t>
      </w:r>
      <w:r w:rsidR="0036385C">
        <w:t>WEF</w:t>
      </w:r>
      <w:r>
        <w:t xml:space="preserve"> scenarios </w:t>
      </w:r>
      <w:proofErr w:type="gramStart"/>
      <w:r w:rsidR="00B7451D">
        <w:t>have</w:t>
      </w:r>
      <w:r>
        <w:t xml:space="preserve"> been completed</w:t>
      </w:r>
      <w:proofErr w:type="gramEnd"/>
      <w:r>
        <w:t>. As soo</w:t>
      </w:r>
      <w:r w:rsidR="00F86E06">
        <w:t xml:space="preserve">n as all </w:t>
      </w:r>
      <w:r>
        <w:t xml:space="preserve">the steps of the presented methodological framework are undertaken and become operational, Maelia will be able to simulate renewable energy production scenarios under water and food constraints. This tool will come as a guide for </w:t>
      </w:r>
      <w:r w:rsidR="0036385C">
        <w:t xml:space="preserve">stakeholders </w:t>
      </w:r>
      <w:r>
        <w:t xml:space="preserve">that wish to contribute to </w:t>
      </w:r>
      <w:r w:rsidR="00B7451D">
        <w:t>a sustainable and resilient</w:t>
      </w:r>
      <w:r>
        <w:t xml:space="preserve"> energy transition</w:t>
      </w:r>
      <w:r w:rsidR="0036385C">
        <w:t xml:space="preserve"> considering water </w:t>
      </w:r>
      <w:r w:rsidR="000F694F">
        <w:t>reso</w:t>
      </w:r>
      <w:r w:rsidR="0036385C">
        <w:t>urce conservation and food production objectives. I</w:t>
      </w:r>
      <w:r>
        <w:t xml:space="preserve">t will inform them about the economic, environmental, and social benefits and drawbacks of different scenarios of integration of renewable energy production units in </w:t>
      </w:r>
      <w:r w:rsidR="0036385C">
        <w:t xml:space="preserve">local </w:t>
      </w:r>
      <w:r>
        <w:t>agricultural land</w:t>
      </w:r>
      <w:r w:rsidR="0036385C">
        <w:t>s</w:t>
      </w:r>
      <w:r w:rsidR="00B7451D">
        <w:t xml:space="preserve">. The tool </w:t>
      </w:r>
      <w:proofErr w:type="gramStart"/>
      <w:r w:rsidR="00B7451D">
        <w:t xml:space="preserve">will </w:t>
      </w:r>
      <w:r w:rsidR="00AC7628">
        <w:t xml:space="preserve">first </w:t>
      </w:r>
      <w:r w:rsidR="003D0EDA">
        <w:t>be tested</w:t>
      </w:r>
      <w:proofErr w:type="gramEnd"/>
      <w:r w:rsidR="003D0EDA">
        <w:t xml:space="preserve"> on</w:t>
      </w:r>
      <w:r w:rsidR="00B7451D">
        <w:t xml:space="preserve"> French </w:t>
      </w:r>
      <w:proofErr w:type="spellStart"/>
      <w:r w:rsidR="00B7451D">
        <w:t>Aveyron’s</w:t>
      </w:r>
      <w:proofErr w:type="spellEnd"/>
      <w:r w:rsidR="00B7451D">
        <w:t xml:space="preserve"> river basi</w:t>
      </w:r>
      <w:r w:rsidR="005042A5">
        <w:t>n territory</w:t>
      </w:r>
      <w:r w:rsidR="00AC7628">
        <w:t xml:space="preserve">, but it can be applied </w:t>
      </w:r>
      <w:r w:rsidR="005042A5">
        <w:t>to all agricultural landscapes for which a Land P</w:t>
      </w:r>
      <w:r w:rsidR="00B7451D">
        <w:t xml:space="preserve">arcel </w:t>
      </w:r>
      <w:r w:rsidR="005042A5">
        <w:t>Identification S</w:t>
      </w:r>
      <w:r w:rsidR="00B7451D">
        <w:t xml:space="preserve">ystem is available and for which specific agricultural characterization </w:t>
      </w:r>
      <w:r w:rsidR="005042A5">
        <w:t xml:space="preserve">data </w:t>
      </w:r>
      <w:r w:rsidR="00B7451D">
        <w:t xml:space="preserve">of </w:t>
      </w:r>
      <w:r w:rsidR="005042A5">
        <w:t xml:space="preserve">cultivated </w:t>
      </w:r>
      <w:r w:rsidR="00B7451D">
        <w:t>crops</w:t>
      </w:r>
      <w:r w:rsidR="004C1F03">
        <w:t xml:space="preserve">, as well as </w:t>
      </w:r>
      <w:r w:rsidR="00AC7628">
        <w:t>meteorological data</w:t>
      </w:r>
      <w:r w:rsidR="004C1F03">
        <w:t>,</w:t>
      </w:r>
      <w:r w:rsidR="00B7451D">
        <w:t xml:space="preserve"> </w:t>
      </w:r>
      <w:r w:rsidR="005042A5">
        <w:t xml:space="preserve">can be made </w:t>
      </w:r>
      <w:r w:rsidR="00B7451D">
        <w:t xml:space="preserve">available. </w:t>
      </w:r>
      <w:r w:rsidR="00AC7628">
        <w:t xml:space="preserve">A sensitivity analysis on the number of energy units installed in agricultural land </w:t>
      </w:r>
      <w:proofErr w:type="gramStart"/>
      <w:r w:rsidR="00AC7628">
        <w:t>will be performed</w:t>
      </w:r>
      <w:proofErr w:type="gramEnd"/>
      <w:r w:rsidR="00AC7628">
        <w:t xml:space="preserve"> in order to characterize extreme scenarios and identify major risks. </w:t>
      </w:r>
      <w:bookmarkStart w:id="4" w:name="_GoBack"/>
      <w:bookmarkEnd w:id="4"/>
    </w:p>
    <w:p w14:paraId="53212687" w14:textId="77777777" w:rsidR="00573939" w:rsidRDefault="00A33BC8">
      <w:pPr>
        <w:pBdr>
          <w:top w:val="nil"/>
          <w:left w:val="nil"/>
          <w:bottom w:val="nil"/>
          <w:right w:val="nil"/>
          <w:between w:val="nil"/>
        </w:pBdr>
        <w:spacing w:before="200" w:after="120" w:line="240" w:lineRule="auto"/>
        <w:jc w:val="left"/>
      </w:pPr>
      <w:r>
        <w:rPr>
          <w:b/>
          <w:color w:val="000000"/>
        </w:rPr>
        <w:t>References</w:t>
      </w:r>
    </w:p>
    <w:p w14:paraId="39CFF158" w14:textId="77777777" w:rsidR="00573939" w:rsidRDefault="00A33BC8" w:rsidP="00A2530F">
      <w:pPr>
        <w:pBdr>
          <w:top w:val="nil"/>
          <w:left w:val="nil"/>
          <w:bottom w:val="nil"/>
          <w:right w:val="nil"/>
          <w:between w:val="nil"/>
        </w:pBdr>
      </w:pPr>
      <w:proofErr w:type="spellStart"/>
      <w:r>
        <w:t>Allain</w:t>
      </w:r>
      <w:proofErr w:type="spellEnd"/>
      <w:r>
        <w:t xml:space="preserve"> S., </w:t>
      </w:r>
      <w:proofErr w:type="spellStart"/>
      <w:r>
        <w:t>Ndong</w:t>
      </w:r>
      <w:proofErr w:type="spellEnd"/>
      <w:r>
        <w:t xml:space="preserve"> G.O., Lardy R., </w:t>
      </w:r>
      <w:proofErr w:type="spellStart"/>
      <w:r>
        <w:t>Leenhardt</w:t>
      </w:r>
      <w:proofErr w:type="spellEnd"/>
      <w:r>
        <w:t xml:space="preserve"> D., 2018, Integrated assessment of four strategies for solving water imbalance in an agricultural landscape, Agronomy for Sustainable Development, 38, 60.</w:t>
      </w:r>
    </w:p>
    <w:p w14:paraId="796A90CF" w14:textId="77777777" w:rsidR="00573939" w:rsidRPr="009B4294" w:rsidRDefault="00A33BC8" w:rsidP="00A2530F">
      <w:pPr>
        <w:pBdr>
          <w:top w:val="nil"/>
          <w:left w:val="nil"/>
          <w:bottom w:val="nil"/>
          <w:right w:val="nil"/>
          <w:between w:val="nil"/>
        </w:pBdr>
        <w:rPr>
          <w:lang w:val="fr-FR"/>
        </w:rPr>
      </w:pPr>
      <w:r w:rsidRPr="009B4294">
        <w:rPr>
          <w:lang w:val="fr-FR"/>
        </w:rPr>
        <w:t xml:space="preserve">Agence nationale de sécurité sanitaire, de l'alimentation, de l'environnement et du travail (Anses), 2021, </w:t>
      </w:r>
      <w:proofErr w:type="spellStart"/>
      <w:r w:rsidRPr="009B4294">
        <w:rPr>
          <w:lang w:val="fr-FR"/>
        </w:rPr>
        <w:t>Consumption</w:t>
      </w:r>
      <w:proofErr w:type="spellEnd"/>
      <w:r w:rsidRPr="009B4294">
        <w:rPr>
          <w:lang w:val="fr-FR"/>
        </w:rPr>
        <w:t xml:space="preserve"> and </w:t>
      </w:r>
      <w:proofErr w:type="spellStart"/>
      <w:r w:rsidRPr="009B4294">
        <w:rPr>
          <w:lang w:val="fr-FR"/>
        </w:rPr>
        <w:t>eating</w:t>
      </w:r>
      <w:proofErr w:type="spellEnd"/>
      <w:r w:rsidRPr="009B4294">
        <w:rPr>
          <w:lang w:val="fr-FR"/>
        </w:rPr>
        <w:t xml:space="preserve"> habits data </w:t>
      </w:r>
      <w:proofErr w:type="spellStart"/>
      <w:r w:rsidRPr="009B4294">
        <w:rPr>
          <w:lang w:val="fr-FR"/>
        </w:rPr>
        <w:t>from</w:t>
      </w:r>
      <w:proofErr w:type="spellEnd"/>
      <w:r w:rsidRPr="009B4294">
        <w:rPr>
          <w:lang w:val="fr-FR"/>
        </w:rPr>
        <w:t xml:space="preserve"> INCA 3 </w:t>
      </w:r>
      <w:proofErr w:type="spellStart"/>
      <w:r w:rsidRPr="009B4294">
        <w:rPr>
          <w:lang w:val="fr-FR"/>
        </w:rPr>
        <w:t>study</w:t>
      </w:r>
      <w:proofErr w:type="spellEnd"/>
      <w:r w:rsidRPr="009B4294">
        <w:rPr>
          <w:lang w:val="fr-FR"/>
        </w:rPr>
        <w:t xml:space="preserve"> (in French), &lt;</w:t>
      </w:r>
      <w:hyperlink r:id="rId11">
        <w:r w:rsidRPr="009B4294">
          <w:rPr>
            <w:lang w:val="fr-FR"/>
          </w:rPr>
          <w:t>www.data.gouv.fr/fr/datasets/donnees-de-consommations-et-habitudes-alimentaires-de-letude-inca-3/</w:t>
        </w:r>
      </w:hyperlink>
      <w:r w:rsidRPr="009B4294">
        <w:rPr>
          <w:lang w:val="fr-FR"/>
        </w:rPr>
        <w:t xml:space="preserve">&gt; </w:t>
      </w:r>
      <w:proofErr w:type="spellStart"/>
      <w:r w:rsidRPr="009B4294">
        <w:rPr>
          <w:lang w:val="fr-FR"/>
        </w:rPr>
        <w:t>accessed</w:t>
      </w:r>
      <w:proofErr w:type="spellEnd"/>
      <w:r w:rsidRPr="009B4294">
        <w:rPr>
          <w:lang w:val="fr-FR"/>
        </w:rPr>
        <w:t xml:space="preserve"> 08.03.2023.</w:t>
      </w:r>
    </w:p>
    <w:p w14:paraId="08425F39" w14:textId="77777777" w:rsidR="00573939" w:rsidRPr="009B4294" w:rsidRDefault="00A33BC8" w:rsidP="00A2530F">
      <w:pPr>
        <w:pBdr>
          <w:top w:val="nil"/>
          <w:left w:val="nil"/>
          <w:bottom w:val="nil"/>
          <w:right w:val="nil"/>
          <w:between w:val="nil"/>
        </w:pBdr>
        <w:rPr>
          <w:lang w:val="fr-FR"/>
        </w:rPr>
      </w:pPr>
      <w:r w:rsidRPr="009B4294">
        <w:rPr>
          <w:lang w:val="fr-FR"/>
        </w:rPr>
        <w:t xml:space="preserve">Agence ORE &amp; Gestionnaires de réseaux électricité et gaz, 2022, </w:t>
      </w:r>
      <w:proofErr w:type="spellStart"/>
      <w:r w:rsidRPr="009B4294">
        <w:rPr>
          <w:lang w:val="fr-FR"/>
        </w:rPr>
        <w:t>Annuall</w:t>
      </w:r>
      <w:proofErr w:type="spellEnd"/>
      <w:r w:rsidRPr="009B4294">
        <w:rPr>
          <w:lang w:val="fr-FR"/>
        </w:rPr>
        <w:t xml:space="preserve"> </w:t>
      </w:r>
      <w:proofErr w:type="spellStart"/>
      <w:r w:rsidRPr="009B4294">
        <w:rPr>
          <w:lang w:val="fr-FR"/>
        </w:rPr>
        <w:t>consumption</w:t>
      </w:r>
      <w:proofErr w:type="spellEnd"/>
      <w:r w:rsidRPr="009B4294">
        <w:rPr>
          <w:lang w:val="fr-FR"/>
        </w:rPr>
        <w:t xml:space="preserve"> of </w:t>
      </w:r>
      <w:proofErr w:type="spellStart"/>
      <w:r w:rsidRPr="009B4294">
        <w:rPr>
          <w:lang w:val="fr-FR"/>
        </w:rPr>
        <w:t>electricity</w:t>
      </w:r>
      <w:proofErr w:type="spellEnd"/>
      <w:r w:rsidRPr="009B4294">
        <w:rPr>
          <w:lang w:val="fr-FR"/>
        </w:rPr>
        <w:t xml:space="preserve"> and gaz by </w:t>
      </w:r>
      <w:proofErr w:type="spellStart"/>
      <w:r w:rsidRPr="009B4294">
        <w:rPr>
          <w:lang w:val="fr-FR"/>
        </w:rPr>
        <w:t>municipality</w:t>
      </w:r>
      <w:proofErr w:type="spellEnd"/>
      <w:r w:rsidRPr="009B4294">
        <w:rPr>
          <w:lang w:val="fr-FR"/>
        </w:rPr>
        <w:t xml:space="preserve"> and </w:t>
      </w:r>
      <w:proofErr w:type="spellStart"/>
      <w:r w:rsidRPr="009B4294">
        <w:rPr>
          <w:lang w:val="fr-FR"/>
        </w:rPr>
        <w:t>industry</w:t>
      </w:r>
      <w:proofErr w:type="spellEnd"/>
      <w:r w:rsidRPr="009B4294">
        <w:rPr>
          <w:lang w:val="fr-FR"/>
        </w:rPr>
        <w:t xml:space="preserve"> (in French), &lt;opendata.agenceore.fr/explore/dataset/conso-elec-gaz-annuelle-par-secteur-dactivite-agregee-commune/information/&gt; </w:t>
      </w:r>
      <w:proofErr w:type="spellStart"/>
      <w:r w:rsidRPr="009B4294">
        <w:rPr>
          <w:lang w:val="fr-FR"/>
        </w:rPr>
        <w:t>accessed</w:t>
      </w:r>
      <w:proofErr w:type="spellEnd"/>
      <w:r w:rsidRPr="009B4294">
        <w:rPr>
          <w:lang w:val="fr-FR"/>
        </w:rPr>
        <w:t xml:space="preserve"> 07.03.2023.</w:t>
      </w:r>
    </w:p>
    <w:p w14:paraId="754BB14C" w14:textId="77777777" w:rsidR="00573939" w:rsidRPr="00A2530F" w:rsidRDefault="00A33BC8" w:rsidP="00A2530F">
      <w:pPr>
        <w:pBdr>
          <w:top w:val="nil"/>
          <w:left w:val="nil"/>
          <w:bottom w:val="nil"/>
          <w:right w:val="nil"/>
          <w:between w:val="nil"/>
        </w:pBdr>
      </w:pPr>
      <w:proofErr w:type="spellStart"/>
      <w:r w:rsidRPr="00A2530F">
        <w:t>Agribalyse</w:t>
      </w:r>
      <w:proofErr w:type="spellEnd"/>
      <w:r w:rsidRPr="00A2530F">
        <w:t xml:space="preserve">, 2022, </w:t>
      </w:r>
      <w:proofErr w:type="spellStart"/>
      <w:r w:rsidRPr="00A2530F">
        <w:t>Explora</w:t>
      </w:r>
      <w:proofErr w:type="spellEnd"/>
      <w:r w:rsidRPr="00A2530F">
        <w:t xml:space="preserve"> database </w:t>
      </w:r>
      <w:proofErr w:type="spellStart"/>
      <w:r w:rsidRPr="00A2530F">
        <w:t>Agribalyse</w:t>
      </w:r>
      <w:proofErr w:type="spellEnd"/>
      <w:r w:rsidRPr="00A2530F">
        <w:t xml:space="preserve"> 3.1 (in French), &lt;agribalyse.ademe.fr/app&gt; accessed 08.03.2023.</w:t>
      </w:r>
    </w:p>
    <w:p w14:paraId="04F9276A" w14:textId="74506CF8" w:rsidR="00A2530F" w:rsidRPr="00A2530F" w:rsidRDefault="00A2530F" w:rsidP="00A2530F">
      <w:pPr>
        <w:pBdr>
          <w:top w:val="nil"/>
          <w:left w:val="nil"/>
          <w:bottom w:val="nil"/>
          <w:right w:val="nil"/>
          <w:between w:val="nil"/>
        </w:pBdr>
      </w:pPr>
      <w:proofErr w:type="spellStart"/>
      <w:r w:rsidRPr="00A2530F">
        <w:t>Dardonville</w:t>
      </w:r>
      <w:proofErr w:type="spellEnd"/>
      <w:r w:rsidRPr="00A2530F">
        <w:t xml:space="preserve"> M., </w:t>
      </w:r>
      <w:proofErr w:type="spellStart"/>
      <w:r w:rsidRPr="00A2530F">
        <w:t>Bockstaller</w:t>
      </w:r>
      <w:proofErr w:type="spellEnd"/>
      <w:r w:rsidRPr="00A2530F">
        <w:t xml:space="preserve"> C., </w:t>
      </w:r>
      <w:proofErr w:type="spellStart"/>
      <w:r w:rsidRPr="00A2530F">
        <w:t>Therond</w:t>
      </w:r>
      <w:proofErr w:type="spellEnd"/>
      <w:r w:rsidRPr="00A2530F">
        <w:t xml:space="preserve"> O.,</w:t>
      </w:r>
      <w:r>
        <w:t xml:space="preserve"> </w:t>
      </w:r>
      <w:r w:rsidRPr="00A2530F">
        <w:t>2021</w:t>
      </w:r>
      <w:r>
        <w:t xml:space="preserve">, </w:t>
      </w:r>
      <w:r w:rsidRPr="00A2530F">
        <w:t>Review of quantitative evaluations of the resilience, vulnerability, robustness and adaptive capacity of temperate agricultural systems, Journal of Cleaner Production, Vol 286, 125456.</w:t>
      </w:r>
    </w:p>
    <w:p w14:paraId="16B03D1C" w14:textId="77777777" w:rsidR="00573939" w:rsidRPr="00A2530F" w:rsidRDefault="00A33BC8" w:rsidP="00A2530F">
      <w:pPr>
        <w:pBdr>
          <w:top w:val="nil"/>
          <w:left w:val="nil"/>
          <w:bottom w:val="nil"/>
          <w:right w:val="nil"/>
          <w:between w:val="nil"/>
        </w:pBdr>
      </w:pPr>
      <w:r w:rsidRPr="00A2530F">
        <w:t xml:space="preserve">DU UMR LAE, 2016, Meteorological Zone | </w:t>
      </w:r>
      <w:proofErr w:type="spellStart"/>
      <w:r w:rsidRPr="00A2530F">
        <w:t>Maelia’s</w:t>
      </w:r>
      <w:proofErr w:type="spellEnd"/>
      <w:r w:rsidRPr="00A2530F">
        <w:t xml:space="preserve"> documentation platform (in French), &lt;maelia-platform.inra.fr/donnees/donnees-hydrologiques/donnees-zone-meteo/&gt; accessed 07.03.2023.</w:t>
      </w:r>
    </w:p>
    <w:p w14:paraId="02250E5A" w14:textId="77777777" w:rsidR="00573939" w:rsidRDefault="00A33BC8">
      <w:pPr>
        <w:pBdr>
          <w:top w:val="nil"/>
          <w:left w:val="nil"/>
          <w:bottom w:val="nil"/>
          <w:right w:val="nil"/>
          <w:between w:val="nil"/>
        </w:pBdr>
      </w:pPr>
      <w:proofErr w:type="spellStart"/>
      <w:r>
        <w:t>Eaufrance</w:t>
      </w:r>
      <w:proofErr w:type="spellEnd"/>
      <w:r>
        <w:t>, 2019, Agriculture in the water cycle (in French), &lt;www.eaufrance.fr/lagriculture-dans-le-cycle-de-leau&gt; accessed 07.03.2023.</w:t>
      </w:r>
    </w:p>
    <w:p w14:paraId="62A4487E" w14:textId="4A713DC6" w:rsidR="00573939" w:rsidRDefault="00A33BC8" w:rsidP="00A2530F">
      <w:pPr>
        <w:pBdr>
          <w:top w:val="nil"/>
          <w:left w:val="nil"/>
          <w:bottom w:val="nil"/>
          <w:right w:val="nil"/>
          <w:between w:val="nil"/>
        </w:pBdr>
      </w:pPr>
      <w:proofErr w:type="spellStart"/>
      <w:r>
        <w:lastRenderedPageBreak/>
        <w:t>Ecoinvent</w:t>
      </w:r>
      <w:proofErr w:type="spellEnd"/>
      <w:r>
        <w:t xml:space="preserve">, 2013, </w:t>
      </w:r>
      <w:proofErr w:type="spellStart"/>
      <w:r>
        <w:t>ecoinvent</w:t>
      </w:r>
      <w:proofErr w:type="spellEnd"/>
      <w:r>
        <w:t xml:space="preserve"> v3.0, &lt;ecoinvent.org/the-ecoinvent-database/data-releases/ecoinvent-3-0/&gt; accessed 08.03.2023.</w:t>
      </w:r>
    </w:p>
    <w:p w14:paraId="755BA387" w14:textId="1B298F09" w:rsidR="00A2530F" w:rsidRDefault="00A2530F" w:rsidP="00A2530F">
      <w:pPr>
        <w:pBdr>
          <w:top w:val="nil"/>
          <w:left w:val="nil"/>
          <w:bottom w:val="nil"/>
          <w:right w:val="nil"/>
          <w:between w:val="nil"/>
        </w:pBdr>
      </w:pPr>
      <w:r w:rsidRPr="00A2530F">
        <w:t>European Commission, 2022, European Platform on LCA | EPLCA, Developer Environmental Footprint (EF), &lt;eplca.jrc.ec.europa.eu/LCDN/</w:t>
      </w:r>
      <w:proofErr w:type="spellStart"/>
      <w:r w:rsidRPr="00A2530F">
        <w:t>developerEF.xhtml</w:t>
      </w:r>
      <w:proofErr w:type="spellEnd"/>
      <w:r w:rsidRPr="00A2530F">
        <w:t>&gt; accessed 08.03.2023.</w:t>
      </w:r>
    </w:p>
    <w:p w14:paraId="537DF3A6" w14:textId="77777777" w:rsidR="00573939" w:rsidRDefault="00A33BC8" w:rsidP="00A2530F">
      <w:pPr>
        <w:pBdr>
          <w:top w:val="nil"/>
          <w:left w:val="nil"/>
          <w:bottom w:val="nil"/>
          <w:right w:val="nil"/>
          <w:between w:val="nil"/>
        </w:pBdr>
      </w:pPr>
      <w:r>
        <w:t>GAMA Platform, 2023, GAMA Platform, &lt;gama-platform.org/&gt; accessed 08.03.2023.</w:t>
      </w:r>
    </w:p>
    <w:p w14:paraId="21F90B09" w14:textId="77777777" w:rsidR="00573939" w:rsidRDefault="00A33BC8">
      <w:pPr>
        <w:pBdr>
          <w:top w:val="nil"/>
          <w:left w:val="nil"/>
          <w:bottom w:val="nil"/>
          <w:right w:val="nil"/>
          <w:between w:val="nil"/>
        </w:pBdr>
      </w:pPr>
      <w:proofErr w:type="spellStart"/>
      <w:r>
        <w:t>Giampietro</w:t>
      </w:r>
      <w:proofErr w:type="spellEnd"/>
      <w:r>
        <w:t xml:space="preserve"> M., 2018, Perception and Representation of the Resource Nexus at the Interface between Society and the Natural Environment, Sustainability, 10, 2545.</w:t>
      </w:r>
    </w:p>
    <w:p w14:paraId="6A29290A" w14:textId="77777777" w:rsidR="00573939" w:rsidRDefault="00A33BC8">
      <w:pPr>
        <w:pBdr>
          <w:top w:val="nil"/>
          <w:left w:val="nil"/>
          <w:bottom w:val="nil"/>
          <w:right w:val="nil"/>
          <w:between w:val="nil"/>
        </w:pBdr>
      </w:pPr>
      <w:proofErr w:type="spellStart"/>
      <w:r>
        <w:t>Giampietro</w:t>
      </w:r>
      <w:proofErr w:type="spellEnd"/>
      <w:r>
        <w:t xml:space="preserve"> M., </w:t>
      </w:r>
      <w:proofErr w:type="spellStart"/>
      <w:r>
        <w:t>Aspinall</w:t>
      </w:r>
      <w:proofErr w:type="spellEnd"/>
      <w:r>
        <w:t xml:space="preserve"> R., </w:t>
      </w:r>
      <w:proofErr w:type="spellStart"/>
      <w:r>
        <w:t>Bukkens</w:t>
      </w:r>
      <w:proofErr w:type="spellEnd"/>
      <w:r>
        <w:t xml:space="preserve"> S., </w:t>
      </w:r>
      <w:proofErr w:type="spellStart"/>
      <w:r>
        <w:t>Cadillo</w:t>
      </w:r>
      <w:proofErr w:type="spellEnd"/>
      <w:r>
        <w:t xml:space="preserve"> J., Diaz-</w:t>
      </w:r>
      <w:proofErr w:type="spellStart"/>
      <w:r>
        <w:t>Maurin</w:t>
      </w:r>
      <w:proofErr w:type="spellEnd"/>
      <w:r>
        <w:t xml:space="preserve"> F., </w:t>
      </w:r>
      <w:proofErr w:type="spellStart"/>
      <w:r>
        <w:t>Flammini</w:t>
      </w:r>
      <w:proofErr w:type="spellEnd"/>
      <w:r>
        <w:t xml:space="preserve"> A., </w:t>
      </w:r>
      <w:proofErr w:type="spellStart"/>
      <w:r>
        <w:t>Gomiero</w:t>
      </w:r>
      <w:proofErr w:type="spellEnd"/>
      <w:r>
        <w:t xml:space="preserve"> T., </w:t>
      </w:r>
      <w:proofErr w:type="spellStart"/>
      <w:r>
        <w:t>Kovacic</w:t>
      </w:r>
      <w:proofErr w:type="spellEnd"/>
      <w:r>
        <w:t xml:space="preserve"> Z., Madrid Lopez C., Ramos-Martin J., serrano-</w:t>
      </w:r>
      <w:proofErr w:type="spellStart"/>
      <w:r>
        <w:t>tovar</w:t>
      </w:r>
      <w:proofErr w:type="spellEnd"/>
      <w:r>
        <w:t xml:space="preserve"> T., 2013, An Innovative Accounting Framework for the Food-Energy-Water Nexus: Application of the </w:t>
      </w:r>
      <w:proofErr w:type="spellStart"/>
      <w:r>
        <w:t>MuSIASEM</w:t>
      </w:r>
      <w:proofErr w:type="spellEnd"/>
      <w:r>
        <w:t xml:space="preserve"> approach to three case studies.</w:t>
      </w:r>
    </w:p>
    <w:p w14:paraId="48185D7E" w14:textId="77777777" w:rsidR="00573939" w:rsidRDefault="00A33BC8">
      <w:pPr>
        <w:pBdr>
          <w:top w:val="nil"/>
          <w:left w:val="nil"/>
          <w:bottom w:val="nil"/>
          <w:right w:val="nil"/>
          <w:between w:val="nil"/>
        </w:pBdr>
      </w:pPr>
      <w:proofErr w:type="spellStart"/>
      <w:r>
        <w:t>Guidehouse</w:t>
      </w:r>
      <w:proofErr w:type="spellEnd"/>
      <w:r>
        <w:t xml:space="preserve"> INSIGHTS, 2021, The Mutual Benefits of Wind Energy and Agriculture, &lt;guidehouseinsights.com/news-and-views/the-mutual-benefits-of-wind-energy-and-agriculture&gt; accessed 07.03.2023.</w:t>
      </w:r>
    </w:p>
    <w:p w14:paraId="69C78416" w14:textId="77777777" w:rsidR="00573939" w:rsidRDefault="00A33BC8" w:rsidP="00A2530F">
      <w:pPr>
        <w:pBdr>
          <w:top w:val="nil"/>
          <w:left w:val="nil"/>
          <w:bottom w:val="nil"/>
          <w:right w:val="nil"/>
          <w:between w:val="nil"/>
        </w:pBdr>
      </w:pPr>
      <w:r>
        <w:t xml:space="preserve">Maelia, 2016, Agricultural market | </w:t>
      </w:r>
      <w:proofErr w:type="spellStart"/>
      <w:r>
        <w:t>Maelia’s</w:t>
      </w:r>
      <w:proofErr w:type="spellEnd"/>
      <w:r>
        <w:t xml:space="preserve"> documentation platform (in French), &lt;maelia-platform.inra.fr/modeles/processus-agricoles/donnees-economiques/&gt; accessed 08.03.2023.</w:t>
      </w:r>
    </w:p>
    <w:p w14:paraId="44662B8F" w14:textId="49F699EC" w:rsidR="00B233B2" w:rsidRDefault="00A33BC8" w:rsidP="00A2530F">
      <w:pPr>
        <w:pBdr>
          <w:top w:val="nil"/>
          <w:left w:val="nil"/>
          <w:bottom w:val="nil"/>
          <w:right w:val="nil"/>
          <w:between w:val="nil"/>
        </w:pBdr>
      </w:pPr>
      <w:r>
        <w:t xml:space="preserve">Maelia, 2022, </w:t>
      </w:r>
      <w:proofErr w:type="spellStart"/>
      <w:r>
        <w:t>Maelia’s</w:t>
      </w:r>
      <w:proofErr w:type="spellEnd"/>
      <w:r>
        <w:t xml:space="preserve"> user guide (in French), &lt;51.210.241.87/</w:t>
      </w:r>
      <w:proofErr w:type="spellStart"/>
      <w:r>
        <w:t>docMaelia</w:t>
      </w:r>
      <w:proofErr w:type="spellEnd"/>
      <w:r>
        <w:t>/simulation.html&gt; accessed 08.03.2023.</w:t>
      </w:r>
    </w:p>
    <w:p w14:paraId="147BC04A" w14:textId="778206FC" w:rsidR="005A6575" w:rsidRDefault="005A6575" w:rsidP="00A2530F">
      <w:pPr>
        <w:pBdr>
          <w:top w:val="nil"/>
          <w:left w:val="nil"/>
          <w:bottom w:val="nil"/>
          <w:right w:val="nil"/>
          <w:between w:val="nil"/>
        </w:pBdr>
      </w:pPr>
      <w:r w:rsidRPr="005A6575">
        <w:rPr>
          <w:lang w:val="en-US"/>
        </w:rPr>
        <w:t xml:space="preserve">Martin, E., </w:t>
      </w:r>
      <w:proofErr w:type="spellStart"/>
      <w:r w:rsidRPr="005A6575">
        <w:rPr>
          <w:lang w:val="en-US"/>
        </w:rPr>
        <w:t>Gascoin</w:t>
      </w:r>
      <w:proofErr w:type="spellEnd"/>
      <w:r w:rsidRPr="005A6575">
        <w:rPr>
          <w:lang w:val="en-US"/>
        </w:rPr>
        <w:t xml:space="preserve">, S., </w:t>
      </w:r>
      <w:proofErr w:type="spellStart"/>
      <w:r w:rsidRPr="005A6575">
        <w:rPr>
          <w:lang w:val="en-US"/>
        </w:rPr>
        <w:t>Grusson</w:t>
      </w:r>
      <w:proofErr w:type="spellEnd"/>
      <w:r w:rsidRPr="005A6575">
        <w:rPr>
          <w:lang w:val="en-US"/>
        </w:rPr>
        <w:t xml:space="preserve">, Y., </w:t>
      </w:r>
      <w:proofErr w:type="spellStart"/>
      <w:r w:rsidRPr="005A6575">
        <w:rPr>
          <w:lang w:val="en-US"/>
        </w:rPr>
        <w:t>Murgue</w:t>
      </w:r>
      <w:proofErr w:type="spellEnd"/>
      <w:r w:rsidRPr="005A6575">
        <w:rPr>
          <w:lang w:val="en-US"/>
        </w:rPr>
        <w:t xml:space="preserve">, C., </w:t>
      </w:r>
      <w:proofErr w:type="spellStart"/>
      <w:r w:rsidRPr="005A6575">
        <w:rPr>
          <w:lang w:val="en-US"/>
        </w:rPr>
        <w:t>Bardeau</w:t>
      </w:r>
      <w:proofErr w:type="spellEnd"/>
      <w:r w:rsidRPr="005A6575">
        <w:rPr>
          <w:lang w:val="en-US"/>
        </w:rPr>
        <w:t xml:space="preserve">, M., </w:t>
      </w:r>
      <w:proofErr w:type="spellStart"/>
      <w:r w:rsidRPr="005A6575">
        <w:rPr>
          <w:lang w:val="en-US"/>
        </w:rPr>
        <w:t>Anctil</w:t>
      </w:r>
      <w:proofErr w:type="spellEnd"/>
      <w:r w:rsidRPr="005A6575">
        <w:rPr>
          <w:lang w:val="en-US"/>
        </w:rPr>
        <w:t xml:space="preserve">, F., </w:t>
      </w:r>
      <w:proofErr w:type="spellStart"/>
      <w:r w:rsidRPr="005A6575">
        <w:rPr>
          <w:lang w:val="en-US"/>
        </w:rPr>
        <w:t>Ferrant</w:t>
      </w:r>
      <w:proofErr w:type="spellEnd"/>
      <w:r w:rsidRPr="005A6575">
        <w:rPr>
          <w:lang w:val="en-US"/>
        </w:rPr>
        <w:t xml:space="preserve">, S., Lardy, R., Le </w:t>
      </w:r>
      <w:proofErr w:type="spellStart"/>
      <w:r w:rsidRPr="005A6575">
        <w:rPr>
          <w:lang w:val="en-US"/>
        </w:rPr>
        <w:t>Moigne</w:t>
      </w:r>
      <w:proofErr w:type="spellEnd"/>
      <w:r w:rsidRPr="005A6575">
        <w:rPr>
          <w:lang w:val="en-US"/>
        </w:rPr>
        <w:t xml:space="preserve">, P., </w:t>
      </w:r>
      <w:proofErr w:type="spellStart"/>
      <w:r w:rsidRPr="005A6575">
        <w:rPr>
          <w:lang w:val="en-US"/>
        </w:rPr>
        <w:t>Leenhardt</w:t>
      </w:r>
      <w:proofErr w:type="spellEnd"/>
      <w:r w:rsidRPr="005A6575">
        <w:rPr>
          <w:lang w:val="en-US"/>
        </w:rPr>
        <w:t xml:space="preserve">, D., </w:t>
      </w:r>
      <w:proofErr w:type="spellStart"/>
      <w:r w:rsidRPr="005A6575">
        <w:rPr>
          <w:lang w:val="en-US"/>
        </w:rPr>
        <w:t>Rivalland</w:t>
      </w:r>
      <w:proofErr w:type="spellEnd"/>
      <w:r w:rsidRPr="005A6575">
        <w:rPr>
          <w:lang w:val="en-US"/>
        </w:rPr>
        <w:t xml:space="preserve">, V., Sánchez Pérez, J.-M., </w:t>
      </w:r>
      <w:proofErr w:type="spellStart"/>
      <w:r w:rsidRPr="005A6575">
        <w:rPr>
          <w:lang w:val="en-US"/>
        </w:rPr>
        <w:t>Sauvage</w:t>
      </w:r>
      <w:proofErr w:type="spellEnd"/>
      <w:r w:rsidRPr="005A6575">
        <w:rPr>
          <w:lang w:val="en-US"/>
        </w:rPr>
        <w:t xml:space="preserve">, S., </w:t>
      </w:r>
      <w:proofErr w:type="spellStart"/>
      <w:r w:rsidRPr="005A6575">
        <w:rPr>
          <w:lang w:val="en-US"/>
        </w:rPr>
        <w:t>Therond</w:t>
      </w:r>
      <w:proofErr w:type="spellEnd"/>
      <w:r w:rsidRPr="005A6575">
        <w:rPr>
          <w:lang w:val="en-US"/>
        </w:rPr>
        <w:t xml:space="preserve">, O., 2016, </w:t>
      </w:r>
      <w:r>
        <w:t>On the Use of Hydrological Models and Satellite Data to Study the Water Budget of River Basins Affected by Human Activities: Examples from th</w:t>
      </w:r>
      <w:r w:rsidR="006B6532">
        <w:t>e Garonne Basin of France. Surveys in</w:t>
      </w:r>
      <w:r>
        <w:t xml:space="preserve"> Geophys</w:t>
      </w:r>
      <w:r w:rsidR="006B6532">
        <w:t>ics,</w:t>
      </w:r>
      <w:r>
        <w:t xml:space="preserve"> 37, </w:t>
      </w:r>
      <w:r w:rsidR="006B6532" w:rsidRPr="00A962FA">
        <w:t>pp.</w:t>
      </w:r>
      <w:r>
        <w:t>223–247.</w:t>
      </w:r>
    </w:p>
    <w:p w14:paraId="1611F077" w14:textId="6DBDDE92" w:rsidR="00A962FA" w:rsidRDefault="00A962FA" w:rsidP="00A2530F">
      <w:pPr>
        <w:pBdr>
          <w:top w:val="nil"/>
          <w:left w:val="nil"/>
          <w:bottom w:val="nil"/>
          <w:right w:val="nil"/>
          <w:between w:val="nil"/>
        </w:pBdr>
      </w:pPr>
      <w:proofErr w:type="spellStart"/>
      <w:r w:rsidRPr="00A962FA">
        <w:t>Mazzega</w:t>
      </w:r>
      <w:proofErr w:type="spellEnd"/>
      <w:r>
        <w:t xml:space="preserve"> P., </w:t>
      </w:r>
      <w:proofErr w:type="spellStart"/>
      <w:r w:rsidRPr="00A962FA">
        <w:t>Therond</w:t>
      </w:r>
      <w:proofErr w:type="spellEnd"/>
      <w:r>
        <w:t xml:space="preserve"> O., </w:t>
      </w:r>
      <w:proofErr w:type="spellStart"/>
      <w:r w:rsidRPr="00A962FA">
        <w:t>Debril</w:t>
      </w:r>
      <w:proofErr w:type="spellEnd"/>
      <w:r>
        <w:t xml:space="preserve"> T., </w:t>
      </w:r>
      <w:r w:rsidRPr="00A962FA">
        <w:t>March</w:t>
      </w:r>
      <w:r>
        <w:t xml:space="preserve"> H.</w:t>
      </w:r>
      <w:r w:rsidRPr="00A962FA">
        <w:t xml:space="preserve">, </w:t>
      </w:r>
      <w:proofErr w:type="spellStart"/>
      <w:r w:rsidRPr="00A962FA">
        <w:t>Sibertin</w:t>
      </w:r>
      <w:proofErr w:type="spellEnd"/>
      <w:r w:rsidRPr="00A962FA">
        <w:t>-Blanc</w:t>
      </w:r>
      <w:r>
        <w:t xml:space="preserve"> C., Lardy R., </w:t>
      </w:r>
      <w:proofErr w:type="spellStart"/>
      <w:r>
        <w:t>Sant’Ana</w:t>
      </w:r>
      <w:proofErr w:type="spellEnd"/>
      <w:r>
        <w:t xml:space="preserve"> D., 2014,</w:t>
      </w:r>
      <w:r w:rsidRPr="00A962FA">
        <w:t xml:space="preserve"> Critical Multi-level Governance Issues of Integrated Modelling: An Example of Low-Water Management in the Adour-Garonne Basin (Fra</w:t>
      </w:r>
      <w:r>
        <w:t>nce), Journal of Hydrology</w:t>
      </w:r>
      <w:r w:rsidRPr="00A962FA">
        <w:t xml:space="preserve">, 519, pp.2515-2526. </w:t>
      </w:r>
    </w:p>
    <w:p w14:paraId="060CF90F" w14:textId="193F517B" w:rsidR="00B233B2" w:rsidRDefault="00B233B2" w:rsidP="003C4678">
      <w:pPr>
        <w:pBdr>
          <w:top w:val="nil"/>
          <w:left w:val="nil"/>
          <w:bottom w:val="nil"/>
          <w:right w:val="nil"/>
          <w:between w:val="nil"/>
        </w:pBdr>
      </w:pPr>
      <w:proofErr w:type="spellStart"/>
      <w:proofErr w:type="gramStart"/>
      <w:r w:rsidRPr="00B233B2">
        <w:t>Meuwissen</w:t>
      </w:r>
      <w:proofErr w:type="spellEnd"/>
      <w:r>
        <w:t xml:space="preserve"> M.</w:t>
      </w:r>
      <w:r w:rsidR="003C4678">
        <w:t xml:space="preserve">, </w:t>
      </w:r>
      <w:proofErr w:type="spellStart"/>
      <w:r w:rsidRPr="00B233B2">
        <w:t>Feindt</w:t>
      </w:r>
      <w:proofErr w:type="spellEnd"/>
      <w:r>
        <w:t xml:space="preserve"> P.</w:t>
      </w:r>
      <w:r w:rsidRPr="00B233B2">
        <w:t>, Spiegel</w:t>
      </w:r>
      <w:r>
        <w:t xml:space="preserve"> A.,</w:t>
      </w:r>
      <w:r w:rsidR="003C4678">
        <w:t xml:space="preserve"> </w:t>
      </w:r>
      <w:proofErr w:type="spellStart"/>
      <w:r w:rsidR="003C4678">
        <w:t>T</w:t>
      </w:r>
      <w:r w:rsidRPr="00B233B2">
        <w:t>ermeer</w:t>
      </w:r>
      <w:proofErr w:type="spellEnd"/>
      <w:r>
        <w:t xml:space="preserve"> C.</w:t>
      </w:r>
      <w:r w:rsidRPr="00B233B2">
        <w:t xml:space="preserve">, </w:t>
      </w:r>
      <w:proofErr w:type="spellStart"/>
      <w:r w:rsidRPr="00B233B2">
        <w:t>Mathijs</w:t>
      </w:r>
      <w:proofErr w:type="spellEnd"/>
      <w:r w:rsidR="003C4678">
        <w:t xml:space="preserve"> E.</w:t>
      </w:r>
      <w:r w:rsidRPr="00B233B2">
        <w:t xml:space="preserve">, </w:t>
      </w:r>
      <w:proofErr w:type="spellStart"/>
      <w:r w:rsidRPr="00B233B2">
        <w:t>Mey</w:t>
      </w:r>
      <w:proofErr w:type="spellEnd"/>
      <w:r w:rsidR="003C4678">
        <w:t xml:space="preserve"> Y.</w:t>
      </w:r>
      <w:r w:rsidRPr="00B233B2">
        <w:t>, Finger</w:t>
      </w:r>
      <w:r w:rsidR="003C4678">
        <w:t xml:space="preserve"> R.</w:t>
      </w:r>
      <w:r w:rsidRPr="00B233B2">
        <w:t xml:space="preserve">, </w:t>
      </w:r>
      <w:proofErr w:type="spellStart"/>
      <w:r w:rsidRPr="00B233B2">
        <w:t>Balmann</w:t>
      </w:r>
      <w:proofErr w:type="spellEnd"/>
      <w:r w:rsidR="003C4678">
        <w:t xml:space="preserve"> A.</w:t>
      </w:r>
      <w:r w:rsidRPr="00B233B2">
        <w:t xml:space="preserve">, </w:t>
      </w:r>
      <w:proofErr w:type="spellStart"/>
      <w:r w:rsidRPr="00B233B2">
        <w:t>Wauters</w:t>
      </w:r>
      <w:proofErr w:type="spellEnd"/>
      <w:r w:rsidR="003C4678">
        <w:t xml:space="preserve"> E., </w:t>
      </w:r>
      <w:r w:rsidRPr="00B233B2">
        <w:t>Urquhart</w:t>
      </w:r>
      <w:r w:rsidR="003C4678">
        <w:t xml:space="preserve"> J.,</w:t>
      </w:r>
      <w:proofErr w:type="spellStart"/>
      <w:r w:rsidRPr="00B233B2">
        <w:t>Vigani</w:t>
      </w:r>
      <w:proofErr w:type="spellEnd"/>
      <w:r w:rsidR="003C4678">
        <w:t xml:space="preserve"> M.</w:t>
      </w:r>
      <w:r w:rsidRPr="00B233B2">
        <w:t xml:space="preserve">, </w:t>
      </w:r>
      <w:proofErr w:type="spellStart"/>
      <w:r w:rsidRPr="00B233B2">
        <w:t>Zawalińska</w:t>
      </w:r>
      <w:proofErr w:type="spellEnd"/>
      <w:r w:rsidR="003C4678">
        <w:t xml:space="preserve"> K.</w:t>
      </w:r>
      <w:r w:rsidRPr="00B233B2">
        <w:t>, Herrera</w:t>
      </w:r>
      <w:r w:rsidR="003C4678">
        <w:t xml:space="preserve"> </w:t>
      </w:r>
      <w:proofErr w:type="spellStart"/>
      <w:r w:rsidR="003C4678">
        <w:t>H.,</w:t>
      </w:r>
      <w:r w:rsidRPr="00B233B2">
        <w:t>Nicholas</w:t>
      </w:r>
      <w:proofErr w:type="spellEnd"/>
      <w:r w:rsidRPr="00B233B2">
        <w:t>-Davies</w:t>
      </w:r>
      <w:r w:rsidR="003C4678">
        <w:t xml:space="preserve"> P., </w:t>
      </w:r>
      <w:r w:rsidRPr="00B233B2">
        <w:t>Hansson</w:t>
      </w:r>
      <w:r w:rsidR="003C4678">
        <w:t xml:space="preserve"> H., </w:t>
      </w:r>
      <w:proofErr w:type="spellStart"/>
      <w:r w:rsidRPr="00B233B2">
        <w:t>Paas</w:t>
      </w:r>
      <w:proofErr w:type="spellEnd"/>
      <w:r w:rsidR="003C4678">
        <w:t xml:space="preserve"> W.</w:t>
      </w:r>
      <w:r w:rsidRPr="00B233B2">
        <w:t xml:space="preserve">, </w:t>
      </w:r>
      <w:proofErr w:type="spellStart"/>
      <w:r w:rsidRPr="00B233B2">
        <w:t>Slijper</w:t>
      </w:r>
      <w:proofErr w:type="spellEnd"/>
      <w:r w:rsidR="003C4678">
        <w:t xml:space="preserve"> T.,</w:t>
      </w:r>
      <w:r w:rsidRPr="00B233B2">
        <w:t xml:space="preserve"> </w:t>
      </w:r>
      <w:proofErr w:type="spellStart"/>
      <w:r w:rsidRPr="00B233B2">
        <w:t>Coopmans</w:t>
      </w:r>
      <w:proofErr w:type="spellEnd"/>
      <w:r w:rsidR="003C4678">
        <w:t xml:space="preserve"> I., </w:t>
      </w:r>
      <w:proofErr w:type="spellStart"/>
      <w:r w:rsidRPr="00B233B2">
        <w:t>Vroege</w:t>
      </w:r>
      <w:proofErr w:type="spellEnd"/>
      <w:r w:rsidR="003C4678">
        <w:t xml:space="preserve"> W.</w:t>
      </w:r>
      <w:r w:rsidRPr="00B233B2">
        <w:t xml:space="preserve">, </w:t>
      </w:r>
      <w:proofErr w:type="spellStart"/>
      <w:r w:rsidRPr="00B233B2">
        <w:t>Ciechomska</w:t>
      </w:r>
      <w:proofErr w:type="spellEnd"/>
      <w:r w:rsidR="003C4678">
        <w:t xml:space="preserve"> A.</w:t>
      </w:r>
      <w:r w:rsidRPr="00B233B2">
        <w:t xml:space="preserve">, </w:t>
      </w:r>
      <w:proofErr w:type="spellStart"/>
      <w:r w:rsidRPr="00B233B2">
        <w:t>Accatino</w:t>
      </w:r>
      <w:proofErr w:type="spellEnd"/>
      <w:r w:rsidR="003C4678">
        <w:t xml:space="preserve"> F., </w:t>
      </w:r>
      <w:proofErr w:type="spellStart"/>
      <w:r w:rsidRPr="00B233B2">
        <w:t>Kopainsky</w:t>
      </w:r>
      <w:proofErr w:type="spellEnd"/>
      <w:r w:rsidR="003C4678">
        <w:t xml:space="preserve"> B., </w:t>
      </w:r>
      <w:proofErr w:type="spellStart"/>
      <w:r w:rsidRPr="00B233B2">
        <w:t>Poortvliet</w:t>
      </w:r>
      <w:proofErr w:type="spellEnd"/>
      <w:r w:rsidR="003C4678">
        <w:t xml:space="preserve"> P., </w:t>
      </w:r>
      <w:proofErr w:type="spellStart"/>
      <w:r w:rsidRPr="00B233B2">
        <w:t>Candel</w:t>
      </w:r>
      <w:proofErr w:type="spellEnd"/>
      <w:r w:rsidR="003C4678">
        <w:t xml:space="preserve"> J., </w:t>
      </w:r>
      <w:r w:rsidRPr="00B233B2">
        <w:t>Maye</w:t>
      </w:r>
      <w:r w:rsidR="003C4678">
        <w:t xml:space="preserve"> D., </w:t>
      </w:r>
      <w:proofErr w:type="spellStart"/>
      <w:r w:rsidRPr="00B233B2">
        <w:t>Severini</w:t>
      </w:r>
      <w:proofErr w:type="spellEnd"/>
      <w:r w:rsidR="003C4678">
        <w:t xml:space="preserve"> S.</w:t>
      </w:r>
      <w:r w:rsidRPr="00B233B2">
        <w:t xml:space="preserve">, </w:t>
      </w:r>
      <w:proofErr w:type="spellStart"/>
      <w:r w:rsidRPr="00B233B2">
        <w:t>Senni</w:t>
      </w:r>
      <w:proofErr w:type="spellEnd"/>
      <w:r w:rsidR="003C4678">
        <w:t xml:space="preserve"> S., </w:t>
      </w:r>
      <w:r w:rsidRPr="00B233B2">
        <w:t>Soriano</w:t>
      </w:r>
      <w:r w:rsidR="003C4678">
        <w:t xml:space="preserve"> B.</w:t>
      </w:r>
      <w:r w:rsidRPr="00B233B2">
        <w:t>, Lagerkvist</w:t>
      </w:r>
      <w:r w:rsidR="003C4678">
        <w:t xml:space="preserve"> C., </w:t>
      </w:r>
      <w:proofErr w:type="spellStart"/>
      <w:r w:rsidRPr="00B233B2">
        <w:t>Peneva</w:t>
      </w:r>
      <w:proofErr w:type="spellEnd"/>
      <w:r w:rsidR="003C4678">
        <w:t xml:space="preserve"> M., </w:t>
      </w:r>
      <w:proofErr w:type="spellStart"/>
      <w:r w:rsidRPr="00B233B2">
        <w:t>Gavrilescu</w:t>
      </w:r>
      <w:proofErr w:type="spellEnd"/>
      <w:r w:rsidR="003C4678">
        <w:t xml:space="preserve"> C., </w:t>
      </w:r>
      <w:proofErr w:type="spellStart"/>
      <w:r w:rsidRPr="00B233B2">
        <w:t>Reidsma</w:t>
      </w:r>
      <w:proofErr w:type="spellEnd"/>
      <w:r w:rsidR="003C4678">
        <w:t xml:space="preserve"> P.</w:t>
      </w:r>
      <w:r w:rsidRPr="00B233B2">
        <w:t>,</w:t>
      </w:r>
      <w:r w:rsidR="003C4678" w:rsidRPr="003C4678">
        <w:t xml:space="preserve"> 2019,</w:t>
      </w:r>
      <w:r w:rsidR="003C4678">
        <w:t xml:space="preserve"> </w:t>
      </w:r>
      <w:r w:rsidR="003C4678" w:rsidRPr="003C4678">
        <w:t>A framework to assess the resilience of farming systems</w:t>
      </w:r>
      <w:r w:rsidR="003C4678">
        <w:t xml:space="preserve">, Agricultural Systems, Vol 176, </w:t>
      </w:r>
      <w:r w:rsidR="003C4678" w:rsidRPr="003C4678">
        <w:t>102656</w:t>
      </w:r>
      <w:r w:rsidR="003C4678">
        <w:t>.</w:t>
      </w:r>
      <w:proofErr w:type="gramEnd"/>
    </w:p>
    <w:p w14:paraId="2D25A138" w14:textId="139E5DB8" w:rsidR="007E5BA0" w:rsidRDefault="007E5BA0" w:rsidP="003C4678">
      <w:pPr>
        <w:pBdr>
          <w:top w:val="nil"/>
          <w:left w:val="nil"/>
          <w:bottom w:val="nil"/>
          <w:right w:val="nil"/>
          <w:between w:val="nil"/>
        </w:pBdr>
      </w:pPr>
      <w:proofErr w:type="spellStart"/>
      <w:r w:rsidRPr="007E5BA0">
        <w:t>Murgue</w:t>
      </w:r>
      <w:proofErr w:type="spellEnd"/>
      <w:r w:rsidRPr="007E5BA0">
        <w:t xml:space="preserve">, C., </w:t>
      </w:r>
      <w:proofErr w:type="spellStart"/>
      <w:r w:rsidRPr="007E5BA0">
        <w:t>Theron</w:t>
      </w:r>
      <w:r>
        <w:t>d</w:t>
      </w:r>
      <w:proofErr w:type="spellEnd"/>
      <w:r>
        <w:t xml:space="preserve">, O., </w:t>
      </w:r>
      <w:proofErr w:type="spellStart"/>
      <w:r>
        <w:t>Leenhardt</w:t>
      </w:r>
      <w:proofErr w:type="spellEnd"/>
      <w:r>
        <w:t>, D., 2016,</w:t>
      </w:r>
      <w:r w:rsidRPr="007E5BA0">
        <w:t xml:space="preserve"> Hybridizing local and generic information to model cropping system spatial distributio</w:t>
      </w:r>
      <w:r>
        <w:t xml:space="preserve">n in an agricultural landscape, </w:t>
      </w:r>
      <w:r w:rsidRPr="007E5BA0">
        <w:t>Agricultural Systems, 54, 339–354.</w:t>
      </w:r>
    </w:p>
    <w:p w14:paraId="2E99AFE9" w14:textId="77777777" w:rsidR="00573939" w:rsidRDefault="00A33BC8">
      <w:pPr>
        <w:pBdr>
          <w:top w:val="nil"/>
          <w:left w:val="nil"/>
          <w:bottom w:val="nil"/>
          <w:right w:val="nil"/>
          <w:between w:val="nil"/>
        </w:pBdr>
      </w:pPr>
      <w:r>
        <w:t xml:space="preserve">PARCEL, 2019, </w:t>
      </w:r>
      <w:proofErr w:type="gramStart"/>
      <w:r>
        <w:t>For</w:t>
      </w:r>
      <w:proofErr w:type="gramEnd"/>
      <w:r>
        <w:t xml:space="preserve"> a more resilient, human, and local diet (in French) &lt;parcel-app.org&gt; accessed 07.03.2023.</w:t>
      </w:r>
    </w:p>
    <w:p w14:paraId="58FE493F" w14:textId="77777777" w:rsidR="00573939" w:rsidRDefault="00A33BC8">
      <w:pPr>
        <w:pBdr>
          <w:top w:val="nil"/>
          <w:left w:val="nil"/>
          <w:bottom w:val="nil"/>
          <w:right w:val="nil"/>
          <w:between w:val="nil"/>
        </w:pBdr>
      </w:pPr>
      <w:r>
        <w:t xml:space="preserve">Peña-Torres D., </w:t>
      </w:r>
      <w:proofErr w:type="spellStart"/>
      <w:r>
        <w:t>Boix</w:t>
      </w:r>
      <w:proofErr w:type="spellEnd"/>
      <w:r>
        <w:t xml:space="preserve"> M., </w:t>
      </w:r>
      <w:proofErr w:type="spellStart"/>
      <w:r>
        <w:t>Montastruc</w:t>
      </w:r>
      <w:proofErr w:type="spellEnd"/>
      <w:r>
        <w:t xml:space="preserve"> L., 2022, Optimization approaches to design water-energy-food nexus: A   literature review, </w:t>
      </w:r>
      <w:hyperlink r:id="rId12">
        <w:r>
          <w:t>Computers &amp; Chemical Engineering</w:t>
        </w:r>
      </w:hyperlink>
      <w:r>
        <w:t>, Vol 167, 108025.</w:t>
      </w:r>
    </w:p>
    <w:p w14:paraId="2E4CDA4B" w14:textId="7276866E" w:rsidR="00573939" w:rsidRDefault="00A33BC8">
      <w:pPr>
        <w:pBdr>
          <w:top w:val="nil"/>
          <w:left w:val="nil"/>
          <w:bottom w:val="nil"/>
          <w:right w:val="nil"/>
          <w:between w:val="nil"/>
        </w:pBdr>
      </w:pPr>
      <w:r>
        <w:t>SudO</w:t>
      </w:r>
      <w:r w:rsidR="00DB025F">
        <w:t xml:space="preserve">uest.fr, AFP, 2015, </w:t>
      </w:r>
      <w:proofErr w:type="spellStart"/>
      <w:r w:rsidR="00DB025F">
        <w:t>Sivens</w:t>
      </w:r>
      <w:proofErr w:type="spellEnd"/>
      <w:r w:rsidR="00DB025F">
        <w:t>’ dam</w:t>
      </w:r>
      <w:r>
        <w:t>: "Extreme tension" and "Explosive situation" (in French), &lt;www.sudouest.fr/environnement/barrage-de-sivens-extreme-tension-et-situation-explosive-7876189.php&gt; accessed 07.03.2023.</w:t>
      </w:r>
    </w:p>
    <w:p w14:paraId="400E4A7F" w14:textId="77777777" w:rsidR="00573939" w:rsidRDefault="00A33BC8">
      <w:pPr>
        <w:pBdr>
          <w:top w:val="nil"/>
          <w:left w:val="nil"/>
          <w:bottom w:val="nil"/>
          <w:right w:val="nil"/>
          <w:between w:val="nil"/>
        </w:pBdr>
        <w:rPr>
          <w:i/>
          <w:color w:val="333333"/>
          <w:highlight w:val="white"/>
        </w:rPr>
      </w:pPr>
      <w:r>
        <w:t>The European Parliament and the Council of the European Union, 2000, Directive 2000/60/EC of the European Parliament and of the Council of 23 October 2000 establishing a framework for Community action in the field of water policy, Official Journal L 327, 1-73</w:t>
      </w:r>
    </w:p>
    <w:p w14:paraId="7F4CC6D2" w14:textId="794603CF" w:rsidR="00573939" w:rsidRDefault="00B46F37">
      <w:pPr>
        <w:pBdr>
          <w:top w:val="nil"/>
          <w:left w:val="nil"/>
          <w:bottom w:val="nil"/>
          <w:right w:val="nil"/>
          <w:between w:val="nil"/>
        </w:pBdr>
      </w:pPr>
      <w:proofErr w:type="spellStart"/>
      <w:r>
        <w:t>The</w:t>
      </w:r>
      <w:r w:rsidR="00A33BC8">
        <w:t>rond</w:t>
      </w:r>
      <w:proofErr w:type="spellEnd"/>
      <w:r w:rsidR="00A33BC8">
        <w:t xml:space="preserve">, O.; </w:t>
      </w:r>
      <w:proofErr w:type="spellStart"/>
      <w:r w:rsidR="00A33BC8">
        <w:t>Sibertin</w:t>
      </w:r>
      <w:proofErr w:type="spellEnd"/>
      <w:r w:rsidR="00A33BC8">
        <w:t xml:space="preserve">-Blanc, C.; Lardy, R.; </w:t>
      </w:r>
      <w:proofErr w:type="spellStart"/>
      <w:r w:rsidR="00A33BC8">
        <w:t>Gaudou</w:t>
      </w:r>
      <w:proofErr w:type="spellEnd"/>
      <w:r w:rsidR="00A33BC8">
        <w:t xml:space="preserve">, B.; </w:t>
      </w:r>
      <w:proofErr w:type="spellStart"/>
      <w:r w:rsidR="00A33BC8">
        <w:t>Balestrat</w:t>
      </w:r>
      <w:proofErr w:type="spellEnd"/>
      <w:r w:rsidR="00A33BC8">
        <w:t xml:space="preserve">, M.; Hong, Y.; </w:t>
      </w:r>
      <w:proofErr w:type="spellStart"/>
      <w:r w:rsidR="00A33BC8">
        <w:t>Louail</w:t>
      </w:r>
      <w:proofErr w:type="spellEnd"/>
      <w:r w:rsidR="00A33BC8">
        <w:t xml:space="preserve">, T.; Nguyen, V.; </w:t>
      </w:r>
      <w:proofErr w:type="spellStart"/>
      <w:r w:rsidR="00A33BC8">
        <w:t>Panzoli</w:t>
      </w:r>
      <w:proofErr w:type="spellEnd"/>
      <w:r w:rsidR="00A33BC8">
        <w:t xml:space="preserve">, D.; Sanchez, J.; </w:t>
      </w:r>
      <w:proofErr w:type="spellStart"/>
      <w:r w:rsidR="00A33BC8">
        <w:t>Sauvage</w:t>
      </w:r>
      <w:proofErr w:type="spellEnd"/>
      <w:r w:rsidR="00A33BC8">
        <w:t xml:space="preserve">, S.; </w:t>
      </w:r>
      <w:proofErr w:type="spellStart"/>
      <w:r w:rsidR="00A33BC8">
        <w:t>Taillandier</w:t>
      </w:r>
      <w:proofErr w:type="spellEnd"/>
      <w:r w:rsidR="00A33BC8">
        <w:t xml:space="preserve">, P.; </w:t>
      </w:r>
      <w:proofErr w:type="spellStart"/>
      <w:r w:rsidR="00A33BC8">
        <w:t>Vavasseur</w:t>
      </w:r>
      <w:proofErr w:type="spellEnd"/>
      <w:r w:rsidR="00A33BC8">
        <w:t xml:space="preserve">, M.; </w:t>
      </w:r>
      <w:proofErr w:type="spellStart"/>
      <w:r w:rsidR="00A33BC8">
        <w:t>Mazzega</w:t>
      </w:r>
      <w:proofErr w:type="spellEnd"/>
      <w:r w:rsidR="00A33BC8">
        <w:t>, P., 2014, Integrated modelling of social-ecological systems: The MAELIA high-resolution multi-agent platform to deal with water scarcity problems, International Environmental Modelling and Software Society, 7.</w:t>
      </w:r>
    </w:p>
    <w:p w14:paraId="21EE3F3C" w14:textId="4A01F93B" w:rsidR="00B46F37" w:rsidRDefault="00B46F37">
      <w:pPr>
        <w:pBdr>
          <w:top w:val="nil"/>
          <w:left w:val="nil"/>
          <w:bottom w:val="nil"/>
          <w:right w:val="nil"/>
          <w:between w:val="nil"/>
        </w:pBdr>
      </w:pPr>
      <w:r>
        <w:t xml:space="preserve">Tsai Y.H., Lin T.C., Lin S.H., Van </w:t>
      </w:r>
      <w:proofErr w:type="spellStart"/>
      <w:r>
        <w:t>Gasselt</w:t>
      </w:r>
      <w:proofErr w:type="spellEnd"/>
      <w:r>
        <w:t xml:space="preserve"> S., Chen C.L., Hsu C.H., Lin K.Y., Liu C.H., Tsai M.C., </w:t>
      </w:r>
      <w:proofErr w:type="spellStart"/>
      <w:r>
        <w:t>Xie</w:t>
      </w:r>
      <w:proofErr w:type="spellEnd"/>
      <w:r>
        <w:t xml:space="preserve"> Z.S.</w:t>
      </w:r>
      <w:hyperlink r:id="rId13">
        <w:r>
          <w:t>, 2019, The Effects of Green Energy Production on Farmland</w:t>
        </w:r>
      </w:hyperlink>
      <w:r>
        <w:t>,  &lt;</w:t>
      </w:r>
      <w:hyperlink r:id="rId14">
        <w:r>
          <w:t>www.intechopen.com/chapters/66795</w:t>
        </w:r>
      </w:hyperlink>
      <w:r>
        <w:t>&gt; accessed 07.03.2023.</w:t>
      </w:r>
    </w:p>
    <w:p w14:paraId="48C326DF" w14:textId="38E6D0FB" w:rsidR="00FD21BF" w:rsidRDefault="00FD21BF">
      <w:pPr>
        <w:pBdr>
          <w:top w:val="nil"/>
          <w:left w:val="nil"/>
          <w:bottom w:val="nil"/>
          <w:right w:val="nil"/>
          <w:between w:val="nil"/>
        </w:pBdr>
      </w:pPr>
      <w:proofErr w:type="spellStart"/>
      <w:r w:rsidRPr="00FD21BF">
        <w:t>Tribouillois</w:t>
      </w:r>
      <w:proofErr w:type="spellEnd"/>
      <w:r w:rsidRPr="00FD21BF">
        <w:t xml:space="preserve"> H., Constantin J., </w:t>
      </w:r>
      <w:proofErr w:type="spellStart"/>
      <w:r w:rsidRPr="00FD21BF">
        <w:t>Murgue</w:t>
      </w:r>
      <w:proofErr w:type="spellEnd"/>
      <w:r w:rsidRPr="00FD21BF">
        <w:t xml:space="preserve"> C</w:t>
      </w:r>
      <w:r>
        <w:t xml:space="preserve">., </w:t>
      </w:r>
      <w:proofErr w:type="spellStart"/>
      <w:r>
        <w:t>Villerd</w:t>
      </w:r>
      <w:proofErr w:type="spellEnd"/>
      <w:r>
        <w:t xml:space="preserve"> J., </w:t>
      </w:r>
      <w:proofErr w:type="spellStart"/>
      <w:r>
        <w:t>Therond</w:t>
      </w:r>
      <w:proofErr w:type="spellEnd"/>
      <w:r>
        <w:t xml:space="preserve"> O., 2022,</w:t>
      </w:r>
      <w:r w:rsidRPr="00FD21BF">
        <w:t xml:space="preserve"> Integrated </w:t>
      </w:r>
      <w:proofErr w:type="spellStart"/>
      <w:r w:rsidRPr="00FD21BF">
        <w:t>modeling</w:t>
      </w:r>
      <w:proofErr w:type="spellEnd"/>
      <w:r w:rsidRPr="00FD21BF">
        <w:t xml:space="preserve"> of crop and water management at the watershed scale: Optimizing irrigatio</w:t>
      </w:r>
      <w:r>
        <w:t>n and modifying crop succession,</w:t>
      </w:r>
      <w:r w:rsidRPr="00FD21BF">
        <w:t xml:space="preserve"> European Journal of Agronomy, 140</w:t>
      </w:r>
      <w:r>
        <w:t>.</w:t>
      </w:r>
    </w:p>
    <w:p w14:paraId="6DC3B601" w14:textId="011D40B0" w:rsidR="00573939" w:rsidRPr="006B6532" w:rsidRDefault="00A33BC8" w:rsidP="006B6532">
      <w:pPr>
        <w:pBdr>
          <w:top w:val="nil"/>
          <w:left w:val="nil"/>
          <w:bottom w:val="nil"/>
          <w:right w:val="nil"/>
          <w:between w:val="nil"/>
        </w:pBdr>
      </w:pPr>
      <w:r>
        <w:t xml:space="preserve">WEF Nexus, 2011, </w:t>
      </w:r>
      <w:hyperlink r:id="rId15">
        <w:r>
          <w:t>Bonn2011 Nexus Conference // The Water, Energy and Food Security Nexus - Solutions for a Green Economy | Nexus - The Water, Energy &amp; Food Security Resource Platform</w:t>
        </w:r>
      </w:hyperlink>
      <w:r>
        <w:t>, &lt;www.water-energy-food.org/events/conference-the-water-energy-and-food-security-nexus-bonn2011-nexus-conference&gt; accessed 07.03.2023.</w:t>
      </w:r>
    </w:p>
    <w:sectPr w:rsidR="00573939" w:rsidRPr="006B6532">
      <w:pgSz w:w="11906" w:h="16838"/>
      <w:pgMar w:top="1701" w:right="1418" w:bottom="1701" w:left="1701" w:header="1701" w:footer="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8166C" w16cex:dateUtc="2023-03-12T08:14:00Z"/>
  <w16cex:commentExtensible w16cex:durableId="27B80F86" w16cex:dateUtc="2023-03-12T07:44:00Z"/>
  <w16cex:commentExtensible w16cex:durableId="27B8103F" w16cex:dateUtc="2023-03-12T07:47:00Z"/>
  <w16cex:commentExtensible w16cex:durableId="27B811FB" w16cex:dateUtc="2023-03-12T07:55:00Z"/>
  <w16cex:commentExtensible w16cex:durableId="27B8121F" w16cex:dateUtc="2023-03-12T07:55:00Z"/>
  <w16cex:commentExtensible w16cex:durableId="27B8138C" w16cex:dateUtc="2023-03-12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562F9" w16cid:durableId="27B8166C"/>
  <w16cid:commentId w16cid:paraId="75B0D6B2" w16cid:durableId="27B80F86"/>
  <w16cid:commentId w16cid:paraId="3426632F" w16cid:durableId="27B8103F"/>
  <w16cid:commentId w16cid:paraId="3A5C2F23" w16cid:durableId="27B811FB"/>
  <w16cid:commentId w16cid:paraId="5BB6A0BA" w16cid:durableId="27B8121F"/>
  <w16cid:commentId w16cid:paraId="3F8D097E" w16cid:durableId="27B813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P6960">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B18D7"/>
    <w:multiLevelType w:val="multilevel"/>
    <w:tmpl w:val="69FA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B46F8"/>
    <w:multiLevelType w:val="multilevel"/>
    <w:tmpl w:val="D51A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77DCE"/>
    <w:multiLevelType w:val="multilevel"/>
    <w:tmpl w:val="5D3AC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D77731"/>
    <w:multiLevelType w:val="multilevel"/>
    <w:tmpl w:val="E434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A4D26"/>
    <w:multiLevelType w:val="multilevel"/>
    <w:tmpl w:val="D3A4E6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E616EC5"/>
    <w:multiLevelType w:val="multilevel"/>
    <w:tmpl w:val="96269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703141"/>
    <w:multiLevelType w:val="multilevel"/>
    <w:tmpl w:val="7FC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8128EC"/>
    <w:multiLevelType w:val="multilevel"/>
    <w:tmpl w:val="485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8417C"/>
    <w:multiLevelType w:val="multilevel"/>
    <w:tmpl w:val="FC66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66842"/>
    <w:multiLevelType w:val="multilevel"/>
    <w:tmpl w:val="E5FED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9"/>
  </w:num>
  <w:num w:numId="4">
    <w:abstractNumId w:val="4"/>
  </w:num>
  <w:num w:numId="5">
    <w:abstractNumId w:val="8"/>
  </w:num>
  <w:num w:numId="6">
    <w:abstractNumId w:val="3"/>
  </w:num>
  <w:num w:numId="7">
    <w:abstractNumId w:val="6"/>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39"/>
    <w:rsid w:val="00043B15"/>
    <w:rsid w:val="00054F92"/>
    <w:rsid w:val="00075506"/>
    <w:rsid w:val="000F694F"/>
    <w:rsid w:val="001228E6"/>
    <w:rsid w:val="001545AB"/>
    <w:rsid w:val="001B7BD5"/>
    <w:rsid w:val="001D47AE"/>
    <w:rsid w:val="001D62B0"/>
    <w:rsid w:val="001E0E4A"/>
    <w:rsid w:val="00213855"/>
    <w:rsid w:val="00215232"/>
    <w:rsid w:val="00255DD0"/>
    <w:rsid w:val="00261579"/>
    <w:rsid w:val="00283528"/>
    <w:rsid w:val="00290BC1"/>
    <w:rsid w:val="002C401B"/>
    <w:rsid w:val="002E7382"/>
    <w:rsid w:val="002F6889"/>
    <w:rsid w:val="003544B6"/>
    <w:rsid w:val="0036385C"/>
    <w:rsid w:val="003664FF"/>
    <w:rsid w:val="003C4678"/>
    <w:rsid w:val="003D0EDA"/>
    <w:rsid w:val="00402A2C"/>
    <w:rsid w:val="004C1F03"/>
    <w:rsid w:val="004D14FC"/>
    <w:rsid w:val="005042A5"/>
    <w:rsid w:val="00513224"/>
    <w:rsid w:val="00573939"/>
    <w:rsid w:val="005878EA"/>
    <w:rsid w:val="005A6575"/>
    <w:rsid w:val="005B2BAC"/>
    <w:rsid w:val="006426C0"/>
    <w:rsid w:val="0068204B"/>
    <w:rsid w:val="006B6532"/>
    <w:rsid w:val="00704725"/>
    <w:rsid w:val="00724245"/>
    <w:rsid w:val="007435D6"/>
    <w:rsid w:val="00757E75"/>
    <w:rsid w:val="00774CB8"/>
    <w:rsid w:val="0079038C"/>
    <w:rsid w:val="007E16A3"/>
    <w:rsid w:val="007E5BA0"/>
    <w:rsid w:val="00810600"/>
    <w:rsid w:val="0085138E"/>
    <w:rsid w:val="008C4A33"/>
    <w:rsid w:val="008C6CF3"/>
    <w:rsid w:val="008E7887"/>
    <w:rsid w:val="00900920"/>
    <w:rsid w:val="009527D4"/>
    <w:rsid w:val="009761EB"/>
    <w:rsid w:val="009B4294"/>
    <w:rsid w:val="00A2530F"/>
    <w:rsid w:val="00A31204"/>
    <w:rsid w:val="00A323F9"/>
    <w:rsid w:val="00A33BC8"/>
    <w:rsid w:val="00A57419"/>
    <w:rsid w:val="00A962FA"/>
    <w:rsid w:val="00AA4EEA"/>
    <w:rsid w:val="00AC7628"/>
    <w:rsid w:val="00AF51CE"/>
    <w:rsid w:val="00B14409"/>
    <w:rsid w:val="00B233B2"/>
    <w:rsid w:val="00B46F37"/>
    <w:rsid w:val="00B7451D"/>
    <w:rsid w:val="00BE14C1"/>
    <w:rsid w:val="00BF7910"/>
    <w:rsid w:val="00C46E78"/>
    <w:rsid w:val="00CB48D6"/>
    <w:rsid w:val="00D2594C"/>
    <w:rsid w:val="00DB025F"/>
    <w:rsid w:val="00DE1D1D"/>
    <w:rsid w:val="00E4734D"/>
    <w:rsid w:val="00E52FF6"/>
    <w:rsid w:val="00E73D6F"/>
    <w:rsid w:val="00E81EB9"/>
    <w:rsid w:val="00ED4EDA"/>
    <w:rsid w:val="00ED5070"/>
    <w:rsid w:val="00F86E06"/>
    <w:rsid w:val="00FC50B7"/>
    <w:rsid w:val="00FD21BF"/>
    <w:rsid w:val="00FF3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66EF"/>
  <w15:docId w15:val="{0AB28C90-C3D8-498C-B0D7-44369507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8"/>
        <w:szCs w:val="18"/>
        <w:lang w:val="en-GB" w:eastAsia="fr-FR" w:bidi="ar-SA"/>
      </w:rPr>
    </w:rPrDefault>
    <w:pPrDefault>
      <w:pPr>
        <w:tabs>
          <w:tab w:val="right" w:pos="7100"/>
        </w:tabs>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pBdr>
        <w:top w:val="nil"/>
        <w:left w:val="nil"/>
        <w:bottom w:val="nil"/>
        <w:right w:val="nil"/>
        <w:between w:val="nil"/>
      </w:pBdr>
      <w:spacing w:before="240" w:after="120" w:line="240" w:lineRule="auto"/>
      <w:outlineLvl w:val="0"/>
    </w:pPr>
    <w:rPr>
      <w:b/>
      <w:color w:val="000000"/>
      <w:sz w:val="20"/>
      <w:szCs w:val="20"/>
    </w:rPr>
  </w:style>
  <w:style w:type="paragraph" w:styleId="Titre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itre3">
    <w:name w:val="heading 3"/>
    <w:basedOn w:val="Normal"/>
    <w:next w:val="Normal"/>
    <w:pPr>
      <w:keepNext/>
      <w:keepLines/>
      <w:spacing w:before="200"/>
      <w:outlineLvl w:val="2"/>
    </w:pPr>
    <w:rPr>
      <w:rFonts w:ascii="Cambria" w:eastAsia="Cambria" w:hAnsi="Cambria" w:cs="Cambria"/>
      <w:b/>
      <w:color w:val="4F81BD"/>
    </w:rPr>
  </w:style>
  <w:style w:type="paragraph" w:styleId="Titre4">
    <w:name w:val="heading 4"/>
    <w:basedOn w:val="Normal"/>
    <w:next w:val="Normal"/>
    <w:pPr>
      <w:keepNext/>
      <w:keepLines/>
      <w:spacing w:before="200"/>
      <w:outlineLvl w:val="3"/>
    </w:pPr>
    <w:rPr>
      <w:rFonts w:ascii="Cambria" w:eastAsia="Cambria" w:hAnsi="Cambria" w:cs="Cambria"/>
      <w:b/>
      <w:i/>
      <w:color w:val="4F81BD"/>
    </w:rPr>
  </w:style>
  <w:style w:type="paragraph" w:styleId="Titre5">
    <w:name w:val="heading 5"/>
    <w:basedOn w:val="Normal"/>
    <w:next w:val="Normal"/>
    <w:pPr>
      <w:keepNext/>
      <w:keepLines/>
      <w:spacing w:before="200"/>
      <w:outlineLvl w:val="4"/>
    </w:pPr>
    <w:rPr>
      <w:rFonts w:ascii="Cambria" w:eastAsia="Cambria" w:hAnsi="Cambria" w:cs="Cambria"/>
      <w:color w:val="243F61"/>
    </w:rPr>
  </w:style>
  <w:style w:type="paragraph" w:styleId="Titre6">
    <w:name w:val="heading 6"/>
    <w:basedOn w:val="Normal"/>
    <w:next w:val="Normal"/>
    <w:pPr>
      <w:keepNext/>
      <w:keepLines/>
      <w:spacing w:before="200"/>
      <w:outlineLvl w:val="5"/>
    </w:pPr>
    <w:rPr>
      <w:rFonts w:ascii="Cambria" w:eastAsia="Cambria" w:hAnsi="Cambria" w:cs="Cambria"/>
      <w: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vision">
    <w:name w:val="Revision"/>
    <w:hidden/>
    <w:uiPriority w:val="99"/>
    <w:semiHidden/>
    <w:rsid w:val="00054F92"/>
    <w:pPr>
      <w:tabs>
        <w:tab w:val="clear" w:pos="7100"/>
      </w:tabs>
      <w:spacing w:line="240" w:lineRule="auto"/>
      <w:jc w:val="left"/>
    </w:pPr>
  </w:style>
  <w:style w:type="character" w:styleId="Marquedecommentaire">
    <w:name w:val="annotation reference"/>
    <w:basedOn w:val="Policepardfaut"/>
    <w:uiPriority w:val="99"/>
    <w:semiHidden/>
    <w:unhideWhenUsed/>
    <w:rsid w:val="00A323F9"/>
    <w:rPr>
      <w:sz w:val="16"/>
      <w:szCs w:val="16"/>
    </w:rPr>
  </w:style>
  <w:style w:type="paragraph" w:styleId="Commentaire">
    <w:name w:val="annotation text"/>
    <w:basedOn w:val="Normal"/>
    <w:link w:val="CommentaireCar"/>
    <w:uiPriority w:val="99"/>
    <w:semiHidden/>
    <w:unhideWhenUsed/>
    <w:rsid w:val="00A323F9"/>
    <w:pPr>
      <w:spacing w:line="240" w:lineRule="auto"/>
    </w:pPr>
    <w:rPr>
      <w:sz w:val="20"/>
      <w:szCs w:val="20"/>
    </w:rPr>
  </w:style>
  <w:style w:type="character" w:customStyle="1" w:styleId="CommentaireCar">
    <w:name w:val="Commentaire Car"/>
    <w:basedOn w:val="Policepardfaut"/>
    <w:link w:val="Commentaire"/>
    <w:uiPriority w:val="99"/>
    <w:semiHidden/>
    <w:rsid w:val="00A323F9"/>
    <w:rPr>
      <w:sz w:val="20"/>
      <w:szCs w:val="20"/>
    </w:rPr>
  </w:style>
  <w:style w:type="paragraph" w:styleId="Objetducommentaire">
    <w:name w:val="annotation subject"/>
    <w:basedOn w:val="Commentaire"/>
    <w:next w:val="Commentaire"/>
    <w:link w:val="ObjetducommentaireCar"/>
    <w:uiPriority w:val="99"/>
    <w:semiHidden/>
    <w:unhideWhenUsed/>
    <w:rsid w:val="00A323F9"/>
    <w:rPr>
      <w:b/>
      <w:bCs/>
    </w:rPr>
  </w:style>
  <w:style w:type="character" w:customStyle="1" w:styleId="ObjetducommentaireCar">
    <w:name w:val="Objet du commentaire Car"/>
    <w:basedOn w:val="CommentaireCar"/>
    <w:link w:val="Objetducommentaire"/>
    <w:uiPriority w:val="99"/>
    <w:semiHidden/>
    <w:rsid w:val="00A323F9"/>
    <w:rPr>
      <w:b/>
      <w:bCs/>
      <w:sz w:val="20"/>
      <w:szCs w:val="20"/>
    </w:rPr>
  </w:style>
  <w:style w:type="character" w:customStyle="1" w:styleId="anchor-text">
    <w:name w:val="anchor-text"/>
    <w:basedOn w:val="Policepardfaut"/>
    <w:rsid w:val="00A323F9"/>
  </w:style>
  <w:style w:type="paragraph" w:styleId="Textedebulles">
    <w:name w:val="Balloon Text"/>
    <w:basedOn w:val="Normal"/>
    <w:link w:val="TextedebullesCar"/>
    <w:uiPriority w:val="99"/>
    <w:semiHidden/>
    <w:unhideWhenUsed/>
    <w:rsid w:val="00757E75"/>
    <w:pPr>
      <w:spacing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757E75"/>
    <w:rPr>
      <w:rFonts w:ascii="Segoe UI" w:hAnsi="Segoe UI" w:cs="Segoe UI"/>
    </w:rPr>
  </w:style>
  <w:style w:type="paragraph" w:styleId="PrformatHTML">
    <w:name w:val="HTML Preformatted"/>
    <w:basedOn w:val="Normal"/>
    <w:link w:val="PrformatHTMLCar"/>
    <w:uiPriority w:val="99"/>
    <w:unhideWhenUsed/>
    <w:rsid w:val="008E7887"/>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eastAsia="en-US"/>
    </w:rPr>
  </w:style>
  <w:style w:type="character" w:customStyle="1" w:styleId="PrformatHTMLCar">
    <w:name w:val="Préformaté HTML Car"/>
    <w:basedOn w:val="Policepardfaut"/>
    <w:link w:val="PrformatHTML"/>
    <w:uiPriority w:val="99"/>
    <w:rsid w:val="008E7887"/>
    <w:rPr>
      <w:rFonts w:ascii="Courier New" w:eastAsia="Times New Roman" w:hAnsi="Courier New" w:cs="Courier New"/>
      <w:sz w:val="20"/>
      <w:szCs w:val="20"/>
      <w:lang w:val="en-US" w:eastAsia="en-US"/>
    </w:rPr>
  </w:style>
  <w:style w:type="paragraph" w:styleId="NormalWeb">
    <w:name w:val="Normal (Web)"/>
    <w:basedOn w:val="Normal"/>
    <w:uiPriority w:val="99"/>
    <w:unhideWhenUsed/>
    <w:rsid w:val="00ED4EDA"/>
    <w:pPr>
      <w:tabs>
        <w:tab w:val="clear" w:pos="7100"/>
      </w:tabs>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styleId="Lienhypertexte">
    <w:name w:val="Hyperlink"/>
    <w:basedOn w:val="Policepardfaut"/>
    <w:uiPriority w:val="99"/>
    <w:unhideWhenUsed/>
    <w:rsid w:val="00122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1100">
      <w:bodyDiv w:val="1"/>
      <w:marLeft w:val="0"/>
      <w:marRight w:val="0"/>
      <w:marTop w:val="0"/>
      <w:marBottom w:val="0"/>
      <w:divBdr>
        <w:top w:val="none" w:sz="0" w:space="0" w:color="auto"/>
        <w:left w:val="none" w:sz="0" w:space="0" w:color="auto"/>
        <w:bottom w:val="none" w:sz="0" w:space="0" w:color="auto"/>
        <w:right w:val="none" w:sz="0" w:space="0" w:color="auto"/>
      </w:divBdr>
    </w:div>
    <w:div w:id="443697507">
      <w:bodyDiv w:val="1"/>
      <w:marLeft w:val="0"/>
      <w:marRight w:val="0"/>
      <w:marTop w:val="0"/>
      <w:marBottom w:val="0"/>
      <w:divBdr>
        <w:top w:val="none" w:sz="0" w:space="0" w:color="auto"/>
        <w:left w:val="none" w:sz="0" w:space="0" w:color="auto"/>
        <w:bottom w:val="none" w:sz="0" w:space="0" w:color="auto"/>
        <w:right w:val="none" w:sz="0" w:space="0" w:color="auto"/>
      </w:divBdr>
    </w:div>
    <w:div w:id="522086239">
      <w:bodyDiv w:val="1"/>
      <w:marLeft w:val="0"/>
      <w:marRight w:val="0"/>
      <w:marTop w:val="0"/>
      <w:marBottom w:val="0"/>
      <w:divBdr>
        <w:top w:val="none" w:sz="0" w:space="0" w:color="auto"/>
        <w:left w:val="none" w:sz="0" w:space="0" w:color="auto"/>
        <w:bottom w:val="none" w:sz="0" w:space="0" w:color="auto"/>
        <w:right w:val="none" w:sz="0" w:space="0" w:color="auto"/>
      </w:divBdr>
    </w:div>
    <w:div w:id="975918144">
      <w:bodyDiv w:val="1"/>
      <w:marLeft w:val="0"/>
      <w:marRight w:val="0"/>
      <w:marTop w:val="0"/>
      <w:marBottom w:val="0"/>
      <w:divBdr>
        <w:top w:val="none" w:sz="0" w:space="0" w:color="auto"/>
        <w:left w:val="none" w:sz="0" w:space="0" w:color="auto"/>
        <w:bottom w:val="none" w:sz="0" w:space="0" w:color="auto"/>
        <w:right w:val="none" w:sz="0" w:space="0" w:color="auto"/>
      </w:divBdr>
    </w:div>
    <w:div w:id="1758820111">
      <w:bodyDiv w:val="1"/>
      <w:marLeft w:val="0"/>
      <w:marRight w:val="0"/>
      <w:marTop w:val="0"/>
      <w:marBottom w:val="0"/>
      <w:divBdr>
        <w:top w:val="none" w:sz="0" w:space="0" w:color="auto"/>
        <w:left w:val="none" w:sz="0" w:space="0" w:color="auto"/>
        <w:bottom w:val="none" w:sz="0" w:space="0" w:color="auto"/>
        <w:right w:val="none" w:sz="0" w:space="0" w:color="auto"/>
      </w:divBdr>
    </w:div>
    <w:div w:id="1859853739">
      <w:bodyDiv w:val="1"/>
      <w:marLeft w:val="0"/>
      <w:marRight w:val="0"/>
      <w:marTop w:val="0"/>
      <w:marBottom w:val="0"/>
      <w:divBdr>
        <w:top w:val="none" w:sz="0" w:space="0" w:color="auto"/>
        <w:left w:val="none" w:sz="0" w:space="0" w:color="auto"/>
        <w:bottom w:val="none" w:sz="0" w:space="0" w:color="auto"/>
        <w:right w:val="none" w:sz="0" w:space="0" w:color="auto"/>
      </w:divBdr>
    </w:div>
    <w:div w:id="191072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google-docs/?broken=sWYDLz" TargetMode="External"/><Relationship Id="rId13" Type="http://schemas.openxmlformats.org/officeDocument/2006/relationships/hyperlink" Target="https://www.zotero.org/google-docs/?broken=S7mRVX"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sciencedirect.com/journal/computers-and-chemical-enginee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data.gouv.fr/fr/datasets/donnees-de-consommations-et-habitudes-alimentaires-de-letude-inca-3/" TargetMode="External"/><Relationship Id="rId5" Type="http://schemas.openxmlformats.org/officeDocument/2006/relationships/webSettings" Target="webSettings.xml"/><Relationship Id="rId15" Type="http://schemas.openxmlformats.org/officeDocument/2006/relationships/hyperlink" Target="https://www.zotero.org/google-docs/?broken=PDbSR7" TargetMode="External"/><Relationship Id="rId10" Type="http://schemas.openxmlformats.org/officeDocument/2006/relationships/image" Target="media/image4.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intechopen.com/chapters/66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C31D-3F28-4349-8D55-FE38901F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3900</Words>
  <Characters>22231</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INP-ENSIACET</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asaintbo</dc:creator>
  <cp:lastModifiedBy>asaintbo</cp:lastModifiedBy>
  <cp:revision>30</cp:revision>
  <cp:lastPrinted>2023-03-09T09:34:00Z</cp:lastPrinted>
  <dcterms:created xsi:type="dcterms:W3CDTF">2023-03-13T16:24:00Z</dcterms:created>
  <dcterms:modified xsi:type="dcterms:W3CDTF">2023-06-26T15:33:00Z</dcterms:modified>
</cp:coreProperties>
</file>