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03B7D">
        <w:trPr>
          <w:trHeight w:val="852"/>
          <w:jc w:val="center"/>
        </w:trPr>
        <w:tc>
          <w:tcPr>
            <w:tcW w:w="6940" w:type="dxa"/>
            <w:vMerge w:val="restart"/>
            <w:tcBorders>
              <w:right w:val="single" w:sz="4" w:space="0" w:color="auto"/>
            </w:tcBorders>
          </w:tcPr>
          <w:p w14:paraId="38C3D2BA" w14:textId="5CD27770" w:rsidR="000A03B2" w:rsidRPr="00B57B36" w:rsidRDefault="000214E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113CDA15" wp14:editId="66871BA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2744EB94" w:rsidR="000A03B2" w:rsidRPr="00B57B36" w:rsidRDefault="000214E2" w:rsidP="00CD5FE2">
            <w:pPr>
              <w:jc w:val="right"/>
            </w:pPr>
            <w:r w:rsidRPr="00B57B36">
              <w:rPr>
                <w:noProof/>
                <w:lang w:eastAsia="en-GB"/>
              </w:rPr>
              <w:drawing>
                <wp:inline distT="0" distB="0" distL="0" distR="0" wp14:anchorId="1A0E4902" wp14:editId="31137F0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03B7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03B7D">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2A883AA" w14:textId="2346A68C" w:rsidR="00D80D5E" w:rsidRDefault="00D80D5E" w:rsidP="00F03B7D">
      <w:pPr>
        <w:pStyle w:val="CETAuthors"/>
        <w:rPr>
          <w:noProof w:val="0"/>
          <w:sz w:val="32"/>
        </w:rPr>
      </w:pPr>
      <w:r w:rsidRPr="00D80D5E">
        <w:rPr>
          <w:noProof w:val="0"/>
          <w:sz w:val="32"/>
        </w:rPr>
        <w:t xml:space="preserve">Producing Hydrogen and Fresh Water from Brackish </w:t>
      </w:r>
      <w:r w:rsidR="00AF4799">
        <w:rPr>
          <w:noProof w:val="0"/>
          <w:sz w:val="32"/>
        </w:rPr>
        <w:t>W</w:t>
      </w:r>
      <w:r w:rsidRPr="00D80D5E">
        <w:rPr>
          <w:noProof w:val="0"/>
          <w:sz w:val="32"/>
        </w:rPr>
        <w:t xml:space="preserve">ater </w:t>
      </w:r>
      <w:r w:rsidR="00AF4799">
        <w:rPr>
          <w:noProof w:val="0"/>
          <w:sz w:val="32"/>
        </w:rPr>
        <w:t>D</w:t>
      </w:r>
      <w:r w:rsidRPr="00D80D5E">
        <w:rPr>
          <w:noProof w:val="0"/>
          <w:sz w:val="32"/>
        </w:rPr>
        <w:t xml:space="preserve">esalination via </w:t>
      </w:r>
      <w:r w:rsidR="00AF4799">
        <w:rPr>
          <w:noProof w:val="0"/>
          <w:sz w:val="32"/>
        </w:rPr>
        <w:t>E</w:t>
      </w:r>
      <w:r w:rsidRPr="00D80D5E">
        <w:rPr>
          <w:noProof w:val="0"/>
          <w:sz w:val="32"/>
        </w:rPr>
        <w:t xml:space="preserve">lectrodialysis </w:t>
      </w:r>
    </w:p>
    <w:p w14:paraId="56F902E8" w14:textId="30C51921" w:rsidR="00F03B7D" w:rsidRPr="00261E52" w:rsidRDefault="00F03B7D" w:rsidP="00F03B7D">
      <w:pPr>
        <w:pStyle w:val="CETAuthors"/>
        <w:rPr>
          <w:lang w:val="it-IT"/>
        </w:rPr>
      </w:pPr>
      <w:r w:rsidRPr="00334EAA">
        <w:rPr>
          <w:lang w:val="it-IT"/>
        </w:rPr>
        <w:t xml:space="preserve">Giovanni Campisi, </w:t>
      </w:r>
      <w:r w:rsidR="00931D36">
        <w:rPr>
          <w:lang w:val="it-IT"/>
        </w:rPr>
        <w:t xml:space="preserve">Alessandra Pellegrino, </w:t>
      </w:r>
      <w:r w:rsidR="00D80D5E">
        <w:rPr>
          <w:lang w:val="it-IT"/>
        </w:rPr>
        <w:t>Andrea Cipollina</w:t>
      </w:r>
      <w:r>
        <w:rPr>
          <w:lang w:val="it-IT"/>
        </w:rPr>
        <w:t>, Alessandro Tamburini</w:t>
      </w:r>
      <w:r>
        <w:rPr>
          <w:vertAlign w:val="superscript"/>
          <w:lang w:val="it-IT"/>
        </w:rPr>
        <w:t>*</w:t>
      </w:r>
      <w:r>
        <w:rPr>
          <w:lang w:val="it-IT"/>
        </w:rPr>
        <w:t>, Giorgio Micale</w:t>
      </w:r>
    </w:p>
    <w:p w14:paraId="4B846AE9" w14:textId="7D3DB5D5" w:rsidR="00F03B7D" w:rsidRPr="002F5C4A" w:rsidRDefault="00F03B7D" w:rsidP="000214E2">
      <w:pPr>
        <w:pStyle w:val="CETAddress"/>
        <w:rPr>
          <w:lang w:val="it-IT"/>
        </w:rPr>
      </w:pPr>
      <w:r w:rsidRPr="002F5C4A">
        <w:rPr>
          <w:lang w:val="it-IT"/>
        </w:rPr>
        <w:t>Università degli Studi di Palermo, Dipartimento di Ingegneria, viale delle Scienze Ed. 6, 90128, Palermo, Italy.</w:t>
      </w:r>
    </w:p>
    <w:p w14:paraId="158CCA91" w14:textId="5D86A73D" w:rsidR="000214E2" w:rsidRDefault="00F03B7D" w:rsidP="000214E2">
      <w:pPr>
        <w:pStyle w:val="CETAddress"/>
      </w:pPr>
      <w:r w:rsidRPr="00F03B7D">
        <w:t xml:space="preserve">*corresponding author: alessandro.tamburini@unipa.it </w:t>
      </w:r>
    </w:p>
    <w:p w14:paraId="11CAC0E8" w14:textId="77777777" w:rsidR="000214E2" w:rsidRPr="00F03B7D" w:rsidRDefault="000214E2" w:rsidP="000214E2">
      <w:pPr>
        <w:pStyle w:val="CETAddress"/>
      </w:pPr>
    </w:p>
    <w:p w14:paraId="3AA4796E" w14:textId="5CD5612A" w:rsidR="00D80D5E" w:rsidRPr="003C2DFC" w:rsidRDefault="00037FE4" w:rsidP="00A86600">
      <w:pPr>
        <w:pStyle w:val="CETBodytext"/>
        <w:rPr>
          <w:lang w:val="en-GB"/>
        </w:rPr>
      </w:pPr>
      <w:bookmarkStart w:id="0" w:name="_Hlk495475023"/>
      <w:r>
        <w:rPr>
          <w:lang w:val="en-GB"/>
        </w:rPr>
        <w:t>N</w:t>
      </w:r>
      <w:r w:rsidRPr="003C2DFC">
        <w:rPr>
          <w:lang w:val="en-GB"/>
        </w:rPr>
        <w:t xml:space="preserve">owadays </w:t>
      </w:r>
      <w:r w:rsidR="00D80D5E" w:rsidRPr="003C2DFC">
        <w:rPr>
          <w:lang w:val="en-GB"/>
        </w:rPr>
        <w:t>scientists and communities are</w:t>
      </w:r>
      <w:r w:rsidR="000C09E3">
        <w:rPr>
          <w:lang w:val="en-GB"/>
        </w:rPr>
        <w:t xml:space="preserve"> particularly worried about </w:t>
      </w:r>
      <w:r w:rsidR="00D80D5E" w:rsidRPr="003C2DFC">
        <w:rPr>
          <w:lang w:val="en-GB"/>
        </w:rPr>
        <w:t>climate chang</w:t>
      </w:r>
      <w:r w:rsidR="000C09E3">
        <w:rPr>
          <w:lang w:val="en-GB"/>
        </w:rPr>
        <w:t>e</w:t>
      </w:r>
      <w:r w:rsidR="00D80D5E" w:rsidRPr="003C2DFC">
        <w:rPr>
          <w:lang w:val="en-GB"/>
        </w:rPr>
        <w:t xml:space="preserve"> and the transition </w:t>
      </w:r>
      <w:r w:rsidR="006C62BA">
        <w:rPr>
          <w:lang w:val="en-GB"/>
        </w:rPr>
        <w:t>towards renewable energies</w:t>
      </w:r>
      <w:r w:rsidR="00D80D5E" w:rsidRPr="003C2DFC">
        <w:rPr>
          <w:lang w:val="en-GB"/>
        </w:rPr>
        <w:t xml:space="preserve"> is a matter of crucial importance. </w:t>
      </w:r>
      <w:r w:rsidR="00730F74" w:rsidRPr="00730F74">
        <w:rPr>
          <w:lang w:val="en-GB"/>
        </w:rPr>
        <w:t>In this context,</w:t>
      </w:r>
      <w:r w:rsidR="00730F74">
        <w:rPr>
          <w:lang w:val="en-GB"/>
        </w:rPr>
        <w:t xml:space="preserve"> </w:t>
      </w:r>
      <w:r w:rsidR="00D80D5E" w:rsidRPr="003C2DFC">
        <w:rPr>
          <w:lang w:val="en-GB"/>
        </w:rPr>
        <w:t xml:space="preserve">European </w:t>
      </w:r>
      <w:r w:rsidR="000C09E3">
        <w:rPr>
          <w:lang w:val="en-GB"/>
        </w:rPr>
        <w:t>C</w:t>
      </w:r>
      <w:r w:rsidR="00D80D5E" w:rsidRPr="003C2DFC">
        <w:rPr>
          <w:lang w:val="en-GB"/>
        </w:rPr>
        <w:t xml:space="preserve">ommunity is strongly promoting the production of green hydrogen, i.e. the electrolysis of water coupled with renewable electrical sources. In addition to the energy </w:t>
      </w:r>
      <w:r>
        <w:rPr>
          <w:lang w:val="en-GB"/>
        </w:rPr>
        <w:t>issue</w:t>
      </w:r>
      <w:r w:rsidR="00D80D5E" w:rsidRPr="003C2DFC">
        <w:rPr>
          <w:lang w:val="en-GB"/>
        </w:rPr>
        <w:t>, United Nations have identified the lack of water as another big issue for modern society. E</w:t>
      </w:r>
      <w:r w:rsidR="00126DF2">
        <w:rPr>
          <w:lang w:val="en-GB"/>
        </w:rPr>
        <w:t>lectrodialysis (E</w:t>
      </w:r>
      <w:r w:rsidR="00D80D5E" w:rsidRPr="003C2DFC">
        <w:rPr>
          <w:lang w:val="en-GB"/>
        </w:rPr>
        <w:t>D</w:t>
      </w:r>
      <w:r w:rsidR="00126DF2">
        <w:rPr>
          <w:lang w:val="en-GB"/>
        </w:rPr>
        <w:t>)</w:t>
      </w:r>
      <w:r w:rsidR="00D80D5E" w:rsidRPr="003C2DFC">
        <w:rPr>
          <w:lang w:val="en-GB"/>
        </w:rPr>
        <w:t xml:space="preserve"> is an electro-membrane process </w:t>
      </w:r>
      <w:r w:rsidR="00810949">
        <w:rPr>
          <w:lang w:val="en-GB"/>
        </w:rPr>
        <w:t>able to desalinate</w:t>
      </w:r>
      <w:r w:rsidR="00D80D5E" w:rsidRPr="003C2DFC">
        <w:rPr>
          <w:lang w:val="en-GB"/>
        </w:rPr>
        <w:t xml:space="preserve"> a salty feed by the application of an external power supply. It takes advantage of the use of ionic exchange membranes which allow a controlled separation of ions from the salty feed </w:t>
      </w:r>
      <w:r w:rsidR="000C09E3">
        <w:rPr>
          <w:lang w:val="en-GB"/>
        </w:rPr>
        <w:t>to obtain fresh</w:t>
      </w:r>
      <w:r w:rsidR="00D80D5E" w:rsidRPr="003C2DFC">
        <w:rPr>
          <w:lang w:val="en-GB"/>
        </w:rPr>
        <w:t>water and brine as outputs.</w:t>
      </w:r>
    </w:p>
    <w:p w14:paraId="10C59075" w14:textId="6CE22948" w:rsidR="00F03B7D" w:rsidRPr="003C2DFC" w:rsidRDefault="00D80D5E" w:rsidP="00A86600">
      <w:pPr>
        <w:pStyle w:val="CETBodytext"/>
        <w:rPr>
          <w:lang w:val="en-GB"/>
        </w:rPr>
      </w:pPr>
      <w:r w:rsidRPr="003C2DFC">
        <w:rPr>
          <w:lang w:val="en-GB"/>
        </w:rPr>
        <w:t>The present work tries to address the above issues by proposing the simultaneous production of fresh water and hydrogen with an integrated hydrogen-electrodialysis (HED) unit. The aim of the present work is that of assessing the economic feasibility of the process.</w:t>
      </w:r>
      <w:r w:rsidR="00730F74">
        <w:rPr>
          <w:lang w:val="en-GB"/>
        </w:rPr>
        <w:t xml:space="preserve"> </w:t>
      </w:r>
      <w:r w:rsidR="00730F74" w:rsidRPr="00730F74">
        <w:rPr>
          <w:lang w:val="en-GB"/>
        </w:rPr>
        <w:t>To this purpose</w:t>
      </w:r>
      <w:r w:rsidRPr="003C2DFC">
        <w:rPr>
          <w:lang w:val="en-GB"/>
        </w:rPr>
        <w:t xml:space="preserve">, a </w:t>
      </w:r>
      <w:r w:rsidR="006C62BA">
        <w:rPr>
          <w:lang w:val="en-GB"/>
        </w:rPr>
        <w:t xml:space="preserve">techno-economic </w:t>
      </w:r>
      <w:r w:rsidRPr="003C2DFC">
        <w:rPr>
          <w:lang w:val="en-GB"/>
        </w:rPr>
        <w:t xml:space="preserve">model </w:t>
      </w:r>
      <w:r w:rsidR="006C62BA">
        <w:rPr>
          <w:lang w:val="en-GB"/>
        </w:rPr>
        <w:t>has been</w:t>
      </w:r>
      <w:r w:rsidRPr="003C2DFC">
        <w:rPr>
          <w:lang w:val="en-GB"/>
        </w:rPr>
        <w:t xml:space="preserve"> developed to predict the </w:t>
      </w:r>
      <w:r w:rsidR="003C2DFC" w:rsidRPr="003C2DFC">
        <w:rPr>
          <w:lang w:val="en-GB"/>
        </w:rPr>
        <w:t>behaviour</w:t>
      </w:r>
      <w:r w:rsidR="006C62BA">
        <w:rPr>
          <w:lang w:val="en-GB"/>
        </w:rPr>
        <w:t xml:space="preserve"> of the</w:t>
      </w:r>
      <w:r w:rsidRPr="003C2DFC">
        <w:rPr>
          <w:lang w:val="en-GB"/>
        </w:rPr>
        <w:t xml:space="preserve"> HED unit. </w:t>
      </w:r>
      <w:r w:rsidR="006C62BA">
        <w:rPr>
          <w:lang w:val="en-GB"/>
        </w:rPr>
        <w:t xml:space="preserve">The model is </w:t>
      </w:r>
      <w:r w:rsidRPr="003C2DFC">
        <w:rPr>
          <w:lang w:val="en-GB"/>
        </w:rPr>
        <w:t>able to predict experimental data and should be regarded as a simple yet reliable tool to assess the process economic feasibility. Preliminary analyses suggest that the simultaneous production of hydrogen and fresh water may be profitable</w:t>
      </w:r>
      <w:r w:rsidR="00AF4799">
        <w:rPr>
          <w:lang w:val="en-GB"/>
        </w:rPr>
        <w:t>.</w:t>
      </w:r>
    </w:p>
    <w:bookmarkEnd w:id="0"/>
    <w:p w14:paraId="476B2F2E" w14:textId="1D74B998" w:rsidR="00600535" w:rsidRPr="00B57B36" w:rsidRDefault="00600535" w:rsidP="00600535">
      <w:pPr>
        <w:pStyle w:val="CETHeading1"/>
        <w:rPr>
          <w:lang w:val="en-GB"/>
        </w:rPr>
      </w:pPr>
      <w:r w:rsidRPr="00B57B36">
        <w:rPr>
          <w:lang w:val="en-GB"/>
        </w:rPr>
        <w:t>Introduction</w:t>
      </w:r>
    </w:p>
    <w:p w14:paraId="5860C4E5" w14:textId="20A2177E" w:rsidR="00F55355" w:rsidRDefault="00F55355" w:rsidP="005A0D78">
      <w:pPr>
        <w:pStyle w:val="CETBodytext"/>
        <w:rPr>
          <w:lang w:val="en-GB"/>
        </w:rPr>
      </w:pPr>
      <w:r>
        <w:rPr>
          <w:lang w:val="en-GB"/>
        </w:rPr>
        <w:t>The</w:t>
      </w:r>
      <w:r w:rsidR="00BB1044" w:rsidRPr="00D84CE4">
        <w:rPr>
          <w:lang w:val="en-GB"/>
        </w:rPr>
        <w:t xml:space="preserve"> non-sustainab</w:t>
      </w:r>
      <w:r>
        <w:rPr>
          <w:lang w:val="en-GB"/>
        </w:rPr>
        <w:t xml:space="preserve">le </w:t>
      </w:r>
      <w:r w:rsidR="00BB1044" w:rsidRPr="00D84CE4">
        <w:rPr>
          <w:lang w:val="en-GB"/>
        </w:rPr>
        <w:t xml:space="preserve">energy production </w:t>
      </w:r>
      <w:r>
        <w:rPr>
          <w:lang w:val="en-GB"/>
        </w:rPr>
        <w:t>with</w:t>
      </w:r>
      <w:r w:rsidR="00BB1044" w:rsidRPr="00D84CE4">
        <w:rPr>
          <w:lang w:val="en-GB"/>
        </w:rPr>
        <w:t xml:space="preserve"> fossil fuels, the increase in energy demand caused by a growing world population and</w:t>
      </w:r>
      <w:r>
        <w:rPr>
          <w:lang w:val="en-GB"/>
        </w:rPr>
        <w:t xml:space="preserve"> by</w:t>
      </w:r>
      <w:r w:rsidR="00BB1044" w:rsidRPr="00D84CE4">
        <w:rPr>
          <w:lang w:val="en-GB"/>
        </w:rPr>
        <w:t xml:space="preserve"> </w:t>
      </w:r>
      <w:r w:rsidR="000C09E3">
        <w:rPr>
          <w:lang w:val="en-GB"/>
        </w:rPr>
        <w:t xml:space="preserve">the </w:t>
      </w:r>
      <w:r w:rsidR="00BB1044" w:rsidRPr="00D84CE4">
        <w:rPr>
          <w:lang w:val="en-GB"/>
        </w:rPr>
        <w:t xml:space="preserve">improved </w:t>
      </w:r>
      <w:r w:rsidR="00BB1044">
        <w:rPr>
          <w:lang w:val="en-GB"/>
        </w:rPr>
        <w:t>living standard</w:t>
      </w:r>
      <w:r w:rsidR="000C09E3">
        <w:rPr>
          <w:lang w:val="en-GB"/>
        </w:rPr>
        <w:t>s</w:t>
      </w:r>
      <w:r w:rsidR="00BB1044">
        <w:rPr>
          <w:lang w:val="en-GB"/>
        </w:rPr>
        <w:t xml:space="preserve"> </w:t>
      </w:r>
      <w:r>
        <w:rPr>
          <w:lang w:val="en-GB"/>
        </w:rPr>
        <w:t xml:space="preserve">are only </w:t>
      </w:r>
      <w:r w:rsidR="000C09E3">
        <w:rPr>
          <w:lang w:val="en-GB"/>
        </w:rPr>
        <w:t xml:space="preserve">a </w:t>
      </w:r>
      <w:r>
        <w:rPr>
          <w:lang w:val="en-GB"/>
        </w:rPr>
        <w:t>few of the main reason</w:t>
      </w:r>
      <w:r w:rsidR="000C09E3">
        <w:rPr>
          <w:lang w:val="en-GB"/>
        </w:rPr>
        <w:t>s</w:t>
      </w:r>
      <w:r>
        <w:rPr>
          <w:lang w:val="en-GB"/>
        </w:rPr>
        <w:t xml:space="preserve"> </w:t>
      </w:r>
      <w:r w:rsidR="000C09E3">
        <w:rPr>
          <w:lang w:val="en-GB"/>
        </w:rPr>
        <w:t>for</w:t>
      </w:r>
      <w:r w:rsidR="00BB1044">
        <w:rPr>
          <w:lang w:val="en-GB"/>
        </w:rPr>
        <w:t xml:space="preserve"> </w:t>
      </w:r>
      <w:r>
        <w:rPr>
          <w:lang w:val="en-GB"/>
        </w:rPr>
        <w:t>today energ</w:t>
      </w:r>
      <w:r w:rsidR="000C09E3">
        <w:rPr>
          <w:lang w:val="en-GB"/>
        </w:rPr>
        <w:t>y</w:t>
      </w:r>
      <w:r>
        <w:rPr>
          <w:lang w:val="en-GB"/>
        </w:rPr>
        <w:t xml:space="preserve"> crisis.</w:t>
      </w:r>
      <w:r w:rsidRPr="00D84CE4">
        <w:rPr>
          <w:lang w:val="en-GB"/>
        </w:rPr>
        <w:t xml:space="preserve"> </w:t>
      </w:r>
      <w:r w:rsidR="00BB1044">
        <w:rPr>
          <w:lang w:val="en-GB"/>
        </w:rPr>
        <w:t xml:space="preserve">In particular, there </w:t>
      </w:r>
      <w:r w:rsidR="00BB1044" w:rsidRPr="00C953E4">
        <w:rPr>
          <w:lang w:val="en-GB"/>
        </w:rPr>
        <w:t>is an urgent need to stop the use of fossil fuels, as</w:t>
      </w:r>
      <w:r w:rsidR="00BB1044">
        <w:rPr>
          <w:lang w:val="en-GB"/>
        </w:rPr>
        <w:t xml:space="preserve"> </w:t>
      </w:r>
      <w:r w:rsidR="00BB1044" w:rsidRPr="00420D83">
        <w:rPr>
          <w:lang w:val="en-GB"/>
        </w:rPr>
        <w:t>they are primarily responsible for the release of greenhouse gases, the main causes of global warming and atmospheric pollution.</w:t>
      </w:r>
    </w:p>
    <w:p w14:paraId="44F9960B" w14:textId="6F6393B5" w:rsidR="001F34B5" w:rsidRDefault="00BB1044" w:rsidP="005A0D78">
      <w:pPr>
        <w:pStyle w:val="CETBodytext"/>
        <w:rPr>
          <w:lang w:val="en-GB"/>
        </w:rPr>
      </w:pPr>
      <w:r w:rsidRPr="00420D83">
        <w:rPr>
          <w:lang w:val="en-GB"/>
        </w:rPr>
        <w:t>Instead of fossil fuels, the focus must be on obtaining energy from green and zero-emission resources</w:t>
      </w:r>
      <w:r>
        <w:rPr>
          <w:lang w:val="en-GB"/>
        </w:rPr>
        <w:t>,</w:t>
      </w:r>
      <w:r w:rsidRPr="00420D83">
        <w:rPr>
          <w:lang w:val="en-GB"/>
        </w:rPr>
        <w:t xml:space="preserve"> in order to change the future of the world.</w:t>
      </w:r>
      <w:r>
        <w:rPr>
          <w:lang w:val="en-GB"/>
        </w:rPr>
        <w:t xml:space="preserve"> </w:t>
      </w:r>
      <w:r w:rsidRPr="00420D83">
        <w:rPr>
          <w:lang w:val="en-GB"/>
        </w:rPr>
        <w:t xml:space="preserve">Renewable </w:t>
      </w:r>
      <w:r w:rsidR="00F55355">
        <w:rPr>
          <w:lang w:val="en-GB"/>
        </w:rPr>
        <w:t>sources are one of the way</w:t>
      </w:r>
      <w:r w:rsidR="000C09E3">
        <w:rPr>
          <w:lang w:val="en-GB"/>
        </w:rPr>
        <w:t>s</w:t>
      </w:r>
      <w:r w:rsidR="00F55355">
        <w:rPr>
          <w:lang w:val="en-GB"/>
        </w:rPr>
        <w:t xml:space="preserve"> for</w:t>
      </w:r>
      <w:r w:rsidRPr="00420D83">
        <w:rPr>
          <w:lang w:val="en-GB"/>
        </w:rPr>
        <w:t xml:space="preserve"> producing green energy and their intrinsic discontinuity can be overcome by </w:t>
      </w:r>
      <w:r w:rsidR="00F55355">
        <w:rPr>
          <w:lang w:val="en-GB"/>
        </w:rPr>
        <w:t>the use of</w:t>
      </w:r>
      <w:r w:rsidRPr="00420D83">
        <w:rPr>
          <w:lang w:val="en-GB"/>
        </w:rPr>
        <w:t xml:space="preserve"> energy storage systems. In particular, </w:t>
      </w:r>
      <w:r w:rsidR="006B00DC" w:rsidRPr="00420D83">
        <w:rPr>
          <w:lang w:val="en-GB"/>
        </w:rPr>
        <w:t xml:space="preserve">hydrogen </w:t>
      </w:r>
      <w:r w:rsidR="006B00DC">
        <w:rPr>
          <w:lang w:val="en-GB"/>
        </w:rPr>
        <w:t xml:space="preserve">is </w:t>
      </w:r>
      <w:r w:rsidRPr="00420D83">
        <w:rPr>
          <w:lang w:val="en-GB"/>
        </w:rPr>
        <w:t xml:space="preserve">the </w:t>
      </w:r>
      <w:r w:rsidR="006B00DC">
        <w:rPr>
          <w:lang w:val="en-GB"/>
        </w:rPr>
        <w:t>type</w:t>
      </w:r>
      <w:r w:rsidRPr="00420D83">
        <w:rPr>
          <w:lang w:val="en-GB"/>
        </w:rPr>
        <w:t xml:space="preserve"> of storage </w:t>
      </w:r>
      <w:r w:rsidR="00F55355">
        <w:rPr>
          <w:lang w:val="en-GB"/>
        </w:rPr>
        <w:t>with</w:t>
      </w:r>
      <w:r w:rsidRPr="00420D83">
        <w:rPr>
          <w:lang w:val="en-GB"/>
        </w:rPr>
        <w:t xml:space="preserve"> the greatest future perspective.</w:t>
      </w:r>
      <w:r>
        <w:rPr>
          <w:lang w:val="en-GB"/>
        </w:rPr>
        <w:t xml:space="preserve"> Actually, the h</w:t>
      </w:r>
      <w:r w:rsidRPr="000B774D">
        <w:rPr>
          <w:lang w:val="en-GB"/>
        </w:rPr>
        <w:t>ydrogen may be the key to a future green revolution, towards zero-emission energy production. For instance, European Union has</w:t>
      </w:r>
      <w:r w:rsidR="000C09E3">
        <w:rPr>
          <w:lang w:val="en-GB"/>
        </w:rPr>
        <w:t xml:space="preserve"> identified hydrogen as the key </w:t>
      </w:r>
      <w:r w:rsidRPr="000B774D">
        <w:rPr>
          <w:lang w:val="en-GB"/>
        </w:rPr>
        <w:t>driver to achieve CO</w:t>
      </w:r>
      <w:r w:rsidRPr="000B774D">
        <w:rPr>
          <w:vertAlign w:val="subscript"/>
          <w:lang w:val="en-GB"/>
        </w:rPr>
        <w:t>2</w:t>
      </w:r>
      <w:r w:rsidRPr="000B774D">
        <w:rPr>
          <w:lang w:val="en-GB"/>
        </w:rPr>
        <w:t xml:space="preserve"> neutrality by 2</w:t>
      </w:r>
      <w:r w:rsidRPr="00B97E10">
        <w:rPr>
          <w:lang w:val="en-GB"/>
        </w:rPr>
        <w:t xml:space="preserve">050 </w:t>
      </w:r>
      <w:r w:rsidR="00B97E10" w:rsidRPr="00B97E10">
        <w:fldChar w:fldCharType="begin"/>
      </w:r>
      <w:r w:rsidR="00087A41">
        <w:rPr>
          <w:lang w:val="en-GB"/>
        </w:rPr>
        <w:instrText xml:space="preserve"> ADDIN ZOTERO_ITEM CSL_CITATION {"citationID":"Hh3gviul","properties":{"formattedCitation":"(European Commission et al., 2022)","plainCitation":"(European Commission et al., 2022)","dontUpdate":true,"noteIndex":0},"citationItems":[{"id":161,"uris":["http://zotero.org/users/10977437/items/57QUQVXP"],"itemData":{"id":161,"type":"book","note":"DOI: 10.2833/727785","publisher":"Publications Office of the European Union","title":"The role of renewable H</w:instrText>
      </w:r>
      <w:r w:rsidR="00087A41">
        <w:rPr>
          <w:rFonts w:ascii="Cambria Math" w:hAnsi="Cambria Math" w:cs="Cambria Math"/>
          <w:lang w:val="en-GB"/>
        </w:rPr>
        <w:instrText>₂</w:instrText>
      </w:r>
      <w:r w:rsidR="00087A41">
        <w:rPr>
          <w:lang w:val="en-GB"/>
        </w:rPr>
        <w:instrText xml:space="preserve"> import &amp; storage to scale up the EU deployment of renewable H</w:instrText>
      </w:r>
      <w:r w:rsidR="00087A41">
        <w:rPr>
          <w:rFonts w:ascii="Cambria Math" w:hAnsi="Cambria Math" w:cs="Cambria Math"/>
          <w:lang w:val="en-GB"/>
        </w:rPr>
        <w:instrText>₂</w:instrText>
      </w:r>
      <w:r w:rsidR="00087A41">
        <w:rPr>
          <w:lang w:val="en-GB"/>
        </w:rPr>
        <w:instrText xml:space="preserve"> : report","author":[{"literal":"European Commission"},{"literal":"Directorate-General for Energy"},{"family":"Breitschopf","given":"B"},{"family":"Zheng","given":"L"},{"family":"Plaisir","given":"M"},{"family":"Bard","given":"J"},{"family":"Schröer","given":"R"},{"family":"Kawale","given":"D"},{"family":"Koornneef","given":"J"},{"family":"Melese","given":"Y"},{"family":"Schaaphok","given":"M"},{"family":"Gorenstein Dedecca","given":"J"},{"family":"Bene","given":"C"},{"family":"Cerny","given":"O"},{"family":"Gérard","given":"F"}],"issued":{"date-parts":[["2022"]]}}}],"schema":"https://github.com/citation-style-language/schema/raw/master/csl-citation.json"} </w:instrText>
      </w:r>
      <w:r w:rsidR="00B97E10" w:rsidRPr="00B97E10">
        <w:fldChar w:fldCharType="separate"/>
      </w:r>
      <w:r w:rsidR="00B97E10" w:rsidRPr="00B97E10">
        <w:rPr>
          <w:rFonts w:cs="Arial"/>
        </w:rPr>
        <w:t>(European Commission, 2022)</w:t>
      </w:r>
      <w:r w:rsidR="00B97E10" w:rsidRPr="00B97E10">
        <w:fldChar w:fldCharType="end"/>
      </w:r>
      <w:r w:rsidR="00AF4799">
        <w:rPr>
          <w:lang w:val="en-GB"/>
        </w:rPr>
        <w:t xml:space="preserve">. </w:t>
      </w:r>
      <w:r>
        <w:rPr>
          <w:lang w:val="en-GB"/>
        </w:rPr>
        <w:t xml:space="preserve">Another </w:t>
      </w:r>
      <w:r w:rsidRPr="00D84CE4">
        <w:rPr>
          <w:lang w:val="en-GB"/>
        </w:rPr>
        <w:t xml:space="preserve">main problem </w:t>
      </w:r>
      <w:r w:rsidR="008014FF">
        <w:rPr>
          <w:lang w:val="en-GB"/>
        </w:rPr>
        <w:t xml:space="preserve">of today societies is the interactions and the nexus </w:t>
      </w:r>
      <w:r w:rsidRPr="00D84CE4">
        <w:rPr>
          <w:lang w:val="en-GB"/>
        </w:rPr>
        <w:t xml:space="preserve">related </w:t>
      </w:r>
      <w:r w:rsidR="00286DD5">
        <w:rPr>
          <w:lang w:val="en-GB"/>
        </w:rPr>
        <w:t>to</w:t>
      </w:r>
      <w:r w:rsidRPr="00D84CE4">
        <w:rPr>
          <w:lang w:val="en-GB"/>
        </w:rPr>
        <w:t xml:space="preserve"> the energy crisis </w:t>
      </w:r>
      <w:r w:rsidR="008014FF">
        <w:rPr>
          <w:lang w:val="en-GB"/>
        </w:rPr>
        <w:t xml:space="preserve">and security with food and </w:t>
      </w:r>
      <w:r w:rsidR="00286DD5">
        <w:rPr>
          <w:lang w:val="en-GB"/>
        </w:rPr>
        <w:t>potable</w:t>
      </w:r>
      <w:r w:rsidRPr="006816DC">
        <w:rPr>
          <w:lang w:val="en-GB"/>
        </w:rPr>
        <w:t xml:space="preserve"> water</w:t>
      </w:r>
      <w:r w:rsidR="008014FF">
        <w:rPr>
          <w:lang w:val="en-GB"/>
        </w:rPr>
        <w:t xml:space="preserve"> that </w:t>
      </w:r>
      <w:r w:rsidR="00E4226E">
        <w:rPr>
          <w:lang w:val="en-GB"/>
        </w:rPr>
        <w:t>requir</w:t>
      </w:r>
      <w:r w:rsidR="008014FF">
        <w:rPr>
          <w:lang w:val="en-GB"/>
        </w:rPr>
        <w:t xml:space="preserve">es </w:t>
      </w:r>
      <w:r w:rsidR="00E4226E">
        <w:rPr>
          <w:lang w:val="en-GB"/>
        </w:rPr>
        <w:t xml:space="preserve">the </w:t>
      </w:r>
      <w:r w:rsidR="008014FF">
        <w:rPr>
          <w:lang w:val="en-GB"/>
        </w:rPr>
        <w:t>improve</w:t>
      </w:r>
      <w:r w:rsidR="00E4226E">
        <w:rPr>
          <w:lang w:val="en-GB"/>
        </w:rPr>
        <w:t>ment of</w:t>
      </w:r>
      <w:r w:rsidR="008014FF">
        <w:rPr>
          <w:lang w:val="en-GB"/>
        </w:rPr>
        <w:t xml:space="preserve"> strategic and integrated policies between countries </w:t>
      </w:r>
      <w:r w:rsidR="008014FF">
        <w:rPr>
          <w:lang w:val="en-GB"/>
        </w:rPr>
        <w:fldChar w:fldCharType="begin"/>
      </w:r>
      <w:r w:rsidR="008014FF">
        <w:rPr>
          <w:lang w:val="en-GB"/>
        </w:rPr>
        <w:instrText xml:space="preserve"> ADDIN ZOTERO_ITEM CSL_CITATION {"citationID":"zrvtbyhh","properties":{"formattedCitation":"(de Amorim et al., 2018)","plainCitation":"(de Amorim et al., 2018)","noteIndex":0},"citationItems":[{"id":477,"uris":["http://zotero.org/users/10977437/items/SQJ5A4UC"],"itemData":{"id":477,"type":"article-journal","abstract":"The purpose of this article is to analyze the interactions between water, energy, and food security, referenced in this study as the nexus between water, energy, and food, and the impacts of global risks using the World Economic Forum's, 2017 Global Risks Report as a guideline. In this analysis, the authors reveal that water, energy, and food are interdependent and essential resources demanding sustainable, integrated and intelligent management. These vital resources are susceptible to many global risks which are maximized by extreme weather events, mass involuntary human migrations, and other hazards that predominantly endanger the vulnerable communities of less developed countries. In conclusion, policies carried out by the international community, decision-makers, civil society, and the private sector, must align to target and mitigate global risks, speciﬁcally, water, energy and food security.","container-title":"Environmental Impact Assessment Review","DOI":"10.1016/j.eiar.2018.05.002","ISSN":"01959255","journalAbbreviation":"Environmental Impact Assessment Review","language":"en","page":"1-11","source":"DOI.org (Crossref)","title":"The nexus between water, energy, and food in the context of the global risks: An analysis of the interactions between food, water, and energy security","title-short":"The nexus between water, energy, and food in the context of the global risks","volume":"72","author":[{"family":"Amorim","given":"Wellyngton Silva","non-dropping-particle":"de"},{"family":"Valduga","given":"Isabela Blasi"},{"family":"Ribeiro","given":"João Marcelo Pereira"},{"family":"Williamson","given":"Victoria Guazzelli"},{"family":"Krauser","given":"Grace Ellen"},{"family":"Magtoto","given":"Mica Katrina"},{"family":"Andrade Guerra","given":"José Baltazar Salgueirinho Osório","non-dropping-particle":"de"}],"issued":{"date-parts":[["2018",9]]}}}],"schema":"https://github.com/citation-style-language/schema/raw/master/csl-citation.json"} </w:instrText>
      </w:r>
      <w:r w:rsidR="008014FF">
        <w:rPr>
          <w:lang w:val="en-GB"/>
        </w:rPr>
        <w:fldChar w:fldCharType="separate"/>
      </w:r>
      <w:r w:rsidR="008014FF" w:rsidRPr="008014FF">
        <w:rPr>
          <w:rFonts w:cs="Arial"/>
        </w:rPr>
        <w:t>(de Amorim et al., 2018)</w:t>
      </w:r>
      <w:r w:rsidR="008014FF">
        <w:rPr>
          <w:lang w:val="en-GB"/>
        </w:rPr>
        <w:fldChar w:fldCharType="end"/>
      </w:r>
      <w:r>
        <w:rPr>
          <w:lang w:val="en-GB"/>
        </w:rPr>
        <w:t>.</w:t>
      </w:r>
      <w:r w:rsidR="00CB14B7">
        <w:rPr>
          <w:lang w:val="en-GB"/>
        </w:rPr>
        <w:t xml:space="preserve"> </w:t>
      </w:r>
      <w:r w:rsidR="00E4226E">
        <w:rPr>
          <w:lang w:val="en-GB"/>
        </w:rPr>
        <w:t>Concerning the drinking water, t</w:t>
      </w:r>
      <w:r w:rsidR="00CB14B7" w:rsidRPr="00CB14B7">
        <w:rPr>
          <w:lang w:val="en-GB"/>
        </w:rPr>
        <w:t>he United Nations (UN) reports wide inequalities in access to water around the world</w:t>
      </w:r>
      <w:r w:rsidR="00CB14B7">
        <w:rPr>
          <w:lang w:val="en-GB"/>
        </w:rPr>
        <w:t xml:space="preserve"> due to inaccessibility or to the degradation of the water source, with a consequent fail</w:t>
      </w:r>
      <w:r w:rsidR="00CB14B7" w:rsidRPr="00CB14B7">
        <w:rPr>
          <w:lang w:val="en-GB"/>
        </w:rPr>
        <w:t xml:space="preserve"> </w:t>
      </w:r>
      <w:r w:rsidR="00CB14B7">
        <w:rPr>
          <w:lang w:val="en-GB"/>
        </w:rPr>
        <w:t>in the</w:t>
      </w:r>
      <w:r w:rsidR="00CB14B7" w:rsidRPr="00CB14B7">
        <w:rPr>
          <w:lang w:val="en-GB"/>
        </w:rPr>
        <w:t xml:space="preserve"> fundamental human rights </w:t>
      </w:r>
      <w:r w:rsidR="00AF4799">
        <w:rPr>
          <w:lang w:val="en-GB"/>
        </w:rPr>
        <w:t>(</w:t>
      </w:r>
      <w:r w:rsidR="00AF4799" w:rsidRPr="00B97E10">
        <w:fldChar w:fldCharType="begin"/>
      </w:r>
      <w:r w:rsidR="00087A41">
        <w:rPr>
          <w:lang w:val="en-GB"/>
        </w:rPr>
        <w:instrText xml:space="preserve"> ADDIN ZOTERO_ITEM CSL_CITATION {"citationID":"oxWYfkBD","properties":{"formattedCitation":"(UN Water, 2021)","plainCitation":"(UN Water, 2021)","dontUpdate":true,"noteIndex":0},"citationItems":[{"id":319,"uris":["http://zotero.org/users/10977437/items/WKGP9CHZ"],"itemData":{"id":319,"type":"book","collection-number":"2021","collection-title":"The United Nations world water development report","event-place":"Paris","ISBN":"978-92-3-100434-6","language":"en","publisher":"UNESCO","publisher-place":"Paris","source":"K10plus ISBN","title":"Valuing water","editor":[{"family":"UN Water","given":""}],"issued":{"date-parts":[["2021"]]}}}],"schema":"https://github.com/citation-style-language/schema/raw/master/csl-citation.json"} </w:instrText>
      </w:r>
      <w:r w:rsidR="00AF4799" w:rsidRPr="00B97E10">
        <w:fldChar w:fldCharType="separate"/>
      </w:r>
      <w:r w:rsidR="00AF4799">
        <w:rPr>
          <w:rFonts w:cs="Arial"/>
        </w:rPr>
        <w:t xml:space="preserve">UN Water </w:t>
      </w:r>
      <w:r w:rsidR="00AF4799" w:rsidRPr="00B97E10">
        <w:rPr>
          <w:rFonts w:cs="Arial"/>
        </w:rPr>
        <w:t>2021)</w:t>
      </w:r>
      <w:r w:rsidR="00AF4799" w:rsidRPr="00B97E10">
        <w:fldChar w:fldCharType="end"/>
      </w:r>
      <w:r w:rsidRPr="006816DC">
        <w:rPr>
          <w:lang w:val="en-GB"/>
        </w:rPr>
        <w:t>.</w:t>
      </w:r>
      <w:r>
        <w:rPr>
          <w:lang w:val="en-GB"/>
        </w:rPr>
        <w:t xml:space="preserve"> </w:t>
      </w:r>
      <w:r w:rsidR="000C09E3">
        <w:rPr>
          <w:lang w:val="en-GB"/>
        </w:rPr>
        <w:t>For</w:t>
      </w:r>
      <w:r w:rsidR="00214919">
        <w:rPr>
          <w:lang w:val="en-GB"/>
        </w:rPr>
        <w:t xml:space="preserve"> example, </w:t>
      </w:r>
      <w:r w:rsidR="00214919" w:rsidRPr="00214919">
        <w:rPr>
          <w:lang w:val="en-GB"/>
        </w:rPr>
        <w:t xml:space="preserve">only 75% </w:t>
      </w:r>
      <w:r w:rsidR="000C09E3">
        <w:rPr>
          <w:lang w:val="en-GB"/>
        </w:rPr>
        <w:t xml:space="preserve">of </w:t>
      </w:r>
      <w:r w:rsidR="00214919" w:rsidRPr="00214919">
        <w:rPr>
          <w:lang w:val="en-GB"/>
        </w:rPr>
        <w:t xml:space="preserve">people </w:t>
      </w:r>
      <w:r w:rsidR="00286DD5">
        <w:rPr>
          <w:lang w:val="en-GB"/>
        </w:rPr>
        <w:t xml:space="preserve">living on earth </w:t>
      </w:r>
      <w:r w:rsidR="00214919" w:rsidRPr="00214919">
        <w:rPr>
          <w:lang w:val="en-GB"/>
        </w:rPr>
        <w:t>have acces</w:t>
      </w:r>
      <w:r w:rsidR="000C09E3">
        <w:rPr>
          <w:lang w:val="en-GB"/>
        </w:rPr>
        <w:t>s to safe drinking water</w:t>
      </w:r>
      <w:r w:rsidR="00286DD5">
        <w:rPr>
          <w:lang w:val="en-GB"/>
        </w:rPr>
        <w:t xml:space="preserve">: </w:t>
      </w:r>
      <w:r w:rsidR="00214919" w:rsidRPr="00214919">
        <w:rPr>
          <w:lang w:val="en-GB"/>
        </w:rPr>
        <w:t>uns</w:t>
      </w:r>
      <w:r w:rsidR="000C09E3">
        <w:rPr>
          <w:lang w:val="en-GB"/>
        </w:rPr>
        <w:t>afe water is responsible for</w:t>
      </w:r>
      <w:r w:rsidR="00214919" w:rsidRPr="00214919">
        <w:rPr>
          <w:lang w:val="en-GB"/>
        </w:rPr>
        <w:t xml:space="preserve"> 6% of</w:t>
      </w:r>
      <w:r w:rsidR="000C09E3">
        <w:rPr>
          <w:lang w:val="en-GB"/>
        </w:rPr>
        <w:t xml:space="preserve"> the</w:t>
      </w:r>
      <w:r w:rsidR="00214919" w:rsidRPr="00214919">
        <w:rPr>
          <w:lang w:val="en-GB"/>
        </w:rPr>
        <w:t xml:space="preserve"> world population</w:t>
      </w:r>
      <w:r w:rsidR="000C09E3">
        <w:rPr>
          <w:lang w:val="en-GB"/>
        </w:rPr>
        <w:t>’s</w:t>
      </w:r>
      <w:r w:rsidR="00214919" w:rsidRPr="00214919">
        <w:rPr>
          <w:lang w:val="en-GB"/>
        </w:rPr>
        <w:t xml:space="preserve"> death </w:t>
      </w:r>
      <w:r w:rsidR="00214919">
        <w:fldChar w:fldCharType="begin"/>
      </w:r>
      <w:r w:rsidR="00214919">
        <w:rPr>
          <w:lang w:val="en-GB"/>
        </w:rPr>
        <w:instrText xml:space="preserve"> ADDIN ZOTERO_ITEM CSL_CITATION {"citationID":"AWRf1JyA","properties":{"formattedCitation":"(Ritchie and Roser, 2021)","plainCitation":"(Ritchie and Roser, 2021)","noteIndex":0},"citationItems":[{"id":468,"uris":["http://zotero.org/users/10977437/items/NN5U3RHS"],"itemData":{"id":468,"type":"article-journal","container-title":"Our World in Data","title":"Clean Water and Sanitation","author":[{"family":"Ritchie","given":"Hannah"},{"family":"Roser","given":"Max"}],"issued":{"date-parts":[["2021"]]}}}],"schema":"https://github.com/citation-style-language/schema/raw/master/csl-citation.json"} </w:instrText>
      </w:r>
      <w:r w:rsidR="00214919">
        <w:fldChar w:fldCharType="separate"/>
      </w:r>
      <w:r w:rsidR="00214919" w:rsidRPr="00214919">
        <w:rPr>
          <w:rFonts w:cs="Arial"/>
        </w:rPr>
        <w:t>(Ritchie and Roser, 2021)</w:t>
      </w:r>
      <w:r w:rsidR="00214919">
        <w:fldChar w:fldCharType="end"/>
      </w:r>
      <w:r w:rsidR="00214919">
        <w:rPr>
          <w:lang w:val="en-GB"/>
        </w:rPr>
        <w:t xml:space="preserve">. </w:t>
      </w:r>
      <w:r w:rsidRPr="00A16DA6">
        <w:rPr>
          <w:lang w:val="en-GB"/>
        </w:rPr>
        <w:t xml:space="preserve">In this framework, </w:t>
      </w:r>
      <w:r w:rsidR="00286DD5" w:rsidRPr="00A16DA6">
        <w:rPr>
          <w:lang w:val="en-GB"/>
        </w:rPr>
        <w:t>electrodialysis</w:t>
      </w:r>
      <w:r w:rsidR="00286DD5">
        <w:rPr>
          <w:lang w:val="en-GB"/>
        </w:rPr>
        <w:t xml:space="preserve"> is</w:t>
      </w:r>
      <w:r w:rsidR="00286DD5" w:rsidRPr="00A16DA6">
        <w:rPr>
          <w:lang w:val="en-GB"/>
        </w:rPr>
        <w:t xml:space="preserve"> </w:t>
      </w:r>
      <w:r w:rsidRPr="00A16DA6">
        <w:rPr>
          <w:lang w:val="en-GB"/>
        </w:rPr>
        <w:t>a technology capable of producing desalinated water from saline solutions</w:t>
      </w:r>
      <w:r w:rsidR="00286DD5">
        <w:rPr>
          <w:lang w:val="en-GB"/>
        </w:rPr>
        <w:t>. It is</w:t>
      </w:r>
      <w:r w:rsidRPr="00A16DA6">
        <w:rPr>
          <w:lang w:val="en-GB"/>
        </w:rPr>
        <w:t xml:space="preserve"> a widely consolidated technology in the literature for the production of water</w:t>
      </w:r>
      <w:r w:rsidR="002B35F6">
        <w:rPr>
          <w:lang w:val="en-GB"/>
        </w:rPr>
        <w:t xml:space="preserve"> </w:t>
      </w:r>
      <w:r w:rsidR="002B35F6">
        <w:rPr>
          <w:lang w:val="en-GB"/>
        </w:rPr>
        <w:fldChar w:fldCharType="begin"/>
      </w:r>
      <w:r w:rsidR="002B35F6">
        <w:rPr>
          <w:lang w:val="en-GB"/>
        </w:rPr>
        <w:instrText xml:space="preserve"> ADDIN ZOTERO_ITEM CSL_CITATION {"citationID":"Jw5Cco9F","properties":{"formattedCitation":"(Al-Amshawee et al., 2020)","plainCitation":"(Al-Amshawee et al., 2020)","noteIndex":0},"citationItems":[{"id":132,"uris":["http://zotero.org/users/10977437/items/VLYIL5JI"],"itemData":{"id":132,"type":"article-journal","abstract":"The principle of electrodialysis (ED) desalination was ﬁrst presented in 1890 by Maigrot and Sabates, and its development into industrial scale started for more than 50 years ago. The operation of ED is driven by the development of ion exchange membranes produces high water recovery and does not require phase change, reaction, or chemicals. These advantages provide environmental beneﬁts without the use of fossil fuels and chemical detergents. Whilst there are a number of reviews that have attempted to optimise ED performance for various applications, ED technology still has limitations involving scaling, membrane fouling, and permselectivity. In this paper, an extensive review of current studies on the process, principles, and setups of ED technology is given to deliver a comprehensive collection of all the main ﬁndings published on this technology so far. Also, it provides an overview of the possible sustainability approaches to be integrated with the ED process. The current developments and the sustainability of ED are critically examined for in-depth knowledge of what makes ED a promising desalination for potable water production. Finally, mathematical approaches to the design of ED process are brieﬂy mentioned.","container-title":"Chemical Engineering Journal","DOI":"10.1016/j.cej.2019.122231","ISSN":"13858947","journalAbbreviation":"Chemical Engineering Journal","language":"en","page":"122231","source":"DOI.org (Crossref)","title":"Electrodialysis desalination for water and wastewater: A review","title-short":"Electrodialysis desalination for water and wastewater","volume":"380","author":[{"family":"Al-Amshawee","given":"Sajjad"},{"family":"Yunus","given":"Mohd Yusri Bin Mohd"},{"family":"Azoddein","given":"Abdul Aziz Mohd"},{"family":"Hassell","given":"David Geraint"},{"family":"Dakhil","given":"Ihsan Habib"},{"family":"Hasan","given":"Hassimi Abu"}],"issued":{"date-parts":[["2020",1]]}}}],"schema":"https://github.com/citation-style-language/schema/raw/master/csl-citation.json"} </w:instrText>
      </w:r>
      <w:r w:rsidR="002B35F6">
        <w:rPr>
          <w:lang w:val="en-GB"/>
        </w:rPr>
        <w:fldChar w:fldCharType="separate"/>
      </w:r>
      <w:r w:rsidR="002B35F6" w:rsidRPr="002B35F6">
        <w:rPr>
          <w:rFonts w:cs="Arial"/>
        </w:rPr>
        <w:t>(Al-Amshawee et al., 2020)</w:t>
      </w:r>
      <w:r w:rsidR="002B35F6">
        <w:rPr>
          <w:lang w:val="en-GB"/>
        </w:rPr>
        <w:fldChar w:fldCharType="end"/>
      </w:r>
      <w:r w:rsidRPr="00A16DA6">
        <w:rPr>
          <w:lang w:val="en-GB"/>
        </w:rPr>
        <w:t>.</w:t>
      </w:r>
      <w:r w:rsidR="00AF4799">
        <w:rPr>
          <w:lang w:val="en-GB"/>
        </w:rPr>
        <w:t xml:space="preserve"> </w:t>
      </w:r>
      <w:r w:rsidR="00EC646C">
        <w:rPr>
          <w:lang w:val="en-GB"/>
        </w:rPr>
        <w:t xml:space="preserve">The core </w:t>
      </w:r>
      <w:r>
        <w:rPr>
          <w:lang w:val="en-GB"/>
        </w:rPr>
        <w:t xml:space="preserve">idea of the present </w:t>
      </w:r>
      <w:r w:rsidR="000C09E3">
        <w:rPr>
          <w:lang w:val="en-GB"/>
        </w:rPr>
        <w:t xml:space="preserve">work </w:t>
      </w:r>
      <w:r w:rsidR="00EC646C">
        <w:rPr>
          <w:lang w:val="en-GB"/>
        </w:rPr>
        <w:t xml:space="preserve">comes from the above considerations and it is </w:t>
      </w:r>
      <w:r>
        <w:rPr>
          <w:lang w:val="en-GB"/>
        </w:rPr>
        <w:t>to combine the production of hydrogen with the production of fresh</w:t>
      </w:r>
      <w:r w:rsidR="000C09E3">
        <w:rPr>
          <w:lang w:val="en-GB"/>
        </w:rPr>
        <w:t xml:space="preserve">water </w:t>
      </w:r>
      <w:r w:rsidR="00EC646C">
        <w:rPr>
          <w:lang w:val="en-GB"/>
        </w:rPr>
        <w:t>within</w:t>
      </w:r>
      <w:r w:rsidR="000C09E3">
        <w:rPr>
          <w:lang w:val="en-GB"/>
        </w:rPr>
        <w:t xml:space="preserve"> </w:t>
      </w:r>
      <w:r>
        <w:rPr>
          <w:lang w:val="en-GB"/>
        </w:rPr>
        <w:t>one integrated technology called Hydrogen-Electrodialysis (HED).</w:t>
      </w:r>
    </w:p>
    <w:p w14:paraId="3B1A0917" w14:textId="4A73B36E" w:rsidR="00BB1044" w:rsidRDefault="00BB1044" w:rsidP="005A0D78">
      <w:pPr>
        <w:pStyle w:val="CETBodytext"/>
        <w:rPr>
          <w:lang w:val="en-GB"/>
        </w:rPr>
      </w:pPr>
      <w:r w:rsidRPr="00B361AA">
        <w:rPr>
          <w:lang w:val="en-GB"/>
        </w:rPr>
        <w:t>Referring to t</w:t>
      </w:r>
      <w:r w:rsidR="000C09E3">
        <w:rPr>
          <w:lang w:val="en-GB"/>
        </w:rPr>
        <w:t>he basic operation of the ED,</w:t>
      </w:r>
      <w:r w:rsidRPr="00B361AA">
        <w:rPr>
          <w:lang w:val="en-GB"/>
        </w:rPr>
        <w:t xml:space="preserve"> </w:t>
      </w:r>
      <w:r w:rsidR="00F76135">
        <w:rPr>
          <w:lang w:val="en-GB"/>
        </w:rPr>
        <w:t xml:space="preserve">it </w:t>
      </w:r>
      <w:r w:rsidRPr="00B361AA">
        <w:rPr>
          <w:lang w:val="en-GB"/>
        </w:rPr>
        <w:t>is a membrane technology composed of repetitive units</w:t>
      </w:r>
      <w:r w:rsidR="00F76135">
        <w:rPr>
          <w:lang w:val="en-GB"/>
        </w:rPr>
        <w:t xml:space="preserve"> named cell pairs</w:t>
      </w:r>
      <w:r w:rsidRPr="00B361AA">
        <w:rPr>
          <w:lang w:val="en-GB"/>
        </w:rPr>
        <w:t>. A cell pair consists of an anion</w:t>
      </w:r>
      <w:r w:rsidR="00AF4799">
        <w:rPr>
          <w:lang w:val="en-GB"/>
        </w:rPr>
        <w:t>ic</w:t>
      </w:r>
      <w:r w:rsidRPr="00B361AA">
        <w:rPr>
          <w:lang w:val="en-GB"/>
        </w:rPr>
        <w:t xml:space="preserve"> membrane (AEM) and a cation</w:t>
      </w:r>
      <w:r w:rsidR="00AF4799">
        <w:rPr>
          <w:lang w:val="en-GB"/>
        </w:rPr>
        <w:t>ic</w:t>
      </w:r>
      <w:r w:rsidRPr="00B361AA">
        <w:rPr>
          <w:lang w:val="en-GB"/>
        </w:rPr>
        <w:t xml:space="preserve"> membrane (CEM) between which there are </w:t>
      </w:r>
      <w:r w:rsidR="00F76135">
        <w:rPr>
          <w:lang w:val="en-GB"/>
        </w:rPr>
        <w:t>spacer-filled</w:t>
      </w:r>
      <w:r w:rsidRPr="00B361AA">
        <w:rPr>
          <w:lang w:val="en-GB"/>
        </w:rPr>
        <w:t xml:space="preserve"> channels </w:t>
      </w:r>
      <w:r w:rsidR="00F76135">
        <w:rPr>
          <w:lang w:val="en-GB"/>
        </w:rPr>
        <w:t xml:space="preserve">hosting </w:t>
      </w:r>
      <w:r w:rsidRPr="00B361AA">
        <w:rPr>
          <w:lang w:val="en-GB"/>
        </w:rPr>
        <w:t xml:space="preserve">the concentrated and diluted </w:t>
      </w:r>
      <w:r w:rsidRPr="005A2F9C">
        <w:rPr>
          <w:lang w:val="en-GB"/>
        </w:rPr>
        <w:t>solution</w:t>
      </w:r>
      <w:r w:rsidR="00B232B3">
        <w:rPr>
          <w:lang w:val="en-GB"/>
        </w:rPr>
        <w:t xml:space="preserve"> </w:t>
      </w:r>
      <w:r w:rsidR="00B232B3">
        <w:rPr>
          <w:lang w:val="en-GB"/>
        </w:rPr>
        <w:fldChar w:fldCharType="begin"/>
      </w:r>
      <w:r w:rsidR="00B232B3">
        <w:rPr>
          <w:lang w:val="en-GB"/>
        </w:rPr>
        <w:instrText xml:space="preserve"> ADDIN ZOTERO_ITEM CSL_CITATION {"citationID":"LD0CYn62","properties":{"formattedCitation":"(Gurreri et al., 2021)","plainCitation":"(Gurreri et al., 2021)","noteIndex":0},"citationItems":[{"id":473,"uris":["http://zotero.org/users/10977437/items/EFNYKCCW"],"itemData":{"id":473,"type":"article-journal","abstract":"Electrodialysis (ED) has recently gained much attention in the wide field of desalination and water treatment. However, energy consumption and capital costs may impair the process competitiveness. In this regard, limiting current density (LCD) and current efficiency (η) are key performance parameters for optimized ED systems. In this work, an experimental campaign was carried out characterizing the performance of ED stacks when adopting asymmetrically profiled membranes. Current–voltage curves were recorded under different operating conditions mimicking the operation of brackish water or seawater desalination units. Results showed that there was a preferable direction of the electric current relative to the membrane profiles, which provided higher values of LCD and of maximum η. Stacks with Overlapped Crossed Filaments profiled membranes performed better than conventional ED stacks with flat membranes and spacers by increasing the LCD (by ~20% under various operating conditions) and the maximum η (e.g., from ~55–65% to ~70–73% at 0.5 – 60 g/l inlet concentrations of diluate and brine, respectively). The specific energy consumption was significantly reduced (even more than 50%). On the contrary, the investigated pillar-profiled membranes exhibited the worst performances. The present results suggest that well-designed profiled membranes can reduce the costs of desalination via ED.","container-title":"Desalination","DOI":"10.1016/j.desal.2021.115001","ISSN":"00119164","journalAbbreviation":"Desalination","language":"en","page":"115001","source":"DOI.org (Crossref)","title":"Electrodialysis with asymmetrically profiled membranes: Influence of profiles geometry on desalination performance and limiting current phenomena","title-short":"Electrodialysis with asymmetrically profiled membranes","volume":"506","author":[{"family":"Gurreri","given":"Luigi"},{"family":"Filingeri","given":"Antonia"},{"family":"Ciofalo","given":"Michele"},{"family":"Cipollina","given":"Andrea"},{"family":"Tedesco","given":"Michele"},{"family":"Tamburini","given":"Alessandro"},{"family":"Micale","given":"Giorgio"}],"issued":{"date-parts":[["2021",6]]}}}],"schema":"https://github.com/citation-style-language/schema/raw/master/csl-citation.json"} </w:instrText>
      </w:r>
      <w:r w:rsidR="00B232B3">
        <w:rPr>
          <w:lang w:val="en-GB"/>
        </w:rPr>
        <w:fldChar w:fldCharType="separate"/>
      </w:r>
      <w:r w:rsidR="00B232B3" w:rsidRPr="00B232B3">
        <w:rPr>
          <w:rFonts w:cs="Arial"/>
        </w:rPr>
        <w:t>(Gurreri et al., 2021)</w:t>
      </w:r>
      <w:r w:rsidR="00B232B3">
        <w:rPr>
          <w:lang w:val="en-GB"/>
        </w:rPr>
        <w:fldChar w:fldCharType="end"/>
      </w:r>
      <w:r w:rsidRPr="005A2F9C">
        <w:rPr>
          <w:lang w:val="en-GB"/>
        </w:rPr>
        <w:t>. In particular</w:t>
      </w:r>
      <w:r w:rsidRPr="00B361AA">
        <w:rPr>
          <w:lang w:val="en-GB"/>
        </w:rPr>
        <w:t xml:space="preserve">, the system is </w:t>
      </w:r>
      <w:r w:rsidR="00AF4799">
        <w:rPr>
          <w:lang w:val="en-GB"/>
        </w:rPr>
        <w:t xml:space="preserve">externally </w:t>
      </w:r>
      <w:r w:rsidRPr="00B361AA">
        <w:rPr>
          <w:lang w:val="en-GB"/>
        </w:rPr>
        <w:t xml:space="preserve">coupled to a power supply </w:t>
      </w:r>
      <w:r w:rsidR="004E7EB9">
        <w:rPr>
          <w:lang w:val="en-GB"/>
        </w:rPr>
        <w:t>generating an</w:t>
      </w:r>
      <w:r w:rsidR="00AF4799">
        <w:rPr>
          <w:lang w:val="en-GB"/>
        </w:rPr>
        <w:t xml:space="preserve"> electrical field</w:t>
      </w:r>
      <w:r w:rsidRPr="00B361AA">
        <w:rPr>
          <w:lang w:val="en-GB"/>
        </w:rPr>
        <w:t xml:space="preserve"> </w:t>
      </w:r>
      <w:r w:rsidR="004E7EB9">
        <w:rPr>
          <w:lang w:val="en-GB"/>
        </w:rPr>
        <w:t>at the electrodes placed at the end</w:t>
      </w:r>
      <w:r w:rsidR="004E7EB9" w:rsidRPr="00B361AA">
        <w:rPr>
          <w:lang w:val="en-GB"/>
        </w:rPr>
        <w:t xml:space="preserve"> </w:t>
      </w:r>
      <w:r w:rsidR="004E7EB9">
        <w:rPr>
          <w:lang w:val="en-GB"/>
        </w:rPr>
        <w:lastRenderedPageBreak/>
        <w:t xml:space="preserve">of the ED stack. Particularly, the electron flux in the </w:t>
      </w:r>
      <w:r w:rsidR="004E7EB9" w:rsidRPr="009B6809">
        <w:rPr>
          <w:lang w:val="en-GB"/>
        </w:rPr>
        <w:t xml:space="preserve">external circuit </w:t>
      </w:r>
      <w:r w:rsidRPr="009B6809">
        <w:rPr>
          <w:lang w:val="en-GB"/>
        </w:rPr>
        <w:t>is transformed into ionic fluxes</w:t>
      </w:r>
      <w:r w:rsidR="00AF4799" w:rsidRPr="009B6809">
        <w:rPr>
          <w:lang w:val="en-GB"/>
        </w:rPr>
        <w:t>,</w:t>
      </w:r>
      <w:r w:rsidRPr="009B6809">
        <w:rPr>
          <w:lang w:val="en-GB"/>
        </w:rPr>
        <w:t xml:space="preserve"> </w:t>
      </w:r>
      <w:r w:rsidR="001F34B5" w:rsidRPr="009B6809">
        <w:rPr>
          <w:lang w:val="en-GB"/>
        </w:rPr>
        <w:t>through</w:t>
      </w:r>
      <w:r w:rsidRPr="009B6809">
        <w:rPr>
          <w:lang w:val="en-GB"/>
        </w:rPr>
        <w:t xml:space="preserve"> the redox reactions </w:t>
      </w:r>
      <w:r w:rsidR="004E7EB9" w:rsidRPr="009B6809">
        <w:rPr>
          <w:lang w:val="en-GB"/>
        </w:rPr>
        <w:t xml:space="preserve">occurring </w:t>
      </w:r>
      <w:r w:rsidRPr="009B6809">
        <w:rPr>
          <w:lang w:val="en-GB"/>
        </w:rPr>
        <w:t xml:space="preserve">at the electrodes. </w:t>
      </w:r>
      <w:r w:rsidR="00D823FD" w:rsidRPr="009B6809">
        <w:rPr>
          <w:lang w:val="en-GB"/>
        </w:rPr>
        <w:t>Overall</w:t>
      </w:r>
      <w:r w:rsidRPr="009B6809">
        <w:rPr>
          <w:lang w:val="en-GB"/>
        </w:rPr>
        <w:t xml:space="preserve">, </w:t>
      </w:r>
      <w:r w:rsidR="00AF4799" w:rsidRPr="009B6809">
        <w:rPr>
          <w:lang w:val="en-GB"/>
        </w:rPr>
        <w:t xml:space="preserve">the salty </w:t>
      </w:r>
      <w:r w:rsidR="00CD5526" w:rsidRPr="009B6809">
        <w:rPr>
          <w:lang w:val="en-GB"/>
        </w:rPr>
        <w:t>water</w:t>
      </w:r>
      <w:r w:rsidR="00AF4799" w:rsidRPr="009B6809">
        <w:rPr>
          <w:lang w:val="en-GB"/>
        </w:rPr>
        <w:t xml:space="preserve"> </w:t>
      </w:r>
      <w:r w:rsidR="00D823FD" w:rsidRPr="009B6809">
        <w:rPr>
          <w:lang w:val="en-GB"/>
        </w:rPr>
        <w:t xml:space="preserve">feeding both channels (i.e. the concentrated and the diluted) </w:t>
      </w:r>
      <w:r w:rsidR="00AF4799" w:rsidRPr="009B6809">
        <w:rPr>
          <w:lang w:val="en-GB"/>
        </w:rPr>
        <w:t xml:space="preserve">is desalinated due to </w:t>
      </w:r>
      <w:r w:rsidRPr="009B6809">
        <w:rPr>
          <w:lang w:val="en-GB"/>
        </w:rPr>
        <w:t>the migrative ionic fluxes</w:t>
      </w:r>
      <w:r w:rsidRPr="00B361AA">
        <w:rPr>
          <w:lang w:val="en-GB"/>
        </w:rPr>
        <w:t xml:space="preserve"> </w:t>
      </w:r>
      <w:r w:rsidR="00F44B55">
        <w:rPr>
          <w:lang w:val="en-GB"/>
        </w:rPr>
        <w:t>at the cost</w:t>
      </w:r>
      <w:r w:rsidRPr="00B361AA">
        <w:rPr>
          <w:lang w:val="en-GB"/>
        </w:rPr>
        <w:t xml:space="preserve"> </w:t>
      </w:r>
      <w:r w:rsidR="00AF4799">
        <w:rPr>
          <w:lang w:val="en-GB"/>
        </w:rPr>
        <w:t>of the adjacent</w:t>
      </w:r>
      <w:r w:rsidR="000C09E3">
        <w:rPr>
          <w:lang w:val="en-GB"/>
        </w:rPr>
        <w:t xml:space="preserve"> solution that concentrates</w:t>
      </w:r>
      <w:r w:rsidR="00D823FD">
        <w:rPr>
          <w:lang w:val="en-GB"/>
        </w:rPr>
        <w:t xml:space="preserve">, thus </w:t>
      </w:r>
      <w:r w:rsidR="00D823FD" w:rsidRPr="0026189A">
        <w:rPr>
          <w:lang w:val="en-GB"/>
        </w:rPr>
        <w:t>producing a waste brine and fresh water at the outlet of the concentrated and the diluted channels, respectively.</w:t>
      </w:r>
      <w:r w:rsidR="009B6809" w:rsidRPr="0026189A">
        <w:rPr>
          <w:lang w:val="en-GB"/>
        </w:rPr>
        <w:t xml:space="preserve"> The </w:t>
      </w:r>
      <w:r w:rsidR="00893610" w:rsidRPr="0026189A">
        <w:rPr>
          <w:lang w:val="en-GB"/>
        </w:rPr>
        <w:t xml:space="preserve">technology </w:t>
      </w:r>
      <w:r w:rsidR="00A54936" w:rsidRPr="0026189A">
        <w:rPr>
          <w:lang w:val="en-GB"/>
        </w:rPr>
        <w:t>is constituted by few component</w:t>
      </w:r>
      <w:r w:rsidR="004B47AD" w:rsidRPr="0026189A">
        <w:rPr>
          <w:lang w:val="en-GB"/>
        </w:rPr>
        <w:t>s</w:t>
      </w:r>
      <w:r w:rsidR="00A54936" w:rsidRPr="0026189A">
        <w:rPr>
          <w:lang w:val="en-GB"/>
        </w:rPr>
        <w:t xml:space="preserve"> and auxiliaries, such as pumps, electrodes and polymeric membranes</w:t>
      </w:r>
      <w:r w:rsidR="004B47AD" w:rsidRPr="0026189A">
        <w:rPr>
          <w:lang w:val="en-GB"/>
        </w:rPr>
        <w:t xml:space="preserve"> and its</w:t>
      </w:r>
      <w:r w:rsidR="00A54936" w:rsidRPr="0026189A">
        <w:rPr>
          <w:lang w:val="en-GB"/>
        </w:rPr>
        <w:t xml:space="preserve"> impact on the environment is negligible compared to the electric </w:t>
      </w:r>
      <w:r w:rsidR="0026189A" w:rsidRPr="0026189A">
        <w:rPr>
          <w:lang w:val="en-GB"/>
        </w:rPr>
        <w:t xml:space="preserve"> energy to be supplied to </w:t>
      </w:r>
      <w:r w:rsidR="004B47AD" w:rsidRPr="0026189A">
        <w:rPr>
          <w:lang w:val="en-GB"/>
        </w:rPr>
        <w:t xml:space="preserve">the unit </w:t>
      </w:r>
      <w:r w:rsidR="004B47AD" w:rsidRPr="0026189A">
        <w:rPr>
          <w:lang w:val="en-GB"/>
        </w:rPr>
        <w:fldChar w:fldCharType="begin"/>
      </w:r>
      <w:r w:rsidR="00E06FF8" w:rsidRPr="0026189A">
        <w:rPr>
          <w:lang w:val="en-GB"/>
        </w:rPr>
        <w:instrText xml:space="preserve"> ADDIN ZOTERO_ITEM CSL_CITATION {"citationID":"tiwFtYh7","properties":{"formattedCitation":"(Vineyard et al., 2021)","plainCitation":"(Vineyard et al., 2021)","noteIndex":0},"citationItems":[{"id":340,"uris":["http://zotero.org/users/10977437/items/A459MP3E"],"itemData":{"id":340,"type":"article-journal","abstract":"Nitrogen is removed during municipal wastewater treatment to reduce eutrophication of waterways and preserve drinking water quality. Nitriﬁcation-denitriﬁcation and sidestream partial nitriﬁcation-anammox are state-of-theart municipal N removal technologies, but they require energy for aeration and can release nitrous oxide as a fugitive greenhouse gas. An emerging sidestream electrodialysis technology is intended to both remove and recover N as ammonium-based fertilizer. This midpoint life cycle assessment compiles literature values to compare the state-of-the-art technologies of municipal wastewater nitrogen removal to the new electrodialysis nitrogen removal and recovery technology, accounting for the offset of Haber-Bosch-derived ammonia. Electrodialysis is projected to be environmentally favorable compared to the state-of-the-art, predicting electricity savings similar to anammox and, with the offset of industrial ammonia manufacture, net negative emissions in ﬁve of ten midpoint environmental impact categories, including global warming potential.","container-title":"Cleaner Environmental Systems","DOI":"10.1016/j.cesys.2021.100026","ISSN":"26667894","journalAbbreviation":"Cleaner Environmental Systems","language":"en","page":"100026","source":"DOI.org (Crossref)","title":"Life cycle assessment of electrodialysis for sidestream nitrogen recovery in municipal wastewater treatment","volume":"2","author":[{"family":"Vineyard","given":"Donald"},{"family":"Hicks","given":"Andrea"},{"family":"Karthikeyan","given":"K.G."},{"family":"Davidson","given":"Christy"},{"family":"Barak","given":"Phillip"}],"issued":{"date-parts":[["2021",6]]}}}],"schema":"https://github.com/citation-style-language/schema/raw/master/csl-citation.json"} </w:instrText>
      </w:r>
      <w:r w:rsidR="004B47AD" w:rsidRPr="0026189A">
        <w:rPr>
          <w:lang w:val="en-GB"/>
        </w:rPr>
        <w:fldChar w:fldCharType="separate"/>
      </w:r>
      <w:r w:rsidR="00E06FF8" w:rsidRPr="0026189A">
        <w:rPr>
          <w:rFonts w:cs="Arial"/>
        </w:rPr>
        <w:t>(Vineyard et al., 2021)</w:t>
      </w:r>
      <w:r w:rsidR="004B47AD" w:rsidRPr="0026189A">
        <w:rPr>
          <w:lang w:val="en-GB"/>
        </w:rPr>
        <w:fldChar w:fldCharType="end"/>
      </w:r>
      <w:r w:rsidR="00E06FF8" w:rsidRPr="0026189A">
        <w:rPr>
          <w:lang w:val="en-GB"/>
        </w:rPr>
        <w:t xml:space="preserve">. </w:t>
      </w:r>
      <w:r w:rsidR="0026189A" w:rsidRPr="0026189A">
        <w:rPr>
          <w:lang w:val="en-GB"/>
        </w:rPr>
        <w:t>However, the latter impact can be significantly reduced by coupling the system with</w:t>
      </w:r>
      <w:r w:rsidR="004807B4" w:rsidRPr="0026189A">
        <w:rPr>
          <w:lang w:val="en-GB"/>
        </w:rPr>
        <w:t xml:space="preserve"> renewable source</w:t>
      </w:r>
      <w:r w:rsidR="0026189A" w:rsidRPr="0026189A">
        <w:rPr>
          <w:lang w:val="en-GB"/>
        </w:rPr>
        <w:t>s</w:t>
      </w:r>
      <w:r w:rsidR="004807B4" w:rsidRPr="0026189A">
        <w:rPr>
          <w:lang w:val="en-GB"/>
        </w:rPr>
        <w:t>.</w:t>
      </w:r>
    </w:p>
    <w:p w14:paraId="337A9009" w14:textId="2EF59AB0" w:rsidR="00BB1044" w:rsidRPr="000872D3" w:rsidRDefault="00BB1044" w:rsidP="005A0D78">
      <w:pPr>
        <w:pStyle w:val="CETBodytext"/>
        <w:rPr>
          <w:lang w:val="en-GB"/>
        </w:rPr>
      </w:pPr>
      <w:r w:rsidRPr="000872D3">
        <w:rPr>
          <w:lang w:val="en-GB"/>
        </w:rPr>
        <w:t xml:space="preserve">Regarding simultaneous hydrogen and water production, however, there are no examples in the literature except for the </w:t>
      </w:r>
      <w:r w:rsidR="00D42D25">
        <w:rPr>
          <w:lang w:val="en-GB"/>
        </w:rPr>
        <w:t>paper by</w:t>
      </w:r>
      <w:r w:rsidRPr="00B97E10">
        <w:rPr>
          <w:lang w:val="en-GB"/>
        </w:rPr>
        <w:t xml:space="preserve"> </w:t>
      </w:r>
      <w:r w:rsidR="00B97E10" w:rsidRPr="00B97E10">
        <w:rPr>
          <w:lang w:val="en-GB"/>
        </w:rPr>
        <w:fldChar w:fldCharType="begin"/>
      </w:r>
      <w:r w:rsidR="00087A41">
        <w:rPr>
          <w:lang w:val="en-GB"/>
        </w:rPr>
        <w:instrText xml:space="preserve"> ADDIN ZOTERO_ITEM CSL_CITATION {"citationID":"zJ81fM1K","properties":{"formattedCitation":"(Alshebli et al., 2023)","plainCitation":"(Alshebli et al., 2023)","dontUpdate":true,"noteIndex":0},"citationItems":[{"id":316,"uris":["http://zotero.org/users/10977437/items/FVEQLAX4"],"itemData":{"id":316,"type":"article-journal","abstract":"The primary purpose of the electrodialysis (ED) process is to desalinate saline water; besides this, hydrogen, a valuable energy carrier gas, is generated at the cathode side of the ED cell in this study. However, hydrogen gas reacts with oxygen gas and reforms water due to the internal recirculation of the electrolyte solution from the anode to the cathode compartment. This study investigates the potential of hydrogen gas generation in an ED system that desalinates sodium sulfate (Na2SO4) solution. The maximum conductivity removal ratio is 98.1% when ion-exchange resins are placed into the diluate compartment at pH 8, and the ED system's hydrogen production rate is 76.8 mg H2/h$kg Na2SO4. The maximum hydrogen production rate is achieved as 118.8 mg H2/h$kg Na2SO4 solution under 14.06 mA/cm2 current density. The maximum energy and exergy efﬁciencies are calculated as 25.29% and 28.78%, respectively. The results indicate that the conventional ED process makes hydrogen production possible while desalinating saline water.","container-title":"International Journal of Hydrogen Energy","DOI":"10.1016/j.ijhydene.2022.12.104","ISSN":"03603199","journalAbbreviation":"International Journal of Hydrogen Energy","language":"en","page":"S0360319922058207","source":"DOI.org (Crossref)","title":"Experimental investigation of simultaneous hydrogen production and desalination via electrodialysis process","author":[{"family":"Alshebli","given":"Ragad F."},{"family":"Yuzer","given":"Burak"},{"family":"Bicer","given":"Yusuf"}],"issued":{"date-parts":[["2023",1]]}}}],"schema":"https://github.com/citation-style-language/schema/raw/master/csl-citation.json"} </w:instrText>
      </w:r>
      <w:r w:rsidR="00B97E10" w:rsidRPr="00B97E10">
        <w:rPr>
          <w:lang w:val="en-GB"/>
        </w:rPr>
        <w:fldChar w:fldCharType="separate"/>
      </w:r>
      <w:r w:rsidR="00B97E10" w:rsidRPr="00B97E10">
        <w:rPr>
          <w:rFonts w:cs="Arial"/>
        </w:rPr>
        <w:t>Alshebli et al. (2023)</w:t>
      </w:r>
      <w:r w:rsidR="00B97E10" w:rsidRPr="00B97E10">
        <w:rPr>
          <w:lang w:val="en-GB"/>
        </w:rPr>
        <w:fldChar w:fldCharType="end"/>
      </w:r>
      <w:r w:rsidRPr="00B97E10">
        <w:rPr>
          <w:lang w:val="en-GB"/>
        </w:rPr>
        <w:t>.</w:t>
      </w:r>
      <w:r w:rsidR="00214919">
        <w:rPr>
          <w:lang w:val="en-GB"/>
        </w:rPr>
        <w:t xml:space="preserve"> </w:t>
      </w:r>
      <w:r w:rsidRPr="00B97E10">
        <w:rPr>
          <w:lang w:val="en-GB"/>
        </w:rPr>
        <w:t>In particular</w:t>
      </w:r>
      <w:r w:rsidRPr="000872D3">
        <w:rPr>
          <w:lang w:val="en-GB"/>
        </w:rPr>
        <w:t xml:space="preserve">, they are the only ones </w:t>
      </w:r>
      <w:r w:rsidR="001F34B5" w:rsidRPr="000872D3">
        <w:rPr>
          <w:lang w:val="en-GB"/>
        </w:rPr>
        <w:t>t</w:t>
      </w:r>
      <w:r w:rsidR="001F34B5">
        <w:rPr>
          <w:lang w:val="en-GB"/>
        </w:rPr>
        <w:t>hat</w:t>
      </w:r>
      <w:r w:rsidR="001F34B5" w:rsidRPr="000872D3">
        <w:rPr>
          <w:lang w:val="en-GB"/>
        </w:rPr>
        <w:t xml:space="preserve"> </w:t>
      </w:r>
      <w:r w:rsidRPr="000872D3">
        <w:rPr>
          <w:lang w:val="en-GB"/>
        </w:rPr>
        <w:t>propose</w:t>
      </w:r>
      <w:r w:rsidR="001F34B5">
        <w:rPr>
          <w:lang w:val="en-GB"/>
        </w:rPr>
        <w:t>d</w:t>
      </w:r>
      <w:r w:rsidRPr="000872D3">
        <w:rPr>
          <w:lang w:val="en-GB"/>
        </w:rPr>
        <w:t xml:space="preserve"> this technology by coupling ED for </w:t>
      </w:r>
      <w:r w:rsidR="000C09E3">
        <w:rPr>
          <w:lang w:val="en-GB"/>
        </w:rPr>
        <w:t xml:space="preserve">the </w:t>
      </w:r>
      <w:r w:rsidRPr="000872D3">
        <w:rPr>
          <w:lang w:val="en-GB"/>
        </w:rPr>
        <w:t>desalination of sodium sulphate (Na</w:t>
      </w:r>
      <w:r w:rsidRPr="00990DC0">
        <w:rPr>
          <w:vertAlign w:val="subscript"/>
          <w:lang w:val="en-GB"/>
        </w:rPr>
        <w:t>2</w:t>
      </w:r>
      <w:r w:rsidRPr="000872D3">
        <w:rPr>
          <w:lang w:val="en-GB"/>
        </w:rPr>
        <w:t>SO</w:t>
      </w:r>
      <w:r w:rsidRPr="00990DC0">
        <w:rPr>
          <w:vertAlign w:val="subscript"/>
          <w:lang w:val="en-GB"/>
        </w:rPr>
        <w:t>4</w:t>
      </w:r>
      <w:r w:rsidRPr="000872D3">
        <w:rPr>
          <w:lang w:val="en-GB"/>
        </w:rPr>
        <w:t>) solutions with hydrogen production.</w:t>
      </w:r>
    </w:p>
    <w:p w14:paraId="7FF46A61" w14:textId="33D166BF" w:rsidR="00BB1044" w:rsidRPr="00E20109" w:rsidRDefault="00BB1044" w:rsidP="005A0D78">
      <w:pPr>
        <w:pStyle w:val="CETBodytext"/>
        <w:rPr>
          <w:lang w:val="en-GB"/>
        </w:rPr>
      </w:pPr>
      <w:r w:rsidRPr="000872D3">
        <w:rPr>
          <w:lang w:val="en-GB"/>
        </w:rPr>
        <w:t xml:space="preserve">In this context, the present work proposes the coupling of ED for desalination of </w:t>
      </w:r>
      <w:r w:rsidR="00F44B55">
        <w:rPr>
          <w:lang w:val="en-GB"/>
        </w:rPr>
        <w:t>brackish waters</w:t>
      </w:r>
      <w:r w:rsidRPr="000872D3">
        <w:rPr>
          <w:lang w:val="en-GB"/>
        </w:rPr>
        <w:t xml:space="preserve"> with hydrogen production. The present work aims to </w:t>
      </w:r>
      <w:r w:rsidR="006732FE">
        <w:rPr>
          <w:lang w:val="en-GB"/>
        </w:rPr>
        <w:t>assess</w:t>
      </w:r>
      <w:r w:rsidRPr="000872D3">
        <w:rPr>
          <w:lang w:val="en-GB"/>
        </w:rPr>
        <w:t xml:space="preserve"> the economic feasibility of the process, and consequently its pioneering application.</w:t>
      </w:r>
    </w:p>
    <w:p w14:paraId="23A49052" w14:textId="5F35BA6E" w:rsidR="003C132E" w:rsidRPr="00B57B36" w:rsidRDefault="003C132E" w:rsidP="003C132E">
      <w:pPr>
        <w:pStyle w:val="CETHeading1"/>
        <w:rPr>
          <w:lang w:val="en-GB"/>
        </w:rPr>
      </w:pPr>
      <w:r>
        <w:rPr>
          <w:lang w:val="en-GB"/>
        </w:rPr>
        <w:t>Methods and model</w:t>
      </w:r>
    </w:p>
    <w:p w14:paraId="1A070D62" w14:textId="5C898B76" w:rsidR="00DD3BCB" w:rsidRDefault="00A86600" w:rsidP="00A86600">
      <w:r>
        <w:t>The water treated is brackish water (BW),</w:t>
      </w:r>
      <w:r w:rsidR="0017149D">
        <w:t xml:space="preserve"> </w:t>
      </w:r>
      <w:r>
        <w:t>with an inlet concentration of 5 g L</w:t>
      </w:r>
      <w:r w:rsidRPr="00A86600">
        <w:rPr>
          <w:vertAlign w:val="superscript"/>
        </w:rPr>
        <w:t>-1</w:t>
      </w:r>
      <w:r>
        <w:t>, and the purpose of the dilution is to reach a concentration target of 0.5 g L</w:t>
      </w:r>
      <w:r w:rsidRPr="00A86600">
        <w:rPr>
          <w:vertAlign w:val="superscript"/>
        </w:rPr>
        <w:t>-1</w:t>
      </w:r>
      <w:r>
        <w:t xml:space="preserve">. </w:t>
      </w:r>
      <w:r w:rsidR="0017149D">
        <w:t>The stack is assumed 1</w:t>
      </w:r>
      <w:r w:rsidR="003C2DFC">
        <w:t xml:space="preserve"> </w:t>
      </w:r>
      <w:r w:rsidR="0017149D">
        <w:t>m</w:t>
      </w:r>
      <w:r w:rsidR="00F44B55">
        <w:t xml:space="preserve"> </w:t>
      </w:r>
      <w:r w:rsidR="00DD3BCB">
        <w:t>x</w:t>
      </w:r>
      <w:r w:rsidR="00F44B55">
        <w:t xml:space="preserve"> </w:t>
      </w:r>
      <w:r w:rsidR="00DD3BCB">
        <w:t>1</w:t>
      </w:r>
      <w:r w:rsidR="003C2DFC">
        <w:t xml:space="preserve"> </w:t>
      </w:r>
      <w:r w:rsidR="00DD3BCB">
        <w:t>m, assembled with 1000 cell pairs and able to treat a</w:t>
      </w:r>
      <w:r w:rsidR="006810E9">
        <w:t xml:space="preserve"> total</w:t>
      </w:r>
      <w:r w:rsidR="00DD3BCB">
        <w:t xml:space="preserve"> flow rate of </w:t>
      </w:r>
      <w:r w:rsidR="006810E9">
        <w:t>98.1</w:t>
      </w:r>
      <w:r w:rsidR="00DD3BCB">
        <w:t xml:space="preserve"> m</w:t>
      </w:r>
      <w:r w:rsidR="00DD3BCB" w:rsidRPr="00A86600">
        <w:rPr>
          <w:vertAlign w:val="superscript"/>
        </w:rPr>
        <w:t>3</w:t>
      </w:r>
      <w:r w:rsidR="00DD3BCB">
        <w:t xml:space="preserve"> h</w:t>
      </w:r>
      <w:r w:rsidR="00DD3BCB" w:rsidRPr="00A86600">
        <w:rPr>
          <w:vertAlign w:val="superscript"/>
        </w:rPr>
        <w:t>-1</w:t>
      </w:r>
      <w:r w:rsidR="00DD3BCB">
        <w:t xml:space="preserve">, with a velocity of </w:t>
      </w:r>
      <w:r>
        <w:t>5 cm s</w:t>
      </w:r>
      <w:r w:rsidRPr="00A86600">
        <w:rPr>
          <w:vertAlign w:val="superscript"/>
        </w:rPr>
        <w:t>-1</w:t>
      </w:r>
      <w:r>
        <w:t xml:space="preserve"> </w:t>
      </w:r>
      <w:r w:rsidR="00DD3BCB">
        <w:t>per channel.</w:t>
      </w:r>
    </w:p>
    <w:p w14:paraId="73A6B703" w14:textId="3F6EBDF1" w:rsidR="00030DDB" w:rsidRDefault="00030DDB" w:rsidP="00A86600">
      <w:r w:rsidRPr="00030DDB">
        <w:t xml:space="preserve">However, a stack with only one </w:t>
      </w:r>
      <w:r>
        <w:t>cath</w:t>
      </w:r>
      <w:r w:rsidRPr="00030DDB">
        <w:t xml:space="preserve">ode is unable to produce a significant amount of hydrogen. </w:t>
      </w:r>
      <w:r w:rsidR="000C09E3">
        <w:t>I</w:t>
      </w:r>
      <w:r w:rsidRPr="00030DDB">
        <w:t xml:space="preserve">ndustrial electrolysers consist </w:t>
      </w:r>
      <w:r w:rsidR="000C09E3">
        <w:t>of</w:t>
      </w:r>
      <w:r w:rsidRPr="00030DDB">
        <w:t xml:space="preserve"> a </w:t>
      </w:r>
      <w:r w:rsidR="001A3480">
        <w:t>high</w:t>
      </w:r>
      <w:r w:rsidRPr="00030DDB">
        <w:t xml:space="preserve"> repetition of cathode</w:t>
      </w:r>
      <w:r w:rsidR="001A3480">
        <w:t>s</w:t>
      </w:r>
      <w:r w:rsidRPr="00030DDB">
        <w:t xml:space="preserve"> and anode</w:t>
      </w:r>
      <w:r w:rsidR="001A3480">
        <w:t>s</w:t>
      </w:r>
      <w:r w:rsidRPr="00030DDB">
        <w:t xml:space="preserve"> to maximise hydrogen production. For this reason, the idea is to stack several electrodialysis </w:t>
      </w:r>
      <w:r>
        <w:t>units</w:t>
      </w:r>
      <w:r w:rsidRPr="00030DDB">
        <w:t xml:space="preserve"> in a single vessel</w:t>
      </w:r>
      <w:r>
        <w:t xml:space="preserve">, starting always </w:t>
      </w:r>
      <w:r w:rsidR="000C09E3">
        <w:t>with</w:t>
      </w:r>
      <w:r>
        <w:t xml:space="preserve"> the same</w:t>
      </w:r>
      <w:r w:rsidR="001A3480">
        <w:t xml:space="preserve"> total</w:t>
      </w:r>
      <w:r>
        <w:t xml:space="preserve"> number of cell pairs </w:t>
      </w:r>
      <w:r w:rsidR="001A3480">
        <w:t xml:space="preserve">(i.e. 1000) </w:t>
      </w:r>
      <w:r>
        <w:t>divide</w:t>
      </w:r>
      <w:r w:rsidR="00DD3BCB">
        <w:t>d</w:t>
      </w:r>
      <w:r>
        <w:t xml:space="preserve"> up </w:t>
      </w:r>
      <w:r w:rsidR="00DD3BCB">
        <w:t>for</w:t>
      </w:r>
      <w:r>
        <w:t xml:space="preserve"> each electrode couple.</w:t>
      </w:r>
    </w:p>
    <w:p w14:paraId="15400A01" w14:textId="6186EA4F" w:rsidR="00DD3BCB" w:rsidRDefault="00030DDB" w:rsidP="00A86600">
      <w:r w:rsidRPr="00030DDB">
        <w:t>The proposed analysis defines an R-factor as the ratio between the number of cell pairs</w:t>
      </w:r>
      <w:r w:rsidR="0017149D">
        <w:t xml:space="preserve"> N</w:t>
      </w:r>
      <w:r w:rsidR="0017149D" w:rsidRPr="0017149D">
        <w:rPr>
          <w:vertAlign w:val="subscript"/>
        </w:rPr>
        <w:t>cp</w:t>
      </w:r>
      <w:r w:rsidRPr="00030DDB">
        <w:t xml:space="preserve"> </w:t>
      </w:r>
      <w:r w:rsidR="00F44B55">
        <w:t>(</w:t>
      </w:r>
      <w:r w:rsidRPr="00030DDB">
        <w:t>fixed at 1000</w:t>
      </w:r>
      <w:r w:rsidR="00F44B55">
        <w:t>)</w:t>
      </w:r>
      <w:r w:rsidRPr="00030DDB">
        <w:t xml:space="preserve">, and the number of </w:t>
      </w:r>
      <w:r w:rsidR="0017149D">
        <w:t>electro</w:t>
      </w:r>
      <w:r w:rsidRPr="00030DDB">
        <w:t>des</w:t>
      </w:r>
      <w:r>
        <w:t xml:space="preserve"> mi</w:t>
      </w:r>
      <w:r w:rsidR="0017149D">
        <w:t>nus one</w:t>
      </w:r>
      <w:r w:rsidR="001A3480">
        <w:t>. In formula:</w:t>
      </w:r>
    </w:p>
    <w:tbl>
      <w:tblPr>
        <w:tblW w:w="5000" w:type="pct"/>
        <w:tblLook w:val="04A0" w:firstRow="1" w:lastRow="0" w:firstColumn="1" w:lastColumn="0" w:noHBand="0" w:noVBand="1"/>
      </w:tblPr>
      <w:tblGrid>
        <w:gridCol w:w="7986"/>
        <w:gridCol w:w="801"/>
      </w:tblGrid>
      <w:tr w:rsidR="00DD3BCB" w:rsidRPr="00B57B36" w14:paraId="242BEEA9" w14:textId="77777777" w:rsidTr="005A0D78">
        <w:tc>
          <w:tcPr>
            <w:tcW w:w="7986" w:type="dxa"/>
            <w:shd w:val="clear" w:color="auto" w:fill="auto"/>
            <w:vAlign w:val="center"/>
          </w:tcPr>
          <w:p w14:paraId="0F6BBDE6" w14:textId="0437F545" w:rsidR="00DD3BCB" w:rsidRPr="00DD3BCB" w:rsidRDefault="00DD3BCB" w:rsidP="005A0D78">
            <w:pPr>
              <w:pStyle w:val="CETEquation"/>
              <w:rPr>
                <w:rFonts w:cs="Arial"/>
                <w:iCs/>
              </w:rPr>
            </w:pPr>
            <m:oMathPara>
              <m:oMathParaPr>
                <m:jc m:val="left"/>
              </m:oMathParaPr>
              <m:oMath>
                <m:r>
                  <m:rPr>
                    <m:sty m:val="p"/>
                  </m:rPr>
                  <w:rPr>
                    <w:rFonts w:ascii="Cambria Math" w:hAnsi="Cambria Math" w:cs="Arial"/>
                  </w:rPr>
                  <m:t>R=</m:t>
                </m:r>
                <m:f>
                  <m:fPr>
                    <m:ctrlPr>
                      <w:rPr>
                        <w:rFonts w:ascii="Cambria Math" w:hAnsi="Cambria Math" w:cs="Arial"/>
                        <w:iCs/>
                        <w:color w:val="000000" w:themeColor="text1"/>
                      </w:rPr>
                    </m:ctrlPr>
                  </m:fPr>
                  <m:num>
                    <m:sSub>
                      <m:sSubPr>
                        <m:ctrlPr>
                          <w:rPr>
                            <w:rFonts w:ascii="Cambria Math" w:hAnsi="Cambria Math" w:cs="Arial"/>
                            <w:iCs/>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cp</m:t>
                        </m:r>
                      </m:sub>
                    </m:sSub>
                  </m:num>
                  <m:den>
                    <m:r>
                      <m:rPr>
                        <m:sty m:val="p"/>
                      </m:rPr>
                      <w:rPr>
                        <w:rFonts w:ascii="Cambria Math" w:hAnsi="Cambria Math" w:cs="Arial"/>
                        <w:color w:val="000000" w:themeColor="text1"/>
                      </w:rPr>
                      <m:t>(</m:t>
                    </m:r>
                    <m:sSub>
                      <m:sSubPr>
                        <m:ctrlPr>
                          <w:rPr>
                            <w:rFonts w:ascii="Cambria Math" w:hAnsi="Cambria Math" w:cs="Arial"/>
                            <w:iCs/>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el</m:t>
                        </m:r>
                      </m:sub>
                    </m:sSub>
                    <m:r>
                      <m:rPr>
                        <m:sty m:val="p"/>
                      </m:rPr>
                      <w:rPr>
                        <w:rFonts w:ascii="Cambria Math" w:hAnsi="Cambria Math" w:cs="Arial"/>
                        <w:color w:val="000000" w:themeColor="text1"/>
                      </w:rPr>
                      <m:t>-1)</m:t>
                    </m:r>
                  </m:den>
                </m:f>
              </m:oMath>
            </m:oMathPara>
          </w:p>
        </w:tc>
        <w:tc>
          <w:tcPr>
            <w:tcW w:w="801" w:type="dxa"/>
            <w:shd w:val="clear" w:color="auto" w:fill="auto"/>
            <w:vAlign w:val="center"/>
          </w:tcPr>
          <w:p w14:paraId="3360D083" w14:textId="760B9984" w:rsidR="00DD3BCB" w:rsidRPr="00B57B36" w:rsidRDefault="00DD3BCB" w:rsidP="0017149D">
            <w:pPr>
              <w:pStyle w:val="CETEquation"/>
              <w:jc w:val="right"/>
            </w:pPr>
            <w:r w:rsidRPr="00B57B36">
              <w:t>(</w:t>
            </w:r>
            <w:r w:rsidR="0017149D">
              <w:t>1</w:t>
            </w:r>
            <w:r w:rsidRPr="00B57B36">
              <w:t>)</w:t>
            </w:r>
          </w:p>
        </w:tc>
      </w:tr>
    </w:tbl>
    <w:p w14:paraId="62A0FB3D" w14:textId="217320C0" w:rsidR="00030DDB" w:rsidRDefault="00DD3BCB" w:rsidP="00A86600">
      <w:r>
        <w:t>A schematic representation of the system</w:t>
      </w:r>
      <w:r w:rsidR="001133C5">
        <w:t xml:space="preserve"> and the </w:t>
      </w:r>
      <w:r w:rsidR="009108E9">
        <w:t>corresponding</w:t>
      </w:r>
      <w:r w:rsidR="001133C5">
        <w:t xml:space="preserve"> R factor</w:t>
      </w:r>
      <w:r>
        <w:t xml:space="preserve"> is shown in Figure 1. </w:t>
      </w:r>
    </w:p>
    <w:p w14:paraId="244ED52A" w14:textId="48F96A72" w:rsidR="00A86600" w:rsidRDefault="000214E2" w:rsidP="00A86600">
      <w:r w:rsidRPr="000214E2">
        <w:rPr>
          <w:noProof/>
          <w:lang w:eastAsia="en-GB"/>
        </w:rPr>
        <w:drawing>
          <wp:inline distT="0" distB="0" distL="0" distR="0" wp14:anchorId="7D24B38D" wp14:editId="2475E9FC">
            <wp:extent cx="5479366" cy="248030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109" b="3269"/>
                    <a:stretch/>
                  </pic:blipFill>
                  <pic:spPr bwMode="auto">
                    <a:xfrm>
                      <a:off x="0" y="0"/>
                      <a:ext cx="5505854" cy="2492293"/>
                    </a:xfrm>
                    <a:prstGeom prst="rect">
                      <a:avLst/>
                    </a:prstGeom>
                    <a:noFill/>
                    <a:ln>
                      <a:noFill/>
                    </a:ln>
                    <a:extLst>
                      <a:ext uri="{53640926-AAD7-44D8-BBD7-CCE9431645EC}">
                        <a14:shadowObscured xmlns:a14="http://schemas.microsoft.com/office/drawing/2010/main"/>
                      </a:ext>
                    </a:extLst>
                  </pic:spPr>
                </pic:pic>
              </a:graphicData>
            </a:graphic>
          </wp:inline>
        </w:drawing>
      </w:r>
    </w:p>
    <w:p w14:paraId="4642262D" w14:textId="77EEFBDA" w:rsidR="00DD3BCB" w:rsidRDefault="00E80E54" w:rsidP="001133C5">
      <w:pPr>
        <w:pStyle w:val="CETCaption"/>
      </w:pPr>
      <w:r>
        <w:t>Figure 1</w:t>
      </w:r>
      <w:r w:rsidR="00E20109">
        <w:t>: Schemati</w:t>
      </w:r>
      <w:r w:rsidR="005509EB">
        <w:t>c representation of parallel ED-</w:t>
      </w:r>
      <w:r>
        <w:t>unit</w:t>
      </w:r>
      <w:r w:rsidR="001133C5">
        <w:t>s</w:t>
      </w:r>
      <w:r>
        <w:t xml:space="preserve"> </w:t>
      </w:r>
      <w:r w:rsidR="00E20109">
        <w:t>for hydrogen production</w:t>
      </w:r>
      <w:r w:rsidR="001133C5">
        <w:t xml:space="preserve"> along with the R-factor indication</w:t>
      </w:r>
      <w:r w:rsidR="00E20109">
        <w:t>.</w:t>
      </w:r>
      <w:r w:rsidR="001133C5">
        <w:t xml:space="preserve"> The number of </w:t>
      </w:r>
      <w:r w:rsidR="00E20109">
        <w:t xml:space="preserve">Electrodes </w:t>
      </w:r>
      <w:r w:rsidR="001133C5">
        <w:t xml:space="preserve">inserted in the stack increases </w:t>
      </w:r>
      <w:r w:rsidR="00E20109">
        <w:t>towards the right</w:t>
      </w:r>
      <w:r w:rsidR="000C09E3">
        <w:t>, with the consequent increase</w:t>
      </w:r>
      <w:r w:rsidR="005509EB">
        <w:t xml:space="preserve"> in the number of ED-</w:t>
      </w:r>
      <w:r w:rsidR="00E20109">
        <w:t>unit</w:t>
      </w:r>
      <w:r w:rsidR="000C09E3">
        <w:t>s</w:t>
      </w:r>
      <w:r w:rsidR="00E20109">
        <w:t xml:space="preserve"> in parallel</w:t>
      </w:r>
      <w:r w:rsidR="001133C5">
        <w:t xml:space="preserve"> (R is decreasing)</w:t>
      </w:r>
      <w:r w:rsidR="00E20109">
        <w:t>. Conversely, moving from the right to the left</w:t>
      </w:r>
      <w:r w:rsidR="001133C5">
        <w:t>, the lower the number of ED-units, the lower the number of electrodes and the higher</w:t>
      </w:r>
      <w:r w:rsidR="00E20109">
        <w:t xml:space="preserve"> the R-factor.</w:t>
      </w:r>
    </w:p>
    <w:p w14:paraId="1510974A" w14:textId="54902005" w:rsidR="0017149D" w:rsidRDefault="0017149D" w:rsidP="0017149D">
      <w:pPr>
        <w:pStyle w:val="CETBodytext"/>
      </w:pPr>
      <w:r>
        <w:t>W</w:t>
      </w:r>
      <w:r w:rsidRPr="00030DDB">
        <w:t>hen R increases, the number of cathodes of the system</w:t>
      </w:r>
      <w:r>
        <w:t xml:space="preserve"> and the number of </w:t>
      </w:r>
      <w:r w:rsidR="005509EB">
        <w:t>ED-unit</w:t>
      </w:r>
      <w:r>
        <w:t xml:space="preserve"> repetition</w:t>
      </w:r>
      <w:r w:rsidR="000C09E3">
        <w:t>s</w:t>
      </w:r>
      <w:r w:rsidRPr="00030DDB">
        <w:t xml:space="preserve"> decreas</w:t>
      </w:r>
      <w:r>
        <w:t xml:space="preserve">es, and consequently, the </w:t>
      </w:r>
      <w:r w:rsidR="004B7E8F">
        <w:t xml:space="preserve">number of </w:t>
      </w:r>
      <w:r>
        <w:t>cell pa</w:t>
      </w:r>
      <w:r w:rsidR="005509EB">
        <w:t>ir</w:t>
      </w:r>
      <w:r w:rsidR="004B7E8F">
        <w:t>s</w:t>
      </w:r>
      <w:r>
        <w:t xml:space="preserve"> per each </w:t>
      </w:r>
      <w:r w:rsidR="005509EB">
        <w:t>ED-</w:t>
      </w:r>
      <w:r>
        <w:t>unit increases</w:t>
      </w:r>
      <w:r w:rsidR="004B7E8F">
        <w:t xml:space="preserve">. Just to give an example, </w:t>
      </w:r>
      <w:r w:rsidRPr="00030DDB">
        <w:t>for R</w:t>
      </w:r>
      <w:r w:rsidR="00F44B55">
        <w:t xml:space="preserve"> equal to </w:t>
      </w:r>
      <w:r w:rsidRPr="00030DDB">
        <w:t>1000,</w:t>
      </w:r>
      <w:r w:rsidR="004B7E8F">
        <w:t xml:space="preserve"> one </w:t>
      </w:r>
      <w:r w:rsidR="009108E9">
        <w:t>has</w:t>
      </w:r>
      <w:r w:rsidR="004B7E8F">
        <w:t xml:space="preserve"> 1000 cell pairs packed</w:t>
      </w:r>
      <w:r w:rsidRPr="00030DDB">
        <w:t xml:space="preserve"> between a single cathode and anode</w:t>
      </w:r>
      <w:r>
        <w:t xml:space="preserve"> as the first stack </w:t>
      </w:r>
      <w:r w:rsidR="00F44B55">
        <w:t>on the left</w:t>
      </w:r>
      <w:r w:rsidR="004B7E8F">
        <w:t>-up</w:t>
      </w:r>
      <w:r w:rsidR="00F44B55">
        <w:t xml:space="preserve"> of Figure 1. When R </w:t>
      </w:r>
      <w:r>
        <w:t>decrease</w:t>
      </w:r>
      <w:r w:rsidR="00F44B55">
        <w:t>s</w:t>
      </w:r>
      <w:r>
        <w:t xml:space="preserve">, </w:t>
      </w:r>
      <w:r w:rsidR="004B7E8F">
        <w:t xml:space="preserve">the number of </w:t>
      </w:r>
      <w:r>
        <w:t>electr</w:t>
      </w:r>
      <w:r w:rsidR="00F44B55">
        <w:t>odes inserted in the s</w:t>
      </w:r>
      <w:r w:rsidR="005509EB">
        <w:t>tack</w:t>
      </w:r>
      <w:r>
        <w:t xml:space="preserve"> </w:t>
      </w:r>
      <w:r w:rsidR="004B7E8F">
        <w:t xml:space="preserve">increases </w:t>
      </w:r>
      <w:r w:rsidR="000C09E3">
        <w:t xml:space="preserve">and </w:t>
      </w:r>
      <w:r>
        <w:t xml:space="preserve">the cell pairs are divided up in more </w:t>
      </w:r>
      <w:r w:rsidR="005509EB">
        <w:t>ED-</w:t>
      </w:r>
      <w:r>
        <w:t xml:space="preserve">units working in parallel. The lower limit is </w:t>
      </w:r>
      <w:r w:rsidR="00F44B55">
        <w:t xml:space="preserve">R equal to </w:t>
      </w:r>
      <w:r w:rsidRPr="00030DDB">
        <w:t>1</w:t>
      </w:r>
      <w:r>
        <w:t xml:space="preserve">, </w:t>
      </w:r>
      <w:r w:rsidR="009D2636">
        <w:t>corresponding to</w:t>
      </w:r>
      <w:r w:rsidRPr="00030DDB">
        <w:t xml:space="preserve"> </w:t>
      </w:r>
      <w:r w:rsidR="009D2636">
        <w:t>a</w:t>
      </w:r>
      <w:r w:rsidRPr="00030DDB">
        <w:t xml:space="preserve"> </w:t>
      </w:r>
      <w:r>
        <w:t>system</w:t>
      </w:r>
      <w:r w:rsidRPr="00030DDB">
        <w:t xml:space="preserve"> </w:t>
      </w:r>
      <w:r w:rsidR="009D2636">
        <w:t xml:space="preserve">composed of </w:t>
      </w:r>
      <w:r w:rsidRPr="00030DDB">
        <w:t xml:space="preserve">the repetition of 1000 </w:t>
      </w:r>
      <w:r w:rsidR="005509EB">
        <w:t>ED-</w:t>
      </w:r>
      <w:r>
        <w:t xml:space="preserve">units, with 501 </w:t>
      </w:r>
      <w:r w:rsidRPr="00030DDB">
        <w:t xml:space="preserve">cathodes and </w:t>
      </w:r>
      <w:r>
        <w:t xml:space="preserve">500 </w:t>
      </w:r>
      <w:r w:rsidRPr="00030DDB">
        <w:t xml:space="preserve">anodes </w:t>
      </w:r>
      <w:r>
        <w:t>constituted</w:t>
      </w:r>
      <w:r w:rsidRPr="00030DDB">
        <w:t xml:space="preserve"> by 1 cell pair</w:t>
      </w:r>
      <w:r w:rsidR="00F44B55">
        <w:t xml:space="preserve"> each</w:t>
      </w:r>
      <w:r>
        <w:t>.</w:t>
      </w:r>
    </w:p>
    <w:p w14:paraId="1D005747" w14:textId="2754E49B" w:rsidR="0017149D" w:rsidRDefault="0017149D" w:rsidP="0017149D">
      <w:pPr>
        <w:pStyle w:val="CETheadingx"/>
      </w:pPr>
      <w:r>
        <w:lastRenderedPageBreak/>
        <w:t>Techno-economic model</w:t>
      </w:r>
    </w:p>
    <w:p w14:paraId="6AAE4D69" w14:textId="1DFF0EC6" w:rsidR="00605E36" w:rsidRDefault="00CD5526" w:rsidP="0017149D">
      <w:pPr>
        <w:pStyle w:val="CETBodytext"/>
      </w:pPr>
      <w:r w:rsidRPr="009B6809">
        <w:t>The techno-economical model has been implemented on Excel VBA</w:t>
      </w:r>
      <w:r w:rsidR="009B6809" w:rsidRPr="009B6809">
        <w:t>.</w:t>
      </w:r>
      <w:r w:rsidRPr="009B6809">
        <w:t xml:space="preserve"> </w:t>
      </w:r>
      <w:r w:rsidR="009B6809" w:rsidRPr="009B6809">
        <w:t>T</w:t>
      </w:r>
      <w:r w:rsidR="00E20109" w:rsidRPr="009B6809">
        <w:t xml:space="preserve">he </w:t>
      </w:r>
      <w:r w:rsidR="008E6BDF" w:rsidRPr="009B6809">
        <w:t xml:space="preserve">adopted </w:t>
      </w:r>
      <w:r w:rsidRPr="009B6809">
        <w:t>techn</w:t>
      </w:r>
      <w:r w:rsidR="00E20109" w:rsidRPr="009B6809">
        <w:t xml:space="preserve">ical model of the ED technology is widely discussed </w:t>
      </w:r>
      <w:r w:rsidR="008E6BDF" w:rsidRPr="009B6809">
        <w:t>in</w:t>
      </w:r>
      <w:r w:rsidR="00E20109" w:rsidRPr="009B6809">
        <w:t xml:space="preserve"> </w:t>
      </w:r>
      <w:r w:rsidR="00214919" w:rsidRPr="009B6809">
        <w:fldChar w:fldCharType="begin"/>
      </w:r>
      <w:r w:rsidR="00087A41" w:rsidRPr="009B6809">
        <w:instrText xml:space="preserve"> ADDIN ZOTERO_ITEM CSL_CITATION {"citationID":"irTFueVc","properties":{"formattedCitation":"(Campione et al., 2019)","plainCitation":"(Campione et al., 2019)","dontUpdate":true,"noteIndex":0},"citationItems":[{"id":134,"uris":["http://zotero.org/users/10977437/items/P3QNEVD5"],"itemData":{"id":134,"type":"article-journal","abstract":"A new hierarchical model for the electrodialysis (ED) process is presented. The model has been implemented into gPROMs Modelbuilder (PSE), allowing the development of a distributed-parameters simulation tool that combines the effectiveness of a semi-empirical modelling approach to the flexibility of a layered arrangement of modelling scales. Thanks to its structure, the tool makes possible the simulation of many different and complex layouts, requiring only membrane properties as input parameters (e.g. membrane resistance or salt and water permeability). The model has been validated against original experimental data obtained from a lab scale ED test rig. Simulation results concerning a 4-stage treatment of seawater and dynamic batch operations of brackish water desalination are presented, showing how the model can be effectively used for predictive purposes and for providing useful insights on design and optimisation.","container-title":"Desalination","DOI":"10.1016/j.desal.2019.04.020","ISSN":"00119164","journalAbbreviation":"Desalination","language":"en","page":"79-93","source":"DOI.org (Crossref)","title":"A hierarchical model for novel schemes of electrodialysis desalination","volume":"465","author":[{"family":"Campione","given":"Antonino"},{"family":"Cipollina","given":"Andrea"},{"family":"Bogle","given":"I. David L."},{"family":"Gurreri","given":"Luigi"},{"family":"Tamburini","given":"Alessandro"},{"family":"Tedesco","given":"Michele"},{"family":"Micale","given":"Giorgio"}],"issued":{"date-parts":[["2019",9]]}}}],"schema":"https://github.com/citation-style-language/schema/raw/master/csl-citation.json"} </w:instrText>
      </w:r>
      <w:r w:rsidR="00214919" w:rsidRPr="009B6809">
        <w:fldChar w:fldCharType="separate"/>
      </w:r>
      <w:r w:rsidR="00214919" w:rsidRPr="009B6809">
        <w:rPr>
          <w:rFonts w:cs="Arial"/>
        </w:rPr>
        <w:t>Campione et al. (2019)</w:t>
      </w:r>
      <w:r w:rsidR="00214919" w:rsidRPr="009B6809">
        <w:fldChar w:fldCharType="end"/>
      </w:r>
      <w:r w:rsidR="00E20109" w:rsidRPr="009B6809">
        <w:t>.</w:t>
      </w:r>
      <w:r w:rsidR="00214919" w:rsidRPr="009B6809">
        <w:t xml:space="preserve"> </w:t>
      </w:r>
      <w:r w:rsidRPr="009B6809">
        <w:t>I</w:t>
      </w:r>
      <w:r w:rsidR="008E6BDF" w:rsidRPr="009B6809">
        <w:t>t</w:t>
      </w:r>
      <w:r w:rsidR="00605E36" w:rsidRPr="009B6809">
        <w:t xml:space="preserve"> </w:t>
      </w:r>
      <w:r w:rsidR="008E6BDF" w:rsidRPr="009B6809">
        <w:t>solves</w:t>
      </w:r>
      <w:r w:rsidR="008E6BDF">
        <w:t xml:space="preserve"> </w:t>
      </w:r>
      <w:r w:rsidR="00605E36">
        <w:t>the mass balances and the electrical equation</w:t>
      </w:r>
      <w:r w:rsidR="00F44B55">
        <w:t>s</w:t>
      </w:r>
      <w:r w:rsidR="008E6BDF">
        <w:t xml:space="preserve"> (each one relevant to a </w:t>
      </w:r>
      <w:r w:rsidR="00605E36">
        <w:t xml:space="preserve">branch of </w:t>
      </w:r>
      <w:r w:rsidR="008E6BDF">
        <w:t>the</w:t>
      </w:r>
      <w:r w:rsidR="00605E36">
        <w:t xml:space="preserve"> equivalent electrical circuit</w:t>
      </w:r>
      <w:r w:rsidR="008E6BDF">
        <w:t>)</w:t>
      </w:r>
      <w:r w:rsidR="00605E36">
        <w:t xml:space="preserve">. The </w:t>
      </w:r>
      <w:r w:rsidR="008E6BDF">
        <w:t>stack</w:t>
      </w:r>
      <w:r w:rsidR="00605E36">
        <w:t xml:space="preserve"> constituted </w:t>
      </w:r>
      <w:r w:rsidR="008E6BDF">
        <w:t>of</w:t>
      </w:r>
      <w:r w:rsidR="00605E36">
        <w:t xml:space="preserve"> membranes and </w:t>
      </w:r>
      <w:r w:rsidR="008E6BDF">
        <w:t>spacer-filled</w:t>
      </w:r>
      <w:r w:rsidR="00605E36">
        <w:t xml:space="preserve"> channels are represented as ohmic resistance</w:t>
      </w:r>
      <w:r w:rsidR="00F44B55">
        <w:t>s</w:t>
      </w:r>
      <w:r w:rsidR="00605E36">
        <w:t xml:space="preserve">. </w:t>
      </w:r>
      <w:r w:rsidR="008E6BDF">
        <w:t>T</w:t>
      </w:r>
      <w:r w:rsidR="00605E36">
        <w:t xml:space="preserve">he concentration </w:t>
      </w:r>
      <w:r w:rsidR="008E6BDF">
        <w:t xml:space="preserve">difference produced in the ED unit at the membrane interphases corresponds </w:t>
      </w:r>
      <w:r w:rsidR="00E6349E">
        <w:t xml:space="preserve">to </w:t>
      </w:r>
      <w:r w:rsidR="008E6BDF">
        <w:t xml:space="preserve">a </w:t>
      </w:r>
      <w:r w:rsidR="00605E36">
        <w:t xml:space="preserve">chemical potential </w:t>
      </w:r>
      <w:r w:rsidR="008E6BDF">
        <w:t>difference</w:t>
      </w:r>
      <w:r w:rsidR="00E6349E">
        <w:t xml:space="preserve"> to be exceeded to desalinate the brackish water</w:t>
      </w:r>
      <w:r w:rsidR="00605E36">
        <w:t>.</w:t>
      </w:r>
    </w:p>
    <w:p w14:paraId="47372B32" w14:textId="7CABB796" w:rsidR="0017149D" w:rsidRDefault="0026153F" w:rsidP="00EE1B5D">
      <w:pPr>
        <w:pStyle w:val="CETBodytext"/>
      </w:pPr>
      <w:r>
        <w:t>The</w:t>
      </w:r>
      <w:r w:rsidR="00214919">
        <w:t xml:space="preserve"> electrodes</w:t>
      </w:r>
      <w:r>
        <w:t xml:space="preserve">, </w:t>
      </w:r>
      <w:r w:rsidR="00214919">
        <w:t xml:space="preserve">the electrode solution </w:t>
      </w:r>
      <w:r>
        <w:t>and the additional end membrane (used for separating the cell packa</w:t>
      </w:r>
      <w:r w:rsidR="000C09E3">
        <w:t>ge by the electrode) constitute</w:t>
      </w:r>
      <w:r>
        <w:t xml:space="preserve"> the blank resistance. </w:t>
      </w:r>
      <w:r w:rsidR="00E6349E">
        <w:t>It is typically</w:t>
      </w:r>
      <w:r>
        <w:t xml:space="preserve"> constant </w:t>
      </w:r>
      <w:r w:rsidR="00605E36">
        <w:t xml:space="preserve">and negligible for industrial </w:t>
      </w:r>
      <w:r w:rsidR="00E6349E">
        <w:t xml:space="preserve">scale ED </w:t>
      </w:r>
      <w:r w:rsidR="00605E36">
        <w:t>system</w:t>
      </w:r>
      <w:r w:rsidR="00E6349E">
        <w:t>s</w:t>
      </w:r>
      <w:r w:rsidR="00605E36">
        <w:t xml:space="preserve">. </w:t>
      </w:r>
      <w:r w:rsidR="00E6349E">
        <w:t xml:space="preserve">This is not the case in </w:t>
      </w:r>
      <w:r>
        <w:t xml:space="preserve">HED </w:t>
      </w:r>
      <w:r w:rsidR="00E6349E">
        <w:t xml:space="preserve">where the black resistance is nor </w:t>
      </w:r>
      <w:r>
        <w:t xml:space="preserve">constant, due to </w:t>
      </w:r>
      <w:r w:rsidR="00605E36">
        <w:t xml:space="preserve">the </w:t>
      </w:r>
      <w:r>
        <w:t>different reactions at the electrodes</w:t>
      </w:r>
      <w:r w:rsidR="00E6349E">
        <w:t>, nor negligible as a large number of electrodes is considered (i.e. R close to 1)</w:t>
      </w:r>
      <w:r>
        <w:t>.</w:t>
      </w:r>
      <w:r w:rsidR="00605E36">
        <w:t xml:space="preserve"> </w:t>
      </w:r>
      <w:r>
        <w:t>Even though specific equations ex</w:t>
      </w:r>
      <w:r w:rsidR="000C09E3">
        <w:t>ist for modelling the electrode</w:t>
      </w:r>
      <w:r w:rsidR="00860F28">
        <w:t>s</w:t>
      </w:r>
      <w:r>
        <w:t xml:space="preserve"> phenomena (</w:t>
      </w:r>
      <w:r w:rsidR="005A2016">
        <w:t>e.g.,</w:t>
      </w:r>
      <w:r>
        <w:t xml:space="preserve"> Butler-Volmer equation), in this preliminary work the electrode voltage drop is assumed cons</w:t>
      </w:r>
      <w:r w:rsidR="00EE1B5D">
        <w:t>tant to a fixed value of 1.7 V</w:t>
      </w:r>
      <w:r w:rsidR="009108E9">
        <w:t xml:space="preserve">, a value </w:t>
      </w:r>
      <w:r w:rsidR="00087A41">
        <w:t>included</w:t>
      </w:r>
      <w:r w:rsidR="009108E9">
        <w:t xml:space="preserve"> between typical </w:t>
      </w:r>
      <w:r w:rsidR="00B232B3">
        <w:t xml:space="preserve">alkaline </w:t>
      </w:r>
      <w:r w:rsidR="00B232B3" w:rsidRPr="00B232B3">
        <w:rPr>
          <w:lang w:val="en-GB"/>
        </w:rPr>
        <w:t>electrolys</w:t>
      </w:r>
      <w:r w:rsidR="009108E9" w:rsidRPr="00B232B3">
        <w:rPr>
          <w:lang w:val="en-GB"/>
        </w:rPr>
        <w:t>er</w:t>
      </w:r>
      <w:r w:rsidR="00B54CEB">
        <w:t xml:space="preserve"> </w:t>
      </w:r>
      <w:r w:rsidR="00087A41">
        <w:t xml:space="preserve">voltage </w:t>
      </w:r>
      <w:r w:rsidR="00B54CEB">
        <w:fldChar w:fldCharType="begin"/>
      </w:r>
      <w:r w:rsidR="00B54CEB">
        <w:instrText xml:space="preserve"> ADDIN ZOTERO_ITEM CSL_CITATION {"citationID":"5JBodA9z","properties":{"formattedCitation":"(IRENA, 2021)","plainCitation":"(IRENA, 2021)","noteIndex":0},"citationItems":[{"id":170,"uris":["http://zotero.org/users/10977437/items/J3MBWDMD"],"itemData":{"id":170,"type":"paper-conference","ISBN":"978-92-9260-314-4","language":"en","publisher":"International Renewable Energy Agency","source":"Zotero","title":"Making the breakthrough: Green hydrogen policies and technology costs","URL":"www.irena.org/publications","author":[{"family":"IRENA","given":""}],"issued":{"date-parts":[["2021"]]}}}],"schema":"https://github.com/citation-style-language/schema/raw/master/csl-citation.json"} </w:instrText>
      </w:r>
      <w:r w:rsidR="00B54CEB">
        <w:fldChar w:fldCharType="separate"/>
      </w:r>
      <w:r w:rsidR="00B54CEB" w:rsidRPr="00B54CEB">
        <w:rPr>
          <w:rFonts w:cs="Arial"/>
        </w:rPr>
        <w:t>(IRENA, 2021)</w:t>
      </w:r>
      <w:r w:rsidR="00B54CEB">
        <w:fldChar w:fldCharType="end"/>
      </w:r>
      <w:r w:rsidR="00B54CEB">
        <w:t>.</w:t>
      </w:r>
    </w:p>
    <w:p w14:paraId="523AC6D3" w14:textId="6AED8031" w:rsidR="00B57AB7" w:rsidRDefault="00104530" w:rsidP="0017149D">
      <w:pPr>
        <w:pStyle w:val="CETBodytext"/>
      </w:pPr>
      <w:r>
        <w:t>As far as</w:t>
      </w:r>
      <w:r w:rsidR="00EE1B5D">
        <w:t xml:space="preserve"> economic aspects</w:t>
      </w:r>
      <w:r>
        <w:t xml:space="preserve"> are concerned</w:t>
      </w:r>
      <w:r w:rsidR="00EE1B5D">
        <w:t>, the feature of the system and the output values of the technical model are used as input for estimating the capital expenditure and the operative costs.</w:t>
      </w:r>
      <w:r w:rsidR="00F44B55">
        <w:t xml:space="preserve"> </w:t>
      </w:r>
      <w:r w:rsidR="00EE1B5D">
        <w:t xml:space="preserve">The </w:t>
      </w:r>
      <w:r w:rsidR="00860F28">
        <w:t>F</w:t>
      </w:r>
      <w:r w:rsidR="00EE1B5D">
        <w:t xml:space="preserve">ixed </w:t>
      </w:r>
      <w:r w:rsidR="00860F28">
        <w:t>C</w:t>
      </w:r>
      <w:r w:rsidR="00EE1B5D">
        <w:t xml:space="preserve">apital </w:t>
      </w:r>
      <w:r w:rsidR="00860F28">
        <w:t>I</w:t>
      </w:r>
      <w:r w:rsidR="00EE1B5D">
        <w:t>nvestment (FCI</w:t>
      </w:r>
      <w:r w:rsidR="005D7337">
        <w:t>, €</w:t>
      </w:r>
      <w:r w:rsidR="00EE1B5D">
        <w:t>) takes into account the direct costs (equipment) and the labo</w:t>
      </w:r>
      <w:r w:rsidR="000C09E3">
        <w:t xml:space="preserve">ur costs </w:t>
      </w:r>
      <w:r>
        <w:t xml:space="preserve">for construction </w:t>
      </w:r>
      <w:r w:rsidR="000C09E3">
        <w:t xml:space="preserve">(estimates as </w:t>
      </w:r>
      <w:r w:rsidR="00EE1B5D">
        <w:t>10 % of the equipment costs)</w:t>
      </w:r>
      <w:r>
        <w:t>. Conversely,</w:t>
      </w:r>
      <w:r w:rsidR="00EE1B5D">
        <w:t xml:space="preserve"> the </w:t>
      </w:r>
      <w:r>
        <w:t xml:space="preserve">yearly </w:t>
      </w:r>
      <w:r w:rsidR="00EE1B5D">
        <w:t xml:space="preserve">manufacturing </w:t>
      </w:r>
      <w:r>
        <w:t xml:space="preserve">expenditures </w:t>
      </w:r>
      <w:r w:rsidR="00EE1B5D">
        <w:t>(Opex</w:t>
      </w:r>
      <w:r w:rsidR="005D7337">
        <w:t>, € year</w:t>
      </w:r>
      <w:r w:rsidR="005D7337" w:rsidRPr="005D7337">
        <w:rPr>
          <w:vertAlign w:val="superscript"/>
        </w:rPr>
        <w:t>-1</w:t>
      </w:r>
      <w:r w:rsidR="00EE1B5D">
        <w:t xml:space="preserve">) </w:t>
      </w:r>
      <w:r>
        <w:t>take into account</w:t>
      </w:r>
      <w:r w:rsidR="00EE1B5D">
        <w:t xml:space="preserve"> the day-to-day expenditure</w:t>
      </w:r>
      <w:r>
        <w:t>s</w:t>
      </w:r>
      <w:r w:rsidR="00EE1B5D">
        <w:t xml:space="preserve"> such as chemicals, electricity etc. and other costs evaluated as the 4 % of the FCI </w:t>
      </w:r>
      <w:r w:rsidR="00EE1B5D">
        <w:fldChar w:fldCharType="begin"/>
      </w:r>
      <w:r w:rsidR="00EE1B5D">
        <w:instrText xml:space="preserve"> ADDIN ZOTERO_ITEM CSL_CITATION {"citationID":"q2asASNP","properties":{"formattedCitation":"(Giacalone et al., 2019)","plainCitation":"(Giacalone et al., 2019)","noteIndex":0},"citationItems":[{"id":174,"uris":["http://zotero.org/users/10977437/items/3DIXSZQJ"],"itemData":{"id":174,"type":"article-journal","abstract":"Salinity gradients are a non-conventional source of renewable energy based on the recovery of the Gibbs free energy related to the mixing of solutions at different concentrations. Reverse Electrodialysis is a promising and innovative technology able to convert this energy directly into electric current. The worldwide availability of salinity gradients is limited to those locations where water bodies at different salinity levels are present. The present work analyses a number of different scenarios worldwide, in locations where salinity gradients are naturally available or generated by anthropogenic activities. A techno-economic model of the Reverse Electrodialysis process is presented. The model is used to evaluate the energy that can be harvested in each real scenario using a reverse electrodialysis plant and relevant results are reported in terms of power densities and energy yields. Finally, an economic analysis based on the estimation of the Levelized Cost Of Electricity (LCOE) for each scenario is presented, and perspective considerations are reported. Results suggest that competitive values of LCOE may be achieved in some scenarios.","container-title":"Energy","DOI":"10.1016/j.energy.2019.05.161","ISSN":"03605442","journalAbbreviation":"Energy","language":"en","page":"532-547","source":"DOI.org (Crossref)","title":"Application of reverse electrodialysis to site-specific types of saline solutions: A techno-economic assessment","title-short":"Application of reverse electrodialysis to site-specific types of saline solutions","volume":"181","author":[{"family":"Giacalone","given":"F."},{"family":"Papapetrou","given":"M."},{"family":"Kosmadakis","given":"G."},{"family":"Tamburini","given":"A."},{"family":"Micale","given":"G."},{"family":"Cipollina","given":"A."}],"issued":{"date-parts":[["2019",8]]}}}],"schema":"https://github.com/citation-style-language/schema/raw/master/csl-citation.json"} </w:instrText>
      </w:r>
      <w:r w:rsidR="00EE1B5D">
        <w:fldChar w:fldCharType="separate"/>
      </w:r>
      <w:r w:rsidR="00EE1B5D" w:rsidRPr="00EE1B5D">
        <w:rPr>
          <w:rFonts w:cs="Arial"/>
        </w:rPr>
        <w:t>(Giacalone et al., 2019)</w:t>
      </w:r>
      <w:r w:rsidR="00EE1B5D">
        <w:fldChar w:fldCharType="end"/>
      </w:r>
      <w:r w:rsidR="00EE1B5D">
        <w:t>. Some of the parameter</w:t>
      </w:r>
      <w:r w:rsidR="000C09E3">
        <w:t>s</w:t>
      </w:r>
      <w:r w:rsidR="00EE1B5D">
        <w:t xml:space="preserve"> used for the economic analysis are reported in Table 1</w:t>
      </w:r>
      <w:r w:rsidR="005D7337">
        <w:t>.</w:t>
      </w:r>
    </w:p>
    <w:p w14:paraId="1384AC5F" w14:textId="2433B465" w:rsidR="00EE1B5D" w:rsidRDefault="00EE1B5D" w:rsidP="00EE1B5D">
      <w:pPr>
        <w:pStyle w:val="CETTabletitle"/>
      </w:pPr>
      <w:r>
        <w:t xml:space="preserve">Table 1 </w:t>
      </w:r>
      <w:r w:rsidR="006C62BA">
        <w:t>I</w:t>
      </w:r>
      <w:r>
        <w:t>nput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792"/>
        <w:gridCol w:w="1645"/>
        <w:gridCol w:w="1499"/>
      </w:tblGrid>
      <w:tr w:rsidR="00EE1B5D" w:rsidRPr="009963E1" w14:paraId="36C60BC4" w14:textId="77777777" w:rsidTr="00B25910">
        <w:trPr>
          <w:trHeight w:val="136"/>
        </w:trPr>
        <w:tc>
          <w:tcPr>
            <w:tcW w:w="3792" w:type="dxa"/>
            <w:tcBorders>
              <w:top w:val="single" w:sz="12" w:space="0" w:color="008000"/>
              <w:bottom w:val="single" w:sz="6" w:space="0" w:color="008000"/>
            </w:tcBorders>
            <w:shd w:val="clear" w:color="auto" w:fill="FFFFFF"/>
          </w:tcPr>
          <w:p w14:paraId="63D5823D" w14:textId="77777777" w:rsidR="00EE1B5D" w:rsidRPr="009963E1" w:rsidRDefault="00EE1B5D" w:rsidP="000C09E3">
            <w:pPr>
              <w:pStyle w:val="CETBodytext"/>
              <w:rPr>
                <w:lang w:val="en-GB"/>
              </w:rPr>
            </w:pPr>
            <w:r w:rsidRPr="009963E1">
              <w:rPr>
                <w:lang w:val="en-GB"/>
              </w:rPr>
              <w:t>Economic parameter</w:t>
            </w:r>
          </w:p>
        </w:tc>
        <w:tc>
          <w:tcPr>
            <w:tcW w:w="1645" w:type="dxa"/>
            <w:tcBorders>
              <w:top w:val="single" w:sz="12" w:space="0" w:color="008000"/>
              <w:bottom w:val="single" w:sz="6" w:space="0" w:color="008000"/>
            </w:tcBorders>
            <w:shd w:val="clear" w:color="auto" w:fill="FFFFFF"/>
          </w:tcPr>
          <w:p w14:paraId="10F2542D" w14:textId="77777777" w:rsidR="00EE1B5D" w:rsidRPr="009963E1" w:rsidRDefault="00EE1B5D" w:rsidP="000C09E3">
            <w:pPr>
              <w:pStyle w:val="CETBodytext"/>
              <w:rPr>
                <w:lang w:val="en-GB"/>
              </w:rPr>
            </w:pPr>
            <w:r w:rsidRPr="009963E1">
              <w:rPr>
                <w:lang w:val="en-GB"/>
              </w:rPr>
              <w:t>Value</w:t>
            </w:r>
          </w:p>
        </w:tc>
        <w:tc>
          <w:tcPr>
            <w:tcW w:w="1499" w:type="dxa"/>
            <w:tcBorders>
              <w:top w:val="single" w:sz="12" w:space="0" w:color="008000"/>
              <w:bottom w:val="single" w:sz="6" w:space="0" w:color="008000"/>
            </w:tcBorders>
            <w:shd w:val="clear" w:color="auto" w:fill="FFFFFF"/>
          </w:tcPr>
          <w:p w14:paraId="3B93F90C" w14:textId="28BDACEA" w:rsidR="00EE1B5D" w:rsidRPr="009B6809" w:rsidRDefault="00CD5526" w:rsidP="000C09E3">
            <w:pPr>
              <w:pStyle w:val="CETBodytext"/>
              <w:rPr>
                <w:lang w:val="en-GB"/>
              </w:rPr>
            </w:pPr>
            <w:r w:rsidRPr="009B6809">
              <w:rPr>
                <w:lang w:val="en-GB"/>
              </w:rPr>
              <w:t>Units</w:t>
            </w:r>
          </w:p>
        </w:tc>
      </w:tr>
      <w:tr w:rsidR="00EE1B5D" w:rsidRPr="009963E1" w14:paraId="7F74BA51" w14:textId="77777777" w:rsidTr="00B25910">
        <w:trPr>
          <w:trHeight w:val="273"/>
        </w:trPr>
        <w:tc>
          <w:tcPr>
            <w:tcW w:w="3792" w:type="dxa"/>
            <w:shd w:val="clear" w:color="auto" w:fill="FFFFFF"/>
          </w:tcPr>
          <w:p w14:paraId="66BE1FD7" w14:textId="11CB2BD5" w:rsidR="00EE1B5D" w:rsidRPr="009963E1" w:rsidRDefault="00EE1B5D" w:rsidP="000C09E3">
            <w:pPr>
              <w:pStyle w:val="CETBodytext"/>
              <w:rPr>
                <w:rFonts w:cs="Arial"/>
                <w:lang w:val="en-GB"/>
              </w:rPr>
            </w:pPr>
            <w:r w:rsidRPr="009963E1">
              <w:rPr>
                <w:rFonts w:cs="Arial"/>
                <w:szCs w:val="24"/>
              </w:rPr>
              <w:t>Plant lifetime</w:t>
            </w:r>
            <w:r w:rsidRPr="00DA581F">
              <w:rPr>
                <w:rFonts w:cs="Arial"/>
                <w:szCs w:val="24"/>
              </w:rPr>
              <w:t xml:space="preserve"> </w:t>
            </w:r>
            <m:oMath>
              <m:r>
                <m:rPr>
                  <m:sty m:val="p"/>
                </m:rPr>
                <w:rPr>
                  <w:rFonts w:ascii="Cambria Math" w:hAnsi="Cambria Math" w:cs="Arial"/>
                  <w:szCs w:val="24"/>
                </w:rPr>
                <m:t>n</m:t>
              </m:r>
            </m:oMath>
          </w:p>
        </w:tc>
        <w:tc>
          <w:tcPr>
            <w:tcW w:w="1645" w:type="dxa"/>
            <w:shd w:val="clear" w:color="auto" w:fill="FFFFFF"/>
          </w:tcPr>
          <w:p w14:paraId="26D85971" w14:textId="77777777" w:rsidR="00EE1B5D" w:rsidRPr="009963E1" w:rsidRDefault="00EE1B5D" w:rsidP="000C09E3">
            <w:pPr>
              <w:pStyle w:val="CETBodytext"/>
              <w:rPr>
                <w:lang w:val="en-GB"/>
              </w:rPr>
            </w:pPr>
            <w:r w:rsidRPr="009963E1">
              <w:rPr>
                <w:szCs w:val="24"/>
              </w:rPr>
              <w:t>20</w:t>
            </w:r>
          </w:p>
        </w:tc>
        <w:tc>
          <w:tcPr>
            <w:tcW w:w="1499" w:type="dxa"/>
            <w:shd w:val="clear" w:color="auto" w:fill="FFFFFF"/>
          </w:tcPr>
          <w:p w14:paraId="54EC11D3" w14:textId="253A9652" w:rsidR="00EE1B5D" w:rsidRPr="009B6809" w:rsidRDefault="009963E1" w:rsidP="000C09E3">
            <w:pPr>
              <w:pStyle w:val="CETBodytext"/>
              <w:rPr>
                <w:lang w:val="en-GB"/>
              </w:rPr>
            </w:pPr>
            <m:oMathPara>
              <m:oMathParaPr>
                <m:jc m:val="left"/>
              </m:oMathParaPr>
              <m:oMath>
                <m:r>
                  <m:rPr>
                    <m:sty m:val="p"/>
                  </m:rPr>
                  <w:rPr>
                    <w:rFonts w:ascii="Cambria Math" w:hAnsi="Cambria Math"/>
                    <w:szCs w:val="24"/>
                  </w:rPr>
                  <m:t>year</m:t>
                </m:r>
              </m:oMath>
            </m:oMathPara>
          </w:p>
        </w:tc>
      </w:tr>
      <w:tr w:rsidR="00EE1B5D" w:rsidRPr="009963E1" w14:paraId="0E8EFD26" w14:textId="77777777" w:rsidTr="00B25910">
        <w:trPr>
          <w:trHeight w:val="273"/>
        </w:trPr>
        <w:tc>
          <w:tcPr>
            <w:tcW w:w="3792" w:type="dxa"/>
            <w:shd w:val="clear" w:color="auto" w:fill="FFFFFF"/>
          </w:tcPr>
          <w:p w14:paraId="3C1CC07E" w14:textId="10931911" w:rsidR="00EE1B5D" w:rsidRPr="009963E1" w:rsidRDefault="00EE1B5D" w:rsidP="000C09E3">
            <w:pPr>
              <w:pStyle w:val="CETBodytext"/>
              <w:ind w:right="-1"/>
              <w:rPr>
                <w:rFonts w:cs="Arial"/>
                <w:szCs w:val="18"/>
                <w:lang w:val="en-GB"/>
              </w:rPr>
            </w:pPr>
            <w:r w:rsidRPr="009963E1">
              <w:rPr>
                <w:rFonts w:cs="Arial"/>
                <w:szCs w:val="24"/>
              </w:rPr>
              <w:t xml:space="preserve">Discount rate </w:t>
            </w:r>
            <m:oMath>
              <m:r>
                <m:rPr>
                  <m:sty m:val="p"/>
                </m:rPr>
                <w:rPr>
                  <w:rFonts w:ascii="Cambria Math" w:hAnsi="Cambria Math" w:cs="Arial"/>
                  <w:szCs w:val="24"/>
                </w:rPr>
                <m:t>r</m:t>
              </m:r>
            </m:oMath>
          </w:p>
        </w:tc>
        <w:tc>
          <w:tcPr>
            <w:tcW w:w="1645" w:type="dxa"/>
            <w:shd w:val="clear" w:color="auto" w:fill="FFFFFF"/>
          </w:tcPr>
          <w:p w14:paraId="36118069" w14:textId="77777777" w:rsidR="00EE1B5D" w:rsidRPr="009963E1" w:rsidRDefault="00EE1B5D" w:rsidP="000C09E3">
            <w:pPr>
              <w:pStyle w:val="CETBodytext"/>
              <w:ind w:right="-1"/>
              <w:rPr>
                <w:rFonts w:cs="Arial"/>
                <w:szCs w:val="18"/>
                <w:lang w:val="en-GB"/>
              </w:rPr>
            </w:pPr>
            <w:r w:rsidRPr="009963E1">
              <w:rPr>
                <w:rFonts w:cs="Arial"/>
                <w:szCs w:val="18"/>
              </w:rPr>
              <w:t>3</w:t>
            </w:r>
          </w:p>
        </w:tc>
        <w:tc>
          <w:tcPr>
            <w:tcW w:w="1499" w:type="dxa"/>
            <w:shd w:val="clear" w:color="auto" w:fill="FFFFFF"/>
          </w:tcPr>
          <w:p w14:paraId="5877FF6E" w14:textId="77777777" w:rsidR="00EE1B5D" w:rsidRPr="009963E1" w:rsidRDefault="00EE1B5D" w:rsidP="000C09E3">
            <w:pPr>
              <w:pStyle w:val="CETBodytext"/>
              <w:ind w:right="-1"/>
              <w:rPr>
                <w:rFonts w:cs="Arial"/>
                <w:szCs w:val="18"/>
                <w:lang w:val="en-GB"/>
              </w:rPr>
            </w:pPr>
            <w:r w:rsidRPr="009963E1">
              <w:rPr>
                <w:rFonts w:eastAsia="Calibri" w:cs="Arial"/>
                <w:szCs w:val="24"/>
              </w:rPr>
              <w:t>%</w:t>
            </w:r>
          </w:p>
        </w:tc>
      </w:tr>
      <w:tr w:rsidR="006B0705" w:rsidRPr="009963E1" w14:paraId="711405E7" w14:textId="77777777" w:rsidTr="00B25910">
        <w:trPr>
          <w:trHeight w:val="273"/>
        </w:trPr>
        <w:tc>
          <w:tcPr>
            <w:tcW w:w="3792" w:type="dxa"/>
            <w:shd w:val="clear" w:color="auto" w:fill="FFFFFF"/>
          </w:tcPr>
          <w:p w14:paraId="4C0F20AD" w14:textId="19908198" w:rsidR="006B0705" w:rsidRPr="009963E1" w:rsidRDefault="006B0705" w:rsidP="000C09E3">
            <w:pPr>
              <w:pStyle w:val="CETBodytext"/>
              <w:ind w:right="-1"/>
              <w:rPr>
                <w:rFonts w:cs="Arial"/>
                <w:szCs w:val="24"/>
              </w:rPr>
            </w:pPr>
            <w:r>
              <w:rPr>
                <w:rFonts w:cs="Arial"/>
                <w:szCs w:val="24"/>
              </w:rPr>
              <w:t xml:space="preserve">Savage value </w:t>
            </w:r>
            <m:oMath>
              <m:r>
                <m:rPr>
                  <m:sty m:val="p"/>
                </m:rPr>
                <w:rPr>
                  <w:rFonts w:ascii="Cambria Math" w:hAnsi="Cambria Math" w:cs="Arial"/>
                  <w:szCs w:val="24"/>
                </w:rPr>
                <m:t>S</m:t>
              </m:r>
            </m:oMath>
          </w:p>
        </w:tc>
        <w:tc>
          <w:tcPr>
            <w:tcW w:w="1645" w:type="dxa"/>
            <w:shd w:val="clear" w:color="auto" w:fill="FFFFFF"/>
          </w:tcPr>
          <w:p w14:paraId="7B65712C" w14:textId="4135A5A6" w:rsidR="006B0705" w:rsidRPr="009963E1" w:rsidRDefault="006B0705" w:rsidP="000C09E3">
            <w:pPr>
              <w:pStyle w:val="CETBodytext"/>
              <w:ind w:right="-1"/>
              <w:rPr>
                <w:rFonts w:cs="Arial"/>
                <w:szCs w:val="18"/>
              </w:rPr>
            </w:pPr>
            <w:r>
              <w:rPr>
                <w:rFonts w:cs="Arial"/>
                <w:szCs w:val="18"/>
              </w:rPr>
              <w:t>10% of FCI</w:t>
            </w:r>
          </w:p>
        </w:tc>
        <w:tc>
          <w:tcPr>
            <w:tcW w:w="1499" w:type="dxa"/>
            <w:shd w:val="clear" w:color="auto" w:fill="FFFFFF"/>
          </w:tcPr>
          <w:p w14:paraId="7DB3AD80" w14:textId="22102C79" w:rsidR="006B0705" w:rsidRPr="006B0705" w:rsidRDefault="006B0705" w:rsidP="000C09E3">
            <w:pPr>
              <w:pStyle w:val="CETBodytext"/>
              <w:ind w:right="-1"/>
              <w:rPr>
                <w:rFonts w:eastAsia="Calibri" w:cs="Arial"/>
                <w:szCs w:val="24"/>
              </w:rPr>
            </w:pPr>
            <m:oMathPara>
              <m:oMathParaPr>
                <m:jc m:val="left"/>
              </m:oMathParaPr>
              <m:oMath>
                <m:r>
                  <m:rPr>
                    <m:sty m:val="p"/>
                  </m:rPr>
                  <w:rPr>
                    <w:rFonts w:ascii="Cambria Math" w:hAnsi="Cambria Math"/>
                    <w:szCs w:val="24"/>
                  </w:rPr>
                  <m:t>€</m:t>
                </m:r>
              </m:oMath>
            </m:oMathPara>
          </w:p>
        </w:tc>
      </w:tr>
      <w:tr w:rsidR="00EE1B5D" w:rsidRPr="009963E1" w14:paraId="41B8B49D" w14:textId="77777777" w:rsidTr="00B25910">
        <w:trPr>
          <w:trHeight w:val="273"/>
        </w:trPr>
        <w:tc>
          <w:tcPr>
            <w:tcW w:w="3792" w:type="dxa"/>
            <w:shd w:val="clear" w:color="auto" w:fill="FFFFFF"/>
          </w:tcPr>
          <w:p w14:paraId="1E925AA5" w14:textId="77777777" w:rsidR="00EE1B5D" w:rsidRPr="009963E1" w:rsidRDefault="00EE1B5D" w:rsidP="000C09E3">
            <w:pPr>
              <w:pStyle w:val="CETBodytext"/>
              <w:ind w:right="-1"/>
              <w:rPr>
                <w:rFonts w:cs="Arial"/>
                <w:szCs w:val="24"/>
              </w:rPr>
            </w:pPr>
            <w:r w:rsidRPr="009963E1">
              <w:rPr>
                <w:rFonts w:cs="Arial"/>
                <w:szCs w:val="24"/>
              </w:rPr>
              <w:t xml:space="preserve">Working hour </w:t>
            </w:r>
          </w:p>
        </w:tc>
        <w:tc>
          <w:tcPr>
            <w:tcW w:w="1645" w:type="dxa"/>
            <w:shd w:val="clear" w:color="auto" w:fill="FFFFFF"/>
          </w:tcPr>
          <w:p w14:paraId="6FAC3C7D" w14:textId="77777777" w:rsidR="00EE1B5D" w:rsidRPr="009963E1" w:rsidRDefault="00EE1B5D" w:rsidP="000C09E3">
            <w:pPr>
              <w:pStyle w:val="CETBodytext"/>
              <w:ind w:right="-1"/>
              <w:rPr>
                <w:rFonts w:cs="Arial"/>
                <w:szCs w:val="24"/>
              </w:rPr>
            </w:pPr>
            <w:r w:rsidRPr="009963E1">
              <w:rPr>
                <w:rFonts w:cs="Arial"/>
                <w:szCs w:val="24"/>
              </w:rPr>
              <w:t>8000</w:t>
            </w:r>
          </w:p>
        </w:tc>
        <w:tc>
          <w:tcPr>
            <w:tcW w:w="1499" w:type="dxa"/>
            <w:shd w:val="clear" w:color="auto" w:fill="FFFFFF"/>
          </w:tcPr>
          <w:p w14:paraId="3D996B5D" w14:textId="0612E5A1" w:rsidR="00EE1B5D" w:rsidRPr="009963E1" w:rsidRDefault="009963E1" w:rsidP="000C09E3">
            <w:pPr>
              <w:pStyle w:val="CETBodytext"/>
              <w:ind w:right="-1"/>
              <w:rPr>
                <w:rFonts w:eastAsia="Calibri" w:cs="Arial"/>
                <w:szCs w:val="24"/>
              </w:rPr>
            </w:pPr>
            <m:oMathPara>
              <m:oMathParaPr>
                <m:jc m:val="left"/>
              </m:oMathParaPr>
              <m:oMath>
                <m:r>
                  <m:rPr>
                    <m:sty m:val="p"/>
                  </m:rPr>
                  <w:rPr>
                    <w:rFonts w:ascii="Cambria Math" w:hAnsi="Cambria Math"/>
                    <w:szCs w:val="24"/>
                  </w:rPr>
                  <m:t xml:space="preserve">h </m:t>
                </m:r>
                <m:sSup>
                  <m:sSupPr>
                    <m:ctrlPr>
                      <w:rPr>
                        <w:rFonts w:ascii="Cambria Math" w:hAnsi="Cambria Math"/>
                        <w:szCs w:val="24"/>
                      </w:rPr>
                    </m:ctrlPr>
                  </m:sSupPr>
                  <m:e>
                    <m:r>
                      <m:rPr>
                        <m:sty m:val="p"/>
                      </m:rPr>
                      <w:rPr>
                        <w:rFonts w:ascii="Cambria Math" w:hAnsi="Cambria Math"/>
                        <w:szCs w:val="24"/>
                      </w:rPr>
                      <m:t>·year</m:t>
                    </m:r>
                  </m:e>
                  <m:sup>
                    <m:r>
                      <m:rPr>
                        <m:sty m:val="p"/>
                      </m:rPr>
                      <w:rPr>
                        <w:rFonts w:ascii="Cambria Math" w:hAnsi="Cambria Math"/>
                        <w:szCs w:val="24"/>
                      </w:rPr>
                      <m:t>-1</m:t>
                    </m:r>
                  </m:sup>
                </m:sSup>
              </m:oMath>
            </m:oMathPara>
          </w:p>
        </w:tc>
      </w:tr>
      <w:tr w:rsidR="00EE1B5D" w:rsidRPr="009963E1" w14:paraId="1C74F45D" w14:textId="77777777" w:rsidTr="00B25910">
        <w:trPr>
          <w:trHeight w:val="273"/>
        </w:trPr>
        <w:tc>
          <w:tcPr>
            <w:tcW w:w="3792" w:type="dxa"/>
            <w:shd w:val="clear" w:color="auto" w:fill="FFFFFF"/>
          </w:tcPr>
          <w:p w14:paraId="65F5BF1A" w14:textId="5DBF49F0" w:rsidR="00EE1B5D" w:rsidRPr="009963E1" w:rsidRDefault="00EE1B5D" w:rsidP="000C09E3">
            <w:pPr>
              <w:pStyle w:val="CETBodytext"/>
              <w:ind w:right="-1"/>
              <w:rPr>
                <w:rFonts w:cs="Arial"/>
                <w:szCs w:val="24"/>
              </w:rPr>
            </w:pPr>
            <w:r w:rsidRPr="009963E1">
              <w:rPr>
                <w:rFonts w:cs="Arial"/>
                <w:szCs w:val="24"/>
              </w:rPr>
              <w:t>Membrane lifetime</w:t>
            </w:r>
            <m:oMath>
              <m:r>
                <m:rPr>
                  <m:sty m:val="p"/>
                </m:rPr>
                <w:rPr>
                  <w:rFonts w:ascii="Cambria Math" w:hAnsi="Cambria Math" w:cs="Arial"/>
                  <w:szCs w:val="24"/>
                </w:rPr>
                <m:t xml:space="preserve"> </m:t>
              </m:r>
              <m:sSub>
                <m:sSubPr>
                  <m:ctrlPr>
                    <w:rPr>
                      <w:rFonts w:ascii="Cambria Math" w:hAnsi="Cambria Math" w:cs="Arial"/>
                      <w:bCs/>
                      <w:szCs w:val="24"/>
                    </w:rPr>
                  </m:ctrlPr>
                </m:sSubPr>
                <m:e>
                  <m:r>
                    <m:rPr>
                      <m:sty m:val="p"/>
                    </m:rPr>
                    <w:rPr>
                      <w:rFonts w:ascii="Cambria Math" w:hAnsi="Cambria Math" w:cs="Arial"/>
                      <w:szCs w:val="24"/>
                    </w:rPr>
                    <m:t>t</m:t>
                  </m:r>
                </m:e>
                <m:sub>
                  <m:r>
                    <m:rPr>
                      <m:sty m:val="p"/>
                    </m:rPr>
                    <w:rPr>
                      <w:rFonts w:ascii="Cambria Math" w:hAnsi="Cambria Math" w:cs="Arial"/>
                      <w:szCs w:val="24"/>
                    </w:rPr>
                    <m:t>m</m:t>
                  </m:r>
                </m:sub>
              </m:sSub>
            </m:oMath>
          </w:p>
        </w:tc>
        <w:tc>
          <w:tcPr>
            <w:tcW w:w="1645" w:type="dxa"/>
            <w:shd w:val="clear" w:color="auto" w:fill="FFFFFF"/>
          </w:tcPr>
          <w:p w14:paraId="1FB14102" w14:textId="77777777" w:rsidR="00EE1B5D" w:rsidRPr="009963E1" w:rsidRDefault="00EE1B5D" w:rsidP="000C09E3">
            <w:pPr>
              <w:pStyle w:val="CETBodytext"/>
              <w:ind w:right="-1"/>
              <w:rPr>
                <w:rFonts w:cs="Arial"/>
                <w:szCs w:val="24"/>
              </w:rPr>
            </w:pPr>
            <w:r w:rsidRPr="009963E1">
              <w:rPr>
                <w:rFonts w:cs="Arial"/>
                <w:szCs w:val="24"/>
              </w:rPr>
              <w:t>7</w:t>
            </w:r>
          </w:p>
        </w:tc>
        <w:tc>
          <w:tcPr>
            <w:tcW w:w="1499" w:type="dxa"/>
            <w:shd w:val="clear" w:color="auto" w:fill="FFFFFF"/>
          </w:tcPr>
          <w:p w14:paraId="6E17A72A" w14:textId="0A296B13" w:rsidR="00EE1B5D" w:rsidRPr="009963E1" w:rsidRDefault="009963E1" w:rsidP="000C09E3">
            <w:pPr>
              <w:pStyle w:val="CETBodytext"/>
              <w:ind w:right="-1"/>
              <w:rPr>
                <w:rFonts w:cs="Arial"/>
                <w:szCs w:val="24"/>
              </w:rPr>
            </w:pPr>
            <m:oMathPara>
              <m:oMathParaPr>
                <m:jc m:val="left"/>
              </m:oMathParaPr>
              <m:oMath>
                <m:r>
                  <m:rPr>
                    <m:sty m:val="p"/>
                  </m:rPr>
                  <w:rPr>
                    <w:rFonts w:ascii="Cambria Math" w:hAnsi="Cambria Math"/>
                    <w:szCs w:val="24"/>
                  </w:rPr>
                  <m:t>year</m:t>
                </m:r>
              </m:oMath>
            </m:oMathPara>
          </w:p>
        </w:tc>
      </w:tr>
      <w:tr w:rsidR="006B0705" w:rsidRPr="009963E1" w14:paraId="7F24F6DB" w14:textId="77777777" w:rsidTr="00B25910">
        <w:trPr>
          <w:trHeight w:val="273"/>
        </w:trPr>
        <w:tc>
          <w:tcPr>
            <w:tcW w:w="3792" w:type="dxa"/>
            <w:shd w:val="clear" w:color="auto" w:fill="FFFFFF"/>
          </w:tcPr>
          <w:p w14:paraId="272FCD82" w14:textId="2A44E5E4" w:rsidR="006B0705" w:rsidRPr="009963E1" w:rsidRDefault="006B0705" w:rsidP="006B0705">
            <w:pPr>
              <w:pStyle w:val="CETBodytext"/>
              <w:ind w:right="-1"/>
              <w:rPr>
                <w:rFonts w:cs="Arial"/>
                <w:szCs w:val="24"/>
              </w:rPr>
            </w:pPr>
            <w:r>
              <w:rPr>
                <w:rFonts w:cs="Arial"/>
                <w:szCs w:val="24"/>
              </w:rPr>
              <w:t xml:space="preserve">Electrode cost </w:t>
            </w:r>
            <m:oMath>
              <m:sSub>
                <m:sSubPr>
                  <m:ctrlPr>
                    <w:rPr>
                      <w:rFonts w:ascii="Cambria Math" w:hAnsi="Cambria Math" w:cs="Arial"/>
                      <w:bCs/>
                      <w:szCs w:val="24"/>
                    </w:rPr>
                  </m:ctrlPr>
                </m:sSubPr>
                <m:e>
                  <m:r>
                    <m:rPr>
                      <m:sty m:val="p"/>
                    </m:rPr>
                    <w:rPr>
                      <w:rFonts w:ascii="Cambria Math" w:hAnsi="Cambria Math" w:cs="Arial"/>
                      <w:szCs w:val="24"/>
                    </w:rPr>
                    <m:t>C</m:t>
                  </m:r>
                </m:e>
                <m:sub>
                  <m:r>
                    <m:rPr>
                      <m:sty m:val="p"/>
                    </m:rPr>
                    <w:rPr>
                      <w:rFonts w:ascii="Cambria Math" w:hAnsi="Cambria Math" w:cs="Arial"/>
                      <w:caps/>
                      <w:szCs w:val="24"/>
                    </w:rPr>
                    <m:t>electode</m:t>
                  </m:r>
                </m:sub>
              </m:sSub>
            </m:oMath>
          </w:p>
        </w:tc>
        <w:tc>
          <w:tcPr>
            <w:tcW w:w="1645" w:type="dxa"/>
            <w:shd w:val="clear" w:color="auto" w:fill="FFFFFF"/>
          </w:tcPr>
          <w:p w14:paraId="6FEBAD78" w14:textId="0DF99780" w:rsidR="006B0705" w:rsidRPr="009963E1" w:rsidRDefault="006B0705" w:rsidP="000C09E3">
            <w:pPr>
              <w:pStyle w:val="CETBodytext"/>
              <w:ind w:right="-1"/>
              <w:rPr>
                <w:rFonts w:cs="Arial"/>
                <w:szCs w:val="24"/>
              </w:rPr>
            </w:pPr>
            <w:r>
              <w:rPr>
                <w:rFonts w:cs="Arial"/>
                <w:szCs w:val="24"/>
              </w:rPr>
              <w:t>300</w:t>
            </w:r>
          </w:p>
        </w:tc>
        <w:tc>
          <w:tcPr>
            <w:tcW w:w="1499" w:type="dxa"/>
            <w:shd w:val="clear" w:color="auto" w:fill="FFFFFF"/>
          </w:tcPr>
          <w:p w14:paraId="3F6ACC1B" w14:textId="07299DE1" w:rsidR="006B0705" w:rsidRPr="006B0705" w:rsidRDefault="006B0705" w:rsidP="000C09E3">
            <w:pPr>
              <w:pStyle w:val="CETBodytext"/>
              <w:ind w:right="-1"/>
              <w:rPr>
                <w:rFonts w:cs="Arial"/>
                <w:szCs w:val="24"/>
              </w:rPr>
            </w:pPr>
            <m:oMathPara>
              <m:oMathParaPr>
                <m:jc m:val="left"/>
              </m:oMathParaPr>
              <m:oMath>
                <m:r>
                  <m:rPr>
                    <m:sty m:val="p"/>
                  </m:rPr>
                  <w:rPr>
                    <w:rFonts w:ascii="Cambria Math" w:hAnsi="Cambria Math"/>
                    <w:szCs w:val="24"/>
                  </w:rPr>
                  <m:t>€·</m:t>
                </m:r>
                <m:sSubSup>
                  <m:sSubSupPr>
                    <m:ctrlPr>
                      <w:rPr>
                        <w:rFonts w:ascii="Cambria Math" w:hAnsi="Cambria Math"/>
                        <w:szCs w:val="24"/>
                      </w:rPr>
                    </m:ctrlPr>
                  </m:sSubSupPr>
                  <m:e>
                    <m:r>
                      <m:rPr>
                        <m:sty m:val="p"/>
                      </m:rPr>
                      <w:rPr>
                        <w:rFonts w:ascii="Cambria Math" w:hAnsi="Cambria Math"/>
                        <w:szCs w:val="24"/>
                      </w:rPr>
                      <m:t>m</m:t>
                    </m:r>
                  </m:e>
                  <m:sub>
                    <m:r>
                      <m:rPr>
                        <m:sty m:val="p"/>
                      </m:rPr>
                      <w:rPr>
                        <w:rFonts w:ascii="Cambria Math" w:hAnsi="Cambria Math"/>
                        <w:szCs w:val="24"/>
                      </w:rPr>
                      <m:t>el</m:t>
                    </m:r>
                  </m:sub>
                  <m:sup>
                    <m:r>
                      <m:rPr>
                        <m:sty m:val="p"/>
                      </m:rPr>
                      <w:rPr>
                        <w:rFonts w:ascii="Cambria Math" w:hAnsi="Cambria Math"/>
                        <w:szCs w:val="24"/>
                      </w:rPr>
                      <m:t>-2</m:t>
                    </m:r>
                  </m:sup>
                </m:sSubSup>
              </m:oMath>
            </m:oMathPara>
          </w:p>
        </w:tc>
      </w:tr>
      <w:tr w:rsidR="00EE1B5D" w:rsidRPr="009963E1" w14:paraId="4E6FC0E7" w14:textId="77777777" w:rsidTr="00B25910">
        <w:trPr>
          <w:trHeight w:val="273"/>
        </w:trPr>
        <w:tc>
          <w:tcPr>
            <w:tcW w:w="3792" w:type="dxa"/>
            <w:shd w:val="clear" w:color="auto" w:fill="FFFFFF"/>
          </w:tcPr>
          <w:p w14:paraId="4DCF623C" w14:textId="349A0DEF" w:rsidR="00EE1B5D" w:rsidRPr="009963E1" w:rsidRDefault="00EE1B5D" w:rsidP="000C09E3">
            <w:pPr>
              <w:pStyle w:val="CETBodytext"/>
              <w:ind w:right="-1"/>
              <w:rPr>
                <w:rFonts w:cs="Arial"/>
                <w:szCs w:val="24"/>
              </w:rPr>
            </w:pPr>
            <w:r w:rsidRPr="009963E1">
              <w:rPr>
                <w:rFonts w:cs="Arial"/>
                <w:szCs w:val="24"/>
              </w:rPr>
              <w:t xml:space="preserve">Electricity cost </w:t>
            </w:r>
            <m:oMath>
              <m:sSub>
                <m:sSubPr>
                  <m:ctrlPr>
                    <w:rPr>
                      <w:rFonts w:ascii="Cambria Math" w:hAnsi="Cambria Math" w:cs="Arial"/>
                      <w:bCs/>
                      <w:szCs w:val="24"/>
                    </w:rPr>
                  </m:ctrlPr>
                </m:sSubPr>
                <m:e>
                  <m:r>
                    <m:rPr>
                      <m:sty m:val="p"/>
                    </m:rPr>
                    <w:rPr>
                      <w:rFonts w:ascii="Cambria Math" w:hAnsi="Cambria Math" w:cs="Arial"/>
                      <w:szCs w:val="24"/>
                    </w:rPr>
                    <m:t>C</m:t>
                  </m:r>
                </m:e>
                <m:sub>
                  <m:r>
                    <m:rPr>
                      <m:sty m:val="p"/>
                    </m:rPr>
                    <w:rPr>
                      <w:rFonts w:ascii="Cambria Math" w:hAnsi="Cambria Math" w:cs="Arial"/>
                      <w:caps/>
                      <w:szCs w:val="24"/>
                    </w:rPr>
                    <m:t>electricity</m:t>
                  </m:r>
                </m:sub>
              </m:sSub>
            </m:oMath>
          </w:p>
        </w:tc>
        <w:tc>
          <w:tcPr>
            <w:tcW w:w="1645" w:type="dxa"/>
            <w:shd w:val="clear" w:color="auto" w:fill="FFFFFF"/>
          </w:tcPr>
          <w:p w14:paraId="27F87875" w14:textId="77777777" w:rsidR="00EE1B5D" w:rsidRPr="009963E1" w:rsidRDefault="00EE1B5D" w:rsidP="000C09E3">
            <w:pPr>
              <w:pStyle w:val="CETBodytext"/>
              <w:ind w:right="-1"/>
              <w:rPr>
                <w:rFonts w:cs="Arial"/>
                <w:szCs w:val="24"/>
              </w:rPr>
            </w:pPr>
            <w:r w:rsidRPr="009963E1">
              <w:rPr>
                <w:rFonts w:cs="Arial"/>
                <w:szCs w:val="24"/>
              </w:rPr>
              <w:t>0.07</w:t>
            </w:r>
          </w:p>
        </w:tc>
        <w:tc>
          <w:tcPr>
            <w:tcW w:w="1499" w:type="dxa"/>
            <w:shd w:val="clear" w:color="auto" w:fill="FFFFFF"/>
          </w:tcPr>
          <w:p w14:paraId="0231E01F" w14:textId="134ACE14" w:rsidR="00EE1B5D" w:rsidRPr="009963E1" w:rsidRDefault="009963E1" w:rsidP="000C09E3">
            <w:pPr>
              <w:pStyle w:val="CETBodytext"/>
              <w:ind w:right="-1"/>
              <w:rPr>
                <w:rFonts w:cs="Arial"/>
                <w:szCs w:val="24"/>
              </w:rPr>
            </w:pPr>
            <m:oMathPara>
              <m:oMathParaPr>
                <m:jc m:val="left"/>
              </m:oMathParaPr>
              <m:oMath>
                <m:r>
                  <m:rPr>
                    <m:sty m:val="p"/>
                  </m:rPr>
                  <w:rPr>
                    <w:rFonts w:ascii="Cambria Math" w:hAnsi="Cambria Math"/>
                    <w:szCs w:val="24"/>
                  </w:rPr>
                  <m:t>€ ·</m:t>
                </m:r>
                <m:sSup>
                  <m:sSupPr>
                    <m:ctrlPr>
                      <w:rPr>
                        <w:rFonts w:ascii="Cambria Math" w:hAnsi="Cambria Math"/>
                        <w:szCs w:val="24"/>
                      </w:rPr>
                    </m:ctrlPr>
                  </m:sSupPr>
                  <m:e>
                    <m:r>
                      <m:rPr>
                        <m:sty m:val="p"/>
                      </m:rPr>
                      <w:rPr>
                        <w:rFonts w:ascii="Cambria Math" w:hAnsi="Cambria Math"/>
                        <w:szCs w:val="24"/>
                      </w:rPr>
                      <m:t>kWh</m:t>
                    </m:r>
                  </m:e>
                  <m:sup>
                    <m:r>
                      <m:rPr>
                        <m:sty m:val="p"/>
                      </m:rPr>
                      <w:rPr>
                        <w:rFonts w:ascii="Cambria Math" w:hAnsi="Cambria Math"/>
                        <w:szCs w:val="24"/>
                      </w:rPr>
                      <m:t>-1</m:t>
                    </m:r>
                  </m:sup>
                </m:sSup>
              </m:oMath>
            </m:oMathPara>
          </w:p>
        </w:tc>
      </w:tr>
      <w:tr w:rsidR="00EE1B5D" w:rsidRPr="009963E1" w14:paraId="5BEADBA7" w14:textId="77777777" w:rsidTr="00B25910">
        <w:trPr>
          <w:trHeight w:val="273"/>
        </w:trPr>
        <w:tc>
          <w:tcPr>
            <w:tcW w:w="3792" w:type="dxa"/>
            <w:shd w:val="clear" w:color="auto" w:fill="FFFFFF"/>
          </w:tcPr>
          <w:p w14:paraId="30484E3D" w14:textId="0A837A6C" w:rsidR="00EE1B5D" w:rsidRPr="009963E1" w:rsidRDefault="00EE1B5D" w:rsidP="000C09E3">
            <w:pPr>
              <w:pStyle w:val="CETBodytext"/>
              <w:ind w:right="-1"/>
              <w:rPr>
                <w:rFonts w:cs="Arial"/>
                <w:szCs w:val="24"/>
              </w:rPr>
            </w:pPr>
            <w:r w:rsidRPr="009963E1">
              <w:rPr>
                <w:rFonts w:cs="Arial"/>
                <w:szCs w:val="24"/>
              </w:rPr>
              <w:t xml:space="preserve">Water price </w:t>
            </w:r>
            <m:oMath>
              <m:sSub>
                <m:sSubPr>
                  <m:ctrlPr>
                    <w:rPr>
                      <w:rFonts w:ascii="Cambria Math" w:hAnsi="Cambria Math" w:cs="Arial"/>
                      <w:bCs/>
                      <w:szCs w:val="24"/>
                    </w:rPr>
                  </m:ctrlPr>
                </m:sSubPr>
                <m:e>
                  <m:r>
                    <m:rPr>
                      <m:sty m:val="p"/>
                    </m:rPr>
                    <w:rPr>
                      <w:rFonts w:ascii="Cambria Math" w:hAnsi="Cambria Math" w:cs="Arial"/>
                      <w:szCs w:val="24"/>
                    </w:rPr>
                    <m:t>C</m:t>
                  </m:r>
                </m:e>
                <m:sub>
                  <m:r>
                    <m:rPr>
                      <m:sty m:val="p"/>
                    </m:rPr>
                    <w:rPr>
                      <w:rFonts w:ascii="Cambria Math" w:hAnsi="Cambria Math" w:cs="Arial"/>
                      <w:caps/>
                      <w:szCs w:val="24"/>
                    </w:rPr>
                    <m:t>w</m:t>
                  </m:r>
                </m:sub>
              </m:sSub>
            </m:oMath>
          </w:p>
        </w:tc>
        <w:tc>
          <w:tcPr>
            <w:tcW w:w="1645" w:type="dxa"/>
            <w:shd w:val="clear" w:color="auto" w:fill="FFFFFF"/>
          </w:tcPr>
          <w:p w14:paraId="60EE4F5A" w14:textId="77777777" w:rsidR="00EE1B5D" w:rsidRPr="009963E1" w:rsidRDefault="00EE1B5D" w:rsidP="000C09E3">
            <w:pPr>
              <w:pStyle w:val="CETBodytext"/>
              <w:ind w:right="-1"/>
              <w:rPr>
                <w:rFonts w:cs="Arial"/>
                <w:szCs w:val="24"/>
              </w:rPr>
            </w:pPr>
            <w:r w:rsidRPr="009963E1">
              <w:rPr>
                <w:rFonts w:cs="Arial"/>
                <w:szCs w:val="24"/>
              </w:rPr>
              <w:t>variable</w:t>
            </w:r>
          </w:p>
        </w:tc>
        <w:tc>
          <w:tcPr>
            <w:tcW w:w="1499" w:type="dxa"/>
            <w:shd w:val="clear" w:color="auto" w:fill="FFFFFF"/>
          </w:tcPr>
          <w:p w14:paraId="31671DB1" w14:textId="1BDFEB3E" w:rsidR="00EE1B5D" w:rsidRPr="009963E1" w:rsidRDefault="009963E1" w:rsidP="000C09E3">
            <w:pPr>
              <w:pStyle w:val="CETBodytext"/>
              <w:ind w:right="-1"/>
              <w:rPr>
                <w:rFonts w:cs="Arial"/>
                <w:szCs w:val="24"/>
              </w:rPr>
            </w:pPr>
            <m:oMathPara>
              <m:oMathParaPr>
                <m:jc m:val="left"/>
              </m:oMathParaPr>
              <m:oMath>
                <m:r>
                  <m:rPr>
                    <m:sty m:val="p"/>
                  </m:rPr>
                  <w:rPr>
                    <w:rFonts w:ascii="Cambria Math" w:hAnsi="Cambria Math"/>
                    <w:szCs w:val="24"/>
                  </w:rPr>
                  <m:t>€·</m:t>
                </m:r>
                <m:sSubSup>
                  <m:sSubSupPr>
                    <m:ctrlPr>
                      <w:rPr>
                        <w:rFonts w:ascii="Cambria Math" w:hAnsi="Cambria Math"/>
                        <w:szCs w:val="24"/>
                      </w:rPr>
                    </m:ctrlPr>
                  </m:sSubSupPr>
                  <m:e>
                    <m:r>
                      <m:rPr>
                        <m:sty m:val="p"/>
                      </m:rPr>
                      <w:rPr>
                        <w:rFonts w:ascii="Cambria Math" w:hAnsi="Cambria Math"/>
                        <w:szCs w:val="24"/>
                      </w:rPr>
                      <m:t>m</m:t>
                    </m:r>
                  </m:e>
                  <m:sub>
                    <m:r>
                      <m:rPr>
                        <m:sty m:val="p"/>
                      </m:rPr>
                      <w:rPr>
                        <w:rFonts w:ascii="Cambria Math" w:hAnsi="Cambria Math"/>
                        <w:szCs w:val="24"/>
                      </w:rPr>
                      <m:t>w</m:t>
                    </m:r>
                  </m:sub>
                  <m:sup>
                    <m:r>
                      <m:rPr>
                        <m:sty m:val="p"/>
                      </m:rPr>
                      <w:rPr>
                        <w:rFonts w:ascii="Cambria Math" w:hAnsi="Cambria Math"/>
                        <w:szCs w:val="24"/>
                      </w:rPr>
                      <m:t>-3</m:t>
                    </m:r>
                  </m:sup>
                </m:sSubSup>
              </m:oMath>
            </m:oMathPara>
          </w:p>
        </w:tc>
      </w:tr>
      <w:tr w:rsidR="00EE1B5D" w:rsidRPr="009963E1" w14:paraId="1C52B2AC" w14:textId="77777777" w:rsidTr="00B25910">
        <w:trPr>
          <w:trHeight w:val="273"/>
        </w:trPr>
        <w:tc>
          <w:tcPr>
            <w:tcW w:w="3792" w:type="dxa"/>
            <w:shd w:val="clear" w:color="auto" w:fill="FFFFFF"/>
          </w:tcPr>
          <w:p w14:paraId="5BF97307" w14:textId="2E56873E" w:rsidR="00EE1B5D" w:rsidRPr="009963E1" w:rsidRDefault="00EE1B5D" w:rsidP="000C09E3">
            <w:pPr>
              <w:pStyle w:val="CETBodytext"/>
              <w:ind w:right="-1"/>
              <w:rPr>
                <w:rFonts w:cs="Arial"/>
                <w:szCs w:val="24"/>
              </w:rPr>
            </w:pPr>
            <w:r w:rsidRPr="009963E1">
              <w:rPr>
                <w:rFonts w:cs="Arial"/>
                <w:szCs w:val="24"/>
              </w:rPr>
              <w:t xml:space="preserve">Hydrogen price </w:t>
            </w:r>
            <m:oMath>
              <m:sSub>
                <m:sSubPr>
                  <m:ctrlPr>
                    <w:rPr>
                      <w:rFonts w:ascii="Cambria Math" w:hAnsi="Cambria Math" w:cs="Arial"/>
                      <w:bCs/>
                      <w:szCs w:val="24"/>
                    </w:rPr>
                  </m:ctrlPr>
                </m:sSubPr>
                <m:e>
                  <m:r>
                    <m:rPr>
                      <m:sty m:val="p"/>
                    </m:rPr>
                    <w:rPr>
                      <w:rFonts w:ascii="Cambria Math" w:hAnsi="Cambria Math" w:cs="Arial"/>
                      <w:szCs w:val="24"/>
                    </w:rPr>
                    <m:t>C</m:t>
                  </m:r>
                </m:e>
                <m:sub>
                  <m:r>
                    <m:rPr>
                      <m:sty m:val="p"/>
                    </m:rPr>
                    <w:rPr>
                      <w:rFonts w:ascii="Cambria Math" w:hAnsi="Cambria Math" w:cs="Arial"/>
                      <w:caps/>
                      <w:szCs w:val="24"/>
                    </w:rPr>
                    <m:t>h2</m:t>
                  </m:r>
                </m:sub>
              </m:sSub>
            </m:oMath>
          </w:p>
        </w:tc>
        <w:tc>
          <w:tcPr>
            <w:tcW w:w="1645" w:type="dxa"/>
            <w:shd w:val="clear" w:color="auto" w:fill="FFFFFF"/>
          </w:tcPr>
          <w:p w14:paraId="0BBEB9D3" w14:textId="77777777" w:rsidR="00EE1B5D" w:rsidRPr="009963E1" w:rsidRDefault="00EE1B5D" w:rsidP="000C09E3">
            <w:pPr>
              <w:pStyle w:val="CETBodytext"/>
              <w:ind w:right="-1"/>
              <w:rPr>
                <w:rFonts w:cs="Arial"/>
                <w:szCs w:val="24"/>
              </w:rPr>
            </w:pPr>
            <w:r w:rsidRPr="009963E1">
              <w:rPr>
                <w:rFonts w:cs="Arial"/>
                <w:szCs w:val="24"/>
              </w:rPr>
              <w:t>variable</w:t>
            </w:r>
          </w:p>
        </w:tc>
        <w:tc>
          <w:tcPr>
            <w:tcW w:w="1499" w:type="dxa"/>
            <w:shd w:val="clear" w:color="auto" w:fill="FFFFFF"/>
          </w:tcPr>
          <w:p w14:paraId="2EEB84CF" w14:textId="067D7B67" w:rsidR="00EE1B5D" w:rsidRPr="009963E1" w:rsidRDefault="009963E1" w:rsidP="000C09E3">
            <w:pPr>
              <w:pStyle w:val="CETBodytext"/>
              <w:ind w:right="-1"/>
              <w:rPr>
                <w:rFonts w:cs="Arial"/>
                <w:szCs w:val="24"/>
              </w:rPr>
            </w:pPr>
            <m:oMathPara>
              <m:oMathParaPr>
                <m:jc m:val="left"/>
              </m:oMathParaPr>
              <m:oMath>
                <m:r>
                  <m:rPr>
                    <m:sty m:val="p"/>
                  </m:rPr>
                  <w:rPr>
                    <w:rFonts w:ascii="Cambria Math" w:hAnsi="Cambria Math"/>
                    <w:szCs w:val="24"/>
                  </w:rPr>
                  <m:t>€·</m:t>
                </m:r>
                <m:sSubSup>
                  <m:sSubSupPr>
                    <m:ctrlPr>
                      <w:rPr>
                        <w:rFonts w:ascii="Cambria Math" w:hAnsi="Cambria Math"/>
                        <w:szCs w:val="24"/>
                      </w:rPr>
                    </m:ctrlPr>
                  </m:sSubSupPr>
                  <m:e>
                    <m:r>
                      <m:rPr>
                        <m:sty m:val="p"/>
                      </m:rPr>
                      <w:rPr>
                        <w:rFonts w:ascii="Cambria Math" w:hAnsi="Cambria Math"/>
                        <w:szCs w:val="24"/>
                      </w:rPr>
                      <m:t>kg</m:t>
                    </m:r>
                  </m:e>
                  <m:sub>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2</m:t>
                        </m:r>
                      </m:sub>
                    </m:sSub>
                  </m:sub>
                  <m:sup>
                    <m:r>
                      <m:rPr>
                        <m:sty m:val="p"/>
                      </m:rPr>
                      <w:rPr>
                        <w:rFonts w:ascii="Cambria Math" w:hAnsi="Cambria Math"/>
                        <w:szCs w:val="24"/>
                      </w:rPr>
                      <m:t>-1</m:t>
                    </m:r>
                  </m:sup>
                </m:sSubSup>
              </m:oMath>
            </m:oMathPara>
          </w:p>
        </w:tc>
      </w:tr>
      <w:tr w:rsidR="00EE1B5D" w:rsidRPr="009963E1" w14:paraId="39B03075" w14:textId="77777777" w:rsidTr="00B25910">
        <w:trPr>
          <w:trHeight w:val="273"/>
        </w:trPr>
        <w:tc>
          <w:tcPr>
            <w:tcW w:w="3792" w:type="dxa"/>
            <w:shd w:val="clear" w:color="auto" w:fill="FFFFFF"/>
          </w:tcPr>
          <w:p w14:paraId="2B9D302D" w14:textId="27EEAD84" w:rsidR="00EE1B5D" w:rsidRPr="009963E1" w:rsidRDefault="00EE1B5D" w:rsidP="000C09E3">
            <w:pPr>
              <w:pStyle w:val="CETBodytext"/>
              <w:ind w:right="-1"/>
              <w:rPr>
                <w:rFonts w:cs="Arial"/>
                <w:szCs w:val="24"/>
              </w:rPr>
            </w:pPr>
            <w:r w:rsidRPr="009963E1">
              <w:rPr>
                <w:rFonts w:cs="Arial"/>
                <w:szCs w:val="24"/>
              </w:rPr>
              <w:t xml:space="preserve">Oxygen price </w:t>
            </w:r>
            <m:oMath>
              <m:sSub>
                <m:sSubPr>
                  <m:ctrlPr>
                    <w:rPr>
                      <w:rFonts w:ascii="Cambria Math" w:hAnsi="Cambria Math" w:cs="Arial"/>
                      <w:bCs/>
                      <w:szCs w:val="24"/>
                    </w:rPr>
                  </m:ctrlPr>
                </m:sSubPr>
                <m:e>
                  <m:r>
                    <m:rPr>
                      <m:sty m:val="p"/>
                    </m:rPr>
                    <w:rPr>
                      <w:rFonts w:ascii="Cambria Math" w:hAnsi="Cambria Math" w:cs="Arial"/>
                      <w:szCs w:val="24"/>
                    </w:rPr>
                    <m:t>C</m:t>
                  </m:r>
                </m:e>
                <m:sub>
                  <m:r>
                    <m:rPr>
                      <m:sty m:val="p"/>
                    </m:rPr>
                    <w:rPr>
                      <w:rFonts w:ascii="Cambria Math" w:hAnsi="Cambria Math" w:cs="Arial"/>
                      <w:caps/>
                      <w:szCs w:val="24"/>
                    </w:rPr>
                    <m:t>o2</m:t>
                  </m:r>
                </m:sub>
              </m:sSub>
            </m:oMath>
          </w:p>
        </w:tc>
        <w:tc>
          <w:tcPr>
            <w:tcW w:w="1645" w:type="dxa"/>
            <w:shd w:val="clear" w:color="auto" w:fill="FFFFFF"/>
          </w:tcPr>
          <w:p w14:paraId="484DF0F5" w14:textId="77777777" w:rsidR="00EE1B5D" w:rsidRPr="009963E1" w:rsidRDefault="00EE1B5D" w:rsidP="000C09E3">
            <w:pPr>
              <w:pStyle w:val="CETBodytext"/>
              <w:ind w:right="-1"/>
              <w:rPr>
                <w:rFonts w:cs="Arial"/>
                <w:szCs w:val="24"/>
              </w:rPr>
            </w:pPr>
            <w:r w:rsidRPr="009963E1">
              <w:rPr>
                <w:rFonts w:cs="Arial"/>
                <w:szCs w:val="24"/>
              </w:rPr>
              <w:t>0.1</w:t>
            </w:r>
          </w:p>
        </w:tc>
        <w:tc>
          <w:tcPr>
            <w:tcW w:w="1499" w:type="dxa"/>
            <w:shd w:val="clear" w:color="auto" w:fill="FFFFFF"/>
          </w:tcPr>
          <w:p w14:paraId="7121D333" w14:textId="5DAD3631" w:rsidR="00EE1B5D" w:rsidRPr="009963E1" w:rsidRDefault="009963E1" w:rsidP="000C09E3">
            <w:pPr>
              <w:pStyle w:val="CETBodytext"/>
              <w:ind w:right="-1"/>
              <w:rPr>
                <w:rFonts w:cs="Arial"/>
                <w:szCs w:val="24"/>
              </w:rPr>
            </w:pPr>
            <m:oMathPara>
              <m:oMathParaPr>
                <m:jc m:val="left"/>
              </m:oMathParaPr>
              <m:oMath>
                <m:r>
                  <m:rPr>
                    <m:sty m:val="p"/>
                  </m:rPr>
                  <w:rPr>
                    <w:rFonts w:ascii="Cambria Math" w:hAnsi="Cambria Math"/>
                    <w:szCs w:val="24"/>
                  </w:rPr>
                  <m:t>€·</m:t>
                </m:r>
                <m:sSubSup>
                  <m:sSubSupPr>
                    <m:ctrlPr>
                      <w:rPr>
                        <w:rFonts w:ascii="Cambria Math" w:hAnsi="Cambria Math"/>
                        <w:szCs w:val="24"/>
                      </w:rPr>
                    </m:ctrlPr>
                  </m:sSubSupPr>
                  <m:e>
                    <m:r>
                      <m:rPr>
                        <m:sty m:val="p"/>
                      </m:rPr>
                      <w:rPr>
                        <w:rFonts w:ascii="Cambria Math" w:hAnsi="Cambria Math"/>
                        <w:szCs w:val="24"/>
                      </w:rPr>
                      <m:t>kg</m:t>
                    </m:r>
                  </m:e>
                  <m:sub>
                    <m:sSub>
                      <m:sSubPr>
                        <m:ctrlPr>
                          <w:rPr>
                            <w:rFonts w:ascii="Cambria Math" w:hAnsi="Cambria Math"/>
                            <w:szCs w:val="24"/>
                          </w:rPr>
                        </m:ctrlPr>
                      </m:sSubPr>
                      <m:e>
                        <m:r>
                          <m:rPr>
                            <m:sty m:val="p"/>
                          </m:rPr>
                          <w:rPr>
                            <w:rFonts w:ascii="Cambria Math" w:hAnsi="Cambria Math"/>
                            <w:szCs w:val="24"/>
                          </w:rPr>
                          <m:t>O</m:t>
                        </m:r>
                      </m:e>
                      <m:sub>
                        <m:r>
                          <m:rPr>
                            <m:sty m:val="p"/>
                          </m:rPr>
                          <w:rPr>
                            <w:rFonts w:ascii="Cambria Math" w:hAnsi="Cambria Math"/>
                            <w:szCs w:val="24"/>
                          </w:rPr>
                          <m:t>2</m:t>
                        </m:r>
                      </m:sub>
                    </m:sSub>
                  </m:sub>
                  <m:sup>
                    <m:r>
                      <m:rPr>
                        <m:sty m:val="p"/>
                      </m:rPr>
                      <w:rPr>
                        <w:rFonts w:ascii="Cambria Math" w:hAnsi="Cambria Math"/>
                        <w:szCs w:val="24"/>
                      </w:rPr>
                      <m:t>-1</m:t>
                    </m:r>
                  </m:sup>
                </m:sSubSup>
              </m:oMath>
            </m:oMathPara>
          </w:p>
        </w:tc>
      </w:tr>
      <w:tr w:rsidR="00EE1B5D" w:rsidRPr="009963E1" w14:paraId="1B347542" w14:textId="77777777" w:rsidTr="00B25910">
        <w:trPr>
          <w:trHeight w:val="273"/>
        </w:trPr>
        <w:tc>
          <w:tcPr>
            <w:tcW w:w="3792" w:type="dxa"/>
            <w:shd w:val="clear" w:color="auto" w:fill="FFFFFF"/>
          </w:tcPr>
          <w:p w14:paraId="373FC5C1" w14:textId="2BBDB44D" w:rsidR="00EE1B5D" w:rsidRPr="009963E1" w:rsidRDefault="00EE1B5D" w:rsidP="000C09E3">
            <w:pPr>
              <w:pStyle w:val="CETBodytext"/>
              <w:ind w:right="-1"/>
              <w:rPr>
                <w:rFonts w:cs="Arial"/>
                <w:szCs w:val="24"/>
              </w:rPr>
            </w:pPr>
            <w:r w:rsidRPr="009963E1">
              <w:rPr>
                <w:rFonts w:cs="Arial"/>
                <w:szCs w:val="24"/>
              </w:rPr>
              <w:t xml:space="preserve">Stack length </w:t>
            </w:r>
            <m:oMath>
              <m:r>
                <m:rPr>
                  <m:sty m:val="p"/>
                </m:rPr>
                <w:rPr>
                  <w:rFonts w:ascii="Cambria Math" w:hAnsi="Cambria Math" w:cs="Arial"/>
                  <w:szCs w:val="24"/>
                </w:rPr>
                <m:t>L</m:t>
              </m:r>
            </m:oMath>
          </w:p>
        </w:tc>
        <w:tc>
          <w:tcPr>
            <w:tcW w:w="1645" w:type="dxa"/>
            <w:shd w:val="clear" w:color="auto" w:fill="FFFFFF"/>
          </w:tcPr>
          <w:p w14:paraId="2492615F" w14:textId="77777777" w:rsidR="00EE1B5D" w:rsidRPr="009963E1" w:rsidRDefault="00EE1B5D" w:rsidP="000C09E3">
            <w:pPr>
              <w:pStyle w:val="CETBodytext"/>
              <w:ind w:right="-1"/>
              <w:rPr>
                <w:rFonts w:cs="Arial"/>
                <w:szCs w:val="24"/>
              </w:rPr>
            </w:pPr>
            <w:r w:rsidRPr="009963E1">
              <w:rPr>
                <w:rFonts w:cs="Arial"/>
                <w:szCs w:val="24"/>
              </w:rPr>
              <w:t>1</w:t>
            </w:r>
          </w:p>
        </w:tc>
        <w:tc>
          <w:tcPr>
            <w:tcW w:w="1499" w:type="dxa"/>
            <w:shd w:val="clear" w:color="auto" w:fill="FFFFFF"/>
          </w:tcPr>
          <w:p w14:paraId="1EAE2E57" w14:textId="3E88822C" w:rsidR="00EE1B5D" w:rsidRPr="009963E1" w:rsidRDefault="009963E1" w:rsidP="000C09E3">
            <w:pPr>
              <w:pStyle w:val="CETBodytext"/>
              <w:ind w:right="-1"/>
              <w:rPr>
                <w:rFonts w:cs="Arial"/>
                <w:szCs w:val="24"/>
              </w:rPr>
            </w:pPr>
            <m:oMathPara>
              <m:oMathParaPr>
                <m:jc m:val="left"/>
              </m:oMathParaPr>
              <m:oMath>
                <m:r>
                  <m:rPr>
                    <m:sty m:val="p"/>
                  </m:rPr>
                  <w:rPr>
                    <w:rFonts w:ascii="Cambria Math" w:hAnsi="Cambria Math"/>
                    <w:szCs w:val="24"/>
                  </w:rPr>
                  <m:t>m</m:t>
                </m:r>
              </m:oMath>
            </m:oMathPara>
          </w:p>
        </w:tc>
      </w:tr>
      <w:tr w:rsidR="00EE1B5D" w:rsidRPr="009963E1" w14:paraId="15CC1B8C" w14:textId="77777777" w:rsidTr="00B25910">
        <w:trPr>
          <w:trHeight w:val="273"/>
        </w:trPr>
        <w:tc>
          <w:tcPr>
            <w:tcW w:w="3792" w:type="dxa"/>
            <w:shd w:val="clear" w:color="auto" w:fill="FFFFFF"/>
          </w:tcPr>
          <w:p w14:paraId="46831A8D" w14:textId="33D147D3" w:rsidR="00EE1B5D" w:rsidRPr="009963E1" w:rsidRDefault="00EE1B5D" w:rsidP="000C09E3">
            <w:pPr>
              <w:pStyle w:val="CETBodytext"/>
              <w:ind w:right="-1"/>
              <w:rPr>
                <w:rFonts w:cs="Arial"/>
                <w:szCs w:val="24"/>
              </w:rPr>
            </w:pPr>
            <w:r w:rsidRPr="009963E1">
              <w:rPr>
                <w:rFonts w:cs="Arial"/>
                <w:szCs w:val="24"/>
              </w:rPr>
              <w:t xml:space="preserve">Stack width </w:t>
            </w:r>
            <m:oMath>
              <m:r>
                <m:rPr>
                  <m:sty m:val="p"/>
                </m:rPr>
                <w:rPr>
                  <w:rFonts w:ascii="Cambria Math" w:hAnsi="Cambria Math" w:cs="Arial"/>
                  <w:szCs w:val="24"/>
                </w:rPr>
                <m:t>b</m:t>
              </m:r>
            </m:oMath>
          </w:p>
        </w:tc>
        <w:tc>
          <w:tcPr>
            <w:tcW w:w="1645" w:type="dxa"/>
            <w:shd w:val="clear" w:color="auto" w:fill="FFFFFF"/>
          </w:tcPr>
          <w:p w14:paraId="2E9E6831" w14:textId="77777777" w:rsidR="00EE1B5D" w:rsidRPr="009963E1" w:rsidRDefault="00EE1B5D" w:rsidP="000C09E3">
            <w:pPr>
              <w:pStyle w:val="CETBodytext"/>
              <w:ind w:right="-1"/>
              <w:rPr>
                <w:rFonts w:cs="Arial"/>
                <w:szCs w:val="24"/>
              </w:rPr>
            </w:pPr>
            <w:r w:rsidRPr="009963E1">
              <w:rPr>
                <w:rFonts w:cs="Arial"/>
                <w:szCs w:val="24"/>
              </w:rPr>
              <w:t>1</w:t>
            </w:r>
          </w:p>
        </w:tc>
        <w:tc>
          <w:tcPr>
            <w:tcW w:w="1499" w:type="dxa"/>
            <w:shd w:val="clear" w:color="auto" w:fill="FFFFFF"/>
          </w:tcPr>
          <w:p w14:paraId="0E0FF8E5" w14:textId="3C6E9A7B" w:rsidR="00EE1B5D" w:rsidRPr="009963E1" w:rsidRDefault="009963E1" w:rsidP="000C09E3">
            <w:pPr>
              <w:pStyle w:val="CETBodytext"/>
              <w:ind w:right="-1"/>
              <w:rPr>
                <w:rFonts w:cs="Arial"/>
                <w:szCs w:val="24"/>
              </w:rPr>
            </w:pPr>
            <m:oMathPara>
              <m:oMathParaPr>
                <m:jc m:val="left"/>
              </m:oMathParaPr>
              <m:oMath>
                <m:r>
                  <m:rPr>
                    <m:sty m:val="p"/>
                  </m:rPr>
                  <w:rPr>
                    <w:rFonts w:ascii="Cambria Math" w:hAnsi="Cambria Math"/>
                    <w:szCs w:val="24"/>
                  </w:rPr>
                  <m:t>m</m:t>
                </m:r>
              </m:oMath>
            </m:oMathPara>
          </w:p>
        </w:tc>
      </w:tr>
      <w:tr w:rsidR="00EE1B5D" w:rsidRPr="009963E1" w14:paraId="1AF3E4C5" w14:textId="77777777" w:rsidTr="00B25910">
        <w:trPr>
          <w:trHeight w:val="273"/>
        </w:trPr>
        <w:tc>
          <w:tcPr>
            <w:tcW w:w="3792" w:type="dxa"/>
            <w:shd w:val="clear" w:color="auto" w:fill="FFFFFF"/>
          </w:tcPr>
          <w:p w14:paraId="52497FBB" w14:textId="1C82E3A9" w:rsidR="00EE1B5D" w:rsidRPr="009963E1" w:rsidRDefault="00EE1B5D" w:rsidP="000C09E3">
            <w:pPr>
              <w:pStyle w:val="CETBodytext"/>
              <w:ind w:right="-1"/>
              <w:rPr>
                <w:rFonts w:cs="Arial"/>
                <w:szCs w:val="24"/>
              </w:rPr>
            </w:pPr>
            <w:r w:rsidRPr="009963E1">
              <w:rPr>
                <w:rFonts w:cs="Arial"/>
                <w:szCs w:val="24"/>
              </w:rPr>
              <w:t xml:space="preserve">Spacers width </w:t>
            </w:r>
            <m:oMath>
              <m:r>
                <m:rPr>
                  <m:sty m:val="p"/>
                </m:rPr>
                <w:rPr>
                  <w:rFonts w:ascii="Cambria Math" w:hAnsi="Cambria Math" w:cs="Arial"/>
                  <w:szCs w:val="24"/>
                </w:rPr>
                <m:t>δ</m:t>
              </m:r>
            </m:oMath>
          </w:p>
        </w:tc>
        <w:tc>
          <w:tcPr>
            <w:tcW w:w="1645" w:type="dxa"/>
            <w:shd w:val="clear" w:color="auto" w:fill="FFFFFF"/>
          </w:tcPr>
          <w:p w14:paraId="68B619C6" w14:textId="77777777" w:rsidR="00EE1B5D" w:rsidRPr="009963E1" w:rsidRDefault="00EE1B5D" w:rsidP="000C09E3">
            <w:pPr>
              <w:pStyle w:val="CETBodytext"/>
              <w:ind w:right="-1"/>
              <w:rPr>
                <w:rFonts w:cs="Arial"/>
                <w:szCs w:val="24"/>
              </w:rPr>
            </w:pPr>
            <w:r w:rsidRPr="009963E1">
              <w:rPr>
                <w:rFonts w:cs="Arial"/>
                <w:szCs w:val="24"/>
              </w:rPr>
              <w:t>300</w:t>
            </w:r>
          </w:p>
        </w:tc>
        <w:tc>
          <w:tcPr>
            <w:tcW w:w="1499" w:type="dxa"/>
            <w:shd w:val="clear" w:color="auto" w:fill="FFFFFF"/>
          </w:tcPr>
          <w:p w14:paraId="2D07AFE6" w14:textId="5017FC7F" w:rsidR="00EE1B5D" w:rsidRPr="009963E1" w:rsidRDefault="009963E1" w:rsidP="000C09E3">
            <w:pPr>
              <w:pStyle w:val="CETBodytext"/>
              <w:ind w:right="-1"/>
              <w:rPr>
                <w:rFonts w:cs="Arial"/>
                <w:szCs w:val="24"/>
              </w:rPr>
            </w:pPr>
            <m:oMath>
              <m:r>
                <m:rPr>
                  <m:sty m:val="p"/>
                </m:rPr>
                <w:rPr>
                  <w:rFonts w:ascii="Cambria Math" w:eastAsia="Calibri" w:hAnsi="Cambria Math"/>
                  <w:szCs w:val="24"/>
                </w:rPr>
                <m:t>µ</m:t>
              </m:r>
              <m:r>
                <m:rPr>
                  <m:sty m:val="p"/>
                </m:rPr>
                <w:rPr>
                  <w:rFonts w:ascii="Cambria Math" w:eastAsia="Calibri" w:hAnsi="Cambria Math" w:cs="Arial"/>
                  <w:szCs w:val="24"/>
                </w:rPr>
                <m:t>m</m:t>
              </m:r>
            </m:oMath>
            <w:r w:rsidR="00EE1B5D" w:rsidRPr="009963E1">
              <w:rPr>
                <w:rFonts w:eastAsia="Calibri"/>
                <w:szCs w:val="24"/>
              </w:rPr>
              <w:t xml:space="preserve"> </w:t>
            </w:r>
          </w:p>
        </w:tc>
      </w:tr>
      <w:tr w:rsidR="00EE1B5D" w:rsidRPr="009963E1" w14:paraId="1A9A9D01" w14:textId="77777777" w:rsidTr="00B25910">
        <w:trPr>
          <w:trHeight w:val="273"/>
        </w:trPr>
        <w:tc>
          <w:tcPr>
            <w:tcW w:w="3792" w:type="dxa"/>
            <w:shd w:val="clear" w:color="auto" w:fill="FFFFFF"/>
          </w:tcPr>
          <w:p w14:paraId="199C27B8" w14:textId="0144CC45" w:rsidR="00EE1B5D" w:rsidRPr="009963E1" w:rsidRDefault="00EE1B5D" w:rsidP="000C09E3">
            <w:pPr>
              <w:pStyle w:val="CETBodytext"/>
              <w:ind w:right="-1"/>
              <w:rPr>
                <w:szCs w:val="24"/>
              </w:rPr>
            </w:pPr>
            <w:r w:rsidRPr="009963E1">
              <w:rPr>
                <w:szCs w:val="24"/>
              </w:rPr>
              <w:t xml:space="preserve">Number of cell pairs </w:t>
            </w:r>
            <m:oMath>
              <m:sSub>
                <m:sSubPr>
                  <m:ctrlPr>
                    <w:rPr>
                      <w:rFonts w:ascii="Cambria Math" w:hAnsi="Cambria Math"/>
                      <w:bCs/>
                      <w:szCs w:val="24"/>
                    </w:rPr>
                  </m:ctrlPr>
                </m:sSubPr>
                <m:e>
                  <m:r>
                    <m:rPr>
                      <m:sty m:val="p"/>
                    </m:rPr>
                    <w:rPr>
                      <w:rFonts w:ascii="Cambria Math" w:hAnsi="Cambria Math"/>
                      <w:szCs w:val="24"/>
                    </w:rPr>
                    <m:t>N</m:t>
                  </m:r>
                </m:e>
                <m:sub>
                  <m:r>
                    <m:rPr>
                      <m:sty m:val="p"/>
                    </m:rPr>
                    <w:rPr>
                      <w:rFonts w:ascii="Cambria Math" w:hAnsi="Cambria Math"/>
                      <w:caps/>
                      <w:szCs w:val="24"/>
                    </w:rPr>
                    <m:t>cp</m:t>
                  </m:r>
                </m:sub>
              </m:sSub>
            </m:oMath>
          </w:p>
        </w:tc>
        <w:tc>
          <w:tcPr>
            <w:tcW w:w="1645" w:type="dxa"/>
            <w:shd w:val="clear" w:color="auto" w:fill="FFFFFF"/>
          </w:tcPr>
          <w:p w14:paraId="16AC82A1" w14:textId="77777777" w:rsidR="00EE1B5D" w:rsidRPr="009963E1" w:rsidRDefault="00EE1B5D" w:rsidP="000C09E3">
            <w:pPr>
              <w:pStyle w:val="CETBodytext"/>
              <w:ind w:right="-1"/>
              <w:rPr>
                <w:rFonts w:cs="Arial"/>
                <w:szCs w:val="24"/>
              </w:rPr>
            </w:pPr>
            <w:r w:rsidRPr="009963E1">
              <w:rPr>
                <w:rFonts w:cs="Arial"/>
                <w:szCs w:val="24"/>
              </w:rPr>
              <w:t>1000</w:t>
            </w:r>
          </w:p>
        </w:tc>
        <w:tc>
          <w:tcPr>
            <w:tcW w:w="1499" w:type="dxa"/>
            <w:shd w:val="clear" w:color="auto" w:fill="FFFFFF"/>
          </w:tcPr>
          <w:p w14:paraId="731C2A95" w14:textId="77777777" w:rsidR="00EE1B5D" w:rsidRPr="009963E1" w:rsidRDefault="00EE1B5D" w:rsidP="000C09E3">
            <w:pPr>
              <w:pStyle w:val="CETBodytext"/>
              <w:ind w:right="-1"/>
              <w:rPr>
                <w:rFonts w:cs="Arial"/>
                <w:szCs w:val="24"/>
              </w:rPr>
            </w:pPr>
            <w:r w:rsidRPr="009963E1">
              <w:rPr>
                <w:rFonts w:eastAsia="Calibri" w:cs="Arial"/>
                <w:szCs w:val="24"/>
              </w:rPr>
              <w:t>-</w:t>
            </w:r>
          </w:p>
        </w:tc>
      </w:tr>
      <w:tr w:rsidR="00EE1B5D" w:rsidRPr="009963E1" w14:paraId="46101CEF" w14:textId="77777777" w:rsidTr="00B25910">
        <w:trPr>
          <w:trHeight w:val="273"/>
        </w:trPr>
        <w:tc>
          <w:tcPr>
            <w:tcW w:w="3792" w:type="dxa"/>
            <w:shd w:val="clear" w:color="auto" w:fill="FFFFFF"/>
          </w:tcPr>
          <w:p w14:paraId="3885E10B" w14:textId="5D2082B5" w:rsidR="00EE1B5D" w:rsidRPr="009963E1" w:rsidRDefault="00EE1B5D" w:rsidP="000C09E3">
            <w:pPr>
              <w:pStyle w:val="CETBodytext"/>
              <w:ind w:right="-1"/>
              <w:rPr>
                <w:szCs w:val="24"/>
              </w:rPr>
            </w:pPr>
            <w:r w:rsidRPr="009963E1">
              <w:rPr>
                <w:szCs w:val="24"/>
              </w:rPr>
              <w:t xml:space="preserve">Inlet velocity of the feed </w:t>
            </w:r>
            <m:oMath>
              <m:r>
                <m:rPr>
                  <m:sty m:val="p"/>
                </m:rPr>
                <w:rPr>
                  <w:rFonts w:ascii="Cambria Math" w:hAnsi="Cambria Math"/>
                  <w:szCs w:val="24"/>
                </w:rPr>
                <m:t>v</m:t>
              </m:r>
            </m:oMath>
          </w:p>
        </w:tc>
        <w:tc>
          <w:tcPr>
            <w:tcW w:w="1645" w:type="dxa"/>
            <w:shd w:val="clear" w:color="auto" w:fill="FFFFFF"/>
          </w:tcPr>
          <w:p w14:paraId="031726E3" w14:textId="77777777" w:rsidR="00EE1B5D" w:rsidRPr="009963E1" w:rsidRDefault="00EE1B5D" w:rsidP="000C09E3">
            <w:pPr>
              <w:pStyle w:val="CETBodytext"/>
              <w:ind w:right="-1"/>
              <w:rPr>
                <w:rFonts w:cs="Arial"/>
                <w:szCs w:val="24"/>
              </w:rPr>
            </w:pPr>
            <w:r w:rsidRPr="009963E1">
              <w:rPr>
                <w:rFonts w:cs="Arial"/>
                <w:szCs w:val="24"/>
              </w:rPr>
              <w:t>5</w:t>
            </w:r>
          </w:p>
        </w:tc>
        <w:tc>
          <w:tcPr>
            <w:tcW w:w="1499" w:type="dxa"/>
            <w:shd w:val="clear" w:color="auto" w:fill="FFFFFF"/>
          </w:tcPr>
          <w:p w14:paraId="2A3B754F" w14:textId="072D0496" w:rsidR="00EE1B5D" w:rsidRPr="009963E1" w:rsidRDefault="009963E1" w:rsidP="000C09E3">
            <w:pPr>
              <w:pStyle w:val="CETBodytext"/>
              <w:ind w:right="-1"/>
              <w:rPr>
                <w:rFonts w:eastAsia="Calibri" w:cs="Arial"/>
                <w:szCs w:val="24"/>
              </w:rPr>
            </w:pPr>
            <m:oMathPara>
              <m:oMathParaPr>
                <m:jc m:val="left"/>
              </m:oMathParaPr>
              <m:oMath>
                <m:r>
                  <m:rPr>
                    <m:sty m:val="p"/>
                  </m:rPr>
                  <w:rPr>
                    <w:rFonts w:ascii="Cambria Math" w:eastAsia="Calibri" w:hAnsi="Cambria Math"/>
                    <w:szCs w:val="24"/>
                  </w:rPr>
                  <m:t>cm</m:t>
                </m:r>
                <m:r>
                  <m:rPr>
                    <m:sty m:val="p"/>
                  </m:rPr>
                  <w:rPr>
                    <w:rFonts w:ascii="Cambria Math" w:hAnsi="Cambria Math"/>
                    <w:szCs w:val="24"/>
                  </w:rPr>
                  <m:t>·</m:t>
                </m:r>
                <m:sSup>
                  <m:sSupPr>
                    <m:ctrlPr>
                      <w:rPr>
                        <w:rFonts w:ascii="Cambria Math" w:eastAsia="Calibri" w:hAnsi="Cambria Math"/>
                        <w:szCs w:val="24"/>
                      </w:rPr>
                    </m:ctrlPr>
                  </m:sSupPr>
                  <m:e>
                    <m:r>
                      <m:rPr>
                        <m:sty m:val="p"/>
                      </m:rPr>
                      <w:rPr>
                        <w:rFonts w:ascii="Cambria Math" w:eastAsia="Calibri" w:hAnsi="Cambria Math"/>
                        <w:szCs w:val="24"/>
                      </w:rPr>
                      <m:t>s</m:t>
                    </m:r>
                  </m:e>
                  <m:sup>
                    <m:r>
                      <m:rPr>
                        <m:sty m:val="p"/>
                      </m:rPr>
                      <w:rPr>
                        <w:rFonts w:ascii="Cambria Math" w:eastAsia="Calibri" w:hAnsi="Cambria Math"/>
                        <w:szCs w:val="24"/>
                      </w:rPr>
                      <m:t>-1</m:t>
                    </m:r>
                  </m:sup>
                </m:sSup>
              </m:oMath>
            </m:oMathPara>
          </w:p>
        </w:tc>
      </w:tr>
      <w:tr w:rsidR="00B25910" w:rsidRPr="009963E1" w14:paraId="141D366A" w14:textId="77777777" w:rsidTr="00B25910">
        <w:trPr>
          <w:trHeight w:val="273"/>
        </w:trPr>
        <w:tc>
          <w:tcPr>
            <w:tcW w:w="3792" w:type="dxa"/>
            <w:shd w:val="clear" w:color="auto" w:fill="FFFFFF"/>
          </w:tcPr>
          <w:p w14:paraId="6DE14ED4" w14:textId="0B35C962" w:rsidR="00B25910" w:rsidRPr="009963E1" w:rsidRDefault="00DA581F" w:rsidP="000C09E3">
            <w:pPr>
              <w:pStyle w:val="CETBodytext"/>
              <w:ind w:right="-1"/>
              <w:rPr>
                <w:szCs w:val="24"/>
              </w:rPr>
            </w:pPr>
            <w:r>
              <w:rPr>
                <w:szCs w:val="24"/>
              </w:rPr>
              <w:t>Ac</w:t>
            </w:r>
            <w:r w:rsidR="00B25910" w:rsidRPr="009963E1">
              <w:rPr>
                <w:szCs w:val="24"/>
              </w:rPr>
              <w:t>tive area of membrane and electrode</w:t>
            </w:r>
          </w:p>
        </w:tc>
        <w:tc>
          <w:tcPr>
            <w:tcW w:w="1645" w:type="dxa"/>
            <w:shd w:val="clear" w:color="auto" w:fill="FFFFFF"/>
          </w:tcPr>
          <w:p w14:paraId="779A196B" w14:textId="20D3AB28" w:rsidR="00B25910" w:rsidRPr="009963E1" w:rsidRDefault="00B25910" w:rsidP="000C09E3">
            <w:pPr>
              <w:pStyle w:val="CETBodytext"/>
              <w:ind w:right="-1"/>
              <w:rPr>
                <w:rFonts w:cs="Arial"/>
                <w:szCs w:val="24"/>
              </w:rPr>
            </w:pPr>
            <w:r w:rsidRPr="009963E1">
              <w:rPr>
                <w:rFonts w:cs="Arial"/>
                <w:szCs w:val="24"/>
              </w:rPr>
              <w:t>1</w:t>
            </w:r>
          </w:p>
        </w:tc>
        <w:tc>
          <w:tcPr>
            <w:tcW w:w="1499" w:type="dxa"/>
            <w:shd w:val="clear" w:color="auto" w:fill="FFFFFF"/>
          </w:tcPr>
          <w:p w14:paraId="6DCE0831" w14:textId="261E52CB" w:rsidR="00B25910" w:rsidRPr="009963E1" w:rsidRDefault="00000000" w:rsidP="000C09E3">
            <w:pPr>
              <w:pStyle w:val="CETBodytext"/>
              <w:ind w:right="-1"/>
              <w:rPr>
                <w:rFonts w:cs="Arial"/>
                <w:szCs w:val="24"/>
              </w:rPr>
            </w:pPr>
            <m:oMathPara>
              <m:oMathParaPr>
                <m:jc m:val="left"/>
              </m:oMathParaPr>
              <m:oMath>
                <m:sSup>
                  <m:sSupPr>
                    <m:ctrlPr>
                      <w:rPr>
                        <w:rFonts w:ascii="Cambria Math" w:hAnsi="Cambria Math"/>
                        <w:szCs w:val="24"/>
                      </w:rPr>
                    </m:ctrlPr>
                  </m:sSupPr>
                  <m:e>
                    <m:r>
                      <m:rPr>
                        <m:sty m:val="p"/>
                      </m:rPr>
                      <w:rPr>
                        <w:rFonts w:ascii="Cambria Math" w:hAnsi="Cambria Math"/>
                        <w:szCs w:val="24"/>
                      </w:rPr>
                      <m:t>m</m:t>
                    </m:r>
                  </m:e>
                  <m:sup>
                    <m:r>
                      <m:rPr>
                        <m:sty m:val="p"/>
                      </m:rPr>
                      <w:rPr>
                        <w:rFonts w:ascii="Cambria Math" w:hAnsi="Cambria Math"/>
                        <w:szCs w:val="24"/>
                      </w:rPr>
                      <m:t>2</m:t>
                    </m:r>
                  </m:sup>
                </m:sSup>
              </m:oMath>
            </m:oMathPara>
          </w:p>
        </w:tc>
      </w:tr>
    </w:tbl>
    <w:p w14:paraId="6E09108F" w14:textId="0334A3CD" w:rsidR="004B47AD" w:rsidRDefault="00EE1B5D" w:rsidP="0017149D">
      <w:pPr>
        <w:pStyle w:val="CETBodytext"/>
      </w:pPr>
      <w:r w:rsidRPr="009963E1">
        <w:t xml:space="preserve">The </w:t>
      </w:r>
      <w:r w:rsidR="0026189A">
        <w:t xml:space="preserve">project </w:t>
      </w:r>
      <w:r w:rsidRPr="009963E1">
        <w:t xml:space="preserve">lifetime </w:t>
      </w:r>
      <w:r w:rsidR="005D7337" w:rsidRPr="009963E1">
        <w:t>n</w:t>
      </w:r>
      <w:r w:rsidR="00F44B55" w:rsidRPr="009963E1">
        <w:t xml:space="preserve"> is </w:t>
      </w:r>
      <w:r w:rsidR="00F44B55" w:rsidRPr="0026189A">
        <w:t>assumed equal to 20 years</w:t>
      </w:r>
      <w:r w:rsidR="004B47AD" w:rsidRPr="0026189A">
        <w:t>, a conservative value</w:t>
      </w:r>
      <w:r w:rsidR="00A54936" w:rsidRPr="0026189A">
        <w:t xml:space="preserve"> </w:t>
      </w:r>
      <w:r w:rsidR="004B47AD" w:rsidRPr="0026189A">
        <w:t>due to the novelty of the technology compared to</w:t>
      </w:r>
      <w:r w:rsidR="009B6809" w:rsidRPr="0026189A">
        <w:t xml:space="preserve"> </w:t>
      </w:r>
      <w:r w:rsidR="00286A3B" w:rsidRPr="0026189A">
        <w:t>the</w:t>
      </w:r>
      <w:r w:rsidR="004B47AD" w:rsidRPr="0026189A">
        <w:t xml:space="preserve"> 40 years</w:t>
      </w:r>
      <w:r w:rsidR="00286A3B" w:rsidRPr="0026189A">
        <w:t xml:space="preserve"> of the existing plant</w:t>
      </w:r>
      <w:r w:rsidR="004B47AD" w:rsidRPr="0026189A">
        <w:t xml:space="preserve"> (e.g. </w:t>
      </w:r>
      <w:r w:rsidR="00893610" w:rsidRPr="0026189A">
        <w:t xml:space="preserve">electrodialysis reversal </w:t>
      </w:r>
      <w:r w:rsidR="00A54936" w:rsidRPr="0026189A">
        <w:t>(</w:t>
      </w:r>
      <w:r w:rsidR="00893610" w:rsidRPr="0026189A">
        <w:t>EDR</w:t>
      </w:r>
      <w:r w:rsidR="00A54936" w:rsidRPr="0026189A">
        <w:t>)</w:t>
      </w:r>
      <w:r w:rsidR="00893610" w:rsidRPr="0026189A">
        <w:t xml:space="preserve"> plant situ in Pantelleria</w:t>
      </w:r>
      <w:r w:rsidR="007E1DEE" w:rsidRPr="0026189A">
        <w:t>, Italy</w:t>
      </w:r>
      <w:r w:rsidR="0026189A" w:rsidRPr="0026189A">
        <w:t>, and operated since</w:t>
      </w:r>
      <w:r w:rsidR="00893610" w:rsidRPr="0026189A">
        <w:t xml:space="preserve"> 1975 to 2014</w:t>
      </w:r>
      <w:r w:rsidR="004B47AD" w:rsidRPr="0026189A">
        <w:t>)</w:t>
      </w:r>
      <w:r w:rsidR="00893610" w:rsidRPr="0026189A">
        <w:t>.</w:t>
      </w:r>
      <w:r w:rsidR="00F44B55" w:rsidRPr="0026189A">
        <w:t xml:space="preserve"> </w:t>
      </w:r>
      <w:r w:rsidR="00893610" w:rsidRPr="0026189A">
        <w:t>T</w:t>
      </w:r>
      <w:r w:rsidR="00F44B55" w:rsidRPr="0026189A">
        <w:t>he</w:t>
      </w:r>
      <w:r w:rsidRPr="0026189A">
        <w:t xml:space="preserve"> discount</w:t>
      </w:r>
      <w:r w:rsidRPr="009963E1">
        <w:t xml:space="preserve"> rate</w:t>
      </w:r>
      <w:r w:rsidR="005D7337" w:rsidRPr="009963E1">
        <w:t xml:space="preserve"> r</w:t>
      </w:r>
      <w:r w:rsidRPr="009963E1">
        <w:t xml:space="preserve"> </w:t>
      </w:r>
      <w:r w:rsidR="00F44B55" w:rsidRPr="009963E1">
        <w:t>an</w:t>
      </w:r>
      <w:r w:rsidR="00F44B55">
        <w:t>d the</w:t>
      </w:r>
      <w:r w:rsidR="006C62BA">
        <w:t xml:space="preserve"> sa</w:t>
      </w:r>
      <w:r w:rsidR="000C09E3">
        <w:t>l</w:t>
      </w:r>
      <w:r w:rsidR="006C62BA">
        <w:t>vage value have</w:t>
      </w:r>
      <w:r>
        <w:t xml:space="preserve"> been considered </w:t>
      </w:r>
      <w:r w:rsidR="005319FF">
        <w:t xml:space="preserve">equal to </w:t>
      </w:r>
      <w:r w:rsidR="00F44B55">
        <w:t>3 % and the 10 % of FCI</w:t>
      </w:r>
      <w:r w:rsidR="005319FF">
        <w:t>, respectively</w:t>
      </w:r>
      <w:r w:rsidR="00F44B55">
        <w:t>. Furthermore,</w:t>
      </w:r>
      <w:r>
        <w:t xml:space="preserve"> a </w:t>
      </w:r>
      <w:r w:rsidR="00860F28">
        <w:t>straight-line</w:t>
      </w:r>
      <w:r>
        <w:t xml:space="preserve"> method has been used for the depreciation</w:t>
      </w:r>
      <w:r w:rsidR="00B25910">
        <w:t xml:space="preserve"> and the FCI is </w:t>
      </w:r>
      <w:r w:rsidR="00B25910" w:rsidRPr="009B6809">
        <w:t>entirely made at the start of year 0</w:t>
      </w:r>
      <w:r w:rsidR="008A6B2C" w:rsidRPr="009B6809">
        <w:t>. It is also the</w:t>
      </w:r>
      <w:r w:rsidR="00B25910" w:rsidRPr="009B6809">
        <w:t xml:space="preserve"> year of starting </w:t>
      </w:r>
      <w:r w:rsidR="008A6B2C" w:rsidRPr="009B6809">
        <w:t>operation</w:t>
      </w:r>
      <w:r w:rsidR="00B25910" w:rsidRPr="009B6809">
        <w:t xml:space="preserve"> of the plant</w:t>
      </w:r>
      <w:r w:rsidRPr="009B6809">
        <w:t>. Finally, a cash flow diagram has been elaborated for the estimation of the main economic output</w:t>
      </w:r>
      <w:r w:rsidR="00A66060" w:rsidRPr="009B6809">
        <w:t>s</w:t>
      </w:r>
      <w:r w:rsidRPr="009B6809">
        <w:t xml:space="preserve"> as the sum of all the expenditure</w:t>
      </w:r>
      <w:r w:rsidR="00A66060" w:rsidRPr="009B6809">
        <w:t>s</w:t>
      </w:r>
      <w:r w:rsidRPr="009B6809">
        <w:t xml:space="preserve"> and all the </w:t>
      </w:r>
      <w:r w:rsidR="00CD5526" w:rsidRPr="009B6809">
        <w:t>revenues</w:t>
      </w:r>
      <w:r w:rsidRPr="009B6809">
        <w:t>.</w:t>
      </w:r>
      <w:r w:rsidR="004B47AD">
        <w:t xml:space="preserve"> </w:t>
      </w:r>
    </w:p>
    <w:p w14:paraId="45A9321F" w14:textId="0EBC6F5E" w:rsidR="005D7337" w:rsidRDefault="00EE1B5D" w:rsidP="0017149D">
      <w:pPr>
        <w:pStyle w:val="CETBodytext"/>
      </w:pPr>
      <w:r w:rsidRPr="009B6809">
        <w:t xml:space="preserve">At the end of </w:t>
      </w:r>
      <w:r w:rsidR="000C09E3" w:rsidRPr="009B6809">
        <w:t xml:space="preserve">its </w:t>
      </w:r>
      <w:r w:rsidRPr="009B6809">
        <w:t>lifetime, the value registered by the cash</w:t>
      </w:r>
      <w:r>
        <w:t xml:space="preserve"> flow is known as Net Present Value (NPV) and its value </w:t>
      </w:r>
      <w:r w:rsidR="00A66060">
        <w:t>indicates</w:t>
      </w:r>
      <w:r>
        <w:t xml:space="preserve"> how </w:t>
      </w:r>
      <w:r w:rsidR="00A66060">
        <w:t xml:space="preserve">much </w:t>
      </w:r>
      <w:r>
        <w:t>remunera</w:t>
      </w:r>
      <w:r w:rsidR="005D7337">
        <w:t>ble the plant</w:t>
      </w:r>
      <w:r w:rsidR="00A66060">
        <w:t xml:space="preserve"> is</w:t>
      </w:r>
      <w:r w:rsidR="005D7337">
        <w:t xml:space="preserve">. The NPV is defined as the sum of all </w:t>
      </w:r>
      <w:r w:rsidR="00A66060">
        <w:t xml:space="preserve">the discounted </w:t>
      </w:r>
      <w:r w:rsidR="000C09E3">
        <w:t xml:space="preserve">cash </w:t>
      </w:r>
      <w:r w:rsidR="00A66060">
        <w:t>flows. In formula:</w:t>
      </w:r>
    </w:p>
    <w:tbl>
      <w:tblPr>
        <w:tblW w:w="5000" w:type="pct"/>
        <w:tblLook w:val="04A0" w:firstRow="1" w:lastRow="0" w:firstColumn="1" w:lastColumn="0" w:noHBand="0" w:noVBand="1"/>
      </w:tblPr>
      <w:tblGrid>
        <w:gridCol w:w="7986"/>
        <w:gridCol w:w="801"/>
      </w:tblGrid>
      <w:tr w:rsidR="005D7337" w:rsidRPr="00B57B36" w14:paraId="3F8DA3A6" w14:textId="77777777" w:rsidTr="000C09E3">
        <w:tc>
          <w:tcPr>
            <w:tcW w:w="7986" w:type="dxa"/>
            <w:shd w:val="clear" w:color="auto" w:fill="auto"/>
            <w:vAlign w:val="center"/>
          </w:tcPr>
          <w:p w14:paraId="56155C12" w14:textId="308258C2" w:rsidR="005D7337" w:rsidRPr="009963E1" w:rsidRDefault="009963E1" w:rsidP="006A3F39">
            <w:pPr>
              <w:pStyle w:val="CETEquation"/>
              <w:rPr>
                <w:rFonts w:ascii="Cambria Math" w:hAnsi="Cambria Math"/>
                <w:oMath/>
              </w:rPr>
            </w:pPr>
            <m:oMathPara>
              <m:oMathParaPr>
                <m:jc m:val="left"/>
              </m:oMathParaPr>
              <m:oMath>
                <m:r>
                  <m:rPr>
                    <m:sty m:val="p"/>
                  </m:rPr>
                  <w:rPr>
                    <w:rFonts w:ascii="Cambria Math" w:hAnsi="Cambria Math"/>
                  </w:rPr>
                  <m:t>NPV=</m:t>
                </m:r>
                <m:nary>
                  <m:naryPr>
                    <m:chr m:val="∑"/>
                    <m:limLoc m:val="undOvr"/>
                    <m:ctrlPr>
                      <w:rPr>
                        <w:rFonts w:ascii="Cambria Math" w:hAnsi="Cambria Math"/>
                        <w:iCs/>
                      </w:rPr>
                    </m:ctrlPr>
                  </m:naryPr>
                  <m:sub>
                    <m:r>
                      <m:rPr>
                        <m:sty m:val="p"/>
                      </m:rPr>
                      <w:rPr>
                        <w:rFonts w:ascii="Cambria Math" w:hAnsi="Cambria Math"/>
                      </w:rPr>
                      <m:t>k=0</m:t>
                    </m:r>
                  </m:sub>
                  <m:sup>
                    <m:r>
                      <m:rPr>
                        <m:sty m:val="p"/>
                      </m:rPr>
                      <w:rPr>
                        <w:rFonts w:ascii="Cambria Math" w:hAnsi="Cambria Math"/>
                      </w:rPr>
                      <m:t>n</m:t>
                    </m:r>
                  </m:sup>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H2</m:t>
                            </m:r>
                          </m:sub>
                        </m:sSub>
                        <m:r>
                          <m:rPr>
                            <m:sty m:val="p"/>
                          </m:rPr>
                          <w:rPr>
                            <w:rFonts w:ascii="Cambria Math" w:hAnsi="Cambria Math"/>
                          </w:rPr>
                          <m:t>∙</m:t>
                        </m:r>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Q</m:t>
                                </m:r>
                              </m:e>
                            </m:acc>
                          </m:e>
                          <m:sub>
                            <m:r>
                              <m:rPr>
                                <m:sty m:val="p"/>
                              </m:rPr>
                              <w:rPr>
                                <w:rFonts w:ascii="Cambria Math" w:hAnsi="Cambria Math"/>
                              </w:rPr>
                              <m:t>H2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O2</m:t>
                            </m:r>
                          </m:sub>
                        </m:sSub>
                        <m:r>
                          <m:rPr>
                            <m:sty m:val="p"/>
                          </m:rPr>
                          <w:rPr>
                            <w:rFonts w:ascii="Cambria Math" w:hAnsi="Cambria Math"/>
                          </w:rPr>
                          <m:t>∙</m:t>
                        </m:r>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Q</m:t>
                                </m:r>
                              </m:e>
                            </m:acc>
                          </m:e>
                          <m:sub>
                            <m:r>
                              <m:rPr>
                                <m:sty m:val="p"/>
                              </m:rPr>
                              <w:rPr>
                                <w:rFonts w:ascii="Cambria Math" w:hAnsi="Cambria Math"/>
                              </w:rPr>
                              <m:t>O2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w</m:t>
                            </m:r>
                          </m:sub>
                        </m:sSub>
                        <m:r>
                          <m:rPr>
                            <m:sty m:val="p"/>
                          </m:rPr>
                          <w:rPr>
                            <w:rFonts w:ascii="Cambria Math" w:hAnsi="Cambria Math"/>
                          </w:rPr>
                          <m:t>∙</m:t>
                        </m:r>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V</m:t>
                                </m:r>
                              </m:e>
                            </m:acc>
                          </m:e>
                          <m:sub>
                            <m:r>
                              <m:rPr>
                                <m:sty m:val="p"/>
                              </m:rPr>
                              <w:rPr>
                                <w:rFonts w:ascii="Cambria Math" w:hAnsi="Cambria Math"/>
                              </w:rPr>
                              <m:t>w</m:t>
                            </m:r>
                          </m:sub>
                        </m:sSub>
                        <m:r>
                          <m:rPr>
                            <m:sty m:val="p"/>
                          </m:rPr>
                          <w:rPr>
                            <w:rFonts w:ascii="Cambria Math" w:hAnsi="Cambria Math"/>
                          </w:rPr>
                          <m:t>-FCI-Opex</m:t>
                        </m:r>
                      </m:num>
                      <m:den>
                        <m:sSup>
                          <m:sSupPr>
                            <m:ctrlPr>
                              <w:rPr>
                                <w:rFonts w:ascii="Cambria Math" w:hAnsi="Cambria Math"/>
                                <w:iCs/>
                              </w:rPr>
                            </m:ctrlPr>
                          </m:sSupPr>
                          <m:e>
                            <m:d>
                              <m:dPr>
                                <m:ctrlPr>
                                  <w:rPr>
                                    <w:rFonts w:ascii="Cambria Math" w:hAnsi="Cambria Math"/>
                                    <w:iCs/>
                                  </w:rPr>
                                </m:ctrlPr>
                              </m:dPr>
                              <m:e>
                                <m:r>
                                  <m:rPr>
                                    <m:sty m:val="p"/>
                                  </m:rPr>
                                  <w:rPr>
                                    <w:rFonts w:ascii="Cambria Math" w:hAnsi="Cambria Math"/>
                                  </w:rPr>
                                  <m:t>1+r</m:t>
                                </m:r>
                              </m:e>
                            </m:d>
                          </m:e>
                          <m:sup>
                            <m:r>
                              <m:rPr>
                                <m:sty m:val="p"/>
                              </m:rPr>
                              <w:rPr>
                                <w:rFonts w:ascii="Cambria Math" w:hAnsi="Cambria Math"/>
                              </w:rPr>
                              <m:t>k</m:t>
                            </m:r>
                          </m:sup>
                        </m:sSup>
                      </m:den>
                    </m:f>
                  </m:e>
                </m:nary>
              </m:oMath>
            </m:oMathPara>
          </w:p>
        </w:tc>
        <w:tc>
          <w:tcPr>
            <w:tcW w:w="801" w:type="dxa"/>
            <w:shd w:val="clear" w:color="auto" w:fill="auto"/>
            <w:vAlign w:val="center"/>
          </w:tcPr>
          <w:p w14:paraId="0C7A0139" w14:textId="77777777" w:rsidR="005D7337" w:rsidRPr="00B57B36" w:rsidRDefault="005D7337" w:rsidP="000C09E3">
            <w:pPr>
              <w:pStyle w:val="CETEquation"/>
              <w:jc w:val="right"/>
            </w:pPr>
            <w:r w:rsidRPr="00B57B36">
              <w:t>(</w:t>
            </w:r>
            <w:r>
              <w:t>2</w:t>
            </w:r>
            <w:r w:rsidRPr="00B57B36">
              <w:t>)</w:t>
            </w:r>
          </w:p>
        </w:tc>
      </w:tr>
    </w:tbl>
    <w:p w14:paraId="05060AD0" w14:textId="7F5E93D1" w:rsidR="005D7337" w:rsidRDefault="005D7337" w:rsidP="0017149D">
      <w:pPr>
        <w:pStyle w:val="CETBodytext"/>
      </w:pPr>
      <w:r w:rsidRPr="00860F28">
        <w:lastRenderedPageBreak/>
        <w:t>where C is the</w:t>
      </w:r>
      <w:r w:rsidR="006F76DE" w:rsidRPr="00860F28">
        <w:t xml:space="preserve"> product</w:t>
      </w:r>
      <w:r w:rsidRPr="00860F28">
        <w:t xml:space="preserve"> price, </w:t>
      </w:r>
      <m:oMath>
        <m:acc>
          <m:accPr>
            <m:chr m:val="̇"/>
            <m:ctrlPr>
              <w:rPr>
                <w:rFonts w:ascii="Cambria Math" w:hAnsi="Cambria Math"/>
              </w:rPr>
            </m:ctrlPr>
          </m:accPr>
          <m:e>
            <m:r>
              <m:rPr>
                <m:sty m:val="p"/>
              </m:rPr>
              <w:rPr>
                <w:rFonts w:ascii="Cambria Math" w:hAnsi="Cambria Math"/>
              </w:rPr>
              <m:t>Q</m:t>
            </m:r>
          </m:e>
        </m:acc>
      </m:oMath>
      <w:r w:rsidRPr="00860F28">
        <w:t xml:space="preserve"> is the mass flow rate in kg year</w:t>
      </w:r>
      <w:r w:rsidRPr="00860F28">
        <w:rPr>
          <w:vertAlign w:val="superscript"/>
        </w:rPr>
        <w:t>-1</w:t>
      </w:r>
      <w:r w:rsidRPr="00860F28">
        <w:t xml:space="preserve">, </w:t>
      </w:r>
      <m:oMath>
        <m:acc>
          <m:accPr>
            <m:chr m:val="̇"/>
            <m:ctrlPr>
              <w:rPr>
                <w:rFonts w:ascii="Cambria Math" w:hAnsi="Cambria Math"/>
              </w:rPr>
            </m:ctrlPr>
          </m:accPr>
          <m:e>
            <m:r>
              <m:rPr>
                <m:sty m:val="p"/>
              </m:rPr>
              <w:rPr>
                <w:rFonts w:ascii="Cambria Math" w:hAnsi="Cambria Math"/>
              </w:rPr>
              <m:t>V</m:t>
            </m:r>
          </m:e>
        </m:acc>
      </m:oMath>
      <w:r w:rsidRPr="00860F28">
        <w:t xml:space="preserve"> is the volumetric flow rate in m</w:t>
      </w:r>
      <w:r w:rsidRPr="00860F28">
        <w:rPr>
          <w:vertAlign w:val="superscript"/>
        </w:rPr>
        <w:t>3</w:t>
      </w:r>
      <w:r w:rsidRPr="00860F28">
        <w:t xml:space="preserve"> year</w:t>
      </w:r>
      <w:r w:rsidRPr="00860F28">
        <w:rPr>
          <w:vertAlign w:val="superscript"/>
        </w:rPr>
        <w:t>-1</w:t>
      </w:r>
      <w:r w:rsidRPr="00860F28">
        <w:t xml:space="preserve"> and the subscript H</w:t>
      </w:r>
      <w:r w:rsidRPr="00860F28">
        <w:rPr>
          <w:vertAlign w:val="subscript"/>
        </w:rPr>
        <w:t>2</w:t>
      </w:r>
      <w:r w:rsidRPr="00860F28">
        <w:t>, O</w:t>
      </w:r>
      <w:r w:rsidRPr="00860F28">
        <w:rPr>
          <w:vertAlign w:val="subscript"/>
        </w:rPr>
        <w:t>2</w:t>
      </w:r>
      <w:r w:rsidRPr="00860F28">
        <w:t xml:space="preserve"> and w refers respectively to hydrogen, oxygen and water.</w:t>
      </w:r>
    </w:p>
    <w:p w14:paraId="2C8129AB" w14:textId="1EE6455C" w:rsidR="00EE1B5D" w:rsidRDefault="00FE1BB4" w:rsidP="00044702">
      <w:pPr>
        <w:pStyle w:val="CETBodytext"/>
      </w:pPr>
      <w:r>
        <w:t xml:space="preserve">Levelized costs are parameters </w:t>
      </w:r>
      <w:r w:rsidRPr="009B6809">
        <w:t xml:space="preserve">of interest in economic analyses. A levelized costs is the price at which a product </w:t>
      </w:r>
      <w:r w:rsidR="00044702" w:rsidRPr="009B6809">
        <w:t>should</w:t>
      </w:r>
      <w:r w:rsidRPr="009B6809">
        <w:t xml:space="preserve"> be sold in order to have a NPV equal</w:t>
      </w:r>
      <w:r>
        <w:t xml:space="preserve"> to zero at the end of project lifetime (i.e. n years in the present case). </w:t>
      </w:r>
      <w:r w:rsidR="00044702">
        <w:t xml:space="preserve">In the present work we consider two main products being Hydrogen and freshwater: as a </w:t>
      </w:r>
      <w:r w:rsidR="000D42F1">
        <w:t>consequence,</w:t>
      </w:r>
      <w:r w:rsidR="00044702">
        <w:t xml:space="preserve"> two different levelized costs can be defined: </w:t>
      </w:r>
      <w:r w:rsidR="006F76DE">
        <w:t xml:space="preserve">levelized cost of water (LCOW) and levelized cost of hydrogen (LCOH) </w:t>
      </w:r>
      <w:r w:rsidR="00044702">
        <w:t xml:space="preserve">defined </w:t>
      </w:r>
      <w:r w:rsidR="006F76DE">
        <w:t xml:space="preserve">as in </w:t>
      </w:r>
      <w:r w:rsidR="00044702">
        <w:t xml:space="preserve">eq. </w:t>
      </w:r>
      <w:r w:rsidR="006F76DE">
        <w:t xml:space="preserve">(3) and </w:t>
      </w:r>
      <w:r w:rsidR="00044702">
        <w:t>eq.</w:t>
      </w:r>
      <w:r w:rsidR="000D42F1">
        <w:t xml:space="preserve"> </w:t>
      </w:r>
      <w:r w:rsidR="006F76DE">
        <w:t>(4)</w:t>
      </w:r>
      <w:r w:rsidR="00044702">
        <w:t>:</w:t>
      </w:r>
    </w:p>
    <w:tbl>
      <w:tblPr>
        <w:tblW w:w="5000" w:type="pct"/>
        <w:tblLook w:val="04A0" w:firstRow="1" w:lastRow="0" w:firstColumn="1" w:lastColumn="0" w:noHBand="0" w:noVBand="1"/>
      </w:tblPr>
      <w:tblGrid>
        <w:gridCol w:w="7986"/>
        <w:gridCol w:w="801"/>
      </w:tblGrid>
      <w:tr w:rsidR="00B57AB7" w:rsidRPr="00B57B36" w14:paraId="3FB389E9" w14:textId="77777777" w:rsidTr="005A0D78">
        <w:tc>
          <w:tcPr>
            <w:tcW w:w="7986" w:type="dxa"/>
            <w:shd w:val="clear" w:color="auto" w:fill="auto"/>
            <w:vAlign w:val="center"/>
          </w:tcPr>
          <w:p w14:paraId="60E8D638" w14:textId="1698F675" w:rsidR="00B57AB7" w:rsidRPr="009963E1" w:rsidRDefault="009963E1" w:rsidP="00B25910">
            <w:pPr>
              <w:pStyle w:val="CETEquation"/>
              <w:jc w:val="both"/>
              <w:rPr>
                <w:rFonts w:ascii="Cambria Math" w:hAnsi="Cambria Math"/>
                <w:oMath/>
              </w:rPr>
            </w:pPr>
            <m:oMathPara>
              <m:oMathParaPr>
                <m:jc m:val="left"/>
              </m:oMathParaPr>
              <m:oMath>
                <m:r>
                  <m:rPr>
                    <m:sty m:val="p"/>
                  </m:rPr>
                  <w:rPr>
                    <w:rFonts w:ascii="Cambria Math" w:hAnsi="Cambria Math"/>
                  </w:rPr>
                  <m:t>LCOW=</m:t>
                </m:r>
                <m:f>
                  <m:fPr>
                    <m:ctrlPr>
                      <w:rPr>
                        <w:rFonts w:ascii="Cambria Math" w:hAnsi="Cambria Math"/>
                        <w:iCs/>
                      </w:rPr>
                    </m:ctrlPr>
                  </m:fPr>
                  <m:num>
                    <m:nary>
                      <m:naryPr>
                        <m:chr m:val="∑"/>
                        <m:limLoc m:val="subSup"/>
                        <m:ctrlPr>
                          <w:rPr>
                            <w:rFonts w:ascii="Cambria Math" w:hAnsi="Cambria Math"/>
                            <w:iCs/>
                          </w:rPr>
                        </m:ctrlPr>
                      </m:naryPr>
                      <m:sub>
                        <m:r>
                          <m:rPr>
                            <m:sty m:val="p"/>
                          </m:rPr>
                          <w:rPr>
                            <w:rFonts w:ascii="Cambria Math" w:hAnsi="Cambria Math"/>
                          </w:rPr>
                          <m:t>k=0</m:t>
                        </m:r>
                      </m:sub>
                      <m:sup>
                        <m:r>
                          <m:rPr>
                            <m:sty m:val="p"/>
                          </m:rPr>
                          <w:rPr>
                            <w:rFonts w:ascii="Cambria Math" w:hAnsi="Cambria Math"/>
                          </w:rPr>
                          <m:t>n</m:t>
                        </m:r>
                      </m:sup>
                      <m:e>
                        <m:f>
                          <m:fPr>
                            <m:ctrlPr>
                              <w:rPr>
                                <w:rFonts w:ascii="Cambria Math" w:hAnsi="Cambria Math"/>
                                <w:iCs/>
                              </w:rPr>
                            </m:ctrlPr>
                          </m:fPr>
                          <m:num>
                            <m:r>
                              <m:rPr>
                                <m:sty m:val="p"/>
                              </m:rPr>
                              <w:rPr>
                                <w:rFonts w:ascii="Cambria Math" w:hAnsi="Cambria Math"/>
                              </w:rPr>
                              <m:t>FCI+Opex-</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O2</m:t>
                                </m:r>
                              </m:sub>
                            </m:sSub>
                            <m:r>
                              <m:rPr>
                                <m:sty m:val="p"/>
                              </m:rPr>
                              <w:rPr>
                                <w:rFonts w:ascii="Cambria Math" w:hAnsi="Cambria Math"/>
                              </w:rPr>
                              <m:t>∙</m:t>
                            </m:r>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Q</m:t>
                                    </m:r>
                                  </m:e>
                                </m:acc>
                              </m:e>
                              <m:sub>
                                <m:r>
                                  <m:rPr>
                                    <m:sty m:val="p"/>
                                  </m:rPr>
                                  <w:rPr>
                                    <w:rFonts w:ascii="Cambria Math" w:hAnsi="Cambria Math"/>
                                  </w:rPr>
                                  <m:t>O2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H2</m:t>
                                </m:r>
                              </m:sub>
                            </m:sSub>
                            <m:r>
                              <m:rPr>
                                <m:sty m:val="p"/>
                              </m:rPr>
                              <w:rPr>
                                <w:rFonts w:ascii="Cambria Math" w:hAnsi="Cambria Math"/>
                              </w:rPr>
                              <m:t>∙</m:t>
                            </m:r>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Q</m:t>
                                    </m:r>
                                  </m:e>
                                </m:acc>
                              </m:e>
                              <m:sub>
                                <m:r>
                                  <m:rPr>
                                    <m:sty m:val="p"/>
                                  </m:rPr>
                                  <w:rPr>
                                    <w:rFonts w:ascii="Cambria Math" w:hAnsi="Cambria Math"/>
                                  </w:rPr>
                                  <m:t>H2</m:t>
                                </m:r>
                              </m:sub>
                            </m:sSub>
                          </m:num>
                          <m:den>
                            <m:sSup>
                              <m:sSupPr>
                                <m:ctrlPr>
                                  <w:rPr>
                                    <w:rFonts w:ascii="Cambria Math" w:hAnsi="Cambria Math"/>
                                    <w:iCs/>
                                  </w:rPr>
                                </m:ctrlPr>
                              </m:sSupPr>
                              <m:e>
                                <m:d>
                                  <m:dPr>
                                    <m:ctrlPr>
                                      <w:rPr>
                                        <w:rFonts w:ascii="Cambria Math" w:hAnsi="Cambria Math"/>
                                        <w:iCs/>
                                      </w:rPr>
                                    </m:ctrlPr>
                                  </m:dPr>
                                  <m:e>
                                    <m:r>
                                      <m:rPr>
                                        <m:sty m:val="p"/>
                                      </m:rPr>
                                      <w:rPr>
                                        <w:rFonts w:ascii="Cambria Math" w:hAnsi="Cambria Math"/>
                                      </w:rPr>
                                      <m:t>1+r</m:t>
                                    </m:r>
                                  </m:e>
                                </m:d>
                              </m:e>
                              <m:sup>
                                <m:r>
                                  <m:rPr>
                                    <m:sty m:val="p"/>
                                  </m:rPr>
                                  <w:rPr>
                                    <w:rFonts w:ascii="Cambria Math" w:hAnsi="Cambria Math"/>
                                  </w:rPr>
                                  <m:t>k</m:t>
                                </m:r>
                              </m:sup>
                            </m:sSup>
                          </m:den>
                        </m:f>
                      </m:e>
                    </m:nary>
                  </m:num>
                  <m:den>
                    <m:nary>
                      <m:naryPr>
                        <m:chr m:val="∑"/>
                        <m:limLoc m:val="subSup"/>
                        <m:ctrlPr>
                          <w:rPr>
                            <w:rFonts w:ascii="Cambria Math" w:hAnsi="Cambria Math"/>
                            <w:iCs/>
                          </w:rPr>
                        </m:ctrlPr>
                      </m:naryPr>
                      <m:sub>
                        <m:r>
                          <m:rPr>
                            <m:sty m:val="p"/>
                          </m:rPr>
                          <w:rPr>
                            <w:rFonts w:ascii="Cambria Math" w:hAnsi="Cambria Math"/>
                          </w:rPr>
                          <m:t>k=0</m:t>
                        </m:r>
                      </m:sub>
                      <m:sup>
                        <m:r>
                          <m:rPr>
                            <m:sty m:val="p"/>
                          </m:rPr>
                          <w:rPr>
                            <w:rFonts w:ascii="Cambria Math" w:hAnsi="Cambria Math"/>
                          </w:rPr>
                          <m:t>n</m:t>
                        </m:r>
                      </m:sup>
                      <m:e>
                        <m:f>
                          <m:fPr>
                            <m:ctrlPr>
                              <w:rPr>
                                <w:rFonts w:ascii="Cambria Math" w:hAnsi="Cambria Math"/>
                                <w:iCs/>
                              </w:rPr>
                            </m:ctrlPr>
                          </m:fPr>
                          <m:num>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V</m:t>
                                    </m:r>
                                  </m:e>
                                </m:acc>
                              </m:e>
                              <m:sub>
                                <m:r>
                                  <m:rPr>
                                    <m:sty m:val="p"/>
                                  </m:rPr>
                                  <w:rPr>
                                    <w:rFonts w:ascii="Cambria Math" w:hAnsi="Cambria Math"/>
                                  </w:rPr>
                                  <m:t>w</m:t>
                                </m:r>
                              </m:sub>
                            </m:sSub>
                          </m:num>
                          <m:den>
                            <m:sSup>
                              <m:sSupPr>
                                <m:ctrlPr>
                                  <w:rPr>
                                    <w:rFonts w:ascii="Cambria Math" w:hAnsi="Cambria Math"/>
                                    <w:iCs/>
                                  </w:rPr>
                                </m:ctrlPr>
                              </m:sSupPr>
                              <m:e>
                                <m:d>
                                  <m:dPr>
                                    <m:ctrlPr>
                                      <w:rPr>
                                        <w:rFonts w:ascii="Cambria Math" w:hAnsi="Cambria Math"/>
                                        <w:iCs/>
                                      </w:rPr>
                                    </m:ctrlPr>
                                  </m:dPr>
                                  <m:e>
                                    <m:r>
                                      <m:rPr>
                                        <m:sty m:val="p"/>
                                      </m:rPr>
                                      <w:rPr>
                                        <w:rFonts w:ascii="Cambria Math" w:hAnsi="Cambria Math"/>
                                      </w:rPr>
                                      <m:t>1+r</m:t>
                                    </m:r>
                                  </m:e>
                                </m:d>
                              </m:e>
                              <m:sup>
                                <m:r>
                                  <m:rPr>
                                    <m:sty m:val="p"/>
                                  </m:rPr>
                                  <w:rPr>
                                    <w:rFonts w:ascii="Cambria Math" w:hAnsi="Cambria Math"/>
                                  </w:rPr>
                                  <m:t>k</m:t>
                                </m:r>
                              </m:sup>
                            </m:sSup>
                          </m:den>
                        </m:f>
                      </m:e>
                    </m:nary>
                  </m:den>
                </m:f>
              </m:oMath>
            </m:oMathPara>
          </w:p>
        </w:tc>
        <w:tc>
          <w:tcPr>
            <w:tcW w:w="801" w:type="dxa"/>
            <w:shd w:val="clear" w:color="auto" w:fill="auto"/>
            <w:vAlign w:val="center"/>
          </w:tcPr>
          <w:p w14:paraId="5F6EFB82" w14:textId="76B14EB4" w:rsidR="00B57AB7" w:rsidRPr="00B57B36" w:rsidRDefault="00B57AB7" w:rsidP="006F76DE">
            <w:pPr>
              <w:pStyle w:val="CETEquation"/>
              <w:jc w:val="right"/>
            </w:pPr>
            <w:r w:rsidRPr="00B57B36">
              <w:t>(</w:t>
            </w:r>
            <w:r w:rsidR="006F76DE">
              <w:t>3</w:t>
            </w:r>
            <w:r w:rsidRPr="00B57B36">
              <w:t>)</w:t>
            </w:r>
          </w:p>
        </w:tc>
      </w:tr>
      <w:tr w:rsidR="006F76DE" w:rsidRPr="00B57B36" w14:paraId="0C31CEA5" w14:textId="77777777" w:rsidTr="000C09E3">
        <w:tc>
          <w:tcPr>
            <w:tcW w:w="7986" w:type="dxa"/>
            <w:shd w:val="clear" w:color="auto" w:fill="auto"/>
            <w:vAlign w:val="center"/>
          </w:tcPr>
          <w:p w14:paraId="6DF3AE5F" w14:textId="0CFB6267" w:rsidR="006F76DE" w:rsidRPr="009963E1" w:rsidRDefault="009963E1" w:rsidP="00B25910">
            <w:pPr>
              <w:pStyle w:val="CETEquation"/>
              <w:rPr>
                <w:rFonts w:ascii="Cambria Math" w:hAnsi="Cambria Math"/>
                <w:oMath/>
              </w:rPr>
            </w:pPr>
            <m:oMathPara>
              <m:oMathParaPr>
                <m:jc m:val="left"/>
              </m:oMathParaPr>
              <m:oMath>
                <m:r>
                  <m:rPr>
                    <m:sty m:val="p"/>
                  </m:rPr>
                  <w:rPr>
                    <w:rFonts w:ascii="Cambria Math" w:hAnsi="Cambria Math"/>
                  </w:rPr>
                  <m:t>LCOH=</m:t>
                </m:r>
                <m:f>
                  <m:fPr>
                    <m:ctrlPr>
                      <w:rPr>
                        <w:rFonts w:ascii="Cambria Math" w:hAnsi="Cambria Math"/>
                        <w:iCs/>
                      </w:rPr>
                    </m:ctrlPr>
                  </m:fPr>
                  <m:num>
                    <m:nary>
                      <m:naryPr>
                        <m:chr m:val="∑"/>
                        <m:limLoc m:val="subSup"/>
                        <m:ctrlPr>
                          <w:rPr>
                            <w:rFonts w:ascii="Cambria Math" w:hAnsi="Cambria Math"/>
                            <w:iCs/>
                          </w:rPr>
                        </m:ctrlPr>
                      </m:naryPr>
                      <m:sub>
                        <m:r>
                          <m:rPr>
                            <m:sty m:val="p"/>
                          </m:rPr>
                          <w:rPr>
                            <w:rFonts w:ascii="Cambria Math" w:hAnsi="Cambria Math"/>
                          </w:rPr>
                          <m:t>k=0</m:t>
                        </m:r>
                      </m:sub>
                      <m:sup>
                        <m:r>
                          <m:rPr>
                            <m:sty m:val="p"/>
                          </m:rPr>
                          <w:rPr>
                            <w:rFonts w:ascii="Cambria Math" w:hAnsi="Cambria Math"/>
                          </w:rPr>
                          <m:t>n</m:t>
                        </m:r>
                      </m:sup>
                      <m:e>
                        <m:f>
                          <m:fPr>
                            <m:ctrlPr>
                              <w:rPr>
                                <w:rFonts w:ascii="Cambria Math" w:hAnsi="Cambria Math"/>
                                <w:iCs/>
                              </w:rPr>
                            </m:ctrlPr>
                          </m:fPr>
                          <m:num>
                            <m:r>
                              <m:rPr>
                                <m:sty m:val="p"/>
                              </m:rPr>
                              <w:rPr>
                                <w:rFonts w:ascii="Cambria Math" w:hAnsi="Cambria Math"/>
                              </w:rPr>
                              <m:t>FCI+Opex-</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O2</m:t>
                                </m:r>
                              </m:sub>
                            </m:sSub>
                            <m:r>
                              <m:rPr>
                                <m:sty m:val="p"/>
                              </m:rPr>
                              <w:rPr>
                                <w:rFonts w:ascii="Cambria Math" w:hAnsi="Cambria Math"/>
                              </w:rPr>
                              <m:t>∙</m:t>
                            </m:r>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Q</m:t>
                                    </m:r>
                                  </m:e>
                                </m:acc>
                              </m:e>
                              <m:sub>
                                <m:r>
                                  <m:rPr>
                                    <m:sty m:val="p"/>
                                  </m:rPr>
                                  <w:rPr>
                                    <w:rFonts w:ascii="Cambria Math" w:hAnsi="Cambria Math"/>
                                  </w:rPr>
                                  <m:t>O2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w</m:t>
                                </m:r>
                              </m:sub>
                            </m:sSub>
                            <m:r>
                              <m:rPr>
                                <m:sty m:val="p"/>
                              </m:rPr>
                              <w:rPr>
                                <w:rFonts w:ascii="Cambria Math" w:hAnsi="Cambria Math"/>
                              </w:rPr>
                              <m:t>∙</m:t>
                            </m:r>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V</m:t>
                                    </m:r>
                                  </m:e>
                                </m:acc>
                              </m:e>
                              <m:sub>
                                <m:r>
                                  <m:rPr>
                                    <m:sty m:val="p"/>
                                  </m:rPr>
                                  <w:rPr>
                                    <w:rFonts w:ascii="Cambria Math" w:hAnsi="Cambria Math"/>
                                  </w:rPr>
                                  <m:t>w</m:t>
                                </m:r>
                              </m:sub>
                            </m:sSub>
                          </m:num>
                          <m:den>
                            <m:sSup>
                              <m:sSupPr>
                                <m:ctrlPr>
                                  <w:rPr>
                                    <w:rFonts w:ascii="Cambria Math" w:hAnsi="Cambria Math"/>
                                    <w:iCs/>
                                  </w:rPr>
                                </m:ctrlPr>
                              </m:sSupPr>
                              <m:e>
                                <m:d>
                                  <m:dPr>
                                    <m:ctrlPr>
                                      <w:rPr>
                                        <w:rFonts w:ascii="Cambria Math" w:hAnsi="Cambria Math"/>
                                        <w:iCs/>
                                      </w:rPr>
                                    </m:ctrlPr>
                                  </m:dPr>
                                  <m:e>
                                    <m:r>
                                      <m:rPr>
                                        <m:sty m:val="p"/>
                                      </m:rPr>
                                      <w:rPr>
                                        <w:rFonts w:ascii="Cambria Math" w:hAnsi="Cambria Math"/>
                                      </w:rPr>
                                      <m:t>1+r</m:t>
                                    </m:r>
                                  </m:e>
                                </m:d>
                              </m:e>
                              <m:sup>
                                <m:r>
                                  <m:rPr>
                                    <m:sty m:val="p"/>
                                  </m:rPr>
                                  <w:rPr>
                                    <w:rFonts w:ascii="Cambria Math" w:hAnsi="Cambria Math"/>
                                  </w:rPr>
                                  <m:t>k</m:t>
                                </m:r>
                              </m:sup>
                            </m:sSup>
                          </m:den>
                        </m:f>
                      </m:e>
                    </m:nary>
                  </m:num>
                  <m:den>
                    <m:nary>
                      <m:naryPr>
                        <m:chr m:val="∑"/>
                        <m:limLoc m:val="subSup"/>
                        <m:ctrlPr>
                          <w:rPr>
                            <w:rFonts w:ascii="Cambria Math" w:hAnsi="Cambria Math"/>
                            <w:iCs/>
                          </w:rPr>
                        </m:ctrlPr>
                      </m:naryPr>
                      <m:sub>
                        <m:r>
                          <m:rPr>
                            <m:sty m:val="p"/>
                          </m:rPr>
                          <w:rPr>
                            <w:rFonts w:ascii="Cambria Math" w:hAnsi="Cambria Math"/>
                          </w:rPr>
                          <m:t>k=0</m:t>
                        </m:r>
                      </m:sub>
                      <m:sup>
                        <m:r>
                          <m:rPr>
                            <m:sty m:val="p"/>
                          </m:rPr>
                          <w:rPr>
                            <w:rFonts w:ascii="Cambria Math" w:hAnsi="Cambria Math"/>
                          </w:rPr>
                          <m:t>n</m:t>
                        </m:r>
                      </m:sup>
                      <m:e>
                        <m:f>
                          <m:fPr>
                            <m:ctrlPr>
                              <w:rPr>
                                <w:rFonts w:ascii="Cambria Math" w:hAnsi="Cambria Math"/>
                                <w:iCs/>
                              </w:rPr>
                            </m:ctrlPr>
                          </m:fPr>
                          <m:num>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Q</m:t>
                                    </m:r>
                                  </m:e>
                                </m:acc>
                              </m:e>
                              <m:sub>
                                <m:r>
                                  <m:rPr>
                                    <m:sty m:val="p"/>
                                  </m:rPr>
                                  <w:rPr>
                                    <w:rFonts w:ascii="Cambria Math" w:hAnsi="Cambria Math"/>
                                  </w:rPr>
                                  <m:t>H2</m:t>
                                </m:r>
                              </m:sub>
                            </m:sSub>
                          </m:num>
                          <m:den>
                            <m:sSup>
                              <m:sSupPr>
                                <m:ctrlPr>
                                  <w:rPr>
                                    <w:rFonts w:ascii="Cambria Math" w:hAnsi="Cambria Math"/>
                                    <w:iCs/>
                                  </w:rPr>
                                </m:ctrlPr>
                              </m:sSupPr>
                              <m:e>
                                <m:d>
                                  <m:dPr>
                                    <m:ctrlPr>
                                      <w:rPr>
                                        <w:rFonts w:ascii="Cambria Math" w:hAnsi="Cambria Math"/>
                                        <w:iCs/>
                                      </w:rPr>
                                    </m:ctrlPr>
                                  </m:dPr>
                                  <m:e>
                                    <m:r>
                                      <m:rPr>
                                        <m:sty m:val="p"/>
                                      </m:rPr>
                                      <w:rPr>
                                        <w:rFonts w:ascii="Cambria Math" w:hAnsi="Cambria Math"/>
                                      </w:rPr>
                                      <m:t>1+r</m:t>
                                    </m:r>
                                  </m:e>
                                </m:d>
                              </m:e>
                              <m:sup>
                                <m:r>
                                  <m:rPr>
                                    <m:sty m:val="p"/>
                                  </m:rPr>
                                  <w:rPr>
                                    <w:rFonts w:ascii="Cambria Math" w:hAnsi="Cambria Math"/>
                                  </w:rPr>
                                  <m:t>k</m:t>
                                </m:r>
                              </m:sup>
                            </m:sSup>
                          </m:den>
                        </m:f>
                      </m:e>
                    </m:nary>
                  </m:den>
                </m:f>
              </m:oMath>
            </m:oMathPara>
          </w:p>
        </w:tc>
        <w:tc>
          <w:tcPr>
            <w:tcW w:w="801" w:type="dxa"/>
            <w:shd w:val="clear" w:color="auto" w:fill="auto"/>
            <w:vAlign w:val="center"/>
          </w:tcPr>
          <w:p w14:paraId="38756F0B" w14:textId="0643FF64" w:rsidR="006F76DE" w:rsidRPr="00B57B36" w:rsidRDefault="006F76DE" w:rsidP="006F76DE">
            <w:pPr>
              <w:pStyle w:val="CETEquation"/>
              <w:jc w:val="right"/>
            </w:pPr>
            <w:r w:rsidRPr="00B57B36">
              <w:t>(</w:t>
            </w:r>
            <w:r>
              <w:t>4</w:t>
            </w:r>
            <w:r w:rsidRPr="00B57B36">
              <w:t>)</w:t>
            </w:r>
          </w:p>
        </w:tc>
      </w:tr>
    </w:tbl>
    <w:p w14:paraId="1B8A891C" w14:textId="01B6A5DC" w:rsidR="001F0951" w:rsidRDefault="00044702" w:rsidP="00F44B55">
      <w:pPr>
        <w:pStyle w:val="CETBodytext"/>
      </w:pPr>
      <w:r>
        <w:t>Clearly</w:t>
      </w:r>
      <w:r w:rsidR="006F76DE">
        <w:t xml:space="preserve">, </w:t>
      </w:r>
      <w:r w:rsidR="00B87904">
        <w:t>in order to evaluate the</w:t>
      </w:r>
      <w:r w:rsidR="00F44B55">
        <w:t xml:space="preserve"> LCOW </w:t>
      </w:r>
      <w:r w:rsidR="006F76DE">
        <w:t>is necessary to fix the price of the other products</w:t>
      </w:r>
      <w:r w:rsidR="00F44B55">
        <w:t xml:space="preserve"> (i.e. hydrogen and oxygen)</w:t>
      </w:r>
      <w:r w:rsidR="006F76DE">
        <w:t xml:space="preserve"> </w:t>
      </w:r>
      <w:r w:rsidR="00F44B55">
        <w:t>since more than one product is present in the plant.</w:t>
      </w:r>
      <w:r>
        <w:t xml:space="preserve"> Similarly, the price of water and oxygen are to be fixed to calculate the LCOH.</w:t>
      </w:r>
    </w:p>
    <w:p w14:paraId="7B416A42" w14:textId="684DA085" w:rsidR="003C132E" w:rsidRPr="00B57B36" w:rsidRDefault="000774A8" w:rsidP="003C132E">
      <w:pPr>
        <w:pStyle w:val="CETHeading1"/>
        <w:rPr>
          <w:lang w:val="en-GB"/>
        </w:rPr>
      </w:pPr>
      <w:r>
        <w:rPr>
          <w:lang w:val="en-GB"/>
        </w:rPr>
        <w:t>Technical and cost analysis</w:t>
      </w:r>
    </w:p>
    <w:p w14:paraId="01020ECE" w14:textId="070CB3C1" w:rsidR="00087A41" w:rsidRDefault="00E62A02" w:rsidP="004B47AD">
      <w:pPr>
        <w:pStyle w:val="CETBodytext"/>
      </w:pPr>
      <w:r>
        <w:t xml:space="preserve">ED </w:t>
      </w:r>
      <w:r w:rsidR="000C09E3">
        <w:t>and electroly</w:t>
      </w:r>
      <w:r w:rsidR="00087A41">
        <w:t>s</w:t>
      </w:r>
      <w:r w:rsidR="000C09E3">
        <w:t>ers are energy-</w:t>
      </w:r>
      <w:r>
        <w:t>demanding processes, the first requires energy for promoting the migrative flux of ions</w:t>
      </w:r>
      <w:r w:rsidR="001C2C0D">
        <w:t>, whilst</w:t>
      </w:r>
      <w:r>
        <w:t xml:space="preserve"> the </w:t>
      </w:r>
      <w:r w:rsidRPr="00F93C23">
        <w:t xml:space="preserve">second </w:t>
      </w:r>
      <w:r w:rsidR="000C09E3">
        <w:t xml:space="preserve">is </w:t>
      </w:r>
      <w:r w:rsidRPr="00F93C23">
        <w:t>for</w:t>
      </w:r>
      <w:r w:rsidR="00D947C4" w:rsidRPr="00F93C23">
        <w:t xml:space="preserve"> </w:t>
      </w:r>
      <w:r w:rsidR="00F93C23" w:rsidRPr="00F93C23">
        <w:t>e</w:t>
      </w:r>
      <w:r w:rsidR="00F93C23">
        <w:t>nabling</w:t>
      </w:r>
      <w:r>
        <w:t xml:space="preserve"> the redox reactions. </w:t>
      </w:r>
      <w:r w:rsidR="00D947C4">
        <w:t xml:space="preserve">In </w:t>
      </w:r>
      <w:r w:rsidR="005F2773">
        <w:t>ED</w:t>
      </w:r>
      <w:r w:rsidR="00D947C4">
        <w:t xml:space="preserve">, </w:t>
      </w:r>
      <w:r w:rsidR="00C00D74">
        <w:t>in order to achieve</w:t>
      </w:r>
      <w:r w:rsidR="00D947C4">
        <w:t xml:space="preserve"> the concentration target of 0.5 g L</w:t>
      </w:r>
      <w:r w:rsidR="00D947C4" w:rsidRPr="001C2C0D">
        <w:rPr>
          <w:vertAlign w:val="superscript"/>
        </w:rPr>
        <w:t>-1</w:t>
      </w:r>
      <w:r w:rsidR="00C00D74">
        <w:t xml:space="preserve"> at the outlet of the 1</w:t>
      </w:r>
      <w:r w:rsidR="00CB14B7">
        <w:t xml:space="preserve"> </w:t>
      </w:r>
      <w:r w:rsidR="00C00D74">
        <w:t>m x 1</w:t>
      </w:r>
      <w:r w:rsidR="00CB14B7">
        <w:t xml:space="preserve"> </w:t>
      </w:r>
      <w:r w:rsidR="00C00D74">
        <w:t>m stack</w:t>
      </w:r>
      <w:r w:rsidR="00B25910">
        <w:t xml:space="preserve">, </w:t>
      </w:r>
      <w:r w:rsidR="00C00D74">
        <w:t xml:space="preserve">it </w:t>
      </w:r>
      <w:r w:rsidR="00D947C4">
        <w:t xml:space="preserve">is necessary to have a </w:t>
      </w:r>
      <w:r w:rsidR="00F93C23">
        <w:t xml:space="preserve">determinate </w:t>
      </w:r>
      <w:r w:rsidR="00D947C4">
        <w:t>current flowing in the system</w:t>
      </w:r>
      <w:r w:rsidR="00BD1482">
        <w:t xml:space="preserve"> equal to 92 A</w:t>
      </w:r>
      <w:r w:rsidR="00D947C4">
        <w:t>. This constrain</w:t>
      </w:r>
      <w:r w:rsidR="000C09E3">
        <w:t>t</w:t>
      </w:r>
      <w:r w:rsidR="00F44B55">
        <w:t xml:space="preserve"> </w:t>
      </w:r>
      <w:r w:rsidR="00C00D74">
        <w:t>does not apply to</w:t>
      </w:r>
      <w:r w:rsidR="00D947C4">
        <w:t xml:space="preserve"> </w:t>
      </w:r>
      <w:r w:rsidR="005F2773">
        <w:t xml:space="preserve">electrolysers </w:t>
      </w:r>
      <w:r w:rsidR="00C00D74">
        <w:t>which</w:t>
      </w:r>
      <w:r w:rsidR="005F2773">
        <w:t xml:space="preserve"> can reach </w:t>
      </w:r>
      <w:r w:rsidR="00C00D74">
        <w:t xml:space="preserve">current </w:t>
      </w:r>
      <w:r w:rsidR="00F44B55">
        <w:t>densit</w:t>
      </w:r>
      <w:r w:rsidR="00C00D74">
        <w:t>ies</w:t>
      </w:r>
      <w:r w:rsidR="00F44B55">
        <w:t xml:space="preserve"> </w:t>
      </w:r>
      <w:r w:rsidR="001C2C0D">
        <w:t xml:space="preserve">of </w:t>
      </w:r>
      <w:r w:rsidR="00605E36">
        <w:t>0.2</w:t>
      </w:r>
      <w:r w:rsidR="00F44B55">
        <w:t xml:space="preserve"> – </w:t>
      </w:r>
      <w:r w:rsidR="00605E36">
        <w:t xml:space="preserve">0.8 </w:t>
      </w:r>
      <w:r w:rsidR="001C2C0D">
        <w:t>A cm</w:t>
      </w:r>
      <w:r w:rsidR="001C2C0D" w:rsidRPr="00605E36">
        <w:rPr>
          <w:vertAlign w:val="superscript"/>
        </w:rPr>
        <w:t>-</w:t>
      </w:r>
      <w:r w:rsidR="005F2773" w:rsidRPr="00605E36">
        <w:rPr>
          <w:vertAlign w:val="superscript"/>
        </w:rPr>
        <w:t>2</w:t>
      </w:r>
      <w:r w:rsidR="00F93C23" w:rsidRPr="00605E36">
        <w:t xml:space="preserve"> </w:t>
      </w:r>
      <w:r w:rsidR="00605E36" w:rsidRPr="00605E36">
        <w:fldChar w:fldCharType="begin"/>
      </w:r>
      <w:r w:rsidR="00605E36" w:rsidRPr="00605E36">
        <w:instrText xml:space="preserve"> ADDIN ZOTERO_ITEM CSL_CITATION {"citationID":"vHZauJOW","properties":{"formattedCitation":"(Chatenet et al., 2022)","plainCitation":"(Chatenet et al., 2022)","noteIndex":0},"citationItems":[{"id":80,"uris":["http://zotero.org/users/10977437/items/BWASI4RK"],"itemData":{"id":80,"type":"article-journal","abstract":"Replacing fossil fuels with energy sources and carriers that are sustainable, environmentally benign, and affordable is amongst the most pressing challenges for future socio-economic development.\n          , \n            \n              Replacing fossil fuels with energy sources and carriers that are sustainable, environmentally benign, and affordable is amongst the most pressing challenges for future socio-economic development. To that goal, hydrogen is presumed to be the most promising energy carrier. Electrocatalytic water splitting, if driven by green electricity, would provide hydrogen with minimal CO\n              2\n              footprint. The viability of water electrolysis still hinges on the availability of durable earth-abundant electrocatalyst materials and the overall process efficiency. This review spans from the fundamentals of electrocatalytically initiated water splitting to the very latest scientific findings from university and institutional research, also covering specifications and special features of the current industrial processes and those processes currently being tested in large-scale applications. Recently developed strategies are described for the optimisation and discovery of active and durable materials for electrodes that ever-increasingly harness first-principles calculations and machine learning. In addition, a technoeconomic analysis of water electrolysis is included that allows an assessment of the extent to which a large-scale implementation of water splitting can help to combat climate change. This review article is intended to cross-pollinate and strengthen efforts from fundamental understanding to technical implementation and to improve the ‘junctions’ between the field's physical chemists, materials scientists and engineers, as well as stimulate much-needed exchange among these groups on challenges encountered in the different domains.","container-title":"Chemical Society Reviews","DOI":"10.1039/D0CS01079K","ISSN":"0306-0012, 1460-4744","issue":"11","journalAbbreviation":"Chem. Soc. Rev.","language":"en","page":"4583-4762","source":"DOI.org (Crossref)","title":"Water electrolysis: from textbook knowledge to the latest scientific strategies and industrial developments","title-short":"Water electrolysis","volume":"51","author":[{"family":"Chatenet","given":"Marian"},{"family":"Pollet","given":"Bruno G."},{"family":"Dekel","given":"Dario R."},{"family":"Dionigi","given":"Fabio"},{"family":"Deseure","given":"Jonathan"},{"family":"Millet","given":"Pierre"},{"family":"Braatz","given":"Richard D."},{"family":"Bazant","given":"Martin Z."},{"family":"Eikerling","given":"Michael"},{"family":"Staffell","given":"Iain"},{"family":"Balcombe","given":"Paul"},{"family":"Shao-Horn","given":"Yang"},{"family":"Schäfer","given":"Helmut"}],"issued":{"date-parts":[["2022"]]}}}],"schema":"https://github.com/citation-style-language/schema/raw/master/csl-citation.json"} </w:instrText>
      </w:r>
      <w:r w:rsidR="00605E36" w:rsidRPr="00605E36">
        <w:fldChar w:fldCharType="separate"/>
      </w:r>
      <w:r w:rsidR="00605E36" w:rsidRPr="00605E36">
        <w:rPr>
          <w:rFonts w:cs="Arial"/>
        </w:rPr>
        <w:t>(Chatenet et al., 2022)</w:t>
      </w:r>
      <w:r w:rsidR="00605E36" w:rsidRPr="00605E36">
        <w:fldChar w:fldCharType="end"/>
      </w:r>
      <w:r w:rsidR="00605E36" w:rsidRPr="00605E36">
        <w:t>.</w:t>
      </w:r>
      <w:r w:rsidR="00605E36">
        <w:t xml:space="preserve"> </w:t>
      </w:r>
      <w:r w:rsidR="001C2C0D">
        <w:t xml:space="preserve">The HED technology is a </w:t>
      </w:r>
      <w:r>
        <w:t>combination of the two proces</w:t>
      </w:r>
      <w:r w:rsidR="00B25910">
        <w:t xml:space="preserve">ses and </w:t>
      </w:r>
      <w:r>
        <w:t>involves a higher energy requirement</w:t>
      </w:r>
      <w:r w:rsidR="00BD1482">
        <w:t xml:space="preserve"> (compared to the single technology)</w:t>
      </w:r>
      <w:r w:rsidR="001C2C0D">
        <w:t>,</w:t>
      </w:r>
      <w:r w:rsidR="00B25910">
        <w:t xml:space="preserve"> necessary for </w:t>
      </w:r>
      <w:r w:rsidR="00EA70DB">
        <w:t xml:space="preserve">the hydrogen and oxygen evolution reactions (requiring an additional 1.7 V of voltage) and </w:t>
      </w:r>
      <w:r w:rsidR="00BD1482">
        <w:t xml:space="preserve">for the freshwater production. </w:t>
      </w:r>
      <w:r>
        <w:t>Figure 2</w:t>
      </w:r>
      <w:r w:rsidR="000C09E3">
        <w:t xml:space="preserve"> plot</w:t>
      </w:r>
      <w:r w:rsidR="00EA70DB">
        <w:t>s</w:t>
      </w:r>
      <w:r w:rsidR="001C2C0D">
        <w:t xml:space="preserve"> the trends of the voltage and power fo</w:t>
      </w:r>
      <w:r w:rsidR="00EA70DB">
        <w:t>r the three different technologies</w:t>
      </w:r>
      <w:r w:rsidR="001C2C0D">
        <w:t xml:space="preserve"> versus the R-factor. The equivalent electrolyser is assumed </w:t>
      </w:r>
      <w:r w:rsidR="00EA70DB">
        <w:t xml:space="preserve">to </w:t>
      </w:r>
      <w:r w:rsidR="00EA6BC7">
        <w:t>operate</w:t>
      </w:r>
      <w:r w:rsidR="00EA70DB">
        <w:t xml:space="preserve"> at the same current of the HED/ED </w:t>
      </w:r>
      <w:r w:rsidR="0082406A">
        <w:t>stack</w:t>
      </w:r>
      <w:r w:rsidR="00EA70DB">
        <w:t xml:space="preserve"> and is </w:t>
      </w:r>
      <w:r w:rsidR="001C2C0D">
        <w:t xml:space="preserve">constituted </w:t>
      </w:r>
      <w:r w:rsidR="000C09E3">
        <w:t>of</w:t>
      </w:r>
      <w:r w:rsidR="00EA70DB">
        <w:t xml:space="preserve"> </w:t>
      </w:r>
      <w:r w:rsidR="00106BDE">
        <w:t>10</w:t>
      </w:r>
      <w:r w:rsidR="00EA70DB">
        <w:t>00 cells,</w:t>
      </w:r>
      <w:r w:rsidR="000C09E3">
        <w:t xml:space="preserve"> </w:t>
      </w:r>
      <w:r w:rsidR="00EA6BC7">
        <w:t>thus,</w:t>
      </w:r>
      <w:r w:rsidR="000C09E3">
        <w:t xml:space="preserve"> there is no</w:t>
      </w:r>
      <w:r w:rsidR="001C2C0D">
        <w:t xml:space="preserve"> dependence of voltage and power </w:t>
      </w:r>
      <w:r w:rsidR="00EA6BC7">
        <w:t>on</w:t>
      </w:r>
      <w:r w:rsidR="001C2C0D">
        <w:t xml:space="preserve"> the R factor. </w:t>
      </w:r>
      <w:r w:rsidR="00106BDE">
        <w:t xml:space="preserve">The ED system corresponds to the case R=1000, i.e. the unit constituted by two electrodes and one single cell package of 1000 cell pairs. </w:t>
      </w:r>
      <w:r w:rsidR="001C2C0D">
        <w:t xml:space="preserve">In the case of HED the system is constituted by </w:t>
      </w:r>
      <w:r w:rsidR="00EA6BC7">
        <w:t xml:space="preserve">several </w:t>
      </w:r>
      <w:r w:rsidR="001C2C0D">
        <w:t>cell package</w:t>
      </w:r>
      <w:r w:rsidR="000C09E3">
        <w:t>s</w:t>
      </w:r>
      <w:r w:rsidR="001C2C0D">
        <w:t xml:space="preserve"> separated by electrodes, each cell package is a stand-alone </w:t>
      </w:r>
      <w:r w:rsidR="0082406A">
        <w:t>ED-</w:t>
      </w:r>
      <w:r w:rsidR="001C2C0D">
        <w:t xml:space="preserve">unit, and the voltage required by each </w:t>
      </w:r>
      <w:r w:rsidR="0082406A">
        <w:t>ED-</w:t>
      </w:r>
      <w:r w:rsidR="001C2C0D">
        <w:t>unit is represented in Figure 2a</w:t>
      </w:r>
      <w:r w:rsidR="009108E9">
        <w:t xml:space="preserve">. </w:t>
      </w:r>
      <w:r w:rsidR="00106BDE">
        <w:t>When R is equal to 1, the voltage required by a single ED-unit of HED system is 2.7 V, greater than an equivalent single-</w:t>
      </w:r>
      <w:r w:rsidR="00106BDE" w:rsidRPr="009B6809">
        <w:t xml:space="preserve">cell of an electrolyser because comprehensive of desalination and hydrogen production voltage. Greater the R, </w:t>
      </w:r>
      <w:r w:rsidR="00CD5526" w:rsidRPr="009B6809">
        <w:t>larg</w:t>
      </w:r>
      <w:r w:rsidR="00106BDE" w:rsidRPr="009B6809">
        <w:t>er the voltage required by the single ED-unit, that becomes the same</w:t>
      </w:r>
      <w:r w:rsidR="00E4226E" w:rsidRPr="009B6809">
        <w:t xml:space="preserve"> of the ED stack</w:t>
      </w:r>
      <w:r w:rsidR="00106BDE" w:rsidRPr="009B6809">
        <w:t xml:space="preserve"> for R= 1000 and requiring almost 500 V. </w:t>
      </w:r>
      <w:r w:rsidR="00E4226E" w:rsidRPr="009B6809">
        <w:t>An</w:t>
      </w:r>
      <w:r w:rsidR="00106BDE" w:rsidRPr="009B6809">
        <w:t xml:space="preserve"> opposite trend is shown in Figure 2b, where the total power required by the HED system is plotted</w:t>
      </w:r>
      <w:r w:rsidR="00106BDE">
        <w:t>. As</w:t>
      </w:r>
      <w:r w:rsidR="001C2C0D">
        <w:t xml:space="preserve"> R</w:t>
      </w:r>
      <w:r w:rsidR="00EA6BC7">
        <w:t xml:space="preserve"> increases</w:t>
      </w:r>
      <w:r w:rsidR="001C2C0D">
        <w:t>, the difference bet</w:t>
      </w:r>
      <w:r w:rsidR="00EA70DB">
        <w:t xml:space="preserve">ween the ED and HED </w:t>
      </w:r>
      <w:r w:rsidR="00106BDE">
        <w:t>power</w:t>
      </w:r>
      <w:r w:rsidR="00EA70DB">
        <w:t xml:space="preserve"> beco</w:t>
      </w:r>
      <w:r w:rsidR="001C2C0D">
        <w:t>me</w:t>
      </w:r>
      <w:r w:rsidR="00EA70DB">
        <w:t>s</w:t>
      </w:r>
      <w:r w:rsidR="001C2C0D">
        <w:t xml:space="preserve"> </w:t>
      </w:r>
      <w:r w:rsidR="008F0B90">
        <w:t>smaller and smaller</w:t>
      </w:r>
      <w:r w:rsidR="001C2C0D">
        <w:t xml:space="preserve"> </w:t>
      </w:r>
      <w:r w:rsidR="008F0B90">
        <w:t xml:space="preserve">so that the two curves </w:t>
      </w:r>
      <w:r w:rsidR="00EA6BC7">
        <w:t>overlap for</w:t>
      </w:r>
      <w:r w:rsidR="008F0B90">
        <w:t xml:space="preserve"> R </w:t>
      </w:r>
      <w:r w:rsidR="00EA6BC7">
        <w:t xml:space="preserve">higher </w:t>
      </w:r>
      <w:r w:rsidR="008F0B90">
        <w:t>than 100.</w:t>
      </w:r>
      <w:r w:rsidR="00106BDE">
        <w:t xml:space="preserve"> However, there is also a consequent reduction in the hydrogen production.</w:t>
      </w:r>
      <w:r w:rsidR="004B47AD" w:rsidRPr="004B47AD">
        <w:t xml:space="preserve"> </w:t>
      </w:r>
    </w:p>
    <w:p w14:paraId="56F38AE6" w14:textId="519D3F45" w:rsidR="00E80E54" w:rsidRDefault="000214E2" w:rsidP="004B47AD">
      <w:pPr>
        <w:pStyle w:val="CETListbullets"/>
        <w:ind w:left="0" w:firstLine="0"/>
      </w:pPr>
      <w:r w:rsidRPr="000214E2">
        <w:rPr>
          <w:noProof/>
          <w:lang w:eastAsia="en-GB"/>
        </w:rPr>
        <w:drawing>
          <wp:inline distT="0" distB="0" distL="0" distR="0" wp14:anchorId="2DA487C4" wp14:editId="0F996791">
            <wp:extent cx="2789081" cy="2113807"/>
            <wp:effectExtent l="0" t="0" r="0"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2229" cy="2131350"/>
                    </a:xfrm>
                    <a:prstGeom prst="rect">
                      <a:avLst/>
                    </a:prstGeom>
                    <a:noFill/>
                    <a:ln>
                      <a:noFill/>
                    </a:ln>
                  </pic:spPr>
                </pic:pic>
              </a:graphicData>
            </a:graphic>
          </wp:inline>
        </w:drawing>
      </w:r>
      <w:r w:rsidRPr="000214E2">
        <w:rPr>
          <w:noProof/>
          <w:lang w:eastAsia="en-GB"/>
        </w:rPr>
        <w:drawing>
          <wp:inline distT="0" distB="0" distL="0" distR="0" wp14:anchorId="5759E5D4" wp14:editId="714B41B1">
            <wp:extent cx="2755075" cy="2092866"/>
            <wp:effectExtent l="0" t="0" r="762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2292" cy="2113541"/>
                    </a:xfrm>
                    <a:prstGeom prst="rect">
                      <a:avLst/>
                    </a:prstGeom>
                    <a:noFill/>
                    <a:ln>
                      <a:noFill/>
                    </a:ln>
                  </pic:spPr>
                </pic:pic>
              </a:graphicData>
            </a:graphic>
          </wp:inline>
        </w:drawing>
      </w:r>
      <w:r w:rsidR="00E80E54">
        <w:t xml:space="preserve">Figure 2: Required voltage </w:t>
      </w:r>
      <w:r w:rsidR="00553C2A">
        <w:t xml:space="preserve">(a) and power (b) as a function of the </w:t>
      </w:r>
      <w:r w:rsidR="00E80E54">
        <w:t xml:space="preserve">R-factor for the ED, HED and </w:t>
      </w:r>
      <w:r w:rsidR="00087A41">
        <w:t>Electrolys</w:t>
      </w:r>
      <w:r w:rsidR="00C81528">
        <w:t>er</w:t>
      </w:r>
      <w:r w:rsidR="00087A41">
        <w:t xml:space="preserve"> </w:t>
      </w:r>
      <w:r w:rsidR="00E80E54">
        <w:t>systems.</w:t>
      </w:r>
    </w:p>
    <w:p w14:paraId="07A7F637" w14:textId="77777777" w:rsidR="004B47AD" w:rsidRDefault="004B47AD" w:rsidP="00910037">
      <w:pPr>
        <w:pStyle w:val="CETBodytext"/>
      </w:pPr>
      <w:r>
        <w:lastRenderedPageBreak/>
        <w:t>The two HED-ED power curves tend to overlap for higher R values because as R increases, desalination requires the greatest energy contribution, making the hydrogen production energy negligible. The largest potential loss is due to the electrodes when R equals to 1 because there is a high amount of hydrogen produced. As the cell package increases in cell pairs (i.e. R increases), hydrogen production decreases and practically when R becomes higher than 50, overall hydrogen production is so low that it becomes a negligible dissipative effect for the system.</w:t>
      </w:r>
    </w:p>
    <w:p w14:paraId="3A898605" w14:textId="61E77608" w:rsidR="00910037" w:rsidRPr="00910037" w:rsidRDefault="00910037" w:rsidP="00910037">
      <w:pPr>
        <w:pStyle w:val="CETBodytext"/>
        <w:rPr>
          <w:lang w:val="en-GB"/>
        </w:rPr>
      </w:pPr>
      <w:r w:rsidRPr="00910037">
        <w:rPr>
          <w:lang w:val="en-GB"/>
        </w:rPr>
        <w:t xml:space="preserve">Figure 3a shows the trends of LCOW and LCOH as </w:t>
      </w:r>
      <w:r w:rsidR="005D3252">
        <w:rPr>
          <w:lang w:val="en-GB"/>
        </w:rPr>
        <w:t xml:space="preserve">a function of </w:t>
      </w:r>
      <w:r w:rsidRPr="00910037">
        <w:rPr>
          <w:lang w:val="en-GB"/>
        </w:rPr>
        <w:t xml:space="preserve">R. </w:t>
      </w:r>
      <w:r w:rsidR="001F0951">
        <w:rPr>
          <w:lang w:val="en-GB"/>
        </w:rPr>
        <w:t>The dashed curves refer to the ED and electrolyser systems</w:t>
      </w:r>
      <w:r w:rsidR="005D3252">
        <w:rPr>
          <w:lang w:val="en-GB"/>
        </w:rPr>
        <w:t>:</w:t>
      </w:r>
      <w:r w:rsidR="001F0951">
        <w:rPr>
          <w:lang w:val="en-GB"/>
        </w:rPr>
        <w:t xml:space="preserve"> also in this case, the LCOH for the electrolyser is constant because</w:t>
      </w:r>
      <w:r w:rsidR="004A1B2E">
        <w:rPr>
          <w:lang w:val="en-GB"/>
        </w:rPr>
        <w:t xml:space="preserve"> it</w:t>
      </w:r>
      <w:r w:rsidR="001F0951">
        <w:rPr>
          <w:lang w:val="en-GB"/>
        </w:rPr>
        <w:t xml:space="preserve"> is independent </w:t>
      </w:r>
      <w:r w:rsidR="00446E4E">
        <w:rPr>
          <w:lang w:val="en-GB"/>
        </w:rPr>
        <w:t>of</w:t>
      </w:r>
      <w:r w:rsidR="001F0951">
        <w:rPr>
          <w:lang w:val="en-GB"/>
        </w:rPr>
        <w:t xml:space="preserve"> the R factor. The continuous curves are related to the HED technology</w:t>
      </w:r>
      <w:r w:rsidR="005D3252">
        <w:rPr>
          <w:lang w:val="en-GB"/>
        </w:rPr>
        <w:t>:</w:t>
      </w:r>
      <w:r w:rsidR="001F0951">
        <w:rPr>
          <w:lang w:val="en-GB"/>
        </w:rPr>
        <w:t xml:space="preserve"> the </w:t>
      </w:r>
      <w:r w:rsidR="00446E4E">
        <w:rPr>
          <w:lang w:val="en-GB"/>
        </w:rPr>
        <w:t>levelized costs</w:t>
      </w:r>
      <w:r w:rsidR="001F0951">
        <w:rPr>
          <w:lang w:val="en-GB"/>
        </w:rPr>
        <w:t xml:space="preserve"> are calculated</w:t>
      </w:r>
      <w:r w:rsidR="00446E4E">
        <w:rPr>
          <w:lang w:val="en-GB"/>
        </w:rPr>
        <w:t xml:space="preserve"> by fixing the other </w:t>
      </w:r>
      <w:r w:rsidR="005D3252">
        <w:rPr>
          <w:lang w:val="en-GB"/>
        </w:rPr>
        <w:t xml:space="preserve">product selling </w:t>
      </w:r>
      <w:r w:rsidR="00446E4E">
        <w:rPr>
          <w:lang w:val="en-GB"/>
        </w:rPr>
        <w:t>pric</w:t>
      </w:r>
      <w:r w:rsidR="001F0951">
        <w:rPr>
          <w:lang w:val="en-GB"/>
        </w:rPr>
        <w:t>e equal to zero (</w:t>
      </w:r>
      <w:r w:rsidR="004A1B2E">
        <w:rPr>
          <w:lang w:val="en-GB"/>
        </w:rPr>
        <w:t>e.g.,</w:t>
      </w:r>
      <w:r w:rsidR="001F0951">
        <w:rPr>
          <w:lang w:val="en-GB"/>
        </w:rPr>
        <w:t xml:space="preserve"> the LCOW is calculated considering 0 € kg</w:t>
      </w:r>
      <w:r w:rsidR="001F0951" w:rsidRPr="001F0951">
        <w:rPr>
          <w:vertAlign w:val="superscript"/>
          <w:lang w:val="en-GB"/>
        </w:rPr>
        <w:t>-1</w:t>
      </w:r>
      <w:r w:rsidR="001F0951" w:rsidRPr="001F0951">
        <w:rPr>
          <w:vertAlign w:val="subscript"/>
          <w:lang w:val="en-GB"/>
        </w:rPr>
        <w:t>H2</w:t>
      </w:r>
      <w:r w:rsidR="00446E4E">
        <w:rPr>
          <w:lang w:val="en-GB"/>
        </w:rPr>
        <w:t xml:space="preserve"> as</w:t>
      </w:r>
      <w:r w:rsidR="005D3252">
        <w:rPr>
          <w:lang w:val="en-GB"/>
        </w:rPr>
        <w:t xml:space="preserve"> selling</w:t>
      </w:r>
      <w:r w:rsidR="00446E4E">
        <w:rPr>
          <w:lang w:val="en-GB"/>
        </w:rPr>
        <w:t xml:space="preserve"> pric</w:t>
      </w:r>
      <w:r w:rsidR="001F0951">
        <w:rPr>
          <w:lang w:val="en-GB"/>
        </w:rPr>
        <w:t xml:space="preserve">e </w:t>
      </w:r>
      <w:r w:rsidR="005D3252">
        <w:rPr>
          <w:lang w:val="en-GB"/>
        </w:rPr>
        <w:t xml:space="preserve">for </w:t>
      </w:r>
      <w:r w:rsidR="001F0951">
        <w:rPr>
          <w:lang w:val="en-GB"/>
        </w:rPr>
        <w:t xml:space="preserve">hydrogen). </w:t>
      </w:r>
      <w:r w:rsidRPr="00910037">
        <w:rPr>
          <w:lang w:val="en-GB"/>
        </w:rPr>
        <w:t xml:space="preserve">As far as the trends of LCOW are concerned, these follow the trends shown by the power in Figure 2b. </w:t>
      </w:r>
      <w:r w:rsidR="00F77B96">
        <w:rPr>
          <w:lang w:val="en-GB"/>
        </w:rPr>
        <w:t>F</w:t>
      </w:r>
      <w:r w:rsidRPr="00910037">
        <w:rPr>
          <w:lang w:val="en-GB"/>
        </w:rPr>
        <w:t xml:space="preserve">rom the perspective of water production, the addition of many electrodes requires higher energy </w:t>
      </w:r>
      <w:r w:rsidR="00DA581F">
        <w:rPr>
          <w:lang w:val="en-GB"/>
        </w:rPr>
        <w:t>costs</w:t>
      </w:r>
      <w:r w:rsidRPr="00910037">
        <w:rPr>
          <w:lang w:val="en-GB"/>
        </w:rPr>
        <w:t xml:space="preserve"> and higher capital expenditure, which means that if hydrogen is not priced, water must be sold at a value of 0.49 €</w:t>
      </w:r>
      <w:r w:rsidR="001F0951">
        <w:rPr>
          <w:lang w:val="en-GB"/>
        </w:rPr>
        <w:t xml:space="preserve"> m</w:t>
      </w:r>
      <w:r w:rsidR="001F0951" w:rsidRPr="001F0951">
        <w:rPr>
          <w:vertAlign w:val="superscript"/>
          <w:lang w:val="en-GB"/>
        </w:rPr>
        <w:t>-3</w:t>
      </w:r>
      <w:r w:rsidR="001F0951" w:rsidRPr="001F0951">
        <w:rPr>
          <w:vertAlign w:val="subscript"/>
          <w:lang w:val="en-GB"/>
        </w:rPr>
        <w:t>w</w:t>
      </w:r>
      <w:r w:rsidR="00651701">
        <w:rPr>
          <w:lang w:val="en-GB"/>
        </w:rPr>
        <w:t xml:space="preserve"> for R=1</w:t>
      </w:r>
      <w:r w:rsidRPr="00910037">
        <w:rPr>
          <w:lang w:val="en-GB"/>
        </w:rPr>
        <w:t xml:space="preserve">. As R increases, its cost value </w:t>
      </w:r>
      <w:r w:rsidR="00651701">
        <w:rPr>
          <w:lang w:val="en-GB"/>
        </w:rPr>
        <w:t>asymptotically approaches</w:t>
      </w:r>
      <w:r w:rsidRPr="00910037">
        <w:rPr>
          <w:lang w:val="en-GB"/>
        </w:rPr>
        <w:t xml:space="preserve"> 0.1 </w:t>
      </w:r>
      <w:r w:rsidR="001F0951" w:rsidRPr="00910037">
        <w:rPr>
          <w:lang w:val="en-GB"/>
        </w:rPr>
        <w:t>€</w:t>
      </w:r>
      <w:r w:rsidR="001F0951">
        <w:rPr>
          <w:lang w:val="en-GB"/>
        </w:rPr>
        <w:t xml:space="preserve"> m</w:t>
      </w:r>
      <w:r w:rsidR="001F0951" w:rsidRPr="001F0951">
        <w:rPr>
          <w:vertAlign w:val="superscript"/>
          <w:lang w:val="en-GB"/>
        </w:rPr>
        <w:t>-3</w:t>
      </w:r>
      <w:r w:rsidR="001F0951" w:rsidRPr="001F0951">
        <w:rPr>
          <w:vertAlign w:val="subscript"/>
          <w:lang w:val="en-GB"/>
        </w:rPr>
        <w:t>w</w:t>
      </w:r>
      <w:r w:rsidRPr="00910037">
        <w:rPr>
          <w:lang w:val="en-GB"/>
        </w:rPr>
        <w:t xml:space="preserve">, which corresponds to the cost value of a </w:t>
      </w:r>
      <w:r w:rsidR="00EA70DB">
        <w:rPr>
          <w:lang w:val="en-GB"/>
        </w:rPr>
        <w:t xml:space="preserve">typical </w:t>
      </w:r>
      <w:r w:rsidRPr="00910037">
        <w:rPr>
          <w:lang w:val="en-GB"/>
        </w:rPr>
        <w:t>unit consisting of a single cell package enclosed by two el</w:t>
      </w:r>
      <w:r w:rsidR="00EA70DB">
        <w:rPr>
          <w:lang w:val="en-GB"/>
        </w:rPr>
        <w:t xml:space="preserve">ectrodes, </w:t>
      </w:r>
      <w:r w:rsidR="00F77B96">
        <w:rPr>
          <w:lang w:val="en-GB"/>
        </w:rPr>
        <w:t>i.e.,</w:t>
      </w:r>
      <w:r w:rsidR="00EA70DB">
        <w:rPr>
          <w:lang w:val="en-GB"/>
        </w:rPr>
        <w:t xml:space="preserve"> the case </w:t>
      </w:r>
      <w:r w:rsidR="00651701">
        <w:rPr>
          <w:lang w:val="en-GB"/>
        </w:rPr>
        <w:t>of a standard ED stack (R=1000)</w:t>
      </w:r>
      <w:r w:rsidRPr="00910037">
        <w:rPr>
          <w:lang w:val="en-GB"/>
        </w:rPr>
        <w:t xml:space="preserve">. </w:t>
      </w:r>
      <w:r w:rsidR="00DA581F">
        <w:rPr>
          <w:lang w:val="en-GB"/>
        </w:rPr>
        <w:t>Conversely,</w:t>
      </w:r>
      <w:r w:rsidRPr="00910037">
        <w:rPr>
          <w:lang w:val="en-GB"/>
        </w:rPr>
        <w:t xml:space="preserve"> LCOH</w:t>
      </w:r>
      <w:r w:rsidR="00DA581F">
        <w:rPr>
          <w:lang w:val="en-GB"/>
        </w:rPr>
        <w:t xml:space="preserve"> exhibits</w:t>
      </w:r>
      <w:r w:rsidRPr="00910037">
        <w:rPr>
          <w:lang w:val="en-GB"/>
        </w:rPr>
        <w:t xml:space="preserve"> </w:t>
      </w:r>
      <w:r w:rsidR="00DA581F">
        <w:rPr>
          <w:lang w:val="en-GB"/>
        </w:rPr>
        <w:t xml:space="preserve">a </w:t>
      </w:r>
      <w:r w:rsidRPr="00910037">
        <w:rPr>
          <w:lang w:val="en-GB"/>
        </w:rPr>
        <w:t>minim</w:t>
      </w:r>
      <w:r w:rsidR="00DA581F">
        <w:rPr>
          <w:lang w:val="en-GB"/>
        </w:rPr>
        <w:t>um</w:t>
      </w:r>
      <w:r w:rsidRPr="00910037">
        <w:rPr>
          <w:lang w:val="en-GB"/>
        </w:rPr>
        <w:t xml:space="preserve"> </w:t>
      </w:r>
      <w:r w:rsidR="00DA581F">
        <w:rPr>
          <w:lang w:val="en-GB"/>
        </w:rPr>
        <w:t>for</w:t>
      </w:r>
      <w:r w:rsidRPr="00910037">
        <w:rPr>
          <w:lang w:val="en-GB"/>
        </w:rPr>
        <w:t xml:space="preserve"> R </w:t>
      </w:r>
      <w:r w:rsidR="00DA581F">
        <w:rPr>
          <w:lang w:val="en-GB"/>
        </w:rPr>
        <w:t>equal to 1, but the</w:t>
      </w:r>
      <w:r>
        <w:rPr>
          <w:lang w:val="en-GB"/>
        </w:rPr>
        <w:t xml:space="preserve"> progressive decrease in the cathodes’ number (corresponding to an increase of R)</w:t>
      </w:r>
      <w:r w:rsidR="00DA581F">
        <w:rPr>
          <w:lang w:val="en-GB"/>
        </w:rPr>
        <w:t xml:space="preserve"> </w:t>
      </w:r>
      <w:r w:rsidR="00651701">
        <w:rPr>
          <w:lang w:val="en-GB"/>
        </w:rPr>
        <w:t>leads to</w:t>
      </w:r>
      <w:r w:rsidR="00DA581F">
        <w:rPr>
          <w:lang w:val="en-GB"/>
        </w:rPr>
        <w:t xml:space="preserve"> decrease in</w:t>
      </w:r>
      <w:r>
        <w:rPr>
          <w:lang w:val="en-GB"/>
        </w:rPr>
        <w:t xml:space="preserve"> the hydrogen production and the </w:t>
      </w:r>
      <w:r w:rsidR="00EA70DB">
        <w:rPr>
          <w:lang w:val="en-GB"/>
        </w:rPr>
        <w:t>LCOH</w:t>
      </w:r>
      <w:r>
        <w:rPr>
          <w:lang w:val="en-GB"/>
        </w:rPr>
        <w:t xml:space="preserve"> drastically </w:t>
      </w:r>
      <w:r w:rsidR="00DA581F">
        <w:rPr>
          <w:lang w:val="en-GB"/>
        </w:rPr>
        <w:t>ris</w:t>
      </w:r>
      <w:r>
        <w:rPr>
          <w:lang w:val="en-GB"/>
        </w:rPr>
        <w:t>e</w:t>
      </w:r>
      <w:r w:rsidR="001F0951">
        <w:rPr>
          <w:lang w:val="en-GB"/>
        </w:rPr>
        <w:t>s</w:t>
      </w:r>
      <w:r>
        <w:rPr>
          <w:lang w:val="en-GB"/>
        </w:rPr>
        <w:t>.</w:t>
      </w:r>
      <w:r w:rsidR="006810E9">
        <w:rPr>
          <w:lang w:val="en-GB"/>
        </w:rPr>
        <w:t xml:space="preserve"> However, the LCOH is about 1</w:t>
      </w:r>
      <w:r w:rsidR="006B0705">
        <w:rPr>
          <w:lang w:val="en-GB"/>
        </w:rPr>
        <w:t>1.9</w:t>
      </w:r>
      <w:r w:rsidR="006810E9">
        <w:rPr>
          <w:lang w:val="en-GB"/>
        </w:rPr>
        <w:t xml:space="preserve"> € per kg</w:t>
      </w:r>
      <w:r w:rsidR="006810E9" w:rsidRPr="006810E9">
        <w:rPr>
          <w:vertAlign w:val="subscript"/>
          <w:lang w:val="en-GB"/>
        </w:rPr>
        <w:t>H2</w:t>
      </w:r>
      <w:r w:rsidR="006810E9" w:rsidRPr="006810E9">
        <w:rPr>
          <w:lang w:val="en-GB"/>
        </w:rPr>
        <w:t xml:space="preserve"> </w:t>
      </w:r>
      <w:r w:rsidR="00446E4E">
        <w:rPr>
          <w:lang w:val="en-GB"/>
        </w:rPr>
        <w:t xml:space="preserve">for the case </w:t>
      </w:r>
      <w:r w:rsidR="00874A79">
        <w:rPr>
          <w:lang w:val="en-GB"/>
        </w:rPr>
        <w:t>of R=1</w:t>
      </w:r>
      <w:r w:rsidR="00446E4E">
        <w:rPr>
          <w:lang w:val="en-GB"/>
        </w:rPr>
        <w:t>, no</w:t>
      </w:r>
      <w:r w:rsidR="006810E9">
        <w:rPr>
          <w:lang w:val="en-GB"/>
        </w:rPr>
        <w:t xml:space="preserve"> </w:t>
      </w:r>
      <w:r w:rsidR="00874A79">
        <w:rPr>
          <w:lang w:val="en-GB"/>
        </w:rPr>
        <w:t xml:space="preserve">selling </w:t>
      </w:r>
      <w:r w:rsidR="006810E9">
        <w:rPr>
          <w:lang w:val="en-GB"/>
        </w:rPr>
        <w:t xml:space="preserve">price </w:t>
      </w:r>
      <w:r w:rsidR="00874A79">
        <w:rPr>
          <w:lang w:val="en-GB"/>
        </w:rPr>
        <w:t xml:space="preserve">for water </w:t>
      </w:r>
      <w:r w:rsidR="006810E9">
        <w:rPr>
          <w:lang w:val="en-GB"/>
        </w:rPr>
        <w:t>is considered and all the expens</w:t>
      </w:r>
      <w:r w:rsidR="00446E4E">
        <w:rPr>
          <w:lang w:val="en-GB"/>
        </w:rPr>
        <w:t>es</w:t>
      </w:r>
      <w:r w:rsidR="006810E9">
        <w:rPr>
          <w:lang w:val="en-GB"/>
        </w:rPr>
        <w:t xml:space="preserve"> of the system are held by hydrogen production.</w:t>
      </w:r>
    </w:p>
    <w:p w14:paraId="010B8777" w14:textId="521EBDCF" w:rsidR="005A136D" w:rsidRDefault="000214E2" w:rsidP="00910037">
      <w:pPr>
        <w:pStyle w:val="CETBodytext"/>
        <w:rPr>
          <w:lang w:val="en-GB"/>
        </w:rPr>
      </w:pPr>
      <w:r w:rsidRPr="000214E2">
        <w:rPr>
          <w:noProof/>
          <w:lang w:val="en-GB" w:eastAsia="en-GB"/>
        </w:rPr>
        <w:drawing>
          <wp:inline distT="0" distB="0" distL="0" distR="0" wp14:anchorId="30A85434" wp14:editId="6A78A019">
            <wp:extent cx="2734090" cy="1997049"/>
            <wp:effectExtent l="0" t="0" r="0"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8220" cy="2014674"/>
                    </a:xfrm>
                    <a:prstGeom prst="rect">
                      <a:avLst/>
                    </a:prstGeom>
                    <a:noFill/>
                    <a:ln>
                      <a:noFill/>
                    </a:ln>
                  </pic:spPr>
                </pic:pic>
              </a:graphicData>
            </a:graphic>
          </wp:inline>
        </w:drawing>
      </w:r>
      <w:r w:rsidRPr="000214E2">
        <w:rPr>
          <w:noProof/>
          <w:lang w:val="en-GB" w:eastAsia="en-GB"/>
        </w:rPr>
        <w:drawing>
          <wp:inline distT="0" distB="0" distL="0" distR="0" wp14:anchorId="2D54B37E" wp14:editId="5FC66C88">
            <wp:extent cx="2830982" cy="2061482"/>
            <wp:effectExtent l="0" t="0" r="762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035" cy="2070987"/>
                    </a:xfrm>
                    <a:prstGeom prst="rect">
                      <a:avLst/>
                    </a:prstGeom>
                    <a:noFill/>
                    <a:ln>
                      <a:noFill/>
                    </a:ln>
                  </pic:spPr>
                </pic:pic>
              </a:graphicData>
            </a:graphic>
          </wp:inline>
        </w:drawing>
      </w:r>
      <w:r w:rsidR="00B57AB7">
        <w:rPr>
          <w:noProof/>
          <w:lang w:val="en-GB" w:eastAsia="en-GB"/>
        </w:rPr>
        <mc:AlternateContent>
          <mc:Choice Requires="wps">
            <w:drawing>
              <wp:anchor distT="0" distB="0" distL="114300" distR="114300" simplePos="0" relativeHeight="251659264" behindDoc="0" locked="0" layoutInCell="1" allowOverlap="1" wp14:anchorId="4FB94E74" wp14:editId="723D521F">
                <wp:simplePos x="0" y="0"/>
                <wp:positionH relativeFrom="page">
                  <wp:posOffset>3733698</wp:posOffset>
                </wp:positionH>
                <wp:positionV relativeFrom="paragraph">
                  <wp:posOffset>2540</wp:posOffset>
                </wp:positionV>
                <wp:extent cx="330979" cy="280490"/>
                <wp:effectExtent l="0" t="0" r="0" b="5715"/>
                <wp:wrapNone/>
                <wp:docPr id="21" name="Casella di testo 21"/>
                <wp:cNvGraphicFramePr/>
                <a:graphic xmlns:a="http://schemas.openxmlformats.org/drawingml/2006/main">
                  <a:graphicData uri="http://schemas.microsoft.com/office/word/2010/wordprocessingShape">
                    <wps:wsp>
                      <wps:cNvSpPr txBox="1"/>
                      <wps:spPr>
                        <a:xfrm>
                          <a:off x="0" y="0"/>
                          <a:ext cx="330979" cy="280490"/>
                        </a:xfrm>
                        <a:prstGeom prst="rect">
                          <a:avLst/>
                        </a:prstGeom>
                        <a:noFill/>
                        <a:ln w="6350">
                          <a:noFill/>
                        </a:ln>
                      </wps:spPr>
                      <wps:txbx>
                        <w:txbxContent>
                          <w:p w14:paraId="0A466465" w14:textId="0DD5AF91" w:rsidR="000C09E3" w:rsidRPr="00B57AB7" w:rsidRDefault="000C09E3" w:rsidP="00B57AB7">
                            <w:pPr>
                              <w:jc w:val="left"/>
                              <w:rPr>
                                <w:b/>
                                <w:sz w:val="12"/>
                              </w:rPr>
                            </w:pPr>
                            <w:r w:rsidRPr="00B57AB7">
                              <w:rPr>
                                <w:b/>
                                <w:sz w:val="1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94E74" id="_x0000_t202" coordsize="21600,21600" o:spt="202" path="m,l,21600r21600,l21600,xe">
                <v:stroke joinstyle="miter"/>
                <v:path gradientshapeok="t" o:connecttype="rect"/>
              </v:shapetype>
              <v:shape id="Casella di testo 21" o:spid="_x0000_s1026" type="#_x0000_t202" style="position:absolute;left:0;text-align:left;margin-left:294pt;margin-top:.2pt;width:26.0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" filled="f" stroked="f" strokeweight=".5pt">
                <v:textbox>
                  <w:txbxContent>
                    <w:p w14:paraId="0A466465" w14:textId="0DD5AF91" w:rsidR="000C09E3" w:rsidRPr="00B57AB7" w:rsidRDefault="000C09E3" w:rsidP="00B57AB7">
                      <w:pPr>
                        <w:jc w:val="left"/>
                        <w:rPr>
                          <w:b/>
                          <w:sz w:val="12"/>
                        </w:rPr>
                      </w:pPr>
                      <w:r w:rsidRPr="00B57AB7">
                        <w:rPr>
                          <w:b/>
                          <w:sz w:val="12"/>
                        </w:rPr>
                        <w:t>b)</w:t>
                      </w:r>
                    </w:p>
                  </w:txbxContent>
                </v:textbox>
                <w10:wrap anchorx="page"/>
              </v:shape>
            </w:pict>
          </mc:Fallback>
        </mc:AlternateContent>
      </w:r>
    </w:p>
    <w:p w14:paraId="1C7950D0" w14:textId="06794ED3" w:rsidR="005A136D" w:rsidRDefault="00E80E54" w:rsidP="001F0951">
      <w:pPr>
        <w:pStyle w:val="CETCaption"/>
      </w:pPr>
      <w:r>
        <w:t xml:space="preserve">Figure </w:t>
      </w:r>
      <w:r w:rsidR="00B57AB7">
        <w:t>3</w:t>
      </w:r>
      <w:r>
        <w:t xml:space="preserve">: a) Trend of the LCOW and LCOH versus the R-factor. </w:t>
      </w:r>
      <w:r w:rsidR="00E96196">
        <w:t xml:space="preserve">b) </w:t>
      </w:r>
      <w:r>
        <w:t xml:space="preserve">NPV </w:t>
      </w:r>
      <w:r w:rsidR="00E96196">
        <w:t xml:space="preserve">versus selling </w:t>
      </w:r>
      <w:r w:rsidR="005A0D78">
        <w:t>prices of water and hydrogen</w:t>
      </w:r>
      <w:r w:rsidR="00E96196">
        <w:t xml:space="preserve"> for R=1:</w:t>
      </w:r>
      <w:r w:rsidR="005A0D78">
        <w:t xml:space="preserve"> t</w:t>
      </w:r>
      <w:r>
        <w:t xml:space="preserve">he horizontal </w:t>
      </w:r>
      <w:r w:rsidR="001F0951">
        <w:t>grey</w:t>
      </w:r>
      <w:r>
        <w:t xml:space="preserve"> surface </w:t>
      </w:r>
      <w:r w:rsidR="00E96196">
        <w:t>highlights</w:t>
      </w:r>
      <w:r>
        <w:t xml:space="preserve"> the plan</w:t>
      </w:r>
      <w:r w:rsidR="001F0951">
        <w:t>e</w:t>
      </w:r>
      <w:r>
        <w:t xml:space="preserve"> where NPV is zero.</w:t>
      </w:r>
    </w:p>
    <w:p w14:paraId="4F482B61" w14:textId="717CE8D2" w:rsidR="00C74018" w:rsidRPr="00910037" w:rsidRDefault="006810E9" w:rsidP="00924C5C">
      <w:pPr>
        <w:pStyle w:val="CETBodytext"/>
        <w:rPr>
          <w:lang w:val="en-GB"/>
        </w:rPr>
      </w:pPr>
      <w:r>
        <w:rPr>
          <w:lang w:val="en-GB"/>
        </w:rPr>
        <w:t>Con</w:t>
      </w:r>
      <w:r w:rsidR="00446E4E">
        <w:rPr>
          <w:lang w:val="en-GB"/>
        </w:rPr>
        <w:t xml:space="preserve">sidering the scenario where </w:t>
      </w:r>
      <w:r>
        <w:rPr>
          <w:lang w:val="en-GB"/>
        </w:rPr>
        <w:t>hydrogen produ</w:t>
      </w:r>
      <w:r w:rsidR="00446E4E">
        <w:rPr>
          <w:lang w:val="en-GB"/>
        </w:rPr>
        <w:t xml:space="preserve">ction </w:t>
      </w:r>
      <w:r w:rsidR="00C74018">
        <w:rPr>
          <w:lang w:val="en-GB"/>
        </w:rPr>
        <w:t xml:space="preserve">is the maximum </w:t>
      </w:r>
      <w:r w:rsidR="00E96196">
        <w:rPr>
          <w:lang w:val="en-GB"/>
        </w:rPr>
        <w:t>(i.e. R=1)</w:t>
      </w:r>
      <w:r w:rsidR="00C74018">
        <w:rPr>
          <w:lang w:val="en-GB"/>
        </w:rPr>
        <w:t>, Figure 3</w:t>
      </w:r>
      <w:r w:rsidR="00446E4E">
        <w:rPr>
          <w:lang w:val="en-GB"/>
        </w:rPr>
        <w:t>b plots</w:t>
      </w:r>
      <w:r>
        <w:rPr>
          <w:lang w:val="en-GB"/>
        </w:rPr>
        <w:t xml:space="preserve"> the NPV for the case </w:t>
      </w:r>
      <w:r w:rsidR="00446E4E">
        <w:rPr>
          <w:lang w:val="en-GB"/>
        </w:rPr>
        <w:t xml:space="preserve">in </w:t>
      </w:r>
      <w:r>
        <w:rPr>
          <w:lang w:val="en-GB"/>
        </w:rPr>
        <w:t>which different prices for water and hyd</w:t>
      </w:r>
      <w:r w:rsidR="00446E4E">
        <w:rPr>
          <w:lang w:val="en-GB"/>
        </w:rPr>
        <w:t xml:space="preserve">rogen are considered. </w:t>
      </w:r>
      <w:r w:rsidR="00E96196">
        <w:rPr>
          <w:lang w:val="en-GB"/>
        </w:rPr>
        <w:t>Clearly</w:t>
      </w:r>
      <w:r>
        <w:rPr>
          <w:lang w:val="en-GB"/>
        </w:rPr>
        <w:t xml:space="preserve">, </w:t>
      </w:r>
      <w:r w:rsidR="00446E4E">
        <w:rPr>
          <w:lang w:val="en-GB"/>
        </w:rPr>
        <w:t xml:space="preserve">the </w:t>
      </w:r>
      <w:r w:rsidR="00E96196">
        <w:rPr>
          <w:lang w:val="en-GB"/>
        </w:rPr>
        <w:t>larger</w:t>
      </w:r>
      <w:r>
        <w:rPr>
          <w:lang w:val="en-GB"/>
        </w:rPr>
        <w:t xml:space="preserve"> the </w:t>
      </w:r>
      <w:r w:rsidR="00E96196">
        <w:rPr>
          <w:lang w:val="en-GB"/>
        </w:rPr>
        <w:t xml:space="preserve">selling </w:t>
      </w:r>
      <w:r>
        <w:rPr>
          <w:lang w:val="en-GB"/>
        </w:rPr>
        <w:t>prices</w:t>
      </w:r>
      <w:r w:rsidR="00E96196">
        <w:rPr>
          <w:lang w:val="en-GB"/>
        </w:rPr>
        <w:t>, the larger the NPV</w:t>
      </w:r>
      <w:r>
        <w:rPr>
          <w:lang w:val="en-GB"/>
        </w:rPr>
        <w:t xml:space="preserve">. However, as shown by the grey horizontal </w:t>
      </w:r>
      <w:r w:rsidR="00446E4E">
        <w:rPr>
          <w:lang w:val="en-GB"/>
        </w:rPr>
        <w:t>plane (</w:t>
      </w:r>
      <w:r w:rsidR="00F77B96">
        <w:rPr>
          <w:lang w:val="en-GB"/>
        </w:rPr>
        <w:t>e.g.,</w:t>
      </w:r>
      <w:r w:rsidR="00446E4E">
        <w:rPr>
          <w:lang w:val="en-GB"/>
        </w:rPr>
        <w:t xml:space="preserve"> the NPV plane equal</w:t>
      </w:r>
      <w:r>
        <w:rPr>
          <w:lang w:val="en-GB"/>
        </w:rPr>
        <w:t xml:space="preserve"> to zero), there is a part of the graph where the NPV is always </w:t>
      </w:r>
      <w:r w:rsidR="00446E4E">
        <w:rPr>
          <w:lang w:val="en-GB"/>
        </w:rPr>
        <w:t>negative, and no</w:t>
      </w:r>
      <w:r>
        <w:rPr>
          <w:lang w:val="en-GB"/>
        </w:rPr>
        <w:t xml:space="preserve"> earning occurs</w:t>
      </w:r>
      <w:r w:rsidR="003D2350">
        <w:rPr>
          <w:lang w:val="en-GB"/>
        </w:rPr>
        <w:t>. W</w:t>
      </w:r>
      <w:r>
        <w:rPr>
          <w:lang w:val="en-GB"/>
        </w:rPr>
        <w:t xml:space="preserve">ater price is the most affecting price in the technology, a small increase </w:t>
      </w:r>
      <w:r w:rsidR="00443C3B">
        <w:rPr>
          <w:lang w:val="en-GB"/>
        </w:rPr>
        <w:t xml:space="preserve">causes </w:t>
      </w:r>
      <w:r>
        <w:rPr>
          <w:lang w:val="en-GB"/>
        </w:rPr>
        <w:t>a consistent variation in the NPV, this is due to the huge amount of</w:t>
      </w:r>
      <w:r w:rsidR="00446E4E">
        <w:rPr>
          <w:lang w:val="en-GB"/>
        </w:rPr>
        <w:t xml:space="preserve"> </w:t>
      </w:r>
      <w:r w:rsidR="00EA70DB">
        <w:rPr>
          <w:lang w:val="en-GB"/>
        </w:rPr>
        <w:t xml:space="preserve">fresh </w:t>
      </w:r>
      <w:r w:rsidR="00446E4E">
        <w:rPr>
          <w:lang w:val="en-GB"/>
        </w:rPr>
        <w:t xml:space="preserve">water </w:t>
      </w:r>
      <w:r w:rsidR="00EA70DB">
        <w:rPr>
          <w:lang w:val="en-GB"/>
        </w:rPr>
        <w:t>produc</w:t>
      </w:r>
      <w:r w:rsidR="00446E4E">
        <w:rPr>
          <w:lang w:val="en-GB"/>
        </w:rPr>
        <w:t>ed, corresponding to</w:t>
      </w:r>
      <w:r>
        <w:rPr>
          <w:lang w:val="en-GB"/>
        </w:rPr>
        <w:t xml:space="preserve"> almost 45 m</w:t>
      </w:r>
      <w:r w:rsidRPr="006810E9">
        <w:rPr>
          <w:vertAlign w:val="superscript"/>
          <w:lang w:val="en-GB"/>
        </w:rPr>
        <w:t>3</w:t>
      </w:r>
      <w:r>
        <w:rPr>
          <w:lang w:val="en-GB"/>
        </w:rPr>
        <w:t xml:space="preserve"> of fresh water per hour.</w:t>
      </w:r>
      <w:r w:rsidR="00A0691C">
        <w:rPr>
          <w:lang w:val="en-GB"/>
        </w:rPr>
        <w:t xml:space="preserve"> </w:t>
      </w:r>
      <w:r>
        <w:rPr>
          <w:lang w:val="en-GB"/>
        </w:rPr>
        <w:t xml:space="preserve">Hydrogen </w:t>
      </w:r>
      <w:r w:rsidR="00924C5C">
        <w:rPr>
          <w:lang w:val="en-GB"/>
        </w:rPr>
        <w:t xml:space="preserve">average </w:t>
      </w:r>
      <w:r>
        <w:rPr>
          <w:lang w:val="en-GB"/>
        </w:rPr>
        <w:t>cost typically range</w:t>
      </w:r>
      <w:r w:rsidR="00924C5C">
        <w:rPr>
          <w:lang w:val="en-GB"/>
        </w:rPr>
        <w:t>s</w:t>
      </w:r>
      <w:r>
        <w:rPr>
          <w:lang w:val="en-GB"/>
        </w:rPr>
        <w:t xml:space="preserve"> between </w:t>
      </w:r>
      <w:r w:rsidR="00924C5C">
        <w:rPr>
          <w:lang w:val="en-GB"/>
        </w:rPr>
        <w:t>4.24</w:t>
      </w:r>
      <w:r>
        <w:rPr>
          <w:lang w:val="en-GB"/>
        </w:rPr>
        <w:t xml:space="preserve"> </w:t>
      </w:r>
      <w:r w:rsidR="00924C5C">
        <w:rPr>
          <w:lang w:val="en-GB"/>
        </w:rPr>
        <w:t>to</w:t>
      </w:r>
      <w:r>
        <w:rPr>
          <w:lang w:val="en-GB"/>
        </w:rPr>
        <w:t xml:space="preserve"> </w:t>
      </w:r>
      <w:r w:rsidR="00924C5C">
        <w:rPr>
          <w:lang w:val="en-GB"/>
        </w:rPr>
        <w:t>10.89</w:t>
      </w:r>
      <w:r>
        <w:rPr>
          <w:lang w:val="en-GB"/>
        </w:rPr>
        <w:t xml:space="preserve"> € kg</w:t>
      </w:r>
      <w:r w:rsidRPr="006810E9">
        <w:rPr>
          <w:vertAlign w:val="superscript"/>
          <w:lang w:val="en-GB"/>
        </w:rPr>
        <w:t>-1</w:t>
      </w:r>
      <w:r w:rsidRPr="006810E9">
        <w:rPr>
          <w:vertAlign w:val="subscript"/>
          <w:lang w:val="en-GB"/>
        </w:rPr>
        <w:t>H2</w:t>
      </w:r>
      <w:r w:rsidR="00924C5C">
        <w:rPr>
          <w:lang w:val="en-GB"/>
        </w:rPr>
        <w:t xml:space="preserve"> </w:t>
      </w:r>
      <w:r w:rsidR="00924C5C">
        <w:rPr>
          <w:lang w:val="en-GB"/>
        </w:rPr>
        <w:fldChar w:fldCharType="begin"/>
      </w:r>
      <w:r w:rsidR="00924C5C">
        <w:rPr>
          <w:lang w:val="en-GB"/>
        </w:rPr>
        <w:instrText xml:space="preserve"> ADDIN ZOTERO_ITEM CSL_CITATION {"citationID":"k3BeVvcS","properties":{"formattedCitation":"(Parkinson et al., 2019)","plainCitation":"(Parkinson et al., 2019)","noteIndex":0},"citationItems":[{"id":467,"uris":["http://zotero.org/users/10977437/items/X9JLENT9"],"itemData":{"id":467,"type":"article-journal","abstract":"The levelized cost of carbon mitigation and proportional decarbonisation fraction ranges of hydrogen production technologies relative to steam methane reforming.\n          , \n            Different technologies produce hydrogen with varying cost and carbon footprints over the entire resource supply chain and manufacturing steps. This paper examines the relative costs of carbon mitigation from a life cycle perspective for 12 different hydrogen production techniques using fossil fuels, nuclear energy and renewable sources by technology substitution. Production costs and life cycle emissions are parameterized and re-estimated from currently available assessments to produce robust ranges to describe uncertainties for each technology. Hydrogen production routes are then compared using a combination of metrics, levelized cost of carbon mitigation and the proportional decarbonization benchmarked against steam methane reforming, to provide a clearer picture of the relative merits of various hydrogen production pathways, the limitations of technologies and the research challenges that need to be addressed for cost-effective decarbonization pathways. The results show that there is a trade-off between the cost of mitigation and the proportion of decarbonization achieved. The most cost-effective methods of decarbonization still utilize fossil feedstocks due to their low cost of extraction and processing, but only offer moderate decarbonisation levels due to previous underestimations of supply chain emissions contributions. Methane pyrolysis may be the most cost-effective short-term abatement solution, but its emissions reduction performance is heavily dependent on managing supply chain emissions whilst cost effectiveness is governed by the price of solid carbon. Renewable electrolytic routes offer significantly higher emissions reductions, but production routes are more complex than those that utilise naturally-occurring energy-dense fuels and hydrogen costs are high at modest renewable energy capacity factors. Nuclear routes are highly cost-effective mitigation options, but could suffer from regionally varied perceptions of safety and concerns regarding proliferation and the available data lacks depth and transparency. Better-performing fossil-based hydrogen production technologies with lower decarbonization fractions will be required to minimise the total cost of decarbonization but may not be commensurate with ambitious climate targets.","container-title":"Energy &amp; Environmental Science","DOI":"10.1039/C8EE02079E","ISSN":"1754-5692, 1754-5706","issue":"1","journalAbbreviation":"Energy Environ. Sci.","language":"en","page":"19-40","source":"DOI.org (Crossref)","title":"Levelized cost of CO &lt;sub&gt;2&lt;/sub&gt; mitigation from hydrogen production routes","volume":"12","author":[{"family":"Parkinson","given":"B."},{"family":"Balcombe","given":"P."},{"family":"Speirs","given":"J. F."},{"family":"Hawkes","given":"A. D."},{"family":"Hellgardt","given":"K."}],"issued":{"date-parts":[["2019"]]}}}],"schema":"https://github.com/citation-style-language/schema/raw/master/csl-citation.json"} </w:instrText>
      </w:r>
      <w:r w:rsidR="00924C5C">
        <w:rPr>
          <w:lang w:val="en-GB"/>
        </w:rPr>
        <w:fldChar w:fldCharType="separate"/>
      </w:r>
      <w:r w:rsidR="00924C5C" w:rsidRPr="00924C5C">
        <w:rPr>
          <w:rFonts w:cs="Arial"/>
        </w:rPr>
        <w:t>(Parkinson et al., 2019)</w:t>
      </w:r>
      <w:r w:rsidR="00924C5C">
        <w:rPr>
          <w:lang w:val="en-GB"/>
        </w:rPr>
        <w:fldChar w:fldCharType="end"/>
      </w:r>
      <w:r w:rsidR="00924C5C">
        <w:rPr>
          <w:lang w:val="en-GB"/>
        </w:rPr>
        <w:t xml:space="preserve"> depending on the kind of renewable electrical </w:t>
      </w:r>
      <w:r w:rsidR="00924C5C" w:rsidRPr="00A0691C">
        <w:rPr>
          <w:lang w:val="en-GB"/>
        </w:rPr>
        <w:t>sources</w:t>
      </w:r>
      <w:r w:rsidR="00A0691C" w:rsidRPr="00A0691C">
        <w:rPr>
          <w:lang w:val="en-GB"/>
        </w:rPr>
        <w:t>,</w:t>
      </w:r>
      <w:r w:rsidR="00AC714B" w:rsidRPr="00A0691C">
        <w:rPr>
          <w:lang w:val="en-GB"/>
        </w:rPr>
        <w:t xml:space="preserve"> meanwhile the cost of water production with ED is </w:t>
      </w:r>
      <w:r w:rsidR="00FE5465" w:rsidRPr="00A0691C">
        <w:rPr>
          <w:lang w:val="en-GB"/>
        </w:rPr>
        <w:t>estimated to be almost 0.38 € m</w:t>
      </w:r>
      <w:r w:rsidR="00FE5465" w:rsidRPr="00A0691C">
        <w:rPr>
          <w:vertAlign w:val="superscript"/>
          <w:lang w:val="en-GB"/>
        </w:rPr>
        <w:t>-3</w:t>
      </w:r>
      <w:r w:rsidR="00FE5465" w:rsidRPr="00A0691C">
        <w:rPr>
          <w:vertAlign w:val="subscript"/>
          <w:lang w:val="en-GB"/>
        </w:rPr>
        <w:t>w</w:t>
      </w:r>
      <w:r w:rsidR="00FE5465" w:rsidRPr="00A0691C">
        <w:rPr>
          <w:lang w:val="en-GB"/>
        </w:rPr>
        <w:t xml:space="preserve"> for a salinity feed of 5 g L</w:t>
      </w:r>
      <w:r w:rsidR="00FE5465" w:rsidRPr="00A0691C">
        <w:rPr>
          <w:vertAlign w:val="superscript"/>
          <w:lang w:val="en-GB"/>
        </w:rPr>
        <w:t>-1</w:t>
      </w:r>
      <w:r w:rsidR="00FE5465" w:rsidRPr="00A0691C">
        <w:rPr>
          <w:lang w:val="en-GB"/>
        </w:rPr>
        <w:t xml:space="preserve"> </w:t>
      </w:r>
      <w:r w:rsidR="00FE5465" w:rsidRPr="00A0691C">
        <w:rPr>
          <w:lang w:val="en-GB"/>
        </w:rPr>
        <w:fldChar w:fldCharType="begin"/>
      </w:r>
      <w:r w:rsidR="00FE5465" w:rsidRPr="00A0691C">
        <w:rPr>
          <w:lang w:val="en-GB"/>
        </w:rPr>
        <w:instrText xml:space="preserve"> ADDIN ZOTERO_ITEM CSL_CITATION {"citationID":"f7XKEl3t","properties":{"formattedCitation":"(Generous et al., 2021)","plainCitation":"(Generous et al., 2021)","noteIndex":0},"citationItems":[{"id":342,"uris":["http://zotero.org/users/10977437/items/L6KXI7JI"],"itemData":{"id":342,"type":"article-journal","abstract":"Assessment of desalination plants is essential to evaluate potable water production, energy consumption, and economic feasibility. A design model with a boundary layer effect, water transport effect, spacer effect, and Donnan potential was used for ED desalination. Similarly, a design model is also investigated for RO desalination with and without a pressure energy recovery device. Specific product water cost is evaluated based on annual expenses consisting of energy cost, fixed cost, labor cost, membrane replacement cost, maintenance cost, chemical cost, and insurance cost. Normalized sensitivity analysis is also conducted to identify the most influ­ ential parameters impacting the cost model. It is found that ED is economically feasible when salinity is less than 7 and 9 ppt compared to RO with and without PX, respectively. The product water cost is 0.384, 0.46, and 0.494 $/m3 for ED, RO with PX, and RO without PX, respectively, at a salinity of 5 ppt (e.g., groundwater salinity). The product water cost increases to be 1.532, 0.559, and 0.857 $/m3 for ED, RO with PX, and RO without PX, respectively, at a feed salinity of 35 ppt (e.g., seawater salinity). Also, highly saline water can be desalinated with ED at the cost of &lt;5 $/m3 for a salinity &lt;100 ppt.","container-title":"Separation and Purification Technology","DOI":"10.1016/j.seppur.2021.118875","ISSN":"13835866","journalAbbreviation":"Separation and Purification Technology","language":"en","page":"118875","source":"DOI.org (Crossref)","title":"Techno-economic assessment of electrodialysis and reverse osmosis desalination plants","volume":"272","author":[{"family":"Generous","given":"Muhammad M."},{"family":"Qasem","given":"Naef A.A."},{"family":"Akbar","given":"Usman A."},{"family":"Zubair","given":"Syed M."}],"issued":{"date-parts":[["2021",10]]}}}],"schema":"https://github.com/citation-style-language/schema/raw/master/csl-citation.json"} </w:instrText>
      </w:r>
      <w:r w:rsidR="00FE5465" w:rsidRPr="00A0691C">
        <w:rPr>
          <w:lang w:val="en-GB"/>
        </w:rPr>
        <w:fldChar w:fldCharType="separate"/>
      </w:r>
      <w:r w:rsidR="00FE5465" w:rsidRPr="00A0691C">
        <w:rPr>
          <w:rFonts w:cs="Arial"/>
        </w:rPr>
        <w:t>(Generous et al., 2021)</w:t>
      </w:r>
      <w:r w:rsidR="00FE5465" w:rsidRPr="00A0691C">
        <w:rPr>
          <w:lang w:val="en-GB"/>
        </w:rPr>
        <w:fldChar w:fldCharType="end"/>
      </w:r>
      <w:r w:rsidR="00924C5C" w:rsidRPr="00A0691C">
        <w:rPr>
          <w:lang w:val="en-GB"/>
        </w:rPr>
        <w:t>.</w:t>
      </w:r>
      <w:r w:rsidRPr="00A0691C">
        <w:rPr>
          <w:lang w:val="en-GB"/>
        </w:rPr>
        <w:t xml:space="preserve"> </w:t>
      </w:r>
      <w:r w:rsidR="00924C5C" w:rsidRPr="00A0691C">
        <w:rPr>
          <w:lang w:val="en-GB"/>
        </w:rPr>
        <w:t>Even if the LCOH found for the HED technology is of 1</w:t>
      </w:r>
      <w:r w:rsidR="006B0705" w:rsidRPr="00A0691C">
        <w:rPr>
          <w:lang w:val="en-GB"/>
        </w:rPr>
        <w:t>1.</w:t>
      </w:r>
      <w:r w:rsidR="00924C5C" w:rsidRPr="00A0691C">
        <w:rPr>
          <w:lang w:val="en-GB"/>
        </w:rPr>
        <w:t>9 € kg</w:t>
      </w:r>
      <w:r w:rsidR="00924C5C" w:rsidRPr="00A0691C">
        <w:rPr>
          <w:vertAlign w:val="superscript"/>
          <w:lang w:val="en-GB"/>
        </w:rPr>
        <w:t>-1</w:t>
      </w:r>
      <w:r w:rsidR="00924C5C" w:rsidRPr="00A0691C">
        <w:rPr>
          <w:vertAlign w:val="subscript"/>
          <w:lang w:val="en-GB"/>
        </w:rPr>
        <w:t>H2</w:t>
      </w:r>
      <w:r w:rsidR="001149A0" w:rsidRPr="00A0691C">
        <w:rPr>
          <w:lang w:val="en-GB"/>
        </w:rPr>
        <w:t xml:space="preserve">, </w:t>
      </w:r>
      <w:r w:rsidR="00924C5C" w:rsidRPr="00A0691C">
        <w:rPr>
          <w:lang w:val="en-GB"/>
        </w:rPr>
        <w:t>this value</w:t>
      </w:r>
      <w:r w:rsidR="00924C5C" w:rsidRPr="009B6809">
        <w:rPr>
          <w:lang w:val="en-GB"/>
        </w:rPr>
        <w:t xml:space="preserve"> </w:t>
      </w:r>
      <w:r w:rsidRPr="009B6809">
        <w:rPr>
          <w:lang w:val="en-GB"/>
        </w:rPr>
        <w:t xml:space="preserve">could be reduced </w:t>
      </w:r>
      <w:r w:rsidR="009108E9" w:rsidRPr="009B6809">
        <w:rPr>
          <w:lang w:val="en-GB"/>
        </w:rPr>
        <w:t>increasing the</w:t>
      </w:r>
      <w:r w:rsidR="00924C5C" w:rsidRPr="009B6809">
        <w:rPr>
          <w:lang w:val="en-GB"/>
        </w:rPr>
        <w:t xml:space="preserve"> cost </w:t>
      </w:r>
      <w:r w:rsidR="009108E9" w:rsidRPr="009B6809">
        <w:rPr>
          <w:lang w:val="en-GB"/>
        </w:rPr>
        <w:t>of</w:t>
      </w:r>
      <w:r w:rsidR="00924C5C" w:rsidRPr="009B6809">
        <w:rPr>
          <w:lang w:val="en-GB"/>
        </w:rPr>
        <w:t xml:space="preserve"> water. </w:t>
      </w:r>
      <w:r w:rsidR="00E26266" w:rsidRPr="009B6809">
        <w:rPr>
          <w:lang w:val="en-GB"/>
        </w:rPr>
        <w:t>The</w:t>
      </w:r>
      <w:r w:rsidR="00924C5C" w:rsidRPr="009B6809">
        <w:rPr>
          <w:lang w:val="en-GB"/>
        </w:rPr>
        <w:t xml:space="preserve"> economic analysis </w:t>
      </w:r>
      <w:r w:rsidR="00E26266" w:rsidRPr="009B6809">
        <w:rPr>
          <w:lang w:val="en-GB"/>
        </w:rPr>
        <w:t xml:space="preserve">clearly indicates </w:t>
      </w:r>
      <w:r w:rsidR="00924C5C" w:rsidRPr="009B6809">
        <w:rPr>
          <w:lang w:val="en-GB"/>
        </w:rPr>
        <w:t>that</w:t>
      </w:r>
      <w:r w:rsidR="00E26266" w:rsidRPr="009B6809">
        <w:rPr>
          <w:lang w:val="en-GB"/>
        </w:rPr>
        <w:t xml:space="preserve"> it</w:t>
      </w:r>
      <w:r w:rsidR="00924C5C" w:rsidRPr="009B6809">
        <w:rPr>
          <w:lang w:val="en-GB"/>
        </w:rPr>
        <w:t xml:space="preserve"> is necessary to increase </w:t>
      </w:r>
      <w:r w:rsidR="00E30D5E" w:rsidRPr="009B6809">
        <w:rPr>
          <w:lang w:val="en-GB"/>
        </w:rPr>
        <w:t xml:space="preserve">the </w:t>
      </w:r>
      <w:r w:rsidR="00924C5C" w:rsidRPr="009B6809">
        <w:rPr>
          <w:lang w:val="en-GB"/>
        </w:rPr>
        <w:t xml:space="preserve">hydrogen productivity (about </w:t>
      </w:r>
      <w:r w:rsidR="003C2DFC" w:rsidRPr="009B6809">
        <w:rPr>
          <w:lang w:val="en-GB"/>
        </w:rPr>
        <w:t>1.73</w:t>
      </w:r>
      <w:r w:rsidR="00E30D5E" w:rsidRPr="009B6809">
        <w:rPr>
          <w:lang w:val="en-GB"/>
        </w:rPr>
        <w:t xml:space="preserve"> mol h</w:t>
      </w:r>
      <w:r w:rsidR="00E30D5E" w:rsidRPr="009B6809">
        <w:rPr>
          <w:vertAlign w:val="superscript"/>
          <w:lang w:val="en-GB"/>
        </w:rPr>
        <w:t>-1</w:t>
      </w:r>
      <w:r w:rsidR="00E30D5E" w:rsidRPr="009B6809">
        <w:rPr>
          <w:lang w:val="en-GB"/>
        </w:rPr>
        <w:t xml:space="preserve"> per</w:t>
      </w:r>
      <w:r w:rsidR="00E30D5E">
        <w:rPr>
          <w:lang w:val="en-GB"/>
        </w:rPr>
        <w:t xml:space="preserve"> m</w:t>
      </w:r>
      <w:r w:rsidR="00E30D5E" w:rsidRPr="00E30D5E">
        <w:rPr>
          <w:vertAlign w:val="superscript"/>
          <w:lang w:val="en-GB"/>
        </w:rPr>
        <w:t>2</w:t>
      </w:r>
      <w:r w:rsidR="00E30D5E" w:rsidRPr="00E30D5E">
        <w:rPr>
          <w:lang w:val="en-GB"/>
        </w:rPr>
        <w:t xml:space="preserve"> </w:t>
      </w:r>
      <w:r w:rsidR="00E30D5E">
        <w:rPr>
          <w:lang w:val="en-GB"/>
        </w:rPr>
        <w:t>of electrode surface). This low value is due to the fixed current that has to be applied in the system for the desalination purpose</w:t>
      </w:r>
      <w:r w:rsidR="00874A79">
        <w:rPr>
          <w:lang w:val="en-GB"/>
        </w:rPr>
        <w:t>:</w:t>
      </w:r>
      <w:r w:rsidR="00E30D5E">
        <w:rPr>
          <w:lang w:val="en-GB"/>
        </w:rPr>
        <w:t xml:space="preserve"> as </w:t>
      </w:r>
      <w:r w:rsidR="00874A79">
        <w:rPr>
          <w:lang w:val="en-GB"/>
        </w:rPr>
        <w:t xml:space="preserve">a </w:t>
      </w:r>
      <w:r w:rsidR="00E30D5E">
        <w:rPr>
          <w:lang w:val="en-GB"/>
        </w:rPr>
        <w:t xml:space="preserve">consequence, a higher feed concentration would </w:t>
      </w:r>
      <w:r w:rsidR="00874A79">
        <w:rPr>
          <w:lang w:val="en-GB"/>
        </w:rPr>
        <w:t>yield</w:t>
      </w:r>
      <w:r w:rsidR="00E30D5E">
        <w:rPr>
          <w:lang w:val="en-GB"/>
        </w:rPr>
        <w:t xml:space="preserve"> an increase in the current density, </w:t>
      </w:r>
      <w:r w:rsidR="001149A0">
        <w:rPr>
          <w:lang w:val="en-GB"/>
        </w:rPr>
        <w:t>i.e.,</w:t>
      </w:r>
      <w:r w:rsidR="00E30D5E">
        <w:rPr>
          <w:lang w:val="en-GB"/>
        </w:rPr>
        <w:t xml:space="preserve"> in the hydrogen productivity. Accordingly, the reduction of the LCOW and LCOH would </w:t>
      </w:r>
      <w:r w:rsidR="00874A79">
        <w:rPr>
          <w:lang w:val="en-GB"/>
        </w:rPr>
        <w:t>be targetable</w:t>
      </w:r>
      <w:r w:rsidR="00E30D5E">
        <w:rPr>
          <w:lang w:val="en-GB"/>
        </w:rPr>
        <w:t xml:space="preserve"> for the examined system.</w:t>
      </w:r>
    </w:p>
    <w:p w14:paraId="68D26B83" w14:textId="77777777" w:rsidR="00600535" w:rsidRPr="00B57B36" w:rsidRDefault="00600535" w:rsidP="00600535">
      <w:pPr>
        <w:pStyle w:val="CETHeading1"/>
        <w:rPr>
          <w:lang w:val="en-GB"/>
        </w:rPr>
      </w:pPr>
      <w:r w:rsidRPr="00B57B36">
        <w:rPr>
          <w:lang w:val="en-GB"/>
        </w:rPr>
        <w:t>Conclusions</w:t>
      </w:r>
    </w:p>
    <w:p w14:paraId="797E95AF" w14:textId="2DE8F2CA" w:rsidR="002F5C4A" w:rsidRDefault="00446E4E" w:rsidP="00600535">
      <w:pPr>
        <w:pStyle w:val="CETBodytext"/>
        <w:rPr>
          <w:lang w:val="en-GB"/>
        </w:rPr>
      </w:pPr>
      <w:r>
        <w:rPr>
          <w:lang w:val="en-GB"/>
        </w:rPr>
        <w:t>T</w:t>
      </w:r>
      <w:r w:rsidR="00E30D5E">
        <w:rPr>
          <w:lang w:val="en-GB"/>
        </w:rPr>
        <w:t>urning into eco-friendly policies can reduce or</w:t>
      </w:r>
      <w:r w:rsidR="005D791B">
        <w:rPr>
          <w:lang w:val="en-GB"/>
        </w:rPr>
        <w:t xml:space="preserve"> even solve the dramatic </w:t>
      </w:r>
      <w:r w:rsidR="008404FB">
        <w:rPr>
          <w:lang w:val="en-GB"/>
        </w:rPr>
        <w:t xml:space="preserve">problem </w:t>
      </w:r>
      <w:r w:rsidR="00E30D5E">
        <w:rPr>
          <w:lang w:val="en-GB"/>
        </w:rPr>
        <w:t xml:space="preserve">of global warming. </w:t>
      </w:r>
      <w:r w:rsidR="00275E5D">
        <w:rPr>
          <w:lang w:val="en-GB"/>
        </w:rPr>
        <w:t>T</w:t>
      </w:r>
      <w:r w:rsidR="00E30D5E">
        <w:rPr>
          <w:lang w:val="en-GB"/>
        </w:rPr>
        <w:t>he development of technologies able to produce hydrogen is strongly promoted</w:t>
      </w:r>
      <w:r w:rsidR="005D791B">
        <w:rPr>
          <w:lang w:val="en-GB"/>
        </w:rPr>
        <w:t xml:space="preserve"> by European countries and </w:t>
      </w:r>
      <w:r>
        <w:rPr>
          <w:lang w:val="en-GB"/>
        </w:rPr>
        <w:t xml:space="preserve">the </w:t>
      </w:r>
      <w:r w:rsidR="005D791B">
        <w:rPr>
          <w:lang w:val="en-GB"/>
        </w:rPr>
        <w:t>U</w:t>
      </w:r>
      <w:r w:rsidR="00EF3543">
        <w:rPr>
          <w:lang w:val="en-GB"/>
        </w:rPr>
        <w:t xml:space="preserve">nited </w:t>
      </w:r>
      <w:r w:rsidR="005D791B">
        <w:rPr>
          <w:lang w:val="en-GB"/>
        </w:rPr>
        <w:t>N</w:t>
      </w:r>
      <w:r w:rsidR="00EF3543">
        <w:rPr>
          <w:lang w:val="en-GB"/>
        </w:rPr>
        <w:t>ations</w:t>
      </w:r>
      <w:r w:rsidR="00E30D5E">
        <w:rPr>
          <w:lang w:val="en-GB"/>
        </w:rPr>
        <w:t xml:space="preserve">. Furthermore, </w:t>
      </w:r>
      <w:r w:rsidR="00275E5D">
        <w:rPr>
          <w:lang w:val="en-GB"/>
        </w:rPr>
        <w:t xml:space="preserve">the need for </w:t>
      </w:r>
      <w:r w:rsidR="005D791B">
        <w:rPr>
          <w:lang w:val="en-GB"/>
        </w:rPr>
        <w:t xml:space="preserve">fresh water is another topic of Agenda 21. </w:t>
      </w:r>
      <w:r>
        <w:rPr>
          <w:lang w:val="en-GB"/>
        </w:rPr>
        <w:t>This</w:t>
      </w:r>
      <w:r w:rsidR="005D791B">
        <w:rPr>
          <w:lang w:val="en-GB"/>
        </w:rPr>
        <w:t xml:space="preserve"> work </w:t>
      </w:r>
      <w:r w:rsidR="00275E5D">
        <w:rPr>
          <w:lang w:val="en-GB"/>
        </w:rPr>
        <w:t>focused on</w:t>
      </w:r>
      <w:r w:rsidR="005D791B">
        <w:rPr>
          <w:lang w:val="en-GB"/>
        </w:rPr>
        <w:t xml:space="preserve"> the economic feasibility of a unit able to produce simultaneously hydrogen and fresh water</w:t>
      </w:r>
      <w:r w:rsidR="003535B4">
        <w:rPr>
          <w:lang w:val="en-GB"/>
        </w:rPr>
        <w:t xml:space="preserve"> from brackish water</w:t>
      </w:r>
      <w:r w:rsidR="005D791B">
        <w:rPr>
          <w:lang w:val="en-GB"/>
        </w:rPr>
        <w:t xml:space="preserve">. The proposed technology is an electrodialysis unit where the redox reactions are </w:t>
      </w:r>
      <w:r w:rsidR="00275E5D">
        <w:rPr>
          <w:lang w:val="en-GB"/>
        </w:rPr>
        <w:t>aimed at producing</w:t>
      </w:r>
      <w:r w:rsidR="005D791B">
        <w:rPr>
          <w:lang w:val="en-GB"/>
        </w:rPr>
        <w:t xml:space="preserve"> </w:t>
      </w:r>
      <w:r w:rsidR="00A0691C">
        <w:rPr>
          <w:lang w:val="en-GB"/>
        </w:rPr>
        <w:t>H</w:t>
      </w:r>
      <w:r w:rsidR="00A0691C" w:rsidRPr="00A0691C">
        <w:rPr>
          <w:vertAlign w:val="subscript"/>
          <w:lang w:val="en-GB"/>
        </w:rPr>
        <w:t>2</w:t>
      </w:r>
      <w:r w:rsidR="005D791B">
        <w:rPr>
          <w:lang w:val="en-GB"/>
        </w:rPr>
        <w:t xml:space="preserve"> and </w:t>
      </w:r>
      <w:r w:rsidR="00A0691C">
        <w:rPr>
          <w:lang w:val="en-GB"/>
        </w:rPr>
        <w:t>O</w:t>
      </w:r>
      <w:r w:rsidR="00A0691C" w:rsidRPr="00A0691C">
        <w:rPr>
          <w:vertAlign w:val="subscript"/>
          <w:lang w:val="en-GB"/>
        </w:rPr>
        <w:t>2</w:t>
      </w:r>
      <w:r w:rsidR="00A0691C">
        <w:rPr>
          <w:lang w:val="en-GB"/>
        </w:rPr>
        <w:t xml:space="preserve"> </w:t>
      </w:r>
      <w:r w:rsidR="005D791B">
        <w:rPr>
          <w:lang w:val="en-GB"/>
        </w:rPr>
        <w:lastRenderedPageBreak/>
        <w:t xml:space="preserve">evolutions. Although </w:t>
      </w:r>
      <w:r w:rsidR="00275E5D">
        <w:rPr>
          <w:lang w:val="en-GB"/>
        </w:rPr>
        <w:t>the idea is technically feasible</w:t>
      </w:r>
      <w:r w:rsidR="005D791B">
        <w:rPr>
          <w:lang w:val="en-GB"/>
        </w:rPr>
        <w:t>, the low hydrogen productivity due to a single cathode affects the system. For these reason</w:t>
      </w:r>
      <w:r>
        <w:rPr>
          <w:lang w:val="en-GB"/>
        </w:rPr>
        <w:t xml:space="preserve">s, a </w:t>
      </w:r>
      <w:r w:rsidR="005D791B">
        <w:rPr>
          <w:lang w:val="en-GB"/>
        </w:rPr>
        <w:t xml:space="preserve">several repetition of </w:t>
      </w:r>
      <w:r>
        <w:rPr>
          <w:lang w:val="en-GB"/>
        </w:rPr>
        <w:t xml:space="preserve">units of electrodialysis, </w:t>
      </w:r>
      <w:r w:rsidR="005D791B">
        <w:rPr>
          <w:lang w:val="en-GB"/>
        </w:rPr>
        <w:t>divide</w:t>
      </w:r>
      <w:r>
        <w:rPr>
          <w:lang w:val="en-GB"/>
        </w:rPr>
        <w:t>d</w:t>
      </w:r>
      <w:r w:rsidR="005D791B">
        <w:rPr>
          <w:lang w:val="en-GB"/>
        </w:rPr>
        <w:t xml:space="preserve"> up th</w:t>
      </w:r>
      <w:r>
        <w:rPr>
          <w:lang w:val="en-GB"/>
        </w:rPr>
        <w:t>e initial cell package and sharing</w:t>
      </w:r>
      <w:r w:rsidR="005D791B">
        <w:rPr>
          <w:lang w:val="en-GB"/>
        </w:rPr>
        <w:t xml:space="preserve"> the electrode</w:t>
      </w:r>
      <w:r>
        <w:rPr>
          <w:lang w:val="en-GB"/>
        </w:rPr>
        <w:t>s</w:t>
      </w:r>
      <w:r w:rsidR="005D791B">
        <w:rPr>
          <w:lang w:val="en-GB"/>
        </w:rPr>
        <w:t xml:space="preserve"> with the adjacent unit</w:t>
      </w:r>
      <w:r>
        <w:rPr>
          <w:lang w:val="en-GB"/>
        </w:rPr>
        <w:t>s,</w:t>
      </w:r>
      <w:r w:rsidR="005D791B">
        <w:rPr>
          <w:lang w:val="en-GB"/>
        </w:rPr>
        <w:t xml:space="preserve"> is suggest</w:t>
      </w:r>
      <w:r w:rsidR="008404FB">
        <w:rPr>
          <w:lang w:val="en-GB"/>
        </w:rPr>
        <w:t>ed</w:t>
      </w:r>
      <w:r w:rsidR="005D791B">
        <w:rPr>
          <w:lang w:val="en-GB"/>
        </w:rPr>
        <w:t xml:space="preserve"> </w:t>
      </w:r>
      <w:r>
        <w:rPr>
          <w:lang w:val="en-GB"/>
        </w:rPr>
        <w:t xml:space="preserve">to </w:t>
      </w:r>
      <w:r w:rsidR="00275E5D">
        <w:rPr>
          <w:lang w:val="en-GB"/>
        </w:rPr>
        <w:t xml:space="preserve">increase the amount of </w:t>
      </w:r>
      <w:r w:rsidR="00250EC4">
        <w:rPr>
          <w:lang w:val="en-GB"/>
        </w:rPr>
        <w:t xml:space="preserve">hydrogen </w:t>
      </w:r>
      <w:r w:rsidR="00275E5D">
        <w:rPr>
          <w:lang w:val="en-GB"/>
        </w:rPr>
        <w:t>produced</w:t>
      </w:r>
      <w:r w:rsidR="00250EC4">
        <w:rPr>
          <w:lang w:val="en-GB"/>
        </w:rPr>
        <w:t>.</w:t>
      </w:r>
      <w:r w:rsidR="00A0691C">
        <w:rPr>
          <w:lang w:val="en-GB"/>
        </w:rPr>
        <w:t xml:space="preserve"> </w:t>
      </w:r>
      <w:r w:rsidR="003535B4">
        <w:rPr>
          <w:lang w:val="en-GB"/>
        </w:rPr>
        <w:t>The</w:t>
      </w:r>
      <w:r w:rsidR="005D791B">
        <w:rPr>
          <w:lang w:val="en-GB"/>
        </w:rPr>
        <w:t xml:space="preserve"> technical analysis </w:t>
      </w:r>
      <w:r w:rsidR="003535B4">
        <w:rPr>
          <w:lang w:val="en-GB"/>
        </w:rPr>
        <w:t xml:space="preserve">carried out </w:t>
      </w:r>
      <w:r w:rsidR="005D791B">
        <w:rPr>
          <w:lang w:val="en-GB"/>
        </w:rPr>
        <w:t xml:space="preserve">shows </w:t>
      </w:r>
      <w:r w:rsidR="003535B4">
        <w:rPr>
          <w:lang w:val="en-GB"/>
        </w:rPr>
        <w:t xml:space="preserve">that </w:t>
      </w:r>
      <w:r w:rsidR="005D791B">
        <w:rPr>
          <w:lang w:val="en-GB"/>
        </w:rPr>
        <w:t xml:space="preserve">the hydrogen production </w:t>
      </w:r>
      <w:r w:rsidR="003535B4">
        <w:rPr>
          <w:lang w:val="en-GB"/>
        </w:rPr>
        <w:t>clearly affects</w:t>
      </w:r>
      <w:r w:rsidR="005D791B">
        <w:rPr>
          <w:lang w:val="en-GB"/>
        </w:rPr>
        <w:t xml:space="preserve"> the energetic demand of the process when </w:t>
      </w:r>
      <w:r w:rsidR="003535B4">
        <w:rPr>
          <w:lang w:val="en-GB"/>
        </w:rPr>
        <w:t>several electrodes are inserted in the ED stack. Conversely,</w:t>
      </w:r>
      <w:r w:rsidR="005D791B">
        <w:rPr>
          <w:lang w:val="en-GB"/>
        </w:rPr>
        <w:t xml:space="preserve"> when the number of electrodes</w:t>
      </w:r>
      <w:r w:rsidR="003535B4">
        <w:rPr>
          <w:lang w:val="en-GB"/>
        </w:rPr>
        <w:t xml:space="preserve"> added to the stack is lower, the contribution of</w:t>
      </w:r>
      <w:r w:rsidR="005D791B">
        <w:rPr>
          <w:lang w:val="en-GB"/>
        </w:rPr>
        <w:t xml:space="preserve"> hydrogen production becomes a negligible dissipative term. As </w:t>
      </w:r>
      <w:r w:rsidR="003535B4">
        <w:rPr>
          <w:lang w:val="en-GB"/>
        </w:rPr>
        <w:t xml:space="preserve">a </w:t>
      </w:r>
      <w:r w:rsidR="005D791B">
        <w:rPr>
          <w:lang w:val="en-GB"/>
        </w:rPr>
        <w:t xml:space="preserve">consequence, when the maximum number of electrodes </w:t>
      </w:r>
      <w:r>
        <w:rPr>
          <w:lang w:val="en-GB"/>
        </w:rPr>
        <w:t>is</w:t>
      </w:r>
      <w:r w:rsidR="005D791B">
        <w:rPr>
          <w:lang w:val="en-GB"/>
        </w:rPr>
        <w:t xml:space="preserve"> assembled, the LCOH is </w:t>
      </w:r>
      <w:r w:rsidR="000214E2">
        <w:rPr>
          <w:lang w:val="en-GB"/>
        </w:rPr>
        <w:t>the minimum and is equal to 11.</w:t>
      </w:r>
      <w:r w:rsidR="005D791B">
        <w:rPr>
          <w:lang w:val="en-GB"/>
        </w:rPr>
        <w:t>9 € kg</w:t>
      </w:r>
      <w:r w:rsidR="005D791B" w:rsidRPr="003C2DFC">
        <w:rPr>
          <w:vertAlign w:val="superscript"/>
          <w:lang w:val="en-GB"/>
        </w:rPr>
        <w:t>-1</w:t>
      </w:r>
      <w:r w:rsidR="005D791B" w:rsidRPr="003C2DFC">
        <w:rPr>
          <w:vertAlign w:val="subscript"/>
          <w:lang w:val="en-GB"/>
        </w:rPr>
        <w:t>H2</w:t>
      </w:r>
      <w:r w:rsidR="005D791B">
        <w:rPr>
          <w:lang w:val="en-GB"/>
        </w:rPr>
        <w:t xml:space="preserve"> (without considering a </w:t>
      </w:r>
      <w:r w:rsidR="003535B4">
        <w:rPr>
          <w:lang w:val="en-GB"/>
        </w:rPr>
        <w:t xml:space="preserve">selling </w:t>
      </w:r>
      <w:r w:rsidR="00EF3543">
        <w:rPr>
          <w:lang w:val="en-GB"/>
        </w:rPr>
        <w:t xml:space="preserve">price for </w:t>
      </w:r>
      <w:r w:rsidR="003535B4">
        <w:rPr>
          <w:lang w:val="en-GB"/>
        </w:rPr>
        <w:t xml:space="preserve">desalinated </w:t>
      </w:r>
      <w:r w:rsidR="00EF3543">
        <w:rPr>
          <w:lang w:val="en-GB"/>
        </w:rPr>
        <w:t>water</w:t>
      </w:r>
      <w:r>
        <w:rPr>
          <w:lang w:val="en-GB"/>
        </w:rPr>
        <w:t>)</w:t>
      </w:r>
      <w:r w:rsidR="003535B4">
        <w:rPr>
          <w:lang w:val="en-GB"/>
        </w:rPr>
        <w:t>. As expected, when</w:t>
      </w:r>
      <w:r>
        <w:rPr>
          <w:lang w:val="en-GB"/>
        </w:rPr>
        <w:t xml:space="preserve"> the number of </w:t>
      </w:r>
      <w:r w:rsidR="005D791B">
        <w:rPr>
          <w:lang w:val="en-GB"/>
        </w:rPr>
        <w:t>electrode</w:t>
      </w:r>
      <w:r>
        <w:rPr>
          <w:lang w:val="en-GB"/>
        </w:rPr>
        <w:t>s</w:t>
      </w:r>
      <w:r w:rsidR="005D791B">
        <w:rPr>
          <w:lang w:val="en-GB"/>
        </w:rPr>
        <w:t xml:space="preserve"> decrease</w:t>
      </w:r>
      <w:r>
        <w:rPr>
          <w:lang w:val="en-GB"/>
        </w:rPr>
        <w:t>s</w:t>
      </w:r>
      <w:r w:rsidR="005D791B">
        <w:rPr>
          <w:lang w:val="en-GB"/>
        </w:rPr>
        <w:t xml:space="preserve">, the LCOH drastically increases. LCOW (considering no </w:t>
      </w:r>
      <w:r w:rsidR="003535B4">
        <w:rPr>
          <w:lang w:val="en-GB"/>
        </w:rPr>
        <w:t xml:space="preserve">selling </w:t>
      </w:r>
      <w:r w:rsidR="005D791B">
        <w:rPr>
          <w:lang w:val="en-GB"/>
        </w:rPr>
        <w:t xml:space="preserve">price for hydrogen) </w:t>
      </w:r>
      <w:r w:rsidR="00F55355">
        <w:rPr>
          <w:lang w:val="en-GB"/>
        </w:rPr>
        <w:t>increase</w:t>
      </w:r>
      <w:r w:rsidR="00EF3543">
        <w:rPr>
          <w:lang w:val="en-GB"/>
        </w:rPr>
        <w:t>s</w:t>
      </w:r>
      <w:r w:rsidR="00F55355">
        <w:rPr>
          <w:lang w:val="en-GB"/>
        </w:rPr>
        <w:t xml:space="preserve"> to a value of</w:t>
      </w:r>
      <w:r w:rsidR="005D791B">
        <w:rPr>
          <w:lang w:val="en-GB"/>
        </w:rPr>
        <w:t xml:space="preserve"> 0.47</w:t>
      </w:r>
      <w:r w:rsidR="00F55355">
        <w:rPr>
          <w:lang w:val="en-GB"/>
        </w:rPr>
        <w:t xml:space="preserve"> € m</w:t>
      </w:r>
      <w:r w:rsidR="00F55355" w:rsidRPr="003C2DFC">
        <w:rPr>
          <w:vertAlign w:val="superscript"/>
          <w:lang w:val="en-GB"/>
        </w:rPr>
        <w:t>-3</w:t>
      </w:r>
      <w:r w:rsidR="00F55355" w:rsidRPr="003C2DFC">
        <w:rPr>
          <w:vertAlign w:val="subscript"/>
          <w:lang w:val="en-GB"/>
        </w:rPr>
        <w:t>w</w:t>
      </w:r>
      <w:r w:rsidR="00F55355">
        <w:rPr>
          <w:lang w:val="en-GB"/>
        </w:rPr>
        <w:t xml:space="preserve"> when </w:t>
      </w:r>
      <w:r w:rsidR="003535B4">
        <w:rPr>
          <w:lang w:val="en-GB"/>
        </w:rPr>
        <w:t>the system is equipped with several</w:t>
      </w:r>
      <w:r w:rsidR="00F55355">
        <w:rPr>
          <w:lang w:val="en-GB"/>
        </w:rPr>
        <w:t xml:space="preserve"> electrodes, due to </w:t>
      </w:r>
      <w:r w:rsidR="003535B4">
        <w:rPr>
          <w:lang w:val="en-GB"/>
        </w:rPr>
        <w:t>the large</w:t>
      </w:r>
      <w:r w:rsidR="00F55355">
        <w:rPr>
          <w:lang w:val="en-GB"/>
        </w:rPr>
        <w:t xml:space="preserve"> capital cost </w:t>
      </w:r>
      <w:r w:rsidR="003535B4">
        <w:rPr>
          <w:lang w:val="en-GB"/>
        </w:rPr>
        <w:t xml:space="preserve">of the </w:t>
      </w:r>
      <w:r>
        <w:rPr>
          <w:lang w:val="en-GB"/>
        </w:rPr>
        <w:t xml:space="preserve">additional electrodes and </w:t>
      </w:r>
      <w:r w:rsidR="00F55355">
        <w:rPr>
          <w:lang w:val="en-GB"/>
        </w:rPr>
        <w:t xml:space="preserve">the </w:t>
      </w:r>
      <w:r w:rsidR="003535B4">
        <w:rPr>
          <w:lang w:val="en-GB"/>
        </w:rPr>
        <w:t>relevant significant</w:t>
      </w:r>
      <w:r w:rsidR="00F55355">
        <w:rPr>
          <w:lang w:val="en-GB"/>
        </w:rPr>
        <w:t xml:space="preserve"> energ</w:t>
      </w:r>
      <w:r w:rsidR="003535B4">
        <w:rPr>
          <w:lang w:val="en-GB"/>
        </w:rPr>
        <w:t>y</w:t>
      </w:r>
      <w:r w:rsidR="00F55355">
        <w:rPr>
          <w:lang w:val="en-GB"/>
        </w:rPr>
        <w:t xml:space="preserve"> demand. Although the price of hydrogen could reach lower values </w:t>
      </w:r>
      <w:r w:rsidR="003535B4">
        <w:rPr>
          <w:lang w:val="en-GB"/>
        </w:rPr>
        <w:t>when</w:t>
      </w:r>
      <w:r w:rsidR="00F55355">
        <w:rPr>
          <w:lang w:val="en-GB"/>
        </w:rPr>
        <w:t xml:space="preserve"> the water is also sold, a limit of this system is the small current density fixed by the target concentration of the outlet fre</w:t>
      </w:r>
      <w:r>
        <w:rPr>
          <w:lang w:val="en-GB"/>
        </w:rPr>
        <w:t xml:space="preserve">sh water. </w:t>
      </w:r>
      <w:r w:rsidR="003535B4" w:rsidRPr="00A0691C">
        <w:rPr>
          <w:lang w:val="en-GB"/>
        </w:rPr>
        <w:t>With this respect, operat</w:t>
      </w:r>
      <w:r w:rsidR="00C461ED" w:rsidRPr="00A0691C">
        <w:rPr>
          <w:lang w:val="en-GB"/>
        </w:rPr>
        <w:t>ing</w:t>
      </w:r>
      <w:r w:rsidR="003535B4" w:rsidRPr="00A0691C">
        <w:rPr>
          <w:lang w:val="en-GB"/>
        </w:rPr>
        <w:t xml:space="preserve"> </w:t>
      </w:r>
      <w:r w:rsidR="00A0691C" w:rsidRPr="00A0691C">
        <w:rPr>
          <w:lang w:val="en-GB"/>
        </w:rPr>
        <w:t xml:space="preserve">the system </w:t>
      </w:r>
      <w:r w:rsidR="003535B4" w:rsidRPr="00A0691C">
        <w:rPr>
          <w:lang w:val="en-GB"/>
        </w:rPr>
        <w:t xml:space="preserve">with higher feed concentration (e.g. seawater) </w:t>
      </w:r>
      <w:r w:rsidR="00A0691C" w:rsidRPr="00A0691C">
        <w:rPr>
          <w:lang w:val="en-GB"/>
        </w:rPr>
        <w:t xml:space="preserve">would require higher currents thus leading to </w:t>
      </w:r>
      <w:r w:rsidR="009B6809" w:rsidRPr="00A0691C">
        <w:rPr>
          <w:lang w:val="en-GB"/>
        </w:rPr>
        <w:t>higher</w:t>
      </w:r>
      <w:r w:rsidR="003535B4" w:rsidRPr="00A0691C">
        <w:rPr>
          <w:lang w:val="en-GB"/>
        </w:rPr>
        <w:t xml:space="preserve"> </w:t>
      </w:r>
      <w:r w:rsidRPr="00A0691C">
        <w:rPr>
          <w:lang w:val="en-GB"/>
        </w:rPr>
        <w:t xml:space="preserve">hydrogen productivity and </w:t>
      </w:r>
      <w:r w:rsidR="00A0691C" w:rsidRPr="00A0691C">
        <w:rPr>
          <w:lang w:val="en-GB"/>
        </w:rPr>
        <w:t xml:space="preserve">possibly to lower </w:t>
      </w:r>
      <w:r w:rsidR="00F55355" w:rsidRPr="00A0691C">
        <w:rPr>
          <w:lang w:val="en-GB"/>
        </w:rPr>
        <w:t>levelized cost</w:t>
      </w:r>
      <w:r w:rsidR="003535B4" w:rsidRPr="00A0691C">
        <w:rPr>
          <w:lang w:val="en-GB"/>
        </w:rPr>
        <w:t>s</w:t>
      </w:r>
      <w:r w:rsidR="00F55355" w:rsidRPr="00A0691C">
        <w:rPr>
          <w:lang w:val="en-GB"/>
        </w:rPr>
        <w:t>.</w:t>
      </w:r>
      <w:r w:rsidR="00A0691C" w:rsidRPr="00A0691C">
        <w:rPr>
          <w:lang w:val="en-GB"/>
        </w:rPr>
        <w:t xml:space="preserve"> However, this has to be</w:t>
      </w:r>
      <w:r w:rsidR="00A0691C">
        <w:rPr>
          <w:lang w:val="en-GB"/>
        </w:rPr>
        <w:t xml:space="preserve"> proven and will be matter of a future work.</w:t>
      </w:r>
    </w:p>
    <w:p w14:paraId="03CADB13" w14:textId="77777777" w:rsidR="00087A41" w:rsidRDefault="00600535" w:rsidP="00600535">
      <w:pPr>
        <w:pStyle w:val="CETReference"/>
      </w:pPr>
      <w:r w:rsidRPr="00B57B36">
        <w:t>References</w:t>
      </w:r>
    </w:p>
    <w:p w14:paraId="678A379F" w14:textId="093E8907" w:rsidR="00FE5465" w:rsidRPr="00FE5465" w:rsidRDefault="00087A41" w:rsidP="00FE5465">
      <w:pPr>
        <w:pStyle w:val="CETReferencetext"/>
      </w:pPr>
      <w:r w:rsidRPr="00E26266">
        <w:fldChar w:fldCharType="begin"/>
      </w:r>
      <w:r w:rsidRPr="00E26266">
        <w:instrText xml:space="preserve"> ADDIN ZOTERO_BIBL {"uncited":[],"omitted":[],"custom":[]} CSL_BIBLIOGRAPHY </w:instrText>
      </w:r>
      <w:r w:rsidRPr="00E26266">
        <w:fldChar w:fldCharType="separate"/>
      </w:r>
      <w:r w:rsidR="00FE5465" w:rsidRPr="00FE5465">
        <w:t>Al-Amshawee, S., Yunus, M.Y.B.M., Azoddein, A.A.M., Hassell, D.G., Dakhil, I.H., Hasan, H.A., 2020. Electrodialysis desalination for water and wastewater: A review. Chemical Engineering Journal 380, 122231. doi.org/10.1016/j.cej.2019.122231</w:t>
      </w:r>
    </w:p>
    <w:p w14:paraId="3C84C0E1" w14:textId="3F1B7A28" w:rsidR="00FE5465" w:rsidRPr="00FE5465" w:rsidRDefault="00FE5465" w:rsidP="00FE5465">
      <w:pPr>
        <w:pStyle w:val="CETReferencetext"/>
      </w:pPr>
      <w:r w:rsidRPr="00FE5465">
        <w:t>Alshebli, R.F., Yuzer, B., Bicer, Y., 2023. Experimental investigation of simultaneous hydrogen production and desalination via electrodialysis process. International Journal of Hydrogen Energy S0360319922058207. doi.org/10.1016/j.ijhydene.2022.12.104</w:t>
      </w:r>
    </w:p>
    <w:p w14:paraId="4BE843B7" w14:textId="1C2A153E" w:rsidR="00FE5465" w:rsidRPr="00FE5465" w:rsidRDefault="00FE5465" w:rsidP="00FE5465">
      <w:pPr>
        <w:pStyle w:val="CETReferencetext"/>
      </w:pPr>
      <w:r w:rsidRPr="00FE5465">
        <w:t>Campione, A., Cipollina, A., Bogle, I.D.L., Gurreri, L., Tamburini, A., Tedesco, M., Micale, G., 2019. A hierarchical model for novel schemes of electrodialysis desalination. Desalination 465, 79–93. doi.org/10.1016/j.desal.2019.04.020</w:t>
      </w:r>
    </w:p>
    <w:p w14:paraId="287AA45D" w14:textId="157DB4A8" w:rsidR="00FE5465" w:rsidRPr="00FE5465" w:rsidRDefault="00FE5465" w:rsidP="00FE5465">
      <w:pPr>
        <w:pStyle w:val="CETReferencetext"/>
      </w:pPr>
      <w:r w:rsidRPr="00FE5465">
        <w:t>Chatenet, M., Pollet, B.G., Dekel, D.R., Dionigi, F., Deseure, J., Millet, P., Braatz, R.D., Bazant, M.Z., Eikerling, M., Staffell, I., Balcombe, P., Shao-Horn, Y., Schäfer, H., 2022. Water electrolysis: from textbook knowledge to the latest scientific strategies and industrial developments. Chem. Soc. Rev. 51, 4583–4762. doi.org/10.1039/D0CS01079K</w:t>
      </w:r>
    </w:p>
    <w:p w14:paraId="0400584F" w14:textId="126F3F57" w:rsidR="00FE5465" w:rsidRPr="00FE5465" w:rsidRDefault="00FE5465" w:rsidP="00FE5465">
      <w:pPr>
        <w:pStyle w:val="CETReferencetext"/>
      </w:pPr>
      <w:r w:rsidRPr="00FE5465">
        <w:t>de Amorim, W.S., Valduga, I.B., Ribeiro, J.M.P., Williamson, V.G., Krauser, G.E., Magtoto, M.K., de Andrade Guerra, J.B.S.O., 2018. The nexus between water, energy, and food in the context of the global risks: An analysis of the interactions between food, water, and energy security. Environmental Impact Assessment Review 72, 1–11.</w:t>
      </w:r>
      <w:r>
        <w:t xml:space="preserve"> </w:t>
      </w:r>
      <w:r w:rsidRPr="00FE5465">
        <w:t>doi.org/10.1016/j.eiar.2018.05.002</w:t>
      </w:r>
    </w:p>
    <w:p w14:paraId="1C487DFB" w14:textId="50DDAFF7" w:rsidR="00FE5465" w:rsidRPr="00FE5465" w:rsidRDefault="00FE5465" w:rsidP="00FE5465">
      <w:pPr>
        <w:pStyle w:val="CETReferencetext"/>
      </w:pPr>
      <w:r w:rsidRPr="00FE5465">
        <w:t>European Commission, Directorate-General for Energy, Breitschopf, B., Zheng, L., Plaisir, M., Bard, J., Schröer, R., Kawale, D., Koornneef, J., Melese, Y., Schaaphok, M., Gorenstein Dedecca, J., Bene, C., Cerny, O., Gérard, F., 2022. The role of renewable H</w:t>
      </w:r>
      <w:r w:rsidRPr="00FE5465">
        <w:rPr>
          <w:rFonts w:ascii="Cambria Math" w:hAnsi="Cambria Math" w:cs="Cambria Math"/>
        </w:rPr>
        <w:t>₂</w:t>
      </w:r>
      <w:r w:rsidRPr="00FE5465">
        <w:t xml:space="preserve"> import &amp; storage to scale up the EU deployment of renewable H</w:t>
      </w:r>
      <w:r w:rsidRPr="00FE5465">
        <w:rPr>
          <w:rFonts w:ascii="Cambria Math" w:hAnsi="Cambria Math" w:cs="Cambria Math"/>
        </w:rPr>
        <w:t>₂</w:t>
      </w:r>
      <w:r w:rsidRPr="00FE5465">
        <w:rPr>
          <w:rFonts w:cs="Arial"/>
        </w:rPr>
        <w:t> </w:t>
      </w:r>
      <w:r w:rsidRPr="00FE5465">
        <w:t>: report. Publications Office of the European Union. doi.org/10.2833/727785</w:t>
      </w:r>
    </w:p>
    <w:p w14:paraId="2415D144" w14:textId="63B47BE2" w:rsidR="00FE5465" w:rsidRPr="00FE5465" w:rsidRDefault="00FE5465" w:rsidP="00FE5465">
      <w:pPr>
        <w:pStyle w:val="CETReferencetext"/>
      </w:pPr>
      <w:r w:rsidRPr="00FE5465">
        <w:t>Generous, M.M., Qasem, N.A.A., Akbar, U.A., Zubair, S.M., 2021. Techno-economic assessment of electrodialysis and reverse osmosis desalination plants. Separation and Purification Technology 272, 118875. doi.org/10.1016/j.seppur.2021.118875</w:t>
      </w:r>
    </w:p>
    <w:p w14:paraId="7409D153" w14:textId="1E016F2F" w:rsidR="00FE5465" w:rsidRPr="0026189A" w:rsidRDefault="00FE5465" w:rsidP="00FE5465">
      <w:pPr>
        <w:pStyle w:val="CETReferencetext"/>
        <w:rPr>
          <w:lang w:val="it-IT"/>
        </w:rPr>
      </w:pPr>
      <w:r w:rsidRPr="00FE5465">
        <w:t xml:space="preserve">Giacalone, F., Papapetrou, M., Kosmadakis, G., Tamburini, A., Micale, G., Cipollina, A., 2019. Application of reverse electrodialysis to site-specific types of saline solutions: A techno-economic assessment. </w:t>
      </w:r>
      <w:r w:rsidRPr="0026189A">
        <w:rPr>
          <w:lang w:val="it-IT"/>
        </w:rPr>
        <w:t>Energy 181, 532–547. doi.org/10.1016/j.energy.2019.05.161</w:t>
      </w:r>
    </w:p>
    <w:p w14:paraId="37B06320" w14:textId="38132EFF" w:rsidR="00FE5465" w:rsidRPr="00FE5465" w:rsidRDefault="00FE5465" w:rsidP="00FE5465">
      <w:pPr>
        <w:pStyle w:val="CETReferencetext"/>
      </w:pPr>
      <w:r w:rsidRPr="0026189A">
        <w:rPr>
          <w:lang w:val="it-IT"/>
        </w:rPr>
        <w:t xml:space="preserve">Gurreri, L., Filingeri, A., Ciofalo, M., Cipollina, A., Tedesco, M., Tamburini, A., Micale, G., 2021. </w:t>
      </w:r>
      <w:r w:rsidRPr="00FE5465">
        <w:t>Electrodialysis with asymmetrically profiled membranes: Influence of profiles geometry on desalination performance and limiting current phenomena. Desalination 506, 115001. doi.org/10.1016/j.desal.2021.115001</w:t>
      </w:r>
    </w:p>
    <w:p w14:paraId="04D793C7" w14:textId="77777777" w:rsidR="00FE5465" w:rsidRPr="00FE5465" w:rsidRDefault="00FE5465" w:rsidP="00FE5465">
      <w:pPr>
        <w:pStyle w:val="CETReferencetext"/>
      </w:pPr>
      <w:r w:rsidRPr="00FE5465">
        <w:t>IRENA, 2021. Making the breakthrough: Green hydrogen policies and technology costs. International Renewable Energy Agency.</w:t>
      </w:r>
    </w:p>
    <w:p w14:paraId="5D4CE1E7" w14:textId="77777777" w:rsidR="00FE5465" w:rsidRPr="00FE5465" w:rsidRDefault="00FE5465" w:rsidP="00FE5465">
      <w:pPr>
        <w:pStyle w:val="CETReferencetext"/>
      </w:pPr>
      <w:r w:rsidRPr="00FE5465">
        <w:t xml:space="preserve">Parkinson, B., Balcombe, P., Speirs, J.F., Hawkes, A.D., Hellgardt, K., 2019. Levelized cost of CO </w:t>
      </w:r>
      <w:r w:rsidRPr="00FE5465">
        <w:rPr>
          <w:vertAlign w:val="subscript"/>
        </w:rPr>
        <w:t>2</w:t>
      </w:r>
      <w:r w:rsidRPr="00FE5465">
        <w:t xml:space="preserve"> mitigation from hydrogen production routes. Energy Environ. Sci. 12, 19–40. https://doi.org/10.1039/C8EE02079E</w:t>
      </w:r>
    </w:p>
    <w:p w14:paraId="35464FA1" w14:textId="52FECD12" w:rsidR="00FE5465" w:rsidRPr="00E06FF8" w:rsidRDefault="00FE5465" w:rsidP="00FE5465">
      <w:pPr>
        <w:pStyle w:val="CETReferencetext"/>
      </w:pPr>
      <w:r w:rsidRPr="00FE5465">
        <w:t xml:space="preserve">Ritchie, H., Roser, M., 2021. Clean Water and Sanitation. Our World in Data. </w:t>
      </w:r>
      <w:r>
        <w:t>&lt;</w:t>
      </w:r>
      <w:r w:rsidRPr="00E06FF8">
        <w:t xml:space="preserve"> https://ourworldindata.org/clean-water-sanitation</w:t>
      </w:r>
      <w:r>
        <w:t xml:space="preserve"> &gt;</w:t>
      </w:r>
      <w:r w:rsidRPr="00E06FF8">
        <w:t xml:space="preserve"> </w:t>
      </w:r>
      <w:r w:rsidRPr="00E26266">
        <w:t>accessed 10.07.2023.</w:t>
      </w:r>
    </w:p>
    <w:p w14:paraId="71939BAD" w14:textId="77777777" w:rsidR="00FE5465" w:rsidRPr="00E06FF8" w:rsidRDefault="00FE5465" w:rsidP="00FE5465">
      <w:pPr>
        <w:pStyle w:val="CETReferencetext"/>
      </w:pPr>
      <w:r w:rsidRPr="00FE5465">
        <w:t>UN Water (Ed.), 2021. Valuing water, The United Nations world water development report. UNESCO, Paris</w:t>
      </w:r>
      <w:r>
        <w:t xml:space="preserve">, </w:t>
      </w:r>
      <w:r w:rsidRPr="00E26266">
        <w:t>&lt;https://www.unwater.org/publications/un-world-water-development-report-2021 &gt; accessed 10.07.2023</w:t>
      </w:r>
      <w:r w:rsidRPr="00E06FF8">
        <w:t>.</w:t>
      </w:r>
    </w:p>
    <w:p w14:paraId="597C586A" w14:textId="140DFC9D" w:rsidR="00FE5465" w:rsidRPr="00E26266" w:rsidRDefault="00FE5465" w:rsidP="00FE5465">
      <w:pPr>
        <w:pStyle w:val="CETReferencetext"/>
      </w:pPr>
      <w:r w:rsidRPr="00FE5465">
        <w:t>Vineyard, D., Hicks, A., Karthikeyan, K.G., Davidson, C., Barak, P., 2021. Life cycle assessment of electrodialysis for sidestream nitrogen recovery in municipal wastewater treatment. Cleaner Environmental Systems 2, 100026. doi.org/10.1016/j.cesys.2021.100026</w:t>
      </w:r>
      <w:r w:rsidR="00087A41" w:rsidRPr="00E26266">
        <w:fldChar w:fldCharType="end"/>
      </w:r>
    </w:p>
    <w:sectPr w:rsidR="00FE5465" w:rsidRPr="00E2626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5566" w14:textId="77777777" w:rsidR="00131E1D" w:rsidRDefault="00131E1D" w:rsidP="004F5E36">
      <w:r>
        <w:separator/>
      </w:r>
    </w:p>
  </w:endnote>
  <w:endnote w:type="continuationSeparator" w:id="0">
    <w:p w14:paraId="54F004FC" w14:textId="77777777" w:rsidR="00131E1D" w:rsidRDefault="00131E1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0F75" w14:textId="77777777" w:rsidR="00131E1D" w:rsidRDefault="00131E1D" w:rsidP="004F5E36">
      <w:r>
        <w:separator/>
      </w:r>
    </w:p>
  </w:footnote>
  <w:footnote w:type="continuationSeparator" w:id="0">
    <w:p w14:paraId="556E7034" w14:textId="77777777" w:rsidR="00131E1D" w:rsidRDefault="00131E1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0877653">
    <w:abstractNumId w:val="10"/>
  </w:num>
  <w:num w:numId="2" w16cid:durableId="1528446414">
    <w:abstractNumId w:val="8"/>
  </w:num>
  <w:num w:numId="3" w16cid:durableId="66929261">
    <w:abstractNumId w:val="3"/>
  </w:num>
  <w:num w:numId="4" w16cid:durableId="277223078">
    <w:abstractNumId w:val="2"/>
  </w:num>
  <w:num w:numId="5" w16cid:durableId="970939036">
    <w:abstractNumId w:val="1"/>
  </w:num>
  <w:num w:numId="6" w16cid:durableId="282807570">
    <w:abstractNumId w:val="0"/>
  </w:num>
  <w:num w:numId="7" w16cid:durableId="576597530">
    <w:abstractNumId w:val="9"/>
  </w:num>
  <w:num w:numId="8" w16cid:durableId="1018699280">
    <w:abstractNumId w:val="7"/>
  </w:num>
  <w:num w:numId="9" w16cid:durableId="725682539">
    <w:abstractNumId w:val="6"/>
  </w:num>
  <w:num w:numId="10" w16cid:durableId="300379522">
    <w:abstractNumId w:val="5"/>
  </w:num>
  <w:num w:numId="11" w16cid:durableId="1941140709">
    <w:abstractNumId w:val="4"/>
  </w:num>
  <w:num w:numId="12" w16cid:durableId="1984314599">
    <w:abstractNumId w:val="17"/>
  </w:num>
  <w:num w:numId="13" w16cid:durableId="2089571555">
    <w:abstractNumId w:val="12"/>
  </w:num>
  <w:num w:numId="14" w16cid:durableId="1555502127">
    <w:abstractNumId w:val="18"/>
  </w:num>
  <w:num w:numId="15" w16cid:durableId="1310748600">
    <w:abstractNumId w:val="20"/>
  </w:num>
  <w:num w:numId="16" w16cid:durableId="1358695753">
    <w:abstractNumId w:val="19"/>
  </w:num>
  <w:num w:numId="17" w16cid:durableId="1752965446">
    <w:abstractNumId w:val="11"/>
  </w:num>
  <w:num w:numId="18" w16cid:durableId="1647082468">
    <w:abstractNumId w:val="12"/>
    <w:lvlOverride w:ilvl="0">
      <w:startOverride w:val="1"/>
    </w:lvlOverride>
  </w:num>
  <w:num w:numId="19" w16cid:durableId="328559352">
    <w:abstractNumId w:val="16"/>
  </w:num>
  <w:num w:numId="20" w16cid:durableId="1523007361">
    <w:abstractNumId w:val="15"/>
  </w:num>
  <w:num w:numId="21" w16cid:durableId="1661159415">
    <w:abstractNumId w:val="14"/>
  </w:num>
  <w:num w:numId="22" w16cid:durableId="1418361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14E2"/>
    <w:rsid w:val="00030DDB"/>
    <w:rsid w:val="0003148D"/>
    <w:rsid w:val="00031EEC"/>
    <w:rsid w:val="00037FE4"/>
    <w:rsid w:val="00044702"/>
    <w:rsid w:val="00051566"/>
    <w:rsid w:val="000562A9"/>
    <w:rsid w:val="00062A9A"/>
    <w:rsid w:val="00065058"/>
    <w:rsid w:val="000774A8"/>
    <w:rsid w:val="00086C39"/>
    <w:rsid w:val="00087A41"/>
    <w:rsid w:val="0009291B"/>
    <w:rsid w:val="00096A41"/>
    <w:rsid w:val="000A03B2"/>
    <w:rsid w:val="000A3862"/>
    <w:rsid w:val="000C09E3"/>
    <w:rsid w:val="000C4A3E"/>
    <w:rsid w:val="000D0268"/>
    <w:rsid w:val="000D34BE"/>
    <w:rsid w:val="000D35A5"/>
    <w:rsid w:val="000D42F1"/>
    <w:rsid w:val="000E102F"/>
    <w:rsid w:val="000E36F1"/>
    <w:rsid w:val="000E3A73"/>
    <w:rsid w:val="000E414A"/>
    <w:rsid w:val="000F093C"/>
    <w:rsid w:val="000F787B"/>
    <w:rsid w:val="00104530"/>
    <w:rsid w:val="00106BDE"/>
    <w:rsid w:val="001133C5"/>
    <w:rsid w:val="001149A0"/>
    <w:rsid w:val="0012091F"/>
    <w:rsid w:val="00126BC2"/>
    <w:rsid w:val="00126DF2"/>
    <w:rsid w:val="001308B6"/>
    <w:rsid w:val="0013121F"/>
    <w:rsid w:val="00131E1D"/>
    <w:rsid w:val="00131FE6"/>
    <w:rsid w:val="0013263F"/>
    <w:rsid w:val="001331DF"/>
    <w:rsid w:val="00134DE4"/>
    <w:rsid w:val="0014034D"/>
    <w:rsid w:val="00144D16"/>
    <w:rsid w:val="00150E59"/>
    <w:rsid w:val="00152DE3"/>
    <w:rsid w:val="00164CF9"/>
    <w:rsid w:val="001667A6"/>
    <w:rsid w:val="0017149D"/>
    <w:rsid w:val="00184AD6"/>
    <w:rsid w:val="001A3480"/>
    <w:rsid w:val="001A4AF7"/>
    <w:rsid w:val="001B0349"/>
    <w:rsid w:val="001B1E93"/>
    <w:rsid w:val="001B65C1"/>
    <w:rsid w:val="001C2C0D"/>
    <w:rsid w:val="001C684B"/>
    <w:rsid w:val="001D0CFB"/>
    <w:rsid w:val="001D21AF"/>
    <w:rsid w:val="001D53FC"/>
    <w:rsid w:val="001E4F22"/>
    <w:rsid w:val="001F0951"/>
    <w:rsid w:val="001F34B5"/>
    <w:rsid w:val="001F42A5"/>
    <w:rsid w:val="001F7B9D"/>
    <w:rsid w:val="00201C93"/>
    <w:rsid w:val="00214919"/>
    <w:rsid w:val="002224B4"/>
    <w:rsid w:val="002447EF"/>
    <w:rsid w:val="00250EC4"/>
    <w:rsid w:val="00251550"/>
    <w:rsid w:val="0026153F"/>
    <w:rsid w:val="0026189A"/>
    <w:rsid w:val="00263B05"/>
    <w:rsid w:val="0027221A"/>
    <w:rsid w:val="00275B61"/>
    <w:rsid w:val="00275E5D"/>
    <w:rsid w:val="00280FAF"/>
    <w:rsid w:val="00282656"/>
    <w:rsid w:val="00286A3B"/>
    <w:rsid w:val="00286DD5"/>
    <w:rsid w:val="00296B83"/>
    <w:rsid w:val="002A6297"/>
    <w:rsid w:val="002B35F6"/>
    <w:rsid w:val="002B4015"/>
    <w:rsid w:val="002B78CE"/>
    <w:rsid w:val="002C061D"/>
    <w:rsid w:val="002C2FB6"/>
    <w:rsid w:val="002E5FA7"/>
    <w:rsid w:val="002F3309"/>
    <w:rsid w:val="002F5C4A"/>
    <w:rsid w:val="003008CE"/>
    <w:rsid w:val="003009B7"/>
    <w:rsid w:val="00300E56"/>
    <w:rsid w:val="0030152C"/>
    <w:rsid w:val="0030469C"/>
    <w:rsid w:val="00321850"/>
    <w:rsid w:val="00321CA6"/>
    <w:rsid w:val="00323763"/>
    <w:rsid w:val="00323C5F"/>
    <w:rsid w:val="00334C09"/>
    <w:rsid w:val="003535B4"/>
    <w:rsid w:val="00356C1F"/>
    <w:rsid w:val="00356F9A"/>
    <w:rsid w:val="003723D4"/>
    <w:rsid w:val="003802A5"/>
    <w:rsid w:val="00381905"/>
    <w:rsid w:val="00384CC8"/>
    <w:rsid w:val="003871FD"/>
    <w:rsid w:val="003A1E30"/>
    <w:rsid w:val="003A2829"/>
    <w:rsid w:val="003A6FC6"/>
    <w:rsid w:val="003A7D1C"/>
    <w:rsid w:val="003B304B"/>
    <w:rsid w:val="003B3146"/>
    <w:rsid w:val="003C132E"/>
    <w:rsid w:val="003C2DFC"/>
    <w:rsid w:val="003D2350"/>
    <w:rsid w:val="003D3FB4"/>
    <w:rsid w:val="003F015E"/>
    <w:rsid w:val="00400414"/>
    <w:rsid w:val="0040065B"/>
    <w:rsid w:val="00410825"/>
    <w:rsid w:val="0041446B"/>
    <w:rsid w:val="0044071E"/>
    <w:rsid w:val="00442F9F"/>
    <w:rsid w:val="0044329C"/>
    <w:rsid w:val="00443C3B"/>
    <w:rsid w:val="00446E4E"/>
    <w:rsid w:val="00453E24"/>
    <w:rsid w:val="00457456"/>
    <w:rsid w:val="004577FE"/>
    <w:rsid w:val="00457B9C"/>
    <w:rsid w:val="0046164A"/>
    <w:rsid w:val="004628D2"/>
    <w:rsid w:val="00462DCD"/>
    <w:rsid w:val="004648AD"/>
    <w:rsid w:val="004703A9"/>
    <w:rsid w:val="004760DE"/>
    <w:rsid w:val="004763D7"/>
    <w:rsid w:val="004807B4"/>
    <w:rsid w:val="004875CD"/>
    <w:rsid w:val="004A004E"/>
    <w:rsid w:val="004A1B2E"/>
    <w:rsid w:val="004A24CF"/>
    <w:rsid w:val="004B47AD"/>
    <w:rsid w:val="004B7E8F"/>
    <w:rsid w:val="004C356D"/>
    <w:rsid w:val="004C3D1D"/>
    <w:rsid w:val="004C3D84"/>
    <w:rsid w:val="004C7913"/>
    <w:rsid w:val="004E4DD6"/>
    <w:rsid w:val="004E7EB9"/>
    <w:rsid w:val="004F1989"/>
    <w:rsid w:val="004F5E36"/>
    <w:rsid w:val="00502647"/>
    <w:rsid w:val="00507B47"/>
    <w:rsid w:val="00507BEF"/>
    <w:rsid w:val="00507CC9"/>
    <w:rsid w:val="005119A5"/>
    <w:rsid w:val="00516AAC"/>
    <w:rsid w:val="005278B7"/>
    <w:rsid w:val="005319FF"/>
    <w:rsid w:val="00532016"/>
    <w:rsid w:val="005346C8"/>
    <w:rsid w:val="00543E7D"/>
    <w:rsid w:val="005472FF"/>
    <w:rsid w:val="00547A68"/>
    <w:rsid w:val="005509EB"/>
    <w:rsid w:val="005531C9"/>
    <w:rsid w:val="00553C2A"/>
    <w:rsid w:val="00570C43"/>
    <w:rsid w:val="005A0D78"/>
    <w:rsid w:val="005A136D"/>
    <w:rsid w:val="005A2016"/>
    <w:rsid w:val="005A2F9C"/>
    <w:rsid w:val="005B2110"/>
    <w:rsid w:val="005B61E6"/>
    <w:rsid w:val="005B69A9"/>
    <w:rsid w:val="005C77E1"/>
    <w:rsid w:val="005D3252"/>
    <w:rsid w:val="005D668A"/>
    <w:rsid w:val="005D6A2F"/>
    <w:rsid w:val="005D7337"/>
    <w:rsid w:val="005D791B"/>
    <w:rsid w:val="005E1A82"/>
    <w:rsid w:val="005E794C"/>
    <w:rsid w:val="005E7C48"/>
    <w:rsid w:val="005F0A28"/>
    <w:rsid w:val="005F0E5E"/>
    <w:rsid w:val="005F2773"/>
    <w:rsid w:val="00600535"/>
    <w:rsid w:val="00605E36"/>
    <w:rsid w:val="00610CD6"/>
    <w:rsid w:val="006140D7"/>
    <w:rsid w:val="00620DEE"/>
    <w:rsid w:val="00621F92"/>
    <w:rsid w:val="0062280A"/>
    <w:rsid w:val="00625639"/>
    <w:rsid w:val="00631B33"/>
    <w:rsid w:val="0064184D"/>
    <w:rsid w:val="006422CC"/>
    <w:rsid w:val="00651701"/>
    <w:rsid w:val="00660E3E"/>
    <w:rsid w:val="00661712"/>
    <w:rsid w:val="00662E74"/>
    <w:rsid w:val="006732FE"/>
    <w:rsid w:val="00680C23"/>
    <w:rsid w:val="006810E9"/>
    <w:rsid w:val="00693766"/>
    <w:rsid w:val="006A3281"/>
    <w:rsid w:val="006A3F39"/>
    <w:rsid w:val="006B00DC"/>
    <w:rsid w:val="006B0705"/>
    <w:rsid w:val="006B4888"/>
    <w:rsid w:val="006B79A5"/>
    <w:rsid w:val="006C2E45"/>
    <w:rsid w:val="006C359C"/>
    <w:rsid w:val="006C5579"/>
    <w:rsid w:val="006C62BA"/>
    <w:rsid w:val="006C6650"/>
    <w:rsid w:val="006D6E8B"/>
    <w:rsid w:val="006E499A"/>
    <w:rsid w:val="006E51C5"/>
    <w:rsid w:val="006E5EED"/>
    <w:rsid w:val="006E737D"/>
    <w:rsid w:val="006F76DE"/>
    <w:rsid w:val="0070347D"/>
    <w:rsid w:val="007123A3"/>
    <w:rsid w:val="00713973"/>
    <w:rsid w:val="00720A24"/>
    <w:rsid w:val="00730F74"/>
    <w:rsid w:val="00732386"/>
    <w:rsid w:val="0073514D"/>
    <w:rsid w:val="007447F3"/>
    <w:rsid w:val="00745343"/>
    <w:rsid w:val="0075499F"/>
    <w:rsid w:val="007661C8"/>
    <w:rsid w:val="0077098D"/>
    <w:rsid w:val="007931FA"/>
    <w:rsid w:val="007A4861"/>
    <w:rsid w:val="007A7BBA"/>
    <w:rsid w:val="007B0C50"/>
    <w:rsid w:val="007B48F9"/>
    <w:rsid w:val="007C1A43"/>
    <w:rsid w:val="007D0951"/>
    <w:rsid w:val="007E1DEE"/>
    <w:rsid w:val="007E5043"/>
    <w:rsid w:val="0080013E"/>
    <w:rsid w:val="00801343"/>
    <w:rsid w:val="008014FF"/>
    <w:rsid w:val="00810949"/>
    <w:rsid w:val="00813288"/>
    <w:rsid w:val="008168FC"/>
    <w:rsid w:val="0082406A"/>
    <w:rsid w:val="00830996"/>
    <w:rsid w:val="008345F1"/>
    <w:rsid w:val="008404FB"/>
    <w:rsid w:val="00860F28"/>
    <w:rsid w:val="00865B07"/>
    <w:rsid w:val="008667EA"/>
    <w:rsid w:val="00874A79"/>
    <w:rsid w:val="0087637F"/>
    <w:rsid w:val="00892AD5"/>
    <w:rsid w:val="00893610"/>
    <w:rsid w:val="008A1512"/>
    <w:rsid w:val="008A6B2C"/>
    <w:rsid w:val="008B7C03"/>
    <w:rsid w:val="008D32B9"/>
    <w:rsid w:val="008D433B"/>
    <w:rsid w:val="008D4A16"/>
    <w:rsid w:val="008E566E"/>
    <w:rsid w:val="008E6BDF"/>
    <w:rsid w:val="008F0B90"/>
    <w:rsid w:val="008F72D1"/>
    <w:rsid w:val="0090161A"/>
    <w:rsid w:val="00901EB6"/>
    <w:rsid w:val="00904C62"/>
    <w:rsid w:val="00910037"/>
    <w:rsid w:val="009108E9"/>
    <w:rsid w:val="00921249"/>
    <w:rsid w:val="00922BA8"/>
    <w:rsid w:val="00924C5C"/>
    <w:rsid w:val="00924DAC"/>
    <w:rsid w:val="00927058"/>
    <w:rsid w:val="00930937"/>
    <w:rsid w:val="00931D36"/>
    <w:rsid w:val="009379EF"/>
    <w:rsid w:val="00942750"/>
    <w:rsid w:val="009429C7"/>
    <w:rsid w:val="009450CE"/>
    <w:rsid w:val="009459BB"/>
    <w:rsid w:val="00947179"/>
    <w:rsid w:val="0095164B"/>
    <w:rsid w:val="00953285"/>
    <w:rsid w:val="00954090"/>
    <w:rsid w:val="009573E7"/>
    <w:rsid w:val="00963E05"/>
    <w:rsid w:val="00964A45"/>
    <w:rsid w:val="00967843"/>
    <w:rsid w:val="00967D54"/>
    <w:rsid w:val="00971028"/>
    <w:rsid w:val="00982C64"/>
    <w:rsid w:val="00993B84"/>
    <w:rsid w:val="009963E1"/>
    <w:rsid w:val="00996483"/>
    <w:rsid w:val="00996F5A"/>
    <w:rsid w:val="009A5659"/>
    <w:rsid w:val="009B041A"/>
    <w:rsid w:val="009B6809"/>
    <w:rsid w:val="009C37C3"/>
    <w:rsid w:val="009C7C86"/>
    <w:rsid w:val="009D2636"/>
    <w:rsid w:val="009D2FF7"/>
    <w:rsid w:val="009E7884"/>
    <w:rsid w:val="009E788A"/>
    <w:rsid w:val="009F0E08"/>
    <w:rsid w:val="00A0691C"/>
    <w:rsid w:val="00A1763D"/>
    <w:rsid w:val="00A17CEC"/>
    <w:rsid w:val="00A2002C"/>
    <w:rsid w:val="00A27EF0"/>
    <w:rsid w:val="00A42361"/>
    <w:rsid w:val="00A50B20"/>
    <w:rsid w:val="00A51390"/>
    <w:rsid w:val="00A54936"/>
    <w:rsid w:val="00A60D13"/>
    <w:rsid w:val="00A66060"/>
    <w:rsid w:val="00A7223D"/>
    <w:rsid w:val="00A72745"/>
    <w:rsid w:val="00A76EFC"/>
    <w:rsid w:val="00A86600"/>
    <w:rsid w:val="00A87D50"/>
    <w:rsid w:val="00A91010"/>
    <w:rsid w:val="00A97F29"/>
    <w:rsid w:val="00AA702E"/>
    <w:rsid w:val="00AA7D26"/>
    <w:rsid w:val="00AB0964"/>
    <w:rsid w:val="00AB5011"/>
    <w:rsid w:val="00AC533D"/>
    <w:rsid w:val="00AC714B"/>
    <w:rsid w:val="00AC7368"/>
    <w:rsid w:val="00AD16B9"/>
    <w:rsid w:val="00AE377D"/>
    <w:rsid w:val="00AF0EBA"/>
    <w:rsid w:val="00AF4799"/>
    <w:rsid w:val="00AF5674"/>
    <w:rsid w:val="00B02C8A"/>
    <w:rsid w:val="00B17FBD"/>
    <w:rsid w:val="00B232B3"/>
    <w:rsid w:val="00B25910"/>
    <w:rsid w:val="00B315A6"/>
    <w:rsid w:val="00B31813"/>
    <w:rsid w:val="00B329C8"/>
    <w:rsid w:val="00B33365"/>
    <w:rsid w:val="00B35629"/>
    <w:rsid w:val="00B54CEB"/>
    <w:rsid w:val="00B57AB7"/>
    <w:rsid w:val="00B57B36"/>
    <w:rsid w:val="00B57E6F"/>
    <w:rsid w:val="00B8686D"/>
    <w:rsid w:val="00B87904"/>
    <w:rsid w:val="00B93F69"/>
    <w:rsid w:val="00B97E10"/>
    <w:rsid w:val="00BB1044"/>
    <w:rsid w:val="00BB1DDC"/>
    <w:rsid w:val="00BC30C9"/>
    <w:rsid w:val="00BD077D"/>
    <w:rsid w:val="00BD1482"/>
    <w:rsid w:val="00BD6E6C"/>
    <w:rsid w:val="00BE3E58"/>
    <w:rsid w:val="00C00D74"/>
    <w:rsid w:val="00C01616"/>
    <w:rsid w:val="00C0162B"/>
    <w:rsid w:val="00C068ED"/>
    <w:rsid w:val="00C22E0C"/>
    <w:rsid w:val="00C345B1"/>
    <w:rsid w:val="00C40142"/>
    <w:rsid w:val="00C461ED"/>
    <w:rsid w:val="00C52C3C"/>
    <w:rsid w:val="00C57182"/>
    <w:rsid w:val="00C57863"/>
    <w:rsid w:val="00C640AF"/>
    <w:rsid w:val="00C655FD"/>
    <w:rsid w:val="00C70F60"/>
    <w:rsid w:val="00C74018"/>
    <w:rsid w:val="00C75407"/>
    <w:rsid w:val="00C81528"/>
    <w:rsid w:val="00C870A8"/>
    <w:rsid w:val="00C94434"/>
    <w:rsid w:val="00CA0D4A"/>
    <w:rsid w:val="00CA0D75"/>
    <w:rsid w:val="00CA1C95"/>
    <w:rsid w:val="00CA5A9C"/>
    <w:rsid w:val="00CB14B7"/>
    <w:rsid w:val="00CB2E60"/>
    <w:rsid w:val="00CC4C20"/>
    <w:rsid w:val="00CC5706"/>
    <w:rsid w:val="00CD3517"/>
    <w:rsid w:val="00CD5526"/>
    <w:rsid w:val="00CD5FE2"/>
    <w:rsid w:val="00CE7C68"/>
    <w:rsid w:val="00D02B4C"/>
    <w:rsid w:val="00D040C4"/>
    <w:rsid w:val="00D134BF"/>
    <w:rsid w:val="00D20AD1"/>
    <w:rsid w:val="00D27DB5"/>
    <w:rsid w:val="00D42D25"/>
    <w:rsid w:val="00D46B7E"/>
    <w:rsid w:val="00D57C84"/>
    <w:rsid w:val="00D6057D"/>
    <w:rsid w:val="00D648EC"/>
    <w:rsid w:val="00D710A0"/>
    <w:rsid w:val="00D71556"/>
    <w:rsid w:val="00D71640"/>
    <w:rsid w:val="00D80D5E"/>
    <w:rsid w:val="00D823FD"/>
    <w:rsid w:val="00D836C5"/>
    <w:rsid w:val="00D84576"/>
    <w:rsid w:val="00D85EFE"/>
    <w:rsid w:val="00D947C4"/>
    <w:rsid w:val="00DA1399"/>
    <w:rsid w:val="00DA24C6"/>
    <w:rsid w:val="00DA2CC2"/>
    <w:rsid w:val="00DA4D7B"/>
    <w:rsid w:val="00DA581F"/>
    <w:rsid w:val="00DB2642"/>
    <w:rsid w:val="00DD271C"/>
    <w:rsid w:val="00DD3BCB"/>
    <w:rsid w:val="00DE264A"/>
    <w:rsid w:val="00DF5072"/>
    <w:rsid w:val="00E009E9"/>
    <w:rsid w:val="00E02D18"/>
    <w:rsid w:val="00E03D3F"/>
    <w:rsid w:val="00E041E7"/>
    <w:rsid w:val="00E06FF8"/>
    <w:rsid w:val="00E20109"/>
    <w:rsid w:val="00E23CA1"/>
    <w:rsid w:val="00E26266"/>
    <w:rsid w:val="00E30D5E"/>
    <w:rsid w:val="00E32971"/>
    <w:rsid w:val="00E33DD7"/>
    <w:rsid w:val="00E409A8"/>
    <w:rsid w:val="00E4226E"/>
    <w:rsid w:val="00E50C12"/>
    <w:rsid w:val="00E62A02"/>
    <w:rsid w:val="00E6349E"/>
    <w:rsid w:val="00E65B91"/>
    <w:rsid w:val="00E7209D"/>
    <w:rsid w:val="00E72EAD"/>
    <w:rsid w:val="00E77223"/>
    <w:rsid w:val="00E80E54"/>
    <w:rsid w:val="00E8528B"/>
    <w:rsid w:val="00E85B94"/>
    <w:rsid w:val="00E96196"/>
    <w:rsid w:val="00E978D0"/>
    <w:rsid w:val="00EA4613"/>
    <w:rsid w:val="00EA6BC7"/>
    <w:rsid w:val="00EA70DB"/>
    <w:rsid w:val="00EA7F91"/>
    <w:rsid w:val="00EB1523"/>
    <w:rsid w:val="00EB5A2C"/>
    <w:rsid w:val="00EC0E49"/>
    <w:rsid w:val="00EC101F"/>
    <w:rsid w:val="00EC1D9F"/>
    <w:rsid w:val="00EC22F0"/>
    <w:rsid w:val="00EC646C"/>
    <w:rsid w:val="00EE0131"/>
    <w:rsid w:val="00EE17B0"/>
    <w:rsid w:val="00EE1B5D"/>
    <w:rsid w:val="00EF06D9"/>
    <w:rsid w:val="00EF3543"/>
    <w:rsid w:val="00F03B7D"/>
    <w:rsid w:val="00F12F87"/>
    <w:rsid w:val="00F3049E"/>
    <w:rsid w:val="00F30C64"/>
    <w:rsid w:val="00F32BA2"/>
    <w:rsid w:val="00F32CDB"/>
    <w:rsid w:val="00F44B55"/>
    <w:rsid w:val="00F55355"/>
    <w:rsid w:val="00F565FE"/>
    <w:rsid w:val="00F63A70"/>
    <w:rsid w:val="00F63D8C"/>
    <w:rsid w:val="00F65875"/>
    <w:rsid w:val="00F7534E"/>
    <w:rsid w:val="00F76135"/>
    <w:rsid w:val="00F77B96"/>
    <w:rsid w:val="00F93C23"/>
    <w:rsid w:val="00F93EDF"/>
    <w:rsid w:val="00FA1802"/>
    <w:rsid w:val="00FA21D0"/>
    <w:rsid w:val="00FA5F5F"/>
    <w:rsid w:val="00FA65D5"/>
    <w:rsid w:val="00FB730C"/>
    <w:rsid w:val="00FC2695"/>
    <w:rsid w:val="00FC3E03"/>
    <w:rsid w:val="00FC3FC1"/>
    <w:rsid w:val="00FE1BB4"/>
    <w:rsid w:val="00FE546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41263BCD-3724-41FE-861B-CC96370B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DD3BCB"/>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AF5674"/>
    <w:rPr>
      <w:color w:val="808080"/>
    </w:rPr>
  </w:style>
  <w:style w:type="paragraph" w:styleId="Revisione">
    <w:name w:val="Revision"/>
    <w:hidden/>
    <w:uiPriority w:val="99"/>
    <w:semiHidden/>
    <w:rsid w:val="009963E1"/>
    <w:pPr>
      <w:spacing w:after="0" w:line="240" w:lineRule="auto"/>
    </w:pPr>
    <w:rPr>
      <w:rFonts w:ascii="Arial" w:eastAsia="Times New Roman" w:hAnsi="Arial" w:cs="Times New Roman"/>
      <w:sz w:val="18"/>
      <w:szCs w:val="20"/>
      <w:lang w:val="en-GB"/>
    </w:rPr>
  </w:style>
  <w:style w:type="character" w:customStyle="1" w:styleId="Menzionenonrisolta1">
    <w:name w:val="Menzione non risolta1"/>
    <w:basedOn w:val="Carpredefinitoparagrafo"/>
    <w:uiPriority w:val="99"/>
    <w:semiHidden/>
    <w:unhideWhenUsed/>
    <w:rsid w:val="00D42D25"/>
    <w:rPr>
      <w:color w:val="605E5C"/>
      <w:shd w:val="clear" w:color="auto" w:fill="E1DFDD"/>
    </w:rPr>
  </w:style>
  <w:style w:type="character" w:styleId="CodiceHTML">
    <w:name w:val="HTML Code"/>
    <w:basedOn w:val="Carpredefinitoparagrafo"/>
    <w:uiPriority w:val="99"/>
    <w:semiHidden/>
    <w:unhideWhenUsed/>
    <w:rsid w:val="00E2626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313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29797-9346-4C82-85E1-B52A273F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7822</Words>
  <Characters>44592</Characters>
  <Application>Microsoft Office Word</Application>
  <DocSecurity>0</DocSecurity>
  <Lines>371</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ALESSANDRO TAMBURINI</cp:lastModifiedBy>
  <cp:revision>3</cp:revision>
  <cp:lastPrinted>2015-05-12T18:31:00Z</cp:lastPrinted>
  <dcterms:created xsi:type="dcterms:W3CDTF">2023-07-18T09:20:00Z</dcterms:created>
  <dcterms:modified xsi:type="dcterms:W3CDTF">2023-07-18T09:25:00Z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id="Rn4Utncg"/&gt;&lt;style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y fmtid="{D5CDD505-2E9C-101B-9397-08002B2CF9AE}" pid="4" name="GrammarlyDocumentId">
    <vt:lpwstr>caf9947ac3f4bc3accb4031122ad4258ba2b1ec7f9063ca0c89f6c52fc28dd78</vt:lpwstr>
  </property>
</Properties>
</file>