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0"/>
        <w:gridCol w:w="1842"/>
      </w:tblGrid>
      <w:tr w:rsidR="000A03B2" w:rsidRPr="00B57B36" w14:paraId="2A131A54" w14:textId="77777777" w:rsidTr="00DE264A">
        <w:trPr>
          <w:trHeight w:val="852"/>
          <w:jc w:val="center"/>
        </w:trPr>
        <w:tc>
          <w:tcPr>
            <w:tcW w:w="6946" w:type="dxa"/>
            <w:vMerge w:val="restart"/>
            <w:tcBorders>
              <w:right w:val="single" w:sz="4" w:space="0" w:color="auto"/>
            </w:tcBorders>
          </w:tcPr>
          <w:p w14:paraId="38C3D2BA" w14:textId="77777777" w:rsidR="000A03B2" w:rsidRPr="00B57B36" w:rsidRDefault="000A03B2" w:rsidP="00DE264A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r w:rsidRPr="00B57B36">
              <w:rPr>
                <w:rFonts w:ascii="AdvP6960" w:hAnsi="AdvP6960" w:cs="AdvP6960"/>
                <w:noProof/>
                <w:color w:val="241F20"/>
                <w:szCs w:val="18"/>
                <w:lang w:val="it-IT" w:eastAsia="it-IT"/>
              </w:rPr>
              <w:drawing>
                <wp:inline distT="0" distB="0" distL="0" distR="0" wp14:anchorId="02B7C3D3" wp14:editId="5EE03112">
                  <wp:extent cx="640080" cy="373380"/>
                  <wp:effectExtent l="0" t="0" r="7620" b="7620"/>
                  <wp:docPr id="5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B36">
              <w:rPr>
                <w:rFonts w:ascii="AdvP6960" w:hAnsi="AdvP6960" w:cs="AdvP6960"/>
                <w:color w:val="241F20"/>
                <w:szCs w:val="18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Pr="00B57B36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Pr="00B57B36">
              <w:rPr>
                <w:color w:val="333333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7"/>
                <w:szCs w:val="27"/>
                <w:lang w:eastAsia="it-IT"/>
              </w:rPr>
              <w:br/>
            </w:r>
          </w:p>
          <w:p w14:paraId="4B780582" w14:textId="530285EB" w:rsidR="000A03B2" w:rsidRPr="00B57B36" w:rsidRDefault="00A76EFC" w:rsidP="001D21AF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 w:rsidRPr="00B57B36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VOL. </w:t>
            </w:r>
            <w:r w:rsidR="0030152C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  </w:t>
            </w:r>
            <w:r w:rsidR="007B48F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</w:t>
            </w:r>
            <w:r w:rsidR="00FA5F5F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r w:rsidR="0030152C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2023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6782132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A publication of</w:t>
            </w:r>
          </w:p>
          <w:p w14:paraId="599E5441" w14:textId="77777777" w:rsidR="000A03B2" w:rsidRPr="00B57B36" w:rsidRDefault="000A03B2" w:rsidP="00CD5FE2">
            <w:pPr>
              <w:jc w:val="right"/>
            </w:pPr>
            <w:r w:rsidRPr="00B57B36">
              <w:rPr>
                <w:noProof/>
                <w:lang w:val="it-IT" w:eastAsia="it-IT"/>
              </w:rPr>
              <w:drawing>
                <wp:inline distT="0" distB="0" distL="0" distR="0" wp14:anchorId="59C75AF4" wp14:editId="4FF92432">
                  <wp:extent cx="670560" cy="358140"/>
                  <wp:effectExtent l="0" t="0" r="0" b="3810"/>
                  <wp:docPr id="6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B57B36" w14:paraId="380FA3CD" w14:textId="77777777" w:rsidTr="00DE264A">
        <w:trPr>
          <w:trHeight w:val="567"/>
          <w:jc w:val="center"/>
        </w:trPr>
        <w:tc>
          <w:tcPr>
            <w:tcW w:w="6946" w:type="dxa"/>
            <w:vMerge/>
            <w:tcBorders>
              <w:right w:val="single" w:sz="4" w:space="0" w:color="auto"/>
            </w:tcBorders>
          </w:tcPr>
          <w:p w14:paraId="39E5E4C1" w14:textId="77777777" w:rsidR="000A03B2" w:rsidRPr="00B57B36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858A98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The Italian Association</w:t>
            </w:r>
          </w:p>
          <w:p w14:paraId="7522B1D2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of Chemical Engineering</w:t>
            </w:r>
          </w:p>
          <w:p w14:paraId="4F0CC5DE" w14:textId="47FDB2FC" w:rsidR="000A03B2" w:rsidRPr="000D0268" w:rsidRDefault="000D0268" w:rsidP="00CD5FE2">
            <w:pPr>
              <w:spacing w:line="140" w:lineRule="atLeast"/>
              <w:jc w:val="right"/>
              <w:rPr>
                <w:rFonts w:cs="Arial"/>
                <w:sz w:val="13"/>
                <w:szCs w:val="13"/>
              </w:rPr>
            </w:pPr>
            <w:r w:rsidRPr="000D0268">
              <w:rPr>
                <w:rFonts w:cs="Arial"/>
                <w:sz w:val="13"/>
                <w:szCs w:val="13"/>
              </w:rPr>
              <w:t>Online at www.cetjournal.it</w:t>
            </w:r>
          </w:p>
        </w:tc>
      </w:tr>
      <w:tr w:rsidR="000A03B2" w:rsidRPr="00B57B36" w14:paraId="2D1B7169" w14:textId="77777777" w:rsidTr="00DE264A">
        <w:trPr>
          <w:trHeight w:val="68"/>
          <w:jc w:val="center"/>
        </w:trPr>
        <w:tc>
          <w:tcPr>
            <w:tcW w:w="8789" w:type="dxa"/>
            <w:gridSpan w:val="2"/>
          </w:tcPr>
          <w:p w14:paraId="1D8DD3C9" w14:textId="10669D10" w:rsidR="00AA7D26" w:rsidRPr="005E7C48" w:rsidRDefault="00AA7D26" w:rsidP="00AA7D26">
            <w:pPr>
              <w:ind w:left="-107"/>
              <w:outlineLvl w:val="2"/>
              <w:rPr>
                <w:rFonts w:ascii="Tahoma" w:hAnsi="Tahoma" w:cs="Tahoma"/>
                <w:bCs/>
                <w:color w:val="000000"/>
                <w:sz w:val="14"/>
                <w:szCs w:val="14"/>
                <w:lang w:val="it-IT" w:eastAsia="it-IT"/>
              </w:rPr>
            </w:pPr>
            <w:r w:rsidRPr="003A6FC6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>Guest Editors:</w:t>
            </w:r>
            <w:r w:rsidRPr="003A6FC6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 xml:space="preserve"> </w:t>
            </w:r>
            <w:r w:rsidR="005E7C48" w:rsidRPr="005E7C48">
              <w:rPr>
                <w:sz w:val="14"/>
                <w:szCs w:val="14"/>
                <w:lang w:val="it-IT"/>
              </w:rPr>
              <w:t>David Bogle, Flavio Manenti, Piero Salatino</w:t>
            </w:r>
          </w:p>
          <w:p w14:paraId="1B0F1814" w14:textId="6981DC84" w:rsidR="000A03B2" w:rsidRPr="00B57B36" w:rsidRDefault="00AA7D26" w:rsidP="00AA7D26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Copyright © 2023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, AIDIC Servizi S.r.l.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Pr="00B57B36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Pr="00B57B36">
              <w:rPr>
                <w:rFonts w:ascii="Tahoma" w:hAnsi="Tahoma" w:cs="Tahoma"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8B7C03" w:rsidRPr="000562A9">
              <w:rPr>
                <w:rFonts w:ascii="Tahoma" w:hAnsi="Tahoma" w:cs="Tahoma"/>
                <w:sz w:val="14"/>
                <w:szCs w:val="14"/>
              </w:rPr>
              <w:t>97</w:t>
            </w:r>
            <w:r w:rsidR="008B7C03">
              <w:rPr>
                <w:rFonts w:ascii="Tahoma" w:hAnsi="Tahoma" w:cs="Tahoma"/>
                <w:sz w:val="14"/>
                <w:szCs w:val="14"/>
              </w:rPr>
              <w:t>9</w:t>
            </w:r>
            <w:r w:rsidR="008B7C03" w:rsidRPr="000562A9">
              <w:rPr>
                <w:rFonts w:ascii="Tahoma" w:hAnsi="Tahoma" w:cs="Tahoma"/>
                <w:sz w:val="14"/>
                <w:szCs w:val="14"/>
              </w:rPr>
              <w:t>-</w:t>
            </w:r>
            <w:r w:rsidR="008B7C03">
              <w:rPr>
                <w:rFonts w:ascii="Tahoma" w:hAnsi="Tahoma" w:cs="Tahoma"/>
                <w:sz w:val="14"/>
                <w:szCs w:val="14"/>
              </w:rPr>
              <w:t>12</w:t>
            </w:r>
            <w:r w:rsidR="008B7C03" w:rsidRPr="000562A9">
              <w:rPr>
                <w:rFonts w:ascii="Tahoma" w:hAnsi="Tahoma" w:cs="Tahoma"/>
                <w:sz w:val="14"/>
                <w:szCs w:val="14"/>
              </w:rPr>
              <w:t>-</w:t>
            </w:r>
            <w:r w:rsidR="008B7C03">
              <w:rPr>
                <w:rFonts w:ascii="Tahoma" w:hAnsi="Tahoma" w:cs="Tahoma"/>
                <w:sz w:val="14"/>
                <w:szCs w:val="14"/>
              </w:rPr>
              <w:t>81206</w:t>
            </w:r>
            <w:r>
              <w:rPr>
                <w:rFonts w:ascii="Tahoma" w:hAnsi="Tahoma" w:cs="Tahoma"/>
                <w:sz w:val="14"/>
                <w:szCs w:val="14"/>
              </w:rPr>
              <w:t>-</w:t>
            </w:r>
            <w:r w:rsidR="00E33DD7">
              <w:rPr>
                <w:rFonts w:ascii="Tahoma" w:hAnsi="Tahoma" w:cs="Tahoma"/>
                <w:sz w:val="14"/>
                <w:szCs w:val="14"/>
              </w:rPr>
              <w:t>0</w:t>
            </w:r>
            <w:r w:rsidR="005E7C48">
              <w:rPr>
                <w:rFonts w:ascii="Tahoma" w:hAnsi="Tahoma" w:cs="Tahoma"/>
                <w:sz w:val="14"/>
                <w:szCs w:val="14"/>
              </w:rPr>
              <w:t>4</w:t>
            </w:r>
            <w:r>
              <w:rPr>
                <w:rFonts w:ascii="Tahoma" w:hAnsi="Tahoma" w:cs="Tahoma"/>
                <w:sz w:val="14"/>
                <w:szCs w:val="14"/>
              </w:rPr>
              <w:t>-</w:t>
            </w:r>
            <w:r w:rsidR="005E7C48">
              <w:rPr>
                <w:rFonts w:ascii="Tahoma" w:hAnsi="Tahoma" w:cs="Tahoma"/>
                <w:sz w:val="14"/>
                <w:szCs w:val="14"/>
              </w:rPr>
              <w:t>5</w:t>
            </w:r>
            <w:r w:rsidRPr="00EF06D9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;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r w:rsidRPr="00B57B36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p w14:paraId="2E667253" w14:textId="1EFF847B" w:rsidR="00E978D0" w:rsidRPr="00B57B36" w:rsidRDefault="00532956" w:rsidP="00E978D0">
      <w:pPr>
        <w:pStyle w:val="CETTitle"/>
      </w:pPr>
      <w:r w:rsidRPr="00532956">
        <w:t xml:space="preserve">Production of </w:t>
      </w:r>
      <w:r w:rsidR="00C53A29">
        <w:t>U</w:t>
      </w:r>
      <w:r w:rsidRPr="00532956">
        <w:t xml:space="preserve">rea-based </w:t>
      </w:r>
      <w:r w:rsidR="00C53A29">
        <w:t>D</w:t>
      </w:r>
      <w:r w:rsidRPr="00532956">
        <w:t>e-NO</w:t>
      </w:r>
      <w:r w:rsidRPr="00A236A6">
        <w:rPr>
          <w:vertAlign w:val="subscript"/>
        </w:rPr>
        <w:t>x</w:t>
      </w:r>
      <w:r w:rsidRPr="00532956">
        <w:t xml:space="preserve"> </w:t>
      </w:r>
      <w:r w:rsidR="00C53A29">
        <w:t>R</w:t>
      </w:r>
      <w:r w:rsidR="00A236A6">
        <w:t xml:space="preserve">eduction </w:t>
      </w:r>
      <w:r w:rsidR="00C53A29">
        <w:t>A</w:t>
      </w:r>
      <w:r w:rsidRPr="00532956">
        <w:t xml:space="preserve">gents with </w:t>
      </w:r>
      <w:r w:rsidR="00C53A29">
        <w:t>M</w:t>
      </w:r>
      <w:r w:rsidR="00687D3D">
        <w:t>inimum</w:t>
      </w:r>
      <w:r w:rsidRPr="00532956">
        <w:t xml:space="preserve"> </w:t>
      </w:r>
      <w:r w:rsidR="00C53A29">
        <w:t>A</w:t>
      </w:r>
      <w:r w:rsidRPr="00532956">
        <w:t xml:space="preserve">dditional </w:t>
      </w:r>
      <w:r w:rsidR="00C53A29">
        <w:t>C</w:t>
      </w:r>
      <w:r w:rsidRPr="00532956">
        <w:t xml:space="preserve">ontributions to the GHG </w:t>
      </w:r>
      <w:r w:rsidR="00C53A29">
        <w:t>E</w:t>
      </w:r>
      <w:r w:rsidRPr="00532956">
        <w:t>missions</w:t>
      </w:r>
    </w:p>
    <w:p w14:paraId="0488FED2" w14:textId="36C270F5" w:rsidR="00B57E6F" w:rsidRPr="0094626E" w:rsidRDefault="00532956" w:rsidP="00B57E6F">
      <w:pPr>
        <w:pStyle w:val="CETAuthors"/>
        <w:rPr>
          <w:lang w:val="it-IT"/>
        </w:rPr>
      </w:pPr>
      <w:r w:rsidRPr="0094626E">
        <w:rPr>
          <w:lang w:val="it-IT"/>
        </w:rPr>
        <w:t>Damiano Visciotti</w:t>
      </w:r>
      <w:r w:rsidRPr="0094626E">
        <w:rPr>
          <w:vertAlign w:val="superscript"/>
          <w:lang w:val="it-IT"/>
        </w:rPr>
        <w:t>a</w:t>
      </w:r>
    </w:p>
    <w:p w14:paraId="6B2D21B3" w14:textId="6045D9E8" w:rsidR="00B57E6F" w:rsidRDefault="00B57E6F" w:rsidP="00B57E6F">
      <w:pPr>
        <w:pStyle w:val="CETAddress"/>
        <w:rPr>
          <w:lang w:val="it-IT"/>
        </w:rPr>
      </w:pPr>
      <w:r w:rsidRPr="00532956">
        <w:rPr>
          <w:vertAlign w:val="superscript"/>
          <w:lang w:val="it-IT"/>
        </w:rPr>
        <w:t>a</w:t>
      </w:r>
      <w:r w:rsidR="00532956" w:rsidRPr="00532956">
        <w:rPr>
          <w:lang w:val="it-IT"/>
        </w:rPr>
        <w:t>Tecnimont Sp</w:t>
      </w:r>
      <w:r w:rsidR="000312D4">
        <w:rPr>
          <w:lang w:val="it-IT"/>
        </w:rPr>
        <w:t>A (MAIRE Group)</w:t>
      </w:r>
      <w:r w:rsidR="00532956" w:rsidRPr="00532956">
        <w:rPr>
          <w:lang w:val="it-IT"/>
        </w:rPr>
        <w:t>, via Gaetano de Castillia 6</w:t>
      </w:r>
      <w:r w:rsidR="000312D4">
        <w:rPr>
          <w:lang w:val="it-IT"/>
        </w:rPr>
        <w:t>A, 20124</w:t>
      </w:r>
      <w:r w:rsidR="00532956" w:rsidRPr="00532956">
        <w:rPr>
          <w:lang w:val="it-IT"/>
        </w:rPr>
        <w:t xml:space="preserve"> Milano</w:t>
      </w:r>
      <w:r w:rsidRPr="00532956">
        <w:rPr>
          <w:lang w:val="it-IT"/>
        </w:rPr>
        <w:t xml:space="preserve"> </w:t>
      </w:r>
      <w:r w:rsidR="000312D4">
        <w:rPr>
          <w:lang w:val="it-IT"/>
        </w:rPr>
        <w:t>- Italy</w:t>
      </w:r>
    </w:p>
    <w:p w14:paraId="32B4876C" w14:textId="25E9A781" w:rsidR="00313119" w:rsidRPr="007C2E09" w:rsidRDefault="00313119" w:rsidP="00B57E6F">
      <w:pPr>
        <w:pStyle w:val="CETAddress"/>
        <w:rPr>
          <w:lang w:val="en-US"/>
        </w:rPr>
      </w:pPr>
      <w:r>
        <w:t>d.visciotti</w:t>
      </w:r>
      <w:r w:rsidRPr="00B57B36">
        <w:t>@</w:t>
      </w:r>
      <w:r>
        <w:t>tecnimont.it</w:t>
      </w:r>
    </w:p>
    <w:p w14:paraId="7008913F" w14:textId="77777777" w:rsidR="00532956" w:rsidRPr="007C2E09" w:rsidRDefault="00532956" w:rsidP="00600535">
      <w:pPr>
        <w:pStyle w:val="CETBodytext"/>
      </w:pPr>
    </w:p>
    <w:p w14:paraId="28324449" w14:textId="6AD9066D" w:rsidR="00313119" w:rsidRPr="007C2E09" w:rsidRDefault="00313119" w:rsidP="007C2E09">
      <w:pPr>
        <w:pStyle w:val="CETBodytext"/>
        <w:rPr>
          <w:lang w:val="en-GB"/>
        </w:rPr>
      </w:pPr>
      <w:r w:rsidRPr="007C2E09">
        <w:rPr>
          <w:lang w:val="en-GB"/>
        </w:rPr>
        <w:t xml:space="preserve">The present paper is a review of the most viable, </w:t>
      </w:r>
      <w:r w:rsidR="007C2E09" w:rsidRPr="007C2E09">
        <w:rPr>
          <w:lang w:val="en-GB"/>
        </w:rPr>
        <w:t>sustainable,</w:t>
      </w:r>
      <w:r w:rsidRPr="007C2E09">
        <w:rPr>
          <w:lang w:val="en-GB"/>
        </w:rPr>
        <w:t xml:space="preserve"> and carbon-neutral industrial routes available for producing </w:t>
      </w:r>
      <w:r w:rsidR="00687D3D">
        <w:rPr>
          <w:lang w:val="en-GB"/>
        </w:rPr>
        <w:t xml:space="preserve">urea based </w:t>
      </w:r>
      <w:r w:rsidRPr="007C2E09">
        <w:rPr>
          <w:lang w:val="en-GB"/>
        </w:rPr>
        <w:t>de</w:t>
      </w:r>
      <w:r w:rsidR="007C2E09">
        <w:rPr>
          <w:lang w:val="en-GB"/>
        </w:rPr>
        <w:t>-</w:t>
      </w:r>
      <w:r w:rsidRPr="007C2E09">
        <w:rPr>
          <w:lang w:val="en-GB"/>
        </w:rPr>
        <w:t>NO</w:t>
      </w:r>
      <w:r w:rsidRPr="00A236A6">
        <w:rPr>
          <w:vertAlign w:val="subscript"/>
          <w:lang w:val="en-GB"/>
        </w:rPr>
        <w:t>x</w:t>
      </w:r>
      <w:r w:rsidRPr="007C2E09">
        <w:rPr>
          <w:lang w:val="en-GB"/>
        </w:rPr>
        <w:t xml:space="preserve"> </w:t>
      </w:r>
      <w:r w:rsidR="00687D3D">
        <w:rPr>
          <w:lang w:val="en-GB"/>
        </w:rPr>
        <w:t xml:space="preserve">reduction </w:t>
      </w:r>
      <w:r w:rsidRPr="007C2E09">
        <w:rPr>
          <w:lang w:val="en-GB"/>
        </w:rPr>
        <w:t>agents (</w:t>
      </w:r>
      <w:r w:rsidR="007C2E09" w:rsidRPr="007C2E09">
        <w:rPr>
          <w:lang w:val="en-GB"/>
        </w:rPr>
        <w:t>e.g.,</w:t>
      </w:r>
      <w:r w:rsidRPr="007C2E09">
        <w:rPr>
          <w:lang w:val="en-GB"/>
        </w:rPr>
        <w:t xml:space="preserve"> AdBlue 32%), with a </w:t>
      </w:r>
      <w:r w:rsidR="00687D3D">
        <w:rPr>
          <w:lang w:val="en-GB"/>
        </w:rPr>
        <w:t>negligeable</w:t>
      </w:r>
      <w:r w:rsidRPr="007C2E09">
        <w:rPr>
          <w:lang w:val="en-GB"/>
        </w:rPr>
        <w:t xml:space="preserve"> contribution to the GHG emissions, in comparison with the </w:t>
      </w:r>
      <w:r w:rsidR="00687D3D">
        <w:rPr>
          <w:lang w:val="en-GB"/>
        </w:rPr>
        <w:t xml:space="preserve">conventional </w:t>
      </w:r>
      <w:r w:rsidRPr="007C2E09">
        <w:rPr>
          <w:lang w:val="en-GB"/>
        </w:rPr>
        <w:t>current applications.</w:t>
      </w:r>
    </w:p>
    <w:p w14:paraId="2B727BD0" w14:textId="36EF0E5E" w:rsidR="00313119" w:rsidRPr="007C2E09" w:rsidRDefault="00313119" w:rsidP="007C2E09">
      <w:pPr>
        <w:pStyle w:val="CETBodytext"/>
        <w:rPr>
          <w:lang w:val="en-GB"/>
        </w:rPr>
      </w:pPr>
      <w:r w:rsidRPr="007C2E09">
        <w:rPr>
          <w:lang w:val="en-GB"/>
        </w:rPr>
        <w:t xml:space="preserve">Starting from the analysis of the </w:t>
      </w:r>
      <w:r w:rsidR="00B71A2D">
        <w:rPr>
          <w:lang w:val="en-GB"/>
        </w:rPr>
        <w:t>trend in the demand</w:t>
      </w:r>
      <w:r w:rsidRPr="007C2E09">
        <w:rPr>
          <w:lang w:val="en-GB"/>
        </w:rPr>
        <w:t xml:space="preserve"> of urea-based de-NO</w:t>
      </w:r>
      <w:r w:rsidRPr="00B71A2D">
        <w:rPr>
          <w:vertAlign w:val="subscript"/>
          <w:lang w:val="en-GB"/>
        </w:rPr>
        <w:t>x</w:t>
      </w:r>
      <w:r w:rsidRPr="007C2E09">
        <w:rPr>
          <w:lang w:val="en-GB"/>
        </w:rPr>
        <w:t xml:space="preserve"> agents and the forecast growth of such market, the study provides a quantitative assessment of the contribution to the GHG emissions due to the common production routes of these chemicals, showing </w:t>
      </w:r>
      <w:r w:rsidR="00687D3D">
        <w:rPr>
          <w:lang w:val="en-GB"/>
        </w:rPr>
        <w:t xml:space="preserve">an </w:t>
      </w:r>
      <w:r w:rsidRPr="007C2E09">
        <w:rPr>
          <w:lang w:val="en-GB"/>
        </w:rPr>
        <w:t xml:space="preserve">alternative industrial </w:t>
      </w:r>
      <w:r w:rsidR="00687D3D">
        <w:rPr>
          <w:lang w:val="en-GB"/>
        </w:rPr>
        <w:t>process</w:t>
      </w:r>
      <w:r w:rsidRPr="007C2E09">
        <w:rPr>
          <w:lang w:val="en-GB"/>
        </w:rPr>
        <w:t xml:space="preserve"> which balance</w:t>
      </w:r>
      <w:r w:rsidR="00687D3D">
        <w:rPr>
          <w:lang w:val="en-GB"/>
        </w:rPr>
        <w:t>s</w:t>
      </w:r>
      <w:r w:rsidRPr="007C2E09">
        <w:rPr>
          <w:lang w:val="en-GB"/>
        </w:rPr>
        <w:t xml:space="preserve"> and neutralize</w:t>
      </w:r>
      <w:r w:rsidR="00687D3D">
        <w:rPr>
          <w:lang w:val="en-GB"/>
        </w:rPr>
        <w:t>s</w:t>
      </w:r>
      <w:r w:rsidRPr="007C2E09">
        <w:rPr>
          <w:lang w:val="en-GB"/>
        </w:rPr>
        <w:t xml:space="preserve"> this adverse environmental effect.</w:t>
      </w:r>
    </w:p>
    <w:p w14:paraId="6204A57D" w14:textId="5EB70026" w:rsidR="00313119" w:rsidRPr="007C2E09" w:rsidRDefault="00313119" w:rsidP="007C2E09">
      <w:pPr>
        <w:pStyle w:val="CETBodytext"/>
        <w:rPr>
          <w:lang w:val="en-GB"/>
        </w:rPr>
      </w:pPr>
      <w:r w:rsidRPr="007C2E09">
        <w:rPr>
          <w:lang w:val="en-GB"/>
        </w:rPr>
        <w:t>Indeed, some carbon-intensive industrial processes such as cement or steel productions have, as of now, no feasible way to avoid or significantly limit CO</w:t>
      </w:r>
      <w:r w:rsidRPr="00B71A2D">
        <w:rPr>
          <w:vertAlign w:val="subscript"/>
          <w:lang w:val="en-GB"/>
        </w:rPr>
        <w:t>2</w:t>
      </w:r>
      <w:r w:rsidRPr="007C2E09">
        <w:rPr>
          <w:lang w:val="en-GB"/>
        </w:rPr>
        <w:t xml:space="preserve"> emissions from their flue gas waste streams. </w:t>
      </w:r>
    </w:p>
    <w:p w14:paraId="674D9ED3" w14:textId="1E49D624" w:rsidR="00313119" w:rsidRPr="007C2E09" w:rsidRDefault="00313119" w:rsidP="007C2E09">
      <w:pPr>
        <w:pStyle w:val="CETBodytext"/>
        <w:rPr>
          <w:lang w:val="en-GB"/>
        </w:rPr>
      </w:pPr>
      <w:r w:rsidRPr="007C2E09">
        <w:rPr>
          <w:lang w:val="en-GB"/>
        </w:rPr>
        <w:t>The integration schemes with such existing large CO</w:t>
      </w:r>
      <w:r w:rsidRPr="00B71A2D">
        <w:rPr>
          <w:vertAlign w:val="subscript"/>
          <w:lang w:val="en-GB"/>
        </w:rPr>
        <w:t>2</w:t>
      </w:r>
      <w:r w:rsidRPr="007C2E09">
        <w:rPr>
          <w:lang w:val="en-GB"/>
        </w:rPr>
        <w:t xml:space="preserve"> point </w:t>
      </w:r>
      <w:r w:rsidR="00687D3D">
        <w:rPr>
          <w:lang w:val="en-GB"/>
        </w:rPr>
        <w:t xml:space="preserve">emitters </w:t>
      </w:r>
      <w:r w:rsidRPr="007C2E09">
        <w:rPr>
          <w:lang w:val="en-GB"/>
        </w:rPr>
        <w:t>are investigated with the objective to produce a carbon-neutral urea-based de-NO</w:t>
      </w:r>
      <w:r w:rsidRPr="00AC6416">
        <w:rPr>
          <w:vertAlign w:val="subscript"/>
          <w:lang w:val="en-GB"/>
        </w:rPr>
        <w:t>x</w:t>
      </w:r>
      <w:r w:rsidRPr="007C2E09">
        <w:rPr>
          <w:lang w:val="en-GB"/>
        </w:rPr>
        <w:t xml:space="preserve"> agent with </w:t>
      </w:r>
      <w:r w:rsidR="00687D3D">
        <w:rPr>
          <w:lang w:val="en-GB"/>
        </w:rPr>
        <w:t>minimum</w:t>
      </w:r>
      <w:r w:rsidRPr="007C2E09">
        <w:rPr>
          <w:lang w:val="en-GB"/>
        </w:rPr>
        <w:t xml:space="preserve"> additional contributions to the GHG emissions.</w:t>
      </w:r>
    </w:p>
    <w:p w14:paraId="476B2F2E" w14:textId="68B9466F" w:rsidR="00600535" w:rsidRPr="00B57B36" w:rsidRDefault="00600535" w:rsidP="00DE2DFD">
      <w:pPr>
        <w:pStyle w:val="CETHeading1"/>
        <w:numPr>
          <w:ilvl w:val="0"/>
          <w:numId w:val="24"/>
        </w:numPr>
        <w:tabs>
          <w:tab w:val="num" w:pos="360"/>
        </w:tabs>
        <w:ind w:left="0" w:firstLine="0"/>
        <w:rPr>
          <w:lang w:val="en-GB"/>
        </w:rPr>
      </w:pPr>
      <w:r w:rsidRPr="00B57B36">
        <w:rPr>
          <w:lang w:val="en-GB"/>
        </w:rPr>
        <w:t>Introduction</w:t>
      </w:r>
    </w:p>
    <w:p w14:paraId="096A8DE3" w14:textId="7DCBD7B6" w:rsidR="006544B1" w:rsidRDefault="00CA5961" w:rsidP="00CA5961">
      <w:pPr>
        <w:pStyle w:val="CETBodytext"/>
        <w:rPr>
          <w:lang w:val="en-GB"/>
        </w:rPr>
      </w:pPr>
      <w:r w:rsidRPr="00CA5961">
        <w:rPr>
          <w:lang w:val="en-GB"/>
        </w:rPr>
        <w:t xml:space="preserve">Nitrogen oxides </w:t>
      </w:r>
      <w:r w:rsidR="0048216A">
        <w:rPr>
          <w:lang w:val="en-GB"/>
        </w:rPr>
        <w:t>are well known to be</w:t>
      </w:r>
      <w:r w:rsidRPr="00CA5961">
        <w:rPr>
          <w:lang w:val="en-GB"/>
        </w:rPr>
        <w:t xml:space="preserve"> troublesome gaseous components polluting</w:t>
      </w:r>
      <w:r>
        <w:rPr>
          <w:lang w:val="en-GB"/>
        </w:rPr>
        <w:t xml:space="preserve"> </w:t>
      </w:r>
      <w:r w:rsidRPr="00CA5961">
        <w:rPr>
          <w:lang w:val="en-GB"/>
        </w:rPr>
        <w:t>atmospheric air</w:t>
      </w:r>
      <w:r>
        <w:rPr>
          <w:lang w:val="en-GB"/>
        </w:rPr>
        <w:t xml:space="preserve">. </w:t>
      </w:r>
      <w:r w:rsidRPr="00CA5961">
        <w:t xml:space="preserve">Among </w:t>
      </w:r>
      <w:r w:rsidR="00A529EB">
        <w:t xml:space="preserve">the </w:t>
      </w:r>
      <w:r w:rsidRPr="00CA5961">
        <w:t xml:space="preserve">nitrogen oxides </w:t>
      </w:r>
      <w:r w:rsidR="00A529EB">
        <w:t xml:space="preserve">forms </w:t>
      </w:r>
      <w:r w:rsidRPr="00CA5961">
        <w:t>(N</w:t>
      </w:r>
      <w:r w:rsidRPr="006544B1">
        <w:rPr>
          <w:vertAlign w:val="subscript"/>
        </w:rPr>
        <w:t>2</w:t>
      </w:r>
      <w:r w:rsidRPr="00CA5961">
        <w:t>O, NO, N</w:t>
      </w:r>
      <w:r w:rsidRPr="006544B1">
        <w:rPr>
          <w:vertAlign w:val="subscript"/>
        </w:rPr>
        <w:t>2</w:t>
      </w:r>
      <w:r w:rsidRPr="00CA5961">
        <w:t>O</w:t>
      </w:r>
      <w:r w:rsidRPr="006544B1">
        <w:rPr>
          <w:vertAlign w:val="subscript"/>
        </w:rPr>
        <w:t>3</w:t>
      </w:r>
      <w:r w:rsidRPr="00CA5961">
        <w:t>, NO</w:t>
      </w:r>
      <w:r w:rsidRPr="006544B1">
        <w:rPr>
          <w:vertAlign w:val="subscript"/>
        </w:rPr>
        <w:t>2</w:t>
      </w:r>
      <w:r w:rsidRPr="00CA5961">
        <w:t>, N</w:t>
      </w:r>
      <w:r w:rsidRPr="006544B1">
        <w:rPr>
          <w:vertAlign w:val="subscript"/>
        </w:rPr>
        <w:t>2</w:t>
      </w:r>
      <w:r w:rsidRPr="00CA5961">
        <w:t>O</w:t>
      </w:r>
      <w:r w:rsidRPr="006544B1">
        <w:rPr>
          <w:vertAlign w:val="subscript"/>
        </w:rPr>
        <w:t>4</w:t>
      </w:r>
      <w:r w:rsidRPr="00CA5961">
        <w:t>, N</w:t>
      </w:r>
      <w:r w:rsidRPr="006544B1">
        <w:rPr>
          <w:vertAlign w:val="subscript"/>
        </w:rPr>
        <w:t>2</w:t>
      </w:r>
      <w:r w:rsidRPr="00CA5961">
        <w:t>O</w:t>
      </w:r>
      <w:r w:rsidRPr="006544B1">
        <w:rPr>
          <w:vertAlign w:val="subscript"/>
        </w:rPr>
        <w:t>5</w:t>
      </w:r>
      <w:r w:rsidRPr="00CA5961">
        <w:t xml:space="preserve">), </w:t>
      </w:r>
      <w:r w:rsidRPr="00CA5961">
        <w:rPr>
          <w:lang w:val="en-GB"/>
        </w:rPr>
        <w:t>the most common in atmospheric air are nitrogen oxide (NO) and nitrogen dioxide</w:t>
      </w:r>
      <w:r>
        <w:t xml:space="preserve"> </w:t>
      </w:r>
      <w:r w:rsidRPr="00CA5961">
        <w:rPr>
          <w:lang w:val="en-GB"/>
        </w:rPr>
        <w:t>(NO</w:t>
      </w:r>
      <w:r w:rsidRPr="006544B1">
        <w:rPr>
          <w:vertAlign w:val="subscript"/>
          <w:lang w:val="en-GB"/>
        </w:rPr>
        <w:t>2</w:t>
      </w:r>
      <w:r w:rsidRPr="00CA5961">
        <w:rPr>
          <w:lang w:val="en-GB"/>
        </w:rPr>
        <w:t xml:space="preserve">), </w:t>
      </w:r>
      <w:r>
        <w:rPr>
          <w:lang w:val="en-GB"/>
        </w:rPr>
        <w:t>which</w:t>
      </w:r>
      <w:r w:rsidRPr="00CA5961">
        <w:rPr>
          <w:lang w:val="en-GB"/>
        </w:rPr>
        <w:t xml:space="preserve"> total content</w:t>
      </w:r>
      <w:r>
        <w:rPr>
          <w:lang w:val="en-GB"/>
        </w:rPr>
        <w:t xml:space="preserve"> </w:t>
      </w:r>
      <w:r w:rsidRPr="00CA5961">
        <w:rPr>
          <w:lang w:val="en-GB"/>
        </w:rPr>
        <w:t>is marked with a common symbol NO</w:t>
      </w:r>
      <w:r w:rsidRPr="006544B1">
        <w:rPr>
          <w:vertAlign w:val="subscript"/>
          <w:lang w:val="en-GB"/>
        </w:rPr>
        <w:t>x</w:t>
      </w:r>
      <w:r>
        <w:rPr>
          <w:lang w:val="en-GB"/>
        </w:rPr>
        <w:t xml:space="preserve">. </w:t>
      </w:r>
    </w:p>
    <w:p w14:paraId="461B1301" w14:textId="4BF2EB9A" w:rsidR="00844B1F" w:rsidRPr="00844B1F" w:rsidRDefault="00C62624" w:rsidP="00CA5961">
      <w:pPr>
        <w:pStyle w:val="CETBodytext"/>
      </w:pPr>
      <w:r>
        <w:rPr>
          <w:lang w:val="en-GB"/>
        </w:rPr>
        <w:t>Though n</w:t>
      </w:r>
      <w:r w:rsidR="006544B1" w:rsidRPr="006544B1">
        <w:rPr>
          <w:lang w:val="en-GB"/>
        </w:rPr>
        <w:t xml:space="preserve">itrogen oxides </w:t>
      </w:r>
      <w:r>
        <w:rPr>
          <w:lang w:val="en-GB"/>
        </w:rPr>
        <w:t>have also non-anthropic origin</w:t>
      </w:r>
      <w:r w:rsidR="00AC54DB">
        <w:rPr>
          <w:lang w:val="en-GB"/>
        </w:rPr>
        <w:t xml:space="preserve">, as instance the </w:t>
      </w:r>
      <w:r>
        <w:rPr>
          <w:lang w:val="en-GB"/>
        </w:rPr>
        <w:t xml:space="preserve">denitrification natural process of soils </w:t>
      </w:r>
      <w:r w:rsidR="00AC54DB">
        <w:rPr>
          <w:lang w:val="en-GB"/>
        </w:rPr>
        <w:t>(</w:t>
      </w:r>
      <w:r w:rsidR="00D32D43" w:rsidRPr="00D32D43">
        <w:t xml:space="preserve">Abbasi </w:t>
      </w:r>
      <w:r w:rsidR="00D32D43">
        <w:t xml:space="preserve">and </w:t>
      </w:r>
      <w:r w:rsidR="00D32D43" w:rsidRPr="00D32D43">
        <w:t>Adams, 2000</w:t>
      </w:r>
      <w:r w:rsidR="00AC54DB">
        <w:rPr>
          <w:lang w:val="en-GB"/>
        </w:rPr>
        <w:t xml:space="preserve">), </w:t>
      </w:r>
      <w:r>
        <w:rPr>
          <w:lang w:val="en-GB"/>
        </w:rPr>
        <w:t>the predominant source is represented by</w:t>
      </w:r>
      <w:r w:rsidR="006544B1" w:rsidRPr="006544B1">
        <w:rPr>
          <w:lang w:val="en-GB"/>
        </w:rPr>
        <w:t xml:space="preserve"> all combustion processes of solid, liquid and gas fuels</w:t>
      </w:r>
      <w:r w:rsidR="006544B1">
        <w:rPr>
          <w:lang w:val="en-GB"/>
        </w:rPr>
        <w:t xml:space="preserve">. </w:t>
      </w:r>
      <w:r>
        <w:rPr>
          <w:lang w:val="en-GB"/>
        </w:rPr>
        <w:t>S</w:t>
      </w:r>
      <w:r w:rsidR="0048216A">
        <w:rPr>
          <w:lang w:val="en-GB"/>
        </w:rPr>
        <w:t>everal</w:t>
      </w:r>
      <w:r w:rsidR="006544B1">
        <w:rPr>
          <w:lang w:val="en-GB"/>
        </w:rPr>
        <w:t xml:space="preserve"> industrial activities</w:t>
      </w:r>
      <w:r w:rsidR="00CA5961">
        <w:rPr>
          <w:lang w:val="en-GB"/>
        </w:rPr>
        <w:t xml:space="preserve"> </w:t>
      </w:r>
      <w:r w:rsidR="0048216A">
        <w:rPr>
          <w:lang w:val="en-GB"/>
        </w:rPr>
        <w:t xml:space="preserve">heavily </w:t>
      </w:r>
      <w:r w:rsidR="00CA5961">
        <w:rPr>
          <w:lang w:val="en-GB"/>
        </w:rPr>
        <w:t xml:space="preserve">contribute </w:t>
      </w:r>
      <w:r w:rsidR="006544B1">
        <w:rPr>
          <w:lang w:val="en-GB"/>
        </w:rPr>
        <w:t>to produce NO</w:t>
      </w:r>
      <w:r w:rsidR="006544B1" w:rsidRPr="006544B1">
        <w:rPr>
          <w:vertAlign w:val="subscript"/>
          <w:lang w:val="en-GB"/>
        </w:rPr>
        <w:t>x</w:t>
      </w:r>
      <w:r w:rsidR="006544B1">
        <w:rPr>
          <w:lang w:val="en-GB"/>
        </w:rPr>
        <w:t xml:space="preserve"> polluted flue gas: transport</w:t>
      </w:r>
      <w:r w:rsidR="00B80737">
        <w:rPr>
          <w:lang w:val="en-GB"/>
        </w:rPr>
        <w:t xml:space="preserve"> and automotive</w:t>
      </w:r>
      <w:r w:rsidR="00CA5961">
        <w:rPr>
          <w:lang w:val="en-GB"/>
        </w:rPr>
        <w:t xml:space="preserve">, </w:t>
      </w:r>
      <w:r w:rsidR="00844B1F" w:rsidRPr="00844B1F">
        <w:rPr>
          <w:lang w:val="en-GB"/>
        </w:rPr>
        <w:t>power plants, industrial processes</w:t>
      </w:r>
      <w:r w:rsidR="00CA5961">
        <w:rPr>
          <w:lang w:val="en-GB"/>
        </w:rPr>
        <w:t xml:space="preserve"> </w:t>
      </w:r>
      <w:r w:rsidR="006544B1">
        <w:rPr>
          <w:lang w:val="en-GB"/>
        </w:rPr>
        <w:t>(</w:t>
      </w:r>
      <w:r w:rsidR="0048216A">
        <w:rPr>
          <w:lang w:val="en-GB"/>
        </w:rPr>
        <w:t>mostly nitric acid and derivatives)</w:t>
      </w:r>
      <w:r w:rsidR="006544B1">
        <w:rPr>
          <w:lang w:val="en-GB"/>
        </w:rPr>
        <w:t xml:space="preserve"> </w:t>
      </w:r>
      <w:r w:rsidR="00CA5961">
        <w:rPr>
          <w:lang w:val="en-GB"/>
        </w:rPr>
        <w:t xml:space="preserve">and </w:t>
      </w:r>
      <w:r w:rsidR="00844B1F" w:rsidRPr="00844B1F">
        <w:rPr>
          <w:lang w:val="en-GB"/>
        </w:rPr>
        <w:t>municipal solid</w:t>
      </w:r>
      <w:r w:rsidR="00844B1F">
        <w:rPr>
          <w:lang w:val="en-GB"/>
        </w:rPr>
        <w:t xml:space="preserve"> </w:t>
      </w:r>
      <w:r w:rsidR="00844B1F" w:rsidRPr="00844B1F">
        <w:rPr>
          <w:lang w:val="en-GB"/>
        </w:rPr>
        <w:t xml:space="preserve">waste incineration. </w:t>
      </w:r>
    </w:p>
    <w:p w14:paraId="673E9CA1" w14:textId="21457DC5" w:rsidR="00844B1F" w:rsidRDefault="00844B1F" w:rsidP="00844B1F">
      <w:pPr>
        <w:pStyle w:val="CETBodytext"/>
        <w:rPr>
          <w:lang w:val="en-GB"/>
        </w:rPr>
      </w:pPr>
      <w:r w:rsidRPr="00844B1F">
        <w:rPr>
          <w:lang w:val="en-GB"/>
        </w:rPr>
        <w:t>NO</w:t>
      </w:r>
      <w:r w:rsidRPr="00844B1F">
        <w:rPr>
          <w:vertAlign w:val="subscript"/>
          <w:lang w:val="en-GB"/>
        </w:rPr>
        <w:t>x</w:t>
      </w:r>
      <w:r w:rsidRPr="00844B1F">
        <w:rPr>
          <w:lang w:val="en-GB"/>
        </w:rPr>
        <w:t xml:space="preserve"> emissions can cause a series of health problems, such as eye and throat inflammation,</w:t>
      </w:r>
      <w:r>
        <w:rPr>
          <w:lang w:val="en-GB"/>
        </w:rPr>
        <w:t xml:space="preserve"> </w:t>
      </w:r>
      <w:r w:rsidRPr="00844B1F">
        <w:rPr>
          <w:lang w:val="en-GB"/>
        </w:rPr>
        <w:t>chest tightness, nausea, and headaches, as well as environmental problems, such as</w:t>
      </w:r>
      <w:r>
        <w:rPr>
          <w:lang w:val="en-GB"/>
        </w:rPr>
        <w:t xml:space="preserve"> </w:t>
      </w:r>
      <w:r w:rsidRPr="00844B1F">
        <w:rPr>
          <w:lang w:val="en-GB"/>
        </w:rPr>
        <w:t xml:space="preserve">ozone depletion, acid rain, haze, photochemical smog, and </w:t>
      </w:r>
      <w:r w:rsidR="0048216A">
        <w:rPr>
          <w:lang w:val="en-GB"/>
        </w:rPr>
        <w:t xml:space="preserve">indirect </w:t>
      </w:r>
      <w:r w:rsidRPr="00844B1F">
        <w:rPr>
          <w:lang w:val="en-GB"/>
        </w:rPr>
        <w:t>greenhouse gas e</w:t>
      </w:r>
      <w:r w:rsidR="0048216A">
        <w:rPr>
          <w:lang w:val="en-GB"/>
        </w:rPr>
        <w:t>ffects</w:t>
      </w:r>
      <w:r w:rsidRPr="00844B1F">
        <w:rPr>
          <w:lang w:val="en-GB"/>
        </w:rPr>
        <w:t xml:space="preserve"> </w:t>
      </w:r>
      <w:r w:rsidR="0015485B">
        <w:rPr>
          <w:lang w:val="en-GB"/>
        </w:rPr>
        <w:t>(</w:t>
      </w:r>
      <w:r w:rsidR="0015485B" w:rsidRPr="0015485B">
        <w:t>Fuglestvedt</w:t>
      </w:r>
      <w:r w:rsidR="0015485B">
        <w:t xml:space="preserve"> et al., 1996</w:t>
      </w:r>
      <w:r w:rsidR="0015485B">
        <w:rPr>
          <w:lang w:val="en-GB"/>
        </w:rPr>
        <w:t>)</w:t>
      </w:r>
      <w:r w:rsidRPr="00844B1F">
        <w:rPr>
          <w:lang w:val="en-GB"/>
        </w:rPr>
        <w:t>.</w:t>
      </w:r>
      <w:r>
        <w:rPr>
          <w:lang w:val="en-GB"/>
        </w:rPr>
        <w:t xml:space="preserve"> </w:t>
      </w:r>
      <w:r w:rsidRPr="00844B1F">
        <w:rPr>
          <w:lang w:val="en-GB"/>
        </w:rPr>
        <w:t>Therefore, NO</w:t>
      </w:r>
      <w:r w:rsidRPr="00B80737">
        <w:rPr>
          <w:vertAlign w:val="subscript"/>
          <w:lang w:val="en-GB"/>
        </w:rPr>
        <w:t>x</w:t>
      </w:r>
      <w:r w:rsidRPr="00844B1F">
        <w:rPr>
          <w:lang w:val="en-GB"/>
        </w:rPr>
        <w:t xml:space="preserve"> emissions must be reduced and controlled.</w:t>
      </w:r>
    </w:p>
    <w:p w14:paraId="79DA0F3D" w14:textId="612C856B" w:rsidR="00844B1F" w:rsidRDefault="00B80737" w:rsidP="00CA5961">
      <w:pPr>
        <w:pStyle w:val="CETBodytext"/>
        <w:spacing w:after="120"/>
        <w:rPr>
          <w:lang w:val="en-GB"/>
        </w:rPr>
      </w:pPr>
      <w:r>
        <w:t>Most common</w:t>
      </w:r>
      <w:r w:rsidR="00844B1F" w:rsidRPr="00844B1F">
        <w:t xml:space="preserve"> NO</w:t>
      </w:r>
      <w:r w:rsidR="00844B1F" w:rsidRPr="00844B1F">
        <w:rPr>
          <w:vertAlign w:val="subscript"/>
        </w:rPr>
        <w:t>x</w:t>
      </w:r>
      <w:r w:rsidR="00844B1F" w:rsidRPr="00844B1F">
        <w:t xml:space="preserve"> control methods can be categorized</w:t>
      </w:r>
      <w:r w:rsidR="00844B1F">
        <w:t xml:space="preserve"> </w:t>
      </w:r>
      <w:r w:rsidR="00844B1F" w:rsidRPr="00844B1F">
        <w:rPr>
          <w:lang w:val="en-GB"/>
        </w:rPr>
        <w:t xml:space="preserve">into </w:t>
      </w:r>
      <w:r w:rsidR="00844B1F">
        <w:rPr>
          <w:lang w:val="en-GB"/>
        </w:rPr>
        <w:t>following ones</w:t>
      </w:r>
      <w:r w:rsidR="00AC6416" w:rsidRPr="00AC6416">
        <w:t xml:space="preserve"> </w:t>
      </w:r>
      <w:r w:rsidR="00AC6416">
        <w:t>(Zhu and Xu, 2022)</w:t>
      </w:r>
      <w:r w:rsidR="00844B1F">
        <w:rPr>
          <w:lang w:val="en-GB"/>
        </w:rPr>
        <w:t>:</w:t>
      </w:r>
    </w:p>
    <w:p w14:paraId="2CB9C0F0" w14:textId="77777777" w:rsidR="00844B1F" w:rsidRDefault="00844B1F" w:rsidP="00844B1F">
      <w:pPr>
        <w:pStyle w:val="CETListbullets"/>
        <w:numPr>
          <w:ilvl w:val="0"/>
          <w:numId w:val="13"/>
        </w:numPr>
      </w:pPr>
      <w:r w:rsidRPr="00844B1F">
        <w:t>pre-combustion</w:t>
      </w:r>
      <w:r>
        <w:t xml:space="preserve"> (e.g. by selecting fuel sources with less nitrogen content)</w:t>
      </w:r>
      <w:r w:rsidRPr="00844B1F">
        <w:t xml:space="preserve">, </w:t>
      </w:r>
    </w:p>
    <w:p w14:paraId="59C952DA" w14:textId="77777777" w:rsidR="00844B1F" w:rsidRDefault="00844B1F" w:rsidP="00844B1F">
      <w:pPr>
        <w:pStyle w:val="CETListbullets"/>
        <w:numPr>
          <w:ilvl w:val="0"/>
          <w:numId w:val="13"/>
        </w:numPr>
      </w:pPr>
      <w:r w:rsidRPr="00844B1F">
        <w:t>in-combustion</w:t>
      </w:r>
      <w:r>
        <w:t xml:space="preserve"> (e.g. low NO</w:t>
      </w:r>
      <w:r w:rsidRPr="00C62624">
        <w:rPr>
          <w:vertAlign w:val="subscript"/>
        </w:rPr>
        <w:t>x</w:t>
      </w:r>
      <w:r>
        <w:t xml:space="preserve"> burners)</w:t>
      </w:r>
      <w:r w:rsidRPr="00844B1F">
        <w:t xml:space="preserve">, and </w:t>
      </w:r>
    </w:p>
    <w:p w14:paraId="2BACC88C" w14:textId="04067959" w:rsidR="00844B1F" w:rsidRDefault="00844B1F" w:rsidP="00844B1F">
      <w:pPr>
        <w:pStyle w:val="CETListbullets"/>
        <w:numPr>
          <w:ilvl w:val="0"/>
          <w:numId w:val="13"/>
        </w:numPr>
      </w:pPr>
      <w:r w:rsidRPr="00844B1F">
        <w:t>post-combustion</w:t>
      </w:r>
      <w:r>
        <w:t xml:space="preserve"> (via reaction with absorbents, </w:t>
      </w:r>
      <w:r w:rsidR="00CA5961">
        <w:t>oxidants,</w:t>
      </w:r>
      <w:r>
        <w:t xml:space="preserve"> or reduct</w:t>
      </w:r>
      <w:r w:rsidR="00CA5961">
        <w:t>ants</w:t>
      </w:r>
      <w:r>
        <w:t>).</w:t>
      </w:r>
    </w:p>
    <w:p w14:paraId="2AC4907A" w14:textId="25278764" w:rsidR="00844B1F" w:rsidRDefault="00CA5961" w:rsidP="00B80737">
      <w:pPr>
        <w:pStyle w:val="CETBodytext"/>
        <w:spacing w:before="120"/>
        <w:rPr>
          <w:lang w:val="en-GB"/>
        </w:rPr>
      </w:pPr>
      <w:r>
        <w:t>By using</w:t>
      </w:r>
      <w:r w:rsidR="00B80737">
        <w:t xml:space="preserve"> the first two control methods</w:t>
      </w:r>
      <w:r w:rsidR="00844B1F" w:rsidRPr="00844B1F">
        <w:t>, most of the exhaust gases from industrial</w:t>
      </w:r>
      <w:r w:rsidR="00844B1F">
        <w:t xml:space="preserve"> </w:t>
      </w:r>
      <w:r w:rsidR="00B80737">
        <w:t xml:space="preserve">combustion processes </w:t>
      </w:r>
      <w:r w:rsidR="00844B1F" w:rsidRPr="00844B1F">
        <w:t>cannot meet emission standards. Therefore, a post-combustion approach is usually</w:t>
      </w:r>
      <w:r w:rsidR="00B80737">
        <w:t xml:space="preserve"> </w:t>
      </w:r>
      <w:r w:rsidR="00844B1F" w:rsidRPr="00844B1F">
        <w:rPr>
          <w:lang w:val="en-GB"/>
        </w:rPr>
        <w:t>used to achieve a higher NO</w:t>
      </w:r>
      <w:r w:rsidR="00844B1F" w:rsidRPr="00B80737">
        <w:rPr>
          <w:vertAlign w:val="subscript"/>
          <w:lang w:val="en-GB"/>
        </w:rPr>
        <w:t>x</w:t>
      </w:r>
      <w:r w:rsidR="00844B1F" w:rsidRPr="00844B1F">
        <w:rPr>
          <w:lang w:val="en-GB"/>
        </w:rPr>
        <w:t xml:space="preserve"> reduction</w:t>
      </w:r>
      <w:r w:rsidR="00B80737">
        <w:rPr>
          <w:lang w:val="en-GB"/>
        </w:rPr>
        <w:t xml:space="preserve">. The most widely used post-combustion technique is the </w:t>
      </w:r>
      <w:r w:rsidR="00B80737" w:rsidRPr="00B80737">
        <w:rPr>
          <w:lang w:val="en-GB"/>
        </w:rPr>
        <w:t>Selective Catalytic Reduction (SCR)</w:t>
      </w:r>
      <w:r w:rsidR="00B80737">
        <w:rPr>
          <w:lang w:val="en-GB"/>
        </w:rPr>
        <w:t xml:space="preserve">, which reduces </w:t>
      </w:r>
      <w:r w:rsidR="00314D01">
        <w:rPr>
          <w:lang w:val="en-GB"/>
        </w:rPr>
        <w:t>NO</w:t>
      </w:r>
      <w:r w:rsidR="00314D01" w:rsidRPr="00314D01">
        <w:rPr>
          <w:vertAlign w:val="subscript"/>
          <w:lang w:val="en-GB"/>
        </w:rPr>
        <w:t>x</w:t>
      </w:r>
      <w:r w:rsidR="00314D01">
        <w:rPr>
          <w:lang w:val="en-GB"/>
        </w:rPr>
        <w:t xml:space="preserve"> into molecular nitrogen (N</w:t>
      </w:r>
      <w:r w:rsidR="00314D01" w:rsidRPr="00314D01">
        <w:rPr>
          <w:vertAlign w:val="subscript"/>
          <w:lang w:val="en-GB"/>
        </w:rPr>
        <w:t>2</w:t>
      </w:r>
      <w:r w:rsidR="00314D01">
        <w:rPr>
          <w:lang w:val="en-GB"/>
        </w:rPr>
        <w:t xml:space="preserve">) by heterogeneous catalytic reaction with </w:t>
      </w:r>
      <w:r w:rsidR="00B80737">
        <w:rPr>
          <w:lang w:val="en-GB"/>
        </w:rPr>
        <w:t xml:space="preserve">gaseous ammonia </w:t>
      </w:r>
      <w:r w:rsidR="00314D01">
        <w:rPr>
          <w:lang w:val="en-GB"/>
        </w:rPr>
        <w:t>under moderate temperature (preferably in the range 250</w:t>
      </w:r>
      <w:r w:rsidR="00314D01">
        <w:rPr>
          <w:rFonts w:cs="Arial"/>
          <w:lang w:val="en-GB"/>
        </w:rPr>
        <w:t>÷</w:t>
      </w:r>
      <w:r w:rsidR="00314D01">
        <w:rPr>
          <w:lang w:val="en-GB"/>
        </w:rPr>
        <w:t xml:space="preserve">350 </w:t>
      </w:r>
      <w:r w:rsidR="00314D01">
        <w:rPr>
          <w:rFonts w:cs="Arial"/>
          <w:lang w:val="en-GB"/>
        </w:rPr>
        <w:t>°</w:t>
      </w:r>
      <w:r w:rsidR="00314D01">
        <w:rPr>
          <w:lang w:val="en-GB"/>
        </w:rPr>
        <w:t>C).</w:t>
      </w:r>
      <w:r w:rsidR="00B80737">
        <w:rPr>
          <w:lang w:val="en-GB"/>
        </w:rPr>
        <w:t xml:space="preserve"> </w:t>
      </w:r>
      <w:r w:rsidR="001A61B7">
        <w:rPr>
          <w:lang w:val="en-GB"/>
        </w:rPr>
        <w:t xml:space="preserve">Gaseous ammonia can be introduced into the flue </w:t>
      </w:r>
      <w:r w:rsidR="001A61B7">
        <w:rPr>
          <w:lang w:val="en-GB"/>
        </w:rPr>
        <w:lastRenderedPageBreak/>
        <w:t xml:space="preserve">gas chamber either </w:t>
      </w:r>
      <w:r w:rsidR="00AC6416">
        <w:rPr>
          <w:lang w:val="en-GB"/>
        </w:rPr>
        <w:t xml:space="preserve">as </w:t>
      </w:r>
      <w:r w:rsidR="00832534">
        <w:rPr>
          <w:lang w:val="en-GB"/>
        </w:rPr>
        <w:t>straight</w:t>
      </w:r>
      <w:r w:rsidR="001A61B7">
        <w:rPr>
          <w:lang w:val="en-GB"/>
        </w:rPr>
        <w:t xml:space="preserve"> ammonia, or as </w:t>
      </w:r>
      <w:r w:rsidR="00AC6416">
        <w:rPr>
          <w:lang w:val="en-GB"/>
        </w:rPr>
        <w:t>other</w:t>
      </w:r>
      <w:r w:rsidR="001A61B7">
        <w:rPr>
          <w:lang w:val="en-GB"/>
        </w:rPr>
        <w:t xml:space="preserve"> ammonia precursor, that release</w:t>
      </w:r>
      <w:r w:rsidR="00AC6416">
        <w:rPr>
          <w:lang w:val="en-GB"/>
        </w:rPr>
        <w:t>s</w:t>
      </w:r>
      <w:r w:rsidR="001A61B7">
        <w:rPr>
          <w:lang w:val="en-GB"/>
        </w:rPr>
        <w:t xml:space="preserve"> gaseous ammonia after thermal decomposition in contact with hot flue gas.</w:t>
      </w:r>
    </w:p>
    <w:p w14:paraId="59F59E9C" w14:textId="6C248CC1" w:rsidR="00314D01" w:rsidRDefault="00A529EB" w:rsidP="00A455C5">
      <w:pPr>
        <w:pStyle w:val="CETBodytext"/>
      </w:pPr>
      <w:r>
        <w:rPr>
          <w:lang w:val="en-GB"/>
        </w:rPr>
        <w:t>T</w:t>
      </w:r>
      <w:r w:rsidR="00314D01" w:rsidRPr="00314D01">
        <w:t xml:space="preserve">he </w:t>
      </w:r>
      <w:r w:rsidR="004D4926">
        <w:t>current</w:t>
      </w:r>
      <w:r w:rsidR="00314D01">
        <w:t xml:space="preserve"> orientation of the market</w:t>
      </w:r>
      <w:r>
        <w:t>, between</w:t>
      </w:r>
      <w:r w:rsidR="00314D01">
        <w:t xml:space="preserve"> </w:t>
      </w:r>
      <w:r>
        <w:t xml:space="preserve">the different precursors of gaseous ammonia, </w:t>
      </w:r>
      <w:r w:rsidR="004D4926">
        <w:t>is</w:t>
      </w:r>
      <w:r w:rsidR="00314D01">
        <w:t xml:space="preserve"> </w:t>
      </w:r>
      <w:r w:rsidR="00314D01" w:rsidRPr="00314D01">
        <w:t xml:space="preserve">in favor of the usage of urea </w:t>
      </w:r>
      <w:r w:rsidR="00314D01">
        <w:t>[</w:t>
      </w:r>
      <w:r w:rsidR="00314D01" w:rsidRPr="00314D01">
        <w:t>CO(NH</w:t>
      </w:r>
      <w:r w:rsidR="00314D01" w:rsidRPr="00314D01">
        <w:rPr>
          <w:vertAlign w:val="subscript"/>
        </w:rPr>
        <w:t>2</w:t>
      </w:r>
      <w:r w:rsidR="00314D01" w:rsidRPr="00314D01">
        <w:t>)</w:t>
      </w:r>
      <w:r w:rsidR="00314D01" w:rsidRPr="00314D01">
        <w:rPr>
          <w:vertAlign w:val="subscript"/>
        </w:rPr>
        <w:t>2</w:t>
      </w:r>
      <w:r w:rsidR="00314D01">
        <w:t>]</w:t>
      </w:r>
      <w:r w:rsidR="00314D01" w:rsidRPr="00314D01">
        <w:t xml:space="preserve"> diluted in a water solution</w:t>
      </w:r>
      <w:r w:rsidR="00314D01">
        <w:t xml:space="preserve">, as it </w:t>
      </w:r>
      <w:r w:rsidR="00314D01" w:rsidRPr="00314D01">
        <w:t xml:space="preserve">is not toxic in </w:t>
      </w:r>
      <w:r w:rsidR="00314D01">
        <w:t>comparison with water-ammonia solutions</w:t>
      </w:r>
      <w:r w:rsidR="00314D01" w:rsidRPr="00314D01">
        <w:t>, and it is produced worldwide on a large scale, which makes it widely available</w:t>
      </w:r>
      <w:r>
        <w:t xml:space="preserve"> </w:t>
      </w:r>
      <w:r w:rsidRPr="00314D01">
        <w:t>(Halonen et al., 2017)</w:t>
      </w:r>
      <w:r w:rsidR="00314D01" w:rsidRPr="00314D01">
        <w:t xml:space="preserve">. </w:t>
      </w:r>
    </w:p>
    <w:p w14:paraId="7B5643E4" w14:textId="46B733ED" w:rsidR="0086309A" w:rsidRDefault="0086309A" w:rsidP="00A455C5">
      <w:pPr>
        <w:pStyle w:val="CETBodytext"/>
      </w:pPr>
      <w:r>
        <w:t xml:space="preserve">It is well known that the production process </w:t>
      </w:r>
      <w:r w:rsidR="001A61B7">
        <w:t>of urea, as well as</w:t>
      </w:r>
      <w:r>
        <w:t xml:space="preserve"> the further </w:t>
      </w:r>
      <w:r w:rsidR="001A61B7">
        <w:t>thermal decomposition of the same into CO</w:t>
      </w:r>
      <w:r w:rsidR="001A61B7" w:rsidRPr="001A61B7">
        <w:rPr>
          <w:vertAlign w:val="subscript"/>
        </w:rPr>
        <w:t>2</w:t>
      </w:r>
      <w:r w:rsidR="001A61B7">
        <w:t xml:space="preserve"> and NH</w:t>
      </w:r>
      <w:r w:rsidR="001A61B7" w:rsidRPr="001A61B7">
        <w:rPr>
          <w:vertAlign w:val="subscript"/>
        </w:rPr>
        <w:t>3</w:t>
      </w:r>
      <w:r w:rsidR="001A61B7">
        <w:t xml:space="preserve"> occurring in the SCR flue gas system, </w:t>
      </w:r>
      <w:r>
        <w:t>have a significant contribution to GHG emissions.</w:t>
      </w:r>
    </w:p>
    <w:p w14:paraId="5A69AF03" w14:textId="53286817" w:rsidR="003E31AC" w:rsidRDefault="00C96366" w:rsidP="00A455C5">
      <w:pPr>
        <w:pStyle w:val="CETBodytext"/>
      </w:pPr>
      <w:r>
        <w:t>T</w:t>
      </w:r>
      <w:r w:rsidR="003E31AC">
        <w:t xml:space="preserve">he demand </w:t>
      </w:r>
      <w:r>
        <w:t>of de-NO</w:t>
      </w:r>
      <w:r w:rsidRPr="00C96366">
        <w:rPr>
          <w:vertAlign w:val="subscript"/>
        </w:rPr>
        <w:t>x</w:t>
      </w:r>
      <w:r>
        <w:t xml:space="preserve"> reduction agents </w:t>
      </w:r>
      <w:r w:rsidR="003E31AC">
        <w:t xml:space="preserve">is expected </w:t>
      </w:r>
      <w:r w:rsidR="004D4926">
        <w:t xml:space="preserve">growing quickly </w:t>
      </w:r>
      <w:r>
        <w:t>in the next years</w:t>
      </w:r>
      <w:r w:rsidR="003E31AC">
        <w:t xml:space="preserve">, </w:t>
      </w:r>
      <w:r>
        <w:t>due to more stringent</w:t>
      </w:r>
      <w:r w:rsidR="002A6A82">
        <w:t xml:space="preserve"> legislation on emissions of N</w:t>
      </w:r>
      <w:r w:rsidR="004C6C03">
        <w:t>O</w:t>
      </w:r>
      <w:r w:rsidR="002A6A82" w:rsidRPr="004C6C03">
        <w:rPr>
          <w:vertAlign w:val="subscript"/>
        </w:rPr>
        <w:t>x</w:t>
      </w:r>
      <w:r w:rsidR="002A6A82">
        <w:t xml:space="preserve"> gases</w:t>
      </w:r>
      <w:r>
        <w:t xml:space="preserve"> (</w:t>
      </w:r>
      <w:r w:rsidR="001C1282">
        <w:t xml:space="preserve">such as the </w:t>
      </w:r>
      <w:r>
        <w:t>Directive 2010/75/EU)</w:t>
      </w:r>
      <w:r w:rsidR="004C6C03">
        <w:t>.</w:t>
      </w:r>
    </w:p>
    <w:p w14:paraId="785C7FD9" w14:textId="2A1E49BC" w:rsidR="0030476B" w:rsidRDefault="00C23535" w:rsidP="0030476B">
      <w:pPr>
        <w:pStyle w:val="CETBodytext"/>
      </w:pPr>
      <w:r>
        <w:t>Based on the data currently available of CO</w:t>
      </w:r>
      <w:r w:rsidRPr="00C23535">
        <w:rPr>
          <w:vertAlign w:val="subscript"/>
        </w:rPr>
        <w:t>2</w:t>
      </w:r>
      <w:r>
        <w:t xml:space="preserve"> emissions from Energy Combustion and Industrial Process (IEA</w:t>
      </w:r>
      <w:r w:rsidR="00512BFA">
        <w:t>, 2021</w:t>
      </w:r>
      <w:r>
        <w:t xml:space="preserve">), a forecast of </w:t>
      </w:r>
      <w:r w:rsidR="007E0C56">
        <w:t>8</w:t>
      </w:r>
      <w:r>
        <w:t xml:space="preserve">0 Mt/y </w:t>
      </w:r>
      <w:r w:rsidR="00D701C4">
        <w:t xml:space="preserve">has been estimated </w:t>
      </w:r>
      <w:r>
        <w:t>for the world-scale demand of urea based de-NO</w:t>
      </w:r>
      <w:r w:rsidRPr="001A61B7">
        <w:rPr>
          <w:vertAlign w:val="subscript"/>
        </w:rPr>
        <w:t>x</w:t>
      </w:r>
      <w:r>
        <w:t xml:space="preserve"> reduction agents </w:t>
      </w:r>
      <w:r w:rsidR="00512BFA">
        <w:t>within the year 2040</w:t>
      </w:r>
      <w:r w:rsidR="007E0C56">
        <w:t xml:space="preserve">, for matching the most stringent </w:t>
      </w:r>
      <w:r w:rsidR="00CB2547">
        <w:t>NO</w:t>
      </w:r>
      <w:r w:rsidR="00CB2547" w:rsidRPr="00CB2547">
        <w:rPr>
          <w:vertAlign w:val="subscript"/>
        </w:rPr>
        <w:t>x</w:t>
      </w:r>
      <w:r w:rsidR="00CB2547">
        <w:t xml:space="preserve"> </w:t>
      </w:r>
      <w:r w:rsidR="00D7493C">
        <w:t xml:space="preserve">emission </w:t>
      </w:r>
      <w:r w:rsidR="007E0C56">
        <w:t>scenarios (see table 1)</w:t>
      </w:r>
      <w:r>
        <w:t xml:space="preserve">. </w:t>
      </w:r>
      <w:r w:rsidR="00894559">
        <w:t xml:space="preserve">The estimate is coherent with the available forecast in cutting the </w:t>
      </w:r>
      <w:r w:rsidR="00D069DB">
        <w:t xml:space="preserve">worldwide </w:t>
      </w:r>
      <w:r w:rsidR="00894559">
        <w:t>NO</w:t>
      </w:r>
      <w:r w:rsidR="00894559" w:rsidRPr="00894559">
        <w:rPr>
          <w:vertAlign w:val="subscript"/>
        </w:rPr>
        <w:t>x</w:t>
      </w:r>
      <w:r w:rsidR="00894559">
        <w:t xml:space="preserve"> emissions from current </w:t>
      </w:r>
      <w:r w:rsidR="007E0C56">
        <w:t xml:space="preserve">108 Mt/y to 45 Mt/y </w:t>
      </w:r>
      <w:r w:rsidR="00D069DB">
        <w:t xml:space="preserve">in 2040 </w:t>
      </w:r>
      <w:r w:rsidR="00894559">
        <w:t>(</w:t>
      </w:r>
      <w:r w:rsidR="007E0C56">
        <w:t>IEA</w:t>
      </w:r>
      <w:r w:rsidR="00512BFA">
        <w:t>, 2022</w:t>
      </w:r>
      <w:r w:rsidR="00894559">
        <w:t xml:space="preserve">). </w:t>
      </w:r>
      <w:r w:rsidR="007E0C56">
        <w:t xml:space="preserve">Such </w:t>
      </w:r>
      <w:r w:rsidR="00630F0E">
        <w:t>expected</w:t>
      </w:r>
      <w:r w:rsidR="00EB4C79">
        <w:t xml:space="preserve"> </w:t>
      </w:r>
      <w:r w:rsidR="00CB2547">
        <w:t>demand</w:t>
      </w:r>
      <w:r w:rsidR="007E0C56" w:rsidRPr="007E0C56">
        <w:t xml:space="preserve"> </w:t>
      </w:r>
      <w:r w:rsidR="007E0C56">
        <w:t>of urea based de-NO</w:t>
      </w:r>
      <w:r w:rsidR="007E0C56" w:rsidRPr="001A61B7">
        <w:rPr>
          <w:vertAlign w:val="subscript"/>
        </w:rPr>
        <w:t>x</w:t>
      </w:r>
      <w:r w:rsidR="007E0C56">
        <w:t xml:space="preserve"> reduction agents</w:t>
      </w:r>
      <w:r>
        <w:t xml:space="preserve">, </w:t>
      </w:r>
      <w:r w:rsidR="00CB2547">
        <w:t>assuming a</w:t>
      </w:r>
      <w:r>
        <w:t xml:space="preserve"> conventional production route</w:t>
      </w:r>
      <w:r w:rsidR="00CB2547">
        <w:t xml:space="preserve"> based on natural gas</w:t>
      </w:r>
      <w:r>
        <w:t xml:space="preserve">, </w:t>
      </w:r>
      <w:r w:rsidR="0030476B">
        <w:t>would generate in the year 2040 an amount of GHG emissions more than 90 Mt CO</w:t>
      </w:r>
      <w:r w:rsidR="0030476B" w:rsidRPr="00630F0E">
        <w:rPr>
          <w:vertAlign w:val="subscript"/>
        </w:rPr>
        <w:t>2</w:t>
      </w:r>
      <w:r w:rsidR="0030476B">
        <w:rPr>
          <w:vertAlign w:val="subscript"/>
        </w:rPr>
        <w:t xml:space="preserve"> eq</w:t>
      </w:r>
      <w:r w:rsidR="005E3C92">
        <w:rPr>
          <w:vertAlign w:val="subscript"/>
        </w:rPr>
        <w:t>.</w:t>
      </w:r>
      <w:r w:rsidR="0030476B">
        <w:t>/y.</w:t>
      </w:r>
    </w:p>
    <w:p w14:paraId="2B11CD3B" w14:textId="37BF2D5D" w:rsidR="007E0C56" w:rsidRDefault="007E0C56" w:rsidP="00A455C5">
      <w:pPr>
        <w:pStyle w:val="CETBodytext"/>
      </w:pPr>
      <w:r>
        <w:t>It is not sustainable that the control of NO</w:t>
      </w:r>
      <w:r w:rsidRPr="000403CF">
        <w:rPr>
          <w:vertAlign w:val="subscript"/>
        </w:rPr>
        <w:t>x</w:t>
      </w:r>
      <w:r>
        <w:t xml:space="preserve"> emissions generates a drawback effect with detrimental effects over the environment. It is then of interest to study and develop alternative routes, aimed to produce </w:t>
      </w:r>
      <w:r w:rsidR="00D069DB">
        <w:t>u</w:t>
      </w:r>
      <w:r>
        <w:t>rea based de-NO</w:t>
      </w:r>
      <w:r w:rsidRPr="001A61B7">
        <w:rPr>
          <w:vertAlign w:val="subscript"/>
        </w:rPr>
        <w:t>x</w:t>
      </w:r>
      <w:r>
        <w:t xml:space="preserve"> reduction agents, that have the advantage of negligeable GHG effects.</w:t>
      </w:r>
    </w:p>
    <w:p w14:paraId="31B46620" w14:textId="471001C2" w:rsidR="001B6405" w:rsidRDefault="001B6405" w:rsidP="00DE2DFD">
      <w:pPr>
        <w:pStyle w:val="CETHeading1"/>
        <w:numPr>
          <w:ilvl w:val="0"/>
          <w:numId w:val="24"/>
        </w:numPr>
        <w:tabs>
          <w:tab w:val="num" w:pos="360"/>
        </w:tabs>
        <w:ind w:left="0" w:firstLine="0"/>
      </w:pPr>
      <w:r>
        <w:t>Mechanism of NO</w:t>
      </w:r>
      <w:r w:rsidRPr="001B6405">
        <w:rPr>
          <w:vertAlign w:val="subscript"/>
        </w:rPr>
        <w:t>x</w:t>
      </w:r>
      <w:r>
        <w:t xml:space="preserve"> </w:t>
      </w:r>
      <w:r w:rsidR="00C53A29">
        <w:t>R</w:t>
      </w:r>
      <w:r>
        <w:t xml:space="preserve">eduction </w:t>
      </w:r>
      <w:r w:rsidR="00C53A29">
        <w:t>R</w:t>
      </w:r>
      <w:r>
        <w:t>eactions</w:t>
      </w:r>
    </w:p>
    <w:p w14:paraId="6E97AE44" w14:textId="77D08ACF" w:rsidR="00A455C5" w:rsidRDefault="00A529EB" w:rsidP="00A455C5">
      <w:pPr>
        <w:pStyle w:val="CETBodytext"/>
        <w:spacing w:before="120"/>
      </w:pPr>
      <w:r>
        <w:t xml:space="preserve">As discussed by </w:t>
      </w:r>
      <w:r w:rsidRPr="00314D01">
        <w:t>Halonen et al.</w:t>
      </w:r>
      <w:r>
        <w:t xml:space="preserve"> (</w:t>
      </w:r>
      <w:r w:rsidRPr="00314D01">
        <w:t xml:space="preserve">2017), </w:t>
      </w:r>
      <w:r w:rsidR="005A4601">
        <w:t xml:space="preserve">one of the most widespread </w:t>
      </w:r>
      <w:r w:rsidR="00F747CE" w:rsidRPr="007C2E09">
        <w:rPr>
          <w:lang w:val="en-GB"/>
        </w:rPr>
        <w:t>de</w:t>
      </w:r>
      <w:r w:rsidR="00F747CE">
        <w:rPr>
          <w:lang w:val="en-GB"/>
        </w:rPr>
        <w:t>-</w:t>
      </w:r>
      <w:r w:rsidR="00F747CE" w:rsidRPr="007C2E09">
        <w:rPr>
          <w:lang w:val="en-GB"/>
        </w:rPr>
        <w:t>NO</w:t>
      </w:r>
      <w:r w:rsidR="00F747CE" w:rsidRPr="00A236A6">
        <w:rPr>
          <w:vertAlign w:val="subscript"/>
          <w:lang w:val="en-GB"/>
        </w:rPr>
        <w:t>x</w:t>
      </w:r>
      <w:r w:rsidR="00F747CE" w:rsidRPr="007C2E09">
        <w:rPr>
          <w:lang w:val="en-GB"/>
        </w:rPr>
        <w:t xml:space="preserve"> </w:t>
      </w:r>
      <w:r w:rsidR="00F747CE">
        <w:rPr>
          <w:lang w:val="en-GB"/>
        </w:rPr>
        <w:t xml:space="preserve">reduction </w:t>
      </w:r>
      <w:r w:rsidR="00F747CE" w:rsidRPr="007C2E09">
        <w:rPr>
          <w:lang w:val="en-GB"/>
        </w:rPr>
        <w:t xml:space="preserve">agents </w:t>
      </w:r>
      <w:r w:rsidR="00A455C5">
        <w:t xml:space="preserve">for SCR systems </w:t>
      </w:r>
      <w:r w:rsidR="005A4601">
        <w:t>is</w:t>
      </w:r>
      <w:r w:rsidR="00A455C5" w:rsidRPr="00314D01">
        <w:t xml:space="preserve"> urea diluted in a water solution</w:t>
      </w:r>
      <w:r w:rsidR="005A4601">
        <w:t xml:space="preserve">. </w:t>
      </w:r>
      <w:r w:rsidR="00A455C5" w:rsidRPr="00314D01">
        <w:t xml:space="preserve">The trade name for the urea-water solution is AdBlue in Europe and DEF (Diesel Exhaust Fluid) in the US. In the automotive industry, urea with a concentration of 32.5 wt% is typically used. This concentration was chosen because it is the concentration with the lowest crystallization point of </w:t>
      </w:r>
      <w:r w:rsidR="00A455C5">
        <w:t>–</w:t>
      </w:r>
      <w:r w:rsidR="00A455C5" w:rsidRPr="00314D01">
        <w:t xml:space="preserve"> 11 °C even though higher concentrations of up to 50 wt% </w:t>
      </w:r>
      <w:r w:rsidR="00A455C5">
        <w:t>can be used (marine grade)</w:t>
      </w:r>
      <w:r w:rsidR="00A455C5" w:rsidRPr="00314D01">
        <w:t>.</w:t>
      </w:r>
    </w:p>
    <w:p w14:paraId="55068D75" w14:textId="31A88740" w:rsidR="00846A48" w:rsidRPr="00846A48" w:rsidRDefault="00846A48" w:rsidP="00846A48">
      <w:pPr>
        <w:pStyle w:val="CETBodytext"/>
        <w:spacing w:after="120"/>
      </w:pPr>
      <w:r w:rsidRPr="00846A48">
        <w:rPr>
          <w:lang w:val="en-GB"/>
        </w:rPr>
        <w:t xml:space="preserve">A simplified scheme of the thermal decomposition of urea in flue gas and </w:t>
      </w:r>
      <w:r w:rsidRPr="00846A48">
        <w:t>NO</w:t>
      </w:r>
      <w:r w:rsidRPr="00846A48">
        <w:rPr>
          <w:vertAlign w:val="subscript"/>
        </w:rPr>
        <w:t>x</w:t>
      </w:r>
      <w:r w:rsidRPr="00846A48">
        <w:t xml:space="preserve"> reduction reactions with ammonia in SCR systems is given below (Maizak et al.</w:t>
      </w:r>
      <w:r w:rsidR="00BC5AA4">
        <w:t>, 2020</w:t>
      </w:r>
      <w:r w:rsidRPr="00846A48">
        <w:t>):</w:t>
      </w:r>
    </w:p>
    <w:p w14:paraId="776D9532" w14:textId="77777777" w:rsidR="00846A48" w:rsidRPr="00846A48" w:rsidRDefault="00846A48" w:rsidP="00846A48">
      <w:pPr>
        <w:pStyle w:val="CETBodytext"/>
      </w:pPr>
      <w:r w:rsidRPr="00846A48">
        <w:t>CO(NH</w:t>
      </w:r>
      <w:r w:rsidRPr="00846A48">
        <w:rPr>
          <w:vertAlign w:val="subscript"/>
        </w:rPr>
        <w:t>2</w:t>
      </w:r>
      <w:r w:rsidRPr="00846A48">
        <w:t>)</w:t>
      </w:r>
      <w:r w:rsidRPr="00846A48">
        <w:rPr>
          <w:vertAlign w:val="subscript"/>
        </w:rPr>
        <w:t>2</w:t>
      </w:r>
      <w:r w:rsidRPr="00846A48">
        <w:t xml:space="preserve"> → NH</w:t>
      </w:r>
      <w:r w:rsidRPr="00846A48">
        <w:rPr>
          <w:vertAlign w:val="subscript"/>
        </w:rPr>
        <w:t>3</w:t>
      </w:r>
      <w:r w:rsidRPr="00846A48">
        <w:t xml:space="preserve"> + HCNO</w:t>
      </w:r>
      <w:r w:rsidRPr="00846A48">
        <w:tab/>
        <w:t>(1)</w:t>
      </w:r>
    </w:p>
    <w:p w14:paraId="42019B3F" w14:textId="77777777" w:rsidR="00846A48" w:rsidRPr="00846A48" w:rsidRDefault="00846A48" w:rsidP="00846A48">
      <w:pPr>
        <w:pStyle w:val="CETBodytext"/>
      </w:pPr>
      <w:r w:rsidRPr="00846A48">
        <w:t>H</w:t>
      </w:r>
      <w:r w:rsidRPr="00846A48">
        <w:rPr>
          <w:vertAlign w:val="subscript"/>
        </w:rPr>
        <w:t>2</w:t>
      </w:r>
      <w:r w:rsidRPr="00846A48">
        <w:t>O + HCNO → NH</w:t>
      </w:r>
      <w:r w:rsidRPr="00846A48">
        <w:rPr>
          <w:vertAlign w:val="subscript"/>
        </w:rPr>
        <w:t>3</w:t>
      </w:r>
      <w:r w:rsidRPr="00846A48">
        <w:t xml:space="preserve"> + CO</w:t>
      </w:r>
      <w:r w:rsidRPr="00846A48">
        <w:rPr>
          <w:vertAlign w:val="subscript"/>
        </w:rPr>
        <w:t>2</w:t>
      </w:r>
      <w:r w:rsidRPr="00846A48">
        <w:tab/>
        <w:t>(2)</w:t>
      </w:r>
    </w:p>
    <w:p w14:paraId="52AD91EF" w14:textId="77777777" w:rsidR="00846A48" w:rsidRPr="00846A48" w:rsidRDefault="00846A48" w:rsidP="00846A48">
      <w:pPr>
        <w:pStyle w:val="CETBodytext"/>
        <w:rPr>
          <w:lang w:val="it-IT"/>
        </w:rPr>
      </w:pPr>
      <w:r w:rsidRPr="00846A48">
        <w:rPr>
          <w:lang w:val="it-IT"/>
        </w:rPr>
        <w:t>NO + NH</w:t>
      </w:r>
      <w:r w:rsidRPr="00846A48">
        <w:rPr>
          <w:vertAlign w:val="subscript"/>
          <w:lang w:val="it-IT"/>
        </w:rPr>
        <w:t>3</w:t>
      </w:r>
      <w:r w:rsidRPr="00846A48">
        <w:rPr>
          <w:lang w:val="it-IT"/>
        </w:rPr>
        <w:t xml:space="preserve"> + ¼ O</w:t>
      </w:r>
      <w:r w:rsidRPr="00846A48">
        <w:rPr>
          <w:vertAlign w:val="subscript"/>
          <w:lang w:val="it-IT"/>
        </w:rPr>
        <w:t>2</w:t>
      </w:r>
      <w:r w:rsidRPr="00846A48">
        <w:rPr>
          <w:lang w:val="it-IT"/>
        </w:rPr>
        <w:t xml:space="preserve"> → N</w:t>
      </w:r>
      <w:r w:rsidRPr="00846A48">
        <w:rPr>
          <w:vertAlign w:val="subscript"/>
          <w:lang w:val="it-IT"/>
        </w:rPr>
        <w:t>2</w:t>
      </w:r>
      <w:r w:rsidRPr="00846A48">
        <w:rPr>
          <w:lang w:val="it-IT"/>
        </w:rPr>
        <w:t xml:space="preserve"> + </w:t>
      </w:r>
      <w:r w:rsidRPr="00846A48">
        <w:rPr>
          <w:vertAlign w:val="superscript"/>
          <w:lang w:val="it-IT"/>
        </w:rPr>
        <w:t>3</w:t>
      </w:r>
      <w:r w:rsidRPr="00846A48">
        <w:rPr>
          <w:lang w:val="it-IT"/>
        </w:rPr>
        <w:t>/</w:t>
      </w:r>
      <w:r w:rsidRPr="00846A48">
        <w:rPr>
          <w:vertAlign w:val="subscript"/>
          <w:lang w:val="it-IT"/>
        </w:rPr>
        <w:t>2</w:t>
      </w:r>
      <w:r w:rsidRPr="00846A48">
        <w:rPr>
          <w:lang w:val="it-IT"/>
        </w:rPr>
        <w:t xml:space="preserve"> H</w:t>
      </w:r>
      <w:r w:rsidRPr="00846A48">
        <w:rPr>
          <w:vertAlign w:val="subscript"/>
          <w:lang w:val="it-IT"/>
        </w:rPr>
        <w:t>2</w:t>
      </w:r>
      <w:r w:rsidRPr="00846A48">
        <w:rPr>
          <w:lang w:val="it-IT"/>
        </w:rPr>
        <w:t>O</w:t>
      </w:r>
      <w:r w:rsidRPr="00846A48">
        <w:rPr>
          <w:lang w:val="it-IT"/>
        </w:rPr>
        <w:tab/>
        <w:t>(3)</w:t>
      </w:r>
    </w:p>
    <w:p w14:paraId="67C453B1" w14:textId="77777777" w:rsidR="00846A48" w:rsidRPr="00846A48" w:rsidRDefault="00846A48" w:rsidP="00846A48">
      <w:pPr>
        <w:pStyle w:val="CETBodytext"/>
        <w:rPr>
          <w:lang w:val="it-IT"/>
        </w:rPr>
      </w:pPr>
      <w:r w:rsidRPr="00846A48">
        <w:rPr>
          <w:lang w:val="it-IT"/>
        </w:rPr>
        <w:t>NO + NO</w:t>
      </w:r>
      <w:r w:rsidRPr="00846A48">
        <w:rPr>
          <w:vertAlign w:val="subscript"/>
          <w:lang w:val="it-IT"/>
        </w:rPr>
        <w:t>2</w:t>
      </w:r>
      <w:r w:rsidRPr="00846A48">
        <w:rPr>
          <w:lang w:val="it-IT"/>
        </w:rPr>
        <w:t xml:space="preserve"> + 2 NH</w:t>
      </w:r>
      <w:r w:rsidRPr="00846A48">
        <w:rPr>
          <w:vertAlign w:val="subscript"/>
          <w:lang w:val="it-IT"/>
        </w:rPr>
        <w:t>3</w:t>
      </w:r>
      <w:r w:rsidRPr="00846A48">
        <w:rPr>
          <w:lang w:val="it-IT"/>
        </w:rPr>
        <w:t xml:space="preserve"> → 2 N</w:t>
      </w:r>
      <w:r w:rsidRPr="00846A48">
        <w:rPr>
          <w:vertAlign w:val="subscript"/>
          <w:lang w:val="it-IT"/>
        </w:rPr>
        <w:t>2</w:t>
      </w:r>
      <w:r w:rsidRPr="00846A48">
        <w:rPr>
          <w:lang w:val="it-IT"/>
        </w:rPr>
        <w:t xml:space="preserve"> + 3</w:t>
      </w:r>
      <w:r w:rsidRPr="00846A48">
        <w:rPr>
          <w:vertAlign w:val="superscript"/>
          <w:lang w:val="it-IT"/>
        </w:rPr>
        <w:t xml:space="preserve"> </w:t>
      </w:r>
      <w:r w:rsidRPr="00846A48">
        <w:rPr>
          <w:lang w:val="it-IT"/>
        </w:rPr>
        <w:t>H</w:t>
      </w:r>
      <w:r w:rsidRPr="00846A48">
        <w:rPr>
          <w:vertAlign w:val="subscript"/>
          <w:lang w:val="it-IT"/>
        </w:rPr>
        <w:t>2</w:t>
      </w:r>
      <w:r w:rsidRPr="00846A48">
        <w:rPr>
          <w:lang w:val="it-IT"/>
        </w:rPr>
        <w:t>O</w:t>
      </w:r>
      <w:r w:rsidRPr="00846A48">
        <w:rPr>
          <w:lang w:val="it-IT"/>
        </w:rPr>
        <w:tab/>
        <w:t>(4)</w:t>
      </w:r>
    </w:p>
    <w:p w14:paraId="71CB8D48" w14:textId="77777777" w:rsidR="00846A48" w:rsidRPr="00846A48" w:rsidRDefault="00846A48" w:rsidP="00846A48">
      <w:pPr>
        <w:pStyle w:val="CETBodytext"/>
        <w:rPr>
          <w:lang w:val="it-IT"/>
        </w:rPr>
      </w:pPr>
      <w:r w:rsidRPr="00846A48">
        <w:rPr>
          <w:lang w:val="it-IT"/>
        </w:rPr>
        <w:t>4 NH</w:t>
      </w:r>
      <w:r w:rsidRPr="00846A48">
        <w:rPr>
          <w:vertAlign w:val="subscript"/>
          <w:lang w:val="it-IT"/>
        </w:rPr>
        <w:t>3</w:t>
      </w:r>
      <w:r w:rsidRPr="00846A48">
        <w:rPr>
          <w:lang w:val="it-IT"/>
        </w:rPr>
        <w:t xml:space="preserve"> + 3 O</w:t>
      </w:r>
      <w:r w:rsidRPr="00846A48">
        <w:rPr>
          <w:vertAlign w:val="subscript"/>
          <w:lang w:val="it-IT"/>
        </w:rPr>
        <w:t>2</w:t>
      </w:r>
      <w:r w:rsidRPr="00846A48">
        <w:rPr>
          <w:lang w:val="it-IT"/>
        </w:rPr>
        <w:t xml:space="preserve"> → 2 N</w:t>
      </w:r>
      <w:r w:rsidRPr="00846A48">
        <w:rPr>
          <w:vertAlign w:val="subscript"/>
          <w:lang w:val="it-IT"/>
        </w:rPr>
        <w:t>2</w:t>
      </w:r>
      <w:r w:rsidRPr="00846A48">
        <w:rPr>
          <w:lang w:val="it-IT"/>
        </w:rPr>
        <w:t xml:space="preserve"> + 6 H</w:t>
      </w:r>
      <w:r w:rsidRPr="00846A48">
        <w:rPr>
          <w:vertAlign w:val="subscript"/>
          <w:lang w:val="it-IT"/>
        </w:rPr>
        <w:t>2</w:t>
      </w:r>
      <w:r w:rsidRPr="00846A48">
        <w:rPr>
          <w:lang w:val="it-IT"/>
        </w:rPr>
        <w:t>O</w:t>
      </w:r>
      <w:r w:rsidRPr="00846A48">
        <w:rPr>
          <w:lang w:val="it-IT"/>
        </w:rPr>
        <w:tab/>
        <w:t>(5)</w:t>
      </w:r>
    </w:p>
    <w:p w14:paraId="28F7F726" w14:textId="77777777" w:rsidR="00846A48" w:rsidRPr="00846A48" w:rsidRDefault="00846A48" w:rsidP="00846A48">
      <w:pPr>
        <w:pStyle w:val="CETBodytext"/>
        <w:rPr>
          <w:lang w:val="it-IT"/>
        </w:rPr>
      </w:pPr>
      <w:r w:rsidRPr="00846A48">
        <w:rPr>
          <w:lang w:val="it-IT"/>
        </w:rPr>
        <w:t>2 NH</w:t>
      </w:r>
      <w:r w:rsidRPr="00846A48">
        <w:rPr>
          <w:vertAlign w:val="subscript"/>
          <w:lang w:val="it-IT"/>
        </w:rPr>
        <w:t>3</w:t>
      </w:r>
      <w:r w:rsidRPr="00846A48">
        <w:rPr>
          <w:lang w:val="it-IT"/>
        </w:rPr>
        <w:t xml:space="preserve"> + 2 O</w:t>
      </w:r>
      <w:r w:rsidRPr="00846A48">
        <w:rPr>
          <w:vertAlign w:val="subscript"/>
          <w:lang w:val="it-IT"/>
        </w:rPr>
        <w:t>2</w:t>
      </w:r>
      <w:r w:rsidRPr="00846A48">
        <w:rPr>
          <w:lang w:val="it-IT"/>
        </w:rPr>
        <w:t xml:space="preserve"> → N</w:t>
      </w:r>
      <w:r w:rsidRPr="00846A48">
        <w:rPr>
          <w:vertAlign w:val="subscript"/>
          <w:lang w:val="it-IT"/>
        </w:rPr>
        <w:t>2</w:t>
      </w:r>
      <w:r w:rsidRPr="00846A48">
        <w:rPr>
          <w:lang w:val="it-IT"/>
        </w:rPr>
        <w:t>O + 3 H</w:t>
      </w:r>
      <w:r w:rsidRPr="00846A48">
        <w:rPr>
          <w:vertAlign w:val="subscript"/>
          <w:lang w:val="it-IT"/>
        </w:rPr>
        <w:t>2</w:t>
      </w:r>
      <w:r w:rsidRPr="00846A48">
        <w:rPr>
          <w:lang w:val="it-IT"/>
        </w:rPr>
        <w:t>O</w:t>
      </w:r>
      <w:r w:rsidRPr="00846A48">
        <w:rPr>
          <w:lang w:val="it-IT"/>
        </w:rPr>
        <w:tab/>
        <w:t>(6)</w:t>
      </w:r>
    </w:p>
    <w:p w14:paraId="4BD1272C" w14:textId="77777777" w:rsidR="00846A48" w:rsidRPr="00846A48" w:rsidRDefault="00846A48" w:rsidP="00846A48">
      <w:pPr>
        <w:pStyle w:val="CETBodytext"/>
      </w:pPr>
      <w:r w:rsidRPr="00846A48">
        <w:t>2 NH3 + 2 NO</w:t>
      </w:r>
      <w:r w:rsidRPr="00846A48">
        <w:rPr>
          <w:vertAlign w:val="subscript"/>
        </w:rPr>
        <w:t>2</w:t>
      </w:r>
      <w:r w:rsidRPr="00846A48">
        <w:t xml:space="preserve"> + 2 H</w:t>
      </w:r>
      <w:r w:rsidRPr="00846A48">
        <w:rPr>
          <w:vertAlign w:val="subscript"/>
        </w:rPr>
        <w:t>2</w:t>
      </w:r>
      <w:r w:rsidRPr="00846A48">
        <w:t>O → NH</w:t>
      </w:r>
      <w:r w:rsidRPr="00846A48">
        <w:rPr>
          <w:vertAlign w:val="subscript"/>
        </w:rPr>
        <w:t>4</w:t>
      </w:r>
      <w:r w:rsidRPr="00846A48">
        <w:t>NO</w:t>
      </w:r>
      <w:r w:rsidRPr="00846A48">
        <w:rPr>
          <w:vertAlign w:val="subscript"/>
        </w:rPr>
        <w:t>3</w:t>
      </w:r>
      <w:r w:rsidRPr="00846A48">
        <w:t xml:space="preserve"> + NH</w:t>
      </w:r>
      <w:r w:rsidRPr="00846A48">
        <w:rPr>
          <w:vertAlign w:val="subscript"/>
        </w:rPr>
        <w:t>4</w:t>
      </w:r>
      <w:r w:rsidRPr="00846A48">
        <w:t>NO</w:t>
      </w:r>
      <w:r w:rsidRPr="00846A48">
        <w:rPr>
          <w:vertAlign w:val="subscript"/>
        </w:rPr>
        <w:t>2</w:t>
      </w:r>
      <w:r w:rsidRPr="00846A48">
        <w:rPr>
          <w:vertAlign w:val="subscript"/>
        </w:rPr>
        <w:tab/>
      </w:r>
      <w:r w:rsidRPr="00846A48">
        <w:t>(7)</w:t>
      </w:r>
    </w:p>
    <w:p w14:paraId="5E56BDA3" w14:textId="33AA1A00" w:rsidR="00846A48" w:rsidRPr="00846A48" w:rsidRDefault="001F2033" w:rsidP="00D94AE5">
      <w:pPr>
        <w:pStyle w:val="CETBodytext"/>
        <w:rPr>
          <w:lang w:val="en-GB"/>
        </w:rPr>
      </w:pPr>
      <w:r>
        <w:t>I</w:t>
      </w:r>
      <w:r w:rsidR="00846A48" w:rsidRPr="00846A48">
        <w:t xml:space="preserve">n the preferred temperature range of SCR systems (i.e. </w:t>
      </w:r>
      <w:r w:rsidR="00846A48" w:rsidRPr="00846A48">
        <w:rPr>
          <w:lang w:val="en-GB"/>
        </w:rPr>
        <w:t>250÷350 °C), reactions (1) to (4) are sufficient to represent adequately the thermodynamic of the system.</w:t>
      </w:r>
    </w:p>
    <w:p w14:paraId="46DBC6BA" w14:textId="5347EAA8" w:rsidR="00BE1E57" w:rsidRPr="005E0F6D" w:rsidRDefault="00B32995" w:rsidP="00A455C5">
      <w:pPr>
        <w:pStyle w:val="CETBodytext"/>
      </w:pPr>
      <w:r>
        <w:t>As per stoichiometry,</w:t>
      </w:r>
      <w:r w:rsidR="00BE1E57" w:rsidRPr="00846A48">
        <w:t xml:space="preserve"> </w:t>
      </w:r>
      <w:r>
        <w:t xml:space="preserve">every </w:t>
      </w:r>
      <w:r w:rsidR="00BE1E57" w:rsidRPr="00846A48">
        <w:t>1 mol of NO</w:t>
      </w:r>
      <w:r w:rsidR="00BE1E57" w:rsidRPr="00846A48">
        <w:rPr>
          <w:vertAlign w:val="subscript"/>
        </w:rPr>
        <w:t>x</w:t>
      </w:r>
      <w:r w:rsidR="00BE1E57" w:rsidRPr="00846A48">
        <w:t xml:space="preserve"> being reduced into N</w:t>
      </w:r>
      <w:r w:rsidRPr="00B32995">
        <w:rPr>
          <w:vertAlign w:val="subscript"/>
        </w:rPr>
        <w:t>2</w:t>
      </w:r>
      <w:r w:rsidR="00BE1E57" w:rsidRPr="00846A48">
        <w:t xml:space="preserve"> is balanced by 1 mol of </w:t>
      </w:r>
      <w:r>
        <w:t>NH</w:t>
      </w:r>
      <w:r w:rsidRPr="00B32995">
        <w:rPr>
          <w:vertAlign w:val="subscript"/>
        </w:rPr>
        <w:t>3</w:t>
      </w:r>
      <w:r w:rsidR="00BE1E57" w:rsidRPr="00846A48">
        <w:t xml:space="preserve"> being depleted.</w:t>
      </w:r>
      <w:r w:rsidR="00BE1E57">
        <w:t xml:space="preserve"> </w:t>
      </w:r>
    </w:p>
    <w:p w14:paraId="235A998B" w14:textId="72155A00" w:rsidR="00DA0985" w:rsidRDefault="00DA0985" w:rsidP="00A455C5">
      <w:pPr>
        <w:pStyle w:val="CETBodytext"/>
        <w:rPr>
          <w:lang w:val="en-GB"/>
        </w:rPr>
      </w:pPr>
      <w:r>
        <w:rPr>
          <w:lang w:val="en-GB"/>
        </w:rPr>
        <w:t xml:space="preserve">Assuming the ammonia slip is negligeable for our considerations, </w:t>
      </w:r>
      <w:r w:rsidR="00A455C5">
        <w:rPr>
          <w:lang w:val="en-GB"/>
        </w:rPr>
        <w:t xml:space="preserve">based on reactions (1) and (2), </w:t>
      </w:r>
      <w:r>
        <w:rPr>
          <w:lang w:val="en-GB"/>
        </w:rPr>
        <w:t xml:space="preserve">1 mol of urea is </w:t>
      </w:r>
      <w:r w:rsidR="00A455C5">
        <w:rPr>
          <w:lang w:val="en-GB"/>
        </w:rPr>
        <w:t xml:space="preserve">then </w:t>
      </w:r>
      <w:r>
        <w:rPr>
          <w:lang w:val="en-GB"/>
        </w:rPr>
        <w:t>sufficient for reducing 2 mols of NO</w:t>
      </w:r>
      <w:r w:rsidRPr="00DA0985">
        <w:rPr>
          <w:vertAlign w:val="subscript"/>
          <w:lang w:val="en-GB"/>
        </w:rPr>
        <w:t>x</w:t>
      </w:r>
      <w:r>
        <w:rPr>
          <w:lang w:val="en-GB"/>
        </w:rPr>
        <w:t xml:space="preserve"> into N</w:t>
      </w:r>
      <w:r w:rsidR="00B32995" w:rsidRPr="00B32995">
        <w:rPr>
          <w:vertAlign w:val="subscript"/>
          <w:lang w:val="en-GB"/>
        </w:rPr>
        <w:t>2</w:t>
      </w:r>
      <w:r>
        <w:rPr>
          <w:lang w:val="en-GB"/>
        </w:rPr>
        <w:t>.</w:t>
      </w:r>
    </w:p>
    <w:p w14:paraId="6E47D30D" w14:textId="0A7AD915" w:rsidR="006A5347" w:rsidRPr="00B57B36" w:rsidRDefault="004C6C03" w:rsidP="00DE2DFD">
      <w:pPr>
        <w:pStyle w:val="CETHeading1"/>
        <w:numPr>
          <w:ilvl w:val="0"/>
          <w:numId w:val="24"/>
        </w:numPr>
        <w:tabs>
          <w:tab w:val="num" w:pos="360"/>
        </w:tabs>
        <w:ind w:left="0" w:firstLine="0"/>
      </w:pPr>
      <w:r>
        <w:t xml:space="preserve">Forecast of </w:t>
      </w:r>
      <w:r w:rsidR="00C53A29">
        <w:t>the D</w:t>
      </w:r>
      <w:r>
        <w:t xml:space="preserve">emand of </w:t>
      </w:r>
      <w:r w:rsidR="00C53A29">
        <w:t>D</w:t>
      </w:r>
      <w:r>
        <w:t>e-NO</w:t>
      </w:r>
      <w:r w:rsidRPr="004C6C03">
        <w:rPr>
          <w:vertAlign w:val="subscript"/>
        </w:rPr>
        <w:t>x</w:t>
      </w:r>
      <w:r>
        <w:t xml:space="preserve"> </w:t>
      </w:r>
      <w:r w:rsidR="00C53A29">
        <w:t>R</w:t>
      </w:r>
      <w:r>
        <w:t xml:space="preserve">eduction </w:t>
      </w:r>
      <w:r w:rsidR="00C53A29">
        <w:t>A</w:t>
      </w:r>
      <w:r>
        <w:t xml:space="preserve">gents and </w:t>
      </w:r>
      <w:r w:rsidR="00C53A29">
        <w:t>R</w:t>
      </w:r>
      <w:r>
        <w:t xml:space="preserve">elevant </w:t>
      </w:r>
      <w:r w:rsidR="000D4744">
        <w:t xml:space="preserve">GHG </w:t>
      </w:r>
      <w:r w:rsidR="00C53A29">
        <w:t>I</w:t>
      </w:r>
      <w:r>
        <w:t>mpact</w:t>
      </w:r>
    </w:p>
    <w:p w14:paraId="1C82FC8A" w14:textId="49D3A1D1" w:rsidR="004C6C03" w:rsidRDefault="004C6C03" w:rsidP="004C6C03">
      <w:pPr>
        <w:pStyle w:val="CETBodytext"/>
      </w:pPr>
      <w:r>
        <w:t>Though the current market of urea based de-NO</w:t>
      </w:r>
      <w:r w:rsidRPr="001A61B7">
        <w:rPr>
          <w:vertAlign w:val="subscript"/>
        </w:rPr>
        <w:t>x</w:t>
      </w:r>
      <w:r>
        <w:t xml:space="preserve"> reduction agents </w:t>
      </w:r>
      <w:r w:rsidR="005241F5">
        <w:t xml:space="preserve">is only 6 Mt/y in comparison with the world urea production of 170 Mt/y </w:t>
      </w:r>
      <w:r w:rsidR="005241F5" w:rsidRPr="00801712">
        <w:t>(Argus and Fertecon, 2021)</w:t>
      </w:r>
      <w:r w:rsidR="005241F5">
        <w:t xml:space="preserve">, the demand is expected to increase </w:t>
      </w:r>
      <w:r w:rsidR="004D4926">
        <w:t>quickly</w:t>
      </w:r>
      <w:r w:rsidR="005241F5">
        <w:t>, motivated by the growing stringency of legislation on emissions of NO</w:t>
      </w:r>
      <w:r w:rsidR="005241F5" w:rsidRPr="004C6C03">
        <w:rPr>
          <w:vertAlign w:val="subscript"/>
        </w:rPr>
        <w:t>x</w:t>
      </w:r>
      <w:r w:rsidR="005241F5">
        <w:t xml:space="preserve"> gases </w:t>
      </w:r>
      <w:r>
        <w:t>(Directive 2010/75/EU and following 2017 LCP BREF). The forecast is that the industrial sector with dominating demand of de-NO</w:t>
      </w:r>
      <w:r w:rsidRPr="002A6A82">
        <w:rPr>
          <w:vertAlign w:val="subscript"/>
        </w:rPr>
        <w:t>x</w:t>
      </w:r>
      <w:r>
        <w:t xml:space="preserve"> systems will be the massive coal and natural gas fired power generation sector, which alone represents half of the current world Total Energy Supply (IEA</w:t>
      </w:r>
      <w:r w:rsidR="00033623">
        <w:t>, 2021</w:t>
      </w:r>
      <w:r>
        <w:t>).</w:t>
      </w:r>
    </w:p>
    <w:p w14:paraId="51610C4B" w14:textId="4A27DFF9" w:rsidR="00D90542" w:rsidRDefault="00033623" w:rsidP="00D90542">
      <w:pPr>
        <w:pStyle w:val="CETBodytext"/>
      </w:pPr>
      <w:r>
        <w:t xml:space="preserve">An </w:t>
      </w:r>
      <w:r w:rsidR="000D4744">
        <w:t xml:space="preserve">estimate for the </w:t>
      </w:r>
      <w:r w:rsidR="000D4744">
        <w:rPr>
          <w:lang w:val="en-GB"/>
        </w:rPr>
        <w:t>potential demand of urea de-NO</w:t>
      </w:r>
      <w:r w:rsidR="000D4744" w:rsidRPr="00DA0985">
        <w:rPr>
          <w:vertAlign w:val="subscript"/>
          <w:lang w:val="en-GB"/>
        </w:rPr>
        <w:t>x</w:t>
      </w:r>
      <w:r w:rsidR="000D4744">
        <w:rPr>
          <w:lang w:val="en-GB"/>
        </w:rPr>
        <w:t xml:space="preserve"> reduction agents has been carried out c</w:t>
      </w:r>
      <w:r w:rsidR="00EB4C79">
        <w:rPr>
          <w:lang w:val="en-GB"/>
        </w:rPr>
        <w:t xml:space="preserve">onsidering the mechanism of reaction explained </w:t>
      </w:r>
      <w:r w:rsidR="00C96366">
        <w:rPr>
          <w:lang w:val="en-GB"/>
        </w:rPr>
        <w:t>in paragraph 2</w:t>
      </w:r>
      <w:r w:rsidR="001B6405">
        <w:rPr>
          <w:lang w:val="en-GB"/>
        </w:rPr>
        <w:t xml:space="preserve">, </w:t>
      </w:r>
      <w:r w:rsidR="00DA0985">
        <w:rPr>
          <w:lang w:val="en-GB"/>
        </w:rPr>
        <w:t xml:space="preserve">together with the flue gas emission database available for </w:t>
      </w:r>
      <w:r w:rsidR="00D82D1F">
        <w:rPr>
          <w:lang w:val="en-GB"/>
        </w:rPr>
        <w:t>combustion sources</w:t>
      </w:r>
      <w:r w:rsidR="00DA0985">
        <w:rPr>
          <w:lang w:val="en-GB"/>
        </w:rPr>
        <w:t xml:space="preserve"> in the </w:t>
      </w:r>
      <w:r w:rsidR="00D82D1F">
        <w:rPr>
          <w:lang w:val="en-GB"/>
        </w:rPr>
        <w:t>energy and</w:t>
      </w:r>
      <w:r w:rsidR="00DA0985">
        <w:rPr>
          <w:lang w:val="en-GB"/>
        </w:rPr>
        <w:t xml:space="preserve"> industr</w:t>
      </w:r>
      <w:r w:rsidR="00D82D1F">
        <w:rPr>
          <w:lang w:val="en-GB"/>
        </w:rPr>
        <w:t>ial process</w:t>
      </w:r>
      <w:r w:rsidR="00DA0985">
        <w:rPr>
          <w:lang w:val="en-GB"/>
        </w:rPr>
        <w:t xml:space="preserve">, </w:t>
      </w:r>
      <w:r w:rsidR="00D82D1F">
        <w:rPr>
          <w:lang w:val="en-GB"/>
        </w:rPr>
        <w:t xml:space="preserve">and the </w:t>
      </w:r>
      <w:r w:rsidR="00A455C5">
        <w:rPr>
          <w:lang w:val="en-GB"/>
        </w:rPr>
        <w:t>NO</w:t>
      </w:r>
      <w:r w:rsidR="00A455C5" w:rsidRPr="00A455C5">
        <w:rPr>
          <w:vertAlign w:val="subscript"/>
          <w:lang w:val="en-GB"/>
        </w:rPr>
        <w:t>x</w:t>
      </w:r>
      <w:r w:rsidR="00A455C5">
        <w:rPr>
          <w:lang w:val="en-GB"/>
        </w:rPr>
        <w:t xml:space="preserve"> </w:t>
      </w:r>
      <w:r w:rsidR="00D82D1F">
        <w:rPr>
          <w:lang w:val="en-GB"/>
        </w:rPr>
        <w:t xml:space="preserve">emission scenarios </w:t>
      </w:r>
      <w:r w:rsidR="00516F9D">
        <w:rPr>
          <w:lang w:val="en-GB"/>
        </w:rPr>
        <w:t xml:space="preserve">outlined by </w:t>
      </w:r>
      <w:r w:rsidR="00D90542">
        <w:rPr>
          <w:lang w:val="en-GB"/>
        </w:rPr>
        <w:t>the IEA</w:t>
      </w:r>
      <w:r w:rsidR="00516F9D">
        <w:rPr>
          <w:lang w:val="en-GB"/>
        </w:rPr>
        <w:t xml:space="preserve"> stud</w:t>
      </w:r>
      <w:r w:rsidR="00D90542">
        <w:rPr>
          <w:lang w:val="en-GB"/>
        </w:rPr>
        <w:t>y</w:t>
      </w:r>
      <w:r w:rsidR="00516F9D">
        <w:rPr>
          <w:lang w:val="en-GB"/>
        </w:rPr>
        <w:t xml:space="preserve"> </w:t>
      </w:r>
      <w:r w:rsidR="00D90542">
        <w:rPr>
          <w:lang w:val="en-GB"/>
        </w:rPr>
        <w:t>(2022)</w:t>
      </w:r>
      <w:r w:rsidR="00D90542" w:rsidRPr="00846A48">
        <w:rPr>
          <w:lang w:val="en-GB"/>
        </w:rPr>
        <w:t xml:space="preserve"> </w:t>
      </w:r>
      <w:r w:rsidR="00D90542">
        <w:rPr>
          <w:lang w:val="en-GB"/>
        </w:rPr>
        <w:t>for the</w:t>
      </w:r>
      <w:r>
        <w:rPr>
          <w:lang w:val="en-GB"/>
        </w:rPr>
        <w:t xml:space="preserve"> next two decades</w:t>
      </w:r>
      <w:r w:rsidR="00D90542">
        <w:rPr>
          <w:lang w:val="en-GB"/>
        </w:rPr>
        <w:t>.</w:t>
      </w:r>
      <w:r>
        <w:rPr>
          <w:lang w:val="en-GB"/>
        </w:rPr>
        <w:t xml:space="preserve"> </w:t>
      </w:r>
    </w:p>
    <w:p w14:paraId="707F7736" w14:textId="13218B84" w:rsidR="00D055B4" w:rsidRPr="00D90542" w:rsidRDefault="00D055B4" w:rsidP="00846A48">
      <w:pPr>
        <w:pStyle w:val="CETBodytext"/>
      </w:pPr>
    </w:p>
    <w:p w14:paraId="1AD28FDC" w14:textId="4370C50C" w:rsidR="00CC6583" w:rsidRDefault="00CC6583" w:rsidP="00D055B4">
      <w:pPr>
        <w:pStyle w:val="CETBodytext"/>
      </w:pPr>
      <w:r>
        <w:t xml:space="preserve">Data available from the </w:t>
      </w:r>
      <w:r w:rsidRPr="004828D5">
        <w:t>European IPPC Bureau</w:t>
      </w:r>
      <w:r>
        <w:t xml:space="preserve"> (2007) have been used t</w:t>
      </w:r>
      <w:r w:rsidR="00D055B4">
        <w:t>o appraise the GHG emissions correlated to the increased demand of urea</w:t>
      </w:r>
      <w:r>
        <w:t xml:space="preserve">; </w:t>
      </w:r>
      <w:r w:rsidR="00D055B4">
        <w:t xml:space="preserve">the figure 1 provides a summary of </w:t>
      </w:r>
      <w:bookmarkStart w:id="0" w:name="_Hlk128572299"/>
      <w:r w:rsidR="00D055B4">
        <w:t>main GHG contributors of the conventional urea process</w:t>
      </w:r>
      <w:bookmarkEnd w:id="0"/>
      <w:r>
        <w:t>.</w:t>
      </w:r>
    </w:p>
    <w:p w14:paraId="27814D37" w14:textId="1BC17EC5" w:rsidR="00D055B4" w:rsidRDefault="00CC6583" w:rsidP="00D90542">
      <w:pPr>
        <w:pStyle w:val="CETBodytext"/>
        <w:spacing w:after="120"/>
      </w:pPr>
      <w:r>
        <w:lastRenderedPageBreak/>
        <w:t>The biggest CO</w:t>
      </w:r>
      <w:r w:rsidRPr="006C2F69">
        <w:rPr>
          <w:vertAlign w:val="subscript"/>
        </w:rPr>
        <w:t>2</w:t>
      </w:r>
      <w:r>
        <w:t xml:space="preserve"> contributor is the production of the ammonia </w:t>
      </w:r>
      <w:r w:rsidR="00D055B4">
        <w:t>via Steam Methane Reformer (SMR)</w:t>
      </w:r>
      <w:r>
        <w:t>, which is equivalent to 0.97 t CO</w:t>
      </w:r>
      <w:r w:rsidRPr="00EB4C79">
        <w:rPr>
          <w:vertAlign w:val="subscript"/>
        </w:rPr>
        <w:t>2</w:t>
      </w:r>
      <w:r>
        <w:rPr>
          <w:vertAlign w:val="subscript"/>
        </w:rPr>
        <w:t xml:space="preserve"> eq.</w:t>
      </w:r>
      <w:r>
        <w:t>/t of urea and represents almost the 85% of GHG generation</w:t>
      </w:r>
      <w:r w:rsidR="00D055B4">
        <w:t xml:space="preserve">. The contribution factors due to </w:t>
      </w:r>
      <w:r>
        <w:t xml:space="preserve">process </w:t>
      </w:r>
      <w:r w:rsidR="00D055B4">
        <w:t xml:space="preserve">heat </w:t>
      </w:r>
      <w:r>
        <w:t xml:space="preserve">(steam) </w:t>
      </w:r>
      <w:r w:rsidR="00D055B4">
        <w:t xml:space="preserve">and electric energy </w:t>
      </w:r>
      <w:r w:rsidR="00D90542">
        <w:t>(</w:t>
      </w:r>
      <w:r w:rsidR="00D055B4">
        <w:t>required by the transformation and finishing process</w:t>
      </w:r>
      <w:r w:rsidR="00D90542">
        <w:t>)</w:t>
      </w:r>
      <w:r w:rsidR="00D055B4">
        <w:t xml:space="preserve"> </w:t>
      </w:r>
      <w:r>
        <w:t>represent</w:t>
      </w:r>
      <w:r w:rsidR="00D055B4">
        <w:t xml:space="preserve"> </w:t>
      </w:r>
      <w:r w:rsidR="00D90542">
        <w:t xml:space="preserve">roughly </w:t>
      </w:r>
      <w:r>
        <w:t>the 10% and 5% respectively</w:t>
      </w:r>
      <w:r w:rsidR="00D055B4">
        <w:t>.</w:t>
      </w:r>
    </w:p>
    <w:p w14:paraId="276D1963" w14:textId="5DBE36EE" w:rsidR="00D055B4" w:rsidRDefault="00C96366" w:rsidP="00D055B4">
      <w:pPr>
        <w:pStyle w:val="CETBodytext"/>
      </w:pPr>
      <w:r w:rsidRPr="00C96366">
        <w:rPr>
          <w:noProof/>
        </w:rPr>
        <w:drawing>
          <wp:inline distT="0" distB="0" distL="0" distR="0" wp14:anchorId="654E2884" wp14:editId="523BE15A">
            <wp:extent cx="4222210" cy="2419350"/>
            <wp:effectExtent l="0" t="0" r="6985" b="0"/>
            <wp:docPr id="1" name="Picture 1" descr="A picture containing text, screenshot, diagram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creenshot, diagram, fon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3077" cy="244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13802" w14:textId="748B1EC9" w:rsidR="00D055B4" w:rsidRPr="00BD077D" w:rsidRDefault="00D055B4" w:rsidP="00D90542">
      <w:pPr>
        <w:pStyle w:val="CETCaption"/>
        <w:spacing w:before="0"/>
      </w:pPr>
      <w:r w:rsidRPr="00BD077D">
        <w:rPr>
          <w:rStyle w:val="CETCaptionCarattere"/>
          <w:i/>
        </w:rPr>
        <w:t xml:space="preserve">Figure 1: </w:t>
      </w:r>
      <w:r>
        <w:rPr>
          <w:rStyle w:val="CETCaptionCarattere"/>
          <w:i/>
        </w:rPr>
        <w:t xml:space="preserve">block diagram and </w:t>
      </w:r>
      <w:r w:rsidRPr="006A5347">
        <w:t>main GHG sources of the conventional urea process</w:t>
      </w:r>
      <w:r w:rsidR="000312D4">
        <w:t>.</w:t>
      </w:r>
    </w:p>
    <w:p w14:paraId="6C42C88C" w14:textId="77777777" w:rsidR="00B32995" w:rsidRDefault="00363F8F" w:rsidP="00B32995">
      <w:pPr>
        <w:pStyle w:val="CETBodytext"/>
      </w:pPr>
      <w:r>
        <w:t>To sum up,</w:t>
      </w:r>
      <w:r w:rsidR="00D055B4">
        <w:t xml:space="preserve"> the overall </w:t>
      </w:r>
      <w:r w:rsidR="004620C4">
        <w:t xml:space="preserve">carbon footprint of </w:t>
      </w:r>
      <w:r w:rsidR="00B32995">
        <w:t xml:space="preserve">conventional </w:t>
      </w:r>
      <w:r w:rsidR="00D055B4">
        <w:t xml:space="preserve">urea </w:t>
      </w:r>
      <w:r w:rsidR="00B32995">
        <w:t xml:space="preserve">production process </w:t>
      </w:r>
      <w:r w:rsidR="00D055B4">
        <w:t>is</w:t>
      </w:r>
      <w:r w:rsidR="004620C4">
        <w:t xml:space="preserve"> </w:t>
      </w:r>
      <w:r w:rsidR="00D055B4">
        <w:t>1.17 t CO</w:t>
      </w:r>
      <w:r w:rsidR="00D055B4" w:rsidRPr="00EB4C79">
        <w:rPr>
          <w:vertAlign w:val="subscript"/>
        </w:rPr>
        <w:t>2</w:t>
      </w:r>
      <w:r w:rsidR="00D055B4">
        <w:rPr>
          <w:vertAlign w:val="subscript"/>
        </w:rPr>
        <w:t xml:space="preserve"> eq.</w:t>
      </w:r>
      <w:r w:rsidR="00D055B4">
        <w:t>/t (</w:t>
      </w:r>
      <w:r w:rsidR="004620C4">
        <w:t xml:space="preserve">in </w:t>
      </w:r>
      <w:r w:rsidR="00D055B4">
        <w:t>liquid solution form), or 1.22 kg CO</w:t>
      </w:r>
      <w:r w:rsidR="00D055B4" w:rsidRPr="00EB4C79">
        <w:rPr>
          <w:vertAlign w:val="subscript"/>
        </w:rPr>
        <w:t>2</w:t>
      </w:r>
      <w:r w:rsidR="00D055B4">
        <w:rPr>
          <w:vertAlign w:val="subscript"/>
        </w:rPr>
        <w:t xml:space="preserve"> eq.</w:t>
      </w:r>
      <w:r w:rsidR="00D055B4">
        <w:t>/t (</w:t>
      </w:r>
      <w:r w:rsidR="004620C4">
        <w:t xml:space="preserve">in solid </w:t>
      </w:r>
      <w:r w:rsidR="00D055B4">
        <w:t>granulated form).</w:t>
      </w:r>
    </w:p>
    <w:p w14:paraId="443E39D2" w14:textId="0437D068" w:rsidR="00D90542" w:rsidRPr="00D90542" w:rsidRDefault="00B32995" w:rsidP="007B230A">
      <w:pPr>
        <w:pStyle w:val="CETBodytext"/>
        <w:spacing w:after="120"/>
        <w:rPr>
          <w:rStyle w:val="CETCaptionCarattere"/>
          <w:i w:val="0"/>
          <w:lang w:val="en-US"/>
        </w:rPr>
      </w:pPr>
      <w:r>
        <w:t xml:space="preserve">The </w:t>
      </w:r>
      <w:r>
        <w:t xml:space="preserve">GHG generation due to the </w:t>
      </w:r>
      <w:r>
        <w:t>expected demand of urea de-NO</w:t>
      </w:r>
      <w:r w:rsidRPr="00D055B4">
        <w:rPr>
          <w:vertAlign w:val="subscript"/>
        </w:rPr>
        <w:t>x</w:t>
      </w:r>
      <w:r>
        <w:t xml:space="preserve"> agents is outlined in Table 1.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20"/>
        <w:gridCol w:w="990"/>
        <w:gridCol w:w="1350"/>
        <w:gridCol w:w="576"/>
        <w:gridCol w:w="324"/>
      </w:tblGrid>
      <w:tr w:rsidR="00D82D1F" w:rsidRPr="00B57B36" w14:paraId="3C946253" w14:textId="77777777" w:rsidTr="00D90542">
        <w:tc>
          <w:tcPr>
            <w:tcW w:w="162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734F367" w14:textId="77777777" w:rsidR="00DE5592" w:rsidRDefault="00DE5592" w:rsidP="00D90542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Pollutant or</w:t>
            </w:r>
          </w:p>
          <w:p w14:paraId="022E0AF1" w14:textId="09FF6E3E" w:rsidR="00DE5592" w:rsidRPr="00B57B36" w:rsidRDefault="00DE5592" w:rsidP="00D90542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Product</w:t>
            </w:r>
          </w:p>
        </w:tc>
        <w:tc>
          <w:tcPr>
            <w:tcW w:w="99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C9AA145" w14:textId="77777777" w:rsidR="00D82D1F" w:rsidRDefault="00D82D1F" w:rsidP="00D90542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Coal</w:t>
            </w:r>
          </w:p>
          <w:p w14:paraId="3B667354" w14:textId="40BF1098" w:rsidR="00DE5592" w:rsidRPr="00B57B36" w:rsidRDefault="00DE5592" w:rsidP="00D90542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(Mt</w:t>
            </w:r>
            <w:r w:rsidR="00DC55F5">
              <w:rPr>
                <w:lang w:val="en-GB"/>
              </w:rPr>
              <w:t>/y</w:t>
            </w:r>
            <w:r>
              <w:rPr>
                <w:lang w:val="en-GB"/>
              </w:rPr>
              <w:t>)</w:t>
            </w:r>
          </w:p>
        </w:tc>
        <w:tc>
          <w:tcPr>
            <w:tcW w:w="135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816CFAD" w14:textId="77777777" w:rsidR="00D82D1F" w:rsidRDefault="00D82D1F" w:rsidP="00D90542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Natural Gas</w:t>
            </w:r>
          </w:p>
          <w:p w14:paraId="646324B3" w14:textId="152D4476" w:rsidR="00DE5592" w:rsidRPr="00B57B36" w:rsidRDefault="00DE5592" w:rsidP="00D90542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(Mt</w:t>
            </w:r>
            <w:r w:rsidR="00DC55F5">
              <w:rPr>
                <w:lang w:val="en-GB"/>
              </w:rPr>
              <w:t>/y</w:t>
            </w:r>
            <w:r>
              <w:rPr>
                <w:lang w:val="en-GB"/>
              </w:rPr>
              <w:t>)</w:t>
            </w:r>
          </w:p>
        </w:tc>
        <w:tc>
          <w:tcPr>
            <w:tcW w:w="576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EA1AF7E" w14:textId="77777777" w:rsidR="00D82D1F" w:rsidRDefault="00D82D1F" w:rsidP="00D9054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Oil</w:t>
            </w:r>
          </w:p>
          <w:p w14:paraId="4A83C6EF" w14:textId="40E3AED4" w:rsidR="00DE5592" w:rsidRPr="00B57B36" w:rsidRDefault="00DE5592" w:rsidP="00D9054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(Mt</w:t>
            </w:r>
            <w:r w:rsidR="00DC55F5">
              <w:rPr>
                <w:rFonts w:cs="Arial"/>
                <w:szCs w:val="18"/>
                <w:lang w:val="en-GB"/>
              </w:rPr>
              <w:t>/y</w:t>
            </w:r>
            <w:r>
              <w:rPr>
                <w:rFonts w:cs="Arial"/>
                <w:szCs w:val="18"/>
                <w:lang w:val="en-GB"/>
              </w:rPr>
              <w:t>)</w:t>
            </w:r>
          </w:p>
        </w:tc>
        <w:tc>
          <w:tcPr>
            <w:tcW w:w="32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C73ABD8" w14:textId="77777777" w:rsidR="00D82D1F" w:rsidRPr="00B57B36" w:rsidRDefault="00D82D1F" w:rsidP="00D9054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  <w:tr w:rsidR="00D82D1F" w:rsidRPr="00B57B36" w14:paraId="087E5F6E" w14:textId="77777777" w:rsidTr="00D90542">
        <w:trPr>
          <w:trHeight w:val="552"/>
        </w:trPr>
        <w:tc>
          <w:tcPr>
            <w:tcW w:w="1620" w:type="dxa"/>
            <w:shd w:val="clear" w:color="auto" w:fill="FFFFFF"/>
          </w:tcPr>
          <w:p w14:paraId="238CD05D" w14:textId="46BFD0C2" w:rsidR="00D82D1F" w:rsidRPr="00CD240A" w:rsidRDefault="001B6405" w:rsidP="00D90542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Current </w:t>
            </w:r>
            <w:r w:rsidR="00D82D1F">
              <w:rPr>
                <w:lang w:val="en-GB"/>
              </w:rPr>
              <w:t>CO</w:t>
            </w:r>
            <w:r w:rsidR="00D82D1F" w:rsidRPr="0034350E">
              <w:rPr>
                <w:vertAlign w:val="subscript"/>
                <w:lang w:val="en-GB"/>
              </w:rPr>
              <w:t>2</w:t>
            </w:r>
            <w:r w:rsidR="00D82D1F">
              <w:rPr>
                <w:lang w:val="en-GB"/>
              </w:rPr>
              <w:t xml:space="preserve"> emissions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6C223AD4" w14:textId="77777777" w:rsidR="00D82D1F" w:rsidRPr="00B57B36" w:rsidRDefault="00D82D1F" w:rsidP="00D90542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>15,300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837B5F2" w14:textId="77777777" w:rsidR="00D82D1F" w:rsidRPr="00B57B36" w:rsidRDefault="00D82D1F" w:rsidP="00D90542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>7,500</w:t>
            </w:r>
          </w:p>
        </w:tc>
        <w:tc>
          <w:tcPr>
            <w:tcW w:w="576" w:type="dxa"/>
            <w:shd w:val="clear" w:color="auto" w:fill="FFFFFF"/>
            <w:vAlign w:val="center"/>
          </w:tcPr>
          <w:p w14:paraId="0C4C0A84" w14:textId="77777777" w:rsidR="00D82D1F" w:rsidRPr="00B57B36" w:rsidRDefault="00D82D1F" w:rsidP="00D90542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10,700</w:t>
            </w:r>
          </w:p>
        </w:tc>
        <w:tc>
          <w:tcPr>
            <w:tcW w:w="324" w:type="dxa"/>
            <w:shd w:val="clear" w:color="auto" w:fill="FFFFFF"/>
            <w:vAlign w:val="center"/>
          </w:tcPr>
          <w:p w14:paraId="5C3C1855" w14:textId="77777777" w:rsidR="00D82D1F" w:rsidRPr="00B57B36" w:rsidRDefault="00D82D1F" w:rsidP="00D90542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</w:p>
        </w:tc>
      </w:tr>
      <w:tr w:rsidR="00D82D1F" w:rsidRPr="00B57B36" w14:paraId="5CC99AA8" w14:textId="77777777" w:rsidTr="00D90542">
        <w:trPr>
          <w:trHeight w:val="549"/>
        </w:trPr>
        <w:tc>
          <w:tcPr>
            <w:tcW w:w="1620" w:type="dxa"/>
            <w:shd w:val="clear" w:color="auto" w:fill="FFFFFF"/>
          </w:tcPr>
          <w:p w14:paraId="731FBDAC" w14:textId="05574301" w:rsidR="00D82D1F" w:rsidRPr="00CD240A" w:rsidRDefault="001B6405" w:rsidP="00D90542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Forecast </w:t>
            </w:r>
            <w:r w:rsidR="00D82D1F">
              <w:rPr>
                <w:lang w:val="en-GB"/>
              </w:rPr>
              <w:t>NO</w:t>
            </w:r>
            <w:r w:rsidR="00D82D1F" w:rsidRPr="0034350E">
              <w:rPr>
                <w:vertAlign w:val="subscript"/>
                <w:lang w:val="en-GB"/>
              </w:rPr>
              <w:t>x</w:t>
            </w:r>
            <w:r w:rsidR="00D82D1F">
              <w:rPr>
                <w:lang w:val="en-GB"/>
              </w:rPr>
              <w:t xml:space="preserve"> emissions</w:t>
            </w:r>
            <w:r w:rsidR="00EB4C79">
              <w:rPr>
                <w:lang w:val="en-GB"/>
              </w:rPr>
              <w:t xml:space="preserve"> (2040)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23BC70F6" w14:textId="77777777" w:rsidR="00D82D1F" w:rsidRDefault="00D82D1F" w:rsidP="00D90542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>9.8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0F46626A" w14:textId="77777777" w:rsidR="00D82D1F" w:rsidRDefault="00D82D1F" w:rsidP="00D90542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>13.7</w:t>
            </w:r>
          </w:p>
        </w:tc>
        <w:tc>
          <w:tcPr>
            <w:tcW w:w="576" w:type="dxa"/>
            <w:shd w:val="clear" w:color="auto" w:fill="FFFFFF"/>
            <w:vAlign w:val="center"/>
          </w:tcPr>
          <w:p w14:paraId="1A3A3635" w14:textId="77777777" w:rsidR="00D82D1F" w:rsidRDefault="00D82D1F" w:rsidP="00D90542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21.5</w:t>
            </w:r>
          </w:p>
        </w:tc>
        <w:tc>
          <w:tcPr>
            <w:tcW w:w="324" w:type="dxa"/>
            <w:shd w:val="clear" w:color="auto" w:fill="FFFFFF"/>
            <w:vAlign w:val="center"/>
          </w:tcPr>
          <w:p w14:paraId="463E3D7C" w14:textId="77777777" w:rsidR="00D82D1F" w:rsidRPr="00B57B36" w:rsidRDefault="00D82D1F" w:rsidP="00D90542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</w:p>
        </w:tc>
      </w:tr>
      <w:tr w:rsidR="00D82D1F" w:rsidRPr="00B57B36" w14:paraId="1DDA1321" w14:textId="77777777" w:rsidTr="00D90542">
        <w:trPr>
          <w:trHeight w:val="540"/>
        </w:trPr>
        <w:tc>
          <w:tcPr>
            <w:tcW w:w="1620" w:type="dxa"/>
            <w:shd w:val="clear" w:color="auto" w:fill="FFFFFF"/>
          </w:tcPr>
          <w:p w14:paraId="3D3F0C5A" w14:textId="7D09B36D" w:rsidR="00D82D1F" w:rsidRPr="00B57B36" w:rsidRDefault="001B6405" w:rsidP="00D90542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Forecast </w:t>
            </w:r>
            <w:r w:rsidR="00D82D1F">
              <w:rPr>
                <w:lang w:val="en-GB"/>
              </w:rPr>
              <w:t xml:space="preserve">Urea </w:t>
            </w:r>
            <w:r>
              <w:rPr>
                <w:lang w:val="en-GB"/>
              </w:rPr>
              <w:t xml:space="preserve">    de-NO</w:t>
            </w:r>
            <w:r w:rsidRPr="001B6405">
              <w:rPr>
                <w:vertAlign w:val="subscript"/>
                <w:lang w:val="en-GB"/>
              </w:rPr>
              <w:t>x</w:t>
            </w:r>
            <w:r>
              <w:rPr>
                <w:lang w:val="en-GB"/>
              </w:rPr>
              <w:t xml:space="preserve"> </w:t>
            </w:r>
            <w:r w:rsidR="00D82D1F">
              <w:rPr>
                <w:lang w:val="en-GB"/>
              </w:rPr>
              <w:t>demand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36C9B30F" w14:textId="77777777" w:rsidR="00D82D1F" w:rsidRPr="00B57B36" w:rsidRDefault="00D82D1F" w:rsidP="00D90542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>23.7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2E72289" w14:textId="77777777" w:rsidR="00D82D1F" w:rsidRPr="00B57B36" w:rsidRDefault="00D82D1F" w:rsidP="00D90542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>33.1</w:t>
            </w:r>
          </w:p>
        </w:tc>
        <w:tc>
          <w:tcPr>
            <w:tcW w:w="576" w:type="dxa"/>
            <w:shd w:val="clear" w:color="auto" w:fill="FFFFFF"/>
            <w:vAlign w:val="center"/>
          </w:tcPr>
          <w:p w14:paraId="2824C4AD" w14:textId="77777777" w:rsidR="00D82D1F" w:rsidRPr="00B57B36" w:rsidRDefault="00D82D1F" w:rsidP="00D90542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23.3</w:t>
            </w:r>
          </w:p>
        </w:tc>
        <w:tc>
          <w:tcPr>
            <w:tcW w:w="324" w:type="dxa"/>
            <w:shd w:val="clear" w:color="auto" w:fill="FFFFFF"/>
            <w:vAlign w:val="center"/>
          </w:tcPr>
          <w:p w14:paraId="2599F1B2" w14:textId="77777777" w:rsidR="00D82D1F" w:rsidRPr="00B57B36" w:rsidRDefault="00D82D1F" w:rsidP="00D90542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</w:p>
        </w:tc>
      </w:tr>
      <w:tr w:rsidR="00D82D1F" w:rsidRPr="00B57B36" w14:paraId="4C94FF12" w14:textId="77777777" w:rsidTr="00D90542">
        <w:tc>
          <w:tcPr>
            <w:tcW w:w="1620" w:type="dxa"/>
            <w:shd w:val="clear" w:color="auto" w:fill="FFFFFF"/>
          </w:tcPr>
          <w:p w14:paraId="521CAE2E" w14:textId="161C6A24" w:rsidR="00D82D1F" w:rsidRPr="00B57B36" w:rsidRDefault="00D82D1F" w:rsidP="00D9054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CO</w:t>
            </w:r>
            <w:r w:rsidRPr="00CD240A">
              <w:rPr>
                <w:rFonts w:cs="Arial"/>
                <w:szCs w:val="18"/>
                <w:vertAlign w:val="subscript"/>
                <w:lang w:val="en-GB"/>
              </w:rPr>
              <w:t>2</w:t>
            </w:r>
            <w:r>
              <w:rPr>
                <w:rFonts w:cs="Arial"/>
                <w:szCs w:val="18"/>
                <w:lang w:val="en-GB"/>
              </w:rPr>
              <w:t xml:space="preserve"> eq. GHG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315308B5" w14:textId="76EDDCA0" w:rsidR="00D82D1F" w:rsidRPr="00B57B36" w:rsidRDefault="00D82D1F" w:rsidP="00D90542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2</w:t>
            </w:r>
            <w:r w:rsidR="00033623">
              <w:rPr>
                <w:rFonts w:cs="Arial"/>
                <w:szCs w:val="18"/>
                <w:lang w:val="en-GB"/>
              </w:rPr>
              <w:t>7</w:t>
            </w:r>
            <w:r>
              <w:rPr>
                <w:rFonts w:cs="Arial"/>
                <w:szCs w:val="18"/>
                <w:lang w:val="en-GB"/>
              </w:rPr>
              <w:t>.</w:t>
            </w:r>
            <w:r w:rsidR="004620C4">
              <w:rPr>
                <w:rFonts w:cs="Arial"/>
                <w:szCs w:val="18"/>
                <w:lang w:val="en-GB"/>
              </w:rPr>
              <w:t>8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5981D41B" w14:textId="7F8FD208" w:rsidR="00D82D1F" w:rsidRPr="00B57B36" w:rsidRDefault="00F97BCC" w:rsidP="00D90542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3</w:t>
            </w:r>
            <w:r w:rsidR="004620C4">
              <w:rPr>
                <w:rFonts w:cs="Arial"/>
                <w:szCs w:val="18"/>
                <w:lang w:val="en-GB"/>
              </w:rPr>
              <w:t>8</w:t>
            </w:r>
            <w:r w:rsidR="00D82D1F">
              <w:rPr>
                <w:rFonts w:cs="Arial"/>
                <w:szCs w:val="18"/>
                <w:lang w:val="en-GB"/>
              </w:rPr>
              <w:t>.</w:t>
            </w:r>
            <w:r w:rsidR="004620C4">
              <w:rPr>
                <w:rFonts w:cs="Arial"/>
                <w:szCs w:val="18"/>
                <w:lang w:val="en-GB"/>
              </w:rPr>
              <w:t>8</w:t>
            </w:r>
          </w:p>
        </w:tc>
        <w:tc>
          <w:tcPr>
            <w:tcW w:w="576" w:type="dxa"/>
            <w:shd w:val="clear" w:color="auto" w:fill="FFFFFF"/>
            <w:vAlign w:val="center"/>
          </w:tcPr>
          <w:p w14:paraId="64B2ED2B" w14:textId="2C1685D5" w:rsidR="00D82D1F" w:rsidRPr="00B57B36" w:rsidRDefault="00D82D1F" w:rsidP="00D90542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2</w:t>
            </w:r>
            <w:r w:rsidR="004620C4">
              <w:rPr>
                <w:rFonts w:cs="Arial"/>
                <w:szCs w:val="18"/>
                <w:lang w:val="en-GB"/>
              </w:rPr>
              <w:t>7</w:t>
            </w:r>
            <w:r>
              <w:rPr>
                <w:rFonts w:cs="Arial"/>
                <w:szCs w:val="18"/>
                <w:lang w:val="en-GB"/>
              </w:rPr>
              <w:t>.</w:t>
            </w:r>
            <w:r w:rsidR="004620C4">
              <w:rPr>
                <w:rFonts w:cs="Arial"/>
                <w:szCs w:val="18"/>
                <w:lang w:val="en-GB"/>
              </w:rPr>
              <w:t>3</w:t>
            </w:r>
          </w:p>
        </w:tc>
        <w:tc>
          <w:tcPr>
            <w:tcW w:w="324" w:type="dxa"/>
            <w:shd w:val="clear" w:color="auto" w:fill="FFFFFF"/>
            <w:vAlign w:val="center"/>
          </w:tcPr>
          <w:p w14:paraId="3F4170E6" w14:textId="77777777" w:rsidR="00D82D1F" w:rsidRPr="00B57B36" w:rsidRDefault="00D82D1F" w:rsidP="00D90542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</w:p>
        </w:tc>
      </w:tr>
    </w:tbl>
    <w:p w14:paraId="09C7AF0E" w14:textId="39B9A58F" w:rsidR="00D90542" w:rsidRDefault="00D90542" w:rsidP="007B230A">
      <w:pPr>
        <w:pStyle w:val="CETBodytext"/>
        <w:rPr>
          <w:lang w:val="en-GB"/>
        </w:rPr>
      </w:pPr>
      <w:r w:rsidRPr="00D90542">
        <w:rPr>
          <w:rStyle w:val="CETCaptionCarattere"/>
        </w:rPr>
        <w:t>Table 1: urea de-NOx worldwide carbon footprint, for future scenarios of reduced NOx emissions, using the urea conventional production process.</w:t>
      </w:r>
    </w:p>
    <w:p w14:paraId="4CF9A6A8" w14:textId="77777777" w:rsidR="00D90542" w:rsidRDefault="00D90542" w:rsidP="00630F0E">
      <w:pPr>
        <w:pStyle w:val="CETBodytext"/>
        <w:rPr>
          <w:lang w:val="en-GB"/>
        </w:rPr>
      </w:pPr>
    </w:p>
    <w:p w14:paraId="36C43D10" w14:textId="77777777" w:rsidR="00D90542" w:rsidRDefault="00D90542" w:rsidP="00630F0E">
      <w:pPr>
        <w:pStyle w:val="CETBodytext"/>
        <w:rPr>
          <w:lang w:val="en-GB"/>
        </w:rPr>
      </w:pPr>
    </w:p>
    <w:p w14:paraId="1709E1A3" w14:textId="77777777" w:rsidR="00D90542" w:rsidRDefault="00D90542" w:rsidP="00630F0E">
      <w:pPr>
        <w:pStyle w:val="CETBodytext"/>
        <w:rPr>
          <w:lang w:val="en-GB"/>
        </w:rPr>
      </w:pPr>
    </w:p>
    <w:p w14:paraId="3B9E9CD6" w14:textId="77777777" w:rsidR="00D90542" w:rsidRDefault="00D90542" w:rsidP="00630F0E">
      <w:pPr>
        <w:pStyle w:val="CETBodytext"/>
        <w:rPr>
          <w:lang w:val="en-GB"/>
        </w:rPr>
      </w:pPr>
    </w:p>
    <w:p w14:paraId="6F7B9E49" w14:textId="77777777" w:rsidR="00D90542" w:rsidRDefault="00D90542" w:rsidP="00630F0E">
      <w:pPr>
        <w:pStyle w:val="CETBodytext"/>
        <w:rPr>
          <w:lang w:val="en-GB"/>
        </w:rPr>
      </w:pPr>
    </w:p>
    <w:p w14:paraId="2B332B5B" w14:textId="77777777" w:rsidR="00D90542" w:rsidRDefault="00D90542" w:rsidP="00630F0E">
      <w:pPr>
        <w:pStyle w:val="CETBodytext"/>
        <w:rPr>
          <w:lang w:val="en-GB"/>
        </w:rPr>
      </w:pPr>
    </w:p>
    <w:p w14:paraId="27AC690A" w14:textId="77777777" w:rsidR="00D90542" w:rsidRDefault="00D90542" w:rsidP="00630F0E">
      <w:pPr>
        <w:pStyle w:val="CETBodytext"/>
        <w:rPr>
          <w:lang w:val="en-GB"/>
        </w:rPr>
      </w:pPr>
    </w:p>
    <w:p w14:paraId="726E2327" w14:textId="38212351" w:rsidR="00630F0E" w:rsidRDefault="00846A48" w:rsidP="00D90542">
      <w:pPr>
        <w:pStyle w:val="CETBodytext"/>
        <w:spacing w:before="120"/>
      </w:pPr>
      <w:r>
        <w:rPr>
          <w:lang w:val="en-GB"/>
        </w:rPr>
        <w:t xml:space="preserve">It can be concluded that the </w:t>
      </w:r>
      <w:r w:rsidR="004620C4">
        <w:rPr>
          <w:lang w:val="en-GB"/>
        </w:rPr>
        <w:t>increased</w:t>
      </w:r>
      <w:r>
        <w:rPr>
          <w:lang w:val="en-GB"/>
        </w:rPr>
        <w:t xml:space="preserve"> demand of urea de-NO</w:t>
      </w:r>
      <w:r w:rsidRPr="00DA0985">
        <w:rPr>
          <w:vertAlign w:val="subscript"/>
          <w:lang w:val="en-GB"/>
        </w:rPr>
        <w:t>x</w:t>
      </w:r>
      <w:r>
        <w:rPr>
          <w:lang w:val="en-GB"/>
        </w:rPr>
        <w:t xml:space="preserve"> reduction agents</w:t>
      </w:r>
      <w:r w:rsidR="00630F0E">
        <w:rPr>
          <w:lang w:val="en-GB"/>
        </w:rPr>
        <w:t xml:space="preserve"> </w:t>
      </w:r>
      <w:r w:rsidR="00B32995">
        <w:rPr>
          <w:lang w:val="en-GB"/>
        </w:rPr>
        <w:t xml:space="preserve">awaited </w:t>
      </w:r>
      <w:r w:rsidR="00630F0E">
        <w:rPr>
          <w:lang w:val="en-GB"/>
        </w:rPr>
        <w:t>in the next decades</w:t>
      </w:r>
      <w:r>
        <w:rPr>
          <w:lang w:val="en-GB"/>
        </w:rPr>
        <w:t xml:space="preserve">, </w:t>
      </w:r>
      <w:r>
        <w:t xml:space="preserve">assuming a conventional </w:t>
      </w:r>
      <w:r w:rsidR="00630F0E">
        <w:t xml:space="preserve">urea </w:t>
      </w:r>
      <w:r>
        <w:t xml:space="preserve">production route based on natural gas, would generate </w:t>
      </w:r>
      <w:r w:rsidR="00076BF0">
        <w:t>within</w:t>
      </w:r>
      <w:r w:rsidR="00630F0E">
        <w:t xml:space="preserve"> the year </w:t>
      </w:r>
      <w:r>
        <w:t xml:space="preserve">2040 </w:t>
      </w:r>
      <w:r w:rsidR="00630F0E">
        <w:t>an amount of GHG emissions more than 90 Mt CO</w:t>
      </w:r>
      <w:r w:rsidR="00630F0E" w:rsidRPr="00630F0E">
        <w:rPr>
          <w:vertAlign w:val="subscript"/>
        </w:rPr>
        <w:t>2</w:t>
      </w:r>
      <w:r w:rsidR="00630F0E">
        <w:rPr>
          <w:vertAlign w:val="subscript"/>
        </w:rPr>
        <w:t xml:space="preserve"> eq</w:t>
      </w:r>
      <w:r w:rsidR="005E3C92">
        <w:rPr>
          <w:vertAlign w:val="subscript"/>
        </w:rPr>
        <w:t>.</w:t>
      </w:r>
      <w:r w:rsidR="00630F0E">
        <w:t>/y.</w:t>
      </w:r>
    </w:p>
    <w:p w14:paraId="68D26B83" w14:textId="11CDF788" w:rsidR="00600535" w:rsidRDefault="00437510" w:rsidP="00DE2DFD">
      <w:pPr>
        <w:pStyle w:val="CETHeading1"/>
        <w:numPr>
          <w:ilvl w:val="0"/>
          <w:numId w:val="24"/>
        </w:numPr>
        <w:tabs>
          <w:tab w:val="num" w:pos="360"/>
        </w:tabs>
        <w:ind w:left="0" w:firstLine="0"/>
        <w:rPr>
          <w:lang w:val="en-GB"/>
        </w:rPr>
      </w:pPr>
      <w:r>
        <w:rPr>
          <w:lang w:val="en-GB"/>
        </w:rPr>
        <w:t xml:space="preserve">Carbon </w:t>
      </w:r>
      <w:r w:rsidR="00C53A29">
        <w:rPr>
          <w:lang w:val="en-GB"/>
        </w:rPr>
        <w:t>C</w:t>
      </w:r>
      <w:r>
        <w:rPr>
          <w:lang w:val="en-GB"/>
        </w:rPr>
        <w:t xml:space="preserve">apture </w:t>
      </w:r>
      <w:r w:rsidR="00C53A29">
        <w:rPr>
          <w:lang w:val="en-GB"/>
        </w:rPr>
        <w:t>T</w:t>
      </w:r>
      <w:r>
        <w:rPr>
          <w:lang w:val="en-GB"/>
        </w:rPr>
        <w:t xml:space="preserve">echnologies </w:t>
      </w:r>
      <w:r w:rsidR="00C53A29">
        <w:rPr>
          <w:lang w:val="en-GB"/>
        </w:rPr>
        <w:t>I</w:t>
      </w:r>
      <w:r>
        <w:rPr>
          <w:lang w:val="en-GB"/>
        </w:rPr>
        <w:t>ntegrated with</w:t>
      </w:r>
      <w:r w:rsidR="008A17C1">
        <w:rPr>
          <w:lang w:val="en-GB"/>
        </w:rPr>
        <w:t xml:space="preserve"> </w:t>
      </w:r>
      <w:r w:rsidR="00C53A29">
        <w:rPr>
          <w:lang w:val="en-GB"/>
        </w:rPr>
        <w:t>E</w:t>
      </w:r>
      <w:r>
        <w:rPr>
          <w:lang w:val="en-GB"/>
        </w:rPr>
        <w:t>xisting</w:t>
      </w:r>
      <w:r w:rsidR="008A17C1">
        <w:rPr>
          <w:lang w:val="en-GB"/>
        </w:rPr>
        <w:t xml:space="preserve"> </w:t>
      </w:r>
      <w:r w:rsidR="00C53A29">
        <w:rPr>
          <w:lang w:val="en-GB"/>
        </w:rPr>
        <w:t>I</w:t>
      </w:r>
      <w:r w:rsidR="008A17C1">
        <w:rPr>
          <w:lang w:val="en-GB"/>
        </w:rPr>
        <w:t xml:space="preserve">ndustrial </w:t>
      </w:r>
      <w:r w:rsidR="00C53A29">
        <w:rPr>
          <w:lang w:val="en-GB"/>
        </w:rPr>
        <w:t>P</w:t>
      </w:r>
      <w:r w:rsidR="008A17C1">
        <w:rPr>
          <w:lang w:val="en-GB"/>
        </w:rPr>
        <w:t>rocess</w:t>
      </w:r>
      <w:r w:rsidR="00C53A29">
        <w:rPr>
          <w:lang w:val="en-GB"/>
        </w:rPr>
        <w:t>es</w:t>
      </w:r>
    </w:p>
    <w:p w14:paraId="539FAF76" w14:textId="17C50D98" w:rsidR="00B71A2D" w:rsidRDefault="00B71A2D" w:rsidP="00B71A2D">
      <w:pPr>
        <w:pStyle w:val="CETBodytext"/>
      </w:pPr>
      <w:r w:rsidRPr="00B71A2D">
        <w:t>Power plants</w:t>
      </w:r>
      <w:r>
        <w:t xml:space="preserve"> and other important industrial activities, such as cement</w:t>
      </w:r>
      <w:r w:rsidR="00E43879">
        <w:t xml:space="preserve"> </w:t>
      </w:r>
      <w:r>
        <w:t xml:space="preserve">and steel productions, </w:t>
      </w:r>
      <w:r w:rsidRPr="00B71A2D">
        <w:t>release relatively high amounts of anthropogenic carbon dioxide. I</w:t>
      </w:r>
      <w:r>
        <w:t xml:space="preserve">ntegrating the recovery process of these </w:t>
      </w:r>
      <w:r w:rsidR="00E43879">
        <w:t>large point source</w:t>
      </w:r>
      <w:r>
        <w:t xml:space="preserve"> emi</w:t>
      </w:r>
      <w:r w:rsidR="00E43879">
        <w:t>tters</w:t>
      </w:r>
      <w:r>
        <w:t xml:space="preserve"> with new urea plants</w:t>
      </w:r>
      <w:r w:rsidR="00E43879">
        <w:t>,</w:t>
      </w:r>
      <w:r>
        <w:t xml:space="preserve"> </w:t>
      </w:r>
      <w:r w:rsidR="00076BF0">
        <w:t>expected to be in operation</w:t>
      </w:r>
      <w:r>
        <w:t xml:space="preserve"> for balancing the increasing demand of de-NO</w:t>
      </w:r>
      <w:r w:rsidRPr="00B71A2D">
        <w:rPr>
          <w:vertAlign w:val="subscript"/>
        </w:rPr>
        <w:t>x</w:t>
      </w:r>
      <w:r>
        <w:t xml:space="preserve"> reduction agents</w:t>
      </w:r>
      <w:r w:rsidR="00E43879">
        <w:t>,</w:t>
      </w:r>
      <w:r>
        <w:t xml:space="preserve"> is </w:t>
      </w:r>
      <w:r w:rsidR="00E43879">
        <w:t>seen as a key task to achieve the target of minimizing the GHG effects that otherwise would arise.</w:t>
      </w:r>
    </w:p>
    <w:p w14:paraId="588A9F63" w14:textId="5737D82C" w:rsidR="00891E6B" w:rsidRPr="00891E6B" w:rsidRDefault="00DE5592" w:rsidP="0081583C">
      <w:pPr>
        <w:pStyle w:val="CETBodytext"/>
      </w:pPr>
      <w:r w:rsidRPr="00CF540F">
        <w:t>To</w:t>
      </w:r>
      <w:r>
        <w:t xml:space="preserve"> </w:t>
      </w:r>
      <w:r w:rsidRPr="00CF540F">
        <w:t>date, most research and development has centered on capturing CO</w:t>
      </w:r>
      <w:r w:rsidRPr="00CF540F">
        <w:rPr>
          <w:vertAlign w:val="subscript"/>
        </w:rPr>
        <w:t>2</w:t>
      </w:r>
      <w:r w:rsidRPr="00CF540F">
        <w:t xml:space="preserve"> emitted</w:t>
      </w:r>
      <w:r>
        <w:t xml:space="preserve"> </w:t>
      </w:r>
      <w:r w:rsidRPr="00CF540F">
        <w:rPr>
          <w:lang w:val="en-GB"/>
        </w:rPr>
        <w:t>from coal power plants</w:t>
      </w:r>
      <w:r>
        <w:rPr>
          <w:lang w:val="en-GB"/>
        </w:rPr>
        <w:t>, as these are the largest emitter</w:t>
      </w:r>
      <w:r>
        <w:t>s</w:t>
      </w:r>
      <w:r>
        <w:rPr>
          <w:lang w:val="en-GB"/>
        </w:rPr>
        <w:t>; however also the CO</w:t>
      </w:r>
      <w:r w:rsidRPr="00CF540F">
        <w:rPr>
          <w:vertAlign w:val="subscript"/>
          <w:lang w:val="en-GB"/>
        </w:rPr>
        <w:t>2</w:t>
      </w:r>
      <w:r>
        <w:rPr>
          <w:lang w:val="en-GB"/>
        </w:rPr>
        <w:t xml:space="preserve"> concentration play</w:t>
      </w:r>
      <w:r w:rsidR="0081583C">
        <w:rPr>
          <w:lang w:val="en-GB"/>
        </w:rPr>
        <w:t>s</w:t>
      </w:r>
      <w:r>
        <w:rPr>
          <w:lang w:val="en-GB"/>
        </w:rPr>
        <w:t xml:space="preserve"> a crucial role in </w:t>
      </w:r>
      <w:r>
        <w:t>selecting</w:t>
      </w:r>
      <w:r>
        <w:rPr>
          <w:lang w:val="en-GB"/>
        </w:rPr>
        <w:t xml:space="preserve"> the most suitable and attractive source. </w:t>
      </w:r>
      <w:r w:rsidR="00891E6B">
        <w:t xml:space="preserve">In fact, the separation efficiency of every technology is strongly dependent </w:t>
      </w:r>
      <w:r w:rsidR="0081583C" w:rsidRPr="00891E6B">
        <w:rPr>
          <w:lang w:val="en-GB"/>
        </w:rPr>
        <w:t>on CO</w:t>
      </w:r>
      <w:r w:rsidR="0081583C" w:rsidRPr="0081583C">
        <w:rPr>
          <w:vertAlign w:val="subscript"/>
          <w:lang w:val="en-GB"/>
        </w:rPr>
        <w:t>2</w:t>
      </w:r>
      <w:r w:rsidR="0081583C" w:rsidRPr="00891E6B">
        <w:rPr>
          <w:lang w:val="en-GB"/>
        </w:rPr>
        <w:t xml:space="preserve"> partial pressure</w:t>
      </w:r>
      <w:r w:rsidR="0081583C">
        <w:rPr>
          <w:lang w:val="en-GB"/>
        </w:rPr>
        <w:t xml:space="preserve">, hence the </w:t>
      </w:r>
      <w:r w:rsidR="0081583C" w:rsidRPr="00891E6B">
        <w:t>the cost of capture</w:t>
      </w:r>
      <w:r w:rsidR="0081583C">
        <w:t xml:space="preserve"> is</w:t>
      </w:r>
      <w:r w:rsidR="00891E6B">
        <w:t xml:space="preserve"> more </w:t>
      </w:r>
      <w:r w:rsidR="0081583C">
        <w:t>beneficial</w:t>
      </w:r>
      <w:r w:rsidR="00891E6B">
        <w:t xml:space="preserve"> </w:t>
      </w:r>
      <w:r w:rsidR="0081583C">
        <w:t>at higher concentrations.</w:t>
      </w:r>
    </w:p>
    <w:p w14:paraId="3C419D44" w14:textId="11219708" w:rsidR="00E43879" w:rsidRDefault="00891E6B" w:rsidP="00891E6B">
      <w:pPr>
        <w:pStyle w:val="CETBodytext"/>
        <w:rPr>
          <w:lang w:val="en-GB"/>
        </w:rPr>
      </w:pPr>
      <w:r>
        <w:rPr>
          <w:lang w:val="en-GB"/>
        </w:rPr>
        <w:t xml:space="preserve">As can be evaluated from </w:t>
      </w:r>
      <w:r>
        <w:t>t</w:t>
      </w:r>
      <w:r w:rsidR="00DE5592" w:rsidRPr="00DE5592">
        <w:t xml:space="preserve">able </w:t>
      </w:r>
      <w:r w:rsidR="00DE5592">
        <w:t>2</w:t>
      </w:r>
      <w:r>
        <w:t>,</w:t>
      </w:r>
      <w:r w:rsidR="00DE5592">
        <w:t xml:space="preserve"> </w:t>
      </w:r>
      <w:r w:rsidR="00DE5592" w:rsidRPr="00DE5592">
        <w:t>compar</w:t>
      </w:r>
      <w:r>
        <w:t>ing</w:t>
      </w:r>
      <w:r w:rsidR="00DE5592" w:rsidRPr="00DE5592">
        <w:t xml:space="preserve"> CO</w:t>
      </w:r>
      <w:r w:rsidR="00DE5592" w:rsidRPr="00DE5592">
        <w:rPr>
          <w:vertAlign w:val="subscript"/>
        </w:rPr>
        <w:t>2</w:t>
      </w:r>
      <w:r w:rsidR="00DE5592" w:rsidRPr="00DE5592">
        <w:t xml:space="preserve"> emissions from power and large industrial point</w:t>
      </w:r>
      <w:r w:rsidR="00DE5592">
        <w:t xml:space="preserve"> </w:t>
      </w:r>
      <w:r w:rsidR="00DE5592" w:rsidRPr="00DE5592">
        <w:rPr>
          <w:lang w:val="en-GB"/>
        </w:rPr>
        <w:t>sources</w:t>
      </w:r>
      <w:r>
        <w:rPr>
          <w:lang w:val="en-GB"/>
        </w:rPr>
        <w:t>, cement and iron productions look the most attractive industrial processes for the integration with urea production</w:t>
      </w:r>
      <w:r w:rsidR="000D4130">
        <w:rPr>
          <w:lang w:val="en-GB"/>
        </w:rPr>
        <w:t xml:space="preserve"> process, for the higher concentration and larger emitter size</w:t>
      </w:r>
      <w:r w:rsidR="00DE5592" w:rsidRPr="00DE5592">
        <w:rPr>
          <w:lang w:val="en-GB"/>
        </w:rPr>
        <w:t>.</w:t>
      </w:r>
    </w:p>
    <w:p w14:paraId="2091E1A4" w14:textId="24038FCA" w:rsidR="00DE5592" w:rsidRPr="00B57B36" w:rsidRDefault="00DE5592" w:rsidP="00DE5592">
      <w:pPr>
        <w:pStyle w:val="CETTabletitle"/>
      </w:pPr>
      <w:r w:rsidRPr="00B57B36">
        <w:lastRenderedPageBreak/>
        <w:t xml:space="preserve">Table </w:t>
      </w:r>
      <w:r>
        <w:t>2</w:t>
      </w:r>
      <w:r w:rsidRPr="00B57B36">
        <w:t xml:space="preserve">: </w:t>
      </w:r>
      <w:r w:rsidR="007914DC">
        <w:t xml:space="preserve">Large </w:t>
      </w:r>
      <w:r>
        <w:t>CO</w:t>
      </w:r>
      <w:r w:rsidRPr="00CD240A">
        <w:rPr>
          <w:vertAlign w:val="subscript"/>
        </w:rPr>
        <w:t>2</w:t>
      </w:r>
      <w:r>
        <w:t xml:space="preserve"> emissions from power and industrial point sources </w:t>
      </w:r>
      <w:r w:rsidR="007914DC">
        <w:t xml:space="preserve">worldwide </w:t>
      </w:r>
      <w:r w:rsidRPr="00B57B36">
        <w:t>[</w:t>
      </w:r>
      <w:r w:rsidR="00076BF0" w:rsidRPr="00076BF0">
        <w:t>Baker</w:t>
      </w:r>
      <w:r w:rsidR="00076BF0">
        <w:t xml:space="preserve"> et al., 2018</w:t>
      </w:r>
      <w:r w:rsidRPr="00B57B36">
        <w:t>]</w:t>
      </w:r>
      <w:r w:rsidR="000312D4">
        <w:t>.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10"/>
        <w:gridCol w:w="990"/>
        <w:gridCol w:w="1260"/>
        <w:gridCol w:w="1170"/>
        <w:gridCol w:w="1081"/>
      </w:tblGrid>
      <w:tr w:rsidR="00DE5592" w:rsidRPr="00B57B36" w14:paraId="66FCE708" w14:textId="77777777" w:rsidTr="00BC4CC8">
        <w:tc>
          <w:tcPr>
            <w:tcW w:w="171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5058D1BF" w14:textId="76B9070F" w:rsidR="00DE5592" w:rsidRDefault="00DE5592" w:rsidP="00205775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Source</w:t>
            </w:r>
          </w:p>
          <w:p w14:paraId="305A21F4" w14:textId="356A76B5" w:rsidR="00DE5592" w:rsidRPr="00B57B36" w:rsidRDefault="00DE5592" w:rsidP="00205775">
            <w:pPr>
              <w:pStyle w:val="CETBodytext"/>
              <w:rPr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589E65E" w14:textId="2FB21E1E" w:rsidR="00DE5592" w:rsidRDefault="00DE5592" w:rsidP="00DC55F5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>No of</w:t>
            </w:r>
          </w:p>
          <w:p w14:paraId="0CD56563" w14:textId="2549F771" w:rsidR="00DE5592" w:rsidRPr="00B57B36" w:rsidRDefault="00DE5592" w:rsidP="00DC55F5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>sources</w:t>
            </w:r>
          </w:p>
        </w:tc>
        <w:tc>
          <w:tcPr>
            <w:tcW w:w="126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5AEE867D" w14:textId="1FA94799" w:rsidR="00DE5592" w:rsidRDefault="00DC55F5" w:rsidP="00DC55F5">
            <w:pPr>
              <w:pStyle w:val="CETBodytext"/>
              <w:jc w:val="left"/>
              <w:rPr>
                <w:lang w:val="en-GB"/>
              </w:rPr>
            </w:pPr>
            <w:r>
              <w:t xml:space="preserve">Total </w:t>
            </w:r>
            <w:r>
              <w:rPr>
                <w:lang w:val="en-GB"/>
              </w:rPr>
              <w:t>CO</w:t>
            </w:r>
            <w:r w:rsidRPr="00DC55F5">
              <w:rPr>
                <w:vertAlign w:val="subscript"/>
                <w:lang w:val="en-GB"/>
              </w:rPr>
              <w:t>2</w:t>
            </w:r>
            <w:r>
              <w:rPr>
                <w:lang w:val="en-GB"/>
              </w:rPr>
              <w:t xml:space="preserve">    e</w:t>
            </w:r>
            <w:r w:rsidR="00DE5592">
              <w:rPr>
                <w:lang w:val="en-GB"/>
              </w:rPr>
              <w:t>missions</w:t>
            </w:r>
          </w:p>
          <w:p w14:paraId="719F45FA" w14:textId="77A52B6C" w:rsidR="00DE5592" w:rsidRPr="00B57B36" w:rsidRDefault="00DE5592" w:rsidP="00DC55F5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>Mt/y</w:t>
            </w:r>
          </w:p>
        </w:tc>
        <w:tc>
          <w:tcPr>
            <w:tcW w:w="117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64C7ECF" w14:textId="3AB5AC8D" w:rsidR="00DE5592" w:rsidRPr="00B57B36" w:rsidRDefault="00BC4CC8" w:rsidP="00BC4CC8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Average source size Mt/y</w:t>
            </w:r>
          </w:p>
        </w:tc>
        <w:tc>
          <w:tcPr>
            <w:tcW w:w="108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161E53A" w14:textId="77777777" w:rsidR="00DE5592" w:rsidRDefault="00BC4CC8" w:rsidP="00205775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CO</w:t>
            </w:r>
            <w:r w:rsidRPr="007914DC">
              <w:rPr>
                <w:rFonts w:cs="Arial"/>
                <w:szCs w:val="18"/>
                <w:vertAlign w:val="subscript"/>
                <w:lang w:val="en-GB"/>
              </w:rPr>
              <w:t>2</w:t>
            </w:r>
            <w:r>
              <w:rPr>
                <w:rFonts w:cs="Arial"/>
                <w:szCs w:val="18"/>
                <w:lang w:val="en-GB"/>
              </w:rPr>
              <w:t xml:space="preserve"> concentration</w:t>
            </w:r>
          </w:p>
          <w:p w14:paraId="3FA98FC2" w14:textId="1578D725" w:rsidR="00BC4CC8" w:rsidRPr="00B57B36" w:rsidRDefault="00BC4CC8" w:rsidP="00205775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(% vol.)</w:t>
            </w:r>
          </w:p>
        </w:tc>
      </w:tr>
      <w:tr w:rsidR="00DE5592" w:rsidRPr="00B57B36" w14:paraId="34AB60F5" w14:textId="77777777" w:rsidTr="00BC4CC8">
        <w:trPr>
          <w:trHeight w:val="300"/>
        </w:trPr>
        <w:tc>
          <w:tcPr>
            <w:tcW w:w="1710" w:type="dxa"/>
            <w:shd w:val="clear" w:color="auto" w:fill="FFFFFF"/>
            <w:vAlign w:val="center"/>
          </w:tcPr>
          <w:p w14:paraId="0F380AC8" w14:textId="72FA8DD5" w:rsidR="00DE5592" w:rsidRPr="00CD240A" w:rsidRDefault="007914DC" w:rsidP="00BC4CC8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>Electric</w:t>
            </w:r>
            <w:r w:rsidR="00BC4CC8">
              <w:rPr>
                <w:lang w:val="en-GB"/>
              </w:rPr>
              <w:t xml:space="preserve"> power plant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74024B35" w14:textId="66DD2D3B" w:rsidR="00DE5592" w:rsidRPr="00B57B36" w:rsidRDefault="007914DC" w:rsidP="00BC4CC8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>5,840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170C2512" w14:textId="708F3C08" w:rsidR="00DE5592" w:rsidRPr="00B57B36" w:rsidRDefault="00BC4CC8" w:rsidP="00BC4CC8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>14,600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47F6DDE8" w14:textId="600C9D2F" w:rsidR="00DE5592" w:rsidRPr="00B57B36" w:rsidRDefault="007914DC" w:rsidP="00BC4CC8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2.5</w:t>
            </w:r>
          </w:p>
        </w:tc>
        <w:tc>
          <w:tcPr>
            <w:tcW w:w="1081" w:type="dxa"/>
            <w:shd w:val="clear" w:color="auto" w:fill="FFFFFF"/>
            <w:vAlign w:val="center"/>
          </w:tcPr>
          <w:p w14:paraId="64ABFA3A" w14:textId="34AC86D2" w:rsidR="00DE5592" w:rsidRPr="00B57B36" w:rsidRDefault="00BA6D63" w:rsidP="00BC4CC8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5</w:t>
            </w:r>
            <w:r w:rsidR="007914DC">
              <w:rPr>
                <w:rFonts w:cs="Arial"/>
                <w:szCs w:val="18"/>
                <w:lang w:val="en-GB"/>
              </w:rPr>
              <w:t>÷15</w:t>
            </w:r>
          </w:p>
        </w:tc>
      </w:tr>
      <w:tr w:rsidR="00DE5592" w:rsidRPr="00B57B36" w14:paraId="737CD335" w14:textId="77777777" w:rsidTr="00BC4CC8">
        <w:trPr>
          <w:trHeight w:val="261"/>
        </w:trPr>
        <w:tc>
          <w:tcPr>
            <w:tcW w:w="1710" w:type="dxa"/>
            <w:shd w:val="clear" w:color="auto" w:fill="FFFFFF"/>
            <w:vAlign w:val="center"/>
          </w:tcPr>
          <w:p w14:paraId="2DB36156" w14:textId="77547B85" w:rsidR="00DE5592" w:rsidRPr="00CD240A" w:rsidRDefault="00BC4CC8" w:rsidP="00BC4CC8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>Cement production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55A9DAE9" w14:textId="005E9F5F" w:rsidR="00DE5592" w:rsidRDefault="007914DC" w:rsidP="00BC4CC8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>1,180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703FFF19" w14:textId="0964C0EC" w:rsidR="00DE5592" w:rsidRDefault="007914DC" w:rsidP="00BC4CC8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>930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622A55D8" w14:textId="0B8EF434" w:rsidR="00DE5592" w:rsidRDefault="007914DC" w:rsidP="00BC4CC8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0.8</w:t>
            </w:r>
          </w:p>
        </w:tc>
        <w:tc>
          <w:tcPr>
            <w:tcW w:w="1081" w:type="dxa"/>
            <w:shd w:val="clear" w:color="auto" w:fill="FFFFFF"/>
            <w:vAlign w:val="center"/>
          </w:tcPr>
          <w:p w14:paraId="0D2C31BD" w14:textId="04E526F9" w:rsidR="00DE5592" w:rsidRPr="00B57B36" w:rsidRDefault="007914DC" w:rsidP="00BC4CC8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20÷30</w:t>
            </w:r>
          </w:p>
        </w:tc>
      </w:tr>
      <w:tr w:rsidR="00DE5592" w:rsidRPr="00B57B36" w14:paraId="7574AE2F" w14:textId="77777777" w:rsidTr="00BC4CC8">
        <w:trPr>
          <w:trHeight w:val="279"/>
        </w:trPr>
        <w:tc>
          <w:tcPr>
            <w:tcW w:w="1710" w:type="dxa"/>
            <w:shd w:val="clear" w:color="auto" w:fill="FFFFFF"/>
            <w:vAlign w:val="center"/>
          </w:tcPr>
          <w:p w14:paraId="16BF9743" w14:textId="7D25C4A3" w:rsidR="00DE5592" w:rsidRPr="00B57B36" w:rsidRDefault="00BC4CC8" w:rsidP="00BC4CC8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>Refineries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4F1A9452" w14:textId="049FF105" w:rsidR="00DE5592" w:rsidRPr="00B57B36" w:rsidRDefault="007914DC" w:rsidP="00BC4CC8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>640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49B8E35B" w14:textId="32286B93" w:rsidR="00DE5592" w:rsidRPr="00B57B36" w:rsidRDefault="007914DC" w:rsidP="00BC4CC8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>800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54F70488" w14:textId="2ED38690" w:rsidR="00DE5592" w:rsidRPr="00B57B36" w:rsidRDefault="007914DC" w:rsidP="00BC4CC8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1.3</w:t>
            </w:r>
          </w:p>
        </w:tc>
        <w:tc>
          <w:tcPr>
            <w:tcW w:w="1081" w:type="dxa"/>
            <w:shd w:val="clear" w:color="auto" w:fill="FFFFFF"/>
            <w:vAlign w:val="center"/>
          </w:tcPr>
          <w:p w14:paraId="2375B385" w14:textId="6DBE548F" w:rsidR="00DE5592" w:rsidRPr="00B57B36" w:rsidRDefault="007914DC" w:rsidP="00BC4CC8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30÷40</w:t>
            </w:r>
          </w:p>
        </w:tc>
      </w:tr>
      <w:tr w:rsidR="00BC4CC8" w:rsidRPr="00B57B36" w14:paraId="52981C99" w14:textId="77777777" w:rsidTr="00BC4CC8">
        <w:trPr>
          <w:trHeight w:val="279"/>
        </w:trPr>
        <w:tc>
          <w:tcPr>
            <w:tcW w:w="1710" w:type="dxa"/>
            <w:shd w:val="clear" w:color="auto" w:fill="FFFFFF"/>
            <w:vAlign w:val="center"/>
          </w:tcPr>
          <w:p w14:paraId="4089081D" w14:textId="4BFC356D" w:rsidR="00BC4CC8" w:rsidRDefault="00BC4CC8" w:rsidP="00BC4CC8">
            <w:pPr>
              <w:pStyle w:val="CETBodytext"/>
              <w:jc w:val="left"/>
              <w:rPr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Iron and steel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640905C4" w14:textId="433A8B9C" w:rsidR="00BC4CC8" w:rsidRDefault="007914DC" w:rsidP="00BC4CC8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>270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492F2A1C" w14:textId="275872BB" w:rsidR="00BC4CC8" w:rsidRDefault="007914DC" w:rsidP="00BC4CC8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>650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316F6251" w14:textId="3AA59713" w:rsidR="00BC4CC8" w:rsidRDefault="007914DC" w:rsidP="00BC4CC8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2.4</w:t>
            </w:r>
          </w:p>
        </w:tc>
        <w:tc>
          <w:tcPr>
            <w:tcW w:w="1081" w:type="dxa"/>
            <w:shd w:val="clear" w:color="auto" w:fill="FFFFFF"/>
            <w:vAlign w:val="center"/>
          </w:tcPr>
          <w:p w14:paraId="191B97B8" w14:textId="59285851" w:rsidR="00BC4CC8" w:rsidRPr="00B57B36" w:rsidRDefault="007914DC" w:rsidP="00BC4CC8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20÷30</w:t>
            </w:r>
          </w:p>
        </w:tc>
      </w:tr>
      <w:tr w:rsidR="00DE5592" w:rsidRPr="00B57B36" w14:paraId="0DEB2DEF" w14:textId="77777777" w:rsidTr="00BC4CC8">
        <w:tc>
          <w:tcPr>
            <w:tcW w:w="1710" w:type="dxa"/>
            <w:shd w:val="clear" w:color="auto" w:fill="FFFFFF"/>
          </w:tcPr>
          <w:p w14:paraId="184B3C1C" w14:textId="631656CA" w:rsidR="00DE5592" w:rsidRPr="00B57B36" w:rsidRDefault="00BC4CC8" w:rsidP="00205775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Petrochemical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194DBB8A" w14:textId="13EBE15C" w:rsidR="00DE5592" w:rsidRPr="00B57B36" w:rsidRDefault="007914DC" w:rsidP="00205775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470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56206DE8" w14:textId="02A80B83" w:rsidR="00DE5592" w:rsidRPr="00B57B36" w:rsidRDefault="007914DC" w:rsidP="00205775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380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35252FC7" w14:textId="4D79560F" w:rsidR="00DE5592" w:rsidRPr="00B57B36" w:rsidRDefault="007914DC" w:rsidP="00205775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0.8</w:t>
            </w:r>
          </w:p>
        </w:tc>
        <w:tc>
          <w:tcPr>
            <w:tcW w:w="1081" w:type="dxa"/>
            <w:shd w:val="clear" w:color="auto" w:fill="FFFFFF"/>
            <w:vAlign w:val="center"/>
          </w:tcPr>
          <w:p w14:paraId="6EA6BE9B" w14:textId="5291CCF6" w:rsidR="00DE5592" w:rsidRPr="00B57B36" w:rsidRDefault="007914DC" w:rsidP="00205775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5÷10</w:t>
            </w:r>
          </w:p>
        </w:tc>
      </w:tr>
    </w:tbl>
    <w:p w14:paraId="5DBC6C1A" w14:textId="77777777" w:rsidR="00DE5592" w:rsidRPr="00B71A2D" w:rsidRDefault="00DE5592" w:rsidP="00B71A2D">
      <w:pPr>
        <w:pStyle w:val="CETBodytext"/>
      </w:pPr>
    </w:p>
    <w:p w14:paraId="4D9851B1" w14:textId="18370533" w:rsidR="008A17C1" w:rsidRPr="00CF540F" w:rsidRDefault="00E3561F" w:rsidP="00DE5592">
      <w:pPr>
        <w:pStyle w:val="CETBodytext"/>
      </w:pPr>
      <w:r>
        <w:t>Several</w:t>
      </w:r>
      <w:r w:rsidR="00CF540F" w:rsidRPr="00CF540F">
        <w:t xml:space="preserve"> studies have </w:t>
      </w:r>
      <w:r w:rsidR="00CF540F">
        <w:t>been presented in describing the</w:t>
      </w:r>
      <w:r w:rsidR="00CF540F" w:rsidRPr="00CF540F">
        <w:t xml:space="preserve"> </w:t>
      </w:r>
      <w:r w:rsidR="00CF540F">
        <w:t xml:space="preserve">recent </w:t>
      </w:r>
      <w:r w:rsidR="00CF540F" w:rsidRPr="00CF540F">
        <w:t>develop</w:t>
      </w:r>
      <w:r w:rsidR="00CF540F">
        <w:t>ment</w:t>
      </w:r>
      <w:r w:rsidR="00CF540F" w:rsidRPr="00CF540F">
        <w:t xml:space="preserve"> </w:t>
      </w:r>
      <w:r w:rsidR="00CF540F">
        <w:t xml:space="preserve">of </w:t>
      </w:r>
      <w:r w:rsidR="00CF540F" w:rsidRPr="00CF540F">
        <w:t>cost-effective technologies to capture the</w:t>
      </w:r>
      <w:r w:rsidR="00CF540F">
        <w:t xml:space="preserve"> </w:t>
      </w:r>
      <w:r w:rsidR="00CF540F" w:rsidRPr="00CF540F">
        <w:t>CO</w:t>
      </w:r>
      <w:r w:rsidR="00CF540F" w:rsidRPr="00CF540F">
        <w:rPr>
          <w:vertAlign w:val="subscript"/>
        </w:rPr>
        <w:t>2</w:t>
      </w:r>
      <w:r w:rsidR="00CF540F" w:rsidRPr="00CF540F">
        <w:t xml:space="preserve"> produced in power plants and industrial processes and</w:t>
      </w:r>
      <w:r w:rsidR="00CF540F">
        <w:t xml:space="preserve"> </w:t>
      </w:r>
      <w:r w:rsidR="00CF540F" w:rsidRPr="00CF540F">
        <w:t>utilize or sequester it underground</w:t>
      </w:r>
      <w:r w:rsidR="00CF540F">
        <w:t xml:space="preserve"> (</w:t>
      </w:r>
      <w:r w:rsidR="00484C3D">
        <w:t>Figueroa et al., 2008</w:t>
      </w:r>
      <w:r w:rsidR="00CF540F">
        <w:t>).</w:t>
      </w:r>
      <w:r w:rsidR="00CF540F" w:rsidRPr="00CF540F">
        <w:rPr>
          <w:rFonts w:ascii="AdvOT2e364b11" w:eastAsiaTheme="minorHAnsi" w:hAnsi="AdvOT2e364b11" w:cs="AdvOT2e364b11"/>
          <w:sz w:val="20"/>
        </w:rPr>
        <w:t xml:space="preserve"> </w:t>
      </w:r>
    </w:p>
    <w:p w14:paraId="0A8A0106" w14:textId="4A6F3AC9" w:rsidR="0081583C" w:rsidRDefault="0081583C" w:rsidP="0081583C">
      <w:pPr>
        <w:pStyle w:val="CETBodytext"/>
        <w:rPr>
          <w:lang w:val="en-GB"/>
        </w:rPr>
      </w:pPr>
      <w:r w:rsidRPr="0081583C">
        <w:t xml:space="preserve">The </w:t>
      </w:r>
      <w:r>
        <w:t>main</w:t>
      </w:r>
      <w:r w:rsidRPr="0081583C">
        <w:t xml:space="preserve"> capture technology currently demonstrated at large</w:t>
      </w:r>
      <w:r>
        <w:t xml:space="preserve"> </w:t>
      </w:r>
      <w:r w:rsidRPr="0081583C">
        <w:rPr>
          <w:lang w:val="en-GB"/>
        </w:rPr>
        <w:t xml:space="preserve">scale is </w:t>
      </w:r>
      <w:r>
        <w:rPr>
          <w:lang w:val="en-GB"/>
        </w:rPr>
        <w:t>the chemical</w:t>
      </w:r>
      <w:r w:rsidRPr="0081583C">
        <w:rPr>
          <w:lang w:val="en-GB"/>
        </w:rPr>
        <w:t xml:space="preserve"> absorption</w:t>
      </w:r>
      <w:r>
        <w:rPr>
          <w:lang w:val="en-GB"/>
        </w:rPr>
        <w:t xml:space="preserve">, which makes use of amine based </w:t>
      </w:r>
      <w:r w:rsidRPr="0081583C">
        <w:t>aqueous solvent</w:t>
      </w:r>
      <w:r>
        <w:t xml:space="preserve">s, such as </w:t>
      </w:r>
      <w:r w:rsidRPr="0081583C">
        <w:rPr>
          <w:lang w:val="en-GB"/>
        </w:rPr>
        <w:t xml:space="preserve">solutions of </w:t>
      </w:r>
      <w:r w:rsidRPr="0081583C">
        <w:t>methyl</w:t>
      </w:r>
      <w:r w:rsidR="00484C3D">
        <w:t>-</w:t>
      </w:r>
      <w:r w:rsidRPr="0081583C">
        <w:t>diethanolamine</w:t>
      </w:r>
      <w:r w:rsidRPr="0081583C">
        <w:rPr>
          <w:lang w:val="en-GB"/>
        </w:rPr>
        <w:t xml:space="preserve"> </w:t>
      </w:r>
      <w:r>
        <w:rPr>
          <w:lang w:val="en-GB"/>
        </w:rPr>
        <w:t>(</w:t>
      </w:r>
      <w:r w:rsidRPr="0081583C">
        <w:rPr>
          <w:lang w:val="en-GB"/>
        </w:rPr>
        <w:t>MDEA</w:t>
      </w:r>
      <w:r>
        <w:rPr>
          <w:lang w:val="en-GB"/>
        </w:rPr>
        <w:t>)</w:t>
      </w:r>
      <w:r w:rsidRPr="0081583C">
        <w:rPr>
          <w:lang w:val="en-GB"/>
        </w:rPr>
        <w:t xml:space="preserve"> and mono</w:t>
      </w:r>
      <w:r w:rsidR="00484C3D">
        <w:rPr>
          <w:lang w:val="en-GB"/>
        </w:rPr>
        <w:t>-</w:t>
      </w:r>
      <w:r w:rsidRPr="0081583C">
        <w:rPr>
          <w:lang w:val="en-GB"/>
        </w:rPr>
        <w:t>ethanolamine (MEA)</w:t>
      </w:r>
      <w:r>
        <w:t xml:space="preserve">, </w:t>
      </w:r>
      <w:r>
        <w:rPr>
          <w:lang w:val="en-GB"/>
        </w:rPr>
        <w:t xml:space="preserve">or </w:t>
      </w:r>
      <w:r w:rsidRPr="0081583C">
        <w:t>blend of MDEA and tri</w:t>
      </w:r>
      <w:r w:rsidR="00484C3D">
        <w:t>-</w:t>
      </w:r>
      <w:r w:rsidRPr="0081583C">
        <w:t>ethylene tetramine (TETA)</w:t>
      </w:r>
      <w:r w:rsidR="00673B78">
        <w:t xml:space="preserve">, as discussed by </w:t>
      </w:r>
      <w:r w:rsidR="00673B78" w:rsidRPr="00673B78">
        <w:t xml:space="preserve">Amann </w:t>
      </w:r>
      <w:r w:rsidR="00673B78">
        <w:t>and</w:t>
      </w:r>
      <w:r w:rsidR="00673B78" w:rsidRPr="00673B78">
        <w:t xml:space="preserve"> Bouallou</w:t>
      </w:r>
      <w:r w:rsidR="00673B78">
        <w:t xml:space="preserve"> (</w:t>
      </w:r>
      <w:r w:rsidR="00673B78" w:rsidRPr="00673B78">
        <w:t>2009</w:t>
      </w:r>
      <w:r w:rsidR="00673B78">
        <w:t>).</w:t>
      </w:r>
    </w:p>
    <w:p w14:paraId="67D0403A" w14:textId="5ACDB517" w:rsidR="00041B10" w:rsidRDefault="00041B10" w:rsidP="00041B10">
      <w:pPr>
        <w:pStyle w:val="CETBodytext"/>
        <w:rPr>
          <w:lang w:val="en-GB"/>
        </w:rPr>
      </w:pPr>
      <w:r>
        <w:rPr>
          <w:lang w:val="en-GB"/>
        </w:rPr>
        <w:t xml:space="preserve">The </w:t>
      </w:r>
      <w:r w:rsidR="00673B78">
        <w:rPr>
          <w:lang w:val="en-GB"/>
        </w:rPr>
        <w:t xml:space="preserve">amine </w:t>
      </w:r>
      <w:r>
        <w:rPr>
          <w:lang w:val="en-GB"/>
        </w:rPr>
        <w:t>solution, once enriched of CO</w:t>
      </w:r>
      <w:r w:rsidRPr="00E3561F">
        <w:rPr>
          <w:vertAlign w:val="subscript"/>
          <w:lang w:val="en-GB"/>
        </w:rPr>
        <w:t>2</w:t>
      </w:r>
      <w:r>
        <w:rPr>
          <w:lang w:val="en-GB"/>
        </w:rPr>
        <w:t xml:space="preserve"> in the Absorber, is then regenerated by stripping at lower pressure and by means of steam. Capacity up to 2.0 Mt/y of captured CO</w:t>
      </w:r>
      <w:r w:rsidRPr="00E3561F">
        <w:rPr>
          <w:vertAlign w:val="subscript"/>
          <w:lang w:val="en-GB"/>
        </w:rPr>
        <w:t>2</w:t>
      </w:r>
      <w:r>
        <w:rPr>
          <w:lang w:val="en-GB"/>
        </w:rPr>
        <w:t xml:space="preserve"> can be commonly achieved.</w:t>
      </w:r>
    </w:p>
    <w:p w14:paraId="1EDF7CF2" w14:textId="3534A6E8" w:rsidR="008A17C1" w:rsidRDefault="00B320A4" w:rsidP="002C3095">
      <w:pPr>
        <w:pStyle w:val="CETBodytext"/>
        <w:rPr>
          <w:lang w:val="en-GB"/>
        </w:rPr>
      </w:pPr>
      <w:r w:rsidRPr="00B320A4">
        <w:t>The use of</w:t>
      </w:r>
      <w:r>
        <w:t xml:space="preserve"> </w:t>
      </w:r>
      <w:r w:rsidRPr="00B320A4">
        <w:t>membranes has emerged as a promising second-generation</w:t>
      </w:r>
      <w:r>
        <w:t xml:space="preserve"> </w:t>
      </w:r>
      <w:r w:rsidRPr="00B320A4">
        <w:t>capture technology</w:t>
      </w:r>
      <w:r w:rsidR="001D69A1">
        <w:t xml:space="preserve"> for flue gas of power plants (</w:t>
      </w:r>
      <w:r w:rsidRPr="00B320A4">
        <w:rPr>
          <w:lang w:val="en-GB"/>
        </w:rPr>
        <w:t>Merkel</w:t>
      </w:r>
      <w:r w:rsidR="001D69A1">
        <w:rPr>
          <w:lang w:val="en-GB"/>
        </w:rPr>
        <w:t xml:space="preserve"> et al., 2013</w:t>
      </w:r>
      <w:r>
        <w:t>)</w:t>
      </w:r>
      <w:r w:rsidR="001D69A1">
        <w:t>.</w:t>
      </w:r>
      <w:r w:rsidRPr="00B320A4">
        <w:t xml:space="preserve"> Membrane technology</w:t>
      </w:r>
      <w:r w:rsidR="001D3F00">
        <w:t xml:space="preserve"> </w:t>
      </w:r>
      <w:r w:rsidRPr="00B320A4">
        <w:t>is at the development stage with several small</w:t>
      </w:r>
      <w:r>
        <w:t xml:space="preserve"> </w:t>
      </w:r>
      <w:r w:rsidRPr="00B320A4">
        <w:t>pilot plants having been built and operated</w:t>
      </w:r>
      <w:r w:rsidR="002C3095">
        <w:t xml:space="preserve"> up to </w:t>
      </w:r>
      <w:r w:rsidR="00F44C3B">
        <w:t>10</w:t>
      </w:r>
      <w:r w:rsidR="002C3095">
        <w:t>0 kt/y of CO</w:t>
      </w:r>
      <w:r w:rsidR="002C3095" w:rsidRPr="002C3095">
        <w:rPr>
          <w:vertAlign w:val="subscript"/>
        </w:rPr>
        <w:t>2</w:t>
      </w:r>
      <w:r w:rsidRPr="00B320A4">
        <w:t xml:space="preserve">. </w:t>
      </w:r>
      <w:r>
        <w:t>M</w:t>
      </w:r>
      <w:r w:rsidRPr="00B320A4">
        <w:t>embranes are expected to have competitive</w:t>
      </w:r>
      <w:r>
        <w:t xml:space="preserve"> </w:t>
      </w:r>
      <w:r w:rsidRPr="00B320A4">
        <w:t>capture costs, as well as operational</w:t>
      </w:r>
      <w:r>
        <w:t xml:space="preserve"> </w:t>
      </w:r>
      <w:r w:rsidRPr="00B320A4">
        <w:t>advantages such as simple flow scheme</w:t>
      </w:r>
      <w:r w:rsidR="002C3095">
        <w:t xml:space="preserve"> and </w:t>
      </w:r>
      <w:r w:rsidRPr="00B320A4">
        <w:t>no</w:t>
      </w:r>
      <w:r>
        <w:t xml:space="preserve"> </w:t>
      </w:r>
      <w:r w:rsidR="001D3F00">
        <w:t>other power source other than</w:t>
      </w:r>
      <w:r w:rsidR="002C3095">
        <w:t xml:space="preserve"> </w:t>
      </w:r>
      <w:r w:rsidR="002C3095" w:rsidRPr="002C3095">
        <w:t>electricity</w:t>
      </w:r>
      <w:r w:rsidR="001D3F00">
        <w:t>,</w:t>
      </w:r>
      <w:r w:rsidR="002C3095" w:rsidRPr="002C3095">
        <w:t xml:space="preserve"> so that no changes to the power plant steam cycle</w:t>
      </w:r>
      <w:r w:rsidR="002C3095">
        <w:t xml:space="preserve"> </w:t>
      </w:r>
      <w:r w:rsidR="002C3095" w:rsidRPr="002C3095">
        <w:rPr>
          <w:lang w:val="en-GB"/>
        </w:rPr>
        <w:t>are needed.</w:t>
      </w:r>
      <w:r w:rsidR="002C3095">
        <w:rPr>
          <w:lang w:val="en-GB"/>
        </w:rPr>
        <w:t xml:space="preserve"> (</w:t>
      </w:r>
      <w:r w:rsidR="00F44C3B" w:rsidRPr="00F44C3B">
        <w:t>Font-Palma</w:t>
      </w:r>
      <w:r w:rsidR="00F44C3B">
        <w:t xml:space="preserve"> et al., 2021</w:t>
      </w:r>
      <w:r w:rsidR="002C3095">
        <w:rPr>
          <w:lang w:val="en-GB"/>
        </w:rPr>
        <w:t>)</w:t>
      </w:r>
      <w:r w:rsidR="00F44C3B">
        <w:rPr>
          <w:lang w:val="en-GB"/>
        </w:rPr>
        <w:t>.</w:t>
      </w:r>
    </w:p>
    <w:p w14:paraId="184A63CC" w14:textId="56AB8910" w:rsidR="002C3095" w:rsidRDefault="00F44C3B" w:rsidP="002C3095">
      <w:pPr>
        <w:pStyle w:val="CETBodytext"/>
      </w:pPr>
      <w:r w:rsidRPr="00F44C3B">
        <w:t xml:space="preserve">Ramírez-Santos </w:t>
      </w:r>
      <w:r>
        <w:t>et al. (2017) have estimated o</w:t>
      </w:r>
      <w:r w:rsidR="001D3F00">
        <w:t xml:space="preserve">peration </w:t>
      </w:r>
      <w:r w:rsidR="002C3095" w:rsidRPr="002C3095">
        <w:t>costs of less than €</w:t>
      </w:r>
      <w:r w:rsidR="002C3095">
        <w:t xml:space="preserve"> </w:t>
      </w:r>
      <w:r w:rsidR="002C3095" w:rsidRPr="002C3095">
        <w:t>33/t CO</w:t>
      </w:r>
      <w:r w:rsidR="002C3095" w:rsidRPr="002C3095">
        <w:rPr>
          <w:vertAlign w:val="subscript"/>
        </w:rPr>
        <w:t>2</w:t>
      </w:r>
      <w:r w:rsidR="002C3095" w:rsidRPr="002C3095">
        <w:t xml:space="preserve"> for capture from steel plants. </w:t>
      </w:r>
      <w:r w:rsidR="001D3F00">
        <w:t>M</w:t>
      </w:r>
      <w:r w:rsidR="002C3095" w:rsidRPr="002C3095">
        <w:t>embranes for CO</w:t>
      </w:r>
      <w:r w:rsidR="002C3095" w:rsidRPr="002C3095">
        <w:rPr>
          <w:vertAlign w:val="subscript"/>
        </w:rPr>
        <w:t>2</w:t>
      </w:r>
      <w:r w:rsidR="002C3095">
        <w:t xml:space="preserve"> </w:t>
      </w:r>
      <w:r w:rsidR="002C3095" w:rsidRPr="002C3095">
        <w:t>recovery from</w:t>
      </w:r>
      <w:r w:rsidR="001D3F00">
        <w:t xml:space="preserve"> flue gas of</w:t>
      </w:r>
      <w:r w:rsidR="002C3095" w:rsidRPr="002C3095">
        <w:t xml:space="preserve"> both steel</w:t>
      </w:r>
      <w:r w:rsidR="001D3F00">
        <w:t xml:space="preserve"> </w:t>
      </w:r>
      <w:r w:rsidR="00C02F97">
        <w:t>(</w:t>
      </w:r>
      <w:r w:rsidR="00C02F97" w:rsidRPr="00C02F97">
        <w:t>Lie</w:t>
      </w:r>
      <w:r w:rsidR="00C02F97">
        <w:t xml:space="preserve"> et al., 2007)</w:t>
      </w:r>
      <w:r w:rsidR="002C3095" w:rsidRPr="002C3095">
        <w:t xml:space="preserve"> and cement plants</w:t>
      </w:r>
      <w:r w:rsidR="00C02F97">
        <w:t xml:space="preserve"> (</w:t>
      </w:r>
      <w:r w:rsidR="00C02F97" w:rsidRPr="00C02F97">
        <w:t>Hägg</w:t>
      </w:r>
      <w:r w:rsidR="00C02F97">
        <w:t xml:space="preserve"> et al., 2017)</w:t>
      </w:r>
      <w:r w:rsidR="001D3F00">
        <w:t xml:space="preserve"> have been proven</w:t>
      </w:r>
      <w:r w:rsidR="002C3095" w:rsidRPr="002C3095">
        <w:t xml:space="preserve"> </w:t>
      </w:r>
      <w:r w:rsidR="001D3F00">
        <w:t>with</w:t>
      </w:r>
      <w:r w:rsidR="002C3095" w:rsidRPr="002C3095">
        <w:t xml:space="preserve"> pilot demonstration. </w:t>
      </w:r>
    </w:p>
    <w:p w14:paraId="0961C1CC" w14:textId="2A61DED6" w:rsidR="008A17C1" w:rsidRDefault="00B2708F" w:rsidP="008A17C1">
      <w:pPr>
        <w:pStyle w:val="CETBodytext"/>
        <w:rPr>
          <w:lang w:val="en-GB"/>
        </w:rPr>
      </w:pPr>
      <w:r w:rsidRPr="00041B10">
        <w:rPr>
          <w:noProof/>
        </w:rPr>
        <w:drawing>
          <wp:anchor distT="0" distB="0" distL="114300" distR="114300" simplePos="0" relativeHeight="251659264" behindDoc="1" locked="0" layoutInCell="1" allowOverlap="1" wp14:anchorId="670FE270" wp14:editId="25C7349A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742565" cy="1913890"/>
            <wp:effectExtent l="0" t="0" r="635" b="0"/>
            <wp:wrapTight wrapText="bothSides">
              <wp:wrapPolygon edited="0">
                <wp:start x="0" y="0"/>
                <wp:lineTo x="0" y="21285"/>
                <wp:lineTo x="21455" y="21285"/>
                <wp:lineTo x="21455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35E155" w14:textId="18D764A1" w:rsidR="00041B10" w:rsidRPr="00B320A4" w:rsidRDefault="005E4970" w:rsidP="00041B10">
      <w:pPr>
        <w:pStyle w:val="CETBodytext"/>
      </w:pPr>
      <w:r>
        <w:t>As example of practical applications of membrane separation process, the f</w:t>
      </w:r>
      <w:r w:rsidR="00041B10">
        <w:t xml:space="preserve">igure </w:t>
      </w:r>
      <w:r w:rsidR="00846A48">
        <w:t>2</w:t>
      </w:r>
      <w:r w:rsidR="00041B10">
        <w:t xml:space="preserve"> provides a s</w:t>
      </w:r>
      <w:r w:rsidR="00041B10" w:rsidRPr="00041B10">
        <w:t>chematic diagram of a cement plant fitted with a membrane CO</w:t>
      </w:r>
      <w:r w:rsidR="00041B10" w:rsidRPr="00041B10">
        <w:rPr>
          <w:vertAlign w:val="subscript"/>
        </w:rPr>
        <w:t>2</w:t>
      </w:r>
      <w:r w:rsidR="00041B10" w:rsidRPr="00041B10">
        <w:t xml:space="preserve"> capture system. </w:t>
      </w:r>
      <w:r w:rsidR="00B2708F">
        <w:t xml:space="preserve">Flue gas </w:t>
      </w:r>
      <w:r w:rsidR="000312D4">
        <w:t>is</w:t>
      </w:r>
      <w:r w:rsidR="00B2708F">
        <w:t xml:space="preserve"> available at 25% of CO</w:t>
      </w:r>
      <w:r w:rsidR="00B2708F" w:rsidRPr="00B2708F">
        <w:rPr>
          <w:vertAlign w:val="subscript"/>
        </w:rPr>
        <w:t>2</w:t>
      </w:r>
      <w:r w:rsidR="00B2708F">
        <w:t xml:space="preserve"> from kiln furnace. </w:t>
      </w:r>
      <w:r w:rsidR="00041B10" w:rsidRPr="00041B10">
        <w:t>The system captures 80% of the</w:t>
      </w:r>
      <w:r w:rsidR="00041B10">
        <w:t xml:space="preserve"> </w:t>
      </w:r>
      <w:r w:rsidR="00041B10" w:rsidRPr="00041B10">
        <w:rPr>
          <w:lang w:val="en-GB"/>
        </w:rPr>
        <w:t>CO</w:t>
      </w:r>
      <w:r w:rsidR="00041B10" w:rsidRPr="00041B10">
        <w:rPr>
          <w:vertAlign w:val="subscript"/>
          <w:lang w:val="en-GB"/>
        </w:rPr>
        <w:t>2</w:t>
      </w:r>
      <w:r w:rsidR="00041B10" w:rsidRPr="00041B10">
        <w:rPr>
          <w:lang w:val="en-GB"/>
        </w:rPr>
        <w:t xml:space="preserve"> emitted (800 t/d) at an energy cost of 286 kW</w:t>
      </w:r>
      <w:r w:rsidR="00041B10" w:rsidRPr="00283475">
        <w:rPr>
          <w:vertAlign w:val="subscript"/>
          <w:lang w:val="en-GB"/>
        </w:rPr>
        <w:t>e</w:t>
      </w:r>
      <w:r w:rsidR="00041B10" w:rsidRPr="00041B10">
        <w:rPr>
          <w:lang w:val="en-GB"/>
        </w:rPr>
        <w:t xml:space="preserve">/t </w:t>
      </w:r>
      <w:r w:rsidR="00041B10">
        <w:rPr>
          <w:lang w:val="en-GB"/>
        </w:rPr>
        <w:t xml:space="preserve">of </w:t>
      </w:r>
      <w:r w:rsidR="00041B10" w:rsidRPr="00041B10">
        <w:rPr>
          <w:lang w:val="en-GB"/>
        </w:rPr>
        <w:t>CO</w:t>
      </w:r>
      <w:r w:rsidR="00041B10" w:rsidRPr="00041B10">
        <w:rPr>
          <w:vertAlign w:val="subscript"/>
          <w:lang w:val="en-GB"/>
        </w:rPr>
        <w:t>2</w:t>
      </w:r>
      <w:r w:rsidR="00041B10" w:rsidRPr="00041B10">
        <w:rPr>
          <w:lang w:val="en-GB"/>
        </w:rPr>
        <w:t xml:space="preserve"> </w:t>
      </w:r>
      <w:r w:rsidR="007C05EB">
        <w:rPr>
          <w:lang w:val="en-GB"/>
        </w:rPr>
        <w:t>(</w:t>
      </w:r>
      <w:r w:rsidR="007C05EB" w:rsidRPr="007C05EB">
        <w:rPr>
          <w:lang w:val="en-GB"/>
        </w:rPr>
        <w:t>Baker et al., 2018</w:t>
      </w:r>
      <w:r w:rsidR="007C05EB">
        <w:rPr>
          <w:lang w:val="en-GB"/>
        </w:rPr>
        <w:t>)</w:t>
      </w:r>
      <w:r w:rsidR="00041B10">
        <w:rPr>
          <w:lang w:val="en-GB"/>
        </w:rPr>
        <w:t>.</w:t>
      </w:r>
    </w:p>
    <w:p w14:paraId="3387F82E" w14:textId="66E342C8" w:rsidR="008A17C1" w:rsidRDefault="008A17C1" w:rsidP="008A17C1">
      <w:pPr>
        <w:pStyle w:val="CETBodytext"/>
        <w:rPr>
          <w:lang w:val="en-GB"/>
        </w:rPr>
      </w:pPr>
    </w:p>
    <w:p w14:paraId="68CC40DF" w14:textId="003CA9A6" w:rsidR="00E309C2" w:rsidRPr="00BD077D" w:rsidRDefault="00E309C2" w:rsidP="001D3F00">
      <w:pPr>
        <w:pStyle w:val="CETCaption"/>
        <w:spacing w:before="0"/>
      </w:pPr>
      <w:r w:rsidRPr="00BD077D">
        <w:rPr>
          <w:rStyle w:val="CETCaptionCarattere"/>
          <w:i/>
        </w:rPr>
        <w:t xml:space="preserve">Figure </w:t>
      </w:r>
      <w:r w:rsidR="00846A48">
        <w:rPr>
          <w:rStyle w:val="CETCaptionCarattere"/>
          <w:i/>
        </w:rPr>
        <w:t>2</w:t>
      </w:r>
      <w:r w:rsidRPr="00BD077D">
        <w:rPr>
          <w:rStyle w:val="CETCaptionCarattere"/>
          <w:i/>
        </w:rPr>
        <w:t xml:space="preserve">: </w:t>
      </w:r>
      <w:r>
        <w:rPr>
          <w:rStyle w:val="CETCaptionCarattere"/>
          <w:i/>
        </w:rPr>
        <w:t>CO</w:t>
      </w:r>
      <w:r w:rsidRPr="00E309C2">
        <w:rPr>
          <w:rStyle w:val="CETCaptionCarattere"/>
          <w:i/>
          <w:vertAlign w:val="subscript"/>
        </w:rPr>
        <w:t>2</w:t>
      </w:r>
      <w:r>
        <w:rPr>
          <w:rStyle w:val="CETCaptionCarattere"/>
          <w:i/>
        </w:rPr>
        <w:t xml:space="preserve"> membrane capture process applied to a cement plant</w:t>
      </w:r>
      <w:r w:rsidR="00283475">
        <w:rPr>
          <w:rStyle w:val="CETCaptionCarattere"/>
          <w:i/>
        </w:rPr>
        <w:t>.</w:t>
      </w:r>
    </w:p>
    <w:p w14:paraId="30C1EB72" w14:textId="5A84C60C" w:rsidR="00463956" w:rsidRDefault="00463956" w:rsidP="002F54CF">
      <w:pPr>
        <w:pStyle w:val="CETBodytext"/>
        <w:spacing w:before="240" w:after="120"/>
      </w:pPr>
    </w:p>
    <w:p w14:paraId="402FF688" w14:textId="32AEA356" w:rsidR="00E309C2" w:rsidRPr="00437510" w:rsidRDefault="001F2033" w:rsidP="002F54CF">
      <w:pPr>
        <w:pStyle w:val="CETBodytext"/>
        <w:spacing w:before="240" w:after="120"/>
        <w:rPr>
          <w:lang w:val="en-GB"/>
        </w:rPr>
      </w:pPr>
      <w:r w:rsidRPr="00E309C2">
        <w:rPr>
          <w:noProof/>
        </w:rPr>
        <w:drawing>
          <wp:anchor distT="0" distB="0" distL="114300" distR="114300" simplePos="0" relativeHeight="251660288" behindDoc="1" locked="0" layoutInCell="1" allowOverlap="1" wp14:anchorId="2721E847" wp14:editId="65A437C3">
            <wp:simplePos x="0" y="0"/>
            <wp:positionH relativeFrom="margin">
              <wp:posOffset>-559435</wp:posOffset>
            </wp:positionH>
            <wp:positionV relativeFrom="paragraph">
              <wp:posOffset>147955</wp:posOffset>
            </wp:positionV>
            <wp:extent cx="3303905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21" y="21400"/>
                <wp:lineTo x="21421" y="0"/>
                <wp:lineTo x="0" y="0"/>
              </wp:wrapPolygon>
            </wp:wrapTight>
            <wp:docPr id="10" name="Picture 1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970">
        <w:t xml:space="preserve">Another promising application </w:t>
      </w:r>
      <w:r w:rsidR="00437510">
        <w:t xml:space="preserve">for integrated process </w:t>
      </w:r>
      <w:r w:rsidR="005E4970">
        <w:t>is shown in f</w:t>
      </w:r>
      <w:r w:rsidR="00E309C2" w:rsidRPr="00E309C2">
        <w:t xml:space="preserve">igure </w:t>
      </w:r>
      <w:r w:rsidR="001D3F00">
        <w:t>3</w:t>
      </w:r>
      <w:r w:rsidR="005E4970">
        <w:t>, which</w:t>
      </w:r>
      <w:r w:rsidR="00E309C2">
        <w:t xml:space="preserve"> provides a s</w:t>
      </w:r>
      <w:r w:rsidR="00E309C2" w:rsidRPr="00E309C2">
        <w:t>impl</w:t>
      </w:r>
      <w:r w:rsidR="00E309C2">
        <w:t>ified</w:t>
      </w:r>
      <w:r w:rsidR="00E309C2" w:rsidRPr="00E309C2">
        <w:t xml:space="preserve"> block diagram of </w:t>
      </w:r>
      <w:r w:rsidR="00222E86">
        <w:t>a</w:t>
      </w:r>
      <w:r w:rsidR="00E309C2" w:rsidRPr="00E309C2">
        <w:t xml:space="preserve"> steel production process. Total CO</w:t>
      </w:r>
      <w:r w:rsidR="00E309C2" w:rsidRPr="00E309C2">
        <w:rPr>
          <w:vertAlign w:val="subscript"/>
        </w:rPr>
        <w:t>2</w:t>
      </w:r>
      <w:r w:rsidR="00E309C2" w:rsidRPr="00E309C2">
        <w:t xml:space="preserve"> emissions are about</w:t>
      </w:r>
      <w:r w:rsidR="00E309C2">
        <w:t xml:space="preserve"> </w:t>
      </w:r>
      <w:r w:rsidR="00E309C2" w:rsidRPr="00E309C2">
        <w:t>1.8 t CO</w:t>
      </w:r>
      <w:r w:rsidR="00E309C2" w:rsidRPr="00E309C2">
        <w:rPr>
          <w:vertAlign w:val="subscript"/>
        </w:rPr>
        <w:t>2</w:t>
      </w:r>
      <w:r w:rsidR="00E309C2" w:rsidRPr="00E309C2">
        <w:t xml:space="preserve">/t of steel produced. </w:t>
      </w:r>
      <w:r w:rsidR="00222E86">
        <w:t>Exhaust gas from blast furnace (BF) stoves are 28.5% rich in CO</w:t>
      </w:r>
      <w:r w:rsidR="00222E86" w:rsidRPr="00222E86">
        <w:rPr>
          <w:vertAlign w:val="subscript"/>
        </w:rPr>
        <w:t>2</w:t>
      </w:r>
      <w:r w:rsidR="00222E86">
        <w:t xml:space="preserve">. </w:t>
      </w:r>
      <w:r w:rsidR="00FB19CD">
        <w:t>E</w:t>
      </w:r>
      <w:r w:rsidR="00E309C2" w:rsidRPr="00E309C2">
        <w:t>missions are shown with the CO</w:t>
      </w:r>
      <w:r w:rsidR="00E309C2" w:rsidRPr="00E309C2">
        <w:rPr>
          <w:vertAlign w:val="subscript"/>
        </w:rPr>
        <w:t xml:space="preserve">2 </w:t>
      </w:r>
      <w:r w:rsidR="00E309C2" w:rsidRPr="00E309C2">
        <w:t>concentration in the gas and</w:t>
      </w:r>
      <w:r w:rsidR="00E309C2">
        <w:t xml:space="preserve"> </w:t>
      </w:r>
      <w:r w:rsidR="00E309C2" w:rsidRPr="00E309C2">
        <w:rPr>
          <w:lang w:val="en-GB"/>
        </w:rPr>
        <w:t>the mass of CO</w:t>
      </w:r>
      <w:r w:rsidR="00E309C2" w:rsidRPr="00B2708F">
        <w:rPr>
          <w:vertAlign w:val="subscript"/>
          <w:lang w:val="en-GB"/>
        </w:rPr>
        <w:t>2</w:t>
      </w:r>
      <w:r w:rsidR="00E309C2" w:rsidRPr="00E309C2">
        <w:rPr>
          <w:lang w:val="en-GB"/>
        </w:rPr>
        <w:t xml:space="preserve"> </w:t>
      </w:r>
      <w:r w:rsidR="00E309C2">
        <w:rPr>
          <w:lang w:val="en-GB"/>
        </w:rPr>
        <w:t xml:space="preserve">in </w:t>
      </w:r>
      <w:r w:rsidR="00E309C2" w:rsidRPr="00E309C2">
        <w:rPr>
          <w:lang w:val="en-GB"/>
        </w:rPr>
        <w:t xml:space="preserve">kg/t of steel </w:t>
      </w:r>
      <w:r w:rsidR="005E4970" w:rsidRPr="00E309C2">
        <w:rPr>
          <w:lang w:val="en-GB"/>
        </w:rPr>
        <w:t>produced.</w:t>
      </w:r>
    </w:p>
    <w:p w14:paraId="26813F4C" w14:textId="3EE72A9E" w:rsidR="008A17C1" w:rsidRDefault="008A17C1" w:rsidP="008A17C1">
      <w:pPr>
        <w:pStyle w:val="CETBodytext"/>
        <w:rPr>
          <w:lang w:val="en-GB"/>
        </w:rPr>
      </w:pPr>
    </w:p>
    <w:p w14:paraId="52E38AC8" w14:textId="64539A90" w:rsidR="00FB19CD" w:rsidRPr="00BD077D" w:rsidRDefault="005E4970" w:rsidP="00FB19CD">
      <w:pPr>
        <w:pStyle w:val="CETCaption"/>
        <w:spacing w:before="0"/>
      </w:pPr>
      <w:r w:rsidRPr="00BD077D">
        <w:rPr>
          <w:rStyle w:val="CETCaptionCarattere"/>
          <w:i/>
        </w:rPr>
        <w:t xml:space="preserve">Figure </w:t>
      </w:r>
      <w:r w:rsidR="001D3F00">
        <w:rPr>
          <w:rStyle w:val="CETCaptionCarattere"/>
          <w:i/>
        </w:rPr>
        <w:t>3</w:t>
      </w:r>
      <w:r w:rsidRPr="00BD077D">
        <w:rPr>
          <w:rStyle w:val="CETCaptionCarattere"/>
          <w:i/>
        </w:rPr>
        <w:t xml:space="preserve">: </w:t>
      </w:r>
      <w:r>
        <w:rPr>
          <w:rStyle w:val="CETCaptionCarattere"/>
          <w:i/>
        </w:rPr>
        <w:t>CO</w:t>
      </w:r>
      <w:r w:rsidRPr="00E309C2">
        <w:rPr>
          <w:rStyle w:val="CETCaptionCarattere"/>
          <w:i/>
          <w:vertAlign w:val="subscript"/>
        </w:rPr>
        <w:t>2</w:t>
      </w:r>
      <w:r>
        <w:rPr>
          <w:rStyle w:val="CETCaptionCarattere"/>
          <w:i/>
        </w:rPr>
        <w:t xml:space="preserve"> emission sources for a blast furnace and BOF steel production process</w:t>
      </w:r>
      <w:r w:rsidR="00FB19CD">
        <w:rPr>
          <w:rStyle w:val="CETCaptionCarattere"/>
          <w:i/>
        </w:rPr>
        <w:t xml:space="preserve"> (</w:t>
      </w:r>
      <w:r w:rsidR="00FB19CD" w:rsidRPr="00FB19CD">
        <w:rPr>
          <w:lang w:val="en-US"/>
        </w:rPr>
        <w:t>Global</w:t>
      </w:r>
      <w:r w:rsidR="00FB19CD">
        <w:rPr>
          <w:lang w:val="en-US"/>
        </w:rPr>
        <w:t xml:space="preserve"> </w:t>
      </w:r>
      <w:r w:rsidR="00FB19CD" w:rsidRPr="00FB19CD">
        <w:rPr>
          <w:lang w:val="en-US"/>
        </w:rPr>
        <w:t>CCS Institute</w:t>
      </w:r>
      <w:r w:rsidR="00FB19CD">
        <w:rPr>
          <w:lang w:val="en-US"/>
        </w:rPr>
        <w:t>, 2015)</w:t>
      </w:r>
      <w:r w:rsidR="00FB19CD">
        <w:rPr>
          <w:rStyle w:val="CETCaptionCarattere"/>
          <w:i/>
        </w:rPr>
        <w:t>.</w:t>
      </w:r>
    </w:p>
    <w:p w14:paraId="6B736956" w14:textId="62419568" w:rsidR="00600535" w:rsidRDefault="008A17C1" w:rsidP="00DE2DFD">
      <w:pPr>
        <w:pStyle w:val="CETHeading1"/>
        <w:numPr>
          <w:ilvl w:val="0"/>
          <w:numId w:val="24"/>
        </w:numPr>
        <w:tabs>
          <w:tab w:val="num" w:pos="360"/>
        </w:tabs>
        <w:ind w:left="0" w:firstLine="0"/>
      </w:pPr>
      <w:r>
        <w:lastRenderedPageBreak/>
        <w:t xml:space="preserve">Production of </w:t>
      </w:r>
      <w:r w:rsidR="00C53A29">
        <w:t>U</w:t>
      </w:r>
      <w:r>
        <w:t>rea</w:t>
      </w:r>
      <w:r w:rsidR="00C53A29">
        <w:t>-</w:t>
      </w:r>
      <w:r>
        <w:t xml:space="preserve">based </w:t>
      </w:r>
      <w:r w:rsidR="00C53A29">
        <w:t>D</w:t>
      </w:r>
      <w:r>
        <w:t>e-NO</w:t>
      </w:r>
      <w:r w:rsidRPr="00A236A6">
        <w:rPr>
          <w:vertAlign w:val="subscript"/>
        </w:rPr>
        <w:t>x</w:t>
      </w:r>
      <w:r>
        <w:t xml:space="preserve"> </w:t>
      </w:r>
      <w:r w:rsidR="00C53A29">
        <w:t>R</w:t>
      </w:r>
      <w:r>
        <w:t xml:space="preserve">eduction </w:t>
      </w:r>
      <w:r w:rsidR="00C53A29">
        <w:t>A</w:t>
      </w:r>
      <w:r>
        <w:t xml:space="preserve">gents with </w:t>
      </w:r>
      <w:r w:rsidR="00C53A29">
        <w:t>Minimum</w:t>
      </w:r>
      <w:r>
        <w:t xml:space="preserve"> </w:t>
      </w:r>
      <w:r w:rsidR="00A236A6">
        <w:t xml:space="preserve">GHG </w:t>
      </w:r>
      <w:r w:rsidR="00C53A29">
        <w:t>Emissions</w:t>
      </w:r>
    </w:p>
    <w:p w14:paraId="4294573F" w14:textId="11DFE495" w:rsidR="00A236A6" w:rsidRDefault="009B3245" w:rsidP="009B3245">
      <w:pPr>
        <w:pStyle w:val="CETBodytext"/>
        <w:rPr>
          <w:lang w:val="en-GB"/>
        </w:rPr>
      </w:pPr>
      <w:r>
        <w:rPr>
          <w:lang w:val="en-GB"/>
        </w:rPr>
        <w:t>Here</w:t>
      </w:r>
      <w:r w:rsidR="009E608E">
        <w:rPr>
          <w:lang w:val="en-GB"/>
        </w:rPr>
        <w:t xml:space="preserve"> </w:t>
      </w:r>
      <w:r w:rsidR="006E7814">
        <w:rPr>
          <w:lang w:val="en-GB"/>
        </w:rPr>
        <w:t>it is presented a case study showing how</w:t>
      </w:r>
      <w:r w:rsidR="009E608E">
        <w:rPr>
          <w:lang w:val="en-GB"/>
        </w:rPr>
        <w:t xml:space="preserve"> </w:t>
      </w:r>
      <w:r w:rsidR="006E7814">
        <w:rPr>
          <w:lang w:val="en-GB"/>
        </w:rPr>
        <w:t xml:space="preserve">the </w:t>
      </w:r>
      <w:r w:rsidR="009E608E">
        <w:rPr>
          <w:lang w:val="en-GB"/>
        </w:rPr>
        <w:t xml:space="preserve">GHG </w:t>
      </w:r>
      <w:r w:rsidR="00CC4BF3">
        <w:rPr>
          <w:lang w:val="en-GB"/>
        </w:rPr>
        <w:t xml:space="preserve">contribution </w:t>
      </w:r>
      <w:r w:rsidR="006E7814">
        <w:rPr>
          <w:lang w:val="en-GB"/>
        </w:rPr>
        <w:t>of AdBlu</w:t>
      </w:r>
      <w:r w:rsidR="00217544">
        <w:rPr>
          <w:lang w:val="en-GB"/>
        </w:rPr>
        <w:t>e</w:t>
      </w:r>
      <w:r w:rsidR="006E7814">
        <w:rPr>
          <w:lang w:val="en-GB"/>
        </w:rPr>
        <w:t xml:space="preserve"> </w:t>
      </w:r>
      <w:r w:rsidR="00217544">
        <w:rPr>
          <w:lang w:val="en-GB"/>
        </w:rPr>
        <w:t xml:space="preserve">urea </w:t>
      </w:r>
      <w:r w:rsidR="006E7814">
        <w:rPr>
          <w:lang w:val="en-GB"/>
        </w:rPr>
        <w:t xml:space="preserve">solution </w:t>
      </w:r>
      <w:r w:rsidR="009E608E">
        <w:rPr>
          <w:lang w:val="en-GB"/>
        </w:rPr>
        <w:t xml:space="preserve">can be </w:t>
      </w:r>
      <w:r w:rsidR="006E7814">
        <w:rPr>
          <w:lang w:val="en-GB"/>
        </w:rPr>
        <w:t>minimized</w:t>
      </w:r>
      <w:r w:rsidR="00217544">
        <w:rPr>
          <w:lang w:val="en-GB"/>
        </w:rPr>
        <w:t xml:space="preserve"> with an improved configuration</w:t>
      </w:r>
      <w:r w:rsidR="006E7814">
        <w:rPr>
          <w:lang w:val="en-GB"/>
        </w:rPr>
        <w:t>.</w:t>
      </w:r>
    </w:p>
    <w:p w14:paraId="11472FA1" w14:textId="5D740ADB" w:rsidR="006E7814" w:rsidRDefault="006E7814" w:rsidP="009B3245">
      <w:pPr>
        <w:pStyle w:val="CETheadingx"/>
      </w:pPr>
      <w:r>
        <w:t xml:space="preserve">5.1 Case </w:t>
      </w:r>
      <w:r w:rsidR="00C53A29">
        <w:t>S</w:t>
      </w:r>
      <w:r>
        <w:t>tudy</w:t>
      </w:r>
      <w:r w:rsidR="004C388D">
        <w:t xml:space="preserve"> for the </w:t>
      </w:r>
      <w:r w:rsidR="00C53A29">
        <w:t>I</w:t>
      </w:r>
      <w:r w:rsidR="004C388D">
        <w:t xml:space="preserve">mproved </w:t>
      </w:r>
      <w:r w:rsidR="00C53A29">
        <w:t>P</w:t>
      </w:r>
      <w:r w:rsidR="004C388D">
        <w:t>rocess</w:t>
      </w:r>
    </w:p>
    <w:p w14:paraId="71D21BD6" w14:textId="12D9D319" w:rsidR="006E7814" w:rsidRPr="006E7814" w:rsidRDefault="006E7814" w:rsidP="006E7814">
      <w:pPr>
        <w:pStyle w:val="CETBodytext"/>
        <w:spacing w:after="120"/>
        <w:rPr>
          <w:lang w:val="en-GB"/>
        </w:rPr>
      </w:pPr>
      <w:r>
        <w:rPr>
          <w:lang w:val="en-GB"/>
        </w:rPr>
        <w:t xml:space="preserve">Main assumptions </w:t>
      </w:r>
      <w:r w:rsidR="00217544">
        <w:rPr>
          <w:lang w:val="en-GB"/>
        </w:rPr>
        <w:t>of</w:t>
      </w:r>
      <w:r>
        <w:rPr>
          <w:lang w:val="en-GB"/>
        </w:rPr>
        <w:t xml:space="preserve"> the case study </w:t>
      </w:r>
      <w:r w:rsidR="00217544">
        <w:rPr>
          <w:lang w:val="en-GB"/>
        </w:rPr>
        <w:t xml:space="preserve">for the </w:t>
      </w:r>
      <w:r w:rsidR="00EB5C77">
        <w:rPr>
          <w:lang w:val="en-GB"/>
        </w:rPr>
        <w:t>carbon neutral</w:t>
      </w:r>
      <w:r w:rsidR="00217544">
        <w:rPr>
          <w:lang w:val="en-GB"/>
        </w:rPr>
        <w:t xml:space="preserve"> AdBlue plant </w:t>
      </w:r>
      <w:r>
        <w:rPr>
          <w:lang w:val="en-GB"/>
        </w:rPr>
        <w:t>are:</w:t>
      </w:r>
    </w:p>
    <w:p w14:paraId="07246969" w14:textId="10F88A5B" w:rsidR="009B3245" w:rsidRDefault="009B3245" w:rsidP="009E608E">
      <w:pPr>
        <w:pStyle w:val="CETListbullets"/>
        <w:numPr>
          <w:ilvl w:val="0"/>
          <w:numId w:val="13"/>
        </w:numPr>
      </w:pPr>
      <w:r>
        <w:t>Urea is produced in liquid form (AdBlu</w:t>
      </w:r>
      <w:r w:rsidR="000312D4">
        <w:t>e</w:t>
      </w:r>
      <w:r>
        <w:t xml:space="preserve"> solution 32%) with a capacity of </w:t>
      </w:r>
      <w:r w:rsidR="00CC4BF3">
        <w:t>50</w:t>
      </w:r>
      <w:r>
        <w:t>0 kt/y</w:t>
      </w:r>
      <w:r w:rsidR="00EB5C77">
        <w:t xml:space="preserve"> via a Total Recycle CO</w:t>
      </w:r>
      <w:r w:rsidR="00EB5C77" w:rsidRPr="00EB5C77">
        <w:rPr>
          <w:vertAlign w:val="subscript"/>
        </w:rPr>
        <w:t>2</w:t>
      </w:r>
      <w:r w:rsidR="00EB5C77">
        <w:t xml:space="preserve"> Stripping process</w:t>
      </w:r>
      <w:r w:rsidR="00D165B3">
        <w:t>;</w:t>
      </w:r>
    </w:p>
    <w:p w14:paraId="52FBA4C5" w14:textId="0D41D2EF" w:rsidR="009E608E" w:rsidRDefault="009E608E" w:rsidP="009E608E">
      <w:pPr>
        <w:pStyle w:val="CETListbullets"/>
        <w:numPr>
          <w:ilvl w:val="0"/>
          <w:numId w:val="13"/>
        </w:numPr>
      </w:pPr>
      <w:r>
        <w:t>Ammonia</w:t>
      </w:r>
      <w:r w:rsidR="00CC4BF3">
        <w:t xml:space="preserve"> consumption is assumed 567 kg/t of urea and</w:t>
      </w:r>
      <w:r>
        <w:t xml:space="preserve"> </w:t>
      </w:r>
      <w:r w:rsidR="009B3245">
        <w:t xml:space="preserve">is </w:t>
      </w:r>
      <w:r w:rsidR="006E7814">
        <w:t>s</w:t>
      </w:r>
      <w:r w:rsidR="00CC4BF3">
        <w:t>upplied</w:t>
      </w:r>
      <w:r w:rsidR="006E7814">
        <w:t xml:space="preserve"> </w:t>
      </w:r>
      <w:r>
        <w:t xml:space="preserve">from </w:t>
      </w:r>
      <w:r w:rsidR="00CC4BF3">
        <w:t>a mix (50%/50%) of blue and green ammonia</w:t>
      </w:r>
      <w:r w:rsidR="00EB5C77">
        <w:t xml:space="preserve"> sources</w:t>
      </w:r>
      <w:r w:rsidR="00CC4BF3">
        <w:t xml:space="preserve">, assuming the </w:t>
      </w:r>
      <w:r w:rsidR="00EB5C77">
        <w:t xml:space="preserve">relevant </w:t>
      </w:r>
      <w:r w:rsidR="00CC4BF3">
        <w:t xml:space="preserve">carbon </w:t>
      </w:r>
      <w:r w:rsidR="00D12D7B">
        <w:t>contribution</w:t>
      </w:r>
      <w:r w:rsidR="00CC4BF3">
        <w:t xml:space="preserve"> is </w:t>
      </w:r>
      <w:r w:rsidR="00EB5C77">
        <w:t xml:space="preserve">equal to </w:t>
      </w:r>
      <w:r w:rsidR="00CC4BF3">
        <w:t xml:space="preserve">0.17 and zero </w:t>
      </w:r>
      <w:r w:rsidR="00D12D7B">
        <w:t>t</w:t>
      </w:r>
      <w:r w:rsidR="00CC4BF3">
        <w:t xml:space="preserve"> CO</w:t>
      </w:r>
      <w:r w:rsidR="00CC4BF3" w:rsidRPr="00CC4BF3">
        <w:rPr>
          <w:vertAlign w:val="subscript"/>
        </w:rPr>
        <w:t>2</w:t>
      </w:r>
      <w:r w:rsidR="00E0732D">
        <w:rPr>
          <w:vertAlign w:val="subscript"/>
        </w:rPr>
        <w:t xml:space="preserve"> eq</w:t>
      </w:r>
      <w:r w:rsidR="005E3C92">
        <w:rPr>
          <w:vertAlign w:val="subscript"/>
        </w:rPr>
        <w:t>.</w:t>
      </w:r>
      <w:r w:rsidR="00CC4BF3">
        <w:t>/t of NH</w:t>
      </w:r>
      <w:r w:rsidR="00CC4BF3" w:rsidRPr="00CC4BF3">
        <w:rPr>
          <w:vertAlign w:val="subscript"/>
        </w:rPr>
        <w:t>3</w:t>
      </w:r>
      <w:r w:rsidR="00CC4BF3">
        <w:t xml:space="preserve"> respectively (</w:t>
      </w:r>
      <w:r w:rsidR="00B60A8C">
        <w:rPr>
          <w:lang w:val="en-US"/>
        </w:rPr>
        <w:t>Mielke and Noelker, 2023</w:t>
      </w:r>
      <w:r w:rsidR="00CC4BF3">
        <w:t>)</w:t>
      </w:r>
      <w:r w:rsidR="00D165B3">
        <w:t>;</w:t>
      </w:r>
    </w:p>
    <w:p w14:paraId="789C4463" w14:textId="3145E155" w:rsidR="00465FA5" w:rsidRDefault="00465FA5" w:rsidP="009E608E">
      <w:pPr>
        <w:pStyle w:val="CETListbullets"/>
        <w:numPr>
          <w:ilvl w:val="0"/>
          <w:numId w:val="13"/>
        </w:numPr>
      </w:pPr>
      <w:r>
        <w:t xml:space="preserve">The carbon contribution due to transportation of liquid ammonia </w:t>
      </w:r>
      <w:r w:rsidR="00D12D7B">
        <w:t xml:space="preserve">to the urea plant </w:t>
      </w:r>
      <w:r>
        <w:t xml:space="preserve">is assumed </w:t>
      </w:r>
      <w:r w:rsidR="00D12D7B">
        <w:t>0.</w:t>
      </w:r>
      <w:r w:rsidR="00C73478">
        <w:t>3</w:t>
      </w:r>
      <w:r w:rsidR="00D12D7B">
        <w:t xml:space="preserve"> t CO</w:t>
      </w:r>
      <w:r w:rsidR="00D12D7B" w:rsidRPr="00CC4BF3">
        <w:rPr>
          <w:vertAlign w:val="subscript"/>
        </w:rPr>
        <w:t>2</w:t>
      </w:r>
      <w:r w:rsidR="00E0732D">
        <w:rPr>
          <w:vertAlign w:val="subscript"/>
        </w:rPr>
        <w:t xml:space="preserve"> eq</w:t>
      </w:r>
      <w:r w:rsidR="005E3C92">
        <w:rPr>
          <w:vertAlign w:val="subscript"/>
        </w:rPr>
        <w:t>.</w:t>
      </w:r>
      <w:r w:rsidR="00D12D7B">
        <w:t>/t of NH</w:t>
      </w:r>
      <w:r w:rsidR="00D12D7B" w:rsidRPr="00CC4BF3">
        <w:rPr>
          <w:vertAlign w:val="subscript"/>
        </w:rPr>
        <w:t>3</w:t>
      </w:r>
      <w:r w:rsidR="00E0732D" w:rsidRPr="00E0732D">
        <w:t xml:space="preserve"> </w:t>
      </w:r>
      <w:r w:rsidR="00E0732D">
        <w:t>(</w:t>
      </w:r>
      <w:r w:rsidR="009B4009" w:rsidRPr="009B4009">
        <w:t>Al-Breiki and Bicer</w:t>
      </w:r>
      <w:r w:rsidR="00E0732D" w:rsidRPr="00E0732D">
        <w:t>, 202</w:t>
      </w:r>
      <w:r w:rsidR="009B4009">
        <w:t>0</w:t>
      </w:r>
      <w:r w:rsidR="00E0732D">
        <w:t>)</w:t>
      </w:r>
      <w:r w:rsidR="00CE572B">
        <w:t>, assuming ocean tankers fuelled by Heavy Fuel Oil</w:t>
      </w:r>
      <w:r w:rsidR="00D165B3">
        <w:t>;</w:t>
      </w:r>
    </w:p>
    <w:p w14:paraId="72A9A341" w14:textId="60E250CB" w:rsidR="009E608E" w:rsidRDefault="009E608E" w:rsidP="009E608E">
      <w:pPr>
        <w:pStyle w:val="CETListbullets"/>
        <w:numPr>
          <w:ilvl w:val="0"/>
          <w:numId w:val="13"/>
        </w:numPr>
      </w:pPr>
      <w:r>
        <w:t>CO</w:t>
      </w:r>
      <w:r w:rsidRPr="006E7814">
        <w:rPr>
          <w:vertAlign w:val="subscript"/>
        </w:rPr>
        <w:t>2</w:t>
      </w:r>
      <w:r>
        <w:t xml:space="preserve"> </w:t>
      </w:r>
      <w:r w:rsidR="00EB5C77">
        <w:t xml:space="preserve">feedstock </w:t>
      </w:r>
      <w:r w:rsidR="009B3245">
        <w:t xml:space="preserve">is </w:t>
      </w:r>
      <w:r w:rsidR="00EB5C77">
        <w:t xml:space="preserve">assumed 740 kg/ton of urea and is </w:t>
      </w:r>
      <w:r>
        <w:t xml:space="preserve">sourced from </w:t>
      </w:r>
      <w:r w:rsidR="00EB5C77">
        <w:t xml:space="preserve">a nearby </w:t>
      </w:r>
      <w:r w:rsidR="006E7814">
        <w:t xml:space="preserve">existing cement </w:t>
      </w:r>
      <w:r w:rsidR="00EB5C77">
        <w:t>plant</w:t>
      </w:r>
      <w:r w:rsidR="006E7814">
        <w:t>, captured by means of double stage membrane system</w:t>
      </w:r>
      <w:r w:rsidR="00D165B3">
        <w:t>;</w:t>
      </w:r>
    </w:p>
    <w:p w14:paraId="71555BDE" w14:textId="51579805" w:rsidR="00FE6B88" w:rsidRDefault="00FE6B88" w:rsidP="00FE6B88">
      <w:pPr>
        <w:pStyle w:val="CETListbullets"/>
        <w:numPr>
          <w:ilvl w:val="0"/>
          <w:numId w:val="13"/>
        </w:numPr>
      </w:pPr>
      <w:r>
        <w:t xml:space="preserve">Net consumption of process steam is zero by ensuring </w:t>
      </w:r>
      <w:r w:rsidR="00A03753">
        <w:t xml:space="preserve">the recovery </w:t>
      </w:r>
      <w:r>
        <w:t xml:space="preserve">of </w:t>
      </w:r>
      <w:r w:rsidR="00993488">
        <w:t xml:space="preserve">the </w:t>
      </w:r>
      <w:r w:rsidR="00EC2125">
        <w:t>waste</w:t>
      </w:r>
      <w:r>
        <w:t xml:space="preserve"> steam generated in the urea reactor to the pressure level required by the Stripping process (see figure 4)</w:t>
      </w:r>
      <w:r w:rsidR="00D165B3">
        <w:t>;</w:t>
      </w:r>
    </w:p>
    <w:p w14:paraId="72E47323" w14:textId="40E4FE9B" w:rsidR="006E7814" w:rsidRDefault="00FE6B88" w:rsidP="009E608E">
      <w:pPr>
        <w:pStyle w:val="CETListbullets"/>
        <w:numPr>
          <w:ilvl w:val="0"/>
          <w:numId w:val="13"/>
        </w:numPr>
      </w:pPr>
      <w:r>
        <w:t xml:space="preserve">Both </w:t>
      </w:r>
      <w:r w:rsidR="006E7814">
        <w:t>CO</w:t>
      </w:r>
      <w:r w:rsidR="006E7814" w:rsidRPr="006E7814">
        <w:rPr>
          <w:vertAlign w:val="subscript"/>
        </w:rPr>
        <w:t>2</w:t>
      </w:r>
      <w:r w:rsidR="006E7814">
        <w:t xml:space="preserve"> </w:t>
      </w:r>
      <w:r>
        <w:t xml:space="preserve">and low-pressure steam </w:t>
      </w:r>
      <w:r w:rsidR="006E7814">
        <w:t>compress</w:t>
      </w:r>
      <w:r>
        <w:t>ors</w:t>
      </w:r>
      <w:r w:rsidR="006E7814">
        <w:t xml:space="preserve"> </w:t>
      </w:r>
      <w:r>
        <w:t>are</w:t>
      </w:r>
      <w:r w:rsidR="009B3245">
        <w:t xml:space="preserve"> driven by</w:t>
      </w:r>
      <w:r w:rsidR="006E7814">
        <w:t xml:space="preserve"> electromotor</w:t>
      </w:r>
      <w:r w:rsidR="00D165B3">
        <w:t>;</w:t>
      </w:r>
    </w:p>
    <w:p w14:paraId="31790A83" w14:textId="0FC582E5" w:rsidR="006E7814" w:rsidRDefault="006E7814" w:rsidP="006E7814">
      <w:pPr>
        <w:pStyle w:val="CETListbullets"/>
        <w:numPr>
          <w:ilvl w:val="0"/>
          <w:numId w:val="13"/>
        </w:numPr>
      </w:pPr>
      <w:r>
        <w:t xml:space="preserve">Electricity (for both process and utilities) </w:t>
      </w:r>
      <w:r w:rsidR="009B3245">
        <w:t xml:space="preserve">is </w:t>
      </w:r>
      <w:r>
        <w:t xml:space="preserve">produced </w:t>
      </w:r>
      <w:r w:rsidR="00EB5C77">
        <w:t>by a</w:t>
      </w:r>
      <w:r>
        <w:t xml:space="preserve"> NG fired </w:t>
      </w:r>
      <w:r w:rsidR="00FE6B88">
        <w:t>generator with 40%</w:t>
      </w:r>
      <w:r w:rsidR="00993488" w:rsidRPr="00993488">
        <w:t xml:space="preserve"> </w:t>
      </w:r>
      <w:r w:rsidR="00993488">
        <w:t>efficiency</w:t>
      </w:r>
      <w:r w:rsidR="00D165B3">
        <w:t>.</w:t>
      </w:r>
    </w:p>
    <w:p w14:paraId="273B3C7F" w14:textId="7E6AF76D" w:rsidR="00EC2125" w:rsidRDefault="00BA6C0A" w:rsidP="00EC2125">
      <w:pPr>
        <w:pStyle w:val="CETListbullets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6C981C9" wp14:editId="68A30C01">
            <wp:simplePos x="0" y="0"/>
            <wp:positionH relativeFrom="margin">
              <wp:align>left</wp:align>
            </wp:positionH>
            <wp:positionV relativeFrom="paragraph">
              <wp:posOffset>147955</wp:posOffset>
            </wp:positionV>
            <wp:extent cx="3325495" cy="2127250"/>
            <wp:effectExtent l="0" t="0" r="8255" b="6350"/>
            <wp:wrapTight wrapText="bothSides">
              <wp:wrapPolygon edited="0">
                <wp:start x="0" y="0"/>
                <wp:lineTo x="0" y="17216"/>
                <wp:lineTo x="9775" y="18570"/>
                <wp:lineTo x="9528" y="20310"/>
                <wp:lineTo x="9651" y="21471"/>
                <wp:lineTo x="10146" y="21471"/>
                <wp:lineTo x="11384" y="21471"/>
                <wp:lineTo x="12745" y="21471"/>
                <wp:lineTo x="16580" y="19343"/>
                <wp:lineTo x="16457" y="18570"/>
                <wp:lineTo x="21530" y="17216"/>
                <wp:lineTo x="215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495" cy="212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E1D8E7" w14:textId="7DB40684" w:rsidR="00EC2125" w:rsidRDefault="00EC2125" w:rsidP="00EC2125">
      <w:pPr>
        <w:pStyle w:val="CETListbullets"/>
      </w:pPr>
    </w:p>
    <w:p w14:paraId="72A0BCE1" w14:textId="13B63018" w:rsidR="00A236A6" w:rsidRDefault="00A236A6" w:rsidP="00600535">
      <w:pPr>
        <w:pStyle w:val="CETBodytext"/>
        <w:rPr>
          <w:lang w:val="en-GB"/>
        </w:rPr>
      </w:pPr>
    </w:p>
    <w:p w14:paraId="4E9BED01" w14:textId="77777777" w:rsidR="00DC55F5" w:rsidRDefault="00BC6B46" w:rsidP="00BC6B46">
      <w:pPr>
        <w:pStyle w:val="CETBodytext"/>
        <w:rPr>
          <w:rStyle w:val="CETCaptionCarattere"/>
          <w:i w:val="0"/>
          <w:lang w:val="en-US"/>
        </w:rPr>
      </w:pPr>
      <w:r w:rsidRPr="00BC6B46">
        <w:rPr>
          <w:rStyle w:val="CETCaptionCarattere"/>
          <w:i w:val="0"/>
          <w:lang w:val="en-US"/>
        </w:rPr>
        <w:t xml:space="preserve"> </w:t>
      </w:r>
    </w:p>
    <w:p w14:paraId="4B6C2BA0" w14:textId="30E0874A" w:rsidR="00FE6B88" w:rsidRPr="00BD077D" w:rsidRDefault="00FE6B88" w:rsidP="00BC6B46">
      <w:pPr>
        <w:pStyle w:val="CETBodytext"/>
      </w:pPr>
      <w:r w:rsidRPr="00BD077D">
        <w:rPr>
          <w:rStyle w:val="CETCaptionCarattere"/>
        </w:rPr>
        <w:t xml:space="preserve">Figure </w:t>
      </w:r>
      <w:r>
        <w:rPr>
          <w:rStyle w:val="CETCaptionCarattere"/>
        </w:rPr>
        <w:t>4</w:t>
      </w:r>
      <w:r w:rsidRPr="00BD077D">
        <w:rPr>
          <w:rStyle w:val="CETCaptionCarattere"/>
        </w:rPr>
        <w:t xml:space="preserve">: </w:t>
      </w:r>
      <w:r w:rsidR="00DC55F5">
        <w:rPr>
          <w:rStyle w:val="CETCaptionCarattere"/>
        </w:rPr>
        <w:t xml:space="preserve">conceptual </w:t>
      </w:r>
      <w:r>
        <w:rPr>
          <w:rStyle w:val="CETCaptionCarattere"/>
        </w:rPr>
        <w:t xml:space="preserve">scheme of </w:t>
      </w:r>
      <w:r w:rsidR="00BA6C0A">
        <w:rPr>
          <w:rStyle w:val="CETCaptionCarattere"/>
        </w:rPr>
        <w:t xml:space="preserve">the </w:t>
      </w:r>
      <w:r w:rsidR="00DC55F5">
        <w:rPr>
          <w:rStyle w:val="CETCaptionCarattere"/>
        </w:rPr>
        <w:t xml:space="preserve">urea </w:t>
      </w:r>
      <w:r w:rsidR="00EC2125">
        <w:rPr>
          <w:rStyle w:val="CETCaptionCarattere"/>
        </w:rPr>
        <w:t>melt</w:t>
      </w:r>
      <w:r w:rsidR="00DC55F5">
        <w:rPr>
          <w:rStyle w:val="CETCaptionCarattere"/>
        </w:rPr>
        <w:t xml:space="preserve"> section</w:t>
      </w:r>
      <w:r w:rsidR="00EC2125">
        <w:rPr>
          <w:rStyle w:val="CETCaptionCarattere"/>
        </w:rPr>
        <w:t xml:space="preserve"> with zero import of process steam</w:t>
      </w:r>
      <w:r w:rsidR="00DC55F5">
        <w:rPr>
          <w:rStyle w:val="CETCaptionCarattere"/>
        </w:rPr>
        <w:t xml:space="preserve">; </w:t>
      </w:r>
      <w:r w:rsidR="00993488">
        <w:rPr>
          <w:rStyle w:val="CETCaptionCarattere"/>
        </w:rPr>
        <w:t xml:space="preserve">the </w:t>
      </w:r>
      <w:r w:rsidR="00EC2125">
        <w:rPr>
          <w:rStyle w:val="CETCaptionCarattere"/>
        </w:rPr>
        <w:t>waste</w:t>
      </w:r>
      <w:r>
        <w:rPr>
          <w:rStyle w:val="CETCaptionCarattere"/>
        </w:rPr>
        <w:t xml:space="preserve"> steam generated in the urea </w:t>
      </w:r>
      <w:r w:rsidR="00DC55F5">
        <w:rPr>
          <w:rStyle w:val="CETCaptionCarattere"/>
        </w:rPr>
        <w:t>R</w:t>
      </w:r>
      <w:r>
        <w:rPr>
          <w:rStyle w:val="CETCaptionCarattere"/>
        </w:rPr>
        <w:t xml:space="preserve">eactor </w:t>
      </w:r>
      <w:r w:rsidR="00EC2125">
        <w:rPr>
          <w:rStyle w:val="CETCaptionCarattere"/>
        </w:rPr>
        <w:t xml:space="preserve">is recovered </w:t>
      </w:r>
      <w:r>
        <w:rPr>
          <w:rStyle w:val="CETCaptionCarattere"/>
        </w:rPr>
        <w:t xml:space="preserve">to the </w:t>
      </w:r>
      <w:r w:rsidR="00993488">
        <w:rPr>
          <w:rStyle w:val="CETCaptionCarattere"/>
        </w:rPr>
        <w:t xml:space="preserve">pressure level required by the </w:t>
      </w:r>
      <w:r>
        <w:rPr>
          <w:rStyle w:val="CETCaptionCarattere"/>
        </w:rPr>
        <w:t>Stripper</w:t>
      </w:r>
      <w:r w:rsidR="00DC55F5">
        <w:rPr>
          <w:rStyle w:val="CETCaptionCarattere"/>
        </w:rPr>
        <w:t>.</w:t>
      </w:r>
    </w:p>
    <w:p w14:paraId="21D04442" w14:textId="77777777" w:rsidR="00FE6B88" w:rsidRDefault="00FE6B88" w:rsidP="00600535">
      <w:pPr>
        <w:pStyle w:val="CETBodytext"/>
        <w:rPr>
          <w:lang w:val="en-GB"/>
        </w:rPr>
      </w:pPr>
    </w:p>
    <w:p w14:paraId="0B02C50C" w14:textId="77777777" w:rsidR="00FE6B88" w:rsidRDefault="00FE6B88" w:rsidP="00600535">
      <w:pPr>
        <w:pStyle w:val="CETBodytext"/>
        <w:rPr>
          <w:lang w:val="en-GB"/>
        </w:rPr>
      </w:pPr>
    </w:p>
    <w:p w14:paraId="402287D9" w14:textId="77777777" w:rsidR="00FE6B88" w:rsidRDefault="00FE6B88" w:rsidP="00600535">
      <w:pPr>
        <w:pStyle w:val="CETBodytext"/>
        <w:rPr>
          <w:lang w:val="en-GB"/>
        </w:rPr>
      </w:pPr>
    </w:p>
    <w:p w14:paraId="48233FBE" w14:textId="77777777" w:rsidR="00FE6B88" w:rsidRDefault="00FE6B88" w:rsidP="00600535">
      <w:pPr>
        <w:pStyle w:val="CETBodytext"/>
        <w:rPr>
          <w:lang w:val="en-GB"/>
        </w:rPr>
      </w:pPr>
    </w:p>
    <w:p w14:paraId="465567E7" w14:textId="77777777" w:rsidR="00FE6B88" w:rsidRDefault="00FE6B88" w:rsidP="00600535">
      <w:pPr>
        <w:pStyle w:val="CETBodytext"/>
        <w:rPr>
          <w:lang w:val="en-GB"/>
        </w:rPr>
      </w:pPr>
    </w:p>
    <w:p w14:paraId="28DCDF1D" w14:textId="77777777" w:rsidR="00FE6B88" w:rsidRDefault="00FE6B88" w:rsidP="00600535">
      <w:pPr>
        <w:pStyle w:val="CETBodytext"/>
        <w:rPr>
          <w:lang w:val="en-GB"/>
        </w:rPr>
      </w:pPr>
    </w:p>
    <w:p w14:paraId="00456A0F" w14:textId="77777777" w:rsidR="00FE6B88" w:rsidRDefault="00FE6B88" w:rsidP="00600535">
      <w:pPr>
        <w:pStyle w:val="CETBodytext"/>
        <w:rPr>
          <w:lang w:val="en-GB"/>
        </w:rPr>
      </w:pPr>
    </w:p>
    <w:p w14:paraId="31021428" w14:textId="77777777" w:rsidR="00FE6B88" w:rsidRDefault="00FE6B88" w:rsidP="00600535">
      <w:pPr>
        <w:pStyle w:val="CETBodytext"/>
        <w:rPr>
          <w:lang w:val="en-GB"/>
        </w:rPr>
      </w:pPr>
    </w:p>
    <w:p w14:paraId="3FDA82FF" w14:textId="287506E7" w:rsidR="004D31AB" w:rsidRDefault="00EB5C77" w:rsidP="00600535">
      <w:pPr>
        <w:pStyle w:val="CETBodytext"/>
        <w:rPr>
          <w:lang w:val="en-GB"/>
        </w:rPr>
      </w:pPr>
      <w:r>
        <w:rPr>
          <w:lang w:val="en-GB"/>
        </w:rPr>
        <w:t xml:space="preserve">A comparative quantitative analysis </w:t>
      </w:r>
      <w:r w:rsidR="00993488">
        <w:rPr>
          <w:lang w:val="en-GB"/>
        </w:rPr>
        <w:t xml:space="preserve">of the improved process </w:t>
      </w:r>
      <w:r>
        <w:rPr>
          <w:lang w:val="en-GB"/>
        </w:rPr>
        <w:t xml:space="preserve">has been performed against a conventional urea </w:t>
      </w:r>
      <w:r w:rsidR="00993488">
        <w:rPr>
          <w:lang w:val="en-GB"/>
        </w:rPr>
        <w:t>scheme</w:t>
      </w:r>
      <w:r w:rsidR="00DF147B">
        <w:rPr>
          <w:lang w:val="en-GB"/>
        </w:rPr>
        <w:t>,</w:t>
      </w:r>
      <w:r>
        <w:rPr>
          <w:lang w:val="en-GB"/>
        </w:rPr>
        <w:t xml:space="preserve"> </w:t>
      </w:r>
      <w:r w:rsidR="004D31AB">
        <w:rPr>
          <w:lang w:val="en-GB"/>
        </w:rPr>
        <w:t>where the</w:t>
      </w:r>
      <w:r>
        <w:rPr>
          <w:lang w:val="en-GB"/>
        </w:rPr>
        <w:t xml:space="preserve"> ammonia </w:t>
      </w:r>
      <w:r w:rsidR="004D31AB">
        <w:rPr>
          <w:lang w:val="en-GB"/>
        </w:rPr>
        <w:t xml:space="preserve">is </w:t>
      </w:r>
      <w:r>
        <w:rPr>
          <w:lang w:val="en-GB"/>
        </w:rPr>
        <w:t xml:space="preserve">produced via </w:t>
      </w:r>
      <w:r w:rsidR="00596823">
        <w:rPr>
          <w:lang w:val="en-GB"/>
        </w:rPr>
        <w:t>SMR,</w:t>
      </w:r>
      <w:r>
        <w:rPr>
          <w:lang w:val="en-GB"/>
        </w:rPr>
        <w:t xml:space="preserve"> and </w:t>
      </w:r>
      <w:r w:rsidR="004D31AB">
        <w:rPr>
          <w:lang w:val="en-GB"/>
        </w:rPr>
        <w:t xml:space="preserve">the </w:t>
      </w:r>
      <w:r w:rsidR="0066645F">
        <w:rPr>
          <w:lang w:val="en-GB"/>
        </w:rPr>
        <w:t xml:space="preserve">excess </w:t>
      </w:r>
      <w:r>
        <w:rPr>
          <w:lang w:val="en-GB"/>
        </w:rPr>
        <w:t>CO</w:t>
      </w:r>
      <w:r w:rsidRPr="004D31AB">
        <w:rPr>
          <w:vertAlign w:val="subscript"/>
          <w:lang w:val="en-GB"/>
        </w:rPr>
        <w:t>2</w:t>
      </w:r>
      <w:r>
        <w:rPr>
          <w:lang w:val="en-GB"/>
        </w:rPr>
        <w:t xml:space="preserve"> </w:t>
      </w:r>
      <w:r w:rsidR="0066645F">
        <w:rPr>
          <w:lang w:val="en-GB"/>
        </w:rPr>
        <w:t xml:space="preserve">is vented to the atmosphere after </w:t>
      </w:r>
      <w:r w:rsidR="005E3C92">
        <w:rPr>
          <w:lang w:val="en-GB"/>
        </w:rPr>
        <w:t>separat</w:t>
      </w:r>
      <w:r w:rsidR="0066645F">
        <w:rPr>
          <w:lang w:val="en-GB"/>
        </w:rPr>
        <w:t>ion</w:t>
      </w:r>
      <w:r>
        <w:rPr>
          <w:lang w:val="en-GB"/>
        </w:rPr>
        <w:t xml:space="preserve"> </w:t>
      </w:r>
      <w:r w:rsidR="0066645F">
        <w:rPr>
          <w:lang w:val="en-GB"/>
        </w:rPr>
        <w:t>in</w:t>
      </w:r>
      <w:r>
        <w:rPr>
          <w:lang w:val="en-GB"/>
        </w:rPr>
        <w:t xml:space="preserve"> the </w:t>
      </w:r>
      <w:r w:rsidR="00993488">
        <w:rPr>
          <w:lang w:val="en-GB"/>
        </w:rPr>
        <w:t>amine</w:t>
      </w:r>
      <w:r>
        <w:rPr>
          <w:lang w:val="en-GB"/>
        </w:rPr>
        <w:t xml:space="preserve"> recovery section.</w:t>
      </w:r>
      <w:r w:rsidR="004D31AB">
        <w:rPr>
          <w:lang w:val="en-GB"/>
        </w:rPr>
        <w:t xml:space="preserve"> </w:t>
      </w:r>
      <w:r w:rsidR="0066645F">
        <w:rPr>
          <w:lang w:val="en-GB"/>
        </w:rPr>
        <w:t xml:space="preserve">The </w:t>
      </w:r>
      <w:r w:rsidR="00596823">
        <w:rPr>
          <w:lang w:val="en-GB"/>
        </w:rPr>
        <w:t xml:space="preserve">assumptions of GHG </w:t>
      </w:r>
      <w:r w:rsidR="00EC2125">
        <w:rPr>
          <w:lang w:val="en-GB"/>
        </w:rPr>
        <w:t xml:space="preserve">generation </w:t>
      </w:r>
      <w:r w:rsidR="00596823">
        <w:rPr>
          <w:lang w:val="en-GB"/>
        </w:rPr>
        <w:t xml:space="preserve">due to the production of </w:t>
      </w:r>
      <w:r w:rsidR="00EC2125">
        <w:rPr>
          <w:lang w:val="en-GB"/>
        </w:rPr>
        <w:t xml:space="preserve">the </w:t>
      </w:r>
      <w:r w:rsidR="00596823">
        <w:rPr>
          <w:lang w:val="en-GB"/>
        </w:rPr>
        <w:t xml:space="preserve">ammonia </w:t>
      </w:r>
      <w:r w:rsidR="00EC2125">
        <w:rPr>
          <w:lang w:val="en-GB"/>
        </w:rPr>
        <w:t xml:space="preserve">feedstock </w:t>
      </w:r>
      <w:r w:rsidR="0066645F">
        <w:rPr>
          <w:lang w:val="en-GB"/>
        </w:rPr>
        <w:t xml:space="preserve">are the same ones used for the analysis </w:t>
      </w:r>
      <w:r w:rsidR="00EC2125">
        <w:rPr>
          <w:lang w:val="en-GB"/>
        </w:rPr>
        <w:t xml:space="preserve">previously </w:t>
      </w:r>
      <w:r w:rsidR="0066645F">
        <w:rPr>
          <w:lang w:val="en-GB"/>
        </w:rPr>
        <w:t xml:space="preserve">summarized in table 1. </w:t>
      </w:r>
      <w:r w:rsidR="004D31AB">
        <w:rPr>
          <w:lang w:val="en-GB"/>
        </w:rPr>
        <w:t>In the conventional urea CO</w:t>
      </w:r>
      <w:r w:rsidR="004D31AB" w:rsidRPr="004D31AB">
        <w:rPr>
          <w:vertAlign w:val="subscript"/>
          <w:lang w:val="en-GB"/>
        </w:rPr>
        <w:t>2</w:t>
      </w:r>
      <w:r w:rsidR="004D31AB">
        <w:rPr>
          <w:lang w:val="en-GB"/>
        </w:rPr>
        <w:t xml:space="preserve"> Stripping process, the heat for Stripping is </w:t>
      </w:r>
      <w:r w:rsidR="00E0732D">
        <w:rPr>
          <w:lang w:val="en-GB"/>
        </w:rPr>
        <w:t>provided by</w:t>
      </w:r>
      <w:r w:rsidR="004D31AB">
        <w:rPr>
          <w:lang w:val="en-GB"/>
        </w:rPr>
        <w:t xml:space="preserve"> medium pressure steam </w:t>
      </w:r>
      <w:r w:rsidR="00E0732D">
        <w:rPr>
          <w:lang w:val="en-GB"/>
        </w:rPr>
        <w:t xml:space="preserve">at 2.2 MPa, </w:t>
      </w:r>
      <w:r w:rsidR="004D31AB">
        <w:rPr>
          <w:lang w:val="en-GB"/>
        </w:rPr>
        <w:t>supplied from a NG fired boiler.</w:t>
      </w:r>
    </w:p>
    <w:p w14:paraId="3A74CD5D" w14:textId="627D323C" w:rsidR="00A236A6" w:rsidRDefault="00CD67FF" w:rsidP="00600535">
      <w:pPr>
        <w:pStyle w:val="CETBodytext"/>
        <w:rPr>
          <w:lang w:val="en-GB"/>
        </w:rPr>
      </w:pPr>
      <w:r>
        <w:rPr>
          <w:lang w:val="en-GB"/>
        </w:rPr>
        <w:t>T</w:t>
      </w:r>
      <w:r w:rsidR="006E7814">
        <w:rPr>
          <w:lang w:val="en-GB"/>
        </w:rPr>
        <w:t>he results</w:t>
      </w:r>
      <w:r w:rsidR="00BA0E93">
        <w:rPr>
          <w:lang w:val="en-GB"/>
        </w:rPr>
        <w:t xml:space="preserve"> of the </w:t>
      </w:r>
      <w:r w:rsidR="004D31AB">
        <w:rPr>
          <w:lang w:val="en-GB"/>
        </w:rPr>
        <w:t xml:space="preserve">comparative </w:t>
      </w:r>
      <w:r w:rsidR="00BA0E93">
        <w:rPr>
          <w:lang w:val="en-GB"/>
        </w:rPr>
        <w:t>quantitative analysis</w:t>
      </w:r>
      <w:r>
        <w:rPr>
          <w:lang w:val="en-GB"/>
        </w:rPr>
        <w:t xml:space="preserve"> </w:t>
      </w:r>
      <w:r w:rsidR="004D31AB">
        <w:rPr>
          <w:lang w:val="en-GB"/>
        </w:rPr>
        <w:t xml:space="preserve">in terms of </w:t>
      </w:r>
      <w:r>
        <w:rPr>
          <w:lang w:val="en-GB"/>
        </w:rPr>
        <w:t xml:space="preserve">GHG </w:t>
      </w:r>
      <w:r w:rsidR="004D31AB">
        <w:rPr>
          <w:lang w:val="en-GB"/>
        </w:rPr>
        <w:t xml:space="preserve">emissions </w:t>
      </w:r>
      <w:r>
        <w:rPr>
          <w:lang w:val="en-GB"/>
        </w:rPr>
        <w:t>are summarized in table 3</w:t>
      </w:r>
      <w:r w:rsidR="0066645F">
        <w:rPr>
          <w:lang w:val="en-GB"/>
        </w:rPr>
        <w:t>.</w:t>
      </w:r>
    </w:p>
    <w:p w14:paraId="19920CD9" w14:textId="70BD0820" w:rsidR="00CD67FF" w:rsidRPr="00B57B36" w:rsidRDefault="00CD67FF" w:rsidP="00CD67FF">
      <w:pPr>
        <w:pStyle w:val="CETTabletitle"/>
      </w:pPr>
      <w:r w:rsidRPr="00B57B36">
        <w:t xml:space="preserve">Table </w:t>
      </w:r>
      <w:r>
        <w:t>3</w:t>
      </w:r>
      <w:r w:rsidRPr="00B57B36">
        <w:t xml:space="preserve">: </w:t>
      </w:r>
      <w:r w:rsidR="004D31AB">
        <w:t>Comparative analysis of GHG</w:t>
      </w:r>
      <w:r>
        <w:t xml:space="preserve"> emissions </w:t>
      </w:r>
      <w:r w:rsidR="00DF147B">
        <w:t>between</w:t>
      </w:r>
      <w:r w:rsidR="004D31AB">
        <w:t xml:space="preserve"> a </w:t>
      </w:r>
      <w:r w:rsidR="000312D4">
        <w:t>conventional and improved AdBlue urea plant.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60"/>
        <w:gridCol w:w="1350"/>
        <w:gridCol w:w="1350"/>
        <w:gridCol w:w="1350"/>
        <w:gridCol w:w="1350"/>
        <w:gridCol w:w="1260"/>
        <w:gridCol w:w="1260"/>
      </w:tblGrid>
      <w:tr w:rsidR="005A50B7" w:rsidRPr="00B57B36" w14:paraId="677D2009" w14:textId="477FD2B3" w:rsidTr="005A50B7">
        <w:tc>
          <w:tcPr>
            <w:tcW w:w="126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A1FA17F" w14:textId="6464B1A4" w:rsidR="005A50B7" w:rsidRDefault="005A50B7" w:rsidP="00771ED7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Urea plant</w:t>
            </w:r>
          </w:p>
          <w:p w14:paraId="5A8384BD" w14:textId="77777777" w:rsidR="005A50B7" w:rsidRPr="00B57B36" w:rsidRDefault="005A50B7" w:rsidP="00771ED7">
            <w:pPr>
              <w:pStyle w:val="CETBodytext"/>
              <w:rPr>
                <w:lang w:val="en-GB"/>
              </w:rPr>
            </w:pPr>
          </w:p>
        </w:tc>
        <w:tc>
          <w:tcPr>
            <w:tcW w:w="135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51273B9B" w14:textId="15FC005E" w:rsidR="005A50B7" w:rsidRDefault="005A50B7" w:rsidP="00771ED7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 xml:space="preserve">GHG for </w:t>
            </w:r>
          </w:p>
          <w:p w14:paraId="59AA0B5D" w14:textId="731C185D" w:rsidR="005A50B7" w:rsidRPr="00E817A1" w:rsidRDefault="005A50B7" w:rsidP="00771ED7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NH</w:t>
            </w:r>
            <w:r w:rsidRPr="00E817A1">
              <w:rPr>
                <w:vertAlign w:val="subscript"/>
                <w:lang w:val="en-GB"/>
              </w:rPr>
              <w:t>3</w:t>
            </w:r>
            <w:r>
              <w:rPr>
                <w:lang w:val="en-GB"/>
              </w:rPr>
              <w:t xml:space="preserve"> product.</w:t>
            </w:r>
          </w:p>
          <w:p w14:paraId="3D3F2A0F" w14:textId="62318339" w:rsidR="005A50B7" w:rsidRPr="00B57B36" w:rsidRDefault="005A50B7" w:rsidP="00771ED7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t CO</w:t>
            </w:r>
            <w:r w:rsidRPr="00E817A1">
              <w:rPr>
                <w:vertAlign w:val="subscript"/>
                <w:lang w:val="en-GB"/>
              </w:rPr>
              <w:t>2</w:t>
            </w:r>
            <w:r>
              <w:rPr>
                <w:vertAlign w:val="subscript"/>
                <w:lang w:val="en-GB"/>
              </w:rPr>
              <w:t xml:space="preserve"> eq</w:t>
            </w:r>
            <w:r w:rsidR="005E3C92">
              <w:rPr>
                <w:vertAlign w:val="subscript"/>
                <w:lang w:val="en-GB"/>
              </w:rPr>
              <w:t>.</w:t>
            </w:r>
            <w:r>
              <w:rPr>
                <w:lang w:val="en-GB"/>
              </w:rPr>
              <w:t>/t urea</w:t>
            </w:r>
          </w:p>
        </w:tc>
        <w:tc>
          <w:tcPr>
            <w:tcW w:w="135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B16F7F5" w14:textId="209D3A61" w:rsidR="005A50B7" w:rsidRDefault="005A50B7" w:rsidP="00E817A1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GHG for</w:t>
            </w:r>
          </w:p>
          <w:p w14:paraId="3B337D99" w14:textId="0E86EEBA" w:rsidR="005A50B7" w:rsidRPr="00E817A1" w:rsidRDefault="005A50B7" w:rsidP="00E817A1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NH</w:t>
            </w:r>
            <w:r w:rsidRPr="00E817A1">
              <w:rPr>
                <w:vertAlign w:val="subscript"/>
                <w:lang w:val="en-GB"/>
              </w:rPr>
              <w:t>3</w:t>
            </w:r>
            <w:r>
              <w:rPr>
                <w:lang w:val="en-GB"/>
              </w:rPr>
              <w:t xml:space="preserve"> transport</w:t>
            </w:r>
          </w:p>
          <w:p w14:paraId="39B387C7" w14:textId="2083FA93" w:rsidR="005A50B7" w:rsidRPr="00B57B36" w:rsidRDefault="005A50B7" w:rsidP="00E817A1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t CO</w:t>
            </w:r>
            <w:r w:rsidRPr="00E817A1">
              <w:rPr>
                <w:vertAlign w:val="subscript"/>
                <w:lang w:val="en-GB"/>
              </w:rPr>
              <w:t>2</w:t>
            </w:r>
            <w:r>
              <w:rPr>
                <w:vertAlign w:val="subscript"/>
                <w:lang w:val="en-GB"/>
              </w:rPr>
              <w:t xml:space="preserve"> eq</w:t>
            </w:r>
            <w:r w:rsidR="005E3C92">
              <w:rPr>
                <w:vertAlign w:val="subscript"/>
                <w:lang w:val="en-GB"/>
              </w:rPr>
              <w:t>.</w:t>
            </w:r>
            <w:r>
              <w:rPr>
                <w:lang w:val="en-GB"/>
              </w:rPr>
              <w:t>/t urea</w:t>
            </w:r>
          </w:p>
        </w:tc>
        <w:tc>
          <w:tcPr>
            <w:tcW w:w="135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F86ED5B" w14:textId="523A4D49" w:rsidR="005A50B7" w:rsidRDefault="005A50B7" w:rsidP="00B5231A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 xml:space="preserve">GHG for </w:t>
            </w:r>
          </w:p>
          <w:p w14:paraId="764CBFC8" w14:textId="1090AD88" w:rsidR="005A50B7" w:rsidRPr="00E817A1" w:rsidRDefault="005A50B7" w:rsidP="00B5231A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Process steam</w:t>
            </w:r>
          </w:p>
          <w:p w14:paraId="376CAB98" w14:textId="02309D37" w:rsidR="005A50B7" w:rsidRPr="00B57B36" w:rsidRDefault="005A50B7" w:rsidP="00B5231A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lang w:val="en-GB"/>
              </w:rPr>
              <w:t>t CO</w:t>
            </w:r>
            <w:r w:rsidRPr="00E817A1">
              <w:rPr>
                <w:vertAlign w:val="subscript"/>
                <w:lang w:val="en-GB"/>
              </w:rPr>
              <w:t>2</w:t>
            </w:r>
            <w:r>
              <w:rPr>
                <w:vertAlign w:val="subscript"/>
                <w:lang w:val="en-GB"/>
              </w:rPr>
              <w:t xml:space="preserve"> eq</w:t>
            </w:r>
            <w:r w:rsidR="005E3C92">
              <w:rPr>
                <w:vertAlign w:val="subscript"/>
                <w:lang w:val="en-GB"/>
              </w:rPr>
              <w:t>.</w:t>
            </w:r>
            <w:r>
              <w:rPr>
                <w:lang w:val="en-GB"/>
              </w:rPr>
              <w:t>/t urea</w:t>
            </w:r>
          </w:p>
        </w:tc>
        <w:tc>
          <w:tcPr>
            <w:tcW w:w="135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AD6269A" w14:textId="48338235" w:rsidR="005A50B7" w:rsidRDefault="005A50B7" w:rsidP="00B5231A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GHG for</w:t>
            </w:r>
          </w:p>
          <w:p w14:paraId="0493CB39" w14:textId="0D97D1CC" w:rsidR="005A50B7" w:rsidRPr="00E817A1" w:rsidRDefault="005A50B7" w:rsidP="00B5231A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Electric power</w:t>
            </w:r>
          </w:p>
          <w:p w14:paraId="1366BD69" w14:textId="1E0C0938" w:rsidR="005A50B7" w:rsidRPr="00B57B36" w:rsidRDefault="005A50B7" w:rsidP="00B5231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lang w:val="en-GB"/>
              </w:rPr>
              <w:t>t CO</w:t>
            </w:r>
            <w:r w:rsidRPr="00E817A1">
              <w:rPr>
                <w:vertAlign w:val="subscript"/>
                <w:lang w:val="en-GB"/>
              </w:rPr>
              <w:t>2</w:t>
            </w:r>
            <w:r>
              <w:rPr>
                <w:vertAlign w:val="subscript"/>
                <w:lang w:val="en-GB"/>
              </w:rPr>
              <w:t xml:space="preserve"> eq</w:t>
            </w:r>
            <w:r w:rsidR="005E3C92">
              <w:rPr>
                <w:vertAlign w:val="subscript"/>
                <w:lang w:val="en-GB"/>
              </w:rPr>
              <w:t>.</w:t>
            </w:r>
            <w:r>
              <w:rPr>
                <w:lang w:val="en-GB"/>
              </w:rPr>
              <w:t>/t urea</w:t>
            </w:r>
          </w:p>
        </w:tc>
        <w:tc>
          <w:tcPr>
            <w:tcW w:w="126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38088FA" w14:textId="77777777" w:rsidR="005A50B7" w:rsidRDefault="005A50B7" w:rsidP="00E0732D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>Overall GHG emissions</w:t>
            </w:r>
          </w:p>
          <w:p w14:paraId="5F68E067" w14:textId="4ECA72B3" w:rsidR="005A50B7" w:rsidRDefault="005A50B7" w:rsidP="00E0732D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>t CO</w:t>
            </w:r>
            <w:r w:rsidRPr="00E817A1">
              <w:rPr>
                <w:vertAlign w:val="subscript"/>
                <w:lang w:val="en-GB"/>
              </w:rPr>
              <w:t>2</w:t>
            </w:r>
            <w:r>
              <w:rPr>
                <w:vertAlign w:val="subscript"/>
                <w:lang w:val="en-GB"/>
              </w:rPr>
              <w:t xml:space="preserve"> eq</w:t>
            </w:r>
            <w:r w:rsidR="005E3C92">
              <w:rPr>
                <w:vertAlign w:val="subscript"/>
                <w:lang w:val="en-GB"/>
              </w:rPr>
              <w:t>.</w:t>
            </w:r>
            <w:r>
              <w:rPr>
                <w:lang w:val="en-GB"/>
              </w:rPr>
              <w:t>/t urea</w:t>
            </w:r>
          </w:p>
        </w:tc>
        <w:tc>
          <w:tcPr>
            <w:tcW w:w="126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DC2F9CB" w14:textId="479F2733" w:rsidR="005A50B7" w:rsidRDefault="005A50B7" w:rsidP="00E0732D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>Absolute GHG emissions      Mt CO</w:t>
            </w:r>
            <w:r w:rsidRPr="00E817A1">
              <w:rPr>
                <w:vertAlign w:val="subscript"/>
                <w:lang w:val="en-GB"/>
              </w:rPr>
              <w:t>2</w:t>
            </w:r>
            <w:r>
              <w:rPr>
                <w:vertAlign w:val="subscript"/>
                <w:lang w:val="en-GB"/>
              </w:rPr>
              <w:t xml:space="preserve"> eq</w:t>
            </w:r>
            <w:r w:rsidR="005E3C92">
              <w:rPr>
                <w:vertAlign w:val="subscript"/>
                <w:lang w:val="en-GB"/>
              </w:rPr>
              <w:t>.</w:t>
            </w:r>
            <w:r>
              <w:rPr>
                <w:lang w:val="en-GB"/>
              </w:rPr>
              <w:t>/y</w:t>
            </w:r>
          </w:p>
        </w:tc>
      </w:tr>
      <w:tr w:rsidR="005A50B7" w:rsidRPr="00B57B36" w14:paraId="02ACEF11" w14:textId="0BF58F48" w:rsidTr="005A50B7">
        <w:trPr>
          <w:trHeight w:val="300"/>
        </w:trPr>
        <w:tc>
          <w:tcPr>
            <w:tcW w:w="1260" w:type="dxa"/>
            <w:shd w:val="clear" w:color="auto" w:fill="FFFFFF"/>
            <w:vAlign w:val="center"/>
          </w:tcPr>
          <w:p w14:paraId="4642F0A1" w14:textId="6913943E" w:rsidR="005A50B7" w:rsidRPr="00CD240A" w:rsidRDefault="005A50B7" w:rsidP="00771ED7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>Conventional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111637E4" w14:textId="051AA599" w:rsidR="005A50B7" w:rsidRPr="00B57B36" w:rsidRDefault="005A50B7" w:rsidP="00771ED7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>0.97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1C6AF2C8" w14:textId="55B5E2F8" w:rsidR="005A50B7" w:rsidRPr="00B57B36" w:rsidRDefault="005A50B7" w:rsidP="00771ED7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4DF0AB09" w14:textId="18E3BDF5" w:rsidR="005A50B7" w:rsidRPr="00B57B36" w:rsidRDefault="005A50B7" w:rsidP="00771ED7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0.13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24DE63F2" w14:textId="4902398E" w:rsidR="005A50B7" w:rsidRPr="00B57B36" w:rsidRDefault="005A50B7" w:rsidP="00771ED7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0.07</w:t>
            </w:r>
          </w:p>
        </w:tc>
        <w:tc>
          <w:tcPr>
            <w:tcW w:w="1260" w:type="dxa"/>
            <w:shd w:val="clear" w:color="auto" w:fill="FFFFFF"/>
          </w:tcPr>
          <w:p w14:paraId="21F8CBF7" w14:textId="23A9B471" w:rsidR="005A50B7" w:rsidRDefault="005A50B7" w:rsidP="00771ED7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1.17</w:t>
            </w:r>
          </w:p>
        </w:tc>
        <w:tc>
          <w:tcPr>
            <w:tcW w:w="1260" w:type="dxa"/>
            <w:shd w:val="clear" w:color="auto" w:fill="FFFFFF"/>
          </w:tcPr>
          <w:p w14:paraId="668668EA" w14:textId="2840D4E1" w:rsidR="005A50B7" w:rsidRDefault="005A50B7" w:rsidP="00771ED7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93.9</w:t>
            </w:r>
          </w:p>
        </w:tc>
      </w:tr>
      <w:tr w:rsidR="005A50B7" w:rsidRPr="00B57B36" w14:paraId="429A7FA7" w14:textId="4D73B5D8" w:rsidTr="005A50B7">
        <w:trPr>
          <w:trHeight w:val="261"/>
        </w:trPr>
        <w:tc>
          <w:tcPr>
            <w:tcW w:w="1260" w:type="dxa"/>
            <w:shd w:val="clear" w:color="auto" w:fill="FFFFFF"/>
            <w:vAlign w:val="center"/>
          </w:tcPr>
          <w:p w14:paraId="3F5C22D6" w14:textId="78D9119A" w:rsidR="005A50B7" w:rsidRPr="00CD240A" w:rsidRDefault="005A50B7" w:rsidP="00771ED7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>Improved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4CB14668" w14:textId="5CF5C753" w:rsidR="005A50B7" w:rsidRDefault="005A50B7" w:rsidP="00771ED7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>0.05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47E6EC62" w14:textId="1BE05519" w:rsidR="005A50B7" w:rsidRDefault="005A50B7" w:rsidP="00771ED7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>0.17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010734F6" w14:textId="054A9336" w:rsidR="005A50B7" w:rsidRDefault="005A50B7" w:rsidP="00771ED7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0C876E2E" w14:textId="70471FE9" w:rsidR="005A50B7" w:rsidRPr="00B57B36" w:rsidRDefault="005A50B7" w:rsidP="00771ED7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0.17</w:t>
            </w:r>
          </w:p>
        </w:tc>
        <w:tc>
          <w:tcPr>
            <w:tcW w:w="1260" w:type="dxa"/>
            <w:shd w:val="clear" w:color="auto" w:fill="FFFFFF"/>
          </w:tcPr>
          <w:p w14:paraId="2DB83317" w14:textId="51BF9A85" w:rsidR="005A50B7" w:rsidRDefault="005A50B7" w:rsidP="00771ED7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0.39</w:t>
            </w:r>
          </w:p>
        </w:tc>
        <w:tc>
          <w:tcPr>
            <w:tcW w:w="1260" w:type="dxa"/>
            <w:shd w:val="clear" w:color="auto" w:fill="FFFFFF"/>
          </w:tcPr>
          <w:p w14:paraId="6B13FB54" w14:textId="118BC01B" w:rsidR="005A50B7" w:rsidRDefault="005A50B7" w:rsidP="00771ED7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31.3</w:t>
            </w:r>
          </w:p>
        </w:tc>
      </w:tr>
      <w:tr w:rsidR="005A50B7" w:rsidRPr="00B57B36" w14:paraId="7FA8FF6B" w14:textId="789DB9E0" w:rsidTr="005A50B7">
        <w:trPr>
          <w:trHeight w:val="279"/>
        </w:trPr>
        <w:tc>
          <w:tcPr>
            <w:tcW w:w="1260" w:type="dxa"/>
            <w:shd w:val="clear" w:color="auto" w:fill="FFFFFF"/>
            <w:vAlign w:val="center"/>
          </w:tcPr>
          <w:p w14:paraId="3C1FFDB3" w14:textId="21838A32" w:rsidR="005A50B7" w:rsidRPr="00E817A1" w:rsidRDefault="005A50B7" w:rsidP="00771ED7">
            <w:pPr>
              <w:pStyle w:val="CETBodytext"/>
              <w:jc w:val="left"/>
              <w:rPr>
                <w:rFonts w:ascii="Symbol" w:hAnsi="Symbol"/>
                <w:lang w:val="en-GB"/>
              </w:rPr>
            </w:pPr>
            <w:r w:rsidRPr="00E817A1">
              <w:rPr>
                <w:rFonts w:ascii="Symbol" w:hAnsi="Symbol"/>
                <w:lang w:val="en-GB"/>
              </w:rPr>
              <w:t>D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2549DE3" w14:textId="1B6A53CB" w:rsidR="005A50B7" w:rsidRPr="00B57B36" w:rsidRDefault="005A50B7" w:rsidP="00771ED7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>-0.92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7339C97B" w14:textId="2CD55FC9" w:rsidR="005A50B7" w:rsidRPr="00B57B36" w:rsidRDefault="005A50B7" w:rsidP="00771ED7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>+0.17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0AF3607C" w14:textId="0EBF9CA6" w:rsidR="005A50B7" w:rsidRPr="00B57B36" w:rsidRDefault="005A50B7" w:rsidP="00771ED7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-0.13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35C91EA2" w14:textId="645091A6" w:rsidR="005A50B7" w:rsidRPr="00B57B36" w:rsidRDefault="005A50B7" w:rsidP="00771ED7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+0.10</w:t>
            </w:r>
          </w:p>
        </w:tc>
        <w:tc>
          <w:tcPr>
            <w:tcW w:w="1260" w:type="dxa"/>
            <w:shd w:val="clear" w:color="auto" w:fill="FFFFFF"/>
          </w:tcPr>
          <w:p w14:paraId="48A67855" w14:textId="7F92F045" w:rsidR="005A50B7" w:rsidRDefault="005A50B7" w:rsidP="00771ED7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-0.78</w:t>
            </w:r>
          </w:p>
        </w:tc>
        <w:tc>
          <w:tcPr>
            <w:tcW w:w="1260" w:type="dxa"/>
            <w:shd w:val="clear" w:color="auto" w:fill="FFFFFF"/>
          </w:tcPr>
          <w:p w14:paraId="55F0CA06" w14:textId="5547B341" w:rsidR="005A50B7" w:rsidRDefault="00D701C4" w:rsidP="00771ED7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-</w:t>
            </w:r>
            <w:r w:rsidR="005A50B7">
              <w:rPr>
                <w:rFonts w:cs="Arial"/>
                <w:szCs w:val="18"/>
                <w:lang w:val="en-GB"/>
              </w:rPr>
              <w:t>62.6</w:t>
            </w:r>
          </w:p>
        </w:tc>
      </w:tr>
    </w:tbl>
    <w:p w14:paraId="358026B8" w14:textId="0452FE23" w:rsidR="00A236A6" w:rsidRDefault="00A236A6" w:rsidP="00600535">
      <w:pPr>
        <w:pStyle w:val="CETBodytext"/>
        <w:rPr>
          <w:lang w:val="en-GB"/>
        </w:rPr>
      </w:pPr>
    </w:p>
    <w:p w14:paraId="7EEC3005" w14:textId="42A078DA" w:rsidR="00C74151" w:rsidRDefault="00C74151" w:rsidP="00600535">
      <w:pPr>
        <w:pStyle w:val="CETBodytext"/>
        <w:rPr>
          <w:lang w:val="en-GB"/>
        </w:rPr>
      </w:pPr>
      <w:r>
        <w:rPr>
          <w:lang w:val="en-GB"/>
        </w:rPr>
        <w:t xml:space="preserve">To sum up, </w:t>
      </w:r>
      <w:r w:rsidR="009F6604">
        <w:rPr>
          <w:lang w:val="en-GB"/>
        </w:rPr>
        <w:t xml:space="preserve">the improved AdBlue process can lower </w:t>
      </w:r>
      <w:r>
        <w:rPr>
          <w:lang w:val="en-GB"/>
        </w:rPr>
        <w:t xml:space="preserve">the overall GHG emissions </w:t>
      </w:r>
      <w:r w:rsidR="009F6604">
        <w:rPr>
          <w:lang w:val="en-GB"/>
        </w:rPr>
        <w:t xml:space="preserve">(including the contribution of liquid ammonia transportation) </w:t>
      </w:r>
      <w:r w:rsidR="000F7B10">
        <w:rPr>
          <w:lang w:val="en-GB"/>
        </w:rPr>
        <w:t>of</w:t>
      </w:r>
      <w:r>
        <w:rPr>
          <w:lang w:val="en-GB"/>
        </w:rPr>
        <w:t xml:space="preserve"> 0.</w:t>
      </w:r>
      <w:r w:rsidR="00C73478">
        <w:rPr>
          <w:lang w:val="en-GB"/>
        </w:rPr>
        <w:t>7</w:t>
      </w:r>
      <w:r>
        <w:rPr>
          <w:lang w:val="en-GB"/>
        </w:rPr>
        <w:t>8 t CO</w:t>
      </w:r>
      <w:r w:rsidRPr="00E817A1">
        <w:rPr>
          <w:vertAlign w:val="subscript"/>
          <w:lang w:val="en-GB"/>
        </w:rPr>
        <w:t>2</w:t>
      </w:r>
      <w:r w:rsidR="00E0732D">
        <w:rPr>
          <w:vertAlign w:val="subscript"/>
          <w:lang w:val="en-GB"/>
        </w:rPr>
        <w:t xml:space="preserve"> eq</w:t>
      </w:r>
      <w:r w:rsidR="005E3C92">
        <w:rPr>
          <w:vertAlign w:val="subscript"/>
          <w:lang w:val="en-GB"/>
        </w:rPr>
        <w:t>.</w:t>
      </w:r>
      <w:r>
        <w:rPr>
          <w:lang w:val="en-GB"/>
        </w:rPr>
        <w:t>/t urea, compared with the conventional route.</w:t>
      </w:r>
      <w:r w:rsidR="009F6604">
        <w:rPr>
          <w:lang w:val="en-GB"/>
        </w:rPr>
        <w:t xml:space="preserve"> Which means, in terms of absolute emissions, a saving of </w:t>
      </w:r>
      <w:r w:rsidR="005A50B7">
        <w:rPr>
          <w:lang w:val="en-GB"/>
        </w:rPr>
        <w:t>more than 60 Mt CO</w:t>
      </w:r>
      <w:r w:rsidR="005A50B7" w:rsidRPr="00E817A1">
        <w:rPr>
          <w:vertAlign w:val="subscript"/>
          <w:lang w:val="en-GB"/>
        </w:rPr>
        <w:t>2</w:t>
      </w:r>
      <w:r w:rsidR="005A50B7">
        <w:rPr>
          <w:vertAlign w:val="subscript"/>
          <w:lang w:val="en-GB"/>
        </w:rPr>
        <w:t xml:space="preserve"> eq</w:t>
      </w:r>
      <w:r w:rsidR="005E3C92">
        <w:rPr>
          <w:vertAlign w:val="subscript"/>
          <w:lang w:val="en-GB"/>
        </w:rPr>
        <w:t>.</w:t>
      </w:r>
      <w:r w:rsidR="005A50B7">
        <w:rPr>
          <w:lang w:val="en-GB"/>
        </w:rPr>
        <w:t>/y.</w:t>
      </w:r>
    </w:p>
    <w:p w14:paraId="3AE55CB5" w14:textId="260C34E5" w:rsidR="00A236A6" w:rsidRDefault="00A236A6" w:rsidP="00DE2DFD">
      <w:pPr>
        <w:pStyle w:val="CETHeading1"/>
        <w:numPr>
          <w:ilvl w:val="0"/>
          <w:numId w:val="24"/>
        </w:numPr>
        <w:tabs>
          <w:tab w:val="num" w:pos="360"/>
        </w:tabs>
        <w:ind w:left="0" w:firstLine="0"/>
      </w:pPr>
      <w:r>
        <w:lastRenderedPageBreak/>
        <w:t>Conclusions</w:t>
      </w:r>
    </w:p>
    <w:p w14:paraId="52DAFDE0" w14:textId="1C53A244" w:rsidR="001D0CFB" w:rsidRDefault="004C29FA" w:rsidP="00600535">
      <w:pPr>
        <w:pStyle w:val="CETBodytext"/>
        <w:rPr>
          <w:lang w:val="en-GB"/>
        </w:rPr>
      </w:pPr>
      <w:r>
        <w:rPr>
          <w:lang w:val="en-GB"/>
        </w:rPr>
        <w:t xml:space="preserve">In the next two decades, </w:t>
      </w:r>
      <w:r>
        <w:t>the demand of urea based de-NO</w:t>
      </w:r>
      <w:r w:rsidRPr="004C29FA">
        <w:rPr>
          <w:vertAlign w:val="subscript"/>
        </w:rPr>
        <w:t>x</w:t>
      </w:r>
      <w:r>
        <w:t xml:space="preserve"> reduction agents is expected to increase very fast, motivated by the growing stringency of legislation on emissions of NO</w:t>
      </w:r>
      <w:r w:rsidRPr="004C6C03">
        <w:rPr>
          <w:vertAlign w:val="subscript"/>
        </w:rPr>
        <w:t>x</w:t>
      </w:r>
      <w:r>
        <w:t xml:space="preserve"> gases. The forecast for the worldwide urea consumption as de-NO</w:t>
      </w:r>
      <w:r w:rsidRPr="004C29FA">
        <w:rPr>
          <w:vertAlign w:val="subscript"/>
        </w:rPr>
        <w:t>x</w:t>
      </w:r>
      <w:r>
        <w:t xml:space="preserve"> reduction agents is 80 Mt/y within the year 2040. The adverse effect of GHG emissions</w:t>
      </w:r>
      <w:r w:rsidR="00C73478">
        <w:t>,</w:t>
      </w:r>
      <w:r>
        <w:t xml:space="preserve"> </w:t>
      </w:r>
      <w:r w:rsidR="00566384">
        <w:t>caused by the conventional industrial production of urea</w:t>
      </w:r>
      <w:r w:rsidR="00C73478">
        <w:t>,</w:t>
      </w:r>
      <w:r w:rsidR="00566384">
        <w:t xml:space="preserve"> can be significantly limited by the integration with existing large point emitters, such as cement and steel plants. </w:t>
      </w:r>
      <w:r w:rsidR="009C38CD">
        <w:t>This work is presenting a</w:t>
      </w:r>
      <w:r w:rsidR="00566384">
        <w:t>n improved AdBlue urea process, where the CO</w:t>
      </w:r>
      <w:r w:rsidR="00566384" w:rsidRPr="00566384">
        <w:rPr>
          <w:vertAlign w:val="subscript"/>
        </w:rPr>
        <w:t>2</w:t>
      </w:r>
      <w:r w:rsidR="00566384">
        <w:t xml:space="preserve"> is recovered from the flue gas of a typical cement plant, the ammonia is supplied by a mix (50%/50%) of blue and green sources, and the </w:t>
      </w:r>
      <w:r w:rsidR="00EC2125">
        <w:t>import</w:t>
      </w:r>
      <w:r w:rsidR="009C38CD">
        <w:t xml:space="preserve"> of </w:t>
      </w:r>
      <w:r w:rsidR="00EC2125">
        <w:t>process</w:t>
      </w:r>
      <w:r w:rsidR="009C38CD">
        <w:t xml:space="preserve"> steam is avoided by </w:t>
      </w:r>
      <w:r w:rsidR="00EC2125">
        <w:t>recovering</w:t>
      </w:r>
      <w:r w:rsidR="009C38CD">
        <w:t xml:space="preserve"> the waste steam generated in the </w:t>
      </w:r>
      <w:r w:rsidR="00EC2125">
        <w:t xml:space="preserve">urea </w:t>
      </w:r>
      <w:r w:rsidR="009C38CD">
        <w:t xml:space="preserve">Reactor; </w:t>
      </w:r>
      <w:r w:rsidR="00EC20B4">
        <w:t xml:space="preserve">within the year 2040, </w:t>
      </w:r>
      <w:r w:rsidR="009C38CD">
        <w:t>the improved process</w:t>
      </w:r>
      <w:r w:rsidR="00C73478">
        <w:t>, despite the incremental demand of urea based de-NO</w:t>
      </w:r>
      <w:r w:rsidR="00C73478" w:rsidRPr="004C29FA">
        <w:rPr>
          <w:vertAlign w:val="subscript"/>
        </w:rPr>
        <w:t>x</w:t>
      </w:r>
      <w:r w:rsidR="00C73478">
        <w:t xml:space="preserve"> reduction agents</w:t>
      </w:r>
      <w:r w:rsidR="00CE572B">
        <w:t>,</w:t>
      </w:r>
      <w:r w:rsidR="00C73478">
        <w:t xml:space="preserve"> </w:t>
      </w:r>
      <w:r w:rsidR="009C38CD">
        <w:t xml:space="preserve">can lower the </w:t>
      </w:r>
      <w:r w:rsidR="00CE572B">
        <w:t xml:space="preserve">expected </w:t>
      </w:r>
      <w:r w:rsidR="009C38CD">
        <w:t xml:space="preserve">GHG emissions from 94 down to </w:t>
      </w:r>
      <w:r w:rsidR="00CE572B">
        <w:t xml:space="preserve">about </w:t>
      </w:r>
      <w:r w:rsidR="009C38CD">
        <w:t>3</w:t>
      </w:r>
      <w:r w:rsidR="009F6604">
        <w:t>1</w:t>
      </w:r>
      <w:r w:rsidR="009C38CD">
        <w:t xml:space="preserve"> Mt CO</w:t>
      </w:r>
      <w:r w:rsidR="009C38CD" w:rsidRPr="009C38CD">
        <w:rPr>
          <w:vertAlign w:val="subscript"/>
        </w:rPr>
        <w:t>2</w:t>
      </w:r>
      <w:r w:rsidR="009C38CD">
        <w:rPr>
          <w:vertAlign w:val="subscript"/>
        </w:rPr>
        <w:t xml:space="preserve"> </w:t>
      </w:r>
      <w:r w:rsidR="009C38CD" w:rsidRPr="009C38CD">
        <w:rPr>
          <w:vertAlign w:val="subscript"/>
        </w:rPr>
        <w:t>eq</w:t>
      </w:r>
      <w:r w:rsidR="005E3C92">
        <w:rPr>
          <w:vertAlign w:val="subscript"/>
        </w:rPr>
        <w:t>.</w:t>
      </w:r>
      <w:r w:rsidR="009C38CD">
        <w:t xml:space="preserve">/y, even </w:t>
      </w:r>
      <w:r w:rsidR="00CE572B">
        <w:t xml:space="preserve">including the carbon footprint due to ammonia transportation and </w:t>
      </w:r>
      <w:r w:rsidR="009C38CD">
        <w:t xml:space="preserve">assuming the </w:t>
      </w:r>
      <w:r w:rsidR="00540309">
        <w:t xml:space="preserve">required </w:t>
      </w:r>
      <w:r w:rsidR="009C38CD">
        <w:t xml:space="preserve">electric energy is fully </w:t>
      </w:r>
      <w:r w:rsidR="00C73478">
        <w:t>generated</w:t>
      </w:r>
      <w:r w:rsidR="009C38CD">
        <w:t xml:space="preserve"> by </w:t>
      </w:r>
      <w:r w:rsidR="00C73478">
        <w:t>fossil fuels</w:t>
      </w:r>
      <w:r w:rsidR="009C38CD">
        <w:t>.</w:t>
      </w:r>
    </w:p>
    <w:p w14:paraId="36F0202F" w14:textId="350F7D32" w:rsidR="00A236A6" w:rsidRDefault="00A236A6" w:rsidP="00600535">
      <w:pPr>
        <w:pStyle w:val="CETBodytext"/>
        <w:rPr>
          <w:lang w:val="en-GB"/>
        </w:rPr>
      </w:pPr>
    </w:p>
    <w:p w14:paraId="2E42C400" w14:textId="77777777" w:rsidR="00A236A6" w:rsidRDefault="00A236A6" w:rsidP="00600535">
      <w:pPr>
        <w:pStyle w:val="CETBodytext"/>
        <w:rPr>
          <w:lang w:val="en-GB"/>
        </w:rPr>
      </w:pPr>
    </w:p>
    <w:p w14:paraId="4F1327F8" w14:textId="190A2D24" w:rsidR="00600535" w:rsidRPr="00B57B36" w:rsidRDefault="00600535" w:rsidP="00600535">
      <w:pPr>
        <w:pStyle w:val="CETReference"/>
      </w:pPr>
      <w:r w:rsidRPr="00B57B36">
        <w:t>References</w:t>
      </w:r>
    </w:p>
    <w:p w14:paraId="14FA0DCC" w14:textId="1EB8C6A5" w:rsidR="002B0CA1" w:rsidRDefault="002B0CA1" w:rsidP="009B4009">
      <w:pPr>
        <w:pStyle w:val="CETReferencetext"/>
      </w:pPr>
      <w:r w:rsidRPr="00D32D43">
        <w:rPr>
          <w:lang w:val="en-US"/>
        </w:rPr>
        <w:t xml:space="preserve">Abbasi M. K., Adams W. A., 2000, </w:t>
      </w:r>
      <w:r w:rsidRPr="00D32D43">
        <w:t>Gaseous N emission during simultaneous nitrification denitrification associated with mineral N fertilization to a grassland soil under field conditions</w:t>
      </w:r>
      <w:r>
        <w:t xml:space="preserve">, </w:t>
      </w:r>
      <w:r w:rsidRPr="00D32D43">
        <w:t>Soil Biology and Biochemistry, 32</w:t>
      </w:r>
      <w:r>
        <w:t>,</w:t>
      </w:r>
      <w:r w:rsidRPr="00D32D43">
        <w:t xml:space="preserve"> 1251-1259.</w:t>
      </w:r>
    </w:p>
    <w:p w14:paraId="2D77A7C2" w14:textId="529EE6DC" w:rsidR="009B4009" w:rsidRDefault="009B4009" w:rsidP="009B4009">
      <w:pPr>
        <w:pStyle w:val="CETReferencetext"/>
        <w:rPr>
          <w:lang w:val="en-US"/>
        </w:rPr>
      </w:pPr>
      <w:r w:rsidRPr="009B4009">
        <w:rPr>
          <w:lang w:val="en-US"/>
        </w:rPr>
        <w:t xml:space="preserve">Al-Breiki </w:t>
      </w:r>
      <w:r>
        <w:rPr>
          <w:lang w:val="en-US"/>
        </w:rPr>
        <w:t xml:space="preserve">M., </w:t>
      </w:r>
      <w:r w:rsidRPr="009B4009">
        <w:rPr>
          <w:lang w:val="en-US"/>
        </w:rPr>
        <w:t>Bicer</w:t>
      </w:r>
      <w:r>
        <w:rPr>
          <w:lang w:val="en-US"/>
        </w:rPr>
        <w:t xml:space="preserve"> J., 2020, </w:t>
      </w:r>
      <w:r w:rsidRPr="009B4009">
        <w:rPr>
          <w:lang w:val="en-US"/>
        </w:rPr>
        <w:t>Comparative cost assessment of sustainable energy carriers produced</w:t>
      </w:r>
      <w:r>
        <w:rPr>
          <w:lang w:val="en-US"/>
        </w:rPr>
        <w:t xml:space="preserve"> </w:t>
      </w:r>
      <w:r w:rsidRPr="009B4009">
        <w:rPr>
          <w:lang w:val="en-US"/>
        </w:rPr>
        <w:t>from natural gas accounting for boil-off gas and social cost of carbon</w:t>
      </w:r>
      <w:r>
        <w:rPr>
          <w:lang w:val="en-US"/>
        </w:rPr>
        <w:t>, Energy Report, 6, 1897-1909.</w:t>
      </w:r>
    </w:p>
    <w:p w14:paraId="57EFF7C4" w14:textId="77777777" w:rsidR="002B0CA1" w:rsidRDefault="002B0CA1" w:rsidP="009B4009">
      <w:pPr>
        <w:pStyle w:val="CETReferencetext"/>
      </w:pPr>
      <w:r w:rsidRPr="00673B78">
        <w:t>Amann J</w:t>
      </w:r>
      <w:r>
        <w:t>.</w:t>
      </w:r>
      <w:r w:rsidRPr="00673B78">
        <w:t>M</w:t>
      </w:r>
      <w:r>
        <w:t>.,</w:t>
      </w:r>
      <w:r w:rsidRPr="00673B78">
        <w:t xml:space="preserve"> Bouallou</w:t>
      </w:r>
      <w:r>
        <w:t xml:space="preserve"> </w:t>
      </w:r>
      <w:r w:rsidRPr="00673B78">
        <w:t>C.</w:t>
      </w:r>
      <w:r>
        <w:t xml:space="preserve">, </w:t>
      </w:r>
      <w:r w:rsidRPr="00673B78">
        <w:t>2009</w:t>
      </w:r>
      <w:r>
        <w:t>,</w:t>
      </w:r>
      <w:r w:rsidRPr="00673B78">
        <w:t xml:space="preserve"> CO</w:t>
      </w:r>
      <w:r w:rsidRPr="00673B78">
        <w:rPr>
          <w:vertAlign w:val="subscript"/>
        </w:rPr>
        <w:t>2</w:t>
      </w:r>
      <w:r w:rsidRPr="00673B78">
        <w:t xml:space="preserve"> Capture from Power Stations Running with Natural Gas (NGCC) and Pulverized Coal (PC): Assessment of a New Chemical Solvent Based on Aqueous Solutions of N-Methyl</w:t>
      </w:r>
      <w:r>
        <w:t>-</w:t>
      </w:r>
      <w:r w:rsidRPr="00673B78">
        <w:t>Di</w:t>
      </w:r>
      <w:r>
        <w:t>-</w:t>
      </w:r>
      <w:r w:rsidRPr="00673B78">
        <w:t>Ethanol</w:t>
      </w:r>
      <w:r>
        <w:t>-</w:t>
      </w:r>
      <w:r w:rsidRPr="00673B78">
        <w:t>Amine plus Tri</w:t>
      </w:r>
      <w:r>
        <w:t>-</w:t>
      </w:r>
      <w:r w:rsidRPr="00673B78">
        <w:t>Ethylene Tetramine</w:t>
      </w:r>
      <w:r>
        <w:t>,</w:t>
      </w:r>
      <w:r w:rsidRPr="00673B78">
        <w:t xml:space="preserve"> Energy Procedia</w:t>
      </w:r>
      <w:r>
        <w:t>,</w:t>
      </w:r>
      <w:r w:rsidRPr="00673B78">
        <w:t xml:space="preserve"> 1. 10.1016</w:t>
      </w:r>
    </w:p>
    <w:p w14:paraId="2C00FDEF" w14:textId="77777777" w:rsidR="002B0CA1" w:rsidRDefault="002B0CA1" w:rsidP="009B4009">
      <w:pPr>
        <w:pStyle w:val="CETReferencetext"/>
      </w:pPr>
      <w:r w:rsidRPr="00076BF0">
        <w:t>Baker</w:t>
      </w:r>
      <w:r>
        <w:t xml:space="preserve"> R. W.</w:t>
      </w:r>
      <w:r w:rsidRPr="00076BF0">
        <w:t>, Freeman</w:t>
      </w:r>
      <w:r>
        <w:t xml:space="preserve"> B.</w:t>
      </w:r>
      <w:r w:rsidRPr="00076BF0">
        <w:t>, Kniep</w:t>
      </w:r>
      <w:r>
        <w:t xml:space="preserve"> J.</w:t>
      </w:r>
      <w:r w:rsidRPr="00076BF0">
        <w:t>, Huang</w:t>
      </w:r>
      <w:r>
        <w:t xml:space="preserve"> Y.</w:t>
      </w:r>
      <w:r w:rsidRPr="00076BF0">
        <w:t>, Merkel</w:t>
      </w:r>
      <w:r>
        <w:t xml:space="preserve"> T. C., 2018, </w:t>
      </w:r>
      <w:r w:rsidRPr="00076BF0">
        <w:t>CO</w:t>
      </w:r>
      <w:r w:rsidRPr="00076BF0">
        <w:rPr>
          <w:vertAlign w:val="subscript"/>
        </w:rPr>
        <w:t>2</w:t>
      </w:r>
      <w:r w:rsidRPr="00076BF0">
        <w:t xml:space="preserve"> Capture from Cement Plants and Steel Mills Using Membranes</w:t>
      </w:r>
      <w:r>
        <w:t xml:space="preserve">, </w:t>
      </w:r>
      <w:r w:rsidRPr="00076BF0">
        <w:t>Ind. Eng. Chem. Res., 57, 15963−15970</w:t>
      </w:r>
      <w:r>
        <w:t>.</w:t>
      </w:r>
    </w:p>
    <w:p w14:paraId="3D1A8A99" w14:textId="77777777" w:rsidR="002B0CA1" w:rsidRPr="00512BFA" w:rsidRDefault="002B0CA1" w:rsidP="009B4009">
      <w:pPr>
        <w:pStyle w:val="CETReferencetext"/>
        <w:rPr>
          <w:lang w:val="en-US"/>
        </w:rPr>
      </w:pPr>
      <w:r w:rsidRPr="004828D5">
        <w:rPr>
          <w:lang w:val="en-US"/>
        </w:rPr>
        <w:t>European IPPC Bureau</w:t>
      </w:r>
      <w:r>
        <w:rPr>
          <w:lang w:val="en-US"/>
        </w:rPr>
        <w:t xml:space="preserve">, 2007, </w:t>
      </w:r>
      <w:r w:rsidRPr="001E40AF">
        <w:rPr>
          <w:lang w:val="en-US"/>
        </w:rPr>
        <w:t>Reference Document on</w:t>
      </w:r>
      <w:r>
        <w:rPr>
          <w:lang w:val="en-US"/>
        </w:rPr>
        <w:t xml:space="preserve"> </w:t>
      </w:r>
      <w:r w:rsidRPr="001E40AF">
        <w:rPr>
          <w:lang w:val="en-US"/>
        </w:rPr>
        <w:t>Best Available Techniques for the Manufacture of</w:t>
      </w:r>
      <w:r>
        <w:rPr>
          <w:lang w:val="en-US"/>
        </w:rPr>
        <w:t xml:space="preserve"> </w:t>
      </w:r>
      <w:r w:rsidRPr="001E40AF">
        <w:rPr>
          <w:lang w:val="en-US"/>
        </w:rPr>
        <w:t>Large Volume Inorganic Chemicals</w:t>
      </w:r>
      <w:r>
        <w:rPr>
          <w:lang w:val="en-US"/>
        </w:rPr>
        <w:t xml:space="preserve"> </w:t>
      </w:r>
      <w:r w:rsidRPr="001E40AF">
        <w:rPr>
          <w:lang w:val="en-US"/>
        </w:rPr>
        <w:t>- Ammonia, Acids and Fertilisers</w:t>
      </w:r>
      <w:r>
        <w:rPr>
          <w:lang w:val="en-US"/>
        </w:rPr>
        <w:t>, 8.3, 327-331.</w:t>
      </w:r>
    </w:p>
    <w:p w14:paraId="3E43E214" w14:textId="77777777" w:rsidR="002B0CA1" w:rsidRDefault="002B0CA1" w:rsidP="009B4009">
      <w:pPr>
        <w:pStyle w:val="CETReferencetext"/>
      </w:pPr>
      <w:r>
        <w:t>Figueroa J. D., Fout T., Plasynski S., McIlvried H., Srivastava R. D., 2008, Advances in CO</w:t>
      </w:r>
      <w:r w:rsidRPr="00484C3D">
        <w:rPr>
          <w:vertAlign w:val="subscript"/>
        </w:rPr>
        <w:t>2</w:t>
      </w:r>
      <w:r>
        <w:t xml:space="preserve"> capture technology - The U.S. Department of Energy’s Carbon Sequestration Program, Int. J. Greenhouse Gas Control, 2, 9−20.</w:t>
      </w:r>
    </w:p>
    <w:p w14:paraId="4D44F294" w14:textId="77777777" w:rsidR="002B0CA1" w:rsidRDefault="002B0CA1" w:rsidP="009B4009">
      <w:pPr>
        <w:pStyle w:val="CETReferencetext"/>
      </w:pPr>
      <w:r w:rsidRPr="00F44C3B">
        <w:rPr>
          <w:lang w:val="en-US"/>
        </w:rPr>
        <w:t>Font-Palma C.</w:t>
      </w:r>
      <w:r>
        <w:rPr>
          <w:lang w:val="en-US"/>
        </w:rPr>
        <w:t>,</w:t>
      </w:r>
      <w:r w:rsidRPr="00F44C3B">
        <w:rPr>
          <w:lang w:val="en-US"/>
        </w:rPr>
        <w:t xml:space="preserve"> Cann D.</w:t>
      </w:r>
      <w:r>
        <w:rPr>
          <w:lang w:val="en-US"/>
        </w:rPr>
        <w:t>,</w:t>
      </w:r>
      <w:r w:rsidRPr="00F44C3B">
        <w:rPr>
          <w:lang w:val="en-US"/>
        </w:rPr>
        <w:t xml:space="preserve"> </w:t>
      </w:r>
      <w:r>
        <w:t>Udemu C., 2021, Review of Cryogenic</w:t>
      </w:r>
      <w:r>
        <w:rPr>
          <w:lang w:val="en-US"/>
        </w:rPr>
        <w:t xml:space="preserve"> </w:t>
      </w:r>
      <w:r>
        <w:t>Carbon Capture Innovations and Their Potential Applications, 7, 58.</w:t>
      </w:r>
    </w:p>
    <w:p w14:paraId="691B0562" w14:textId="77777777" w:rsidR="002B0CA1" w:rsidRDefault="002B0CA1" w:rsidP="009B4009">
      <w:pPr>
        <w:pStyle w:val="CETReferencetext"/>
      </w:pPr>
      <w:r w:rsidRPr="0015485B">
        <w:t>Fuglestvedt, J.S.</w:t>
      </w:r>
      <w:r>
        <w:t>,</w:t>
      </w:r>
      <w:r w:rsidRPr="0015485B">
        <w:t xml:space="preserve"> Isaksen, I.S.A.</w:t>
      </w:r>
      <w:r>
        <w:t>,</w:t>
      </w:r>
      <w:r w:rsidRPr="0015485B">
        <w:t xml:space="preserve"> Wang, 1996, Estimates of indirect global warming potentials for CH</w:t>
      </w:r>
      <w:r w:rsidRPr="0015485B">
        <w:rPr>
          <w:vertAlign w:val="subscript"/>
        </w:rPr>
        <w:t>4</w:t>
      </w:r>
      <w:r w:rsidRPr="0015485B">
        <w:t>, CO and NO</w:t>
      </w:r>
      <w:r w:rsidRPr="0015485B">
        <w:rPr>
          <w:vertAlign w:val="subscript"/>
        </w:rPr>
        <w:t>x</w:t>
      </w:r>
      <w:r>
        <w:t>,</w:t>
      </w:r>
      <w:r w:rsidRPr="0015485B">
        <w:t xml:space="preserve"> Clim. Chang</w:t>
      </w:r>
      <w:r>
        <w:t>,</w:t>
      </w:r>
      <w:r w:rsidRPr="0015485B">
        <w:t xml:space="preserve"> 34, 405–437.</w:t>
      </w:r>
    </w:p>
    <w:p w14:paraId="429DE1B5" w14:textId="77777777" w:rsidR="002B0CA1" w:rsidRDefault="002B0CA1" w:rsidP="009B4009">
      <w:pPr>
        <w:pStyle w:val="CETReferencetext"/>
        <w:rPr>
          <w:lang w:val="en-US"/>
        </w:rPr>
      </w:pPr>
      <w:r w:rsidRPr="00FB19CD">
        <w:rPr>
          <w:lang w:val="en-US"/>
        </w:rPr>
        <w:t>Global CCS Institute</w:t>
      </w:r>
      <w:r>
        <w:rPr>
          <w:lang w:val="en-US"/>
        </w:rPr>
        <w:t>, 2015,</w:t>
      </w:r>
      <w:r w:rsidRPr="00FB19CD">
        <w:rPr>
          <w:lang w:val="en-US"/>
        </w:rPr>
        <w:t xml:space="preserve"> Applying carbon capture and storage to a Chinese steel plant.</w:t>
      </w:r>
    </w:p>
    <w:p w14:paraId="3DE8C129" w14:textId="77777777" w:rsidR="002B0CA1" w:rsidRDefault="002B0CA1" w:rsidP="009B4009">
      <w:pPr>
        <w:pStyle w:val="CETReferencetext"/>
        <w:rPr>
          <w:lang w:val="en-US"/>
        </w:rPr>
      </w:pPr>
      <w:r w:rsidRPr="00C02F97">
        <w:rPr>
          <w:lang w:val="en-US"/>
        </w:rPr>
        <w:t>Hägg M. B.</w:t>
      </w:r>
      <w:r>
        <w:rPr>
          <w:lang w:val="en-US"/>
        </w:rPr>
        <w:t>,</w:t>
      </w:r>
      <w:r w:rsidRPr="00C02F97">
        <w:rPr>
          <w:lang w:val="en-US"/>
        </w:rPr>
        <w:t xml:space="preserve"> Lindbråthen A.</w:t>
      </w:r>
      <w:r>
        <w:rPr>
          <w:lang w:val="en-US"/>
        </w:rPr>
        <w:t>,</w:t>
      </w:r>
      <w:r w:rsidRPr="00C02F97">
        <w:rPr>
          <w:lang w:val="en-US"/>
        </w:rPr>
        <w:t xml:space="preserve"> He X.</w:t>
      </w:r>
      <w:r>
        <w:rPr>
          <w:lang w:val="en-US"/>
        </w:rPr>
        <w:t>,</w:t>
      </w:r>
      <w:r w:rsidRPr="00C02F97">
        <w:rPr>
          <w:lang w:val="en-US"/>
        </w:rPr>
        <w:t xml:space="preserve"> Nodeland S. G.</w:t>
      </w:r>
      <w:r>
        <w:rPr>
          <w:lang w:val="en-US"/>
        </w:rPr>
        <w:t xml:space="preserve">, </w:t>
      </w:r>
      <w:r w:rsidRPr="00C02F97">
        <w:rPr>
          <w:lang w:val="en-US"/>
        </w:rPr>
        <w:t>Cantero T.</w:t>
      </w:r>
      <w:r>
        <w:rPr>
          <w:lang w:val="en-US"/>
        </w:rPr>
        <w:t xml:space="preserve">, 2017, </w:t>
      </w:r>
      <w:r w:rsidRPr="00C02F97">
        <w:rPr>
          <w:lang w:val="en-US"/>
        </w:rPr>
        <w:t>Pilot Demonstration-reporting on CO</w:t>
      </w:r>
      <w:r w:rsidRPr="00C02F97">
        <w:rPr>
          <w:vertAlign w:val="subscript"/>
          <w:lang w:val="en-US"/>
        </w:rPr>
        <w:t>2</w:t>
      </w:r>
      <w:r w:rsidRPr="00C02F97">
        <w:rPr>
          <w:lang w:val="en-US"/>
        </w:rPr>
        <w:t xml:space="preserve"> Capture from a</w:t>
      </w:r>
      <w:r>
        <w:rPr>
          <w:lang w:val="en-US"/>
        </w:rPr>
        <w:t xml:space="preserve"> </w:t>
      </w:r>
      <w:r w:rsidRPr="00C02F97">
        <w:rPr>
          <w:lang w:val="en-US"/>
        </w:rPr>
        <w:t>Cement Plant Using Hollow Fiber Process</w:t>
      </w:r>
      <w:r>
        <w:rPr>
          <w:lang w:val="en-US"/>
        </w:rPr>
        <w:t>,</w:t>
      </w:r>
      <w:r w:rsidRPr="00C02F97">
        <w:rPr>
          <w:lang w:val="en-US"/>
        </w:rPr>
        <w:t xml:space="preserve"> Energy Procedia</w:t>
      </w:r>
      <w:r>
        <w:rPr>
          <w:lang w:val="en-US"/>
        </w:rPr>
        <w:t xml:space="preserve">, </w:t>
      </w:r>
      <w:r w:rsidRPr="00C02F97">
        <w:rPr>
          <w:lang w:val="en-US"/>
        </w:rPr>
        <w:t>114, 6150−6165.</w:t>
      </w:r>
    </w:p>
    <w:p w14:paraId="254704A8" w14:textId="77777777" w:rsidR="002B0CA1" w:rsidRDefault="002B0CA1" w:rsidP="009B4009">
      <w:pPr>
        <w:pStyle w:val="CETReferencetext"/>
      </w:pPr>
      <w:r w:rsidRPr="00AC6416">
        <w:t>Halonen S</w:t>
      </w:r>
      <w:r>
        <w:t xml:space="preserve">., </w:t>
      </w:r>
      <w:r w:rsidRPr="00A6090B">
        <w:t>Kangas</w:t>
      </w:r>
      <w:r>
        <w:t xml:space="preserve"> T.</w:t>
      </w:r>
      <w:r w:rsidRPr="00A6090B">
        <w:t>, Haataja</w:t>
      </w:r>
      <w:r>
        <w:t xml:space="preserve"> M.,</w:t>
      </w:r>
      <w:r w:rsidRPr="00A6090B">
        <w:t xml:space="preserve"> Lassi </w:t>
      </w:r>
      <w:r>
        <w:t xml:space="preserve">U., </w:t>
      </w:r>
      <w:r w:rsidRPr="00AC6416">
        <w:t>2017</w:t>
      </w:r>
      <w:r>
        <w:t>,</w:t>
      </w:r>
      <w:r w:rsidRPr="00AC6416">
        <w:t xml:space="preserve"> Urea-water-solution properties: density, viscosity, and surface tension in an under-saturated solution</w:t>
      </w:r>
      <w:r>
        <w:t>,</w:t>
      </w:r>
      <w:r w:rsidRPr="00AC6416">
        <w:t xml:space="preserve"> </w:t>
      </w:r>
      <w:r w:rsidRPr="00A6090B">
        <w:t>Emission Control Science and Technology</w:t>
      </w:r>
      <w:r>
        <w:t xml:space="preserve">, </w:t>
      </w:r>
      <w:r w:rsidRPr="00A6090B">
        <w:t>3, 161–170</w:t>
      </w:r>
      <w:r>
        <w:t>.</w:t>
      </w:r>
    </w:p>
    <w:p w14:paraId="308A74CD" w14:textId="77777777" w:rsidR="002B0CA1" w:rsidRDefault="002B0CA1" w:rsidP="009B4009">
      <w:pPr>
        <w:pStyle w:val="CETReferencetext"/>
        <w:rPr>
          <w:lang w:val="en-US"/>
        </w:rPr>
      </w:pPr>
      <w:r w:rsidRPr="00512BFA">
        <w:rPr>
          <w:lang w:val="en-US"/>
        </w:rPr>
        <w:t>IEA, Emissions of Nitrogen oxyde (NO</w:t>
      </w:r>
      <w:r w:rsidRPr="00512BFA">
        <w:rPr>
          <w:vertAlign w:val="subscript"/>
          <w:lang w:val="en-US"/>
        </w:rPr>
        <w:t>x</w:t>
      </w:r>
      <w:r w:rsidRPr="00512BFA">
        <w:rPr>
          <w:lang w:val="en-US"/>
        </w:rPr>
        <w:t>) by sector and scenario</w:t>
      </w:r>
      <w:r>
        <w:rPr>
          <w:lang w:val="en-US"/>
        </w:rPr>
        <w:t xml:space="preserve"> 2015-2040, </w:t>
      </w:r>
      <w:r w:rsidRPr="00512BFA">
        <w:rPr>
          <w:lang w:val="en-US"/>
        </w:rPr>
        <w:t>2</w:t>
      </w:r>
      <w:r>
        <w:rPr>
          <w:lang w:val="en-US"/>
        </w:rPr>
        <w:t xml:space="preserve">022, </w:t>
      </w:r>
      <w:r w:rsidRPr="00512BFA">
        <w:rPr>
          <w:lang w:val="en-US"/>
        </w:rPr>
        <w:t>&lt; iea.org/data-and-statistics/charts/emissions-of-nitrogen-oxyde-nox-by-sector-and-scenario-2015-and-2040&gt;.</w:t>
      </w:r>
    </w:p>
    <w:p w14:paraId="4AAFB929" w14:textId="77777777" w:rsidR="002B0CA1" w:rsidRDefault="002B0CA1" w:rsidP="009B4009">
      <w:pPr>
        <w:pStyle w:val="CETReferencetext"/>
      </w:pPr>
      <w:r>
        <w:t xml:space="preserve">IEA, </w:t>
      </w:r>
      <w:r w:rsidRPr="00911668">
        <w:t>Global Energy Review: CO2 Emissions in 2021</w:t>
      </w:r>
      <w:r>
        <w:t>, 2021, &lt;</w:t>
      </w:r>
      <w:r w:rsidRPr="00911668">
        <w:t>iea.org/reports/global-energy-review-co2-emissions-in-2021-2</w:t>
      </w:r>
      <w:r>
        <w:t>&gt;.</w:t>
      </w:r>
    </w:p>
    <w:p w14:paraId="525F27D2" w14:textId="77777777" w:rsidR="002B0CA1" w:rsidRPr="00C02F97" w:rsidRDefault="002B0CA1" w:rsidP="009B4009">
      <w:pPr>
        <w:pStyle w:val="CETReferencetext"/>
        <w:rPr>
          <w:lang w:val="en-US"/>
        </w:rPr>
      </w:pPr>
      <w:r w:rsidRPr="00C02F97">
        <w:rPr>
          <w:lang w:val="en-US"/>
        </w:rPr>
        <w:t>Lie J. A.</w:t>
      </w:r>
      <w:r>
        <w:rPr>
          <w:lang w:val="en-US"/>
        </w:rPr>
        <w:t>,</w:t>
      </w:r>
      <w:r w:rsidRPr="00C02F97">
        <w:rPr>
          <w:lang w:val="en-US"/>
        </w:rPr>
        <w:t xml:space="preserve"> Vassbotn T.</w:t>
      </w:r>
      <w:r>
        <w:rPr>
          <w:lang w:val="en-US"/>
        </w:rPr>
        <w:t>,</w:t>
      </w:r>
      <w:r w:rsidRPr="00C02F97">
        <w:rPr>
          <w:lang w:val="en-US"/>
        </w:rPr>
        <w:t xml:space="preserve"> Hägg M.</w:t>
      </w:r>
      <w:r>
        <w:rPr>
          <w:lang w:val="en-US"/>
        </w:rPr>
        <w:t xml:space="preserve"> </w:t>
      </w:r>
      <w:r w:rsidRPr="00C02F97">
        <w:rPr>
          <w:lang w:val="en-US"/>
        </w:rPr>
        <w:t>B.</w:t>
      </w:r>
      <w:r>
        <w:rPr>
          <w:lang w:val="en-US"/>
        </w:rPr>
        <w:t>,</w:t>
      </w:r>
      <w:r w:rsidRPr="00C02F97">
        <w:rPr>
          <w:lang w:val="en-US"/>
        </w:rPr>
        <w:t xml:space="preserve"> Grainger D.</w:t>
      </w:r>
      <w:r>
        <w:rPr>
          <w:lang w:val="en-US"/>
        </w:rPr>
        <w:t>,</w:t>
      </w:r>
      <w:r w:rsidRPr="00C02F97">
        <w:rPr>
          <w:lang w:val="en-US"/>
        </w:rPr>
        <w:t xml:space="preserve"> Kim T.J.</w:t>
      </w:r>
      <w:r>
        <w:rPr>
          <w:lang w:val="en-US"/>
        </w:rPr>
        <w:t xml:space="preserve">, </w:t>
      </w:r>
      <w:r w:rsidRPr="00C02F97">
        <w:rPr>
          <w:lang w:val="en-US"/>
        </w:rPr>
        <w:t>Mejdell T</w:t>
      </w:r>
      <w:r>
        <w:rPr>
          <w:lang w:val="en-US"/>
        </w:rPr>
        <w:t>., 2007,</w:t>
      </w:r>
      <w:r w:rsidRPr="00C02F97">
        <w:rPr>
          <w:lang w:val="en-US"/>
        </w:rPr>
        <w:t xml:space="preserve"> Optimization of a membrane process</w:t>
      </w:r>
      <w:r>
        <w:rPr>
          <w:lang w:val="en-US"/>
        </w:rPr>
        <w:t xml:space="preserve"> </w:t>
      </w:r>
      <w:r w:rsidRPr="00C02F97">
        <w:rPr>
          <w:lang w:val="en-US"/>
        </w:rPr>
        <w:t>for CO</w:t>
      </w:r>
      <w:r w:rsidRPr="00C02F97">
        <w:rPr>
          <w:vertAlign w:val="subscript"/>
          <w:lang w:val="en-US"/>
        </w:rPr>
        <w:t>2</w:t>
      </w:r>
      <w:r w:rsidRPr="00C02F97">
        <w:rPr>
          <w:lang w:val="en-US"/>
        </w:rPr>
        <w:t xml:space="preserve"> capture in</w:t>
      </w:r>
      <w:r>
        <w:rPr>
          <w:lang w:val="en-US"/>
        </w:rPr>
        <w:t xml:space="preserve"> </w:t>
      </w:r>
      <w:r w:rsidRPr="00C02F97">
        <w:rPr>
          <w:lang w:val="en-US"/>
        </w:rPr>
        <w:t>the steelmaking industry</w:t>
      </w:r>
      <w:r>
        <w:rPr>
          <w:lang w:val="en-US"/>
        </w:rPr>
        <w:t>,</w:t>
      </w:r>
      <w:r w:rsidRPr="00C02F97">
        <w:rPr>
          <w:lang w:val="en-US"/>
        </w:rPr>
        <w:t xml:space="preserve"> Int. J. Greenhouse Gas Control</w:t>
      </w:r>
      <w:r>
        <w:rPr>
          <w:lang w:val="en-US"/>
        </w:rPr>
        <w:t xml:space="preserve">, </w:t>
      </w:r>
      <w:r w:rsidRPr="00C02F97">
        <w:rPr>
          <w:lang w:val="en-US"/>
        </w:rPr>
        <w:t>1 (3),</w:t>
      </w:r>
      <w:r>
        <w:rPr>
          <w:lang w:val="en-US"/>
        </w:rPr>
        <w:t xml:space="preserve"> </w:t>
      </w:r>
      <w:r w:rsidRPr="00C02F97">
        <w:rPr>
          <w:lang w:val="en-US"/>
        </w:rPr>
        <w:t>309−317.</w:t>
      </w:r>
    </w:p>
    <w:p w14:paraId="27877989" w14:textId="77777777" w:rsidR="002B0CA1" w:rsidRDefault="002B0CA1" w:rsidP="009B4009">
      <w:pPr>
        <w:pStyle w:val="CETReferencetext"/>
      </w:pPr>
      <w:r w:rsidRPr="00BC5AA4">
        <w:t xml:space="preserve">Maizak </w:t>
      </w:r>
      <w:r>
        <w:t>D.</w:t>
      </w:r>
      <w:r w:rsidRPr="00BC5AA4">
        <w:t xml:space="preserve">, Wilberforce </w:t>
      </w:r>
      <w:r>
        <w:t>T.</w:t>
      </w:r>
      <w:r w:rsidRPr="00BC5AA4">
        <w:t>, Olabi</w:t>
      </w:r>
      <w:r>
        <w:t xml:space="preserve"> A.G., 2020, </w:t>
      </w:r>
      <w:r w:rsidRPr="00BC5AA4">
        <w:t>DeNO</w:t>
      </w:r>
      <w:r w:rsidRPr="00BC5AA4">
        <w:rPr>
          <w:vertAlign w:val="subscript"/>
        </w:rPr>
        <w:t>x</w:t>
      </w:r>
      <w:r w:rsidRPr="00BC5AA4">
        <w:t xml:space="preserve"> removal techniques for automotive applications</w:t>
      </w:r>
      <w:r>
        <w:t xml:space="preserve">: </w:t>
      </w:r>
      <w:r w:rsidRPr="00BC5AA4">
        <w:t>A review</w:t>
      </w:r>
      <w:r>
        <w:t>, Environmental Advances, 2.</w:t>
      </w:r>
    </w:p>
    <w:p w14:paraId="134E32DF" w14:textId="77777777" w:rsidR="002B0CA1" w:rsidRDefault="002B0CA1" w:rsidP="009B4009">
      <w:pPr>
        <w:pStyle w:val="CETReferencetext"/>
      </w:pPr>
      <w:r>
        <w:t>Merkel T. C., Wei X., He Z., White L. S., Wijmans J. G., Baker R. W., 2013, Selective Exhaust Gas Recycle with Membranes for CO</w:t>
      </w:r>
      <w:r w:rsidRPr="001D69A1">
        <w:rPr>
          <w:vertAlign w:val="subscript"/>
        </w:rPr>
        <w:t>2</w:t>
      </w:r>
      <w:r>
        <w:t xml:space="preserve"> Capture from Natural Gas Combined Cycle Power Plants, Ind. Eng. Chem. Res., 52 (3), 1150−1159.</w:t>
      </w:r>
    </w:p>
    <w:p w14:paraId="3A024E08" w14:textId="77777777" w:rsidR="002B0CA1" w:rsidRDefault="002B0CA1" w:rsidP="009B4009">
      <w:pPr>
        <w:pStyle w:val="CETReferencetext"/>
        <w:rPr>
          <w:lang w:val="en-US"/>
        </w:rPr>
      </w:pPr>
      <w:r>
        <w:rPr>
          <w:lang w:val="en-US"/>
        </w:rPr>
        <w:t>Mielke B., Noelker K., 2023, Blue Ammonia for lower CO</w:t>
      </w:r>
      <w:r w:rsidRPr="00B60A8C">
        <w:rPr>
          <w:vertAlign w:val="subscript"/>
          <w:lang w:val="en-US"/>
        </w:rPr>
        <w:t>2</w:t>
      </w:r>
      <w:r>
        <w:rPr>
          <w:lang w:val="en-US"/>
        </w:rPr>
        <w:t xml:space="preserve"> emissions, 36</w:t>
      </w:r>
      <w:r w:rsidRPr="00B60A8C">
        <w:rPr>
          <w:vertAlign w:val="superscript"/>
          <w:lang w:val="en-US"/>
        </w:rPr>
        <w:t>th</w:t>
      </w:r>
      <w:r>
        <w:rPr>
          <w:lang w:val="en-US"/>
        </w:rPr>
        <w:t xml:space="preserve"> Nitrogen &amp; Syngas Conference, Barcelona.</w:t>
      </w:r>
    </w:p>
    <w:p w14:paraId="05786B84" w14:textId="77777777" w:rsidR="002B0CA1" w:rsidRDefault="002B0CA1" w:rsidP="009B4009">
      <w:pPr>
        <w:pStyle w:val="CETReferencetext"/>
        <w:rPr>
          <w:lang w:val="en-US"/>
        </w:rPr>
      </w:pPr>
      <w:r w:rsidRPr="00F44C3B">
        <w:rPr>
          <w:lang w:val="en-US"/>
        </w:rPr>
        <w:t>Ramírez-Santos Á. A.</w:t>
      </w:r>
      <w:r>
        <w:rPr>
          <w:lang w:val="en-US"/>
        </w:rPr>
        <w:t>,</w:t>
      </w:r>
      <w:r w:rsidRPr="00F44C3B">
        <w:rPr>
          <w:lang w:val="en-US"/>
        </w:rPr>
        <w:t xml:space="preserve"> Castel C.</w:t>
      </w:r>
      <w:r>
        <w:rPr>
          <w:lang w:val="en-US"/>
        </w:rPr>
        <w:t>,</w:t>
      </w:r>
      <w:r w:rsidRPr="00F44C3B">
        <w:rPr>
          <w:lang w:val="en-US"/>
        </w:rPr>
        <w:t xml:space="preserve"> Favre E.</w:t>
      </w:r>
      <w:r>
        <w:rPr>
          <w:lang w:val="en-US"/>
        </w:rPr>
        <w:t>, 2017,</w:t>
      </w:r>
      <w:r w:rsidRPr="00F44C3B">
        <w:rPr>
          <w:lang w:val="en-US"/>
        </w:rPr>
        <w:t xml:space="preserve"> Utilization of blast</w:t>
      </w:r>
      <w:r>
        <w:rPr>
          <w:lang w:val="en-US"/>
        </w:rPr>
        <w:t xml:space="preserve"> </w:t>
      </w:r>
      <w:r w:rsidRPr="00F44C3B">
        <w:rPr>
          <w:lang w:val="en-US"/>
        </w:rPr>
        <w:t>furnace flue gas: Opportunities and challenges for polymeric</w:t>
      </w:r>
      <w:r>
        <w:rPr>
          <w:lang w:val="en-US"/>
        </w:rPr>
        <w:t xml:space="preserve"> </w:t>
      </w:r>
      <w:r w:rsidRPr="00F44C3B">
        <w:rPr>
          <w:lang w:val="en-US"/>
        </w:rPr>
        <w:t>membrane gas separation processes</w:t>
      </w:r>
      <w:r>
        <w:rPr>
          <w:lang w:val="en-US"/>
        </w:rPr>
        <w:t>,</w:t>
      </w:r>
      <w:r w:rsidRPr="00F44C3B">
        <w:rPr>
          <w:lang w:val="en-US"/>
        </w:rPr>
        <w:t xml:space="preserve"> J. Membr. Sci., 526, 191−204.</w:t>
      </w:r>
    </w:p>
    <w:p w14:paraId="4FF07D0C" w14:textId="77777777" w:rsidR="002B0CA1" w:rsidRDefault="002B0CA1" w:rsidP="009B4009">
      <w:pPr>
        <w:pStyle w:val="CETReferencetext"/>
      </w:pPr>
      <w:r>
        <w:t>Zhu Z., Xu B., 2022, Purification Technologies for NO</w:t>
      </w:r>
      <w:r w:rsidRPr="00AC6416">
        <w:rPr>
          <w:vertAlign w:val="subscript"/>
        </w:rPr>
        <w:t>x</w:t>
      </w:r>
      <w:r>
        <w:t xml:space="preserve"> Removal from Flue Gas: A Review, Separations, 9, 307.</w:t>
      </w:r>
    </w:p>
    <w:p w14:paraId="6FAA4342" w14:textId="77777777" w:rsidR="00C52C3C" w:rsidRPr="00512BFA" w:rsidRDefault="00C52C3C" w:rsidP="00E65B91">
      <w:pPr>
        <w:pStyle w:val="CETReferencetext"/>
        <w:rPr>
          <w:lang w:val="en-US"/>
        </w:rPr>
      </w:pPr>
    </w:p>
    <w:sectPr w:rsidR="00C52C3C" w:rsidRPr="00512BFA" w:rsidSect="00EF06D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A0DB5" w14:textId="77777777" w:rsidR="0069395C" w:rsidRDefault="0069395C" w:rsidP="004F5E36">
      <w:r>
        <w:separator/>
      </w:r>
    </w:p>
  </w:endnote>
  <w:endnote w:type="continuationSeparator" w:id="0">
    <w:p w14:paraId="0937E9A3" w14:textId="77777777" w:rsidR="0069395C" w:rsidRDefault="0069395C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P6960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dvOT2e364b1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0D5D" w14:textId="77777777" w:rsidR="00532956" w:rsidRDefault="005329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68E89" w14:textId="77777777" w:rsidR="00532956" w:rsidRDefault="005329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E0F9A" w14:textId="77777777" w:rsidR="00532956" w:rsidRDefault="00532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62AA2" w14:textId="77777777" w:rsidR="0069395C" w:rsidRDefault="0069395C" w:rsidP="004F5E36">
      <w:r>
        <w:separator/>
      </w:r>
    </w:p>
  </w:footnote>
  <w:footnote w:type="continuationSeparator" w:id="0">
    <w:p w14:paraId="7055B2B0" w14:textId="77777777" w:rsidR="0069395C" w:rsidRDefault="0069395C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E70ED" w14:textId="77777777" w:rsidR="00532956" w:rsidRDefault="005329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8D30" w14:textId="77777777" w:rsidR="00532956" w:rsidRDefault="005329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18DA" w14:textId="77777777" w:rsidR="00532956" w:rsidRDefault="00532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38217E"/>
    <w:multiLevelType w:val="multilevel"/>
    <w:tmpl w:val="F17228D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329B9"/>
    <w:multiLevelType w:val="hybridMultilevel"/>
    <w:tmpl w:val="A2E6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41C8D"/>
    <w:multiLevelType w:val="hybridMultilevel"/>
    <w:tmpl w:val="25966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882765">
    <w:abstractNumId w:val="10"/>
  </w:num>
  <w:num w:numId="2" w16cid:durableId="1954094313">
    <w:abstractNumId w:val="8"/>
  </w:num>
  <w:num w:numId="3" w16cid:durableId="2001083081">
    <w:abstractNumId w:val="3"/>
  </w:num>
  <w:num w:numId="4" w16cid:durableId="665287687">
    <w:abstractNumId w:val="2"/>
  </w:num>
  <w:num w:numId="5" w16cid:durableId="1763211618">
    <w:abstractNumId w:val="1"/>
  </w:num>
  <w:num w:numId="6" w16cid:durableId="733351894">
    <w:abstractNumId w:val="0"/>
  </w:num>
  <w:num w:numId="7" w16cid:durableId="1265187038">
    <w:abstractNumId w:val="9"/>
  </w:num>
  <w:num w:numId="8" w16cid:durableId="458382672">
    <w:abstractNumId w:val="7"/>
  </w:num>
  <w:num w:numId="9" w16cid:durableId="652636510">
    <w:abstractNumId w:val="6"/>
  </w:num>
  <w:num w:numId="10" w16cid:durableId="1972591888">
    <w:abstractNumId w:val="5"/>
  </w:num>
  <w:num w:numId="11" w16cid:durableId="1179278139">
    <w:abstractNumId w:val="4"/>
  </w:num>
  <w:num w:numId="12" w16cid:durableId="1575509198">
    <w:abstractNumId w:val="17"/>
  </w:num>
  <w:num w:numId="13" w16cid:durableId="695733619">
    <w:abstractNumId w:val="12"/>
  </w:num>
  <w:num w:numId="14" w16cid:durableId="145903400">
    <w:abstractNumId w:val="18"/>
  </w:num>
  <w:num w:numId="15" w16cid:durableId="19162326">
    <w:abstractNumId w:val="20"/>
  </w:num>
  <w:num w:numId="16" w16cid:durableId="1977102699">
    <w:abstractNumId w:val="19"/>
  </w:num>
  <w:num w:numId="17" w16cid:durableId="860774865">
    <w:abstractNumId w:val="11"/>
  </w:num>
  <w:num w:numId="18" w16cid:durableId="313221457">
    <w:abstractNumId w:val="12"/>
    <w:lvlOverride w:ilvl="0">
      <w:startOverride w:val="1"/>
    </w:lvlOverride>
  </w:num>
  <w:num w:numId="19" w16cid:durableId="534971577">
    <w:abstractNumId w:val="16"/>
  </w:num>
  <w:num w:numId="20" w16cid:durableId="1150947773">
    <w:abstractNumId w:val="15"/>
  </w:num>
  <w:num w:numId="21" w16cid:durableId="124660497">
    <w:abstractNumId w:val="14"/>
  </w:num>
  <w:num w:numId="22" w16cid:durableId="2099861471">
    <w:abstractNumId w:val="13"/>
  </w:num>
  <w:num w:numId="23" w16cid:durableId="924604995">
    <w:abstractNumId w:val="10"/>
  </w:num>
  <w:num w:numId="24" w16cid:durableId="145439986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autoFormatOverride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NzezsDA3M7MwMTJW0lEKTi0uzszPAymwrAUAugS3IywAAAA="/>
  </w:docVars>
  <w:rsids>
    <w:rsidRoot w:val="000E414A"/>
    <w:rsid w:val="000027C0"/>
    <w:rsid w:val="000052FB"/>
    <w:rsid w:val="000117CB"/>
    <w:rsid w:val="00013CD3"/>
    <w:rsid w:val="000161EB"/>
    <w:rsid w:val="000312D4"/>
    <w:rsid w:val="0003148D"/>
    <w:rsid w:val="00031EEC"/>
    <w:rsid w:val="00033623"/>
    <w:rsid w:val="000403CF"/>
    <w:rsid w:val="00041B10"/>
    <w:rsid w:val="00050780"/>
    <w:rsid w:val="00051566"/>
    <w:rsid w:val="000562A9"/>
    <w:rsid w:val="00062A9A"/>
    <w:rsid w:val="00065058"/>
    <w:rsid w:val="00076BF0"/>
    <w:rsid w:val="00086C39"/>
    <w:rsid w:val="000A03B2"/>
    <w:rsid w:val="000D0268"/>
    <w:rsid w:val="000D34BE"/>
    <w:rsid w:val="000D4130"/>
    <w:rsid w:val="000D4744"/>
    <w:rsid w:val="000E102F"/>
    <w:rsid w:val="000E36F1"/>
    <w:rsid w:val="000E3A73"/>
    <w:rsid w:val="000E414A"/>
    <w:rsid w:val="000F093C"/>
    <w:rsid w:val="000F787B"/>
    <w:rsid w:val="000F7B10"/>
    <w:rsid w:val="0012091F"/>
    <w:rsid w:val="00126BC2"/>
    <w:rsid w:val="001308B6"/>
    <w:rsid w:val="0013121F"/>
    <w:rsid w:val="00131FE6"/>
    <w:rsid w:val="0013263F"/>
    <w:rsid w:val="001331DF"/>
    <w:rsid w:val="00134DE4"/>
    <w:rsid w:val="0014034D"/>
    <w:rsid w:val="00144D16"/>
    <w:rsid w:val="00150E59"/>
    <w:rsid w:val="00152DE3"/>
    <w:rsid w:val="0015485B"/>
    <w:rsid w:val="00164CF9"/>
    <w:rsid w:val="001667A6"/>
    <w:rsid w:val="00184AD6"/>
    <w:rsid w:val="001A4AF7"/>
    <w:rsid w:val="001A61B7"/>
    <w:rsid w:val="001B0349"/>
    <w:rsid w:val="001B1E93"/>
    <w:rsid w:val="001B6405"/>
    <w:rsid w:val="001B65C1"/>
    <w:rsid w:val="001C1282"/>
    <w:rsid w:val="001C684B"/>
    <w:rsid w:val="001D0CFB"/>
    <w:rsid w:val="001D21AF"/>
    <w:rsid w:val="001D3F00"/>
    <w:rsid w:val="001D53FC"/>
    <w:rsid w:val="001D69A1"/>
    <w:rsid w:val="001E40AF"/>
    <w:rsid w:val="001F2033"/>
    <w:rsid w:val="001F42A5"/>
    <w:rsid w:val="001F7B9D"/>
    <w:rsid w:val="00201C93"/>
    <w:rsid w:val="00206F79"/>
    <w:rsid w:val="00217544"/>
    <w:rsid w:val="002224B4"/>
    <w:rsid w:val="00222E86"/>
    <w:rsid w:val="002447EF"/>
    <w:rsid w:val="00251550"/>
    <w:rsid w:val="00263B05"/>
    <w:rsid w:val="0027221A"/>
    <w:rsid w:val="00275B61"/>
    <w:rsid w:val="00280FAF"/>
    <w:rsid w:val="00282656"/>
    <w:rsid w:val="00283475"/>
    <w:rsid w:val="00296B83"/>
    <w:rsid w:val="002A6A82"/>
    <w:rsid w:val="002B0CA1"/>
    <w:rsid w:val="002B4015"/>
    <w:rsid w:val="002B78CE"/>
    <w:rsid w:val="002C2FB6"/>
    <w:rsid w:val="002C3095"/>
    <w:rsid w:val="002C6A69"/>
    <w:rsid w:val="002E5FA7"/>
    <w:rsid w:val="002F3309"/>
    <w:rsid w:val="002F54CF"/>
    <w:rsid w:val="003008CE"/>
    <w:rsid w:val="003009B7"/>
    <w:rsid w:val="00300E56"/>
    <w:rsid w:val="0030152C"/>
    <w:rsid w:val="0030469C"/>
    <w:rsid w:val="0030476B"/>
    <w:rsid w:val="00313119"/>
    <w:rsid w:val="00314D01"/>
    <w:rsid w:val="00321CA6"/>
    <w:rsid w:val="00323763"/>
    <w:rsid w:val="00323C5F"/>
    <w:rsid w:val="00334C09"/>
    <w:rsid w:val="0034350E"/>
    <w:rsid w:val="00363F8F"/>
    <w:rsid w:val="003723D4"/>
    <w:rsid w:val="00381905"/>
    <w:rsid w:val="00384CC8"/>
    <w:rsid w:val="003871FD"/>
    <w:rsid w:val="00387492"/>
    <w:rsid w:val="003A1E30"/>
    <w:rsid w:val="003A2829"/>
    <w:rsid w:val="003A6FC6"/>
    <w:rsid w:val="003A7D1C"/>
    <w:rsid w:val="003B304B"/>
    <w:rsid w:val="003B3146"/>
    <w:rsid w:val="003B57BC"/>
    <w:rsid w:val="003D1C09"/>
    <w:rsid w:val="003E31AC"/>
    <w:rsid w:val="003F015E"/>
    <w:rsid w:val="00400414"/>
    <w:rsid w:val="0041446B"/>
    <w:rsid w:val="00437510"/>
    <w:rsid w:val="0044071E"/>
    <w:rsid w:val="0044329C"/>
    <w:rsid w:val="00453E24"/>
    <w:rsid w:val="00457456"/>
    <w:rsid w:val="004577FE"/>
    <w:rsid w:val="00457B9C"/>
    <w:rsid w:val="0046164A"/>
    <w:rsid w:val="004620C4"/>
    <w:rsid w:val="004628D2"/>
    <w:rsid w:val="00462DCD"/>
    <w:rsid w:val="00463956"/>
    <w:rsid w:val="004648AD"/>
    <w:rsid w:val="00465FA5"/>
    <w:rsid w:val="004703A9"/>
    <w:rsid w:val="004760DE"/>
    <w:rsid w:val="004763D7"/>
    <w:rsid w:val="0048216A"/>
    <w:rsid w:val="004828D5"/>
    <w:rsid w:val="00484C3D"/>
    <w:rsid w:val="004A004E"/>
    <w:rsid w:val="004A24CF"/>
    <w:rsid w:val="004C29FA"/>
    <w:rsid w:val="004C388D"/>
    <w:rsid w:val="004C3D1D"/>
    <w:rsid w:val="004C3D84"/>
    <w:rsid w:val="004C6C03"/>
    <w:rsid w:val="004C7913"/>
    <w:rsid w:val="004D31AB"/>
    <w:rsid w:val="004D4926"/>
    <w:rsid w:val="004E0678"/>
    <w:rsid w:val="004E4DD6"/>
    <w:rsid w:val="004F5E36"/>
    <w:rsid w:val="00507B47"/>
    <w:rsid w:val="00507BEF"/>
    <w:rsid w:val="00507CC9"/>
    <w:rsid w:val="005119A5"/>
    <w:rsid w:val="00512BFA"/>
    <w:rsid w:val="00516AAC"/>
    <w:rsid w:val="00516F9D"/>
    <w:rsid w:val="005241F5"/>
    <w:rsid w:val="005278B7"/>
    <w:rsid w:val="00532016"/>
    <w:rsid w:val="00532956"/>
    <w:rsid w:val="005346C8"/>
    <w:rsid w:val="00540309"/>
    <w:rsid w:val="00543E7D"/>
    <w:rsid w:val="00547A68"/>
    <w:rsid w:val="005531C9"/>
    <w:rsid w:val="00563718"/>
    <w:rsid w:val="00566384"/>
    <w:rsid w:val="00570C43"/>
    <w:rsid w:val="00596823"/>
    <w:rsid w:val="005A4601"/>
    <w:rsid w:val="005A50B7"/>
    <w:rsid w:val="005B2110"/>
    <w:rsid w:val="005B61E6"/>
    <w:rsid w:val="005B734C"/>
    <w:rsid w:val="005C77E1"/>
    <w:rsid w:val="005D01C0"/>
    <w:rsid w:val="005D65B7"/>
    <w:rsid w:val="005D668A"/>
    <w:rsid w:val="005D6A2F"/>
    <w:rsid w:val="005E0F6D"/>
    <w:rsid w:val="005E1A82"/>
    <w:rsid w:val="005E3C92"/>
    <w:rsid w:val="005E4970"/>
    <w:rsid w:val="005E794C"/>
    <w:rsid w:val="005E7C48"/>
    <w:rsid w:val="005F0A28"/>
    <w:rsid w:val="005F0E5E"/>
    <w:rsid w:val="005F1469"/>
    <w:rsid w:val="00600535"/>
    <w:rsid w:val="00610CD6"/>
    <w:rsid w:val="00620DEE"/>
    <w:rsid w:val="00621F92"/>
    <w:rsid w:val="0062280A"/>
    <w:rsid w:val="00625639"/>
    <w:rsid w:val="00630F0E"/>
    <w:rsid w:val="00631B33"/>
    <w:rsid w:val="006409E9"/>
    <w:rsid w:val="0064184D"/>
    <w:rsid w:val="006422CC"/>
    <w:rsid w:val="006544B1"/>
    <w:rsid w:val="00656552"/>
    <w:rsid w:val="00660DEC"/>
    <w:rsid w:val="00660E3E"/>
    <w:rsid w:val="00662E74"/>
    <w:rsid w:val="0066645F"/>
    <w:rsid w:val="00673B78"/>
    <w:rsid w:val="00680C23"/>
    <w:rsid w:val="00684D43"/>
    <w:rsid w:val="00687D3D"/>
    <w:rsid w:val="006920A3"/>
    <w:rsid w:val="00693766"/>
    <w:rsid w:val="0069395C"/>
    <w:rsid w:val="006A3281"/>
    <w:rsid w:val="006A5347"/>
    <w:rsid w:val="006B4888"/>
    <w:rsid w:val="006C2E45"/>
    <w:rsid w:val="006C2F69"/>
    <w:rsid w:val="006C359C"/>
    <w:rsid w:val="006C5579"/>
    <w:rsid w:val="006D6E8B"/>
    <w:rsid w:val="006E737D"/>
    <w:rsid w:val="006E7814"/>
    <w:rsid w:val="006F5EFC"/>
    <w:rsid w:val="007001C3"/>
    <w:rsid w:val="00713973"/>
    <w:rsid w:val="00720A24"/>
    <w:rsid w:val="00732386"/>
    <w:rsid w:val="00734E65"/>
    <w:rsid w:val="0073514D"/>
    <w:rsid w:val="007447F3"/>
    <w:rsid w:val="0075499F"/>
    <w:rsid w:val="007661C8"/>
    <w:rsid w:val="0077098D"/>
    <w:rsid w:val="007914DC"/>
    <w:rsid w:val="007931FA"/>
    <w:rsid w:val="007A4861"/>
    <w:rsid w:val="007A7BBA"/>
    <w:rsid w:val="007B0C50"/>
    <w:rsid w:val="007B22CC"/>
    <w:rsid w:val="007B230A"/>
    <w:rsid w:val="007B48F9"/>
    <w:rsid w:val="007C05EB"/>
    <w:rsid w:val="007C1A43"/>
    <w:rsid w:val="007C2E09"/>
    <w:rsid w:val="007D0951"/>
    <w:rsid w:val="007E0C56"/>
    <w:rsid w:val="0080013E"/>
    <w:rsid w:val="00801712"/>
    <w:rsid w:val="00813288"/>
    <w:rsid w:val="0081583C"/>
    <w:rsid w:val="008168FC"/>
    <w:rsid w:val="00830996"/>
    <w:rsid w:val="00832534"/>
    <w:rsid w:val="008345F1"/>
    <w:rsid w:val="00844B1F"/>
    <w:rsid w:val="00846A48"/>
    <w:rsid w:val="0086309A"/>
    <w:rsid w:val="00865B07"/>
    <w:rsid w:val="008667EA"/>
    <w:rsid w:val="0087637F"/>
    <w:rsid w:val="00891E6B"/>
    <w:rsid w:val="00892AD5"/>
    <w:rsid w:val="00894559"/>
    <w:rsid w:val="008A1512"/>
    <w:rsid w:val="008A17C1"/>
    <w:rsid w:val="008B7C03"/>
    <w:rsid w:val="008C2218"/>
    <w:rsid w:val="008D32B9"/>
    <w:rsid w:val="008D433B"/>
    <w:rsid w:val="008D4A16"/>
    <w:rsid w:val="008E566E"/>
    <w:rsid w:val="0090161A"/>
    <w:rsid w:val="00901EB6"/>
    <w:rsid w:val="00904C62"/>
    <w:rsid w:val="00911668"/>
    <w:rsid w:val="00922BA8"/>
    <w:rsid w:val="00924DAC"/>
    <w:rsid w:val="00927058"/>
    <w:rsid w:val="00942750"/>
    <w:rsid w:val="009450CE"/>
    <w:rsid w:val="009459BB"/>
    <w:rsid w:val="0094626E"/>
    <w:rsid w:val="00947179"/>
    <w:rsid w:val="0095164B"/>
    <w:rsid w:val="00954090"/>
    <w:rsid w:val="009573E7"/>
    <w:rsid w:val="00963E05"/>
    <w:rsid w:val="00964A45"/>
    <w:rsid w:val="00967843"/>
    <w:rsid w:val="00967D54"/>
    <w:rsid w:val="00971028"/>
    <w:rsid w:val="00993488"/>
    <w:rsid w:val="00993B84"/>
    <w:rsid w:val="00996483"/>
    <w:rsid w:val="00996F5A"/>
    <w:rsid w:val="00997F59"/>
    <w:rsid w:val="009B041A"/>
    <w:rsid w:val="009B3245"/>
    <w:rsid w:val="009B4009"/>
    <w:rsid w:val="009C37C3"/>
    <w:rsid w:val="009C38CD"/>
    <w:rsid w:val="009C7C86"/>
    <w:rsid w:val="009D2FF7"/>
    <w:rsid w:val="009E608E"/>
    <w:rsid w:val="009E7884"/>
    <w:rsid w:val="009E788A"/>
    <w:rsid w:val="009F0E08"/>
    <w:rsid w:val="009F6604"/>
    <w:rsid w:val="00A03753"/>
    <w:rsid w:val="00A15C02"/>
    <w:rsid w:val="00A1763D"/>
    <w:rsid w:val="00A17CEC"/>
    <w:rsid w:val="00A236A6"/>
    <w:rsid w:val="00A27EF0"/>
    <w:rsid w:val="00A42361"/>
    <w:rsid w:val="00A43073"/>
    <w:rsid w:val="00A455C5"/>
    <w:rsid w:val="00A50B20"/>
    <w:rsid w:val="00A51390"/>
    <w:rsid w:val="00A529EB"/>
    <w:rsid w:val="00A6090B"/>
    <w:rsid w:val="00A60D13"/>
    <w:rsid w:val="00A7223D"/>
    <w:rsid w:val="00A72745"/>
    <w:rsid w:val="00A742A4"/>
    <w:rsid w:val="00A76EFC"/>
    <w:rsid w:val="00A87D50"/>
    <w:rsid w:val="00A91010"/>
    <w:rsid w:val="00A97F29"/>
    <w:rsid w:val="00AA702E"/>
    <w:rsid w:val="00AA7D26"/>
    <w:rsid w:val="00AB0964"/>
    <w:rsid w:val="00AB5011"/>
    <w:rsid w:val="00AC54DB"/>
    <w:rsid w:val="00AC6416"/>
    <w:rsid w:val="00AC7368"/>
    <w:rsid w:val="00AD16B9"/>
    <w:rsid w:val="00AE377D"/>
    <w:rsid w:val="00AF0EBA"/>
    <w:rsid w:val="00AF4E83"/>
    <w:rsid w:val="00B01383"/>
    <w:rsid w:val="00B02C8A"/>
    <w:rsid w:val="00B031A8"/>
    <w:rsid w:val="00B17FBD"/>
    <w:rsid w:val="00B2708F"/>
    <w:rsid w:val="00B315A6"/>
    <w:rsid w:val="00B31813"/>
    <w:rsid w:val="00B320A4"/>
    <w:rsid w:val="00B32995"/>
    <w:rsid w:val="00B33365"/>
    <w:rsid w:val="00B459D4"/>
    <w:rsid w:val="00B5231A"/>
    <w:rsid w:val="00B57B36"/>
    <w:rsid w:val="00B57E6F"/>
    <w:rsid w:val="00B60A8C"/>
    <w:rsid w:val="00B71A2D"/>
    <w:rsid w:val="00B80737"/>
    <w:rsid w:val="00B8686D"/>
    <w:rsid w:val="00B93F69"/>
    <w:rsid w:val="00BA0E93"/>
    <w:rsid w:val="00BA6C0A"/>
    <w:rsid w:val="00BA6D63"/>
    <w:rsid w:val="00BB1DDC"/>
    <w:rsid w:val="00BC30C9"/>
    <w:rsid w:val="00BC4CC8"/>
    <w:rsid w:val="00BC5AA4"/>
    <w:rsid w:val="00BC6B46"/>
    <w:rsid w:val="00BD077D"/>
    <w:rsid w:val="00BE1E57"/>
    <w:rsid w:val="00BE3E58"/>
    <w:rsid w:val="00BF77F9"/>
    <w:rsid w:val="00C01616"/>
    <w:rsid w:val="00C0162B"/>
    <w:rsid w:val="00C02F97"/>
    <w:rsid w:val="00C068ED"/>
    <w:rsid w:val="00C22E0C"/>
    <w:rsid w:val="00C23535"/>
    <w:rsid w:val="00C326AE"/>
    <w:rsid w:val="00C345B1"/>
    <w:rsid w:val="00C40142"/>
    <w:rsid w:val="00C4473B"/>
    <w:rsid w:val="00C52C3C"/>
    <w:rsid w:val="00C53A29"/>
    <w:rsid w:val="00C57182"/>
    <w:rsid w:val="00C57863"/>
    <w:rsid w:val="00C62624"/>
    <w:rsid w:val="00C640AF"/>
    <w:rsid w:val="00C655FD"/>
    <w:rsid w:val="00C6685B"/>
    <w:rsid w:val="00C7301B"/>
    <w:rsid w:val="00C73478"/>
    <w:rsid w:val="00C74151"/>
    <w:rsid w:val="00C75407"/>
    <w:rsid w:val="00C870A8"/>
    <w:rsid w:val="00C94434"/>
    <w:rsid w:val="00C96366"/>
    <w:rsid w:val="00CA0D4A"/>
    <w:rsid w:val="00CA0D75"/>
    <w:rsid w:val="00CA1C95"/>
    <w:rsid w:val="00CA5961"/>
    <w:rsid w:val="00CA5A9C"/>
    <w:rsid w:val="00CA5D69"/>
    <w:rsid w:val="00CB10E7"/>
    <w:rsid w:val="00CB2547"/>
    <w:rsid w:val="00CC4BF3"/>
    <w:rsid w:val="00CC4C20"/>
    <w:rsid w:val="00CC6583"/>
    <w:rsid w:val="00CD240A"/>
    <w:rsid w:val="00CD3517"/>
    <w:rsid w:val="00CD5FE2"/>
    <w:rsid w:val="00CD67FF"/>
    <w:rsid w:val="00CE572B"/>
    <w:rsid w:val="00CE7C68"/>
    <w:rsid w:val="00CF540F"/>
    <w:rsid w:val="00D02B4C"/>
    <w:rsid w:val="00D040C4"/>
    <w:rsid w:val="00D055B4"/>
    <w:rsid w:val="00D069DB"/>
    <w:rsid w:val="00D12D7B"/>
    <w:rsid w:val="00D165B3"/>
    <w:rsid w:val="00D20AD1"/>
    <w:rsid w:val="00D32D43"/>
    <w:rsid w:val="00D46B7E"/>
    <w:rsid w:val="00D57C84"/>
    <w:rsid w:val="00D6057D"/>
    <w:rsid w:val="00D648EC"/>
    <w:rsid w:val="00D701C4"/>
    <w:rsid w:val="00D71158"/>
    <w:rsid w:val="00D71640"/>
    <w:rsid w:val="00D7493C"/>
    <w:rsid w:val="00D82D1F"/>
    <w:rsid w:val="00D836C5"/>
    <w:rsid w:val="00D84576"/>
    <w:rsid w:val="00D90542"/>
    <w:rsid w:val="00D94AE5"/>
    <w:rsid w:val="00DA0985"/>
    <w:rsid w:val="00DA1399"/>
    <w:rsid w:val="00DA24C6"/>
    <w:rsid w:val="00DA4D7B"/>
    <w:rsid w:val="00DB014C"/>
    <w:rsid w:val="00DC55F5"/>
    <w:rsid w:val="00DD271C"/>
    <w:rsid w:val="00DE264A"/>
    <w:rsid w:val="00DE2DFD"/>
    <w:rsid w:val="00DE5592"/>
    <w:rsid w:val="00DF147B"/>
    <w:rsid w:val="00DF5072"/>
    <w:rsid w:val="00E00039"/>
    <w:rsid w:val="00E02D18"/>
    <w:rsid w:val="00E03D3F"/>
    <w:rsid w:val="00E041E7"/>
    <w:rsid w:val="00E0732D"/>
    <w:rsid w:val="00E23CA1"/>
    <w:rsid w:val="00E309C2"/>
    <w:rsid w:val="00E32975"/>
    <w:rsid w:val="00E33DD7"/>
    <w:rsid w:val="00E3561F"/>
    <w:rsid w:val="00E409A8"/>
    <w:rsid w:val="00E43879"/>
    <w:rsid w:val="00E50C12"/>
    <w:rsid w:val="00E65B91"/>
    <w:rsid w:val="00E7209D"/>
    <w:rsid w:val="00E72EAD"/>
    <w:rsid w:val="00E76277"/>
    <w:rsid w:val="00E77223"/>
    <w:rsid w:val="00E817A1"/>
    <w:rsid w:val="00E820AB"/>
    <w:rsid w:val="00E8528B"/>
    <w:rsid w:val="00E85B94"/>
    <w:rsid w:val="00E978D0"/>
    <w:rsid w:val="00EA4613"/>
    <w:rsid w:val="00EA7F91"/>
    <w:rsid w:val="00EB1523"/>
    <w:rsid w:val="00EB4C79"/>
    <w:rsid w:val="00EB5C77"/>
    <w:rsid w:val="00EC0E49"/>
    <w:rsid w:val="00EC101F"/>
    <w:rsid w:val="00EC1D9F"/>
    <w:rsid w:val="00EC20B4"/>
    <w:rsid w:val="00EC2125"/>
    <w:rsid w:val="00EE0131"/>
    <w:rsid w:val="00EE17B0"/>
    <w:rsid w:val="00EF06D9"/>
    <w:rsid w:val="00F1269E"/>
    <w:rsid w:val="00F3049E"/>
    <w:rsid w:val="00F30C64"/>
    <w:rsid w:val="00F32BA2"/>
    <w:rsid w:val="00F32CDB"/>
    <w:rsid w:val="00F44C3B"/>
    <w:rsid w:val="00F475AA"/>
    <w:rsid w:val="00F522B4"/>
    <w:rsid w:val="00F565FE"/>
    <w:rsid w:val="00F63A70"/>
    <w:rsid w:val="00F63D8C"/>
    <w:rsid w:val="00F747CE"/>
    <w:rsid w:val="00F7534E"/>
    <w:rsid w:val="00F93EDF"/>
    <w:rsid w:val="00F97BCC"/>
    <w:rsid w:val="00FA1802"/>
    <w:rsid w:val="00FA21D0"/>
    <w:rsid w:val="00FA5F5F"/>
    <w:rsid w:val="00FB19CD"/>
    <w:rsid w:val="00FB730C"/>
    <w:rsid w:val="00FC2695"/>
    <w:rsid w:val="00FC3E03"/>
    <w:rsid w:val="00FC3FC1"/>
    <w:rsid w:val="00FE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E0CC22"/>
  <w14:defaultImageDpi w14:val="330"/>
  <w15:docId w15:val="{0B95FB59-9D38-42B5-B090-D2348EE1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ET Top_page"/>
    <w:rsid w:val="00E309C2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rsid w:val="004F5E36"/>
    <w:pPr>
      <w:tabs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9B3245"/>
    <w:pPr>
      <w:keepNext/>
      <w:suppressAutoHyphens/>
      <w:spacing w:before="120" w:after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rsid w:val="000E414A"/>
    <w:p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F7534E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9B3245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F7534E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577F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unhideWhenUs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DefaultParagraphFont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0F787B"/>
  </w:style>
  <w:style w:type="character" w:customStyle="1" w:styleId="CETHeadingxxChar">
    <w:name w:val="CET Headingxx Char"/>
    <w:basedOn w:val="CETheadingxCarattere"/>
    <w:link w:val="CETHeadingxx"/>
    <w:rsid w:val="000F787B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ListParagraph">
    <w:name w:val="List Paragraph"/>
    <w:basedOn w:val="Normal"/>
    <w:uiPriority w:val="34"/>
    <w:rsid w:val="00280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983C9-6D0A-480C-BF79-A63BD3D9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6</Pages>
  <Words>3133</Words>
  <Characters>17862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20954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Visciotti Damiano</cp:lastModifiedBy>
  <cp:revision>11</cp:revision>
  <cp:lastPrinted>2015-05-12T18:31:00Z</cp:lastPrinted>
  <dcterms:created xsi:type="dcterms:W3CDTF">2023-05-30T16:37:00Z</dcterms:created>
  <dcterms:modified xsi:type="dcterms:W3CDTF">2023-06-20T10:18:00Z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  <property fmtid="{D5CDD505-2E9C-101B-9397-08002B2CF9AE}" pid="4" name="MSIP_Label_e18d9558-26a3-4f93-8788-04a494c05692_Enabled">
    <vt:lpwstr>true</vt:lpwstr>
  </property>
  <property fmtid="{D5CDD505-2E9C-101B-9397-08002B2CF9AE}" pid="5" name="MSIP_Label_e18d9558-26a3-4f93-8788-04a494c05692_SetDate">
    <vt:lpwstr>2023-02-23T14:47:23Z</vt:lpwstr>
  </property>
  <property fmtid="{D5CDD505-2E9C-101B-9397-08002B2CF9AE}" pid="6" name="MSIP_Label_e18d9558-26a3-4f93-8788-04a494c05692_Method">
    <vt:lpwstr>Standard</vt:lpwstr>
  </property>
  <property fmtid="{D5CDD505-2E9C-101B-9397-08002B2CF9AE}" pid="7" name="MSIP_Label_e18d9558-26a3-4f93-8788-04a494c05692_Name">
    <vt:lpwstr>e18d9558-26a3-4f93-8788-04a494c05692</vt:lpwstr>
  </property>
  <property fmtid="{D5CDD505-2E9C-101B-9397-08002B2CF9AE}" pid="8" name="MSIP_Label_e18d9558-26a3-4f93-8788-04a494c05692_SiteId">
    <vt:lpwstr>7cc91888-5aa0-49e5-a836-22cda2eae0fc</vt:lpwstr>
  </property>
  <property fmtid="{D5CDD505-2E9C-101B-9397-08002B2CF9AE}" pid="9" name="MSIP_Label_e18d9558-26a3-4f93-8788-04a494c05692_ActionId">
    <vt:lpwstr>143008ad-501c-47fa-b5b9-923a4cd9c41f</vt:lpwstr>
  </property>
  <property fmtid="{D5CDD505-2E9C-101B-9397-08002B2CF9AE}" pid="10" name="MSIP_Label_e18d9558-26a3-4f93-8788-04a494c05692_ContentBits">
    <vt:lpwstr>0</vt:lpwstr>
  </property>
</Properties>
</file>