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03B7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03B7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03B7D">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0D4EDDC" w14:textId="210F0B5E" w:rsidR="00F03B7D" w:rsidRPr="00F03B7D" w:rsidRDefault="00F03B7D" w:rsidP="00F03B7D">
      <w:pPr>
        <w:jc w:val="center"/>
        <w:rPr>
          <w:sz w:val="32"/>
        </w:rPr>
      </w:pPr>
      <w:r w:rsidRPr="00F03B7D">
        <w:rPr>
          <w:sz w:val="32"/>
        </w:rPr>
        <w:t>Economic analysis of an innovative scheme for the treatment of produced waters</w:t>
      </w:r>
    </w:p>
    <w:p w14:paraId="56F902E8" w14:textId="72B14A67" w:rsidR="00F03B7D" w:rsidRPr="00261E52" w:rsidRDefault="00F03B7D" w:rsidP="00F03B7D">
      <w:pPr>
        <w:pStyle w:val="CETAuthors"/>
        <w:rPr>
          <w:lang w:val="it-IT"/>
        </w:rPr>
      </w:pPr>
      <w:r w:rsidRPr="00334EAA">
        <w:rPr>
          <w:lang w:val="it-IT"/>
        </w:rPr>
        <w:t xml:space="preserve">Giovanni Campisi, Alessandro Cosenza, </w:t>
      </w:r>
      <w:r>
        <w:rPr>
          <w:lang w:val="it-IT"/>
        </w:rPr>
        <w:t>Serena Randazzo, Alessandro Tamburini</w:t>
      </w:r>
      <w:r>
        <w:rPr>
          <w:vertAlign w:val="superscript"/>
          <w:lang w:val="it-IT"/>
        </w:rPr>
        <w:t>*</w:t>
      </w:r>
      <w:r>
        <w:rPr>
          <w:lang w:val="it-IT"/>
        </w:rPr>
        <w:t>, Giorgio Micale</w:t>
      </w:r>
    </w:p>
    <w:p w14:paraId="4B846AE9" w14:textId="52218572" w:rsidR="00F03B7D" w:rsidRPr="00513B34" w:rsidRDefault="00F03B7D" w:rsidP="00F03B7D">
      <w:pPr>
        <w:pStyle w:val="CETAddress"/>
        <w:rPr>
          <w:lang w:val="it-IT"/>
        </w:rPr>
      </w:pPr>
      <w:r w:rsidRPr="00513B34">
        <w:rPr>
          <w:lang w:val="it-IT"/>
        </w:rPr>
        <w:t>Università degli Studi di Palermo, Dipartimento di Ingegneria, viale delle Scienze Ed. 6, 90128, Palermo, Italy.</w:t>
      </w:r>
    </w:p>
    <w:p w14:paraId="18C5C99E" w14:textId="7B72F4F4" w:rsidR="00E009E9" w:rsidRPr="00513B34" w:rsidRDefault="00F03B7D" w:rsidP="00F03B7D">
      <w:pPr>
        <w:pStyle w:val="CETAddress"/>
        <w:rPr>
          <w:lang w:val="it-IT"/>
        </w:rPr>
      </w:pPr>
      <w:r w:rsidRPr="00513B34">
        <w:rPr>
          <w:lang w:val="it-IT"/>
        </w:rPr>
        <w:t>Consorzio Interuniversitario Nazionale per la Scienza e Tecnologia dei Materiali (INSTM), via G. Giusti 9, 50121 Firenze, Italy</w:t>
      </w:r>
    </w:p>
    <w:p w14:paraId="634BBEF3" w14:textId="483DC1E9" w:rsidR="00F03B7D" w:rsidRPr="00F03B7D" w:rsidRDefault="00F03B7D" w:rsidP="00E009E9">
      <w:pPr>
        <w:pStyle w:val="CETemail"/>
      </w:pPr>
      <w:r w:rsidRPr="00F03B7D">
        <w:t xml:space="preserve">alessandro.tamburini@unipa.it </w:t>
      </w:r>
    </w:p>
    <w:p w14:paraId="42DDAB61" w14:textId="1A5B669E" w:rsidR="00F03B7D" w:rsidRPr="008F3234" w:rsidRDefault="00F03B7D" w:rsidP="00F33C6E">
      <w:pPr>
        <w:pStyle w:val="CETBodytext"/>
      </w:pPr>
      <w:bookmarkStart w:id="0" w:name="_Hlk495475023"/>
      <w:r w:rsidRPr="008F3234">
        <w:t>During the crude oil extraction processes, for each barrel of oil turns out an equivalent of 3 barrels of wastewaters</w:t>
      </w:r>
      <w:r w:rsidR="005930F6">
        <w:t xml:space="preserve"> on average</w:t>
      </w:r>
      <w:r w:rsidRPr="008F3234">
        <w:t xml:space="preserve">. These wastes are known as Produced Waters (PWs) and their dramatic impact on the environment </w:t>
      </w:r>
      <w:r w:rsidR="008D5554">
        <w:t xml:space="preserve">has </w:t>
      </w:r>
      <w:r w:rsidRPr="008F3234">
        <w:t>attracted the attention of researchers in order to find an economic and efficient method for their treatment.</w:t>
      </w:r>
      <w:r w:rsidR="00CA021D" w:rsidRPr="008F3234">
        <w:t xml:space="preserve"> </w:t>
      </w:r>
      <w:r w:rsidRPr="008F3234">
        <w:t xml:space="preserve">Dealing with PWs is not easy: the long exposure with oil increases their hydrocarbon fraction, while the contact with the underground wells increases their concentration in salts and minerals. The direct discharge of PWs into the sea is </w:t>
      </w:r>
      <w:r w:rsidR="008D5554">
        <w:t>obviously</w:t>
      </w:r>
      <w:r w:rsidRPr="008F3234">
        <w:t xml:space="preserve"> not allowed by law and PWs are usu</w:t>
      </w:r>
      <w:r w:rsidR="00810DCE">
        <w:t>ally re-injected into the well.</w:t>
      </w:r>
    </w:p>
    <w:p w14:paraId="0B98C538" w14:textId="349B1CBA" w:rsidR="00F03B7D" w:rsidRPr="008F3234" w:rsidRDefault="00F03B7D" w:rsidP="00F33C6E">
      <w:pPr>
        <w:pStyle w:val="CETBodytext"/>
      </w:pPr>
      <w:r w:rsidRPr="008F3234">
        <w:t>The present work deals with a novel and innovative treatment chain</w:t>
      </w:r>
      <w:r w:rsidR="005930F6">
        <w:t xml:space="preserve"> (i</w:t>
      </w:r>
      <w:r w:rsidRPr="008F3234">
        <w:t xml:space="preserve">ncluding </w:t>
      </w:r>
      <w:r w:rsidR="009F1795">
        <w:t>assisted reverse electrodialysis (ARED)</w:t>
      </w:r>
      <w:r w:rsidRPr="008F3234">
        <w:t xml:space="preserve"> as dilution step</w:t>
      </w:r>
      <w:r w:rsidR="005930F6">
        <w:t>)</w:t>
      </w:r>
      <w:r w:rsidRPr="008F3234">
        <w:t xml:space="preserve"> able to reduce both the salinity and organic content of PWs. The innovative scheme includes an ultrafiltration unit as</w:t>
      </w:r>
      <w:r w:rsidR="009F1795">
        <w:t xml:space="preserve"> pre-treatment, upstream an </w:t>
      </w:r>
      <w:r w:rsidRPr="008F3234">
        <w:t xml:space="preserve">ARED unit for the PW dilution. Once the salinity level has been reduced down to a value affordable for a bioremediation step, PWs are sent to a bio-reactor, where the organic compounds are digested. Finally, a reverse osmosis unit is used to recover water from the treated PWs and to recycle it as diluted stream in the ARED unit. A techno-economic model was purposely developed in the present work </w:t>
      </w:r>
      <w:r w:rsidR="008204FD" w:rsidRPr="008F3234">
        <w:t>to</w:t>
      </w:r>
      <w:r w:rsidRPr="008F3234">
        <w:t xml:space="preserve"> assess the economic feasibility of the proposed scheme. Preliminary results suggest that the tre</w:t>
      </w:r>
      <w:r w:rsidR="005437FE">
        <w:t xml:space="preserve">atment costs are lower than 5 € </w:t>
      </w:r>
      <w:r w:rsidRPr="008F3234">
        <w:t>m</w:t>
      </w:r>
      <w:r w:rsidR="005437FE" w:rsidRPr="005437FE">
        <w:rPr>
          <w:vertAlign w:val="superscript"/>
        </w:rPr>
        <w:t>-</w:t>
      </w:r>
      <w:r w:rsidRPr="005437FE">
        <w:rPr>
          <w:vertAlign w:val="superscript"/>
        </w:rPr>
        <w:t>3</w:t>
      </w:r>
      <w:r w:rsidR="005437FE" w:rsidRPr="005437FE">
        <w:rPr>
          <w:vertAlign w:val="subscript"/>
        </w:rPr>
        <w:t>PW</w:t>
      </w:r>
      <w:r w:rsidRPr="008F3234">
        <w:t xml:space="preserve"> and fully competitive with current PWs treatment technologies.</w:t>
      </w:r>
    </w:p>
    <w:bookmarkEnd w:id="0"/>
    <w:p w14:paraId="476B2F2E" w14:textId="77777777" w:rsidR="00600535" w:rsidRPr="00B57B36" w:rsidRDefault="00600535" w:rsidP="00600535">
      <w:pPr>
        <w:pStyle w:val="CETHeading1"/>
        <w:rPr>
          <w:lang w:val="en-GB"/>
        </w:rPr>
      </w:pPr>
      <w:r w:rsidRPr="00B57B36">
        <w:rPr>
          <w:lang w:val="en-GB"/>
        </w:rPr>
        <w:t>Introduction</w:t>
      </w:r>
    </w:p>
    <w:p w14:paraId="10474740" w14:textId="57881B1E" w:rsidR="00513B34" w:rsidRDefault="004C75D7" w:rsidP="00600535">
      <w:pPr>
        <w:pStyle w:val="CETBodytext"/>
        <w:rPr>
          <w:lang w:val="en-GB"/>
        </w:rPr>
      </w:pPr>
      <w:r>
        <w:rPr>
          <w:lang w:val="en-GB"/>
        </w:rPr>
        <w:t>Produced water</w:t>
      </w:r>
      <w:r w:rsidR="000A5F0A">
        <w:rPr>
          <w:lang w:val="en-GB"/>
        </w:rPr>
        <w:t>s</w:t>
      </w:r>
      <w:r>
        <w:rPr>
          <w:lang w:val="en-GB"/>
        </w:rPr>
        <w:t xml:space="preserve"> (PWs) is one of the main </w:t>
      </w:r>
      <w:r w:rsidR="001277F3">
        <w:rPr>
          <w:lang w:val="en-GB"/>
        </w:rPr>
        <w:t xml:space="preserve">liquid </w:t>
      </w:r>
      <w:r w:rsidR="00F00442">
        <w:rPr>
          <w:lang w:val="en-GB"/>
        </w:rPr>
        <w:t>wastes</w:t>
      </w:r>
      <w:r w:rsidR="001277F3">
        <w:rPr>
          <w:lang w:val="en-GB"/>
        </w:rPr>
        <w:t xml:space="preserve"> </w:t>
      </w:r>
      <w:r>
        <w:rPr>
          <w:lang w:val="en-GB"/>
        </w:rPr>
        <w:t>of oil and gas</w:t>
      </w:r>
      <w:r w:rsidR="001277F3">
        <w:rPr>
          <w:lang w:val="en-GB"/>
        </w:rPr>
        <w:t xml:space="preserve"> production</w:t>
      </w:r>
      <w:r>
        <w:rPr>
          <w:lang w:val="en-GB"/>
        </w:rPr>
        <w:t xml:space="preserve">. Generally, PWs are </w:t>
      </w:r>
      <w:r w:rsidR="00C91E4C">
        <w:rPr>
          <w:lang w:val="en-GB"/>
        </w:rPr>
        <w:t xml:space="preserve">wastewaters </w:t>
      </w:r>
      <w:r>
        <w:rPr>
          <w:lang w:val="en-GB"/>
        </w:rPr>
        <w:t>including the formation water (water caught for millions of years in strictly contact with the rese</w:t>
      </w:r>
      <w:r w:rsidR="001552C3">
        <w:rPr>
          <w:lang w:val="en-GB"/>
        </w:rPr>
        <w:t>rvoir) and the water that is</w:t>
      </w:r>
      <w:r>
        <w:rPr>
          <w:lang w:val="en-GB"/>
        </w:rPr>
        <w:t xml:space="preserve"> used during the drilling processes </w:t>
      </w:r>
      <w:r w:rsidR="000A5F0A">
        <w:rPr>
          <w:lang w:val="en-GB"/>
        </w:rPr>
        <w:t>to</w:t>
      </w:r>
      <w:r>
        <w:rPr>
          <w:lang w:val="en-GB"/>
        </w:rPr>
        <w:t xml:space="preserve"> increas</w:t>
      </w:r>
      <w:r w:rsidR="000A5F0A">
        <w:rPr>
          <w:lang w:val="en-GB"/>
        </w:rPr>
        <w:t>e</w:t>
      </w:r>
      <w:r w:rsidR="001552C3">
        <w:rPr>
          <w:lang w:val="en-GB"/>
        </w:rPr>
        <w:t>, when necessary,</w:t>
      </w:r>
      <w:r>
        <w:rPr>
          <w:lang w:val="en-GB"/>
        </w:rPr>
        <w:t xml:space="preserve"> the oil recovery and the process</w:t>
      </w:r>
      <w:r w:rsidR="000A5F0A" w:rsidRPr="000A5F0A">
        <w:rPr>
          <w:lang w:val="en-GB"/>
        </w:rPr>
        <w:t xml:space="preserve"> </w:t>
      </w:r>
      <w:r w:rsidR="000A5F0A">
        <w:rPr>
          <w:lang w:val="en-GB"/>
        </w:rPr>
        <w:t>safety</w:t>
      </w:r>
      <w:r>
        <w:rPr>
          <w:lang w:val="en-GB"/>
        </w:rPr>
        <w:t xml:space="preserve">. The ratio between the drilled oil (or gas) and the generated PWs can vary from zero to more than 50, </w:t>
      </w:r>
      <w:r w:rsidR="007101CC">
        <w:rPr>
          <w:lang w:val="en-GB"/>
        </w:rPr>
        <w:t xml:space="preserve">being this </w:t>
      </w:r>
      <w:r>
        <w:rPr>
          <w:lang w:val="en-GB"/>
        </w:rPr>
        <w:t xml:space="preserve">ratio particularly affected by the plant </w:t>
      </w:r>
      <w:r w:rsidR="007101CC">
        <w:rPr>
          <w:lang w:val="en-GB"/>
        </w:rPr>
        <w:t xml:space="preserve">age </w:t>
      </w:r>
      <w:r w:rsidR="001377E0">
        <w:rPr>
          <w:lang w:val="en-GB"/>
        </w:rPr>
        <w:t>and</w:t>
      </w:r>
      <w:r>
        <w:rPr>
          <w:lang w:val="en-GB"/>
        </w:rPr>
        <w:t xml:space="preserve"> by the remaining quantity of oil</w:t>
      </w:r>
      <w:r w:rsidR="001377E0">
        <w:rPr>
          <w:lang w:val="en-GB"/>
        </w:rPr>
        <w:t xml:space="preserve"> </w:t>
      </w:r>
      <w:r w:rsidR="001377E0">
        <w:rPr>
          <w:lang w:val="en-GB"/>
        </w:rPr>
        <w:fldChar w:fldCharType="begin"/>
      </w:r>
      <w:r w:rsidR="001377E0">
        <w:rPr>
          <w:lang w:val="en-GB"/>
        </w:rPr>
        <w:instrText xml:space="preserve"> ADDIN ZOTERO_ITEM CSL_CITATION {"citationID":"o7ZOU5sH","properties":{"formattedCitation":"(Neff et al., 2011)","plainCitation":"(Neff et al., 2011)","noteIndex":0},"citationItems":[{"id":278,"uris":["http://zotero.org/users/10977437/items/5P8M3PBF"],"itemData":{"id":278,"type":"chapter","container-title":"Produced Water","event-place":"New York, NY","ISBN":"978-1-4614-0045-5","language":"en","note":"DOI: 10.1007/978-1-4614-0046-2_1","page":"3-54","publisher":"Springer New York","publisher-place":"New York, NY","source":"DOI.org (Crossref)","title":"Produced Water: Overview of Composition, Fates, and Effects","title-short":"Produced Water","URL":"https://link.springer.com/10.1007/978-1-4614-0046-2_1","editor":[{"family":"Lee","given":"Kenneth"},{"family":"Neff","given":"Jerry"}],"author":[{"family":"Neff","given":"Jerry"},{"family":"Lee","given":"Kenneth"},{"family":"DeBlois","given":"Elisabeth M."}],"accessed":{"date-parts":[["2023",3,13]]},"issued":{"date-parts":[["2011"]]}}}],"schema":"https://github.com/citation-style-language/schema/raw/master/csl-citation.json"} </w:instrText>
      </w:r>
      <w:r w:rsidR="001377E0">
        <w:rPr>
          <w:lang w:val="en-GB"/>
        </w:rPr>
        <w:fldChar w:fldCharType="separate"/>
      </w:r>
      <w:r w:rsidR="00EA13B7" w:rsidRPr="00EA13B7">
        <w:rPr>
          <w:rFonts w:cs="Arial"/>
        </w:rPr>
        <w:t>(Neff et al., 2011)</w:t>
      </w:r>
      <w:r w:rsidR="001377E0">
        <w:rPr>
          <w:lang w:val="en-GB"/>
        </w:rPr>
        <w:fldChar w:fldCharType="end"/>
      </w:r>
      <w:r>
        <w:rPr>
          <w:lang w:val="en-GB"/>
        </w:rPr>
        <w:t xml:space="preserve">. It </w:t>
      </w:r>
      <w:r w:rsidR="001377E0">
        <w:rPr>
          <w:lang w:val="en-GB"/>
        </w:rPr>
        <w:t xml:space="preserve">was estimated global PWs volume in 2009 was more than </w:t>
      </w:r>
      <w:r w:rsidR="00825CE3">
        <w:rPr>
          <w:lang w:val="en-GB"/>
        </w:rPr>
        <w:t>11.2 million of m</w:t>
      </w:r>
      <w:r w:rsidR="00825CE3" w:rsidRPr="00825CE3">
        <w:rPr>
          <w:vertAlign w:val="superscript"/>
          <w:lang w:val="en-GB"/>
        </w:rPr>
        <w:t>3</w:t>
      </w:r>
      <w:r w:rsidR="00825CE3">
        <w:rPr>
          <w:lang w:val="en-GB"/>
        </w:rPr>
        <w:t xml:space="preserve"> </w:t>
      </w:r>
      <w:r w:rsidR="001377E0">
        <w:rPr>
          <w:lang w:val="en-GB"/>
        </w:rPr>
        <w:fldChar w:fldCharType="begin"/>
      </w:r>
      <w:r w:rsidR="001377E0">
        <w:rPr>
          <w:lang w:val="en-GB"/>
        </w:rPr>
        <w:instrText xml:space="preserve"> ADDIN ZOTERO_ITEM CSL_CITATION {"citationID":"WXGYF73n","properties":{"formattedCitation":"(Al-Ghouti et al., 2019)","plainCitation":"(Al-Ghouti et al., 2019)","noteIndex":0},"citationItems":[{"id":58,"uris":["http://zotero.org/users/10977437/items/A6YVWHF9"],"itemData":{"id":58,"type":"article-journal","abstract":"In oil and gas industry, produced water is considered as the largest waste stream, which contains relatively higher concentration of hydrocarbons, heavy metals and other pollutants. Due to the increase in industrial activities, the generation of produced water has increased all over the world and its treatment for reuse is now important from environmental perspective. Treatment of produced water can be done through various methods including physical (membrane ﬁltration, adsorption etc.), chemical (precipitation, oxidation), and biological (activated sludge, biological aerated ﬁlters and others) methods. This paper aims to highlight characteristics of produced water in detail and physical, chemical, and biological techniques used for its treatment. In addition, reuse of produced water for diﬀerent purposes has been discussed. At the end, few case studies from diﬀerent countries, related to the treatment and reuse of their produced waters have been included.","container-title":"Journal of Water Process Engineering","DOI":"10.1016/j.jwpe.2019.02.001","ISSN":"22147144","journalAbbreviation":"Journal of Water Process Engineering","language":"en","page":"222-239","source":"DOI.org (Crossref)","title":"Produced water characteristics, treatment and reuse: A review","title-short":"Produced water characteristics, treatment and reuse","volume":"28","author":[{"family":"Al-Ghouti","given":"Mohammad A."},{"family":"Al-Kaabi","given":"Maryam A."},{"family":"Ashfaq","given":"Mohammad Y."},{"family":"Da’na","given":"Dana Adel"}],"issued":{"date-parts":[["2019",4]]}}}],"schema":"https://github.com/citation-style-language/schema/raw/master/csl-citation.json"} </w:instrText>
      </w:r>
      <w:r w:rsidR="001377E0">
        <w:rPr>
          <w:lang w:val="en-GB"/>
        </w:rPr>
        <w:fldChar w:fldCharType="separate"/>
      </w:r>
      <w:r w:rsidR="00EA13B7" w:rsidRPr="00EA13B7">
        <w:rPr>
          <w:rFonts w:cs="Arial"/>
        </w:rPr>
        <w:t>(Al-Ghouti et al., 2019)</w:t>
      </w:r>
      <w:r w:rsidR="001377E0">
        <w:rPr>
          <w:lang w:val="en-GB"/>
        </w:rPr>
        <w:fldChar w:fldCharType="end"/>
      </w:r>
      <w:r w:rsidR="00825CE3">
        <w:rPr>
          <w:lang w:val="en-GB"/>
        </w:rPr>
        <w:t>.</w:t>
      </w:r>
    </w:p>
    <w:p w14:paraId="725A7D87" w14:textId="2A27F70E" w:rsidR="00825CE3" w:rsidRPr="00A7241D" w:rsidRDefault="00825CE3" w:rsidP="00600535">
      <w:pPr>
        <w:pStyle w:val="CETBodytext"/>
        <w:rPr>
          <w:color w:val="000000" w:themeColor="text1"/>
          <w:lang w:val="en-GB"/>
        </w:rPr>
      </w:pPr>
      <w:r>
        <w:rPr>
          <w:lang w:val="en-GB"/>
        </w:rPr>
        <w:t xml:space="preserve">Due to the strictly contact with oil and gas, PWs </w:t>
      </w:r>
      <w:r w:rsidR="00212978">
        <w:rPr>
          <w:lang w:val="en-GB"/>
        </w:rPr>
        <w:t>are</w:t>
      </w:r>
      <w:r>
        <w:rPr>
          <w:lang w:val="en-GB"/>
        </w:rPr>
        <w:t xml:space="preserve"> polluted </w:t>
      </w:r>
      <w:r w:rsidR="00212978">
        <w:rPr>
          <w:lang w:val="en-GB"/>
        </w:rPr>
        <w:t>by</w:t>
      </w:r>
      <w:r>
        <w:rPr>
          <w:lang w:val="en-GB"/>
        </w:rPr>
        <w:t xml:space="preserve"> hydrocarbons</w:t>
      </w:r>
      <w:r w:rsidR="00212978">
        <w:rPr>
          <w:lang w:val="en-GB"/>
        </w:rPr>
        <w:t xml:space="preserve">. Also, PWs are </w:t>
      </w:r>
      <w:r w:rsidR="006F3E72">
        <w:rPr>
          <w:lang w:val="en-GB"/>
        </w:rPr>
        <w:t>salty</w:t>
      </w:r>
      <w:r w:rsidR="00626A3A">
        <w:rPr>
          <w:lang w:val="en-GB"/>
        </w:rPr>
        <w:t xml:space="preserve"> </w:t>
      </w:r>
      <w:r w:rsidR="00212978">
        <w:rPr>
          <w:lang w:val="en-GB"/>
        </w:rPr>
        <w:t>as they</w:t>
      </w:r>
      <w:r w:rsidRPr="00825CE3">
        <w:rPr>
          <w:lang w:val="en-GB"/>
        </w:rPr>
        <w:t xml:space="preserve"> are </w:t>
      </w:r>
      <w:r>
        <w:rPr>
          <w:lang w:val="en-GB"/>
        </w:rPr>
        <w:t xml:space="preserve">kept </w:t>
      </w:r>
      <w:r w:rsidRPr="00825CE3">
        <w:rPr>
          <w:lang w:val="en-GB"/>
        </w:rPr>
        <w:t>inside the impermeable layers of rock in the subsoil</w:t>
      </w:r>
      <w:r w:rsidR="001277F3">
        <w:rPr>
          <w:lang w:val="en-GB"/>
        </w:rPr>
        <w:t xml:space="preserve"> </w:t>
      </w:r>
      <w:r w:rsidR="001277F3">
        <w:rPr>
          <w:lang w:val="en-GB"/>
        </w:rPr>
        <w:fldChar w:fldCharType="begin"/>
      </w:r>
      <w:r w:rsidR="001277F3">
        <w:rPr>
          <w:lang w:val="en-GB"/>
        </w:rPr>
        <w:instrText xml:space="preserve"> ADDIN ZOTERO_ITEM CSL_CITATION {"citationID":"PQD0K5R6","properties":{"formattedCitation":"(Igunnu and Chen, 2014)","plainCitation":"(Igunnu and Chen, 2014)","noteIndex":0},"citationItems":[{"id":67,"uris":["http://zotero.org/users/10977437/items/6TNVQSAP"],"itemData":{"id":67,"type":"article-journal","abstract":"Produced water is a complex mixture of organic and inorganic compounds and the largest volume of byproduct generated during oil and gas recovery operations. The potential of oilfield produced water to be a source of fresh water for water-stressed oil-producing countries and the increasing environmental concerns in addition to stringent legislations on produced water discharge into the environment have made produced water management a significant part of the oil and gas business. This article reviews current technologies for the management of produced water, examines how electrochemical techniques may be used in these areas and compares the prospects for future development. It suggests that treatment technologies based on electrochemistry could be the future of produced water management, since produced water is a potential electrolyte because it has a relatively good conductivity. It also explains that by applying photoelectrochemistry, water electrolysis, fuel cell and electrodeposition, electrochemical engineering could achieve energy storage, production of clean water and recovery of valuable metals from produced water with minimal or no negative impact on the environment.","container-title":"International Journal of Low-Carbon Technologies","DOI":"10.1093/ijlct/cts049","ISSN":"1748-1317, 1748-1325","issue":"3","journalAbbreviation":"Int. J. Low-Carbon Tech.","language":"en","page":"157-177","source":"DOI.org (Crossref)","title":"Produced water treatment technologies","volume":"9","author":[{"family":"Igunnu","given":"Ebenezer T."},{"family":"Chen","given":"George Z."}],"issued":{"date-parts":[["2014",9]]}}}],"schema":"https://github.com/citation-style-language/schema/raw/master/csl-citation.json"} </w:instrText>
      </w:r>
      <w:r w:rsidR="001277F3">
        <w:rPr>
          <w:lang w:val="en-GB"/>
        </w:rPr>
        <w:fldChar w:fldCharType="separate"/>
      </w:r>
      <w:r w:rsidR="00EA13B7" w:rsidRPr="00EA13B7">
        <w:rPr>
          <w:rFonts w:cs="Arial"/>
        </w:rPr>
        <w:t>(Igunnu and Chen, 2014)</w:t>
      </w:r>
      <w:r w:rsidR="001277F3">
        <w:rPr>
          <w:lang w:val="en-GB"/>
        </w:rPr>
        <w:fldChar w:fldCharType="end"/>
      </w:r>
      <w:r w:rsidRPr="00825CE3">
        <w:rPr>
          <w:lang w:val="en-GB"/>
        </w:rPr>
        <w:t>.</w:t>
      </w:r>
      <w:r>
        <w:rPr>
          <w:lang w:val="en-GB"/>
        </w:rPr>
        <w:t xml:space="preserve"> </w:t>
      </w:r>
      <w:r w:rsidR="006F3E72">
        <w:rPr>
          <w:lang w:val="en-GB"/>
        </w:rPr>
        <w:t>Several</w:t>
      </w:r>
      <w:r>
        <w:rPr>
          <w:lang w:val="en-GB"/>
        </w:rPr>
        <w:t xml:space="preserve"> strategies</w:t>
      </w:r>
      <w:r w:rsidR="008C2EDB">
        <w:rPr>
          <w:lang w:val="en-GB"/>
        </w:rPr>
        <w:t xml:space="preserve"> </w:t>
      </w:r>
      <w:r w:rsidR="006F3E72">
        <w:rPr>
          <w:lang w:val="en-GB"/>
        </w:rPr>
        <w:t>are used</w:t>
      </w:r>
      <w:r>
        <w:rPr>
          <w:lang w:val="en-GB"/>
        </w:rPr>
        <w:t xml:space="preserve"> to deal with these wastewaters, such as the recycle like the enhanced oil recovery technique, or the reuse for industrial or agricultural purpose, or </w:t>
      </w:r>
      <w:r w:rsidR="008C2EDB">
        <w:rPr>
          <w:lang w:val="en-GB"/>
        </w:rPr>
        <w:t>lastly,</w:t>
      </w:r>
      <w:r>
        <w:rPr>
          <w:lang w:val="en-GB"/>
        </w:rPr>
        <w:t xml:space="preserve"> the direct disposal.</w:t>
      </w:r>
      <w:r w:rsidR="008C2EDB">
        <w:rPr>
          <w:lang w:val="en-GB"/>
        </w:rPr>
        <w:t xml:space="preserve"> If the first two options foresee a way to resolve and trying to valorise a waste, the third method, mostly consist in the direct injection in the underground, i.e. into non-operative well </w:t>
      </w:r>
      <w:r w:rsidR="008C2EDB">
        <w:rPr>
          <w:lang w:val="en-GB"/>
        </w:rPr>
        <w:fldChar w:fldCharType="begin"/>
      </w:r>
      <w:r w:rsidR="008C2EDB">
        <w:rPr>
          <w:lang w:val="en-GB"/>
        </w:rPr>
        <w:instrText xml:space="preserve"> ADDIN ZOTERO_ITEM CSL_CITATION {"citationID":"xFcle9gp","properties":{"formattedCitation":"(Veil, 2011)","plainCitation":"(Veil, 2011)","noteIndex":0},"citationItems":[{"id":284,"uris":["http://zotero.org/users/10977437/items/4CSGXW57"],"itemData":{"id":284,"type":"chapter","abstract":"Produced water is by far the largest volume by-product or waste stream associated with oil and gas exploration and production. Because of the large volumes involved, management of produced water presents important costs to the industry. This chapter describes the broad range of options that may be used to manage produced water. In some situations, technologies can be employed to reduce the volume of water that is managed within the well or at the platform deck. In other situations (primarily at onshore wells), produced water can be treated and then reused for various purposes. Produced water can be disposed using discharge, injection, removal to an offsite disposal facility, and evaporation. These management options are described along with numerous technologies currently used by the international oil and gas industry for treating produced water. Because this book focuses primarily on offshore produced water, this chapter will emphasize technologies for treating and managing offshore produced water. However, the chapter will include summary descriptions of other management practices and technologies used for onshore wells, too.","container-title":"Produced Water","event-place":"New York, NY","ISBN":"978-1-4614-0045-5","language":"en","note":"DOI: 10.1007/978-1-4614-0046-2_29","page":"537-571","publisher":"Springer New York","publisher-place":"New York, NY","source":"DOI.org (Crossref)","title":"Produced Water Management Options and Technologies","URL":"https://link.springer.com/10.1007/978-1-4614-0046-2_29","editor":[{"family":"Lee","given":"Kenneth"},{"family":"Neff","given":"Jerry"}],"author":[{"family":"Veil","given":"John A."}],"accessed":{"date-parts":[["2023",3,13]]},"issued":{"date-parts":[["2011"]]}}}],"schema":"https://github.com/citation-style-language/schema/raw/master/csl-citation.json"} </w:instrText>
      </w:r>
      <w:r w:rsidR="008C2EDB">
        <w:rPr>
          <w:lang w:val="en-GB"/>
        </w:rPr>
        <w:fldChar w:fldCharType="separate"/>
      </w:r>
      <w:r w:rsidR="00EA13B7" w:rsidRPr="00EA13B7">
        <w:rPr>
          <w:rFonts w:cs="Arial"/>
        </w:rPr>
        <w:t>(Veil, 2011)</w:t>
      </w:r>
      <w:r w:rsidR="008C2EDB">
        <w:rPr>
          <w:lang w:val="en-GB"/>
        </w:rPr>
        <w:fldChar w:fldCharType="end"/>
      </w:r>
      <w:r w:rsidR="008C2EDB">
        <w:rPr>
          <w:lang w:val="en-GB"/>
        </w:rPr>
        <w:t xml:space="preserve">. Although the injection is the most common way for the disposal of PWs, this practise is not always feasible like in the offshore site, besides the fact that is not </w:t>
      </w:r>
      <w:r w:rsidR="00212978">
        <w:rPr>
          <w:lang w:val="en-GB"/>
        </w:rPr>
        <w:t xml:space="preserve">appreciated by social communities which considered it as </w:t>
      </w:r>
      <w:r w:rsidR="00212978">
        <w:rPr>
          <w:color w:val="000000" w:themeColor="text1"/>
          <w:lang w:val="en-GB"/>
        </w:rPr>
        <w:t>unfriendly and unsustainable</w:t>
      </w:r>
      <w:r w:rsidR="008C2EDB" w:rsidRPr="00A7241D">
        <w:rPr>
          <w:color w:val="000000" w:themeColor="text1"/>
          <w:lang w:val="en-GB"/>
        </w:rPr>
        <w:t>.</w:t>
      </w:r>
      <w:r w:rsidR="00212978">
        <w:rPr>
          <w:color w:val="000000" w:themeColor="text1"/>
          <w:lang w:val="en-GB"/>
        </w:rPr>
        <w:t xml:space="preserve"> </w:t>
      </w:r>
    </w:p>
    <w:p w14:paraId="33F5A41E" w14:textId="32796450" w:rsidR="00FF1A6B" w:rsidRPr="00FF1A6B" w:rsidRDefault="008C2EDB" w:rsidP="00FF1A6B">
      <w:pPr>
        <w:pStyle w:val="CETBodytextItalic"/>
        <w:rPr>
          <w:i w:val="0"/>
        </w:rPr>
      </w:pPr>
      <w:r w:rsidRPr="00A7241D">
        <w:rPr>
          <w:i w:val="0"/>
          <w:color w:val="000000" w:themeColor="text1"/>
        </w:rPr>
        <w:t xml:space="preserve">Different </w:t>
      </w:r>
      <w:r w:rsidR="00457799" w:rsidRPr="00A7241D">
        <w:rPr>
          <w:i w:val="0"/>
          <w:color w:val="000000" w:themeColor="text1"/>
        </w:rPr>
        <w:t xml:space="preserve">options </w:t>
      </w:r>
      <w:r w:rsidRPr="00A7241D">
        <w:rPr>
          <w:i w:val="0"/>
          <w:color w:val="000000" w:themeColor="text1"/>
        </w:rPr>
        <w:t xml:space="preserve">are </w:t>
      </w:r>
      <w:r w:rsidR="005F25E0">
        <w:rPr>
          <w:i w:val="0"/>
          <w:color w:val="000000" w:themeColor="text1"/>
        </w:rPr>
        <w:t>available</w:t>
      </w:r>
      <w:r w:rsidRPr="00A7241D">
        <w:rPr>
          <w:i w:val="0"/>
          <w:color w:val="000000" w:themeColor="text1"/>
        </w:rPr>
        <w:t xml:space="preserve"> for the treatment of these wastewaters. The treatment technique</w:t>
      </w:r>
      <w:r w:rsidR="00FF1A6B" w:rsidRPr="00A7241D">
        <w:rPr>
          <w:i w:val="0"/>
          <w:color w:val="000000" w:themeColor="text1"/>
        </w:rPr>
        <w:t>s</w:t>
      </w:r>
      <w:r w:rsidRPr="00A7241D">
        <w:rPr>
          <w:i w:val="0"/>
          <w:color w:val="000000" w:themeColor="text1"/>
        </w:rPr>
        <w:t xml:space="preserve"> are categorized on the </w:t>
      </w:r>
      <w:r w:rsidR="00FF1A6B" w:rsidRPr="00A7241D">
        <w:rPr>
          <w:i w:val="0"/>
          <w:color w:val="000000" w:themeColor="text1"/>
        </w:rPr>
        <w:t>base</w:t>
      </w:r>
      <w:r w:rsidR="005F25E0">
        <w:rPr>
          <w:i w:val="0"/>
          <w:color w:val="000000" w:themeColor="text1"/>
        </w:rPr>
        <w:t xml:space="preserve"> of the </w:t>
      </w:r>
      <w:r w:rsidRPr="00A7241D">
        <w:rPr>
          <w:i w:val="0"/>
          <w:color w:val="000000" w:themeColor="text1"/>
        </w:rPr>
        <w:t>process use</w:t>
      </w:r>
      <w:r w:rsidR="00FF1A6B" w:rsidRPr="00A7241D">
        <w:rPr>
          <w:i w:val="0"/>
          <w:color w:val="000000" w:themeColor="text1"/>
        </w:rPr>
        <w:t>d</w:t>
      </w:r>
      <w:r w:rsidRPr="00A7241D">
        <w:rPr>
          <w:i w:val="0"/>
          <w:color w:val="000000" w:themeColor="text1"/>
        </w:rPr>
        <w:t>, so they are distingu</w:t>
      </w:r>
      <w:r w:rsidR="00FF1A6B" w:rsidRPr="00A7241D">
        <w:rPr>
          <w:i w:val="0"/>
          <w:color w:val="000000" w:themeColor="text1"/>
        </w:rPr>
        <w:t xml:space="preserve">ished in physical, chemical and biological processes </w:t>
      </w:r>
      <w:r w:rsidR="00FF1A6B" w:rsidRPr="00A7241D">
        <w:rPr>
          <w:i w:val="0"/>
          <w:color w:val="000000" w:themeColor="text1"/>
        </w:rPr>
        <w:fldChar w:fldCharType="begin"/>
      </w:r>
      <w:r w:rsidR="00FF1A6B" w:rsidRPr="00A7241D">
        <w:rPr>
          <w:i w:val="0"/>
          <w:color w:val="000000" w:themeColor="text1"/>
        </w:rPr>
        <w:instrText xml:space="preserve"> ADDIN ZOTERO_ITEM CSL_CITATION {"citationID":"RBPuEZzy","properties":{"formattedCitation":"(Jim\\uc0\\u233{}nez et al., 2018)","plainCitation":"(Jiménez et al., 2018)","noteIndex":0},"citationItems":[{"id":274,"uris":["http://zotero.org/users/10977437/items/XUA5MPVD"],"itemData":{"id":274,"type":"article-journal","abstract":"Produced water (PW) is the wastewater generated when water from underground reservoirs is brought to the surface during oil or gas extraction. PW is generated in large amounts and has a complex composition, containing various toxic organic and inorganic compounds. PW is currently treated in conventional trains that include phase separators, decanters, cyclones and coarse ﬁlters in order to comply with existing regulation for discharge. These treatment trains do not achieve more restrictive limitations related to the reuse of the efﬂuent (reinjection into extraction wells) or other beneﬁcial uses (e.g., irrigation). Therefore, and to prevent environmental pollution, further polishing processes need to be carried out. Characterization of the PW to determine major constituents is the ﬁrst step to select the optimum treatment for PW, coupled with environmental factors, economic considerations, and local regulatory framework. This review tries to provide an overview of different treatments that are being applied to polish this type of efﬂuents. These technologies include membranes, physical, biological, thermal or chemical treatments, where special emphasis has been made on advanced oxidation processes due to the advantages offered by these processes. Commercial treatments, based on the combination, modiﬁcation and improvement of simpler treatments, were also discussed.","container-title":"Chemosphere","DOI":"10.1016/j.chemosphere.2017.10.139","ISSN":"00456535","journalAbbreviation":"Chemosphere","language":"en","page":"186-208","source":"DOI.org (Crossref)","title":"State of the art of produced water treatment","volume":"192","author":[{"family":"Jiménez","given":"S."},{"family":"Micó","given":"M.M."},{"family":"Arnaldos","given":"M."},{"family":"Medina","given":"F."},{"family":"Contreras","given":"S."}],"issued":{"date-parts":[["2018",2]]}}}],"schema":"https://github.com/citation-style-language/schema/raw/master/csl-citation.json"} </w:instrText>
      </w:r>
      <w:r w:rsidR="00FF1A6B" w:rsidRPr="00A7241D">
        <w:rPr>
          <w:i w:val="0"/>
          <w:color w:val="000000" w:themeColor="text1"/>
        </w:rPr>
        <w:fldChar w:fldCharType="separate"/>
      </w:r>
      <w:r w:rsidR="00EA13B7" w:rsidRPr="00A7241D">
        <w:rPr>
          <w:rFonts w:cs="Arial"/>
          <w:color w:val="000000" w:themeColor="text1"/>
          <w:szCs w:val="24"/>
        </w:rPr>
        <w:t>(Jiménez et al., 2018)</w:t>
      </w:r>
      <w:r w:rsidR="00FF1A6B" w:rsidRPr="00A7241D">
        <w:rPr>
          <w:i w:val="0"/>
          <w:color w:val="000000" w:themeColor="text1"/>
        </w:rPr>
        <w:fldChar w:fldCharType="end"/>
      </w:r>
      <w:r w:rsidR="00FF1A6B" w:rsidRPr="00A7241D">
        <w:rPr>
          <w:i w:val="0"/>
          <w:color w:val="000000" w:themeColor="text1"/>
        </w:rPr>
        <w:t xml:space="preserve">. </w:t>
      </w:r>
      <w:r w:rsidR="005F25E0">
        <w:rPr>
          <w:i w:val="0"/>
          <w:color w:val="000000" w:themeColor="text1"/>
        </w:rPr>
        <w:t xml:space="preserve">Physical and chemical methods are typically quite expensive. </w:t>
      </w:r>
      <w:r w:rsidR="00FF1A6B" w:rsidRPr="00A7241D">
        <w:rPr>
          <w:i w:val="0"/>
          <w:color w:val="000000" w:themeColor="text1"/>
        </w:rPr>
        <w:t xml:space="preserve">Bioremediation </w:t>
      </w:r>
      <w:r w:rsidR="00FF1A6B" w:rsidRPr="00FF1A6B">
        <w:rPr>
          <w:i w:val="0"/>
        </w:rPr>
        <w:t xml:space="preserve">techniques could be an effective and affordable option for the removal of the organic compounds, but the high salinity of the PWs inhibit bacteria growth and metabolism. Different strategies have been proposed in literature for the salt reduction: most of them are thermal-based methods, thus being energy-demanding and often very </w:t>
      </w:r>
      <w:r w:rsidR="009327C1">
        <w:rPr>
          <w:i w:val="0"/>
        </w:rPr>
        <w:t>costly</w:t>
      </w:r>
      <w:r w:rsidR="00FF1A6B" w:rsidRPr="00FF1A6B">
        <w:rPr>
          <w:i w:val="0"/>
        </w:rPr>
        <w:t xml:space="preserve">. </w:t>
      </w:r>
      <w:r w:rsidR="00FF1A6B" w:rsidRPr="00FF1A6B">
        <w:rPr>
          <w:i w:val="0"/>
        </w:rPr>
        <w:lastRenderedPageBreak/>
        <w:t>Recently, membrane processes as Salinity Gradient Power (SGP) technologies have been prop</w:t>
      </w:r>
      <w:r w:rsidR="001277F3">
        <w:rPr>
          <w:i w:val="0"/>
        </w:rPr>
        <w:t>osed as a possible alternative.</w:t>
      </w:r>
    </w:p>
    <w:p w14:paraId="71A5E278" w14:textId="5373F4F5" w:rsidR="00FF1A6B" w:rsidRPr="00FF1A6B" w:rsidRDefault="00FF1A6B" w:rsidP="00FF1A6B">
      <w:pPr>
        <w:pStyle w:val="CETBodytextItalic"/>
        <w:rPr>
          <w:i w:val="0"/>
        </w:rPr>
      </w:pPr>
      <w:r w:rsidRPr="00FF1A6B">
        <w:rPr>
          <w:i w:val="0"/>
        </w:rPr>
        <w:t xml:space="preserve">Reverse Electrodialysis (RED) is a technology able to convert </w:t>
      </w:r>
      <w:r w:rsidR="00600CB8" w:rsidRPr="00FF1A6B">
        <w:rPr>
          <w:i w:val="0"/>
        </w:rPr>
        <w:t xml:space="preserve">directly </w:t>
      </w:r>
      <w:r w:rsidRPr="00FF1A6B">
        <w:rPr>
          <w:i w:val="0"/>
        </w:rPr>
        <w:t>the salinity difference between two solutions into electric energy, thus providing, as additional benefit, the reduction of the high salinity solution (</w:t>
      </w:r>
      <w:r w:rsidR="0039158A" w:rsidRPr="00FF1A6B">
        <w:rPr>
          <w:i w:val="0"/>
        </w:rPr>
        <w:t>i.e.,</w:t>
      </w:r>
      <w:r w:rsidRPr="00FF1A6B">
        <w:rPr>
          <w:i w:val="0"/>
        </w:rPr>
        <w:t xml:space="preserve"> the PW). The desalination of PWs may be boosted by adding an external power supply to the unit, which increases the flux of ions in the</w:t>
      </w:r>
      <w:r w:rsidR="00321BB5">
        <w:rPr>
          <w:i w:val="0"/>
        </w:rPr>
        <w:t xml:space="preserve"> same direction of the current, </w:t>
      </w:r>
      <w:r w:rsidR="0039158A" w:rsidRPr="00FF1A6B">
        <w:rPr>
          <w:i w:val="0"/>
        </w:rPr>
        <w:t>i.e.,</w:t>
      </w:r>
      <w:r w:rsidRPr="00FF1A6B">
        <w:rPr>
          <w:i w:val="0"/>
        </w:rPr>
        <w:t xml:space="preserve"> from the concentrate solution</w:t>
      </w:r>
      <w:r w:rsidR="00321BB5">
        <w:rPr>
          <w:i w:val="0"/>
        </w:rPr>
        <w:t xml:space="preserve"> </w:t>
      </w:r>
      <w:r w:rsidR="009F1795">
        <w:rPr>
          <w:i w:val="0"/>
        </w:rPr>
        <w:t>towards the diluted one:</w:t>
      </w:r>
      <w:r w:rsidRPr="00FF1A6B">
        <w:rPr>
          <w:i w:val="0"/>
        </w:rPr>
        <w:t xml:space="preserve"> the resulting technology is known as Assisted Reverse Electrodialysis (ARED).</w:t>
      </w:r>
    </w:p>
    <w:p w14:paraId="3D476C54" w14:textId="74D4FF13" w:rsidR="009F1795" w:rsidRDefault="00FF1A6B" w:rsidP="00600535">
      <w:pPr>
        <w:pStyle w:val="CETBodytext"/>
        <w:rPr>
          <w:lang w:val="en-GB"/>
        </w:rPr>
      </w:pPr>
      <w:r>
        <w:rPr>
          <w:lang w:val="en-GB"/>
        </w:rPr>
        <w:fldChar w:fldCharType="begin"/>
      </w:r>
      <w:r w:rsidR="00AC6F67">
        <w:rPr>
          <w:lang w:val="en-GB"/>
        </w:rPr>
        <w:instrText xml:space="preserve"> ADDIN ZOTERO_ITEM CSL_CITATION {"citationID":"kXJFNJ8R","properties":{"formattedCitation":"(Cosenza et al., 2022)","plainCitation":"(Cosenza et al., 2022)","dontUpdate":true,"noteIndex":0},"citationItems":[{"id":69,"uris":["http://zotero.org/users/10977437/items/U9IVDSYB"],"itemData":{"id":69,"type":"article-journal","abstract":"Wastewaters generated by crude oil extraction processes, called “produced waters” (PWs), are complex solutions that contain organic compounds, mainly hydrocarbons, and often exhibit high salinity. The large amounts of PWs represent a global issue because of their environmental impact. An approach widely used in the oil industry is the reinjection of this wastewater into the extraction wells after a suitable treatment. The high salt concentration of such solutions may be used in salinity gradient technologies to produce green electricity. Among these technologies, reverse electrodialysis (RED) is one of the most promising. In this work, the application of RED for energy generation from two different real oil industry brines was investigated. An experimental campaign was performed by testing 10 × 10 cm2 units in long-run continuous operations, monitoring the performance for more than 25 days. Fouling phenomena, occurring during the continuous operation, decrease the unit performance and several anti-fouling strategies were adopted to tackle this issue. As a result, a positive net power density for up to 18 days of continuous operation was obtained. A maximum power density of about 2.5 W/m2 was observed, demonstrating how the RED technology could be an important strategy to harvest energy from an industrial waste.","container-title":"Energies","DOI":"10.3390/en15114177","ISSN":"1996-1073","issue":"11","journalAbbreviation":"Energies","language":"en","page":"4177","source":"DOI.org (Crossref)","title":"Power Production from Produced Waters via Reverse Electrodialysis: A Preliminary Assessment","title-short":"Power Production from Produced Waters via Reverse Electrodialysis","volume":"15","author":[{"family":"Cosenza","given":"Alessandro"},{"family":"Campisi","given":"Giovanni"},{"family":"Giacalone","given":"Francesco"},{"family":"Randazzo","given":"Serena"},{"family":"Cipollina","given":"Andrea"},{"family":"Tamburini","given":"Alessandro"},{"family":"Micale","given":"Giorgio"}],"issued":{"date-parts":[["2022",6,6]]}}}],"schema":"https://github.com/citation-style-language/schema/raw/master/csl-citation.json"} </w:instrText>
      </w:r>
      <w:r>
        <w:rPr>
          <w:lang w:val="en-GB"/>
        </w:rPr>
        <w:fldChar w:fldCharType="separate"/>
      </w:r>
      <w:r w:rsidRPr="00FF1A6B">
        <w:rPr>
          <w:lang w:val="en-GB"/>
        </w:rPr>
        <w:t>Cosenza et al. 2022</w:t>
      </w:r>
      <w:r>
        <w:rPr>
          <w:lang w:val="en-GB"/>
        </w:rPr>
        <w:fldChar w:fldCharType="end"/>
      </w:r>
      <w:r>
        <w:rPr>
          <w:lang w:val="en-GB"/>
        </w:rPr>
        <w:t xml:space="preserve"> have already demonstrated the </w:t>
      </w:r>
      <w:r w:rsidR="00600CB8">
        <w:rPr>
          <w:lang w:val="en-GB"/>
        </w:rPr>
        <w:t>technical feasibility</w:t>
      </w:r>
      <w:r w:rsidR="009F1795">
        <w:rPr>
          <w:lang w:val="en-GB"/>
        </w:rPr>
        <w:t xml:space="preserve"> of us</w:t>
      </w:r>
      <w:r w:rsidR="005930F6">
        <w:rPr>
          <w:lang w:val="en-GB"/>
        </w:rPr>
        <w:t>ing</w:t>
      </w:r>
      <w:r w:rsidR="009F1795">
        <w:rPr>
          <w:lang w:val="en-GB"/>
        </w:rPr>
        <w:t xml:space="preserve"> </w:t>
      </w:r>
      <w:r w:rsidR="00600CB8">
        <w:rPr>
          <w:lang w:val="en-GB"/>
        </w:rPr>
        <w:t>a</w:t>
      </w:r>
      <w:r w:rsidR="009F1795">
        <w:rPr>
          <w:lang w:val="en-GB"/>
        </w:rPr>
        <w:t xml:space="preserve"> RED </w:t>
      </w:r>
      <w:r w:rsidR="00600CB8">
        <w:rPr>
          <w:lang w:val="en-GB"/>
        </w:rPr>
        <w:t>stack</w:t>
      </w:r>
      <w:r w:rsidR="009F1795">
        <w:rPr>
          <w:lang w:val="en-GB"/>
        </w:rPr>
        <w:t xml:space="preserve"> fe</w:t>
      </w:r>
      <w:r>
        <w:rPr>
          <w:lang w:val="en-GB"/>
        </w:rPr>
        <w:t xml:space="preserve">d </w:t>
      </w:r>
      <w:r w:rsidR="00600CB8">
        <w:rPr>
          <w:lang w:val="en-GB"/>
        </w:rPr>
        <w:t>by</w:t>
      </w:r>
      <w:r>
        <w:rPr>
          <w:lang w:val="en-GB"/>
        </w:rPr>
        <w:t xml:space="preserve"> PWs </w:t>
      </w:r>
      <w:r w:rsidR="00600CB8">
        <w:rPr>
          <w:lang w:val="en-GB"/>
        </w:rPr>
        <w:t>to produce</w:t>
      </w:r>
      <w:r>
        <w:rPr>
          <w:lang w:val="en-GB"/>
        </w:rPr>
        <w:t xml:space="preserve"> electrical </w:t>
      </w:r>
      <w:r w:rsidR="00F00442">
        <w:rPr>
          <w:lang w:val="en-GB"/>
        </w:rPr>
        <w:t>energy</w:t>
      </w:r>
      <w:r>
        <w:rPr>
          <w:lang w:val="en-GB"/>
        </w:rPr>
        <w:t>. Furthermore,</w:t>
      </w:r>
      <w:r w:rsidR="001277F3">
        <w:rPr>
          <w:lang w:val="en-GB"/>
        </w:rPr>
        <w:t xml:space="preserve"> a semi empirical model was also calibrated and validated for the prediction of RED and ARED unit</w:t>
      </w:r>
      <w:r w:rsidR="00600CB8">
        <w:rPr>
          <w:lang w:val="en-GB"/>
        </w:rPr>
        <w:t>s</w:t>
      </w:r>
      <w:r w:rsidR="001277F3">
        <w:rPr>
          <w:lang w:val="en-GB"/>
        </w:rPr>
        <w:t xml:space="preserve"> deal</w:t>
      </w:r>
      <w:r w:rsidR="00600CB8">
        <w:rPr>
          <w:lang w:val="en-GB"/>
        </w:rPr>
        <w:t>ing</w:t>
      </w:r>
      <w:r w:rsidR="001277F3">
        <w:rPr>
          <w:lang w:val="en-GB"/>
        </w:rPr>
        <w:t xml:space="preserve"> with PWs</w:t>
      </w:r>
      <w:r w:rsidR="00600CB8">
        <w:rPr>
          <w:lang w:val="en-GB"/>
        </w:rPr>
        <w:t>: it showed the convenience of adopting</w:t>
      </w:r>
      <w:r w:rsidR="001277F3">
        <w:rPr>
          <w:lang w:val="en-GB"/>
        </w:rPr>
        <w:t xml:space="preserve"> </w:t>
      </w:r>
      <w:r w:rsidR="00600CB8">
        <w:rPr>
          <w:lang w:val="en-GB"/>
        </w:rPr>
        <w:t>an</w:t>
      </w:r>
      <w:r w:rsidR="001277F3">
        <w:rPr>
          <w:lang w:val="en-GB"/>
        </w:rPr>
        <w:t xml:space="preserve"> ARED process </w:t>
      </w:r>
      <w:r w:rsidR="001277F3">
        <w:rPr>
          <w:lang w:val="en-GB"/>
        </w:rPr>
        <w:fldChar w:fldCharType="begin"/>
      </w:r>
      <w:r w:rsidR="001277F3">
        <w:rPr>
          <w:lang w:val="en-GB"/>
        </w:rPr>
        <w:instrText xml:space="preserve"> ADDIN ZOTERO_ITEM CSL_CITATION {"citationID":"dNF6LORl","properties":{"formattedCitation":"(Campisi et al., 2023)","plainCitation":"(Campisi et al., 2023)","noteIndex":0},"citationItems":[{"id":6,"uris":["http://zotero.org/users/10977437/items/SRY4623S"],"itemData":{"id":6,"type":"article-journal","abstract":"Produced waters (PWs) are oilfield waste streams rich in minerals and hydrocarbons whose production rate is largely increased in last decades following the corresponding increase of energy demand. The high salinity level of PWs inhibits the adoption of cheap biological treatments. Also, desalination techniques based on osmotic membranes would require severe pre-treatments. As an alternative, Reverse ElectroDialysis (RED) and Assisted Reverse ElectroDialysis (ARED) are here proposed for the first time to reduce the salinity level of PWs. RED may also guarantee an operation cost reduction thanks to its energy generation. An ad-hoc model for RED and ARED is here developed in order to deal suitably with PWs. This is done by a calibration and validation with experi­ mental data purposely collected via RED and ARED units fed by real PWs. The model is integrated with economical equations and a techno-economic analysis is carried out in order to identify the best configuration for the desalination purposes. Results suggest that ARED operation mode is the best option guaranteeing a minimum in the controlled dilution cost corresponding to a 1.32 € per m3 of PWs treated, thus leaving room for an affordable future implementation of more sophisticated treatment chains based on bioremediation.","container-title":"Desalination","DOI":"10.1016/j.desal.2022.116289","ISSN":"00119164","journalAbbreviation":"Desalination","language":"en","page":"116289","source":"DOI.org (Crossref)","title":"Desalination of oilfield produced waters via reverse electrodialysis: A techno-economical assessment","title-short":"Desalination of oilfield produced waters via reverse electrodialysis","volume":"548","author":[{"family":"Campisi","given":"Giovanni"},{"family":"Cosenza","given":"Alessandro"},{"family":"Giacalone","given":"Francesco"},{"family":"Randazzo","given":"Serena"},{"family":"Tamburini","given":"Alessandro"},{"family":"Micale","given":"Giorgio"}],"issued":{"date-parts":[["2023",2]]}}}],"schema":"https://github.com/citation-style-language/schema/raw/master/csl-citation.json"} </w:instrText>
      </w:r>
      <w:r w:rsidR="001277F3">
        <w:rPr>
          <w:lang w:val="en-GB"/>
        </w:rPr>
        <w:fldChar w:fldCharType="separate"/>
      </w:r>
      <w:r w:rsidR="00EA13B7" w:rsidRPr="00EA13B7">
        <w:rPr>
          <w:rFonts w:cs="Arial"/>
        </w:rPr>
        <w:t>(Campisi et al., 2023)</w:t>
      </w:r>
      <w:r w:rsidR="001277F3">
        <w:rPr>
          <w:lang w:val="en-GB"/>
        </w:rPr>
        <w:fldChar w:fldCharType="end"/>
      </w:r>
      <w:r w:rsidR="00353EC8">
        <w:rPr>
          <w:lang w:val="en-GB"/>
        </w:rPr>
        <w:t xml:space="preserve"> for desalination purposes</w:t>
      </w:r>
      <w:r w:rsidR="001277F3">
        <w:rPr>
          <w:lang w:val="en-GB"/>
        </w:rPr>
        <w:t>.</w:t>
      </w:r>
      <w:r w:rsidR="00AE2DA0">
        <w:rPr>
          <w:lang w:val="en-GB"/>
        </w:rPr>
        <w:t xml:space="preserve"> </w:t>
      </w:r>
      <w:r w:rsidR="001277F3" w:rsidRPr="001277F3">
        <w:rPr>
          <w:lang w:val="en-GB"/>
        </w:rPr>
        <w:t>In th</w:t>
      </w:r>
      <w:r w:rsidR="00600CB8">
        <w:rPr>
          <w:lang w:val="en-GB"/>
        </w:rPr>
        <w:t>e present</w:t>
      </w:r>
      <w:r w:rsidR="001277F3" w:rsidRPr="001277F3">
        <w:rPr>
          <w:lang w:val="en-GB"/>
        </w:rPr>
        <w:t xml:space="preserve"> work, </w:t>
      </w:r>
      <w:r w:rsidR="00600CB8">
        <w:rPr>
          <w:lang w:val="en-GB"/>
        </w:rPr>
        <w:t>Authors</w:t>
      </w:r>
      <w:r w:rsidR="001277F3" w:rsidRPr="001277F3">
        <w:rPr>
          <w:lang w:val="en-GB"/>
        </w:rPr>
        <w:t xml:space="preserve"> </w:t>
      </w:r>
      <w:r w:rsidR="00600CB8">
        <w:rPr>
          <w:lang w:val="en-GB"/>
        </w:rPr>
        <w:t xml:space="preserve">propose </w:t>
      </w:r>
      <w:r w:rsidR="001277F3" w:rsidRPr="001277F3">
        <w:rPr>
          <w:lang w:val="en-GB"/>
        </w:rPr>
        <w:t>an innovative scheme for</w:t>
      </w:r>
      <w:r w:rsidR="009F1795">
        <w:rPr>
          <w:lang w:val="en-GB"/>
        </w:rPr>
        <w:t xml:space="preserve"> the treatment and </w:t>
      </w:r>
      <w:r w:rsidR="001277F3" w:rsidRPr="001277F3">
        <w:rPr>
          <w:lang w:val="en-GB"/>
        </w:rPr>
        <w:t xml:space="preserve">valorisation of </w:t>
      </w:r>
      <w:r w:rsidR="00600CB8">
        <w:rPr>
          <w:lang w:val="en-GB"/>
        </w:rPr>
        <w:t>PWs by combining membrane-separation processes with bioremediation</w:t>
      </w:r>
      <w:r w:rsidR="001277F3" w:rsidRPr="001277F3">
        <w:rPr>
          <w:lang w:val="en-GB"/>
        </w:rPr>
        <w:t>.</w:t>
      </w:r>
    </w:p>
    <w:p w14:paraId="75FADF9A" w14:textId="54B8DC3B" w:rsidR="00AE2DA0" w:rsidRDefault="00AE2DA0" w:rsidP="00AE2DA0">
      <w:pPr>
        <w:pStyle w:val="CETHeading1"/>
      </w:pPr>
      <w:r>
        <w:t>Process description and mathematical model</w:t>
      </w:r>
    </w:p>
    <w:p w14:paraId="1FBCE8D7" w14:textId="125DAFA0" w:rsidR="001277F3" w:rsidRDefault="001277F3" w:rsidP="00600535">
      <w:pPr>
        <w:pStyle w:val="CETBodytext"/>
        <w:rPr>
          <w:lang w:val="en-GB"/>
        </w:rPr>
      </w:pPr>
      <w:r>
        <w:rPr>
          <w:lang w:val="en-GB"/>
        </w:rPr>
        <w:t xml:space="preserve">A </w:t>
      </w:r>
      <w:r w:rsidR="00AE2DA0">
        <w:rPr>
          <w:lang w:val="en-GB"/>
        </w:rPr>
        <w:t>Block Flow Diagram</w:t>
      </w:r>
      <w:r w:rsidR="00600CB8">
        <w:rPr>
          <w:lang w:val="en-GB"/>
        </w:rPr>
        <w:t xml:space="preserve"> (BFD</w:t>
      </w:r>
      <w:r w:rsidR="00AE2DA0">
        <w:rPr>
          <w:lang w:val="en-GB"/>
        </w:rPr>
        <w:t>)</w:t>
      </w:r>
      <w:r>
        <w:rPr>
          <w:lang w:val="en-GB"/>
        </w:rPr>
        <w:t xml:space="preserve"> </w:t>
      </w:r>
      <w:r w:rsidR="005A1CD3">
        <w:rPr>
          <w:lang w:val="en-GB"/>
        </w:rPr>
        <w:t xml:space="preserve">is </w:t>
      </w:r>
      <w:r w:rsidR="00600CB8">
        <w:rPr>
          <w:lang w:val="en-GB"/>
        </w:rPr>
        <w:t>reported</w:t>
      </w:r>
      <w:r w:rsidR="005A1CD3">
        <w:rPr>
          <w:lang w:val="en-GB"/>
        </w:rPr>
        <w:t xml:space="preserve"> in Figure 1</w:t>
      </w:r>
      <w:r w:rsidR="00AE2DA0">
        <w:rPr>
          <w:lang w:val="en-GB"/>
        </w:rPr>
        <w:t xml:space="preserve"> showing the main unit</w:t>
      </w:r>
      <w:r w:rsidR="00FB0F1D">
        <w:rPr>
          <w:lang w:val="en-GB"/>
        </w:rPr>
        <w:t>s</w:t>
      </w:r>
      <w:r w:rsidR="00AE2DA0">
        <w:rPr>
          <w:lang w:val="en-GB"/>
        </w:rPr>
        <w:t xml:space="preserve"> and stream</w:t>
      </w:r>
      <w:r w:rsidR="00FB0F1D">
        <w:rPr>
          <w:lang w:val="en-GB"/>
        </w:rPr>
        <w:t>s</w:t>
      </w:r>
      <w:r w:rsidR="00AE2DA0">
        <w:rPr>
          <w:lang w:val="en-GB"/>
        </w:rPr>
        <w:t xml:space="preserve"> of the </w:t>
      </w:r>
      <w:r w:rsidR="00600CB8">
        <w:rPr>
          <w:lang w:val="en-GB"/>
        </w:rPr>
        <w:t>treatment chain</w:t>
      </w:r>
      <w:r w:rsidR="00AE2DA0">
        <w:rPr>
          <w:lang w:val="en-GB"/>
        </w:rPr>
        <w:t>.</w:t>
      </w:r>
    </w:p>
    <w:p w14:paraId="4E874FD3" w14:textId="01F4CC08" w:rsidR="00AE2DA0" w:rsidRDefault="0001161C" w:rsidP="00600535">
      <w:pPr>
        <w:pStyle w:val="CETBodytext"/>
        <w:rPr>
          <w:lang w:val="en-GB"/>
        </w:rPr>
      </w:pPr>
      <w:r w:rsidRPr="0001161C">
        <w:rPr>
          <w:noProof/>
          <w:lang w:val="en-GB" w:eastAsia="en-GB"/>
        </w:rPr>
        <w:drawing>
          <wp:inline distT="0" distB="0" distL="0" distR="0" wp14:anchorId="05E5E279" wp14:editId="738146FE">
            <wp:extent cx="5197642" cy="2464842"/>
            <wp:effectExtent l="0" t="0" r="317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924" cy="2485841"/>
                    </a:xfrm>
                    <a:prstGeom prst="rect">
                      <a:avLst/>
                    </a:prstGeom>
                    <a:noFill/>
                    <a:ln>
                      <a:noFill/>
                    </a:ln>
                  </pic:spPr>
                </pic:pic>
              </a:graphicData>
            </a:graphic>
          </wp:inline>
        </w:drawing>
      </w:r>
    </w:p>
    <w:p w14:paraId="1CCA054A" w14:textId="687528D4" w:rsidR="00AE2DA0" w:rsidRDefault="00AE2DA0" w:rsidP="00AE2DA0">
      <w:pPr>
        <w:pStyle w:val="CETCaption"/>
      </w:pPr>
      <w:r>
        <w:t>Figure 1: Block flow diagram of the treatment chain proposed.</w:t>
      </w:r>
    </w:p>
    <w:p w14:paraId="5301267A" w14:textId="3498C4A3" w:rsidR="00513B34" w:rsidRPr="001277F3" w:rsidRDefault="00CA0FC8" w:rsidP="008F3234">
      <w:pPr>
        <w:pStyle w:val="CETBodytext"/>
      </w:pPr>
      <w:r>
        <w:t>Firstly, t</w:t>
      </w:r>
      <w:r w:rsidR="00B255DD" w:rsidRPr="00B255DD">
        <w:t>he PWs are filtered in an ultrafiltration (UF) unit, where it is assumed that only the 95% can be recovered from the process as filtered PWs</w:t>
      </w:r>
      <w:r w:rsidR="00321BB5">
        <w:t xml:space="preserve"> (stream </w:t>
      </w:r>
      <w:r w:rsidR="00321BB5" w:rsidRPr="00321BB5">
        <w:t>2</w:t>
      </w:r>
      <w:r w:rsidR="00321BB5">
        <w:t>)</w:t>
      </w:r>
      <w:r w:rsidR="00B255DD" w:rsidRPr="00B255DD">
        <w:t>. UF uses ceramic membranes</w:t>
      </w:r>
      <w:r w:rsidR="00994C2C">
        <w:t xml:space="preserve"> (chosen for their chemical</w:t>
      </w:r>
      <w:r w:rsidR="00953956">
        <w:t xml:space="preserve"> stability</w:t>
      </w:r>
      <w:r w:rsidR="00994C2C">
        <w:t xml:space="preserve"> </w:t>
      </w:r>
      <w:r w:rsidR="00953956">
        <w:t>and physical resistance)</w:t>
      </w:r>
      <w:r w:rsidR="00B255DD" w:rsidRPr="00B255DD">
        <w:t xml:space="preserve"> to filter the PWs and remove the major organic compounds, which are collected as retentate</w:t>
      </w:r>
      <w:r w:rsidR="00321BB5">
        <w:t xml:space="preserve"> (stream 1</w:t>
      </w:r>
      <w:r w:rsidR="00AC6F67">
        <w:t>1</w:t>
      </w:r>
      <w:r w:rsidR="00321BB5">
        <w:t>)</w:t>
      </w:r>
      <w:r w:rsidR="00B255DD" w:rsidRPr="00B255DD">
        <w:t xml:space="preserve">. The UF retentate should be treated by </w:t>
      </w:r>
      <w:r>
        <w:t xml:space="preserve">a suitable </w:t>
      </w:r>
      <w:r w:rsidR="00B255DD" w:rsidRPr="00B255DD">
        <w:t>process</w:t>
      </w:r>
      <w:r>
        <w:t>: it</w:t>
      </w:r>
      <w:r w:rsidR="00B255DD" w:rsidRPr="00B255DD">
        <w:t xml:space="preserve"> </w:t>
      </w:r>
      <w:r>
        <w:t xml:space="preserve">typically is </w:t>
      </w:r>
      <w:r w:rsidR="00B255DD" w:rsidRPr="00B255DD">
        <w:t>the crude oil recovery section already existing in the plant. The UF permeate (</w:t>
      </w:r>
      <w:r w:rsidR="0039158A" w:rsidRPr="00B255DD">
        <w:t>i.e.,</w:t>
      </w:r>
      <w:r w:rsidR="00B255DD" w:rsidRPr="00B255DD">
        <w:t xml:space="preserve"> the filtered PWs) is sent to the ARED unit where it is mixed (without </w:t>
      </w:r>
      <w:r w:rsidR="00087A7D">
        <w:t>a direct</w:t>
      </w:r>
      <w:r w:rsidR="00B255DD" w:rsidRPr="00B255DD">
        <w:t xml:space="preserve"> contact) with a diluted solution</w:t>
      </w:r>
      <w:r w:rsidR="00321BB5">
        <w:t xml:space="preserve"> (stream 9)</w:t>
      </w:r>
      <w:r w:rsidR="00B255DD" w:rsidRPr="00B255DD">
        <w:t xml:space="preserve">. The purpose of the ARED unit is to </w:t>
      </w:r>
      <w:r w:rsidR="00FF586A">
        <w:t>reduce the salinity</w:t>
      </w:r>
      <w:r w:rsidR="00B255DD" w:rsidRPr="00B255DD">
        <w:t xml:space="preserve"> </w:t>
      </w:r>
      <w:r>
        <w:t xml:space="preserve">before the downstream </w:t>
      </w:r>
      <w:r w:rsidR="00B255DD" w:rsidRPr="00B255DD">
        <w:t>bioremediation step</w:t>
      </w:r>
      <w:r w:rsidR="00B255DD">
        <w:t xml:space="preserve"> </w:t>
      </w:r>
      <w:r w:rsidR="00B255DD">
        <w:fldChar w:fldCharType="begin"/>
      </w:r>
      <w:r w:rsidR="00B255DD">
        <w:instrText xml:space="preserve"> ADDIN ZOTERO_ITEM CSL_CITATION {"citationID":"YNzSD55T","properties":{"formattedCitation":"(Pendashteh et al., 2012)","plainCitation":"(Pendashteh et al., 2012)","noteIndex":0},"citationItems":[{"id":242,"uris":["http://zotero.org/users/10977437/items/C2NYGWRV"],"itemData":{"id":242,"type":"article-journal","container-title":"Process Safety and Environmental Protection","DOI":"10.1016/j.psep.2011.07.006","ISSN":"09575820","issue":"1","journalAbbreviation":"Process Safety and Environmental Protection","language":"en","page":"45-55","source":"DOI.org (Crossref)","title":"Evaluation of membrane bioreactor for hypersaline oily wastewater treatment","volume":"90","author":[{"family":"Pendashteh","given":"Ali Reza"},{"family":"Abdullah","given":"Luqman Chuah"},{"family":"Fakhru’l-Razi","given":"A."},{"family":"Madaeni","given":"Sayed Siavash"},{"family":"Zainal Abidin","given":"Zurina"},{"family":"Awang Biak","given":"Dayang Radiah"}],"issued":{"date-parts":[["2012",1]]}}}],"schema":"https://github.com/citation-style-language/schema/raw/master/csl-citation.json"} </w:instrText>
      </w:r>
      <w:r w:rsidR="00B255DD">
        <w:fldChar w:fldCharType="separate"/>
      </w:r>
      <w:r w:rsidR="00EA13B7" w:rsidRPr="00EA13B7">
        <w:rPr>
          <w:rFonts w:cs="Arial"/>
        </w:rPr>
        <w:t>(Pendashteh et al., 2012)</w:t>
      </w:r>
      <w:r w:rsidR="00B255DD">
        <w:fldChar w:fldCharType="end"/>
      </w:r>
      <w:r w:rsidR="00B255DD">
        <w:t xml:space="preserve"> </w:t>
      </w:r>
      <w:r w:rsidR="00FF586A">
        <w:t>to</w:t>
      </w:r>
      <w:r w:rsidR="00B255DD" w:rsidRPr="00B255DD">
        <w:t xml:space="preserve"> a target concentration of 20 g</w:t>
      </w:r>
      <w:r w:rsidR="008F5694">
        <w:t xml:space="preserve"> </w:t>
      </w:r>
      <w:r w:rsidR="00FC6028">
        <w:t>L</w:t>
      </w:r>
      <w:r w:rsidR="00B255DD" w:rsidRPr="00321BB5">
        <w:rPr>
          <w:vertAlign w:val="superscript"/>
        </w:rPr>
        <w:t>-1</w:t>
      </w:r>
      <w:r>
        <w:t>, which was found compatible with autochthone bacteria metabo</w:t>
      </w:r>
      <w:r w:rsidR="000850C9">
        <w:t>l</w:t>
      </w:r>
      <w:r>
        <w:t xml:space="preserve">ism. </w:t>
      </w:r>
      <w:r w:rsidR="00B255DD" w:rsidRPr="00FC6028">
        <w:t>The biological</w:t>
      </w:r>
      <w:r w:rsidR="00B255DD" w:rsidRPr="00B255DD">
        <w:t xml:space="preserve"> reactor selected for the reduction of </w:t>
      </w:r>
      <w:r w:rsidR="00AF663D">
        <w:t>organic compounds is a MB</w:t>
      </w:r>
      <w:r w:rsidR="00B255DD" w:rsidRPr="00B255DD">
        <w:t>R (M</w:t>
      </w:r>
      <w:r w:rsidR="00AF663D">
        <w:t>embrane</w:t>
      </w:r>
      <w:r w:rsidR="00B255DD" w:rsidRPr="00B255DD">
        <w:t xml:space="preserve"> </w:t>
      </w:r>
      <w:r w:rsidR="00AF663D">
        <w:t>Bio</w:t>
      </w:r>
      <w:r w:rsidR="00B255DD" w:rsidRPr="00B255DD">
        <w:t xml:space="preserve"> Reactor)</w:t>
      </w:r>
      <w:r w:rsidR="00087A7D">
        <w:t>:</w:t>
      </w:r>
      <w:r w:rsidR="00B255DD" w:rsidRPr="00B255DD">
        <w:t xml:space="preserve"> </w:t>
      </w:r>
      <w:r w:rsidR="00087A7D">
        <w:t>it allows</w:t>
      </w:r>
      <w:r w:rsidR="00B255DD" w:rsidRPr="00B255DD">
        <w:t xml:space="preserve"> treating a higher volume, with good efficiency and low energy consumption </w:t>
      </w:r>
      <w:r w:rsidR="00B255DD">
        <w:fldChar w:fldCharType="begin"/>
      </w:r>
      <w:r w:rsidR="00B255DD">
        <w:instrText xml:space="preserve"> ADDIN ZOTERO_ITEM CSL_CITATION {"citationID":"xTh1x6rf","properties":{"formattedCitation":"(Schneider et al., 2011)","plainCitation":"(Schneider et al., 2011)","noteIndex":0},"citationItems":[{"id":286,"uris":["http://zotero.org/users/10977437/items/8I5V2BA4"],"itemData":{"id":286,"type":"article-journal","abstract":"This work evaluated the performance of a Moving Bed Biofilm Reactor (MBBR) in the treatment of an oil refinery wastewater. Also, it investigated the possibility of reuse of the MBBR effluent, after ozonation in series with a biological activated carbon (BAC) column. The best performance of the MBBR was achieved with a hydraulic retention time (HRT) of 6 hours, employing a bed to bioreactor volume ratio (VB/VR) of 0.6. COD and N-NH4+ MBBR effluent concentrations ranged from 40 to 75 mg L−1 (removal efficiency of 69–89%) and 2 to 6 mg L−1 (removal efficiency of 45–86%), respectively. Ozonation carried out for 15 min with an ozone concentration of 5 mg L−1 was able to improve the treated wastewater biodegradability. The treatment performance of the BAC columns was practically the same for ozonated and non ozonated MBBR effluents. The dissolved organic carbon (DOC) content of the columns of the activated carbon columns (CAG) was in the range of 2.1–3.8 mg L−1, and the corresponding DOC removal efficiencies were comprised between 52 and 75%. The effluent obtained at the end of the proposed treatment presented a quality, which meet the requirements for water reuse in the oil refinery.","container-title":"Water Science and Technology","DOI":"10.2166/wst.2011.024","ISSN":"0273-1223, 1996-9732","issue":"1","language":"en","page":"143-148","source":"DOI.org (Crossref)","title":"MBBR evaluation for oil refinery wastewater treatment, with post-ozonation and BAC, for wastewater reuse","volume":"63","author":[{"family":"Schneider","given":"E. E."},{"family":"Cerqueira","given":"A. C. F. P."},{"family":"Dezotti","given":"M."}],"issued":{"date-parts":[["2011",1,1]]}}}],"schema":"https://github.com/citation-style-language/schema/raw/master/csl-citation.json"} </w:instrText>
      </w:r>
      <w:r w:rsidR="00B255DD">
        <w:fldChar w:fldCharType="separate"/>
      </w:r>
      <w:r w:rsidR="00EA13B7" w:rsidRPr="00EA13B7">
        <w:rPr>
          <w:rFonts w:cs="Arial"/>
        </w:rPr>
        <w:t>(Schneider et al., 2011)</w:t>
      </w:r>
      <w:r w:rsidR="00B255DD">
        <w:fldChar w:fldCharType="end"/>
      </w:r>
      <w:r w:rsidR="007225E5">
        <w:t>. F</w:t>
      </w:r>
      <w:r w:rsidR="00626A3A">
        <w:t xml:space="preserve">urthermore, </w:t>
      </w:r>
      <w:r w:rsidR="00FF586A">
        <w:t>this kind of bioreactor</w:t>
      </w:r>
      <w:r w:rsidR="00626A3A">
        <w:t xml:space="preserve"> was already suggested as method </w:t>
      </w:r>
      <w:r w:rsidR="007225E5">
        <w:t>to</w:t>
      </w:r>
      <w:r w:rsidR="00626A3A">
        <w:t xml:space="preserve"> deal with oily and saline wastewaters </w:t>
      </w:r>
      <w:r w:rsidR="00626A3A">
        <w:fldChar w:fldCharType="begin"/>
      </w:r>
      <w:r w:rsidR="00626A3A">
        <w:instrText xml:space="preserve"> ADDIN ZOTERO_ITEM CSL_CITATION {"citationID":"OuNEQzPZ","properties":{"formattedCitation":"(Di Bella et al., 2015)","plainCitation":"(Di Bella et al., 2015)","noteIndex":0},"citationItems":[{"id":306,"uris":["http://zotero.org/users/10977437/items/HPN9E5YC"],"itemData":{"id":306,"type":"article-journal","container-title":"Journal of Hazardous Materials","DOI":"10.1016/j.jhazmat.2015.08.021","ISSN":"03043894","journalAbbreviation":"Journal of Hazardous Materials","language":"en","page":"765-778","source":"DOI.org (Crossref)","title":"Performance of membrane bioreactor (MBR) systems for the treatment of shipboard slops: Assessment of hydrocarbon biodegradation and biomass activity under salinity variation","title-short":"Performance of membrane bioreactor (MBR) systems for the treatment of shipboard slops","volume":"300","author":[{"family":"Di Bella","given":"Gaetano"},{"family":"Di Prima","given":"Nadia"},{"family":"Di Trapani","given":"Daniele"},{"family":"Freni","given":"Gabriele"},{"family":"Giustra","given":"Maria Gabriella"},{"family":"Torregrossa","given":"Michele"},{"family":"Viviani","given":"Gaspare"}],"issued":{"date-parts":[["2015",12]]}}}],"schema":"https://github.com/citation-style-language/schema/raw/master/csl-citation.json"} </w:instrText>
      </w:r>
      <w:r w:rsidR="00626A3A">
        <w:fldChar w:fldCharType="separate"/>
      </w:r>
      <w:r w:rsidR="00EA13B7" w:rsidRPr="00EA13B7">
        <w:rPr>
          <w:rFonts w:cs="Arial"/>
        </w:rPr>
        <w:t>(Di Bella et al., 2015)</w:t>
      </w:r>
      <w:r w:rsidR="00626A3A">
        <w:fldChar w:fldCharType="end"/>
      </w:r>
      <w:r w:rsidR="00B255DD">
        <w:t xml:space="preserve">. </w:t>
      </w:r>
      <w:r w:rsidR="00AF663D">
        <w:t>For the M</w:t>
      </w:r>
      <w:r w:rsidR="00B255DD" w:rsidRPr="00B255DD">
        <w:t xml:space="preserve">BR unit it is assumed that the unit is fully capable of reducing the </w:t>
      </w:r>
      <w:r w:rsidR="00FF586A">
        <w:t xml:space="preserve">PWs </w:t>
      </w:r>
      <w:r w:rsidR="00B255DD" w:rsidRPr="00B255DD">
        <w:t>organic compounds</w:t>
      </w:r>
      <w:r w:rsidR="00FF586A">
        <w:t xml:space="preserve"> </w:t>
      </w:r>
      <w:r w:rsidR="00B255DD" w:rsidRPr="00B255DD">
        <w:t>to the minimum value accepted by the local legislation</w:t>
      </w:r>
      <w:r w:rsidR="007225E5">
        <w:t>. Conversely, salinity is not modified by the biological action</w:t>
      </w:r>
      <w:r w:rsidR="00B255DD" w:rsidRPr="00B255DD">
        <w:t xml:space="preserve">. Similarly, </w:t>
      </w:r>
      <w:r w:rsidR="008F3234">
        <w:t>the diluted solution used for</w:t>
      </w:r>
      <w:r w:rsidR="008736A0">
        <w:t xml:space="preserve"> the</w:t>
      </w:r>
      <w:r w:rsidR="008F3234">
        <w:t xml:space="preserve"> ARED unit </w:t>
      </w:r>
      <w:r w:rsidR="00087A7D">
        <w:t>comes out</w:t>
      </w:r>
      <w:r w:rsidR="008F3234">
        <w:t xml:space="preserve"> more concentrated, with a concentration correspond</w:t>
      </w:r>
      <w:r w:rsidR="008736A0">
        <w:t>ing</w:t>
      </w:r>
      <w:r w:rsidR="008F3234">
        <w:t xml:space="preserve"> to the amount of removed salt. The two </w:t>
      </w:r>
      <w:r w:rsidR="00454E7E">
        <w:t>stream</w:t>
      </w:r>
      <w:r w:rsidR="009F1795">
        <w:t>s</w:t>
      </w:r>
      <w:r w:rsidR="008F3234">
        <w:t xml:space="preserve"> (the diluted </w:t>
      </w:r>
      <w:r w:rsidR="00087A7D">
        <w:t>exiting</w:t>
      </w:r>
      <w:r w:rsidR="008F3234">
        <w:t xml:space="preserve"> ARED and the PWs after the biological treatment</w:t>
      </w:r>
      <w:r w:rsidR="00321BB5">
        <w:t xml:space="preserve">, stream </w:t>
      </w:r>
      <w:r w:rsidR="00AC6F67">
        <w:t>4</w:t>
      </w:r>
      <w:r w:rsidR="00321BB5">
        <w:t xml:space="preserve"> and 10</w:t>
      </w:r>
      <w:r w:rsidR="008F3234">
        <w:t xml:space="preserve">) are </w:t>
      </w:r>
      <w:r w:rsidR="00F00442">
        <w:t>mixed</w:t>
      </w:r>
      <w:r w:rsidR="008F3234">
        <w:t xml:space="preserve"> and sent to a Reverse Osmosis (RO) unit </w:t>
      </w:r>
      <w:r w:rsidR="00454E7E">
        <w:t>to</w:t>
      </w:r>
      <w:r w:rsidR="008F3234">
        <w:t xml:space="preserve"> reduce the salt concentration and re-use the permeate of the process as diluted stream </w:t>
      </w:r>
      <w:r w:rsidR="009F1795">
        <w:t>in</w:t>
      </w:r>
      <w:r w:rsidR="008F3234">
        <w:t xml:space="preserve"> </w:t>
      </w:r>
      <w:r w:rsidR="008736A0">
        <w:t xml:space="preserve">the </w:t>
      </w:r>
      <w:r w:rsidR="008F3234">
        <w:t>ARED</w:t>
      </w:r>
      <w:r w:rsidR="008736A0">
        <w:t xml:space="preserve"> unit</w:t>
      </w:r>
      <w:r w:rsidR="008F3234">
        <w:t>. A make-up</w:t>
      </w:r>
      <w:r w:rsidR="00454E7E">
        <w:t xml:space="preserve"> stream</w:t>
      </w:r>
      <w:r w:rsidR="00FB0F1D">
        <w:t xml:space="preserve"> </w:t>
      </w:r>
      <w:r w:rsidR="008F3234">
        <w:t>of process water</w:t>
      </w:r>
      <w:r w:rsidR="00321BB5">
        <w:t xml:space="preserve"> (stream 8) is</w:t>
      </w:r>
      <w:r w:rsidR="00FB0F1D">
        <w:t xml:space="preserve"> </w:t>
      </w:r>
      <w:r w:rsidR="00321BB5">
        <w:t xml:space="preserve">inserted before the ARED </w:t>
      </w:r>
      <w:r w:rsidR="00454E7E">
        <w:t>to</w:t>
      </w:r>
      <w:r w:rsidR="00321BB5">
        <w:t xml:space="preserve"> close the mass balance of the diluted circuit</w:t>
      </w:r>
      <w:r w:rsidR="005A1CD3">
        <w:t>. Concerning the retentate</w:t>
      </w:r>
      <w:r w:rsidR="00321BB5">
        <w:t xml:space="preserve"> (stream 12)</w:t>
      </w:r>
      <w:r w:rsidR="005A1CD3">
        <w:t xml:space="preserve">, </w:t>
      </w:r>
      <w:r w:rsidR="00087A7D">
        <w:t xml:space="preserve">since </w:t>
      </w:r>
      <w:r w:rsidR="00FB0F1D">
        <w:t>no downstream processes are considered</w:t>
      </w:r>
      <w:r w:rsidR="00087A7D">
        <w:t xml:space="preserve"> in the present work</w:t>
      </w:r>
      <w:r w:rsidR="00FB0F1D">
        <w:t xml:space="preserve">, it </w:t>
      </w:r>
      <w:r w:rsidR="00087A7D">
        <w:t>should be regarded as</w:t>
      </w:r>
      <w:r w:rsidR="00FB0F1D">
        <w:t xml:space="preserve"> a liquid waste for the plant</w:t>
      </w:r>
      <w:r w:rsidR="00087A7D">
        <w:t>.</w:t>
      </w:r>
      <w:r w:rsidR="00FB0F1D">
        <w:t xml:space="preserve"> </w:t>
      </w:r>
      <w:r w:rsidR="00087A7D">
        <w:t>H</w:t>
      </w:r>
      <w:r w:rsidR="00FB0F1D">
        <w:t>owever</w:t>
      </w:r>
      <w:r w:rsidR="00087A7D">
        <w:t>,</w:t>
      </w:r>
      <w:r w:rsidR="00FB0F1D">
        <w:t xml:space="preserve"> this </w:t>
      </w:r>
      <w:r w:rsidR="008736A0">
        <w:t xml:space="preserve">concentrated </w:t>
      </w:r>
      <w:r w:rsidR="00FB0F1D">
        <w:t xml:space="preserve">stream may result particularly rich in </w:t>
      </w:r>
      <w:r w:rsidR="00087A7D">
        <w:t xml:space="preserve">valuable </w:t>
      </w:r>
      <w:r w:rsidR="008736A0">
        <w:t>minerals</w:t>
      </w:r>
      <w:r w:rsidR="00FB0F1D">
        <w:t xml:space="preserve"> and precious metals and </w:t>
      </w:r>
      <w:r w:rsidR="00087A7D">
        <w:t xml:space="preserve">may be sent to a suitable downstream </w:t>
      </w:r>
      <w:r w:rsidR="008736A0">
        <w:t>valorization section</w:t>
      </w:r>
      <w:r w:rsidR="00087A7D">
        <w:t xml:space="preserve"> (</w:t>
      </w:r>
      <w:r w:rsidR="008736A0">
        <w:t xml:space="preserve">e.g. </w:t>
      </w:r>
      <w:r w:rsidR="00087A7D">
        <w:t xml:space="preserve">including </w:t>
      </w:r>
      <w:r w:rsidR="008736A0">
        <w:t xml:space="preserve">ion exchange </w:t>
      </w:r>
      <w:r w:rsidR="00087A7D">
        <w:t xml:space="preserve">resins and crystallizers). </w:t>
      </w:r>
    </w:p>
    <w:p w14:paraId="4158223E" w14:textId="265192EC" w:rsidR="00AE2DA0" w:rsidRDefault="005A1CD3" w:rsidP="00AE2DA0">
      <w:pPr>
        <w:pStyle w:val="CETheadingx"/>
      </w:pPr>
      <w:r>
        <w:lastRenderedPageBreak/>
        <w:t>Techno-economic</w:t>
      </w:r>
      <w:r w:rsidR="00FB0F1D">
        <w:t xml:space="preserve"> model and assumptions</w:t>
      </w:r>
    </w:p>
    <w:p w14:paraId="33D7D388" w14:textId="79821C4C" w:rsidR="00515733" w:rsidRDefault="00B255DD" w:rsidP="00513B34">
      <w:pPr>
        <w:pStyle w:val="CETBodytext"/>
      </w:pPr>
      <w:r w:rsidRPr="00454E7E">
        <w:t>The whole plant</w:t>
      </w:r>
      <w:r w:rsidR="002332B6" w:rsidRPr="00454E7E">
        <w:t xml:space="preserve"> </w:t>
      </w:r>
      <w:r w:rsidR="009A0476">
        <w:t>is</w:t>
      </w:r>
      <w:r>
        <w:t xml:space="preserve"> </w:t>
      </w:r>
      <w:r w:rsidR="00E55A2F">
        <w:t>simulated</w:t>
      </w:r>
      <w:r>
        <w:t xml:space="preserve"> with a techno-economic model on Excel and VBA. </w:t>
      </w:r>
      <w:r w:rsidR="00515733">
        <w:t xml:space="preserve">The technical model is used to predict the behavior of each unit and the corresponding streams of the plant in </w:t>
      </w:r>
      <w:r w:rsidR="008318A0">
        <w:t xml:space="preserve">terms of </w:t>
      </w:r>
      <w:r w:rsidR="00515733">
        <w:t xml:space="preserve">flow rate and salt concentration. </w:t>
      </w:r>
      <w:r w:rsidR="009A0476">
        <w:t xml:space="preserve">Table 1 summarizes </w:t>
      </w:r>
      <w:r w:rsidR="00515733">
        <w:t>the assumption</w:t>
      </w:r>
      <w:r w:rsidR="009A0476">
        <w:t>s</w:t>
      </w:r>
      <w:r w:rsidR="00515733">
        <w:t xml:space="preserve"> for each unit</w:t>
      </w:r>
      <w:r w:rsidR="009A0476">
        <w:t xml:space="preserve"> of the treatment chain</w:t>
      </w:r>
      <w:r w:rsidR="00515733">
        <w:t>.</w:t>
      </w:r>
    </w:p>
    <w:p w14:paraId="43296362" w14:textId="45DC72BB" w:rsidR="00B255DD" w:rsidRPr="00B57B36" w:rsidRDefault="00B255DD" w:rsidP="00B255DD">
      <w:pPr>
        <w:pStyle w:val="CETTabletitle"/>
      </w:pPr>
      <w:r w:rsidRPr="00B57B36">
        <w:t xml:space="preserve">Table 1: </w:t>
      </w:r>
      <w:r w:rsidR="005A1CD3">
        <w:t>Summar</w:t>
      </w:r>
      <w:r w:rsidR="0034133F">
        <w:t>y of the</w:t>
      </w:r>
      <w:r w:rsidR="005A1CD3">
        <w:t xml:space="preserve"> assumption</w:t>
      </w:r>
      <w:r w:rsidR="0034133F">
        <w:t>s</w:t>
      </w:r>
      <w:r w:rsidR="005A1CD3">
        <w:t xml:space="preserve"> of the main unit</w:t>
      </w:r>
      <w:r w:rsidR="0034133F">
        <w:t>s</w:t>
      </w:r>
      <w:r w:rsidR="005A1CD3">
        <w:t xml:space="preserve"> of the PWs treatment cha</w:t>
      </w:r>
      <w:r w:rsidR="003A75AA">
        <w:t>i</w:t>
      </w:r>
      <w:r w:rsidR="005A1CD3">
        <w:t>n</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7369"/>
      </w:tblGrid>
      <w:tr w:rsidR="005A1CD3" w:rsidRPr="00B57B36" w14:paraId="00FE7086" w14:textId="77777777" w:rsidTr="004034CE">
        <w:trPr>
          <w:trHeight w:val="221"/>
        </w:trPr>
        <w:tc>
          <w:tcPr>
            <w:tcW w:w="1418" w:type="dxa"/>
            <w:tcBorders>
              <w:top w:val="single" w:sz="12" w:space="0" w:color="008000"/>
              <w:bottom w:val="single" w:sz="4" w:space="0" w:color="auto"/>
            </w:tcBorders>
            <w:shd w:val="clear" w:color="auto" w:fill="FFFFFF"/>
          </w:tcPr>
          <w:p w14:paraId="25D68AEF" w14:textId="1D25FA0E" w:rsidR="005A1CD3" w:rsidRPr="005437FE" w:rsidRDefault="005A1CD3" w:rsidP="00F57BDA">
            <w:pPr>
              <w:pStyle w:val="CETBodytext"/>
              <w:rPr>
                <w:b/>
                <w:lang w:val="en-GB"/>
              </w:rPr>
            </w:pPr>
            <w:r w:rsidRPr="005437FE">
              <w:rPr>
                <w:b/>
                <w:lang w:val="en-GB"/>
              </w:rPr>
              <w:t>Unit</w:t>
            </w:r>
          </w:p>
        </w:tc>
        <w:tc>
          <w:tcPr>
            <w:tcW w:w="7369" w:type="dxa"/>
            <w:tcBorders>
              <w:top w:val="single" w:sz="12" w:space="0" w:color="008000"/>
              <w:bottom w:val="single" w:sz="4" w:space="0" w:color="auto"/>
            </w:tcBorders>
            <w:shd w:val="clear" w:color="auto" w:fill="FFFFFF"/>
          </w:tcPr>
          <w:p w14:paraId="329CAE9E" w14:textId="130AFF90" w:rsidR="005A1CD3" w:rsidRPr="005437FE" w:rsidRDefault="005A1CD3" w:rsidP="00F57BDA">
            <w:pPr>
              <w:pStyle w:val="CETBodytext"/>
              <w:rPr>
                <w:b/>
                <w:lang w:val="en-GB"/>
              </w:rPr>
            </w:pPr>
            <w:r w:rsidRPr="005437FE">
              <w:rPr>
                <w:b/>
                <w:lang w:val="en-GB"/>
              </w:rPr>
              <w:t>Assumption</w:t>
            </w:r>
          </w:p>
        </w:tc>
      </w:tr>
      <w:tr w:rsidR="005A1CD3" w:rsidRPr="00B57B36" w14:paraId="11561E20" w14:textId="77777777" w:rsidTr="004034CE">
        <w:trPr>
          <w:trHeight w:val="465"/>
        </w:trPr>
        <w:tc>
          <w:tcPr>
            <w:tcW w:w="1418" w:type="dxa"/>
            <w:tcBorders>
              <w:top w:val="single" w:sz="4" w:space="0" w:color="auto"/>
              <w:bottom w:val="single" w:sz="4" w:space="0" w:color="auto"/>
            </w:tcBorders>
            <w:shd w:val="clear" w:color="auto" w:fill="FFFFFF"/>
          </w:tcPr>
          <w:p w14:paraId="1C0A3E2E" w14:textId="77777777" w:rsidR="005A1CD3" w:rsidRPr="005437FE" w:rsidRDefault="005A1CD3" w:rsidP="005A1CD3">
            <w:pPr>
              <w:pStyle w:val="CETBodytext"/>
              <w:jc w:val="left"/>
              <w:rPr>
                <w:b/>
                <w:lang w:val="en-GB"/>
              </w:rPr>
            </w:pPr>
            <w:r w:rsidRPr="005437FE">
              <w:rPr>
                <w:b/>
                <w:lang w:val="en-GB"/>
              </w:rPr>
              <w:t xml:space="preserve">Ultrafiltration </w:t>
            </w:r>
          </w:p>
          <w:p w14:paraId="3C2F78E8" w14:textId="0143AB2B" w:rsidR="005A1CD3" w:rsidRPr="005437FE" w:rsidRDefault="005A1CD3" w:rsidP="005A1CD3">
            <w:pPr>
              <w:pStyle w:val="CETBodytext"/>
              <w:jc w:val="left"/>
              <w:rPr>
                <w:b/>
                <w:lang w:val="en-GB"/>
              </w:rPr>
            </w:pPr>
            <w:r w:rsidRPr="005437FE">
              <w:rPr>
                <w:b/>
                <w:lang w:val="en-GB"/>
              </w:rPr>
              <w:t>(UF)</w:t>
            </w:r>
          </w:p>
        </w:tc>
        <w:tc>
          <w:tcPr>
            <w:tcW w:w="7369" w:type="dxa"/>
            <w:tcBorders>
              <w:top w:val="single" w:sz="4" w:space="0" w:color="auto"/>
              <w:bottom w:val="single" w:sz="4" w:space="0" w:color="auto"/>
            </w:tcBorders>
            <w:shd w:val="clear" w:color="auto" w:fill="FFFFFF"/>
          </w:tcPr>
          <w:p w14:paraId="043E26EA" w14:textId="0A64402B" w:rsidR="005A1CD3" w:rsidRPr="00B57B36" w:rsidRDefault="005A1CD3" w:rsidP="00B73529">
            <w:pPr>
              <w:pStyle w:val="CETBodytext"/>
              <w:rPr>
                <w:lang w:val="en-GB"/>
              </w:rPr>
            </w:pPr>
            <w:r>
              <w:rPr>
                <w:lang w:val="en-GB"/>
              </w:rPr>
              <w:t>Ceramic membranes are used in UF modules. The permeate</w:t>
            </w:r>
            <w:r w:rsidR="00321BB5">
              <w:rPr>
                <w:lang w:val="en-GB"/>
              </w:rPr>
              <w:t xml:space="preserve"> (stream 2)</w:t>
            </w:r>
            <w:r>
              <w:rPr>
                <w:lang w:val="en-GB"/>
              </w:rPr>
              <w:t xml:space="preserve"> does not change its salinity and the UF is only able to retain the </w:t>
            </w:r>
            <w:r w:rsidR="00EE1EF1">
              <w:rPr>
                <w:lang w:val="en-GB"/>
              </w:rPr>
              <w:t>highest weight</w:t>
            </w:r>
            <w:r>
              <w:rPr>
                <w:lang w:val="en-GB"/>
              </w:rPr>
              <w:t xml:space="preserve"> organic compounds. A 95 % recovery is assumed and the retentate</w:t>
            </w:r>
            <w:r w:rsidR="00321BB5">
              <w:rPr>
                <w:lang w:val="en-GB"/>
              </w:rPr>
              <w:t xml:space="preserve"> (stream 13)</w:t>
            </w:r>
            <w:r>
              <w:rPr>
                <w:lang w:val="en-GB"/>
              </w:rPr>
              <w:t xml:space="preserve"> of the unit is sent to an oil recovery unit </w:t>
            </w:r>
            <w:r w:rsidR="00EE1EF1">
              <w:rPr>
                <w:lang w:val="en-GB"/>
              </w:rPr>
              <w:t>typically</w:t>
            </w:r>
            <w:r>
              <w:rPr>
                <w:lang w:val="en-GB"/>
              </w:rPr>
              <w:t xml:space="preserve"> present in the situ. The economic model estimate both capital and operative expenditure according to </w:t>
            </w:r>
            <w:r w:rsidR="00744A98">
              <w:rPr>
                <w:lang w:val="en-GB"/>
              </w:rPr>
              <w:fldChar w:fldCharType="begin"/>
            </w:r>
            <w:r w:rsidR="00AC6F67">
              <w:rPr>
                <w:lang w:val="en-GB"/>
              </w:rPr>
              <w:instrText xml:space="preserve"> ADDIN ZOTERO_ITEM CSL_CITATION {"citationID":"loJ8SzAk","properties":{"formattedCitation":"(Nguyen and Yoshikawa, 2019)","plainCitation":"(Nguyen and Yoshikawa, 2019)","dontUpdate":true,"noteIndex":0},"citationItems":[{"id":292,"uris":["http://zotero.org/users/10977437/items/I4WZ8R8R"],"itemData":{"id":292,"type":"article-journal","abstract":"The performance of cross-ﬂow ultraﬁltration is greatly inﬂuenced by permeate ﬂux behavior, which depends on many factors, including solution properties, membrane characteristics, and operating conditions. Currently, most research focuses on improving membrane performance, both in terms of permeability and selectivity. Only a few studies have paid attention to how the membrane module is conﬁgured and operated. In this study, the geometric design and operating conditions of a membrane module are considered as multivariable optimization variables. The objective function is the annual cost. The cost consists of a capital investment depending on the plant scale and an operating expense associated with energy consumption. In the optimization problem, the channel dimensions (width × length × height), and operating conditions (the inlet pressure and recirculation ﬂow rate) were considered as decision variables. The operating conﬁguration of the membrane plant is assumed to be feed and bleed mode, and a model including the pressure drop is introduced. The model is used to simulate the membrane plant and calculate the membrane area and energy usage, which are directly related to the total cost. The genetic algorithm is used for the optimization. The eﬀect of individual parameters on the total cost is discussed.","container-title":"Processes","DOI":"10.3390/pr8010004","ISSN":"2227-9717","issue":"1","journalAbbreviation":"Processes","language":"en","page":"4","source":"DOI.org (Crossref)","title":"Modeling and Economic Optimization of the Membrane Module for Ultrafiltration of Protein Solution Using a Genetic Algorithm","volume":"8","author":[{"family":"Nguyen","given":"Tuan-Anh"},{"family":"Yoshikawa","given":"Shiro"}],"issued":{"date-parts":[["2019",12,18]]}}}],"schema":"https://github.com/citation-style-language/schema/raw/master/csl-citation.json"} </w:instrText>
            </w:r>
            <w:r w:rsidR="00744A98">
              <w:rPr>
                <w:lang w:val="en-GB"/>
              </w:rPr>
              <w:fldChar w:fldCharType="separate"/>
            </w:r>
            <w:r w:rsidR="00744A98" w:rsidRPr="00744A98">
              <w:rPr>
                <w:rFonts w:cs="Arial"/>
              </w:rPr>
              <w:t>Nguyen and Yoshikawa, 2019</w:t>
            </w:r>
            <w:r w:rsidR="00744A98">
              <w:rPr>
                <w:lang w:val="en-GB"/>
              </w:rPr>
              <w:fldChar w:fldCharType="end"/>
            </w:r>
            <w:r>
              <w:rPr>
                <w:lang w:val="en-GB"/>
              </w:rPr>
              <w:t xml:space="preserve">. In order to evaluate some of the costs a flux of </w:t>
            </w:r>
            <w:r w:rsidR="00E55A2F">
              <w:rPr>
                <w:lang w:val="en-GB"/>
              </w:rPr>
              <w:t>3</w:t>
            </w:r>
            <w:r w:rsidR="005437FE">
              <w:rPr>
                <w:lang w:val="en-GB"/>
              </w:rPr>
              <w:t xml:space="preserve">0 </w:t>
            </w:r>
            <w:r w:rsidR="00D52906">
              <w:rPr>
                <w:lang w:val="en-GB"/>
              </w:rPr>
              <w:t>L</w:t>
            </w:r>
            <w:r w:rsidR="008F5694">
              <w:rPr>
                <w:lang w:val="en-GB"/>
              </w:rPr>
              <w:t xml:space="preserve"> </w:t>
            </w:r>
            <w:r w:rsidR="005437FE">
              <w:rPr>
                <w:lang w:val="en-GB"/>
              </w:rPr>
              <w:t>m</w:t>
            </w:r>
            <w:r w:rsidR="005437FE" w:rsidRPr="005437FE">
              <w:rPr>
                <w:vertAlign w:val="superscript"/>
                <w:lang w:val="en-GB"/>
              </w:rPr>
              <w:t>-2</w:t>
            </w:r>
            <w:r w:rsidR="008F5694">
              <w:rPr>
                <w:vertAlign w:val="superscript"/>
                <w:lang w:val="en-GB"/>
              </w:rPr>
              <w:t xml:space="preserve"> </w:t>
            </w:r>
            <w:r w:rsidR="005437FE">
              <w:rPr>
                <w:lang w:val="en-GB"/>
              </w:rPr>
              <w:t>h</w:t>
            </w:r>
            <w:r w:rsidR="005437FE" w:rsidRPr="005437FE">
              <w:rPr>
                <w:vertAlign w:val="superscript"/>
                <w:lang w:val="en-GB"/>
              </w:rPr>
              <w:t>-1</w:t>
            </w:r>
            <w:r>
              <w:rPr>
                <w:lang w:val="en-GB"/>
              </w:rPr>
              <w:t xml:space="preserve"> (deduced by </w:t>
            </w:r>
            <w:r w:rsidR="005437FE">
              <w:rPr>
                <w:lang w:val="en-GB"/>
              </w:rPr>
              <w:fldChar w:fldCharType="begin"/>
            </w:r>
            <w:r w:rsidR="00AC6F67">
              <w:rPr>
                <w:lang w:val="en-GB"/>
              </w:rPr>
              <w:instrText xml:space="preserve"> ADDIN ZOTERO_ITEM CSL_CITATION {"citationID":"4q2To3Yl","properties":{"formattedCitation":"(Baker, 2000)","plainCitation":"(Baker, 2000)","dontUpdate":true,"noteIndex":0},"citationItems":[{"id":296,"uris":["http://zotero.org/users/10977437/items/CPJM79P2"],"itemData":{"id":296,"type":"book","call-number":"TP159.M4 B35 2000","collection-title":"McGraw-Hill professional engineering","event-place":"New York","ISBN":"978-0-07-135440-0","language":"en","number-of-pages":"514","publisher":"McGraw-Hill","publisher-place":"New York","source":"Library of Congress ISBN","title":"Membrane technology and applications","author":[{"family":"Baker","given":"Richard W."}],"issued":{"date-parts":[["2000"]]}}}],"schema":"https://github.com/citation-style-language/schema/raw/master/csl-citation.json"} </w:instrText>
            </w:r>
            <w:r w:rsidR="005437FE">
              <w:rPr>
                <w:lang w:val="en-GB"/>
              </w:rPr>
              <w:fldChar w:fldCharType="separate"/>
            </w:r>
            <w:r w:rsidR="005437FE" w:rsidRPr="005437FE">
              <w:rPr>
                <w:rFonts w:cs="Arial"/>
              </w:rPr>
              <w:t>Baker, 2000</w:t>
            </w:r>
            <w:r w:rsidR="005437FE">
              <w:rPr>
                <w:lang w:val="en-GB"/>
              </w:rPr>
              <w:fldChar w:fldCharType="end"/>
            </w:r>
            <w:r w:rsidR="005437FE">
              <w:rPr>
                <w:lang w:val="en-GB"/>
              </w:rPr>
              <w:t>, Chapter 6</w:t>
            </w:r>
            <w:r>
              <w:rPr>
                <w:lang w:val="en-GB"/>
              </w:rPr>
              <w:t xml:space="preserve">) and a </w:t>
            </w:r>
            <w:r w:rsidR="00772610">
              <w:rPr>
                <w:lang w:val="en-GB"/>
              </w:rPr>
              <w:t>feed</w:t>
            </w:r>
            <w:r w:rsidR="005437FE">
              <w:rPr>
                <w:lang w:val="en-GB"/>
              </w:rPr>
              <w:t xml:space="preserve"> pressure of 5</w:t>
            </w:r>
            <w:r w:rsidR="00B73529">
              <w:rPr>
                <w:lang w:val="en-GB"/>
              </w:rPr>
              <w:t xml:space="preserve"> bar are</w:t>
            </w:r>
            <w:r>
              <w:rPr>
                <w:lang w:val="en-GB"/>
              </w:rPr>
              <w:t xml:space="preserve"> assumed. </w:t>
            </w:r>
          </w:p>
        </w:tc>
      </w:tr>
      <w:tr w:rsidR="005A1CD3" w:rsidRPr="00B57B36" w14:paraId="4B976AEA" w14:textId="77777777" w:rsidTr="004034CE">
        <w:trPr>
          <w:trHeight w:val="465"/>
        </w:trPr>
        <w:tc>
          <w:tcPr>
            <w:tcW w:w="1418" w:type="dxa"/>
            <w:tcBorders>
              <w:top w:val="single" w:sz="4" w:space="0" w:color="auto"/>
              <w:bottom w:val="single" w:sz="4" w:space="0" w:color="auto"/>
            </w:tcBorders>
            <w:shd w:val="clear" w:color="auto" w:fill="FFFFFF"/>
          </w:tcPr>
          <w:p w14:paraId="71A21775" w14:textId="77777777" w:rsidR="005A1CD3" w:rsidRPr="005437FE" w:rsidRDefault="005A1CD3" w:rsidP="005A1CD3">
            <w:pPr>
              <w:pStyle w:val="CETBodytext"/>
              <w:ind w:right="-1"/>
              <w:jc w:val="left"/>
              <w:rPr>
                <w:rFonts w:cs="Arial"/>
                <w:b/>
                <w:szCs w:val="18"/>
                <w:lang w:val="en-GB"/>
              </w:rPr>
            </w:pPr>
            <w:r w:rsidRPr="005437FE">
              <w:rPr>
                <w:rFonts w:cs="Arial"/>
                <w:b/>
                <w:szCs w:val="18"/>
                <w:lang w:val="en-GB"/>
              </w:rPr>
              <w:t xml:space="preserve">Assisted reverse electrodialysis </w:t>
            </w:r>
          </w:p>
          <w:p w14:paraId="2FCE7D27" w14:textId="1E49006D" w:rsidR="005A1CD3" w:rsidRPr="005437FE" w:rsidRDefault="005A1CD3" w:rsidP="005A1CD3">
            <w:pPr>
              <w:pStyle w:val="CETBodytext"/>
              <w:ind w:right="-1"/>
              <w:jc w:val="left"/>
              <w:rPr>
                <w:rFonts w:cs="Arial"/>
                <w:b/>
                <w:szCs w:val="18"/>
                <w:lang w:val="en-GB"/>
              </w:rPr>
            </w:pPr>
            <w:r w:rsidRPr="005437FE">
              <w:rPr>
                <w:rFonts w:cs="Arial"/>
                <w:b/>
                <w:szCs w:val="18"/>
                <w:lang w:val="en-GB"/>
              </w:rPr>
              <w:t>(ARED)</w:t>
            </w:r>
          </w:p>
        </w:tc>
        <w:tc>
          <w:tcPr>
            <w:tcW w:w="7369" w:type="dxa"/>
            <w:tcBorders>
              <w:top w:val="single" w:sz="4" w:space="0" w:color="auto"/>
              <w:bottom w:val="single" w:sz="4" w:space="0" w:color="auto"/>
            </w:tcBorders>
            <w:shd w:val="clear" w:color="auto" w:fill="FFFFFF"/>
          </w:tcPr>
          <w:p w14:paraId="1FA41E9B" w14:textId="74056A91" w:rsidR="005A1CD3" w:rsidRPr="00B57B36" w:rsidRDefault="005A1CD3" w:rsidP="00772610">
            <w:pPr>
              <w:pStyle w:val="CETBodytext"/>
              <w:ind w:right="-1"/>
              <w:rPr>
                <w:rFonts w:cs="Arial"/>
                <w:szCs w:val="18"/>
                <w:lang w:val="en-GB"/>
              </w:rPr>
            </w:pPr>
            <w:r>
              <w:rPr>
                <w:rFonts w:cs="Arial"/>
                <w:szCs w:val="18"/>
                <w:lang w:val="en-GB"/>
              </w:rPr>
              <w:t>The technical model</w:t>
            </w:r>
            <w:r w:rsidR="00744A98">
              <w:rPr>
                <w:rFonts w:cs="Arial"/>
                <w:szCs w:val="18"/>
                <w:lang w:val="en-GB"/>
              </w:rPr>
              <w:t xml:space="preserve"> calibrated </w:t>
            </w:r>
            <w:r w:rsidR="0034133F">
              <w:rPr>
                <w:rFonts w:cs="Arial"/>
                <w:szCs w:val="18"/>
                <w:lang w:val="en-GB"/>
              </w:rPr>
              <w:t>with real</w:t>
            </w:r>
            <w:r w:rsidR="00744A98">
              <w:rPr>
                <w:rFonts w:cs="Arial"/>
                <w:szCs w:val="18"/>
                <w:lang w:val="en-GB"/>
              </w:rPr>
              <w:t xml:space="preserve"> PWs, and the</w:t>
            </w:r>
            <w:r>
              <w:rPr>
                <w:rFonts w:cs="Arial"/>
                <w:szCs w:val="18"/>
                <w:lang w:val="en-GB"/>
              </w:rPr>
              <w:t xml:space="preserve"> economic aspects</w:t>
            </w:r>
            <w:r w:rsidR="00744A98">
              <w:rPr>
                <w:rFonts w:cs="Arial"/>
                <w:szCs w:val="18"/>
                <w:lang w:val="en-GB"/>
              </w:rPr>
              <w:t xml:space="preserve"> and correlations</w:t>
            </w:r>
            <w:r w:rsidR="00772610">
              <w:rPr>
                <w:rFonts w:cs="Arial"/>
                <w:szCs w:val="18"/>
                <w:lang w:val="en-GB"/>
              </w:rPr>
              <w:t xml:space="preserve"> used in this work</w:t>
            </w:r>
            <w:r>
              <w:rPr>
                <w:rFonts w:cs="Arial"/>
                <w:szCs w:val="18"/>
                <w:lang w:val="en-GB"/>
              </w:rPr>
              <w:t xml:space="preserve"> are </w:t>
            </w:r>
            <w:r w:rsidR="0034133F">
              <w:rPr>
                <w:rFonts w:cs="Arial"/>
                <w:szCs w:val="18"/>
                <w:lang w:val="en-GB"/>
              </w:rPr>
              <w:t xml:space="preserve">minutely </w:t>
            </w:r>
            <w:r>
              <w:rPr>
                <w:rFonts w:cs="Arial"/>
                <w:szCs w:val="18"/>
                <w:lang w:val="en-GB"/>
              </w:rPr>
              <w:t xml:space="preserve">described in </w:t>
            </w:r>
            <w:r>
              <w:rPr>
                <w:rFonts w:cs="Arial"/>
                <w:szCs w:val="18"/>
                <w:lang w:val="en-GB"/>
              </w:rPr>
              <w:fldChar w:fldCharType="begin"/>
            </w:r>
            <w:r w:rsidR="00AC6F67">
              <w:rPr>
                <w:rFonts w:cs="Arial"/>
                <w:szCs w:val="18"/>
                <w:lang w:val="en-GB"/>
              </w:rPr>
              <w:instrText xml:space="preserve"> ADDIN ZOTERO_ITEM CSL_CITATION {"citationID":"xyiajglk","properties":{"formattedCitation":"(Campisi et al., 2023)","plainCitation":"(Campisi et al., 2023)","dontUpdate":true,"noteIndex":0},"citationItems":[{"id":6,"uris":["http://zotero.org/users/10977437/items/SRY4623S"],"itemData":{"id":6,"type":"article-journal","abstract":"Produced waters (PWs) are oilfield waste streams rich in minerals and hydrocarbons whose production rate is largely increased in last decades following the corresponding increase of energy demand. The high salinity level of PWs inhibits the adoption of cheap biological treatments. Also, desalination techniques based on osmotic membranes would require severe pre-treatments. As an alternative, Reverse ElectroDialysis (RED) and Assisted Reverse ElectroDialysis (ARED) are here proposed for the first time to reduce the salinity level of PWs. RED may also guarantee an operation cost reduction thanks to its energy generation. An ad-hoc model for RED and ARED is here developed in order to deal suitably with PWs. This is done by a calibration and validation with experi­ mental data purposely collected via RED and ARED units fed by real PWs. The model is integrated with economical equations and a techno-economic analysis is carried out in order to identify the best configuration for the desalination purposes. Results suggest that ARED operation mode is the best option guaranteeing a minimum in the controlled dilution cost corresponding to a 1.32 € per m3 of PWs treated, thus leaving room for an affordable future implementation of more sophisticated treatment chains based on bioremediation.","container-title":"Desalination","DOI":"10.1016/j.desal.2022.116289","ISSN":"00119164","journalAbbreviation":"Desalination","language":"en","page":"116289","source":"DOI.org (Crossref)","title":"Desalination of oilfield produced waters via reverse electrodialysis: A techno-economical assessment","title-short":"Desalination of oilfield produced waters via reverse electrodialysis","volume":"548","author":[{"family":"Campisi","given":"Giovanni"},{"family":"Cosenza","given":"Alessandro"},{"family":"Giacalone","given":"Francesco"},{"family":"Randazzo","given":"Serena"},{"family":"Tamburini","given":"Alessandro"},{"family":"Micale","given":"Giorgio"}],"issued":{"date-parts":[["2023",2]]}}}],"schema":"https://github.com/citation-style-language/schema/raw/master/csl-citation.json"} </w:instrText>
            </w:r>
            <w:r>
              <w:rPr>
                <w:rFonts w:cs="Arial"/>
                <w:szCs w:val="18"/>
                <w:lang w:val="en-GB"/>
              </w:rPr>
              <w:fldChar w:fldCharType="separate"/>
            </w:r>
            <w:r w:rsidR="003A75AA" w:rsidRPr="003A75AA">
              <w:rPr>
                <w:rFonts w:cs="Arial"/>
              </w:rPr>
              <w:t>Campisi et al., 2023</w:t>
            </w:r>
            <w:r>
              <w:rPr>
                <w:rFonts w:cs="Arial"/>
                <w:szCs w:val="18"/>
                <w:lang w:val="en-GB"/>
              </w:rPr>
              <w:fldChar w:fldCharType="end"/>
            </w:r>
            <w:r w:rsidR="003A75AA">
              <w:rPr>
                <w:rFonts w:cs="Arial"/>
                <w:szCs w:val="18"/>
                <w:lang w:val="en-GB"/>
              </w:rPr>
              <w:t>.</w:t>
            </w:r>
            <w:r w:rsidR="0017367B">
              <w:rPr>
                <w:rFonts w:cs="Arial"/>
                <w:szCs w:val="18"/>
                <w:lang w:val="en-GB"/>
              </w:rPr>
              <w:t xml:space="preserve"> The co</w:t>
            </w:r>
            <w:r w:rsidR="0017367B" w:rsidRPr="0017367B">
              <w:rPr>
                <w:rFonts w:cs="Arial"/>
                <w:szCs w:val="18"/>
                <w:lang w:val="en-GB"/>
              </w:rPr>
              <w:t>st</w:t>
            </w:r>
            <w:r w:rsidR="0017367B" w:rsidRPr="0017367B">
              <w:t xml:space="preserve"> of the ARED membranes is chosen as a </w:t>
            </w:r>
            <w:r w:rsidR="00EE1EF1">
              <w:t>possible future</w:t>
            </w:r>
            <w:r w:rsidR="0017367B" w:rsidRPr="0017367B">
              <w:t xml:space="preserve"> cost </w:t>
            </w:r>
            <w:r w:rsidR="00EE1EF1">
              <w:t xml:space="preserve">achievable with a future suitable economy of scale making </w:t>
            </w:r>
            <w:r w:rsidR="0017367B" w:rsidRPr="0017367B">
              <w:t>the technology market competitive</w:t>
            </w:r>
            <w:r w:rsidR="0017367B">
              <w:t xml:space="preserve"> with other industrial application</w:t>
            </w:r>
            <w:r w:rsidR="00EE1EF1">
              <w:t>s</w:t>
            </w:r>
            <w:r w:rsidR="0017367B" w:rsidRPr="0017367B">
              <w:t>.</w:t>
            </w:r>
          </w:p>
        </w:tc>
      </w:tr>
      <w:tr w:rsidR="005A1CD3" w:rsidRPr="00B57B36" w14:paraId="589FAD88" w14:textId="77777777" w:rsidTr="004034CE">
        <w:trPr>
          <w:trHeight w:val="465"/>
        </w:trPr>
        <w:tc>
          <w:tcPr>
            <w:tcW w:w="1418" w:type="dxa"/>
            <w:tcBorders>
              <w:top w:val="single" w:sz="4" w:space="0" w:color="auto"/>
              <w:bottom w:val="single" w:sz="4" w:space="0" w:color="auto"/>
            </w:tcBorders>
            <w:shd w:val="clear" w:color="auto" w:fill="FFFFFF"/>
          </w:tcPr>
          <w:p w14:paraId="7328B12B" w14:textId="38214C9D" w:rsidR="005A1CD3" w:rsidRPr="005437FE" w:rsidRDefault="00B73529" w:rsidP="00AC6F67">
            <w:pPr>
              <w:pStyle w:val="CETBodytext"/>
              <w:ind w:right="-1"/>
              <w:jc w:val="left"/>
              <w:rPr>
                <w:rFonts w:cs="Arial"/>
                <w:b/>
                <w:szCs w:val="18"/>
                <w:lang w:val="en-GB"/>
              </w:rPr>
            </w:pPr>
            <w:r>
              <w:rPr>
                <w:rFonts w:cs="Arial"/>
                <w:b/>
                <w:szCs w:val="18"/>
                <w:lang w:val="en-GB"/>
              </w:rPr>
              <w:t>Membrane bio-</w:t>
            </w:r>
            <w:r w:rsidR="00513DAB">
              <w:rPr>
                <w:rFonts w:cs="Arial"/>
                <w:b/>
                <w:szCs w:val="18"/>
                <w:lang w:val="en-GB"/>
              </w:rPr>
              <w:t>reactor (M</w:t>
            </w:r>
            <w:r w:rsidR="005A1CD3" w:rsidRPr="005437FE">
              <w:rPr>
                <w:rFonts w:cs="Arial"/>
                <w:b/>
                <w:szCs w:val="18"/>
                <w:lang w:val="en-GB"/>
              </w:rPr>
              <w:t>BR)</w:t>
            </w:r>
          </w:p>
        </w:tc>
        <w:tc>
          <w:tcPr>
            <w:tcW w:w="7369" w:type="dxa"/>
            <w:tcBorders>
              <w:top w:val="single" w:sz="4" w:space="0" w:color="auto"/>
              <w:bottom w:val="single" w:sz="4" w:space="0" w:color="auto"/>
            </w:tcBorders>
            <w:shd w:val="clear" w:color="auto" w:fill="FFFFFF"/>
          </w:tcPr>
          <w:p w14:paraId="7B21BEBF" w14:textId="5C367ECB" w:rsidR="00810DCE" w:rsidRPr="00810DCE" w:rsidRDefault="00B73529" w:rsidP="00B13353">
            <w:pPr>
              <w:pStyle w:val="CETBodytext"/>
              <w:ind w:right="-1"/>
              <w:rPr>
                <w:rFonts w:cs="Arial"/>
                <w:szCs w:val="18"/>
                <w:lang w:val="en-GB"/>
              </w:rPr>
            </w:pPr>
            <w:r>
              <w:rPr>
                <w:rFonts w:cs="Arial"/>
                <w:szCs w:val="18"/>
                <w:lang w:val="en-GB"/>
              </w:rPr>
              <w:t>The MB</w:t>
            </w:r>
            <w:r w:rsidR="003A75AA">
              <w:rPr>
                <w:rFonts w:cs="Arial"/>
                <w:szCs w:val="18"/>
                <w:lang w:val="en-GB"/>
              </w:rPr>
              <w:t>R is assumed ideal</w:t>
            </w:r>
            <w:r w:rsidR="00FF586A">
              <w:rPr>
                <w:rFonts w:cs="Arial"/>
                <w:szCs w:val="18"/>
                <w:lang w:val="en-GB"/>
              </w:rPr>
              <w:t>.</w:t>
            </w:r>
            <w:r w:rsidR="003A75AA">
              <w:rPr>
                <w:rFonts w:cs="Arial"/>
                <w:szCs w:val="18"/>
                <w:lang w:val="en-GB"/>
              </w:rPr>
              <w:t xml:space="preserve"> The purge</w:t>
            </w:r>
            <w:r w:rsidR="00321BB5">
              <w:rPr>
                <w:rFonts w:cs="Arial"/>
                <w:szCs w:val="18"/>
                <w:lang w:val="en-GB"/>
              </w:rPr>
              <w:t xml:space="preserve"> </w:t>
            </w:r>
            <w:r w:rsidR="00B13353">
              <w:rPr>
                <w:rFonts w:cs="Arial"/>
                <w:szCs w:val="18"/>
                <w:lang w:val="en-GB"/>
              </w:rPr>
              <w:t xml:space="preserve">flow </w:t>
            </w:r>
            <w:r w:rsidR="00321BB5">
              <w:rPr>
                <w:rFonts w:cs="Arial"/>
                <w:szCs w:val="18"/>
                <w:lang w:val="en-GB"/>
              </w:rPr>
              <w:t xml:space="preserve">(stream </w:t>
            </w:r>
            <w:r w:rsidR="00AC6F67">
              <w:rPr>
                <w:rFonts w:cs="Arial"/>
                <w:szCs w:val="18"/>
                <w:lang w:val="en-GB"/>
              </w:rPr>
              <w:t>5</w:t>
            </w:r>
            <w:r w:rsidR="00321BB5">
              <w:rPr>
                <w:rFonts w:cs="Arial"/>
                <w:szCs w:val="18"/>
                <w:lang w:val="en-GB"/>
              </w:rPr>
              <w:t>)</w:t>
            </w:r>
            <w:r w:rsidR="003A75AA">
              <w:rPr>
                <w:rFonts w:cs="Arial"/>
                <w:szCs w:val="18"/>
                <w:lang w:val="en-GB"/>
              </w:rPr>
              <w:t xml:space="preserve"> is </w:t>
            </w:r>
            <w:r w:rsidR="00321BB5">
              <w:rPr>
                <w:rFonts w:cs="Arial"/>
                <w:szCs w:val="18"/>
                <w:lang w:val="en-GB"/>
              </w:rPr>
              <w:t xml:space="preserve">assumed </w:t>
            </w:r>
            <w:r w:rsidR="003A75AA">
              <w:rPr>
                <w:rFonts w:cs="Arial"/>
                <w:szCs w:val="18"/>
                <w:lang w:val="en-GB"/>
              </w:rPr>
              <w:t>negligible.</w:t>
            </w:r>
            <w:r w:rsidR="00B22630">
              <w:rPr>
                <w:rFonts w:cs="Arial"/>
                <w:szCs w:val="18"/>
                <w:lang w:val="en-GB"/>
              </w:rPr>
              <w:t xml:space="preserve"> </w:t>
            </w:r>
            <w:r w:rsidR="003A75AA">
              <w:rPr>
                <w:rFonts w:cs="Arial"/>
                <w:szCs w:val="18"/>
                <w:lang w:val="en-GB"/>
              </w:rPr>
              <w:t>The costs</w:t>
            </w:r>
            <w:r w:rsidR="00A96B20">
              <w:rPr>
                <w:rFonts w:cs="Arial"/>
                <w:szCs w:val="18"/>
                <w:lang w:val="en-GB"/>
              </w:rPr>
              <w:t xml:space="preserve"> (function of the </w:t>
            </w:r>
            <w:r w:rsidR="00456282">
              <w:rPr>
                <w:rFonts w:cs="Arial"/>
                <w:szCs w:val="18"/>
                <w:lang w:val="en-GB"/>
              </w:rPr>
              <w:t>scale</w:t>
            </w:r>
            <w:r w:rsidR="00E90933">
              <w:rPr>
                <w:rFonts w:cs="Arial"/>
                <w:szCs w:val="18"/>
                <w:lang w:val="en-GB"/>
              </w:rPr>
              <w:t>, i.e. stream 3)</w:t>
            </w:r>
            <w:r w:rsidR="003A75AA">
              <w:rPr>
                <w:rFonts w:cs="Arial"/>
                <w:szCs w:val="18"/>
                <w:lang w:val="en-GB"/>
              </w:rPr>
              <w:t xml:space="preserve"> are estimated </w:t>
            </w:r>
            <w:r w:rsidR="00AC6F67">
              <w:rPr>
                <w:rFonts w:cs="Arial"/>
                <w:szCs w:val="18"/>
                <w:lang w:val="en-GB"/>
              </w:rPr>
              <w:t xml:space="preserve">according to </w:t>
            </w:r>
            <w:r w:rsidR="00AC6F67">
              <w:rPr>
                <w:rFonts w:cs="Arial"/>
                <w:szCs w:val="18"/>
                <w:lang w:val="en-GB"/>
              </w:rPr>
              <w:fldChar w:fldCharType="begin"/>
            </w:r>
            <w:r w:rsidR="00AC6F67">
              <w:rPr>
                <w:rFonts w:cs="Arial"/>
                <w:szCs w:val="18"/>
                <w:lang w:val="en-GB"/>
              </w:rPr>
              <w:instrText xml:space="preserve"> ADDIN ZOTERO_ITEM CSL_CITATION {"citationID":"QHAGaZFp","properties":{"formattedCitation":"(Iglesias et al., 2017)","plainCitation":"(Iglesias et al., 2017)","noteIndex":0},"citationItems":[{"id":304,"uris":["http://zotero.org/users/10977437/items/5H2P54PT"],"itemData":{"id":304,"type":"article-journal","abstract":"The paper assesses the costs of full-scale membrane bioreactors (MBRs). Capital expenditures (CAPEX) and operating expenses (OPEX) of Spanish MBR facilities have been verified and compared to activated sludge plants (CAS) using water reclamation treatment (both conventional and advanced). Spanish MBR facilities require a production of 0.6 to 1.2 kWh per m3, while extended aeration (EA) and advanced reclamation treatment require 1.2 kWh per m3. The energy represents around 40% of the OPEX in MBRs. In terms of CAPEX, the implementation costs of a CAS facility followed by conventional water reclamation treatment (physical–chemical + sand filtration + disinfection) ranged from 730 to 850 €.m−3d, and from 1,050 to 1,250 €.m−3d in the case of advanced reclamation treatment facilities (membrane filtration) with a capacity of 8,000 to 15,000 m3d−1. The MBR cost for similar capacities ranges between 700 and 960 €.m−3d. This study shows that MBRs that have been recently installed represent a cost competitive option for water reuse applications for medium and large capacities (over 10,000 m3d−1), with similar OPEX to EA and conventional water reclamation treatment. In terms of CAPEX, MBRs are cheaper than EA, followed by advanced water reclamation treatment.","container-title":"Water Science and Technology","DOI":"10.2166/wst.2017.132","ISSN":"0273-1223, 1996-9732","issue":"11","language":"en","page":"2562-2570","source":"DOI.org (Crossref)","title":"Cost comparison of full-scale water reclamation technologies with an emphasis on membrane bioreactors","volume":"75","author":[{"family":"Iglesias","given":"Raquel"},{"family":"Simón","given":"Pedro"},{"family":"Moragas","given":"Lucas"},{"family":"Arce","given":"Augusto"},{"family":"Rodriguez-Roda","given":"Ignasi"}],"issued":{"date-parts":[["2017",6,15]]}}}],"schema":"https://github.com/citation-style-language/schema/raw/master/csl-citation.json"} </w:instrText>
            </w:r>
            <w:r w:rsidR="00AC6F67">
              <w:rPr>
                <w:rFonts w:cs="Arial"/>
                <w:szCs w:val="18"/>
                <w:lang w:val="en-GB"/>
              </w:rPr>
              <w:fldChar w:fldCharType="separate"/>
            </w:r>
            <w:r w:rsidR="00EA13B7" w:rsidRPr="00EA13B7">
              <w:rPr>
                <w:rFonts w:cs="Arial"/>
              </w:rPr>
              <w:t>Iglesias et al., 2017</w:t>
            </w:r>
            <w:r w:rsidR="00AC6F67">
              <w:rPr>
                <w:rFonts w:cs="Arial"/>
                <w:szCs w:val="18"/>
                <w:lang w:val="en-GB"/>
              </w:rPr>
              <w:fldChar w:fldCharType="end"/>
            </w:r>
            <w:r w:rsidR="00AC6F67">
              <w:rPr>
                <w:rFonts w:cs="Arial"/>
                <w:szCs w:val="18"/>
                <w:lang w:val="en-GB"/>
              </w:rPr>
              <w:t>.</w:t>
            </w:r>
          </w:p>
        </w:tc>
      </w:tr>
      <w:tr w:rsidR="005A1CD3" w:rsidRPr="00B57B36" w14:paraId="1D7F41FD" w14:textId="77777777" w:rsidTr="004034CE">
        <w:trPr>
          <w:trHeight w:val="465"/>
        </w:trPr>
        <w:tc>
          <w:tcPr>
            <w:tcW w:w="1418" w:type="dxa"/>
            <w:tcBorders>
              <w:top w:val="single" w:sz="4" w:space="0" w:color="auto"/>
              <w:bottom w:val="single" w:sz="12" w:space="0" w:color="008000"/>
            </w:tcBorders>
            <w:shd w:val="clear" w:color="auto" w:fill="FFFFFF"/>
          </w:tcPr>
          <w:p w14:paraId="27083771" w14:textId="77777777" w:rsidR="005A1CD3" w:rsidRPr="005437FE" w:rsidRDefault="005A1CD3" w:rsidP="005A1CD3">
            <w:pPr>
              <w:pStyle w:val="CETBodytext"/>
              <w:ind w:right="-1"/>
              <w:jc w:val="left"/>
              <w:rPr>
                <w:rFonts w:cs="Arial"/>
                <w:b/>
                <w:szCs w:val="18"/>
                <w:lang w:val="en-GB"/>
              </w:rPr>
            </w:pPr>
            <w:r w:rsidRPr="005437FE">
              <w:rPr>
                <w:rFonts w:cs="Arial"/>
                <w:b/>
                <w:szCs w:val="18"/>
                <w:lang w:val="en-GB"/>
              </w:rPr>
              <w:t xml:space="preserve">Reverse osmosis </w:t>
            </w:r>
          </w:p>
          <w:p w14:paraId="526DF2C1" w14:textId="4E838814" w:rsidR="005A1CD3" w:rsidRPr="005437FE" w:rsidRDefault="005A1CD3" w:rsidP="005A1CD3">
            <w:pPr>
              <w:pStyle w:val="CETBodytext"/>
              <w:ind w:right="-1"/>
              <w:jc w:val="left"/>
              <w:rPr>
                <w:rFonts w:cs="Arial"/>
                <w:b/>
                <w:szCs w:val="18"/>
                <w:lang w:val="en-GB"/>
              </w:rPr>
            </w:pPr>
            <w:r w:rsidRPr="005437FE">
              <w:rPr>
                <w:rFonts w:cs="Arial"/>
                <w:b/>
                <w:szCs w:val="18"/>
                <w:lang w:val="en-GB"/>
              </w:rPr>
              <w:t>(RO)</w:t>
            </w:r>
          </w:p>
        </w:tc>
        <w:tc>
          <w:tcPr>
            <w:tcW w:w="7369" w:type="dxa"/>
            <w:tcBorders>
              <w:top w:val="single" w:sz="4" w:space="0" w:color="auto"/>
              <w:bottom w:val="single" w:sz="12" w:space="0" w:color="008000"/>
            </w:tcBorders>
            <w:shd w:val="clear" w:color="auto" w:fill="FFFFFF"/>
          </w:tcPr>
          <w:p w14:paraId="5F06A89C" w14:textId="53B2408C" w:rsidR="003A75AA" w:rsidRPr="00B57B36" w:rsidRDefault="003A75AA" w:rsidP="00772610">
            <w:pPr>
              <w:pStyle w:val="CETBodytext"/>
              <w:ind w:right="-1"/>
              <w:rPr>
                <w:rFonts w:cs="Arial"/>
                <w:szCs w:val="18"/>
                <w:lang w:val="en-GB"/>
              </w:rPr>
            </w:pPr>
            <w:r>
              <w:rPr>
                <w:rFonts w:cs="Arial"/>
                <w:szCs w:val="18"/>
                <w:lang w:val="en-GB"/>
              </w:rPr>
              <w:t>The RO unit is constituted by 7 elements in series</w:t>
            </w:r>
            <w:r w:rsidR="00515733">
              <w:rPr>
                <w:rFonts w:cs="Arial"/>
                <w:szCs w:val="18"/>
                <w:lang w:val="en-GB"/>
              </w:rPr>
              <w:t xml:space="preserve">, it is assumed that the feed inlet is constituted by a concentration of </w:t>
            </w:r>
            <w:r w:rsidR="0034133F">
              <w:rPr>
                <w:rFonts w:cs="Arial"/>
                <w:szCs w:val="18"/>
                <w:lang w:val="en-GB"/>
              </w:rPr>
              <w:t xml:space="preserve">NaCl </w:t>
            </w:r>
            <w:r w:rsidR="00515733">
              <w:rPr>
                <w:rFonts w:cs="Arial"/>
                <w:szCs w:val="18"/>
                <w:lang w:val="en-GB"/>
              </w:rPr>
              <w:t>only</w:t>
            </w:r>
            <w:r w:rsidR="0034133F">
              <w:rPr>
                <w:rFonts w:cs="Arial"/>
                <w:szCs w:val="18"/>
                <w:lang w:val="en-GB"/>
              </w:rPr>
              <w:t>. F</w:t>
            </w:r>
            <w:r>
              <w:rPr>
                <w:rFonts w:cs="Arial"/>
                <w:szCs w:val="18"/>
                <w:lang w:val="en-GB"/>
              </w:rPr>
              <w:t xml:space="preserve">urther details are described in Table 3. The technical model of the unit is </w:t>
            </w:r>
            <w:r w:rsidR="0034133F">
              <w:rPr>
                <w:rFonts w:cs="Arial"/>
                <w:szCs w:val="18"/>
                <w:lang w:val="en-GB"/>
              </w:rPr>
              <w:t>reported</w:t>
            </w:r>
            <w:r>
              <w:rPr>
                <w:rFonts w:cs="Arial"/>
                <w:szCs w:val="18"/>
                <w:lang w:val="en-GB"/>
              </w:rPr>
              <w:t xml:space="preserve"> in </w:t>
            </w:r>
            <w:r>
              <w:rPr>
                <w:rFonts w:cs="Arial"/>
                <w:szCs w:val="18"/>
                <w:lang w:val="en-GB"/>
              </w:rPr>
              <w:fldChar w:fldCharType="begin"/>
            </w:r>
            <w:r>
              <w:rPr>
                <w:rFonts w:cs="Arial"/>
                <w:szCs w:val="18"/>
                <w:lang w:val="en-GB"/>
              </w:rPr>
              <w:instrText xml:space="preserve"> ADDIN ZOTERO_ITEM CSL_CITATION {"citationID":"Aul3EUIz","properties":{"formattedCitation":"(La Cerva et al., 2019)","plainCitation":"(La Cerva et al., 2019)","noteIndex":0},"citationItems":[{"id":290,"uris":["http://zotero.org/users/10977437/items/LI3MYNNI"],"itemData":{"id":290,"type":"article-journal","abstract":"The need to reduce energy consumption in seawater Reverse Osmosis (RO) process has pushed research towards the development of new hybrid systems in which, for example, other membrane processes can be used to pretreat seawater. Electrodialysis (ED) and Reverse Electrodialysis (RED) can act as a pre-desalting step before seawater enters the RO unit, thus leading to an important energy saving in RO. In this work, two coupled models are proposed for the RED-RO and ED-RO systems. Each process model was validated. Then a sensitivity analysis was performed to assess the effect of the integration on the overall process cost saving. The analysis was performed by changing ED or RED voltage and RO pressure and considering eight different cost scenarios. The performance of the hybrid system was compared with the stand-alone seawater RO process. Competitive scenarios were found especially for the RED-RO case, by optimizing the pre-desalting extent, with significant cost saving and promising potentials for future industrial implementation.","container-title":"Desalination","DOI":"10.1016/j.desal.2019.06.010","ISSN":"00119164","journalAbbreviation":"Desalination","language":"en","page":"175-195","source":"DOI.org (Crossref)","title":"Modelling and cost analysis of hybrid systems for seawater desalination: Electromembrane pre-treatments for Reverse Osmosis","title-short":"Modelling and cost analysis of hybrid systems for seawater desalination","volume":"467","author":[{"family":"La Cerva","given":"Mariagiorgia"},{"family":"Gurreri","given":"Luigi"},{"family":"Cipollina","given":"Andrea"},{"family":"Tamburini","given":"Alessandro"},{"family":"Ciofalo","given":"Michele"},{"family":"Micale","given":"Giorgio"}],"issued":{"date-parts":[["2019",10]]}}}],"schema":"https://github.com/citation-style-language/schema/raw/master/csl-citation.json"} </w:instrText>
            </w:r>
            <w:r>
              <w:rPr>
                <w:rFonts w:cs="Arial"/>
                <w:szCs w:val="18"/>
                <w:lang w:val="en-GB"/>
              </w:rPr>
              <w:fldChar w:fldCharType="separate"/>
            </w:r>
            <w:r w:rsidR="00EA13B7" w:rsidRPr="00EA13B7">
              <w:rPr>
                <w:rFonts w:cs="Arial"/>
              </w:rPr>
              <w:t>La Cerva et al., 2019</w:t>
            </w:r>
            <w:r>
              <w:rPr>
                <w:rFonts w:cs="Arial"/>
                <w:szCs w:val="18"/>
                <w:lang w:val="en-GB"/>
              </w:rPr>
              <w:fldChar w:fldCharType="end"/>
            </w:r>
            <w:r w:rsidR="00456282">
              <w:rPr>
                <w:rFonts w:cs="Arial"/>
                <w:szCs w:val="18"/>
                <w:lang w:val="en-GB"/>
              </w:rPr>
              <w:t xml:space="preserve">; </w:t>
            </w:r>
            <w:r>
              <w:rPr>
                <w:rFonts w:cs="Arial"/>
                <w:szCs w:val="18"/>
                <w:lang w:val="en-GB"/>
              </w:rPr>
              <w:t xml:space="preserve">the </w:t>
            </w:r>
            <w:r w:rsidR="00F00442">
              <w:rPr>
                <w:rFonts w:cs="Arial"/>
                <w:szCs w:val="18"/>
                <w:lang w:val="en-GB"/>
              </w:rPr>
              <w:t>economic</w:t>
            </w:r>
            <w:r w:rsidR="00D52906">
              <w:rPr>
                <w:rFonts w:cs="Arial"/>
                <w:szCs w:val="18"/>
                <w:lang w:val="en-GB"/>
              </w:rPr>
              <w:t xml:space="preserve"> model</w:t>
            </w:r>
            <w:r>
              <w:rPr>
                <w:rFonts w:cs="Arial"/>
                <w:szCs w:val="18"/>
                <w:lang w:val="en-GB"/>
              </w:rPr>
              <w:t xml:space="preserve"> </w:t>
            </w:r>
            <w:r w:rsidR="00456282">
              <w:rPr>
                <w:rFonts w:cs="Arial"/>
                <w:szCs w:val="18"/>
                <w:lang w:val="en-GB"/>
              </w:rPr>
              <w:t>is in accordance to</w:t>
            </w:r>
            <w:r>
              <w:rPr>
                <w:rFonts w:cs="Arial"/>
                <w:szCs w:val="18"/>
                <w:lang w:val="en-GB"/>
              </w:rPr>
              <w:t xml:space="preserve"> </w:t>
            </w:r>
            <w:r w:rsidR="00744A98">
              <w:rPr>
                <w:rFonts w:cs="Arial"/>
                <w:szCs w:val="18"/>
                <w:lang w:val="en-GB"/>
              </w:rPr>
              <w:fldChar w:fldCharType="begin"/>
            </w:r>
            <w:r w:rsidR="00744A98">
              <w:rPr>
                <w:rFonts w:cs="Arial"/>
                <w:szCs w:val="18"/>
                <w:lang w:val="en-GB"/>
              </w:rPr>
              <w:instrText xml:space="preserve"> ADDIN ZOTERO_ITEM CSL_CITATION {"citationID":"ydakluM5","properties":{"formattedCitation":"(Park et al., 2017)","plainCitation":"(Park et al., 2017)","noteIndex":0},"citationItems":[{"id":294,"uris":["http://zotero.org/users/10977437/items/ZSFWT9HJ"],"itemData":{"id":294,"type":"article-journal","abstract":"In this study, a newly devised seawater desalination process, namely, the draw solution assisted reverse osmosis (DSARO) process, is proposed. A mathematical model for the DSARO process was developed and energy consumption and economic evaluation models were constructed to assess the feasibility of the DSARO process compared to the conventional reverse osmosis (RO) process. This work presents a characterization of important variables and the research on the eﬀects of these variables. Compared to the conventional RO process, the DSARO process could have a 10% lower speciﬁc water production cost. The operating pressures required to reach 40% of overall recovery were approximately 35 bar in the 1st RO process, and 30 bar in the 2nd RO process. Due to its operating pressure being lower than the conventional RO process, the capital and membrane replacement costs could be reduced. The required conditions in the 1st RO membrane to drive the DSARO process were that the membrane structure parameter must be lower than 0.13 mm, and the maximum operating pressure should be higher than 35 bar. Even though these conditions are not available commercially at present, they could be attained based on the best available membrane technology in the literature.","container-title":"Desalination","DOI":"10.1016/j.desal.2017.08.026","ISSN":"00119164","journalAbbreviation":"Desalination","language":"en","page":"182-193","source":"DOI.org (Crossref)","title":"Cost-based feasibility study and sensitivity analysis of a new draw solution assisted reverse osmosis (DSARO) process for seawater desalination","volume":"422","author":[{"family":"Park","given":"Kiho"},{"family":"Kim","given":"Do Yeon"},{"family":"Yang","given":"Dae Ryook"}],"issued":{"date-parts":[["2017",11]]}}}],"schema":"https://github.com/citation-style-language/schema/raw/master/csl-citation.json"} </w:instrText>
            </w:r>
            <w:r w:rsidR="00744A98">
              <w:rPr>
                <w:rFonts w:cs="Arial"/>
                <w:szCs w:val="18"/>
                <w:lang w:val="en-GB"/>
              </w:rPr>
              <w:fldChar w:fldCharType="separate"/>
            </w:r>
            <w:r w:rsidR="00EA13B7" w:rsidRPr="00EA13B7">
              <w:rPr>
                <w:rFonts w:cs="Arial"/>
              </w:rPr>
              <w:t>Park et al., 2017</w:t>
            </w:r>
            <w:r w:rsidR="00744A98">
              <w:rPr>
                <w:rFonts w:cs="Arial"/>
                <w:szCs w:val="18"/>
                <w:lang w:val="en-GB"/>
              </w:rPr>
              <w:fldChar w:fldCharType="end"/>
            </w:r>
            <w:r w:rsidR="00744A98">
              <w:rPr>
                <w:rFonts w:cs="Arial"/>
                <w:szCs w:val="18"/>
                <w:lang w:val="en-GB"/>
              </w:rPr>
              <w:t>.</w:t>
            </w:r>
          </w:p>
        </w:tc>
      </w:tr>
    </w:tbl>
    <w:p w14:paraId="23B4366A" w14:textId="5F9E98CD" w:rsidR="00515733" w:rsidRDefault="002178BB" w:rsidP="00515733">
      <w:pPr>
        <w:pStyle w:val="CETBodytext"/>
      </w:pPr>
      <w:r>
        <w:t xml:space="preserve">The </w:t>
      </w:r>
      <w:r w:rsidR="009F1795">
        <w:t xml:space="preserve">integrated model </w:t>
      </w:r>
      <w:r>
        <w:t xml:space="preserve">is able to </w:t>
      </w:r>
      <w:r w:rsidR="00B379CF">
        <w:t>solve</w:t>
      </w:r>
      <w:r>
        <w:t xml:space="preserve"> the mass balances, predict the output and the behavior of the ARED and RO processes and calculate the costs of the different units, </w:t>
      </w:r>
      <w:r w:rsidR="0039158A">
        <w:t>i.e.,</w:t>
      </w:r>
      <w:r w:rsidR="0034133F">
        <w:t xml:space="preserve"> </w:t>
      </w:r>
      <w:r>
        <w:t>both fixed capital investment (FCI, €) and operative expenditure (Opex, € year</w:t>
      </w:r>
      <w:r w:rsidRPr="00880340">
        <w:rPr>
          <w:vertAlign w:val="superscript"/>
        </w:rPr>
        <w:t>-1</w:t>
      </w:r>
      <w:r>
        <w:t>). The Opex depends on the day-to-day operation of the plant such as chemical</w:t>
      </w:r>
      <w:r w:rsidR="00B379CF">
        <w:t>s</w:t>
      </w:r>
      <w:r>
        <w:t>, electricity</w:t>
      </w:r>
      <w:r w:rsidR="00B379CF">
        <w:t>,</w:t>
      </w:r>
      <w:r>
        <w:t xml:space="preserve"> </w:t>
      </w:r>
      <w:r w:rsidR="00254EED">
        <w:t>etc.</w:t>
      </w:r>
      <w:r>
        <w:t xml:space="preserve">, </w:t>
      </w:r>
      <w:r w:rsidR="0034133F">
        <w:t>whilst</w:t>
      </w:r>
      <w:r>
        <w:t xml:space="preserve"> the FCI is </w:t>
      </w:r>
      <w:r w:rsidR="00B379CF">
        <w:t>cost needed to purchase</w:t>
      </w:r>
      <w:r>
        <w:t xml:space="preserve"> the equipment and build the plant. For a better comparison of these two different costs, the FCI is annualized </w:t>
      </w:r>
      <w:r w:rsidR="009F1795">
        <w:t xml:space="preserve">considering a discount rate </w:t>
      </w:r>
      <w:r w:rsidR="009F1795" w:rsidRPr="0034133F">
        <w:rPr>
          <w:i/>
          <w:iCs/>
        </w:rPr>
        <w:t>r</w:t>
      </w:r>
      <w:r w:rsidR="009F1795">
        <w:t xml:space="preserve"> and </w:t>
      </w:r>
      <w:r w:rsidRPr="0034133F">
        <w:rPr>
          <w:i/>
          <w:iCs/>
        </w:rPr>
        <w:t>t</w:t>
      </w:r>
      <w:r>
        <w:t xml:space="preserve"> years of plant lifetime, according to eq. 1.</w:t>
      </w:r>
    </w:p>
    <w:tbl>
      <w:tblPr>
        <w:tblW w:w="5000" w:type="pct"/>
        <w:tblLook w:val="04A0" w:firstRow="1" w:lastRow="0" w:firstColumn="1" w:lastColumn="0" w:noHBand="0" w:noVBand="1"/>
      </w:tblPr>
      <w:tblGrid>
        <w:gridCol w:w="7986"/>
        <w:gridCol w:w="801"/>
      </w:tblGrid>
      <w:tr w:rsidR="002178BB" w:rsidRPr="00B57B36" w14:paraId="4D9EFC16" w14:textId="77777777" w:rsidTr="008D5A5F">
        <w:tc>
          <w:tcPr>
            <w:tcW w:w="7986" w:type="dxa"/>
            <w:shd w:val="clear" w:color="auto" w:fill="auto"/>
            <w:vAlign w:val="center"/>
          </w:tcPr>
          <w:p w14:paraId="48766F67" w14:textId="7FDA15B2" w:rsidR="002178BB" w:rsidRPr="0090594A" w:rsidRDefault="0090594A" w:rsidP="002178BB">
            <w:pPr>
              <w:pStyle w:val="CETEquation"/>
              <w:rPr>
                <w:rFonts w:cs="Arial"/>
              </w:rPr>
            </w:pPr>
            <m:oMathPara>
              <m:oMathParaPr>
                <m:jc m:val="left"/>
              </m:oMathParaPr>
              <m:oMath>
                <m:r>
                  <m:rPr>
                    <m:sty m:val="p"/>
                  </m:rPr>
                  <w:rPr>
                    <w:rFonts w:ascii="Cambria Math" w:hAnsi="Cambria Math" w:cs="Arial"/>
                  </w:rPr>
                  <m:t>Acapex=</m:t>
                </m:r>
                <m:f>
                  <m:fPr>
                    <m:ctrlPr>
                      <w:rPr>
                        <w:rFonts w:ascii="Cambria Math" w:hAnsi="Cambria Math" w:cs="Arial"/>
                      </w:rPr>
                    </m:ctrlPr>
                  </m:fPr>
                  <m:num>
                    <m:r>
                      <m:rPr>
                        <m:sty m:val="p"/>
                      </m:rPr>
                      <w:rPr>
                        <w:rFonts w:ascii="Cambria Math" w:hAnsi="Cambria Math" w:cs="Arial"/>
                      </w:rPr>
                      <m:t>r</m:t>
                    </m:r>
                    <m:sSup>
                      <m:sSupPr>
                        <m:ctrlPr>
                          <w:rPr>
                            <w:rFonts w:ascii="Cambria Math" w:hAnsi="Cambria Math" w:cs="Arial"/>
                          </w:rPr>
                        </m:ctrlPr>
                      </m:sSupPr>
                      <m:e>
                        <m:r>
                          <m:rPr>
                            <m:sty m:val="p"/>
                          </m:rPr>
                          <w:rPr>
                            <w:rFonts w:ascii="Cambria Math" w:hAnsi="Cambria Math" w:cs="Arial"/>
                          </w:rPr>
                          <m:t>(1+r)</m:t>
                        </m:r>
                      </m:e>
                      <m:sup>
                        <m:r>
                          <m:rPr>
                            <m:sty m:val="p"/>
                          </m:rPr>
                          <w:rPr>
                            <w:rFonts w:ascii="Cambria Math" w:hAnsi="Cambria Math" w:cs="Arial"/>
                          </w:rPr>
                          <m:t>t</m:t>
                        </m:r>
                      </m:sup>
                    </m:sSup>
                  </m:num>
                  <m:den>
                    <m:sSup>
                      <m:sSupPr>
                        <m:ctrlPr>
                          <w:rPr>
                            <w:rFonts w:ascii="Cambria Math" w:hAnsi="Cambria Math" w:cs="Arial"/>
                          </w:rPr>
                        </m:ctrlPr>
                      </m:sSupPr>
                      <m:e>
                        <m:r>
                          <m:rPr>
                            <m:sty m:val="p"/>
                          </m:rPr>
                          <w:rPr>
                            <w:rFonts w:ascii="Cambria Math" w:hAnsi="Cambria Math" w:cs="Arial"/>
                          </w:rPr>
                          <m:t>(1+r)</m:t>
                        </m:r>
                      </m:e>
                      <m:sup>
                        <m:r>
                          <m:rPr>
                            <m:sty m:val="p"/>
                          </m:rPr>
                          <w:rPr>
                            <w:rFonts w:ascii="Cambria Math" w:hAnsi="Cambria Math" w:cs="Arial"/>
                          </w:rPr>
                          <m:t>t</m:t>
                        </m:r>
                      </m:sup>
                    </m:sSup>
                    <m:r>
                      <m:rPr>
                        <m:sty m:val="p"/>
                      </m:rPr>
                      <w:rPr>
                        <w:rFonts w:ascii="Cambria Math" w:hAnsi="Cambria Math" w:cs="Arial"/>
                      </w:rPr>
                      <m:t>-1</m:t>
                    </m:r>
                  </m:den>
                </m:f>
                <m:r>
                  <m:rPr>
                    <m:sty m:val="p"/>
                  </m:rPr>
                  <w:rPr>
                    <w:rFonts w:ascii="Cambria Math" w:hAnsi="Cambria Math" w:cs="Arial"/>
                  </w:rPr>
                  <m:t>FCI</m:t>
                </m:r>
              </m:oMath>
            </m:oMathPara>
          </w:p>
        </w:tc>
        <w:tc>
          <w:tcPr>
            <w:tcW w:w="801" w:type="dxa"/>
            <w:shd w:val="clear" w:color="auto" w:fill="auto"/>
            <w:vAlign w:val="center"/>
          </w:tcPr>
          <w:p w14:paraId="029C9F7C" w14:textId="77777777" w:rsidR="002178BB" w:rsidRPr="00B57B36" w:rsidRDefault="002178BB" w:rsidP="008D5A5F">
            <w:pPr>
              <w:pStyle w:val="CETEquation"/>
              <w:jc w:val="right"/>
            </w:pPr>
            <w:r w:rsidRPr="00B57B36">
              <w:t>(1)</w:t>
            </w:r>
          </w:p>
        </w:tc>
      </w:tr>
    </w:tbl>
    <w:p w14:paraId="397A0961" w14:textId="3D59855B" w:rsidR="002178BB" w:rsidRDefault="002616BD" w:rsidP="00515733">
      <w:pPr>
        <w:pStyle w:val="CETBodytext"/>
      </w:pPr>
      <w:r>
        <w:t>More in general, for each unit both Acapex and Opex are calculated</w:t>
      </w:r>
      <w:r w:rsidR="0034133F">
        <w:t>:</w:t>
      </w:r>
      <w:r>
        <w:t xml:space="preserve"> the main cost</w:t>
      </w:r>
      <w:r w:rsidR="0034133F">
        <w:t xml:space="preserve"> items</w:t>
      </w:r>
      <w:r>
        <w:t xml:space="preserve"> and the economic parameter</w:t>
      </w:r>
      <w:r w:rsidR="0034133F">
        <w:t>s needed to do that</w:t>
      </w:r>
      <w:r w:rsidR="00321BB5">
        <w:t xml:space="preserve"> are presented in T</w:t>
      </w:r>
      <w:r>
        <w:t>able 2.</w:t>
      </w:r>
      <w:r w:rsidR="00811D8B">
        <w:t xml:space="preserve"> </w:t>
      </w:r>
    </w:p>
    <w:p w14:paraId="16FEB4C9" w14:textId="7C2E9FC5" w:rsidR="005437FE" w:rsidRPr="00B57B36" w:rsidRDefault="005437FE" w:rsidP="005437FE">
      <w:pPr>
        <w:pStyle w:val="CETTabletitle"/>
      </w:pPr>
      <w:r w:rsidRPr="00B57B36">
        <w:t xml:space="preserve">Table </w:t>
      </w:r>
      <w:r>
        <w:t>2</w:t>
      </w:r>
      <w:r w:rsidRPr="00B57B36">
        <w:t xml:space="preserve">: </w:t>
      </w:r>
      <w:r>
        <w:t>Main costs of the unit and the plant</w:t>
      </w:r>
    </w:p>
    <w:tbl>
      <w:tblPr>
        <w:tblW w:w="866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94"/>
        <w:gridCol w:w="705"/>
        <w:gridCol w:w="1136"/>
        <w:gridCol w:w="2131"/>
        <w:gridCol w:w="710"/>
        <w:gridCol w:w="1989"/>
      </w:tblGrid>
      <w:tr w:rsidR="00534D46" w:rsidRPr="00B57B36" w14:paraId="6B418F06" w14:textId="6D0754EA" w:rsidTr="00B1282C">
        <w:trPr>
          <w:trHeight w:val="131"/>
        </w:trPr>
        <w:tc>
          <w:tcPr>
            <w:tcW w:w="1994" w:type="dxa"/>
            <w:tcBorders>
              <w:top w:val="single" w:sz="12" w:space="0" w:color="008000"/>
              <w:bottom w:val="single" w:sz="4" w:space="0" w:color="auto"/>
            </w:tcBorders>
            <w:shd w:val="clear" w:color="auto" w:fill="FFFFFF"/>
          </w:tcPr>
          <w:p w14:paraId="446A524B" w14:textId="62BED9E9" w:rsidR="00534D46" w:rsidRPr="002616BD" w:rsidRDefault="00534D46" w:rsidP="00172AB0">
            <w:pPr>
              <w:pStyle w:val="CETBodytext"/>
              <w:rPr>
                <w:lang w:val="en-GB"/>
              </w:rPr>
            </w:pPr>
            <w:r>
              <w:rPr>
                <w:lang w:val="en-GB"/>
              </w:rPr>
              <w:t>Economic Parameter</w:t>
            </w:r>
          </w:p>
        </w:tc>
        <w:tc>
          <w:tcPr>
            <w:tcW w:w="705" w:type="dxa"/>
            <w:tcBorders>
              <w:top w:val="single" w:sz="12" w:space="0" w:color="008000"/>
              <w:bottom w:val="single" w:sz="4" w:space="0" w:color="auto"/>
            </w:tcBorders>
            <w:shd w:val="clear" w:color="auto" w:fill="FFFFFF"/>
          </w:tcPr>
          <w:p w14:paraId="3DE3E7D4" w14:textId="48C5E853" w:rsidR="00534D46" w:rsidRPr="002616BD" w:rsidRDefault="0090594A" w:rsidP="00172AB0">
            <w:pPr>
              <w:pStyle w:val="CETBodytext"/>
              <w:rPr>
                <w:lang w:val="en-GB"/>
              </w:rPr>
            </w:pPr>
            <w:r>
              <w:rPr>
                <w:lang w:val="en-GB"/>
              </w:rPr>
              <w:t>Value</w:t>
            </w:r>
          </w:p>
        </w:tc>
        <w:tc>
          <w:tcPr>
            <w:tcW w:w="1136" w:type="dxa"/>
            <w:tcBorders>
              <w:top w:val="single" w:sz="12" w:space="0" w:color="008000"/>
              <w:bottom w:val="single" w:sz="4" w:space="0" w:color="auto"/>
            </w:tcBorders>
            <w:shd w:val="clear" w:color="auto" w:fill="FFFFFF"/>
          </w:tcPr>
          <w:p w14:paraId="0F7B1514" w14:textId="77777777" w:rsidR="00534D46" w:rsidRPr="002616BD" w:rsidRDefault="00534D46" w:rsidP="00172AB0">
            <w:pPr>
              <w:pStyle w:val="CETBodytext"/>
              <w:rPr>
                <w:lang w:val="en-GB"/>
              </w:rPr>
            </w:pPr>
          </w:p>
        </w:tc>
        <w:tc>
          <w:tcPr>
            <w:tcW w:w="2131" w:type="dxa"/>
            <w:tcBorders>
              <w:top w:val="single" w:sz="12" w:space="0" w:color="008000"/>
              <w:bottom w:val="single" w:sz="12" w:space="0" w:color="008000"/>
            </w:tcBorders>
            <w:shd w:val="clear" w:color="auto" w:fill="FFFFFF"/>
          </w:tcPr>
          <w:p w14:paraId="323A80A4" w14:textId="73D924C6" w:rsidR="00534D46" w:rsidRPr="002616BD" w:rsidRDefault="0090594A" w:rsidP="00172AB0">
            <w:pPr>
              <w:pStyle w:val="CETBodytext"/>
              <w:rPr>
                <w:lang w:val="en-GB"/>
              </w:rPr>
            </w:pPr>
            <w:r>
              <w:rPr>
                <w:lang w:val="en-GB"/>
              </w:rPr>
              <w:t>Economic Parameter</w:t>
            </w:r>
          </w:p>
        </w:tc>
        <w:tc>
          <w:tcPr>
            <w:tcW w:w="710" w:type="dxa"/>
            <w:tcBorders>
              <w:top w:val="single" w:sz="12" w:space="0" w:color="008000"/>
              <w:bottom w:val="single" w:sz="4" w:space="0" w:color="auto"/>
            </w:tcBorders>
            <w:shd w:val="clear" w:color="auto" w:fill="FFFFFF"/>
          </w:tcPr>
          <w:p w14:paraId="25859CB1" w14:textId="76986FC2" w:rsidR="00534D46" w:rsidRPr="002616BD" w:rsidRDefault="0090594A" w:rsidP="00172AB0">
            <w:pPr>
              <w:pStyle w:val="CETBodytext"/>
              <w:rPr>
                <w:lang w:val="en-GB"/>
              </w:rPr>
            </w:pPr>
            <w:r>
              <w:rPr>
                <w:lang w:val="en-GB"/>
              </w:rPr>
              <w:t>Value</w:t>
            </w:r>
          </w:p>
        </w:tc>
        <w:tc>
          <w:tcPr>
            <w:tcW w:w="1989" w:type="dxa"/>
            <w:tcBorders>
              <w:top w:val="single" w:sz="12" w:space="0" w:color="008000"/>
              <w:bottom w:val="single" w:sz="4" w:space="0" w:color="auto"/>
            </w:tcBorders>
            <w:shd w:val="clear" w:color="auto" w:fill="FFFFFF"/>
          </w:tcPr>
          <w:p w14:paraId="4D518061" w14:textId="24C14520" w:rsidR="00534D46" w:rsidRPr="002616BD" w:rsidRDefault="00534D46" w:rsidP="00172AB0">
            <w:pPr>
              <w:pStyle w:val="CETBodytext"/>
              <w:rPr>
                <w:lang w:val="en-GB"/>
              </w:rPr>
            </w:pPr>
          </w:p>
        </w:tc>
      </w:tr>
      <w:tr w:rsidR="00534D46" w:rsidRPr="00B57B36" w14:paraId="3C113E65" w14:textId="1D92CBAC" w:rsidTr="00B1282C">
        <w:trPr>
          <w:trHeight w:val="270"/>
        </w:trPr>
        <w:tc>
          <w:tcPr>
            <w:tcW w:w="1994" w:type="dxa"/>
            <w:tcBorders>
              <w:top w:val="single" w:sz="12" w:space="0" w:color="008000"/>
              <w:bottom w:val="single" w:sz="4" w:space="0" w:color="auto"/>
            </w:tcBorders>
            <w:shd w:val="clear" w:color="auto" w:fill="FFFFFF"/>
          </w:tcPr>
          <w:p w14:paraId="38E600F1" w14:textId="2CC10392" w:rsidR="00534D46" w:rsidRPr="002616BD" w:rsidRDefault="00534D46" w:rsidP="00534D46">
            <w:pPr>
              <w:pStyle w:val="CETBodytext"/>
              <w:rPr>
                <w:lang w:val="en-GB"/>
              </w:rPr>
            </w:pPr>
            <w:r>
              <w:rPr>
                <w:lang w:val="en-GB"/>
              </w:rPr>
              <w:t>Plant lifetime, t</w:t>
            </w:r>
          </w:p>
        </w:tc>
        <w:tc>
          <w:tcPr>
            <w:tcW w:w="705" w:type="dxa"/>
            <w:tcBorders>
              <w:top w:val="single" w:sz="12" w:space="0" w:color="008000"/>
              <w:bottom w:val="single" w:sz="4" w:space="0" w:color="auto"/>
            </w:tcBorders>
            <w:shd w:val="clear" w:color="auto" w:fill="FFFFFF"/>
          </w:tcPr>
          <w:p w14:paraId="6ABEFD88" w14:textId="7C250DAF" w:rsidR="00534D46" w:rsidRPr="002616BD" w:rsidRDefault="00534D46" w:rsidP="00534D46">
            <w:pPr>
              <w:pStyle w:val="CETBodytext"/>
              <w:rPr>
                <w:lang w:val="en-GB"/>
              </w:rPr>
            </w:pPr>
            <w:r>
              <w:rPr>
                <w:lang w:val="en-GB"/>
              </w:rPr>
              <w:t>20</w:t>
            </w:r>
          </w:p>
        </w:tc>
        <w:tc>
          <w:tcPr>
            <w:tcW w:w="1136" w:type="dxa"/>
            <w:tcBorders>
              <w:top w:val="single" w:sz="12" w:space="0" w:color="008000"/>
              <w:bottom w:val="single" w:sz="4" w:space="0" w:color="auto"/>
              <w:right w:val="single" w:sz="4" w:space="0" w:color="FFFFFF" w:themeColor="background1"/>
            </w:tcBorders>
            <w:shd w:val="clear" w:color="auto" w:fill="FFFFFF"/>
          </w:tcPr>
          <w:p w14:paraId="7400621E" w14:textId="4811829A" w:rsidR="00534D46" w:rsidRDefault="00534D46" w:rsidP="00534D46">
            <w:pPr>
              <w:pStyle w:val="CETBodytext"/>
              <w:rPr>
                <w:lang w:val="en-GB"/>
              </w:rPr>
            </w:pPr>
            <w:r>
              <w:rPr>
                <w:lang w:val="en-GB"/>
              </w:rPr>
              <w:t>year</w:t>
            </w:r>
          </w:p>
        </w:tc>
        <w:tc>
          <w:tcPr>
            <w:tcW w:w="2131" w:type="dxa"/>
            <w:tcBorders>
              <w:top w:val="single" w:sz="12" w:space="0" w:color="008000"/>
              <w:left w:val="single" w:sz="4" w:space="0" w:color="FFFFFF" w:themeColor="background1"/>
              <w:bottom w:val="single" w:sz="4" w:space="0" w:color="auto"/>
            </w:tcBorders>
            <w:shd w:val="clear" w:color="auto" w:fill="FFFFFF"/>
          </w:tcPr>
          <w:p w14:paraId="2671921F" w14:textId="1D22C877" w:rsidR="00534D46" w:rsidRDefault="00534D46" w:rsidP="00534D46">
            <w:pPr>
              <w:pStyle w:val="CETBodytext"/>
              <w:rPr>
                <w:lang w:val="en-GB"/>
              </w:rPr>
            </w:pPr>
            <w:r>
              <w:rPr>
                <w:rFonts w:cs="Arial"/>
                <w:szCs w:val="18"/>
                <w:lang w:val="en-GB"/>
              </w:rPr>
              <w:t>ARED membrane lifetime</w:t>
            </w:r>
          </w:p>
        </w:tc>
        <w:tc>
          <w:tcPr>
            <w:tcW w:w="710" w:type="dxa"/>
            <w:tcBorders>
              <w:top w:val="single" w:sz="12" w:space="0" w:color="008000"/>
              <w:bottom w:val="single" w:sz="4" w:space="0" w:color="auto"/>
            </w:tcBorders>
            <w:shd w:val="clear" w:color="auto" w:fill="FFFFFF"/>
          </w:tcPr>
          <w:p w14:paraId="4AB160EB" w14:textId="5A712BFC" w:rsidR="00534D46" w:rsidRDefault="00534D46" w:rsidP="00534D46">
            <w:pPr>
              <w:pStyle w:val="CETBodytext"/>
              <w:rPr>
                <w:lang w:val="en-GB"/>
              </w:rPr>
            </w:pPr>
            <w:r>
              <w:rPr>
                <w:rFonts w:cs="Arial"/>
                <w:szCs w:val="18"/>
                <w:lang w:val="en-GB"/>
              </w:rPr>
              <w:t>4</w:t>
            </w:r>
          </w:p>
        </w:tc>
        <w:tc>
          <w:tcPr>
            <w:tcW w:w="1989" w:type="dxa"/>
            <w:tcBorders>
              <w:top w:val="single" w:sz="12" w:space="0" w:color="008000"/>
              <w:bottom w:val="single" w:sz="4" w:space="0" w:color="auto"/>
            </w:tcBorders>
            <w:shd w:val="clear" w:color="auto" w:fill="FFFFFF"/>
          </w:tcPr>
          <w:p w14:paraId="66E17489" w14:textId="42B14993" w:rsidR="00534D46" w:rsidRDefault="00534D46" w:rsidP="00534D46">
            <w:pPr>
              <w:pStyle w:val="CETBodytext"/>
              <w:rPr>
                <w:lang w:val="en-GB"/>
              </w:rPr>
            </w:pPr>
            <w:r>
              <w:rPr>
                <w:rFonts w:cs="Arial"/>
                <w:szCs w:val="18"/>
                <w:lang w:val="en-GB"/>
              </w:rPr>
              <w:t>year</w:t>
            </w:r>
          </w:p>
        </w:tc>
      </w:tr>
      <w:tr w:rsidR="00534D46" w:rsidRPr="00B57B36" w14:paraId="77CD6DD7" w14:textId="26605CE1" w:rsidTr="00B1282C">
        <w:trPr>
          <w:trHeight w:val="270"/>
        </w:trPr>
        <w:tc>
          <w:tcPr>
            <w:tcW w:w="1994" w:type="dxa"/>
            <w:tcBorders>
              <w:top w:val="single" w:sz="4" w:space="0" w:color="auto"/>
              <w:bottom w:val="single" w:sz="4" w:space="0" w:color="auto"/>
            </w:tcBorders>
            <w:shd w:val="clear" w:color="auto" w:fill="FFFFFF"/>
          </w:tcPr>
          <w:p w14:paraId="4970035A" w14:textId="34E31030" w:rsidR="00534D46" w:rsidRPr="002616BD" w:rsidRDefault="00534D46" w:rsidP="00534D46">
            <w:pPr>
              <w:pStyle w:val="CETBodytext"/>
              <w:jc w:val="left"/>
              <w:rPr>
                <w:lang w:val="en-GB"/>
              </w:rPr>
            </w:pPr>
            <w:r w:rsidRPr="002616BD">
              <w:rPr>
                <w:lang w:val="en-GB"/>
              </w:rPr>
              <w:t>Discount rate, r</w:t>
            </w:r>
          </w:p>
        </w:tc>
        <w:tc>
          <w:tcPr>
            <w:tcW w:w="705" w:type="dxa"/>
            <w:tcBorders>
              <w:top w:val="single" w:sz="4" w:space="0" w:color="auto"/>
              <w:bottom w:val="single" w:sz="4" w:space="0" w:color="auto"/>
            </w:tcBorders>
            <w:shd w:val="clear" w:color="auto" w:fill="FFFFFF"/>
          </w:tcPr>
          <w:p w14:paraId="693D82BD" w14:textId="05F0D9C8" w:rsidR="00534D46" w:rsidRPr="002616BD" w:rsidRDefault="00534D46" w:rsidP="00534D46">
            <w:pPr>
              <w:pStyle w:val="CETBodytext"/>
              <w:rPr>
                <w:lang w:val="en-GB"/>
              </w:rPr>
            </w:pPr>
            <w:r>
              <w:rPr>
                <w:lang w:val="en-GB"/>
              </w:rPr>
              <w:t>3</w:t>
            </w:r>
          </w:p>
        </w:tc>
        <w:tc>
          <w:tcPr>
            <w:tcW w:w="1136" w:type="dxa"/>
            <w:tcBorders>
              <w:top w:val="single" w:sz="4" w:space="0" w:color="auto"/>
              <w:bottom w:val="single" w:sz="4" w:space="0" w:color="auto"/>
              <w:right w:val="single" w:sz="4" w:space="0" w:color="FFFFFF" w:themeColor="background1"/>
            </w:tcBorders>
            <w:shd w:val="clear" w:color="auto" w:fill="FFFFFF"/>
          </w:tcPr>
          <w:p w14:paraId="01D06482" w14:textId="03DF870E" w:rsidR="00534D46" w:rsidRPr="002616BD" w:rsidRDefault="00534D46" w:rsidP="00534D46">
            <w:pPr>
              <w:pStyle w:val="CETBodytext"/>
              <w:rPr>
                <w:lang w:val="en-GB"/>
              </w:rPr>
            </w:pPr>
            <w:r>
              <w:rPr>
                <w:lang w:val="en-GB"/>
              </w:rPr>
              <w:t>%</w:t>
            </w:r>
          </w:p>
        </w:tc>
        <w:tc>
          <w:tcPr>
            <w:tcW w:w="2131" w:type="dxa"/>
            <w:tcBorders>
              <w:top w:val="single" w:sz="4" w:space="0" w:color="auto"/>
              <w:left w:val="single" w:sz="4" w:space="0" w:color="FFFFFF" w:themeColor="background1"/>
              <w:bottom w:val="single" w:sz="4" w:space="0" w:color="auto"/>
            </w:tcBorders>
            <w:shd w:val="clear" w:color="auto" w:fill="FFFFFF"/>
          </w:tcPr>
          <w:p w14:paraId="7E1EE8EB" w14:textId="38619031" w:rsidR="00534D46" w:rsidRDefault="00534D46" w:rsidP="00534D46">
            <w:pPr>
              <w:pStyle w:val="CETBodytext"/>
              <w:rPr>
                <w:lang w:val="en-GB"/>
              </w:rPr>
            </w:pPr>
            <w:r>
              <w:rPr>
                <w:rFonts w:cs="Arial"/>
                <w:szCs w:val="18"/>
                <w:lang w:val="en-GB"/>
              </w:rPr>
              <w:t>ARED spacers cost</w:t>
            </w:r>
          </w:p>
        </w:tc>
        <w:tc>
          <w:tcPr>
            <w:tcW w:w="710" w:type="dxa"/>
            <w:tcBorders>
              <w:top w:val="single" w:sz="4" w:space="0" w:color="auto"/>
              <w:bottom w:val="single" w:sz="4" w:space="0" w:color="auto"/>
            </w:tcBorders>
            <w:shd w:val="clear" w:color="auto" w:fill="FFFFFF"/>
          </w:tcPr>
          <w:p w14:paraId="5926BFEA" w14:textId="11E57940" w:rsidR="00534D46" w:rsidRDefault="00534D46" w:rsidP="00534D46">
            <w:pPr>
              <w:pStyle w:val="CETBodytext"/>
              <w:rPr>
                <w:lang w:val="en-GB"/>
              </w:rPr>
            </w:pPr>
            <w:r>
              <w:rPr>
                <w:rFonts w:cs="Arial"/>
                <w:szCs w:val="18"/>
                <w:lang w:val="en-GB"/>
              </w:rPr>
              <w:t>5</w:t>
            </w:r>
          </w:p>
        </w:tc>
        <w:tc>
          <w:tcPr>
            <w:tcW w:w="1989" w:type="dxa"/>
            <w:tcBorders>
              <w:top w:val="single" w:sz="4" w:space="0" w:color="auto"/>
              <w:bottom w:val="single" w:sz="4" w:space="0" w:color="auto"/>
            </w:tcBorders>
            <w:shd w:val="clear" w:color="auto" w:fill="FFFFFF"/>
          </w:tcPr>
          <w:p w14:paraId="355A4968" w14:textId="2B6950BC" w:rsidR="00534D46" w:rsidRDefault="00534D46" w:rsidP="00534D46">
            <w:pPr>
              <w:pStyle w:val="CETBodytext"/>
              <w:rPr>
                <w:lang w:val="en-GB"/>
              </w:rPr>
            </w:pPr>
            <w:r>
              <w:rPr>
                <w:rFonts w:cs="Arial"/>
                <w:szCs w:val="18"/>
                <w:lang w:val="en-GB"/>
              </w:rPr>
              <w:t>€ m</w:t>
            </w:r>
            <w:r w:rsidRPr="002616BD">
              <w:rPr>
                <w:rFonts w:cs="Arial"/>
                <w:szCs w:val="18"/>
                <w:vertAlign w:val="superscript"/>
                <w:lang w:val="en-GB"/>
              </w:rPr>
              <w:t>-2</w:t>
            </w:r>
            <w:r w:rsidRPr="00534D46">
              <w:rPr>
                <w:rFonts w:cs="Arial"/>
                <w:szCs w:val="18"/>
                <w:vertAlign w:val="subscript"/>
                <w:lang w:val="en-GB"/>
              </w:rPr>
              <w:t>IEM</w:t>
            </w:r>
            <w:r w:rsidRPr="00534D46">
              <w:rPr>
                <w:rFonts w:cs="Arial"/>
                <w:sz w:val="12"/>
                <w:szCs w:val="18"/>
                <w:vertAlign w:val="subscript"/>
                <w:lang w:val="en-GB"/>
              </w:rPr>
              <w:t>S</w:t>
            </w:r>
          </w:p>
        </w:tc>
      </w:tr>
      <w:tr w:rsidR="00534D46" w:rsidRPr="00B57B36" w14:paraId="2CD4EF5C" w14:textId="024B16E4" w:rsidTr="00B1282C">
        <w:trPr>
          <w:trHeight w:val="270"/>
        </w:trPr>
        <w:tc>
          <w:tcPr>
            <w:tcW w:w="1994" w:type="dxa"/>
            <w:tcBorders>
              <w:top w:val="single" w:sz="4" w:space="0" w:color="auto"/>
              <w:bottom w:val="single" w:sz="4" w:space="0" w:color="auto"/>
            </w:tcBorders>
            <w:shd w:val="clear" w:color="auto" w:fill="FFFFFF"/>
          </w:tcPr>
          <w:p w14:paraId="3B3B10A9" w14:textId="717F88E3" w:rsidR="00534D46" w:rsidRPr="002616BD" w:rsidRDefault="00534D46" w:rsidP="00534D46">
            <w:pPr>
              <w:pStyle w:val="CETBodytext"/>
              <w:ind w:right="-1"/>
              <w:jc w:val="left"/>
              <w:rPr>
                <w:rFonts w:cs="Arial"/>
                <w:szCs w:val="18"/>
                <w:lang w:val="en-GB"/>
              </w:rPr>
            </w:pPr>
            <w:r>
              <w:rPr>
                <w:rFonts w:cs="Arial"/>
                <w:szCs w:val="18"/>
                <w:lang w:val="en-GB"/>
              </w:rPr>
              <w:t>Working hour per year</w:t>
            </w:r>
          </w:p>
        </w:tc>
        <w:tc>
          <w:tcPr>
            <w:tcW w:w="705" w:type="dxa"/>
            <w:tcBorders>
              <w:top w:val="single" w:sz="4" w:space="0" w:color="auto"/>
              <w:bottom w:val="single" w:sz="4" w:space="0" w:color="auto"/>
            </w:tcBorders>
            <w:shd w:val="clear" w:color="auto" w:fill="FFFFFF"/>
          </w:tcPr>
          <w:p w14:paraId="63FAEFF8" w14:textId="2FF56B52" w:rsidR="00534D46" w:rsidRPr="002616BD" w:rsidRDefault="00534D46" w:rsidP="00534D46">
            <w:pPr>
              <w:pStyle w:val="CETBodytext"/>
              <w:ind w:right="-1"/>
              <w:rPr>
                <w:rFonts w:cs="Arial"/>
                <w:szCs w:val="18"/>
                <w:lang w:val="en-GB"/>
              </w:rPr>
            </w:pPr>
            <w:r>
              <w:rPr>
                <w:rFonts w:cs="Arial"/>
                <w:szCs w:val="18"/>
                <w:lang w:val="en-GB"/>
              </w:rPr>
              <w:t>8000</w:t>
            </w:r>
          </w:p>
        </w:tc>
        <w:tc>
          <w:tcPr>
            <w:tcW w:w="1136" w:type="dxa"/>
            <w:tcBorders>
              <w:top w:val="single" w:sz="4" w:space="0" w:color="auto"/>
              <w:bottom w:val="single" w:sz="4" w:space="0" w:color="auto"/>
              <w:right w:val="single" w:sz="4" w:space="0" w:color="FFFFFF" w:themeColor="background1"/>
            </w:tcBorders>
            <w:shd w:val="clear" w:color="auto" w:fill="FFFFFF"/>
          </w:tcPr>
          <w:p w14:paraId="21388CE2" w14:textId="369522F9" w:rsidR="00534D46" w:rsidRPr="002616BD" w:rsidRDefault="00534D46" w:rsidP="00534D46">
            <w:pPr>
              <w:pStyle w:val="CETBodytext"/>
              <w:ind w:right="-1"/>
              <w:rPr>
                <w:rFonts w:cs="Arial"/>
                <w:szCs w:val="18"/>
                <w:lang w:val="en-GB"/>
              </w:rPr>
            </w:pPr>
            <w:r>
              <w:rPr>
                <w:rFonts w:cs="Arial"/>
                <w:szCs w:val="18"/>
                <w:lang w:val="en-GB"/>
              </w:rPr>
              <w:t>h year</w:t>
            </w:r>
            <w:r w:rsidRPr="002616BD">
              <w:rPr>
                <w:rFonts w:cs="Arial"/>
                <w:szCs w:val="18"/>
                <w:vertAlign w:val="superscript"/>
                <w:lang w:val="en-GB"/>
              </w:rPr>
              <w:t>-1</w:t>
            </w:r>
          </w:p>
        </w:tc>
        <w:tc>
          <w:tcPr>
            <w:tcW w:w="2131" w:type="dxa"/>
            <w:tcBorders>
              <w:top w:val="single" w:sz="4" w:space="0" w:color="auto"/>
              <w:left w:val="single" w:sz="4" w:space="0" w:color="FFFFFF" w:themeColor="background1"/>
              <w:bottom w:val="single" w:sz="4" w:space="0" w:color="auto"/>
            </w:tcBorders>
            <w:shd w:val="clear" w:color="auto" w:fill="FFFFFF"/>
          </w:tcPr>
          <w:p w14:paraId="113514FC" w14:textId="19245843" w:rsidR="00534D46" w:rsidRDefault="00534D46" w:rsidP="00534D46">
            <w:pPr>
              <w:pStyle w:val="CETBodytext"/>
              <w:ind w:right="-1"/>
              <w:rPr>
                <w:rFonts w:cs="Arial"/>
                <w:szCs w:val="18"/>
                <w:lang w:val="en-GB"/>
              </w:rPr>
            </w:pPr>
            <w:r>
              <w:rPr>
                <w:rFonts w:cs="Arial"/>
                <w:szCs w:val="18"/>
                <w:lang w:val="en-GB"/>
              </w:rPr>
              <w:t>ARED casing cost</w:t>
            </w:r>
          </w:p>
        </w:tc>
        <w:tc>
          <w:tcPr>
            <w:tcW w:w="710" w:type="dxa"/>
            <w:tcBorders>
              <w:top w:val="single" w:sz="4" w:space="0" w:color="auto"/>
              <w:bottom w:val="single" w:sz="4" w:space="0" w:color="auto"/>
            </w:tcBorders>
            <w:shd w:val="clear" w:color="auto" w:fill="FFFFFF"/>
          </w:tcPr>
          <w:p w14:paraId="361354BC" w14:textId="225AC0E8" w:rsidR="00534D46" w:rsidRDefault="00534D46" w:rsidP="00534D46">
            <w:pPr>
              <w:pStyle w:val="CETBodytext"/>
              <w:ind w:right="-1"/>
              <w:rPr>
                <w:rFonts w:cs="Arial"/>
                <w:szCs w:val="18"/>
                <w:lang w:val="en-GB"/>
              </w:rPr>
            </w:pPr>
            <w:r>
              <w:rPr>
                <w:rFonts w:cs="Arial"/>
                <w:szCs w:val="18"/>
                <w:lang w:val="en-GB"/>
              </w:rPr>
              <w:t>2</w:t>
            </w:r>
          </w:p>
        </w:tc>
        <w:tc>
          <w:tcPr>
            <w:tcW w:w="1989" w:type="dxa"/>
            <w:tcBorders>
              <w:top w:val="single" w:sz="4" w:space="0" w:color="auto"/>
              <w:bottom w:val="single" w:sz="4" w:space="0" w:color="auto"/>
            </w:tcBorders>
            <w:shd w:val="clear" w:color="auto" w:fill="FFFFFF"/>
          </w:tcPr>
          <w:p w14:paraId="2EF7D23B" w14:textId="0EA75176" w:rsidR="00534D46" w:rsidRDefault="00534D46" w:rsidP="00534D46">
            <w:pPr>
              <w:pStyle w:val="CETBodytext"/>
              <w:ind w:right="-1"/>
              <w:rPr>
                <w:rFonts w:cs="Arial"/>
                <w:szCs w:val="18"/>
                <w:lang w:val="en-GB"/>
              </w:rPr>
            </w:pPr>
            <w:r>
              <w:rPr>
                <w:rFonts w:cs="Arial"/>
                <w:szCs w:val="18"/>
                <w:lang w:val="en-GB"/>
              </w:rPr>
              <w:t>€ m</w:t>
            </w:r>
            <w:r w:rsidRPr="002616BD">
              <w:rPr>
                <w:rFonts w:cs="Arial"/>
                <w:szCs w:val="18"/>
                <w:vertAlign w:val="superscript"/>
                <w:lang w:val="en-GB"/>
              </w:rPr>
              <w:t>-2</w:t>
            </w:r>
            <w:r w:rsidRPr="00534D46">
              <w:rPr>
                <w:rFonts w:cs="Arial"/>
                <w:szCs w:val="18"/>
                <w:vertAlign w:val="subscript"/>
                <w:lang w:val="en-GB"/>
              </w:rPr>
              <w:t>IEM</w:t>
            </w:r>
            <w:r w:rsidRPr="00534D46">
              <w:rPr>
                <w:rFonts w:cs="Arial"/>
                <w:sz w:val="12"/>
                <w:szCs w:val="18"/>
                <w:vertAlign w:val="subscript"/>
                <w:lang w:val="en-GB"/>
              </w:rPr>
              <w:t>S</w:t>
            </w:r>
          </w:p>
        </w:tc>
      </w:tr>
      <w:tr w:rsidR="00534D46" w:rsidRPr="00B57B36" w14:paraId="0AC712FC" w14:textId="43ECD2CA" w:rsidTr="00B1282C">
        <w:trPr>
          <w:trHeight w:val="270"/>
        </w:trPr>
        <w:tc>
          <w:tcPr>
            <w:tcW w:w="1994" w:type="dxa"/>
            <w:tcBorders>
              <w:top w:val="single" w:sz="4" w:space="0" w:color="auto"/>
              <w:bottom w:val="single" w:sz="4" w:space="0" w:color="auto"/>
            </w:tcBorders>
            <w:shd w:val="clear" w:color="auto" w:fill="FFFFFF"/>
          </w:tcPr>
          <w:p w14:paraId="7FEF7655" w14:textId="353E48EA" w:rsidR="00534D46" w:rsidRPr="002616BD" w:rsidRDefault="00534D46" w:rsidP="00534D46">
            <w:pPr>
              <w:pStyle w:val="CETBodytext"/>
              <w:ind w:right="-1"/>
              <w:jc w:val="left"/>
              <w:rPr>
                <w:rFonts w:cs="Arial"/>
                <w:szCs w:val="18"/>
                <w:lang w:val="en-GB"/>
              </w:rPr>
            </w:pPr>
            <w:r>
              <w:rPr>
                <w:rFonts w:cs="Arial"/>
                <w:szCs w:val="18"/>
                <w:lang w:val="en-GB"/>
              </w:rPr>
              <w:t>Pump efficiency</w:t>
            </w:r>
          </w:p>
        </w:tc>
        <w:tc>
          <w:tcPr>
            <w:tcW w:w="705" w:type="dxa"/>
            <w:tcBorders>
              <w:top w:val="single" w:sz="4" w:space="0" w:color="auto"/>
              <w:bottom w:val="single" w:sz="4" w:space="0" w:color="auto"/>
            </w:tcBorders>
            <w:shd w:val="clear" w:color="auto" w:fill="FFFFFF"/>
          </w:tcPr>
          <w:p w14:paraId="0C6B4873" w14:textId="202B391F" w:rsidR="00534D46" w:rsidRPr="002616BD" w:rsidRDefault="00534D46" w:rsidP="00534D46">
            <w:pPr>
              <w:pStyle w:val="CETBodytext"/>
              <w:ind w:right="-1"/>
              <w:rPr>
                <w:rFonts w:cs="Arial"/>
                <w:szCs w:val="18"/>
                <w:lang w:val="en-GB"/>
              </w:rPr>
            </w:pPr>
            <w:r>
              <w:rPr>
                <w:rFonts w:cs="Arial"/>
                <w:szCs w:val="18"/>
                <w:lang w:val="en-GB"/>
              </w:rPr>
              <w:t>80</w:t>
            </w:r>
          </w:p>
        </w:tc>
        <w:tc>
          <w:tcPr>
            <w:tcW w:w="1136" w:type="dxa"/>
            <w:tcBorders>
              <w:top w:val="single" w:sz="4" w:space="0" w:color="auto"/>
              <w:bottom w:val="single" w:sz="4" w:space="0" w:color="auto"/>
              <w:right w:val="single" w:sz="4" w:space="0" w:color="FFFFFF" w:themeColor="background1"/>
            </w:tcBorders>
            <w:shd w:val="clear" w:color="auto" w:fill="FFFFFF"/>
          </w:tcPr>
          <w:p w14:paraId="30357755" w14:textId="18E59A85" w:rsidR="00534D46" w:rsidRPr="002616BD" w:rsidRDefault="00534D46" w:rsidP="00534D46">
            <w:pPr>
              <w:pStyle w:val="CETBodytext"/>
              <w:ind w:right="-1"/>
              <w:rPr>
                <w:rFonts w:cs="Arial"/>
                <w:szCs w:val="18"/>
                <w:lang w:val="en-GB"/>
              </w:rPr>
            </w:pPr>
            <w:r>
              <w:rPr>
                <w:rFonts w:cs="Arial"/>
                <w:szCs w:val="18"/>
                <w:lang w:val="en-GB"/>
              </w:rPr>
              <w:t>%</w:t>
            </w:r>
          </w:p>
        </w:tc>
        <w:tc>
          <w:tcPr>
            <w:tcW w:w="2131" w:type="dxa"/>
            <w:tcBorders>
              <w:top w:val="single" w:sz="4" w:space="0" w:color="auto"/>
              <w:left w:val="single" w:sz="4" w:space="0" w:color="FFFFFF" w:themeColor="background1"/>
              <w:bottom w:val="single" w:sz="4" w:space="0" w:color="auto"/>
            </w:tcBorders>
            <w:shd w:val="clear" w:color="auto" w:fill="FFFFFF"/>
          </w:tcPr>
          <w:p w14:paraId="174FEB70" w14:textId="63FF9062" w:rsidR="00534D46" w:rsidRDefault="00534D46" w:rsidP="00534D46">
            <w:pPr>
              <w:pStyle w:val="CETBodytext"/>
              <w:ind w:right="-1"/>
              <w:rPr>
                <w:rFonts w:cs="Arial"/>
                <w:szCs w:val="18"/>
                <w:lang w:val="en-GB"/>
              </w:rPr>
            </w:pPr>
            <w:r>
              <w:rPr>
                <w:rFonts w:cs="Arial"/>
                <w:szCs w:val="18"/>
                <w:lang w:val="en-GB"/>
              </w:rPr>
              <w:t>ARED electrode cost</w:t>
            </w:r>
          </w:p>
        </w:tc>
        <w:tc>
          <w:tcPr>
            <w:tcW w:w="710" w:type="dxa"/>
            <w:tcBorders>
              <w:top w:val="single" w:sz="4" w:space="0" w:color="auto"/>
              <w:bottom w:val="single" w:sz="4" w:space="0" w:color="auto"/>
            </w:tcBorders>
            <w:shd w:val="clear" w:color="auto" w:fill="FFFFFF"/>
          </w:tcPr>
          <w:p w14:paraId="74A122CF" w14:textId="5E52F90F" w:rsidR="00534D46" w:rsidRDefault="00534D46" w:rsidP="00534D46">
            <w:pPr>
              <w:pStyle w:val="CETBodytext"/>
              <w:ind w:right="-1"/>
              <w:rPr>
                <w:rFonts w:cs="Arial"/>
                <w:szCs w:val="18"/>
                <w:lang w:val="en-GB"/>
              </w:rPr>
            </w:pPr>
            <w:r>
              <w:rPr>
                <w:rFonts w:cs="Arial"/>
                <w:szCs w:val="18"/>
                <w:lang w:val="en-GB"/>
              </w:rPr>
              <w:t>500</w:t>
            </w:r>
          </w:p>
        </w:tc>
        <w:tc>
          <w:tcPr>
            <w:tcW w:w="1989" w:type="dxa"/>
            <w:tcBorders>
              <w:top w:val="single" w:sz="4" w:space="0" w:color="auto"/>
              <w:bottom w:val="single" w:sz="4" w:space="0" w:color="auto"/>
            </w:tcBorders>
            <w:shd w:val="clear" w:color="auto" w:fill="FFFFFF"/>
          </w:tcPr>
          <w:p w14:paraId="2ACBECEB" w14:textId="30299F26" w:rsidR="00534D46" w:rsidRDefault="00534D46" w:rsidP="00534D46">
            <w:pPr>
              <w:pStyle w:val="CETBodytext"/>
              <w:ind w:right="-1"/>
              <w:rPr>
                <w:rFonts w:cs="Arial"/>
                <w:szCs w:val="18"/>
                <w:lang w:val="en-GB"/>
              </w:rPr>
            </w:pPr>
            <w:r>
              <w:rPr>
                <w:rFonts w:cs="Arial"/>
                <w:szCs w:val="18"/>
                <w:lang w:val="en-GB"/>
              </w:rPr>
              <w:t>€ m</w:t>
            </w:r>
            <w:r w:rsidRPr="002616BD">
              <w:rPr>
                <w:rFonts w:cs="Arial"/>
                <w:szCs w:val="18"/>
                <w:vertAlign w:val="superscript"/>
                <w:lang w:val="en-GB"/>
              </w:rPr>
              <w:t>-2</w:t>
            </w:r>
          </w:p>
        </w:tc>
      </w:tr>
      <w:tr w:rsidR="00534D46" w:rsidRPr="00B57B36" w14:paraId="2E097DBC" w14:textId="47CB4175" w:rsidTr="00B1282C">
        <w:trPr>
          <w:trHeight w:val="270"/>
        </w:trPr>
        <w:tc>
          <w:tcPr>
            <w:tcW w:w="1994" w:type="dxa"/>
            <w:tcBorders>
              <w:top w:val="single" w:sz="4" w:space="0" w:color="auto"/>
              <w:bottom w:val="single" w:sz="4" w:space="0" w:color="auto"/>
            </w:tcBorders>
            <w:shd w:val="clear" w:color="auto" w:fill="FFFFFF"/>
          </w:tcPr>
          <w:p w14:paraId="59223824" w14:textId="166B4BAF" w:rsidR="00534D46" w:rsidRPr="002616BD" w:rsidRDefault="00534D46" w:rsidP="00534D46">
            <w:pPr>
              <w:pStyle w:val="CETBodytext"/>
              <w:ind w:right="-1"/>
              <w:jc w:val="left"/>
              <w:rPr>
                <w:rFonts w:cs="Arial"/>
                <w:szCs w:val="18"/>
                <w:lang w:val="en-GB"/>
              </w:rPr>
            </w:pPr>
            <w:r>
              <w:rPr>
                <w:rFonts w:cs="Arial"/>
                <w:szCs w:val="18"/>
                <w:lang w:val="en-GB"/>
              </w:rPr>
              <w:t>Electricity cost</w:t>
            </w:r>
          </w:p>
        </w:tc>
        <w:tc>
          <w:tcPr>
            <w:tcW w:w="705" w:type="dxa"/>
            <w:tcBorders>
              <w:top w:val="single" w:sz="4" w:space="0" w:color="auto"/>
              <w:bottom w:val="single" w:sz="4" w:space="0" w:color="auto"/>
            </w:tcBorders>
            <w:shd w:val="clear" w:color="auto" w:fill="FFFFFF"/>
          </w:tcPr>
          <w:p w14:paraId="10D09C51" w14:textId="2D433126" w:rsidR="00534D46" w:rsidRPr="002616BD" w:rsidRDefault="00534D46" w:rsidP="00534D46">
            <w:pPr>
              <w:pStyle w:val="CETBodytext"/>
              <w:ind w:right="-1"/>
              <w:rPr>
                <w:rFonts w:cs="Arial"/>
                <w:szCs w:val="18"/>
                <w:lang w:val="en-GB"/>
              </w:rPr>
            </w:pPr>
            <w:r>
              <w:rPr>
                <w:rFonts w:cs="Arial"/>
                <w:szCs w:val="18"/>
                <w:lang w:val="en-GB"/>
              </w:rPr>
              <w:t>0.12</w:t>
            </w:r>
          </w:p>
        </w:tc>
        <w:tc>
          <w:tcPr>
            <w:tcW w:w="1136" w:type="dxa"/>
            <w:tcBorders>
              <w:top w:val="single" w:sz="4" w:space="0" w:color="auto"/>
              <w:bottom w:val="single" w:sz="4" w:space="0" w:color="auto"/>
              <w:right w:val="single" w:sz="4" w:space="0" w:color="FFFFFF" w:themeColor="background1"/>
            </w:tcBorders>
            <w:shd w:val="clear" w:color="auto" w:fill="FFFFFF"/>
          </w:tcPr>
          <w:p w14:paraId="589C3366" w14:textId="05C1379B" w:rsidR="00534D46" w:rsidRPr="002616BD" w:rsidRDefault="00534D46" w:rsidP="00534D46">
            <w:pPr>
              <w:pStyle w:val="CETBodytext"/>
              <w:ind w:right="-1"/>
              <w:rPr>
                <w:rFonts w:cs="Arial"/>
                <w:szCs w:val="18"/>
                <w:lang w:val="en-GB"/>
              </w:rPr>
            </w:pPr>
            <w:r>
              <w:rPr>
                <w:rFonts w:cs="Arial"/>
                <w:szCs w:val="18"/>
                <w:lang w:val="en-GB"/>
              </w:rPr>
              <w:t>€ kWh</w:t>
            </w:r>
            <w:r w:rsidRPr="002616BD">
              <w:rPr>
                <w:rFonts w:cs="Arial"/>
                <w:szCs w:val="18"/>
                <w:vertAlign w:val="superscript"/>
                <w:lang w:val="en-GB"/>
              </w:rPr>
              <w:t>-1</w:t>
            </w:r>
          </w:p>
        </w:tc>
        <w:tc>
          <w:tcPr>
            <w:tcW w:w="2131" w:type="dxa"/>
            <w:tcBorders>
              <w:top w:val="single" w:sz="4" w:space="0" w:color="auto"/>
              <w:left w:val="single" w:sz="4" w:space="0" w:color="FFFFFF" w:themeColor="background1"/>
              <w:bottom w:val="single" w:sz="4" w:space="0" w:color="auto"/>
            </w:tcBorders>
            <w:shd w:val="clear" w:color="auto" w:fill="FFFFFF"/>
          </w:tcPr>
          <w:p w14:paraId="789DA9DB" w14:textId="1A7FD577" w:rsidR="00534D46" w:rsidRDefault="00534D46" w:rsidP="00534D46">
            <w:pPr>
              <w:pStyle w:val="CETBodytext"/>
              <w:ind w:right="-1"/>
              <w:rPr>
                <w:rFonts w:cs="Arial"/>
                <w:szCs w:val="18"/>
                <w:lang w:val="en-GB"/>
              </w:rPr>
            </w:pPr>
            <w:r>
              <w:rPr>
                <w:rFonts w:cs="Arial"/>
                <w:szCs w:val="18"/>
                <w:lang w:val="en-GB"/>
              </w:rPr>
              <w:t>ARED labour cost</w:t>
            </w:r>
          </w:p>
        </w:tc>
        <w:tc>
          <w:tcPr>
            <w:tcW w:w="710" w:type="dxa"/>
            <w:tcBorders>
              <w:top w:val="single" w:sz="4" w:space="0" w:color="auto"/>
              <w:bottom w:val="single" w:sz="4" w:space="0" w:color="auto"/>
            </w:tcBorders>
            <w:shd w:val="clear" w:color="auto" w:fill="FFFFFF"/>
          </w:tcPr>
          <w:p w14:paraId="67567CAE" w14:textId="0B52FC16" w:rsidR="00534D46" w:rsidRDefault="00097480" w:rsidP="00534D46">
            <w:pPr>
              <w:pStyle w:val="CETBodytext"/>
              <w:ind w:right="-1"/>
              <w:rPr>
                <w:rFonts w:cs="Arial"/>
                <w:szCs w:val="18"/>
                <w:lang w:val="en-GB"/>
              </w:rPr>
            </w:pPr>
            <w:r>
              <w:rPr>
                <w:rFonts w:cs="Arial"/>
                <w:szCs w:val="18"/>
                <w:lang w:val="en-GB"/>
              </w:rPr>
              <w:t>2</w:t>
            </w:r>
            <w:r w:rsidR="00534D46">
              <w:rPr>
                <w:rFonts w:cs="Arial"/>
                <w:szCs w:val="18"/>
                <w:lang w:val="en-GB"/>
              </w:rPr>
              <w:t>0</w:t>
            </w:r>
          </w:p>
        </w:tc>
        <w:tc>
          <w:tcPr>
            <w:tcW w:w="1989" w:type="dxa"/>
            <w:tcBorders>
              <w:top w:val="single" w:sz="4" w:space="0" w:color="auto"/>
              <w:bottom w:val="single" w:sz="4" w:space="0" w:color="auto"/>
            </w:tcBorders>
            <w:shd w:val="clear" w:color="auto" w:fill="FFFFFF"/>
          </w:tcPr>
          <w:p w14:paraId="58B16A91" w14:textId="6DD39118" w:rsidR="00534D46" w:rsidRDefault="00534D46" w:rsidP="00534D46">
            <w:pPr>
              <w:pStyle w:val="CETBodytext"/>
              <w:ind w:right="-1"/>
              <w:rPr>
                <w:rFonts w:cs="Arial"/>
                <w:szCs w:val="18"/>
                <w:lang w:val="en-GB"/>
              </w:rPr>
            </w:pPr>
            <w:r>
              <w:rPr>
                <w:rFonts w:cs="Arial"/>
                <w:szCs w:val="18"/>
                <w:lang w:val="en-GB"/>
              </w:rPr>
              <w:t>%</w:t>
            </w:r>
            <w:r w:rsidR="00D52906">
              <w:rPr>
                <w:rFonts w:cs="Arial"/>
                <w:szCs w:val="18"/>
                <w:lang w:val="en-GB"/>
              </w:rPr>
              <w:t xml:space="preserve"> of ARED direct costs</w:t>
            </w:r>
          </w:p>
        </w:tc>
      </w:tr>
      <w:tr w:rsidR="00534D46" w:rsidRPr="00B57B36" w14:paraId="6084D130" w14:textId="1F9BA97A" w:rsidTr="00B1282C">
        <w:trPr>
          <w:trHeight w:val="270"/>
        </w:trPr>
        <w:tc>
          <w:tcPr>
            <w:tcW w:w="1994" w:type="dxa"/>
            <w:tcBorders>
              <w:top w:val="single" w:sz="4" w:space="0" w:color="auto"/>
              <w:bottom w:val="single" w:sz="4" w:space="0" w:color="auto"/>
            </w:tcBorders>
            <w:shd w:val="clear" w:color="auto" w:fill="FFFFFF"/>
          </w:tcPr>
          <w:p w14:paraId="2B5C2F6A" w14:textId="607EDCA5" w:rsidR="00534D46" w:rsidRDefault="00534D46" w:rsidP="00534D46">
            <w:pPr>
              <w:pStyle w:val="CETBodytext"/>
              <w:ind w:right="-1"/>
              <w:jc w:val="left"/>
              <w:rPr>
                <w:rFonts w:cs="Arial"/>
                <w:szCs w:val="18"/>
                <w:lang w:val="en-GB"/>
              </w:rPr>
            </w:pPr>
            <w:r>
              <w:rPr>
                <w:rFonts w:cs="Arial"/>
                <w:szCs w:val="18"/>
                <w:lang w:val="en-GB"/>
              </w:rPr>
              <w:t>Water cost</w:t>
            </w:r>
          </w:p>
        </w:tc>
        <w:tc>
          <w:tcPr>
            <w:tcW w:w="705" w:type="dxa"/>
            <w:tcBorders>
              <w:top w:val="single" w:sz="4" w:space="0" w:color="auto"/>
              <w:bottom w:val="single" w:sz="4" w:space="0" w:color="auto"/>
            </w:tcBorders>
            <w:shd w:val="clear" w:color="auto" w:fill="FFFFFF"/>
          </w:tcPr>
          <w:p w14:paraId="0A93AE28" w14:textId="57FA9E10" w:rsidR="00534D46" w:rsidRDefault="00534D46" w:rsidP="009F1795">
            <w:pPr>
              <w:pStyle w:val="CETBodytext"/>
              <w:ind w:right="-1"/>
              <w:rPr>
                <w:rFonts w:cs="Arial"/>
                <w:szCs w:val="18"/>
                <w:lang w:val="en-GB"/>
              </w:rPr>
            </w:pPr>
            <w:r>
              <w:rPr>
                <w:rFonts w:cs="Arial"/>
                <w:szCs w:val="18"/>
                <w:lang w:val="en-GB"/>
              </w:rPr>
              <w:t xml:space="preserve">0.3 </w:t>
            </w:r>
          </w:p>
        </w:tc>
        <w:tc>
          <w:tcPr>
            <w:tcW w:w="1136" w:type="dxa"/>
            <w:tcBorders>
              <w:top w:val="single" w:sz="4" w:space="0" w:color="auto"/>
              <w:bottom w:val="single" w:sz="4" w:space="0" w:color="auto"/>
              <w:right w:val="single" w:sz="4" w:space="0" w:color="FFFFFF" w:themeColor="background1"/>
            </w:tcBorders>
            <w:shd w:val="clear" w:color="auto" w:fill="FFFFFF"/>
          </w:tcPr>
          <w:p w14:paraId="5E8CF44B" w14:textId="1DBDB568" w:rsidR="00534D46" w:rsidRDefault="00534D46" w:rsidP="00534D46">
            <w:pPr>
              <w:pStyle w:val="CETBodytext"/>
              <w:ind w:right="-1"/>
              <w:rPr>
                <w:rFonts w:cs="Arial"/>
                <w:szCs w:val="18"/>
                <w:lang w:val="en-GB"/>
              </w:rPr>
            </w:pPr>
            <w:r>
              <w:rPr>
                <w:rFonts w:cs="Arial"/>
                <w:szCs w:val="18"/>
                <w:lang w:val="en-GB"/>
              </w:rPr>
              <w:t>€ m</w:t>
            </w:r>
            <w:r w:rsidRPr="002616BD">
              <w:rPr>
                <w:rFonts w:cs="Arial"/>
                <w:szCs w:val="18"/>
                <w:vertAlign w:val="superscript"/>
                <w:lang w:val="en-GB"/>
              </w:rPr>
              <w:t>-3</w:t>
            </w:r>
            <w:r w:rsidRPr="002616BD">
              <w:rPr>
                <w:rFonts w:cs="Arial"/>
                <w:szCs w:val="18"/>
                <w:vertAlign w:val="subscript"/>
                <w:lang w:val="en-GB"/>
              </w:rPr>
              <w:t>W</w:t>
            </w:r>
          </w:p>
        </w:tc>
        <w:tc>
          <w:tcPr>
            <w:tcW w:w="2131" w:type="dxa"/>
            <w:tcBorders>
              <w:top w:val="single" w:sz="4" w:space="0" w:color="auto"/>
              <w:left w:val="single" w:sz="4" w:space="0" w:color="FFFFFF" w:themeColor="background1"/>
              <w:bottom w:val="single" w:sz="4" w:space="0" w:color="auto"/>
            </w:tcBorders>
            <w:shd w:val="clear" w:color="auto" w:fill="FFFFFF"/>
          </w:tcPr>
          <w:p w14:paraId="79F6167A" w14:textId="562F385C" w:rsidR="00534D46" w:rsidRDefault="00534D46" w:rsidP="00534D46">
            <w:pPr>
              <w:pStyle w:val="CETBodytext"/>
              <w:ind w:right="-1"/>
              <w:rPr>
                <w:rFonts w:cs="Arial"/>
                <w:szCs w:val="18"/>
                <w:lang w:val="en-GB"/>
              </w:rPr>
            </w:pPr>
            <w:r>
              <w:rPr>
                <w:rFonts w:cs="Arial"/>
                <w:szCs w:val="18"/>
                <w:lang w:val="en-GB"/>
              </w:rPr>
              <w:t>RO membrane cost</w:t>
            </w:r>
          </w:p>
        </w:tc>
        <w:tc>
          <w:tcPr>
            <w:tcW w:w="710" w:type="dxa"/>
            <w:tcBorders>
              <w:top w:val="single" w:sz="4" w:space="0" w:color="auto"/>
              <w:bottom w:val="single" w:sz="4" w:space="0" w:color="auto"/>
            </w:tcBorders>
            <w:shd w:val="clear" w:color="auto" w:fill="FFFFFF"/>
          </w:tcPr>
          <w:p w14:paraId="43972E12" w14:textId="509ACF8E" w:rsidR="00534D46" w:rsidRDefault="00534D46" w:rsidP="00534D46">
            <w:pPr>
              <w:pStyle w:val="CETBodytext"/>
              <w:ind w:right="-1"/>
              <w:rPr>
                <w:rFonts w:cs="Arial"/>
                <w:szCs w:val="18"/>
                <w:lang w:val="en-GB"/>
              </w:rPr>
            </w:pPr>
            <w:r w:rsidRPr="00097480">
              <w:rPr>
                <w:rFonts w:cs="Arial"/>
                <w:szCs w:val="18"/>
                <w:lang w:val="en-GB"/>
              </w:rPr>
              <w:t>10</w:t>
            </w:r>
          </w:p>
        </w:tc>
        <w:tc>
          <w:tcPr>
            <w:tcW w:w="1989" w:type="dxa"/>
            <w:tcBorders>
              <w:top w:val="single" w:sz="4" w:space="0" w:color="auto"/>
              <w:bottom w:val="single" w:sz="4" w:space="0" w:color="auto"/>
            </w:tcBorders>
            <w:shd w:val="clear" w:color="auto" w:fill="FFFFFF"/>
          </w:tcPr>
          <w:p w14:paraId="4C73206B" w14:textId="36F98FAB" w:rsidR="00534D46" w:rsidRDefault="00534D46" w:rsidP="00534D46">
            <w:pPr>
              <w:pStyle w:val="CETBodytext"/>
              <w:ind w:right="-1"/>
              <w:rPr>
                <w:rFonts w:cs="Arial"/>
                <w:szCs w:val="18"/>
                <w:lang w:val="en-GB"/>
              </w:rPr>
            </w:pPr>
            <w:r>
              <w:rPr>
                <w:rFonts w:cs="Arial"/>
                <w:szCs w:val="18"/>
                <w:lang w:val="en-GB"/>
              </w:rPr>
              <w:t>€ m</w:t>
            </w:r>
            <w:r w:rsidRPr="00534D46">
              <w:rPr>
                <w:rFonts w:cs="Arial"/>
                <w:szCs w:val="18"/>
                <w:vertAlign w:val="superscript"/>
                <w:lang w:val="en-GB"/>
              </w:rPr>
              <w:t>-2</w:t>
            </w:r>
          </w:p>
        </w:tc>
      </w:tr>
      <w:tr w:rsidR="00534D46" w:rsidRPr="00B57B36" w14:paraId="1837EA11" w14:textId="1F096791" w:rsidTr="00B1282C">
        <w:trPr>
          <w:trHeight w:val="270"/>
        </w:trPr>
        <w:tc>
          <w:tcPr>
            <w:tcW w:w="1994" w:type="dxa"/>
            <w:tcBorders>
              <w:top w:val="single" w:sz="4" w:space="0" w:color="9BBB59" w:themeColor="accent3"/>
              <w:bottom w:val="single" w:sz="4" w:space="0" w:color="auto"/>
            </w:tcBorders>
            <w:shd w:val="clear" w:color="auto" w:fill="FFFFFF"/>
          </w:tcPr>
          <w:p w14:paraId="3FB7ED32" w14:textId="798EFB69" w:rsidR="00534D46" w:rsidRDefault="00534D46" w:rsidP="00534D46">
            <w:pPr>
              <w:pStyle w:val="CETBodytext"/>
              <w:ind w:right="-1"/>
              <w:jc w:val="left"/>
              <w:rPr>
                <w:rFonts w:cs="Arial"/>
                <w:szCs w:val="18"/>
                <w:lang w:val="en-GB"/>
              </w:rPr>
            </w:pPr>
            <w:r>
              <w:rPr>
                <w:rFonts w:cs="Arial"/>
                <w:szCs w:val="18"/>
                <w:lang w:val="en-GB"/>
              </w:rPr>
              <w:t>UF membrane cost</w:t>
            </w:r>
          </w:p>
        </w:tc>
        <w:tc>
          <w:tcPr>
            <w:tcW w:w="705" w:type="dxa"/>
            <w:tcBorders>
              <w:top w:val="single" w:sz="4" w:space="0" w:color="9BBB59" w:themeColor="accent3"/>
              <w:bottom w:val="single" w:sz="4" w:space="0" w:color="auto"/>
            </w:tcBorders>
            <w:shd w:val="clear" w:color="auto" w:fill="FFFFFF"/>
          </w:tcPr>
          <w:p w14:paraId="0E136F5C" w14:textId="1BC290AD" w:rsidR="00534D46" w:rsidRDefault="00534D46" w:rsidP="00534D46">
            <w:pPr>
              <w:pStyle w:val="CETBodytext"/>
              <w:ind w:right="-1"/>
              <w:rPr>
                <w:rFonts w:cs="Arial"/>
                <w:szCs w:val="18"/>
                <w:lang w:val="en-GB"/>
              </w:rPr>
            </w:pPr>
            <w:r w:rsidRPr="00097480">
              <w:rPr>
                <w:rFonts w:cs="Arial"/>
                <w:szCs w:val="18"/>
                <w:lang w:val="en-GB"/>
              </w:rPr>
              <w:t>200</w:t>
            </w:r>
          </w:p>
        </w:tc>
        <w:tc>
          <w:tcPr>
            <w:tcW w:w="1136" w:type="dxa"/>
            <w:tcBorders>
              <w:top w:val="single" w:sz="4" w:space="0" w:color="9BBB59" w:themeColor="accent3"/>
              <w:bottom w:val="single" w:sz="4" w:space="0" w:color="auto"/>
              <w:right w:val="single" w:sz="4" w:space="0" w:color="FFFFFF" w:themeColor="background1"/>
            </w:tcBorders>
            <w:shd w:val="clear" w:color="auto" w:fill="FFFFFF"/>
          </w:tcPr>
          <w:p w14:paraId="1AA3C7E2" w14:textId="026EBA0E" w:rsidR="00534D46" w:rsidRDefault="00534D46" w:rsidP="00534D46">
            <w:pPr>
              <w:pStyle w:val="CETBodytext"/>
              <w:ind w:right="-1"/>
              <w:rPr>
                <w:rFonts w:cs="Arial"/>
                <w:szCs w:val="18"/>
                <w:lang w:val="en-GB"/>
              </w:rPr>
            </w:pPr>
            <w:r>
              <w:rPr>
                <w:rFonts w:cs="Arial"/>
                <w:szCs w:val="18"/>
                <w:lang w:val="en-GB"/>
              </w:rPr>
              <w:t>€ m</w:t>
            </w:r>
            <w:r w:rsidRPr="002616BD">
              <w:rPr>
                <w:rFonts w:cs="Arial"/>
                <w:szCs w:val="18"/>
                <w:vertAlign w:val="superscript"/>
                <w:lang w:val="en-GB"/>
              </w:rPr>
              <w:t>-2</w:t>
            </w:r>
          </w:p>
        </w:tc>
        <w:tc>
          <w:tcPr>
            <w:tcW w:w="2131" w:type="dxa"/>
            <w:tcBorders>
              <w:top w:val="single" w:sz="4" w:space="0" w:color="9BBB59" w:themeColor="accent3"/>
              <w:left w:val="single" w:sz="4" w:space="0" w:color="FFFFFF" w:themeColor="background1"/>
              <w:bottom w:val="single" w:sz="4" w:space="0" w:color="auto"/>
            </w:tcBorders>
            <w:shd w:val="clear" w:color="auto" w:fill="FFFFFF"/>
          </w:tcPr>
          <w:p w14:paraId="7563EBD5" w14:textId="0E60AAF8" w:rsidR="00534D46" w:rsidRDefault="00534D46" w:rsidP="00534D46">
            <w:pPr>
              <w:pStyle w:val="CETBodytext"/>
              <w:ind w:right="-1"/>
              <w:rPr>
                <w:rFonts w:cs="Arial"/>
                <w:szCs w:val="18"/>
                <w:lang w:val="en-GB"/>
              </w:rPr>
            </w:pPr>
            <w:r>
              <w:rPr>
                <w:rFonts w:cs="Arial"/>
                <w:szCs w:val="18"/>
                <w:lang w:val="en-GB"/>
              </w:rPr>
              <w:t xml:space="preserve">Construction year </w:t>
            </w:r>
          </w:p>
        </w:tc>
        <w:tc>
          <w:tcPr>
            <w:tcW w:w="710" w:type="dxa"/>
            <w:tcBorders>
              <w:top w:val="single" w:sz="4" w:space="0" w:color="9BBB59" w:themeColor="accent3"/>
              <w:bottom w:val="single" w:sz="4" w:space="0" w:color="auto"/>
            </w:tcBorders>
            <w:shd w:val="clear" w:color="auto" w:fill="FFFFFF"/>
          </w:tcPr>
          <w:p w14:paraId="3F3814A7" w14:textId="2D8BAB7C" w:rsidR="00534D46" w:rsidRDefault="00534D46" w:rsidP="00534D46">
            <w:pPr>
              <w:pStyle w:val="CETBodytext"/>
              <w:ind w:right="-1"/>
              <w:rPr>
                <w:rFonts w:cs="Arial"/>
                <w:szCs w:val="18"/>
                <w:lang w:val="en-GB"/>
              </w:rPr>
            </w:pPr>
            <w:r>
              <w:rPr>
                <w:rFonts w:cs="Arial"/>
                <w:szCs w:val="18"/>
                <w:lang w:val="en-GB"/>
              </w:rPr>
              <w:t>2030</w:t>
            </w:r>
          </w:p>
        </w:tc>
        <w:tc>
          <w:tcPr>
            <w:tcW w:w="1989" w:type="dxa"/>
            <w:tcBorders>
              <w:top w:val="single" w:sz="4" w:space="0" w:color="9BBB59" w:themeColor="accent3"/>
              <w:bottom w:val="single" w:sz="4" w:space="0" w:color="auto"/>
            </w:tcBorders>
            <w:shd w:val="clear" w:color="auto" w:fill="FFFFFF"/>
          </w:tcPr>
          <w:p w14:paraId="24E57E64" w14:textId="623E8125" w:rsidR="00534D46" w:rsidRDefault="00534D46" w:rsidP="00534D46">
            <w:pPr>
              <w:pStyle w:val="CETBodytext"/>
              <w:ind w:right="-1"/>
              <w:rPr>
                <w:rFonts w:cs="Arial"/>
                <w:szCs w:val="18"/>
                <w:lang w:val="en-GB"/>
              </w:rPr>
            </w:pPr>
            <w:r>
              <w:rPr>
                <w:rFonts w:cs="Arial"/>
                <w:szCs w:val="18"/>
                <w:lang w:val="en-GB"/>
              </w:rPr>
              <w:t>-</w:t>
            </w:r>
          </w:p>
        </w:tc>
      </w:tr>
      <w:tr w:rsidR="00534D46" w:rsidRPr="00B57B36" w14:paraId="5B06FC0A" w14:textId="12ED6520" w:rsidTr="0090594A">
        <w:trPr>
          <w:trHeight w:val="270"/>
        </w:trPr>
        <w:tc>
          <w:tcPr>
            <w:tcW w:w="1994" w:type="dxa"/>
            <w:tcBorders>
              <w:top w:val="single" w:sz="4" w:space="0" w:color="auto"/>
              <w:bottom w:val="single" w:sz="12" w:space="0" w:color="008000"/>
            </w:tcBorders>
            <w:shd w:val="clear" w:color="auto" w:fill="FFFFFF"/>
          </w:tcPr>
          <w:p w14:paraId="09CB18DC" w14:textId="4031176B" w:rsidR="00534D46" w:rsidRDefault="00534D46" w:rsidP="00534D46">
            <w:pPr>
              <w:pStyle w:val="CETBodytext"/>
              <w:ind w:right="-1"/>
              <w:jc w:val="left"/>
              <w:rPr>
                <w:rFonts w:cs="Arial"/>
                <w:szCs w:val="18"/>
                <w:lang w:val="en-GB"/>
              </w:rPr>
            </w:pPr>
            <w:r>
              <w:rPr>
                <w:rFonts w:cs="Arial"/>
                <w:szCs w:val="18"/>
                <w:lang w:val="en-GB"/>
              </w:rPr>
              <w:t>ARED membrane cost</w:t>
            </w:r>
          </w:p>
        </w:tc>
        <w:tc>
          <w:tcPr>
            <w:tcW w:w="705" w:type="dxa"/>
            <w:tcBorders>
              <w:top w:val="single" w:sz="4" w:space="0" w:color="auto"/>
              <w:bottom w:val="single" w:sz="12" w:space="0" w:color="008000"/>
            </w:tcBorders>
            <w:shd w:val="clear" w:color="auto" w:fill="FFFFFF"/>
          </w:tcPr>
          <w:p w14:paraId="4F856B90" w14:textId="270FD685" w:rsidR="00534D46" w:rsidRDefault="006377B9" w:rsidP="00534D46">
            <w:pPr>
              <w:pStyle w:val="CETBodytext"/>
              <w:ind w:right="-1"/>
              <w:rPr>
                <w:rFonts w:cs="Arial"/>
                <w:szCs w:val="18"/>
                <w:lang w:val="en-GB"/>
              </w:rPr>
            </w:pPr>
            <w:r>
              <w:rPr>
                <w:rFonts w:cs="Arial"/>
                <w:szCs w:val="18"/>
                <w:lang w:val="en-GB"/>
              </w:rPr>
              <w:t>2</w:t>
            </w:r>
            <w:r w:rsidR="00534D46">
              <w:rPr>
                <w:rFonts w:cs="Arial"/>
                <w:szCs w:val="18"/>
                <w:lang w:val="en-GB"/>
              </w:rPr>
              <w:t>0</w:t>
            </w:r>
          </w:p>
        </w:tc>
        <w:tc>
          <w:tcPr>
            <w:tcW w:w="1136" w:type="dxa"/>
            <w:tcBorders>
              <w:top w:val="single" w:sz="4" w:space="0" w:color="auto"/>
              <w:bottom w:val="single" w:sz="12" w:space="0" w:color="008000"/>
              <w:right w:val="single" w:sz="4" w:space="0" w:color="FFFFFF" w:themeColor="background1"/>
            </w:tcBorders>
            <w:shd w:val="clear" w:color="auto" w:fill="FFFFFF"/>
          </w:tcPr>
          <w:p w14:paraId="4C7C63A1" w14:textId="6E5599F6" w:rsidR="00534D46" w:rsidRDefault="00534D46" w:rsidP="00534D46">
            <w:pPr>
              <w:pStyle w:val="CETBodytext"/>
              <w:ind w:right="-1"/>
              <w:rPr>
                <w:rFonts w:cs="Arial"/>
                <w:szCs w:val="18"/>
                <w:lang w:val="en-GB"/>
              </w:rPr>
            </w:pPr>
            <w:r>
              <w:rPr>
                <w:rFonts w:cs="Arial"/>
                <w:szCs w:val="18"/>
                <w:lang w:val="en-GB"/>
              </w:rPr>
              <w:t>€ m</w:t>
            </w:r>
            <w:r w:rsidRPr="002616BD">
              <w:rPr>
                <w:rFonts w:cs="Arial"/>
                <w:szCs w:val="18"/>
                <w:vertAlign w:val="superscript"/>
                <w:lang w:val="en-GB"/>
              </w:rPr>
              <w:t>-2</w:t>
            </w:r>
            <w:r w:rsidRPr="00534D46">
              <w:rPr>
                <w:rFonts w:cs="Arial"/>
                <w:szCs w:val="18"/>
                <w:vertAlign w:val="subscript"/>
                <w:lang w:val="en-GB"/>
              </w:rPr>
              <w:t>IEM</w:t>
            </w:r>
            <w:r w:rsidRPr="00534D46">
              <w:rPr>
                <w:rFonts w:cs="Arial"/>
                <w:sz w:val="12"/>
                <w:szCs w:val="18"/>
                <w:vertAlign w:val="subscript"/>
                <w:lang w:val="en-GB"/>
              </w:rPr>
              <w:t>S</w:t>
            </w:r>
          </w:p>
        </w:tc>
        <w:tc>
          <w:tcPr>
            <w:tcW w:w="2131" w:type="dxa"/>
            <w:tcBorders>
              <w:top w:val="single" w:sz="4" w:space="0" w:color="auto"/>
              <w:left w:val="single" w:sz="4" w:space="0" w:color="FFFFFF" w:themeColor="background1"/>
              <w:bottom w:val="single" w:sz="12" w:space="0" w:color="008000"/>
            </w:tcBorders>
            <w:shd w:val="clear" w:color="auto" w:fill="FFFFFF"/>
          </w:tcPr>
          <w:p w14:paraId="6B2EFD87" w14:textId="40D99610" w:rsidR="00534D46" w:rsidRDefault="00534D46" w:rsidP="00534D46">
            <w:pPr>
              <w:pStyle w:val="CETBodytext"/>
              <w:ind w:right="-1"/>
              <w:rPr>
                <w:rFonts w:cs="Arial"/>
                <w:szCs w:val="18"/>
                <w:lang w:val="en-GB"/>
              </w:rPr>
            </w:pPr>
            <w:r>
              <w:rPr>
                <w:rFonts w:cs="Arial"/>
                <w:szCs w:val="18"/>
                <w:lang w:val="en-GB"/>
              </w:rPr>
              <w:t>Plant located region</w:t>
            </w:r>
          </w:p>
        </w:tc>
        <w:tc>
          <w:tcPr>
            <w:tcW w:w="2699" w:type="dxa"/>
            <w:gridSpan w:val="2"/>
            <w:tcBorders>
              <w:top w:val="single" w:sz="4" w:space="0" w:color="auto"/>
              <w:bottom w:val="single" w:sz="12" w:space="0" w:color="008000"/>
            </w:tcBorders>
            <w:shd w:val="clear" w:color="auto" w:fill="FFFFFF"/>
          </w:tcPr>
          <w:p w14:paraId="7D71F791" w14:textId="0E9A5633" w:rsidR="00534D46" w:rsidRDefault="00321BB5" w:rsidP="00321BB5">
            <w:pPr>
              <w:pStyle w:val="CETBodytext"/>
              <w:ind w:right="-1"/>
              <w:jc w:val="left"/>
              <w:rPr>
                <w:rFonts w:cs="Arial"/>
                <w:szCs w:val="18"/>
                <w:lang w:val="en-GB"/>
              </w:rPr>
            </w:pPr>
            <w:r>
              <w:rPr>
                <w:rFonts w:cs="Arial"/>
                <w:szCs w:val="18"/>
                <w:lang w:val="en-GB"/>
              </w:rPr>
              <w:t>Southern</w:t>
            </w:r>
            <w:r w:rsidR="00534D46">
              <w:rPr>
                <w:rFonts w:cs="Arial"/>
                <w:szCs w:val="18"/>
                <w:lang w:val="en-GB"/>
              </w:rPr>
              <w:t xml:space="preserve"> </w:t>
            </w:r>
            <w:r>
              <w:rPr>
                <w:rFonts w:cs="Arial"/>
                <w:szCs w:val="18"/>
                <w:lang w:val="en-GB"/>
              </w:rPr>
              <w:t>European</w:t>
            </w:r>
            <w:r w:rsidR="00534D46">
              <w:rPr>
                <w:rFonts w:cs="Arial"/>
                <w:szCs w:val="18"/>
                <w:lang w:val="en-GB"/>
              </w:rPr>
              <w:t xml:space="preserve"> countries</w:t>
            </w:r>
          </w:p>
        </w:tc>
      </w:tr>
    </w:tbl>
    <w:p w14:paraId="3AC8D311" w14:textId="77777777" w:rsidR="00B1282C" w:rsidRDefault="00B1282C" w:rsidP="00B1282C">
      <w:pPr>
        <w:pStyle w:val="CETBodytext"/>
      </w:pPr>
      <w:r>
        <w:t xml:space="preserve">Finally, the total plant cost </w:t>
      </w:r>
      <w:proofErr w:type="spellStart"/>
      <w:r>
        <w:t>C</w:t>
      </w:r>
      <w:r w:rsidRPr="002178BB">
        <w:rPr>
          <w:vertAlign w:val="subscript"/>
        </w:rPr>
        <w:t>tot</w:t>
      </w:r>
      <w:proofErr w:type="spellEnd"/>
      <w:r>
        <w:t xml:space="preserve"> is the sum of the annualized capital costs and the operative expenditure. Notably, </w:t>
      </w:r>
      <w:proofErr w:type="spellStart"/>
      <w:r>
        <w:t>C</w:t>
      </w:r>
      <w:r w:rsidRPr="002178BB">
        <w:rPr>
          <w:vertAlign w:val="subscript"/>
        </w:rPr>
        <w:t>tot</w:t>
      </w:r>
      <w:proofErr w:type="spellEnd"/>
      <w:r>
        <w:t xml:space="preserve"> is a specific cost as it is normalized (eq. 2) to the plant size, i.e., the cubic meters of PWs treated by the plant. </w:t>
      </w:r>
    </w:p>
    <w:tbl>
      <w:tblPr>
        <w:tblW w:w="5000" w:type="pct"/>
        <w:tblLook w:val="04A0" w:firstRow="1" w:lastRow="0" w:firstColumn="1" w:lastColumn="0" w:noHBand="0" w:noVBand="1"/>
      </w:tblPr>
      <w:tblGrid>
        <w:gridCol w:w="7986"/>
        <w:gridCol w:w="801"/>
      </w:tblGrid>
      <w:tr w:rsidR="00B1282C" w:rsidRPr="00B57B36" w14:paraId="4F2F7C83" w14:textId="77777777" w:rsidTr="004A071A">
        <w:tc>
          <w:tcPr>
            <w:tcW w:w="7986" w:type="dxa"/>
            <w:shd w:val="clear" w:color="auto" w:fill="auto"/>
            <w:vAlign w:val="center"/>
          </w:tcPr>
          <w:p w14:paraId="45560A9E" w14:textId="77777777" w:rsidR="00B1282C" w:rsidRPr="0090594A" w:rsidRDefault="00000000" w:rsidP="004A071A">
            <w:pPr>
              <w:pStyle w:val="CETEquation"/>
              <w:rPr>
                <w:rFonts w:cs="Arial"/>
              </w:rPr>
            </w:pPr>
            <m:oMathPara>
              <m:oMathParaPr>
                <m:jc m:val="left"/>
              </m:oMathParaPr>
              <m:oMath>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tot</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Acapex+Opex</m:t>
                    </m:r>
                  </m:num>
                  <m:den>
                    <m:r>
                      <m:rPr>
                        <m:sty m:val="p"/>
                      </m:rPr>
                      <w:rPr>
                        <w:rFonts w:ascii="Cambria Math" w:hAnsi="Cambria Math" w:cs="Arial"/>
                      </w:rPr>
                      <m:t>Plant size [</m:t>
                    </m:r>
                    <m:sSubSup>
                      <m:sSubSupPr>
                        <m:ctrlPr>
                          <w:rPr>
                            <w:rFonts w:ascii="Cambria Math" w:hAnsi="Cambria Math" w:cs="Arial"/>
                          </w:rPr>
                        </m:ctrlPr>
                      </m:sSubSupPr>
                      <m:e>
                        <m:r>
                          <m:rPr>
                            <m:sty m:val="p"/>
                          </m:rPr>
                          <w:rPr>
                            <w:rFonts w:ascii="Cambria Math" w:hAnsi="Cambria Math" w:cs="Arial"/>
                          </w:rPr>
                          <m:t>m</m:t>
                        </m:r>
                      </m:e>
                      <m:sub>
                        <m:r>
                          <m:rPr>
                            <m:sty m:val="p"/>
                          </m:rPr>
                          <w:rPr>
                            <w:rFonts w:ascii="Cambria Math" w:hAnsi="Cambria Math" w:cs="Arial"/>
                          </w:rPr>
                          <m:t>PW</m:t>
                        </m:r>
                      </m:sub>
                      <m:sup>
                        <m:r>
                          <m:rPr>
                            <m:sty m:val="p"/>
                          </m:rPr>
                          <w:rPr>
                            <w:rFonts w:ascii="Cambria Math" w:hAnsi="Cambria Math" w:cs="Arial"/>
                          </w:rPr>
                          <m:t>3</m:t>
                        </m:r>
                      </m:sup>
                    </m:sSubSup>
                    <m:r>
                      <m:rPr>
                        <m:sty m:val="p"/>
                      </m:rPr>
                      <w:rPr>
                        <w:rFonts w:ascii="Cambria Math" w:hAnsi="Cambria Math" w:cs="Arial"/>
                      </w:rPr>
                      <m:t xml:space="preserve"> </m:t>
                    </m:r>
                    <m:sSup>
                      <m:sSupPr>
                        <m:ctrlPr>
                          <w:rPr>
                            <w:rFonts w:ascii="Cambria Math" w:hAnsi="Cambria Math" w:cs="Arial"/>
                          </w:rPr>
                        </m:ctrlPr>
                      </m:sSupPr>
                      <m:e>
                        <m:r>
                          <m:rPr>
                            <m:sty m:val="p"/>
                          </m:rPr>
                          <w:rPr>
                            <w:rFonts w:ascii="Cambria Math" w:hAnsi="Cambria Math" w:cs="Arial"/>
                          </w:rPr>
                          <m:t>year</m:t>
                        </m:r>
                      </m:e>
                      <m:sup>
                        <m:r>
                          <m:rPr>
                            <m:sty m:val="p"/>
                          </m:rPr>
                          <w:rPr>
                            <w:rFonts w:ascii="Cambria Math" w:hAnsi="Cambria Math" w:cs="Arial"/>
                          </w:rPr>
                          <m:t>-1</m:t>
                        </m:r>
                      </m:sup>
                    </m:sSup>
                    <m:r>
                      <m:rPr>
                        <m:sty m:val="p"/>
                      </m:rPr>
                      <w:rPr>
                        <w:rFonts w:ascii="Cambria Math" w:hAnsi="Cambria Math" w:cs="Arial"/>
                      </w:rPr>
                      <m:t>]</m:t>
                    </m:r>
                  </m:den>
                </m:f>
              </m:oMath>
            </m:oMathPara>
          </w:p>
        </w:tc>
        <w:tc>
          <w:tcPr>
            <w:tcW w:w="801" w:type="dxa"/>
            <w:shd w:val="clear" w:color="auto" w:fill="auto"/>
            <w:vAlign w:val="center"/>
          </w:tcPr>
          <w:p w14:paraId="10E22844" w14:textId="77777777" w:rsidR="00B1282C" w:rsidRPr="00B57B36" w:rsidRDefault="00B1282C" w:rsidP="004A071A">
            <w:pPr>
              <w:pStyle w:val="CETEquation"/>
              <w:jc w:val="right"/>
            </w:pPr>
            <w:r w:rsidRPr="00B57B36">
              <w:t>(</w:t>
            </w:r>
            <w:r>
              <w:t>2</w:t>
            </w:r>
            <w:r w:rsidRPr="00B57B36">
              <w:t>)</w:t>
            </w:r>
          </w:p>
        </w:tc>
      </w:tr>
    </w:tbl>
    <w:p w14:paraId="5741900F" w14:textId="453AD95E" w:rsidR="00453E24" w:rsidRDefault="008F5694" w:rsidP="008F5694">
      <w:pPr>
        <w:pStyle w:val="CETheadingx"/>
      </w:pPr>
      <w:r>
        <w:lastRenderedPageBreak/>
        <w:t xml:space="preserve">Case scenario and technical data </w:t>
      </w:r>
    </w:p>
    <w:p w14:paraId="703980B0" w14:textId="5C0F6547" w:rsidR="00513B34" w:rsidRDefault="008B0569" w:rsidP="00453E24">
      <w:pPr>
        <w:pStyle w:val="CETBodytext"/>
      </w:pPr>
      <w:r>
        <w:t>The techno-economic model includes di</w:t>
      </w:r>
      <w:r w:rsidR="009F1795">
        <w:t>fferent possibilities of choice,</w:t>
      </w:r>
      <w:r>
        <w:t xml:space="preserve"> varying from the plant </w:t>
      </w:r>
      <w:r w:rsidR="00BA5C6C">
        <w:t xml:space="preserve">scale </w:t>
      </w:r>
      <w:r>
        <w:t>to the RO</w:t>
      </w:r>
      <w:r w:rsidR="00B255DD">
        <w:t xml:space="preserve"> unit</w:t>
      </w:r>
      <w:r w:rsidR="00BA5C6C">
        <w:t xml:space="preserve"> pressure</w:t>
      </w:r>
      <w:r w:rsidR="009F1795">
        <w:t>, from the v</w:t>
      </w:r>
      <w:r>
        <w:t>oltage applied in ARED to the cost of fresh water</w:t>
      </w:r>
      <w:r w:rsidR="00FD2F88">
        <w:t xml:space="preserve"> make up</w:t>
      </w:r>
      <w:r>
        <w:t>.</w:t>
      </w:r>
    </w:p>
    <w:p w14:paraId="30B7FABB" w14:textId="438F4957" w:rsidR="008B0569" w:rsidRDefault="008B0569" w:rsidP="00453E24">
      <w:pPr>
        <w:pStyle w:val="CETBodytext"/>
      </w:pPr>
      <w:r>
        <w:t xml:space="preserve">As </w:t>
      </w:r>
      <w:r w:rsidR="00C740C0">
        <w:t xml:space="preserve">a </w:t>
      </w:r>
      <w:r>
        <w:t xml:space="preserve">starting </w:t>
      </w:r>
      <w:r w:rsidR="00B255DD">
        <w:t>point,</w:t>
      </w:r>
      <w:r>
        <w:t xml:space="preserve"> a </w:t>
      </w:r>
      <w:r w:rsidR="00BA5C6C">
        <w:t>scale</w:t>
      </w:r>
      <w:r>
        <w:t xml:space="preserve"> of 10.5 m</w:t>
      </w:r>
      <w:r w:rsidRPr="00321BB5">
        <w:rPr>
          <w:vertAlign w:val="superscript"/>
        </w:rPr>
        <w:t>3</w:t>
      </w:r>
      <w:r w:rsidR="008F5694">
        <w:rPr>
          <w:vertAlign w:val="superscript"/>
        </w:rPr>
        <w:t xml:space="preserve"> </w:t>
      </w:r>
      <w:r>
        <w:t>h</w:t>
      </w:r>
      <w:r w:rsidR="00321BB5" w:rsidRPr="00321BB5">
        <w:rPr>
          <w:vertAlign w:val="superscript"/>
        </w:rPr>
        <w:t>-1</w:t>
      </w:r>
      <w:r>
        <w:t xml:space="preserve"> for the plant was considered. This flow, after the preliminary UF unit, is divided up into 5 stacks of ARED. </w:t>
      </w:r>
      <w:r w:rsidR="00BA5C6C">
        <w:t>Each</w:t>
      </w:r>
      <w:r>
        <w:t xml:space="preserve"> </w:t>
      </w:r>
      <w:r w:rsidR="00B255DD">
        <w:t>deal</w:t>
      </w:r>
      <w:r w:rsidR="00BA5C6C">
        <w:t>s</w:t>
      </w:r>
      <w:r>
        <w:t xml:space="preserve"> with a concentrate flow rate of 2 </w:t>
      </w:r>
      <w:r w:rsidR="00321BB5">
        <w:t>m</w:t>
      </w:r>
      <w:r w:rsidR="00321BB5" w:rsidRPr="00321BB5">
        <w:rPr>
          <w:vertAlign w:val="superscript"/>
        </w:rPr>
        <w:t>3</w:t>
      </w:r>
      <w:r w:rsidR="008F5694">
        <w:rPr>
          <w:vertAlign w:val="superscript"/>
        </w:rPr>
        <w:t xml:space="preserve"> </w:t>
      </w:r>
      <w:r w:rsidR="00321BB5">
        <w:t>h</w:t>
      </w:r>
      <w:r w:rsidR="00321BB5" w:rsidRPr="00321BB5">
        <w:rPr>
          <w:vertAlign w:val="superscript"/>
        </w:rPr>
        <w:t>-1</w:t>
      </w:r>
      <w:r w:rsidR="00C740C0">
        <w:t xml:space="preserve">; </w:t>
      </w:r>
      <w:r>
        <w:t xml:space="preserve">the </w:t>
      </w:r>
      <w:r w:rsidR="00C740C0">
        <w:t xml:space="preserve">corresponding dilute solution flow rate is assumed </w:t>
      </w:r>
      <w:r w:rsidR="00BA5C6C">
        <w:t>equal to twice</w:t>
      </w:r>
      <w:r w:rsidR="00C740C0">
        <w:t xml:space="preserve"> the concentrate one (i.e. 4 </w:t>
      </w:r>
      <w:r w:rsidR="00C740C0" w:rsidRPr="0053551D">
        <w:t>m</w:t>
      </w:r>
      <w:r w:rsidR="00C740C0" w:rsidRPr="00BA5C6C">
        <w:rPr>
          <w:vertAlign w:val="superscript"/>
        </w:rPr>
        <w:t>3</w:t>
      </w:r>
      <w:r w:rsidR="0053551D">
        <w:t xml:space="preserve"> </w:t>
      </w:r>
      <w:r w:rsidR="00C740C0" w:rsidRPr="0053551D">
        <w:t>h</w:t>
      </w:r>
      <w:r w:rsidR="00C740C0" w:rsidRPr="00321BB5">
        <w:rPr>
          <w:vertAlign w:val="superscript"/>
        </w:rPr>
        <w:t>-1</w:t>
      </w:r>
      <w:r w:rsidR="00C740C0">
        <w:t>)</w:t>
      </w:r>
      <w:r>
        <w:t xml:space="preserve">. The different flow rates </w:t>
      </w:r>
      <w:r w:rsidR="007E0D46">
        <w:t>imply</w:t>
      </w:r>
      <w:r>
        <w:t xml:space="preserve"> a difference in the velocity, that can influence the pressure drops of the system (because the channel with the higher flow can push against the adjacent channel), for this reason different spacers were assumed for the concentrated and diluted channels, respectively 300 e 500 </w:t>
      </w:r>
      <w:r>
        <w:rPr>
          <w:rFonts w:cs="Arial"/>
        </w:rPr>
        <w:t>µ</w:t>
      </w:r>
      <w:r>
        <w:t xml:space="preserve">m. The main operating parameter of RO is the </w:t>
      </w:r>
      <w:r w:rsidR="003315E0">
        <w:t xml:space="preserve">operating </w:t>
      </w:r>
      <w:r>
        <w:t xml:space="preserve">pressure, that is calibrated depending on the feed concentration and </w:t>
      </w:r>
      <w:r w:rsidR="007E0D46">
        <w:t xml:space="preserve">aiming at </w:t>
      </w:r>
      <w:r w:rsidR="00321BB5">
        <w:t xml:space="preserve">the </w:t>
      </w:r>
      <w:r w:rsidR="007E0D46">
        <w:t xml:space="preserve">reduction </w:t>
      </w:r>
      <w:r w:rsidR="00321BB5">
        <w:t xml:space="preserve">of the </w:t>
      </w:r>
      <w:r w:rsidR="007E0D46">
        <w:t xml:space="preserve">water </w:t>
      </w:r>
      <w:r w:rsidR="00321BB5">
        <w:t>make-up stream</w:t>
      </w:r>
      <w:r>
        <w:t>.</w:t>
      </w:r>
      <w:r w:rsidR="00F0084B">
        <w:t xml:space="preserve"> </w:t>
      </w:r>
      <w:r>
        <w:t>The main input and fixed parameters are shown in the following table:</w:t>
      </w:r>
    </w:p>
    <w:p w14:paraId="5F41486F" w14:textId="0F44C94A" w:rsidR="008B0569" w:rsidRPr="00B57B36" w:rsidRDefault="008B0569" w:rsidP="008B0569">
      <w:pPr>
        <w:pStyle w:val="CETTabletitle"/>
      </w:pPr>
      <w:r w:rsidRPr="00B57B36">
        <w:t xml:space="preserve">Table </w:t>
      </w:r>
      <w:r w:rsidR="003A75AA">
        <w:t>3</w:t>
      </w:r>
      <w:r w:rsidRPr="00B57B36">
        <w:t xml:space="preserve">: </w:t>
      </w:r>
      <w:r>
        <w:t>Main input parameters and fixed values</w:t>
      </w:r>
    </w:p>
    <w:tbl>
      <w:tblPr>
        <w:tblW w:w="8248"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698"/>
        <w:gridCol w:w="708"/>
        <w:gridCol w:w="847"/>
        <w:gridCol w:w="2395"/>
        <w:gridCol w:w="959"/>
        <w:gridCol w:w="641"/>
      </w:tblGrid>
      <w:tr w:rsidR="0090594A" w:rsidRPr="00B57B36" w14:paraId="6AE2C230" w14:textId="27E9B24B" w:rsidTr="0090594A">
        <w:trPr>
          <w:trHeight w:val="279"/>
        </w:trPr>
        <w:tc>
          <w:tcPr>
            <w:tcW w:w="4253" w:type="dxa"/>
            <w:gridSpan w:val="3"/>
            <w:tcBorders>
              <w:top w:val="single" w:sz="12" w:space="0" w:color="008000"/>
              <w:bottom w:val="single" w:sz="6" w:space="0" w:color="008000"/>
              <w:right w:val="single" w:sz="12" w:space="0" w:color="FFFFFF" w:themeColor="background1"/>
            </w:tcBorders>
            <w:shd w:val="clear" w:color="auto" w:fill="FFFFFF"/>
          </w:tcPr>
          <w:p w14:paraId="7783EF34" w14:textId="51D903CF" w:rsidR="0090594A" w:rsidRDefault="0090594A" w:rsidP="00A7693D">
            <w:pPr>
              <w:pStyle w:val="CETBodytext"/>
              <w:rPr>
                <w:lang w:val="en-GB"/>
              </w:rPr>
            </w:pPr>
            <w:r>
              <w:rPr>
                <w:lang w:val="en-GB"/>
              </w:rPr>
              <w:t>Assisted Reverse Electrodialysis, ARED, stack</w:t>
            </w:r>
          </w:p>
        </w:tc>
        <w:tc>
          <w:tcPr>
            <w:tcW w:w="3995" w:type="dxa"/>
            <w:gridSpan w:val="3"/>
            <w:tcBorders>
              <w:top w:val="single" w:sz="12" w:space="0" w:color="008000"/>
              <w:left w:val="nil"/>
              <w:bottom w:val="single" w:sz="6" w:space="0" w:color="008000"/>
            </w:tcBorders>
            <w:shd w:val="clear" w:color="auto" w:fill="FFFFFF"/>
          </w:tcPr>
          <w:p w14:paraId="7193EDFC" w14:textId="09D45779" w:rsidR="0090594A" w:rsidRDefault="0090594A" w:rsidP="00A7693D">
            <w:pPr>
              <w:pStyle w:val="CETBodytext"/>
              <w:rPr>
                <w:lang w:val="en-GB"/>
              </w:rPr>
            </w:pPr>
            <w:r>
              <w:rPr>
                <w:lang w:val="en-GB"/>
              </w:rPr>
              <w:t>Reverse Osmosis, RO, unit</w:t>
            </w:r>
          </w:p>
        </w:tc>
      </w:tr>
      <w:tr w:rsidR="0090594A" w:rsidRPr="00B57B36" w14:paraId="3F95B910" w14:textId="77777777" w:rsidTr="0090594A">
        <w:trPr>
          <w:trHeight w:val="279"/>
        </w:trPr>
        <w:tc>
          <w:tcPr>
            <w:tcW w:w="2698" w:type="dxa"/>
            <w:tcBorders>
              <w:top w:val="single" w:sz="12" w:space="0" w:color="008000"/>
              <w:bottom w:val="single" w:sz="6" w:space="0" w:color="008000"/>
            </w:tcBorders>
            <w:shd w:val="clear" w:color="auto" w:fill="FFFFFF"/>
          </w:tcPr>
          <w:p w14:paraId="16AD354D" w14:textId="10E2A4C2" w:rsidR="0090594A" w:rsidRDefault="0090594A" w:rsidP="00A7693D">
            <w:pPr>
              <w:pStyle w:val="CETBodytext"/>
              <w:rPr>
                <w:lang w:val="en-GB"/>
              </w:rPr>
            </w:pPr>
            <w:r>
              <w:rPr>
                <w:lang w:val="en-GB"/>
              </w:rPr>
              <w:t>Data</w:t>
            </w:r>
          </w:p>
        </w:tc>
        <w:tc>
          <w:tcPr>
            <w:tcW w:w="708" w:type="dxa"/>
            <w:tcBorders>
              <w:top w:val="single" w:sz="12" w:space="0" w:color="008000"/>
              <w:bottom w:val="single" w:sz="6" w:space="0" w:color="008000"/>
            </w:tcBorders>
            <w:shd w:val="clear" w:color="auto" w:fill="FFFFFF"/>
          </w:tcPr>
          <w:p w14:paraId="0DE289FE" w14:textId="61D752C2" w:rsidR="0090594A" w:rsidRDefault="0090594A" w:rsidP="00A7693D">
            <w:pPr>
              <w:pStyle w:val="CETBodytext"/>
              <w:rPr>
                <w:lang w:val="en-GB"/>
              </w:rPr>
            </w:pPr>
            <w:r>
              <w:rPr>
                <w:lang w:val="en-GB"/>
              </w:rPr>
              <w:t>Value</w:t>
            </w:r>
          </w:p>
        </w:tc>
        <w:tc>
          <w:tcPr>
            <w:tcW w:w="847" w:type="dxa"/>
            <w:tcBorders>
              <w:top w:val="single" w:sz="12" w:space="0" w:color="008000"/>
              <w:bottom w:val="single" w:sz="6" w:space="0" w:color="008000"/>
              <w:right w:val="single" w:sz="12" w:space="0" w:color="FFFFFF" w:themeColor="background1"/>
            </w:tcBorders>
            <w:shd w:val="clear" w:color="auto" w:fill="FFFFFF"/>
          </w:tcPr>
          <w:p w14:paraId="46D47F88" w14:textId="29114D4B" w:rsidR="0090594A" w:rsidRDefault="0090594A" w:rsidP="00A7693D">
            <w:pPr>
              <w:pStyle w:val="CETBodytext"/>
              <w:rPr>
                <w:lang w:val="en-GB"/>
              </w:rPr>
            </w:pPr>
          </w:p>
        </w:tc>
        <w:tc>
          <w:tcPr>
            <w:tcW w:w="2395" w:type="dxa"/>
            <w:tcBorders>
              <w:top w:val="single" w:sz="12" w:space="0" w:color="008000"/>
              <w:left w:val="nil"/>
              <w:bottom w:val="single" w:sz="6" w:space="0" w:color="008000"/>
            </w:tcBorders>
            <w:shd w:val="clear" w:color="auto" w:fill="FFFFFF"/>
          </w:tcPr>
          <w:p w14:paraId="612D6F54" w14:textId="60B0E969" w:rsidR="0090594A" w:rsidRDefault="0090594A" w:rsidP="00A7693D">
            <w:pPr>
              <w:pStyle w:val="CETBodytext"/>
              <w:rPr>
                <w:lang w:val="en-GB"/>
              </w:rPr>
            </w:pPr>
            <w:r>
              <w:rPr>
                <w:lang w:val="en-GB"/>
              </w:rPr>
              <w:t>Data</w:t>
            </w:r>
          </w:p>
        </w:tc>
        <w:tc>
          <w:tcPr>
            <w:tcW w:w="959" w:type="dxa"/>
            <w:tcBorders>
              <w:top w:val="single" w:sz="12" w:space="0" w:color="008000"/>
              <w:bottom w:val="single" w:sz="6" w:space="0" w:color="008000"/>
            </w:tcBorders>
            <w:shd w:val="clear" w:color="auto" w:fill="FFFFFF"/>
          </w:tcPr>
          <w:p w14:paraId="2714CB13" w14:textId="5F711C35" w:rsidR="0090594A" w:rsidRDefault="0090594A" w:rsidP="00A7693D">
            <w:pPr>
              <w:pStyle w:val="CETBodytext"/>
              <w:rPr>
                <w:lang w:val="en-GB"/>
              </w:rPr>
            </w:pPr>
            <w:r>
              <w:rPr>
                <w:lang w:val="en-GB"/>
              </w:rPr>
              <w:t>Value</w:t>
            </w:r>
          </w:p>
        </w:tc>
        <w:tc>
          <w:tcPr>
            <w:tcW w:w="641" w:type="dxa"/>
            <w:tcBorders>
              <w:top w:val="single" w:sz="12" w:space="0" w:color="008000"/>
              <w:bottom w:val="single" w:sz="6" w:space="0" w:color="008000"/>
            </w:tcBorders>
            <w:shd w:val="clear" w:color="auto" w:fill="FFFFFF"/>
          </w:tcPr>
          <w:p w14:paraId="63BF5E68" w14:textId="79C5C684" w:rsidR="0090594A" w:rsidRDefault="0090594A" w:rsidP="00A7693D">
            <w:pPr>
              <w:pStyle w:val="CETBodytext"/>
              <w:rPr>
                <w:lang w:val="en-GB"/>
              </w:rPr>
            </w:pPr>
          </w:p>
        </w:tc>
      </w:tr>
      <w:tr w:rsidR="0090594A" w:rsidRPr="00B57B36" w14:paraId="1697C633" w14:textId="58027D28" w:rsidTr="0090594A">
        <w:trPr>
          <w:trHeight w:val="209"/>
        </w:trPr>
        <w:tc>
          <w:tcPr>
            <w:tcW w:w="2698" w:type="dxa"/>
            <w:shd w:val="clear" w:color="auto" w:fill="FFFFFF"/>
          </w:tcPr>
          <w:p w14:paraId="1840A93F" w14:textId="3CBA466B" w:rsidR="0090594A" w:rsidRPr="00B57B36" w:rsidRDefault="0090594A" w:rsidP="00A7693D">
            <w:pPr>
              <w:pStyle w:val="CETBodytext"/>
              <w:rPr>
                <w:lang w:val="en-GB"/>
              </w:rPr>
            </w:pPr>
            <w:r>
              <w:rPr>
                <w:lang w:val="en-GB"/>
              </w:rPr>
              <w:t xml:space="preserve">Number of cell pair, </w:t>
            </w:r>
            <w:proofErr w:type="spellStart"/>
            <w:r>
              <w:rPr>
                <w:lang w:val="en-GB"/>
              </w:rPr>
              <w:t>N</w:t>
            </w:r>
            <w:r w:rsidRPr="001A4885">
              <w:rPr>
                <w:vertAlign w:val="subscript"/>
                <w:lang w:val="en-GB"/>
              </w:rPr>
              <w:t>cp</w:t>
            </w:r>
            <w:proofErr w:type="spellEnd"/>
          </w:p>
        </w:tc>
        <w:tc>
          <w:tcPr>
            <w:tcW w:w="708" w:type="dxa"/>
            <w:shd w:val="clear" w:color="auto" w:fill="FFFFFF"/>
          </w:tcPr>
          <w:p w14:paraId="03A98878" w14:textId="0825B496" w:rsidR="0090594A" w:rsidRPr="00B57B36" w:rsidRDefault="0090594A" w:rsidP="00A7693D">
            <w:pPr>
              <w:pStyle w:val="CETBodytext"/>
              <w:rPr>
                <w:lang w:val="en-GB"/>
              </w:rPr>
            </w:pPr>
            <w:r>
              <w:rPr>
                <w:lang w:val="en-GB"/>
              </w:rPr>
              <w:t>500</w:t>
            </w:r>
          </w:p>
        </w:tc>
        <w:tc>
          <w:tcPr>
            <w:tcW w:w="847" w:type="dxa"/>
            <w:tcBorders>
              <w:right w:val="single" w:sz="12" w:space="0" w:color="FFFFFF" w:themeColor="background1"/>
            </w:tcBorders>
            <w:shd w:val="clear" w:color="auto" w:fill="FFFFFF"/>
          </w:tcPr>
          <w:p w14:paraId="653B5EF4" w14:textId="298D8216" w:rsidR="0090594A" w:rsidRDefault="0090594A" w:rsidP="00A7693D">
            <w:pPr>
              <w:pStyle w:val="CETBodytext"/>
              <w:rPr>
                <w:lang w:val="en-GB"/>
              </w:rPr>
            </w:pPr>
            <w:r>
              <w:rPr>
                <w:lang w:val="en-GB"/>
              </w:rPr>
              <w:t>-</w:t>
            </w:r>
          </w:p>
        </w:tc>
        <w:tc>
          <w:tcPr>
            <w:tcW w:w="3995" w:type="dxa"/>
            <w:gridSpan w:val="3"/>
            <w:tcBorders>
              <w:left w:val="nil"/>
            </w:tcBorders>
            <w:shd w:val="clear" w:color="auto" w:fill="FFFFFF"/>
          </w:tcPr>
          <w:p w14:paraId="4AA4E01E" w14:textId="457D15CF" w:rsidR="0090594A" w:rsidRDefault="0090594A" w:rsidP="008758DB">
            <w:pPr>
              <w:pStyle w:val="CETBodytext"/>
              <w:rPr>
                <w:lang w:val="en-GB"/>
              </w:rPr>
            </w:pPr>
            <w:r>
              <w:rPr>
                <w:lang w:val="en-GB"/>
              </w:rPr>
              <w:t>Module SW30XHR-440i</w:t>
            </w:r>
            <w:r w:rsidRPr="008758DB">
              <w:rPr>
                <w:vertAlign w:val="superscript"/>
                <w:lang w:val="en-GB"/>
              </w:rPr>
              <w:t>1</w:t>
            </w:r>
          </w:p>
        </w:tc>
      </w:tr>
      <w:tr w:rsidR="0090594A" w:rsidRPr="00B57B36" w14:paraId="23732170" w14:textId="01329BD3" w:rsidTr="0090594A">
        <w:trPr>
          <w:trHeight w:val="281"/>
        </w:trPr>
        <w:tc>
          <w:tcPr>
            <w:tcW w:w="2698" w:type="dxa"/>
            <w:shd w:val="clear" w:color="auto" w:fill="FFFFFF"/>
          </w:tcPr>
          <w:p w14:paraId="63C3F723" w14:textId="65F78E78" w:rsidR="0090594A" w:rsidRPr="00B57B36" w:rsidRDefault="0090594A" w:rsidP="00A7693D">
            <w:pPr>
              <w:pStyle w:val="CETBodytext"/>
              <w:rPr>
                <w:lang w:val="en-GB"/>
              </w:rPr>
            </w:pPr>
            <w:r>
              <w:rPr>
                <w:lang w:val="en-GB"/>
              </w:rPr>
              <w:t>Stack width, b</w:t>
            </w:r>
          </w:p>
        </w:tc>
        <w:tc>
          <w:tcPr>
            <w:tcW w:w="708" w:type="dxa"/>
            <w:shd w:val="clear" w:color="auto" w:fill="FFFFFF"/>
          </w:tcPr>
          <w:p w14:paraId="6FECEADB" w14:textId="34C4442F" w:rsidR="0090594A" w:rsidRPr="00B57B36" w:rsidRDefault="0090594A" w:rsidP="00A7693D">
            <w:pPr>
              <w:pStyle w:val="CETBodytext"/>
              <w:rPr>
                <w:lang w:val="en-GB"/>
              </w:rPr>
            </w:pPr>
            <w:r>
              <w:rPr>
                <w:lang w:val="en-GB"/>
              </w:rPr>
              <w:t>1</w:t>
            </w:r>
          </w:p>
        </w:tc>
        <w:tc>
          <w:tcPr>
            <w:tcW w:w="847" w:type="dxa"/>
            <w:tcBorders>
              <w:right w:val="single" w:sz="12" w:space="0" w:color="FFFFFF" w:themeColor="background1"/>
            </w:tcBorders>
            <w:shd w:val="clear" w:color="auto" w:fill="FFFFFF"/>
          </w:tcPr>
          <w:p w14:paraId="66ADF7D3" w14:textId="02EC321C" w:rsidR="0090594A" w:rsidRPr="00B57B36" w:rsidRDefault="0090594A" w:rsidP="00A7693D">
            <w:pPr>
              <w:pStyle w:val="CETBodytext"/>
              <w:rPr>
                <w:lang w:val="en-GB"/>
              </w:rPr>
            </w:pPr>
            <w:r>
              <w:rPr>
                <w:lang w:val="en-GB"/>
              </w:rPr>
              <w:t>m</w:t>
            </w:r>
          </w:p>
        </w:tc>
        <w:tc>
          <w:tcPr>
            <w:tcW w:w="2395" w:type="dxa"/>
            <w:tcBorders>
              <w:left w:val="nil"/>
            </w:tcBorders>
            <w:shd w:val="clear" w:color="auto" w:fill="FFFFFF"/>
          </w:tcPr>
          <w:p w14:paraId="7696B0A2" w14:textId="5B1529B6" w:rsidR="0090594A" w:rsidRPr="00B57B36" w:rsidRDefault="0090594A" w:rsidP="00A7693D">
            <w:pPr>
              <w:pStyle w:val="CETBodytext"/>
              <w:rPr>
                <w:lang w:val="en-GB"/>
              </w:rPr>
            </w:pPr>
            <w:r>
              <w:rPr>
                <w:lang w:val="en-GB"/>
              </w:rPr>
              <w:t>Area of membranes</w:t>
            </w:r>
          </w:p>
        </w:tc>
        <w:tc>
          <w:tcPr>
            <w:tcW w:w="959" w:type="dxa"/>
            <w:shd w:val="clear" w:color="auto" w:fill="FFFFFF"/>
          </w:tcPr>
          <w:p w14:paraId="0E033170" w14:textId="02F0E8D7" w:rsidR="0090594A" w:rsidRPr="00B57B36" w:rsidRDefault="0090594A" w:rsidP="00A7693D">
            <w:pPr>
              <w:pStyle w:val="CETBodytext"/>
              <w:rPr>
                <w:lang w:val="en-GB"/>
              </w:rPr>
            </w:pPr>
            <w:r>
              <w:rPr>
                <w:lang w:val="en-GB"/>
              </w:rPr>
              <w:t>41</w:t>
            </w:r>
          </w:p>
        </w:tc>
        <w:tc>
          <w:tcPr>
            <w:tcW w:w="641" w:type="dxa"/>
            <w:shd w:val="clear" w:color="auto" w:fill="FFFFFF"/>
          </w:tcPr>
          <w:p w14:paraId="2B8C4F75" w14:textId="725230DD" w:rsidR="0090594A" w:rsidRPr="00B57B36" w:rsidRDefault="0090594A" w:rsidP="00A7693D">
            <w:pPr>
              <w:pStyle w:val="CETBodytext"/>
              <w:rPr>
                <w:lang w:val="en-GB"/>
              </w:rPr>
            </w:pPr>
            <w:r>
              <w:rPr>
                <w:lang w:val="en-GB"/>
              </w:rPr>
              <w:t>m</w:t>
            </w:r>
            <w:r w:rsidRPr="008758DB">
              <w:rPr>
                <w:vertAlign w:val="superscript"/>
                <w:lang w:val="en-GB"/>
              </w:rPr>
              <w:t>2</w:t>
            </w:r>
          </w:p>
        </w:tc>
      </w:tr>
      <w:tr w:rsidR="0090594A" w:rsidRPr="00B57B36" w14:paraId="5EF5E417" w14:textId="23DB6FF6" w:rsidTr="0090594A">
        <w:trPr>
          <w:trHeight w:val="281"/>
        </w:trPr>
        <w:tc>
          <w:tcPr>
            <w:tcW w:w="2698" w:type="dxa"/>
            <w:shd w:val="clear" w:color="auto" w:fill="FFFFFF"/>
          </w:tcPr>
          <w:p w14:paraId="49269A36" w14:textId="03801FC3" w:rsidR="0090594A" w:rsidRPr="00B57B36" w:rsidRDefault="0090594A" w:rsidP="00A7693D">
            <w:pPr>
              <w:pStyle w:val="CETBodytext"/>
              <w:rPr>
                <w:lang w:val="en-GB"/>
              </w:rPr>
            </w:pPr>
            <w:r>
              <w:rPr>
                <w:lang w:val="en-GB"/>
              </w:rPr>
              <w:t>Stack Length, L</w:t>
            </w:r>
          </w:p>
        </w:tc>
        <w:tc>
          <w:tcPr>
            <w:tcW w:w="708" w:type="dxa"/>
            <w:shd w:val="clear" w:color="auto" w:fill="FFFFFF"/>
          </w:tcPr>
          <w:p w14:paraId="68F6F716" w14:textId="067ECF83" w:rsidR="0090594A" w:rsidRPr="00B57B36" w:rsidRDefault="0090594A" w:rsidP="00A7693D">
            <w:pPr>
              <w:pStyle w:val="CETBodytext"/>
              <w:rPr>
                <w:lang w:val="en-GB"/>
              </w:rPr>
            </w:pPr>
            <w:r>
              <w:rPr>
                <w:lang w:val="en-GB"/>
              </w:rPr>
              <w:t>1</w:t>
            </w:r>
          </w:p>
        </w:tc>
        <w:tc>
          <w:tcPr>
            <w:tcW w:w="847" w:type="dxa"/>
            <w:tcBorders>
              <w:right w:val="single" w:sz="12" w:space="0" w:color="FFFFFF" w:themeColor="background1"/>
            </w:tcBorders>
            <w:shd w:val="clear" w:color="auto" w:fill="FFFFFF"/>
          </w:tcPr>
          <w:p w14:paraId="588D10F4" w14:textId="6A42C065" w:rsidR="0090594A" w:rsidRPr="00B57B36" w:rsidRDefault="0090594A" w:rsidP="00A7693D">
            <w:pPr>
              <w:pStyle w:val="CETBodytext"/>
              <w:rPr>
                <w:lang w:val="en-GB"/>
              </w:rPr>
            </w:pPr>
            <w:r>
              <w:rPr>
                <w:lang w:val="en-GB"/>
              </w:rPr>
              <w:t>m</w:t>
            </w:r>
          </w:p>
        </w:tc>
        <w:tc>
          <w:tcPr>
            <w:tcW w:w="2395" w:type="dxa"/>
            <w:tcBorders>
              <w:left w:val="nil"/>
            </w:tcBorders>
            <w:shd w:val="clear" w:color="auto" w:fill="FFFFFF"/>
          </w:tcPr>
          <w:p w14:paraId="306EBFAB" w14:textId="2712FEBF" w:rsidR="0090594A" w:rsidRPr="00B57B36" w:rsidRDefault="0090594A" w:rsidP="00A7693D">
            <w:pPr>
              <w:pStyle w:val="CETBodytext"/>
              <w:rPr>
                <w:lang w:val="en-GB"/>
              </w:rPr>
            </w:pPr>
            <w:r>
              <w:rPr>
                <w:lang w:val="en-GB"/>
              </w:rPr>
              <w:t>Length of module</w:t>
            </w:r>
          </w:p>
        </w:tc>
        <w:tc>
          <w:tcPr>
            <w:tcW w:w="959" w:type="dxa"/>
            <w:shd w:val="clear" w:color="auto" w:fill="FFFFFF"/>
          </w:tcPr>
          <w:p w14:paraId="23BBCA74" w14:textId="5937CA0A" w:rsidR="0090594A" w:rsidRPr="00B57B36" w:rsidRDefault="0090594A" w:rsidP="00A7693D">
            <w:pPr>
              <w:pStyle w:val="CETBodytext"/>
              <w:rPr>
                <w:lang w:val="en-GB"/>
              </w:rPr>
            </w:pPr>
            <w:r>
              <w:rPr>
                <w:lang w:val="en-GB"/>
              </w:rPr>
              <w:t>1.016</w:t>
            </w:r>
          </w:p>
        </w:tc>
        <w:tc>
          <w:tcPr>
            <w:tcW w:w="641" w:type="dxa"/>
            <w:shd w:val="clear" w:color="auto" w:fill="FFFFFF"/>
          </w:tcPr>
          <w:p w14:paraId="76529AFB" w14:textId="6C6B6873" w:rsidR="0090594A" w:rsidRPr="00B57B36" w:rsidRDefault="0090594A" w:rsidP="00A7693D">
            <w:pPr>
              <w:pStyle w:val="CETBodytext"/>
              <w:rPr>
                <w:lang w:val="en-GB"/>
              </w:rPr>
            </w:pPr>
            <w:r>
              <w:rPr>
                <w:lang w:val="en-GB"/>
              </w:rPr>
              <w:t>m</w:t>
            </w:r>
          </w:p>
        </w:tc>
      </w:tr>
      <w:tr w:rsidR="0090594A" w:rsidRPr="00B57B36" w14:paraId="34104C75" w14:textId="38E15D77" w:rsidTr="0090594A">
        <w:trPr>
          <w:trHeight w:val="281"/>
        </w:trPr>
        <w:tc>
          <w:tcPr>
            <w:tcW w:w="2698" w:type="dxa"/>
            <w:shd w:val="clear" w:color="auto" w:fill="FFFFFF"/>
          </w:tcPr>
          <w:p w14:paraId="7183CDD5" w14:textId="7D603246" w:rsidR="0090594A" w:rsidRPr="00B57B36" w:rsidRDefault="0090594A" w:rsidP="008758DB">
            <w:pPr>
              <w:pStyle w:val="CETBodytext"/>
              <w:rPr>
                <w:lang w:val="en-GB"/>
              </w:rPr>
            </w:pPr>
            <w:r>
              <w:rPr>
                <w:lang w:val="en-GB"/>
              </w:rPr>
              <w:t xml:space="preserve">Stream 2 velocity, </w:t>
            </w:r>
            <w:proofErr w:type="spellStart"/>
            <w:r>
              <w:rPr>
                <w:lang w:val="en-GB"/>
              </w:rPr>
              <w:t>v</w:t>
            </w:r>
            <w:r w:rsidRPr="001C6356">
              <w:rPr>
                <w:vertAlign w:val="subscript"/>
                <w:lang w:val="en-GB"/>
              </w:rPr>
              <w:t>H</w:t>
            </w:r>
            <w:proofErr w:type="spellEnd"/>
          </w:p>
        </w:tc>
        <w:tc>
          <w:tcPr>
            <w:tcW w:w="708" w:type="dxa"/>
            <w:shd w:val="clear" w:color="auto" w:fill="FFFFFF"/>
          </w:tcPr>
          <w:p w14:paraId="687C59B7" w14:textId="3D001FC5" w:rsidR="0090594A" w:rsidRPr="00B57B36" w:rsidRDefault="0090594A" w:rsidP="008758DB">
            <w:pPr>
              <w:pStyle w:val="CETBodytext"/>
              <w:rPr>
                <w:lang w:val="en-GB"/>
              </w:rPr>
            </w:pPr>
            <w:r>
              <w:rPr>
                <w:lang w:val="en-GB"/>
              </w:rPr>
              <w:t>0.45</w:t>
            </w:r>
          </w:p>
        </w:tc>
        <w:tc>
          <w:tcPr>
            <w:tcW w:w="847" w:type="dxa"/>
            <w:tcBorders>
              <w:right w:val="single" w:sz="12" w:space="0" w:color="FFFFFF" w:themeColor="background1"/>
            </w:tcBorders>
            <w:shd w:val="clear" w:color="auto" w:fill="FFFFFF"/>
          </w:tcPr>
          <w:p w14:paraId="1B20F0B9" w14:textId="7C397D3F" w:rsidR="0090594A" w:rsidRPr="00B57B36" w:rsidRDefault="0090594A" w:rsidP="008758DB">
            <w:pPr>
              <w:pStyle w:val="CETBodytext"/>
              <w:rPr>
                <w:lang w:val="en-GB"/>
              </w:rPr>
            </w:pPr>
            <w:r>
              <w:rPr>
                <w:rFonts w:cs="Arial"/>
                <w:szCs w:val="18"/>
                <w:lang w:val="en-GB"/>
              </w:rPr>
              <w:t>cm s</w:t>
            </w:r>
            <w:r w:rsidRPr="008758DB">
              <w:rPr>
                <w:rFonts w:cs="Arial"/>
                <w:szCs w:val="18"/>
                <w:vertAlign w:val="superscript"/>
                <w:lang w:val="en-GB"/>
              </w:rPr>
              <w:t>-1</w:t>
            </w:r>
          </w:p>
        </w:tc>
        <w:tc>
          <w:tcPr>
            <w:tcW w:w="2395" w:type="dxa"/>
            <w:tcBorders>
              <w:left w:val="nil"/>
            </w:tcBorders>
            <w:shd w:val="clear" w:color="auto" w:fill="FFFFFF"/>
          </w:tcPr>
          <w:p w14:paraId="45995A79" w14:textId="54DCB924" w:rsidR="0090594A" w:rsidRPr="00B57B36" w:rsidRDefault="0090594A" w:rsidP="008758DB">
            <w:pPr>
              <w:pStyle w:val="CETBodytext"/>
              <w:rPr>
                <w:lang w:val="en-GB"/>
              </w:rPr>
            </w:pPr>
            <w:r>
              <w:rPr>
                <w:lang w:val="en-GB"/>
              </w:rPr>
              <w:t>Spacer thickness</w:t>
            </w:r>
          </w:p>
        </w:tc>
        <w:tc>
          <w:tcPr>
            <w:tcW w:w="959" w:type="dxa"/>
            <w:shd w:val="clear" w:color="auto" w:fill="FFFFFF"/>
          </w:tcPr>
          <w:p w14:paraId="2730A123" w14:textId="1EFEFDCE" w:rsidR="0090594A" w:rsidRPr="00B57B36" w:rsidRDefault="0090594A" w:rsidP="008758DB">
            <w:pPr>
              <w:pStyle w:val="CETBodytext"/>
              <w:rPr>
                <w:lang w:val="en-GB"/>
              </w:rPr>
            </w:pPr>
            <w:r>
              <w:rPr>
                <w:lang w:val="en-GB"/>
              </w:rPr>
              <w:t>0.7112</w:t>
            </w:r>
          </w:p>
        </w:tc>
        <w:tc>
          <w:tcPr>
            <w:tcW w:w="641" w:type="dxa"/>
            <w:shd w:val="clear" w:color="auto" w:fill="FFFFFF"/>
          </w:tcPr>
          <w:p w14:paraId="0FA272A4" w14:textId="5BC17346" w:rsidR="0090594A" w:rsidRPr="00B57B36" w:rsidRDefault="0090594A" w:rsidP="008758DB">
            <w:pPr>
              <w:pStyle w:val="CETBodytext"/>
              <w:rPr>
                <w:lang w:val="en-GB"/>
              </w:rPr>
            </w:pPr>
            <w:r>
              <w:rPr>
                <w:lang w:val="en-GB"/>
              </w:rPr>
              <w:t>mm</w:t>
            </w:r>
          </w:p>
        </w:tc>
      </w:tr>
      <w:tr w:rsidR="0090594A" w:rsidRPr="00B57B36" w14:paraId="25CEAB0B" w14:textId="2300C2D0" w:rsidTr="0090594A">
        <w:trPr>
          <w:trHeight w:val="281"/>
        </w:trPr>
        <w:tc>
          <w:tcPr>
            <w:tcW w:w="2698" w:type="dxa"/>
            <w:shd w:val="clear" w:color="auto" w:fill="FFFFFF"/>
          </w:tcPr>
          <w:p w14:paraId="57EA9987" w14:textId="05273E96" w:rsidR="0090594A" w:rsidRPr="00B57B36" w:rsidRDefault="0090594A" w:rsidP="008758DB">
            <w:pPr>
              <w:pStyle w:val="CETBodytext"/>
              <w:rPr>
                <w:lang w:val="en-GB"/>
              </w:rPr>
            </w:pPr>
            <w:r>
              <w:rPr>
                <w:lang w:val="en-GB"/>
              </w:rPr>
              <w:t>Stream 2 flow rate</w:t>
            </w:r>
          </w:p>
        </w:tc>
        <w:tc>
          <w:tcPr>
            <w:tcW w:w="708" w:type="dxa"/>
            <w:shd w:val="clear" w:color="auto" w:fill="FFFFFF"/>
          </w:tcPr>
          <w:p w14:paraId="5E10B0EC" w14:textId="37DFC98F" w:rsidR="0090594A" w:rsidRPr="00B57B36" w:rsidRDefault="0090594A" w:rsidP="008758DB">
            <w:pPr>
              <w:pStyle w:val="CETBodytext"/>
              <w:rPr>
                <w:lang w:val="en-GB"/>
              </w:rPr>
            </w:pPr>
            <w:r>
              <w:rPr>
                <w:lang w:val="en-GB"/>
              </w:rPr>
              <w:t>2</w:t>
            </w:r>
          </w:p>
        </w:tc>
        <w:tc>
          <w:tcPr>
            <w:tcW w:w="847" w:type="dxa"/>
            <w:tcBorders>
              <w:right w:val="single" w:sz="12" w:space="0" w:color="FFFFFF" w:themeColor="background1"/>
            </w:tcBorders>
            <w:shd w:val="clear" w:color="auto" w:fill="FFFFFF"/>
          </w:tcPr>
          <w:p w14:paraId="2732FA31" w14:textId="224777A8" w:rsidR="0090594A" w:rsidRPr="00B57B36" w:rsidRDefault="0090594A" w:rsidP="008758DB">
            <w:pPr>
              <w:pStyle w:val="CETBodytext"/>
              <w:rPr>
                <w:lang w:val="en-GB"/>
              </w:rPr>
            </w:pPr>
            <w:r>
              <w:rPr>
                <w:lang w:val="en-GB"/>
              </w:rPr>
              <w:t>m</w:t>
            </w:r>
            <w:r w:rsidRPr="008758DB">
              <w:rPr>
                <w:vertAlign w:val="superscript"/>
                <w:lang w:val="en-GB"/>
              </w:rPr>
              <w:t>3</w:t>
            </w:r>
            <w:r>
              <w:rPr>
                <w:lang w:val="en-GB"/>
              </w:rPr>
              <w:t xml:space="preserve"> h</w:t>
            </w:r>
            <w:r w:rsidRPr="008758DB">
              <w:rPr>
                <w:vertAlign w:val="superscript"/>
                <w:lang w:val="en-GB"/>
              </w:rPr>
              <w:t>-1</w:t>
            </w:r>
          </w:p>
        </w:tc>
        <w:tc>
          <w:tcPr>
            <w:tcW w:w="2395" w:type="dxa"/>
            <w:tcBorders>
              <w:left w:val="nil"/>
            </w:tcBorders>
            <w:shd w:val="clear" w:color="auto" w:fill="FFFFFF"/>
          </w:tcPr>
          <w:p w14:paraId="43AB0E51" w14:textId="437C4951" w:rsidR="0090594A" w:rsidRPr="00B57B36" w:rsidRDefault="0090594A" w:rsidP="008758DB">
            <w:pPr>
              <w:pStyle w:val="CETBodytext"/>
              <w:rPr>
                <w:lang w:val="en-GB"/>
              </w:rPr>
            </w:pPr>
            <w:r>
              <w:rPr>
                <w:lang w:val="en-GB"/>
              </w:rPr>
              <w:t>Max Feed flow rate</w:t>
            </w:r>
          </w:p>
        </w:tc>
        <w:tc>
          <w:tcPr>
            <w:tcW w:w="959" w:type="dxa"/>
            <w:shd w:val="clear" w:color="auto" w:fill="FFFFFF"/>
          </w:tcPr>
          <w:p w14:paraId="145118E3" w14:textId="60B927BE" w:rsidR="0090594A" w:rsidRPr="00B57B36" w:rsidRDefault="0090594A" w:rsidP="008758DB">
            <w:pPr>
              <w:pStyle w:val="CETBodytext"/>
              <w:rPr>
                <w:lang w:val="en-GB"/>
              </w:rPr>
            </w:pPr>
            <w:r>
              <w:rPr>
                <w:lang w:val="en-GB"/>
              </w:rPr>
              <w:t>15.49</w:t>
            </w:r>
          </w:p>
        </w:tc>
        <w:tc>
          <w:tcPr>
            <w:tcW w:w="641" w:type="dxa"/>
            <w:shd w:val="clear" w:color="auto" w:fill="FFFFFF"/>
          </w:tcPr>
          <w:p w14:paraId="06347FAE" w14:textId="702ABF3A" w:rsidR="0090594A" w:rsidRPr="00B57B36" w:rsidRDefault="0090594A" w:rsidP="008758DB">
            <w:pPr>
              <w:pStyle w:val="CETBodytext"/>
              <w:rPr>
                <w:lang w:val="en-GB"/>
              </w:rPr>
            </w:pPr>
            <w:r>
              <w:rPr>
                <w:lang w:val="en-GB"/>
              </w:rPr>
              <w:t>m</w:t>
            </w:r>
            <w:r w:rsidRPr="008758DB">
              <w:rPr>
                <w:vertAlign w:val="superscript"/>
                <w:lang w:val="en-GB"/>
              </w:rPr>
              <w:t>3</w:t>
            </w:r>
            <w:r>
              <w:rPr>
                <w:lang w:val="en-GB"/>
              </w:rPr>
              <w:t xml:space="preserve"> h</w:t>
            </w:r>
            <w:r w:rsidRPr="008758DB">
              <w:rPr>
                <w:vertAlign w:val="superscript"/>
                <w:lang w:val="en-GB"/>
              </w:rPr>
              <w:t>-1</w:t>
            </w:r>
          </w:p>
        </w:tc>
      </w:tr>
      <w:tr w:rsidR="0090594A" w:rsidRPr="00B57B36" w14:paraId="3F486313" w14:textId="7F436EA7" w:rsidTr="0090594A">
        <w:trPr>
          <w:trHeight w:val="281"/>
        </w:trPr>
        <w:tc>
          <w:tcPr>
            <w:tcW w:w="2698" w:type="dxa"/>
            <w:shd w:val="clear" w:color="auto" w:fill="FFFFFF"/>
          </w:tcPr>
          <w:p w14:paraId="579B603A" w14:textId="4DD1086C" w:rsidR="0090594A" w:rsidRPr="00B57B36" w:rsidRDefault="0090594A" w:rsidP="008758DB">
            <w:pPr>
              <w:pStyle w:val="CETBodytext"/>
              <w:ind w:right="-1"/>
              <w:rPr>
                <w:rFonts w:cs="Arial"/>
                <w:szCs w:val="18"/>
                <w:lang w:val="en-GB"/>
              </w:rPr>
            </w:pPr>
            <w:r>
              <w:rPr>
                <w:lang w:val="en-GB"/>
              </w:rPr>
              <w:t>Stream 2</w:t>
            </w:r>
            <w:r>
              <w:rPr>
                <w:rFonts w:cs="Arial"/>
                <w:szCs w:val="18"/>
                <w:lang w:val="en-GB"/>
              </w:rPr>
              <w:t xml:space="preserve"> spacer thickness, </w:t>
            </w:r>
            <w:proofErr w:type="spellStart"/>
            <w:r>
              <w:rPr>
                <w:rFonts w:cs="Arial"/>
                <w:szCs w:val="18"/>
                <w:lang w:val="en-GB"/>
              </w:rPr>
              <w:t>δ</w:t>
            </w:r>
            <w:r w:rsidRPr="001C6356">
              <w:rPr>
                <w:rFonts w:cs="Arial"/>
                <w:szCs w:val="18"/>
                <w:vertAlign w:val="subscript"/>
                <w:lang w:val="en-GB"/>
              </w:rPr>
              <w:t>H</w:t>
            </w:r>
            <w:proofErr w:type="spellEnd"/>
          </w:p>
        </w:tc>
        <w:tc>
          <w:tcPr>
            <w:tcW w:w="708" w:type="dxa"/>
            <w:shd w:val="clear" w:color="auto" w:fill="FFFFFF"/>
          </w:tcPr>
          <w:p w14:paraId="7EC778C4" w14:textId="5C39406E" w:rsidR="0090594A" w:rsidRPr="00B57B36" w:rsidRDefault="0090594A" w:rsidP="008758DB">
            <w:pPr>
              <w:pStyle w:val="CETBodytext"/>
              <w:ind w:right="-1"/>
              <w:rPr>
                <w:rFonts w:cs="Arial"/>
                <w:szCs w:val="18"/>
                <w:lang w:val="en-GB"/>
              </w:rPr>
            </w:pPr>
            <w:r>
              <w:rPr>
                <w:rFonts w:cs="Arial"/>
                <w:szCs w:val="18"/>
                <w:lang w:val="en-GB"/>
              </w:rPr>
              <w:t>300</w:t>
            </w:r>
          </w:p>
        </w:tc>
        <w:tc>
          <w:tcPr>
            <w:tcW w:w="847" w:type="dxa"/>
            <w:tcBorders>
              <w:right w:val="single" w:sz="12" w:space="0" w:color="FFFFFF" w:themeColor="background1"/>
            </w:tcBorders>
            <w:shd w:val="clear" w:color="auto" w:fill="FFFFFF"/>
          </w:tcPr>
          <w:p w14:paraId="210020C6" w14:textId="6B506B8E" w:rsidR="0090594A" w:rsidRPr="00B57B36" w:rsidRDefault="0090594A" w:rsidP="008758DB">
            <w:pPr>
              <w:pStyle w:val="CETBodytext"/>
              <w:ind w:right="-1"/>
              <w:rPr>
                <w:rFonts w:cs="Arial"/>
                <w:szCs w:val="18"/>
                <w:lang w:val="en-GB"/>
              </w:rPr>
            </w:pPr>
            <w:r>
              <w:rPr>
                <w:rFonts w:cs="Arial"/>
              </w:rPr>
              <w:t>µ</w:t>
            </w:r>
            <w:r>
              <w:t>m</w:t>
            </w:r>
          </w:p>
        </w:tc>
        <w:tc>
          <w:tcPr>
            <w:tcW w:w="2395" w:type="dxa"/>
            <w:tcBorders>
              <w:left w:val="nil"/>
            </w:tcBorders>
            <w:shd w:val="clear" w:color="auto" w:fill="FFFFFF"/>
          </w:tcPr>
          <w:p w14:paraId="1B373B23" w14:textId="608361BB" w:rsidR="0090594A" w:rsidRPr="00B57B36" w:rsidRDefault="0090594A" w:rsidP="008758DB">
            <w:pPr>
              <w:pStyle w:val="CETBodytext"/>
              <w:ind w:right="-1"/>
              <w:rPr>
                <w:rFonts w:cs="Arial"/>
                <w:szCs w:val="18"/>
                <w:lang w:val="en-GB"/>
              </w:rPr>
            </w:pPr>
            <w:r>
              <w:rPr>
                <w:lang w:val="en-GB"/>
              </w:rPr>
              <w:t>Max Permeate flow rate</w:t>
            </w:r>
          </w:p>
        </w:tc>
        <w:tc>
          <w:tcPr>
            <w:tcW w:w="959" w:type="dxa"/>
            <w:shd w:val="clear" w:color="auto" w:fill="FFFFFF"/>
          </w:tcPr>
          <w:p w14:paraId="30E47DE4" w14:textId="467175C2" w:rsidR="0090594A" w:rsidRPr="00B57B36" w:rsidRDefault="0090594A" w:rsidP="008758DB">
            <w:pPr>
              <w:pStyle w:val="CETBodytext"/>
              <w:ind w:right="-1"/>
              <w:rPr>
                <w:rFonts w:cs="Arial"/>
                <w:szCs w:val="18"/>
                <w:lang w:val="en-GB"/>
              </w:rPr>
            </w:pPr>
            <w:r>
              <w:rPr>
                <w:rFonts w:cs="Arial"/>
                <w:szCs w:val="18"/>
                <w:lang w:val="en-GB"/>
              </w:rPr>
              <w:t>1.320</w:t>
            </w:r>
          </w:p>
        </w:tc>
        <w:tc>
          <w:tcPr>
            <w:tcW w:w="641" w:type="dxa"/>
            <w:shd w:val="clear" w:color="auto" w:fill="FFFFFF"/>
          </w:tcPr>
          <w:p w14:paraId="48BE54F1" w14:textId="73B73B0B" w:rsidR="0090594A" w:rsidRPr="00B57B36" w:rsidRDefault="0090594A" w:rsidP="008758DB">
            <w:pPr>
              <w:pStyle w:val="CETBodytext"/>
              <w:ind w:right="-1"/>
              <w:rPr>
                <w:rFonts w:cs="Arial"/>
                <w:szCs w:val="18"/>
                <w:lang w:val="en-GB"/>
              </w:rPr>
            </w:pPr>
            <w:r>
              <w:rPr>
                <w:lang w:val="en-GB"/>
              </w:rPr>
              <w:t>m</w:t>
            </w:r>
            <w:r w:rsidRPr="008758DB">
              <w:rPr>
                <w:vertAlign w:val="superscript"/>
                <w:lang w:val="en-GB"/>
              </w:rPr>
              <w:t>3</w:t>
            </w:r>
            <w:r>
              <w:rPr>
                <w:lang w:val="en-GB"/>
              </w:rPr>
              <w:t xml:space="preserve"> h</w:t>
            </w:r>
            <w:r w:rsidRPr="008758DB">
              <w:rPr>
                <w:vertAlign w:val="superscript"/>
                <w:lang w:val="en-GB"/>
              </w:rPr>
              <w:t>-1</w:t>
            </w:r>
          </w:p>
        </w:tc>
      </w:tr>
      <w:tr w:rsidR="0090594A" w:rsidRPr="00B57B36" w14:paraId="6D0A5B9E" w14:textId="77777777" w:rsidTr="0090594A">
        <w:trPr>
          <w:trHeight w:val="281"/>
        </w:trPr>
        <w:tc>
          <w:tcPr>
            <w:tcW w:w="2698" w:type="dxa"/>
            <w:shd w:val="clear" w:color="auto" w:fill="FFFFFF"/>
          </w:tcPr>
          <w:p w14:paraId="3DBD456A" w14:textId="13FC4DBA" w:rsidR="0090594A" w:rsidRDefault="0090594A" w:rsidP="008758DB">
            <w:pPr>
              <w:pStyle w:val="CETBodytext"/>
              <w:ind w:right="-1"/>
              <w:rPr>
                <w:lang w:val="en-GB"/>
              </w:rPr>
            </w:pPr>
            <w:r>
              <w:rPr>
                <w:lang w:val="en-GB"/>
              </w:rPr>
              <w:t xml:space="preserve">Stream 9 velocity, </w:t>
            </w:r>
            <w:proofErr w:type="spellStart"/>
            <w:r>
              <w:rPr>
                <w:lang w:val="en-GB"/>
              </w:rPr>
              <w:t>v</w:t>
            </w:r>
            <w:r w:rsidRPr="001C6356">
              <w:rPr>
                <w:vertAlign w:val="subscript"/>
                <w:lang w:val="en-GB"/>
              </w:rPr>
              <w:t>L</w:t>
            </w:r>
            <w:proofErr w:type="spellEnd"/>
          </w:p>
        </w:tc>
        <w:tc>
          <w:tcPr>
            <w:tcW w:w="708" w:type="dxa"/>
            <w:shd w:val="clear" w:color="auto" w:fill="FFFFFF"/>
          </w:tcPr>
          <w:p w14:paraId="211CBC6A" w14:textId="66789356" w:rsidR="0090594A" w:rsidRPr="00B57B36" w:rsidRDefault="0090594A" w:rsidP="008758DB">
            <w:pPr>
              <w:pStyle w:val="CETBodytext"/>
              <w:ind w:right="-1"/>
              <w:rPr>
                <w:rFonts w:cs="Arial"/>
                <w:szCs w:val="18"/>
                <w:lang w:val="en-GB"/>
              </w:rPr>
            </w:pPr>
            <w:r>
              <w:rPr>
                <w:rFonts w:cs="Arial"/>
                <w:szCs w:val="18"/>
                <w:lang w:val="en-GB"/>
              </w:rPr>
              <w:t>0.54</w:t>
            </w:r>
          </w:p>
        </w:tc>
        <w:tc>
          <w:tcPr>
            <w:tcW w:w="847" w:type="dxa"/>
            <w:tcBorders>
              <w:right w:val="single" w:sz="12" w:space="0" w:color="FFFFFF" w:themeColor="background1"/>
            </w:tcBorders>
            <w:shd w:val="clear" w:color="auto" w:fill="FFFFFF"/>
          </w:tcPr>
          <w:p w14:paraId="6674FE3B" w14:textId="2A639735" w:rsidR="0090594A" w:rsidRPr="00B57B36" w:rsidRDefault="0090594A" w:rsidP="008758DB">
            <w:pPr>
              <w:pStyle w:val="CETBodytext"/>
              <w:ind w:right="-1"/>
              <w:rPr>
                <w:rFonts w:cs="Arial"/>
                <w:szCs w:val="18"/>
                <w:lang w:val="en-GB"/>
              </w:rPr>
            </w:pPr>
            <w:r>
              <w:rPr>
                <w:rFonts w:cs="Arial"/>
                <w:szCs w:val="18"/>
                <w:lang w:val="en-GB"/>
              </w:rPr>
              <w:t>cm s</w:t>
            </w:r>
            <w:r w:rsidRPr="008758DB">
              <w:rPr>
                <w:rFonts w:cs="Arial"/>
                <w:szCs w:val="18"/>
                <w:vertAlign w:val="superscript"/>
                <w:lang w:val="en-GB"/>
              </w:rPr>
              <w:t>-1</w:t>
            </w:r>
          </w:p>
        </w:tc>
        <w:tc>
          <w:tcPr>
            <w:tcW w:w="2395" w:type="dxa"/>
            <w:tcBorders>
              <w:left w:val="nil"/>
            </w:tcBorders>
            <w:shd w:val="clear" w:color="auto" w:fill="FFFFFF"/>
          </w:tcPr>
          <w:p w14:paraId="314A0177" w14:textId="33D270B3" w:rsidR="0090594A" w:rsidRPr="00B57B36" w:rsidRDefault="0090594A" w:rsidP="008758DB">
            <w:pPr>
              <w:pStyle w:val="CETBodytext"/>
              <w:ind w:right="-1"/>
              <w:rPr>
                <w:rFonts w:cs="Arial"/>
                <w:szCs w:val="18"/>
                <w:lang w:val="en-GB"/>
              </w:rPr>
            </w:pPr>
            <w:r>
              <w:rPr>
                <w:rFonts w:cs="Arial"/>
                <w:szCs w:val="18"/>
                <w:lang w:val="en-GB"/>
              </w:rPr>
              <w:t>Max feed pressure</w:t>
            </w:r>
          </w:p>
        </w:tc>
        <w:tc>
          <w:tcPr>
            <w:tcW w:w="959" w:type="dxa"/>
            <w:shd w:val="clear" w:color="auto" w:fill="FFFFFF"/>
          </w:tcPr>
          <w:p w14:paraId="7F26F882" w14:textId="4D539037" w:rsidR="0090594A" w:rsidRPr="00B57B36" w:rsidRDefault="0090594A" w:rsidP="008758DB">
            <w:pPr>
              <w:pStyle w:val="CETBodytext"/>
              <w:ind w:right="-1"/>
              <w:rPr>
                <w:rFonts w:cs="Arial"/>
                <w:szCs w:val="18"/>
                <w:lang w:val="en-GB"/>
              </w:rPr>
            </w:pPr>
            <w:r>
              <w:rPr>
                <w:rFonts w:cs="Arial"/>
                <w:szCs w:val="18"/>
                <w:lang w:val="en-GB"/>
              </w:rPr>
              <w:t>82.74</w:t>
            </w:r>
          </w:p>
        </w:tc>
        <w:tc>
          <w:tcPr>
            <w:tcW w:w="641" w:type="dxa"/>
            <w:shd w:val="clear" w:color="auto" w:fill="FFFFFF"/>
          </w:tcPr>
          <w:p w14:paraId="1518A1F8" w14:textId="29FF0CC3" w:rsidR="0090594A" w:rsidRPr="00B57B36" w:rsidRDefault="0090594A" w:rsidP="008758DB">
            <w:pPr>
              <w:pStyle w:val="CETBodytext"/>
              <w:ind w:right="-1"/>
              <w:rPr>
                <w:rFonts w:cs="Arial"/>
                <w:szCs w:val="18"/>
                <w:lang w:val="en-GB"/>
              </w:rPr>
            </w:pPr>
            <w:r>
              <w:rPr>
                <w:rFonts w:cs="Arial"/>
                <w:szCs w:val="18"/>
                <w:lang w:val="en-GB"/>
              </w:rPr>
              <w:t>bar</w:t>
            </w:r>
          </w:p>
        </w:tc>
      </w:tr>
      <w:tr w:rsidR="0090594A" w:rsidRPr="00B57B36" w14:paraId="59350FF9" w14:textId="77777777" w:rsidTr="0090594A">
        <w:trPr>
          <w:trHeight w:val="281"/>
        </w:trPr>
        <w:tc>
          <w:tcPr>
            <w:tcW w:w="2698" w:type="dxa"/>
            <w:shd w:val="clear" w:color="auto" w:fill="FFFFFF"/>
          </w:tcPr>
          <w:p w14:paraId="3F8F0843" w14:textId="68E58AA4" w:rsidR="0090594A" w:rsidRDefault="0090594A" w:rsidP="008758DB">
            <w:pPr>
              <w:pStyle w:val="CETBodytext"/>
              <w:ind w:right="-1"/>
              <w:rPr>
                <w:lang w:val="en-GB"/>
              </w:rPr>
            </w:pPr>
            <w:r>
              <w:rPr>
                <w:lang w:val="en-GB"/>
              </w:rPr>
              <w:t>Stream 9 flow rate</w:t>
            </w:r>
          </w:p>
        </w:tc>
        <w:tc>
          <w:tcPr>
            <w:tcW w:w="708" w:type="dxa"/>
            <w:shd w:val="clear" w:color="auto" w:fill="FFFFFF"/>
          </w:tcPr>
          <w:p w14:paraId="6D3CB70C" w14:textId="1A4BEED2" w:rsidR="0090594A" w:rsidRPr="00B57B36" w:rsidRDefault="0090594A" w:rsidP="008758DB">
            <w:pPr>
              <w:pStyle w:val="CETBodytext"/>
              <w:ind w:right="-1"/>
              <w:rPr>
                <w:rFonts w:cs="Arial"/>
                <w:szCs w:val="18"/>
                <w:lang w:val="en-GB"/>
              </w:rPr>
            </w:pPr>
            <w:r>
              <w:rPr>
                <w:rFonts w:cs="Arial"/>
                <w:szCs w:val="18"/>
                <w:lang w:val="en-GB"/>
              </w:rPr>
              <w:t>4</w:t>
            </w:r>
          </w:p>
        </w:tc>
        <w:tc>
          <w:tcPr>
            <w:tcW w:w="847" w:type="dxa"/>
            <w:tcBorders>
              <w:right w:val="single" w:sz="12" w:space="0" w:color="FFFFFF" w:themeColor="background1"/>
            </w:tcBorders>
            <w:shd w:val="clear" w:color="auto" w:fill="FFFFFF"/>
          </w:tcPr>
          <w:p w14:paraId="4D4736DA" w14:textId="1917B92D" w:rsidR="0090594A" w:rsidRPr="00B57B36" w:rsidRDefault="0090594A" w:rsidP="008758DB">
            <w:pPr>
              <w:pStyle w:val="CETBodytext"/>
              <w:ind w:right="-1"/>
              <w:rPr>
                <w:rFonts w:cs="Arial"/>
                <w:szCs w:val="18"/>
                <w:lang w:val="en-GB"/>
              </w:rPr>
            </w:pPr>
            <w:r>
              <w:rPr>
                <w:lang w:val="en-GB"/>
              </w:rPr>
              <w:t>m</w:t>
            </w:r>
            <w:r w:rsidRPr="008758DB">
              <w:rPr>
                <w:vertAlign w:val="superscript"/>
                <w:lang w:val="en-GB"/>
              </w:rPr>
              <w:t>3</w:t>
            </w:r>
            <w:r>
              <w:rPr>
                <w:lang w:val="en-GB"/>
              </w:rPr>
              <w:t xml:space="preserve"> h</w:t>
            </w:r>
            <w:r w:rsidRPr="008758DB">
              <w:rPr>
                <w:vertAlign w:val="superscript"/>
                <w:lang w:val="en-GB"/>
              </w:rPr>
              <w:t>-1</w:t>
            </w:r>
          </w:p>
        </w:tc>
        <w:tc>
          <w:tcPr>
            <w:tcW w:w="2395" w:type="dxa"/>
            <w:tcBorders>
              <w:left w:val="nil"/>
            </w:tcBorders>
            <w:shd w:val="clear" w:color="auto" w:fill="FFFFFF"/>
          </w:tcPr>
          <w:p w14:paraId="40102DD3" w14:textId="777154AE" w:rsidR="0090594A" w:rsidRPr="00B57B36" w:rsidRDefault="0090594A" w:rsidP="008758DB">
            <w:pPr>
              <w:pStyle w:val="CETBodytext"/>
              <w:ind w:right="-1"/>
              <w:rPr>
                <w:rFonts w:cs="Arial"/>
                <w:szCs w:val="18"/>
                <w:lang w:val="en-GB"/>
              </w:rPr>
            </w:pPr>
          </w:p>
        </w:tc>
        <w:tc>
          <w:tcPr>
            <w:tcW w:w="959" w:type="dxa"/>
            <w:shd w:val="clear" w:color="auto" w:fill="FFFFFF"/>
          </w:tcPr>
          <w:p w14:paraId="47BACF51" w14:textId="77777777" w:rsidR="0090594A" w:rsidRPr="00B57B36" w:rsidRDefault="0090594A" w:rsidP="008758DB">
            <w:pPr>
              <w:pStyle w:val="CETBodytext"/>
              <w:ind w:right="-1"/>
              <w:rPr>
                <w:rFonts w:cs="Arial"/>
                <w:szCs w:val="18"/>
                <w:lang w:val="en-GB"/>
              </w:rPr>
            </w:pPr>
          </w:p>
        </w:tc>
        <w:tc>
          <w:tcPr>
            <w:tcW w:w="641" w:type="dxa"/>
            <w:shd w:val="clear" w:color="auto" w:fill="FFFFFF"/>
          </w:tcPr>
          <w:p w14:paraId="64B04432" w14:textId="77777777" w:rsidR="0090594A" w:rsidRPr="00B57B36" w:rsidRDefault="0090594A" w:rsidP="008758DB">
            <w:pPr>
              <w:pStyle w:val="CETBodytext"/>
              <w:ind w:right="-1"/>
              <w:rPr>
                <w:rFonts w:cs="Arial"/>
                <w:szCs w:val="18"/>
                <w:lang w:val="en-GB"/>
              </w:rPr>
            </w:pPr>
          </w:p>
        </w:tc>
      </w:tr>
      <w:tr w:rsidR="0090594A" w:rsidRPr="00B57B36" w14:paraId="5B14200C" w14:textId="77777777" w:rsidTr="0090594A">
        <w:trPr>
          <w:trHeight w:val="281"/>
        </w:trPr>
        <w:tc>
          <w:tcPr>
            <w:tcW w:w="2698" w:type="dxa"/>
            <w:shd w:val="clear" w:color="auto" w:fill="FFFFFF"/>
          </w:tcPr>
          <w:p w14:paraId="0B96CAF3" w14:textId="49FBDC70" w:rsidR="0090594A" w:rsidRDefault="0090594A" w:rsidP="008758DB">
            <w:pPr>
              <w:pStyle w:val="CETBodytext"/>
              <w:ind w:right="-1"/>
              <w:rPr>
                <w:lang w:val="en-GB"/>
              </w:rPr>
            </w:pPr>
            <w:r>
              <w:rPr>
                <w:lang w:val="en-GB"/>
              </w:rPr>
              <w:t>Stream 9</w:t>
            </w:r>
            <w:r>
              <w:rPr>
                <w:rFonts w:cs="Arial"/>
                <w:szCs w:val="18"/>
                <w:lang w:val="en-GB"/>
              </w:rPr>
              <w:t xml:space="preserve"> spacer thickness, </w:t>
            </w:r>
            <w:proofErr w:type="spellStart"/>
            <w:r>
              <w:rPr>
                <w:rFonts w:cs="Arial"/>
                <w:szCs w:val="18"/>
                <w:lang w:val="en-GB"/>
              </w:rPr>
              <w:t>δ</w:t>
            </w:r>
            <w:r w:rsidRPr="001C6356">
              <w:rPr>
                <w:rFonts w:cs="Arial"/>
                <w:szCs w:val="18"/>
                <w:vertAlign w:val="subscript"/>
                <w:lang w:val="en-GB"/>
              </w:rPr>
              <w:t>L</w:t>
            </w:r>
            <w:proofErr w:type="spellEnd"/>
          </w:p>
        </w:tc>
        <w:tc>
          <w:tcPr>
            <w:tcW w:w="708" w:type="dxa"/>
            <w:shd w:val="clear" w:color="auto" w:fill="FFFFFF"/>
          </w:tcPr>
          <w:p w14:paraId="32F48E97" w14:textId="2BD3E33E" w:rsidR="0090594A" w:rsidRPr="00B57B36" w:rsidRDefault="0090594A" w:rsidP="008758DB">
            <w:pPr>
              <w:pStyle w:val="CETBodytext"/>
              <w:ind w:right="-1"/>
              <w:rPr>
                <w:rFonts w:cs="Arial"/>
                <w:szCs w:val="18"/>
                <w:lang w:val="en-GB"/>
              </w:rPr>
            </w:pPr>
            <w:r>
              <w:rPr>
                <w:rFonts w:cs="Arial"/>
                <w:szCs w:val="18"/>
                <w:lang w:val="en-GB"/>
              </w:rPr>
              <w:t>500</w:t>
            </w:r>
          </w:p>
        </w:tc>
        <w:tc>
          <w:tcPr>
            <w:tcW w:w="847" w:type="dxa"/>
            <w:tcBorders>
              <w:bottom w:val="single" w:sz="12" w:space="0" w:color="008000"/>
              <w:right w:val="single" w:sz="12" w:space="0" w:color="FFFFFF" w:themeColor="background1"/>
            </w:tcBorders>
            <w:shd w:val="clear" w:color="auto" w:fill="FFFFFF"/>
          </w:tcPr>
          <w:p w14:paraId="6B0F072D" w14:textId="3764AF93" w:rsidR="0090594A" w:rsidRPr="00B57B36" w:rsidRDefault="0090594A" w:rsidP="008758DB">
            <w:pPr>
              <w:pStyle w:val="CETBodytext"/>
              <w:ind w:right="-1"/>
              <w:rPr>
                <w:rFonts w:cs="Arial"/>
                <w:szCs w:val="18"/>
                <w:lang w:val="en-GB"/>
              </w:rPr>
            </w:pPr>
            <w:r>
              <w:rPr>
                <w:rFonts w:cs="Arial"/>
              </w:rPr>
              <w:t>µ</w:t>
            </w:r>
            <w:r>
              <w:t>m</w:t>
            </w:r>
          </w:p>
        </w:tc>
        <w:tc>
          <w:tcPr>
            <w:tcW w:w="3995" w:type="dxa"/>
            <w:gridSpan w:val="3"/>
            <w:tcBorders>
              <w:left w:val="nil"/>
              <w:bottom w:val="single" w:sz="12" w:space="0" w:color="008000"/>
            </w:tcBorders>
            <w:shd w:val="clear" w:color="auto" w:fill="FFFFFF"/>
          </w:tcPr>
          <w:p w14:paraId="2A60B533" w14:textId="09A31924" w:rsidR="0090594A" w:rsidRPr="00AF4319" w:rsidRDefault="0090594A" w:rsidP="008758DB">
            <w:pPr>
              <w:pStyle w:val="CETBodytext"/>
              <w:ind w:right="-1"/>
              <w:rPr>
                <w:rFonts w:cs="Arial"/>
                <w:sz w:val="14"/>
                <w:szCs w:val="18"/>
                <w:lang w:val="en-GB"/>
              </w:rPr>
            </w:pPr>
            <w:r w:rsidRPr="00AF4319">
              <w:rPr>
                <w:rFonts w:cs="Arial"/>
                <w:sz w:val="14"/>
                <w:szCs w:val="18"/>
                <w:vertAlign w:val="superscript"/>
                <w:lang w:val="en-GB"/>
              </w:rPr>
              <w:t>1</w:t>
            </w:r>
            <w:r w:rsidRPr="00AF4319">
              <w:rPr>
                <w:rFonts w:cs="Arial"/>
                <w:sz w:val="14"/>
                <w:szCs w:val="18"/>
                <w:lang w:val="en-GB"/>
              </w:rPr>
              <w:t xml:space="preserve"> Data provided by Wave software</w:t>
            </w:r>
          </w:p>
        </w:tc>
      </w:tr>
    </w:tbl>
    <w:p w14:paraId="18BAFA6F" w14:textId="7239D054" w:rsidR="00453E24" w:rsidRDefault="0073588C" w:rsidP="008F5694">
      <w:pPr>
        <w:pStyle w:val="CETHeading1"/>
      </w:pPr>
      <w:r>
        <w:t>Results and Discussion</w:t>
      </w:r>
    </w:p>
    <w:p w14:paraId="472A4558" w14:textId="54849565" w:rsidR="00BF098B" w:rsidRDefault="00AF4319" w:rsidP="00BF098B">
      <w:pPr>
        <w:pStyle w:val="CETBodytext"/>
      </w:pPr>
      <w:r>
        <w:t xml:space="preserve">The plant presents a </w:t>
      </w:r>
      <w:r w:rsidR="00991021">
        <w:t>plethora</w:t>
      </w:r>
      <w:r>
        <w:t xml:space="preserve"> of scenario variables and input parameters</w:t>
      </w:r>
      <w:r w:rsidR="0073588C">
        <w:t>. H</w:t>
      </w:r>
      <w:r>
        <w:t>owever,</w:t>
      </w:r>
      <w:r w:rsidR="00BF098B">
        <w:t xml:space="preserve"> there are two</w:t>
      </w:r>
      <w:r>
        <w:t xml:space="preserve"> </w:t>
      </w:r>
      <w:r w:rsidR="009F1795">
        <w:t>key</w:t>
      </w:r>
      <w:r w:rsidR="00BF098B">
        <w:t xml:space="preserve"> variables in the process</w:t>
      </w:r>
      <w:r w:rsidR="00991021">
        <w:t>: (</w:t>
      </w:r>
      <w:proofErr w:type="spellStart"/>
      <w:r w:rsidR="00991021">
        <w:t>i</w:t>
      </w:r>
      <w:proofErr w:type="spellEnd"/>
      <w:r w:rsidR="00991021">
        <w:t xml:space="preserve">) the voltage applied to the ARED unit which determines the salinity of the PW exiting the unit and (ii) the RO feed pressure which defines </w:t>
      </w:r>
      <w:r w:rsidR="00BF098B">
        <w:t>how much water can be recovered and recycled to the ARED</w:t>
      </w:r>
      <w:r>
        <w:t xml:space="preserve"> with a decrease of</w:t>
      </w:r>
      <w:r w:rsidR="00BF098B">
        <w:t xml:space="preserve"> </w:t>
      </w:r>
      <w:r w:rsidR="0073588C">
        <w:t xml:space="preserve">the </w:t>
      </w:r>
      <w:r>
        <w:t>water make-up</w:t>
      </w:r>
      <w:r w:rsidR="009E5988">
        <w:t>.</w:t>
      </w:r>
      <w:r>
        <w:t xml:space="preserve"> </w:t>
      </w:r>
      <w:r w:rsidR="008F5694">
        <w:t>I</w:t>
      </w:r>
      <w:r w:rsidR="009E5988">
        <w:t>n</w:t>
      </w:r>
      <w:r>
        <w:t xml:space="preserve"> some circumstances (such as different flow rates </w:t>
      </w:r>
      <w:r w:rsidR="009F1795">
        <w:t>or</w:t>
      </w:r>
      <w:r>
        <w:t xml:space="preserve"> lower PWs concentration) it </w:t>
      </w:r>
      <w:r w:rsidR="008F5694">
        <w:t>may</w:t>
      </w:r>
      <w:r>
        <w:t xml:space="preserve"> also </w:t>
      </w:r>
      <w:r w:rsidR="0073588C">
        <w:t xml:space="preserve">be </w:t>
      </w:r>
      <w:r>
        <w:t xml:space="preserve">possible </w:t>
      </w:r>
      <w:r w:rsidR="0073588C">
        <w:t xml:space="preserve">to </w:t>
      </w:r>
      <w:r>
        <w:t>obtain an exceed of process water, that could be sold or reuse in another part of the plant situ.</w:t>
      </w:r>
    </w:p>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F0084B" w14:paraId="5FD7AD5C" w14:textId="77777777" w:rsidTr="000E416C">
        <w:trPr>
          <w:trHeight w:val="2910"/>
        </w:trPr>
        <w:tc>
          <w:tcPr>
            <w:tcW w:w="9242" w:type="dxa"/>
          </w:tcPr>
          <w:p w14:paraId="41727AA4" w14:textId="796A70BD" w:rsidR="00F0084B" w:rsidRDefault="00F0084B" w:rsidP="000E416C">
            <w:pPr>
              <w:pStyle w:val="CETBodytext"/>
              <w:keepNext/>
            </w:pPr>
            <w:r>
              <w:rPr>
                <w:rFonts w:ascii="Times New Roman" w:hAnsi="Times New Roman"/>
                <w:noProof/>
                <w:sz w:val="24"/>
                <w:szCs w:val="24"/>
                <w:lang w:val="en-GB" w:eastAsia="en-GB"/>
              </w:rPr>
              <mc:AlternateContent>
                <mc:Choice Requires="wps">
                  <w:drawing>
                    <wp:anchor distT="0" distB="0" distL="114300" distR="114300" simplePos="0" relativeHeight="251658240" behindDoc="0" locked="0" layoutInCell="1" allowOverlap="1" wp14:anchorId="7617273C" wp14:editId="71490FD2">
                      <wp:simplePos x="0" y="0"/>
                      <wp:positionH relativeFrom="column">
                        <wp:posOffset>2358845</wp:posOffset>
                      </wp:positionH>
                      <wp:positionV relativeFrom="paragraph">
                        <wp:posOffset>143</wp:posOffset>
                      </wp:positionV>
                      <wp:extent cx="415290" cy="25590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415290" cy="255905"/>
                              </a:xfrm>
                              <a:prstGeom prst="rect">
                                <a:avLst/>
                              </a:prstGeom>
                              <a:noFill/>
                              <a:ln w="6350">
                                <a:noFill/>
                              </a:ln>
                            </wps:spPr>
                            <wps:txbx>
                              <w:txbxContent>
                                <w:p w14:paraId="7EF8AA0D" w14:textId="77777777" w:rsidR="00F0084B" w:rsidRPr="00D56A79" w:rsidRDefault="00F0084B" w:rsidP="00F0084B">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7273C" id="_x0000_t202" coordsize="21600,21600" o:spt="202" path="m,l,21600r21600,l21600,xe">
                      <v:stroke joinstyle="miter"/>
                      <v:path gradientshapeok="t" o:connecttype="rect"/>
                    </v:shapetype>
                    <v:shape id="Casella di testo 18" o:spid="_x0000_s1026" type="#_x0000_t202" style="position:absolute;left:0;text-align:left;margin-left:185.75pt;margin-top:0;width:32.7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" filled="f" stroked="f" strokeweight=".5pt">
                      <v:textbox>
                        <w:txbxContent>
                          <w:p w14:paraId="7EF8AA0D" w14:textId="77777777" w:rsidR="00F0084B" w:rsidRPr="00D56A79" w:rsidRDefault="00F0084B" w:rsidP="00F0084B">
                            <w:pPr>
                              <w:rPr>
                                <w:lang w:val="it-IT"/>
                              </w:rPr>
                            </w:pPr>
                            <w:r>
                              <w:rPr>
                                <w:lang w:val="it-IT"/>
                              </w:rPr>
                              <w:t>b)</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7216" behindDoc="0" locked="0" layoutInCell="1" allowOverlap="1" wp14:anchorId="1AF0E234" wp14:editId="2622A28F">
                      <wp:simplePos x="0" y="0"/>
                      <wp:positionH relativeFrom="column">
                        <wp:posOffset>-132715</wp:posOffset>
                      </wp:positionH>
                      <wp:positionV relativeFrom="paragraph">
                        <wp:posOffset>455</wp:posOffset>
                      </wp:positionV>
                      <wp:extent cx="415290" cy="255905"/>
                      <wp:effectExtent l="0" t="0" r="0" b="0"/>
                      <wp:wrapNone/>
                      <wp:docPr id="17" name="Casella di testo 17"/>
                      <wp:cNvGraphicFramePr/>
                      <a:graphic xmlns:a="http://schemas.openxmlformats.org/drawingml/2006/main">
                        <a:graphicData uri="http://schemas.microsoft.com/office/word/2010/wordprocessingShape">
                          <wps:wsp>
                            <wps:cNvSpPr txBox="1"/>
                            <wps:spPr>
                              <a:xfrm>
                                <a:off x="0" y="0"/>
                                <a:ext cx="415290" cy="255905"/>
                              </a:xfrm>
                              <a:prstGeom prst="rect">
                                <a:avLst/>
                              </a:prstGeom>
                              <a:noFill/>
                              <a:ln w="6350">
                                <a:noFill/>
                              </a:ln>
                            </wps:spPr>
                            <wps:txbx>
                              <w:txbxContent>
                                <w:p w14:paraId="24A0A1F8" w14:textId="77777777" w:rsidR="00F0084B" w:rsidRPr="00D56A79" w:rsidRDefault="00F0084B" w:rsidP="00F0084B">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E234" id="Casella di testo 17" o:spid="_x0000_s1027" type="#_x0000_t202" style="position:absolute;left:0;text-align:left;margin-left:-10.45pt;margin-top:.05pt;width:32.7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" filled="f" stroked="f" strokeweight=".5pt">
                      <v:textbox>
                        <w:txbxContent>
                          <w:p w14:paraId="24A0A1F8" w14:textId="77777777" w:rsidR="00F0084B" w:rsidRPr="00D56A79" w:rsidRDefault="00F0084B" w:rsidP="00F0084B">
                            <w:pPr>
                              <w:rPr>
                                <w:lang w:val="it-IT"/>
                              </w:rPr>
                            </w:pPr>
                            <w:r>
                              <w:rPr>
                                <w:lang w:val="it-IT"/>
                              </w:rPr>
                              <w:t>a)</w:t>
                            </w:r>
                          </w:p>
                        </w:txbxContent>
                      </v:textbox>
                    </v:shape>
                  </w:pict>
                </mc:Fallback>
              </mc:AlternateContent>
            </w:r>
            <w:r w:rsidRPr="003048B7">
              <w:rPr>
                <w:noProof/>
                <w:lang w:val="en-GB" w:eastAsia="en-GB"/>
              </w:rPr>
              <w:drawing>
                <wp:inline distT="0" distB="0" distL="0" distR="0" wp14:anchorId="19C30E3C" wp14:editId="6B05D5CE">
                  <wp:extent cx="2357887" cy="1861090"/>
                  <wp:effectExtent l="0" t="0" r="4445"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3662" cy="1873542"/>
                          </a:xfrm>
                          <a:prstGeom prst="rect">
                            <a:avLst/>
                          </a:prstGeom>
                          <a:noFill/>
                          <a:ln>
                            <a:noFill/>
                          </a:ln>
                        </pic:spPr>
                      </pic:pic>
                    </a:graphicData>
                  </a:graphic>
                </wp:inline>
              </w:drawing>
            </w:r>
            <w:r w:rsidR="00A82C9F" w:rsidRPr="00A82C9F">
              <w:rPr>
                <w:noProof/>
              </w:rPr>
              <w:drawing>
                <wp:inline distT="0" distB="0" distL="0" distR="0" wp14:anchorId="3A6395BB" wp14:editId="38BC98D0">
                  <wp:extent cx="3223846" cy="1969638"/>
                  <wp:effectExtent l="0" t="0" r="0" b="0"/>
                  <wp:docPr id="16394006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769" cy="1978755"/>
                          </a:xfrm>
                          <a:prstGeom prst="rect">
                            <a:avLst/>
                          </a:prstGeom>
                          <a:noFill/>
                          <a:ln>
                            <a:noFill/>
                          </a:ln>
                        </pic:spPr>
                      </pic:pic>
                    </a:graphicData>
                  </a:graphic>
                </wp:inline>
              </w:drawing>
            </w:r>
          </w:p>
        </w:tc>
      </w:tr>
    </w:tbl>
    <w:p w14:paraId="70227CB5" w14:textId="73181CFD" w:rsidR="00F0084B" w:rsidRDefault="00F0084B" w:rsidP="00F0084B">
      <w:pPr>
        <w:pStyle w:val="CETCaption"/>
      </w:pPr>
      <w:r>
        <w:t>Figure 2: Technical analysis of the PWs treatment plant varying the voltage of ARED unit and the pressure of the RO feed. a) Stream 3 concentration, target concentration of 20 g L</w:t>
      </w:r>
      <w:r w:rsidRPr="003048B7">
        <w:rPr>
          <w:vertAlign w:val="superscript"/>
        </w:rPr>
        <w:t>-1</w:t>
      </w:r>
      <w:r>
        <w:t xml:space="preserve"> and specific energy consumption (SEC) of the ARED unit</w:t>
      </w:r>
      <w:r w:rsidR="0073588C">
        <w:t xml:space="preserve">; </w:t>
      </w:r>
      <w:r>
        <w:t>b) Water recovery, flow rate of make-up stream and concentration of stream 12 versus the RO pressure feed.</w:t>
      </w:r>
    </w:p>
    <w:p w14:paraId="6A1D3289" w14:textId="57352974" w:rsidR="00F57BDA" w:rsidRDefault="009E5988" w:rsidP="004848DA">
      <w:pPr>
        <w:pStyle w:val="CETBodytext"/>
      </w:pPr>
      <w:r>
        <w:t>A technical analysis is presented in Figure 2. T</w:t>
      </w:r>
      <w:r w:rsidR="004848DA">
        <w:t xml:space="preserve">here is a minimum voltage value required to achieve the </w:t>
      </w:r>
      <w:r w:rsidR="00AF4319">
        <w:t xml:space="preserve">concentration </w:t>
      </w:r>
      <w:r w:rsidR="004848DA">
        <w:t xml:space="preserve">goal of 20 </w:t>
      </w:r>
      <w:r w:rsidR="00AF4319">
        <w:t>g</w:t>
      </w:r>
      <w:r w:rsidR="008F5694">
        <w:t xml:space="preserve"> L</w:t>
      </w:r>
      <w:r w:rsidR="00AF4319" w:rsidRPr="00AF4319">
        <w:rPr>
          <w:vertAlign w:val="superscript"/>
        </w:rPr>
        <w:t>-1</w:t>
      </w:r>
      <w:r w:rsidR="00851236">
        <w:t xml:space="preserve"> </w:t>
      </w:r>
      <w:r w:rsidR="004848DA">
        <w:t xml:space="preserve"> </w:t>
      </w:r>
      <w:r w:rsidR="00D6473E">
        <w:t>at the outlet of</w:t>
      </w:r>
      <w:r w:rsidR="00AF4319">
        <w:t xml:space="preserve"> the</w:t>
      </w:r>
      <w:r w:rsidR="004848DA">
        <w:t xml:space="preserve"> ARED</w:t>
      </w:r>
      <w:r w:rsidR="00F57BDA">
        <w:t xml:space="preserve"> unit</w:t>
      </w:r>
      <w:r w:rsidR="00FF7DB1">
        <w:t xml:space="preserve"> (the maximum allowed in the bioreactor)</w:t>
      </w:r>
      <w:r w:rsidR="00F57BDA">
        <w:t xml:space="preserve">, and </w:t>
      </w:r>
      <w:r w:rsidR="009F1795">
        <w:t>this</w:t>
      </w:r>
      <w:r w:rsidR="00F57BDA">
        <w:t xml:space="preserve"> is about 80 V, with a corresponding specific energy consumption</w:t>
      </w:r>
      <w:r w:rsidR="005437FE">
        <w:t xml:space="preserve"> (SEC</w:t>
      </w:r>
      <w:r w:rsidR="009F1795">
        <w:t>) of 3.</w:t>
      </w:r>
      <w:r w:rsidR="000C73E4">
        <w:t>7</w:t>
      </w:r>
      <w:r w:rsidR="009F1795">
        <w:t xml:space="preserve"> kWh</w:t>
      </w:r>
      <w:r w:rsidR="00D6473E">
        <w:t xml:space="preserve"> </w:t>
      </w:r>
      <w:r w:rsidR="009F1795">
        <w:t>m</w:t>
      </w:r>
      <w:r w:rsidR="009F1795" w:rsidRPr="00F57BDA">
        <w:rPr>
          <w:vertAlign w:val="superscript"/>
        </w:rPr>
        <w:t>-3</w:t>
      </w:r>
      <w:r w:rsidR="00A82C9F">
        <w:rPr>
          <w:vertAlign w:val="subscript"/>
        </w:rPr>
        <w:t>stream2</w:t>
      </w:r>
      <w:r w:rsidR="002178BB">
        <w:t xml:space="preserve"> defined as the </w:t>
      </w:r>
      <w:r w:rsidR="002178BB">
        <w:lastRenderedPageBreak/>
        <w:t>power required per m</w:t>
      </w:r>
      <w:r w:rsidR="002178BB" w:rsidRPr="002178BB">
        <w:rPr>
          <w:vertAlign w:val="superscript"/>
        </w:rPr>
        <w:t>3</w:t>
      </w:r>
      <w:r w:rsidR="002178BB">
        <w:t xml:space="preserve"> of PW entering into ARED</w:t>
      </w:r>
      <w:r w:rsidR="009F1795">
        <w:t>,</w:t>
      </w:r>
      <w:r w:rsidR="001C6356">
        <w:t xml:space="preserve"> </w:t>
      </w:r>
      <w:r>
        <w:t>as shown in Figure 2.a</w:t>
      </w:r>
      <w:r w:rsidR="00F57BDA">
        <w:t xml:space="preserve">. </w:t>
      </w:r>
      <w:r w:rsidR="00D6473E">
        <w:t>Concerning</w:t>
      </w:r>
      <w:r w:rsidR="004848DA">
        <w:t xml:space="preserve"> </w:t>
      </w:r>
      <w:r w:rsidR="00F57BDA">
        <w:t xml:space="preserve">RO feed </w:t>
      </w:r>
      <w:r w:rsidR="004848DA">
        <w:t>pressure</w:t>
      </w:r>
      <w:r w:rsidR="00945C17">
        <w:t xml:space="preserve"> (Figure 2.b)</w:t>
      </w:r>
      <w:r w:rsidR="00D6473E">
        <w:t xml:space="preserve">, </w:t>
      </w:r>
      <w:r w:rsidR="004848DA">
        <w:t xml:space="preserve">the higher the pressure, the </w:t>
      </w:r>
      <w:r w:rsidR="00D6473E">
        <w:t>larger</w:t>
      </w:r>
      <w:r w:rsidR="004848DA">
        <w:t xml:space="preserve"> the water</w:t>
      </w:r>
      <w:r w:rsidR="00AF4319">
        <w:t xml:space="preserve"> savings in the treatment chain</w:t>
      </w:r>
      <w:r w:rsidR="00D6473E">
        <w:t>:</w:t>
      </w:r>
      <w:r w:rsidR="00AF4319">
        <w:t xml:space="preserve"> this </w:t>
      </w:r>
      <w:r w:rsidR="00D6473E">
        <w:t xml:space="preserve">might be a matter of crucial importance </w:t>
      </w:r>
      <w:r w:rsidR="00AF4319">
        <w:t xml:space="preserve">in all those places where the water is not easily </w:t>
      </w:r>
      <w:r w:rsidR="00D6473E">
        <w:t>available</w:t>
      </w:r>
      <w:r w:rsidR="00F57BDA" w:rsidRPr="00FF586A">
        <w:t>.</w:t>
      </w:r>
      <w:r w:rsidR="004848DA" w:rsidRPr="00FF586A">
        <w:t xml:space="preserve"> </w:t>
      </w:r>
      <w:r w:rsidR="00FF586A" w:rsidRPr="00FF586A">
        <w:t>When RO pressure is low, the water demand amounts to 14</w:t>
      </w:r>
      <w:r w:rsidR="00A82C9F">
        <w:t>.</w:t>
      </w:r>
      <w:r w:rsidR="00FF586A" w:rsidRPr="00FF586A">
        <w:t>95 m</w:t>
      </w:r>
      <w:r w:rsidR="00FF586A" w:rsidRPr="00FF586A">
        <w:rPr>
          <w:vertAlign w:val="superscript"/>
        </w:rPr>
        <w:t>3</w:t>
      </w:r>
      <w:r w:rsidR="00FF586A" w:rsidRPr="00FF586A">
        <w:rPr>
          <w:vertAlign w:val="subscript"/>
        </w:rPr>
        <w:t>w</w:t>
      </w:r>
      <w:r w:rsidR="00FF586A" w:rsidRPr="00FF586A">
        <w:t xml:space="preserve"> per </w:t>
      </w:r>
      <w:r w:rsidR="00A82C9F">
        <w:t>hour</w:t>
      </w:r>
      <w:r w:rsidR="00FF586A" w:rsidRPr="00FF586A">
        <w:t xml:space="preserve">. This quantity can be reduced by increasing the RO pressure, corresponding to a water recovery of 78 %, defined as the ratio of stream 7 to stream 9. </w:t>
      </w:r>
      <w:r w:rsidR="004848DA" w:rsidRPr="00FF586A">
        <w:t>It</w:t>
      </w:r>
      <w:r w:rsidR="004848DA">
        <w:t xml:space="preserve"> should be noted</w:t>
      </w:r>
      <w:r w:rsidR="0073588C">
        <w:t xml:space="preserve"> </w:t>
      </w:r>
      <w:r w:rsidR="004848DA">
        <w:t xml:space="preserve">that as the pressure increases, the </w:t>
      </w:r>
      <w:r w:rsidR="00F57BDA">
        <w:t xml:space="preserve">concentration of retentate </w:t>
      </w:r>
      <w:r w:rsidR="004848DA">
        <w:t>increases</w:t>
      </w:r>
      <w:r w:rsidR="00F57BDA">
        <w:t xml:space="preserve"> as well</w:t>
      </w:r>
      <w:r w:rsidR="004848DA">
        <w:t>, rea</w:t>
      </w:r>
      <w:r w:rsidR="00AF4319">
        <w:t>ching values even close to 50 g</w:t>
      </w:r>
      <w:r w:rsidR="008F5694">
        <w:t xml:space="preserve"> L</w:t>
      </w:r>
      <w:r w:rsidR="00AF4319" w:rsidRPr="00AF4319">
        <w:rPr>
          <w:vertAlign w:val="superscript"/>
        </w:rPr>
        <w:t>-1</w:t>
      </w:r>
      <w:r w:rsidR="00851236">
        <w:t>.</w:t>
      </w:r>
      <w:r w:rsidR="00FF7DB1">
        <w:t xml:space="preserve"> </w:t>
      </w:r>
      <w:r w:rsidR="00FF586A">
        <w:rPr>
          <w:lang w:val="en-GB"/>
        </w:rPr>
        <w:t xml:space="preserve">A </w:t>
      </w:r>
      <w:r w:rsidR="00851236">
        <w:rPr>
          <w:lang w:val="en-GB"/>
        </w:rPr>
        <w:t xml:space="preserve">high concentration of the RO retentate could be a </w:t>
      </w:r>
      <w:r w:rsidR="000C3C83">
        <w:rPr>
          <w:lang w:val="en-GB"/>
        </w:rPr>
        <w:t>perfect advantage for minerals and metals recovery when a valorisation</w:t>
      </w:r>
      <w:r w:rsidR="0073588C">
        <w:rPr>
          <w:lang w:val="en-GB"/>
        </w:rPr>
        <w:t xml:space="preserve"> section</w:t>
      </w:r>
      <w:r w:rsidR="000C3C83">
        <w:rPr>
          <w:lang w:val="en-GB"/>
        </w:rPr>
        <w:t xml:space="preserve"> </w:t>
      </w:r>
      <w:r w:rsidR="00FF586A">
        <w:rPr>
          <w:lang w:val="en-GB"/>
        </w:rPr>
        <w:t xml:space="preserve">is </w:t>
      </w:r>
      <w:r w:rsidR="0073588C">
        <w:rPr>
          <w:lang w:val="en-GB"/>
        </w:rPr>
        <w:t xml:space="preserve">downstream </w:t>
      </w:r>
      <w:r w:rsidR="00FF586A">
        <w:rPr>
          <w:lang w:val="en-GB"/>
        </w:rPr>
        <w:t xml:space="preserve">coupled to the </w:t>
      </w:r>
      <w:r w:rsidR="0073588C">
        <w:rPr>
          <w:lang w:val="en-GB"/>
        </w:rPr>
        <w:t>chain</w:t>
      </w:r>
      <w:r w:rsidR="00FF586A">
        <w:rPr>
          <w:lang w:val="en-GB"/>
        </w:rPr>
        <w:t>. C</w:t>
      </w:r>
      <w:r w:rsidR="000C3C83">
        <w:rPr>
          <w:lang w:val="en-GB"/>
        </w:rPr>
        <w:t xml:space="preserve">onversely, </w:t>
      </w:r>
      <w:r w:rsidR="00FF586A">
        <w:rPr>
          <w:lang w:val="en-GB"/>
        </w:rPr>
        <w:t xml:space="preserve">if a disposal </w:t>
      </w:r>
      <w:r w:rsidR="0073588C">
        <w:rPr>
          <w:lang w:val="en-GB"/>
        </w:rPr>
        <w:t>into</w:t>
      </w:r>
      <w:r w:rsidR="00FF586A">
        <w:rPr>
          <w:lang w:val="en-GB"/>
        </w:rPr>
        <w:t xml:space="preserve"> the sea is</w:t>
      </w:r>
      <w:r w:rsidR="00FF7DB1">
        <w:rPr>
          <w:lang w:val="en-GB"/>
        </w:rPr>
        <w:t xml:space="preserve"> fore</w:t>
      </w:r>
      <w:r w:rsidR="0073588C">
        <w:rPr>
          <w:lang w:val="en-GB"/>
        </w:rPr>
        <w:t>seen</w:t>
      </w:r>
      <w:r w:rsidR="00FF7DB1">
        <w:rPr>
          <w:lang w:val="en-GB"/>
        </w:rPr>
        <w:t xml:space="preserve">, </w:t>
      </w:r>
      <w:r w:rsidR="000C3C83">
        <w:rPr>
          <w:lang w:val="en-GB"/>
        </w:rPr>
        <w:t>the retentate concentration c</w:t>
      </w:r>
      <w:r w:rsidR="000C3C83" w:rsidRPr="001C6356">
        <w:rPr>
          <w:vertAlign w:val="subscript"/>
          <w:lang w:val="en-GB"/>
        </w:rPr>
        <w:t>12,out</w:t>
      </w:r>
      <w:r w:rsidR="000C3C83">
        <w:rPr>
          <w:lang w:val="en-GB"/>
        </w:rPr>
        <w:t xml:space="preserve"> should be maintained to a </w:t>
      </w:r>
      <w:r w:rsidR="00FF7DB1">
        <w:rPr>
          <w:lang w:val="en-GB"/>
        </w:rPr>
        <w:t>value</w:t>
      </w:r>
      <w:r w:rsidR="000C3C83">
        <w:rPr>
          <w:lang w:val="en-GB"/>
        </w:rPr>
        <w:t xml:space="preserve"> </w:t>
      </w:r>
      <w:r w:rsidR="00773594">
        <w:rPr>
          <w:lang w:val="en-GB"/>
        </w:rPr>
        <w:t xml:space="preserve">minor or </w:t>
      </w:r>
      <w:r w:rsidR="00851236">
        <w:rPr>
          <w:lang w:val="en-GB"/>
        </w:rPr>
        <w:t>equal to the sea water concentration</w:t>
      </w:r>
      <w:r w:rsidR="000C3C83">
        <w:rPr>
          <w:lang w:val="en-GB"/>
        </w:rPr>
        <w:t xml:space="preserve"> (a</w:t>
      </w:r>
      <w:r w:rsidR="00FF7DB1">
        <w:rPr>
          <w:lang w:val="en-GB"/>
        </w:rPr>
        <w:t xml:space="preserve">bout </w:t>
      </w:r>
      <w:r w:rsidR="000C3C83">
        <w:rPr>
          <w:lang w:val="en-GB"/>
        </w:rPr>
        <w:t>35 g L</w:t>
      </w:r>
      <w:r w:rsidR="000C3C83" w:rsidRPr="00765FA9">
        <w:rPr>
          <w:vertAlign w:val="superscript"/>
          <w:lang w:val="en-GB"/>
        </w:rPr>
        <w:t>-1</w:t>
      </w:r>
      <w:r w:rsidR="000C3C83">
        <w:rPr>
          <w:lang w:val="en-GB"/>
        </w:rPr>
        <w:t>)</w:t>
      </w:r>
      <w:r w:rsidR="00FF7DB1">
        <w:rPr>
          <w:lang w:val="en-GB"/>
        </w:rPr>
        <w:t xml:space="preserve"> </w:t>
      </w:r>
      <w:r w:rsidR="000C3C83">
        <w:rPr>
          <w:lang w:val="en-GB"/>
        </w:rPr>
        <w:t xml:space="preserve">in order to avoid the </w:t>
      </w:r>
      <w:r w:rsidR="00F57BDA">
        <w:t>sea desert</w:t>
      </w:r>
      <w:r w:rsidR="00773594">
        <w:t>ification</w:t>
      </w:r>
      <w:r w:rsidR="0073588C">
        <w:t xml:space="preserve"> phenomenon</w:t>
      </w:r>
      <w:r w:rsidR="00F57BDA">
        <w:t xml:space="preserve"> </w:t>
      </w:r>
      <w:r w:rsidR="00F57BDA">
        <w:fldChar w:fldCharType="begin"/>
      </w:r>
      <w:r w:rsidR="00F57BDA">
        <w:instrText xml:space="preserve"> ADDIN ZOTERO_ITEM CSL_CITATION {"citationID":"asmjRcI2","properties":{"formattedCitation":"(Ramasamy, 2020)","plainCitation":"(Ramasamy, 2020)","noteIndex":0},"citationItems":[{"id":289,"uris":["http://zotero.org/users/10977437/items/K5JGN8G8"],"itemData":{"id":289,"type":"chapter","abstract":"The membrane treatment is a physical separation which also generates considerable amount of waste, called as reject/concentrate. The reject/concentrate is more than three times concentrated than the feed water in terms of feed water salts. Recovery of valuables from reverse osmosis (RO) reject for its reuse of inorganic salts would be most obvious solution to eliminate environmental damage. In this report what are the available methods for the recovery of valuables from waste saline stream by selective crystallization method, chemical precipitation and physico-thermal route discussed in details. Also, methods to treat organic contamination in the residual solution through advanced oxidation treatment methods.","container-title":"Salt in the Earth","ISBN":"978-1-78984-634-8","language":"en","note":"DOI: 10.5772/intechopen.88716","publisher":"IntechOpen","source":"DOI.org (Crossref)","title":"Short Review of Salt Recovery from Reverse Osmosis Rejects","URL":"https://www.intechopen.com/books/salt-in-the-earth/short-review-of-salt-recovery-from-reverse-osmosis-rejects","editor":[{"family":"Cengiz Çinku","given":"Mualla"},{"family":"Karabulut","given":"Savas"}],"author":[{"family":"Ramasamy","given":"Boopathy"}],"accessed":{"date-parts":[["2023",3,13]]},"issued":{"date-parts":[["2020",3,25]]}}}],"schema":"https://github.com/citation-style-language/schema/raw/master/csl-citation.json"} </w:instrText>
      </w:r>
      <w:r w:rsidR="00F57BDA">
        <w:fldChar w:fldCharType="separate"/>
      </w:r>
      <w:r w:rsidR="00EA13B7" w:rsidRPr="00EA13B7">
        <w:rPr>
          <w:rFonts w:cs="Arial"/>
        </w:rPr>
        <w:t>(Ramasamy, 2020)</w:t>
      </w:r>
      <w:r w:rsidR="00F57BDA">
        <w:fldChar w:fldCharType="end"/>
      </w:r>
      <w:r w:rsidR="000C3C83">
        <w:t>.</w:t>
      </w:r>
    </w:p>
    <w:p w14:paraId="50917D05" w14:textId="52501A75" w:rsidR="00851236" w:rsidRPr="009E7DC9" w:rsidRDefault="009E7DC9" w:rsidP="004848DA">
      <w:pPr>
        <w:pStyle w:val="CETBodytext"/>
        <w:rPr>
          <w:lang w:val="en-GB"/>
        </w:rPr>
      </w:pPr>
      <w:r>
        <w:rPr>
          <w:lang w:val="en-GB"/>
        </w:rPr>
        <w:t>Based on Figure 2 results, the operative conditions adopted for the cost analysis consider a voltage of 80 V for the ARED unit and an operative pressure of 35 bar for the stream 6 (</w:t>
      </w:r>
      <w:r w:rsidR="00EF4D34">
        <w:rPr>
          <w:lang w:val="en-GB"/>
        </w:rPr>
        <w:t>i.e.,</w:t>
      </w:r>
      <w:r>
        <w:rPr>
          <w:lang w:val="en-GB"/>
        </w:rPr>
        <w:t xml:space="preserve"> the RO feed). The </w:t>
      </w:r>
      <w:r w:rsidR="007025DD">
        <w:rPr>
          <w:lang w:val="en-GB"/>
        </w:rPr>
        <w:t xml:space="preserve">corresponding </w:t>
      </w:r>
      <w:r w:rsidR="00B92BF2">
        <w:rPr>
          <w:lang w:val="en-GB"/>
        </w:rPr>
        <w:t>total costs of the plant are shown in Figure 3</w:t>
      </w:r>
      <w:r w:rsidR="00A82C9F">
        <w:rPr>
          <w:color w:val="000000" w:themeColor="text1"/>
          <w:lang w:val="en-GB"/>
        </w:rPr>
        <w:t xml:space="preserve"> where</w:t>
      </w:r>
      <w:r>
        <w:rPr>
          <w:lang w:val="en-GB"/>
        </w:rPr>
        <w:t xml:space="preserve"> three different </w:t>
      </w:r>
      <w:r w:rsidR="004E6D5E">
        <w:rPr>
          <w:lang w:val="en-GB"/>
        </w:rPr>
        <w:t xml:space="preserve">plant </w:t>
      </w:r>
      <w:r>
        <w:rPr>
          <w:lang w:val="en-GB"/>
        </w:rPr>
        <w:t xml:space="preserve">sizes are considered: a </w:t>
      </w:r>
      <w:r w:rsidR="00EB03AE">
        <w:rPr>
          <w:lang w:val="en-GB"/>
        </w:rPr>
        <w:t>relatively</w:t>
      </w:r>
      <w:r>
        <w:rPr>
          <w:lang w:val="en-GB"/>
        </w:rPr>
        <w:t xml:space="preserve"> little plant with a size of 10</w:t>
      </w:r>
      <w:r w:rsidR="00A82C9F">
        <w:rPr>
          <w:lang w:val="en-GB"/>
        </w:rPr>
        <w:t>.5</w:t>
      </w:r>
      <w:r>
        <w:rPr>
          <w:lang w:val="en-GB"/>
        </w:rPr>
        <w:t xml:space="preserve"> m</w:t>
      </w:r>
      <w:r w:rsidRPr="00F57BDA">
        <w:rPr>
          <w:vertAlign w:val="superscript"/>
          <w:lang w:val="en-GB"/>
        </w:rPr>
        <w:t>3</w:t>
      </w:r>
      <w:r w:rsidRPr="00F57BDA">
        <w:rPr>
          <w:vertAlign w:val="subscript"/>
          <w:lang w:val="en-GB"/>
        </w:rPr>
        <w:t>PW</w:t>
      </w:r>
      <w:r>
        <w:rPr>
          <w:lang w:val="en-GB"/>
        </w:rPr>
        <w:t xml:space="preserve"> h</w:t>
      </w:r>
      <w:r w:rsidRPr="00F57BDA">
        <w:rPr>
          <w:vertAlign w:val="superscript"/>
          <w:lang w:val="en-GB"/>
        </w:rPr>
        <w:t>-1</w:t>
      </w:r>
      <w:r>
        <w:rPr>
          <w:lang w:val="en-GB"/>
        </w:rPr>
        <w:t xml:space="preserve">, a medium one of </w:t>
      </w:r>
      <w:r w:rsidR="008520C5">
        <w:rPr>
          <w:lang w:val="en-GB"/>
        </w:rPr>
        <w:t>5</w:t>
      </w:r>
      <w:r w:rsidR="00A82C9F">
        <w:rPr>
          <w:lang w:val="en-GB"/>
        </w:rPr>
        <w:t>2.6</w:t>
      </w:r>
      <w:r w:rsidRPr="00F57BDA">
        <w:rPr>
          <w:lang w:val="en-GB"/>
        </w:rPr>
        <w:t xml:space="preserve"> </w:t>
      </w:r>
      <w:r>
        <w:rPr>
          <w:lang w:val="en-GB"/>
        </w:rPr>
        <w:t>m</w:t>
      </w:r>
      <w:r w:rsidRPr="00F57BDA">
        <w:rPr>
          <w:vertAlign w:val="superscript"/>
          <w:lang w:val="en-GB"/>
        </w:rPr>
        <w:t>3</w:t>
      </w:r>
      <w:r w:rsidRPr="00F57BDA">
        <w:rPr>
          <w:vertAlign w:val="subscript"/>
          <w:lang w:val="en-GB"/>
        </w:rPr>
        <w:t>PW</w:t>
      </w:r>
      <w:r>
        <w:rPr>
          <w:lang w:val="en-GB"/>
        </w:rPr>
        <w:t xml:space="preserve"> h</w:t>
      </w:r>
      <w:r w:rsidRPr="00F57BDA">
        <w:rPr>
          <w:vertAlign w:val="superscript"/>
          <w:lang w:val="en-GB"/>
        </w:rPr>
        <w:t>-1</w:t>
      </w:r>
      <w:r>
        <w:rPr>
          <w:lang w:val="en-GB"/>
        </w:rPr>
        <w:t xml:space="preserve"> and a large plant with a size of </w:t>
      </w:r>
      <w:r w:rsidR="008520C5">
        <w:rPr>
          <w:lang w:val="en-GB"/>
        </w:rPr>
        <w:t>10</w:t>
      </w:r>
      <w:r w:rsidR="00A82C9F">
        <w:rPr>
          <w:lang w:val="en-GB"/>
        </w:rPr>
        <w:t>5.3</w:t>
      </w:r>
      <w:r>
        <w:rPr>
          <w:lang w:val="en-GB"/>
        </w:rPr>
        <w:t xml:space="preserve"> m</w:t>
      </w:r>
      <w:r w:rsidRPr="00F57BDA">
        <w:rPr>
          <w:vertAlign w:val="superscript"/>
          <w:lang w:val="en-GB"/>
        </w:rPr>
        <w:t>3</w:t>
      </w:r>
      <w:r w:rsidRPr="00F57BDA">
        <w:rPr>
          <w:vertAlign w:val="subscript"/>
          <w:lang w:val="en-GB"/>
        </w:rPr>
        <w:t>PW</w:t>
      </w:r>
      <w:r>
        <w:rPr>
          <w:lang w:val="en-GB"/>
        </w:rPr>
        <w:t xml:space="preserve"> h</w:t>
      </w:r>
      <w:r w:rsidRPr="00F57BDA">
        <w:rPr>
          <w:vertAlign w:val="superscript"/>
          <w:lang w:val="en-GB"/>
        </w:rPr>
        <w:t>-1</w:t>
      </w:r>
      <w:r>
        <w:rPr>
          <w:lang w:val="en-GB"/>
        </w:rPr>
        <w:t xml:space="preserve">. </w:t>
      </w:r>
    </w:p>
    <w:p w14:paraId="4AC5286F" w14:textId="484418C1" w:rsidR="00BA1818" w:rsidRDefault="00A82C9F" w:rsidP="00600535">
      <w:pPr>
        <w:pStyle w:val="CETBodytext"/>
        <w:rPr>
          <w:lang w:val="en-GB"/>
        </w:rPr>
      </w:pPr>
      <w:r w:rsidRPr="00A82C9F">
        <w:drawing>
          <wp:inline distT="0" distB="0" distL="0" distR="0" wp14:anchorId="198EA154" wp14:editId="06DC35FE">
            <wp:extent cx="5579745" cy="2574925"/>
            <wp:effectExtent l="0" t="0" r="1905" b="0"/>
            <wp:docPr id="19595493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2574925"/>
                    </a:xfrm>
                    <a:prstGeom prst="rect">
                      <a:avLst/>
                    </a:prstGeom>
                    <a:noFill/>
                    <a:ln>
                      <a:noFill/>
                    </a:ln>
                  </pic:spPr>
                </pic:pic>
              </a:graphicData>
            </a:graphic>
          </wp:inline>
        </w:drawing>
      </w:r>
    </w:p>
    <w:p w14:paraId="4821ADCA" w14:textId="7A4D9AB7" w:rsidR="00D56A79" w:rsidRDefault="00D56A79" w:rsidP="00D56A79">
      <w:pPr>
        <w:pStyle w:val="CETCaption"/>
      </w:pPr>
      <w:r>
        <w:t xml:space="preserve">Figure </w:t>
      </w:r>
      <w:r w:rsidR="001C6356">
        <w:t>3</w:t>
      </w:r>
      <w:r>
        <w:t xml:space="preserve">: Total costs of the plant and of the singular units for three different </w:t>
      </w:r>
      <w:r w:rsidR="00397ADC">
        <w:t>plant size</w:t>
      </w:r>
      <w:r>
        <w:t>.</w:t>
      </w:r>
    </w:p>
    <w:p w14:paraId="5ECC6AEF" w14:textId="028A62D7" w:rsidR="00397ADC" w:rsidRPr="009E7DC9" w:rsidRDefault="00EB706D" w:rsidP="00397ADC">
      <w:pPr>
        <w:pStyle w:val="CETBodytext"/>
        <w:rPr>
          <w:lang w:val="en-GB"/>
        </w:rPr>
      </w:pPr>
      <w:r>
        <w:t>The larger the plant size, the lower t</w:t>
      </w:r>
      <w:r w:rsidR="00F57BDA">
        <w:t>he total cost of the plant</w:t>
      </w:r>
      <w:r w:rsidR="00397ADC">
        <w:t>, as expected</w:t>
      </w:r>
      <w:r>
        <w:t xml:space="preserve">: it </w:t>
      </w:r>
      <w:r w:rsidR="00F57BDA">
        <w:t>range</w:t>
      </w:r>
      <w:r w:rsidR="005A1CD3">
        <w:t>s</w:t>
      </w:r>
      <w:r w:rsidR="00F57BDA">
        <w:t xml:space="preserve"> from </w:t>
      </w:r>
      <w:r w:rsidR="00FE70B5">
        <w:t>4.17</w:t>
      </w:r>
      <w:r w:rsidR="00FB6166">
        <w:t xml:space="preserve"> </w:t>
      </w:r>
      <w:r w:rsidR="001C6356">
        <w:t xml:space="preserve">to </w:t>
      </w:r>
      <w:r w:rsidR="00FB6166">
        <w:t>2.</w:t>
      </w:r>
      <w:r w:rsidR="00FE70B5">
        <w:t>93</w:t>
      </w:r>
      <w:r w:rsidR="001C6356">
        <w:t xml:space="preserve"> €</w:t>
      </w:r>
      <w:r w:rsidR="008F5694">
        <w:t xml:space="preserve"> </w:t>
      </w:r>
      <w:r w:rsidR="005A1CD3">
        <w:rPr>
          <w:lang w:val="en-GB"/>
        </w:rPr>
        <w:t>m</w:t>
      </w:r>
      <w:r w:rsidR="005A1CD3">
        <w:rPr>
          <w:vertAlign w:val="superscript"/>
          <w:lang w:val="en-GB"/>
        </w:rPr>
        <w:t>-3</w:t>
      </w:r>
      <w:r w:rsidR="005A1CD3" w:rsidRPr="00F57BDA">
        <w:rPr>
          <w:vertAlign w:val="subscript"/>
          <w:lang w:val="en-GB"/>
        </w:rPr>
        <w:t>PW</w:t>
      </w:r>
      <w:r w:rsidR="00397ADC">
        <w:rPr>
          <w:lang w:val="en-GB"/>
        </w:rPr>
        <w:t>.</w:t>
      </w:r>
    </w:p>
    <w:p w14:paraId="19160217" w14:textId="6E3D91CD" w:rsidR="009C34E8" w:rsidRPr="000472F9" w:rsidRDefault="008E6AEA" w:rsidP="00D56A79">
      <w:pPr>
        <w:pStyle w:val="CETBodytext"/>
        <w:rPr>
          <w:lang w:val="en-GB"/>
        </w:rPr>
      </w:pPr>
      <w:r>
        <w:rPr>
          <w:lang w:val="en-GB"/>
        </w:rPr>
        <w:t>This variation is mainly due to the biological uni</w:t>
      </w:r>
      <w:r w:rsidR="00FF586A">
        <w:rPr>
          <w:lang w:val="en-GB"/>
        </w:rPr>
        <w:t xml:space="preserve">t which is more sensible to </w:t>
      </w:r>
      <w:r w:rsidR="005218FB">
        <w:rPr>
          <w:lang w:val="en-GB"/>
        </w:rPr>
        <w:t xml:space="preserve">the </w:t>
      </w:r>
      <w:r w:rsidR="00FF586A">
        <w:rPr>
          <w:lang w:val="en-GB"/>
        </w:rPr>
        <w:t>scale</w:t>
      </w:r>
      <w:r w:rsidR="005218FB">
        <w:rPr>
          <w:lang w:val="en-GB"/>
        </w:rPr>
        <w:t>-</w:t>
      </w:r>
      <w:r w:rsidR="00FF586A">
        <w:rPr>
          <w:lang w:val="en-GB"/>
        </w:rPr>
        <w:t>up</w:t>
      </w:r>
      <w:r>
        <w:rPr>
          <w:lang w:val="en-GB"/>
        </w:rPr>
        <w:t>. Conversely, ARED and RO being modular technologies have a cost poorly dependent on size</w:t>
      </w:r>
      <w:r w:rsidR="00B73529">
        <w:rPr>
          <w:lang w:val="en-GB"/>
        </w:rPr>
        <w:t xml:space="preserve">. </w:t>
      </w:r>
      <w:r w:rsidR="005218FB">
        <w:rPr>
          <w:lang w:val="en-GB"/>
        </w:rPr>
        <w:t>C</w:t>
      </w:r>
      <w:r w:rsidR="001F3DB3">
        <w:rPr>
          <w:lang w:val="en-GB"/>
        </w:rPr>
        <w:t xml:space="preserve">apital costs </w:t>
      </w:r>
      <w:r w:rsidR="005218FB">
        <w:rPr>
          <w:lang w:val="en-GB"/>
        </w:rPr>
        <w:t>exhibit</w:t>
      </w:r>
      <w:r w:rsidR="00FF586A">
        <w:rPr>
          <w:lang w:val="en-GB"/>
        </w:rPr>
        <w:t xml:space="preserve"> a stronger dependence on size </w:t>
      </w:r>
      <w:r w:rsidR="001F3DB3">
        <w:rPr>
          <w:lang w:val="en-GB"/>
        </w:rPr>
        <w:t xml:space="preserve">than operating costs. This different dependence leads operating costs to be prominent only at large plant sizes. </w:t>
      </w:r>
      <w:r w:rsidR="001A4885">
        <w:rPr>
          <w:lang w:val="en-GB"/>
        </w:rPr>
        <w:t xml:space="preserve">The </w:t>
      </w:r>
      <w:r w:rsidR="000472F9">
        <w:rPr>
          <w:lang w:val="en-GB"/>
        </w:rPr>
        <w:t xml:space="preserve">preliminary </w:t>
      </w:r>
      <w:r w:rsidR="001F3DB3">
        <w:rPr>
          <w:lang w:val="en-GB"/>
        </w:rPr>
        <w:t xml:space="preserve">techno-economic analysis here presented shows that the </w:t>
      </w:r>
      <w:r w:rsidR="001A4885">
        <w:rPr>
          <w:lang w:val="en-GB"/>
        </w:rPr>
        <w:t xml:space="preserve">proposed treatment chain </w:t>
      </w:r>
      <w:r w:rsidR="001F3DB3">
        <w:rPr>
          <w:lang w:val="en-GB"/>
        </w:rPr>
        <w:t xml:space="preserve">exhibit costs being </w:t>
      </w:r>
      <w:r w:rsidR="001A4885">
        <w:rPr>
          <w:lang w:val="en-GB"/>
        </w:rPr>
        <w:t xml:space="preserve">competitive with the </w:t>
      </w:r>
      <w:r w:rsidR="009C34E8">
        <w:rPr>
          <w:lang w:val="en-GB"/>
        </w:rPr>
        <w:t xml:space="preserve">typical </w:t>
      </w:r>
      <w:r w:rsidR="000472F9">
        <w:rPr>
          <w:lang w:val="en-GB"/>
        </w:rPr>
        <w:t xml:space="preserve">treatment </w:t>
      </w:r>
      <w:r w:rsidR="004C7317">
        <w:rPr>
          <w:lang w:val="en-GB"/>
        </w:rPr>
        <w:t>costs of PWs</w:t>
      </w:r>
      <w:r w:rsidR="000472F9">
        <w:rPr>
          <w:lang w:val="en-GB"/>
        </w:rPr>
        <w:t xml:space="preserve">. Notably, no optimization has been performed, thus showing that there is still room for improvement aiming to find the best configuration between technical and economic features. </w:t>
      </w:r>
      <w:r w:rsidR="005218FB">
        <w:rPr>
          <w:lang w:val="en-GB"/>
        </w:rPr>
        <w:t>Ad hoc</w:t>
      </w:r>
      <w:r w:rsidR="000472F9">
        <w:rPr>
          <w:lang w:val="en-GB"/>
        </w:rPr>
        <w:t xml:space="preserve"> experimental analysis are also needed </w:t>
      </w:r>
      <w:r w:rsidR="00EB03AE">
        <w:rPr>
          <w:lang w:val="en-GB"/>
        </w:rPr>
        <w:t>to</w:t>
      </w:r>
      <w:r w:rsidR="000472F9">
        <w:rPr>
          <w:lang w:val="en-GB"/>
        </w:rPr>
        <w:t xml:space="preserve"> describe in detail the composition and features of all the streams involved in the process.</w:t>
      </w:r>
    </w:p>
    <w:p w14:paraId="68D26B83" w14:textId="77777777" w:rsidR="00600535" w:rsidRPr="00B57B36" w:rsidRDefault="00600535" w:rsidP="00600535">
      <w:pPr>
        <w:pStyle w:val="CETHeading1"/>
        <w:rPr>
          <w:lang w:val="en-GB"/>
        </w:rPr>
      </w:pPr>
      <w:r w:rsidRPr="00B57B36">
        <w:rPr>
          <w:lang w:val="en-GB"/>
        </w:rPr>
        <w:t>Conclusions</w:t>
      </w:r>
    </w:p>
    <w:p w14:paraId="463897CA" w14:textId="61C84654" w:rsidR="00513B34" w:rsidRDefault="00B255DD" w:rsidP="00600535">
      <w:pPr>
        <w:pStyle w:val="CETBodytext"/>
        <w:rPr>
          <w:lang w:val="en-GB"/>
        </w:rPr>
      </w:pPr>
      <w:r>
        <w:rPr>
          <w:lang w:val="en-GB"/>
        </w:rPr>
        <w:t xml:space="preserve">The </w:t>
      </w:r>
      <w:r w:rsidR="000472F9">
        <w:rPr>
          <w:lang w:val="en-GB"/>
        </w:rPr>
        <w:t>large</w:t>
      </w:r>
      <w:r>
        <w:rPr>
          <w:lang w:val="en-GB"/>
        </w:rPr>
        <w:t xml:space="preserve"> volumes of PWs </w:t>
      </w:r>
      <w:r w:rsidR="000472F9">
        <w:rPr>
          <w:lang w:val="en-GB"/>
        </w:rPr>
        <w:t xml:space="preserve">produced nowadays </w:t>
      </w:r>
      <w:r w:rsidR="00E6168C">
        <w:rPr>
          <w:lang w:val="en-GB"/>
        </w:rPr>
        <w:t xml:space="preserve">has </w:t>
      </w:r>
      <w:r>
        <w:rPr>
          <w:lang w:val="en-GB"/>
        </w:rPr>
        <w:t>requ</w:t>
      </w:r>
      <w:r w:rsidR="009F1795">
        <w:rPr>
          <w:lang w:val="en-GB"/>
        </w:rPr>
        <w:t>ired a way to deal with them, either</w:t>
      </w:r>
      <w:r>
        <w:rPr>
          <w:lang w:val="en-GB"/>
        </w:rPr>
        <w:t xml:space="preserve"> the re-use, the recycle or the direct disposal. In this last scenario, a preliminary treatment is necessary </w:t>
      </w:r>
      <w:r w:rsidR="000472F9">
        <w:rPr>
          <w:lang w:val="en-GB"/>
        </w:rPr>
        <w:t>to avoid</w:t>
      </w:r>
      <w:r>
        <w:rPr>
          <w:lang w:val="en-GB"/>
        </w:rPr>
        <w:t xml:space="preserve"> dramatic environmental impacts. In this work</w:t>
      </w:r>
      <w:r w:rsidR="000472F9">
        <w:rPr>
          <w:lang w:val="en-GB"/>
        </w:rPr>
        <w:t xml:space="preserve">, </w:t>
      </w:r>
      <w:r>
        <w:rPr>
          <w:lang w:val="en-GB"/>
        </w:rPr>
        <w:t xml:space="preserve">a </w:t>
      </w:r>
      <w:r w:rsidR="000472F9">
        <w:rPr>
          <w:lang w:val="en-GB"/>
        </w:rPr>
        <w:t xml:space="preserve">novel </w:t>
      </w:r>
      <w:r>
        <w:rPr>
          <w:lang w:val="en-GB"/>
        </w:rPr>
        <w:t xml:space="preserve">scheme for the </w:t>
      </w:r>
      <w:r w:rsidR="00E6168C">
        <w:rPr>
          <w:lang w:val="en-GB"/>
        </w:rPr>
        <w:t xml:space="preserve">their </w:t>
      </w:r>
      <w:r>
        <w:rPr>
          <w:lang w:val="en-GB"/>
        </w:rPr>
        <w:t xml:space="preserve">treatment </w:t>
      </w:r>
      <w:r w:rsidR="00E6168C">
        <w:rPr>
          <w:lang w:val="en-GB"/>
        </w:rPr>
        <w:t xml:space="preserve">is </w:t>
      </w:r>
      <w:r w:rsidR="000472F9">
        <w:rPr>
          <w:lang w:val="en-GB"/>
        </w:rPr>
        <w:t xml:space="preserve">presented. </w:t>
      </w:r>
      <w:r w:rsidR="00E6168C">
        <w:rPr>
          <w:lang w:val="en-GB"/>
        </w:rPr>
        <w:t>It mainly consists of</w:t>
      </w:r>
      <w:r>
        <w:rPr>
          <w:lang w:val="en-GB"/>
        </w:rPr>
        <w:t xml:space="preserve"> a bioremediation step </w:t>
      </w:r>
      <w:r w:rsidR="00E6168C">
        <w:rPr>
          <w:lang w:val="en-GB"/>
        </w:rPr>
        <w:t>downstream a suitable</w:t>
      </w:r>
      <w:r>
        <w:rPr>
          <w:lang w:val="en-GB"/>
        </w:rPr>
        <w:t xml:space="preserve"> process </w:t>
      </w:r>
      <w:r w:rsidR="00E6168C">
        <w:rPr>
          <w:lang w:val="en-GB"/>
        </w:rPr>
        <w:t xml:space="preserve">devoted to reducing </w:t>
      </w:r>
      <w:r>
        <w:rPr>
          <w:lang w:val="en-GB"/>
        </w:rPr>
        <w:t xml:space="preserve">the </w:t>
      </w:r>
      <w:r w:rsidR="00E6168C">
        <w:rPr>
          <w:lang w:val="en-GB"/>
        </w:rPr>
        <w:t xml:space="preserve">PWs </w:t>
      </w:r>
      <w:r>
        <w:rPr>
          <w:lang w:val="en-GB"/>
        </w:rPr>
        <w:t xml:space="preserve">high salinity. A techno-economic model </w:t>
      </w:r>
      <w:r w:rsidR="000F5224">
        <w:rPr>
          <w:lang w:val="en-GB"/>
        </w:rPr>
        <w:t>is</w:t>
      </w:r>
      <w:r>
        <w:rPr>
          <w:lang w:val="en-GB"/>
        </w:rPr>
        <w:t xml:space="preserve"> implemented </w:t>
      </w:r>
      <w:r w:rsidR="000472F9">
        <w:rPr>
          <w:lang w:val="en-GB"/>
        </w:rPr>
        <w:t>to</w:t>
      </w:r>
      <w:r>
        <w:rPr>
          <w:lang w:val="en-GB"/>
        </w:rPr>
        <w:t xml:space="preserve"> estimate the </w:t>
      </w:r>
      <w:r w:rsidR="000F5224">
        <w:rPr>
          <w:lang w:val="en-GB"/>
        </w:rPr>
        <w:t xml:space="preserve">main </w:t>
      </w:r>
      <w:r>
        <w:rPr>
          <w:lang w:val="en-GB"/>
        </w:rPr>
        <w:t xml:space="preserve">technical data </w:t>
      </w:r>
      <w:r w:rsidR="009F1795">
        <w:rPr>
          <w:lang w:val="en-GB"/>
        </w:rPr>
        <w:t>(</w:t>
      </w:r>
      <w:r w:rsidR="00EB03AE">
        <w:rPr>
          <w:lang w:val="en-GB"/>
        </w:rPr>
        <w:t>e.g.,</w:t>
      </w:r>
      <w:r w:rsidR="000472F9">
        <w:rPr>
          <w:lang w:val="en-GB"/>
        </w:rPr>
        <w:t xml:space="preserve"> the</w:t>
      </w:r>
      <w:r>
        <w:rPr>
          <w:lang w:val="en-GB"/>
        </w:rPr>
        <w:t xml:space="preserve"> flow rate of the streams or their concentration</w:t>
      </w:r>
      <w:r w:rsidR="009F1795">
        <w:rPr>
          <w:lang w:val="en-GB"/>
        </w:rPr>
        <w:t>) and</w:t>
      </w:r>
      <w:r>
        <w:rPr>
          <w:lang w:val="en-GB"/>
        </w:rPr>
        <w:t xml:space="preserve"> </w:t>
      </w:r>
      <w:r w:rsidR="000472F9">
        <w:rPr>
          <w:lang w:val="en-GB"/>
        </w:rPr>
        <w:t>to</w:t>
      </w:r>
      <w:r>
        <w:rPr>
          <w:lang w:val="en-GB"/>
        </w:rPr>
        <w:t xml:space="preserve"> predict</w:t>
      </w:r>
      <w:r w:rsidR="000472F9">
        <w:rPr>
          <w:lang w:val="en-GB"/>
        </w:rPr>
        <w:t xml:space="preserve"> </w:t>
      </w:r>
      <w:r>
        <w:rPr>
          <w:lang w:val="en-GB"/>
        </w:rPr>
        <w:t>the cost of the single units and of the overall plant.</w:t>
      </w:r>
    </w:p>
    <w:p w14:paraId="586B69BD" w14:textId="3EEBACE0" w:rsidR="00D25ADE" w:rsidRPr="00B57B36" w:rsidRDefault="00B255DD" w:rsidP="00600535">
      <w:pPr>
        <w:pStyle w:val="CETBodytext"/>
        <w:rPr>
          <w:lang w:val="en-GB"/>
        </w:rPr>
      </w:pPr>
      <w:r>
        <w:rPr>
          <w:lang w:val="en-GB"/>
        </w:rPr>
        <w:t xml:space="preserve">Although there are many scenario </w:t>
      </w:r>
      <w:r w:rsidR="009F1795">
        <w:rPr>
          <w:lang w:val="en-GB"/>
        </w:rPr>
        <w:t>variables and input parameters</w:t>
      </w:r>
      <w:r w:rsidR="000F5224">
        <w:rPr>
          <w:lang w:val="en-GB"/>
        </w:rPr>
        <w:t>, t</w:t>
      </w:r>
      <w:r>
        <w:rPr>
          <w:lang w:val="en-GB"/>
        </w:rPr>
        <w:t xml:space="preserve">he applied voltage in the ARED </w:t>
      </w:r>
      <w:r w:rsidR="000472F9">
        <w:rPr>
          <w:lang w:val="en-GB"/>
        </w:rPr>
        <w:t>stack</w:t>
      </w:r>
      <w:r>
        <w:rPr>
          <w:lang w:val="en-GB"/>
        </w:rPr>
        <w:t xml:space="preserve"> and the feed pressure of the RO</w:t>
      </w:r>
      <w:r w:rsidR="000472F9">
        <w:rPr>
          <w:lang w:val="en-GB"/>
        </w:rPr>
        <w:t xml:space="preserve"> unit</w:t>
      </w:r>
      <w:r w:rsidR="000F5224">
        <w:rPr>
          <w:lang w:val="en-GB"/>
        </w:rPr>
        <w:t xml:space="preserve"> are the two key variables</w:t>
      </w:r>
      <w:r>
        <w:rPr>
          <w:lang w:val="en-GB"/>
        </w:rPr>
        <w:t>. The first de</w:t>
      </w:r>
      <w:r w:rsidR="009F1795">
        <w:rPr>
          <w:lang w:val="en-GB"/>
        </w:rPr>
        <w:t>fin</w:t>
      </w:r>
      <w:r>
        <w:rPr>
          <w:lang w:val="en-GB"/>
        </w:rPr>
        <w:t>e</w:t>
      </w:r>
      <w:r w:rsidR="00AE45CA">
        <w:rPr>
          <w:lang w:val="en-GB"/>
        </w:rPr>
        <w:t>s</w:t>
      </w:r>
      <w:r>
        <w:rPr>
          <w:lang w:val="en-GB"/>
        </w:rPr>
        <w:t xml:space="preserve"> the outlet concentration of the PWs </w:t>
      </w:r>
      <w:r w:rsidR="000F5224">
        <w:rPr>
          <w:lang w:val="en-GB"/>
        </w:rPr>
        <w:t>exiting the</w:t>
      </w:r>
      <w:r>
        <w:rPr>
          <w:lang w:val="en-GB"/>
        </w:rPr>
        <w:t xml:space="preserve"> ARED unit</w:t>
      </w:r>
      <w:r w:rsidR="000F5224">
        <w:rPr>
          <w:lang w:val="en-GB"/>
        </w:rPr>
        <w:t>.</w:t>
      </w:r>
      <w:r>
        <w:rPr>
          <w:lang w:val="en-GB"/>
        </w:rPr>
        <w:t xml:space="preserve"> </w:t>
      </w:r>
      <w:r w:rsidR="000F5224">
        <w:rPr>
          <w:lang w:val="en-GB"/>
        </w:rPr>
        <w:t xml:space="preserve">Being </w:t>
      </w:r>
      <w:r>
        <w:rPr>
          <w:lang w:val="en-GB"/>
        </w:rPr>
        <w:t>this a constrain</w:t>
      </w:r>
      <w:r w:rsidR="000F5224">
        <w:rPr>
          <w:lang w:val="en-GB"/>
        </w:rPr>
        <w:t xml:space="preserve"> (i.e. 20 g</w:t>
      </w:r>
      <w:r w:rsidR="000850C9">
        <w:rPr>
          <w:lang w:val="en-GB"/>
        </w:rPr>
        <w:t xml:space="preserve"> L</w:t>
      </w:r>
      <w:r w:rsidR="000850C9" w:rsidRPr="000850C9">
        <w:rPr>
          <w:vertAlign w:val="superscript"/>
          <w:lang w:val="en-GB"/>
        </w:rPr>
        <w:t>-1</w:t>
      </w:r>
      <w:r w:rsidR="000F5224">
        <w:rPr>
          <w:lang w:val="en-GB"/>
        </w:rPr>
        <w:t>)</w:t>
      </w:r>
      <w:r>
        <w:rPr>
          <w:lang w:val="en-GB"/>
        </w:rPr>
        <w:t xml:space="preserve">, a minimum voltage of 80 V </w:t>
      </w:r>
      <w:r w:rsidR="000F5224">
        <w:rPr>
          <w:lang w:val="en-GB"/>
        </w:rPr>
        <w:t xml:space="preserve">is found necessary </w:t>
      </w:r>
      <w:r w:rsidR="000472F9">
        <w:rPr>
          <w:lang w:val="en-GB"/>
        </w:rPr>
        <w:t>to achieve</w:t>
      </w:r>
      <w:r>
        <w:rPr>
          <w:lang w:val="en-GB"/>
        </w:rPr>
        <w:t xml:space="preserve"> th</w:t>
      </w:r>
      <w:r w:rsidR="000F5224">
        <w:rPr>
          <w:lang w:val="en-GB"/>
        </w:rPr>
        <w:t>is concentration</w:t>
      </w:r>
      <w:r>
        <w:rPr>
          <w:lang w:val="en-GB"/>
        </w:rPr>
        <w:t xml:space="preserve"> target. The</w:t>
      </w:r>
      <w:r w:rsidR="00AF4319">
        <w:rPr>
          <w:lang w:val="en-GB"/>
        </w:rPr>
        <w:t xml:space="preserve"> choice of the second variable</w:t>
      </w:r>
      <w:r>
        <w:rPr>
          <w:lang w:val="en-GB"/>
        </w:rPr>
        <w:t xml:space="preserve"> </w:t>
      </w:r>
      <w:r w:rsidR="00AF4319">
        <w:rPr>
          <w:lang w:val="en-GB"/>
        </w:rPr>
        <w:t>(</w:t>
      </w:r>
      <w:r>
        <w:rPr>
          <w:lang w:val="en-GB"/>
        </w:rPr>
        <w:t>the pressure</w:t>
      </w:r>
      <w:r w:rsidR="00AF4319">
        <w:rPr>
          <w:lang w:val="en-GB"/>
        </w:rPr>
        <w:t>)</w:t>
      </w:r>
      <w:r>
        <w:rPr>
          <w:lang w:val="en-GB"/>
        </w:rPr>
        <w:t xml:space="preserve"> depends on different conditions</w:t>
      </w:r>
      <w:r w:rsidR="000472F9">
        <w:rPr>
          <w:lang w:val="en-GB"/>
        </w:rPr>
        <w:t>:</w:t>
      </w:r>
      <w:r>
        <w:rPr>
          <w:lang w:val="en-GB"/>
        </w:rPr>
        <w:t xml:space="preserve"> on </w:t>
      </w:r>
      <w:r w:rsidR="000472F9">
        <w:rPr>
          <w:lang w:val="en-GB"/>
        </w:rPr>
        <w:t>the one hand, the</w:t>
      </w:r>
      <w:r w:rsidR="00AF4319">
        <w:rPr>
          <w:lang w:val="en-GB"/>
        </w:rPr>
        <w:t xml:space="preserve"> higher the pressure</w:t>
      </w:r>
      <w:r w:rsidR="009F1795">
        <w:rPr>
          <w:lang w:val="en-GB"/>
        </w:rPr>
        <w:t>,</w:t>
      </w:r>
      <w:r w:rsidR="00AF4319">
        <w:rPr>
          <w:lang w:val="en-GB"/>
        </w:rPr>
        <w:t xml:space="preserve"> </w:t>
      </w:r>
      <w:r w:rsidR="000472F9">
        <w:rPr>
          <w:lang w:val="en-GB"/>
        </w:rPr>
        <w:t xml:space="preserve">the </w:t>
      </w:r>
      <w:r w:rsidR="00AF4319">
        <w:rPr>
          <w:lang w:val="en-GB"/>
        </w:rPr>
        <w:t xml:space="preserve">higher the RO </w:t>
      </w:r>
      <w:r w:rsidR="000472F9">
        <w:rPr>
          <w:lang w:val="en-GB"/>
        </w:rPr>
        <w:t xml:space="preserve">cost </w:t>
      </w:r>
      <w:r w:rsidR="00AF4319">
        <w:rPr>
          <w:lang w:val="en-GB"/>
        </w:rPr>
        <w:t xml:space="preserve">and </w:t>
      </w:r>
      <w:r w:rsidR="000472F9">
        <w:rPr>
          <w:lang w:val="en-GB"/>
        </w:rPr>
        <w:t xml:space="preserve">the </w:t>
      </w:r>
      <w:r w:rsidR="00AF4319">
        <w:rPr>
          <w:lang w:val="en-GB"/>
        </w:rPr>
        <w:t>less the water demand of the plant</w:t>
      </w:r>
      <w:r w:rsidR="000472F9">
        <w:rPr>
          <w:lang w:val="en-GB"/>
        </w:rPr>
        <w:t xml:space="preserve">; on the other hand, the </w:t>
      </w:r>
      <w:r w:rsidR="00AF4319">
        <w:rPr>
          <w:lang w:val="en-GB"/>
        </w:rPr>
        <w:t>higher the pressure</w:t>
      </w:r>
      <w:r w:rsidR="000472F9">
        <w:rPr>
          <w:lang w:val="en-GB"/>
        </w:rPr>
        <w:t xml:space="preserve">, the larger </w:t>
      </w:r>
      <w:r w:rsidR="00AF4319">
        <w:rPr>
          <w:lang w:val="en-GB"/>
        </w:rPr>
        <w:t xml:space="preserve">the retentate concentration and the seawater </w:t>
      </w:r>
      <w:r w:rsidR="00AF4319">
        <w:rPr>
          <w:lang w:val="en-GB"/>
        </w:rPr>
        <w:lastRenderedPageBreak/>
        <w:t>desertification</w:t>
      </w:r>
      <w:r w:rsidR="00FF586A">
        <w:rPr>
          <w:lang w:val="en-GB"/>
        </w:rPr>
        <w:t xml:space="preserve"> effect</w:t>
      </w:r>
      <w:r w:rsidR="00AE45CA">
        <w:rPr>
          <w:lang w:val="en-GB"/>
        </w:rPr>
        <w:t>)</w:t>
      </w:r>
      <w:r w:rsidR="00AF4319">
        <w:rPr>
          <w:lang w:val="en-GB"/>
        </w:rPr>
        <w:t xml:space="preserve">. A pressure of 35 </w:t>
      </w:r>
      <w:r w:rsidR="003C5E52">
        <w:rPr>
          <w:lang w:val="en-GB"/>
        </w:rPr>
        <w:t>is a good compromise</w:t>
      </w:r>
      <w:r w:rsidR="00AF4319">
        <w:rPr>
          <w:lang w:val="en-GB"/>
        </w:rPr>
        <w:t>, because the outlet concentration result</w:t>
      </w:r>
      <w:r w:rsidR="003C5E52">
        <w:rPr>
          <w:lang w:val="en-GB"/>
        </w:rPr>
        <w:t>s</w:t>
      </w:r>
      <w:r w:rsidR="00AF4319">
        <w:rPr>
          <w:lang w:val="en-GB"/>
        </w:rPr>
        <w:t xml:space="preserve"> equal to the seawater concentration, </w:t>
      </w:r>
      <w:r w:rsidR="003C5E52">
        <w:rPr>
          <w:lang w:val="en-GB"/>
        </w:rPr>
        <w:t xml:space="preserve">thus allowing the </w:t>
      </w:r>
      <w:r w:rsidR="00AF4319">
        <w:rPr>
          <w:lang w:val="en-GB"/>
        </w:rPr>
        <w:t>dispos</w:t>
      </w:r>
      <w:r w:rsidR="009F1795">
        <w:rPr>
          <w:lang w:val="en-GB"/>
        </w:rPr>
        <w:t xml:space="preserve">al </w:t>
      </w:r>
      <w:r w:rsidR="003C5E52">
        <w:rPr>
          <w:lang w:val="en-GB"/>
        </w:rPr>
        <w:t>into the sea</w:t>
      </w:r>
      <w:r w:rsidR="00AF179A">
        <w:rPr>
          <w:lang w:val="en-GB"/>
        </w:rPr>
        <w:t>.</w:t>
      </w:r>
      <w:r w:rsidR="00AF4319">
        <w:rPr>
          <w:lang w:val="en-GB"/>
        </w:rPr>
        <w:t xml:space="preserve"> </w:t>
      </w:r>
      <w:r w:rsidR="00AF179A">
        <w:rPr>
          <w:lang w:val="en-GB"/>
        </w:rPr>
        <w:t>H</w:t>
      </w:r>
      <w:r w:rsidR="00AF4319">
        <w:rPr>
          <w:lang w:val="en-GB"/>
        </w:rPr>
        <w:t xml:space="preserve">owever, </w:t>
      </w:r>
      <w:r w:rsidR="00AF179A">
        <w:rPr>
          <w:lang w:val="en-GB"/>
        </w:rPr>
        <w:t xml:space="preserve">downstream </w:t>
      </w:r>
      <w:r w:rsidR="00AF4319">
        <w:rPr>
          <w:lang w:val="en-GB"/>
        </w:rPr>
        <w:t xml:space="preserve">valorisation processes could be a </w:t>
      </w:r>
      <w:r w:rsidR="00C371FD">
        <w:rPr>
          <w:lang w:val="en-GB"/>
        </w:rPr>
        <w:t xml:space="preserve">fair </w:t>
      </w:r>
      <w:r w:rsidR="00EB03AE">
        <w:rPr>
          <w:lang w:val="en-GB"/>
        </w:rPr>
        <w:t>possibility,</w:t>
      </w:r>
      <w:r w:rsidR="00AF179A">
        <w:rPr>
          <w:lang w:val="en-GB"/>
        </w:rPr>
        <w:t xml:space="preserve"> </w:t>
      </w:r>
      <w:r w:rsidR="00F00442">
        <w:rPr>
          <w:lang w:val="en-GB"/>
        </w:rPr>
        <w:t>and in that case,</w:t>
      </w:r>
      <w:r w:rsidR="00AF179A">
        <w:rPr>
          <w:lang w:val="en-GB"/>
        </w:rPr>
        <w:t xml:space="preserve"> </w:t>
      </w:r>
      <w:r w:rsidR="003C5E52">
        <w:rPr>
          <w:lang w:val="en-GB"/>
        </w:rPr>
        <w:t>higher</w:t>
      </w:r>
      <w:r w:rsidR="00AF179A">
        <w:rPr>
          <w:lang w:val="en-GB"/>
        </w:rPr>
        <w:t xml:space="preserve"> RO pressure would be an advantage</w:t>
      </w:r>
      <w:r w:rsidR="009F1795">
        <w:rPr>
          <w:lang w:val="en-GB"/>
        </w:rPr>
        <w:t>.</w:t>
      </w:r>
      <w:r w:rsidR="00AF4319">
        <w:rPr>
          <w:lang w:val="en-GB"/>
        </w:rPr>
        <w:t xml:space="preserve"> </w:t>
      </w:r>
      <w:r w:rsidR="001C6356">
        <w:rPr>
          <w:lang w:val="en-GB"/>
        </w:rPr>
        <w:t xml:space="preserve">Finally, a total plant cost of </w:t>
      </w:r>
      <w:r w:rsidR="009C5E48">
        <w:rPr>
          <w:lang w:val="en-GB"/>
        </w:rPr>
        <w:t>4.17</w:t>
      </w:r>
      <w:r w:rsidR="001C6356">
        <w:rPr>
          <w:lang w:val="en-GB"/>
        </w:rPr>
        <w:t xml:space="preserve"> </w:t>
      </w:r>
      <w:r w:rsidR="00C371FD">
        <w:t>€</w:t>
      </w:r>
      <w:r w:rsidR="00AF179A">
        <w:t xml:space="preserve"> </w:t>
      </w:r>
      <w:r w:rsidR="00C371FD">
        <w:rPr>
          <w:lang w:val="en-GB"/>
        </w:rPr>
        <w:t>m</w:t>
      </w:r>
      <w:r w:rsidR="00C371FD">
        <w:rPr>
          <w:vertAlign w:val="superscript"/>
          <w:lang w:val="en-GB"/>
        </w:rPr>
        <w:t>-3</w:t>
      </w:r>
      <w:r w:rsidR="00C371FD" w:rsidRPr="00F57BDA">
        <w:rPr>
          <w:vertAlign w:val="subscript"/>
          <w:lang w:val="en-GB"/>
        </w:rPr>
        <w:t>PW</w:t>
      </w:r>
      <w:r w:rsidR="00C371FD">
        <w:rPr>
          <w:lang w:val="en-GB"/>
        </w:rPr>
        <w:t xml:space="preserve"> </w:t>
      </w:r>
      <w:r w:rsidR="00AF179A">
        <w:rPr>
          <w:lang w:val="en-GB"/>
        </w:rPr>
        <w:t>was</w:t>
      </w:r>
      <w:r w:rsidR="001C6356">
        <w:rPr>
          <w:lang w:val="en-GB"/>
        </w:rPr>
        <w:t xml:space="preserve"> found for a </w:t>
      </w:r>
      <w:r w:rsidR="00AF179A">
        <w:rPr>
          <w:lang w:val="en-GB"/>
        </w:rPr>
        <w:t>small</w:t>
      </w:r>
      <w:r w:rsidR="001C6356">
        <w:rPr>
          <w:lang w:val="en-GB"/>
        </w:rPr>
        <w:t xml:space="preserve"> plant</w:t>
      </w:r>
      <w:r w:rsidR="003C5E52" w:rsidRPr="003C5E52">
        <w:rPr>
          <w:lang w:val="en-GB"/>
        </w:rPr>
        <w:t xml:space="preserve"> </w:t>
      </w:r>
      <w:r w:rsidR="003C5E52">
        <w:rPr>
          <w:lang w:val="en-GB"/>
        </w:rPr>
        <w:t>size</w:t>
      </w:r>
      <w:r w:rsidR="00AF179A">
        <w:rPr>
          <w:lang w:val="en-GB"/>
        </w:rPr>
        <w:t>. S</w:t>
      </w:r>
      <w:r w:rsidR="001C6356">
        <w:rPr>
          <w:lang w:val="en-GB"/>
        </w:rPr>
        <w:t xml:space="preserve">cale-up can </w:t>
      </w:r>
      <w:r w:rsidR="00AF179A">
        <w:rPr>
          <w:lang w:val="en-GB"/>
        </w:rPr>
        <w:t xml:space="preserve">lead to </w:t>
      </w:r>
      <w:r w:rsidR="001C6356">
        <w:rPr>
          <w:lang w:val="en-GB"/>
        </w:rPr>
        <w:t xml:space="preserve">a reduction of this cost up to a value of </w:t>
      </w:r>
      <w:r w:rsidR="00851236">
        <w:rPr>
          <w:lang w:val="en-GB"/>
        </w:rPr>
        <w:t>2.</w:t>
      </w:r>
      <w:r w:rsidR="009C5E48">
        <w:rPr>
          <w:lang w:val="en-GB"/>
        </w:rPr>
        <w:t>93</w:t>
      </w:r>
      <w:r w:rsidR="001C6356">
        <w:rPr>
          <w:lang w:val="en-GB"/>
        </w:rPr>
        <w:t xml:space="preserve"> </w:t>
      </w:r>
      <w:r w:rsidR="001C6356">
        <w:t>€</w:t>
      </w:r>
      <w:r w:rsidR="00AF179A">
        <w:t xml:space="preserve"> </w:t>
      </w:r>
      <w:r w:rsidR="001C6356">
        <w:rPr>
          <w:lang w:val="en-GB"/>
        </w:rPr>
        <w:t>m</w:t>
      </w:r>
      <w:r w:rsidR="001C6356">
        <w:rPr>
          <w:vertAlign w:val="superscript"/>
          <w:lang w:val="en-GB"/>
        </w:rPr>
        <w:t>-3</w:t>
      </w:r>
      <w:r w:rsidR="001C6356" w:rsidRPr="00F57BDA">
        <w:rPr>
          <w:vertAlign w:val="subscript"/>
          <w:lang w:val="en-GB"/>
        </w:rPr>
        <w:t>PW</w:t>
      </w:r>
      <w:r w:rsidR="001C6356">
        <w:rPr>
          <w:lang w:val="en-GB"/>
        </w:rPr>
        <w:t xml:space="preserve">, </w:t>
      </w:r>
      <w:r w:rsidR="003C5E52">
        <w:rPr>
          <w:lang w:val="en-GB"/>
        </w:rPr>
        <w:t xml:space="preserve">thus showing </w:t>
      </w:r>
      <w:r w:rsidR="001C6356">
        <w:rPr>
          <w:lang w:val="en-GB"/>
        </w:rPr>
        <w:t xml:space="preserve">how </w:t>
      </w:r>
      <w:r w:rsidR="003C5E52">
        <w:rPr>
          <w:lang w:val="en-GB"/>
        </w:rPr>
        <w:t xml:space="preserve">much </w:t>
      </w:r>
      <w:r w:rsidR="001C6356">
        <w:rPr>
          <w:lang w:val="en-GB"/>
        </w:rPr>
        <w:t xml:space="preserve">this plant could be a reasonable and feasible </w:t>
      </w:r>
      <w:r w:rsidR="00AF179A">
        <w:rPr>
          <w:lang w:val="en-GB"/>
        </w:rPr>
        <w:t xml:space="preserve">PWs </w:t>
      </w:r>
      <w:r w:rsidR="001C6356">
        <w:rPr>
          <w:lang w:val="en-GB"/>
        </w:rPr>
        <w:t>treatment.</w:t>
      </w:r>
    </w:p>
    <w:p w14:paraId="74E394CE" w14:textId="30991002" w:rsidR="00C371FD" w:rsidRPr="00B57B36" w:rsidRDefault="00600535" w:rsidP="00600535">
      <w:pPr>
        <w:pStyle w:val="CETReference"/>
      </w:pPr>
      <w:r w:rsidRPr="00B57B36">
        <w:t>References</w:t>
      </w:r>
    </w:p>
    <w:p w14:paraId="388C03C7" w14:textId="416EDD6F" w:rsidR="00EA13B7" w:rsidRPr="00EA13B7" w:rsidRDefault="00B255DD" w:rsidP="00246642">
      <w:pPr>
        <w:pStyle w:val="CETReferencetext"/>
      </w:pPr>
      <w:r>
        <w:fldChar w:fldCharType="begin"/>
      </w:r>
      <w:r w:rsidR="00EA13B7">
        <w:instrText xml:space="preserve"> ADDIN ZOTERO_BIBL {"uncited":[],"omitted":[],"custom":[]} CSL_BIBLIOGRAPHY </w:instrText>
      </w:r>
      <w:r>
        <w:fldChar w:fldCharType="separate"/>
      </w:r>
      <w:r w:rsidR="00EA13B7" w:rsidRPr="00EA13B7">
        <w:t>Al-Ghouti, M.A., Al-Kaabi, M.A., Ashfaq, M.Y., Da’na, D.A., 2019. Produced water characteristics, treatment and reuse: A review. Journal of Water Process Engineering 28, 222–239. doi.org/10.1016/j.jwpe.2019.02.001</w:t>
      </w:r>
    </w:p>
    <w:p w14:paraId="6E79BE56" w14:textId="77777777" w:rsidR="00EA13B7" w:rsidRPr="00EA13B7" w:rsidRDefault="00EA13B7" w:rsidP="00246642">
      <w:pPr>
        <w:pStyle w:val="CETReferencetext"/>
        <w:rPr>
          <w:lang w:val="it-IT"/>
        </w:rPr>
      </w:pPr>
      <w:r w:rsidRPr="00EA13B7">
        <w:t xml:space="preserve">Baker, R.W., 2000. Membrane technology and applications, McGraw-Hill professional engineering. </w:t>
      </w:r>
      <w:r w:rsidRPr="00EA13B7">
        <w:rPr>
          <w:lang w:val="it-IT"/>
        </w:rPr>
        <w:t>McGraw-Hill, New York.</w:t>
      </w:r>
    </w:p>
    <w:p w14:paraId="4F87C94D" w14:textId="5531B966" w:rsidR="00EA13B7" w:rsidRPr="00EA13B7" w:rsidRDefault="00EA13B7" w:rsidP="00246642">
      <w:pPr>
        <w:pStyle w:val="CETReferencetext"/>
        <w:rPr>
          <w:lang w:val="it-IT"/>
        </w:rPr>
      </w:pPr>
      <w:r w:rsidRPr="00EA13B7">
        <w:rPr>
          <w:lang w:val="it-IT"/>
        </w:rPr>
        <w:t xml:space="preserve">Campisi, G., Cosenza, A., Giacalone, F., Randazzo, S., Tamburini, A., Micale, G., 2023. </w:t>
      </w:r>
      <w:r w:rsidRPr="00EA13B7">
        <w:t xml:space="preserve">Desalination of oilfield produced waters via reverse electrodialysis: A techno-economical assessment. </w:t>
      </w:r>
      <w:r w:rsidRPr="00EA13B7">
        <w:rPr>
          <w:lang w:val="it-IT"/>
        </w:rPr>
        <w:t>Desalination 548, 116289. doi.org/10.1016/j.desal.2022.116289</w:t>
      </w:r>
    </w:p>
    <w:p w14:paraId="274263B8" w14:textId="6FA2623B" w:rsidR="00EA13B7" w:rsidRPr="00EA13B7" w:rsidRDefault="00EA13B7" w:rsidP="00246642">
      <w:pPr>
        <w:pStyle w:val="CETReferencetext"/>
        <w:rPr>
          <w:lang w:val="it-IT"/>
        </w:rPr>
      </w:pPr>
      <w:r w:rsidRPr="00EA13B7">
        <w:rPr>
          <w:lang w:val="it-IT"/>
        </w:rPr>
        <w:t xml:space="preserve">Cosenza, A., Campisi, G., Giacalone, F., Randazzo, S., Cipollina, A., Tamburini, A., Micale, G., 2022. </w:t>
      </w:r>
      <w:r w:rsidRPr="00EA13B7">
        <w:t xml:space="preserve">Power Production from Produced Waters via Reverse Electrodialysis: A Preliminary Assessment. </w:t>
      </w:r>
      <w:r w:rsidRPr="00EA13B7">
        <w:rPr>
          <w:lang w:val="it-IT"/>
        </w:rPr>
        <w:t>Energies 15, 4177. doi.org/10.3390/en15114177</w:t>
      </w:r>
    </w:p>
    <w:p w14:paraId="38F84E07" w14:textId="439F6C04" w:rsidR="00EA13B7" w:rsidRPr="00EA13B7" w:rsidRDefault="00EA13B7" w:rsidP="00246642">
      <w:pPr>
        <w:pStyle w:val="CETReferencetext"/>
      </w:pPr>
      <w:r w:rsidRPr="00EA13B7">
        <w:rPr>
          <w:lang w:val="it-IT"/>
        </w:rPr>
        <w:t xml:space="preserve">Di Bella, G., Di Prima, N., Di Trapani, D., Freni, G., Giustra, M.G., Torregrossa, M., Viviani, G., 2015. </w:t>
      </w:r>
      <w:r w:rsidRPr="00EA13B7">
        <w:t>Performance of membrane bioreactor (MBR) systems for the treatment of shipboard slops: Assessment of hydrocarbon biodegradation and biomass activity under salinity variation. Journal of Hazardous Materials 300, 765–778. doi.org/10.1016/j.jhazmat.2015.08.021</w:t>
      </w:r>
    </w:p>
    <w:p w14:paraId="28D6479F" w14:textId="55FFB596" w:rsidR="00EA13B7" w:rsidRPr="00EA13B7" w:rsidRDefault="00EA13B7" w:rsidP="00246642">
      <w:pPr>
        <w:pStyle w:val="CETReferencetext"/>
      </w:pPr>
      <w:r w:rsidRPr="00EA13B7">
        <w:t>Iglesias, R., Simón, P., Moragas, L., Arce, A., Rodriguez-Roda, I., 2017. Cost comparison of full-scale water reclamation technologies with an emphasis on membrane bioreactors. Water Science and Technology 75, 2562–2570. doi.org/10.2166/wst.2017.132</w:t>
      </w:r>
    </w:p>
    <w:p w14:paraId="3F8679E0" w14:textId="718944D9" w:rsidR="00EA13B7" w:rsidRPr="00EA13B7" w:rsidRDefault="00EA13B7" w:rsidP="00246642">
      <w:pPr>
        <w:pStyle w:val="CETReferencetext"/>
      </w:pPr>
      <w:r w:rsidRPr="00EA13B7">
        <w:t>Igunnu, E.T., Chen, G.Z., 2014. Produced water treatment technologies. Int. J. Low-Carbon Tech. 9, 157–177. doi.org/10.1093/ijlct/cts049</w:t>
      </w:r>
    </w:p>
    <w:p w14:paraId="24FE5B6C" w14:textId="4DE6170E" w:rsidR="00EA13B7" w:rsidRPr="008D5554" w:rsidRDefault="00EA13B7" w:rsidP="00246642">
      <w:pPr>
        <w:pStyle w:val="CETReferencetext"/>
        <w:rPr>
          <w:lang w:val="it-IT"/>
        </w:rPr>
      </w:pPr>
      <w:r w:rsidRPr="008D5554">
        <w:t xml:space="preserve">Jiménez, S., Micó, M.M., Arnaldos, M., Medina, F., Contreras, S., 2018. </w:t>
      </w:r>
      <w:r w:rsidRPr="00EA13B7">
        <w:t xml:space="preserve">State of the art of produced water treatment. </w:t>
      </w:r>
      <w:r w:rsidRPr="008D5554">
        <w:rPr>
          <w:lang w:val="it-IT"/>
        </w:rPr>
        <w:t>Chemosphere 192, 186–208. doi.org/10.1016/j.chemosphere.2017.10.139</w:t>
      </w:r>
    </w:p>
    <w:p w14:paraId="4D05F7EE" w14:textId="0F0F4C94" w:rsidR="00EA13B7" w:rsidRPr="00EA13B7" w:rsidRDefault="00EA13B7" w:rsidP="00246642">
      <w:pPr>
        <w:pStyle w:val="CETReferencetext"/>
      </w:pPr>
      <w:r w:rsidRPr="00EA13B7">
        <w:rPr>
          <w:lang w:val="it-IT"/>
        </w:rPr>
        <w:t xml:space="preserve">La Cerva, M., Gurreri, L., Cipollina, A., Tamburini, A., Ciofalo, M., Micale, G., 2019. </w:t>
      </w:r>
      <w:r w:rsidRPr="00EA13B7">
        <w:t>Modelling and cost analysis of hybrid systems for seawater desalination: Electromembrane pre-treatments for Reverse Osmosis. Desalination 467, 175–195. doi.org/10.1016/j.desal.2019.06.010</w:t>
      </w:r>
    </w:p>
    <w:p w14:paraId="79053A0D" w14:textId="58F99119" w:rsidR="00EA13B7" w:rsidRPr="00EA13B7" w:rsidRDefault="00EA13B7" w:rsidP="00246642">
      <w:pPr>
        <w:pStyle w:val="CETReferencetext"/>
      </w:pPr>
      <w:r w:rsidRPr="00EA13B7">
        <w:t>Neff, J., Lee, K., DeBlois, E.M., 2011. Produced Water: Overview of Composition, Fates, and Effects, in: Lee, K., Neff, J. (Eds.), Produced Water. Springer New York, New York, NY, pp. 3–54. doi.org/10.1007/978-1-4614-0046-2_1</w:t>
      </w:r>
    </w:p>
    <w:p w14:paraId="589107B2" w14:textId="794042EC" w:rsidR="00EA13B7" w:rsidRPr="008D5554" w:rsidRDefault="00EA13B7" w:rsidP="00246642">
      <w:pPr>
        <w:pStyle w:val="CETReferencetext"/>
        <w:rPr>
          <w:lang w:val="fr-FR"/>
        </w:rPr>
      </w:pPr>
      <w:r w:rsidRPr="00EA13B7">
        <w:t xml:space="preserve">Nguyen, T.-A., Yoshikawa, S., 2019. Modeling and Economic Optimization of the Membrane Module for Ultrafiltration of Protein Solution Using a Genetic Algorithm. </w:t>
      </w:r>
      <w:r w:rsidRPr="008D5554">
        <w:rPr>
          <w:lang w:val="fr-FR"/>
        </w:rPr>
        <w:t>Processes 8, 4. doi.org/10.3390/pr8010004</w:t>
      </w:r>
    </w:p>
    <w:p w14:paraId="4EE124FC" w14:textId="31544595" w:rsidR="00EA13B7" w:rsidRPr="00EA13B7" w:rsidRDefault="00EA13B7" w:rsidP="00246642">
      <w:pPr>
        <w:pStyle w:val="CETReferencetext"/>
      </w:pPr>
      <w:r w:rsidRPr="008D5554">
        <w:rPr>
          <w:lang w:val="fr-FR"/>
        </w:rPr>
        <w:t xml:space="preserve">Park, K., Kim, D.Y., Yang, D.R., 2017. </w:t>
      </w:r>
      <w:r w:rsidRPr="00EA13B7">
        <w:t>Cost-based feasibility study and sensitivity analysis of a new draw solution assisted reverse osmosis (DSARO) process for seawater desalination. Desalination 422, 182–193. doi.org/10.1016/j.desal.2017.08.026</w:t>
      </w:r>
    </w:p>
    <w:p w14:paraId="2E54B1E9" w14:textId="08FE23B3" w:rsidR="00EA13B7" w:rsidRPr="00EA13B7" w:rsidRDefault="00EA13B7" w:rsidP="00246642">
      <w:pPr>
        <w:pStyle w:val="CETReferencetext"/>
      </w:pPr>
      <w:r w:rsidRPr="00EA13B7">
        <w:t>Pendashteh, A.R., Abdullah, L.C., Fakhru’l-Razi, A., Madaeni, S.S., Zainal Abidin, Z., Awang Biak, D.R., 2012. Evaluation of membrane bioreactor for hypersaline oily wastewater treatment. Process Safety and Environmental Protection 90, 45–55. doi.org/10.1016/j.psep.2011.07.006</w:t>
      </w:r>
    </w:p>
    <w:p w14:paraId="023A13BC" w14:textId="18AC30D8" w:rsidR="00EA13B7" w:rsidRPr="00EA13B7" w:rsidRDefault="00EA13B7" w:rsidP="00246642">
      <w:pPr>
        <w:pStyle w:val="CETReferencetext"/>
      </w:pPr>
      <w:r w:rsidRPr="00EA13B7">
        <w:t>Ramasamy, B., 2020. Short Review of Salt Recovery from Reverse Osmosis Rejects, in: Cengiz Çinku, M., Karabulut, S. (Eds.), Salt in the Earth. IntechOpen. doi.org/10.5772/intechopen.88716</w:t>
      </w:r>
    </w:p>
    <w:p w14:paraId="0913CFD8" w14:textId="20DA8565" w:rsidR="00EA13B7" w:rsidRPr="00EA13B7" w:rsidRDefault="00EA13B7" w:rsidP="00246642">
      <w:pPr>
        <w:pStyle w:val="CETReferencetext"/>
      </w:pPr>
      <w:r w:rsidRPr="00EA13B7">
        <w:t>Schneider, E.E., Cerqueira, A.C.F.P., Dezotti, M., 2011. MBBR evaluation for oil refinery wastewater treatment, with post-ozonation and BAC, for wastewater reuse. Water Science and Technology 63, 143–148. doi.org/10.2166/wst.2011.024</w:t>
      </w:r>
    </w:p>
    <w:p w14:paraId="58193BF4" w14:textId="7A3C2CA2" w:rsidR="00EA13B7" w:rsidRPr="00EA13B7" w:rsidRDefault="00EA13B7" w:rsidP="00246642">
      <w:pPr>
        <w:pStyle w:val="CETReferencetext"/>
      </w:pPr>
      <w:r w:rsidRPr="00EA13B7">
        <w:t>Veil, J.A., 2011. Produced Water Management Options and Technologies, in: Lee, K., Neff, J. (Eds.), Produced Water. Springer New York, New York, NY, pp. 537–571. doi.org/10.1007/978-1-4614-0046-2_29</w:t>
      </w:r>
    </w:p>
    <w:p w14:paraId="10691CA1" w14:textId="2690D24A" w:rsidR="009E7DC9" w:rsidRDefault="00B255DD" w:rsidP="00246642">
      <w:pPr>
        <w:pStyle w:val="CETReferencetext"/>
      </w:pPr>
      <w:r>
        <w:fldChar w:fldCharType="end"/>
      </w:r>
    </w:p>
    <w:sectPr w:rsidR="009E7DC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5B75" w14:textId="77777777" w:rsidR="005C2DCE" w:rsidRDefault="005C2DCE" w:rsidP="004F5E36">
      <w:r>
        <w:separator/>
      </w:r>
    </w:p>
  </w:endnote>
  <w:endnote w:type="continuationSeparator" w:id="0">
    <w:p w14:paraId="17DD6FF4" w14:textId="77777777" w:rsidR="005C2DCE" w:rsidRDefault="005C2D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FAB7" w14:textId="77777777" w:rsidR="005C2DCE" w:rsidRDefault="005C2DCE" w:rsidP="004F5E36">
      <w:r>
        <w:separator/>
      </w:r>
    </w:p>
  </w:footnote>
  <w:footnote w:type="continuationSeparator" w:id="0">
    <w:p w14:paraId="76F5A7D6" w14:textId="77777777" w:rsidR="005C2DCE" w:rsidRDefault="005C2DC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C708BE"/>
    <w:multiLevelType w:val="hybridMultilevel"/>
    <w:tmpl w:val="ED44F5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804FED"/>
    <w:multiLevelType w:val="hybridMultilevel"/>
    <w:tmpl w:val="000E8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5574019">
    <w:abstractNumId w:val="11"/>
  </w:num>
  <w:num w:numId="2" w16cid:durableId="1879050140">
    <w:abstractNumId w:val="8"/>
  </w:num>
  <w:num w:numId="3" w16cid:durableId="1452474987">
    <w:abstractNumId w:val="3"/>
  </w:num>
  <w:num w:numId="4" w16cid:durableId="1562445335">
    <w:abstractNumId w:val="2"/>
  </w:num>
  <w:num w:numId="5" w16cid:durableId="1304846175">
    <w:abstractNumId w:val="1"/>
  </w:num>
  <w:num w:numId="6" w16cid:durableId="462776364">
    <w:abstractNumId w:val="0"/>
  </w:num>
  <w:num w:numId="7" w16cid:durableId="1740857304">
    <w:abstractNumId w:val="9"/>
  </w:num>
  <w:num w:numId="8" w16cid:durableId="1055738627">
    <w:abstractNumId w:val="7"/>
  </w:num>
  <w:num w:numId="9" w16cid:durableId="637033870">
    <w:abstractNumId w:val="6"/>
  </w:num>
  <w:num w:numId="10" w16cid:durableId="64424737">
    <w:abstractNumId w:val="5"/>
  </w:num>
  <w:num w:numId="11" w16cid:durableId="1933859092">
    <w:abstractNumId w:val="4"/>
  </w:num>
  <w:num w:numId="12" w16cid:durableId="1080449833">
    <w:abstractNumId w:val="18"/>
  </w:num>
  <w:num w:numId="13" w16cid:durableId="1505314396">
    <w:abstractNumId w:val="13"/>
  </w:num>
  <w:num w:numId="14" w16cid:durableId="220137449">
    <w:abstractNumId w:val="19"/>
  </w:num>
  <w:num w:numId="15" w16cid:durableId="1108431703">
    <w:abstractNumId w:val="21"/>
  </w:num>
  <w:num w:numId="16" w16cid:durableId="1159612915">
    <w:abstractNumId w:val="20"/>
  </w:num>
  <w:num w:numId="17" w16cid:durableId="367267355">
    <w:abstractNumId w:val="12"/>
  </w:num>
  <w:num w:numId="18" w16cid:durableId="1534071602">
    <w:abstractNumId w:val="13"/>
    <w:lvlOverride w:ilvl="0">
      <w:startOverride w:val="1"/>
    </w:lvlOverride>
  </w:num>
  <w:num w:numId="19" w16cid:durableId="1796560657">
    <w:abstractNumId w:val="17"/>
  </w:num>
  <w:num w:numId="20" w16cid:durableId="1225525998">
    <w:abstractNumId w:val="16"/>
  </w:num>
  <w:num w:numId="21" w16cid:durableId="30880790">
    <w:abstractNumId w:val="15"/>
  </w:num>
  <w:num w:numId="22" w16cid:durableId="122307445">
    <w:abstractNumId w:val="14"/>
  </w:num>
  <w:num w:numId="23" w16cid:durableId="892959124">
    <w:abstractNumId w:val="10"/>
  </w:num>
  <w:num w:numId="24" w16cid:durableId="12675418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61C"/>
    <w:rsid w:val="000117CB"/>
    <w:rsid w:val="000218CA"/>
    <w:rsid w:val="000305E3"/>
    <w:rsid w:val="0003148D"/>
    <w:rsid w:val="00031EEC"/>
    <w:rsid w:val="0003370A"/>
    <w:rsid w:val="00044B2A"/>
    <w:rsid w:val="000472F9"/>
    <w:rsid w:val="00051566"/>
    <w:rsid w:val="000562A9"/>
    <w:rsid w:val="00062A9A"/>
    <w:rsid w:val="00065058"/>
    <w:rsid w:val="000850C9"/>
    <w:rsid w:val="00086C39"/>
    <w:rsid w:val="00087A7D"/>
    <w:rsid w:val="00097480"/>
    <w:rsid w:val="000A03B2"/>
    <w:rsid w:val="000A5F0A"/>
    <w:rsid w:val="000C0087"/>
    <w:rsid w:val="000C3C83"/>
    <w:rsid w:val="000C73E4"/>
    <w:rsid w:val="000D0268"/>
    <w:rsid w:val="000D34BE"/>
    <w:rsid w:val="000E102F"/>
    <w:rsid w:val="000E36F1"/>
    <w:rsid w:val="000E3A73"/>
    <w:rsid w:val="000E414A"/>
    <w:rsid w:val="000F093C"/>
    <w:rsid w:val="000F5224"/>
    <w:rsid w:val="000F787B"/>
    <w:rsid w:val="0012091F"/>
    <w:rsid w:val="00126BC2"/>
    <w:rsid w:val="001277F3"/>
    <w:rsid w:val="001308B6"/>
    <w:rsid w:val="0013121F"/>
    <w:rsid w:val="00131FE6"/>
    <w:rsid w:val="0013263F"/>
    <w:rsid w:val="001331DF"/>
    <w:rsid w:val="00134DE4"/>
    <w:rsid w:val="001377E0"/>
    <w:rsid w:val="0014034D"/>
    <w:rsid w:val="00144D16"/>
    <w:rsid w:val="00150E59"/>
    <w:rsid w:val="00152DE3"/>
    <w:rsid w:val="001552C3"/>
    <w:rsid w:val="00164CF9"/>
    <w:rsid w:val="001667A6"/>
    <w:rsid w:val="00172AB0"/>
    <w:rsid w:val="0017367B"/>
    <w:rsid w:val="00184AD6"/>
    <w:rsid w:val="001A31D6"/>
    <w:rsid w:val="001A4885"/>
    <w:rsid w:val="001A4AF7"/>
    <w:rsid w:val="001B0349"/>
    <w:rsid w:val="001B1E93"/>
    <w:rsid w:val="001B65C1"/>
    <w:rsid w:val="001C6356"/>
    <w:rsid w:val="001C684B"/>
    <w:rsid w:val="001D0CFB"/>
    <w:rsid w:val="001D21AF"/>
    <w:rsid w:val="001D3B11"/>
    <w:rsid w:val="001D53FC"/>
    <w:rsid w:val="001E1E2E"/>
    <w:rsid w:val="001F3DB3"/>
    <w:rsid w:val="001F42A5"/>
    <w:rsid w:val="001F7B9D"/>
    <w:rsid w:val="00201C93"/>
    <w:rsid w:val="00212978"/>
    <w:rsid w:val="002178BB"/>
    <w:rsid w:val="002224B4"/>
    <w:rsid w:val="002332B6"/>
    <w:rsid w:val="002447EF"/>
    <w:rsid w:val="00246642"/>
    <w:rsid w:val="00251550"/>
    <w:rsid w:val="00254EED"/>
    <w:rsid w:val="002616BD"/>
    <w:rsid w:val="00263B05"/>
    <w:rsid w:val="0027221A"/>
    <w:rsid w:val="00275B61"/>
    <w:rsid w:val="00280FAF"/>
    <w:rsid w:val="00282656"/>
    <w:rsid w:val="00296B83"/>
    <w:rsid w:val="002B1BBE"/>
    <w:rsid w:val="002B4015"/>
    <w:rsid w:val="002B6755"/>
    <w:rsid w:val="002B78CE"/>
    <w:rsid w:val="002C2FB6"/>
    <w:rsid w:val="002E5FA7"/>
    <w:rsid w:val="002F3309"/>
    <w:rsid w:val="003008CE"/>
    <w:rsid w:val="003009B7"/>
    <w:rsid w:val="00300E56"/>
    <w:rsid w:val="0030152C"/>
    <w:rsid w:val="0030469C"/>
    <w:rsid w:val="003048B7"/>
    <w:rsid w:val="00321BB5"/>
    <w:rsid w:val="00321CA6"/>
    <w:rsid w:val="00323763"/>
    <w:rsid w:val="00323C5F"/>
    <w:rsid w:val="003315E0"/>
    <w:rsid w:val="00332524"/>
    <w:rsid w:val="00334C09"/>
    <w:rsid w:val="0034133F"/>
    <w:rsid w:val="00353EC8"/>
    <w:rsid w:val="003723D4"/>
    <w:rsid w:val="00381905"/>
    <w:rsid w:val="00384CC8"/>
    <w:rsid w:val="003871FD"/>
    <w:rsid w:val="0039158A"/>
    <w:rsid w:val="00397ADC"/>
    <w:rsid w:val="003A1E30"/>
    <w:rsid w:val="003A2829"/>
    <w:rsid w:val="003A6FC6"/>
    <w:rsid w:val="003A75AA"/>
    <w:rsid w:val="003A7D1C"/>
    <w:rsid w:val="003B304B"/>
    <w:rsid w:val="003B3146"/>
    <w:rsid w:val="003B6F8B"/>
    <w:rsid w:val="003C3E73"/>
    <w:rsid w:val="003C5E52"/>
    <w:rsid w:val="003F015E"/>
    <w:rsid w:val="00400414"/>
    <w:rsid w:val="004034CE"/>
    <w:rsid w:val="0041446B"/>
    <w:rsid w:val="0041475F"/>
    <w:rsid w:val="0044071E"/>
    <w:rsid w:val="0044329C"/>
    <w:rsid w:val="004520E3"/>
    <w:rsid w:val="00453E24"/>
    <w:rsid w:val="00454E7E"/>
    <w:rsid w:val="00456282"/>
    <w:rsid w:val="00457456"/>
    <w:rsid w:val="00457799"/>
    <w:rsid w:val="004577FE"/>
    <w:rsid w:val="00457B9C"/>
    <w:rsid w:val="0046164A"/>
    <w:rsid w:val="004628D2"/>
    <w:rsid w:val="00462DCD"/>
    <w:rsid w:val="004648AD"/>
    <w:rsid w:val="004703A9"/>
    <w:rsid w:val="004760DE"/>
    <w:rsid w:val="004763D7"/>
    <w:rsid w:val="004848DA"/>
    <w:rsid w:val="00493825"/>
    <w:rsid w:val="004A004E"/>
    <w:rsid w:val="004A24CF"/>
    <w:rsid w:val="004A4C88"/>
    <w:rsid w:val="004B033F"/>
    <w:rsid w:val="004B5F1D"/>
    <w:rsid w:val="004C3D1D"/>
    <w:rsid w:val="004C3D84"/>
    <w:rsid w:val="004C7317"/>
    <w:rsid w:val="004C75D7"/>
    <w:rsid w:val="004C7913"/>
    <w:rsid w:val="004E4DD6"/>
    <w:rsid w:val="004E6D5E"/>
    <w:rsid w:val="004F5E36"/>
    <w:rsid w:val="00506C5B"/>
    <w:rsid w:val="00507B47"/>
    <w:rsid w:val="00507BEF"/>
    <w:rsid w:val="00507CC9"/>
    <w:rsid w:val="005119A5"/>
    <w:rsid w:val="00513B34"/>
    <w:rsid w:val="00513DAB"/>
    <w:rsid w:val="00515733"/>
    <w:rsid w:val="00516AAC"/>
    <w:rsid w:val="005218FB"/>
    <w:rsid w:val="005278B7"/>
    <w:rsid w:val="00532016"/>
    <w:rsid w:val="005346C8"/>
    <w:rsid w:val="00534D46"/>
    <w:rsid w:val="0053551D"/>
    <w:rsid w:val="005437FE"/>
    <w:rsid w:val="00543E7D"/>
    <w:rsid w:val="00547A68"/>
    <w:rsid w:val="005531C9"/>
    <w:rsid w:val="00570C43"/>
    <w:rsid w:val="00577E31"/>
    <w:rsid w:val="005930F6"/>
    <w:rsid w:val="005A1CD3"/>
    <w:rsid w:val="005B2110"/>
    <w:rsid w:val="005B61E6"/>
    <w:rsid w:val="005C2DCE"/>
    <w:rsid w:val="005C77E1"/>
    <w:rsid w:val="005D668A"/>
    <w:rsid w:val="005D6A2F"/>
    <w:rsid w:val="005E1A82"/>
    <w:rsid w:val="005E794C"/>
    <w:rsid w:val="005E7C48"/>
    <w:rsid w:val="005F0A28"/>
    <w:rsid w:val="005F0E5E"/>
    <w:rsid w:val="005F25E0"/>
    <w:rsid w:val="00600535"/>
    <w:rsid w:val="00600CB8"/>
    <w:rsid w:val="00610CD6"/>
    <w:rsid w:val="00620DEE"/>
    <w:rsid w:val="00621ADC"/>
    <w:rsid w:val="00621F92"/>
    <w:rsid w:val="0062280A"/>
    <w:rsid w:val="00625639"/>
    <w:rsid w:val="00626A3A"/>
    <w:rsid w:val="00631B33"/>
    <w:rsid w:val="006377B9"/>
    <w:rsid w:val="0064184D"/>
    <w:rsid w:val="006422CC"/>
    <w:rsid w:val="00660E3E"/>
    <w:rsid w:val="00662E74"/>
    <w:rsid w:val="00680C23"/>
    <w:rsid w:val="00693766"/>
    <w:rsid w:val="006A3281"/>
    <w:rsid w:val="006B4888"/>
    <w:rsid w:val="006B79A5"/>
    <w:rsid w:val="006C2E45"/>
    <w:rsid w:val="006C359C"/>
    <w:rsid w:val="006C393D"/>
    <w:rsid w:val="006C5579"/>
    <w:rsid w:val="006D68A6"/>
    <w:rsid w:val="006D6E8B"/>
    <w:rsid w:val="006E737D"/>
    <w:rsid w:val="006F3E72"/>
    <w:rsid w:val="007025DD"/>
    <w:rsid w:val="00702F77"/>
    <w:rsid w:val="007101CC"/>
    <w:rsid w:val="00713973"/>
    <w:rsid w:val="00720A24"/>
    <w:rsid w:val="007225E5"/>
    <w:rsid w:val="00732386"/>
    <w:rsid w:val="0073514D"/>
    <w:rsid w:val="0073588C"/>
    <w:rsid w:val="007447F3"/>
    <w:rsid w:val="00744A98"/>
    <w:rsid w:val="0075499F"/>
    <w:rsid w:val="0075794B"/>
    <w:rsid w:val="00765FA9"/>
    <w:rsid w:val="007661C8"/>
    <w:rsid w:val="007701B7"/>
    <w:rsid w:val="0077098D"/>
    <w:rsid w:val="00772610"/>
    <w:rsid w:val="00773594"/>
    <w:rsid w:val="007912AA"/>
    <w:rsid w:val="007931FA"/>
    <w:rsid w:val="007A4861"/>
    <w:rsid w:val="007A7BBA"/>
    <w:rsid w:val="007B0C50"/>
    <w:rsid w:val="007B48F9"/>
    <w:rsid w:val="007C1A43"/>
    <w:rsid w:val="007D0951"/>
    <w:rsid w:val="007E0D46"/>
    <w:rsid w:val="0080013E"/>
    <w:rsid w:val="0080110E"/>
    <w:rsid w:val="00810DCE"/>
    <w:rsid w:val="00811D8B"/>
    <w:rsid w:val="00813288"/>
    <w:rsid w:val="008168FC"/>
    <w:rsid w:val="0081782D"/>
    <w:rsid w:val="008204FD"/>
    <w:rsid w:val="00825CE3"/>
    <w:rsid w:val="00830996"/>
    <w:rsid w:val="008318A0"/>
    <w:rsid w:val="008345F1"/>
    <w:rsid w:val="00851236"/>
    <w:rsid w:val="008520C5"/>
    <w:rsid w:val="00865B07"/>
    <w:rsid w:val="008667EA"/>
    <w:rsid w:val="008736A0"/>
    <w:rsid w:val="008758DB"/>
    <w:rsid w:val="0087637F"/>
    <w:rsid w:val="00880340"/>
    <w:rsid w:val="00887972"/>
    <w:rsid w:val="00892AD5"/>
    <w:rsid w:val="008A1512"/>
    <w:rsid w:val="008A4114"/>
    <w:rsid w:val="008B0569"/>
    <w:rsid w:val="008B7C03"/>
    <w:rsid w:val="008C2EDB"/>
    <w:rsid w:val="008C6299"/>
    <w:rsid w:val="008D1958"/>
    <w:rsid w:val="008D32B9"/>
    <w:rsid w:val="008D433B"/>
    <w:rsid w:val="008D4A16"/>
    <w:rsid w:val="008D5554"/>
    <w:rsid w:val="008D5A5F"/>
    <w:rsid w:val="008E566E"/>
    <w:rsid w:val="008E6AEA"/>
    <w:rsid w:val="008F3234"/>
    <w:rsid w:val="008F5694"/>
    <w:rsid w:val="0090161A"/>
    <w:rsid w:val="00901EB6"/>
    <w:rsid w:val="00904C62"/>
    <w:rsid w:val="0090594A"/>
    <w:rsid w:val="00922BA8"/>
    <w:rsid w:val="00924DAC"/>
    <w:rsid w:val="00927058"/>
    <w:rsid w:val="009327C1"/>
    <w:rsid w:val="00942750"/>
    <w:rsid w:val="009450CE"/>
    <w:rsid w:val="009459BB"/>
    <w:rsid w:val="00945C17"/>
    <w:rsid w:val="0094600D"/>
    <w:rsid w:val="00947179"/>
    <w:rsid w:val="0095164B"/>
    <w:rsid w:val="00953956"/>
    <w:rsid w:val="00954090"/>
    <w:rsid w:val="009573E7"/>
    <w:rsid w:val="00963E05"/>
    <w:rsid w:val="00964A45"/>
    <w:rsid w:val="00967843"/>
    <w:rsid w:val="00967D54"/>
    <w:rsid w:val="00971028"/>
    <w:rsid w:val="00986323"/>
    <w:rsid w:val="00991021"/>
    <w:rsid w:val="00993B84"/>
    <w:rsid w:val="00994C2C"/>
    <w:rsid w:val="00996483"/>
    <w:rsid w:val="00996F5A"/>
    <w:rsid w:val="009A0476"/>
    <w:rsid w:val="009B041A"/>
    <w:rsid w:val="009C34E8"/>
    <w:rsid w:val="009C37C3"/>
    <w:rsid w:val="009C5E48"/>
    <w:rsid w:val="009C7C86"/>
    <w:rsid w:val="009D2FF7"/>
    <w:rsid w:val="009D4BEC"/>
    <w:rsid w:val="009E5988"/>
    <w:rsid w:val="009E649C"/>
    <w:rsid w:val="009E7011"/>
    <w:rsid w:val="009E7884"/>
    <w:rsid w:val="009E788A"/>
    <w:rsid w:val="009E7DC9"/>
    <w:rsid w:val="009F0E08"/>
    <w:rsid w:val="009F1795"/>
    <w:rsid w:val="00A1763D"/>
    <w:rsid w:val="00A17CEC"/>
    <w:rsid w:val="00A27EF0"/>
    <w:rsid w:val="00A32493"/>
    <w:rsid w:val="00A34B52"/>
    <w:rsid w:val="00A42361"/>
    <w:rsid w:val="00A50B20"/>
    <w:rsid w:val="00A51390"/>
    <w:rsid w:val="00A60D13"/>
    <w:rsid w:val="00A7223D"/>
    <w:rsid w:val="00A7241D"/>
    <w:rsid w:val="00A72745"/>
    <w:rsid w:val="00A7693D"/>
    <w:rsid w:val="00A76EFC"/>
    <w:rsid w:val="00A82C9F"/>
    <w:rsid w:val="00A87D50"/>
    <w:rsid w:val="00A91010"/>
    <w:rsid w:val="00A96B20"/>
    <w:rsid w:val="00A97F29"/>
    <w:rsid w:val="00AA702E"/>
    <w:rsid w:val="00AA7D26"/>
    <w:rsid w:val="00AB0964"/>
    <w:rsid w:val="00AB5011"/>
    <w:rsid w:val="00AC6F67"/>
    <w:rsid w:val="00AC7368"/>
    <w:rsid w:val="00AD16B9"/>
    <w:rsid w:val="00AE2DA0"/>
    <w:rsid w:val="00AE377D"/>
    <w:rsid w:val="00AE45CA"/>
    <w:rsid w:val="00AF0EBA"/>
    <w:rsid w:val="00AF179A"/>
    <w:rsid w:val="00AF4319"/>
    <w:rsid w:val="00AF663D"/>
    <w:rsid w:val="00B02C8A"/>
    <w:rsid w:val="00B1282C"/>
    <w:rsid w:val="00B13353"/>
    <w:rsid w:val="00B16B54"/>
    <w:rsid w:val="00B17FBD"/>
    <w:rsid w:val="00B22630"/>
    <w:rsid w:val="00B2295F"/>
    <w:rsid w:val="00B255DD"/>
    <w:rsid w:val="00B279B4"/>
    <w:rsid w:val="00B315A6"/>
    <w:rsid w:val="00B31813"/>
    <w:rsid w:val="00B33365"/>
    <w:rsid w:val="00B35629"/>
    <w:rsid w:val="00B379CF"/>
    <w:rsid w:val="00B45462"/>
    <w:rsid w:val="00B57B36"/>
    <w:rsid w:val="00B57E6F"/>
    <w:rsid w:val="00B73529"/>
    <w:rsid w:val="00B8686D"/>
    <w:rsid w:val="00B92BF2"/>
    <w:rsid w:val="00B93F69"/>
    <w:rsid w:val="00BA1818"/>
    <w:rsid w:val="00BA5C6C"/>
    <w:rsid w:val="00BB1DDC"/>
    <w:rsid w:val="00BB2FB9"/>
    <w:rsid w:val="00BC30C9"/>
    <w:rsid w:val="00BD077D"/>
    <w:rsid w:val="00BE3E58"/>
    <w:rsid w:val="00BF098B"/>
    <w:rsid w:val="00C01616"/>
    <w:rsid w:val="00C0162B"/>
    <w:rsid w:val="00C068ED"/>
    <w:rsid w:val="00C22E0C"/>
    <w:rsid w:val="00C345B1"/>
    <w:rsid w:val="00C371FD"/>
    <w:rsid w:val="00C40142"/>
    <w:rsid w:val="00C52C3C"/>
    <w:rsid w:val="00C57182"/>
    <w:rsid w:val="00C57863"/>
    <w:rsid w:val="00C640AF"/>
    <w:rsid w:val="00C655FD"/>
    <w:rsid w:val="00C7327D"/>
    <w:rsid w:val="00C740C0"/>
    <w:rsid w:val="00C75407"/>
    <w:rsid w:val="00C870A8"/>
    <w:rsid w:val="00C91E4C"/>
    <w:rsid w:val="00C94434"/>
    <w:rsid w:val="00CA021D"/>
    <w:rsid w:val="00CA0D4A"/>
    <w:rsid w:val="00CA0D75"/>
    <w:rsid w:val="00CA0FC8"/>
    <w:rsid w:val="00CA1C95"/>
    <w:rsid w:val="00CA406A"/>
    <w:rsid w:val="00CA5A9C"/>
    <w:rsid w:val="00CC4C20"/>
    <w:rsid w:val="00CC7D4C"/>
    <w:rsid w:val="00CD3517"/>
    <w:rsid w:val="00CD5FE2"/>
    <w:rsid w:val="00CE7C68"/>
    <w:rsid w:val="00D02B4C"/>
    <w:rsid w:val="00D040C4"/>
    <w:rsid w:val="00D20AD1"/>
    <w:rsid w:val="00D25ADE"/>
    <w:rsid w:val="00D36C97"/>
    <w:rsid w:val="00D46B7E"/>
    <w:rsid w:val="00D52906"/>
    <w:rsid w:val="00D56A79"/>
    <w:rsid w:val="00D57C84"/>
    <w:rsid w:val="00D6057D"/>
    <w:rsid w:val="00D6473E"/>
    <w:rsid w:val="00D648EC"/>
    <w:rsid w:val="00D71640"/>
    <w:rsid w:val="00D836C5"/>
    <w:rsid w:val="00D84576"/>
    <w:rsid w:val="00DA1399"/>
    <w:rsid w:val="00DA1775"/>
    <w:rsid w:val="00DA24C6"/>
    <w:rsid w:val="00DA4D7B"/>
    <w:rsid w:val="00DA7356"/>
    <w:rsid w:val="00DD271C"/>
    <w:rsid w:val="00DE264A"/>
    <w:rsid w:val="00DF5072"/>
    <w:rsid w:val="00E009E9"/>
    <w:rsid w:val="00E02D18"/>
    <w:rsid w:val="00E03D3F"/>
    <w:rsid w:val="00E041E7"/>
    <w:rsid w:val="00E23CA1"/>
    <w:rsid w:val="00E33DD7"/>
    <w:rsid w:val="00E409A8"/>
    <w:rsid w:val="00E50C12"/>
    <w:rsid w:val="00E55A2F"/>
    <w:rsid w:val="00E6168C"/>
    <w:rsid w:val="00E65B91"/>
    <w:rsid w:val="00E7209D"/>
    <w:rsid w:val="00E72EAD"/>
    <w:rsid w:val="00E77223"/>
    <w:rsid w:val="00E8528B"/>
    <w:rsid w:val="00E85B94"/>
    <w:rsid w:val="00E90933"/>
    <w:rsid w:val="00E91E90"/>
    <w:rsid w:val="00E978D0"/>
    <w:rsid w:val="00EA13B7"/>
    <w:rsid w:val="00EA4613"/>
    <w:rsid w:val="00EA7F91"/>
    <w:rsid w:val="00EB03AE"/>
    <w:rsid w:val="00EB1523"/>
    <w:rsid w:val="00EB706D"/>
    <w:rsid w:val="00EC0E49"/>
    <w:rsid w:val="00EC101F"/>
    <w:rsid w:val="00EC1D9F"/>
    <w:rsid w:val="00ED4027"/>
    <w:rsid w:val="00EE0131"/>
    <w:rsid w:val="00EE17B0"/>
    <w:rsid w:val="00EE1EF1"/>
    <w:rsid w:val="00EE36CC"/>
    <w:rsid w:val="00EE4D88"/>
    <w:rsid w:val="00EE7A27"/>
    <w:rsid w:val="00EF06D9"/>
    <w:rsid w:val="00EF4D34"/>
    <w:rsid w:val="00F00442"/>
    <w:rsid w:val="00F0084B"/>
    <w:rsid w:val="00F03B7D"/>
    <w:rsid w:val="00F272E4"/>
    <w:rsid w:val="00F3049E"/>
    <w:rsid w:val="00F30C64"/>
    <w:rsid w:val="00F32BA2"/>
    <w:rsid w:val="00F32CDB"/>
    <w:rsid w:val="00F33C6E"/>
    <w:rsid w:val="00F565FE"/>
    <w:rsid w:val="00F57BDA"/>
    <w:rsid w:val="00F63A70"/>
    <w:rsid w:val="00F63D8C"/>
    <w:rsid w:val="00F7534E"/>
    <w:rsid w:val="00F871C4"/>
    <w:rsid w:val="00F93EDF"/>
    <w:rsid w:val="00FA1802"/>
    <w:rsid w:val="00FA21D0"/>
    <w:rsid w:val="00FA5F5F"/>
    <w:rsid w:val="00FB0F1D"/>
    <w:rsid w:val="00FB6166"/>
    <w:rsid w:val="00FB730C"/>
    <w:rsid w:val="00FC2695"/>
    <w:rsid w:val="00FC3E03"/>
    <w:rsid w:val="00FC3FC1"/>
    <w:rsid w:val="00FC6028"/>
    <w:rsid w:val="00FD2F88"/>
    <w:rsid w:val="00FE3A1C"/>
    <w:rsid w:val="00FE70B5"/>
    <w:rsid w:val="00FF1A6B"/>
    <w:rsid w:val="00FF586A"/>
    <w:rsid w:val="00FF7D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27F0ECE7-8C00-4D88-83B2-9E23F4F6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8B056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2178BB"/>
    <w:rPr>
      <w:color w:val="808080"/>
    </w:rPr>
  </w:style>
  <w:style w:type="paragraph" w:styleId="Revisione">
    <w:name w:val="Revision"/>
    <w:hidden/>
    <w:uiPriority w:val="99"/>
    <w:semiHidden/>
    <w:rsid w:val="00A3249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2249">
      <w:bodyDiv w:val="1"/>
      <w:marLeft w:val="0"/>
      <w:marRight w:val="0"/>
      <w:marTop w:val="0"/>
      <w:marBottom w:val="0"/>
      <w:divBdr>
        <w:top w:val="none" w:sz="0" w:space="0" w:color="auto"/>
        <w:left w:val="none" w:sz="0" w:space="0" w:color="auto"/>
        <w:bottom w:val="none" w:sz="0" w:space="0" w:color="auto"/>
        <w:right w:val="none" w:sz="0" w:space="0" w:color="auto"/>
      </w:divBdr>
    </w:div>
    <w:div w:id="5657251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484">
      <w:bodyDiv w:val="1"/>
      <w:marLeft w:val="0"/>
      <w:marRight w:val="0"/>
      <w:marTop w:val="0"/>
      <w:marBottom w:val="0"/>
      <w:divBdr>
        <w:top w:val="none" w:sz="0" w:space="0" w:color="auto"/>
        <w:left w:val="none" w:sz="0" w:space="0" w:color="auto"/>
        <w:bottom w:val="none" w:sz="0" w:space="0" w:color="auto"/>
        <w:right w:val="none" w:sz="0" w:space="0" w:color="auto"/>
      </w:divBdr>
    </w:div>
    <w:div w:id="140837871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031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A0BA-B920-4F77-A787-EC4EF229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8292</Words>
  <Characters>47267</Characters>
  <Application>Microsoft Office Word</Application>
  <DocSecurity>0</DocSecurity>
  <Lines>393</Lines>
  <Paragraphs>110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GIOVANNI CAMPISI</cp:lastModifiedBy>
  <cp:revision>29</cp:revision>
  <cp:lastPrinted>2015-05-12T18:31:00Z</cp:lastPrinted>
  <dcterms:created xsi:type="dcterms:W3CDTF">2023-06-02T16:09:00Z</dcterms:created>
  <dcterms:modified xsi:type="dcterms:W3CDTF">2023-06-20T08:01:00Z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id="ZUNqg2mt"/&gt;&lt;style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