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302420">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proofErr w:type="gramStart"/>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302420">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302420">
        <w:trPr>
          <w:trHeight w:val="68"/>
          <w:jc w:val="center"/>
        </w:trPr>
        <w:tc>
          <w:tcPr>
            <w:tcW w:w="8782" w:type="dxa"/>
            <w:gridSpan w:val="2"/>
          </w:tcPr>
          <w:p w14:paraId="1D8DD3C9" w14:textId="10669D10" w:rsidR="00AA7D26" w:rsidRPr="005E7C48" w:rsidRDefault="00AA7D26" w:rsidP="00AA7D26">
            <w:pPr>
              <w:ind w:left="-107"/>
              <w:outlineLvl w:val="2"/>
              <w:rPr>
                <w:rFonts w:ascii="Tahoma" w:hAnsi="Tahoma" w:cs="Tahoma"/>
                <w:bCs/>
                <w:color w:val="000000"/>
                <w:sz w:val="14"/>
                <w:szCs w:val="14"/>
                <w:lang w:val="it-IT" w:eastAsia="it-IT"/>
              </w:rPr>
            </w:pPr>
            <w:r w:rsidRPr="003A6FC6">
              <w:rPr>
                <w:rFonts w:ascii="Tahoma" w:hAnsi="Tahoma" w:cs="Tahoma"/>
                <w:iCs/>
                <w:color w:val="333333"/>
                <w:sz w:val="14"/>
                <w:szCs w:val="14"/>
                <w:lang w:val="it-IT" w:eastAsia="it-IT"/>
              </w:rPr>
              <w:t>Guest Editors:</w:t>
            </w:r>
            <w:r w:rsidRPr="003A6FC6">
              <w:rPr>
                <w:rFonts w:ascii="Tahoma" w:hAnsi="Tahoma" w:cs="Tahoma"/>
                <w:color w:val="000000"/>
                <w:sz w:val="14"/>
                <w:szCs w:val="14"/>
                <w:shd w:val="clear" w:color="auto" w:fill="FFFFFF"/>
                <w:lang w:val="it-IT"/>
              </w:rPr>
              <w:t xml:space="preserve"> </w:t>
            </w:r>
            <w:r w:rsidR="005E7C48" w:rsidRPr="005E7C48">
              <w:rPr>
                <w:sz w:val="14"/>
                <w:szCs w:val="14"/>
                <w:lang w:val="it-IT"/>
              </w:rPr>
              <w:t>David Bogle, Flavio Manenti, Piero Salatino</w:t>
            </w:r>
          </w:p>
          <w:p w14:paraId="1B0F1814" w14:textId="6981DC84"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8B7C03" w:rsidRPr="000562A9">
              <w:rPr>
                <w:rFonts w:ascii="Tahoma" w:hAnsi="Tahoma" w:cs="Tahoma"/>
                <w:sz w:val="14"/>
                <w:szCs w:val="14"/>
              </w:rPr>
              <w:t>97</w:t>
            </w:r>
            <w:r w:rsidR="008B7C03">
              <w:rPr>
                <w:rFonts w:ascii="Tahoma" w:hAnsi="Tahoma" w:cs="Tahoma"/>
                <w:sz w:val="14"/>
                <w:szCs w:val="14"/>
              </w:rPr>
              <w:t>9</w:t>
            </w:r>
            <w:r w:rsidR="008B7C03" w:rsidRPr="000562A9">
              <w:rPr>
                <w:rFonts w:ascii="Tahoma" w:hAnsi="Tahoma" w:cs="Tahoma"/>
                <w:sz w:val="14"/>
                <w:szCs w:val="14"/>
              </w:rPr>
              <w:t>-</w:t>
            </w:r>
            <w:r w:rsidR="008B7C03">
              <w:rPr>
                <w:rFonts w:ascii="Tahoma" w:hAnsi="Tahoma" w:cs="Tahoma"/>
                <w:sz w:val="14"/>
                <w:szCs w:val="14"/>
              </w:rPr>
              <w:t>12</w:t>
            </w:r>
            <w:r w:rsidR="008B7C03" w:rsidRPr="000562A9">
              <w:rPr>
                <w:rFonts w:ascii="Tahoma" w:hAnsi="Tahoma" w:cs="Tahoma"/>
                <w:sz w:val="14"/>
                <w:szCs w:val="14"/>
              </w:rPr>
              <w:t>-</w:t>
            </w:r>
            <w:r w:rsidR="008B7C03">
              <w:rPr>
                <w:rFonts w:ascii="Tahoma" w:hAnsi="Tahoma" w:cs="Tahoma"/>
                <w:sz w:val="14"/>
                <w:szCs w:val="14"/>
              </w:rPr>
              <w:t>81206</w:t>
            </w:r>
            <w:r>
              <w:rPr>
                <w:rFonts w:ascii="Tahoma" w:hAnsi="Tahoma" w:cs="Tahoma"/>
                <w:sz w:val="14"/>
                <w:szCs w:val="14"/>
              </w:rPr>
              <w:t>-</w:t>
            </w:r>
            <w:r w:rsidR="00E33DD7">
              <w:rPr>
                <w:rFonts w:ascii="Tahoma" w:hAnsi="Tahoma" w:cs="Tahoma"/>
                <w:sz w:val="14"/>
                <w:szCs w:val="14"/>
              </w:rPr>
              <w:t>0</w:t>
            </w:r>
            <w:r w:rsidR="005E7C48">
              <w:rPr>
                <w:rFonts w:ascii="Tahoma" w:hAnsi="Tahoma" w:cs="Tahoma"/>
                <w:sz w:val="14"/>
                <w:szCs w:val="14"/>
              </w:rPr>
              <w:t>4</w:t>
            </w:r>
            <w:r>
              <w:rPr>
                <w:rFonts w:ascii="Tahoma" w:hAnsi="Tahoma" w:cs="Tahoma"/>
                <w:sz w:val="14"/>
                <w:szCs w:val="14"/>
              </w:rPr>
              <w:t>-</w:t>
            </w:r>
            <w:r w:rsidR="005E7C48">
              <w:rPr>
                <w:rFonts w:ascii="Tahoma" w:hAnsi="Tahoma" w:cs="Tahoma"/>
                <w:sz w:val="14"/>
                <w:szCs w:val="14"/>
              </w:rPr>
              <w:t>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671C20BD" w:rsidR="00E978D0" w:rsidRPr="00B57B36" w:rsidRDefault="00302420" w:rsidP="00E978D0">
      <w:pPr>
        <w:pStyle w:val="CETTitle"/>
      </w:pPr>
      <w:r w:rsidRPr="00302420">
        <w:t>On the gasification of torrefied Japanese Cedar to maximise the production of hydrogen</w:t>
      </w:r>
    </w:p>
    <w:p w14:paraId="0488FED2" w14:textId="5B4DA5C0" w:rsidR="00B57E6F" w:rsidRPr="00302420" w:rsidRDefault="00302420" w:rsidP="00B57E6F">
      <w:pPr>
        <w:pStyle w:val="CETAuthors"/>
        <w:rPr>
          <w:lang w:val="it-IT"/>
        </w:rPr>
      </w:pPr>
      <w:r w:rsidRPr="00302420">
        <w:rPr>
          <w:lang w:val="it-IT"/>
        </w:rPr>
        <w:t>Cristina Moliner</w:t>
      </w:r>
      <w:r w:rsidR="00B57E6F" w:rsidRPr="00302420">
        <w:rPr>
          <w:vertAlign w:val="superscript"/>
          <w:lang w:val="it-IT"/>
        </w:rPr>
        <w:t>a</w:t>
      </w:r>
      <w:r w:rsidRPr="00302420">
        <w:rPr>
          <w:vertAlign w:val="superscript"/>
          <w:lang w:val="it-IT"/>
        </w:rPr>
        <w:t>,</w:t>
      </w:r>
      <w:r w:rsidRPr="00302420">
        <w:rPr>
          <w:lang w:val="it-IT"/>
        </w:rPr>
        <w:t>*,</w:t>
      </w:r>
      <w:r w:rsidR="00B57E6F" w:rsidRPr="00302420">
        <w:rPr>
          <w:lang w:val="it-IT"/>
        </w:rPr>
        <w:t xml:space="preserve"> </w:t>
      </w:r>
      <w:r w:rsidRPr="00302420">
        <w:rPr>
          <w:lang w:val="it-IT"/>
        </w:rPr>
        <w:t>Sara Montaldo</w:t>
      </w:r>
      <w:r w:rsidRPr="00302420">
        <w:rPr>
          <w:vertAlign w:val="superscript"/>
          <w:lang w:val="it-IT"/>
        </w:rPr>
        <w:t>a</w:t>
      </w:r>
      <w:r>
        <w:rPr>
          <w:vertAlign w:val="superscript"/>
          <w:lang w:val="it-IT"/>
        </w:rPr>
        <w:t>,b</w:t>
      </w:r>
      <w:r w:rsidR="00B57E6F" w:rsidRPr="00302420">
        <w:rPr>
          <w:lang w:val="it-IT"/>
        </w:rPr>
        <w:t>,</w:t>
      </w:r>
      <w:r w:rsidRPr="00302420">
        <w:rPr>
          <w:lang w:val="it-IT"/>
        </w:rPr>
        <w:t xml:space="preserve"> </w:t>
      </w:r>
      <w:r>
        <w:rPr>
          <w:lang w:val="it-IT"/>
        </w:rPr>
        <w:t>Hideyuki Matsumoto</w:t>
      </w:r>
      <w:r>
        <w:rPr>
          <w:vertAlign w:val="superscript"/>
          <w:lang w:val="it-IT"/>
        </w:rPr>
        <w:t>b</w:t>
      </w:r>
      <w:r w:rsidRPr="00302420">
        <w:rPr>
          <w:lang w:val="it-IT"/>
        </w:rPr>
        <w:t>,</w:t>
      </w:r>
      <w:r w:rsidR="00B57E6F" w:rsidRPr="00302420">
        <w:rPr>
          <w:lang w:val="it-IT"/>
        </w:rPr>
        <w:t xml:space="preserve"> </w:t>
      </w:r>
      <w:r>
        <w:rPr>
          <w:lang w:val="it-IT"/>
        </w:rPr>
        <w:t>Elisabetta Arato</w:t>
      </w:r>
      <w:r>
        <w:rPr>
          <w:vertAlign w:val="superscript"/>
          <w:lang w:val="it-IT"/>
        </w:rPr>
        <w:t>a</w:t>
      </w:r>
    </w:p>
    <w:p w14:paraId="6B2D21B3" w14:textId="12DC37E4" w:rsidR="00B57E6F" w:rsidRPr="00302420" w:rsidRDefault="00B57E6F" w:rsidP="00B57E6F">
      <w:pPr>
        <w:pStyle w:val="CETAddress"/>
        <w:rPr>
          <w:lang w:val="it-IT"/>
        </w:rPr>
      </w:pPr>
      <w:r w:rsidRPr="00302420">
        <w:rPr>
          <w:vertAlign w:val="superscript"/>
          <w:lang w:val="it-IT"/>
        </w:rPr>
        <w:t>a</w:t>
      </w:r>
      <w:r w:rsidR="00302420" w:rsidRPr="00302420">
        <w:rPr>
          <w:lang w:val="it-IT"/>
        </w:rPr>
        <w:t xml:space="preserve"> Dipartimento di Ingegneria Civile, Chimica e Ambientale (DICCA), Università degli Studi di Genova, Genova (Italy)</w:t>
      </w:r>
      <w:r w:rsidRPr="00302420">
        <w:rPr>
          <w:lang w:val="it-IT"/>
        </w:rPr>
        <w:t xml:space="preserve"> </w:t>
      </w:r>
    </w:p>
    <w:p w14:paraId="3D72B0B0" w14:textId="3420A413" w:rsidR="00B57E6F" w:rsidRPr="00B57B36" w:rsidRDefault="00B57E6F" w:rsidP="00B57E6F">
      <w:pPr>
        <w:pStyle w:val="CETAddress"/>
      </w:pPr>
      <w:r w:rsidRPr="00B57B36">
        <w:rPr>
          <w:vertAlign w:val="superscript"/>
        </w:rPr>
        <w:t>b</w:t>
      </w:r>
      <w:r w:rsidR="00302420">
        <w:rPr>
          <w:vertAlign w:val="superscript"/>
        </w:rPr>
        <w:t xml:space="preserve"> </w:t>
      </w:r>
      <w:r w:rsidR="00302420" w:rsidRPr="00302420">
        <w:t>Department of Chemical Science and Engineering, Tokyo Institute of Technology. Tokyo (Japan)</w:t>
      </w:r>
      <w:r w:rsidRPr="00B57B36">
        <w:t xml:space="preserve"> </w:t>
      </w:r>
    </w:p>
    <w:p w14:paraId="0095AC80" w14:textId="77777777" w:rsidR="00302420" w:rsidRDefault="00B57E6F" w:rsidP="00302420">
      <w:pPr>
        <w:pStyle w:val="CETemail"/>
      </w:pPr>
      <w:r>
        <w:t xml:space="preserve"> </w:t>
      </w:r>
      <w:r w:rsidRPr="00B57B36">
        <w:t>c</w:t>
      </w:r>
      <w:r w:rsidR="00302420">
        <w:t>ristina.moliner@unige.it</w:t>
      </w:r>
      <w:r w:rsidRPr="00B57B36">
        <w:t xml:space="preserve"> </w:t>
      </w:r>
    </w:p>
    <w:p w14:paraId="43D36ABC" w14:textId="77777777" w:rsidR="00302420" w:rsidRDefault="00302420" w:rsidP="00302420">
      <w:pPr>
        <w:pStyle w:val="CETemail"/>
        <w:jc w:val="both"/>
        <w:rPr>
          <w:sz w:val="18"/>
        </w:rPr>
      </w:pPr>
      <w:r w:rsidRPr="00302420">
        <w:rPr>
          <w:sz w:val="18"/>
        </w:rPr>
        <w:t>Hydrogen, H</w:t>
      </w:r>
      <w:r w:rsidRPr="007061EA">
        <w:rPr>
          <w:sz w:val="18"/>
          <w:vertAlign w:val="subscript"/>
        </w:rPr>
        <w:t>2</w:t>
      </w:r>
      <w:r w:rsidRPr="00302420">
        <w:rPr>
          <w:sz w:val="18"/>
        </w:rPr>
        <w:t>, is likely to become the key renewable energy carrier for the future. Thermochemical conversion of biomass can be applied to produce H</w:t>
      </w:r>
      <w:r w:rsidRPr="007061EA">
        <w:rPr>
          <w:sz w:val="18"/>
          <w:vertAlign w:val="subscript"/>
        </w:rPr>
        <w:t>2</w:t>
      </w:r>
      <w:r w:rsidRPr="00302420">
        <w:rPr>
          <w:sz w:val="18"/>
        </w:rPr>
        <w:t xml:space="preserve"> involving a variety of conversion technologies, including gasification, that produce a mix of synthesis gas, H</w:t>
      </w:r>
      <w:r w:rsidRPr="007061EA">
        <w:rPr>
          <w:sz w:val="18"/>
          <w:vertAlign w:val="subscript"/>
        </w:rPr>
        <w:t>2</w:t>
      </w:r>
      <w:r w:rsidRPr="00302420">
        <w:rPr>
          <w:sz w:val="18"/>
        </w:rPr>
        <w:t xml:space="preserve"> and CO. It is of paramount importance thus having a consolidated, efficient, versatile and clean technology to produce H</w:t>
      </w:r>
      <w:r w:rsidRPr="007061EA">
        <w:rPr>
          <w:sz w:val="18"/>
          <w:vertAlign w:val="subscript"/>
        </w:rPr>
        <w:t>2</w:t>
      </w:r>
      <w:r w:rsidRPr="00302420">
        <w:rPr>
          <w:sz w:val="18"/>
        </w:rPr>
        <w:t xml:space="preserve"> in a sustainable and continuous manner contributing to current energy policies. </w:t>
      </w:r>
    </w:p>
    <w:p w14:paraId="54129C68" w14:textId="05D607EE" w:rsidR="00302420" w:rsidRPr="00302420" w:rsidRDefault="00302420" w:rsidP="000C5D19">
      <w:pPr>
        <w:pStyle w:val="CETemail"/>
        <w:jc w:val="both"/>
      </w:pPr>
      <w:r w:rsidRPr="00302420">
        <w:rPr>
          <w:sz w:val="18"/>
        </w:rPr>
        <w:t xml:space="preserve">For this work, a bench-scale batch gasifier located at the Tokyo Institute of Technology, Tokyo Tech, was used for the production of syngas from the torrefied woody biomass. </w:t>
      </w:r>
      <w:r w:rsidR="008611C2">
        <w:rPr>
          <w:sz w:val="18"/>
        </w:rPr>
        <w:t xml:space="preserve">These data were inputs for the development </w:t>
      </w:r>
      <w:r w:rsidR="000C5D19">
        <w:rPr>
          <w:sz w:val="18"/>
        </w:rPr>
        <w:t xml:space="preserve">of </w:t>
      </w:r>
      <w:r w:rsidR="008611C2">
        <w:rPr>
          <w:sz w:val="18"/>
        </w:rPr>
        <w:t xml:space="preserve">an hybrid model for the prediction of the composition of the producer gas. </w:t>
      </w:r>
      <w:r w:rsidR="008611C2" w:rsidRPr="008611C2">
        <w:rPr>
          <w:sz w:val="18"/>
        </w:rPr>
        <w:t xml:space="preserve">The time-depending data obtained in the semi-batch gasifier process </w:t>
      </w:r>
      <w:r w:rsidR="00E60D1A">
        <w:rPr>
          <w:sz w:val="18"/>
        </w:rPr>
        <w:t xml:space="preserve">was composed of three regions (pyrolysis, oxidation and reduction zones) in which </w:t>
      </w:r>
      <w:r w:rsidR="008611C2" w:rsidRPr="008611C2">
        <w:rPr>
          <w:sz w:val="18"/>
        </w:rPr>
        <w:t>recurrent neural network</w:t>
      </w:r>
      <w:r w:rsidR="00E60D1A">
        <w:rPr>
          <w:sz w:val="18"/>
        </w:rPr>
        <w:t xml:space="preserve">s were combined with </w:t>
      </w:r>
      <w:r w:rsidR="008611C2" w:rsidRPr="008611C2">
        <w:rPr>
          <w:sz w:val="18"/>
        </w:rPr>
        <w:t>physical-based models</w:t>
      </w:r>
      <w:r w:rsidR="0017293D">
        <w:rPr>
          <w:sz w:val="18"/>
        </w:rPr>
        <w:t>,</w:t>
      </w:r>
      <w:r w:rsidR="0017293D" w:rsidRPr="0017293D">
        <w:rPr>
          <w:sz w:val="18"/>
        </w:rPr>
        <w:t xml:space="preserve"> whose parameters </w:t>
      </w:r>
      <w:r w:rsidR="0017293D">
        <w:rPr>
          <w:sz w:val="18"/>
        </w:rPr>
        <w:t>we</w:t>
      </w:r>
      <w:r w:rsidR="0017293D" w:rsidRPr="0017293D">
        <w:rPr>
          <w:sz w:val="18"/>
        </w:rPr>
        <w:t>re conveniently tuned to fit the experimental data</w:t>
      </w:r>
      <w:r w:rsidRPr="00302420">
        <w:rPr>
          <w:sz w:val="18"/>
        </w:rPr>
        <w:t xml:space="preserve">. </w:t>
      </w:r>
    </w:p>
    <w:p w14:paraId="642BD305" w14:textId="40862FE0" w:rsidR="00302420" w:rsidRDefault="00302420" w:rsidP="00302420">
      <w:pPr>
        <w:pStyle w:val="CETHeading1"/>
      </w:pPr>
      <w:r>
        <w:t>Introduction</w:t>
      </w:r>
    </w:p>
    <w:p w14:paraId="5962D40E" w14:textId="77777777" w:rsidR="00302420" w:rsidRPr="0026340A" w:rsidRDefault="00302420" w:rsidP="00302420">
      <w:pPr>
        <w:pStyle w:val="Paragrafoelenco"/>
        <w:autoSpaceDE w:val="0"/>
        <w:autoSpaceDN w:val="0"/>
        <w:adjustRightInd w:val="0"/>
        <w:ind w:left="0"/>
      </w:pPr>
    </w:p>
    <w:p w14:paraId="7B0AF838" w14:textId="372A44CD" w:rsidR="00302420" w:rsidRDefault="00302420" w:rsidP="00302420">
      <w:pPr>
        <w:pStyle w:val="Paragrafoelenco"/>
        <w:ind w:left="0"/>
      </w:pPr>
      <w:r>
        <w:t xml:space="preserve">Modelling activities can help in optimising </w:t>
      </w:r>
      <w:r w:rsidR="000C5D19">
        <w:t>thermo-chemical reactions</w:t>
      </w:r>
      <w:r w:rsidRPr="007B7D5C">
        <w:t xml:space="preserve"> to </w:t>
      </w:r>
      <w:r>
        <w:t xml:space="preserve">achieve a specific </w:t>
      </w:r>
      <w:r w:rsidRPr="007B7D5C">
        <w:t>producer gas composition</w:t>
      </w:r>
      <w:r w:rsidR="000C5D19">
        <w:t xml:space="preserve"> maximising hydrogen yield</w:t>
      </w:r>
      <w:r w:rsidRPr="007B7D5C">
        <w:t xml:space="preserve">. </w:t>
      </w:r>
      <w:r>
        <w:t>T</w:t>
      </w:r>
      <w:r w:rsidRPr="007B7D5C">
        <w:t xml:space="preserve">he </w:t>
      </w:r>
      <w:r>
        <w:t xml:space="preserve">most influencing parameters </w:t>
      </w:r>
      <w:r w:rsidRPr="007B7D5C">
        <w:t xml:space="preserve">elements </w:t>
      </w:r>
      <w:r>
        <w:t xml:space="preserve">can be </w:t>
      </w:r>
      <w:r w:rsidRPr="007B7D5C">
        <w:t>related to the feedstock characteristics</w:t>
      </w:r>
      <w:r w:rsidR="000C5D19">
        <w:t xml:space="preserve"> (</w:t>
      </w:r>
      <w:r w:rsidRPr="007B7D5C">
        <w:t>content of moisture and ash, particle size</w:t>
      </w:r>
      <w:r w:rsidR="000C5D19">
        <w:t xml:space="preserve">, </w:t>
      </w:r>
      <w:r w:rsidRPr="007B7D5C">
        <w:t>biomass density</w:t>
      </w:r>
      <w:r w:rsidR="000C5D19">
        <w:t>), to</w:t>
      </w:r>
      <w:r>
        <w:t xml:space="preserve"> the </w:t>
      </w:r>
      <w:r w:rsidR="000C5D19">
        <w:t>type of reactor</w:t>
      </w:r>
      <w:r>
        <w:t xml:space="preserve"> and </w:t>
      </w:r>
      <w:r w:rsidR="000C5D19">
        <w:t xml:space="preserve">to </w:t>
      </w:r>
      <w:r>
        <w:t xml:space="preserve">the </w:t>
      </w:r>
      <w:r w:rsidR="000C5D19">
        <w:t xml:space="preserve">applied </w:t>
      </w:r>
      <w:r>
        <w:t>operational conditions (</w:t>
      </w:r>
      <w:r w:rsidR="00720BFD">
        <w:t>Suzuki et al. 2020</w:t>
      </w:r>
      <w:r>
        <w:t xml:space="preserve">). </w:t>
      </w:r>
      <w:r w:rsidR="000C5D19">
        <w:t>E</w:t>
      </w:r>
      <w:r w:rsidRPr="007B7D5C">
        <w:t xml:space="preserve">xperiments at </w:t>
      </w:r>
      <w:r w:rsidR="000C5D19">
        <w:t xml:space="preserve">lab scale </w:t>
      </w:r>
      <w:r>
        <w:t xml:space="preserve">are the starting point </w:t>
      </w:r>
      <w:r w:rsidR="000C5D19">
        <w:t xml:space="preserve">for </w:t>
      </w:r>
      <w:r>
        <w:t>the design and optimisation of a technology</w:t>
      </w:r>
      <w:r w:rsidR="000C5D19">
        <w:t>, even though</w:t>
      </w:r>
      <w:r w:rsidRPr="007B7D5C">
        <w:t xml:space="preserve"> expensive and time-consuming. </w:t>
      </w:r>
      <w:r>
        <w:t>M</w:t>
      </w:r>
      <w:r w:rsidRPr="007B7D5C">
        <w:t xml:space="preserve">odelling </w:t>
      </w:r>
      <w:r>
        <w:t xml:space="preserve">tasks </w:t>
      </w:r>
      <w:r w:rsidRPr="007B7D5C">
        <w:t xml:space="preserve">permit to evaluate the </w:t>
      </w:r>
      <w:r w:rsidR="000C5D19">
        <w:t xml:space="preserve">influence </w:t>
      </w:r>
      <w:r>
        <w:t xml:space="preserve">of </w:t>
      </w:r>
      <w:r w:rsidR="000C5D19">
        <w:t xml:space="preserve">the variation of the involved </w:t>
      </w:r>
      <w:r>
        <w:t xml:space="preserve">parameters on the producer gas in a more immediate and less expensive way. </w:t>
      </w:r>
    </w:p>
    <w:p w14:paraId="3922B474" w14:textId="77777777" w:rsidR="008B0208" w:rsidRDefault="008B0208" w:rsidP="00302420">
      <w:pPr>
        <w:pStyle w:val="Paragrafoelenco"/>
        <w:ind w:left="0"/>
      </w:pPr>
    </w:p>
    <w:p w14:paraId="5C11F191" w14:textId="24878675" w:rsidR="00302420" w:rsidRDefault="000C5D19" w:rsidP="00302420">
      <w:pPr>
        <w:pStyle w:val="Paragrafoelenco"/>
        <w:ind w:left="0"/>
      </w:pPr>
      <w:r>
        <w:t xml:space="preserve">Specifically, models for </w:t>
      </w:r>
      <w:r w:rsidR="00302420">
        <w:t>the simulation of the gasification of biomass</w:t>
      </w:r>
      <w:r>
        <w:t xml:space="preserve"> can be </w:t>
      </w:r>
      <w:r w:rsidR="00302420" w:rsidRPr="007B7D5C">
        <w:t>categorized into thermodynamic equilibrium models and kinetic models.</w:t>
      </w:r>
      <w:r w:rsidR="00302420">
        <w:t xml:space="preserve"> </w:t>
      </w:r>
      <w:r>
        <w:t>The former</w:t>
      </w:r>
      <w:r w:rsidR="00302420" w:rsidRPr="007B7D5C">
        <w:t xml:space="preserve"> assume that all the reactants are in fully mixed conditions for an infinite </w:t>
      </w:r>
      <w:r w:rsidR="00302420" w:rsidRPr="00E72660">
        <w:t>period (Baruah D, 2014). This highly simplified approach does not consider the gasifier design nor the kinetic limitations of the process and remarkable deviations from the experimental data have been obtained, especially in those cases when the internal temperature is low and the equilibrium cannot be achieved (Bridgwater, 1995). Despite these limits, the equilibrium models remain a widely used approach due to its simplicity. These models can be subdivided into stoichiometric and non-stoichiometric equilibrium models. The former approach consists in defining a set of reactions, calculating the equilibrium constants at a defined temperature, and computing the equilibrium (</w:t>
      </w:r>
      <w:r w:rsidR="00BD0CA9" w:rsidRPr="00E72660">
        <w:t>Li et al. 2001</w:t>
      </w:r>
      <w:r w:rsidR="00302420" w:rsidRPr="00E72660">
        <w:t xml:space="preserve">). The latter calculates the equilibrium of a set of reactions by minimizing the Gibbs free energy (Safarian S, 2019). Kinetic models evaluate the system in non-equilibrium conditions, and they can determine the variation of the gas composition and gasifier temperature along the reactor’s height and over time. These models include both kinetic and fluid dynamics studies and knowing parameters as the particle size distribution of the reactants become essential. This approach needs an extensive effort in terms of formulation of the kinetic and transport equations and computer time (Safarian S, </w:t>
      </w:r>
      <w:r w:rsidR="00302420" w:rsidRPr="00E72660">
        <w:lastRenderedPageBreak/>
        <w:t>2019</w:t>
      </w:r>
      <w:r w:rsidR="00302420" w:rsidRPr="00084B95">
        <w:t>)</w:t>
      </w:r>
      <w:r w:rsidR="00302420">
        <w:t xml:space="preserve">. </w:t>
      </w:r>
      <w:r w:rsidR="00BD0CA9">
        <w:t>A</w:t>
      </w:r>
      <w:r w:rsidR="00302420">
        <w:t xml:space="preserve">s a result, they provide more accurate </w:t>
      </w:r>
      <w:r w:rsidR="00302420" w:rsidRPr="00084B95">
        <w:t>results</w:t>
      </w:r>
      <w:r w:rsidR="00302420">
        <w:t xml:space="preserve"> with respect with equilibrium models (</w:t>
      </w:r>
      <w:r w:rsidR="00BD0CA9">
        <w:t>Bove et al. 2016, Marchelli et al. 2019</w:t>
      </w:r>
      <w:r w:rsidR="00302420">
        <w:t xml:space="preserve">), highly specific for a determined reactor and type of biomass. </w:t>
      </w:r>
    </w:p>
    <w:p w14:paraId="376D3299" w14:textId="77777777" w:rsidR="00302420" w:rsidRDefault="00302420" w:rsidP="00302420">
      <w:pPr>
        <w:pStyle w:val="Paragrafoelenco"/>
        <w:ind w:left="0"/>
      </w:pPr>
    </w:p>
    <w:p w14:paraId="733AF923" w14:textId="06F6D508" w:rsidR="00302420" w:rsidRDefault="00302420" w:rsidP="00302420">
      <w:pPr>
        <w:pStyle w:val="Paragrafoelenco"/>
        <w:ind w:left="0"/>
      </w:pPr>
      <w:r>
        <w:t xml:space="preserve">A </w:t>
      </w:r>
      <w:r w:rsidRPr="00A63047">
        <w:t xml:space="preserve">more recent approach considers the employment of machine learning to develop a predictive model. Specifically, the model can be obtained by developing an Artificial Neural Network (ANN), which has the feature of learning by itself from experimental data. </w:t>
      </w:r>
      <w:r>
        <w:t>Obviously, t</w:t>
      </w:r>
      <w:r w:rsidRPr="00A63047">
        <w:t xml:space="preserve">he higher the number of experimental data, the higher the level of accuracy </w:t>
      </w:r>
      <w:r>
        <w:t>can be achieved</w:t>
      </w:r>
      <w:r w:rsidRPr="00A63047">
        <w:t xml:space="preserve">. The advantage of using an ANN is that it does not require a mathematical description of the </w:t>
      </w:r>
      <w:r>
        <w:t xml:space="preserve">physical </w:t>
      </w:r>
      <w:r w:rsidRPr="00A63047">
        <w:t>phenomenon</w:t>
      </w:r>
      <w:r>
        <w:t>,</w:t>
      </w:r>
      <w:r w:rsidRPr="00A63047">
        <w:t xml:space="preserve"> permits to obtain </w:t>
      </w:r>
      <w:r>
        <w:t xml:space="preserve">a </w:t>
      </w:r>
      <w:r w:rsidRPr="00A63047">
        <w:t>higher level of accuracy with the same number of input</w:t>
      </w:r>
      <w:r>
        <w:t>s</w:t>
      </w:r>
      <w:r w:rsidRPr="00A63047">
        <w:t xml:space="preserve"> </w:t>
      </w:r>
      <w:r>
        <w:t xml:space="preserve">as in </w:t>
      </w:r>
      <w:r w:rsidRPr="00A63047">
        <w:t>equilibrium model</w:t>
      </w:r>
      <w:r>
        <w:t>s</w:t>
      </w:r>
      <w:r w:rsidRPr="00A63047">
        <w:t xml:space="preserve">, and </w:t>
      </w:r>
      <w:r>
        <w:t xml:space="preserve">presents </w:t>
      </w:r>
      <w:r w:rsidRPr="00A63047">
        <w:t>good performances especially in case of non-linearities in the output</w:t>
      </w:r>
      <w:r>
        <w:t xml:space="preserve"> (</w:t>
      </w:r>
      <w:r w:rsidR="00C22E4D">
        <w:t>Elman, 2020</w:t>
      </w:r>
      <w:r>
        <w:t>)</w:t>
      </w:r>
      <w:r w:rsidRPr="00A63047">
        <w:t>.</w:t>
      </w:r>
    </w:p>
    <w:p w14:paraId="3874A096" w14:textId="77777777" w:rsidR="00302420" w:rsidRDefault="00302420" w:rsidP="00302420">
      <w:pPr>
        <w:pStyle w:val="Paragrafoelenco"/>
        <w:ind w:left="0"/>
      </w:pPr>
    </w:p>
    <w:p w14:paraId="64A1E133" w14:textId="2C769799" w:rsidR="007931FA" w:rsidRPr="00B57B36" w:rsidRDefault="00302420" w:rsidP="00302420">
      <w:pPr>
        <w:pStyle w:val="CETListbullets"/>
        <w:ind w:left="0" w:firstLine="0"/>
      </w:pPr>
      <w:r>
        <w:t>In this framework, the</w:t>
      </w:r>
      <w:r w:rsidRPr="006F09AC">
        <w:t xml:space="preserve"> purpose of this study is to </w:t>
      </w:r>
      <w:r>
        <w:t xml:space="preserve">develop </w:t>
      </w:r>
      <w:r w:rsidRPr="006F09AC">
        <w:t xml:space="preserve">a model that </w:t>
      </w:r>
      <w:r>
        <w:t xml:space="preserve">accurately </w:t>
      </w:r>
      <w:r w:rsidRPr="006F09AC">
        <w:t>describe</w:t>
      </w:r>
      <w:r>
        <w:t>s</w:t>
      </w:r>
      <w:r w:rsidRPr="006F09AC">
        <w:t xml:space="preserve"> the behaviour of a semi-batch gasifier</w:t>
      </w:r>
      <w:r>
        <w:t xml:space="preserve"> located at </w:t>
      </w:r>
      <w:r w:rsidR="000C5D19" w:rsidRPr="00480EC9">
        <w:rPr>
          <w:bCs/>
        </w:rPr>
        <w:t>the Tokyo Institute of Technology, Tokyo Tech</w:t>
      </w:r>
      <w:r w:rsidR="000C5D19">
        <w:rPr>
          <w:bCs/>
        </w:rPr>
        <w:t xml:space="preserve"> (Japan)</w:t>
      </w:r>
      <w:r w:rsidR="000C5D19" w:rsidRPr="00480EC9">
        <w:rPr>
          <w:bCs/>
        </w:rPr>
        <w:t xml:space="preserve"> </w:t>
      </w:r>
      <w:r w:rsidR="000C5D19">
        <w:rPr>
          <w:bCs/>
        </w:rPr>
        <w:t>t</w:t>
      </w:r>
      <w:r>
        <w:t xml:space="preserve">hrough </w:t>
      </w:r>
      <w:r w:rsidR="000C5D19">
        <w:t xml:space="preserve">the </w:t>
      </w:r>
      <w:r>
        <w:t xml:space="preserve">combination of physical models based on equilibrium and ANNs. In this way, </w:t>
      </w:r>
      <w:r w:rsidRPr="006F09AC">
        <w:t>the number of experimental data necessary to train the neural network</w:t>
      </w:r>
      <w:r>
        <w:t xml:space="preserve"> was reduced</w:t>
      </w:r>
      <w:r w:rsidRPr="006F09AC">
        <w:t>, and, at the same time, the level of accuracy of the stoichiometric equilibrium model increase</w:t>
      </w:r>
      <w:r>
        <w:t>d considerably</w:t>
      </w:r>
      <w:r w:rsidRPr="006F09AC">
        <w:t>.</w:t>
      </w:r>
      <w:r>
        <w:t xml:space="preserve"> </w:t>
      </w:r>
      <w:r w:rsidRPr="006F09AC">
        <w:t xml:space="preserve"> </w:t>
      </w:r>
    </w:p>
    <w:p w14:paraId="21B9A280" w14:textId="77777777" w:rsidR="007D0951" w:rsidRPr="00B57B36" w:rsidRDefault="007D0951" w:rsidP="00302420">
      <w:pPr>
        <w:pStyle w:val="CETListbullets"/>
        <w:ind w:left="0" w:firstLine="0"/>
      </w:pPr>
    </w:p>
    <w:p w14:paraId="5741900F" w14:textId="2A893A0B" w:rsidR="00453E24" w:rsidRDefault="00302420" w:rsidP="00453E24">
      <w:pPr>
        <w:pStyle w:val="CETHeading1"/>
      </w:pPr>
      <w:r>
        <w:t>Materials and methods</w:t>
      </w:r>
    </w:p>
    <w:p w14:paraId="0636B784" w14:textId="439A8362" w:rsidR="00453E24" w:rsidRPr="00480EC9" w:rsidRDefault="00480EC9" w:rsidP="00480EC9">
      <w:pPr>
        <w:pStyle w:val="CETheadingx"/>
      </w:pPr>
      <w:r w:rsidRPr="00480EC9">
        <w:t xml:space="preserve">2.1. </w:t>
      </w:r>
      <w:r w:rsidR="00DC3E4C">
        <w:t>Description of the reactor and measuring systems</w:t>
      </w:r>
    </w:p>
    <w:p w14:paraId="0F03D704" w14:textId="297056A0" w:rsidR="00302420" w:rsidRDefault="00302420" w:rsidP="00480EC9">
      <w:pPr>
        <w:pStyle w:val="CETheadingx"/>
        <w:rPr>
          <w:b w:val="0"/>
          <w:bCs/>
          <w:lang w:val="en-GB"/>
        </w:rPr>
      </w:pPr>
      <w:r w:rsidRPr="00CF44CD">
        <w:rPr>
          <w:b w:val="0"/>
          <w:bCs/>
          <w:lang w:val="en-GB"/>
        </w:rPr>
        <w:t xml:space="preserve">A bench-scale batch gasifier located at the Tokyo Institute of Technology, Tokyo Tech, was used to produce syngas from the torrefied woody biomass. </w:t>
      </w:r>
      <w:r w:rsidR="00DC3E4C" w:rsidRPr="00CF44CD">
        <w:rPr>
          <w:b w:val="0"/>
          <w:bCs/>
          <w:lang w:val="en-GB"/>
        </w:rPr>
        <w:t xml:space="preserve">Differently from the continuous gasification processes, in batch gasification the biomass is fed at the beginning of the process at the bottom of the reactor and a certain fluidization is provided only by the airflow. The composition of the produced gas was analysed both online during the experiments and offline, where gas samples at specific gasifier temperatures were collected in sample bags and then </w:t>
      </w:r>
      <w:proofErr w:type="spellStart"/>
      <w:r w:rsidR="00DC3E4C" w:rsidRPr="00CF44CD">
        <w:rPr>
          <w:b w:val="0"/>
          <w:bCs/>
          <w:lang w:val="en-GB"/>
        </w:rPr>
        <w:t>analyzed</w:t>
      </w:r>
      <w:proofErr w:type="spellEnd"/>
      <w:r w:rsidR="00DC3E4C" w:rsidRPr="00CF44CD">
        <w:rPr>
          <w:b w:val="0"/>
          <w:bCs/>
          <w:lang w:val="en-GB"/>
        </w:rPr>
        <w:t xml:space="preserve"> to determine their compositions. Temperature was monitored with nine thermocouples located along the height of the reactor</w:t>
      </w:r>
      <w:r w:rsidR="0004323D">
        <w:rPr>
          <w:b w:val="0"/>
          <w:bCs/>
          <w:lang w:val="en-GB"/>
        </w:rPr>
        <w:t xml:space="preserve"> (see Figure 1a)</w:t>
      </w:r>
      <w:r w:rsidR="00DC3E4C" w:rsidRPr="00CF44CD">
        <w:rPr>
          <w:b w:val="0"/>
          <w:bCs/>
          <w:lang w:val="en-GB"/>
        </w:rPr>
        <w:t xml:space="preserve">. The four reaction zones are drying and pyrolysis, </w:t>
      </w:r>
      <w:proofErr w:type="gramStart"/>
      <w:r w:rsidR="00DC3E4C" w:rsidRPr="00CF44CD">
        <w:rPr>
          <w:b w:val="0"/>
          <w:bCs/>
          <w:lang w:val="en-GB"/>
        </w:rPr>
        <w:t>oxidation</w:t>
      </w:r>
      <w:proofErr w:type="gramEnd"/>
      <w:r w:rsidR="00DC3E4C" w:rsidRPr="00CF44CD">
        <w:rPr>
          <w:b w:val="0"/>
          <w:bCs/>
          <w:lang w:val="en-GB"/>
        </w:rPr>
        <w:t xml:space="preserve"> and reduction, distributed inside the gasifier</w:t>
      </w:r>
      <w:r w:rsidR="0004323D">
        <w:rPr>
          <w:b w:val="0"/>
          <w:bCs/>
          <w:lang w:val="en-GB"/>
        </w:rPr>
        <w:t xml:space="preserve"> (Figure 1b)</w:t>
      </w:r>
      <w:r w:rsidR="00DC3E4C" w:rsidRPr="00CF44CD">
        <w:rPr>
          <w:b w:val="0"/>
          <w:bCs/>
          <w:lang w:val="en-GB"/>
        </w:rPr>
        <w:t xml:space="preserve">. Drying and pyrolysis take place at the bottom of the reactor (thermocouples TR1, TR2 and TR3 located in the lower part of the reactor jacket). Above, the oxidation zone corresponds to the area where the main airflow is fed into the reactor (thermocouples TR4 and TR5). The reduction zone covers the top solid biomass layer (thermocouple TR6) up to the top of the reactor (thermocouple TR9). </w:t>
      </w:r>
      <w:r w:rsidR="008B0208" w:rsidRPr="00CF44CD">
        <w:rPr>
          <w:b w:val="0"/>
          <w:bCs/>
          <w:lang w:val="en-GB"/>
        </w:rPr>
        <w:t xml:space="preserve">Further details on the experimental settings and </w:t>
      </w:r>
      <w:r w:rsidR="000C5D19" w:rsidRPr="00CF44CD">
        <w:rPr>
          <w:b w:val="0"/>
          <w:bCs/>
          <w:lang w:val="en-GB"/>
        </w:rPr>
        <w:t xml:space="preserve">the </w:t>
      </w:r>
      <w:r w:rsidR="008B0208" w:rsidRPr="00CF44CD">
        <w:rPr>
          <w:b w:val="0"/>
          <w:bCs/>
          <w:lang w:val="en-GB"/>
        </w:rPr>
        <w:t xml:space="preserve">obtained results can be found at </w:t>
      </w:r>
      <w:r w:rsidR="00720BFD" w:rsidRPr="00720BFD">
        <w:rPr>
          <w:b w:val="0"/>
          <w:bCs/>
          <w:lang w:val="en-GB"/>
        </w:rPr>
        <w:t>Suzuki et al. 2020</w:t>
      </w:r>
      <w:r w:rsidR="00720BFD">
        <w:rPr>
          <w:b w:val="0"/>
          <w:bCs/>
          <w:lang w:val="en-GB"/>
        </w:rP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7"/>
        <w:gridCol w:w="3350"/>
      </w:tblGrid>
      <w:tr w:rsidR="0004323D" w14:paraId="2080A962" w14:textId="77777777" w:rsidTr="0004323D">
        <w:tc>
          <w:tcPr>
            <w:tcW w:w="5524" w:type="dxa"/>
          </w:tcPr>
          <w:p w14:paraId="53D6557D" w14:textId="48BD5CA7" w:rsidR="0004323D" w:rsidRPr="008B16D0" w:rsidRDefault="008B16D0" w:rsidP="0004323D">
            <w:pPr>
              <w:pStyle w:val="CETBodytext"/>
              <w:rPr>
                <w:lang w:val="en-GB"/>
              </w:rPr>
            </w:pPr>
            <w:r>
              <w:rPr>
                <w:noProof/>
                <w:lang w:val="en-GB"/>
              </w:rPr>
              <w:drawing>
                <wp:inline distT="0" distB="0" distL="0" distR="0" wp14:anchorId="7117A1F3" wp14:editId="78096482">
                  <wp:extent cx="2184400" cy="1912051"/>
                  <wp:effectExtent l="0" t="0" r="6350" b="0"/>
                  <wp:docPr id="180173742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2818" cy="1928173"/>
                          </a:xfrm>
                          <a:prstGeom prst="rect">
                            <a:avLst/>
                          </a:prstGeom>
                          <a:noFill/>
                        </pic:spPr>
                      </pic:pic>
                    </a:graphicData>
                  </a:graphic>
                </wp:inline>
              </w:drawing>
            </w:r>
          </w:p>
        </w:tc>
        <w:tc>
          <w:tcPr>
            <w:tcW w:w="3253" w:type="dxa"/>
          </w:tcPr>
          <w:p w14:paraId="609A74D3" w14:textId="55B80BE5" w:rsidR="0004323D" w:rsidRDefault="008B16D0" w:rsidP="0004323D">
            <w:pPr>
              <w:pStyle w:val="CETBodytext"/>
              <w:rPr>
                <w:lang w:val="en-GB"/>
              </w:rPr>
            </w:pPr>
            <w:r>
              <w:rPr>
                <w:noProof/>
                <w:lang w:val="en-GB"/>
              </w:rPr>
              <w:drawing>
                <wp:anchor distT="0" distB="0" distL="114300" distR="114300" simplePos="0" relativeHeight="251660288" behindDoc="1" locked="0" layoutInCell="1" allowOverlap="1" wp14:anchorId="40F006DA" wp14:editId="463A4C0B">
                  <wp:simplePos x="0" y="0"/>
                  <wp:positionH relativeFrom="column">
                    <wp:posOffset>-68580</wp:posOffset>
                  </wp:positionH>
                  <wp:positionV relativeFrom="paragraph">
                    <wp:posOffset>356235</wp:posOffset>
                  </wp:positionV>
                  <wp:extent cx="1990426" cy="1460500"/>
                  <wp:effectExtent l="0" t="0" r="0" b="6350"/>
                  <wp:wrapTight wrapText="bothSides">
                    <wp:wrapPolygon edited="0">
                      <wp:start x="0" y="0"/>
                      <wp:lineTo x="0" y="21412"/>
                      <wp:lineTo x="21297" y="21412"/>
                      <wp:lineTo x="21297" y="0"/>
                      <wp:lineTo x="0" y="0"/>
                    </wp:wrapPolygon>
                  </wp:wrapTight>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0426" cy="1460500"/>
                          </a:xfrm>
                          <a:prstGeom prst="rect">
                            <a:avLst/>
                          </a:prstGeom>
                          <a:noFill/>
                        </pic:spPr>
                      </pic:pic>
                    </a:graphicData>
                  </a:graphic>
                  <wp14:sizeRelH relativeFrom="page">
                    <wp14:pctWidth>0</wp14:pctWidth>
                  </wp14:sizeRelH>
                  <wp14:sizeRelV relativeFrom="page">
                    <wp14:pctHeight>0</wp14:pctHeight>
                  </wp14:sizeRelV>
                </wp:anchor>
              </w:drawing>
            </w:r>
          </w:p>
        </w:tc>
      </w:tr>
      <w:tr w:rsidR="0004323D" w14:paraId="0E129CF1" w14:textId="77777777" w:rsidTr="0004323D">
        <w:tc>
          <w:tcPr>
            <w:tcW w:w="5524" w:type="dxa"/>
          </w:tcPr>
          <w:p w14:paraId="02EEC935" w14:textId="0A8C8FC4" w:rsidR="0004323D" w:rsidRDefault="0004323D" w:rsidP="0004323D">
            <w:pPr>
              <w:pStyle w:val="CETBodytext"/>
              <w:jc w:val="left"/>
              <w:rPr>
                <w:lang w:val="en-GB"/>
              </w:rPr>
            </w:pPr>
            <w:r>
              <w:rPr>
                <w:lang w:val="en-GB"/>
              </w:rPr>
              <w:t>(a)</w:t>
            </w:r>
          </w:p>
        </w:tc>
        <w:tc>
          <w:tcPr>
            <w:tcW w:w="3253" w:type="dxa"/>
          </w:tcPr>
          <w:p w14:paraId="1DA99700" w14:textId="573E76CA" w:rsidR="0004323D" w:rsidRDefault="0004323D" w:rsidP="0004323D">
            <w:pPr>
              <w:pStyle w:val="CETBodytext"/>
              <w:rPr>
                <w:lang w:val="en-GB"/>
              </w:rPr>
            </w:pPr>
            <w:r>
              <w:rPr>
                <w:lang w:val="en-GB"/>
              </w:rPr>
              <w:t>(b)</w:t>
            </w:r>
          </w:p>
        </w:tc>
      </w:tr>
    </w:tbl>
    <w:p w14:paraId="333044D6" w14:textId="40CF0529" w:rsidR="0004323D" w:rsidRPr="00CF44CD" w:rsidRDefault="0004323D" w:rsidP="0004323D">
      <w:pPr>
        <w:pStyle w:val="CETCaption"/>
        <w:rPr>
          <w:rStyle w:val="CETCaptionCarattere"/>
        </w:rPr>
      </w:pPr>
      <w:r w:rsidRPr="00CF44CD">
        <w:rPr>
          <w:rStyle w:val="CETCaptionCarattere"/>
          <w:i/>
        </w:rPr>
        <w:t>Figure</w:t>
      </w:r>
      <w:r w:rsidRPr="00CF44CD">
        <w:rPr>
          <w:rStyle w:val="CETCaptionCarattere"/>
        </w:rPr>
        <w:t xml:space="preserve"> 1</w:t>
      </w:r>
      <w:r w:rsidRPr="00CF44CD">
        <w:rPr>
          <w:rStyle w:val="CETCaptionCarattere"/>
          <w:i/>
          <w:iCs/>
        </w:rPr>
        <w:t xml:space="preserve">. </w:t>
      </w:r>
      <w:r w:rsidRPr="0004323D">
        <w:rPr>
          <w:rStyle w:val="CETCaptionCarattere"/>
          <w:i/>
          <w:iCs/>
        </w:rPr>
        <w:t xml:space="preserve">Detailed reactor design </w:t>
      </w:r>
      <w:r w:rsidRPr="00CF44CD">
        <w:rPr>
          <w:rStyle w:val="CETCaptionCarattere"/>
          <w:i/>
          <w:iCs/>
        </w:rPr>
        <w:t xml:space="preserve">(a) </w:t>
      </w:r>
      <w:r>
        <w:rPr>
          <w:rStyle w:val="CETCaptionCarattere"/>
          <w:i/>
          <w:iCs/>
        </w:rPr>
        <w:t>and s</w:t>
      </w:r>
      <w:r w:rsidRPr="0004323D">
        <w:rPr>
          <w:rStyle w:val="CETCaptionCarattere"/>
          <w:i/>
          <w:iCs/>
        </w:rPr>
        <w:t xml:space="preserve">emi-batch gasifier scheme </w:t>
      </w:r>
      <w:r w:rsidRPr="00CF44CD">
        <w:rPr>
          <w:rStyle w:val="CETCaptionCarattere"/>
          <w:i/>
          <w:iCs/>
        </w:rPr>
        <w:t xml:space="preserve">(b) </w:t>
      </w:r>
    </w:p>
    <w:p w14:paraId="56BF51F6" w14:textId="27D026AE" w:rsidR="00480EC9" w:rsidRPr="00480EC9" w:rsidRDefault="00480EC9" w:rsidP="00480EC9">
      <w:pPr>
        <w:pStyle w:val="CETheadingx"/>
      </w:pPr>
      <w:r w:rsidRPr="00480EC9">
        <w:t>2.</w:t>
      </w:r>
      <w:r>
        <w:t>2</w:t>
      </w:r>
      <w:r w:rsidRPr="00480EC9">
        <w:t xml:space="preserve">. </w:t>
      </w:r>
      <w:r>
        <w:t>Modelling strategy</w:t>
      </w:r>
    </w:p>
    <w:p w14:paraId="36C31245" w14:textId="37CF073D" w:rsidR="00D767B5" w:rsidRDefault="00D767B5" w:rsidP="00D767B5">
      <w:r w:rsidRPr="006F09AC">
        <w:t>The model</w:t>
      </w:r>
      <w:r>
        <w:t xml:space="preserve"> was developed considering</w:t>
      </w:r>
      <w:r w:rsidRPr="006F09AC">
        <w:t xml:space="preserve"> three reactions zones separately. All the reactor zones are connected in the way that the reaction products of the first zone are the reactants of the second and so on. The first zone corresponds to </w:t>
      </w:r>
      <w:r>
        <w:t xml:space="preserve">the </w:t>
      </w:r>
      <w:r w:rsidRPr="006F09AC">
        <w:t xml:space="preserve">pyrolysis </w:t>
      </w:r>
      <w:r>
        <w:t>zone (TR1 to TR4</w:t>
      </w:r>
      <w:proofErr w:type="gramStart"/>
      <w:r>
        <w:t>)</w:t>
      </w:r>
      <w:proofErr w:type="gramEnd"/>
      <w:r>
        <w:t xml:space="preserve"> </w:t>
      </w:r>
      <w:r w:rsidRPr="006F09AC">
        <w:t>and it operates at the lowest temperature. The products</w:t>
      </w:r>
      <w:r>
        <w:t xml:space="preserve">, </w:t>
      </w:r>
      <w:r w:rsidRPr="006F09AC">
        <w:t>mainly char and volatiles</w:t>
      </w:r>
      <w:r>
        <w:t>,</w:t>
      </w:r>
      <w:r w:rsidRPr="006F09AC">
        <w:t xml:space="preserve"> are </w:t>
      </w:r>
      <w:r>
        <w:t xml:space="preserve">fed to </w:t>
      </w:r>
      <w:r w:rsidRPr="006F09AC">
        <w:t>the oxidation zone</w:t>
      </w:r>
      <w:r>
        <w:t xml:space="preserve"> (TR5 and TR6) where </w:t>
      </w:r>
      <w:r w:rsidRPr="006F09AC">
        <w:t xml:space="preserve">temperature increases, and oxidation reactions </w:t>
      </w:r>
      <w:r>
        <w:t xml:space="preserve">become </w:t>
      </w:r>
      <w:r w:rsidRPr="006F09AC">
        <w:t xml:space="preserve">predominant. The products </w:t>
      </w:r>
      <w:r>
        <w:t xml:space="preserve">enter </w:t>
      </w:r>
      <w:r w:rsidRPr="006F09AC">
        <w:t>the reduction zone</w:t>
      </w:r>
      <w:r w:rsidRPr="00BE2AE2">
        <w:t xml:space="preserve"> </w:t>
      </w:r>
      <w:r w:rsidRPr="006F09AC">
        <w:t>which include</w:t>
      </w:r>
      <w:r>
        <w:t>s</w:t>
      </w:r>
      <w:r w:rsidRPr="006F09AC">
        <w:t xml:space="preserve"> the char top layer </w:t>
      </w:r>
      <w:r>
        <w:t>above TR6</w:t>
      </w:r>
      <w:r w:rsidRPr="006F09AC">
        <w:t>.</w:t>
      </w:r>
      <w:r>
        <w:t xml:space="preserve"> A d</w:t>
      </w:r>
      <w:r w:rsidRPr="006F09AC">
        <w:t xml:space="preserve">rying </w:t>
      </w:r>
      <w:r>
        <w:t xml:space="preserve">section was not considered as </w:t>
      </w:r>
      <w:r w:rsidRPr="006F09AC">
        <w:t>biomass under</w:t>
      </w:r>
      <w:r>
        <w:t>went</w:t>
      </w:r>
      <w:r w:rsidRPr="006F09AC">
        <w:t xml:space="preserve"> a torrefaction process that reduce</w:t>
      </w:r>
      <w:r>
        <w:t>d</w:t>
      </w:r>
      <w:r w:rsidRPr="006F09AC">
        <w:t xml:space="preserve"> the </w:t>
      </w:r>
      <w:r w:rsidRPr="006F09AC">
        <w:lastRenderedPageBreak/>
        <w:t>moisture content to 4% before being fed into the reactor.</w:t>
      </w:r>
      <w:r w:rsidR="00226A7B">
        <w:t xml:space="preserve"> </w:t>
      </w:r>
      <w:r w:rsidR="00F10EBF">
        <w:t>The obtained results were the combination of the application of h</w:t>
      </w:r>
      <w:r w:rsidRPr="006F09AC">
        <w:t>eat and material balance</w:t>
      </w:r>
      <w:r w:rsidR="00226A7B">
        <w:t>s</w:t>
      </w:r>
      <w:r w:rsidRPr="006F09AC">
        <w:t xml:space="preserve"> to </w:t>
      </w:r>
      <w:r w:rsidR="00226A7B">
        <w:t>each region</w:t>
      </w:r>
      <w:r w:rsidRPr="006F09AC">
        <w:t xml:space="preserve"> </w:t>
      </w:r>
      <w:r w:rsidR="00226A7B">
        <w:t>as described in Section 2.2.1 and Section 2.2.2</w:t>
      </w:r>
      <w:r w:rsidR="00F10EBF">
        <w:t>.</w:t>
      </w:r>
      <w:r w:rsidRPr="006F09AC">
        <w:t xml:space="preserve"> </w:t>
      </w:r>
    </w:p>
    <w:p w14:paraId="74A0A194" w14:textId="77777777" w:rsidR="00D767B5" w:rsidRPr="00CA4426" w:rsidRDefault="00D767B5" w:rsidP="00D767B5"/>
    <w:p w14:paraId="516393AA" w14:textId="38F649E4" w:rsidR="00D767B5" w:rsidRPr="00D767B5" w:rsidRDefault="00D767B5" w:rsidP="00D767B5">
      <w:pPr>
        <w:rPr>
          <w:b/>
          <w:bCs/>
        </w:rPr>
      </w:pPr>
      <w:r w:rsidRPr="00D767B5">
        <w:rPr>
          <w:b/>
          <w:bCs/>
        </w:rPr>
        <w:t xml:space="preserve">2.2.1. Heat balance: ANNs models </w:t>
      </w:r>
    </w:p>
    <w:p w14:paraId="7424C5FC" w14:textId="77777777" w:rsidR="00D767B5" w:rsidRDefault="00D767B5" w:rsidP="00D767B5"/>
    <w:p w14:paraId="3A1CC727" w14:textId="3D23CAE1" w:rsidR="00D767B5" w:rsidRDefault="00226A7B" w:rsidP="00D767B5">
      <w:r>
        <w:t>H</w:t>
      </w:r>
      <w:r w:rsidR="00D767B5" w:rsidRPr="00D76CB3">
        <w:t>eat balance</w:t>
      </w:r>
      <w:r>
        <w:t>s</w:t>
      </w:r>
      <w:r w:rsidR="00D767B5" w:rsidRPr="00D76CB3">
        <w:t xml:space="preserve"> </w:t>
      </w:r>
      <w:r>
        <w:t xml:space="preserve">in each region are </w:t>
      </w:r>
      <w:r w:rsidR="00D767B5">
        <w:t xml:space="preserve">calculated through a Recurrent Neural Network (RNN) in which </w:t>
      </w:r>
      <w:r w:rsidR="00D767B5" w:rsidRPr="00D76CB3">
        <w:t xml:space="preserve">the time series data collected by each thermocouple during the experimental sessions </w:t>
      </w:r>
      <w:r>
        <w:t xml:space="preserve">were </w:t>
      </w:r>
      <w:r w:rsidR="00D767B5" w:rsidRPr="00D76CB3">
        <w:t xml:space="preserve">employed </w:t>
      </w:r>
      <w:r w:rsidR="00D767B5">
        <w:t xml:space="preserve">to develop </w:t>
      </w:r>
      <w:r w:rsidR="00D767B5" w:rsidRPr="00D76CB3">
        <w:t>a time series artificial neural network.</w:t>
      </w:r>
      <w:r>
        <w:t xml:space="preserve"> </w:t>
      </w:r>
      <w:r w:rsidR="00D767B5" w:rsidRPr="00D76CB3">
        <w:t xml:space="preserve">A </w:t>
      </w:r>
      <w:r w:rsidR="00D767B5">
        <w:t>RNN</w:t>
      </w:r>
      <w:r w:rsidR="00D767B5" w:rsidRPr="00D76CB3">
        <w:t xml:space="preserve"> is an artificial neural network that remember</w:t>
      </w:r>
      <w:r w:rsidR="00D767B5">
        <w:t>s</w:t>
      </w:r>
      <w:r w:rsidR="00D767B5" w:rsidRPr="00D76CB3">
        <w:t xml:space="preserve"> things learnt from prior outputs while it generates a new output (</w:t>
      </w:r>
      <w:r w:rsidR="00C22E4D" w:rsidRPr="00C22E4D">
        <w:t>Kumaraswamy</w:t>
      </w:r>
      <w:r w:rsidR="00C22E4D">
        <w:t>, 2021</w:t>
      </w:r>
      <w:r w:rsidR="00D767B5" w:rsidRPr="00D76CB3">
        <w:t xml:space="preserve">). During the training, the RNN receives as inputs the time and temperature series, and after being tested and validated, it </w:t>
      </w:r>
      <w:r w:rsidR="00F35F27" w:rsidRPr="00D76CB3">
        <w:t>can</w:t>
      </w:r>
      <w:r w:rsidR="00D767B5" w:rsidRPr="00D76CB3">
        <w:t xml:space="preserve"> return the temperature at any time step.</w:t>
      </w:r>
    </w:p>
    <w:p w14:paraId="7D10E879" w14:textId="77777777" w:rsidR="00D767B5" w:rsidRDefault="00D767B5" w:rsidP="00D767B5"/>
    <w:p w14:paraId="673570DE" w14:textId="418D2B85" w:rsidR="00D767B5" w:rsidRDefault="002861D5" w:rsidP="00D767B5">
      <w:r>
        <w:t>T</w:t>
      </w:r>
      <w:r w:rsidR="00D767B5" w:rsidRPr="00D76CB3">
        <w:t xml:space="preserve">he data set from a single experimental session </w:t>
      </w:r>
      <w:r>
        <w:t xml:space="preserve">as described in </w:t>
      </w:r>
      <w:r w:rsidR="00720BFD">
        <w:t xml:space="preserve">Suzuki et al. 2020 </w:t>
      </w:r>
      <w:r w:rsidR="00D767B5" w:rsidRPr="00D76CB3">
        <w:t xml:space="preserve">is a sequence of 3025 values divided into three groups. The first one contains the 75% of the values and it corresponds to the data used to train the RNN. The second and the third group contain the 15% </w:t>
      </w:r>
      <w:r>
        <w:t xml:space="preserve">and 10% </w:t>
      </w:r>
      <w:r w:rsidR="00D767B5" w:rsidRPr="00D76CB3">
        <w:t xml:space="preserve">of the values </w:t>
      </w:r>
      <w:r>
        <w:t xml:space="preserve">respectively </w:t>
      </w:r>
      <w:r w:rsidR="00D767B5" w:rsidRPr="00D76CB3">
        <w:t>and they are used to validate and test the neural network. The model employs 10 hidden neurons and 2 delays, and the algorithm chosen to train the network is Levenberg-Marquardt</w:t>
      </w:r>
      <w:r w:rsidR="006235CB">
        <w:t>.</w:t>
      </w:r>
      <w:r w:rsidR="00D767B5" w:rsidRPr="00D76CB3">
        <w:t xml:space="preserve"> A single RNN is developed for each of the thermocouples located in the pyrolysis</w:t>
      </w:r>
      <w:r>
        <w:t xml:space="preserve">, </w:t>
      </w:r>
      <w:r w:rsidR="003A4A5F">
        <w:t>oxidation,</w:t>
      </w:r>
      <w:r>
        <w:t xml:space="preserve"> and reduction</w:t>
      </w:r>
      <w:r w:rsidR="00D767B5" w:rsidRPr="00D76CB3">
        <w:t xml:space="preserve"> zone. The obtained neural network is used </w:t>
      </w:r>
      <w:r w:rsidR="00226A7B">
        <w:t>in a</w:t>
      </w:r>
      <w:r w:rsidR="00D767B5" w:rsidRPr="00D76CB3">
        <w:t xml:space="preserve"> Simulink model </w:t>
      </w:r>
      <w:r w:rsidR="00226A7B">
        <w:t xml:space="preserve">which provides </w:t>
      </w:r>
      <w:r w:rsidR="00D767B5" w:rsidRPr="00D76CB3">
        <w:t>the temperature profile as an output.</w:t>
      </w:r>
      <w:r w:rsidR="00F35F27">
        <w:t xml:space="preserve"> Figure </w:t>
      </w:r>
      <w:r w:rsidR="0004323D">
        <w:t>2</w:t>
      </w:r>
      <w:r w:rsidR="00F35F27">
        <w:t xml:space="preserve"> shows the neural network plot response (a) and error histogram (b) of the developed model.</w:t>
      </w:r>
    </w:p>
    <w:tbl>
      <w:tblPr>
        <w:tblStyle w:val="Grigliatabella"/>
        <w:tblW w:w="919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446"/>
      </w:tblGrid>
      <w:tr w:rsidR="00F35F27" w14:paraId="0F4B7BC5" w14:textId="77777777" w:rsidTr="00CF44CD">
        <w:tc>
          <w:tcPr>
            <w:tcW w:w="4746" w:type="dxa"/>
          </w:tcPr>
          <w:p w14:paraId="15EE5CDA" w14:textId="77777777" w:rsidR="00F35F27" w:rsidRDefault="00F35F27" w:rsidP="00D9077E">
            <w:r w:rsidRPr="00D76CB3">
              <w:rPr>
                <w:noProof/>
              </w:rPr>
              <w:drawing>
                <wp:anchor distT="0" distB="0" distL="114300" distR="114300" simplePos="0" relativeHeight="251658240" behindDoc="0" locked="0" layoutInCell="1" allowOverlap="1" wp14:anchorId="70FDA174" wp14:editId="4094DDC6">
                  <wp:simplePos x="0" y="0"/>
                  <wp:positionH relativeFrom="column">
                    <wp:posOffset>52070</wp:posOffset>
                  </wp:positionH>
                  <wp:positionV relativeFrom="paragraph">
                    <wp:posOffset>90805</wp:posOffset>
                  </wp:positionV>
                  <wp:extent cx="2876550" cy="1797050"/>
                  <wp:effectExtent l="0" t="0" r="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alphaModFix/>
                            <a:extLst>
                              <a:ext uri="{28A0092B-C50C-407E-A947-70E740481C1C}">
                                <a14:useLocalDpi xmlns:a14="http://schemas.microsoft.com/office/drawing/2010/main" val="0"/>
                              </a:ext>
                            </a:extLst>
                          </a:blip>
                          <a:srcRect/>
                          <a:stretch>
                            <a:fillRect/>
                          </a:stretch>
                        </pic:blipFill>
                        <pic:spPr bwMode="auto">
                          <a:xfrm>
                            <a:off x="0" y="0"/>
                            <a:ext cx="2876550" cy="17970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446" w:type="dxa"/>
          </w:tcPr>
          <w:p w14:paraId="746CDC47" w14:textId="77777777" w:rsidR="00F35F27" w:rsidRDefault="00F35F27" w:rsidP="00D9077E">
            <w:r w:rsidRPr="00D76CB3">
              <w:rPr>
                <w:noProof/>
              </w:rPr>
              <w:drawing>
                <wp:inline distT="0" distB="0" distL="0" distR="0" wp14:anchorId="0B31E16E" wp14:editId="73AEE98E">
                  <wp:extent cx="2685532" cy="2012950"/>
                  <wp:effectExtent l="0" t="0" r="635" b="635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5454" cy="2035378"/>
                          </a:xfrm>
                          <a:prstGeom prst="rect">
                            <a:avLst/>
                          </a:prstGeom>
                          <a:noFill/>
                          <a:ln>
                            <a:noFill/>
                          </a:ln>
                        </pic:spPr>
                      </pic:pic>
                    </a:graphicData>
                  </a:graphic>
                </wp:inline>
              </w:drawing>
            </w:r>
          </w:p>
        </w:tc>
      </w:tr>
      <w:tr w:rsidR="00F35F27" w:rsidRPr="00D76CB3" w14:paraId="421D16B9" w14:textId="77777777" w:rsidTr="00CF44CD">
        <w:tc>
          <w:tcPr>
            <w:tcW w:w="4746" w:type="dxa"/>
          </w:tcPr>
          <w:p w14:paraId="5DD7DE4D" w14:textId="644967E2" w:rsidR="00F35F27" w:rsidRDefault="00F35F27" w:rsidP="0004323D">
            <w:pPr>
              <w:jc w:val="left"/>
            </w:pPr>
            <w:r>
              <w:t>(a)</w:t>
            </w:r>
          </w:p>
        </w:tc>
        <w:tc>
          <w:tcPr>
            <w:tcW w:w="4446" w:type="dxa"/>
          </w:tcPr>
          <w:p w14:paraId="3D78107B" w14:textId="0B0674E0" w:rsidR="00F35F27" w:rsidRPr="00D76CB3" w:rsidRDefault="00F35F27" w:rsidP="0004323D">
            <w:pPr>
              <w:jc w:val="left"/>
            </w:pPr>
            <w:r>
              <w:t>(b)</w:t>
            </w:r>
          </w:p>
        </w:tc>
      </w:tr>
    </w:tbl>
    <w:p w14:paraId="5308DC0A" w14:textId="33B4F6DD" w:rsidR="00F35F27" w:rsidRPr="00CF44CD" w:rsidRDefault="00F35F27" w:rsidP="00CF44CD">
      <w:pPr>
        <w:pStyle w:val="CETCaption"/>
        <w:rPr>
          <w:rStyle w:val="CETCaptionCarattere"/>
        </w:rPr>
      </w:pPr>
      <w:r w:rsidRPr="00CF44CD">
        <w:rPr>
          <w:rStyle w:val="CETCaptionCarattere"/>
          <w:i/>
        </w:rPr>
        <w:t>Figure</w:t>
      </w:r>
      <w:r w:rsidRPr="00CF44CD">
        <w:rPr>
          <w:rStyle w:val="CETCaptionCarattere"/>
        </w:rPr>
        <w:t xml:space="preserve"> </w:t>
      </w:r>
      <w:r w:rsidR="0004323D">
        <w:rPr>
          <w:rStyle w:val="CETCaptionCarattere"/>
        </w:rPr>
        <w:t>2</w:t>
      </w:r>
      <w:r w:rsidRPr="00CF44CD">
        <w:rPr>
          <w:rStyle w:val="CETCaptionCarattere"/>
          <w:i/>
          <w:iCs/>
        </w:rPr>
        <w:t>. Neural Network Plot response (a) and Neural Network Plot Error Histogram (b) of the developed model</w:t>
      </w:r>
    </w:p>
    <w:p w14:paraId="2FE625A4" w14:textId="16A2FFDD" w:rsidR="00D767B5" w:rsidRPr="002861D5" w:rsidRDefault="00D767B5" w:rsidP="00D767B5">
      <w:pPr>
        <w:rPr>
          <w:b/>
          <w:bCs/>
        </w:rPr>
      </w:pPr>
      <w:r w:rsidRPr="002861D5">
        <w:rPr>
          <w:b/>
          <w:bCs/>
        </w:rPr>
        <w:t>2.2.2. Material balance: equilibrium models</w:t>
      </w:r>
    </w:p>
    <w:p w14:paraId="2B3EE337" w14:textId="77777777" w:rsidR="00D767B5" w:rsidRDefault="00D767B5" w:rsidP="00D767B5"/>
    <w:p w14:paraId="0973F87F" w14:textId="384F49F7" w:rsidR="00DF3004" w:rsidRDefault="00EE29BD" w:rsidP="00453E24">
      <w:pPr>
        <w:pStyle w:val="CETBodytext"/>
      </w:pPr>
      <w:r>
        <w:t xml:space="preserve">Modelling based on material balances and kinetic data were applied to each </w:t>
      </w:r>
      <w:r w:rsidR="00226A7B">
        <w:t xml:space="preserve">region. </w:t>
      </w:r>
      <w:r>
        <w:t xml:space="preserve">For the </w:t>
      </w:r>
      <w:r w:rsidRPr="00EB5109">
        <w:rPr>
          <w:i/>
          <w:iCs/>
        </w:rPr>
        <w:t>pyrolysis</w:t>
      </w:r>
      <w:r>
        <w:t xml:space="preserve"> zone, </w:t>
      </w:r>
      <w:r w:rsidR="00226A7B">
        <w:t>material balances describing the decomposition of the torrefied biomass were</w:t>
      </w:r>
      <w:r w:rsidRPr="00EE29BD">
        <w:t xml:space="preserve"> implemented </w:t>
      </w:r>
      <w:r>
        <w:t xml:space="preserve">and solved </w:t>
      </w:r>
      <w:r w:rsidRPr="00EE29BD">
        <w:t xml:space="preserve">on Simulink to determine the number of moles generated </w:t>
      </w:r>
      <w:r w:rsidR="00226A7B">
        <w:t xml:space="preserve">in the </w:t>
      </w:r>
      <w:r w:rsidRPr="00EE29BD">
        <w:t xml:space="preserve">reaction. </w:t>
      </w:r>
      <w:r w:rsidR="006722E5" w:rsidRPr="006722E5">
        <w:t xml:space="preserve">The initial feed was 700 g of biomass per zone (total of 2800 g). </w:t>
      </w:r>
      <w:r w:rsidR="000A2C05" w:rsidRPr="000A2C05">
        <w:t xml:space="preserve">The dry biomass molecular formula </w:t>
      </w:r>
      <w:r w:rsidR="00F10EBF">
        <w:t>(</w:t>
      </w:r>
      <m:oMath>
        <m:r>
          <w:rPr>
            <w:rFonts w:ascii="Cambria Math" w:hAnsi="Cambria Math"/>
          </w:rPr>
          <m:t>C</m:t>
        </m:r>
        <m:sSub>
          <m:sSubPr>
            <m:ctrlPr>
              <w:rPr>
                <w:rFonts w:ascii="Cambria Math" w:hAnsi="Cambria Math"/>
                <w:sz w:val="22"/>
                <w:szCs w:val="22"/>
              </w:rPr>
            </m:ctrlPr>
          </m:sSubPr>
          <m:e>
            <m:r>
              <w:rPr>
                <w:rFonts w:ascii="Cambria Math" w:hAnsi="Cambria Math"/>
              </w:rPr>
              <m:t>H</m:t>
            </m:r>
          </m:e>
          <m:sub>
            <m:r>
              <w:rPr>
                <w:rFonts w:ascii="Cambria Math" w:hAnsi="Cambria Math"/>
              </w:rPr>
              <m:t>1.4</m:t>
            </m:r>
          </m:sub>
        </m:sSub>
        <m:sSub>
          <m:sSubPr>
            <m:ctrlPr>
              <w:rPr>
                <w:rFonts w:ascii="Cambria Math" w:hAnsi="Cambria Math"/>
                <w:sz w:val="22"/>
                <w:szCs w:val="22"/>
              </w:rPr>
            </m:ctrlPr>
          </m:sSubPr>
          <m:e>
            <m:r>
              <w:rPr>
                <w:rFonts w:ascii="Cambria Math" w:hAnsi="Cambria Math"/>
              </w:rPr>
              <m:t>O</m:t>
            </m:r>
          </m:e>
          <m:sub>
            <m:r>
              <w:rPr>
                <w:rFonts w:ascii="Cambria Math" w:hAnsi="Cambria Math"/>
              </w:rPr>
              <m:t>0.68</m:t>
            </m:r>
          </m:sub>
        </m:sSub>
        <m:r>
          <w:rPr>
            <w:rFonts w:ascii="Cambria Math" w:hAnsi="Cambria Math"/>
            <w:sz w:val="22"/>
            <w:szCs w:val="22"/>
          </w:rPr>
          <m:t xml:space="preserve">) </m:t>
        </m:r>
      </m:oMath>
      <w:r w:rsidR="000A2C05">
        <w:t>wa</w:t>
      </w:r>
      <w:r w:rsidR="000A2C05" w:rsidRPr="000A2C05">
        <w:t>s determined from the ultimate analysis carried on the torr</w:t>
      </w:r>
      <w:r w:rsidR="004C6087">
        <w:t>e</w:t>
      </w:r>
      <w:r w:rsidR="000A2C05" w:rsidRPr="000A2C05">
        <w:t>fied Japanese Cedar</w:t>
      </w:r>
      <w:r w:rsidR="000A2C05">
        <w:t xml:space="preserve"> (</w:t>
      </w:r>
      <w:r w:rsidR="00720BFD">
        <w:t>Suzuki et al. 2020</w:t>
      </w:r>
      <w:r w:rsidR="000A2C05">
        <w:t xml:space="preserve">). </w:t>
      </w:r>
      <w:r w:rsidR="00DF3004">
        <w:t xml:space="preserve">The system was solved through </w:t>
      </w:r>
      <w:r w:rsidR="00226A7B" w:rsidRPr="000C357B">
        <w:t>three atomic balance</w:t>
      </w:r>
      <w:r w:rsidR="00DF3004">
        <w:t>s</w:t>
      </w:r>
      <w:r w:rsidR="00226A7B" w:rsidRPr="000C357B">
        <w:t xml:space="preserve"> (C, H and O) </w:t>
      </w:r>
      <w:r w:rsidR="00DF3004">
        <w:t xml:space="preserve">and three </w:t>
      </w:r>
      <w:r w:rsidR="00DF3004" w:rsidRPr="000C357B">
        <w:t>empirical correlations</w:t>
      </w:r>
      <w:r w:rsidR="00DF3004">
        <w:t xml:space="preserve"> (Eq 1-3)</w:t>
      </w:r>
      <w:r w:rsidR="00DF3004" w:rsidRPr="000C357B">
        <w:t xml:space="preserve"> between the mass ratios of the single components </w:t>
      </w:r>
      <w:r w:rsidR="00226A7B" w:rsidRPr="00E72660">
        <w:t>(Sharma AK, 20</w:t>
      </w:r>
      <w:r w:rsidR="006235CB" w:rsidRPr="00E72660">
        <w:t>11</w:t>
      </w:r>
      <w:r w:rsidR="00226A7B" w:rsidRPr="00E72660">
        <w:t>):</w:t>
      </w:r>
      <w:r w:rsidR="00226A7B" w:rsidRPr="000C357B">
        <w:t xml:space="preserve"> </w:t>
      </w:r>
    </w:p>
    <w:p w14:paraId="4AEDFD9E" w14:textId="2727770F" w:rsidR="007061EA" w:rsidRDefault="007061EA" w:rsidP="00453E24">
      <w:pPr>
        <w:pStyle w:val="CETBodytext"/>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7061EA" w14:paraId="0DCC8E7F" w14:textId="77777777" w:rsidTr="007061EA">
        <w:tc>
          <w:tcPr>
            <w:tcW w:w="4388" w:type="dxa"/>
          </w:tcPr>
          <w:p w14:paraId="745041B8" w14:textId="07994019" w:rsidR="007061EA" w:rsidRDefault="00000000" w:rsidP="00453E24">
            <w:pPr>
              <w:pStyle w:val="CETBodytext"/>
            </w:pPr>
            <m:oMathPara>
              <m:oMath>
                <m:sSub>
                  <m:sSubPr>
                    <m:ctrlPr>
                      <w:rPr>
                        <w:rFonts w:ascii="Cambria Math" w:hAnsi="Cambria Math"/>
                        <w:sz w:val="22"/>
                        <w:szCs w:val="22"/>
                      </w:rPr>
                    </m:ctrlPr>
                  </m:sSubPr>
                  <m:e>
                    <m:r>
                      <w:rPr>
                        <w:rFonts w:ascii="Cambria Math" w:hAnsi="Cambria Math"/>
                      </w:rPr>
                      <m:t>Y</m:t>
                    </m:r>
                  </m:e>
                  <m:sub>
                    <m:r>
                      <w:rPr>
                        <w:rFonts w:ascii="Cambria Math" w:hAnsi="Cambria Math"/>
                      </w:rPr>
                      <m:t>CO</m:t>
                    </m:r>
                    <m:r>
                      <w:rPr>
                        <w:rFonts w:ascii="Cambria Math" w:hAnsi="Cambria Math"/>
                        <w:lang w:val="it-IT"/>
                      </w:rPr>
                      <m:t>/</m:t>
                    </m:r>
                    <m:sSub>
                      <m:sSubPr>
                        <m:ctrlPr>
                          <w:rPr>
                            <w:rFonts w:ascii="Cambria Math" w:hAnsi="Cambria Math"/>
                            <w:sz w:val="22"/>
                            <w:szCs w:val="22"/>
                          </w:rPr>
                        </m:ctrlPr>
                      </m:sSubPr>
                      <m:e>
                        <m:r>
                          <w:rPr>
                            <w:rFonts w:ascii="Cambria Math" w:hAnsi="Cambria Math"/>
                          </w:rPr>
                          <m:t>CO</m:t>
                        </m:r>
                      </m:e>
                      <m:sub>
                        <m:r>
                          <w:rPr>
                            <w:rFonts w:ascii="Cambria Math" w:hAnsi="Cambria Math"/>
                            <w:lang w:val="it-IT"/>
                          </w:rPr>
                          <m:t>2</m:t>
                        </m:r>
                      </m:sub>
                    </m:sSub>
                  </m:sub>
                </m:sSub>
                <m:r>
                  <w:rPr>
                    <w:rFonts w:ascii="Cambria Math" w:hAnsi="Cambria Math"/>
                    <w:lang w:val="it-IT"/>
                  </w:rPr>
                  <m:t xml:space="preserve">= </m:t>
                </m:r>
                <m:sSup>
                  <m:sSupPr>
                    <m:ctrlPr>
                      <w:rPr>
                        <w:rFonts w:ascii="Cambria Math" w:hAnsi="Cambria Math"/>
                        <w:sz w:val="22"/>
                        <w:szCs w:val="22"/>
                      </w:rPr>
                    </m:ctrlPr>
                  </m:sSupPr>
                  <m:e>
                    <m:r>
                      <w:rPr>
                        <w:rFonts w:ascii="Cambria Math" w:hAnsi="Cambria Math"/>
                      </w:rPr>
                      <m:t>e</m:t>
                    </m:r>
                  </m:e>
                  <m:sup>
                    <m:r>
                      <w:rPr>
                        <w:rFonts w:ascii="Cambria Math" w:hAnsi="Cambria Math"/>
                        <w:lang w:val="it-IT"/>
                      </w:rPr>
                      <m:t>-1.845+</m:t>
                    </m:r>
                    <m:f>
                      <m:fPr>
                        <m:ctrlPr>
                          <w:rPr>
                            <w:rFonts w:ascii="Cambria Math" w:hAnsi="Cambria Math"/>
                            <w:sz w:val="22"/>
                            <w:szCs w:val="22"/>
                          </w:rPr>
                        </m:ctrlPr>
                      </m:fPr>
                      <m:num>
                        <m:r>
                          <w:rPr>
                            <w:rFonts w:ascii="Cambria Math" w:hAnsi="Cambria Math"/>
                            <w:lang w:val="it-IT"/>
                          </w:rPr>
                          <m:t>7730.3</m:t>
                        </m:r>
                      </m:num>
                      <m:den>
                        <m:r>
                          <w:rPr>
                            <w:rFonts w:ascii="Cambria Math" w:hAnsi="Cambria Math"/>
                          </w:rPr>
                          <m:t>T</m:t>
                        </m:r>
                      </m:den>
                    </m:f>
                    <m:r>
                      <w:rPr>
                        <w:rFonts w:ascii="Cambria Math" w:hAnsi="Cambria Math"/>
                        <w:lang w:val="it-IT"/>
                      </w:rPr>
                      <m:t>-</m:t>
                    </m:r>
                    <m:f>
                      <m:fPr>
                        <m:ctrlPr>
                          <w:rPr>
                            <w:rFonts w:ascii="Cambria Math" w:hAnsi="Cambria Math"/>
                            <w:sz w:val="22"/>
                            <w:szCs w:val="22"/>
                          </w:rPr>
                        </m:ctrlPr>
                      </m:fPr>
                      <m:num>
                        <m:r>
                          <w:rPr>
                            <w:rFonts w:ascii="Cambria Math" w:hAnsi="Cambria Math"/>
                            <w:lang w:val="it-IT"/>
                          </w:rPr>
                          <m:t>5019898</m:t>
                        </m:r>
                      </m:num>
                      <m:den>
                        <m:sSup>
                          <m:sSupPr>
                            <m:ctrlPr>
                              <w:rPr>
                                <w:rFonts w:ascii="Cambria Math" w:hAnsi="Cambria Math"/>
                                <w:sz w:val="22"/>
                                <w:szCs w:val="22"/>
                              </w:rPr>
                            </m:ctrlPr>
                          </m:sSupPr>
                          <m:e>
                            <m:r>
                              <w:rPr>
                                <w:rFonts w:ascii="Cambria Math" w:hAnsi="Cambria Math"/>
                              </w:rPr>
                              <m:t>T</m:t>
                            </m:r>
                          </m:e>
                          <m:sup>
                            <m:r>
                              <w:rPr>
                                <w:rFonts w:ascii="Cambria Math" w:hAnsi="Cambria Math"/>
                                <w:lang w:val="it-IT"/>
                              </w:rPr>
                              <m:t>2</m:t>
                            </m:r>
                          </m:sup>
                        </m:sSup>
                      </m:den>
                    </m:f>
                  </m:sup>
                </m:sSup>
                <m:r>
                  <w:rPr>
                    <w:rFonts w:ascii="Cambria Math" w:hAnsi="Cambria Math"/>
                    <w:sz w:val="22"/>
                    <w:szCs w:val="22"/>
                    <w:lang w:val="it-IT"/>
                  </w:rPr>
                  <m:t xml:space="preserve">                                   </m:t>
                </m:r>
              </m:oMath>
            </m:oMathPara>
          </w:p>
        </w:tc>
        <w:tc>
          <w:tcPr>
            <w:tcW w:w="4389" w:type="dxa"/>
          </w:tcPr>
          <w:p w14:paraId="5B358800" w14:textId="77752B8E" w:rsidR="007061EA" w:rsidRPr="007061EA" w:rsidRDefault="00E72660" w:rsidP="007061EA">
            <w:pPr>
              <w:pStyle w:val="Didascalia"/>
              <w:jc w:val="right"/>
              <w:rPr>
                <w:b w:val="0"/>
                <w:bCs w:val="0"/>
                <w:color w:val="auto"/>
                <w:lang w:val="it-IT"/>
              </w:rPr>
            </w:pPr>
            <w:r>
              <w:rPr>
                <w:b w:val="0"/>
                <w:bCs w:val="0"/>
                <w:color w:val="auto"/>
                <w:lang w:val="it-IT"/>
              </w:rPr>
              <w:t>(1)</w:t>
            </w:r>
          </w:p>
          <w:p w14:paraId="45F61D3D" w14:textId="77777777" w:rsidR="007061EA" w:rsidRDefault="007061EA" w:rsidP="00453E24">
            <w:pPr>
              <w:pStyle w:val="CETBodytext"/>
            </w:pPr>
          </w:p>
        </w:tc>
      </w:tr>
      <w:tr w:rsidR="007061EA" w14:paraId="737332F3" w14:textId="77777777" w:rsidTr="007061EA">
        <w:tc>
          <w:tcPr>
            <w:tcW w:w="4388" w:type="dxa"/>
          </w:tcPr>
          <w:p w14:paraId="7B834FBC" w14:textId="071FD305" w:rsidR="007061EA" w:rsidRDefault="00000000" w:rsidP="00453E24">
            <w:pPr>
              <w:pStyle w:val="CETBodytext"/>
            </w:pPr>
            <m:oMathPara>
              <m:oMath>
                <m:sSub>
                  <m:sSubPr>
                    <m:ctrlPr>
                      <w:rPr>
                        <w:rFonts w:ascii="Cambria Math" w:hAnsi="Cambria Math"/>
                        <w:sz w:val="22"/>
                        <w:szCs w:val="22"/>
                      </w:rPr>
                    </m:ctrlPr>
                  </m:sSubPr>
                  <m:e>
                    <m:r>
                      <w:rPr>
                        <w:rFonts w:ascii="Cambria Math" w:hAnsi="Cambria Math"/>
                      </w:rPr>
                      <m:t>Y</m:t>
                    </m:r>
                  </m:e>
                  <m:sub>
                    <m:f>
                      <m:fPr>
                        <m:ctrlPr>
                          <w:rPr>
                            <w:rFonts w:ascii="Cambria Math" w:hAnsi="Cambria Math"/>
                          </w:rPr>
                        </m:ctrlPr>
                      </m:fPr>
                      <m:num>
                        <m:sSub>
                          <m:sSubPr>
                            <m:ctrlPr>
                              <w:rPr>
                                <w:rFonts w:ascii="Cambria Math" w:hAnsi="Cambria Math"/>
                                <w:sz w:val="22"/>
                                <w:szCs w:val="22"/>
                              </w:rPr>
                            </m:ctrlPr>
                          </m:sSubPr>
                          <m:e>
                            <m:r>
                              <w:rPr>
                                <w:rFonts w:ascii="Cambria Math" w:hAnsi="Cambria Math"/>
                              </w:rPr>
                              <m:t>H</m:t>
                            </m:r>
                          </m:e>
                          <m:sub>
                            <m:r>
                              <w:rPr>
                                <w:rFonts w:ascii="Cambria Math" w:hAnsi="Cambria Math"/>
                                <w:lang w:val="it-IT"/>
                              </w:rPr>
                              <m:t>2</m:t>
                            </m:r>
                          </m:sub>
                        </m:sSub>
                        <m:r>
                          <w:rPr>
                            <w:rFonts w:ascii="Cambria Math" w:hAnsi="Cambria Math"/>
                          </w:rPr>
                          <m:t>O</m:t>
                        </m:r>
                      </m:num>
                      <m:den>
                        <m:sSub>
                          <m:sSubPr>
                            <m:ctrlPr>
                              <w:rPr>
                                <w:rFonts w:ascii="Cambria Math" w:hAnsi="Cambria Math"/>
                                <w:sz w:val="22"/>
                                <w:szCs w:val="22"/>
                              </w:rPr>
                            </m:ctrlPr>
                          </m:sSubPr>
                          <m:e>
                            <m:r>
                              <w:rPr>
                                <w:rFonts w:ascii="Cambria Math" w:hAnsi="Cambria Math"/>
                              </w:rPr>
                              <m:t>CO</m:t>
                            </m:r>
                          </m:e>
                          <m:sub>
                            <m:r>
                              <w:rPr>
                                <w:rFonts w:ascii="Cambria Math" w:hAnsi="Cambria Math"/>
                                <w:lang w:val="it-IT"/>
                              </w:rPr>
                              <m:t>2</m:t>
                            </m:r>
                          </m:sub>
                        </m:sSub>
                      </m:den>
                    </m:f>
                  </m:sub>
                </m:sSub>
                <m:r>
                  <w:rPr>
                    <w:rFonts w:ascii="Cambria Math" w:hAnsi="Cambria Math"/>
                    <w:lang w:val="it-IT"/>
                  </w:rPr>
                  <m:t xml:space="preserve">=1                                                                                  </m:t>
                </m:r>
              </m:oMath>
            </m:oMathPara>
          </w:p>
        </w:tc>
        <w:tc>
          <w:tcPr>
            <w:tcW w:w="4389" w:type="dxa"/>
          </w:tcPr>
          <w:p w14:paraId="1845F4EE" w14:textId="488202EC" w:rsidR="007061EA" w:rsidRPr="007061EA" w:rsidRDefault="00E72660" w:rsidP="007061EA">
            <w:pPr>
              <w:pStyle w:val="Didascalia"/>
              <w:jc w:val="right"/>
              <w:rPr>
                <w:b w:val="0"/>
                <w:bCs w:val="0"/>
                <w:color w:val="auto"/>
                <w:lang w:val="it-IT"/>
              </w:rPr>
            </w:pPr>
            <w:r>
              <w:rPr>
                <w:b w:val="0"/>
                <w:bCs w:val="0"/>
                <w:color w:val="auto"/>
                <w:lang w:val="it-IT"/>
              </w:rPr>
              <w:t>(</w:t>
            </w:r>
            <w:r w:rsidR="007061EA">
              <w:rPr>
                <w:b w:val="0"/>
                <w:bCs w:val="0"/>
                <w:color w:val="auto"/>
                <w:lang w:val="it-IT"/>
              </w:rPr>
              <w:t>2</w:t>
            </w:r>
            <w:r>
              <w:rPr>
                <w:b w:val="0"/>
                <w:bCs w:val="0"/>
                <w:color w:val="auto"/>
                <w:lang w:val="it-IT"/>
              </w:rPr>
              <w:t>)</w:t>
            </w:r>
          </w:p>
          <w:p w14:paraId="7796E8F0" w14:textId="77777777" w:rsidR="007061EA" w:rsidRDefault="007061EA" w:rsidP="00453E24">
            <w:pPr>
              <w:pStyle w:val="CETBodytext"/>
            </w:pPr>
          </w:p>
        </w:tc>
      </w:tr>
      <w:tr w:rsidR="007061EA" w14:paraId="5B2CE0A7" w14:textId="77777777" w:rsidTr="007061EA">
        <w:tc>
          <w:tcPr>
            <w:tcW w:w="4388" w:type="dxa"/>
          </w:tcPr>
          <w:p w14:paraId="2576868C" w14:textId="03F4B610" w:rsidR="007061EA" w:rsidRDefault="00000000" w:rsidP="00453E24">
            <w:pPr>
              <w:pStyle w:val="CETBodytext"/>
            </w:pPr>
            <m:oMathPara>
              <m:oMath>
                <m:sSub>
                  <m:sSubPr>
                    <m:ctrlPr>
                      <w:rPr>
                        <w:rFonts w:ascii="Cambria Math" w:hAnsi="Cambria Math"/>
                        <w:sz w:val="22"/>
                        <w:szCs w:val="22"/>
                      </w:rPr>
                    </m:ctrlPr>
                  </m:sSubPr>
                  <m:e>
                    <m:r>
                      <w:rPr>
                        <w:rFonts w:ascii="Cambria Math" w:hAnsi="Cambria Math"/>
                      </w:rPr>
                      <m:t>Y</m:t>
                    </m:r>
                  </m:e>
                  <m:sub>
                    <m:r>
                      <w:rPr>
                        <w:rFonts w:ascii="Cambria Math" w:hAnsi="Cambria Math"/>
                      </w:rPr>
                      <m:t>ME</m:t>
                    </m:r>
                    <m:r>
                      <w:rPr>
                        <w:rFonts w:ascii="Cambria Math" w:hAnsi="Cambria Math"/>
                        <w:lang w:val="it-IT"/>
                      </w:rPr>
                      <m:t>/</m:t>
                    </m:r>
                    <m:sSub>
                      <m:sSubPr>
                        <m:ctrlPr>
                          <w:rPr>
                            <w:rFonts w:ascii="Cambria Math" w:hAnsi="Cambria Math"/>
                            <w:sz w:val="22"/>
                            <w:szCs w:val="22"/>
                          </w:rPr>
                        </m:ctrlPr>
                      </m:sSubPr>
                      <m:e>
                        <m:r>
                          <w:rPr>
                            <w:rFonts w:ascii="Cambria Math" w:hAnsi="Cambria Math"/>
                          </w:rPr>
                          <m:t>CO</m:t>
                        </m:r>
                      </m:e>
                      <m:sub>
                        <m:r>
                          <w:rPr>
                            <w:rFonts w:ascii="Cambria Math" w:hAnsi="Cambria Math"/>
                            <w:lang w:val="it-IT"/>
                          </w:rPr>
                          <m:t>2</m:t>
                        </m:r>
                      </m:sub>
                    </m:sSub>
                  </m:sub>
                </m:sSub>
                <m:r>
                  <w:rPr>
                    <w:rFonts w:ascii="Cambria Math" w:hAnsi="Cambria Math"/>
                    <w:lang w:val="it-IT"/>
                  </w:rPr>
                  <m:t>=5×</m:t>
                </m:r>
                <m:sSup>
                  <m:sSupPr>
                    <m:ctrlPr>
                      <w:rPr>
                        <w:rFonts w:ascii="Cambria Math" w:hAnsi="Cambria Math"/>
                        <w:sz w:val="22"/>
                        <w:szCs w:val="22"/>
                      </w:rPr>
                    </m:ctrlPr>
                  </m:sSupPr>
                  <m:e>
                    <m:r>
                      <w:rPr>
                        <w:rFonts w:ascii="Cambria Math" w:hAnsi="Cambria Math"/>
                        <w:lang w:val="it-IT"/>
                      </w:rPr>
                      <m:t>10</m:t>
                    </m:r>
                  </m:e>
                  <m:sup>
                    <m:r>
                      <w:rPr>
                        <w:rFonts w:ascii="Cambria Math" w:hAnsi="Cambria Math"/>
                        <w:lang w:val="it-IT"/>
                      </w:rPr>
                      <m:t>-16</m:t>
                    </m:r>
                  </m:sup>
                </m:sSup>
                <m:sSup>
                  <m:sSupPr>
                    <m:ctrlPr>
                      <w:rPr>
                        <w:rFonts w:ascii="Cambria Math" w:hAnsi="Cambria Math"/>
                        <w:sz w:val="22"/>
                        <w:szCs w:val="22"/>
                      </w:rPr>
                    </m:ctrlPr>
                  </m:sSupPr>
                  <m:e>
                    <m:r>
                      <w:rPr>
                        <w:rFonts w:ascii="Cambria Math" w:hAnsi="Cambria Math"/>
                      </w:rPr>
                      <m:t>T</m:t>
                    </m:r>
                  </m:e>
                  <m:sup>
                    <m:r>
                      <w:rPr>
                        <w:rFonts w:ascii="Cambria Math" w:hAnsi="Cambria Math"/>
                        <w:lang w:val="it-IT"/>
                      </w:rPr>
                      <m:t>5.06</m:t>
                    </m:r>
                  </m:sup>
                </m:sSup>
                <m:r>
                  <w:rPr>
                    <w:rFonts w:ascii="Cambria Math" w:hAnsi="Cambria Math"/>
                    <w:sz w:val="22"/>
                    <w:szCs w:val="22"/>
                    <w:lang w:val="it-IT"/>
                  </w:rPr>
                  <m:t xml:space="preserve">                                        </m:t>
                </m:r>
              </m:oMath>
            </m:oMathPara>
          </w:p>
        </w:tc>
        <w:tc>
          <w:tcPr>
            <w:tcW w:w="4389" w:type="dxa"/>
          </w:tcPr>
          <w:p w14:paraId="5DA1C933" w14:textId="314E7625" w:rsidR="007061EA" w:rsidRPr="007061EA" w:rsidRDefault="00E72660" w:rsidP="007061EA">
            <w:pPr>
              <w:pStyle w:val="Didascalia"/>
              <w:jc w:val="right"/>
              <w:rPr>
                <w:b w:val="0"/>
                <w:bCs w:val="0"/>
                <w:color w:val="auto"/>
                <w:lang w:val="it-IT"/>
              </w:rPr>
            </w:pPr>
            <w:r>
              <w:rPr>
                <w:b w:val="0"/>
                <w:bCs w:val="0"/>
                <w:color w:val="auto"/>
                <w:lang w:val="it-IT"/>
              </w:rPr>
              <w:t>(</w:t>
            </w:r>
            <w:r w:rsidR="007061EA">
              <w:rPr>
                <w:b w:val="0"/>
                <w:bCs w:val="0"/>
                <w:color w:val="auto"/>
                <w:lang w:val="it-IT"/>
              </w:rPr>
              <w:t>3</w:t>
            </w:r>
            <w:r>
              <w:rPr>
                <w:b w:val="0"/>
                <w:bCs w:val="0"/>
                <w:color w:val="auto"/>
                <w:lang w:val="it-IT"/>
              </w:rPr>
              <w:t>)</w:t>
            </w:r>
          </w:p>
          <w:p w14:paraId="4F145C7C" w14:textId="77777777" w:rsidR="007061EA" w:rsidRDefault="007061EA" w:rsidP="00453E24">
            <w:pPr>
              <w:pStyle w:val="CETBodytext"/>
            </w:pPr>
          </w:p>
        </w:tc>
      </w:tr>
    </w:tbl>
    <w:p w14:paraId="300F3A11" w14:textId="77777777" w:rsidR="007061EA" w:rsidRDefault="007061EA" w:rsidP="00453E24">
      <w:pPr>
        <w:pStyle w:val="CETBodytext"/>
      </w:pPr>
    </w:p>
    <w:p w14:paraId="10F2CE4C" w14:textId="33FE1228" w:rsidR="00EE29BD" w:rsidRDefault="000A2C05" w:rsidP="00EE29BD">
      <w:pPr>
        <w:pStyle w:val="CETBodytext"/>
      </w:pPr>
      <w:r>
        <w:t>Being ME a m</w:t>
      </w:r>
      <w:r w:rsidR="007061EA">
        <w:t>i</w:t>
      </w:r>
      <w:r>
        <w:t xml:space="preserve">x of methane and ethylene </w:t>
      </w:r>
      <w:r w:rsidRPr="00E72660">
        <w:t xml:space="preserve">with molecular formula </w:t>
      </w:r>
      <w:r w:rsidRPr="00E72660">
        <w:rPr>
          <w:rFonts w:ascii="Cambria Math" w:hAnsi="Cambria Math" w:cs="Cambria Math"/>
        </w:rPr>
        <w:t>𝐶</w:t>
      </w:r>
      <w:r w:rsidRPr="00E72660">
        <w:rPr>
          <w:vertAlign w:val="subscript"/>
        </w:rPr>
        <w:t>1.16</w:t>
      </w:r>
      <w:r w:rsidRPr="00E72660">
        <w:rPr>
          <w:rFonts w:ascii="Cambria Math" w:hAnsi="Cambria Math" w:cs="Cambria Math"/>
        </w:rPr>
        <w:t>𝐻</w:t>
      </w:r>
      <w:r w:rsidRPr="00E72660">
        <w:rPr>
          <w:vertAlign w:val="subscript"/>
        </w:rPr>
        <w:t>4</w:t>
      </w:r>
      <w:r w:rsidRPr="00E72660">
        <w:t xml:space="preserve"> (Sharma A., 2011)</w:t>
      </w:r>
      <w:r w:rsidR="006235CB" w:rsidRPr="00E72660">
        <w:t>.</w:t>
      </w:r>
      <w:r w:rsidRPr="00E72660">
        <w:t xml:space="preserve"> The char yields from the wood constituents </w:t>
      </w:r>
      <w:r w:rsidR="00054CCA" w:rsidRPr="00E72660">
        <w:t>was</w:t>
      </w:r>
      <w:r w:rsidRPr="00E72660">
        <w:t xml:space="preserve"> </w:t>
      </w:r>
      <w:r w:rsidR="00054CCA">
        <w:t xml:space="preserve">considered as </w:t>
      </w:r>
      <w:r w:rsidRPr="00E72660">
        <w:t xml:space="preserve">pure carbon. Tar molecular formula was approximated to </w:t>
      </w:r>
      <w:r w:rsidRPr="00E72660">
        <w:rPr>
          <w:rFonts w:ascii="Cambria Math" w:hAnsi="Cambria Math" w:cs="Cambria Math"/>
        </w:rPr>
        <w:t>𝐶</w:t>
      </w:r>
      <w:r w:rsidRPr="00E72660">
        <w:rPr>
          <w:vertAlign w:val="subscript"/>
        </w:rPr>
        <w:t>6</w:t>
      </w:r>
      <w:r w:rsidRPr="00E72660">
        <w:rPr>
          <w:rFonts w:ascii="Cambria Math" w:hAnsi="Cambria Math" w:cs="Cambria Math"/>
        </w:rPr>
        <w:t>𝐻</w:t>
      </w:r>
      <w:r w:rsidRPr="00E72660">
        <w:rPr>
          <w:vertAlign w:val="subscript"/>
        </w:rPr>
        <w:t>6.2</w:t>
      </w:r>
      <w:r w:rsidRPr="00E72660">
        <w:rPr>
          <w:rFonts w:ascii="Cambria Math" w:hAnsi="Cambria Math" w:cs="Cambria Math"/>
        </w:rPr>
        <w:t>𝑂</w:t>
      </w:r>
      <w:r w:rsidRPr="00E72660">
        <w:rPr>
          <w:vertAlign w:val="subscript"/>
        </w:rPr>
        <w:t>0.2</w:t>
      </w:r>
      <w:r w:rsidRPr="00E72660">
        <w:t xml:space="preserve"> in accordance </w:t>
      </w:r>
      <w:r w:rsidR="00E72660" w:rsidRPr="00E72660">
        <w:t>with</w:t>
      </w:r>
      <w:r w:rsidRPr="00E72660">
        <w:t xml:space="preserve"> </w:t>
      </w:r>
      <w:proofErr w:type="spellStart"/>
      <w:r w:rsidRPr="00E72660">
        <w:t>Thunman</w:t>
      </w:r>
      <w:proofErr w:type="spellEnd"/>
      <w:r w:rsidRPr="00E72660">
        <w:t xml:space="preserve"> (</w:t>
      </w:r>
      <w:proofErr w:type="spellStart"/>
      <w:r w:rsidRPr="00E72660">
        <w:t>Thunman</w:t>
      </w:r>
      <w:proofErr w:type="spellEnd"/>
      <w:r w:rsidRPr="00E72660">
        <w:t xml:space="preserve"> H, 2011). The proportion of wood constituents, cellulose, </w:t>
      </w:r>
      <w:proofErr w:type="gramStart"/>
      <w:r w:rsidRPr="00E72660">
        <w:t>hemicellulose</w:t>
      </w:r>
      <w:proofErr w:type="gramEnd"/>
      <w:r w:rsidRPr="00E72660">
        <w:t xml:space="preserve"> and lignin </w:t>
      </w:r>
      <w:r w:rsidR="006722E5" w:rsidRPr="00E72660">
        <w:t xml:space="preserve">in Table 1 </w:t>
      </w:r>
      <w:r w:rsidRPr="00E72660">
        <w:t>(Tillman DA, 1981)</w:t>
      </w:r>
      <w:r>
        <w:t xml:space="preserve"> was used to determine the </w:t>
      </w:r>
      <w:r w:rsidR="00F10EBF">
        <w:t xml:space="preserve">char and </w:t>
      </w:r>
      <w:r>
        <w:t>volatiles yield</w:t>
      </w:r>
      <w:r w:rsidR="00F10EBF">
        <w:t xml:space="preserve"> (Eq. 4 and Eq. 5).</w:t>
      </w:r>
    </w:p>
    <w:p w14:paraId="1DCBD50F" w14:textId="2FB963D0" w:rsidR="007061EA" w:rsidRDefault="007061EA" w:rsidP="00EE29BD">
      <w:pPr>
        <w:pStyle w:val="CETBodytext"/>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1424"/>
        <w:gridCol w:w="2965"/>
      </w:tblGrid>
      <w:tr w:rsidR="007061EA" w14:paraId="5CA45E1D" w14:textId="77777777" w:rsidTr="007061EA">
        <w:tc>
          <w:tcPr>
            <w:tcW w:w="5812" w:type="dxa"/>
            <w:gridSpan w:val="2"/>
          </w:tcPr>
          <w:bookmarkStart w:id="0" w:name="_Ref23239555"/>
          <w:bookmarkStart w:id="1" w:name="_Ref23239532"/>
          <w:p w14:paraId="24BF09E7" w14:textId="2BF8BF34" w:rsidR="007061EA" w:rsidRDefault="00000000" w:rsidP="00C45559">
            <w:pPr>
              <w:pStyle w:val="CETBodytext"/>
            </w:pPr>
            <m:oMathPara>
              <m:oMath>
                <m:sSub>
                  <m:sSubPr>
                    <m:ctrlPr>
                      <w:rPr>
                        <w:rFonts w:ascii="Cambria Math" w:hAnsi="Cambria Math"/>
                      </w:rPr>
                    </m:ctrlPr>
                  </m:sSubPr>
                  <m:e>
                    <m:r>
                      <w:rPr>
                        <w:rFonts w:ascii="Cambria Math" w:hAnsi="Cambria Math"/>
                      </w:rPr>
                      <m:t>Y</m:t>
                    </m:r>
                  </m:e>
                  <m:sub>
                    <m:r>
                      <w:rPr>
                        <w:rFonts w:ascii="Cambria Math" w:hAnsi="Cambria Math"/>
                      </w:rPr>
                      <m:t>char,ash-free</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cellulose</m:t>
                    </m:r>
                  </m:sub>
                </m:sSub>
                <m:sSub>
                  <m:sSubPr>
                    <m:ctrlPr>
                      <w:rPr>
                        <w:rFonts w:ascii="Cambria Math" w:hAnsi="Cambria Math"/>
                      </w:rPr>
                    </m:ctrlPr>
                  </m:sSubPr>
                  <m:e>
                    <m:r>
                      <w:rPr>
                        <w:rFonts w:ascii="Cambria Math" w:hAnsi="Cambria Math"/>
                      </w:rPr>
                      <m:t>Y</m:t>
                    </m:r>
                  </m:e>
                  <m:sub>
                    <m:r>
                      <w:rPr>
                        <w:rFonts w:ascii="Cambria Math" w:hAnsi="Cambria Math"/>
                      </w:rPr>
                      <m:t>char</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hemicellulose</m:t>
                    </m:r>
                  </m:sub>
                </m:sSub>
                <m:sSub>
                  <m:sSubPr>
                    <m:ctrlPr>
                      <w:rPr>
                        <w:rFonts w:ascii="Cambria Math" w:hAnsi="Cambria Math"/>
                      </w:rPr>
                    </m:ctrlPr>
                  </m:sSubPr>
                  <m:e>
                    <m:r>
                      <w:rPr>
                        <w:rFonts w:ascii="Cambria Math" w:hAnsi="Cambria Math"/>
                      </w:rPr>
                      <m:t>γ</m:t>
                    </m:r>
                  </m:e>
                  <m:sub>
                    <m:r>
                      <w:rPr>
                        <w:rFonts w:ascii="Cambria Math" w:hAnsi="Cambria Math"/>
                      </w:rPr>
                      <m:t>char</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lignin</m:t>
                    </m:r>
                  </m:sub>
                </m:sSub>
                <m:sSub>
                  <m:sSubPr>
                    <m:ctrlPr>
                      <w:rPr>
                        <w:rFonts w:ascii="Cambria Math" w:hAnsi="Cambria Math"/>
                      </w:rPr>
                    </m:ctrlPr>
                  </m:sSubPr>
                  <m:e>
                    <m:r>
                      <w:rPr>
                        <w:rFonts w:ascii="Cambria Math" w:hAnsi="Cambria Math"/>
                      </w:rPr>
                      <m:t>f</m:t>
                    </m:r>
                  </m:e>
                  <m:sub>
                    <m:r>
                      <w:rPr>
                        <w:rFonts w:ascii="Cambria Math" w:hAnsi="Cambria Math"/>
                      </w:rPr>
                      <m:t xml:space="preserve">char    </m:t>
                    </m:r>
                  </m:sub>
                </m:sSub>
                <w:bookmarkEnd w:id="0"/>
                <w:bookmarkEnd w:id="1"/>
                <m:r>
                  <w:rPr>
                    <w:rFonts w:ascii="Cambria Math" w:hAnsi="Cambria Math"/>
                  </w:rPr>
                  <m:t xml:space="preserve">        </m:t>
                </m:r>
              </m:oMath>
            </m:oMathPara>
          </w:p>
        </w:tc>
        <w:tc>
          <w:tcPr>
            <w:tcW w:w="2965" w:type="dxa"/>
          </w:tcPr>
          <w:p w14:paraId="4FEBB962" w14:textId="2CC1FB07" w:rsidR="007061EA" w:rsidRPr="007061EA" w:rsidRDefault="007061EA" w:rsidP="00C45559">
            <w:pPr>
              <w:pStyle w:val="Didascalia"/>
              <w:jc w:val="right"/>
              <w:rPr>
                <w:b w:val="0"/>
                <w:bCs w:val="0"/>
                <w:color w:val="auto"/>
                <w:lang w:val="it-IT"/>
              </w:rPr>
            </w:pPr>
            <w:proofErr w:type="spellStart"/>
            <w:r w:rsidRPr="007061EA">
              <w:rPr>
                <w:b w:val="0"/>
                <w:bCs w:val="0"/>
                <w:color w:val="auto"/>
                <w:lang w:val="it-IT"/>
              </w:rPr>
              <w:t>Eq</w:t>
            </w:r>
            <w:proofErr w:type="spellEnd"/>
            <w:r w:rsidRPr="007061EA">
              <w:rPr>
                <w:b w:val="0"/>
                <w:bCs w:val="0"/>
                <w:color w:val="auto"/>
                <w:lang w:val="it-IT"/>
              </w:rPr>
              <w:t xml:space="preserve">. </w:t>
            </w:r>
            <w:r>
              <w:rPr>
                <w:b w:val="0"/>
                <w:bCs w:val="0"/>
                <w:color w:val="auto"/>
                <w:lang w:val="it-IT"/>
              </w:rPr>
              <w:t>4</w:t>
            </w:r>
          </w:p>
          <w:p w14:paraId="2133D5F8" w14:textId="77777777" w:rsidR="007061EA" w:rsidRDefault="007061EA" w:rsidP="00C45559">
            <w:pPr>
              <w:pStyle w:val="CETBodytext"/>
            </w:pPr>
          </w:p>
        </w:tc>
      </w:tr>
      <w:tr w:rsidR="007061EA" w14:paraId="095A503E" w14:textId="77777777" w:rsidTr="007061EA">
        <w:tc>
          <w:tcPr>
            <w:tcW w:w="4388" w:type="dxa"/>
          </w:tcPr>
          <w:p w14:paraId="28BB6244" w14:textId="565E7AF2" w:rsidR="007061EA" w:rsidRDefault="00000000" w:rsidP="00C45559">
            <w:pPr>
              <w:pStyle w:val="CETBodytext"/>
            </w:pPr>
            <m:oMathPara>
              <m:oMath>
                <m:sSub>
                  <m:sSubPr>
                    <m:ctrlPr>
                      <w:rPr>
                        <w:rFonts w:ascii="Cambria Math" w:hAnsi="Cambria Math"/>
                      </w:rPr>
                    </m:ctrlPr>
                  </m:sSubPr>
                  <m:e>
                    <m:r>
                      <w:rPr>
                        <w:rFonts w:ascii="Cambria Math" w:hAnsi="Cambria Math"/>
                      </w:rPr>
                      <m:t>Y</m:t>
                    </m:r>
                  </m:e>
                  <m:sub>
                    <m:r>
                      <w:rPr>
                        <w:rFonts w:ascii="Cambria Math" w:hAnsi="Cambria Math"/>
                      </w:rPr>
                      <m:t>vol</m:t>
                    </m:r>
                  </m:sub>
                </m:sSub>
                <m:r>
                  <w:rPr>
                    <w:rFonts w:ascii="Cambria Math" w:hAnsi="Cambria Math"/>
                  </w:rPr>
                  <m:t>=1-</m:t>
                </m:r>
                <m:sSub>
                  <m:sSubPr>
                    <m:ctrlPr>
                      <w:rPr>
                        <w:rFonts w:ascii="Cambria Math" w:hAnsi="Cambria Math"/>
                      </w:rPr>
                    </m:ctrlPr>
                  </m:sSubPr>
                  <m:e>
                    <m:r>
                      <w:rPr>
                        <w:rFonts w:ascii="Cambria Math" w:hAnsi="Cambria Math"/>
                      </w:rPr>
                      <m:t>Y</m:t>
                    </m:r>
                  </m:e>
                  <m:sub>
                    <m:r>
                      <w:rPr>
                        <w:rFonts w:ascii="Cambria Math" w:hAnsi="Cambria Math"/>
                      </w:rPr>
                      <m:t>char,ash-free</m:t>
                    </m:r>
                  </m:sub>
                </m:sSub>
                <m:r>
                  <w:rPr>
                    <w:rFonts w:ascii="Cambria Math" w:hAnsi="Cambria Math"/>
                  </w:rPr>
                  <m:t xml:space="preserve">                                                    </m:t>
                </m:r>
              </m:oMath>
            </m:oMathPara>
          </w:p>
        </w:tc>
        <w:tc>
          <w:tcPr>
            <w:tcW w:w="4389" w:type="dxa"/>
            <w:gridSpan w:val="2"/>
          </w:tcPr>
          <w:p w14:paraId="37B59B7A" w14:textId="65566B36" w:rsidR="007061EA" w:rsidRPr="007061EA" w:rsidRDefault="007061EA" w:rsidP="00C45559">
            <w:pPr>
              <w:pStyle w:val="Didascalia"/>
              <w:jc w:val="right"/>
              <w:rPr>
                <w:b w:val="0"/>
                <w:bCs w:val="0"/>
                <w:color w:val="auto"/>
                <w:lang w:val="it-IT"/>
              </w:rPr>
            </w:pPr>
            <w:proofErr w:type="spellStart"/>
            <w:r w:rsidRPr="007061EA">
              <w:rPr>
                <w:b w:val="0"/>
                <w:bCs w:val="0"/>
                <w:color w:val="auto"/>
                <w:lang w:val="it-IT"/>
              </w:rPr>
              <w:t>Eq</w:t>
            </w:r>
            <w:proofErr w:type="spellEnd"/>
            <w:r w:rsidRPr="007061EA">
              <w:rPr>
                <w:b w:val="0"/>
                <w:bCs w:val="0"/>
                <w:color w:val="auto"/>
                <w:lang w:val="it-IT"/>
              </w:rPr>
              <w:t xml:space="preserve">. </w:t>
            </w:r>
            <w:r>
              <w:rPr>
                <w:b w:val="0"/>
                <w:bCs w:val="0"/>
                <w:color w:val="auto"/>
                <w:lang w:val="it-IT"/>
              </w:rPr>
              <w:t>5</w:t>
            </w:r>
          </w:p>
          <w:p w14:paraId="4D1A69D1" w14:textId="77777777" w:rsidR="007061EA" w:rsidRDefault="007061EA" w:rsidP="00C45559">
            <w:pPr>
              <w:pStyle w:val="CETBodytext"/>
            </w:pPr>
          </w:p>
        </w:tc>
      </w:tr>
    </w:tbl>
    <w:p w14:paraId="6DD5B229" w14:textId="033EB5D1" w:rsidR="006722E5" w:rsidRPr="00B57B36" w:rsidRDefault="007061EA" w:rsidP="006722E5">
      <w:pPr>
        <w:pStyle w:val="CETTabletitle"/>
      </w:pPr>
      <w:r>
        <w:t>T</w:t>
      </w:r>
      <w:r w:rsidR="006722E5" w:rsidRPr="00B57B36">
        <w:t xml:space="preserve">able 1: </w:t>
      </w:r>
      <w:r w:rsidR="00C60D1F" w:rsidRPr="00C60D1F">
        <w:t xml:space="preserve">Proportion of the constituents and fractional char </w:t>
      </w:r>
      <w:r w:rsidR="00C60D1F" w:rsidRPr="00E72660">
        <w:t>yield (Tillman</w:t>
      </w:r>
      <w:r w:rsidR="006235CB" w:rsidRPr="00E72660">
        <w:t>, 2011</w:t>
      </w:r>
      <w:r w:rsidR="00C60D1F">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841"/>
        <w:gridCol w:w="1134"/>
        <w:gridCol w:w="1134"/>
        <w:gridCol w:w="1134"/>
        <w:gridCol w:w="1134"/>
      </w:tblGrid>
      <w:tr w:rsidR="006722E5" w:rsidRPr="00B57B36" w14:paraId="12CE2259" w14:textId="77777777" w:rsidTr="00C60D1F">
        <w:tc>
          <w:tcPr>
            <w:tcW w:w="1841" w:type="dxa"/>
            <w:tcBorders>
              <w:top w:val="single" w:sz="12" w:space="0" w:color="008000"/>
              <w:bottom w:val="single" w:sz="6" w:space="0" w:color="008000"/>
            </w:tcBorders>
            <w:shd w:val="clear" w:color="auto" w:fill="FFFFFF"/>
          </w:tcPr>
          <w:p w14:paraId="3A20D40B" w14:textId="01E3A676" w:rsidR="006722E5" w:rsidRPr="00B57B36" w:rsidRDefault="00C60D1F" w:rsidP="00C45559">
            <w:pPr>
              <w:pStyle w:val="CETBodytext"/>
              <w:rPr>
                <w:lang w:val="en-GB"/>
              </w:rPr>
            </w:pPr>
            <w:r w:rsidRPr="00C60D1F">
              <w:rPr>
                <w:lang w:val="en-GB"/>
              </w:rPr>
              <w:t>Biomass Constituents</w:t>
            </w:r>
          </w:p>
        </w:tc>
        <w:tc>
          <w:tcPr>
            <w:tcW w:w="1134" w:type="dxa"/>
            <w:tcBorders>
              <w:top w:val="single" w:sz="12" w:space="0" w:color="008000"/>
              <w:bottom w:val="single" w:sz="6" w:space="0" w:color="008000"/>
            </w:tcBorders>
            <w:shd w:val="clear" w:color="auto" w:fill="FFFFFF"/>
          </w:tcPr>
          <w:p w14:paraId="18737B4C" w14:textId="77F41CA3" w:rsidR="006722E5" w:rsidRPr="00B57B36" w:rsidRDefault="00C60D1F" w:rsidP="00C45559">
            <w:pPr>
              <w:pStyle w:val="CETBodytext"/>
              <w:rPr>
                <w:lang w:val="en-GB"/>
              </w:rPr>
            </w:pPr>
            <w:r w:rsidRPr="00C60D1F">
              <w:rPr>
                <w:lang w:val="en-GB"/>
              </w:rPr>
              <w:t>Cellulose</w:t>
            </w:r>
          </w:p>
        </w:tc>
        <w:tc>
          <w:tcPr>
            <w:tcW w:w="1134" w:type="dxa"/>
            <w:tcBorders>
              <w:top w:val="single" w:sz="12" w:space="0" w:color="008000"/>
              <w:bottom w:val="single" w:sz="6" w:space="0" w:color="008000"/>
            </w:tcBorders>
            <w:shd w:val="clear" w:color="auto" w:fill="FFFFFF"/>
          </w:tcPr>
          <w:p w14:paraId="214DC929" w14:textId="24881514" w:rsidR="006722E5" w:rsidRPr="00B57B36" w:rsidRDefault="00C60D1F" w:rsidP="00C45559">
            <w:pPr>
              <w:pStyle w:val="CETBodytext"/>
              <w:rPr>
                <w:lang w:val="en-GB"/>
              </w:rPr>
            </w:pPr>
            <w:r w:rsidRPr="00C60D1F">
              <w:rPr>
                <w:lang w:val="en-GB"/>
              </w:rPr>
              <w:t>Hemicellulose</w:t>
            </w:r>
          </w:p>
        </w:tc>
        <w:tc>
          <w:tcPr>
            <w:tcW w:w="1134" w:type="dxa"/>
            <w:tcBorders>
              <w:top w:val="single" w:sz="12" w:space="0" w:color="008000"/>
              <w:bottom w:val="single" w:sz="6" w:space="0" w:color="008000"/>
            </w:tcBorders>
            <w:shd w:val="clear" w:color="auto" w:fill="FFFFFF"/>
          </w:tcPr>
          <w:p w14:paraId="402AE65D" w14:textId="77777777" w:rsidR="006722E5" w:rsidRPr="00B57B36" w:rsidRDefault="006722E5" w:rsidP="00C45559">
            <w:pPr>
              <w:pStyle w:val="CETBodytext"/>
              <w:ind w:right="-1"/>
              <w:rPr>
                <w:rFonts w:cs="Arial"/>
                <w:szCs w:val="18"/>
                <w:lang w:val="en-GB"/>
              </w:rPr>
            </w:pPr>
          </w:p>
        </w:tc>
        <w:tc>
          <w:tcPr>
            <w:tcW w:w="1134" w:type="dxa"/>
            <w:tcBorders>
              <w:top w:val="single" w:sz="12" w:space="0" w:color="008000"/>
              <w:bottom w:val="single" w:sz="6" w:space="0" w:color="008000"/>
            </w:tcBorders>
            <w:shd w:val="clear" w:color="auto" w:fill="FFFFFF"/>
          </w:tcPr>
          <w:p w14:paraId="48D447AA" w14:textId="4FB8B08E" w:rsidR="006722E5" w:rsidRPr="00B57B36" w:rsidRDefault="00C60D1F" w:rsidP="00C45559">
            <w:pPr>
              <w:pStyle w:val="CETBodytext"/>
              <w:ind w:right="-1"/>
              <w:rPr>
                <w:rFonts w:cs="Arial"/>
                <w:szCs w:val="18"/>
                <w:lang w:val="en-GB"/>
              </w:rPr>
            </w:pPr>
            <w:r w:rsidRPr="00C60D1F">
              <w:rPr>
                <w:rFonts w:cs="Arial"/>
                <w:szCs w:val="18"/>
                <w:lang w:val="en-GB"/>
              </w:rPr>
              <w:t>Lignin</w:t>
            </w:r>
          </w:p>
        </w:tc>
      </w:tr>
      <w:tr w:rsidR="006722E5" w:rsidRPr="00B57B36" w14:paraId="565ADCE9" w14:textId="77777777" w:rsidTr="00C60D1F">
        <w:tc>
          <w:tcPr>
            <w:tcW w:w="1841" w:type="dxa"/>
            <w:shd w:val="clear" w:color="auto" w:fill="FFFFFF"/>
          </w:tcPr>
          <w:p w14:paraId="09085ECB" w14:textId="3B5F013C" w:rsidR="006722E5" w:rsidRPr="00B57B36" w:rsidRDefault="00C60D1F" w:rsidP="00C45559">
            <w:pPr>
              <w:pStyle w:val="CETBodytext"/>
              <w:rPr>
                <w:lang w:val="en-GB"/>
              </w:rPr>
            </w:pPr>
            <w:r w:rsidRPr="00C60D1F">
              <w:rPr>
                <w:lang w:val="en-GB"/>
              </w:rPr>
              <w:t>Fractional Char yield</w:t>
            </w:r>
          </w:p>
        </w:tc>
        <w:tc>
          <w:tcPr>
            <w:tcW w:w="1134" w:type="dxa"/>
            <w:shd w:val="clear" w:color="auto" w:fill="FFFFFF"/>
          </w:tcPr>
          <w:p w14:paraId="2129368A" w14:textId="375B0375" w:rsidR="006722E5" w:rsidRPr="00B57B36" w:rsidRDefault="00C60D1F" w:rsidP="00C45559">
            <w:pPr>
              <w:pStyle w:val="CETBodytext"/>
              <w:rPr>
                <w:lang w:val="en-GB"/>
              </w:rPr>
            </w:pPr>
            <w:r w:rsidRPr="00C60D1F">
              <w:rPr>
                <w:lang w:val="en-GB"/>
              </w:rPr>
              <w:t>0.05</w:t>
            </w:r>
          </w:p>
        </w:tc>
        <w:tc>
          <w:tcPr>
            <w:tcW w:w="1134" w:type="dxa"/>
            <w:shd w:val="clear" w:color="auto" w:fill="FFFFFF"/>
          </w:tcPr>
          <w:p w14:paraId="451E06BA" w14:textId="24084002" w:rsidR="006722E5" w:rsidRPr="00B57B36" w:rsidRDefault="00C60D1F" w:rsidP="00C45559">
            <w:pPr>
              <w:pStyle w:val="CETBodytext"/>
              <w:rPr>
                <w:lang w:val="en-GB"/>
              </w:rPr>
            </w:pPr>
            <w:r w:rsidRPr="00C60D1F">
              <w:rPr>
                <w:lang w:val="en-GB"/>
              </w:rPr>
              <w:t>0.10</w:t>
            </w:r>
          </w:p>
        </w:tc>
        <w:tc>
          <w:tcPr>
            <w:tcW w:w="1134" w:type="dxa"/>
            <w:shd w:val="clear" w:color="auto" w:fill="FFFFFF"/>
          </w:tcPr>
          <w:p w14:paraId="2BF4E90F" w14:textId="77777777" w:rsidR="006722E5" w:rsidRPr="00B57B36" w:rsidRDefault="006722E5" w:rsidP="00C45559">
            <w:pPr>
              <w:pStyle w:val="CETBodytext"/>
              <w:ind w:right="-1"/>
              <w:rPr>
                <w:rFonts w:cs="Arial"/>
                <w:szCs w:val="18"/>
                <w:lang w:val="en-GB"/>
              </w:rPr>
            </w:pPr>
          </w:p>
        </w:tc>
        <w:tc>
          <w:tcPr>
            <w:tcW w:w="1134" w:type="dxa"/>
            <w:shd w:val="clear" w:color="auto" w:fill="FFFFFF"/>
          </w:tcPr>
          <w:p w14:paraId="6D9DB5F8" w14:textId="6EC9BAD3" w:rsidR="006722E5" w:rsidRPr="00B57B36" w:rsidRDefault="00C60D1F" w:rsidP="00C45559">
            <w:pPr>
              <w:pStyle w:val="CETBodytext"/>
              <w:ind w:right="-1"/>
              <w:rPr>
                <w:rFonts w:cs="Arial"/>
                <w:szCs w:val="18"/>
                <w:lang w:val="en-GB"/>
              </w:rPr>
            </w:pPr>
            <w:r w:rsidRPr="00C60D1F">
              <w:rPr>
                <w:rFonts w:cs="Arial"/>
                <w:szCs w:val="18"/>
                <w:lang w:val="en-GB"/>
              </w:rPr>
              <w:t>0.55</w:t>
            </w:r>
          </w:p>
        </w:tc>
      </w:tr>
      <w:tr w:rsidR="006722E5" w:rsidRPr="00B57B36" w14:paraId="47CC9F54" w14:textId="77777777" w:rsidTr="00C60D1F">
        <w:tc>
          <w:tcPr>
            <w:tcW w:w="1841" w:type="dxa"/>
            <w:shd w:val="clear" w:color="auto" w:fill="FFFFFF"/>
          </w:tcPr>
          <w:p w14:paraId="76D9AD2F" w14:textId="59820BD8" w:rsidR="006722E5" w:rsidRPr="00B57B36" w:rsidRDefault="00C60D1F" w:rsidP="00C45559">
            <w:pPr>
              <w:pStyle w:val="CETBodytext"/>
              <w:ind w:right="-1"/>
              <w:rPr>
                <w:rFonts w:cs="Arial"/>
                <w:szCs w:val="18"/>
                <w:lang w:val="en-GB"/>
              </w:rPr>
            </w:pPr>
            <w:r w:rsidRPr="00C60D1F">
              <w:rPr>
                <w:rFonts w:cs="Arial"/>
                <w:szCs w:val="18"/>
                <w:lang w:val="en-GB"/>
              </w:rPr>
              <w:t>Proportion</w:t>
            </w:r>
          </w:p>
        </w:tc>
        <w:tc>
          <w:tcPr>
            <w:tcW w:w="1134" w:type="dxa"/>
            <w:shd w:val="clear" w:color="auto" w:fill="FFFFFF"/>
          </w:tcPr>
          <w:p w14:paraId="17D5DC69" w14:textId="5F27EFED" w:rsidR="006722E5" w:rsidRPr="00B57B36" w:rsidRDefault="00C60D1F" w:rsidP="00C45559">
            <w:pPr>
              <w:pStyle w:val="CETBodytext"/>
              <w:ind w:right="-1"/>
              <w:rPr>
                <w:rFonts w:cs="Arial"/>
                <w:szCs w:val="18"/>
                <w:lang w:val="en-GB"/>
              </w:rPr>
            </w:pPr>
            <w:r w:rsidRPr="00C60D1F">
              <w:rPr>
                <w:rFonts w:cs="Arial"/>
                <w:szCs w:val="18"/>
                <w:lang w:val="en-GB"/>
              </w:rPr>
              <w:t>0.43</w:t>
            </w:r>
          </w:p>
        </w:tc>
        <w:tc>
          <w:tcPr>
            <w:tcW w:w="1134" w:type="dxa"/>
            <w:shd w:val="clear" w:color="auto" w:fill="FFFFFF"/>
          </w:tcPr>
          <w:p w14:paraId="02757733" w14:textId="21D06510" w:rsidR="006722E5" w:rsidRPr="00B57B36" w:rsidRDefault="00C60D1F" w:rsidP="00C45559">
            <w:pPr>
              <w:pStyle w:val="CETBodytext"/>
              <w:ind w:right="-1"/>
              <w:rPr>
                <w:rFonts w:cs="Arial"/>
                <w:szCs w:val="18"/>
                <w:lang w:val="en-GB"/>
              </w:rPr>
            </w:pPr>
            <w:r w:rsidRPr="00C60D1F">
              <w:rPr>
                <w:rFonts w:cs="Arial"/>
                <w:szCs w:val="18"/>
                <w:lang w:val="en-GB"/>
              </w:rPr>
              <w:t>0.35</w:t>
            </w:r>
          </w:p>
        </w:tc>
        <w:tc>
          <w:tcPr>
            <w:tcW w:w="1134" w:type="dxa"/>
            <w:shd w:val="clear" w:color="auto" w:fill="FFFFFF"/>
          </w:tcPr>
          <w:p w14:paraId="6F6A84D7" w14:textId="77777777" w:rsidR="006722E5" w:rsidRPr="00B57B36" w:rsidRDefault="006722E5" w:rsidP="00C45559">
            <w:pPr>
              <w:pStyle w:val="CETBodytext"/>
              <w:ind w:right="-1"/>
              <w:rPr>
                <w:rFonts w:cs="Arial"/>
                <w:szCs w:val="18"/>
                <w:lang w:val="en-GB"/>
              </w:rPr>
            </w:pPr>
          </w:p>
        </w:tc>
        <w:tc>
          <w:tcPr>
            <w:tcW w:w="1134" w:type="dxa"/>
            <w:shd w:val="clear" w:color="auto" w:fill="FFFFFF"/>
          </w:tcPr>
          <w:p w14:paraId="6477177A" w14:textId="2B209CDA" w:rsidR="006722E5" w:rsidRPr="00B57B36" w:rsidRDefault="00C60D1F" w:rsidP="00C45559">
            <w:pPr>
              <w:pStyle w:val="CETBodytext"/>
              <w:ind w:right="-1"/>
              <w:rPr>
                <w:rFonts w:cs="Arial"/>
                <w:szCs w:val="18"/>
                <w:lang w:val="en-GB"/>
              </w:rPr>
            </w:pPr>
            <w:r w:rsidRPr="00C60D1F">
              <w:rPr>
                <w:rFonts w:cs="Arial"/>
                <w:szCs w:val="18"/>
                <w:lang w:val="en-GB"/>
              </w:rPr>
              <w:t>0.22</w:t>
            </w:r>
          </w:p>
        </w:tc>
      </w:tr>
    </w:tbl>
    <w:p w14:paraId="309561CD" w14:textId="77777777" w:rsidR="006722E5" w:rsidRDefault="006722E5" w:rsidP="00EE29BD">
      <w:pPr>
        <w:pStyle w:val="CETBodytext"/>
      </w:pPr>
    </w:p>
    <w:p w14:paraId="5A98A1A2" w14:textId="69ADCE8A" w:rsidR="000C357B" w:rsidRDefault="000C357B" w:rsidP="00453E24">
      <w:pPr>
        <w:pStyle w:val="CETBodytext"/>
      </w:pPr>
      <w:r w:rsidRPr="000C357B">
        <w:t xml:space="preserve">The </w:t>
      </w:r>
      <w:r w:rsidRPr="00EB5109">
        <w:rPr>
          <w:i/>
          <w:iCs/>
        </w:rPr>
        <w:t>oxidation</w:t>
      </w:r>
      <w:r w:rsidRPr="000C357B">
        <w:t xml:space="preserve"> model is the result of the combination of the heat and material balance. The heat balance </w:t>
      </w:r>
      <w:r w:rsidR="00EB5109">
        <w:t>wa</w:t>
      </w:r>
      <w:r w:rsidRPr="000C357B">
        <w:t>s calculated using an ANN that receive</w:t>
      </w:r>
      <w:r w:rsidR="00EB5109">
        <w:t>d</w:t>
      </w:r>
      <w:r w:rsidRPr="000C357B">
        <w:t xml:space="preserve"> TR5 time series as an input and provide</w:t>
      </w:r>
      <w:r w:rsidR="00EB5109">
        <w:t>d</w:t>
      </w:r>
      <w:r w:rsidRPr="000C357B">
        <w:t xml:space="preserve"> the oxidation zone temperature profile as an output.</w:t>
      </w:r>
      <w:r>
        <w:t xml:space="preserve"> </w:t>
      </w:r>
      <w:r w:rsidRPr="000C357B">
        <w:t xml:space="preserve">The char reaction rate </w:t>
      </w:r>
      <w:r w:rsidR="00EB5109">
        <w:t>wa</w:t>
      </w:r>
      <w:r w:rsidRPr="000C357B">
        <w:t>s calculated considering the system a</w:t>
      </w:r>
      <w:r w:rsidR="00EB5109">
        <w:t>s a</w:t>
      </w:r>
      <w:r w:rsidRPr="000C357B">
        <w:t xml:space="preserve"> semi</w:t>
      </w:r>
      <w:r w:rsidR="00EB5109">
        <w:t>-</w:t>
      </w:r>
      <w:r w:rsidRPr="000C357B">
        <w:t>batch reactor, since the char is already loaded into the control volume and the airflow is fed continuously</w:t>
      </w:r>
      <w:r w:rsidR="00EB5109">
        <w:t xml:space="preserve"> at</w:t>
      </w:r>
      <w:r w:rsidRPr="000C357B">
        <w:t xml:space="preserve"> constant flow.</w:t>
      </w:r>
      <w:r>
        <w:t xml:space="preserve"> </w:t>
      </w:r>
      <w:r w:rsidRPr="000C357B">
        <w:t>The reaction rate for the H</w:t>
      </w:r>
      <w:r w:rsidRPr="00EB5109">
        <w:rPr>
          <w:vertAlign w:val="subscript"/>
        </w:rPr>
        <w:t>2</w:t>
      </w:r>
      <w:r w:rsidRPr="000C357B">
        <w:t xml:space="preserve"> </w:t>
      </w:r>
      <w:r w:rsidR="00EB5109">
        <w:t>was</w:t>
      </w:r>
      <w:r w:rsidRPr="000C357B">
        <w:t xml:space="preserve"> calculated considering the reaction occurring in a continuous flow system</w:t>
      </w:r>
      <w:r>
        <w:t xml:space="preserve">. </w:t>
      </w:r>
      <w:r w:rsidRPr="000C357B">
        <w:t xml:space="preserve">The </w:t>
      </w:r>
      <w:r w:rsidR="00EB5109" w:rsidRPr="000C357B">
        <w:t>H</w:t>
      </w:r>
      <w:r w:rsidR="00EB5109" w:rsidRPr="00EB5109">
        <w:rPr>
          <w:vertAlign w:val="subscript"/>
        </w:rPr>
        <w:t>2</w:t>
      </w:r>
      <w:r w:rsidR="00EB5109">
        <w:rPr>
          <w:vertAlign w:val="subscript"/>
        </w:rPr>
        <w:t xml:space="preserve"> </w:t>
      </w:r>
      <w:r w:rsidRPr="000C357B">
        <w:t>and char reaction rate</w:t>
      </w:r>
      <w:r w:rsidR="00EB5109">
        <w:t>s</w:t>
      </w:r>
      <w:r w:rsidRPr="000C357B">
        <w:t xml:space="preserve"> </w:t>
      </w:r>
      <w:r w:rsidR="00EB5109">
        <w:t>we</w:t>
      </w:r>
      <w:r w:rsidRPr="000C357B">
        <w:t>re used to calculate the output moles of non-reacted hydrogen and char</w:t>
      </w:r>
      <w:r w:rsidR="00EB5109">
        <w:t xml:space="preserve"> and the</w:t>
      </w:r>
      <w:r w:rsidRPr="000C357B">
        <w:t xml:space="preserve"> produced carbon monoxide, carbon dioxide and water. The final composition of the gas </w:t>
      </w:r>
      <w:r w:rsidR="00EB5109">
        <w:t>was</w:t>
      </w:r>
      <w:r w:rsidRPr="000C357B">
        <w:t xml:space="preserve"> </w:t>
      </w:r>
      <w:r w:rsidR="00EB5109">
        <w:t xml:space="preserve">calculated in </w:t>
      </w:r>
      <w:proofErr w:type="spellStart"/>
      <w:r w:rsidR="00EB5109">
        <w:t>Matlab</w:t>
      </w:r>
      <w:proofErr w:type="spellEnd"/>
      <w:r w:rsidR="00EB5109">
        <w:t xml:space="preserve"> as </w:t>
      </w:r>
      <w:r w:rsidRPr="000C357B">
        <w:t>the sum of the gases produced in the pyrolysis zone</w:t>
      </w:r>
      <w:r w:rsidR="00EB5109">
        <w:t xml:space="preserve">, those </w:t>
      </w:r>
      <w:r w:rsidRPr="000C357B">
        <w:t>not reacted in the oxidation zone, and those produced by the oxidation reactions.</w:t>
      </w:r>
    </w:p>
    <w:p w14:paraId="69DE9B3A" w14:textId="1BF5E573" w:rsidR="00A72A72" w:rsidRDefault="00A72A72" w:rsidP="00453E24">
      <w:pPr>
        <w:pStyle w:val="CETBodytext"/>
      </w:pPr>
    </w:p>
    <w:p w14:paraId="09DD787A" w14:textId="417B31EB" w:rsidR="006722E5" w:rsidRDefault="00A72A72" w:rsidP="00A72A72">
      <w:pPr>
        <w:pStyle w:val="CETBodytext"/>
      </w:pPr>
      <w:r>
        <w:t xml:space="preserve">Finally, the </w:t>
      </w:r>
      <w:r w:rsidRPr="00EB5109">
        <w:rPr>
          <w:i/>
          <w:iCs/>
        </w:rPr>
        <w:t>reduction</w:t>
      </w:r>
      <w:r>
        <w:t xml:space="preserve"> zone </w:t>
      </w:r>
      <w:r w:rsidR="004C6087">
        <w:t>wa</w:t>
      </w:r>
      <w:r>
        <w:t xml:space="preserve">s modelled considering the material and the heat balance from the top char layer (TR6) and the top of the reactor. </w:t>
      </w:r>
      <w:r w:rsidR="004C6087">
        <w:t>T</w:t>
      </w:r>
      <w:r w:rsidRPr="00A72A72">
        <w:t>he products exiting the oxidation zone, the gases generated in the pyrolysis zone and not combusted, and the top char layer</w:t>
      </w:r>
      <w:r w:rsidR="004C6087">
        <w:t xml:space="preserve"> </w:t>
      </w:r>
      <w:r w:rsidR="004C6087" w:rsidRPr="00E72660">
        <w:t>were considered as the inputs of the model</w:t>
      </w:r>
      <w:r w:rsidRPr="00E72660">
        <w:t xml:space="preserve">. The composition of the producer gas </w:t>
      </w:r>
      <w:r w:rsidR="004C6087" w:rsidRPr="00E72660">
        <w:t>was</w:t>
      </w:r>
      <w:r w:rsidRPr="00E72660">
        <w:t xml:space="preserve"> determined by the stoichiometric equilibrium model proposed by Sharma (Sharma A. K., 2008).</w:t>
      </w:r>
      <w:r w:rsidR="00A064DE" w:rsidRPr="00E72660">
        <w:t xml:space="preserve"> The use of biomass </w:t>
      </w:r>
      <w:r w:rsidR="004C6087" w:rsidRPr="00E72660">
        <w:t xml:space="preserve">previously torrefied </w:t>
      </w:r>
      <w:r w:rsidR="00A064DE" w:rsidRPr="00E72660">
        <w:t>permits to operate at lower temperature</w:t>
      </w:r>
      <w:r w:rsidR="004C6087" w:rsidRPr="00E72660">
        <w:t>s</w:t>
      </w:r>
      <w:r w:rsidR="00A064DE" w:rsidRPr="00E72660">
        <w:t>, hence the maximum temperature inside the reactor is lower compared to other</w:t>
      </w:r>
      <w:r w:rsidR="00A064DE" w:rsidRPr="00A064DE">
        <w:t xml:space="preserve"> gasification processes.</w:t>
      </w:r>
      <w:r w:rsidR="00A064DE">
        <w:t xml:space="preserve"> For this reason, </w:t>
      </w:r>
      <w:r w:rsidR="00A064DE" w:rsidRPr="00A064DE">
        <w:t xml:space="preserve">the production of methane is not favored and the reactions involving </w:t>
      </w:r>
      <w:r w:rsidR="004C6087" w:rsidRPr="00A064DE">
        <w:t>this compound</w:t>
      </w:r>
      <w:r w:rsidR="00A064DE" w:rsidRPr="00A064DE">
        <w:t xml:space="preserve"> </w:t>
      </w:r>
      <w:r w:rsidR="00A064DE">
        <w:t xml:space="preserve">were </w:t>
      </w:r>
      <w:r w:rsidR="00A064DE" w:rsidRPr="00A064DE">
        <w:t>neglected.</w:t>
      </w:r>
      <w:r w:rsidR="00A064DE">
        <w:t xml:space="preserve"> </w:t>
      </w:r>
      <w:r w:rsidR="006722E5">
        <w:t>R1-R</w:t>
      </w:r>
      <w:r w:rsidR="007061EA">
        <w:t>2</w:t>
      </w:r>
      <w:r w:rsidR="006722E5">
        <w:t xml:space="preserve"> were considered as representative reactions of the reduction zone. </w:t>
      </w:r>
    </w:p>
    <w:p w14:paraId="150A572A" w14:textId="48BEAFC3" w:rsidR="007061EA" w:rsidRDefault="007061EA" w:rsidP="00A72A72">
      <w:pPr>
        <w:pStyle w:val="CETBodytext"/>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1424"/>
        <w:gridCol w:w="2965"/>
      </w:tblGrid>
      <w:tr w:rsidR="007061EA" w14:paraId="0DEF2EA0" w14:textId="77777777" w:rsidTr="00C45559">
        <w:tc>
          <w:tcPr>
            <w:tcW w:w="5812" w:type="dxa"/>
            <w:gridSpan w:val="2"/>
          </w:tcPr>
          <w:p w14:paraId="2F1CA957" w14:textId="7EFF4708" w:rsidR="007061EA" w:rsidRDefault="007061EA" w:rsidP="00C45559">
            <w:pPr>
              <w:pStyle w:val="CETBodytext"/>
            </w:pPr>
            <w:r w:rsidRPr="00C60D1F">
              <w:rPr>
                <w:szCs w:val="18"/>
              </w:rPr>
              <w:t>C + CO</w:t>
            </w:r>
            <w:r w:rsidRPr="007061EA">
              <w:rPr>
                <w:szCs w:val="18"/>
                <w:vertAlign w:val="subscript"/>
              </w:rPr>
              <w:t>2</w:t>
            </w:r>
            <w:r w:rsidRPr="00C60D1F">
              <w:rPr>
                <w:szCs w:val="18"/>
              </w:rPr>
              <w:t xml:space="preserve"> ↔ 2CO</w:t>
            </w:r>
          </w:p>
        </w:tc>
        <w:tc>
          <w:tcPr>
            <w:tcW w:w="2965" w:type="dxa"/>
          </w:tcPr>
          <w:p w14:paraId="799937E2" w14:textId="28F952F5" w:rsidR="007061EA" w:rsidRPr="007061EA" w:rsidRDefault="007061EA" w:rsidP="00C45559">
            <w:pPr>
              <w:pStyle w:val="Didascalia"/>
              <w:jc w:val="right"/>
              <w:rPr>
                <w:b w:val="0"/>
                <w:bCs w:val="0"/>
                <w:color w:val="auto"/>
                <w:lang w:val="it-IT"/>
              </w:rPr>
            </w:pPr>
            <w:r>
              <w:rPr>
                <w:b w:val="0"/>
                <w:bCs w:val="0"/>
                <w:color w:val="auto"/>
                <w:lang w:val="it-IT"/>
              </w:rPr>
              <w:t>R1</w:t>
            </w:r>
          </w:p>
          <w:p w14:paraId="0601CBAC" w14:textId="77777777" w:rsidR="007061EA" w:rsidRDefault="007061EA" w:rsidP="00C45559">
            <w:pPr>
              <w:pStyle w:val="CETBodytext"/>
            </w:pPr>
          </w:p>
        </w:tc>
      </w:tr>
      <w:tr w:rsidR="007061EA" w14:paraId="5798B09C" w14:textId="77777777" w:rsidTr="00C45559">
        <w:tc>
          <w:tcPr>
            <w:tcW w:w="4388" w:type="dxa"/>
          </w:tcPr>
          <w:p w14:paraId="2BDC58E3" w14:textId="1E6FD47F" w:rsidR="007061EA" w:rsidRDefault="007061EA" w:rsidP="00C45559">
            <w:pPr>
              <w:pStyle w:val="CETBodytext"/>
            </w:pPr>
            <w:r w:rsidRPr="00C60D1F">
              <w:rPr>
                <w:szCs w:val="18"/>
              </w:rPr>
              <w:t>C + H</w:t>
            </w:r>
            <w:r w:rsidRPr="007061EA">
              <w:rPr>
                <w:szCs w:val="18"/>
                <w:vertAlign w:val="subscript"/>
              </w:rPr>
              <w:t>2</w:t>
            </w:r>
            <w:r w:rsidRPr="00C60D1F">
              <w:rPr>
                <w:szCs w:val="18"/>
              </w:rPr>
              <w:t>O ↔ CO + H</w:t>
            </w:r>
            <w:r w:rsidRPr="007061EA">
              <w:rPr>
                <w:szCs w:val="18"/>
                <w:vertAlign w:val="subscript"/>
              </w:rPr>
              <w:t>2</w:t>
            </w:r>
          </w:p>
        </w:tc>
        <w:tc>
          <w:tcPr>
            <w:tcW w:w="4389" w:type="dxa"/>
            <w:gridSpan w:val="2"/>
          </w:tcPr>
          <w:p w14:paraId="3D05E187" w14:textId="7E86C10A" w:rsidR="007061EA" w:rsidRPr="007061EA" w:rsidRDefault="007061EA" w:rsidP="007061EA">
            <w:pPr>
              <w:pStyle w:val="Didascalia"/>
              <w:jc w:val="right"/>
              <w:rPr>
                <w:b w:val="0"/>
                <w:bCs w:val="0"/>
                <w:color w:val="auto"/>
                <w:lang w:val="it-IT"/>
              </w:rPr>
            </w:pPr>
            <w:r>
              <w:rPr>
                <w:b w:val="0"/>
                <w:bCs w:val="0"/>
                <w:color w:val="auto"/>
                <w:lang w:val="it-IT"/>
              </w:rPr>
              <w:t>R2</w:t>
            </w:r>
          </w:p>
          <w:p w14:paraId="33F84C6D" w14:textId="77777777" w:rsidR="007061EA" w:rsidRDefault="007061EA" w:rsidP="00C45559">
            <w:pPr>
              <w:pStyle w:val="CETBodytext"/>
            </w:pPr>
          </w:p>
        </w:tc>
      </w:tr>
    </w:tbl>
    <w:p w14:paraId="0BE186BC" w14:textId="4BE31F14" w:rsidR="00A72A72" w:rsidRDefault="00A064DE" w:rsidP="00A72A72">
      <w:pPr>
        <w:pStyle w:val="CETBodytext"/>
      </w:pPr>
      <w:r>
        <w:t xml:space="preserve">The producer gas composition was obtained from the solution of the material balances and the equilibrium constants in terms of Gibbs function for each </w:t>
      </w:r>
      <w:r w:rsidRPr="00E72660">
        <w:t>constituent (</w:t>
      </w:r>
      <w:proofErr w:type="spellStart"/>
      <w:r w:rsidRPr="00E72660">
        <w:t>Burcat</w:t>
      </w:r>
      <w:proofErr w:type="spellEnd"/>
      <w:r w:rsidRPr="00E72660">
        <w:t>, 1984). The</w:t>
      </w:r>
      <w:r w:rsidRPr="00A064DE">
        <w:t xml:space="preserve"> system </w:t>
      </w:r>
      <w:r w:rsidR="004C6087">
        <w:t xml:space="preserve">of </w:t>
      </w:r>
      <w:r w:rsidR="004C6087" w:rsidRPr="00A064DE">
        <w:t xml:space="preserve">non-linear </w:t>
      </w:r>
      <w:r w:rsidR="004C6087">
        <w:t xml:space="preserve">equations was </w:t>
      </w:r>
      <w:r w:rsidRPr="00A064DE">
        <w:t xml:space="preserve">solved </w:t>
      </w:r>
      <w:r w:rsidR="004C6087">
        <w:t xml:space="preserve">in </w:t>
      </w:r>
      <w:proofErr w:type="spellStart"/>
      <w:r w:rsidRPr="00A064DE">
        <w:t>Matlab</w:t>
      </w:r>
      <w:proofErr w:type="spellEnd"/>
      <w:r w:rsidRPr="00A064DE">
        <w:t>.</w:t>
      </w:r>
    </w:p>
    <w:p w14:paraId="677EBFF0" w14:textId="5FF31976" w:rsidR="00600535" w:rsidRPr="00B57B36" w:rsidRDefault="002861D5" w:rsidP="00600535">
      <w:pPr>
        <w:pStyle w:val="CETHeading1"/>
        <w:tabs>
          <w:tab w:val="clear" w:pos="360"/>
          <w:tab w:val="right" w:pos="7100"/>
        </w:tabs>
        <w:jc w:val="both"/>
        <w:rPr>
          <w:lang w:val="en-GB"/>
        </w:rPr>
      </w:pPr>
      <w:r>
        <w:rPr>
          <w:lang w:val="en-GB"/>
        </w:rPr>
        <w:t>Results and discussion</w:t>
      </w:r>
    </w:p>
    <w:p w14:paraId="59CACE9A" w14:textId="0C846D1B" w:rsidR="00EE030A" w:rsidRDefault="00BF39F9" w:rsidP="00EE030A">
      <w:pPr>
        <w:pStyle w:val="CETBodytext"/>
        <w:rPr>
          <w:lang w:val="en-GB"/>
        </w:rPr>
      </w:pPr>
      <w:r>
        <w:rPr>
          <w:lang w:val="en-GB"/>
        </w:rPr>
        <w:t xml:space="preserve">Figure </w:t>
      </w:r>
      <w:r w:rsidR="0004323D">
        <w:rPr>
          <w:lang w:val="en-GB"/>
        </w:rPr>
        <w:t>3</w:t>
      </w:r>
      <w:r>
        <w:rPr>
          <w:lang w:val="en-GB"/>
        </w:rPr>
        <w:t xml:space="preserve"> shows the o</w:t>
      </w:r>
      <w:r w:rsidRPr="00BF39F9">
        <w:rPr>
          <w:lang w:val="en-GB"/>
        </w:rPr>
        <w:t xml:space="preserve">utputs </w:t>
      </w:r>
      <w:r>
        <w:rPr>
          <w:lang w:val="en-GB"/>
        </w:rPr>
        <w:t xml:space="preserve">of </w:t>
      </w:r>
      <w:r w:rsidRPr="00BF39F9">
        <w:rPr>
          <w:lang w:val="en-GB"/>
        </w:rPr>
        <w:t xml:space="preserve">the reduction zone </w:t>
      </w:r>
      <w:r>
        <w:rPr>
          <w:lang w:val="en-GB"/>
        </w:rPr>
        <w:t xml:space="preserve">which are </w:t>
      </w:r>
      <w:r w:rsidRPr="00BF39F9">
        <w:rPr>
          <w:lang w:val="en-GB"/>
        </w:rPr>
        <w:t xml:space="preserve">the sum of all the compounds produced during the entire process. </w:t>
      </w:r>
      <w:r w:rsidR="00172843" w:rsidRPr="00172843">
        <w:rPr>
          <w:lang w:val="en-GB"/>
        </w:rPr>
        <w:t>The plot does not include the start-up process and it illustrates the gas composition during the core part of the gasification</w:t>
      </w:r>
      <w:r w:rsidR="00172843">
        <w:rPr>
          <w:lang w:val="en-GB"/>
        </w:rPr>
        <w:t xml:space="preserve">. </w:t>
      </w:r>
      <w:r w:rsidRPr="00BF39F9">
        <w:rPr>
          <w:lang w:val="en-GB"/>
        </w:rPr>
        <w:t xml:space="preserve">All the products exiting </w:t>
      </w:r>
      <w:r w:rsidR="00172843">
        <w:rPr>
          <w:lang w:val="en-GB"/>
        </w:rPr>
        <w:t xml:space="preserve">from an initial </w:t>
      </w:r>
      <w:r w:rsidRPr="00BF39F9">
        <w:rPr>
          <w:lang w:val="en-GB"/>
        </w:rPr>
        <w:t>previous zone</w:t>
      </w:r>
      <w:r w:rsidR="00172843">
        <w:rPr>
          <w:lang w:val="en-GB"/>
        </w:rPr>
        <w:t xml:space="preserve"> </w:t>
      </w:r>
      <w:r w:rsidRPr="00BF39F9">
        <w:rPr>
          <w:lang w:val="en-GB"/>
        </w:rPr>
        <w:t>enter the following and react in those local conditions.</w:t>
      </w:r>
      <w:r w:rsidR="00EE030A" w:rsidRPr="00EE030A">
        <w:rPr>
          <w:lang w:val="en-GB"/>
        </w:rPr>
        <w:t xml:space="preserve"> </w:t>
      </w:r>
      <w:r w:rsidR="00EE030A">
        <w:rPr>
          <w:lang w:val="en-GB"/>
        </w:rPr>
        <w:t>A</w:t>
      </w:r>
      <w:r w:rsidR="00EE030A" w:rsidRPr="00A064DE">
        <w:rPr>
          <w:lang w:val="en-GB"/>
        </w:rPr>
        <w:t xml:space="preserve"> sharp </w:t>
      </w:r>
      <w:r w:rsidR="00EE030A">
        <w:rPr>
          <w:lang w:val="en-GB"/>
        </w:rPr>
        <w:t xml:space="preserve">step at the </w:t>
      </w:r>
      <w:r w:rsidR="00EE030A" w:rsidRPr="00A064DE">
        <w:rPr>
          <w:lang w:val="en-GB"/>
        </w:rPr>
        <w:t>time equal to 7300 s</w:t>
      </w:r>
      <w:r w:rsidR="00EE030A">
        <w:rPr>
          <w:lang w:val="en-GB"/>
        </w:rPr>
        <w:t xml:space="preserve"> is shown</w:t>
      </w:r>
      <w:r w:rsidR="00EE030A" w:rsidRPr="00A064DE">
        <w:rPr>
          <w:lang w:val="en-GB"/>
        </w:rPr>
        <w:t xml:space="preserve">. It corresponds to the stop of the airflow and the consequent end of the oxidation reactions. Not being consumed anymore in the oxidation zone, the hydrogen produced in the pyrolysis zone </w:t>
      </w:r>
      <w:r w:rsidR="00172843">
        <w:rPr>
          <w:lang w:val="en-GB"/>
        </w:rPr>
        <w:t xml:space="preserve">is expected to </w:t>
      </w:r>
      <w:r w:rsidR="00EE030A" w:rsidRPr="00A064DE">
        <w:rPr>
          <w:lang w:val="en-GB"/>
        </w:rPr>
        <w:t>diffuse</w:t>
      </w:r>
      <w:r w:rsidR="00172843">
        <w:rPr>
          <w:lang w:val="en-GB"/>
        </w:rPr>
        <w:t xml:space="preserve"> </w:t>
      </w:r>
      <w:r w:rsidR="00EE030A" w:rsidRPr="00A064DE">
        <w:rPr>
          <w:lang w:val="en-GB"/>
        </w:rPr>
        <w:t>through the char layer and reach the reduction zone</w:t>
      </w:r>
      <w:r w:rsidR="00172843">
        <w:rPr>
          <w:lang w:val="en-GB"/>
        </w:rPr>
        <w:t>, as shown in the last part of Figure 3.</w:t>
      </w:r>
    </w:p>
    <w:p w14:paraId="1A4A76B8" w14:textId="77777777" w:rsidR="00BF39F9" w:rsidRDefault="00BF39F9" w:rsidP="002861D5">
      <w:pPr>
        <w:pStyle w:val="CETBodytext"/>
        <w:rPr>
          <w:lang w:val="en-GB"/>
        </w:rPr>
      </w:pPr>
    </w:p>
    <w:p w14:paraId="224FFF3E" w14:textId="1BC88FC2" w:rsidR="00A064DE" w:rsidRDefault="008B16D0" w:rsidP="00CF44CD">
      <w:pPr>
        <w:pStyle w:val="CETBodytext"/>
        <w:jc w:val="left"/>
        <w:rPr>
          <w:lang w:val="en-GB"/>
        </w:rPr>
      </w:pPr>
      <w:r>
        <w:rPr>
          <w:noProof/>
          <w:lang w:val="en-GB"/>
        </w:rPr>
        <w:lastRenderedPageBreak/>
        <w:drawing>
          <wp:inline distT="0" distB="0" distL="0" distR="0" wp14:anchorId="7D535082" wp14:editId="24DA850C">
            <wp:extent cx="3073824" cy="1816100"/>
            <wp:effectExtent l="0" t="0" r="0" b="0"/>
            <wp:docPr id="201741100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3422" cy="1839496"/>
                    </a:xfrm>
                    <a:prstGeom prst="rect">
                      <a:avLst/>
                    </a:prstGeom>
                    <a:noFill/>
                  </pic:spPr>
                </pic:pic>
              </a:graphicData>
            </a:graphic>
          </wp:inline>
        </w:drawing>
      </w:r>
    </w:p>
    <w:p w14:paraId="12359473" w14:textId="08593671" w:rsidR="002C1114" w:rsidRPr="00CF44CD" w:rsidRDefault="002C1114" w:rsidP="00CF44CD">
      <w:pPr>
        <w:pStyle w:val="CETCaption"/>
        <w:rPr>
          <w:rStyle w:val="CETCaptionCarattere"/>
          <w:i/>
          <w:iCs/>
        </w:rPr>
      </w:pPr>
      <w:r w:rsidRPr="00CF44CD">
        <w:rPr>
          <w:rStyle w:val="CETCaptionCarattere"/>
          <w:i/>
          <w:iCs/>
        </w:rPr>
        <w:t xml:space="preserve">Figure </w:t>
      </w:r>
      <w:r w:rsidR="0004323D">
        <w:rPr>
          <w:rStyle w:val="CETCaptionCarattere"/>
          <w:i/>
          <w:iCs/>
        </w:rPr>
        <w:t>3</w:t>
      </w:r>
      <w:r w:rsidRPr="00CF44CD">
        <w:rPr>
          <w:rStyle w:val="CETCaptionCarattere"/>
          <w:i/>
          <w:iCs/>
        </w:rPr>
        <w:t>. Distribution of the molar composition of the simulated producer gas over time</w:t>
      </w:r>
      <w:r w:rsidR="00C512BA">
        <w:rPr>
          <w:rStyle w:val="CETCaptionCarattere"/>
          <w:i/>
          <w:iCs/>
        </w:rPr>
        <w:t xml:space="preserve"> (s)</w:t>
      </w:r>
    </w:p>
    <w:p w14:paraId="326B46BD" w14:textId="15847722" w:rsidR="008C2139" w:rsidRDefault="00F82FB2" w:rsidP="00A064DE">
      <w:pPr>
        <w:pStyle w:val="CETBodytext"/>
        <w:rPr>
          <w:lang w:val="en-GB"/>
        </w:rPr>
      </w:pPr>
      <w:r w:rsidRPr="00F82FB2">
        <w:rPr>
          <w:lang w:val="en-GB"/>
        </w:rPr>
        <w:t xml:space="preserve">The data obtained by solving the gasification model have been compared to the experimental data obtained during the experimental </w:t>
      </w:r>
      <w:r w:rsidR="00EE030A">
        <w:rPr>
          <w:lang w:val="en-GB"/>
        </w:rPr>
        <w:t>campaign</w:t>
      </w:r>
      <w:r>
        <w:rPr>
          <w:lang w:val="en-GB"/>
        </w:rPr>
        <w:t xml:space="preserve"> (</w:t>
      </w:r>
      <w:r w:rsidR="00720BFD">
        <w:t>Suzuki et al. 2020</w:t>
      </w:r>
      <w:r>
        <w:rPr>
          <w:lang w:val="en-GB"/>
        </w:rPr>
        <w:t xml:space="preserve">). </w:t>
      </w:r>
      <w:r w:rsidR="00EE030A" w:rsidRPr="00EE030A">
        <w:rPr>
          <w:lang w:val="en-GB"/>
        </w:rPr>
        <w:t>The differences in the results can be attributed to the assumption of being able to reach the thermodynamic equilibrium that is considered valid in each part of the reactor. This assumption can be considered a good approximation both in the oxidation and reduction zone. In fact, the partial combustion is a very fast reaction, and it is reasonable that it achieves the equilibrium. The reduction reactions are less favoured, however, the temperature at the top of the reactor is sufficiently high to assume that the species manage to achieve the equilibrium as well. On the contrary, the pyrolysis reactions occur at lower temperature and the thermodynamic equilibrium</w:t>
      </w:r>
      <w:r w:rsidR="008C2139">
        <w:rPr>
          <w:lang w:val="en-GB"/>
        </w:rPr>
        <w:t xml:space="preserve"> cannot be considered</w:t>
      </w:r>
      <w:r w:rsidR="00EE030A" w:rsidRPr="00EE030A">
        <w:rPr>
          <w:lang w:val="en-GB"/>
        </w:rPr>
        <w:t>. For this reason</w:t>
      </w:r>
      <w:r w:rsidR="008C2139">
        <w:rPr>
          <w:lang w:val="en-GB"/>
        </w:rPr>
        <w:t>,</w:t>
      </w:r>
      <w:r w:rsidR="00EE030A" w:rsidRPr="00EE030A">
        <w:rPr>
          <w:lang w:val="en-GB"/>
        </w:rPr>
        <w:t xml:space="preserve"> an equilibrium deviation factor, ϵ, </w:t>
      </w:r>
      <w:r w:rsidR="00EE030A">
        <w:rPr>
          <w:lang w:val="en-GB"/>
        </w:rPr>
        <w:t xml:space="preserve">was </w:t>
      </w:r>
      <w:r w:rsidR="00EE030A" w:rsidRPr="00EE030A">
        <w:rPr>
          <w:lang w:val="en-GB"/>
        </w:rPr>
        <w:t xml:space="preserve">considered for adjusting the quantity of </w:t>
      </w:r>
      <w:r w:rsidR="00EE030A">
        <w:rPr>
          <w:lang w:val="en-GB"/>
        </w:rPr>
        <w:t>H</w:t>
      </w:r>
      <w:r w:rsidR="00EE030A" w:rsidRPr="00CF44CD">
        <w:rPr>
          <w:vertAlign w:val="subscript"/>
          <w:lang w:val="en-GB"/>
        </w:rPr>
        <w:t>2</w:t>
      </w:r>
      <w:r w:rsidR="00EE030A" w:rsidRPr="00EE030A">
        <w:rPr>
          <w:lang w:val="en-GB"/>
        </w:rPr>
        <w:t xml:space="preserve"> produced in the pyrolysis zone</w:t>
      </w:r>
      <w:r w:rsidR="008C2139">
        <w:rPr>
          <w:lang w:val="en-GB"/>
        </w:rPr>
        <w:t xml:space="preserve">, with values </w:t>
      </w:r>
      <w:r w:rsidR="008C2139" w:rsidRPr="008C2139">
        <w:rPr>
          <w:lang w:val="en-GB"/>
        </w:rPr>
        <w:t xml:space="preserve">between 0 and 1 </w:t>
      </w:r>
      <w:r w:rsidR="008C2139">
        <w:rPr>
          <w:lang w:val="en-GB"/>
        </w:rPr>
        <w:t>which</w:t>
      </w:r>
      <w:r w:rsidR="008C2139" w:rsidRPr="008C2139">
        <w:rPr>
          <w:lang w:val="en-GB"/>
        </w:rPr>
        <w:t xml:space="preserve"> indicates how close to the equilibrium is the </w:t>
      </w:r>
      <w:r w:rsidR="008C2139">
        <w:rPr>
          <w:lang w:val="en-GB"/>
        </w:rPr>
        <w:t>H</w:t>
      </w:r>
      <w:r w:rsidR="008C2139" w:rsidRPr="00CF44CD">
        <w:rPr>
          <w:vertAlign w:val="subscript"/>
          <w:lang w:val="en-GB"/>
        </w:rPr>
        <w:t>2</w:t>
      </w:r>
      <w:r w:rsidR="008C2139" w:rsidRPr="008C2139">
        <w:rPr>
          <w:lang w:val="en-GB"/>
        </w:rPr>
        <w:t xml:space="preserve"> production. Figure </w:t>
      </w:r>
      <w:r w:rsidR="00443318">
        <w:rPr>
          <w:lang w:val="en-GB"/>
        </w:rPr>
        <w:t>4</w:t>
      </w:r>
      <w:r w:rsidR="008C2139" w:rsidRPr="008C2139">
        <w:rPr>
          <w:lang w:val="en-GB"/>
        </w:rPr>
        <w:t xml:space="preserve"> shows the </w:t>
      </w:r>
      <w:r w:rsidR="008C2139">
        <w:rPr>
          <w:lang w:val="en-GB"/>
        </w:rPr>
        <w:t xml:space="preserve">evolution of the </w:t>
      </w:r>
      <w:r w:rsidR="008C2139" w:rsidRPr="008C2139">
        <w:rPr>
          <w:lang w:val="en-GB"/>
        </w:rPr>
        <w:t>equilibrium factor</w:t>
      </w:r>
      <w:r w:rsidR="008C2139">
        <w:rPr>
          <w:lang w:val="en-GB"/>
        </w:rPr>
        <w:t xml:space="preserve">, whose value increases with the increasing time. </w:t>
      </w:r>
      <w:r w:rsidR="008C2139" w:rsidRPr="008C2139">
        <w:rPr>
          <w:lang w:val="en-GB"/>
        </w:rPr>
        <w:t>The equilibrium deviation factor trend is comparable to a second order polynomial expression. This is reasonable, since it is expected a growth of the value in the first part of the process, and a following decrease due to the decrease of the temperature at the end of the process.</w:t>
      </w:r>
    </w:p>
    <w:p w14:paraId="1BCC1ABE" w14:textId="002AA64C" w:rsidR="00EE030A" w:rsidRDefault="00EE030A" w:rsidP="00A064DE">
      <w:pPr>
        <w:pStyle w:val="CETBodytext"/>
        <w:rPr>
          <w:lang w:val="en-GB"/>
        </w:rPr>
      </w:pPr>
    </w:p>
    <w:p w14:paraId="7F3A58B8" w14:textId="5C29F295" w:rsidR="00EE030A" w:rsidRDefault="008C2139" w:rsidP="00CF44CD">
      <w:pPr>
        <w:pStyle w:val="CETBodytext"/>
        <w:jc w:val="left"/>
        <w:rPr>
          <w:lang w:val="en-GB"/>
        </w:rPr>
      </w:pPr>
      <w:r w:rsidRPr="008C2139">
        <w:rPr>
          <w:noProof/>
          <w:lang w:val="en-GB"/>
        </w:rPr>
        <w:drawing>
          <wp:inline distT="0" distB="0" distL="0" distR="0" wp14:anchorId="3C59D537" wp14:editId="5E182A6A">
            <wp:extent cx="4022351" cy="171450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3439" cy="1732013"/>
                    </a:xfrm>
                    <a:prstGeom prst="rect">
                      <a:avLst/>
                    </a:prstGeom>
                    <a:noFill/>
                    <a:ln>
                      <a:noFill/>
                    </a:ln>
                  </pic:spPr>
                </pic:pic>
              </a:graphicData>
            </a:graphic>
          </wp:inline>
        </w:drawing>
      </w:r>
    </w:p>
    <w:p w14:paraId="504C28E7" w14:textId="5D8AEBE1" w:rsidR="008C2139" w:rsidRPr="00CF44CD" w:rsidRDefault="008C2139" w:rsidP="00CF44CD">
      <w:pPr>
        <w:pStyle w:val="CETCaption"/>
        <w:rPr>
          <w:rStyle w:val="CETCaptionCarattere"/>
          <w:i/>
          <w:iCs/>
        </w:rPr>
      </w:pPr>
      <w:r w:rsidRPr="00CF44CD">
        <w:rPr>
          <w:rStyle w:val="CETCaptionCarattere"/>
          <w:i/>
          <w:iCs/>
        </w:rPr>
        <w:t xml:space="preserve">Figure </w:t>
      </w:r>
      <w:r w:rsidR="00443318">
        <w:rPr>
          <w:rStyle w:val="CETCaptionCarattere"/>
          <w:i/>
          <w:iCs/>
        </w:rPr>
        <w:t>4</w:t>
      </w:r>
      <w:r w:rsidRPr="00CF44CD">
        <w:rPr>
          <w:rStyle w:val="CETCaptionCarattere"/>
          <w:i/>
          <w:iCs/>
        </w:rPr>
        <w:t>. Variation of the equilibrium deviation factor over time</w:t>
      </w:r>
      <w:r w:rsidR="00C512BA">
        <w:rPr>
          <w:rStyle w:val="CETCaptionCarattere"/>
          <w:i/>
          <w:iCs/>
        </w:rPr>
        <w:t xml:space="preserve"> (s)</w:t>
      </w:r>
    </w:p>
    <w:p w14:paraId="262A1D80" w14:textId="0FE975F3" w:rsidR="008C2139" w:rsidRDefault="008C2139" w:rsidP="008C2139">
      <w:pPr>
        <w:pStyle w:val="CETBodytext"/>
        <w:rPr>
          <w:lang w:val="en-GB"/>
        </w:rPr>
      </w:pPr>
      <w:r w:rsidRPr="008C2139">
        <w:rPr>
          <w:lang w:val="en-GB"/>
        </w:rPr>
        <w:t xml:space="preserve">After tuning the pyrolysis reactions, </w:t>
      </w:r>
      <w:r>
        <w:rPr>
          <w:lang w:val="en-GB"/>
        </w:rPr>
        <w:t xml:space="preserve">the </w:t>
      </w:r>
      <w:r w:rsidRPr="008C2139">
        <w:rPr>
          <w:lang w:val="en-GB"/>
        </w:rPr>
        <w:t>producer gas composition</w:t>
      </w:r>
      <w:r w:rsidR="00443318">
        <w:rPr>
          <w:lang w:val="en-GB"/>
        </w:rPr>
        <w:t xml:space="preserve"> (shown in Figure 5)</w:t>
      </w:r>
      <w:r w:rsidRPr="008C2139">
        <w:rPr>
          <w:lang w:val="en-GB"/>
        </w:rPr>
        <w:t xml:space="preserve"> </w:t>
      </w:r>
      <w:r>
        <w:rPr>
          <w:lang w:val="en-GB"/>
        </w:rPr>
        <w:t xml:space="preserve">presented a </w:t>
      </w:r>
      <w:r w:rsidRPr="008C2139">
        <w:rPr>
          <w:lang w:val="en-GB"/>
        </w:rPr>
        <w:t>trend comparable to that obtained during the experiments</w:t>
      </w:r>
      <w:r w:rsidR="00443318">
        <w:rPr>
          <w:lang w:val="en-GB"/>
        </w:rPr>
        <w:t xml:space="preserve"> (</w:t>
      </w:r>
      <w:r w:rsidR="00720BFD">
        <w:t>Suzuki et al. 2020</w:t>
      </w:r>
      <w:r w:rsidR="00443318">
        <w:rPr>
          <w:lang w:val="en-GB"/>
        </w:rPr>
        <w:t>)</w:t>
      </w:r>
      <w:r w:rsidRPr="008C2139">
        <w:rPr>
          <w:lang w:val="en-GB"/>
        </w:rPr>
        <w:t>.</w:t>
      </w:r>
      <w:r w:rsidR="00172843" w:rsidRPr="00172843">
        <w:t xml:space="preserve"> </w:t>
      </w:r>
      <w:r w:rsidR="00172843" w:rsidRPr="00172843">
        <w:rPr>
          <w:lang w:val="en-GB"/>
        </w:rPr>
        <w:t xml:space="preserve">The obtained data will be added </w:t>
      </w:r>
      <w:r w:rsidR="00443318" w:rsidRPr="00172843">
        <w:rPr>
          <w:lang w:val="en-GB"/>
        </w:rPr>
        <w:t xml:space="preserve">to the experimental data </w:t>
      </w:r>
      <w:r w:rsidR="00172843" w:rsidRPr="00172843">
        <w:rPr>
          <w:lang w:val="en-GB"/>
        </w:rPr>
        <w:t xml:space="preserve">in a </w:t>
      </w:r>
      <w:r w:rsidR="00443318">
        <w:rPr>
          <w:lang w:val="en-GB"/>
        </w:rPr>
        <w:t>successive</w:t>
      </w:r>
      <w:r w:rsidR="00172843" w:rsidRPr="00172843">
        <w:rPr>
          <w:lang w:val="en-GB"/>
        </w:rPr>
        <w:t xml:space="preserve"> step to achieve an adequate number of inputs for a machine learning curve fitting to obtain the overall producer gas composition model as an output.</w:t>
      </w:r>
    </w:p>
    <w:p w14:paraId="26E4D3A5" w14:textId="33981ADD" w:rsidR="008C2139" w:rsidRDefault="008C2139" w:rsidP="008C2139">
      <w:pPr>
        <w:pStyle w:val="CETBodytext"/>
        <w:rPr>
          <w:lang w:val="en-GB"/>
        </w:rPr>
      </w:pPr>
    </w:p>
    <w:p w14:paraId="6D4B536B" w14:textId="50B71970" w:rsidR="008C2139" w:rsidRDefault="008B16D0" w:rsidP="008C2139">
      <w:pPr>
        <w:pStyle w:val="CETBodytext"/>
        <w:rPr>
          <w:lang w:val="en-GB"/>
        </w:rPr>
      </w:pPr>
      <w:r>
        <w:rPr>
          <w:noProof/>
          <w:lang w:val="en-GB"/>
        </w:rPr>
        <w:lastRenderedPageBreak/>
        <w:drawing>
          <wp:inline distT="0" distB="0" distL="0" distR="0" wp14:anchorId="09C29216" wp14:editId="25E85AD5">
            <wp:extent cx="2514600" cy="1493645"/>
            <wp:effectExtent l="0" t="0" r="0" b="0"/>
            <wp:docPr id="77041579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3415" cy="1516701"/>
                    </a:xfrm>
                    <a:prstGeom prst="rect">
                      <a:avLst/>
                    </a:prstGeom>
                    <a:noFill/>
                  </pic:spPr>
                </pic:pic>
              </a:graphicData>
            </a:graphic>
          </wp:inline>
        </w:drawing>
      </w:r>
    </w:p>
    <w:p w14:paraId="56DE863E" w14:textId="5CF5CF4D" w:rsidR="008C2139" w:rsidRPr="00CF44CD" w:rsidRDefault="008C2139" w:rsidP="00CF44CD">
      <w:pPr>
        <w:pStyle w:val="CETCaption"/>
        <w:rPr>
          <w:rStyle w:val="CETCaptionCarattere"/>
          <w:i/>
          <w:iCs/>
        </w:rPr>
      </w:pPr>
      <w:r w:rsidRPr="00CF44CD">
        <w:rPr>
          <w:rStyle w:val="CETCaptionCarattere"/>
          <w:i/>
          <w:iCs/>
        </w:rPr>
        <w:t xml:space="preserve">Figure </w:t>
      </w:r>
      <w:r w:rsidR="00443318">
        <w:rPr>
          <w:rStyle w:val="CETCaptionCarattere"/>
          <w:i/>
          <w:iCs/>
        </w:rPr>
        <w:t>5</w:t>
      </w:r>
      <w:r w:rsidRPr="00CF44CD">
        <w:rPr>
          <w:rStyle w:val="CETCaptionCarattere"/>
          <w:i/>
          <w:iCs/>
        </w:rPr>
        <w:t>. Amount of CO, CO</w:t>
      </w:r>
      <w:r w:rsidRPr="00CF44CD">
        <w:rPr>
          <w:rStyle w:val="CETCaptionCarattere"/>
          <w:i/>
          <w:iCs/>
          <w:vertAlign w:val="subscript"/>
        </w:rPr>
        <w:t>2</w:t>
      </w:r>
      <w:r w:rsidRPr="00CF44CD">
        <w:rPr>
          <w:rStyle w:val="CETCaptionCarattere"/>
          <w:i/>
          <w:iCs/>
        </w:rPr>
        <w:t xml:space="preserve"> and H</w:t>
      </w:r>
      <w:r w:rsidRPr="00CF44CD">
        <w:rPr>
          <w:rStyle w:val="CETCaptionCarattere"/>
          <w:i/>
          <w:iCs/>
          <w:vertAlign w:val="subscript"/>
        </w:rPr>
        <w:t xml:space="preserve">2 </w:t>
      </w:r>
      <w:r w:rsidRPr="00CF44CD">
        <w:rPr>
          <w:rStyle w:val="CETCaptionCarattere"/>
          <w:i/>
          <w:iCs/>
        </w:rPr>
        <w:t>in the producer gas</w:t>
      </w:r>
    </w:p>
    <w:p w14:paraId="68D26B83" w14:textId="0BAB7786" w:rsidR="00600535" w:rsidRDefault="00600535" w:rsidP="00600535">
      <w:pPr>
        <w:pStyle w:val="CETHeading1"/>
        <w:rPr>
          <w:lang w:val="en-GB"/>
        </w:rPr>
      </w:pPr>
      <w:r w:rsidRPr="00B57B36">
        <w:rPr>
          <w:lang w:val="en-GB"/>
        </w:rPr>
        <w:t>Conclusions</w:t>
      </w:r>
    </w:p>
    <w:p w14:paraId="4AAB5DDD" w14:textId="78DD3C21" w:rsidR="002861D5" w:rsidRDefault="008C2139" w:rsidP="00480EC9">
      <w:pPr>
        <w:pStyle w:val="CETHeadingxx"/>
        <w:rPr>
          <w:b w:val="0"/>
          <w:lang w:val="en-GB"/>
        </w:rPr>
      </w:pPr>
      <w:r>
        <w:rPr>
          <w:b w:val="0"/>
          <w:lang w:val="en-GB"/>
        </w:rPr>
        <w:t>A</w:t>
      </w:r>
      <w:r w:rsidRPr="008C2139">
        <w:rPr>
          <w:b w:val="0"/>
          <w:lang w:val="en-GB"/>
        </w:rPr>
        <w:t xml:space="preserve"> bench-scale batch gasifier located at the Tokyo Institute of Technology, Tokyo Tech, was used </w:t>
      </w:r>
      <w:r w:rsidR="00C512BA" w:rsidRPr="008C2139">
        <w:rPr>
          <w:b w:val="0"/>
          <w:lang w:val="en-GB"/>
        </w:rPr>
        <w:t>to produce</w:t>
      </w:r>
      <w:r w:rsidRPr="008C2139">
        <w:rPr>
          <w:b w:val="0"/>
          <w:lang w:val="en-GB"/>
        </w:rPr>
        <w:t xml:space="preserve"> syngas from the torrefied woody biomass.</w:t>
      </w:r>
      <w:r>
        <w:rPr>
          <w:b w:val="0"/>
          <w:lang w:val="en-GB"/>
        </w:rPr>
        <w:t xml:space="preserve"> </w:t>
      </w:r>
      <w:r w:rsidR="00CF44CD">
        <w:rPr>
          <w:b w:val="0"/>
          <w:lang w:val="en-GB"/>
        </w:rPr>
        <w:t>M</w:t>
      </w:r>
      <w:r w:rsidR="00CF44CD" w:rsidRPr="008C2139">
        <w:rPr>
          <w:b w:val="0"/>
          <w:lang w:val="en-GB"/>
        </w:rPr>
        <w:t>odelling</w:t>
      </w:r>
      <w:r w:rsidRPr="008C2139">
        <w:rPr>
          <w:b w:val="0"/>
          <w:lang w:val="en-GB"/>
        </w:rPr>
        <w:t xml:space="preserve"> </w:t>
      </w:r>
      <w:r>
        <w:rPr>
          <w:b w:val="0"/>
          <w:lang w:val="en-GB"/>
        </w:rPr>
        <w:t xml:space="preserve">activities </w:t>
      </w:r>
      <w:r w:rsidRPr="008C2139">
        <w:rPr>
          <w:b w:val="0"/>
          <w:lang w:val="en-GB"/>
        </w:rPr>
        <w:t>combin</w:t>
      </w:r>
      <w:r w:rsidR="00074FFE">
        <w:rPr>
          <w:b w:val="0"/>
          <w:lang w:val="en-GB"/>
        </w:rPr>
        <w:t>ed</w:t>
      </w:r>
      <w:r w:rsidRPr="008C2139">
        <w:rPr>
          <w:b w:val="0"/>
          <w:lang w:val="en-GB"/>
        </w:rPr>
        <w:t xml:space="preserve"> </w:t>
      </w:r>
      <w:r w:rsidR="00074FFE">
        <w:rPr>
          <w:b w:val="0"/>
          <w:lang w:val="en-GB"/>
        </w:rPr>
        <w:t xml:space="preserve">a </w:t>
      </w:r>
      <w:r w:rsidRPr="008C2139">
        <w:rPr>
          <w:b w:val="0"/>
          <w:lang w:val="en-GB"/>
        </w:rPr>
        <w:t xml:space="preserve">machine learning-based </w:t>
      </w:r>
      <w:r w:rsidR="00074FFE">
        <w:rPr>
          <w:b w:val="0"/>
          <w:lang w:val="en-GB"/>
        </w:rPr>
        <w:t>approach</w:t>
      </w:r>
      <w:r w:rsidRPr="008C2139">
        <w:rPr>
          <w:b w:val="0"/>
          <w:lang w:val="en-GB"/>
        </w:rPr>
        <w:t xml:space="preserve"> </w:t>
      </w:r>
      <w:r w:rsidR="00C512BA">
        <w:rPr>
          <w:b w:val="0"/>
          <w:lang w:val="en-GB"/>
        </w:rPr>
        <w:t>with</w:t>
      </w:r>
      <w:r w:rsidRPr="008C2139">
        <w:rPr>
          <w:b w:val="0"/>
          <w:lang w:val="en-GB"/>
        </w:rPr>
        <w:t xml:space="preserve"> </w:t>
      </w:r>
      <w:r w:rsidR="00074FFE">
        <w:rPr>
          <w:b w:val="0"/>
          <w:lang w:val="en-GB"/>
        </w:rPr>
        <w:t xml:space="preserve">the application of </w:t>
      </w:r>
      <w:r w:rsidRPr="008C2139">
        <w:rPr>
          <w:b w:val="0"/>
          <w:lang w:val="en-GB"/>
        </w:rPr>
        <w:t>physical models</w:t>
      </w:r>
      <w:r w:rsidR="00074FFE">
        <w:rPr>
          <w:b w:val="0"/>
          <w:lang w:val="en-GB"/>
        </w:rPr>
        <w:t xml:space="preserve"> to the three main regions of the reactor: pyrolysis, </w:t>
      </w:r>
      <w:r w:rsidR="004072B8">
        <w:rPr>
          <w:b w:val="0"/>
          <w:lang w:val="en-GB"/>
        </w:rPr>
        <w:t>oxidation,</w:t>
      </w:r>
      <w:r w:rsidR="00074FFE">
        <w:rPr>
          <w:b w:val="0"/>
          <w:lang w:val="en-GB"/>
        </w:rPr>
        <w:t xml:space="preserve"> and reduction</w:t>
      </w:r>
      <w:r w:rsidRPr="008C2139">
        <w:rPr>
          <w:b w:val="0"/>
          <w:lang w:val="en-GB"/>
        </w:rPr>
        <w:t>.</w:t>
      </w:r>
      <w:r>
        <w:rPr>
          <w:b w:val="0"/>
          <w:lang w:val="en-GB"/>
        </w:rPr>
        <w:t xml:space="preserve"> </w:t>
      </w:r>
      <w:r w:rsidR="0017293D">
        <w:rPr>
          <w:b w:val="0"/>
          <w:lang w:val="en-GB"/>
        </w:rPr>
        <w:t>A</w:t>
      </w:r>
      <w:r w:rsidR="0017293D" w:rsidRPr="0017293D">
        <w:rPr>
          <w:b w:val="0"/>
          <w:lang w:val="en-GB"/>
        </w:rPr>
        <w:t xml:space="preserve">rtificial neural networks </w:t>
      </w:r>
      <w:r w:rsidR="0017293D">
        <w:rPr>
          <w:b w:val="0"/>
          <w:lang w:val="en-GB"/>
        </w:rPr>
        <w:t xml:space="preserve">were </w:t>
      </w:r>
      <w:r w:rsidR="00C512BA">
        <w:rPr>
          <w:b w:val="0"/>
          <w:lang w:val="en-GB"/>
        </w:rPr>
        <w:t>used</w:t>
      </w:r>
      <w:r w:rsidR="0017293D">
        <w:rPr>
          <w:b w:val="0"/>
          <w:lang w:val="en-GB"/>
        </w:rPr>
        <w:t xml:space="preserve"> to </w:t>
      </w:r>
      <w:r w:rsidR="0017293D" w:rsidRPr="0017293D">
        <w:rPr>
          <w:b w:val="0"/>
          <w:lang w:val="en-GB"/>
        </w:rPr>
        <w:t>perform the heat balance</w:t>
      </w:r>
      <w:r w:rsidR="0017293D">
        <w:rPr>
          <w:b w:val="0"/>
          <w:lang w:val="en-GB"/>
        </w:rPr>
        <w:t>s along the height of the reactor</w:t>
      </w:r>
      <w:r w:rsidR="00074FFE">
        <w:rPr>
          <w:b w:val="0"/>
          <w:lang w:val="en-GB"/>
        </w:rPr>
        <w:t>. M</w:t>
      </w:r>
      <w:r w:rsidR="00074FFE" w:rsidRPr="00074FFE">
        <w:rPr>
          <w:b w:val="0"/>
          <w:lang w:val="en-GB"/>
        </w:rPr>
        <w:t>aterial balance</w:t>
      </w:r>
      <w:r w:rsidR="00074FFE">
        <w:rPr>
          <w:b w:val="0"/>
          <w:lang w:val="en-GB"/>
        </w:rPr>
        <w:t>s</w:t>
      </w:r>
      <w:r w:rsidR="00074FFE" w:rsidRPr="00074FFE">
        <w:rPr>
          <w:b w:val="0"/>
          <w:lang w:val="en-GB"/>
        </w:rPr>
        <w:t xml:space="preserve"> considered </w:t>
      </w:r>
      <w:r w:rsidR="00074FFE">
        <w:rPr>
          <w:b w:val="0"/>
          <w:lang w:val="en-GB"/>
        </w:rPr>
        <w:t xml:space="preserve">all regions </w:t>
      </w:r>
      <w:r w:rsidR="00074FFE" w:rsidRPr="00074FFE">
        <w:rPr>
          <w:b w:val="0"/>
          <w:lang w:val="en-GB"/>
        </w:rPr>
        <w:t xml:space="preserve">at the thermodynamic equilibrium. </w:t>
      </w:r>
      <w:r w:rsidR="00172843" w:rsidRPr="00172843">
        <w:rPr>
          <w:b w:val="0"/>
          <w:lang w:val="en-GB"/>
        </w:rPr>
        <w:t xml:space="preserve">Experimental and </w:t>
      </w:r>
      <w:proofErr w:type="spellStart"/>
      <w:r w:rsidR="00172843" w:rsidRPr="00172843">
        <w:rPr>
          <w:b w:val="0"/>
          <w:lang w:val="en-GB"/>
        </w:rPr>
        <w:t>modeling</w:t>
      </w:r>
      <w:proofErr w:type="spellEnd"/>
      <w:r w:rsidR="00172843" w:rsidRPr="00172843">
        <w:rPr>
          <w:b w:val="0"/>
          <w:lang w:val="en-GB"/>
        </w:rPr>
        <w:t xml:space="preserve"> results present</w:t>
      </w:r>
      <w:r w:rsidR="00172843">
        <w:rPr>
          <w:b w:val="0"/>
          <w:lang w:val="en-GB"/>
        </w:rPr>
        <w:t>ed</w:t>
      </w:r>
      <w:r w:rsidR="00172843" w:rsidRPr="00172843">
        <w:rPr>
          <w:b w:val="0"/>
          <w:lang w:val="en-GB"/>
        </w:rPr>
        <w:t xml:space="preserve"> differences due to the hypothesis of thermodynamic equilibrium established at the </w:t>
      </w:r>
      <w:proofErr w:type="spellStart"/>
      <w:r w:rsidR="00172843" w:rsidRPr="00172843">
        <w:rPr>
          <w:b w:val="0"/>
          <w:lang w:val="en-GB"/>
        </w:rPr>
        <w:t>modeling</w:t>
      </w:r>
      <w:proofErr w:type="spellEnd"/>
      <w:r w:rsidR="00172843" w:rsidRPr="00172843">
        <w:rPr>
          <w:b w:val="0"/>
          <w:lang w:val="en-GB"/>
        </w:rPr>
        <w:t xml:space="preserve"> stage.</w:t>
      </w:r>
      <w:r w:rsidR="00172843">
        <w:rPr>
          <w:b w:val="0"/>
          <w:lang w:val="en-GB"/>
        </w:rPr>
        <w:t xml:space="preserve"> T</w:t>
      </w:r>
      <w:r w:rsidR="00172843" w:rsidRPr="00172843">
        <w:rPr>
          <w:b w:val="0"/>
          <w:lang w:val="en-GB"/>
        </w:rPr>
        <w:t xml:space="preserve">he experimental data permitted to tune the model results to shift the equilibrium up to the experimental evidence. </w:t>
      </w:r>
      <w:bookmarkStart w:id="2" w:name="_Hlk129690216"/>
      <w:r w:rsidR="00172843">
        <w:rPr>
          <w:b w:val="0"/>
          <w:lang w:val="en-GB"/>
        </w:rPr>
        <w:t>The obtained</w:t>
      </w:r>
      <w:r w:rsidR="00172843" w:rsidRPr="00172843">
        <w:rPr>
          <w:b w:val="0"/>
          <w:lang w:val="en-GB"/>
        </w:rPr>
        <w:t xml:space="preserve"> reliable data </w:t>
      </w:r>
      <w:r w:rsidR="00172843">
        <w:rPr>
          <w:b w:val="0"/>
          <w:lang w:val="en-GB"/>
        </w:rPr>
        <w:t xml:space="preserve">will be </w:t>
      </w:r>
      <w:r w:rsidR="00172843" w:rsidRPr="00172843">
        <w:rPr>
          <w:b w:val="0"/>
          <w:lang w:val="en-GB"/>
        </w:rPr>
        <w:t xml:space="preserve">added </w:t>
      </w:r>
      <w:r w:rsidR="00172843">
        <w:rPr>
          <w:b w:val="0"/>
          <w:lang w:val="en-GB"/>
        </w:rPr>
        <w:t xml:space="preserve">in a further step </w:t>
      </w:r>
      <w:r w:rsidR="00172843" w:rsidRPr="00172843">
        <w:rPr>
          <w:b w:val="0"/>
          <w:lang w:val="en-GB"/>
        </w:rPr>
        <w:t>to the experimental data to achieve an adequate number of input</w:t>
      </w:r>
      <w:r w:rsidR="00172843">
        <w:rPr>
          <w:b w:val="0"/>
          <w:lang w:val="en-GB"/>
        </w:rPr>
        <w:t xml:space="preserve">s </w:t>
      </w:r>
      <w:r w:rsidR="00172843" w:rsidRPr="00172843">
        <w:rPr>
          <w:b w:val="0"/>
          <w:lang w:val="en-GB"/>
        </w:rPr>
        <w:t>for a machine learning curve fitting to obtain the overall producer gas composition model as an output.</w:t>
      </w:r>
      <w:r w:rsidR="004072B8">
        <w:rPr>
          <w:b w:val="0"/>
          <w:lang w:val="en-GB"/>
        </w:rPr>
        <w:t xml:space="preserve"> </w:t>
      </w:r>
      <w:bookmarkEnd w:id="2"/>
    </w:p>
    <w:p w14:paraId="79C9887D" w14:textId="77777777" w:rsidR="00E72660" w:rsidRPr="00B57B36" w:rsidRDefault="00E72660" w:rsidP="00E72660">
      <w:pPr>
        <w:pStyle w:val="CETAcknowledgementstitle"/>
      </w:pPr>
      <w:r w:rsidRPr="00B57B36">
        <w:t>Acknowledgments</w:t>
      </w:r>
    </w:p>
    <w:p w14:paraId="43860E2F" w14:textId="33A7FBBC" w:rsidR="00E72660" w:rsidRPr="00B57B36" w:rsidRDefault="00E72660" w:rsidP="00E72660">
      <w:pPr>
        <w:pStyle w:val="CETBodytext"/>
        <w:rPr>
          <w:lang w:val="en-GB"/>
        </w:rPr>
      </w:pPr>
      <w:r>
        <w:rPr>
          <w:lang w:val="en-GB"/>
        </w:rPr>
        <w:t xml:space="preserve">The </w:t>
      </w:r>
      <w:r w:rsidR="00172843">
        <w:rPr>
          <w:lang w:val="en-GB"/>
        </w:rPr>
        <w:t>present work was performed in the framework of the bilateral Agreement between the Polytechnic School of the University of Genoa (Italy) and the Tokyo Institute of Technology (Japan)</w:t>
      </w:r>
      <w:r w:rsidRPr="00B57B36">
        <w:rPr>
          <w:lang w:val="en-GB"/>
        </w:rPr>
        <w:t>.</w:t>
      </w:r>
    </w:p>
    <w:p w14:paraId="4F1327F8" w14:textId="60672356" w:rsidR="00600535" w:rsidRPr="00B57B36" w:rsidRDefault="00600535" w:rsidP="00600535">
      <w:pPr>
        <w:pStyle w:val="CETReference"/>
      </w:pPr>
      <w:r w:rsidRPr="00B57B36">
        <w:t>References</w:t>
      </w:r>
    </w:p>
    <w:p w14:paraId="03CEA04C" w14:textId="5AC581EE" w:rsidR="00C52C3C" w:rsidRDefault="00BD0CA9" w:rsidP="00E65B91">
      <w:pPr>
        <w:pStyle w:val="CETReferencetext"/>
      </w:pPr>
      <w:r w:rsidRPr="00BD0CA9">
        <w:t xml:space="preserve">Baruah D, B. D. (2014). </w:t>
      </w:r>
      <w:proofErr w:type="spellStart"/>
      <w:r w:rsidRPr="00BD0CA9">
        <w:t>Modeling</w:t>
      </w:r>
      <w:proofErr w:type="spellEnd"/>
      <w:r w:rsidRPr="00BD0CA9">
        <w:t xml:space="preserve"> of biomass gasification: A review. Renewable and Sustainable Energy Reviews, 39, 806-815</w:t>
      </w:r>
      <w:r w:rsidR="00C22E4D">
        <w:t>.</w:t>
      </w:r>
    </w:p>
    <w:p w14:paraId="5EAA9CDE" w14:textId="097F9431" w:rsidR="00BD0CA9" w:rsidRPr="00BD0CA9" w:rsidRDefault="00BD0CA9" w:rsidP="00E65B91">
      <w:pPr>
        <w:pStyle w:val="CETReferencetext"/>
      </w:pPr>
      <w:r w:rsidRPr="00EB0614">
        <w:t xml:space="preserve">Bove, D., Moliner, C., </w:t>
      </w:r>
      <w:proofErr w:type="spellStart"/>
      <w:r w:rsidRPr="00EB0614">
        <w:t>Baratieri</w:t>
      </w:r>
      <w:proofErr w:type="spellEnd"/>
      <w:r w:rsidRPr="00EB0614">
        <w:t xml:space="preserve">, M., Bosio, B., Arato, E. (2016). </w:t>
      </w:r>
      <w:r w:rsidRPr="00BD0CA9">
        <w:t>Kinetic characterization of the residues from the pruning of apple trees for their use as energy vectors</w:t>
      </w:r>
      <w:r>
        <w:t xml:space="preserve">. </w:t>
      </w:r>
      <w:r w:rsidRPr="00BD0CA9">
        <w:t>Chemical Engineering Transactions, 50, pp. 1-6.</w:t>
      </w:r>
    </w:p>
    <w:p w14:paraId="76FEACDB" w14:textId="1E25BD55" w:rsidR="00BD0CA9" w:rsidRDefault="00BD0CA9" w:rsidP="00E65B91">
      <w:pPr>
        <w:pStyle w:val="CETReferencetext"/>
      </w:pPr>
      <w:r w:rsidRPr="00BD0CA9">
        <w:t>Bridgwater, A. (1995). The technical and economic feasibility of biomass gasification for power generation. Fuel, 74(5), 631-653</w:t>
      </w:r>
      <w:r w:rsidR="00C22E4D">
        <w:t>.</w:t>
      </w:r>
    </w:p>
    <w:p w14:paraId="28DD3441" w14:textId="35097751" w:rsidR="006235CB" w:rsidRDefault="006235CB" w:rsidP="00E65B91">
      <w:pPr>
        <w:pStyle w:val="CETReferencetext"/>
      </w:pPr>
      <w:proofErr w:type="spellStart"/>
      <w:r w:rsidRPr="006235CB">
        <w:t>Burcat</w:t>
      </w:r>
      <w:proofErr w:type="spellEnd"/>
      <w:r w:rsidRPr="006235CB">
        <w:t>, A. (1984). Thermochemical Data for Combustion Calculations. New York: Springer-Verlag.</w:t>
      </w:r>
    </w:p>
    <w:p w14:paraId="1BB69F28" w14:textId="212ADD1A" w:rsidR="00C22E4D" w:rsidRDefault="00C22E4D" w:rsidP="00E65B91">
      <w:pPr>
        <w:pStyle w:val="CETReferencetext"/>
      </w:pPr>
      <w:r w:rsidRPr="00C22E4D">
        <w:t xml:space="preserve">Elman F, Y. O. (2020). Predictive </w:t>
      </w:r>
      <w:proofErr w:type="spellStart"/>
      <w:r w:rsidRPr="00C22E4D">
        <w:t>modeling</w:t>
      </w:r>
      <w:proofErr w:type="spellEnd"/>
      <w:r w:rsidRPr="00C22E4D">
        <w:t xml:space="preserve"> of biomass gasif</w:t>
      </w:r>
      <w:r>
        <w:t>i</w:t>
      </w:r>
      <w:r w:rsidRPr="00C22E4D">
        <w:t>cation with machine learning-based regression methods. Energy, 191.</w:t>
      </w:r>
    </w:p>
    <w:p w14:paraId="0470ED3D" w14:textId="39873636" w:rsidR="00C22E4D" w:rsidRDefault="00C22E4D" w:rsidP="00C22E4D">
      <w:pPr>
        <w:pStyle w:val="CETReferencetext"/>
      </w:pPr>
      <w:r w:rsidRPr="00C22E4D">
        <w:t>Kumaraswamy</w:t>
      </w:r>
      <w:r>
        <w:t>,</w:t>
      </w:r>
      <w:r w:rsidRPr="00C22E4D">
        <w:t xml:space="preserve"> B</w:t>
      </w:r>
      <w:r>
        <w:t xml:space="preserve">. (2021). </w:t>
      </w:r>
      <w:r w:rsidRPr="00C22E4D">
        <w:t>Neural networks for data classification</w:t>
      </w:r>
      <w:r>
        <w:t>.</w:t>
      </w:r>
      <w:r w:rsidRPr="00C22E4D">
        <w:t xml:space="preserve"> </w:t>
      </w:r>
      <w:r>
        <w:t xml:space="preserve">Artificial Intelligence in Data Mining Theories and Applications. Chapter 6. pp. 109-131 </w:t>
      </w:r>
    </w:p>
    <w:p w14:paraId="2A0EAFC5" w14:textId="7E3E095F" w:rsidR="00BD0CA9" w:rsidRPr="00EB0614" w:rsidRDefault="00BD0CA9" w:rsidP="00E65B91">
      <w:pPr>
        <w:pStyle w:val="CETReferencetext"/>
        <w:rPr>
          <w:lang w:val="it-IT"/>
        </w:rPr>
      </w:pPr>
      <w:r w:rsidRPr="00BD0CA9">
        <w:t xml:space="preserve">Li, X., Grace, J.R., Watkinson, A.P., Lim, C.J., </w:t>
      </w:r>
      <w:proofErr w:type="spellStart"/>
      <w:r w:rsidRPr="00BD0CA9">
        <w:t>Ergüdenler</w:t>
      </w:r>
      <w:proofErr w:type="spellEnd"/>
      <w:r w:rsidRPr="00BD0CA9">
        <w:t>, A</w:t>
      </w:r>
      <w:r>
        <w:t xml:space="preserve"> (2001). </w:t>
      </w:r>
      <w:r w:rsidRPr="00BD0CA9">
        <w:t xml:space="preserve">Equilibrium </w:t>
      </w:r>
      <w:proofErr w:type="spellStart"/>
      <w:r w:rsidRPr="00BD0CA9">
        <w:t>modeling</w:t>
      </w:r>
      <w:proofErr w:type="spellEnd"/>
      <w:r w:rsidRPr="00BD0CA9">
        <w:t xml:space="preserve"> of gasification: A free energy minimization approach and its application to a circulating fluidized bed coal gasifier</w:t>
      </w:r>
      <w:r>
        <w:t xml:space="preserve">. </w:t>
      </w:r>
      <w:proofErr w:type="spellStart"/>
      <w:r w:rsidRPr="00EB0614">
        <w:rPr>
          <w:lang w:val="it-IT"/>
        </w:rPr>
        <w:t>Fuel</w:t>
      </w:r>
      <w:proofErr w:type="spellEnd"/>
      <w:r w:rsidRPr="00EB0614">
        <w:rPr>
          <w:lang w:val="it-IT"/>
        </w:rPr>
        <w:t>, 80 (2), pp. 195-207.</w:t>
      </w:r>
    </w:p>
    <w:p w14:paraId="2CFA7DAB" w14:textId="056AEFE1" w:rsidR="00BD0CA9" w:rsidRPr="00C22E4D" w:rsidRDefault="00C22E4D" w:rsidP="00C22E4D">
      <w:pPr>
        <w:pStyle w:val="CETReferencetext"/>
      </w:pPr>
      <w:r w:rsidRPr="00C22E4D">
        <w:rPr>
          <w:lang w:val="it-IT"/>
        </w:rPr>
        <w:t>Marchelli, F</w:t>
      </w:r>
      <w:r>
        <w:rPr>
          <w:lang w:val="it-IT"/>
        </w:rPr>
        <w:t xml:space="preserve">., </w:t>
      </w:r>
      <w:r w:rsidRPr="00C22E4D">
        <w:rPr>
          <w:lang w:val="it-IT"/>
        </w:rPr>
        <w:t>Moliner, C</w:t>
      </w:r>
      <w:r>
        <w:rPr>
          <w:lang w:val="it-IT"/>
        </w:rPr>
        <w:t xml:space="preserve">., </w:t>
      </w:r>
      <w:proofErr w:type="spellStart"/>
      <w:r w:rsidRPr="00C22E4D">
        <w:rPr>
          <w:lang w:val="it-IT"/>
        </w:rPr>
        <w:t>Baratieri</w:t>
      </w:r>
      <w:proofErr w:type="spellEnd"/>
      <w:r w:rsidRPr="00C22E4D">
        <w:rPr>
          <w:lang w:val="it-IT"/>
        </w:rPr>
        <w:t>, M</w:t>
      </w:r>
      <w:r>
        <w:rPr>
          <w:lang w:val="it-IT"/>
        </w:rPr>
        <w:t xml:space="preserve">., </w:t>
      </w:r>
      <w:r w:rsidRPr="00C22E4D">
        <w:rPr>
          <w:lang w:val="it-IT"/>
        </w:rPr>
        <w:t>Bosio, B</w:t>
      </w:r>
      <w:r>
        <w:rPr>
          <w:lang w:val="it-IT"/>
        </w:rPr>
        <w:t xml:space="preserve">., </w:t>
      </w:r>
      <w:r w:rsidRPr="00C22E4D">
        <w:rPr>
          <w:lang w:val="it-IT"/>
        </w:rPr>
        <w:t>Arato, E</w:t>
      </w:r>
      <w:r>
        <w:rPr>
          <w:lang w:val="it-IT"/>
        </w:rPr>
        <w:t xml:space="preserve">. (2019). </w:t>
      </w:r>
      <w:r w:rsidRPr="00C22E4D">
        <w:t>From equilibrium to kinetic modelling: The gasification of apple pruning residues in a spouted bed reactor</w:t>
      </w:r>
      <w:r>
        <w:t xml:space="preserve">. </w:t>
      </w:r>
      <w:r w:rsidRPr="00C22E4D">
        <w:t>27th European Biomass Conference and Exhibition, EUBCE 2019</w:t>
      </w:r>
      <w:r>
        <w:t xml:space="preserve">. </w:t>
      </w:r>
      <w:r w:rsidRPr="00C22E4D">
        <w:t xml:space="preserve">Pages 813 </w:t>
      </w:r>
      <w:r>
        <w:t>–</w:t>
      </w:r>
      <w:r w:rsidRPr="00C22E4D">
        <w:t xml:space="preserve"> 820</w:t>
      </w:r>
      <w:r>
        <w:t>.</w:t>
      </w:r>
    </w:p>
    <w:p w14:paraId="28E8379D" w14:textId="17D1C49C" w:rsidR="00C52C3C" w:rsidRDefault="00BD0CA9" w:rsidP="00E65B91">
      <w:pPr>
        <w:pStyle w:val="CETReferencetext"/>
      </w:pPr>
      <w:r w:rsidRPr="00BD0CA9">
        <w:t>Safarian S, U. R. (2019, August). A review of biomass gasification modelling. Renewable and Sustainable Energy Reviews, 110, 378-391</w:t>
      </w:r>
      <w:r w:rsidR="00C22E4D">
        <w:t>.</w:t>
      </w:r>
    </w:p>
    <w:p w14:paraId="65704091" w14:textId="33BE1483" w:rsidR="006235CB" w:rsidRDefault="006235CB" w:rsidP="00E65B91">
      <w:pPr>
        <w:pStyle w:val="CETReferencetext"/>
      </w:pPr>
      <w:r w:rsidRPr="006235CB">
        <w:t xml:space="preserve">Sharma, A. (2008). Equilibrium and kinetic </w:t>
      </w:r>
      <w:proofErr w:type="spellStart"/>
      <w:r w:rsidRPr="006235CB">
        <w:t>modeling</w:t>
      </w:r>
      <w:proofErr w:type="spellEnd"/>
      <w:r w:rsidRPr="006235CB">
        <w:t xml:space="preserve"> of char reduction reactions in a downdraft biomass gasifier: a comparison. Solar Energy, 82, 918-928.</w:t>
      </w:r>
    </w:p>
    <w:p w14:paraId="6FAA4342" w14:textId="1D35A0B6" w:rsidR="00C52C3C" w:rsidRDefault="006235CB" w:rsidP="00E65B91">
      <w:pPr>
        <w:pStyle w:val="CETReferencetext"/>
      </w:pPr>
      <w:r w:rsidRPr="006235CB">
        <w:t xml:space="preserve">Sharma, A. (2011). </w:t>
      </w:r>
      <w:proofErr w:type="spellStart"/>
      <w:r w:rsidRPr="006235CB">
        <w:t>Modeling</w:t>
      </w:r>
      <w:proofErr w:type="spellEnd"/>
      <w:r w:rsidRPr="006235CB">
        <w:t xml:space="preserve"> and Simulation of a downdraft biomass gasifier 1. Model development and validation. Energy Conversion and Management, 52, 1386-1396.</w:t>
      </w:r>
    </w:p>
    <w:p w14:paraId="2D632CDA" w14:textId="18C54F29" w:rsidR="00EB0614" w:rsidRPr="00EB0614" w:rsidRDefault="00EB0614" w:rsidP="00E65B91">
      <w:pPr>
        <w:pStyle w:val="CETReferencetext"/>
      </w:pPr>
      <w:r w:rsidRPr="008B16D0">
        <w:t xml:space="preserve">Suzuki S., Matsumoto H., Izuka T. (2020). </w:t>
      </w:r>
      <w:r w:rsidRPr="00EB0614">
        <w:t xml:space="preserve">Effect of the supply method on the semi-carbonized utilization of woody biomass on the pyrolysis gasification </w:t>
      </w:r>
      <w:proofErr w:type="spellStart"/>
      <w:r w:rsidRPr="00EB0614">
        <w:t>behavior</w:t>
      </w:r>
      <w:proofErr w:type="spellEnd"/>
      <w:r>
        <w:t xml:space="preserve">. </w:t>
      </w:r>
      <w:r w:rsidRPr="00EB0614">
        <w:t>The Japan Carbonization Research Society (JCRS)</w:t>
      </w:r>
    </w:p>
    <w:p w14:paraId="5A13856B" w14:textId="1E472276" w:rsidR="006B4888" w:rsidRDefault="006235CB" w:rsidP="006B4888">
      <w:pPr>
        <w:pStyle w:val="CETReferencetext"/>
      </w:pPr>
      <w:proofErr w:type="spellStart"/>
      <w:r w:rsidRPr="006235CB">
        <w:t>Thunman</w:t>
      </w:r>
      <w:proofErr w:type="spellEnd"/>
      <w:r w:rsidRPr="006235CB">
        <w:t xml:space="preserve"> H, N. F. (2011). Composition of volatile gases and thermochemical properties of wood for </w:t>
      </w:r>
      <w:proofErr w:type="spellStart"/>
      <w:r w:rsidRPr="006235CB">
        <w:t>modeling</w:t>
      </w:r>
      <w:proofErr w:type="spellEnd"/>
      <w:r w:rsidRPr="006235CB">
        <w:t xml:space="preserve"> of fixed and fluidized beds. Energy Fuel, 15, 1488-1497.</w:t>
      </w:r>
    </w:p>
    <w:p w14:paraId="19C4FC68" w14:textId="578C8A56" w:rsidR="004628D2" w:rsidRDefault="006235CB" w:rsidP="00E32A54">
      <w:pPr>
        <w:pStyle w:val="CETReferencetext"/>
      </w:pPr>
      <w:r w:rsidRPr="006235CB">
        <w:t>Tillman DA, R. A. (1981). Wood Combustion. Academic Press Inc.</w:t>
      </w:r>
    </w:p>
    <w:sectPr w:rsidR="004628D2"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87141D" w14:textId="77777777" w:rsidR="00617202" w:rsidRDefault="00617202" w:rsidP="004F5E36">
      <w:r>
        <w:separator/>
      </w:r>
    </w:p>
  </w:endnote>
  <w:endnote w:type="continuationSeparator" w:id="0">
    <w:p w14:paraId="197FB63E" w14:textId="77777777" w:rsidR="00617202" w:rsidRDefault="00617202"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E3C5D" w14:textId="77777777" w:rsidR="00617202" w:rsidRDefault="00617202" w:rsidP="004F5E36">
      <w:r>
        <w:separator/>
      </w:r>
    </w:p>
  </w:footnote>
  <w:footnote w:type="continuationSeparator" w:id="0">
    <w:p w14:paraId="42324AF2" w14:textId="77777777" w:rsidR="00617202" w:rsidRDefault="00617202"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9AE00BE"/>
    <w:multiLevelType w:val="hybridMultilevel"/>
    <w:tmpl w:val="966A0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7"/>
  </w:num>
  <w:num w:numId="13" w16cid:durableId="695733619">
    <w:abstractNumId w:val="12"/>
  </w:num>
  <w:num w:numId="14" w16cid:durableId="145903400">
    <w:abstractNumId w:val="18"/>
  </w:num>
  <w:num w:numId="15" w16cid:durableId="19162326">
    <w:abstractNumId w:val="20"/>
  </w:num>
  <w:num w:numId="16" w16cid:durableId="1977102699">
    <w:abstractNumId w:val="19"/>
  </w:num>
  <w:num w:numId="17" w16cid:durableId="860774865">
    <w:abstractNumId w:val="11"/>
  </w:num>
  <w:num w:numId="18" w16cid:durableId="313221457">
    <w:abstractNumId w:val="12"/>
    <w:lvlOverride w:ilvl="0">
      <w:startOverride w:val="1"/>
    </w:lvlOverride>
  </w:num>
  <w:num w:numId="19" w16cid:durableId="534971577">
    <w:abstractNumId w:val="16"/>
  </w:num>
  <w:num w:numId="20" w16cid:durableId="1150947773">
    <w:abstractNumId w:val="15"/>
  </w:num>
  <w:num w:numId="21" w16cid:durableId="124660497">
    <w:abstractNumId w:val="14"/>
  </w:num>
  <w:num w:numId="22" w16cid:durableId="2099861471">
    <w:abstractNumId w:val="13"/>
  </w:num>
  <w:num w:numId="23" w16cid:durableId="55844366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3148D"/>
    <w:rsid w:val="00031EEC"/>
    <w:rsid w:val="0004323D"/>
    <w:rsid w:val="00051566"/>
    <w:rsid w:val="00054CCA"/>
    <w:rsid w:val="000562A9"/>
    <w:rsid w:val="00062A9A"/>
    <w:rsid w:val="00065058"/>
    <w:rsid w:val="00074FFE"/>
    <w:rsid w:val="00086C39"/>
    <w:rsid w:val="000A03B2"/>
    <w:rsid w:val="000A2C05"/>
    <w:rsid w:val="000C071B"/>
    <w:rsid w:val="000C357B"/>
    <w:rsid w:val="000C5D19"/>
    <w:rsid w:val="000C7A08"/>
    <w:rsid w:val="000D0268"/>
    <w:rsid w:val="000D34BE"/>
    <w:rsid w:val="000E102F"/>
    <w:rsid w:val="000E36F1"/>
    <w:rsid w:val="000E3A73"/>
    <w:rsid w:val="000E414A"/>
    <w:rsid w:val="000F093C"/>
    <w:rsid w:val="000F787B"/>
    <w:rsid w:val="001038FC"/>
    <w:rsid w:val="0012091F"/>
    <w:rsid w:val="00126BC2"/>
    <w:rsid w:val="001308B6"/>
    <w:rsid w:val="0013121F"/>
    <w:rsid w:val="00131FE6"/>
    <w:rsid w:val="0013263F"/>
    <w:rsid w:val="001331DF"/>
    <w:rsid w:val="00134DE4"/>
    <w:rsid w:val="0014034D"/>
    <w:rsid w:val="00144D16"/>
    <w:rsid w:val="00150E59"/>
    <w:rsid w:val="00152DE3"/>
    <w:rsid w:val="00164CF9"/>
    <w:rsid w:val="001667A6"/>
    <w:rsid w:val="00172843"/>
    <w:rsid w:val="0017293D"/>
    <w:rsid w:val="00184AD6"/>
    <w:rsid w:val="001A4AF7"/>
    <w:rsid w:val="001B0349"/>
    <w:rsid w:val="001B1E93"/>
    <w:rsid w:val="001B65C1"/>
    <w:rsid w:val="001C684B"/>
    <w:rsid w:val="001D0CFB"/>
    <w:rsid w:val="001D21AF"/>
    <w:rsid w:val="001D53FC"/>
    <w:rsid w:val="001F42A5"/>
    <w:rsid w:val="001F7B9D"/>
    <w:rsid w:val="00201C93"/>
    <w:rsid w:val="002224B4"/>
    <w:rsid w:val="00226A7B"/>
    <w:rsid w:val="002447EF"/>
    <w:rsid w:val="00251550"/>
    <w:rsid w:val="00263B05"/>
    <w:rsid w:val="0027221A"/>
    <w:rsid w:val="00275B61"/>
    <w:rsid w:val="00280FAF"/>
    <w:rsid w:val="00282656"/>
    <w:rsid w:val="002861D5"/>
    <w:rsid w:val="00296B83"/>
    <w:rsid w:val="002B4015"/>
    <w:rsid w:val="002B78CE"/>
    <w:rsid w:val="002C1114"/>
    <w:rsid w:val="002C2FB6"/>
    <w:rsid w:val="002E5FA7"/>
    <w:rsid w:val="002F3309"/>
    <w:rsid w:val="003008CE"/>
    <w:rsid w:val="003009B7"/>
    <w:rsid w:val="00300E56"/>
    <w:rsid w:val="0030152C"/>
    <w:rsid w:val="00302420"/>
    <w:rsid w:val="0030469C"/>
    <w:rsid w:val="00321CA6"/>
    <w:rsid w:val="00323763"/>
    <w:rsid w:val="00323C5F"/>
    <w:rsid w:val="00334C09"/>
    <w:rsid w:val="003723D4"/>
    <w:rsid w:val="00381905"/>
    <w:rsid w:val="00384CC8"/>
    <w:rsid w:val="003871FD"/>
    <w:rsid w:val="003A1E30"/>
    <w:rsid w:val="003A2829"/>
    <w:rsid w:val="003A4A5F"/>
    <w:rsid w:val="003A6FC6"/>
    <w:rsid w:val="003A7D1C"/>
    <w:rsid w:val="003B304B"/>
    <w:rsid w:val="003B3146"/>
    <w:rsid w:val="003F015E"/>
    <w:rsid w:val="00400414"/>
    <w:rsid w:val="004072B8"/>
    <w:rsid w:val="0041446B"/>
    <w:rsid w:val="0044071E"/>
    <w:rsid w:val="0044329C"/>
    <w:rsid w:val="00443318"/>
    <w:rsid w:val="00453E24"/>
    <w:rsid w:val="00457456"/>
    <w:rsid w:val="004577FE"/>
    <w:rsid w:val="00457B9C"/>
    <w:rsid w:val="0046164A"/>
    <w:rsid w:val="004628D2"/>
    <w:rsid w:val="00462DCD"/>
    <w:rsid w:val="004648AD"/>
    <w:rsid w:val="004703A9"/>
    <w:rsid w:val="004760DE"/>
    <w:rsid w:val="004763D7"/>
    <w:rsid w:val="00480EC9"/>
    <w:rsid w:val="004A004E"/>
    <w:rsid w:val="004A24CF"/>
    <w:rsid w:val="004C3D1D"/>
    <w:rsid w:val="004C3D84"/>
    <w:rsid w:val="004C6087"/>
    <w:rsid w:val="004C7913"/>
    <w:rsid w:val="004E4DD6"/>
    <w:rsid w:val="004E6868"/>
    <w:rsid w:val="004F5E36"/>
    <w:rsid w:val="00507B47"/>
    <w:rsid w:val="00507BEF"/>
    <w:rsid w:val="00507CC9"/>
    <w:rsid w:val="005119A5"/>
    <w:rsid w:val="00516AAC"/>
    <w:rsid w:val="005278B7"/>
    <w:rsid w:val="00532016"/>
    <w:rsid w:val="00533A1B"/>
    <w:rsid w:val="005346C8"/>
    <w:rsid w:val="00543E7D"/>
    <w:rsid w:val="00547A68"/>
    <w:rsid w:val="005531C9"/>
    <w:rsid w:val="00570C43"/>
    <w:rsid w:val="005B2110"/>
    <w:rsid w:val="005B61E6"/>
    <w:rsid w:val="005C77E1"/>
    <w:rsid w:val="005D668A"/>
    <w:rsid w:val="005D6A2F"/>
    <w:rsid w:val="005E1A82"/>
    <w:rsid w:val="005E794C"/>
    <w:rsid w:val="005E7C48"/>
    <w:rsid w:val="005F0A28"/>
    <w:rsid w:val="005F0E5E"/>
    <w:rsid w:val="00600535"/>
    <w:rsid w:val="00610BA5"/>
    <w:rsid w:val="00610CD6"/>
    <w:rsid w:val="00617202"/>
    <w:rsid w:val="00620DEE"/>
    <w:rsid w:val="00621F92"/>
    <w:rsid w:val="0062280A"/>
    <w:rsid w:val="006235CB"/>
    <w:rsid w:val="00625639"/>
    <w:rsid w:val="00631B33"/>
    <w:rsid w:val="0064184D"/>
    <w:rsid w:val="006422CC"/>
    <w:rsid w:val="00660E3E"/>
    <w:rsid w:val="00662E74"/>
    <w:rsid w:val="006722E5"/>
    <w:rsid w:val="00680C23"/>
    <w:rsid w:val="00693766"/>
    <w:rsid w:val="006A3281"/>
    <w:rsid w:val="006B4888"/>
    <w:rsid w:val="006C2E45"/>
    <w:rsid w:val="006C359C"/>
    <w:rsid w:val="006C5579"/>
    <w:rsid w:val="006D6E8B"/>
    <w:rsid w:val="006E737D"/>
    <w:rsid w:val="007061EA"/>
    <w:rsid w:val="00713973"/>
    <w:rsid w:val="00720A24"/>
    <w:rsid w:val="00720BFD"/>
    <w:rsid w:val="00732386"/>
    <w:rsid w:val="0073514D"/>
    <w:rsid w:val="007447F3"/>
    <w:rsid w:val="0075499F"/>
    <w:rsid w:val="007661C8"/>
    <w:rsid w:val="0077098D"/>
    <w:rsid w:val="007931FA"/>
    <w:rsid w:val="00794220"/>
    <w:rsid w:val="007A4861"/>
    <w:rsid w:val="007A7BBA"/>
    <w:rsid w:val="007B0C50"/>
    <w:rsid w:val="007B48F9"/>
    <w:rsid w:val="007C1A43"/>
    <w:rsid w:val="007D0951"/>
    <w:rsid w:val="0080013E"/>
    <w:rsid w:val="00813288"/>
    <w:rsid w:val="008168FC"/>
    <w:rsid w:val="00830996"/>
    <w:rsid w:val="008345F1"/>
    <w:rsid w:val="008611C2"/>
    <w:rsid w:val="00865B07"/>
    <w:rsid w:val="008667EA"/>
    <w:rsid w:val="0087637F"/>
    <w:rsid w:val="00892AD5"/>
    <w:rsid w:val="008A1512"/>
    <w:rsid w:val="008B0208"/>
    <w:rsid w:val="008B16D0"/>
    <w:rsid w:val="008B7C03"/>
    <w:rsid w:val="008C2139"/>
    <w:rsid w:val="008D32B9"/>
    <w:rsid w:val="008D433B"/>
    <w:rsid w:val="008D4A16"/>
    <w:rsid w:val="008E566E"/>
    <w:rsid w:val="0090161A"/>
    <w:rsid w:val="00901EB6"/>
    <w:rsid w:val="00904C62"/>
    <w:rsid w:val="00922BA8"/>
    <w:rsid w:val="00924DAC"/>
    <w:rsid w:val="00927058"/>
    <w:rsid w:val="00936744"/>
    <w:rsid w:val="00942750"/>
    <w:rsid w:val="009450CE"/>
    <w:rsid w:val="009459BB"/>
    <w:rsid w:val="00947179"/>
    <w:rsid w:val="0095164B"/>
    <w:rsid w:val="00954090"/>
    <w:rsid w:val="009573E7"/>
    <w:rsid w:val="00963E05"/>
    <w:rsid w:val="00964A45"/>
    <w:rsid w:val="00967843"/>
    <w:rsid w:val="00967D54"/>
    <w:rsid w:val="00971028"/>
    <w:rsid w:val="00993B84"/>
    <w:rsid w:val="00996483"/>
    <w:rsid w:val="00996F5A"/>
    <w:rsid w:val="009B041A"/>
    <w:rsid w:val="009C37C3"/>
    <w:rsid w:val="009C7C86"/>
    <w:rsid w:val="009D2FF7"/>
    <w:rsid w:val="009E5055"/>
    <w:rsid w:val="009E7884"/>
    <w:rsid w:val="009E788A"/>
    <w:rsid w:val="009F0E08"/>
    <w:rsid w:val="00A064DE"/>
    <w:rsid w:val="00A1763D"/>
    <w:rsid w:val="00A17CEC"/>
    <w:rsid w:val="00A27EF0"/>
    <w:rsid w:val="00A42361"/>
    <w:rsid w:val="00A50B20"/>
    <w:rsid w:val="00A51390"/>
    <w:rsid w:val="00A60D13"/>
    <w:rsid w:val="00A7223D"/>
    <w:rsid w:val="00A72745"/>
    <w:rsid w:val="00A72A72"/>
    <w:rsid w:val="00A76EFC"/>
    <w:rsid w:val="00A87D50"/>
    <w:rsid w:val="00A91010"/>
    <w:rsid w:val="00A97F29"/>
    <w:rsid w:val="00AA702E"/>
    <w:rsid w:val="00AA7D26"/>
    <w:rsid w:val="00AB0964"/>
    <w:rsid w:val="00AB5011"/>
    <w:rsid w:val="00AC7368"/>
    <w:rsid w:val="00AD16B9"/>
    <w:rsid w:val="00AE377D"/>
    <w:rsid w:val="00AF0EBA"/>
    <w:rsid w:val="00B02C8A"/>
    <w:rsid w:val="00B17FBD"/>
    <w:rsid w:val="00B315A6"/>
    <w:rsid w:val="00B31813"/>
    <w:rsid w:val="00B33365"/>
    <w:rsid w:val="00B57B36"/>
    <w:rsid w:val="00B57E6F"/>
    <w:rsid w:val="00B8686D"/>
    <w:rsid w:val="00B93F69"/>
    <w:rsid w:val="00BB1DDC"/>
    <w:rsid w:val="00BC30C9"/>
    <w:rsid w:val="00BD077D"/>
    <w:rsid w:val="00BD0CA9"/>
    <w:rsid w:val="00BE3E58"/>
    <w:rsid w:val="00BF39F9"/>
    <w:rsid w:val="00C01616"/>
    <w:rsid w:val="00C0162B"/>
    <w:rsid w:val="00C068ED"/>
    <w:rsid w:val="00C22E0C"/>
    <w:rsid w:val="00C22E4D"/>
    <w:rsid w:val="00C345B1"/>
    <w:rsid w:val="00C40142"/>
    <w:rsid w:val="00C512BA"/>
    <w:rsid w:val="00C52C3C"/>
    <w:rsid w:val="00C57182"/>
    <w:rsid w:val="00C57863"/>
    <w:rsid w:val="00C60D1F"/>
    <w:rsid w:val="00C640AF"/>
    <w:rsid w:val="00C655FD"/>
    <w:rsid w:val="00C75407"/>
    <w:rsid w:val="00C870A8"/>
    <w:rsid w:val="00C94434"/>
    <w:rsid w:val="00CA0D4A"/>
    <w:rsid w:val="00CA0D75"/>
    <w:rsid w:val="00CA1C95"/>
    <w:rsid w:val="00CA5A9C"/>
    <w:rsid w:val="00CC4C20"/>
    <w:rsid w:val="00CD3517"/>
    <w:rsid w:val="00CD5FE2"/>
    <w:rsid w:val="00CE7C68"/>
    <w:rsid w:val="00CF44CD"/>
    <w:rsid w:val="00D02B4C"/>
    <w:rsid w:val="00D040C4"/>
    <w:rsid w:val="00D20AD1"/>
    <w:rsid w:val="00D46B7E"/>
    <w:rsid w:val="00D57C84"/>
    <w:rsid w:val="00D6057D"/>
    <w:rsid w:val="00D648EC"/>
    <w:rsid w:val="00D71640"/>
    <w:rsid w:val="00D767B5"/>
    <w:rsid w:val="00D836C5"/>
    <w:rsid w:val="00D84576"/>
    <w:rsid w:val="00DA1399"/>
    <w:rsid w:val="00DA24C6"/>
    <w:rsid w:val="00DA4D7B"/>
    <w:rsid w:val="00DC3E4C"/>
    <w:rsid w:val="00DD271C"/>
    <w:rsid w:val="00DE264A"/>
    <w:rsid w:val="00DF3004"/>
    <w:rsid w:val="00DF5072"/>
    <w:rsid w:val="00E02D18"/>
    <w:rsid w:val="00E03D3F"/>
    <w:rsid w:val="00E041E7"/>
    <w:rsid w:val="00E23CA1"/>
    <w:rsid w:val="00E32A54"/>
    <w:rsid w:val="00E33DD7"/>
    <w:rsid w:val="00E409A8"/>
    <w:rsid w:val="00E50C12"/>
    <w:rsid w:val="00E60D1A"/>
    <w:rsid w:val="00E65B91"/>
    <w:rsid w:val="00E7209D"/>
    <w:rsid w:val="00E72660"/>
    <w:rsid w:val="00E72EAD"/>
    <w:rsid w:val="00E77223"/>
    <w:rsid w:val="00E8528B"/>
    <w:rsid w:val="00E85B94"/>
    <w:rsid w:val="00E978D0"/>
    <w:rsid w:val="00EA4613"/>
    <w:rsid w:val="00EA7F91"/>
    <w:rsid w:val="00EB0614"/>
    <w:rsid w:val="00EB1523"/>
    <w:rsid w:val="00EB5109"/>
    <w:rsid w:val="00EC0E49"/>
    <w:rsid w:val="00EC101F"/>
    <w:rsid w:val="00EC1D9F"/>
    <w:rsid w:val="00EE0131"/>
    <w:rsid w:val="00EE030A"/>
    <w:rsid w:val="00EE17B0"/>
    <w:rsid w:val="00EE29BD"/>
    <w:rsid w:val="00EF06D9"/>
    <w:rsid w:val="00F10EBF"/>
    <w:rsid w:val="00F3049E"/>
    <w:rsid w:val="00F30C64"/>
    <w:rsid w:val="00F32BA2"/>
    <w:rsid w:val="00F32CDB"/>
    <w:rsid w:val="00F35F27"/>
    <w:rsid w:val="00F565FE"/>
    <w:rsid w:val="00F63A70"/>
    <w:rsid w:val="00F63D8C"/>
    <w:rsid w:val="00F7534E"/>
    <w:rsid w:val="00F82FB2"/>
    <w:rsid w:val="00F93EDF"/>
    <w:rsid w:val="00FA1802"/>
    <w:rsid w:val="00FA21D0"/>
    <w:rsid w:val="00FA5F5F"/>
    <w:rsid w:val="00FB730C"/>
    <w:rsid w:val="00FC2695"/>
    <w:rsid w:val="00FC3E03"/>
    <w:rsid w:val="00FC3FC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480EC9"/>
    <w:pPr>
      <w:keepNext/>
      <w:suppressAutoHyphens/>
      <w:spacing w:before="120" w:after="120" w:line="240" w:lineRule="auto"/>
      <w:jc w:val="both"/>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480EC9"/>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paragraph" w:customStyle="1" w:styleId="Default">
    <w:name w:val="Default"/>
    <w:rsid w:val="006722E5"/>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Til81</b:Tag>
    <b:SourceType>JournalArticle</b:SourceType>
    <b:Guid>{7EEC9BF0-24E4-463A-A636-6F4983D9FFB7}</b:Guid>
    <b:Author>
      <b:Author>
        <b:NameList>
          <b:Person>
            <b:Last>Tillman DA</b:Last>
            <b:First>Rossi</b:First>
            <b:Middle>AM, Kitto WA</b:Middle>
          </b:Person>
        </b:NameList>
      </b:Author>
    </b:Author>
    <b:Title>Wood Combustion </b:Title>
    <b:Year>1981</b:Year>
    <b:JournalName>Academic Press Inc</b:JournalName>
    <b:RefOrder>13</b:RefOrder>
  </b:Source>
</b:Sources>
</file>

<file path=customXml/itemProps1.xml><?xml version="1.0" encoding="utf-8"?>
<ds:datastoreItem xmlns:ds="http://schemas.openxmlformats.org/officeDocument/2006/customXml" ds:itemID="{BBF34C23-EA5A-4DB7-8C62-30E1589BC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6</Pages>
  <Words>2903</Words>
  <Characters>16549</Characters>
  <Application>Microsoft Office Word</Application>
  <DocSecurity>0</DocSecurity>
  <Lines>137</Lines>
  <Paragraphs>38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19414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Cristina Moliner Estopiñan</cp:lastModifiedBy>
  <cp:revision>32</cp:revision>
  <cp:lastPrinted>2015-05-12T18:31:00Z</cp:lastPrinted>
  <dcterms:created xsi:type="dcterms:W3CDTF">2023-03-10T16:58:00Z</dcterms:created>
  <dcterms:modified xsi:type="dcterms:W3CDTF">2023-09-07T12:44:00Z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