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E229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90E58" w14:paraId="380FA3CD" w14:textId="77777777" w:rsidTr="00AE229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AE2291" w:rsidRDefault="000D0268" w:rsidP="00CD5FE2">
            <w:pPr>
              <w:spacing w:line="140" w:lineRule="atLeast"/>
              <w:jc w:val="right"/>
              <w:rPr>
                <w:rFonts w:cs="Arial"/>
                <w:sz w:val="13"/>
                <w:szCs w:val="13"/>
                <w:lang w:val="nb-NO"/>
              </w:rPr>
            </w:pPr>
            <w:r w:rsidRPr="00AE2291">
              <w:rPr>
                <w:rFonts w:cs="Arial"/>
                <w:sz w:val="13"/>
                <w:szCs w:val="13"/>
                <w:lang w:val="nb-NO"/>
              </w:rPr>
              <w:t>Online at www.cetjournal.it</w:t>
            </w:r>
          </w:p>
        </w:tc>
      </w:tr>
      <w:tr w:rsidR="000A03B2" w:rsidRPr="00290E58" w14:paraId="2D1B7169" w14:textId="77777777" w:rsidTr="00AE2291">
        <w:trPr>
          <w:trHeight w:val="68"/>
          <w:jc w:val="center"/>
        </w:trPr>
        <w:tc>
          <w:tcPr>
            <w:tcW w:w="8782" w:type="dxa"/>
            <w:gridSpan w:val="2"/>
          </w:tcPr>
          <w:p w14:paraId="1D8DD3C9" w14:textId="10669D10" w:rsidR="00AA7D26" w:rsidRPr="005E7C48"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5E7C48" w:rsidRPr="005E7C48">
              <w:rPr>
                <w:sz w:val="14"/>
                <w:szCs w:val="14"/>
                <w:lang w:val="it-IT"/>
              </w:rPr>
              <w:t>David Bogle, Flavio Manenti, Piero Salatino</w:t>
            </w:r>
          </w:p>
          <w:p w14:paraId="1B0F1814" w14:textId="6981DC84" w:rsidR="000A03B2" w:rsidRPr="00AE2291" w:rsidRDefault="00AA7D26" w:rsidP="00AA7D26">
            <w:pPr>
              <w:tabs>
                <w:tab w:val="left" w:pos="-108"/>
              </w:tabs>
              <w:spacing w:line="140" w:lineRule="atLeast"/>
              <w:ind w:left="-107"/>
              <w:jc w:val="left"/>
              <w:rPr>
                <w:lang w:val="nb-NO"/>
              </w:rPr>
            </w:pPr>
            <w:r w:rsidRPr="00AE2291">
              <w:rPr>
                <w:rFonts w:ascii="Tahoma" w:hAnsi="Tahoma" w:cs="Tahoma"/>
                <w:iCs/>
                <w:color w:val="333333"/>
                <w:sz w:val="14"/>
                <w:szCs w:val="14"/>
                <w:lang w:val="nb-NO" w:eastAsia="it-IT"/>
              </w:rPr>
              <w:t xml:space="preserve">Copyright © 2023, AIDIC </w:t>
            </w:r>
            <w:proofErr w:type="spellStart"/>
            <w:r w:rsidRPr="00AE2291">
              <w:rPr>
                <w:rFonts w:ascii="Tahoma" w:hAnsi="Tahoma" w:cs="Tahoma"/>
                <w:iCs/>
                <w:color w:val="333333"/>
                <w:sz w:val="14"/>
                <w:szCs w:val="14"/>
                <w:lang w:val="nb-NO" w:eastAsia="it-IT"/>
              </w:rPr>
              <w:t>Servizi</w:t>
            </w:r>
            <w:proofErr w:type="spellEnd"/>
            <w:r w:rsidRPr="00AE2291">
              <w:rPr>
                <w:rFonts w:ascii="Tahoma" w:hAnsi="Tahoma" w:cs="Tahoma"/>
                <w:iCs/>
                <w:color w:val="333333"/>
                <w:sz w:val="14"/>
                <w:szCs w:val="14"/>
                <w:lang w:val="nb-NO" w:eastAsia="it-IT"/>
              </w:rPr>
              <w:t xml:space="preserve"> </w:t>
            </w:r>
            <w:proofErr w:type="spellStart"/>
            <w:r w:rsidRPr="00AE2291">
              <w:rPr>
                <w:rFonts w:ascii="Tahoma" w:hAnsi="Tahoma" w:cs="Tahoma"/>
                <w:iCs/>
                <w:color w:val="333333"/>
                <w:sz w:val="14"/>
                <w:szCs w:val="14"/>
                <w:lang w:val="nb-NO" w:eastAsia="it-IT"/>
              </w:rPr>
              <w:t>S.r.l</w:t>
            </w:r>
            <w:proofErr w:type="spellEnd"/>
            <w:r w:rsidRPr="00AE2291">
              <w:rPr>
                <w:rFonts w:ascii="Tahoma" w:hAnsi="Tahoma" w:cs="Tahoma"/>
                <w:iCs/>
                <w:color w:val="333333"/>
                <w:sz w:val="14"/>
                <w:szCs w:val="14"/>
                <w:lang w:val="nb-NO" w:eastAsia="it-IT"/>
              </w:rPr>
              <w:t>.</w:t>
            </w:r>
            <w:r w:rsidRPr="00AE2291">
              <w:rPr>
                <w:rFonts w:ascii="Tahoma" w:hAnsi="Tahoma" w:cs="Tahoma"/>
                <w:iCs/>
                <w:color w:val="333333"/>
                <w:sz w:val="14"/>
                <w:szCs w:val="14"/>
                <w:lang w:val="nb-NO" w:eastAsia="it-IT"/>
              </w:rPr>
              <w:br/>
            </w:r>
            <w:r w:rsidRPr="00AE2291">
              <w:rPr>
                <w:rFonts w:ascii="Tahoma" w:hAnsi="Tahoma" w:cs="Tahoma"/>
                <w:b/>
                <w:iCs/>
                <w:color w:val="000000"/>
                <w:sz w:val="14"/>
                <w:szCs w:val="14"/>
                <w:lang w:val="nb-NO" w:eastAsia="it-IT"/>
              </w:rPr>
              <w:t>ISBN</w:t>
            </w:r>
            <w:r w:rsidRPr="00AE2291">
              <w:rPr>
                <w:rFonts w:ascii="Tahoma" w:hAnsi="Tahoma" w:cs="Tahoma"/>
                <w:iCs/>
                <w:color w:val="000000"/>
                <w:sz w:val="14"/>
                <w:szCs w:val="14"/>
                <w:lang w:val="nb-NO" w:eastAsia="it-IT"/>
              </w:rPr>
              <w:t xml:space="preserve"> </w:t>
            </w:r>
            <w:r w:rsidR="008B7C03" w:rsidRPr="00AE2291">
              <w:rPr>
                <w:rFonts w:ascii="Tahoma" w:hAnsi="Tahoma" w:cs="Tahoma"/>
                <w:sz w:val="14"/>
                <w:szCs w:val="14"/>
                <w:lang w:val="nb-NO"/>
              </w:rPr>
              <w:t>979-12-81206</w:t>
            </w:r>
            <w:r w:rsidRPr="00AE2291">
              <w:rPr>
                <w:rFonts w:ascii="Tahoma" w:hAnsi="Tahoma" w:cs="Tahoma"/>
                <w:sz w:val="14"/>
                <w:szCs w:val="14"/>
                <w:lang w:val="nb-NO"/>
              </w:rPr>
              <w:t>-</w:t>
            </w:r>
            <w:r w:rsidR="00E33DD7" w:rsidRPr="00AE2291">
              <w:rPr>
                <w:rFonts w:ascii="Tahoma" w:hAnsi="Tahoma" w:cs="Tahoma"/>
                <w:sz w:val="14"/>
                <w:szCs w:val="14"/>
                <w:lang w:val="nb-NO"/>
              </w:rPr>
              <w:t>0</w:t>
            </w:r>
            <w:r w:rsidR="005E7C48" w:rsidRPr="00AE2291">
              <w:rPr>
                <w:rFonts w:ascii="Tahoma" w:hAnsi="Tahoma" w:cs="Tahoma"/>
                <w:sz w:val="14"/>
                <w:szCs w:val="14"/>
                <w:lang w:val="nb-NO"/>
              </w:rPr>
              <w:t>4</w:t>
            </w:r>
            <w:r w:rsidRPr="00AE2291">
              <w:rPr>
                <w:rFonts w:ascii="Tahoma" w:hAnsi="Tahoma" w:cs="Tahoma"/>
                <w:sz w:val="14"/>
                <w:szCs w:val="14"/>
                <w:lang w:val="nb-NO"/>
              </w:rPr>
              <w:t>-</w:t>
            </w:r>
            <w:r w:rsidR="005E7C48" w:rsidRPr="00AE2291">
              <w:rPr>
                <w:rFonts w:ascii="Tahoma" w:hAnsi="Tahoma" w:cs="Tahoma"/>
                <w:sz w:val="14"/>
                <w:szCs w:val="14"/>
                <w:lang w:val="nb-NO"/>
              </w:rPr>
              <w:t>5</w:t>
            </w:r>
            <w:r w:rsidRPr="00AE2291">
              <w:rPr>
                <w:rFonts w:ascii="Tahoma" w:hAnsi="Tahoma" w:cs="Tahoma"/>
                <w:iCs/>
                <w:color w:val="333333"/>
                <w:sz w:val="14"/>
                <w:szCs w:val="14"/>
                <w:lang w:val="nb-NO" w:eastAsia="it-IT"/>
              </w:rPr>
              <w:t xml:space="preserve">; </w:t>
            </w:r>
            <w:r w:rsidRPr="00AE2291">
              <w:rPr>
                <w:rFonts w:ascii="Tahoma" w:hAnsi="Tahoma" w:cs="Tahoma"/>
                <w:b/>
                <w:iCs/>
                <w:color w:val="333333"/>
                <w:sz w:val="14"/>
                <w:szCs w:val="14"/>
                <w:lang w:val="nb-NO" w:eastAsia="it-IT"/>
              </w:rPr>
              <w:t>ISSN</w:t>
            </w:r>
            <w:r w:rsidRPr="00AE2291">
              <w:rPr>
                <w:rFonts w:ascii="Tahoma" w:hAnsi="Tahoma" w:cs="Tahoma"/>
                <w:iCs/>
                <w:color w:val="333333"/>
                <w:sz w:val="14"/>
                <w:szCs w:val="14"/>
                <w:lang w:val="nb-NO" w:eastAsia="it-IT"/>
              </w:rPr>
              <w:t xml:space="preserve"> 2283-9216</w:t>
            </w:r>
          </w:p>
        </w:tc>
      </w:tr>
    </w:tbl>
    <w:p w14:paraId="2E667253" w14:textId="16E8E039" w:rsidR="00E978D0" w:rsidRPr="00B57B36" w:rsidRDefault="00C7775F" w:rsidP="00E978D0">
      <w:pPr>
        <w:pStyle w:val="CETTitle"/>
      </w:pPr>
      <w:r w:rsidRPr="00C7775F">
        <w:t xml:space="preserve">Hydrothermal Gasification of Biogas Digestate: A </w:t>
      </w:r>
      <w:r w:rsidR="00290E58">
        <w:t xml:space="preserve">Parametric </w:t>
      </w:r>
      <w:r w:rsidRPr="00C7775F">
        <w:t xml:space="preserve">Study </w:t>
      </w:r>
      <w:r w:rsidR="00290E58">
        <w:t xml:space="preserve">Using </w:t>
      </w:r>
      <w:proofErr w:type="gramStart"/>
      <w:r w:rsidR="00290E58">
        <w:t>A</w:t>
      </w:r>
      <w:proofErr w:type="gramEnd"/>
      <w:r w:rsidR="00290E58">
        <w:t xml:space="preserve"> </w:t>
      </w:r>
      <w:proofErr w:type="spellStart"/>
      <w:r w:rsidR="00290E58">
        <w:t>Matlab</w:t>
      </w:r>
      <w:proofErr w:type="spellEnd"/>
      <w:r w:rsidR="00290E58">
        <w:t>-based Code</w:t>
      </w:r>
    </w:p>
    <w:p w14:paraId="0488FED2" w14:textId="24F420C8" w:rsidR="00B57E6F" w:rsidRPr="00C7775F" w:rsidRDefault="00AE2291" w:rsidP="00B57E6F">
      <w:pPr>
        <w:pStyle w:val="CETAuthors"/>
      </w:pPr>
      <w:r w:rsidRPr="00C7775F">
        <w:t>Fadilla N. Rahma</w:t>
      </w:r>
      <w:r w:rsidR="00B57E6F" w:rsidRPr="00C7775F">
        <w:rPr>
          <w:vertAlign w:val="superscript"/>
        </w:rPr>
        <w:t>a</w:t>
      </w:r>
      <w:r w:rsidRPr="00C7775F">
        <w:rPr>
          <w:vertAlign w:val="superscript"/>
        </w:rPr>
        <w:t>,*</w:t>
      </w:r>
      <w:r w:rsidR="00B57E6F" w:rsidRPr="00C7775F">
        <w:t xml:space="preserve">, </w:t>
      </w:r>
      <w:r w:rsidR="00C7775F" w:rsidRPr="00C7775F">
        <w:t>Onursal Yakaboylu</w:t>
      </w:r>
      <w:r w:rsidR="00C7775F">
        <w:rPr>
          <w:vertAlign w:val="superscript"/>
        </w:rPr>
        <w:t>b</w:t>
      </w:r>
      <w:r w:rsidR="00C7775F">
        <w:t xml:space="preserve">, </w:t>
      </w:r>
      <w:r w:rsidRPr="00C7775F">
        <w:t>Tian Li</w:t>
      </w:r>
      <w:r w:rsidRPr="00C7775F">
        <w:rPr>
          <w:vertAlign w:val="superscript"/>
        </w:rPr>
        <w:t>a</w:t>
      </w:r>
      <w:r w:rsidRPr="00C7775F">
        <w:t>, Roger Khalil</w:t>
      </w:r>
      <w:r w:rsidR="00C7775F">
        <w:rPr>
          <w:vertAlign w:val="superscript"/>
        </w:rPr>
        <w:t>c</w:t>
      </w:r>
      <w:r w:rsidRPr="00C7775F">
        <w:t>, Khanh-Quang Tran</w:t>
      </w:r>
      <w:r w:rsidRPr="00C7775F">
        <w:rPr>
          <w:vertAlign w:val="superscript"/>
        </w:rPr>
        <w:t>a</w:t>
      </w:r>
    </w:p>
    <w:p w14:paraId="6B2D21B3" w14:textId="7B87A165" w:rsidR="00B57E6F" w:rsidRPr="00B57B36" w:rsidRDefault="00B57E6F" w:rsidP="00B57E6F">
      <w:pPr>
        <w:pStyle w:val="CETAddress"/>
      </w:pPr>
      <w:r w:rsidRPr="00B57B36">
        <w:rPr>
          <w:vertAlign w:val="superscript"/>
        </w:rPr>
        <w:t>a</w:t>
      </w:r>
      <w:r w:rsidR="00772B04" w:rsidRPr="00772B04">
        <w:t>Department of Energy and Process Engineering, Norwegian University of Science and Technology (NTNU), Norway</w:t>
      </w:r>
      <w:r w:rsidRPr="00B57B36">
        <w:t xml:space="preserve"> </w:t>
      </w:r>
    </w:p>
    <w:p w14:paraId="430ABD23" w14:textId="7A50CDD1" w:rsidR="007D7926" w:rsidRPr="00B57B36" w:rsidRDefault="007D7926" w:rsidP="007D7926">
      <w:pPr>
        <w:pStyle w:val="CETAddress"/>
      </w:pPr>
      <w:r>
        <w:rPr>
          <w:vertAlign w:val="superscript"/>
        </w:rPr>
        <w:t>b</w:t>
      </w:r>
      <w:r>
        <w:t>SHV Energy, The Netherlands</w:t>
      </w:r>
    </w:p>
    <w:p w14:paraId="3D72B0B0" w14:textId="6C13D821" w:rsidR="00B57E6F" w:rsidRPr="00B57B36" w:rsidRDefault="007D7926" w:rsidP="00B57E6F">
      <w:pPr>
        <w:pStyle w:val="CETAddress"/>
      </w:pPr>
      <w:r>
        <w:rPr>
          <w:vertAlign w:val="superscript"/>
        </w:rPr>
        <w:t>c</w:t>
      </w:r>
      <w:r w:rsidR="00772B04" w:rsidRPr="00772B04">
        <w:t>SINTEF Energy Research, Norway</w:t>
      </w:r>
      <w:r w:rsidR="00B57E6F" w:rsidRPr="00B57B36">
        <w:t xml:space="preserve"> </w:t>
      </w:r>
    </w:p>
    <w:p w14:paraId="73F1267A" w14:textId="09D6DBD4" w:rsidR="00B57E6F" w:rsidRPr="00772B04" w:rsidRDefault="00B57E6F" w:rsidP="00B57E6F">
      <w:pPr>
        <w:pStyle w:val="CETemail"/>
        <w:rPr>
          <w:lang w:val="en-US"/>
        </w:rPr>
      </w:pPr>
      <w:r>
        <w:t xml:space="preserve"> </w:t>
      </w:r>
      <w:r w:rsidR="00772B04" w:rsidRPr="00772B04">
        <w:rPr>
          <w:lang w:val="en-US"/>
        </w:rPr>
        <w:t>fa</w:t>
      </w:r>
      <w:r w:rsidR="00772B04">
        <w:rPr>
          <w:lang w:val="en-US"/>
        </w:rPr>
        <w:t>dilla.n.rahma@ntnu.no</w:t>
      </w:r>
    </w:p>
    <w:p w14:paraId="4A4446E0" w14:textId="0931CD91" w:rsidR="00B11CAA" w:rsidRPr="00B11CAA" w:rsidRDefault="00B11CAA" w:rsidP="00B11CAA">
      <w:pPr>
        <w:pStyle w:val="CETBodytext"/>
      </w:pPr>
      <w:r w:rsidRPr="00B11CAA">
        <w:t xml:space="preserve">In this work, effect of process parameters on hydrothermal gasification (HTG) of biogas digestate are thermodynamically investigated using a </w:t>
      </w:r>
      <w:proofErr w:type="spellStart"/>
      <w:r w:rsidRPr="00B11CAA">
        <w:t>Matlab</w:t>
      </w:r>
      <w:proofErr w:type="spellEnd"/>
      <w:r w:rsidRPr="00B11CAA">
        <w:t xml:space="preserve">-based code, which </w:t>
      </w:r>
      <w:proofErr w:type="gramStart"/>
      <w:r w:rsidRPr="00B11CAA">
        <w:t>is capable of modelling</w:t>
      </w:r>
      <w:proofErr w:type="gramEnd"/>
      <w:r w:rsidRPr="00B11CAA">
        <w:t xml:space="preserve"> the effects of the feedstock’s inorganic contents</w:t>
      </w:r>
      <w:r w:rsidR="00290E58">
        <w:t xml:space="preserve"> and elements</w:t>
      </w:r>
      <w:r w:rsidRPr="00B11CAA">
        <w:t xml:space="preserve">. The effects of temperature (400-600 </w:t>
      </w:r>
      <w:proofErr w:type="spellStart"/>
      <w:r w:rsidRPr="00D5071F">
        <w:rPr>
          <w:vertAlign w:val="superscript"/>
        </w:rPr>
        <w:t>o</w:t>
      </w:r>
      <w:r w:rsidRPr="00B11CAA">
        <w:t>C</w:t>
      </w:r>
      <w:proofErr w:type="spellEnd"/>
      <w:r w:rsidRPr="00B11CAA">
        <w:t xml:space="preserve">), pressure (250-300 bar), and feed concentration (10-40 </w:t>
      </w:r>
      <w:proofErr w:type="spellStart"/>
      <w:r w:rsidRPr="00B11CAA">
        <w:t>wt</w:t>
      </w:r>
      <w:proofErr w:type="spellEnd"/>
      <w:r w:rsidRPr="00B11CAA">
        <w:t xml:space="preserve">%) towards the producer gas yield and composition are evaluated while considering the influence of inorganic components in the feedstock. The result shows that temperature and feed concentration play significant roles in determining producer gas composition and yield, whereas pressure only has little influence. Hydrogen production is favored by higher temperature, lower pressure, and lower feed concentration. It was also observed that the presence of inorganic components in the feedstock </w:t>
      </w:r>
      <w:r w:rsidR="002B1C5C">
        <w:t xml:space="preserve">reduces </w:t>
      </w:r>
      <w:r w:rsidRPr="00B11CAA">
        <w:t>the production of CO</w:t>
      </w:r>
      <w:r w:rsidRPr="002B1C5C">
        <w:rPr>
          <w:vertAlign w:val="subscript"/>
        </w:rPr>
        <w:t>2</w:t>
      </w:r>
      <w:r w:rsidRPr="00B11CAA">
        <w:t>, while H</w:t>
      </w:r>
      <w:r w:rsidRPr="002B1C5C">
        <w:rPr>
          <w:vertAlign w:val="subscript"/>
        </w:rPr>
        <w:t>2</w:t>
      </w:r>
      <w:r w:rsidRPr="00B11CAA">
        <w:t xml:space="preserve"> and CH</w:t>
      </w:r>
      <w:r w:rsidRPr="002B1C5C">
        <w:rPr>
          <w:vertAlign w:val="subscript"/>
        </w:rPr>
        <w:t>4</w:t>
      </w:r>
      <w:r w:rsidRPr="00B11CAA">
        <w:t xml:space="preserve"> is increased. The result of this study is essential in the future development of biogas digestate HTG.</w:t>
      </w:r>
    </w:p>
    <w:p w14:paraId="476B2F2E" w14:textId="77777777" w:rsidR="00600535" w:rsidRPr="00B57B36" w:rsidRDefault="00600535" w:rsidP="00600535">
      <w:pPr>
        <w:pStyle w:val="CETHeading1"/>
        <w:rPr>
          <w:lang w:val="en-GB"/>
        </w:rPr>
      </w:pPr>
      <w:r w:rsidRPr="00B57B36">
        <w:rPr>
          <w:lang w:val="en-GB"/>
        </w:rPr>
        <w:t>Introduction</w:t>
      </w:r>
    </w:p>
    <w:p w14:paraId="5FACE1EE" w14:textId="6B5079CC" w:rsidR="00280337" w:rsidRDefault="00280337" w:rsidP="00280337">
      <w:pPr>
        <w:pStyle w:val="CETBodytext"/>
      </w:pPr>
      <w:r>
        <w:t xml:space="preserve">In the recent years, the increasing urgency of </w:t>
      </w:r>
      <w:r w:rsidR="00FA2C4A">
        <w:t xml:space="preserve">combatting with </w:t>
      </w:r>
      <w:r>
        <w:t xml:space="preserve">climate change has been accelerating the energy transition towards </w:t>
      </w:r>
      <w:r w:rsidR="00FA2C4A">
        <w:t xml:space="preserve">renewable and </w:t>
      </w:r>
      <w:r>
        <w:t xml:space="preserve">sustainable resources. Biogas produced from low-grade biomass materials </w:t>
      </w:r>
      <w:r w:rsidR="00FA2C4A">
        <w:t xml:space="preserve">via anaerobic digestion </w:t>
      </w:r>
      <w:r>
        <w:t xml:space="preserve">is an important alternative in this transition, mainly due to its flexibility to be used as transport fuel, heat, and electricity sources </w:t>
      </w:r>
      <w:r>
        <w:fldChar w:fldCharType="begin"/>
      </w:r>
      <w:r w:rsidR="00322C16">
        <w:instrText xml:space="preserve"> ADDIN EN.CITE &lt;EndNote&gt;&lt;Cite&gt;&lt;Author&gt;Scarlat&lt;/Author&gt;&lt;Year&gt;2018&lt;/Year&gt;&lt;RecNum&gt;40&lt;/RecNum&gt;&lt;DisplayText&gt;(Scarlat, Dallemand et al. 2018)&lt;/DisplayText&gt;&lt;record&gt;&lt;rec-number&gt;40&lt;/rec-number&gt;&lt;foreign-keys&gt;&lt;key app="EN" db-id="50eez5z08wvwt5evrp7xr95rzs2ez0x9rtfv" timestamp="1665569935"&gt;40&lt;/key&gt;&lt;/foreign-keys&gt;&lt;ref-type name="Journal Article"&gt;17&lt;/ref-type&gt;&lt;contributors&gt;&lt;authors&gt;&lt;author&gt;Scarlat, Nicolae&lt;/author&gt;&lt;author&gt;Dallemand, Jean-François&lt;/author&gt;&lt;author&gt;Fahl, Fernando&lt;/author&gt;&lt;/authors&gt;&lt;/contributors&gt;&lt;titles&gt;&lt;title&gt;Biogas: Developments and perspectives in Europe&lt;/title&gt;&lt;secondary-title&gt;Renewable energy&lt;/secondary-title&gt;&lt;/titles&gt;&lt;periodical&gt;&lt;full-title&gt;Renewable Energy&lt;/full-title&gt;&lt;/periodical&gt;&lt;pages&gt;457-472&lt;/pages&gt;&lt;volume&gt;129&lt;/volume&gt;&lt;dates&gt;&lt;year&gt;2018&lt;/year&gt;&lt;/dates&gt;&lt;isbn&gt;0960-1481&lt;/isbn&gt;&lt;urls&gt;&lt;/urls&gt;&lt;/record&gt;&lt;/Cite&gt;&lt;/EndNote&gt;</w:instrText>
      </w:r>
      <w:r>
        <w:fldChar w:fldCharType="separate"/>
      </w:r>
      <w:r w:rsidR="00322C16">
        <w:rPr>
          <w:noProof/>
        </w:rPr>
        <w:t>(Scarlat, Dallemand et al. 2018)</w:t>
      </w:r>
      <w:r>
        <w:fldChar w:fldCharType="end"/>
      </w:r>
      <w:r>
        <w:t xml:space="preserve">. However, the biogas technology still faces significant issues associated with complicated treatment </w:t>
      </w:r>
      <w:r w:rsidR="00F82A45">
        <w:t xml:space="preserve">and management </w:t>
      </w:r>
      <w:r>
        <w:t xml:space="preserve">of digestate </w:t>
      </w:r>
      <w:r>
        <w:fldChar w:fldCharType="begin"/>
      </w:r>
      <w:r w:rsidR="00322C16">
        <w:instrText xml:space="preserve"> ADDIN EN.CITE &lt;EndNote&gt;&lt;Cite&gt;&lt;Author&gt;Guilayn&lt;/Author&gt;&lt;Year&gt;2020&lt;/Year&gt;&lt;RecNum&gt;56&lt;/RecNum&gt;&lt;DisplayText&gt;(Nkoa 2014, Guilayn, Rouez et al. 2020)&lt;/DisplayText&gt;&lt;record&gt;&lt;rec-number&gt;56&lt;/rec-number&gt;&lt;foreign-keys&gt;&lt;key app="EN" db-id="50eez5z08wvwt5evrp7xr95rzs2ez0x9rtfv" timestamp="1665808105"&gt;56&lt;/key&gt;&lt;/foreign-keys&gt;&lt;ref-type name="Journal Article"&gt;17&lt;/ref-type&gt;&lt;contributors&gt;&lt;authors&gt;&lt;author&gt;Guilayn, Felipe&lt;/author&gt;&lt;author&gt;Rouez, M&lt;/author&gt;&lt;author&gt;Crest, M&lt;/author&gt;&lt;author&gt;Patureau, Dominique&lt;/author&gt;&lt;author&gt;Jimenez, Julie&lt;/author&gt;&lt;/authors&gt;&lt;/contributors&gt;&lt;titles&gt;&lt;title&gt;Valorization of digestates from urban or centralized biogas plants: a critical review&lt;/title&gt;&lt;secondary-title&gt;Reviews in Environmental Science and Bio/Technology&lt;/secondary-title&gt;&lt;/titles&gt;&lt;periodical&gt;&lt;full-title&gt;Reviews in Environmental Science and Bio/Technology&lt;/full-title&gt;&lt;/periodical&gt;&lt;pages&gt;419-462&lt;/pages&gt;&lt;volume&gt;19&lt;/volume&gt;&lt;number&gt;2&lt;/number&gt;&lt;dates&gt;&lt;year&gt;2020&lt;/year&gt;&lt;/dates&gt;&lt;isbn&gt;1572-9826&lt;/isbn&gt;&lt;urls&gt;&lt;/urls&gt;&lt;/record&gt;&lt;/Cite&gt;&lt;Cite&gt;&lt;Author&gt;Nkoa&lt;/Author&gt;&lt;Year&gt;2014&lt;/Year&gt;&lt;RecNum&gt;57&lt;/RecNum&gt;&lt;record&gt;&lt;rec-number&gt;57&lt;/rec-number&gt;&lt;foreign-keys&gt;&lt;key app="EN" db-id="50eez5z08wvwt5evrp7xr95rzs2ez0x9rtfv" timestamp="1665808136"&gt;57&lt;/key&gt;&lt;/foreign-keys&gt;&lt;ref-type name="Journal Article"&gt;17&lt;/ref-type&gt;&lt;contributors&gt;&lt;authors&gt;&lt;author&gt;Nkoa, Roger&lt;/author&gt;&lt;/authors&gt;&lt;/contributors&gt;&lt;titles&gt;&lt;title&gt;Agricultural benefits and environmental risks of soil fertilization with anaerobic digestates: a review&lt;/title&gt;&lt;secondary-title&gt;Agronomy for Sustainable Development&lt;/secondary-title&gt;&lt;/titles&gt;&lt;periodical&gt;&lt;full-title&gt;Agronomy for Sustainable Development&lt;/full-title&gt;&lt;/periodical&gt;&lt;pages&gt;473-492&lt;/pages&gt;&lt;volume&gt;34&lt;/volume&gt;&lt;number&gt;2&lt;/number&gt;&lt;dates&gt;&lt;year&gt;2014&lt;/year&gt;&lt;/dates&gt;&lt;isbn&gt;1773-0155&lt;/isbn&gt;&lt;urls&gt;&lt;/urls&gt;&lt;/record&gt;&lt;/Cite&gt;&lt;/EndNote&gt;</w:instrText>
      </w:r>
      <w:r>
        <w:fldChar w:fldCharType="separate"/>
      </w:r>
      <w:r w:rsidR="00322C16">
        <w:rPr>
          <w:noProof/>
        </w:rPr>
        <w:t>(Nkoa 2014, Guilayn, Rouez et al. 2020)</w:t>
      </w:r>
      <w:r>
        <w:fldChar w:fldCharType="end"/>
      </w:r>
      <w:r w:rsidR="00F82A45">
        <w:t>, as well as</w:t>
      </w:r>
      <w:r>
        <w:t xml:space="preserve"> insufficient supply of sustainable feedstock </w:t>
      </w:r>
      <w:r>
        <w:fldChar w:fldCharType="begin"/>
      </w:r>
      <w:r w:rsidR="00322C16">
        <w:instrText xml:space="preserve"> ADDIN EN.CITE &lt;EndNote&gt;&lt;Cite&gt;&lt;Author&gt;Divya&lt;/Author&gt;&lt;Year&gt;2015&lt;/Year&gt;&lt;RecNum&gt;58&lt;/RecNum&gt;&lt;DisplayText&gt;(Divya, Gopinath et al. 2015)&lt;/DisplayText&gt;&lt;record&gt;&lt;rec-number&gt;58&lt;/rec-number&gt;&lt;foreign-keys&gt;&lt;key app="EN" db-id="50eez5z08wvwt5evrp7xr95rzs2ez0x9rtfv" timestamp="1665808226"&gt;58&lt;/key&gt;&lt;/foreign-keys&gt;&lt;ref-type name="Journal Article"&gt;17&lt;/ref-type&gt;&lt;contributors&gt;&lt;authors&gt;&lt;author&gt;Divya, D&lt;/author&gt;&lt;author&gt;Gopinath, LR&lt;/author&gt;&lt;author&gt;Christy, P Merlin&lt;/author&gt;&lt;/authors&gt;&lt;/contributors&gt;&lt;titles&gt;&lt;title&gt;A review on current aspects and diverse prospects for enhancing biogas production in sustainable means&lt;/title&gt;&lt;secondary-title&gt;Renewable and sustainable energy reviews&lt;/secondary-title&gt;&lt;/titles&gt;&lt;periodical&gt;&lt;full-title&gt;Renewable and Sustainable Energy Reviews&lt;/full-title&gt;&lt;/periodical&gt;&lt;pages&gt;690-699&lt;/pages&gt;&lt;volume&gt;42&lt;/volume&gt;&lt;dates&gt;&lt;year&gt;2015&lt;/year&gt;&lt;/dates&gt;&lt;isbn&gt;1364-0321&lt;/isbn&gt;&lt;urls&gt;&lt;/urls&gt;&lt;/record&gt;&lt;/Cite&gt;&lt;/EndNote&gt;</w:instrText>
      </w:r>
      <w:r>
        <w:fldChar w:fldCharType="separate"/>
      </w:r>
      <w:r w:rsidR="00322C16">
        <w:rPr>
          <w:noProof/>
        </w:rPr>
        <w:t>(Divya, Gopinath et al. 2015)</w:t>
      </w:r>
      <w:r>
        <w:fldChar w:fldCharType="end"/>
      </w:r>
      <w:r>
        <w:t>.</w:t>
      </w:r>
    </w:p>
    <w:p w14:paraId="06645BFA" w14:textId="20D4FE6A" w:rsidR="00280337" w:rsidRDefault="00280337" w:rsidP="00280337">
      <w:pPr>
        <w:pStyle w:val="CETBodytext"/>
      </w:pPr>
      <w:r>
        <w:t xml:space="preserve">A potential solution to overcome both problems is by integrating anaerobic digestion (AD) with hydrothermal gasification (HTG). </w:t>
      </w:r>
      <w:r w:rsidR="00930FAA">
        <w:t xml:space="preserve">In such an integrated system, wet </w:t>
      </w:r>
      <w:r>
        <w:t xml:space="preserve">digestate produced from </w:t>
      </w:r>
      <w:r w:rsidR="00930FAA">
        <w:t xml:space="preserve">the </w:t>
      </w:r>
      <w:r>
        <w:t xml:space="preserve">AD </w:t>
      </w:r>
      <w:r w:rsidR="00930FAA">
        <w:t xml:space="preserve">unit </w:t>
      </w:r>
      <w:r>
        <w:t>can be gasified</w:t>
      </w:r>
      <w:r w:rsidR="00930FAA">
        <w:t>, with no need of drying,</w:t>
      </w:r>
      <w:r>
        <w:t xml:space="preserve"> in </w:t>
      </w:r>
      <w:r w:rsidR="00930FAA">
        <w:t xml:space="preserve">the </w:t>
      </w:r>
      <w:r>
        <w:t xml:space="preserve">HTG </w:t>
      </w:r>
      <w:r w:rsidR="00930FAA">
        <w:t xml:space="preserve">unit </w:t>
      </w:r>
      <w:r>
        <w:t xml:space="preserve">to reduce the load of digestate </w:t>
      </w:r>
      <w:r w:rsidR="00930FAA">
        <w:t xml:space="preserve">management </w:t>
      </w:r>
      <w:r>
        <w:t xml:space="preserve">and </w:t>
      </w:r>
      <w:r w:rsidR="00930FAA">
        <w:t xml:space="preserve">to recover </w:t>
      </w:r>
      <w:r>
        <w:t xml:space="preserve">the energy content remaining in the digestate. </w:t>
      </w:r>
      <w:r w:rsidR="00930FAA">
        <w:t xml:space="preserve">This integration </w:t>
      </w:r>
      <w:r>
        <w:t xml:space="preserve">can also widen the AD feedstock choices to include lignocellulosic biomass, which normally is not </w:t>
      </w:r>
      <w:r w:rsidR="004F3264">
        <w:t xml:space="preserve">very </w:t>
      </w:r>
      <w:r>
        <w:t xml:space="preserve">suitable as </w:t>
      </w:r>
      <w:r w:rsidR="004F3264">
        <w:t xml:space="preserve">AD </w:t>
      </w:r>
      <w:r>
        <w:t xml:space="preserve">feedstock due to their </w:t>
      </w:r>
      <w:r w:rsidR="005370B1">
        <w:t xml:space="preserve">composition and </w:t>
      </w:r>
      <w:r>
        <w:t xml:space="preserve">structure complexity </w:t>
      </w:r>
      <w:r>
        <w:fldChar w:fldCharType="begin"/>
      </w:r>
      <w:r w:rsidR="00322C16">
        <w:instrText xml:space="preserve"> ADDIN EN.CITE &lt;EndNote&gt;&lt;Cite&gt;&lt;Author&gt;Sudibyo&lt;/Author&gt;&lt;Year&gt;2022&lt;/Year&gt;&lt;RecNum&gt;42&lt;/RecNum&gt;&lt;DisplayText&gt;(Sudibyo, Pecchi et al. 2022)&lt;/DisplayText&gt;&lt;record&gt;&lt;rec-number&gt;42&lt;/rec-number&gt;&lt;foreign-keys&gt;&lt;key app="EN" db-id="50eez5z08wvwt5evrp7xr95rzs2ez0x9rtfv" timestamp="1665574067"&gt;42&lt;/key&gt;&lt;/foreign-keys&gt;&lt;ref-type name="Journal Article"&gt;17&lt;/ref-type&gt;&lt;contributors&gt;&lt;authors&gt;&lt;author&gt;Sudibyo, Hanifrahmawan&lt;/author&gt;&lt;author&gt;Pecchi, Matteo&lt;/author&gt;&lt;author&gt;Tester, Jefferson William&lt;/author&gt;&lt;/authors&gt;&lt;/contributors&gt;&lt;titles&gt;&lt;title&gt;Experimental-based mechanistic study and optimization of hydrothermal liquefaction of anaerobic digestates&lt;/title&gt;&lt;secondary-title&gt;Sustainable Energy &amp;amp; Fuels&lt;/secondary-title&gt;&lt;/titles&gt;&lt;periodical&gt;&lt;full-title&gt;Sustainable Energy &amp;amp; Fuels&lt;/full-title&gt;&lt;/periodical&gt;&lt;pages&gt;2314-2329&lt;/pages&gt;&lt;volume&gt;6&lt;/volume&gt;&lt;number&gt;9&lt;/number&gt;&lt;dates&gt;&lt;year&gt;2022&lt;/year&gt;&lt;/dates&gt;&lt;urls&gt;&lt;/urls&gt;&lt;/record&gt;&lt;/Cite&gt;&lt;/EndNote&gt;</w:instrText>
      </w:r>
      <w:r>
        <w:fldChar w:fldCharType="separate"/>
      </w:r>
      <w:r w:rsidR="00322C16">
        <w:rPr>
          <w:noProof/>
        </w:rPr>
        <w:t>(Sudibyo, Pecchi et al. 2022)</w:t>
      </w:r>
      <w:r>
        <w:fldChar w:fldCharType="end"/>
      </w:r>
      <w:r>
        <w:t xml:space="preserve">. </w:t>
      </w:r>
      <w:r w:rsidR="005370B1">
        <w:t>On the other hand</w:t>
      </w:r>
      <w:r>
        <w:t xml:space="preserve">, the producer gas generated from </w:t>
      </w:r>
      <w:r w:rsidR="005370B1">
        <w:t xml:space="preserve">the </w:t>
      </w:r>
      <w:r>
        <w:t xml:space="preserve">HTG </w:t>
      </w:r>
      <w:r w:rsidR="005370B1">
        <w:t xml:space="preserve">unit </w:t>
      </w:r>
      <w:r>
        <w:t xml:space="preserve">can be recycled </w:t>
      </w:r>
      <w:r w:rsidR="005370B1">
        <w:t xml:space="preserve">back </w:t>
      </w:r>
      <w:r>
        <w:t xml:space="preserve">to the AD </w:t>
      </w:r>
      <w:r w:rsidR="005370B1">
        <w:t xml:space="preserve">for </w:t>
      </w:r>
      <w:r>
        <w:t>enhanc</w:t>
      </w:r>
      <w:r w:rsidR="005370B1">
        <w:t>ing the</w:t>
      </w:r>
      <w:r>
        <w:t xml:space="preserve"> biogas production </w:t>
      </w:r>
      <w:r>
        <w:fldChar w:fldCharType="begin"/>
      </w:r>
      <w:r w:rsidR="00322C16">
        <w:instrText xml:space="preserve"> ADDIN EN.CITE &lt;EndNote&gt;&lt;Cite&gt;&lt;Author&gt;Yang&lt;/Author&gt;&lt;Year&gt;2020&lt;/Year&gt;&lt;RecNum&gt;43&lt;/RecNum&gt;&lt;DisplayText&gt;(Yang, Liu et al. 2020)&lt;/DisplayText&gt;&lt;record&gt;&lt;rec-number&gt;43&lt;/rec-number&gt;&lt;foreign-keys&gt;&lt;key app="EN" db-id="50eez5z08wvwt5evrp7xr95rzs2ez0x9rtfv" timestamp="1665574553"&gt;43&lt;/key&gt;&lt;/foreign-keys&gt;&lt;ref-type name="Journal Article"&gt;17&lt;/ref-type&gt;&lt;contributors&gt;&lt;authors&gt;&lt;author&gt;Yang, Ziyi&lt;/author&gt;&lt;author&gt;Liu, Yang&lt;/author&gt;&lt;author&gt;Zhang, Jie&lt;/author&gt;&lt;author&gt;Mao, Kaiwei&lt;/author&gt;&lt;author&gt;Kurbonova, Malikakhon&lt;/author&gt;&lt;author&gt;Liu, Guangqing&lt;/author&gt;&lt;author&gt;Zhang, Ruihong&lt;/author&gt;&lt;author&gt;Wang, Wen&lt;/author&gt;&lt;/authors&gt;&lt;/contributors&gt;&lt;titles&gt;&lt;title&gt;Improvement of biofuel recovery from food waste by integration of anaerobic digestion, digestate pyrolysis and syngas biomethanation under mesophilic and thermophilic conditions&lt;/title&gt;&lt;secondary-title&gt;Journal of Cleaner Production&lt;/secondary-title&gt;&lt;/titles&gt;&lt;periodical&gt;&lt;full-title&gt;Journal of Cleaner Production&lt;/full-title&gt;&lt;/periodical&gt;&lt;pages&gt;120594&lt;/pages&gt;&lt;volume&gt;256&lt;/volume&gt;&lt;dates&gt;&lt;year&gt;2020&lt;/year&gt;&lt;/dates&gt;&lt;isbn&gt;0959-6526&lt;/isbn&gt;&lt;urls&gt;&lt;/urls&gt;&lt;/record&gt;&lt;/Cite&gt;&lt;/EndNote&gt;</w:instrText>
      </w:r>
      <w:r>
        <w:fldChar w:fldCharType="separate"/>
      </w:r>
      <w:r w:rsidR="00322C16">
        <w:rPr>
          <w:noProof/>
        </w:rPr>
        <w:t>(Yang, Liu et al. 2020)</w:t>
      </w:r>
      <w:r>
        <w:fldChar w:fldCharType="end"/>
      </w:r>
      <w:r>
        <w:t>.</w:t>
      </w:r>
    </w:p>
    <w:p w14:paraId="53294A9B" w14:textId="6B4B4BE2" w:rsidR="00280337" w:rsidRDefault="00280337" w:rsidP="00280337">
      <w:pPr>
        <w:pStyle w:val="CETBodytext"/>
      </w:pPr>
      <w:r>
        <w:t>The implementation of AD-HTG integration with producer gas recycling requires a comprehensive understanding about the impact of process parameters on</w:t>
      </w:r>
      <w:r w:rsidR="005370B1">
        <w:t xml:space="preserve"> HTG performance including the yield and composition of </w:t>
      </w:r>
      <w:r>
        <w:t>the producer gas. P</w:t>
      </w:r>
      <w:r w:rsidR="005370B1">
        <w:t>ast p</w:t>
      </w:r>
      <w:r>
        <w:t xml:space="preserve">arametric studies on HTG </w:t>
      </w:r>
      <w:r w:rsidR="005370B1">
        <w:t xml:space="preserve">and </w:t>
      </w:r>
      <w:r>
        <w:t xml:space="preserve">producer gas using thermodynamic modelling approach have been </w:t>
      </w:r>
      <w:r w:rsidR="005370B1">
        <w:t xml:space="preserve">quite active, of which several focused on </w:t>
      </w:r>
      <w:r>
        <w:t>investigat</w:t>
      </w:r>
      <w:r w:rsidR="005370B1">
        <w:t>ing</w:t>
      </w:r>
      <w:r>
        <w:t xml:space="preserve"> </w:t>
      </w:r>
      <w:r w:rsidR="005370B1">
        <w:t xml:space="preserve">the effect of </w:t>
      </w:r>
      <w:r>
        <w:t xml:space="preserve">different types of biomass feedstock </w:t>
      </w:r>
      <w:r>
        <w:fldChar w:fldCharType="begin">
          <w:fldData xml:space="preserve">PEVuZE5vdGU+PENpdGU+PEF1dGhvcj5GcmVpdGFzPC9BdXRob3I+PFllYXI+MjAxMzwvWWVhcj48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</w:fldData>
        </w:fldChar>
      </w:r>
      <w:r w:rsidR="00322C16">
        <w:instrText xml:space="preserve"> ADDIN EN.CITE </w:instrText>
      </w:r>
      <w:r w:rsidR="00322C16">
        <w:fldChar w:fldCharType="begin">
          <w:fldData xml:space="preserve">PEVuZE5vdGU+PENpdGU+PEF1dGhvcj5GcmVpdGFzPC9BdXRob3I+PFllYXI+MjAxMzwvWWVhcj48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</w:fldData>
        </w:fldChar>
      </w:r>
      <w:r w:rsidR="00322C16">
        <w:instrText xml:space="preserve"> ADDIN EN.CITE.DATA </w:instrText>
      </w:r>
      <w:r w:rsidR="00322C16">
        <w:fldChar w:fldCharType="end"/>
      </w:r>
      <w:r>
        <w:fldChar w:fldCharType="separate"/>
      </w:r>
      <w:r w:rsidR="00322C16">
        <w:rPr>
          <w:noProof/>
        </w:rPr>
        <w:t>(Freitas and Guirardello 2013, Macrì, Catizzone et al. 2020, Okolie, Epelle et al. 2021)</w:t>
      </w:r>
      <w:r>
        <w:fldChar w:fldCharType="end"/>
      </w:r>
      <w:r>
        <w:t xml:space="preserve">. However, to the best of the authors’ knowledge, the use of biogas digestate as HTG feedstock has not been studied. </w:t>
      </w:r>
      <w:r w:rsidR="00B63473">
        <w:t>More importantly</w:t>
      </w:r>
      <w:r>
        <w:t xml:space="preserve">, attempt to investigate the effect of inorganic components </w:t>
      </w:r>
      <w:r w:rsidR="00B63473">
        <w:t xml:space="preserve">of </w:t>
      </w:r>
      <w:r>
        <w:t>the feedstock</w:t>
      </w:r>
      <w:r w:rsidR="00B63473">
        <w:t xml:space="preserve"> on HTG performance was very limited, while it has been reported </w:t>
      </w:r>
      <w:r>
        <w:t xml:space="preserve">that </w:t>
      </w:r>
      <w:r w:rsidR="00B63473">
        <w:t xml:space="preserve">the </w:t>
      </w:r>
      <w:r>
        <w:t xml:space="preserve">inorganic </w:t>
      </w:r>
      <w:r w:rsidR="00B63473">
        <w:t xml:space="preserve">components of </w:t>
      </w:r>
      <w:r>
        <w:t xml:space="preserve">the feedstock </w:t>
      </w:r>
      <w:r w:rsidR="00B63473">
        <w:t xml:space="preserve">could </w:t>
      </w:r>
      <w:r>
        <w:lastRenderedPageBreak/>
        <w:t>cause significant difference</w:t>
      </w:r>
      <w:r w:rsidR="00B63473">
        <w:t>s</w:t>
      </w:r>
      <w:r>
        <w:t xml:space="preserve"> between modelling and experimental data </w:t>
      </w:r>
      <w:r>
        <w:fldChar w:fldCharType="begin"/>
      </w:r>
      <w:r w:rsidR="00322C16">
        <w:instrText xml:space="preserve"> ADDIN EN.CITE &lt;EndNote&gt;&lt;Cite&gt;&lt;Author&gt;Mutlu&lt;/Author&gt;&lt;Year&gt;2020&lt;/Year&gt;&lt;RecNum&gt;120&lt;/RecNum&gt;&lt;DisplayText&gt;(Mutlu and Zeng 2020)&lt;/DisplayText&gt;&lt;record&gt;&lt;rec-number&gt;120&lt;/rec-number&gt;&lt;foreign-keys&gt;&lt;key app="EN" db-id="50eez5z08wvwt5evrp7xr95rzs2ez0x9rtfv" timestamp="1676656478"&gt;120&lt;/key&gt;&lt;/foreign-keys&gt;&lt;ref-type name="Journal Article"&gt;17&lt;/ref-type&gt;&lt;contributors&gt;&lt;authors&gt;&lt;author&gt;Mutlu, Özge Çepelioğullar&lt;/author&gt;&lt;author&gt;Zeng, Thomas&lt;/author&gt;&lt;/authors&gt;&lt;/contributors&gt;&lt;titles&gt;&lt;title&gt;Challenges and opportunities of modeling biomass gasification in Aspen Plus: A review&lt;/title&gt;&lt;secondary-title&gt;Chemical Engineering &amp;amp; Technology&lt;/secondary-title&gt;&lt;/titles&gt;&lt;periodical&gt;&lt;full-title&gt;Chemical Engineering &amp;amp; Technology&lt;/full-title&gt;&lt;/periodical&gt;&lt;pages&gt;1674-1689&lt;/pages&gt;&lt;volume&gt;43&lt;/volume&gt;&lt;number&gt;9&lt;/number&gt;&lt;dates&gt;&lt;year&gt;2020&lt;/year&gt;&lt;/dates&gt;&lt;isbn&gt;0930-7516&lt;/isbn&gt;&lt;urls&gt;&lt;/urls&gt;&lt;/record&gt;&lt;/Cite&gt;&lt;/EndNote&gt;</w:instrText>
      </w:r>
      <w:r>
        <w:fldChar w:fldCharType="separate"/>
      </w:r>
      <w:r w:rsidR="00322C16">
        <w:rPr>
          <w:noProof/>
        </w:rPr>
        <w:t>(Mutlu and Zeng 2020)</w:t>
      </w:r>
      <w:r>
        <w:fldChar w:fldCharType="end"/>
      </w:r>
      <w:r>
        <w:t xml:space="preserve">. This suggests the importance of considering the feedstock’s inorganic </w:t>
      </w:r>
      <w:r w:rsidR="00B63473">
        <w:t xml:space="preserve">components and their chemistry </w:t>
      </w:r>
      <w:r>
        <w:t>in HTG modelling.</w:t>
      </w:r>
    </w:p>
    <w:p w14:paraId="721FEC67" w14:textId="11FC406E" w:rsidR="00280337" w:rsidRPr="00BA6AE9" w:rsidRDefault="00280337" w:rsidP="00280337">
      <w:pPr>
        <w:pStyle w:val="CETBodytext"/>
      </w:pPr>
      <w:r>
        <w:t xml:space="preserve">The present research aims to </w:t>
      </w:r>
      <w:r w:rsidR="003834DD">
        <w:t xml:space="preserve">investigate into </w:t>
      </w:r>
      <w:r>
        <w:t xml:space="preserve">parametric </w:t>
      </w:r>
      <w:r w:rsidR="003834DD">
        <w:t xml:space="preserve">effects </w:t>
      </w:r>
      <w:r>
        <w:t xml:space="preserve">on </w:t>
      </w:r>
      <w:r w:rsidR="003834DD">
        <w:t xml:space="preserve">HTG performance and </w:t>
      </w:r>
      <w:r>
        <w:t xml:space="preserve">the behavior of producer gas from the HTG of biogas digestate while </w:t>
      </w:r>
      <w:proofErr w:type="gramStart"/>
      <w:r>
        <w:t>taking into account</w:t>
      </w:r>
      <w:proofErr w:type="gramEnd"/>
      <w:r>
        <w:t xml:space="preserve"> the effect of feedstock’s inorganic </w:t>
      </w:r>
      <w:r w:rsidR="003834DD">
        <w:t>components</w:t>
      </w:r>
      <w:r>
        <w:t xml:space="preserve">. </w:t>
      </w:r>
      <w:r w:rsidR="003834DD">
        <w:t>For this purpose, a multiphase</w:t>
      </w:r>
      <w:r>
        <w:t xml:space="preserve"> thermodynamic model </w:t>
      </w:r>
      <w:r w:rsidR="003834DD">
        <w:t xml:space="preserve">developed in </w:t>
      </w:r>
      <w:proofErr w:type="spellStart"/>
      <w:r w:rsidR="003834DD">
        <w:t>Matlab</w:t>
      </w:r>
      <w:proofErr w:type="spellEnd"/>
      <w:r w:rsidR="003834DD">
        <w:t xml:space="preserve"> </w:t>
      </w:r>
      <w:r>
        <w:t xml:space="preserve">by </w:t>
      </w:r>
      <w:proofErr w:type="spellStart"/>
      <w:r>
        <w:t>Yakaboylu</w:t>
      </w:r>
      <w:proofErr w:type="spellEnd"/>
      <w:r>
        <w:t xml:space="preserve"> et al. </w:t>
      </w:r>
      <w:r>
        <w:fldChar w:fldCharType="begin"/>
      </w:r>
      <w:r w:rsidR="00322C16">
        <w:instrText xml:space="preserve"> ADDIN EN.CITE &lt;EndNote&gt;&lt;Cite&gt;&lt;Author&gt;Yakaboylu&lt;/Author&gt;&lt;Year&gt;2014&lt;/Year&gt;&lt;RecNum&gt;10&lt;/RecNum&gt;&lt;DisplayText&gt;(Yakaboylu, Harinck et al. 2014)&lt;/DisplayText&gt;&lt;record&gt;&lt;rec-number&gt;10&lt;/rec-number&gt;&lt;foreign-keys&gt;&lt;key app="EN" db-id="50eez5z08wvwt5evrp7xr95rzs2ez0x9rtfv" timestamp="1651071465"&gt;10&lt;/key&gt;&lt;/foreign-keys&gt;&lt;ref-type name="Journal Article"&gt;17&lt;/ref-type&gt;&lt;contributors&gt;&lt;authors&gt;&lt;author&gt;Yakaboylu, Onursal&lt;/author&gt;&lt;author&gt;Harinck, John&lt;/author&gt;&lt;author&gt;Smit, KG&lt;/author&gt;&lt;author&gt;de Jong, Wiebren&lt;/author&gt;&lt;/authors&gt;&lt;/contributors&gt;&lt;titles&gt;&lt;title&gt;Supercritical water gasification of biomass: A thermodynamic model for the prediction of product compounds at equilibrium state&lt;/title&gt;&lt;secondary-title&gt;Energy &amp;amp; fuels&lt;/secondary-title&gt;&lt;/titles&gt;&lt;periodical&gt;&lt;full-title&gt;Energy &amp;amp; fuels&lt;/full-title&gt;&lt;/periodical&gt;&lt;pages&gt;2506-2522&lt;/pages&gt;&lt;volume&gt;28&lt;/volume&gt;&lt;number&gt;4&lt;/number&gt;&lt;dates&gt;&lt;year&gt;2014&lt;/year&gt;&lt;/dates&gt;&lt;isbn&gt;0887-0624&lt;/isbn&gt;&lt;urls&gt;&lt;/urls&gt;&lt;/record&gt;&lt;/Cite&gt;&lt;/EndNote&gt;</w:instrText>
      </w:r>
      <w:r>
        <w:fldChar w:fldCharType="separate"/>
      </w:r>
      <w:r w:rsidR="00322C16">
        <w:rPr>
          <w:noProof/>
        </w:rPr>
        <w:t>(Yakaboylu, Harinck et al. 2014)</w:t>
      </w:r>
      <w:r>
        <w:fldChar w:fldCharType="end"/>
      </w:r>
      <w:r w:rsidR="003834DD">
        <w:t>, which is capable of predicting compound formation over a wider range of feedstock types as well as using more updated thermodynamic data for the solute species,</w:t>
      </w:r>
      <w:r>
        <w:t xml:space="preserve"> will be employed. The effect of key process parameters such as temperature, pressure, and feedstock </w:t>
      </w:r>
      <w:r w:rsidR="003834DD">
        <w:t xml:space="preserve">dry matter content </w:t>
      </w:r>
      <w:r>
        <w:t xml:space="preserve">on the producer gas composition and yield is evaluated. This work </w:t>
      </w:r>
      <w:r w:rsidR="003834DD">
        <w:t xml:space="preserve">would </w:t>
      </w:r>
      <w:r>
        <w:t xml:space="preserve">serve as </w:t>
      </w:r>
      <w:r w:rsidR="003834DD">
        <w:t>a</w:t>
      </w:r>
      <w:r>
        <w:t xml:space="preserve"> foundation </w:t>
      </w:r>
      <w:r w:rsidR="003834DD">
        <w:t xml:space="preserve">for </w:t>
      </w:r>
      <w:r>
        <w:t xml:space="preserve">future development of </w:t>
      </w:r>
      <w:r w:rsidR="003834DD">
        <w:t xml:space="preserve">an integrated </w:t>
      </w:r>
      <w:r>
        <w:t xml:space="preserve">AD-HTG </w:t>
      </w:r>
      <w:r w:rsidR="003834DD">
        <w:t>system,</w:t>
      </w:r>
      <w:r>
        <w:t xml:space="preserve"> considering the effect of inorganic components </w:t>
      </w:r>
      <w:r w:rsidR="003834DD">
        <w:t xml:space="preserve">of </w:t>
      </w:r>
      <w:r>
        <w:t xml:space="preserve">the feedstock. </w:t>
      </w:r>
    </w:p>
    <w:p w14:paraId="4D7AD279" w14:textId="0FF382D9" w:rsidR="002A70D7" w:rsidRDefault="004D4EC0" w:rsidP="004D4EC0">
      <w:pPr>
        <w:pStyle w:val="CETHeading1"/>
        <w:tabs>
          <w:tab w:val="num" w:pos="360"/>
        </w:tabs>
        <w:rPr>
          <w:lang w:val="en-GB"/>
        </w:rPr>
      </w:pPr>
      <w:r>
        <w:rPr>
          <w:lang w:val="en-GB"/>
        </w:rPr>
        <w:t>Methods</w:t>
      </w:r>
    </w:p>
    <w:p w14:paraId="0BEF7A41" w14:textId="6F2E4DDC" w:rsidR="000D638D" w:rsidRDefault="000D638D" w:rsidP="0061634D">
      <w:pPr>
        <w:pStyle w:val="CETheadingx"/>
      </w:pPr>
      <w:r>
        <w:t>Model Description</w:t>
      </w:r>
    </w:p>
    <w:p w14:paraId="04286732" w14:textId="13259592" w:rsidR="00644A67" w:rsidRPr="00941272" w:rsidRDefault="00AB2B68" w:rsidP="00644A67">
      <w:pPr>
        <w:pStyle w:val="CETBodytext"/>
      </w:pPr>
      <w:r>
        <w:t>As aforementioned, t</w:t>
      </w:r>
      <w:r w:rsidR="00644A67" w:rsidRPr="00941272">
        <w:t>he present study is carried out</w:t>
      </w:r>
      <w:r>
        <w:t>,</w:t>
      </w:r>
      <w:r w:rsidR="00644A67" w:rsidRPr="00941272">
        <w:t xml:space="preserve"> employing </w:t>
      </w:r>
      <w:r>
        <w:t xml:space="preserve">the multiphase </w:t>
      </w:r>
      <w:r w:rsidR="00644A67" w:rsidRPr="00941272">
        <w:t xml:space="preserve">thermodynamic model </w:t>
      </w:r>
      <w:r>
        <w:t xml:space="preserve">developed </w:t>
      </w:r>
      <w:r w:rsidR="00644A67" w:rsidRPr="00941272">
        <w:t xml:space="preserve">by </w:t>
      </w:r>
      <w:proofErr w:type="spellStart"/>
      <w:r w:rsidR="00644A67" w:rsidRPr="00941272">
        <w:t>Yakaboylu</w:t>
      </w:r>
      <w:proofErr w:type="spellEnd"/>
      <w:r w:rsidR="00644A67" w:rsidRPr="00941272">
        <w:t xml:space="preserve"> et al. </w:t>
      </w:r>
      <w:r w:rsidR="00406334">
        <w:t xml:space="preserve">The model has been validated with experimental data. </w:t>
      </w:r>
      <w:r>
        <w:t xml:space="preserve">Full description of the model can be found in the literature </w:t>
      </w:r>
      <w:r w:rsidR="00644A67" w:rsidRPr="00941272">
        <w:fldChar w:fldCharType="begin"/>
      </w:r>
      <w:r w:rsidR="00322C16">
        <w:instrText xml:space="preserve"> ADDIN EN.CITE &lt;EndNote&gt;&lt;Cite&gt;&lt;Author&gt;Yakaboylu&lt;/Author&gt;&lt;Year&gt;2014&lt;/Year&gt;&lt;RecNum&gt;10&lt;/RecNum&gt;&lt;DisplayText&gt;(Yakaboylu, Harinck et al. 2014)&lt;/DisplayText&gt;&lt;record&gt;&lt;rec-number&gt;10&lt;/rec-number&gt;&lt;foreign-keys&gt;&lt;key app="EN" db-id="50eez5z08wvwt5evrp7xr95rzs2ez0x9rtfv" timestamp="1651071465"&gt;10&lt;/key&gt;&lt;/foreign-keys&gt;&lt;ref-type name="Journal Article"&gt;17&lt;/ref-type&gt;&lt;contributors&gt;&lt;authors&gt;&lt;author&gt;Yakaboylu, Onursal&lt;/author&gt;&lt;author&gt;Harinck, John&lt;/author&gt;&lt;author&gt;Smit, KG&lt;/author&gt;&lt;author&gt;de Jong, Wiebren&lt;/author&gt;&lt;/authors&gt;&lt;/contributors&gt;&lt;titles&gt;&lt;title&gt;Supercritical water gasification of biomass: A thermodynamic model for the prediction of product compounds at equilibrium state&lt;/title&gt;&lt;secondary-title&gt;Energy &amp;amp; fuels&lt;/secondary-title&gt;&lt;/titles&gt;&lt;periodical&gt;&lt;full-title&gt;Energy &amp;amp; fuels&lt;/full-title&gt;&lt;/periodical&gt;&lt;pages&gt;2506-2522&lt;/pages&gt;&lt;volume&gt;28&lt;/volume&gt;&lt;number&gt;4&lt;/number&gt;&lt;dates&gt;&lt;year&gt;2014&lt;/year&gt;&lt;/dates&gt;&lt;isbn&gt;0887-0624&lt;/isbn&gt;&lt;urls&gt;&lt;/urls&gt;&lt;/record&gt;&lt;/Cite&gt;&lt;/EndNote&gt;</w:instrText>
      </w:r>
      <w:r w:rsidR="00644A67" w:rsidRPr="00941272">
        <w:fldChar w:fldCharType="separate"/>
      </w:r>
      <w:r w:rsidR="00322C16">
        <w:rPr>
          <w:noProof/>
        </w:rPr>
        <w:t>(Yakaboylu, Harinck et al. 2014)</w:t>
      </w:r>
      <w:r w:rsidR="00644A67" w:rsidRPr="00941272">
        <w:fldChar w:fldCharType="end"/>
      </w:r>
      <w:r w:rsidR="00644A67" w:rsidRPr="00941272">
        <w:t>. A non-stoichiometric approach based on Gibbs free energy minimization is adopted in the model. For a given temperature and pressure, the model predicts product composition at the system’s equilibrium state, which is reached when the Gibbs free energy is at minimum with respect to all possible changes. The equilibrium state is mathematically defined in Equation (1).</w:t>
      </w:r>
    </w:p>
    <w:tbl>
      <w:tblPr>
        <w:tblW w:w="5000" w:type="pct"/>
        <w:tblLook w:val="04A0" w:firstRow="1" w:lastRow="0" w:firstColumn="1" w:lastColumn="0" w:noHBand="0" w:noVBand="1"/>
      </w:tblPr>
      <w:tblGrid>
        <w:gridCol w:w="7983"/>
        <w:gridCol w:w="804"/>
      </w:tblGrid>
      <w:tr w:rsidR="00644A67" w:rsidRPr="00B57B36" w14:paraId="4635DE1A" w14:textId="77777777" w:rsidTr="00F06AAE">
        <w:tc>
          <w:tcPr>
            <w:tcW w:w="7983" w:type="dxa"/>
            <w:shd w:val="clear" w:color="auto" w:fill="auto"/>
            <w:vAlign w:val="center"/>
          </w:tcPr>
          <w:p w14:paraId="3CC4F7C9" w14:textId="2DE560F7" w:rsidR="00644A67" w:rsidRPr="000417A5" w:rsidRDefault="00406334" w:rsidP="00F06AAE">
            <w:pPr>
              <w:pStyle w:val="CETEquation"/>
            </w:pPr>
            <m:oMathPara>
              <m:oMathParaPr>
                <m:jc m:val="left"/>
              </m:oMathParaPr>
              <m:oMath>
                <m:sSub>
                  <m:sSubPr>
                    <m:ctrlPr>
                      <w:rPr>
                        <w:rFonts w:ascii="Cambria Math" w:hAnsi="Cambria Math"/>
                        <w:i/>
                        <w:lang w:val="en-US"/>
                      </w:rPr>
                    </m:ctrlPr>
                  </m:sSubPr>
                  <m:e>
                    <m:d>
                      <m:dPr>
                        <m:ctrlPr>
                          <w:rPr>
                            <w:rFonts w:ascii="Cambria Math" w:hAnsi="Cambria Math"/>
                            <w:i/>
                            <w:lang w:val="en-US"/>
                          </w:rPr>
                        </m:ctrlPr>
                      </m:dPr>
                      <m:e>
                        <m:r>
                          <w:rPr>
                            <w:rFonts w:ascii="Cambria Math" w:hAnsi="Cambria Math"/>
                            <w:lang w:val="en-US"/>
                          </w:rPr>
                          <m:t>d</m:t>
                        </m:r>
                        <m:sSup>
                          <m:sSupPr>
                            <m:ctrlPr>
                              <w:rPr>
                                <w:rFonts w:ascii="Cambria Math" w:hAnsi="Cambria Math"/>
                                <w:i/>
                                <w:lang w:val="en-US"/>
                              </w:rPr>
                            </m:ctrlPr>
                          </m:sSupPr>
                          <m:e>
                            <m:r>
                              <m:rPr>
                                <m:sty m:val="p"/>
                              </m:rPr>
                              <w:rPr>
                                <w:rFonts w:ascii="Cambria Math" w:hAnsi="Cambria Math"/>
                                <w:lang w:val="en-US"/>
                              </w:rPr>
                              <m:t>G</m:t>
                            </m:r>
                          </m:e>
                          <m:sup>
                            <m:r>
                              <w:rPr>
                                <w:rFonts w:ascii="Cambria Math" w:hAnsi="Cambria Math"/>
                                <w:lang w:val="en-US"/>
                              </w:rPr>
                              <m:t>t</m:t>
                            </m:r>
                          </m:sup>
                        </m:sSup>
                      </m:e>
                    </m:d>
                  </m:e>
                  <m:sub>
                    <m:r>
                      <w:rPr>
                        <w:rFonts w:ascii="Cambria Math" w:hAnsi="Cambria Math"/>
                        <w:lang w:val="en-US"/>
                      </w:rPr>
                      <m:t>T,P</m:t>
                    </m:r>
                  </m:sub>
                </m:sSub>
                <m:r>
                  <w:rPr>
                    <w:rFonts w:ascii="Cambria Math" w:hAnsi="Cambria Math"/>
                    <w:lang w:val="en-US"/>
                  </w:rPr>
                  <m:t>=0</m:t>
                </m:r>
              </m:oMath>
            </m:oMathPara>
          </w:p>
        </w:tc>
        <w:tc>
          <w:tcPr>
            <w:tcW w:w="804" w:type="dxa"/>
            <w:shd w:val="clear" w:color="auto" w:fill="auto"/>
            <w:vAlign w:val="center"/>
          </w:tcPr>
          <w:p w14:paraId="6B62BE92" w14:textId="77777777" w:rsidR="00644A67" w:rsidRPr="00B57B36" w:rsidRDefault="00644A67" w:rsidP="00F06AAE">
            <w:pPr>
              <w:pStyle w:val="CETEquation"/>
              <w:jc w:val="right"/>
            </w:pPr>
            <w:r w:rsidRPr="00B57B36">
              <w:t>(1)</w:t>
            </w:r>
          </w:p>
        </w:tc>
      </w:tr>
    </w:tbl>
    <w:p w14:paraId="35F66897" w14:textId="3A10888B" w:rsidR="00644A67" w:rsidRPr="00644A67" w:rsidRDefault="00644A67" w:rsidP="00644A67">
      <w:pPr>
        <w:pStyle w:val="CETBodytext"/>
      </w:pPr>
      <w:r w:rsidRPr="00644A67">
        <w:t xml:space="preserve">The model </w:t>
      </w:r>
      <w:proofErr w:type="gramStart"/>
      <w:r w:rsidRPr="00644A67">
        <w:t>is capable of predicting</w:t>
      </w:r>
      <w:proofErr w:type="gramEnd"/>
      <w:r w:rsidRPr="00644A67">
        <w:t xml:space="preserve"> phase distribution of product components by performing multiphase thermodynamic calculations, considering both organic and inorganic components in the feedstock. In a multiphase system, the total Gibbs free energy is calculated as the sum of Gibbs free energy from each phase. Hence, in this thermodynamic model, the Gibbs free energy calculation is carried out for three phases included in the system, namely 1) gas phase, 2) pure condensed phases, and 3) aqueous solution phases. The total Gibbs free energy is presented in Equation (2), where the subscripts </w:t>
      </w:r>
      <w:proofErr w:type="spellStart"/>
      <w:r w:rsidRPr="00644A67">
        <w:t>i</w:t>
      </w:r>
      <w:proofErr w:type="spellEnd"/>
      <w:r w:rsidRPr="00644A67">
        <w:t xml:space="preserve"> and w refers to component </w:t>
      </w:r>
      <w:proofErr w:type="spellStart"/>
      <w:r w:rsidRPr="00644A67">
        <w:t>i</w:t>
      </w:r>
      <w:proofErr w:type="spellEnd"/>
      <w:r w:rsidRPr="00644A67">
        <w:t xml:space="preserve"> and water, respectively. The terms </w:t>
      </w:r>
      <m:oMath>
        <m:r>
          <w:rPr>
            <w:rFonts w:ascii="Cambria Math" w:hAnsi="Cambria Math"/>
          </w:rPr>
          <m:t>n</m:t>
        </m:r>
      </m:oMath>
      <w:r w:rsidRPr="00644A67">
        <w:rPr>
          <w:rFonts w:eastAsiaTheme="minorEastAsia"/>
        </w:rPr>
        <w:t xml:space="preserve">, </w:t>
      </w:r>
      <m:oMath>
        <m:r>
          <w:rPr>
            <w:rFonts w:ascii="Cambria Math" w:hAnsi="Cambria Math"/>
          </w:rPr>
          <m:t>μ</m:t>
        </m:r>
      </m:oMath>
      <w:r w:rsidRPr="00644A67">
        <w:rPr>
          <w:rFonts w:eastAsiaTheme="minorEastAsia"/>
        </w:rPr>
        <w:t xml:space="preserve">, </w:t>
      </w:r>
      <m:oMath>
        <m:sSup>
          <m:sSupPr>
            <m:ctrlPr>
              <w:rPr>
                <w:rFonts w:ascii="Cambria Math" w:hAnsi="Cambria Math"/>
              </w:rPr>
            </m:ctrlPr>
          </m:sSupPr>
          <m:e>
            <m:r>
              <w:rPr>
                <w:rFonts w:ascii="Cambria Math" w:hAnsi="Cambria Math"/>
              </w:rPr>
              <m:t>g</m:t>
            </m:r>
          </m:e>
          <m:sup>
            <m:r>
              <w:rPr>
                <w:rFonts w:ascii="Cambria Math" w:hAnsi="Cambria Math"/>
              </w:rPr>
              <m:t>o</m:t>
            </m:r>
          </m:sup>
        </m:sSup>
      </m:oMath>
      <w:r w:rsidRPr="00644A67">
        <w:rPr>
          <w:rFonts w:eastAsiaTheme="minorEastAsia"/>
        </w:rPr>
        <w:t xml:space="preserve">, </w:t>
      </w:r>
      <m:oMath>
        <m:r>
          <w:rPr>
            <w:rFonts w:ascii="Cambria Math" w:hAnsi="Cambria Math"/>
          </w:rPr>
          <m:t>x</m:t>
        </m:r>
      </m:oMath>
      <w:r w:rsidRPr="00644A67">
        <w:rPr>
          <w:rFonts w:eastAsiaTheme="minorEastAsia"/>
        </w:rPr>
        <w:t xml:space="preserve">, and </w:t>
      </w:r>
      <m:oMath>
        <m:r>
          <w:rPr>
            <w:rFonts w:ascii="Cambria Math" w:hAnsi="Cambria Math"/>
          </w:rPr>
          <m:t>γ</m:t>
        </m:r>
      </m:oMath>
      <w:r w:rsidRPr="00644A67">
        <w:rPr>
          <w:rFonts w:eastAsiaTheme="minorEastAsia"/>
        </w:rPr>
        <w:t xml:space="preserve"> respectively represent the component mole amount, the gas chemical potential, the component’s standard molar Gibbs free energy, the component mole fraction, and the activity coefficient based on the component mole fraction.</w:t>
      </w:r>
    </w:p>
    <w:tbl>
      <w:tblPr>
        <w:tblW w:w="5000" w:type="pct"/>
        <w:tblLook w:val="04A0" w:firstRow="1" w:lastRow="0" w:firstColumn="1" w:lastColumn="0" w:noHBand="0" w:noVBand="1"/>
      </w:tblPr>
      <w:tblGrid>
        <w:gridCol w:w="7983"/>
        <w:gridCol w:w="804"/>
      </w:tblGrid>
      <w:tr w:rsidR="00644A67" w:rsidRPr="00B57B36" w14:paraId="7C477FD0" w14:textId="77777777" w:rsidTr="00F06AAE">
        <w:tc>
          <w:tcPr>
            <w:tcW w:w="7983" w:type="dxa"/>
            <w:shd w:val="clear" w:color="auto" w:fill="auto"/>
            <w:vAlign w:val="center"/>
          </w:tcPr>
          <w:p w14:paraId="6D61BC68" w14:textId="100BD45E" w:rsidR="00644A67" w:rsidRPr="000417A5" w:rsidRDefault="00644A67" w:rsidP="00F06AAE">
            <w:pPr>
              <w:pStyle w:val="CETEquation"/>
            </w:pPr>
            <m:oMathPara>
              <m:oMathParaPr>
                <m:jc m:val="left"/>
              </m:oMathParaPr>
              <m:oMath>
                <m:r>
                  <w:rPr>
                    <w:rFonts w:ascii="Cambria Math" w:hAnsi="Cambria Math"/>
                    <w:lang w:val="en-US"/>
                  </w:rPr>
                  <m:t>G=</m:t>
                </m:r>
                <m:nary>
                  <m:naryPr>
                    <m:chr m:val="∑"/>
                    <m:limLoc m:val="undOvr"/>
                    <m:supHide m:val="1"/>
                    <m:ctrlPr>
                      <w:rPr>
                        <w:rFonts w:ascii="Cambria Math" w:hAnsi="Cambria Math"/>
                        <w:i/>
                        <w:lang w:val="en-US"/>
                      </w:rPr>
                    </m:ctrlPr>
                  </m:naryPr>
                  <m:sub>
                    <m:eqArr>
                      <m:eqArrPr>
                        <m:ctrlPr>
                          <w:rPr>
                            <w:rFonts w:ascii="Cambria Math" w:hAnsi="Cambria Math"/>
                            <w:iCs/>
                            <w:lang w:val="en-US"/>
                          </w:rPr>
                        </m:ctrlPr>
                      </m:eqArrPr>
                      <m:e>
                        <m:r>
                          <m:rPr>
                            <m:sty m:val="p"/>
                          </m:rPr>
                          <w:rPr>
                            <w:rFonts w:ascii="Cambria Math" w:hAnsi="Cambria Math"/>
                            <w:lang w:val="en-US"/>
                          </w:rPr>
                          <m:t>gas</m:t>
                        </m:r>
                      </m:e>
                      <m:e>
                        <m:r>
                          <m:rPr>
                            <m:sty m:val="p"/>
                          </m:rPr>
                          <w:rPr>
                            <w:rFonts w:ascii="Cambria Math" w:hAnsi="Cambria Math"/>
                            <w:lang w:val="en-US"/>
                          </w:rPr>
                          <m:t>phase</m:t>
                        </m:r>
                      </m:e>
                    </m:eqArr>
                  </m:sub>
                  <m:sup/>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i</m:t>
                        </m:r>
                      </m:sub>
                    </m:sSub>
                  </m:e>
                </m:nary>
                <m:r>
                  <w:rPr>
                    <w:rFonts w:ascii="Cambria Math" w:hAnsi="Cambria Math"/>
                    <w:lang w:val="en-US"/>
                  </w:rPr>
                  <m:t>+</m:t>
                </m:r>
                <m:nary>
                  <m:naryPr>
                    <m:chr m:val="∑"/>
                    <m:limLoc m:val="undOvr"/>
                    <m:supHide m:val="1"/>
                    <m:ctrlPr>
                      <w:rPr>
                        <w:rFonts w:ascii="Cambria Math" w:hAnsi="Cambria Math"/>
                        <w:i/>
                        <w:lang w:val="en-US"/>
                      </w:rPr>
                    </m:ctrlPr>
                  </m:naryPr>
                  <m:sub>
                    <m:eqArr>
                      <m:eqArrPr>
                        <m:ctrlPr>
                          <w:rPr>
                            <w:rFonts w:ascii="Cambria Math" w:hAnsi="Cambria Math"/>
                            <w:iCs/>
                            <w:lang w:val="en-US"/>
                          </w:rPr>
                        </m:ctrlPr>
                      </m:eqArrPr>
                      <m:e>
                        <m:r>
                          <m:rPr>
                            <m:sty m:val="p"/>
                          </m:rPr>
                          <w:rPr>
                            <w:rFonts w:ascii="Cambria Math" w:hAnsi="Cambria Math"/>
                            <w:lang w:val="en-US"/>
                          </w:rPr>
                          <m:t>pure</m:t>
                        </m:r>
                      </m:e>
                      <m:e>
                        <m:r>
                          <m:rPr>
                            <m:sty m:val="p"/>
                          </m:rPr>
                          <w:rPr>
                            <w:rFonts w:ascii="Cambria Math" w:hAnsi="Cambria Math"/>
                            <w:lang w:val="en-US"/>
                          </w:rPr>
                          <m:t>condensed</m:t>
                        </m:r>
                        <m:ctrlPr>
                          <w:rPr>
                            <w:rFonts w:ascii="Cambria Math" w:eastAsia="Cambria Math" w:hAnsi="Cambria Math"/>
                            <w:iCs/>
                            <w:lang w:val="en-US"/>
                          </w:rPr>
                        </m:ctrlPr>
                      </m:e>
                      <m:e>
                        <m:r>
                          <m:rPr>
                            <m:sty m:val="p"/>
                          </m:rPr>
                          <w:rPr>
                            <w:rFonts w:ascii="Cambria Math" w:eastAsia="Cambria Math" w:hAnsi="Cambria Math"/>
                            <w:lang w:val="en-US"/>
                          </w:rPr>
                          <m:t>phases</m:t>
                        </m:r>
                      </m:e>
                    </m:eqArr>
                  </m:sub>
                  <m:sup/>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e>
                </m:nary>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e>
                  <m:sup>
                    <m:r>
                      <w:rPr>
                        <w:rFonts w:ascii="Cambria Math" w:hAnsi="Cambria Math"/>
                        <w:lang w:val="en-US"/>
                      </w:rPr>
                      <m:t>o</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w</m:t>
                    </m:r>
                  </m:sub>
                </m:sSub>
                <m:d>
                  <m:dPr>
                    <m:ctrlPr>
                      <w:rPr>
                        <w:rFonts w:ascii="Cambria Math" w:hAnsi="Cambria Math"/>
                        <w:i/>
                        <w:lang w:val="en-US"/>
                      </w:rPr>
                    </m:ctrlPr>
                  </m:dPr>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w</m:t>
                            </m:r>
                          </m:sub>
                        </m:sSub>
                      </m:e>
                      <m:sup>
                        <m:r>
                          <w:rPr>
                            <w:rFonts w:ascii="Cambria Math" w:hAnsi="Cambria Math"/>
                            <w:lang w:val="en-US"/>
                          </w:rPr>
                          <m:t>o</m:t>
                        </m:r>
                      </m:sup>
                    </m:sSup>
                    <m:r>
                      <w:rPr>
                        <w:rFonts w:ascii="Cambria Math" w:hAnsi="Cambria Math"/>
                        <w:lang w:val="en-US"/>
                      </w:rPr>
                      <m:t>+RT</m:t>
                    </m:r>
                    <m:func>
                      <m:funcPr>
                        <m:ctrlPr>
                          <w:rPr>
                            <w:rFonts w:ascii="Cambria Math" w:hAnsi="Cambria Math"/>
                            <w:i/>
                            <w:lang w:val="en-US"/>
                          </w:rPr>
                        </m:ctrlPr>
                      </m:funcPr>
                      <m:fName>
                        <m:r>
                          <m:rPr>
                            <m:sty m:val="p"/>
                          </m:rPr>
                          <w:rPr>
                            <w:rFonts w:ascii="Cambria Math" w:hAnsi="Cambria Math"/>
                            <w:lang w:val="en-US"/>
                          </w:rPr>
                          <m:t>ln</m:t>
                        </m:r>
                      </m:fName>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w</m:t>
                            </m:r>
                          </m:sub>
                        </m:sSub>
                      </m:e>
                    </m:func>
                    <m:r>
                      <w:rPr>
                        <w:rFonts w:ascii="Cambria Math" w:hAnsi="Cambria Math"/>
                        <w:lang w:val="en-US"/>
                      </w:rPr>
                      <m:t>+RT</m:t>
                    </m:r>
                    <m:func>
                      <m:funcPr>
                        <m:ctrlPr>
                          <w:rPr>
                            <w:rFonts w:ascii="Cambria Math" w:hAnsi="Cambria Math"/>
                            <w:i/>
                            <w:lang w:val="en-US"/>
                          </w:rPr>
                        </m:ctrlPr>
                      </m:funcPr>
                      <m:fName>
                        <m:r>
                          <m:rPr>
                            <m:sty m:val="p"/>
                          </m:rPr>
                          <w:rPr>
                            <w:rFonts w:ascii="Cambria Math" w:hAnsi="Cambria Math"/>
                            <w:lang w:val="en-US"/>
                          </w:rPr>
                          <m:t>ln</m:t>
                        </m:r>
                      </m:fName>
                      <m:e>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w</m:t>
                            </m:r>
                          </m:sub>
                        </m:sSub>
                      </m:e>
                    </m:func>
                  </m:e>
                </m:d>
                <m:r>
                  <w:rPr>
                    <w:rFonts w:ascii="Cambria Math" w:hAnsi="Cambria Math"/>
                    <w:lang w:val="en-US"/>
                  </w:rPr>
                  <m:t>+</m:t>
                </m:r>
                <m:nary>
                  <m:naryPr>
                    <m:chr m:val="∑"/>
                    <m:limLoc m:val="undOvr"/>
                    <m:supHide m:val="1"/>
                    <m:ctrlPr>
                      <w:rPr>
                        <w:rFonts w:ascii="Cambria Math" w:hAnsi="Cambria Math"/>
                        <w:i/>
                        <w:lang w:val="en-US"/>
                      </w:rPr>
                    </m:ctrlPr>
                  </m:naryPr>
                  <m:sub>
                    <m:eqArr>
                      <m:eqArrPr>
                        <m:ctrlPr>
                          <w:rPr>
                            <w:rFonts w:ascii="Cambria Math" w:hAnsi="Cambria Math"/>
                            <w:iCs/>
                            <w:lang w:val="en-US"/>
                          </w:rPr>
                        </m:ctrlPr>
                      </m:eqArrPr>
                      <m:e>
                        <m:r>
                          <m:rPr>
                            <m:sty m:val="p"/>
                          </m:rPr>
                          <w:rPr>
                            <w:rFonts w:ascii="Cambria Math" w:hAnsi="Cambria Math"/>
                            <w:lang w:val="en-US"/>
                          </w:rPr>
                          <m:t>aqueous</m:t>
                        </m:r>
                      </m:e>
                      <m:e>
                        <m:r>
                          <m:rPr>
                            <m:sty m:val="p"/>
                          </m:rPr>
                          <w:rPr>
                            <w:rFonts w:ascii="Cambria Math" w:hAnsi="Cambria Math"/>
                            <w:lang w:val="en-US"/>
                          </w:rPr>
                          <m:t>solution</m:t>
                        </m:r>
                      </m:e>
                    </m:eqArr>
                  </m:sub>
                  <m:sup/>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m:t>
                        </m:r>
                      </m:sub>
                    </m:sSub>
                  </m:e>
                </m:nary>
                <m:d>
                  <m:dPr>
                    <m:ctrlPr>
                      <w:rPr>
                        <w:rFonts w:ascii="Cambria Math" w:hAnsi="Cambria Math"/>
                        <w:i/>
                        <w:lang w:val="en-US"/>
                      </w:rPr>
                    </m:ctrlPr>
                  </m:dPr>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i</m:t>
                            </m:r>
                          </m:sub>
                        </m:sSub>
                      </m:e>
                      <m:sup>
                        <m:r>
                          <w:rPr>
                            <w:rFonts w:ascii="Cambria Math" w:hAnsi="Cambria Math"/>
                            <w:lang w:val="en-US"/>
                          </w:rPr>
                          <m:t>o</m:t>
                        </m:r>
                      </m:sup>
                    </m:sSup>
                    <m:r>
                      <w:rPr>
                        <w:rFonts w:ascii="Cambria Math" w:hAnsi="Cambria Math"/>
                        <w:lang w:val="en-US"/>
                      </w:rPr>
                      <m:t>+RT</m:t>
                    </m:r>
                    <m:func>
                      <m:funcPr>
                        <m:ctrlPr>
                          <w:rPr>
                            <w:rFonts w:ascii="Cambria Math" w:hAnsi="Cambria Math"/>
                            <w:i/>
                            <w:lang w:val="en-US"/>
                          </w:rPr>
                        </m:ctrlPr>
                      </m:funcPr>
                      <m:fName>
                        <m:r>
                          <m:rPr>
                            <m:sty m:val="p"/>
                          </m:rPr>
                          <w:rPr>
                            <w:rFonts w:ascii="Cambria Math" w:hAnsi="Cambria Math"/>
                            <w:lang w:val="en-US"/>
                          </w:rPr>
                          <m:t>ln</m:t>
                        </m:r>
                      </m:fName>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e>
                    </m:func>
                    <m:r>
                      <w:rPr>
                        <w:rFonts w:ascii="Cambria Math" w:hAnsi="Cambria Math"/>
                        <w:lang w:val="en-US"/>
                      </w:rPr>
                      <m:t>+RT</m:t>
                    </m:r>
                    <m:func>
                      <m:funcPr>
                        <m:ctrlPr>
                          <w:rPr>
                            <w:rFonts w:ascii="Cambria Math" w:hAnsi="Cambria Math"/>
                            <w:i/>
                            <w:lang w:val="en-US"/>
                          </w:rPr>
                        </m:ctrlPr>
                      </m:funcPr>
                      <m:fName>
                        <m:r>
                          <m:rPr>
                            <m:sty m:val="p"/>
                          </m:rPr>
                          <w:rPr>
                            <w:rFonts w:ascii="Cambria Math" w:hAnsi="Cambria Math"/>
                            <w:lang w:val="en-US"/>
                          </w:rPr>
                          <m:t>ln</m:t>
                        </m:r>
                      </m:fName>
                      <m:e>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i</m:t>
                            </m:r>
                          </m:sub>
                        </m:sSub>
                      </m:e>
                    </m:func>
                  </m:e>
                </m:d>
              </m:oMath>
            </m:oMathPara>
          </w:p>
        </w:tc>
        <w:tc>
          <w:tcPr>
            <w:tcW w:w="804" w:type="dxa"/>
            <w:shd w:val="clear" w:color="auto" w:fill="auto"/>
            <w:vAlign w:val="center"/>
          </w:tcPr>
          <w:p w14:paraId="5985C79C" w14:textId="62AB9D14" w:rsidR="00644A67" w:rsidRPr="00B57B36" w:rsidRDefault="00644A67" w:rsidP="00F06AAE">
            <w:pPr>
              <w:pStyle w:val="CETEquation"/>
              <w:jc w:val="right"/>
            </w:pPr>
            <w:r w:rsidRPr="00B57B36">
              <w:t>(</w:t>
            </w:r>
            <w:r>
              <w:t>2</w:t>
            </w:r>
            <w:r w:rsidRPr="00B57B36">
              <w:t>)</w:t>
            </w:r>
          </w:p>
        </w:tc>
      </w:tr>
    </w:tbl>
    <w:p w14:paraId="7F4470E6" w14:textId="6EBD09B9" w:rsidR="0061634D" w:rsidRPr="0061634D" w:rsidRDefault="0061634D" w:rsidP="009B55EA">
      <w:pPr>
        <w:pStyle w:val="CETBodytext"/>
        <w:numPr>
          <w:ilvl w:val="0"/>
          <w:numId w:val="35"/>
        </w:numPr>
        <w:tabs>
          <w:tab w:val="clear" w:pos="7100"/>
          <w:tab w:val="left" w:pos="567"/>
        </w:tabs>
        <w:spacing w:before="100"/>
        <w:ind w:left="357" w:hanging="357"/>
        <w:rPr>
          <w:b/>
          <w:bCs/>
        </w:rPr>
      </w:pPr>
      <w:r w:rsidRPr="0061634D">
        <w:rPr>
          <w:b/>
          <w:bCs/>
        </w:rPr>
        <w:t>Calculations for the gas phase</w:t>
      </w:r>
    </w:p>
    <w:p w14:paraId="039D5D56" w14:textId="77777777" w:rsidR="004C1B81" w:rsidRPr="00941272" w:rsidRDefault="004C1B81" w:rsidP="004C1B81">
      <w:pPr>
        <w:pStyle w:val="CETBodytext"/>
      </w:pPr>
      <w:r w:rsidRPr="00941272">
        <w:t>The Gibbs free energy for gas phase is defined as the first term in Equation (2). As the supercritical condition of the HTG system leads to a non-ideal behavior of the gas, the Gibbs free energy calculation is based on the chemical potential of the gases. The gas phase calculation employs Peng-Robinson equation of state (</w:t>
      </w:r>
      <w:proofErr w:type="spellStart"/>
      <w:r w:rsidRPr="00941272">
        <w:t>EoS</w:t>
      </w:r>
      <w:proofErr w:type="spellEnd"/>
      <w:r w:rsidRPr="00941272">
        <w:t xml:space="preserve">) with thermodynamic data acquired from the FACT53 database of the </w:t>
      </w:r>
      <w:proofErr w:type="spellStart"/>
      <w:r w:rsidRPr="00941272">
        <w:t>FactSage</w:t>
      </w:r>
      <w:proofErr w:type="spellEnd"/>
      <w:r w:rsidRPr="00941272">
        <w:t xml:space="preserve"> software. </w:t>
      </w:r>
    </w:p>
    <w:p w14:paraId="79B20DBE" w14:textId="43FD41ED" w:rsidR="004C1B81" w:rsidRDefault="004C1B81" w:rsidP="00422B2F">
      <w:pPr>
        <w:pStyle w:val="CETBodytext"/>
        <w:numPr>
          <w:ilvl w:val="0"/>
          <w:numId w:val="35"/>
        </w:numPr>
        <w:tabs>
          <w:tab w:val="clear" w:pos="7100"/>
          <w:tab w:val="left" w:pos="567"/>
        </w:tabs>
        <w:spacing w:before="100"/>
        <w:ind w:left="357" w:hanging="357"/>
        <w:rPr>
          <w:b/>
          <w:bCs/>
        </w:rPr>
      </w:pPr>
      <w:r w:rsidRPr="004C1B81">
        <w:rPr>
          <w:b/>
          <w:bCs/>
        </w:rPr>
        <w:t xml:space="preserve">Calculations </w:t>
      </w:r>
      <w:r>
        <w:rPr>
          <w:b/>
          <w:bCs/>
        </w:rPr>
        <w:t>for the pure condensed phase</w:t>
      </w:r>
    </w:p>
    <w:p w14:paraId="441D8CF0" w14:textId="77777777" w:rsidR="00BE4456" w:rsidRPr="00941272" w:rsidRDefault="00BE4456" w:rsidP="00BE4456">
      <w:pPr>
        <w:pStyle w:val="CETBodytext"/>
      </w:pPr>
      <w:r w:rsidRPr="00941272">
        <w:t xml:space="preserve">The second term in Equation (2) represents the Gibbs free energy of the pure condensed phases. The required thermodynamic data for the pure condensed phases was also obtained from the FACT53 database of the </w:t>
      </w:r>
      <w:proofErr w:type="spellStart"/>
      <w:r w:rsidRPr="00941272">
        <w:t>FactSage</w:t>
      </w:r>
      <w:proofErr w:type="spellEnd"/>
      <w:r w:rsidRPr="00941272">
        <w:t xml:space="preserve"> software.</w:t>
      </w:r>
    </w:p>
    <w:p w14:paraId="54900C18" w14:textId="4FE1C615" w:rsidR="004C1B81" w:rsidRPr="000C4F3B" w:rsidRDefault="000C4F3B" w:rsidP="00422B2F">
      <w:pPr>
        <w:pStyle w:val="CETBodytext"/>
        <w:numPr>
          <w:ilvl w:val="0"/>
          <w:numId w:val="35"/>
        </w:numPr>
        <w:tabs>
          <w:tab w:val="clear" w:pos="7100"/>
          <w:tab w:val="left" w:pos="567"/>
        </w:tabs>
        <w:spacing w:before="100"/>
        <w:ind w:left="357" w:hanging="357"/>
        <w:rPr>
          <w:b/>
          <w:bCs/>
        </w:rPr>
      </w:pPr>
      <w:r w:rsidRPr="000C4F3B">
        <w:rPr>
          <w:b/>
          <w:bCs/>
        </w:rPr>
        <w:t>Calculations for the aqueous solution</w:t>
      </w:r>
    </w:p>
    <w:p w14:paraId="33925F95" w14:textId="147A6C95" w:rsidR="00580A35" w:rsidRPr="00580A35" w:rsidRDefault="00580A35" w:rsidP="00580A35">
      <w:pPr>
        <w:pStyle w:val="CETBodytext"/>
      </w:pPr>
      <w:r w:rsidRPr="00580A35">
        <w:t xml:space="preserve">In Equation (2), the Gibbs free energy of the aqueous solution is represented by the third term for the calculation of water in the aqueous phase, and the last term for the solute species. The thermodynamic data for the solute species were taken from the SUPCRT92 software. For the supercritical region, where the water in the aqueous phase is completely vaporized, the calculation is based on an assumption that the solute molecules interact with gases to form aqueous hydrate complexes </w:t>
      </w:r>
      <w:r w:rsidRPr="00580A35">
        <w:fldChar w:fldCharType="begin"/>
      </w:r>
      <w:r w:rsidR="00322C16">
        <w:instrText xml:space="preserve"> ADDIN EN.CITE &lt;EndNote&gt;&lt;Cite&gt;&lt;Author&gt;Chrastil&lt;/Author&gt;&lt;Year&gt;1982&lt;/Year&gt;&lt;RecNum&gt;133&lt;/RecNum&gt;&lt;DisplayText&gt;(Chrastil 1982)&lt;/DisplayText&gt;&lt;record&gt;&lt;rec-number&gt;133&lt;/rec-number&gt;&lt;foreign-keys&gt;&lt;key app="EN" db-id="50eez5z08wvwt5evrp7xr95rzs2ez0x9rtfv" timestamp="1659341059"&gt;133&lt;/key&gt;&lt;/foreign-keys&gt;&lt;ref-type name="Journal Article"&gt;17&lt;/ref-type&gt;&lt;contributors&gt;&lt;authors&gt;&lt;author&gt;Chrastil, Josef&lt;/author&gt;&lt;/authors&gt;&lt;/contributors&gt;&lt;titles&gt;&lt;title&gt;Solubility of solids and liquids in supercritical gases&lt;/title&gt;&lt;secondary-title&gt;The Journal of Physical Chemistry&lt;/secondary-title&gt;&lt;/titles&gt;&lt;periodical&gt;&lt;full-title&gt;The Journal of Physical Chemistry&lt;/full-title&gt;&lt;/periodical&gt;&lt;pages&gt;3016-3021&lt;/pages&gt;&lt;volume&gt;86&lt;/volume&gt;&lt;number&gt;15&lt;/number&gt;&lt;dates&gt;&lt;year&gt;1982&lt;/year&gt;&lt;/dates&gt;&lt;isbn&gt;0022-3654&lt;/isbn&gt;&lt;urls&gt;&lt;/urls&gt;&lt;/record&gt;&lt;/Cite&gt;&lt;/EndNote&gt;</w:instrText>
      </w:r>
      <w:r w:rsidRPr="00580A35">
        <w:fldChar w:fldCharType="separate"/>
      </w:r>
      <w:r w:rsidR="00322C16">
        <w:rPr>
          <w:noProof/>
        </w:rPr>
        <w:t>(Chrastil 1982)</w:t>
      </w:r>
      <w:r w:rsidRPr="00580A35">
        <w:fldChar w:fldCharType="end"/>
      </w:r>
      <w:r w:rsidRPr="00580A35">
        <w:t xml:space="preserve">.  </w:t>
      </w:r>
    </w:p>
    <w:p w14:paraId="47460A9F" w14:textId="0519B813" w:rsidR="00017ECB" w:rsidRPr="00941272" w:rsidRDefault="00017ECB" w:rsidP="00017ECB">
      <w:pPr>
        <w:pStyle w:val="CETBodytext"/>
        <w:rPr>
          <w:b/>
          <w:bCs/>
        </w:rPr>
      </w:pPr>
      <w:r w:rsidRPr="00941272">
        <w:t xml:space="preserve">The thermodynamic model is implemented in </w:t>
      </w:r>
      <w:proofErr w:type="spellStart"/>
      <w:r w:rsidRPr="00941272">
        <w:t>Matlab</w:t>
      </w:r>
      <w:proofErr w:type="spellEnd"/>
      <w:r w:rsidRPr="00941272">
        <w:t xml:space="preserve"> using </w:t>
      </w:r>
      <w:proofErr w:type="spellStart"/>
      <w:r w:rsidRPr="00941272">
        <w:rPr>
          <w:i/>
          <w:iCs/>
        </w:rPr>
        <w:t>fmincon</w:t>
      </w:r>
      <w:proofErr w:type="spellEnd"/>
      <w:r w:rsidRPr="00941272">
        <w:t xml:space="preserve"> routine to minimize Equation (2) and obtain the amounts of species at the equilibrium state. A mole and charge balance constraint and non-negativity species amount constraint are applied during the minimization. The required inputs are process conditions, i.e., </w:t>
      </w:r>
      <w:r w:rsidRPr="00941272">
        <w:lastRenderedPageBreak/>
        <w:t>temperature and pressure, and the molar composition of feedstock and water.</w:t>
      </w:r>
      <w:r>
        <w:t xml:space="preserve"> The feedstock composition is taken from biogas digestate data available on literature </w:t>
      </w:r>
      <w:r w:rsidRPr="00540677">
        <w:fldChar w:fldCharType="begin"/>
      </w:r>
      <w:r w:rsidR="00322C16">
        <w:instrText xml:space="preserve"> ADDIN EN.CITE &lt;EndNote&gt;&lt;Cite&gt;&lt;Author&gt;Parmar&lt;/Author&gt;&lt;Year&gt;2019&lt;/Year&gt;&lt;RecNum&gt;104&lt;/RecNum&gt;&lt;DisplayText&gt;(Parmar and Ross 2019)&lt;/DisplayText&gt;&lt;record&gt;&lt;rec-number&gt;104&lt;/rec-number&gt;&lt;foreign-keys&gt;&lt;key app="EN" db-id="50eez5z08wvwt5evrp7xr95rzs2ez0x9rtfv" timestamp="1673537966"&gt;104&lt;/key&gt;&lt;/foreign-keys&gt;&lt;ref-type name="Journal Article"&gt;17&lt;/ref-type&gt;&lt;contributors&gt;&lt;authors&gt;&lt;author&gt;Parmar, Kiran R&lt;/author&gt;&lt;author&gt;Ross, Andrew B&lt;/author&gt;&lt;/authors&gt;&lt;/contributors&gt;&lt;titles&gt;&lt;title&gt;Integration of hydrothermal carbonisation with anaerobic digestion; Opportunities for valorisation of digestate&lt;/title&gt;&lt;secondary-title&gt;Energies&lt;/secondary-title&gt;&lt;/titles&gt;&lt;periodical&gt;&lt;full-title&gt;Energies&lt;/full-title&gt;&lt;/periodical&gt;&lt;pages&gt;1586&lt;/pages&gt;&lt;volume&gt;12&lt;/volume&gt;&lt;number&gt;9&lt;/number&gt;&lt;dates&gt;&lt;year&gt;2019&lt;/year&gt;&lt;/dates&gt;&lt;isbn&gt;1996-1073&lt;/isbn&gt;&lt;urls&gt;&lt;/urls&gt;&lt;/record&gt;&lt;/Cite&gt;&lt;/EndNote&gt;</w:instrText>
      </w:r>
      <w:r w:rsidRPr="00540677">
        <w:fldChar w:fldCharType="separate"/>
      </w:r>
      <w:r w:rsidR="00322C16">
        <w:rPr>
          <w:noProof/>
        </w:rPr>
        <w:t>(Parmar and Ross 2019)</w:t>
      </w:r>
      <w:r w:rsidRPr="00540677">
        <w:fldChar w:fldCharType="end"/>
      </w:r>
      <w:r>
        <w:t>.</w:t>
      </w:r>
    </w:p>
    <w:p w14:paraId="0A789EAB" w14:textId="51415B5E" w:rsidR="00636966" w:rsidRPr="008D724C" w:rsidRDefault="00636966" w:rsidP="00636966">
      <w:pPr>
        <w:pStyle w:val="CETTabletitle"/>
      </w:pPr>
      <w:r w:rsidRPr="008D724C">
        <w:t xml:space="preserve">Table 1: Proximate Analysis of Feedstock Materials </w:t>
      </w:r>
      <w:r w:rsidRPr="008D724C">
        <w:fldChar w:fldCharType="begin"/>
      </w:r>
      <w:r w:rsidR="00322C16">
        <w:instrText xml:space="preserve"> ADDIN EN.CITE &lt;EndNote&gt;&lt;Cite&gt;&lt;Author&gt;Parmar&lt;/Author&gt;&lt;Year&gt;2019&lt;/Year&gt;&lt;RecNum&gt;104&lt;/RecNum&gt;&lt;DisplayText&gt;(Parmar and Ross 2019)&lt;/DisplayText&gt;&lt;record&gt;&lt;rec-number&gt;104&lt;/rec-number&gt;&lt;foreign-keys&gt;&lt;key app="EN" db-id="50eez5z08wvwt5evrp7xr95rzs2ez0x9rtfv" timestamp="1673537966"&gt;104&lt;/key&gt;&lt;/foreign-keys&gt;&lt;ref-type name="Journal Article"&gt;17&lt;/ref-type&gt;&lt;contributors&gt;&lt;authors&gt;&lt;author&gt;Parmar, Kiran R&lt;/author&gt;&lt;author&gt;Ross, Andrew B&lt;/author&gt;&lt;/authors&gt;&lt;/contributors&gt;&lt;titles&gt;&lt;title&gt;Integration of hydrothermal carbonisation with anaerobic digestion; Opportunities for valorisation of digestate&lt;/title&gt;&lt;secondary-title&gt;Energies&lt;/secondary-title&gt;&lt;/titles&gt;&lt;periodical&gt;&lt;full-title&gt;Energies&lt;/full-title&gt;&lt;/periodical&gt;&lt;pages&gt;1586&lt;/pages&gt;&lt;volume&gt;12&lt;/volume&gt;&lt;number&gt;9&lt;/number&gt;&lt;dates&gt;&lt;year&gt;2019&lt;/year&gt;&lt;/dates&gt;&lt;isbn&gt;1996-1073&lt;/isbn&gt;&lt;urls&gt;&lt;/urls&gt;&lt;/record&gt;&lt;/Cite&gt;&lt;/EndNote&gt;</w:instrText>
      </w:r>
      <w:r w:rsidRPr="008D724C">
        <w:fldChar w:fldCharType="separate"/>
      </w:r>
      <w:r w:rsidR="00322C16">
        <w:rPr>
          <w:noProof/>
        </w:rPr>
        <w:t>(Parmar and Ross 2019)</w:t>
      </w:r>
      <w:r w:rsidRPr="008D724C">
        <w:fldChar w:fldCharType="end"/>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701"/>
      </w:tblGrid>
      <w:tr w:rsidR="00636966" w:rsidRPr="00B57B36" w14:paraId="5D1BF65C" w14:textId="77777777" w:rsidTr="00F06AAE">
        <w:tc>
          <w:tcPr>
            <w:tcW w:w="2694" w:type="dxa"/>
            <w:tcBorders>
              <w:top w:val="single" w:sz="12" w:space="0" w:color="008000"/>
              <w:bottom w:val="single" w:sz="6" w:space="0" w:color="008000"/>
            </w:tcBorders>
            <w:shd w:val="clear" w:color="auto" w:fill="FFFFFF"/>
          </w:tcPr>
          <w:p w14:paraId="506BB5ED" w14:textId="77777777" w:rsidR="00636966" w:rsidRPr="00B57B36" w:rsidRDefault="00636966" w:rsidP="00F06AAE">
            <w:pPr>
              <w:pStyle w:val="CETBodytext"/>
              <w:rPr>
                <w:lang w:val="en-GB"/>
              </w:rPr>
            </w:pPr>
            <w:r w:rsidRPr="00CB2B45">
              <w:t>Proximate Analysis (</w:t>
            </w:r>
            <w:proofErr w:type="spellStart"/>
            <w:r w:rsidRPr="00CB2B45">
              <w:t>wt</w:t>
            </w:r>
            <w:proofErr w:type="spellEnd"/>
            <w:r w:rsidRPr="00CB2B45">
              <w:t>%)</w:t>
            </w:r>
          </w:p>
        </w:tc>
        <w:tc>
          <w:tcPr>
            <w:tcW w:w="1701" w:type="dxa"/>
            <w:tcBorders>
              <w:top w:val="single" w:sz="12" w:space="0" w:color="008000"/>
              <w:bottom w:val="single" w:sz="6" w:space="0" w:color="008000"/>
            </w:tcBorders>
            <w:shd w:val="clear" w:color="auto" w:fill="FFFFFF"/>
          </w:tcPr>
          <w:p w14:paraId="4F2F1A97" w14:textId="77777777" w:rsidR="00636966" w:rsidRPr="00B57B36" w:rsidRDefault="00636966" w:rsidP="00F06AAE">
            <w:pPr>
              <w:pStyle w:val="CETBodytext"/>
              <w:rPr>
                <w:lang w:val="en-GB"/>
              </w:rPr>
            </w:pPr>
            <w:r w:rsidRPr="00CB2B45">
              <w:t>Value (</w:t>
            </w:r>
            <w:proofErr w:type="spellStart"/>
            <w:r w:rsidRPr="00CB2B45">
              <w:t>db</w:t>
            </w:r>
            <w:proofErr w:type="spellEnd"/>
            <w:r w:rsidRPr="00CB2B45">
              <w:t>)</w:t>
            </w:r>
          </w:p>
        </w:tc>
      </w:tr>
      <w:tr w:rsidR="00636966" w:rsidRPr="00B57B36" w14:paraId="10CE553D" w14:textId="77777777" w:rsidTr="00F06AAE">
        <w:tc>
          <w:tcPr>
            <w:tcW w:w="2694" w:type="dxa"/>
            <w:shd w:val="clear" w:color="auto" w:fill="FFFFFF"/>
          </w:tcPr>
          <w:p w14:paraId="14C709A8" w14:textId="77777777" w:rsidR="00636966" w:rsidRPr="00B57B36" w:rsidRDefault="00636966" w:rsidP="00F06AAE">
            <w:pPr>
              <w:pStyle w:val="CETBodytext"/>
              <w:rPr>
                <w:lang w:val="en-GB"/>
              </w:rPr>
            </w:pPr>
            <w:r w:rsidRPr="00CB2B45">
              <w:t>Fixed Carbon</w:t>
            </w:r>
          </w:p>
        </w:tc>
        <w:tc>
          <w:tcPr>
            <w:tcW w:w="1701" w:type="dxa"/>
            <w:shd w:val="clear" w:color="auto" w:fill="FFFFFF"/>
          </w:tcPr>
          <w:p w14:paraId="32CA2A87" w14:textId="77777777" w:rsidR="00636966" w:rsidRPr="00B57B36" w:rsidRDefault="00636966" w:rsidP="00F06AAE">
            <w:pPr>
              <w:pStyle w:val="CETBodytext"/>
              <w:rPr>
                <w:lang w:val="en-GB"/>
              </w:rPr>
            </w:pPr>
            <w:r w:rsidRPr="00152047">
              <w:t>8.3</w:t>
            </w:r>
          </w:p>
        </w:tc>
      </w:tr>
      <w:tr w:rsidR="00636966" w:rsidRPr="00B57B36" w14:paraId="49CC998E" w14:textId="77777777" w:rsidTr="00F06AAE">
        <w:tc>
          <w:tcPr>
            <w:tcW w:w="2694" w:type="dxa"/>
            <w:shd w:val="clear" w:color="auto" w:fill="FFFFFF"/>
          </w:tcPr>
          <w:p w14:paraId="56A8B09E" w14:textId="77777777" w:rsidR="00636966" w:rsidRPr="00B57B36" w:rsidRDefault="00636966" w:rsidP="00F06AAE">
            <w:pPr>
              <w:pStyle w:val="CETBodytext"/>
              <w:ind w:right="-1"/>
              <w:rPr>
                <w:rFonts w:cs="Arial"/>
                <w:szCs w:val="18"/>
                <w:lang w:val="en-GB"/>
              </w:rPr>
            </w:pPr>
            <w:r w:rsidRPr="00CB2B45">
              <w:t>Volatile Matters</w:t>
            </w:r>
          </w:p>
        </w:tc>
        <w:tc>
          <w:tcPr>
            <w:tcW w:w="1701" w:type="dxa"/>
            <w:shd w:val="clear" w:color="auto" w:fill="FFFFFF"/>
          </w:tcPr>
          <w:p w14:paraId="208C84BA" w14:textId="77777777" w:rsidR="00636966" w:rsidRPr="00B57B36" w:rsidRDefault="00636966" w:rsidP="00F06AAE">
            <w:pPr>
              <w:pStyle w:val="CETBodytext"/>
              <w:ind w:right="-1"/>
              <w:rPr>
                <w:rFonts w:cs="Arial"/>
                <w:szCs w:val="18"/>
                <w:lang w:val="en-GB"/>
              </w:rPr>
            </w:pPr>
            <w:r w:rsidRPr="00152047">
              <w:t>36.2</w:t>
            </w:r>
          </w:p>
        </w:tc>
      </w:tr>
      <w:tr w:rsidR="00636966" w:rsidRPr="00B57B36" w14:paraId="1E32A0EC" w14:textId="77777777" w:rsidTr="00F06AAE">
        <w:tc>
          <w:tcPr>
            <w:tcW w:w="2694" w:type="dxa"/>
            <w:shd w:val="clear" w:color="auto" w:fill="FFFFFF"/>
          </w:tcPr>
          <w:p w14:paraId="492BA916" w14:textId="77777777" w:rsidR="00636966" w:rsidRPr="00B57B36" w:rsidRDefault="00636966" w:rsidP="00F06AAE">
            <w:pPr>
              <w:pStyle w:val="CETBodytext"/>
              <w:ind w:right="-1"/>
              <w:rPr>
                <w:rFonts w:cs="Arial"/>
                <w:szCs w:val="18"/>
                <w:lang w:val="en-GB"/>
              </w:rPr>
            </w:pPr>
            <w:r w:rsidRPr="00CB2B45">
              <w:t>Ash</w:t>
            </w:r>
          </w:p>
        </w:tc>
        <w:tc>
          <w:tcPr>
            <w:tcW w:w="1701" w:type="dxa"/>
            <w:shd w:val="clear" w:color="auto" w:fill="FFFFFF"/>
          </w:tcPr>
          <w:p w14:paraId="2B029C4B" w14:textId="77777777" w:rsidR="00636966" w:rsidRPr="00B57B36" w:rsidRDefault="00636966" w:rsidP="00F06AAE">
            <w:pPr>
              <w:pStyle w:val="CETBodytext"/>
              <w:ind w:right="-1"/>
              <w:rPr>
                <w:rFonts w:cs="Arial"/>
                <w:szCs w:val="18"/>
                <w:lang w:val="en-GB"/>
              </w:rPr>
            </w:pPr>
            <w:r w:rsidRPr="00152047">
              <w:t>55.5</w:t>
            </w:r>
          </w:p>
        </w:tc>
      </w:tr>
    </w:tbl>
    <w:p w14:paraId="17542FA4" w14:textId="41F1AFC3" w:rsidR="00636966" w:rsidRDefault="00636966" w:rsidP="00636966">
      <w:pPr>
        <w:pStyle w:val="CETTabletitle"/>
        <w:rPr>
          <w:lang w:val="en-US"/>
        </w:rPr>
      </w:pPr>
      <w:r>
        <w:rPr>
          <w:lang w:val="en-US"/>
        </w:rPr>
        <w:t xml:space="preserve">Table 2. Ultimate Analysis of Feedstock Materials </w:t>
      </w:r>
      <w:r>
        <w:rPr>
          <w:lang w:val="en-US"/>
        </w:rPr>
        <w:fldChar w:fldCharType="begin"/>
      </w:r>
      <w:r w:rsidR="00322C16">
        <w:rPr>
          <w:lang w:val="en-US"/>
        </w:rPr>
        <w:instrText xml:space="preserve"> ADDIN EN.CITE &lt;EndNote&gt;&lt;Cite&gt;&lt;Author&gt;Parmar&lt;/Author&gt;&lt;Year&gt;2019&lt;/Year&gt;&lt;RecNum&gt;104&lt;/RecNum&gt;&lt;DisplayText&gt;(Parmar and Ross 2019)&lt;/DisplayText&gt;&lt;record&gt;&lt;rec-number&gt;104&lt;/rec-number&gt;&lt;foreign-keys&gt;&lt;key app="EN" db-id="50eez5z08wvwt5evrp7xr95rzs2ez0x9rtfv" timestamp="1673537966"&gt;104&lt;/key&gt;&lt;/foreign-keys&gt;&lt;ref-type name="Journal Article"&gt;17&lt;/ref-type&gt;&lt;contributors&gt;&lt;authors&gt;&lt;author&gt;Parmar, Kiran R&lt;/author&gt;&lt;author&gt;Ross, Andrew B&lt;/author&gt;&lt;/authors&gt;&lt;/contributors&gt;&lt;titles&gt;&lt;title&gt;Integration of hydrothermal carbonisation with anaerobic digestion; Opportunities for valorisation of digestate&lt;/title&gt;&lt;secondary-title&gt;Energies&lt;/secondary-title&gt;&lt;/titles&gt;&lt;periodical&gt;&lt;full-title&gt;Energies&lt;/full-title&gt;&lt;/periodical&gt;&lt;pages&gt;1586&lt;/pages&gt;&lt;volume&gt;12&lt;/volume&gt;&lt;number&gt;9&lt;/number&gt;&lt;dates&gt;&lt;year&gt;2019&lt;/year&gt;&lt;/dates&gt;&lt;isbn&gt;1996-1073&lt;/isbn&gt;&lt;urls&gt;&lt;/urls&gt;&lt;/record&gt;&lt;/Cite&gt;&lt;/EndNote&gt;</w:instrText>
      </w:r>
      <w:r>
        <w:rPr>
          <w:lang w:val="en-US"/>
        </w:rPr>
        <w:fldChar w:fldCharType="separate"/>
      </w:r>
      <w:r w:rsidR="00322C16">
        <w:rPr>
          <w:noProof/>
          <w:lang w:val="en-US"/>
        </w:rPr>
        <w:t>(Parmar and Ross 2019)</w:t>
      </w:r>
      <w:r>
        <w:rPr>
          <w:lang w:val="en-US"/>
        </w:rPr>
        <w:fldChar w:fldCharType="end"/>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701"/>
      </w:tblGrid>
      <w:tr w:rsidR="00636966" w:rsidRPr="00B57B36" w14:paraId="6383CD65" w14:textId="77777777" w:rsidTr="00F06AAE">
        <w:tc>
          <w:tcPr>
            <w:tcW w:w="2694" w:type="dxa"/>
            <w:tcBorders>
              <w:top w:val="single" w:sz="12" w:space="0" w:color="008000"/>
              <w:bottom w:val="single" w:sz="6" w:space="0" w:color="008000"/>
            </w:tcBorders>
            <w:shd w:val="clear" w:color="auto" w:fill="FFFFFF"/>
          </w:tcPr>
          <w:p w14:paraId="13B45902" w14:textId="77777777" w:rsidR="00636966" w:rsidRPr="00B57B36" w:rsidRDefault="00636966" w:rsidP="00F06AAE">
            <w:pPr>
              <w:pStyle w:val="CETBodytext"/>
              <w:rPr>
                <w:lang w:val="en-GB"/>
              </w:rPr>
            </w:pPr>
            <w:r w:rsidRPr="006E016E">
              <w:t>Ultimate Analysis (</w:t>
            </w:r>
            <w:proofErr w:type="spellStart"/>
            <w:r w:rsidRPr="006E016E">
              <w:t>wt</w:t>
            </w:r>
            <w:proofErr w:type="spellEnd"/>
            <w:r w:rsidRPr="006E016E">
              <w:t>%)</w:t>
            </w:r>
          </w:p>
        </w:tc>
        <w:tc>
          <w:tcPr>
            <w:tcW w:w="1701" w:type="dxa"/>
            <w:tcBorders>
              <w:top w:val="single" w:sz="12" w:space="0" w:color="008000"/>
              <w:bottom w:val="single" w:sz="6" w:space="0" w:color="008000"/>
            </w:tcBorders>
            <w:shd w:val="clear" w:color="auto" w:fill="FFFFFF"/>
          </w:tcPr>
          <w:p w14:paraId="08C75E92" w14:textId="77777777" w:rsidR="00636966" w:rsidRPr="00B57B36" w:rsidRDefault="00636966" w:rsidP="00F06AAE">
            <w:pPr>
              <w:pStyle w:val="CETBodytext"/>
              <w:rPr>
                <w:lang w:val="en-GB"/>
              </w:rPr>
            </w:pPr>
            <w:r w:rsidRPr="006E016E">
              <w:t>Value (</w:t>
            </w:r>
            <w:proofErr w:type="spellStart"/>
            <w:r w:rsidRPr="006E016E">
              <w:t>db</w:t>
            </w:r>
            <w:proofErr w:type="spellEnd"/>
            <w:r w:rsidRPr="006E016E">
              <w:t xml:space="preserve">) </w:t>
            </w:r>
          </w:p>
        </w:tc>
      </w:tr>
      <w:tr w:rsidR="00636966" w:rsidRPr="00B57B36" w14:paraId="5B61F346" w14:textId="77777777" w:rsidTr="00F06AAE">
        <w:tc>
          <w:tcPr>
            <w:tcW w:w="2694" w:type="dxa"/>
            <w:shd w:val="clear" w:color="auto" w:fill="FFFFFF"/>
          </w:tcPr>
          <w:p w14:paraId="526B8B09" w14:textId="77777777" w:rsidR="00636966" w:rsidRPr="00B57B36" w:rsidRDefault="00636966" w:rsidP="00F06AAE">
            <w:pPr>
              <w:pStyle w:val="CETBodytext"/>
              <w:rPr>
                <w:lang w:val="en-GB"/>
              </w:rPr>
            </w:pPr>
            <w:r w:rsidRPr="006E016E">
              <w:t>C</w:t>
            </w:r>
          </w:p>
        </w:tc>
        <w:tc>
          <w:tcPr>
            <w:tcW w:w="1701" w:type="dxa"/>
            <w:shd w:val="clear" w:color="auto" w:fill="FFFFFF"/>
          </w:tcPr>
          <w:p w14:paraId="02C1AEF7" w14:textId="77777777" w:rsidR="00636966" w:rsidRPr="00B57B36" w:rsidRDefault="00636966" w:rsidP="00F06AAE">
            <w:pPr>
              <w:pStyle w:val="CETBodytext"/>
              <w:rPr>
                <w:lang w:val="en-GB"/>
              </w:rPr>
            </w:pPr>
            <w:r w:rsidRPr="00284787">
              <w:t>24.1</w:t>
            </w:r>
          </w:p>
        </w:tc>
      </w:tr>
      <w:tr w:rsidR="00636966" w:rsidRPr="00B57B36" w14:paraId="2DAF1E5C" w14:textId="77777777" w:rsidTr="00F06AAE">
        <w:tc>
          <w:tcPr>
            <w:tcW w:w="2694" w:type="dxa"/>
            <w:shd w:val="clear" w:color="auto" w:fill="FFFFFF"/>
          </w:tcPr>
          <w:p w14:paraId="57BEB174" w14:textId="77777777" w:rsidR="00636966" w:rsidRPr="00B57B36" w:rsidRDefault="00636966" w:rsidP="00F06AAE">
            <w:pPr>
              <w:pStyle w:val="CETBodytext"/>
              <w:ind w:right="-1"/>
              <w:rPr>
                <w:rFonts w:cs="Arial"/>
                <w:szCs w:val="18"/>
                <w:lang w:val="en-GB"/>
              </w:rPr>
            </w:pPr>
            <w:r w:rsidRPr="006E016E">
              <w:t>H</w:t>
            </w:r>
          </w:p>
        </w:tc>
        <w:tc>
          <w:tcPr>
            <w:tcW w:w="1701" w:type="dxa"/>
            <w:shd w:val="clear" w:color="auto" w:fill="FFFFFF"/>
          </w:tcPr>
          <w:p w14:paraId="49AA84A2" w14:textId="77777777" w:rsidR="00636966" w:rsidRPr="00B57B36" w:rsidRDefault="00636966" w:rsidP="00F06AAE">
            <w:pPr>
              <w:pStyle w:val="CETBodytext"/>
              <w:ind w:right="-1"/>
              <w:rPr>
                <w:rFonts w:cs="Arial"/>
                <w:szCs w:val="18"/>
                <w:lang w:val="en-GB"/>
              </w:rPr>
            </w:pPr>
            <w:r w:rsidRPr="00284787">
              <w:t>1.7</w:t>
            </w:r>
          </w:p>
        </w:tc>
      </w:tr>
      <w:tr w:rsidR="00636966" w:rsidRPr="00B57B36" w14:paraId="061A5538" w14:textId="77777777" w:rsidTr="00F06AAE">
        <w:tc>
          <w:tcPr>
            <w:tcW w:w="2694" w:type="dxa"/>
            <w:shd w:val="clear" w:color="auto" w:fill="FFFFFF"/>
          </w:tcPr>
          <w:p w14:paraId="322C6B4A" w14:textId="77777777" w:rsidR="00636966" w:rsidRPr="00B57B36" w:rsidRDefault="00636966" w:rsidP="00F06AAE">
            <w:pPr>
              <w:pStyle w:val="CETBodytext"/>
              <w:ind w:right="-1"/>
              <w:rPr>
                <w:rFonts w:cs="Arial"/>
                <w:szCs w:val="18"/>
                <w:lang w:val="en-GB"/>
              </w:rPr>
            </w:pPr>
            <w:r w:rsidRPr="006E016E">
              <w:t>O</w:t>
            </w:r>
          </w:p>
        </w:tc>
        <w:tc>
          <w:tcPr>
            <w:tcW w:w="1701" w:type="dxa"/>
            <w:shd w:val="clear" w:color="auto" w:fill="FFFFFF"/>
          </w:tcPr>
          <w:p w14:paraId="6D1CD4BD" w14:textId="77777777" w:rsidR="00636966" w:rsidRPr="00B57B36" w:rsidRDefault="00636966" w:rsidP="00F06AAE">
            <w:pPr>
              <w:pStyle w:val="CETBodytext"/>
              <w:ind w:right="-1"/>
              <w:rPr>
                <w:rFonts w:cs="Arial"/>
                <w:szCs w:val="18"/>
                <w:lang w:val="en-GB"/>
              </w:rPr>
            </w:pPr>
            <w:r w:rsidRPr="00284787">
              <w:t>16.9</w:t>
            </w:r>
          </w:p>
        </w:tc>
      </w:tr>
      <w:tr w:rsidR="00636966" w:rsidRPr="00B57B36" w14:paraId="226C1B59" w14:textId="77777777" w:rsidTr="00F06AAE">
        <w:tc>
          <w:tcPr>
            <w:tcW w:w="2694" w:type="dxa"/>
            <w:shd w:val="clear" w:color="auto" w:fill="FFFFFF"/>
          </w:tcPr>
          <w:p w14:paraId="3B43F0E1" w14:textId="77777777" w:rsidR="00636966" w:rsidRPr="00CB2B45" w:rsidRDefault="00636966" w:rsidP="00F06AAE">
            <w:pPr>
              <w:pStyle w:val="CETBodytext"/>
              <w:ind w:right="-1"/>
            </w:pPr>
            <w:r w:rsidRPr="006E016E">
              <w:t>N</w:t>
            </w:r>
          </w:p>
        </w:tc>
        <w:tc>
          <w:tcPr>
            <w:tcW w:w="1701" w:type="dxa"/>
            <w:shd w:val="clear" w:color="auto" w:fill="FFFFFF"/>
          </w:tcPr>
          <w:p w14:paraId="387CAFAC" w14:textId="77777777" w:rsidR="00636966" w:rsidRPr="00CB2B45" w:rsidRDefault="00636966" w:rsidP="00F06AAE">
            <w:pPr>
              <w:pStyle w:val="CETBodytext"/>
              <w:ind w:right="-1"/>
            </w:pPr>
            <w:r w:rsidRPr="00284787">
              <w:t>1.5</w:t>
            </w:r>
          </w:p>
        </w:tc>
      </w:tr>
      <w:tr w:rsidR="00636966" w:rsidRPr="00B57B36" w14:paraId="1C67D357" w14:textId="77777777" w:rsidTr="00F06AAE">
        <w:tc>
          <w:tcPr>
            <w:tcW w:w="2694" w:type="dxa"/>
            <w:shd w:val="clear" w:color="auto" w:fill="FFFFFF"/>
          </w:tcPr>
          <w:p w14:paraId="2861F236" w14:textId="77777777" w:rsidR="00636966" w:rsidRPr="00CB2B45" w:rsidRDefault="00636966" w:rsidP="00F06AAE">
            <w:pPr>
              <w:pStyle w:val="CETBodytext"/>
              <w:ind w:right="-1"/>
            </w:pPr>
            <w:r w:rsidRPr="006E016E">
              <w:t>S</w:t>
            </w:r>
          </w:p>
        </w:tc>
        <w:tc>
          <w:tcPr>
            <w:tcW w:w="1701" w:type="dxa"/>
            <w:shd w:val="clear" w:color="auto" w:fill="FFFFFF"/>
          </w:tcPr>
          <w:p w14:paraId="5095C307" w14:textId="77777777" w:rsidR="00636966" w:rsidRPr="00CB2B45" w:rsidRDefault="00636966" w:rsidP="00F06AAE">
            <w:pPr>
              <w:pStyle w:val="CETBodytext"/>
              <w:ind w:right="-1"/>
            </w:pPr>
            <w:r w:rsidRPr="00284787">
              <w:t>0.2</w:t>
            </w:r>
          </w:p>
        </w:tc>
      </w:tr>
      <w:tr w:rsidR="00FA0096" w:rsidRPr="00B57B36" w14:paraId="2F5C1E6A" w14:textId="77777777" w:rsidTr="00F06AAE">
        <w:tc>
          <w:tcPr>
            <w:tcW w:w="2694" w:type="dxa"/>
            <w:shd w:val="clear" w:color="auto" w:fill="FFFFFF"/>
          </w:tcPr>
          <w:p w14:paraId="3A7C02AD" w14:textId="7631591E" w:rsidR="00FA0096" w:rsidRPr="006E016E" w:rsidRDefault="00FA0096" w:rsidP="00FA0096">
            <w:pPr>
              <w:pStyle w:val="CETBodytext"/>
              <w:ind w:right="-1"/>
            </w:pPr>
            <w:r w:rsidRPr="0089558E">
              <w:t>Ca</w:t>
            </w:r>
          </w:p>
        </w:tc>
        <w:tc>
          <w:tcPr>
            <w:tcW w:w="1701" w:type="dxa"/>
            <w:shd w:val="clear" w:color="auto" w:fill="FFFFFF"/>
          </w:tcPr>
          <w:p w14:paraId="427F7945" w14:textId="5E34DCA4" w:rsidR="00FA0096" w:rsidRPr="00284787" w:rsidRDefault="00FA0096" w:rsidP="00FA0096">
            <w:pPr>
              <w:pStyle w:val="CETBodytext"/>
              <w:ind w:right="-1"/>
            </w:pPr>
            <w:r w:rsidRPr="0089558E">
              <w:t>10.4</w:t>
            </w:r>
          </w:p>
        </w:tc>
      </w:tr>
      <w:tr w:rsidR="00FA0096" w:rsidRPr="00B57B36" w14:paraId="32B8D776" w14:textId="77777777" w:rsidTr="00F06AAE">
        <w:tc>
          <w:tcPr>
            <w:tcW w:w="2694" w:type="dxa"/>
            <w:shd w:val="clear" w:color="auto" w:fill="FFFFFF"/>
          </w:tcPr>
          <w:p w14:paraId="5B1DAE5D" w14:textId="2D016C73" w:rsidR="00FA0096" w:rsidRPr="006E016E" w:rsidRDefault="00FA0096" w:rsidP="00FA0096">
            <w:pPr>
              <w:pStyle w:val="CETBodytext"/>
              <w:ind w:right="-1"/>
            </w:pPr>
            <w:r w:rsidRPr="0089558E">
              <w:t>Cl</w:t>
            </w:r>
          </w:p>
        </w:tc>
        <w:tc>
          <w:tcPr>
            <w:tcW w:w="1701" w:type="dxa"/>
            <w:shd w:val="clear" w:color="auto" w:fill="FFFFFF"/>
          </w:tcPr>
          <w:p w14:paraId="1CB6FA9B" w14:textId="2AAA4EB2" w:rsidR="00FA0096" w:rsidRPr="00284787" w:rsidRDefault="00FA0096" w:rsidP="00FA0096">
            <w:pPr>
              <w:pStyle w:val="CETBodytext"/>
              <w:ind w:right="-1"/>
            </w:pPr>
            <w:r w:rsidRPr="0089558E">
              <w:t>0.0</w:t>
            </w:r>
          </w:p>
        </w:tc>
      </w:tr>
      <w:tr w:rsidR="00FA0096" w:rsidRPr="00B57B36" w14:paraId="4979BD29" w14:textId="77777777" w:rsidTr="00F06AAE">
        <w:tc>
          <w:tcPr>
            <w:tcW w:w="2694" w:type="dxa"/>
            <w:shd w:val="clear" w:color="auto" w:fill="FFFFFF"/>
          </w:tcPr>
          <w:p w14:paraId="0047FBD7" w14:textId="6299D11D" w:rsidR="00FA0096" w:rsidRPr="006E016E" w:rsidRDefault="00FA0096" w:rsidP="00FA0096">
            <w:pPr>
              <w:pStyle w:val="CETBodytext"/>
              <w:ind w:right="-1"/>
            </w:pPr>
            <w:r w:rsidRPr="0089558E">
              <w:t>K</w:t>
            </w:r>
          </w:p>
        </w:tc>
        <w:tc>
          <w:tcPr>
            <w:tcW w:w="1701" w:type="dxa"/>
            <w:shd w:val="clear" w:color="auto" w:fill="FFFFFF"/>
          </w:tcPr>
          <w:p w14:paraId="64952A04" w14:textId="41F82631" w:rsidR="00FA0096" w:rsidRPr="00284787" w:rsidRDefault="00FA0096" w:rsidP="00FA0096">
            <w:pPr>
              <w:pStyle w:val="CETBodytext"/>
              <w:ind w:right="-1"/>
            </w:pPr>
            <w:r w:rsidRPr="0089558E">
              <w:t>1.6</w:t>
            </w:r>
          </w:p>
        </w:tc>
      </w:tr>
      <w:tr w:rsidR="00FA0096" w:rsidRPr="00B57B36" w14:paraId="62547C7D" w14:textId="77777777" w:rsidTr="00F06AAE">
        <w:tc>
          <w:tcPr>
            <w:tcW w:w="2694" w:type="dxa"/>
            <w:shd w:val="clear" w:color="auto" w:fill="FFFFFF"/>
          </w:tcPr>
          <w:p w14:paraId="624DB4BA" w14:textId="67DE0BC7" w:rsidR="00FA0096" w:rsidRPr="006E016E" w:rsidRDefault="00FA0096" w:rsidP="00FA0096">
            <w:pPr>
              <w:pStyle w:val="CETBodytext"/>
              <w:ind w:right="-1"/>
            </w:pPr>
            <w:r w:rsidRPr="0089558E">
              <w:t>Mg</w:t>
            </w:r>
          </w:p>
        </w:tc>
        <w:tc>
          <w:tcPr>
            <w:tcW w:w="1701" w:type="dxa"/>
            <w:shd w:val="clear" w:color="auto" w:fill="FFFFFF"/>
          </w:tcPr>
          <w:p w14:paraId="5A1B3F33" w14:textId="4C76B34C" w:rsidR="00FA0096" w:rsidRPr="00284787" w:rsidRDefault="00FA0096" w:rsidP="00FA0096">
            <w:pPr>
              <w:pStyle w:val="CETBodytext"/>
              <w:ind w:right="-1"/>
            </w:pPr>
            <w:r w:rsidRPr="0089558E">
              <w:t>1.4</w:t>
            </w:r>
          </w:p>
        </w:tc>
      </w:tr>
      <w:tr w:rsidR="00FA0096" w:rsidRPr="00B57B36" w14:paraId="294193BE" w14:textId="77777777" w:rsidTr="00F06AAE">
        <w:tc>
          <w:tcPr>
            <w:tcW w:w="2694" w:type="dxa"/>
            <w:shd w:val="clear" w:color="auto" w:fill="FFFFFF"/>
          </w:tcPr>
          <w:p w14:paraId="415AC59D" w14:textId="00C95AEE" w:rsidR="00FA0096" w:rsidRPr="006E016E" w:rsidRDefault="00FA0096" w:rsidP="00FA0096">
            <w:pPr>
              <w:pStyle w:val="CETBodytext"/>
              <w:ind w:right="-1"/>
            </w:pPr>
            <w:r w:rsidRPr="0089558E">
              <w:t>Na</w:t>
            </w:r>
          </w:p>
        </w:tc>
        <w:tc>
          <w:tcPr>
            <w:tcW w:w="1701" w:type="dxa"/>
            <w:shd w:val="clear" w:color="auto" w:fill="FFFFFF"/>
          </w:tcPr>
          <w:p w14:paraId="525BDD31" w14:textId="47B21AA7" w:rsidR="00FA0096" w:rsidRPr="00284787" w:rsidRDefault="00FA0096" w:rsidP="00FA0096">
            <w:pPr>
              <w:pStyle w:val="CETBodytext"/>
              <w:ind w:right="-1"/>
            </w:pPr>
            <w:r w:rsidRPr="0089558E">
              <w:t>0.9</w:t>
            </w:r>
          </w:p>
        </w:tc>
      </w:tr>
      <w:tr w:rsidR="00FA0096" w:rsidRPr="00B57B36" w14:paraId="06098295" w14:textId="77777777" w:rsidTr="00F06AAE">
        <w:tc>
          <w:tcPr>
            <w:tcW w:w="2694" w:type="dxa"/>
            <w:shd w:val="clear" w:color="auto" w:fill="FFFFFF"/>
          </w:tcPr>
          <w:p w14:paraId="6F0B2DE6" w14:textId="16B5495F" w:rsidR="00FA0096" w:rsidRPr="006E016E" w:rsidRDefault="00FA0096" w:rsidP="00FA0096">
            <w:pPr>
              <w:pStyle w:val="CETBodytext"/>
              <w:ind w:right="-1"/>
            </w:pPr>
            <w:r w:rsidRPr="0089558E">
              <w:t>P</w:t>
            </w:r>
          </w:p>
        </w:tc>
        <w:tc>
          <w:tcPr>
            <w:tcW w:w="1701" w:type="dxa"/>
            <w:shd w:val="clear" w:color="auto" w:fill="FFFFFF"/>
          </w:tcPr>
          <w:p w14:paraId="1AECB5DC" w14:textId="43CC7224" w:rsidR="00FA0096" w:rsidRPr="00284787" w:rsidRDefault="00FA0096" w:rsidP="00FA0096">
            <w:pPr>
              <w:pStyle w:val="CETBodytext"/>
              <w:ind w:right="-1"/>
            </w:pPr>
            <w:r w:rsidRPr="0089558E">
              <w:t>0.7</w:t>
            </w:r>
          </w:p>
        </w:tc>
      </w:tr>
      <w:tr w:rsidR="00FA0096" w:rsidRPr="00B57B36" w14:paraId="6ABB046E" w14:textId="77777777" w:rsidTr="00F06AAE">
        <w:tc>
          <w:tcPr>
            <w:tcW w:w="2694" w:type="dxa"/>
            <w:shd w:val="clear" w:color="auto" w:fill="FFFFFF"/>
          </w:tcPr>
          <w:p w14:paraId="023C0BAA" w14:textId="1543A480" w:rsidR="00FA0096" w:rsidRPr="006E016E" w:rsidRDefault="00FA0096" w:rsidP="00FA0096">
            <w:pPr>
              <w:pStyle w:val="CETBodytext"/>
              <w:ind w:right="-1"/>
            </w:pPr>
            <w:r w:rsidRPr="0089558E">
              <w:t>Si</w:t>
            </w:r>
          </w:p>
        </w:tc>
        <w:tc>
          <w:tcPr>
            <w:tcW w:w="1701" w:type="dxa"/>
            <w:shd w:val="clear" w:color="auto" w:fill="FFFFFF"/>
          </w:tcPr>
          <w:p w14:paraId="54981DC5" w14:textId="5F0A78AC" w:rsidR="00FA0096" w:rsidRPr="00284787" w:rsidRDefault="00FA0096" w:rsidP="00FA0096">
            <w:pPr>
              <w:pStyle w:val="CETBodytext"/>
              <w:ind w:right="-1"/>
            </w:pPr>
            <w:r w:rsidRPr="0089558E">
              <w:t>10.2</w:t>
            </w:r>
          </w:p>
        </w:tc>
      </w:tr>
    </w:tbl>
    <w:p w14:paraId="472EE147" w14:textId="455AE85C" w:rsidR="00636966" w:rsidRDefault="007E790F" w:rsidP="007E790F">
      <w:pPr>
        <w:pStyle w:val="CETheadingx"/>
      </w:pPr>
      <w:r>
        <w:t>Chemical Reactions in Hydrothermal Gasification</w:t>
      </w:r>
    </w:p>
    <w:p w14:paraId="699E04B8" w14:textId="6EB822EA" w:rsidR="006B31F5" w:rsidRPr="00C04084" w:rsidRDefault="006B31F5" w:rsidP="006B31F5">
      <w:pPr>
        <w:pStyle w:val="CETBodytext"/>
      </w:pPr>
      <w:r>
        <w:t>Hydrothermal gasification of biomass includes a series of chemical reactions which produces H</w:t>
      </w:r>
      <w:r w:rsidRPr="006D0C99">
        <w:rPr>
          <w:vertAlign w:val="subscript"/>
        </w:rPr>
        <w:t>2</w:t>
      </w:r>
      <w:r>
        <w:t>, CO, CO</w:t>
      </w:r>
      <w:r w:rsidRPr="006D0C99">
        <w:rPr>
          <w:vertAlign w:val="subscript"/>
        </w:rPr>
        <w:t>2</w:t>
      </w:r>
      <w:r>
        <w:t>, and CH</w:t>
      </w:r>
      <w:r w:rsidRPr="006D0C99">
        <w:rPr>
          <w:vertAlign w:val="subscript"/>
        </w:rPr>
        <w:t>4</w:t>
      </w:r>
      <w:r>
        <w:t xml:space="preserve"> as the main components in the gaseous phase. The steam reforming reaction (Equation 3), water gas shift reaction (WGSR) (Equation 4), and methanation reaction (Equation 5) are commonly considered as the main chemical reactions in HTG </w:t>
      </w:r>
      <w:r>
        <w:fldChar w:fldCharType="begin"/>
      </w:r>
      <w:r w:rsidR="00322C16">
        <w:instrText xml:space="preserve"> ADDIN EN.CITE &lt;EndNote&gt;&lt;Cite&gt;&lt;Author&gt;Xu&lt;/Author&gt;&lt;Year&gt;2021&lt;/Year&gt;&lt;RecNum&gt;55&lt;/RecNum&gt;&lt;DisplayText&gt;(Xu, Peng et al. 2021, Yang, Wang et al. 2021)&lt;/DisplayText&gt;&lt;record&gt;&lt;rec-number&gt;55&lt;/rec-number&gt;&lt;foreign-keys&gt;&lt;key app="EN" db-id="50eez5z08wvwt5evrp7xr95rzs2ez0x9rtfv" timestamp="1665807147"&gt;55&lt;/key&gt;&lt;/foreign-keys&gt;&lt;ref-type name="Journal Article"&gt;17&lt;/ref-type&gt;&lt;contributors&gt;&lt;authors&gt;&lt;author&gt;Xu, Jialing&lt;/author&gt;&lt;author&gt;Peng, Zhiyong&lt;/author&gt;&lt;author&gt;Rong, Siqi&lt;/author&gt;&lt;author&gt;Jin, Hui&lt;/author&gt;&lt;author&gt;Guo, Liejin&lt;/author&gt;&lt;author&gt;Zhang, Xiang&lt;/author&gt;&lt;author&gt;Zhou, Teng&lt;/author&gt;&lt;/authors&gt;&lt;/contributors&gt;&lt;titles&gt;&lt;title&gt;Model-based thermodynamic analysis of supercritical water gasification of oil-containing wastewater&lt;/title&gt;&lt;secondary-title&gt;Fuel&lt;/secondary-title&gt;&lt;/titles&gt;&lt;periodical&gt;&lt;full-title&gt;Fuel&lt;/full-title&gt;&lt;/periodical&gt;&lt;pages&gt;121767&lt;/pages&gt;&lt;volume&gt;306&lt;/volume&gt;&lt;dates&gt;&lt;year&gt;2021&lt;/year&gt;&lt;/dates&gt;&lt;isbn&gt;0016-2361&lt;/isbn&gt;&lt;urls&gt;&lt;/urls&gt;&lt;/record&gt;&lt;/Cite&gt;&lt;Cite&gt;&lt;Author&gt;Yang&lt;/Author&gt;&lt;Year&gt;2021&lt;/Year&gt;&lt;RecNum&gt;34&lt;/RecNum&gt;&lt;record&gt;&lt;rec-number&gt;34&lt;/rec-number&gt;&lt;foreign-keys&gt;&lt;key app="EN" db-id="50eez5z08wvwt5evrp7xr95rzs2ez0x9rtfv" timestamp="1661254405"&gt;34&lt;/key&gt;&lt;/foreign-keys&gt;&lt;ref-type name="Journal Article"&gt;17&lt;/ref-type&gt;&lt;contributors&gt;&lt;authors&gt;&lt;author&gt;Yang, Chuang&lt;/author&gt;&lt;author&gt;Wang, Shuzhong&lt;/author&gt;&lt;author&gt;Li, Yanhui&lt;/author&gt;&lt;author&gt;Zhang, Yishu&lt;/author&gt;&lt;author&gt;Cui, Chengchao&lt;/author&gt;&lt;/authors&gt;&lt;/contributors&gt;&lt;titles&gt;&lt;title&gt;Thermodynamic analysis of hydrogen production via supercritical water gasification of coal, sewage sludge, microalga, and sawdust&lt;/title&gt;&lt;secondary-title&gt;International Journal of Hydrogen Energy&lt;/secondary-title&gt;&lt;/titles&gt;&lt;periodical&gt;&lt;full-title&gt;International Journal of Hydrogen Energy&lt;/full-title&gt;&lt;/periodical&gt;&lt;pages&gt;18042-18050&lt;/pages&gt;&lt;volume&gt;46&lt;/volume&gt;&lt;number&gt;34&lt;/number&gt;&lt;dates&gt;&lt;year&gt;2021&lt;/year&gt;&lt;/dates&gt;&lt;isbn&gt;0360-3199&lt;/isbn&gt;&lt;urls&gt;&lt;/urls&gt;&lt;/record&gt;&lt;/Cite&gt;&lt;/EndNote&gt;</w:instrText>
      </w:r>
      <w:r>
        <w:fldChar w:fldCharType="separate"/>
      </w:r>
      <w:r w:rsidR="00322C16">
        <w:rPr>
          <w:noProof/>
        </w:rPr>
        <w:t>(Xu, Peng et al. 2021, Yang, Wang et al. 2021)</w:t>
      </w:r>
      <w:r>
        <w:fldChar w:fldCharType="end"/>
      </w:r>
      <w:r>
        <w:t>. The steam reforming reaction produces CO and H</w:t>
      </w:r>
      <w:r w:rsidRPr="00365484">
        <w:rPr>
          <w:vertAlign w:val="subscript"/>
        </w:rPr>
        <w:t>2</w:t>
      </w:r>
      <w:r>
        <w:t xml:space="preserve"> from endothermic decomposition of biomass. The reversible WGSR produces more H</w:t>
      </w:r>
      <w:r w:rsidRPr="009908B3">
        <w:rPr>
          <w:vertAlign w:val="subscript"/>
        </w:rPr>
        <w:t>2</w:t>
      </w:r>
      <w:r>
        <w:t xml:space="preserve"> and CO</w:t>
      </w:r>
      <w:r w:rsidRPr="009908B3">
        <w:rPr>
          <w:vertAlign w:val="subscript"/>
        </w:rPr>
        <w:t>2</w:t>
      </w:r>
      <w:r>
        <w:t xml:space="preserve"> through exothermic reaction of CO and H</w:t>
      </w:r>
      <w:r w:rsidRPr="009908B3">
        <w:rPr>
          <w:vertAlign w:val="subscript"/>
        </w:rPr>
        <w:t>2</w:t>
      </w:r>
      <w:r>
        <w:t>O. On the other hand, the reversible methanation reaction consumes H</w:t>
      </w:r>
      <w:r w:rsidRPr="006B1706">
        <w:rPr>
          <w:vertAlign w:val="subscript"/>
        </w:rPr>
        <w:t>2</w:t>
      </w:r>
      <w:r>
        <w:t xml:space="preserve"> to react with CO, producing CH</w:t>
      </w:r>
      <w:r w:rsidRPr="00293434">
        <w:rPr>
          <w:vertAlign w:val="subscript"/>
        </w:rPr>
        <w:t>4</w:t>
      </w:r>
      <w:r>
        <w:t xml:space="preserve"> and H</w:t>
      </w:r>
      <w:r w:rsidRPr="00293434">
        <w:rPr>
          <w:vertAlign w:val="subscript"/>
        </w:rPr>
        <w:t>2</w:t>
      </w:r>
      <w:r>
        <w:t xml:space="preserve">O </w:t>
      </w:r>
      <w:r>
        <w:fldChar w:fldCharType="begin"/>
      </w:r>
      <w:r w:rsidR="00322C16">
        <w:instrText xml:space="preserve"> ADDIN EN.CITE &lt;EndNote&gt;&lt;Cite&gt;&lt;Author&gt;Yang&lt;/Author&gt;&lt;Year&gt;2021&lt;/Year&gt;&lt;RecNum&gt;34&lt;/RecNum&gt;&lt;DisplayText&gt;(Yang, Wang et al. 2021)&lt;/DisplayText&gt;&lt;record&gt;&lt;rec-number&gt;34&lt;/rec-number&gt;&lt;foreign-keys&gt;&lt;key app="EN" db-id="50eez5z08wvwt5evrp7xr95rzs2ez0x9rtfv" timestamp="1661254405"&gt;34&lt;/key&gt;&lt;/foreign-keys&gt;&lt;ref-type name="Journal Article"&gt;17&lt;/ref-type&gt;&lt;contributors&gt;&lt;authors&gt;&lt;author&gt;Yang, Chuang&lt;/author&gt;&lt;author&gt;Wang, Shuzhong&lt;/author&gt;&lt;author&gt;Li, Yanhui&lt;/author&gt;&lt;author&gt;Zhang, Yishu&lt;/author&gt;&lt;author&gt;Cui, Chengchao&lt;/author&gt;&lt;/authors&gt;&lt;/contributors&gt;&lt;titles&gt;&lt;title&gt;Thermodynamic analysis of hydrogen production via supercritical water gasification of coal, sewage sludge, microalga, and sawdust&lt;/title&gt;&lt;secondary-title&gt;International Journal of Hydrogen Energy&lt;/secondary-title&gt;&lt;/titles&gt;&lt;periodical&gt;&lt;full-title&gt;International Journal of Hydrogen Energy&lt;/full-title&gt;&lt;/periodical&gt;&lt;pages&gt;18042-18050&lt;/pages&gt;&lt;volume&gt;46&lt;/volume&gt;&lt;number&gt;34&lt;/number&gt;&lt;dates&gt;&lt;year&gt;2021&lt;/year&gt;&lt;/dates&gt;&lt;isbn&gt;0360-3199&lt;/isbn&gt;&lt;urls&gt;&lt;/urls&gt;&lt;/record&gt;&lt;/Cite&gt;&lt;/EndNote&gt;</w:instrText>
      </w:r>
      <w:r>
        <w:fldChar w:fldCharType="separate"/>
      </w:r>
      <w:r w:rsidR="00322C16">
        <w:rPr>
          <w:noProof/>
        </w:rPr>
        <w:t>(Yang, Wang et al. 2021)</w:t>
      </w:r>
      <w:r>
        <w:fldChar w:fldCharType="end"/>
      </w:r>
      <w:r>
        <w:t xml:space="preserve">. </w:t>
      </w:r>
    </w:p>
    <w:tbl>
      <w:tblPr>
        <w:tblW w:w="5000" w:type="pct"/>
        <w:tblLook w:val="04A0" w:firstRow="1" w:lastRow="0" w:firstColumn="1" w:lastColumn="0" w:noHBand="0" w:noVBand="1"/>
      </w:tblPr>
      <w:tblGrid>
        <w:gridCol w:w="7983"/>
        <w:gridCol w:w="804"/>
      </w:tblGrid>
      <w:tr w:rsidR="00C04084" w:rsidRPr="00AB3DF2" w14:paraId="09E2FF57" w14:textId="77777777" w:rsidTr="00F06AAE">
        <w:tc>
          <w:tcPr>
            <w:tcW w:w="7983" w:type="dxa"/>
            <w:shd w:val="clear" w:color="auto" w:fill="auto"/>
            <w:vAlign w:val="center"/>
          </w:tcPr>
          <w:p w14:paraId="1EF01986" w14:textId="77777777" w:rsidR="00C04084" w:rsidRPr="00AB3DF2" w:rsidRDefault="00C04084" w:rsidP="00F06AAE">
            <w:pPr>
              <w:pStyle w:val="CETEquation"/>
              <w:rPr>
                <w:rFonts w:cs="Arial"/>
              </w:rPr>
            </w:pPr>
            <m:oMathPara>
              <m:oMathParaPr>
                <m:jc m:val="left"/>
              </m:oMathParaPr>
              <m:oMath>
                <m:r>
                  <m:rPr>
                    <m:sty m:val="p"/>
                  </m:rPr>
                  <w:rPr>
                    <w:rFonts w:ascii="Cambria Math" w:hAnsi="Cambria Math" w:cs="Arial"/>
                    <w:lang w:val="en-US"/>
                  </w:rPr>
                  <m:t>C</m:t>
                </m:r>
                <m:sSub>
                  <m:sSubPr>
                    <m:ctrlPr>
                      <w:rPr>
                        <w:rFonts w:ascii="Cambria Math" w:hAnsi="Cambria Math" w:cs="Arial"/>
                        <w:iCs/>
                        <w:lang w:val="en-US"/>
                      </w:rPr>
                    </m:ctrlPr>
                  </m:sSubPr>
                  <m:e>
                    <m:r>
                      <m:rPr>
                        <m:sty m:val="p"/>
                      </m:rPr>
                      <w:rPr>
                        <w:rFonts w:ascii="Cambria Math" w:hAnsi="Cambria Math" w:cs="Arial"/>
                        <w:lang w:val="en-US"/>
                      </w:rPr>
                      <m:t>H</m:t>
                    </m:r>
                  </m:e>
                  <m:sub>
                    <m:r>
                      <m:rPr>
                        <m:sty m:val="p"/>
                      </m:rPr>
                      <w:rPr>
                        <w:rFonts w:ascii="Cambria Math" w:hAnsi="Cambria Math" w:cs="Arial"/>
                        <w:lang w:val="en-US"/>
                      </w:rPr>
                      <m:t>x</m:t>
                    </m:r>
                  </m:sub>
                </m:sSub>
                <m:sSub>
                  <m:sSubPr>
                    <m:ctrlPr>
                      <w:rPr>
                        <w:rFonts w:ascii="Cambria Math" w:hAnsi="Cambria Math" w:cs="Arial"/>
                        <w:iCs/>
                        <w:lang w:val="en-US"/>
                      </w:rPr>
                    </m:ctrlPr>
                  </m:sSubPr>
                  <m:e>
                    <m:r>
                      <m:rPr>
                        <m:sty m:val="p"/>
                      </m:rPr>
                      <w:rPr>
                        <w:rFonts w:ascii="Cambria Math" w:hAnsi="Cambria Math" w:cs="Arial"/>
                        <w:lang w:val="en-US"/>
                      </w:rPr>
                      <m:t>O</m:t>
                    </m:r>
                  </m:e>
                  <m:sub>
                    <m:r>
                      <m:rPr>
                        <m:sty m:val="p"/>
                      </m:rPr>
                      <w:rPr>
                        <w:rFonts w:ascii="Cambria Math" w:hAnsi="Cambria Math" w:cs="Arial"/>
                        <w:lang w:val="en-US"/>
                      </w:rPr>
                      <m:t>y</m:t>
                    </m:r>
                  </m:sub>
                </m:sSub>
                <m:r>
                  <m:rPr>
                    <m:sty m:val="p"/>
                  </m:rPr>
                  <w:rPr>
                    <w:rFonts w:ascii="Cambria Math" w:hAnsi="Cambria Math" w:cs="Arial"/>
                    <w:lang w:val="en-US"/>
                  </w:rPr>
                  <m:t>+</m:t>
                </m:r>
                <m:d>
                  <m:dPr>
                    <m:ctrlPr>
                      <w:rPr>
                        <w:rFonts w:ascii="Cambria Math" w:hAnsi="Cambria Math" w:cs="Arial"/>
                        <w:iCs/>
                        <w:lang w:val="en-US"/>
                      </w:rPr>
                    </m:ctrlPr>
                  </m:dPr>
                  <m:e>
                    <m:r>
                      <m:rPr>
                        <m:sty m:val="p"/>
                      </m:rPr>
                      <w:rPr>
                        <w:rFonts w:ascii="Cambria Math" w:hAnsi="Cambria Math" w:cs="Arial"/>
                        <w:lang w:val="en-US"/>
                      </w:rPr>
                      <m:t>1-y</m:t>
                    </m:r>
                  </m:e>
                </m:d>
                <m:sSub>
                  <m:sSubPr>
                    <m:ctrlPr>
                      <w:rPr>
                        <w:rFonts w:ascii="Cambria Math" w:hAnsi="Cambria Math" w:cs="Arial"/>
                        <w:iCs/>
                        <w:lang w:val="en-US"/>
                      </w:rPr>
                    </m:ctrlPr>
                  </m:sSubPr>
                  <m:e>
                    <m:r>
                      <m:rPr>
                        <m:sty m:val="p"/>
                      </m:rPr>
                      <w:rPr>
                        <w:rFonts w:ascii="Cambria Math" w:hAnsi="Cambria Math" w:cs="Arial"/>
                        <w:lang w:val="en-US"/>
                      </w:rPr>
                      <m:t>H</m:t>
                    </m:r>
                  </m:e>
                  <m:sub>
                    <m:r>
                      <m:rPr>
                        <m:sty m:val="p"/>
                      </m:rPr>
                      <w:rPr>
                        <w:rFonts w:ascii="Cambria Math" w:hAnsi="Cambria Math" w:cs="Arial"/>
                        <w:lang w:val="en-US"/>
                      </w:rPr>
                      <m:t>2</m:t>
                    </m:r>
                  </m:sub>
                </m:sSub>
                <m:r>
                  <m:rPr>
                    <m:sty m:val="p"/>
                  </m:rPr>
                  <w:rPr>
                    <w:rFonts w:ascii="Cambria Math" w:hAnsi="Cambria Math" w:cs="Arial"/>
                    <w:lang w:val="en-US"/>
                  </w:rPr>
                  <m:t>O→CO+</m:t>
                </m:r>
                <m:d>
                  <m:dPr>
                    <m:ctrlPr>
                      <w:rPr>
                        <w:rFonts w:ascii="Cambria Math" w:hAnsi="Cambria Math" w:cs="Arial"/>
                        <w:iCs/>
                        <w:lang w:val="en-US"/>
                      </w:rPr>
                    </m:ctrlPr>
                  </m:dPr>
                  <m:e>
                    <m:r>
                      <m:rPr>
                        <m:sty m:val="p"/>
                      </m:rPr>
                      <w:rPr>
                        <w:rFonts w:ascii="Cambria Math" w:hAnsi="Cambria Math" w:cs="Arial"/>
                        <w:lang w:val="en-US"/>
                      </w:rPr>
                      <m:t>1+</m:t>
                    </m:r>
                    <m:f>
                      <m:fPr>
                        <m:ctrlPr>
                          <w:rPr>
                            <w:rFonts w:ascii="Cambria Math" w:hAnsi="Cambria Math" w:cs="Arial"/>
                            <w:iCs/>
                            <w:lang w:val="en-US"/>
                          </w:rPr>
                        </m:ctrlPr>
                      </m:fPr>
                      <m:num>
                        <m:r>
                          <m:rPr>
                            <m:sty m:val="p"/>
                          </m:rPr>
                          <w:rPr>
                            <w:rFonts w:ascii="Cambria Math" w:hAnsi="Cambria Math" w:cs="Arial"/>
                            <w:lang w:val="en-US"/>
                          </w:rPr>
                          <m:t>x</m:t>
                        </m:r>
                      </m:num>
                      <m:den>
                        <m:r>
                          <m:rPr>
                            <m:sty m:val="p"/>
                          </m:rPr>
                          <w:rPr>
                            <w:rFonts w:ascii="Cambria Math" w:hAnsi="Cambria Math" w:cs="Arial"/>
                            <w:lang w:val="en-US"/>
                          </w:rPr>
                          <m:t>2</m:t>
                        </m:r>
                      </m:den>
                    </m:f>
                    <m:r>
                      <m:rPr>
                        <m:sty m:val="p"/>
                      </m:rPr>
                      <w:rPr>
                        <w:rFonts w:ascii="Cambria Math" w:hAnsi="Cambria Math" w:cs="Arial"/>
                        <w:lang w:val="en-US"/>
                      </w:rPr>
                      <m:t>-y</m:t>
                    </m:r>
                  </m:e>
                </m:d>
                <m:sSub>
                  <m:sSubPr>
                    <m:ctrlPr>
                      <w:rPr>
                        <w:rFonts w:ascii="Cambria Math" w:hAnsi="Cambria Math" w:cs="Arial"/>
                        <w:iCs/>
                        <w:lang w:val="en-US"/>
                      </w:rPr>
                    </m:ctrlPr>
                  </m:sSubPr>
                  <m:e>
                    <m:r>
                      <m:rPr>
                        <m:sty m:val="p"/>
                      </m:rPr>
                      <w:rPr>
                        <w:rFonts w:ascii="Cambria Math" w:hAnsi="Cambria Math" w:cs="Arial"/>
                        <w:lang w:val="en-US"/>
                      </w:rPr>
                      <m:t>H</m:t>
                    </m:r>
                  </m:e>
                  <m:sub>
                    <m:r>
                      <m:rPr>
                        <m:sty m:val="p"/>
                      </m:rPr>
                      <w:rPr>
                        <w:rFonts w:ascii="Cambria Math" w:hAnsi="Cambria Math" w:cs="Arial"/>
                        <w:lang w:val="en-US"/>
                      </w:rPr>
                      <m:t>2</m:t>
                    </m:r>
                  </m:sub>
                </m:sSub>
              </m:oMath>
            </m:oMathPara>
          </w:p>
        </w:tc>
        <w:tc>
          <w:tcPr>
            <w:tcW w:w="804" w:type="dxa"/>
            <w:shd w:val="clear" w:color="auto" w:fill="auto"/>
            <w:vAlign w:val="center"/>
          </w:tcPr>
          <w:p w14:paraId="7C0FEC23" w14:textId="3035D308" w:rsidR="00C04084" w:rsidRPr="00AB3DF2" w:rsidRDefault="00C04084" w:rsidP="00F06AAE">
            <w:pPr>
              <w:pStyle w:val="CETEquation"/>
              <w:jc w:val="right"/>
              <w:rPr>
                <w:rFonts w:cs="Arial"/>
              </w:rPr>
            </w:pPr>
            <w:r w:rsidRPr="00AB3DF2">
              <w:rPr>
                <w:rFonts w:cs="Arial"/>
              </w:rPr>
              <w:t>(</w:t>
            </w:r>
            <w:r w:rsidR="000811BC" w:rsidRPr="00AB3DF2">
              <w:rPr>
                <w:rFonts w:cs="Arial"/>
              </w:rPr>
              <w:t>3</w:t>
            </w:r>
            <w:r w:rsidRPr="00AB3DF2">
              <w:rPr>
                <w:rFonts w:cs="Arial"/>
              </w:rPr>
              <w:t>)</w:t>
            </w:r>
          </w:p>
        </w:tc>
      </w:tr>
      <w:tr w:rsidR="00C04084" w:rsidRPr="00AB3DF2" w14:paraId="4E7809EF" w14:textId="77777777" w:rsidTr="00F06AAE">
        <w:tc>
          <w:tcPr>
            <w:tcW w:w="7983" w:type="dxa"/>
            <w:shd w:val="clear" w:color="auto" w:fill="auto"/>
            <w:vAlign w:val="center"/>
          </w:tcPr>
          <w:p w14:paraId="646A7390" w14:textId="77777777" w:rsidR="00C04084" w:rsidRPr="00AB3DF2" w:rsidRDefault="00C04084" w:rsidP="00F06AAE">
            <w:pPr>
              <w:pStyle w:val="CETEquation"/>
              <w:rPr>
                <w:rFonts w:ascii="Cambria Math" w:hAnsi="Cambria Math" w:cs="Arial"/>
                <w:lang w:val="en-US"/>
                <w:oMath/>
              </w:rPr>
            </w:pPr>
            <m:oMathPara>
              <m:oMathParaPr>
                <m:jc m:val="left"/>
              </m:oMathParaPr>
              <m:oMath>
                <m:r>
                  <m:rPr>
                    <m:sty m:val="p"/>
                  </m:rPr>
                  <w:rPr>
                    <w:rFonts w:ascii="Cambria Math" w:hAnsi="Cambria Math" w:cs="Arial"/>
                    <w:lang w:val="en-US"/>
                  </w:rPr>
                  <m:t>CO+</m:t>
                </m:r>
                <m:sSub>
                  <m:sSubPr>
                    <m:ctrlPr>
                      <w:rPr>
                        <w:rFonts w:ascii="Cambria Math" w:hAnsi="Cambria Math" w:cs="Arial"/>
                        <w:iCs/>
                        <w:lang w:val="en-US"/>
                      </w:rPr>
                    </m:ctrlPr>
                  </m:sSubPr>
                  <m:e>
                    <m:r>
                      <m:rPr>
                        <m:sty m:val="p"/>
                      </m:rPr>
                      <w:rPr>
                        <w:rFonts w:ascii="Cambria Math" w:hAnsi="Cambria Math" w:cs="Arial"/>
                        <w:lang w:val="en-US"/>
                      </w:rPr>
                      <m:t>H</m:t>
                    </m:r>
                  </m:e>
                  <m:sub>
                    <m:r>
                      <m:rPr>
                        <m:sty m:val="p"/>
                      </m:rPr>
                      <w:rPr>
                        <w:rFonts w:ascii="Cambria Math" w:hAnsi="Cambria Math" w:cs="Arial"/>
                        <w:lang w:val="en-US"/>
                      </w:rPr>
                      <m:t>2</m:t>
                    </m:r>
                  </m:sub>
                </m:sSub>
                <m:r>
                  <m:rPr>
                    <m:sty m:val="p"/>
                  </m:rPr>
                  <w:rPr>
                    <w:rFonts w:ascii="Cambria Math" w:hAnsi="Cambria Math" w:cs="Arial"/>
                    <w:lang w:val="en-US"/>
                  </w:rPr>
                  <m:t>O↔C</m:t>
                </m:r>
                <m:sSub>
                  <m:sSubPr>
                    <m:ctrlPr>
                      <w:rPr>
                        <w:rFonts w:ascii="Cambria Math" w:hAnsi="Cambria Math" w:cs="Arial"/>
                        <w:iCs/>
                        <w:lang w:val="en-US"/>
                      </w:rPr>
                    </m:ctrlPr>
                  </m:sSubPr>
                  <m:e>
                    <m:r>
                      <m:rPr>
                        <m:sty m:val="p"/>
                      </m:rPr>
                      <w:rPr>
                        <w:rFonts w:ascii="Cambria Math" w:hAnsi="Cambria Math" w:cs="Arial"/>
                        <w:lang w:val="en-US"/>
                      </w:rPr>
                      <m:t>O</m:t>
                    </m:r>
                  </m:e>
                  <m:sub>
                    <m:r>
                      <m:rPr>
                        <m:sty m:val="p"/>
                      </m:rPr>
                      <w:rPr>
                        <w:rFonts w:ascii="Cambria Math" w:hAnsi="Cambria Math" w:cs="Arial"/>
                        <w:lang w:val="en-US"/>
                      </w:rPr>
                      <m:t>2</m:t>
                    </m:r>
                  </m:sub>
                </m:sSub>
                <m:r>
                  <m:rPr>
                    <m:sty m:val="p"/>
                  </m:rPr>
                  <w:rPr>
                    <w:rFonts w:ascii="Cambria Math" w:hAnsi="Cambria Math" w:cs="Arial"/>
                    <w:lang w:val="en-US"/>
                  </w:rPr>
                  <m:t>+</m:t>
                </m:r>
                <m:sSub>
                  <m:sSubPr>
                    <m:ctrlPr>
                      <w:rPr>
                        <w:rFonts w:ascii="Cambria Math" w:hAnsi="Cambria Math" w:cs="Arial"/>
                        <w:iCs/>
                        <w:lang w:val="en-US"/>
                      </w:rPr>
                    </m:ctrlPr>
                  </m:sSubPr>
                  <m:e>
                    <m:r>
                      <m:rPr>
                        <m:sty m:val="p"/>
                      </m:rPr>
                      <w:rPr>
                        <w:rFonts w:ascii="Cambria Math" w:hAnsi="Cambria Math" w:cs="Arial"/>
                        <w:lang w:val="en-US"/>
                      </w:rPr>
                      <m:t>H</m:t>
                    </m:r>
                  </m:e>
                  <m:sub>
                    <m:r>
                      <m:rPr>
                        <m:sty m:val="p"/>
                      </m:rPr>
                      <w:rPr>
                        <w:rFonts w:ascii="Cambria Math" w:hAnsi="Cambria Math" w:cs="Arial"/>
                        <w:lang w:val="en-US"/>
                      </w:rPr>
                      <m:t>2</m:t>
                    </m:r>
                  </m:sub>
                </m:sSub>
                <m:r>
                  <m:rPr>
                    <m:sty m:val="p"/>
                  </m:rPr>
                  <w:rPr>
                    <w:rFonts w:ascii="Cambria Math" w:hAnsi="Cambria Math" w:cs="Arial"/>
                    <w:lang w:val="en-US"/>
                  </w:rPr>
                  <m:t xml:space="preserve">       ∆H</m:t>
                </m:r>
                <m:d>
                  <m:dPr>
                    <m:ctrlPr>
                      <w:rPr>
                        <w:rFonts w:ascii="Cambria Math" w:hAnsi="Cambria Math" w:cs="Arial"/>
                        <w:iCs/>
                        <w:lang w:val="en-US"/>
                      </w:rPr>
                    </m:ctrlPr>
                  </m:dPr>
                  <m:e>
                    <m:r>
                      <m:rPr>
                        <m:sty m:val="p"/>
                      </m:rPr>
                      <w:rPr>
                        <w:rFonts w:ascii="Cambria Math" w:hAnsi="Cambria Math" w:cs="Arial"/>
                        <w:lang w:val="en-US"/>
                      </w:rPr>
                      <m:t>25 ℃</m:t>
                    </m:r>
                  </m:e>
                </m:d>
                <m:r>
                  <m:rPr>
                    <m:sty m:val="p"/>
                  </m:rPr>
                  <w:rPr>
                    <w:rFonts w:ascii="Cambria Math" w:hAnsi="Cambria Math" w:cs="Arial"/>
                    <w:lang w:val="en-US"/>
                  </w:rPr>
                  <m:t>=-41.14 kJ/mol</m:t>
                </m:r>
              </m:oMath>
            </m:oMathPara>
          </w:p>
        </w:tc>
        <w:tc>
          <w:tcPr>
            <w:tcW w:w="804" w:type="dxa"/>
            <w:shd w:val="clear" w:color="auto" w:fill="auto"/>
            <w:vAlign w:val="center"/>
          </w:tcPr>
          <w:p w14:paraId="62E035AD" w14:textId="09DEAF02" w:rsidR="00C04084" w:rsidRPr="00AB3DF2" w:rsidRDefault="00C04084" w:rsidP="00F06AAE">
            <w:pPr>
              <w:pStyle w:val="CETEquation"/>
              <w:jc w:val="right"/>
              <w:rPr>
                <w:rFonts w:cs="Arial"/>
              </w:rPr>
            </w:pPr>
            <w:r w:rsidRPr="00AB3DF2">
              <w:rPr>
                <w:rFonts w:cs="Arial"/>
              </w:rPr>
              <w:t>(</w:t>
            </w:r>
            <w:r w:rsidR="000811BC" w:rsidRPr="00AB3DF2">
              <w:rPr>
                <w:rFonts w:cs="Arial"/>
              </w:rPr>
              <w:t>4</w:t>
            </w:r>
            <w:r w:rsidRPr="00AB3DF2">
              <w:rPr>
                <w:rFonts w:cs="Arial"/>
              </w:rPr>
              <w:t>)</w:t>
            </w:r>
          </w:p>
        </w:tc>
      </w:tr>
      <w:tr w:rsidR="00C04084" w:rsidRPr="00AB3DF2" w14:paraId="1D884833" w14:textId="77777777" w:rsidTr="00F06AAE">
        <w:tc>
          <w:tcPr>
            <w:tcW w:w="7983" w:type="dxa"/>
            <w:shd w:val="clear" w:color="auto" w:fill="auto"/>
            <w:vAlign w:val="center"/>
          </w:tcPr>
          <w:p w14:paraId="6E21F8BA" w14:textId="77777777" w:rsidR="00C04084" w:rsidRPr="00AB3DF2" w:rsidRDefault="00C04084" w:rsidP="00F06AAE">
            <w:pPr>
              <w:pStyle w:val="CETEquation"/>
              <w:rPr>
                <w:rFonts w:cs="Arial"/>
                <w:lang w:val="en-US"/>
              </w:rPr>
            </w:pPr>
            <m:oMathPara>
              <m:oMathParaPr>
                <m:jc m:val="left"/>
              </m:oMathParaPr>
              <m:oMath>
                <m:r>
                  <m:rPr>
                    <m:sty m:val="p"/>
                  </m:rPr>
                  <w:rPr>
                    <w:rFonts w:ascii="Cambria Math" w:hAnsi="Cambria Math" w:cs="Arial"/>
                    <w:lang w:val="en-US"/>
                  </w:rPr>
                  <m:t>CO+</m:t>
                </m:r>
                <m:sSub>
                  <m:sSubPr>
                    <m:ctrlPr>
                      <w:rPr>
                        <w:rFonts w:ascii="Cambria Math" w:hAnsi="Cambria Math" w:cs="Arial"/>
                        <w:iCs/>
                        <w:lang w:val="en-US"/>
                      </w:rPr>
                    </m:ctrlPr>
                  </m:sSubPr>
                  <m:e>
                    <m:r>
                      <m:rPr>
                        <m:sty m:val="p"/>
                      </m:rPr>
                      <w:rPr>
                        <w:rFonts w:ascii="Cambria Math" w:hAnsi="Cambria Math" w:cs="Arial"/>
                        <w:lang w:val="en-US"/>
                      </w:rPr>
                      <m:t>3H</m:t>
                    </m:r>
                  </m:e>
                  <m:sub>
                    <m:r>
                      <m:rPr>
                        <m:sty m:val="p"/>
                      </m:rPr>
                      <w:rPr>
                        <w:rFonts w:ascii="Cambria Math" w:hAnsi="Cambria Math" w:cs="Arial"/>
                        <w:lang w:val="en-US"/>
                      </w:rPr>
                      <m:t>2</m:t>
                    </m:r>
                  </m:sub>
                </m:sSub>
                <m:r>
                  <m:rPr>
                    <m:sty m:val="p"/>
                  </m:rPr>
                  <w:rPr>
                    <w:rFonts w:ascii="Cambria Math" w:hAnsi="Cambria Math" w:cs="Arial"/>
                    <w:lang w:val="en-US"/>
                  </w:rPr>
                  <m:t>↔C</m:t>
                </m:r>
                <m:sSub>
                  <m:sSubPr>
                    <m:ctrlPr>
                      <w:rPr>
                        <w:rFonts w:ascii="Cambria Math" w:hAnsi="Cambria Math" w:cs="Arial"/>
                        <w:iCs/>
                        <w:lang w:val="en-US"/>
                      </w:rPr>
                    </m:ctrlPr>
                  </m:sSubPr>
                  <m:e>
                    <m:r>
                      <m:rPr>
                        <m:sty m:val="p"/>
                      </m:rPr>
                      <w:rPr>
                        <w:rFonts w:ascii="Cambria Math" w:hAnsi="Cambria Math" w:cs="Arial"/>
                        <w:lang w:val="en-US"/>
                      </w:rPr>
                      <m:t>H</m:t>
                    </m:r>
                  </m:e>
                  <m:sub>
                    <m:r>
                      <m:rPr>
                        <m:sty m:val="p"/>
                      </m:rPr>
                      <w:rPr>
                        <w:rFonts w:ascii="Cambria Math" w:hAnsi="Cambria Math" w:cs="Arial"/>
                        <w:lang w:val="en-US"/>
                      </w:rPr>
                      <m:t>4</m:t>
                    </m:r>
                  </m:sub>
                </m:sSub>
                <m:r>
                  <m:rPr>
                    <m:sty m:val="p"/>
                  </m:rPr>
                  <w:rPr>
                    <w:rFonts w:ascii="Cambria Math" w:hAnsi="Cambria Math" w:cs="Arial"/>
                    <w:lang w:val="en-US"/>
                  </w:rPr>
                  <m:t>+</m:t>
                </m:r>
                <m:sSub>
                  <m:sSubPr>
                    <m:ctrlPr>
                      <w:rPr>
                        <w:rFonts w:ascii="Cambria Math" w:hAnsi="Cambria Math" w:cs="Arial"/>
                        <w:iCs/>
                        <w:lang w:val="en-US"/>
                      </w:rPr>
                    </m:ctrlPr>
                  </m:sSubPr>
                  <m:e>
                    <m:r>
                      <m:rPr>
                        <m:sty m:val="p"/>
                      </m:rPr>
                      <w:rPr>
                        <w:rFonts w:ascii="Cambria Math" w:hAnsi="Cambria Math" w:cs="Arial"/>
                        <w:lang w:val="en-US"/>
                      </w:rPr>
                      <m:t>H</m:t>
                    </m:r>
                  </m:e>
                  <m:sub>
                    <m:r>
                      <m:rPr>
                        <m:sty m:val="p"/>
                      </m:rPr>
                      <w:rPr>
                        <w:rFonts w:ascii="Cambria Math" w:hAnsi="Cambria Math" w:cs="Arial"/>
                        <w:lang w:val="en-US"/>
                      </w:rPr>
                      <m:t>2</m:t>
                    </m:r>
                  </m:sub>
                </m:sSub>
                <m:r>
                  <m:rPr>
                    <m:sty m:val="p"/>
                  </m:rPr>
                  <w:rPr>
                    <w:rFonts w:ascii="Cambria Math" w:hAnsi="Cambria Math" w:cs="Arial"/>
                    <w:lang w:val="en-US"/>
                  </w:rPr>
                  <m:t>O       ∆H</m:t>
                </m:r>
                <m:d>
                  <m:dPr>
                    <m:ctrlPr>
                      <w:rPr>
                        <w:rFonts w:ascii="Cambria Math" w:hAnsi="Cambria Math" w:cs="Arial"/>
                        <w:iCs/>
                        <w:lang w:val="en-US"/>
                      </w:rPr>
                    </m:ctrlPr>
                  </m:dPr>
                  <m:e>
                    <m:r>
                      <m:rPr>
                        <m:sty m:val="p"/>
                      </m:rPr>
                      <w:rPr>
                        <w:rFonts w:ascii="Cambria Math" w:hAnsi="Cambria Math" w:cs="Arial"/>
                        <w:lang w:val="en-US"/>
                      </w:rPr>
                      <m:t>25 ℃</m:t>
                    </m:r>
                  </m:e>
                </m:d>
                <m:r>
                  <m:rPr>
                    <m:sty m:val="p"/>
                  </m:rPr>
                  <w:rPr>
                    <w:rFonts w:ascii="Cambria Math" w:hAnsi="Cambria Math" w:cs="Arial"/>
                    <w:lang w:val="en-US"/>
                  </w:rPr>
                  <m:t>=-205.89 kJ/mol</m:t>
                </m:r>
              </m:oMath>
            </m:oMathPara>
          </w:p>
        </w:tc>
        <w:tc>
          <w:tcPr>
            <w:tcW w:w="804" w:type="dxa"/>
            <w:shd w:val="clear" w:color="auto" w:fill="auto"/>
            <w:vAlign w:val="center"/>
          </w:tcPr>
          <w:p w14:paraId="284FEEC8" w14:textId="1789E487" w:rsidR="00C04084" w:rsidRPr="00AB3DF2" w:rsidRDefault="00C04084" w:rsidP="00F06AAE">
            <w:pPr>
              <w:pStyle w:val="CETEquation"/>
              <w:jc w:val="right"/>
              <w:rPr>
                <w:rFonts w:cs="Arial"/>
              </w:rPr>
            </w:pPr>
            <w:r w:rsidRPr="00AB3DF2">
              <w:rPr>
                <w:rFonts w:cs="Arial"/>
              </w:rPr>
              <w:t>(</w:t>
            </w:r>
            <w:r w:rsidR="000811BC" w:rsidRPr="00AB3DF2">
              <w:rPr>
                <w:rFonts w:cs="Arial"/>
              </w:rPr>
              <w:t>5</w:t>
            </w:r>
            <w:r w:rsidRPr="00AB3DF2">
              <w:rPr>
                <w:rFonts w:cs="Arial"/>
              </w:rPr>
              <w:t>)</w:t>
            </w:r>
          </w:p>
        </w:tc>
      </w:tr>
    </w:tbl>
    <w:p w14:paraId="2C227285" w14:textId="223BCE8A" w:rsidR="009C7FBF" w:rsidRDefault="00FA1F4E" w:rsidP="00FA1F4E">
      <w:pPr>
        <w:pStyle w:val="CETHeading1"/>
        <w:tabs>
          <w:tab w:val="num" w:pos="360"/>
        </w:tabs>
      </w:pPr>
      <w:r>
        <w:t>Results and Discussion</w:t>
      </w:r>
    </w:p>
    <w:p w14:paraId="24A7570D" w14:textId="4CE73E54" w:rsidR="00FA1F4E" w:rsidRDefault="00C02674" w:rsidP="00C02674">
      <w:pPr>
        <w:pStyle w:val="CETheadingx"/>
      </w:pPr>
      <w:r>
        <w:t>Effect of Temperature</w:t>
      </w:r>
    </w:p>
    <w:p w14:paraId="57BE2D4B" w14:textId="5D613EBE" w:rsidR="00C27EF4" w:rsidRDefault="00C27EF4" w:rsidP="00C27EF4">
      <w:pPr>
        <w:pStyle w:val="CETBodytext"/>
      </w:pPr>
      <w:r>
        <w:t xml:space="preserve">Figure 1 (a) shows the effect of temperature towards the producer gas composition at different weight percentages of inorganic components. The temperature influence observed in this figure agrees well with previous studies </w:t>
      </w:r>
      <w:r>
        <w:fldChar w:fldCharType="begin"/>
      </w:r>
      <w:r w:rsidR="00322C16">
        <w:instrText xml:space="preserve"> ADDIN EN.CITE &lt;EndNote&gt;&lt;Cite&gt;&lt;Author&gt;Voll&lt;/Author&gt;&lt;Year&gt;2009&lt;/Year&gt;&lt;RecNum&gt;4&lt;/RecNum&gt;&lt;DisplayText&gt;(Tang and Kitagawa 2005, Voll, Rossi et al. 2009)&lt;/DisplayText&gt;&lt;record&gt;&lt;rec-number&gt;4&lt;/rec-number&gt;&lt;foreign-keys&gt;&lt;key app="EN" db-id="50eez5z08wvwt5evrp7xr95rzs2ez0x9rtfv" timestamp="1651065587"&gt;4&lt;/key&gt;&lt;/foreign-keys&gt;&lt;ref-type name="Journal Article"&gt;17&lt;/ref-type&gt;&lt;contributors&gt;&lt;authors&gt;&lt;author&gt;Voll, FAP&lt;/author&gt;&lt;author&gt;Rossi, CCRS&lt;/author&gt;&lt;author&gt;Silva, C&lt;/author&gt;&lt;author&gt;Guirardello, R&lt;/author&gt;&lt;author&gt;Souza, ROMA&lt;/author&gt;&lt;author&gt;Cabral, VF&lt;/author&gt;&lt;author&gt;Cardozo-Filho, L&lt;/author&gt;&lt;/authors&gt;&lt;/contributors&gt;&lt;titles&gt;&lt;title&gt;Thermodynamic analysis of supercritical water gasification of methanol, ethanol, glycerol, glucose and cellulose&lt;/title&gt;&lt;secondary-title&gt;International Journal of Hydrogen Energy&lt;/secondary-title&gt;&lt;/titles&gt;&lt;periodical&gt;&lt;full-title&gt;International Journal of Hydrogen Energy&lt;/full-title&gt;&lt;/periodical&gt;&lt;pages&gt;9737-9744&lt;/pages&gt;&lt;volume&gt;34&lt;/volume&gt;&lt;number&gt;24&lt;/number&gt;&lt;dates&gt;&lt;year&gt;2009&lt;/year&gt;&lt;/dates&gt;&lt;isbn&gt;0360-3199&lt;/isbn&gt;&lt;urls&gt;&lt;/urls&gt;&lt;/record&gt;&lt;/Cite&gt;&lt;Cite&gt;&lt;Author&gt;Tang&lt;/Author&gt;&lt;Year&gt;2005&lt;/Year&gt;&lt;RecNum&gt;3&lt;/RecNum&gt;&lt;record&gt;&lt;rec-number&gt;3&lt;/rec-number&gt;&lt;foreign-keys&gt;&lt;key app="EN" db-id="50eez5z08wvwt5evrp7xr95rzs2ez0x9rtfv" timestamp="1651065227"&gt;3&lt;/key&gt;&lt;/foreign-keys&gt;&lt;ref-type name="Journal Article"&gt;17&lt;/ref-type&gt;&lt;contributors&gt;&lt;authors&gt;&lt;author&gt;Tang, Huiqing&lt;/author&gt;&lt;author&gt;Kitagawa, Kuniyuki&lt;/author&gt;&lt;/authors&gt;&lt;/contributors&gt;&lt;titles&gt;&lt;title&gt;Supercritical water gasification of biomass: thermodynamic analysis with direct Gibbs free energy minimization&lt;/title&gt;&lt;secondary-title&gt;Chemical Engineering Journal&lt;/secondary-title&gt;&lt;/titles&gt;&lt;periodical&gt;&lt;full-title&gt;Chemical Engineering Journal&lt;/full-title&gt;&lt;/periodical&gt;&lt;pages&gt;261-267&lt;/pages&gt;&lt;volume&gt;106&lt;/volume&gt;&lt;number&gt;3&lt;/number&gt;&lt;dates&gt;&lt;year&gt;2005&lt;/year&gt;&lt;/dates&gt;&lt;isbn&gt;1385-8947&lt;/isbn&gt;&lt;urls&gt;&lt;/urls&gt;&lt;/record&gt;&lt;/Cite&gt;&lt;/EndNote&gt;</w:instrText>
      </w:r>
      <w:r>
        <w:fldChar w:fldCharType="separate"/>
      </w:r>
      <w:r w:rsidR="00322C16">
        <w:rPr>
          <w:noProof/>
        </w:rPr>
        <w:t>(Tang and Kitagawa 2005, Voll, Rossi et al. 2009)</w:t>
      </w:r>
      <w:r>
        <w:fldChar w:fldCharType="end"/>
      </w:r>
      <w:r>
        <w:t>. Higher temperature enhances hydrogen production by promoting the endothermic steam reforming reaction (Equation 3). As the temperature increases, the methanation reaction (Equation 5) is also reversed, therefore CH</w:t>
      </w:r>
      <w:r w:rsidRPr="00035B9F">
        <w:rPr>
          <w:vertAlign w:val="subscript"/>
        </w:rPr>
        <w:t>4</w:t>
      </w:r>
      <w:r>
        <w:t xml:space="preserve"> is consumed to produce more H</w:t>
      </w:r>
      <w:r w:rsidRPr="00035B9F">
        <w:rPr>
          <w:vertAlign w:val="subscript"/>
        </w:rPr>
        <w:t>2</w:t>
      </w:r>
      <w:r>
        <w:t>. This also explains the decrease in methane production at higher temperature. The production of CO</w:t>
      </w:r>
      <w:r w:rsidRPr="000E75D1">
        <w:rPr>
          <w:vertAlign w:val="subscript"/>
        </w:rPr>
        <w:t>2</w:t>
      </w:r>
      <w:r>
        <w:t xml:space="preserve"> is favored </w:t>
      </w:r>
      <w:r w:rsidR="00A235C5">
        <w:t>at</w:t>
      </w:r>
      <w:r>
        <w:t xml:space="preserve"> lower temperature</w:t>
      </w:r>
      <w:r w:rsidR="00A235C5">
        <w:t>s</w:t>
      </w:r>
      <w:r>
        <w:t xml:space="preserve">, although the temperature dependence is less significant since WGSR is only slightly exothermic. The amount of CO is negligible at the investigated temperature range, indicating that CO is almost completely consumed in the WGSR and methanation reaction. On the other hand, Figure 1 (b) shows that the total gas yield is positively influenced by temperature. This result is </w:t>
      </w:r>
      <w:r w:rsidR="00B321BB">
        <w:t xml:space="preserve">in agreement </w:t>
      </w:r>
      <w:r>
        <w:t xml:space="preserve">with </w:t>
      </w:r>
      <w:r w:rsidR="00B321BB">
        <w:t xml:space="preserve">the literature, concerning with </w:t>
      </w:r>
      <w:r>
        <w:t xml:space="preserve">HTG of other biomass feedstocks </w:t>
      </w:r>
      <w:r>
        <w:fldChar w:fldCharType="begin"/>
      </w:r>
      <w:r w:rsidR="00322C16">
        <w:instrText xml:space="preserve"> ADDIN EN.CITE &lt;EndNote&gt;&lt;Cite&gt;&lt;Author&gt;Voll&lt;/Author&gt;&lt;Year&gt;2009&lt;/Year&gt;&lt;RecNum&gt;4&lt;/RecNum&gt;&lt;DisplayText&gt;(Voll, Rossi et al. 2009, Freitas and Guirardello 2014)&lt;/DisplayText&gt;&lt;record&gt;&lt;rec-number&gt;4&lt;/rec-number&gt;&lt;foreign-keys&gt;&lt;key app="EN" db-id="50eez5z08wvwt5evrp7xr95rzs2ez0x9rtfv" timestamp="1651065587"&gt;4&lt;/key&gt;&lt;/foreign-keys&gt;&lt;ref-type name="Journal Article"&gt;17&lt;/ref-type&gt;&lt;contributors&gt;&lt;authors&gt;&lt;author&gt;Voll, FAP&lt;/author&gt;&lt;author&gt;Rossi, CCRS&lt;/author&gt;&lt;author&gt;Silva, C&lt;/author&gt;&lt;author&gt;Guirardello, R&lt;/author&gt;&lt;author&gt;Souza, ROMA&lt;/author&gt;&lt;author&gt;Cabral, VF&lt;/author&gt;&lt;author&gt;Cardozo-Filho, L&lt;/author&gt;&lt;/authors&gt;&lt;/contributors&gt;&lt;titles&gt;&lt;title&gt;Thermodynamic analysis of supercritical water gasification of methanol, ethanol, glycerol, glucose and cellulose&lt;/title&gt;&lt;secondary-title&gt;International Journal of Hydrogen Energy&lt;/secondary-title&gt;&lt;/titles&gt;&lt;periodical&gt;&lt;full-title&gt;International Journal of Hydrogen Energy&lt;/full-title&gt;&lt;/periodical&gt;&lt;pages&gt;9737-9744&lt;/pages&gt;&lt;volume&gt;34&lt;/volume&gt;&lt;number&gt;24&lt;/number&gt;&lt;dates&gt;&lt;year&gt;2009&lt;/year&gt;&lt;/dates&gt;&lt;isbn&gt;0360-3199&lt;/isbn&gt;&lt;urls&gt;&lt;/urls&gt;&lt;/record&gt;&lt;/Cite&gt;&lt;Cite&gt;&lt;Author&gt;Freitas&lt;/Author&gt;&lt;Year&gt;2014&lt;/Year&gt;&lt;RecNum&gt;12&lt;/RecNum&gt;&lt;record&gt;&lt;rec-number&gt;12&lt;/rec-number&gt;&lt;foreign-keys&gt;&lt;key app="EN" db-id="50eez5z08wvwt5evrp7xr95rzs2ez0x9rtfv" timestamp="1651075145"&gt;12&lt;/key&gt;&lt;/foreign-keys&gt;&lt;ref-type name="Journal Article"&gt;17&lt;/ref-type&gt;&lt;contributors&gt;&lt;authors&gt;&lt;author&gt;Freitas, Antonio CD&lt;/author&gt;&lt;author&gt;Guirardello, Reginaldo&lt;/author&gt;&lt;/authors&gt;&lt;/contributors&gt;&lt;titles&gt;&lt;title&gt;Comparison of several glycerol reforming methods for hydrogen and syngas production using Gibbs energy minimization&lt;/title&gt;&lt;secondary-title&gt;International journal of hydrogen energy&lt;/secondary-title&gt;&lt;/titles&gt;&lt;periodical&gt;&lt;full-title&gt;International Journal of Hydrogen Energy&lt;/full-title&gt;&lt;/periodical&gt;&lt;pages&gt;17969-17984&lt;/pages&gt;&lt;volume&gt;39&lt;/volume&gt;&lt;number&gt;31&lt;/number&gt;&lt;dates&gt;&lt;year&gt;2014&lt;/year&gt;&lt;/dates&gt;&lt;isbn&gt;0360-3199&lt;/isbn&gt;&lt;urls&gt;&lt;/urls&gt;&lt;/record&gt;&lt;/Cite&gt;&lt;/EndNote&gt;</w:instrText>
      </w:r>
      <w:r>
        <w:fldChar w:fldCharType="separate"/>
      </w:r>
      <w:r w:rsidR="00322C16">
        <w:rPr>
          <w:noProof/>
        </w:rPr>
        <w:t>(Voll, Rossi et al. 2009, Freitas and Guirardello 2014)</w:t>
      </w:r>
      <w:r>
        <w:fldChar w:fldCharType="end"/>
      </w:r>
      <w:r>
        <w:t xml:space="preserve">. </w:t>
      </w:r>
    </w:p>
    <w:p w14:paraId="35DC7315" w14:textId="0115CDF9" w:rsidR="00C27EF4" w:rsidRDefault="00B321BB" w:rsidP="00C27EF4">
      <w:pPr>
        <w:pStyle w:val="CETBodytext"/>
      </w:pPr>
      <w:r>
        <w:t>In addition, b</w:t>
      </w:r>
      <w:r w:rsidR="00C27EF4">
        <w:t xml:space="preserve">oth figures also demonstrate the effect of inorganic contents on the producer gas yield and composition. For any temperature within the observed range, a higher inorganic content always leads to a lower </w:t>
      </w:r>
      <w:r w:rsidR="00C27EF4">
        <w:lastRenderedPageBreak/>
        <w:t>production of CO</w:t>
      </w:r>
      <w:r w:rsidR="00C27EF4" w:rsidRPr="008F15C1">
        <w:rPr>
          <w:vertAlign w:val="subscript"/>
        </w:rPr>
        <w:t>2</w:t>
      </w:r>
      <w:r w:rsidR="00C27EF4">
        <w:t xml:space="preserve">. This </w:t>
      </w:r>
      <w:r>
        <w:t xml:space="preserve">might be </w:t>
      </w:r>
      <w:r w:rsidR="00C27EF4">
        <w:t>due to the formation of inorganic salts such as CaCO</w:t>
      </w:r>
      <w:r w:rsidR="00C27EF4" w:rsidRPr="00C45D74">
        <w:rPr>
          <w:vertAlign w:val="subscript"/>
        </w:rPr>
        <w:t>3</w:t>
      </w:r>
      <w:r w:rsidR="00C27EF4">
        <w:t>, Na</w:t>
      </w:r>
      <w:r w:rsidR="00C27EF4" w:rsidRPr="00C45D74">
        <w:rPr>
          <w:vertAlign w:val="subscript"/>
        </w:rPr>
        <w:t>2</w:t>
      </w:r>
      <w:r w:rsidR="00C27EF4">
        <w:t>CO</w:t>
      </w:r>
      <w:r w:rsidR="00C27EF4" w:rsidRPr="00C45D74">
        <w:rPr>
          <w:vertAlign w:val="subscript"/>
        </w:rPr>
        <w:t>3</w:t>
      </w:r>
      <w:r w:rsidR="00C27EF4">
        <w:t>, and K</w:t>
      </w:r>
      <w:r w:rsidR="00C27EF4" w:rsidRPr="00C45D74">
        <w:rPr>
          <w:vertAlign w:val="subscript"/>
        </w:rPr>
        <w:t>2</w:t>
      </w:r>
      <w:r w:rsidR="00C27EF4">
        <w:t>CO</w:t>
      </w:r>
      <w:r w:rsidR="00C27EF4" w:rsidRPr="00C45D74">
        <w:rPr>
          <w:vertAlign w:val="subscript"/>
        </w:rPr>
        <w:t>3</w:t>
      </w:r>
      <w:r w:rsidR="00C27EF4">
        <w:t xml:space="preserve"> from the reactions between inorganic components and CO</w:t>
      </w:r>
      <w:r w:rsidR="00C27EF4" w:rsidRPr="00C45D74">
        <w:rPr>
          <w:vertAlign w:val="subscript"/>
        </w:rPr>
        <w:t>2</w:t>
      </w:r>
      <w:r w:rsidR="00C27EF4">
        <w:t xml:space="preserve">. </w:t>
      </w:r>
      <w:proofErr w:type="gramStart"/>
      <w:r w:rsidR="00C27EF4">
        <w:t>As a consequence of</w:t>
      </w:r>
      <w:proofErr w:type="gramEnd"/>
      <w:r w:rsidR="00C27EF4">
        <w:t xml:space="preserve"> the lower CO</w:t>
      </w:r>
      <w:r w:rsidR="00C27EF4" w:rsidRPr="00353419">
        <w:rPr>
          <w:vertAlign w:val="subscript"/>
        </w:rPr>
        <w:t>2</w:t>
      </w:r>
      <w:r w:rsidR="00C27EF4">
        <w:t xml:space="preserve"> composition, the WGSR is driven towards the forward direction to produce more H</w:t>
      </w:r>
      <w:r w:rsidR="00C27EF4" w:rsidRPr="00353419">
        <w:rPr>
          <w:vertAlign w:val="subscript"/>
        </w:rPr>
        <w:t>2</w:t>
      </w:r>
      <w:r w:rsidR="00C27EF4">
        <w:t>. This explains the higher H</w:t>
      </w:r>
      <w:r w:rsidR="00C27EF4" w:rsidRPr="00353419">
        <w:rPr>
          <w:vertAlign w:val="subscript"/>
        </w:rPr>
        <w:t>2</w:t>
      </w:r>
      <w:r w:rsidR="00C27EF4">
        <w:t xml:space="preserve"> composition at higher inorganic content. The result is consistent with the experimental observation </w:t>
      </w:r>
      <w:r w:rsidR="00616106">
        <w:t xml:space="preserve">reported </w:t>
      </w:r>
      <w:r w:rsidR="00C27EF4">
        <w:t xml:space="preserve">by Guo et al. </w:t>
      </w:r>
      <w:r w:rsidR="00C27EF4">
        <w:fldChar w:fldCharType="begin"/>
      </w:r>
      <w:r w:rsidR="00322C16">
        <w:instrText xml:space="preserve"> ADDIN EN.CITE &lt;EndNote&gt;&lt;Cite&gt;&lt;Author&gt;Guo&lt;/Author&gt;&lt;Year&gt;2012&lt;/Year&gt;&lt;RecNum&gt;37&lt;/RecNum&gt;&lt;DisplayText&gt;(Guo, Guo et al. 2012)&lt;/DisplayText&gt;&lt;record&gt;&lt;rec-number&gt;37&lt;/rec-number&gt;&lt;foreign-keys&gt;&lt;key app="EN" db-id="50eez5z08wvwt5evrp7xr95rzs2ez0x9rtfv" timestamp="1662387419"&gt;37&lt;/key&gt;&lt;/foreign-keys&gt;&lt;ref-type name="Journal Article"&gt;17&lt;/ref-type&gt;&lt;contributors&gt;&lt;authors&gt;&lt;author&gt;Guo, Simao&lt;/author&gt;&lt;author&gt;Guo, Liejin&lt;/author&gt;&lt;author&gt;Cao, Changqing&lt;/author&gt;&lt;author&gt;Yin, Jiarong&lt;/author&gt;&lt;author&gt;Lu, Youjun&lt;/author&gt;&lt;author&gt;Zhang, Ximin&lt;/author&gt;&lt;/authors&gt;&lt;/contributors&gt;&lt;titles&gt;&lt;title&gt;Hydrogen production from glycerol by supercritical water gasification in a continuous flow tubular reactor&lt;/title&gt;&lt;secondary-title&gt;International Journal of Hydrogen Energy&lt;/secondary-title&gt;&lt;/titles&gt;&lt;periodical&gt;&lt;full-title&gt;International Journal of Hydrogen Energy&lt;/full-title&gt;&lt;/periodical&gt;&lt;pages&gt;5559-5568&lt;/pages&gt;&lt;volume&gt;37&lt;/volume&gt;&lt;number&gt;7&lt;/number&gt;&lt;dates&gt;&lt;year&gt;2012&lt;/year&gt;&lt;/dates&gt;&lt;isbn&gt;0360-3199&lt;/isbn&gt;&lt;urls&gt;&lt;/urls&gt;&lt;/record&gt;&lt;/Cite&gt;&lt;/EndNote&gt;</w:instrText>
      </w:r>
      <w:r w:rsidR="00C27EF4">
        <w:fldChar w:fldCharType="separate"/>
      </w:r>
      <w:r w:rsidR="00322C16">
        <w:rPr>
          <w:noProof/>
        </w:rPr>
        <w:t>(Guo, Guo et al. 2012)</w:t>
      </w:r>
      <w:r w:rsidR="00C27EF4">
        <w:fldChar w:fldCharType="end"/>
      </w:r>
      <w:r w:rsidR="00C27EF4">
        <w:t xml:space="preserve"> and Xu et al </w:t>
      </w:r>
      <w:r w:rsidR="00C27EF4">
        <w:fldChar w:fldCharType="begin"/>
      </w:r>
      <w:r w:rsidR="00322C16">
        <w:instrText xml:space="preserve"> ADDIN EN.CITE &lt;EndNote&gt;&lt;Cite&gt;&lt;Author&gt;Xu&lt;/Author&gt;&lt;Year&gt;2009&lt;/Year&gt;&lt;RecNum&gt;38&lt;/RecNum&gt;&lt;DisplayText&gt;(Xu, Wang et al. 2009)&lt;/DisplayText&gt;&lt;record&gt;&lt;rec-number&gt;38&lt;/rec-number&gt;&lt;foreign-keys&gt;&lt;key app="EN" db-id="50eez5z08wvwt5evrp7xr95rzs2ez0x9rtfv" timestamp="1662387445"&gt;38&lt;/key&gt;&lt;/foreign-keys&gt;&lt;ref-type name="Journal Article"&gt;17&lt;/ref-type&gt;&lt;contributors&gt;&lt;authors&gt;&lt;author&gt;Xu, Donghai&lt;/author&gt;&lt;author&gt;Wang, Shuzhong&lt;/author&gt;&lt;author&gt;Hu, Xin&lt;/author&gt;&lt;author&gt;Chen, Chongming&lt;/author&gt;&lt;author&gt;Zhang, Qingming&lt;/author&gt;&lt;author&gt;Gong, Yanmeng&lt;/author&gt;&lt;/authors&gt;&lt;/contributors&gt;&lt;titles&gt;&lt;title&gt;Catalytic gasification of glycine and glycerol in supercritical water&lt;/title&gt;&lt;secondary-title&gt;International journal of hydrogen energy&lt;/secondary-title&gt;&lt;/titles&gt;&lt;periodical&gt;&lt;full-title&gt;International Journal of Hydrogen Energy&lt;/full-title&gt;&lt;/periodical&gt;&lt;pages&gt;5357-5364&lt;/pages&gt;&lt;volume&gt;34&lt;/volume&gt;&lt;number&gt;13&lt;/number&gt;&lt;dates&gt;&lt;year&gt;2009&lt;/year&gt;&lt;/dates&gt;&lt;isbn&gt;0360-3199&lt;/isbn&gt;&lt;urls&gt;&lt;/urls&gt;&lt;/record&gt;&lt;/Cite&gt;&lt;/EndNote&gt;</w:instrText>
      </w:r>
      <w:r w:rsidR="00C27EF4">
        <w:fldChar w:fldCharType="separate"/>
      </w:r>
      <w:r w:rsidR="00322C16">
        <w:rPr>
          <w:noProof/>
        </w:rPr>
        <w:t>(Xu, Wang et al. 2009)</w:t>
      </w:r>
      <w:r w:rsidR="00C27EF4">
        <w:fldChar w:fldCharType="end"/>
      </w:r>
      <w:r w:rsidR="00C27EF4">
        <w:t xml:space="preserve">. </w:t>
      </w:r>
      <w:r w:rsidR="00616106">
        <w:t xml:space="preserve">Furthermore, </w:t>
      </w:r>
      <w:proofErr w:type="spellStart"/>
      <w:r w:rsidR="00C27EF4">
        <w:t>Onwudili</w:t>
      </w:r>
      <w:proofErr w:type="spellEnd"/>
      <w:r w:rsidR="00C27EF4">
        <w:t xml:space="preserve"> et al. </w:t>
      </w:r>
      <w:r w:rsidR="00C27EF4">
        <w:fldChar w:fldCharType="begin"/>
      </w:r>
      <w:r w:rsidR="00322C16">
        <w:instrText xml:space="preserve"> ADDIN EN.CITE &lt;EndNote&gt;&lt;Cite&gt;&lt;Author&gt;Onwudili&lt;/Author&gt;&lt;Year&gt;2014&lt;/Year&gt;&lt;RecNum&gt;35&lt;/RecNum&gt;&lt;DisplayText&gt;(Onwudili and Williams 2014)&lt;/DisplayText&gt;&lt;record&gt;&lt;rec-number&gt;35&lt;/rec-number&gt;&lt;foreign-keys&gt;&lt;key app="EN" db-id="50eez5z08wvwt5evrp7xr95rzs2ez0x9rtfv" timestamp="1662387302"&gt;35&lt;/key&gt;&lt;/foreign-keys&gt;&lt;ref-type name="Book Section"&gt;5&lt;/ref-type&gt;&lt;contributors&gt;&lt;authors&gt;&lt;author&gt;Onwudili, Jude A&lt;/author&gt;&lt;author&gt;Williams, Paul T&lt;/author&gt;&lt;/authors&gt;&lt;/contributors&gt;&lt;titles&gt;&lt;title&gt;Production of hydrogen from biomass via supercritical water gasification&lt;/title&gt;&lt;secondary-title&gt;Near-critical and supercritical water and their applications for biorefineries&lt;/secondary-title&gt;&lt;/titles&gt;&lt;pages&gt;299-322&lt;/pages&gt;&lt;dates&gt;&lt;year&gt;2014&lt;/year&gt;&lt;/dates&gt;&lt;publisher&gt;Springer&lt;/publisher&gt;&lt;urls&gt;&lt;/urls&gt;&lt;/record&gt;&lt;/Cite&gt;&lt;/EndNote&gt;</w:instrText>
      </w:r>
      <w:r w:rsidR="00C27EF4">
        <w:fldChar w:fldCharType="separate"/>
      </w:r>
      <w:r w:rsidR="00322C16">
        <w:rPr>
          <w:noProof/>
        </w:rPr>
        <w:t>(Onwudili and Williams 2014)</w:t>
      </w:r>
      <w:r w:rsidR="00C27EF4">
        <w:fldChar w:fldCharType="end"/>
      </w:r>
      <w:r w:rsidR="00C27EF4">
        <w:t xml:space="preserve"> argued that the presence of alkali metals promotes hydrogen production by accelerating the WGSR through the removal of CO</w:t>
      </w:r>
      <w:r w:rsidR="00C27EF4" w:rsidRPr="00BE6EA8">
        <w:rPr>
          <w:vertAlign w:val="subscript"/>
        </w:rPr>
        <w:t>2</w:t>
      </w:r>
      <w:r w:rsidR="00C27EF4">
        <w:t xml:space="preserve"> as carbonate. </w:t>
      </w:r>
      <w:proofErr w:type="spellStart"/>
      <w:r w:rsidR="00C27EF4">
        <w:t>Su</w:t>
      </w:r>
      <w:proofErr w:type="spellEnd"/>
      <w:r w:rsidR="00C27EF4">
        <w:t xml:space="preserve"> et al. </w:t>
      </w:r>
      <w:r w:rsidR="00C27EF4">
        <w:fldChar w:fldCharType="begin"/>
      </w:r>
      <w:r w:rsidR="00322C16">
        <w:instrText xml:space="preserve"> ADDIN EN.CITE &lt;EndNote&gt;&lt;Cite&gt;&lt;Author&gt;Su&lt;/Author&gt;&lt;Year&gt;2022&lt;/Year&gt;&lt;RecNum&gt;39&lt;/RecNum&gt;&lt;DisplayText&gt;(Su, Yan et al. 2022)&lt;/DisplayText&gt;&lt;record&gt;&lt;rec-number&gt;39&lt;/rec-number&gt;&lt;foreign-keys&gt;&lt;key app="EN" db-id="50eez5z08wvwt5evrp7xr95rzs2ez0x9rtfv" timestamp="1662387792"&gt;39&lt;/key&gt;&lt;/foreign-keys&gt;&lt;ref-type name="Journal Article"&gt;17&lt;/ref-type&gt;&lt;contributors&gt;&lt;authors&gt;&lt;author&gt;Su, Hongcai&lt;/author&gt;&lt;author&gt;Yan, Mi&lt;/author&gt;&lt;author&gt;Wang, Shurong&lt;/author&gt;&lt;/authors&gt;&lt;/contributors&gt;&lt;titles&gt;&lt;title&gt;Recent advances in supercritical water gasification of biowaste catalyzed by transition metal-based catalysts for hydrogen production&lt;/title&gt;&lt;secondary-title&gt;Renewable and Sustainable Energy Reviews&lt;/secondary-title&gt;&lt;/titles&gt;&lt;periodical&gt;&lt;full-title&gt;Renewable and Sustainable Energy Reviews&lt;/full-title&gt;&lt;/periodical&gt;&lt;pages&gt;111831&lt;/pages&gt;&lt;volume&gt;154&lt;/volume&gt;&lt;dates&gt;&lt;year&gt;2022&lt;/year&gt;&lt;/dates&gt;&lt;isbn&gt;1364-0321&lt;/isbn&gt;&lt;urls&gt;&lt;/urls&gt;&lt;/record&gt;&lt;/Cite&gt;&lt;/EndNote&gt;</w:instrText>
      </w:r>
      <w:r w:rsidR="00C27EF4">
        <w:fldChar w:fldCharType="separate"/>
      </w:r>
      <w:r w:rsidR="00322C16">
        <w:rPr>
          <w:noProof/>
        </w:rPr>
        <w:t>(Su, Yan et al. 2022)</w:t>
      </w:r>
      <w:r w:rsidR="00C27EF4">
        <w:fldChar w:fldCharType="end"/>
      </w:r>
      <w:r w:rsidR="00C27EF4">
        <w:t xml:space="preserve"> also reported that the production of potassium salts improves the WGSR, resulting in higher H</w:t>
      </w:r>
      <w:r w:rsidR="00C27EF4" w:rsidRPr="00BE6EA8">
        <w:rPr>
          <w:vertAlign w:val="subscript"/>
        </w:rPr>
        <w:t>2</w:t>
      </w:r>
      <w:r w:rsidR="00C27EF4">
        <w:t xml:space="preserve"> production. The increas</w:t>
      </w:r>
      <w:r w:rsidR="00616106">
        <w:t>ed</w:t>
      </w:r>
      <w:r w:rsidR="00C27EF4">
        <w:t xml:space="preserve"> H</w:t>
      </w:r>
      <w:r w:rsidR="00C27EF4" w:rsidRPr="001E41E7">
        <w:rPr>
          <w:vertAlign w:val="subscript"/>
        </w:rPr>
        <w:t>2</w:t>
      </w:r>
      <w:r w:rsidR="00C27EF4">
        <w:t xml:space="preserve"> amount </w:t>
      </w:r>
      <w:r w:rsidR="00616106">
        <w:t xml:space="preserve">due to </w:t>
      </w:r>
      <w:r w:rsidR="00C27EF4">
        <w:t>higher inorganic content</w:t>
      </w:r>
      <w:r w:rsidR="00616106">
        <w:t>s</w:t>
      </w:r>
      <w:r w:rsidR="00C27EF4">
        <w:t xml:space="preserve"> also enhances the production of CH</w:t>
      </w:r>
      <w:r w:rsidR="00C27EF4" w:rsidRPr="001E41E7">
        <w:rPr>
          <w:vertAlign w:val="subscript"/>
        </w:rPr>
        <w:t>4</w:t>
      </w:r>
      <w:r w:rsidR="00C27EF4">
        <w:t xml:space="preserve"> through the methanation reaction. Furthermore, Figure 1 (a) shows that the effect of inorganic contents on gas composition is more prominent at lower temperature</w:t>
      </w:r>
      <w:r w:rsidR="00616106">
        <w:t>s</w:t>
      </w:r>
      <w:r w:rsidR="00C27EF4">
        <w:t xml:space="preserve">. This might be due to the decreasing carbonate salts forming reaction at higher temperature, which is consistent with the simulation result, although not presented in this paper. </w:t>
      </w:r>
    </w:p>
    <w:p w14:paraId="4FF6E90C" w14:textId="77777777" w:rsidR="002E7B82" w:rsidRDefault="002E7B82" w:rsidP="00C27EF4">
      <w:pPr>
        <w:pStyle w:val="CET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3942"/>
        <w:gridCol w:w="464"/>
        <w:gridCol w:w="3926"/>
      </w:tblGrid>
      <w:tr w:rsidR="005316B2" w:rsidRPr="005316B2" w14:paraId="3A1B1230" w14:textId="77777777" w:rsidTr="00F37AA7">
        <w:tc>
          <w:tcPr>
            <w:tcW w:w="455" w:type="dxa"/>
          </w:tcPr>
          <w:p w14:paraId="2EC529F9" w14:textId="77777777" w:rsidR="005316B2" w:rsidRPr="005316B2" w:rsidRDefault="005316B2" w:rsidP="00F06AAE">
            <w:pPr>
              <w:spacing w:line="276" w:lineRule="auto"/>
              <w:rPr>
                <w:rFonts w:cs="Arial"/>
                <w:lang w:val="en-US"/>
              </w:rPr>
            </w:pPr>
            <w:r w:rsidRPr="005316B2">
              <w:rPr>
                <w:rFonts w:cs="Arial"/>
                <w:lang w:val="en-US"/>
              </w:rPr>
              <w:t>(a)</w:t>
            </w:r>
          </w:p>
        </w:tc>
        <w:tc>
          <w:tcPr>
            <w:tcW w:w="3942" w:type="dxa"/>
          </w:tcPr>
          <w:p w14:paraId="5CE80734" w14:textId="77777777" w:rsidR="005316B2" w:rsidRPr="005316B2" w:rsidRDefault="005316B2" w:rsidP="00F06AAE">
            <w:pPr>
              <w:spacing w:line="276" w:lineRule="auto"/>
              <w:rPr>
                <w:rFonts w:cs="Arial"/>
                <w:lang w:val="en-US"/>
              </w:rPr>
            </w:pPr>
            <w:r w:rsidRPr="005316B2">
              <w:rPr>
                <w:rFonts w:cs="Arial"/>
                <w:noProof/>
                <w:lang w:val="en-US"/>
              </w:rPr>
              <w:drawing>
                <wp:inline distT="0" distB="0" distL="0" distR="0" wp14:anchorId="3B9583E5" wp14:editId="7C896847">
                  <wp:extent cx="2320776" cy="1548000"/>
                  <wp:effectExtent l="0" t="0" r="381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0776" cy="1548000"/>
                          </a:xfrm>
                          <a:prstGeom prst="rect">
                            <a:avLst/>
                          </a:prstGeom>
                          <a:noFill/>
                        </pic:spPr>
                      </pic:pic>
                    </a:graphicData>
                  </a:graphic>
                </wp:inline>
              </w:drawing>
            </w:r>
          </w:p>
        </w:tc>
        <w:tc>
          <w:tcPr>
            <w:tcW w:w="464" w:type="dxa"/>
          </w:tcPr>
          <w:p w14:paraId="4C69363F" w14:textId="77777777" w:rsidR="005316B2" w:rsidRPr="005316B2" w:rsidRDefault="005316B2" w:rsidP="00F06AAE">
            <w:pPr>
              <w:spacing w:line="276" w:lineRule="auto"/>
              <w:rPr>
                <w:rFonts w:cs="Arial"/>
                <w:lang w:val="en-US"/>
              </w:rPr>
            </w:pPr>
            <w:r w:rsidRPr="005316B2">
              <w:rPr>
                <w:rFonts w:cs="Arial"/>
                <w:lang w:val="en-US"/>
              </w:rPr>
              <w:t>(b)</w:t>
            </w:r>
          </w:p>
        </w:tc>
        <w:tc>
          <w:tcPr>
            <w:tcW w:w="3926" w:type="dxa"/>
          </w:tcPr>
          <w:p w14:paraId="7B52FF5A" w14:textId="77777777" w:rsidR="005316B2" w:rsidRPr="005316B2" w:rsidRDefault="005316B2" w:rsidP="00F06AAE">
            <w:pPr>
              <w:spacing w:line="276" w:lineRule="auto"/>
              <w:rPr>
                <w:rFonts w:cs="Arial"/>
                <w:lang w:val="en-US"/>
              </w:rPr>
            </w:pPr>
            <w:r w:rsidRPr="005316B2">
              <w:rPr>
                <w:rFonts w:cs="Arial"/>
                <w:noProof/>
                <w:lang w:val="en-US"/>
              </w:rPr>
              <w:drawing>
                <wp:inline distT="0" distB="0" distL="0" distR="0" wp14:anchorId="60A535FC" wp14:editId="69784316">
                  <wp:extent cx="2288522" cy="1548000"/>
                  <wp:effectExtent l="0" t="0" r="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8522" cy="1548000"/>
                          </a:xfrm>
                          <a:prstGeom prst="rect">
                            <a:avLst/>
                          </a:prstGeom>
                          <a:noFill/>
                        </pic:spPr>
                      </pic:pic>
                    </a:graphicData>
                  </a:graphic>
                </wp:inline>
              </w:drawing>
            </w:r>
          </w:p>
        </w:tc>
      </w:tr>
    </w:tbl>
    <w:p w14:paraId="5731A0B6" w14:textId="4E0111AE" w:rsidR="006C5257" w:rsidRDefault="005316B2" w:rsidP="000A2414">
      <w:pPr>
        <w:pStyle w:val="CETBodytext"/>
        <w:rPr>
          <w:rStyle w:val="CETCaptionCarattere"/>
        </w:rPr>
      </w:pPr>
      <w:r w:rsidRPr="005316B2">
        <w:rPr>
          <w:rStyle w:val="CETCaptionCarattere"/>
        </w:rPr>
        <w:t>Figure 1. The effect of temperature on producer gas (a) composition and (b) yield at different inorganic contents (P = 280 bar, feedstock concentration = 10%, inorganic contents = 100%, 50%, and 0% wt.)</w:t>
      </w:r>
    </w:p>
    <w:p w14:paraId="4D47B9E1" w14:textId="77777777" w:rsidR="002F4057" w:rsidRDefault="002F4057" w:rsidP="000A2414">
      <w:pPr>
        <w:pStyle w:val="CETBodytext"/>
        <w:rPr>
          <w:rStyle w:val="CETCaptionCarattere"/>
          <w:i w:val="0"/>
          <w:iCs/>
        </w:rPr>
      </w:pPr>
    </w:p>
    <w:p w14:paraId="0AFA9EA4" w14:textId="1F8145F0" w:rsidR="002F4057" w:rsidRPr="002F4057" w:rsidRDefault="002F4057" w:rsidP="000A2414">
      <w:pPr>
        <w:pStyle w:val="CETBodytext"/>
        <w:rPr>
          <w:iCs/>
        </w:rPr>
      </w:pPr>
      <w:r>
        <w:t>The effect of inorganic contents on the total gas yield is presented in Figure 1 (b). The figure indicates that at lower temperature, higher inorganic content</w:t>
      </w:r>
      <w:r w:rsidR="002942BC">
        <w:t>s</w:t>
      </w:r>
      <w:r>
        <w:t xml:space="preserve"> </w:t>
      </w:r>
      <w:r w:rsidR="002942BC">
        <w:t>are</w:t>
      </w:r>
      <w:r>
        <w:t xml:space="preserve"> associated with lower gas yield</w:t>
      </w:r>
      <w:r w:rsidR="002942BC">
        <w:t>s</w:t>
      </w:r>
      <w:r>
        <w:t>. The trend is reversed at higher temperature</w:t>
      </w:r>
      <w:r w:rsidR="002942BC">
        <w:t>s</w:t>
      </w:r>
      <w:r>
        <w:t>, where a higher gas yield</w:t>
      </w:r>
      <w:r w:rsidR="002942BC">
        <w:t>s are obtained for the feedstock with</w:t>
      </w:r>
      <w:r>
        <w:t xml:space="preserve"> higher inorganic content</w:t>
      </w:r>
      <w:r w:rsidR="002942BC">
        <w:t>s</w:t>
      </w:r>
      <w:r>
        <w:t>.</w:t>
      </w:r>
    </w:p>
    <w:p w14:paraId="1DA0A188" w14:textId="06D2FFAB" w:rsidR="004E1DA4" w:rsidRDefault="004E1DA4" w:rsidP="004E1DA4">
      <w:pPr>
        <w:pStyle w:val="CETheadingx"/>
      </w:pPr>
      <w:r>
        <w:t>Effect of Pressure</w:t>
      </w:r>
    </w:p>
    <w:p w14:paraId="38C6B068" w14:textId="25D884F7" w:rsidR="00F37AA7" w:rsidRDefault="00F37AA7" w:rsidP="00F37AA7">
      <w:pPr>
        <w:pStyle w:val="CETBodytext"/>
      </w:pPr>
      <w:r>
        <w:t>Figure 2 (a) and (b) demonstrate how pressure influences the producer gas composition and yield. It is observed that pressure gives minor effect on both gas composition and yield. However, a slight decrease in H</w:t>
      </w:r>
      <w:r w:rsidRPr="00BD4D62">
        <w:rPr>
          <w:vertAlign w:val="subscript"/>
        </w:rPr>
        <w:t>2</w:t>
      </w:r>
      <w:r>
        <w:t xml:space="preserve"> </w:t>
      </w:r>
      <w:r w:rsidR="00DD7B21">
        <w:t xml:space="preserve">production </w:t>
      </w:r>
      <w:r>
        <w:t>and increase in CH</w:t>
      </w:r>
      <w:r w:rsidRPr="00BD4D62">
        <w:rPr>
          <w:vertAlign w:val="subscript"/>
        </w:rPr>
        <w:t>4</w:t>
      </w:r>
      <w:r>
        <w:t xml:space="preserve"> </w:t>
      </w:r>
      <w:r w:rsidR="00DD7B21">
        <w:t xml:space="preserve">formation </w:t>
      </w:r>
      <w:r>
        <w:t>is observed at higher pressure</w:t>
      </w:r>
      <w:r w:rsidR="00DD7B21">
        <w:t>s</w:t>
      </w:r>
      <w:r>
        <w:t xml:space="preserve">. According to the Le </w:t>
      </w:r>
      <w:proofErr w:type="spellStart"/>
      <w:r>
        <w:t>Chatelier</w:t>
      </w:r>
      <w:proofErr w:type="spellEnd"/>
      <w:r>
        <w:t xml:space="preserve"> principle, higher HTG pressure promotes the methanation reaction (Equation 5), hence more CH</w:t>
      </w:r>
      <w:r w:rsidRPr="00233997">
        <w:rPr>
          <w:vertAlign w:val="subscript"/>
        </w:rPr>
        <w:t>4</w:t>
      </w:r>
      <w:r>
        <w:t xml:space="preserve"> is produced from H</w:t>
      </w:r>
      <w:r w:rsidRPr="00233997">
        <w:rPr>
          <w:vertAlign w:val="subscript"/>
        </w:rPr>
        <w:t>2</w:t>
      </w:r>
      <w:r>
        <w:t xml:space="preserve">.  This result agrees well with findings from previous studies </w:t>
      </w:r>
      <w:r>
        <w:fldChar w:fldCharType="begin"/>
      </w:r>
      <w:r w:rsidR="00322C16">
        <w:instrText xml:space="preserve"> ADDIN EN.CITE &lt;EndNote&gt;&lt;Cite&gt;&lt;Author&gt;Hantoko&lt;/Author&gt;&lt;Year&gt;2018&lt;/Year&gt;&lt;RecNum&gt;63&lt;/RecNum&gt;&lt;DisplayText&gt;(Castello and Fiori 2011, Hantoko, Su et al. 2018)&lt;/DisplayText&gt;&lt;record&gt;&lt;rec-number&gt;63&lt;/rec-number&gt;&lt;foreign-keys&gt;&lt;key app="EN" db-id="50eez5z08wvwt5evrp7xr95rzs2ez0x9rtfv" timestamp="1665809789"&gt;63&lt;/key&gt;&lt;/foreign-keys&gt;&lt;ref-type name="Journal Article"&gt;17&lt;/ref-type&gt;&lt;contributors&gt;&lt;authors&gt;&lt;author&gt;Hantoko, Dwi&lt;/author&gt;&lt;author&gt;Su, Hongcai&lt;/author&gt;&lt;author&gt;Yan, Mi&lt;/author&gt;&lt;author&gt;Kanchanatip, Ekkachai&lt;/author&gt;&lt;author&gt;Susanto, Herri&lt;/author&gt;&lt;author&gt;Wang, Guobin&lt;/author&gt;&lt;author&gt;Zhang, Sicheng&lt;/author&gt;&lt;author&gt;Xu, Zhang&lt;/author&gt;&lt;/authors&gt;&lt;/contributors&gt;&lt;titles&gt;&lt;title&gt;Thermodynamic study on the integrated supercritical water gasification with reforming process for hydrogen production: Effects of operating parameters&lt;/title&gt;&lt;secondary-title&gt;International Journal of Hydrogen Energy&lt;/secondary-title&gt;&lt;/titles&gt;&lt;periodical&gt;&lt;full-title&gt;International Journal of Hydrogen Energy&lt;/full-title&gt;&lt;/periodical&gt;&lt;pages&gt;17620-17632&lt;/pages&gt;&lt;volume&gt;43&lt;/volume&gt;&lt;number&gt;37&lt;/number&gt;&lt;dates&gt;&lt;year&gt;2018&lt;/year&gt;&lt;/dates&gt;&lt;isbn&gt;0360-3199&lt;/isbn&gt;&lt;urls&gt;&lt;/urls&gt;&lt;/record&gt;&lt;/Cite&gt;&lt;Cite&gt;&lt;Author&gt;Castello&lt;/Author&gt;&lt;Year&gt;2011&lt;/Year&gt;&lt;RecNum&gt;6&lt;/RecNum&gt;&lt;record&gt;&lt;rec-number&gt;6&lt;/rec-number&gt;&lt;foreign-keys&gt;&lt;key app="EN" db-id="50eez5z08wvwt5evrp7xr95rzs2ez0x9rtfv" timestamp="1651065878"&gt;6&lt;/key&gt;&lt;/foreign-keys&gt;&lt;ref-type name="Journal Article"&gt;17&lt;/ref-type&gt;&lt;contributors&gt;&lt;authors&gt;&lt;author&gt;Castello, Daniele&lt;/author&gt;&lt;author&gt;Fiori, Luca&lt;/author&gt;&lt;/authors&gt;&lt;/contributors&gt;&lt;titles&gt;&lt;title&gt;Supercritical water gasification of biomass: Thermodynamic constraints&lt;/title&gt;&lt;secondary-title&gt;Bioresource technology&lt;/secondary-title&gt;&lt;/titles&gt;&lt;periodical&gt;&lt;full-title&gt;Bioresource technology&lt;/full-title&gt;&lt;/periodical&gt;&lt;pages&gt;7574-7582&lt;/pages&gt;&lt;volume&gt;102&lt;/volume&gt;&lt;number&gt;16&lt;/number&gt;&lt;dates&gt;&lt;year&gt;2011&lt;/year&gt;&lt;/dates&gt;&lt;isbn&gt;0960-8524&lt;/isbn&gt;&lt;urls&gt;&lt;/urls&gt;&lt;/record&gt;&lt;/Cite&gt;&lt;/EndNote&gt;</w:instrText>
      </w:r>
      <w:r>
        <w:fldChar w:fldCharType="separate"/>
      </w:r>
      <w:r w:rsidR="00322C16">
        <w:rPr>
          <w:noProof/>
        </w:rPr>
        <w:t>(Castello and Fiori 2011, Hantoko, Su et al. 2018)</w:t>
      </w:r>
      <w:r>
        <w:fldChar w:fldCharType="end"/>
      </w:r>
      <w:r>
        <w:t>.</w:t>
      </w:r>
    </w:p>
    <w:p w14:paraId="396A5B20" w14:textId="5A325219" w:rsidR="00F37AA7" w:rsidRDefault="00F37AA7" w:rsidP="00F37AA7">
      <w:pPr>
        <w:pStyle w:val="CETBodytext"/>
      </w:pPr>
      <w:r>
        <w:t xml:space="preserve">The effect of different inorganic contents </w:t>
      </w:r>
      <w:r w:rsidR="00786FE8">
        <w:t xml:space="preserve">of the feedstock </w:t>
      </w:r>
      <w:r>
        <w:t xml:space="preserve">is also displayed in both figures. </w:t>
      </w:r>
      <w:r w:rsidR="00B50811">
        <w:t xml:space="preserve">Consistent </w:t>
      </w:r>
      <w:r>
        <w:t>trend</w:t>
      </w:r>
      <w:r w:rsidR="00B50811">
        <w:t xml:space="preserve">s </w:t>
      </w:r>
      <w:proofErr w:type="gramStart"/>
      <w:r w:rsidR="00B50811">
        <w:t>similar to</w:t>
      </w:r>
      <w:proofErr w:type="gramEnd"/>
      <w:r w:rsidR="00B50811">
        <w:t xml:space="preserve"> what presented in the </w:t>
      </w:r>
      <w:r>
        <w:t xml:space="preserve">previous section </w:t>
      </w:r>
      <w:r w:rsidR="00B50811">
        <w:t>are also</w:t>
      </w:r>
      <w:r>
        <w:t xml:space="preserve"> observed. Higher inorganic content</w:t>
      </w:r>
      <w:r w:rsidR="00637B50">
        <w:t>s</w:t>
      </w:r>
      <w:r>
        <w:t xml:space="preserve"> negatively affect CO</w:t>
      </w:r>
      <w:r w:rsidRPr="00C63664">
        <w:rPr>
          <w:vertAlign w:val="subscript"/>
        </w:rPr>
        <w:t>2</w:t>
      </w:r>
      <w:r>
        <w:t xml:space="preserve"> </w:t>
      </w:r>
      <w:r w:rsidR="00637B50">
        <w:t>formation</w:t>
      </w:r>
      <w:r>
        <w:t xml:space="preserve">, however, the </w:t>
      </w:r>
      <w:r w:rsidR="00637B50">
        <w:t xml:space="preserve">production </w:t>
      </w:r>
      <w:r>
        <w:t>of both H</w:t>
      </w:r>
      <w:r w:rsidRPr="00C63664">
        <w:rPr>
          <w:vertAlign w:val="subscript"/>
        </w:rPr>
        <w:t>2</w:t>
      </w:r>
      <w:r>
        <w:t xml:space="preserve"> and CH</w:t>
      </w:r>
      <w:r w:rsidRPr="00C63664">
        <w:rPr>
          <w:vertAlign w:val="subscript"/>
        </w:rPr>
        <w:t>4</w:t>
      </w:r>
      <w:r>
        <w:t xml:space="preserve"> is increased. The increase in H</w:t>
      </w:r>
      <w:r w:rsidRPr="00024D4F">
        <w:rPr>
          <w:vertAlign w:val="subscript"/>
        </w:rPr>
        <w:t>2</w:t>
      </w:r>
      <w:r>
        <w:t xml:space="preserve"> and CH</w:t>
      </w:r>
      <w:r w:rsidRPr="00024D4F">
        <w:rPr>
          <w:vertAlign w:val="subscript"/>
        </w:rPr>
        <w:t>4</w:t>
      </w:r>
      <w:r>
        <w:t xml:space="preserve"> production is more significant than the decreas</w:t>
      </w:r>
      <w:r w:rsidR="00637B50">
        <w:t>e in</w:t>
      </w:r>
      <w:r>
        <w:t xml:space="preserve"> CO</w:t>
      </w:r>
      <w:r w:rsidRPr="00024D4F">
        <w:rPr>
          <w:vertAlign w:val="subscript"/>
        </w:rPr>
        <w:t>2</w:t>
      </w:r>
      <w:r>
        <w:t xml:space="preserve">. </w:t>
      </w:r>
      <w:r w:rsidR="00637B50">
        <w:t xml:space="preserve">Overall, </w:t>
      </w:r>
      <w:r>
        <w:t xml:space="preserve">the total gas yield increases </w:t>
      </w:r>
      <w:r w:rsidR="00637B50">
        <w:t xml:space="preserve">for </w:t>
      </w:r>
      <w:r>
        <w:t xml:space="preserve">higher inorganic contents, as indicated by Figure 2 (b).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3959"/>
        <w:gridCol w:w="454"/>
        <w:gridCol w:w="3926"/>
      </w:tblGrid>
      <w:tr w:rsidR="00F37AA7" w:rsidRPr="006A14C0" w14:paraId="4616686A" w14:textId="77777777" w:rsidTr="00F06AAE">
        <w:tc>
          <w:tcPr>
            <w:tcW w:w="461" w:type="dxa"/>
          </w:tcPr>
          <w:p w14:paraId="7B79F783" w14:textId="77777777" w:rsidR="00F37AA7" w:rsidRPr="006A14C0" w:rsidRDefault="00F37AA7" w:rsidP="00F06AAE">
            <w:pPr>
              <w:spacing w:line="276" w:lineRule="auto"/>
              <w:rPr>
                <w:rFonts w:cs="Arial"/>
                <w:lang w:val="en-US"/>
              </w:rPr>
            </w:pPr>
            <w:r w:rsidRPr="006A14C0">
              <w:rPr>
                <w:rFonts w:cs="Arial"/>
                <w:lang w:val="en-US"/>
              </w:rPr>
              <w:t>(a)</w:t>
            </w:r>
          </w:p>
        </w:tc>
        <w:tc>
          <w:tcPr>
            <w:tcW w:w="4050" w:type="dxa"/>
          </w:tcPr>
          <w:p w14:paraId="111958AD" w14:textId="77777777" w:rsidR="00F37AA7" w:rsidRPr="006A14C0" w:rsidRDefault="00F37AA7" w:rsidP="00F06AAE">
            <w:pPr>
              <w:spacing w:line="276" w:lineRule="auto"/>
              <w:rPr>
                <w:rFonts w:cs="Arial"/>
                <w:lang w:val="en-US"/>
              </w:rPr>
            </w:pPr>
            <w:r w:rsidRPr="006A14C0">
              <w:rPr>
                <w:rFonts w:cs="Arial"/>
                <w:noProof/>
                <w:lang w:val="en-US"/>
              </w:rPr>
              <w:drawing>
                <wp:inline distT="0" distB="0" distL="0" distR="0" wp14:anchorId="64B07835" wp14:editId="3E4EDCB6">
                  <wp:extent cx="2324452" cy="1548000"/>
                  <wp:effectExtent l="0" t="0" r="0" b="0"/>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4452" cy="1548000"/>
                          </a:xfrm>
                          <a:prstGeom prst="rect">
                            <a:avLst/>
                          </a:prstGeom>
                          <a:noFill/>
                        </pic:spPr>
                      </pic:pic>
                    </a:graphicData>
                  </a:graphic>
                </wp:inline>
              </w:drawing>
            </w:r>
          </w:p>
        </w:tc>
        <w:tc>
          <w:tcPr>
            <w:tcW w:w="473" w:type="dxa"/>
          </w:tcPr>
          <w:p w14:paraId="146B9089" w14:textId="77777777" w:rsidR="00F37AA7" w:rsidRPr="006A14C0" w:rsidRDefault="00F37AA7" w:rsidP="00F06AAE">
            <w:pPr>
              <w:spacing w:line="276" w:lineRule="auto"/>
              <w:rPr>
                <w:rFonts w:cs="Arial"/>
                <w:lang w:val="en-US"/>
              </w:rPr>
            </w:pPr>
            <w:r w:rsidRPr="006A14C0">
              <w:rPr>
                <w:rFonts w:cs="Arial"/>
                <w:lang w:val="en-US"/>
              </w:rPr>
              <w:t>(b)</w:t>
            </w:r>
          </w:p>
        </w:tc>
        <w:tc>
          <w:tcPr>
            <w:tcW w:w="4042" w:type="dxa"/>
          </w:tcPr>
          <w:p w14:paraId="7D948745" w14:textId="77777777" w:rsidR="00F37AA7" w:rsidRPr="006A14C0" w:rsidRDefault="00F37AA7" w:rsidP="00F06AAE">
            <w:pPr>
              <w:spacing w:line="276" w:lineRule="auto"/>
              <w:rPr>
                <w:rFonts w:cs="Arial"/>
                <w:lang w:val="en-US"/>
              </w:rPr>
            </w:pPr>
            <w:r w:rsidRPr="006A14C0">
              <w:rPr>
                <w:rFonts w:cs="Arial"/>
                <w:noProof/>
                <w:lang w:val="en-US"/>
              </w:rPr>
              <w:drawing>
                <wp:inline distT="0" distB="0" distL="0" distR="0" wp14:anchorId="68FA2977" wp14:editId="3F3D9034">
                  <wp:extent cx="2288523" cy="1548000"/>
                  <wp:effectExtent l="0" t="0" r="0" b="0"/>
                  <wp:docPr id="18" name="Picture 1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8523" cy="1548000"/>
                          </a:xfrm>
                          <a:prstGeom prst="rect">
                            <a:avLst/>
                          </a:prstGeom>
                          <a:noFill/>
                        </pic:spPr>
                      </pic:pic>
                    </a:graphicData>
                  </a:graphic>
                </wp:inline>
              </w:drawing>
            </w:r>
          </w:p>
        </w:tc>
      </w:tr>
    </w:tbl>
    <w:p w14:paraId="6D41C524" w14:textId="387157EB" w:rsidR="00D42D10" w:rsidRDefault="00F37AA7" w:rsidP="000A2414">
      <w:pPr>
        <w:pStyle w:val="CETBodytext"/>
      </w:pPr>
      <w:r w:rsidRPr="00F37AA7">
        <w:rPr>
          <w:rStyle w:val="CETCaptionCarattere"/>
        </w:rPr>
        <w:t xml:space="preserve">Figure 2. The effect of pressure on producer gas (a) composition and (b) yield at different inorganic contents (T = 600 </w:t>
      </w:r>
      <w:proofErr w:type="spellStart"/>
      <w:r w:rsidRPr="00F37AA7">
        <w:rPr>
          <w:rStyle w:val="CETCaptionCarattere"/>
          <w:vertAlign w:val="superscript"/>
        </w:rPr>
        <w:t>o</w:t>
      </w:r>
      <w:r w:rsidRPr="00F37AA7">
        <w:rPr>
          <w:rStyle w:val="CETCaptionCarattere"/>
        </w:rPr>
        <w:t>C</w:t>
      </w:r>
      <w:proofErr w:type="spellEnd"/>
      <w:r w:rsidRPr="00F37AA7">
        <w:rPr>
          <w:rStyle w:val="CETCaptionCarattere"/>
        </w:rPr>
        <w:t>, feedstock concentration = 10%, inorganic contents = 100%, 50%, and 0% wt.)</w:t>
      </w:r>
    </w:p>
    <w:p w14:paraId="7639C094" w14:textId="07C0C624" w:rsidR="00883BE7" w:rsidRDefault="0007417C" w:rsidP="00883BE7">
      <w:pPr>
        <w:pStyle w:val="CETheadingx"/>
      </w:pPr>
      <w:r>
        <w:lastRenderedPageBreak/>
        <w:t>Effect of Feed Concentration</w:t>
      </w:r>
    </w:p>
    <w:p w14:paraId="3B7D73D7" w14:textId="1A686B50" w:rsidR="00C52D7B" w:rsidRDefault="00C52D7B" w:rsidP="00C52D7B">
      <w:pPr>
        <w:pStyle w:val="CETBodytext"/>
      </w:pPr>
      <w:r>
        <w:t>The effect of feed concentration on gas composition and yield is presented on Figure 3 (a) and (b)</w:t>
      </w:r>
      <w:r w:rsidR="00CB7B05">
        <w:t>, respectively</w:t>
      </w:r>
      <w:r>
        <w:t xml:space="preserve">. </w:t>
      </w:r>
      <w:r w:rsidR="00CB7B05">
        <w:t>Note that, for this investigation</w:t>
      </w:r>
      <w:r>
        <w:t>, the total mass of feed and water was kept constant during the simulation. Therefore, a higher feed concentration represents a higher amount of feed and lower amount of water. In an HTG system, water acts as a reactant which can significantly influence the chemical reactions. Figure 3 (a) indicates that H</w:t>
      </w:r>
      <w:r w:rsidRPr="00893C83">
        <w:rPr>
          <w:vertAlign w:val="subscript"/>
        </w:rPr>
        <w:t>2</w:t>
      </w:r>
      <w:r>
        <w:t xml:space="preserve"> composition is significantly reduced at higher feed concentration. This is because the decreasing water amount affects the methanation reaction, pushing it towards the direction of CH</w:t>
      </w:r>
      <w:r w:rsidRPr="001F7900">
        <w:rPr>
          <w:vertAlign w:val="subscript"/>
        </w:rPr>
        <w:t>4</w:t>
      </w:r>
      <w:r>
        <w:t xml:space="preserve"> production from H</w:t>
      </w:r>
      <w:r w:rsidRPr="001F7900">
        <w:rPr>
          <w:vertAlign w:val="subscript"/>
        </w:rPr>
        <w:t>2</w:t>
      </w:r>
      <w:r>
        <w:t>. This is also consistent with the significant increase in CH</w:t>
      </w:r>
      <w:r w:rsidRPr="007E0F7B">
        <w:rPr>
          <w:vertAlign w:val="subscript"/>
        </w:rPr>
        <w:t>4</w:t>
      </w:r>
      <w:r>
        <w:t xml:space="preserve"> composition at higher feed concentration. On the other hand, Figure 3 (b) indicates that the overall gas yield decreases notably at higher feed concentration. Similar findings were previously published in an earlier study </w:t>
      </w:r>
      <w:r>
        <w:fldChar w:fldCharType="begin"/>
      </w:r>
      <w:r w:rsidR="00322C16">
        <w:instrText xml:space="preserve"> ADDIN EN.CITE &lt;EndNote&gt;&lt;Cite&gt;&lt;Author&gt;Hantoko&lt;/Author&gt;&lt;Year&gt;2018&lt;/Year&gt;&lt;RecNum&gt;63&lt;/RecNum&gt;&lt;DisplayText&gt;(Hantoko, Su et al. 2018)&lt;/DisplayText&gt;&lt;record&gt;&lt;rec-number&gt;63&lt;/rec-number&gt;&lt;foreign-keys&gt;&lt;key app="EN" db-id="50eez5z08wvwt5evrp7xr95rzs2ez0x9rtfv" timestamp="1665809789"&gt;63&lt;/key&gt;&lt;/foreign-keys&gt;&lt;ref-type name="Journal Article"&gt;17&lt;/ref-type&gt;&lt;contributors&gt;&lt;authors&gt;&lt;author&gt;Hantoko, Dwi&lt;/author&gt;&lt;author&gt;Su, Hongcai&lt;/author&gt;&lt;author&gt;Yan, Mi&lt;/author&gt;&lt;author&gt;Kanchanatip, Ekkachai&lt;/author&gt;&lt;author&gt;Susanto, Herri&lt;/author&gt;&lt;author&gt;Wang, Guobin&lt;/author&gt;&lt;author&gt;Zhang, Sicheng&lt;/author&gt;&lt;author&gt;Xu, Zhang&lt;/author&gt;&lt;/authors&gt;&lt;/contributors&gt;&lt;titles&gt;&lt;title&gt;Thermodynamic study on the integrated supercritical water gasification with reforming process for hydrogen production: Effects of operating parameters&lt;/title&gt;&lt;secondary-title&gt;International Journal of Hydrogen Energy&lt;/secondary-title&gt;&lt;/titles&gt;&lt;periodical&gt;&lt;full-title&gt;International Journal of Hydrogen Energy&lt;/full-title&gt;&lt;/periodical&gt;&lt;pages&gt;17620-17632&lt;/pages&gt;&lt;volume&gt;43&lt;/volume&gt;&lt;number&gt;37&lt;/number&gt;&lt;dates&gt;&lt;year&gt;2018&lt;/year&gt;&lt;/dates&gt;&lt;isbn&gt;0360-3199&lt;/isbn&gt;&lt;urls&gt;&lt;/urls&gt;&lt;/record&gt;&lt;/Cite&gt;&lt;/EndNote&gt;</w:instrText>
      </w:r>
      <w:r>
        <w:fldChar w:fldCharType="separate"/>
      </w:r>
      <w:r w:rsidR="00322C16">
        <w:rPr>
          <w:noProof/>
        </w:rPr>
        <w:t>(Hantoko, Su et al. 2018)</w:t>
      </w:r>
      <w:r>
        <w:fldChar w:fldCharType="end"/>
      </w:r>
      <w:r>
        <w:t>.</w:t>
      </w:r>
    </w:p>
    <w:p w14:paraId="56D1C6F6" w14:textId="7ACA7B8F" w:rsidR="00C52D7B" w:rsidRDefault="00C52D7B" w:rsidP="00C52D7B">
      <w:pPr>
        <w:pStyle w:val="CETBodytext"/>
      </w:pPr>
      <w:r>
        <w:t xml:space="preserve">Both </w:t>
      </w:r>
      <w:r w:rsidR="00AD05A2">
        <w:t>F</w:t>
      </w:r>
      <w:r>
        <w:t xml:space="preserve">igure 3 (a) and (b) also demonstrate the effect of inorganic contents on the producer gas yield and composition. Similar with the result </w:t>
      </w:r>
      <w:r w:rsidR="00AD05A2">
        <w:t xml:space="preserve">presented </w:t>
      </w:r>
      <w:r>
        <w:t xml:space="preserve">in </w:t>
      </w:r>
      <w:r w:rsidR="00AD05A2">
        <w:t xml:space="preserve">the </w:t>
      </w:r>
      <w:r>
        <w:t>previous sections, a higher inorganic content always leads to a decrease in CO</w:t>
      </w:r>
      <w:r w:rsidRPr="00D93425">
        <w:rPr>
          <w:vertAlign w:val="subscript"/>
        </w:rPr>
        <w:t>2</w:t>
      </w:r>
      <w:r>
        <w:t xml:space="preserve"> composition and increase in H</w:t>
      </w:r>
      <w:r w:rsidRPr="000A0895">
        <w:rPr>
          <w:vertAlign w:val="subscript"/>
        </w:rPr>
        <w:t>2</w:t>
      </w:r>
      <w:r>
        <w:t xml:space="preserve"> and CH</w:t>
      </w:r>
      <w:r w:rsidRPr="000A0895">
        <w:rPr>
          <w:vertAlign w:val="subscript"/>
        </w:rPr>
        <w:t>4</w:t>
      </w:r>
      <w:r>
        <w:t xml:space="preserve"> composition. According to the simulation result, the formation of carbonate salts is promoted at higher feed composition. Consequently, the effect of inorganic contents on gas composition is more prominent when the feed composition is higher.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3959"/>
        <w:gridCol w:w="454"/>
        <w:gridCol w:w="3926"/>
      </w:tblGrid>
      <w:tr w:rsidR="009463EA" w:rsidRPr="006A14C0" w14:paraId="6012440D" w14:textId="77777777" w:rsidTr="00F06AAE">
        <w:tc>
          <w:tcPr>
            <w:tcW w:w="461" w:type="dxa"/>
          </w:tcPr>
          <w:p w14:paraId="6D2A6E20" w14:textId="77777777" w:rsidR="009463EA" w:rsidRPr="006A14C0" w:rsidRDefault="009463EA" w:rsidP="00F06AAE">
            <w:pPr>
              <w:spacing w:line="276" w:lineRule="auto"/>
              <w:rPr>
                <w:rFonts w:cs="Arial"/>
                <w:lang w:val="en-US"/>
              </w:rPr>
            </w:pPr>
            <w:r w:rsidRPr="006A14C0">
              <w:rPr>
                <w:rFonts w:cs="Arial"/>
                <w:lang w:val="en-US"/>
              </w:rPr>
              <w:t>(a)</w:t>
            </w:r>
          </w:p>
        </w:tc>
        <w:tc>
          <w:tcPr>
            <w:tcW w:w="4050" w:type="dxa"/>
          </w:tcPr>
          <w:p w14:paraId="0FCFB218" w14:textId="77777777" w:rsidR="009463EA" w:rsidRPr="006A14C0" w:rsidRDefault="009463EA" w:rsidP="00F06AAE">
            <w:pPr>
              <w:spacing w:line="276" w:lineRule="auto"/>
              <w:rPr>
                <w:rFonts w:cs="Arial"/>
                <w:lang w:val="en-US"/>
              </w:rPr>
            </w:pPr>
            <w:r w:rsidRPr="006A14C0">
              <w:rPr>
                <w:rFonts w:cs="Arial"/>
                <w:noProof/>
                <w:lang w:val="en-US"/>
              </w:rPr>
              <w:drawing>
                <wp:inline distT="0" distB="0" distL="0" distR="0" wp14:anchorId="37C97D91" wp14:editId="2ADCBB95">
                  <wp:extent cx="2324452" cy="1548000"/>
                  <wp:effectExtent l="0" t="0" r="0"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452" cy="1548000"/>
                          </a:xfrm>
                          <a:prstGeom prst="rect">
                            <a:avLst/>
                          </a:prstGeom>
                          <a:noFill/>
                        </pic:spPr>
                      </pic:pic>
                    </a:graphicData>
                  </a:graphic>
                </wp:inline>
              </w:drawing>
            </w:r>
          </w:p>
        </w:tc>
        <w:tc>
          <w:tcPr>
            <w:tcW w:w="473" w:type="dxa"/>
          </w:tcPr>
          <w:p w14:paraId="2DF00EEC" w14:textId="77777777" w:rsidR="009463EA" w:rsidRPr="006A14C0" w:rsidRDefault="009463EA" w:rsidP="00F06AAE">
            <w:pPr>
              <w:spacing w:line="276" w:lineRule="auto"/>
              <w:rPr>
                <w:rFonts w:cs="Arial"/>
                <w:lang w:val="en-US"/>
              </w:rPr>
            </w:pPr>
            <w:r w:rsidRPr="006A14C0">
              <w:rPr>
                <w:rFonts w:cs="Arial"/>
                <w:lang w:val="en-US"/>
              </w:rPr>
              <w:t>(b)</w:t>
            </w:r>
          </w:p>
        </w:tc>
        <w:tc>
          <w:tcPr>
            <w:tcW w:w="4042" w:type="dxa"/>
          </w:tcPr>
          <w:p w14:paraId="6D794328" w14:textId="77777777" w:rsidR="009463EA" w:rsidRPr="006A14C0" w:rsidRDefault="009463EA" w:rsidP="00F06AAE">
            <w:pPr>
              <w:spacing w:line="276" w:lineRule="auto"/>
              <w:rPr>
                <w:rFonts w:cs="Arial"/>
                <w:lang w:val="en-US"/>
              </w:rPr>
            </w:pPr>
            <w:r w:rsidRPr="006A14C0">
              <w:rPr>
                <w:rFonts w:cs="Arial"/>
                <w:noProof/>
                <w:lang w:val="en-US"/>
              </w:rPr>
              <w:drawing>
                <wp:inline distT="0" distB="0" distL="0" distR="0" wp14:anchorId="6764424F" wp14:editId="640C2856">
                  <wp:extent cx="2288523" cy="1548000"/>
                  <wp:effectExtent l="0" t="0" r="0" b="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8523" cy="1548000"/>
                          </a:xfrm>
                          <a:prstGeom prst="rect">
                            <a:avLst/>
                          </a:prstGeom>
                          <a:noFill/>
                        </pic:spPr>
                      </pic:pic>
                    </a:graphicData>
                  </a:graphic>
                </wp:inline>
              </w:drawing>
            </w:r>
          </w:p>
        </w:tc>
      </w:tr>
    </w:tbl>
    <w:p w14:paraId="39A77C46" w14:textId="6BF526C8" w:rsidR="009463EA" w:rsidRDefault="009463EA" w:rsidP="00883BE7">
      <w:pPr>
        <w:pStyle w:val="CETBodytext"/>
      </w:pPr>
      <w:r w:rsidRPr="009463EA">
        <w:rPr>
          <w:rStyle w:val="CETCaptionCarattere"/>
        </w:rPr>
        <w:t xml:space="preserve">Figure 3. The effect of feedstock concentration on producer gas (a) composition and (b) yield at different inorganic contents (T = 600 </w:t>
      </w:r>
      <w:proofErr w:type="spellStart"/>
      <w:r w:rsidRPr="009463EA">
        <w:rPr>
          <w:rStyle w:val="CETCaptionCarattere"/>
          <w:vertAlign w:val="superscript"/>
        </w:rPr>
        <w:t>o</w:t>
      </w:r>
      <w:r w:rsidRPr="009463EA">
        <w:rPr>
          <w:rStyle w:val="CETCaptionCarattere"/>
        </w:rPr>
        <w:t>C</w:t>
      </w:r>
      <w:proofErr w:type="spellEnd"/>
      <w:r w:rsidRPr="009463EA">
        <w:rPr>
          <w:rStyle w:val="CETCaptionCarattere"/>
        </w:rPr>
        <w:t>, P = 280 bar, inorganic contents = 100%, 50%, and 0% wt.)</w:t>
      </w:r>
    </w:p>
    <w:p w14:paraId="041A724F" w14:textId="7199D0F8" w:rsidR="00DF6770" w:rsidRPr="002C5A13" w:rsidRDefault="00DF6770" w:rsidP="00DF6770">
      <w:pPr>
        <w:pStyle w:val="CETHeading1"/>
        <w:tabs>
          <w:tab w:val="num" w:pos="360"/>
        </w:tabs>
        <w:rPr>
          <w:lang w:val="en-GB"/>
        </w:rPr>
      </w:pPr>
      <w:r>
        <w:rPr>
          <w:lang w:val="en-GB"/>
        </w:rPr>
        <w:t>Conclusions</w:t>
      </w:r>
    </w:p>
    <w:p w14:paraId="3E26704F" w14:textId="6F906D2C" w:rsidR="009463EA" w:rsidRDefault="009463EA" w:rsidP="009463EA">
      <w:pPr>
        <w:pStyle w:val="CETBodytext"/>
      </w:pPr>
      <w:r>
        <w:t xml:space="preserve">The present work investigated the influence of important process parameters in the HTG of biogas digestate such as temperature, pressure, and feed concentration, while </w:t>
      </w:r>
      <w:proofErr w:type="gramStart"/>
      <w:r>
        <w:t>taking into account</w:t>
      </w:r>
      <w:proofErr w:type="gramEnd"/>
      <w:r>
        <w:t xml:space="preserve"> the effect of inorganic contents in the feedstock. The study found that temperature rise increases H</w:t>
      </w:r>
      <w:r w:rsidRPr="008628E9">
        <w:rPr>
          <w:vertAlign w:val="subscript"/>
        </w:rPr>
        <w:t>2</w:t>
      </w:r>
      <w:r>
        <w:t xml:space="preserve"> composition and decreases CH</w:t>
      </w:r>
      <w:r w:rsidRPr="008628E9">
        <w:rPr>
          <w:vertAlign w:val="subscript"/>
        </w:rPr>
        <w:t>4</w:t>
      </w:r>
      <w:r>
        <w:t xml:space="preserve"> composition, while CO</w:t>
      </w:r>
      <w:r w:rsidRPr="008628E9">
        <w:rPr>
          <w:vertAlign w:val="subscript"/>
        </w:rPr>
        <w:t>2</w:t>
      </w:r>
      <w:r>
        <w:t xml:space="preserve"> composition is only slightly affected. Temperature also positively influences the total gas yield. Pressure has less significant effect, however, a slight increase in total gas yield and CH</w:t>
      </w:r>
      <w:r w:rsidRPr="000C62CC">
        <w:rPr>
          <w:vertAlign w:val="subscript"/>
        </w:rPr>
        <w:t>4</w:t>
      </w:r>
      <w:r>
        <w:t xml:space="preserve"> composition and a slight decrease in H</w:t>
      </w:r>
      <w:r w:rsidRPr="000C62CC">
        <w:rPr>
          <w:vertAlign w:val="subscript"/>
        </w:rPr>
        <w:t>2</w:t>
      </w:r>
      <w:r>
        <w:t xml:space="preserve"> composition is observed at higher pressure. A higher feed concentration significantly increases the production of CH</w:t>
      </w:r>
      <w:r w:rsidRPr="00F73089">
        <w:rPr>
          <w:vertAlign w:val="subscript"/>
        </w:rPr>
        <w:t>4</w:t>
      </w:r>
      <w:r>
        <w:t>, while H</w:t>
      </w:r>
      <w:r w:rsidRPr="00111046">
        <w:rPr>
          <w:vertAlign w:val="subscript"/>
        </w:rPr>
        <w:t>2</w:t>
      </w:r>
      <w:r>
        <w:t xml:space="preserve"> composition, and overall gas yield decrease. Furthermore, it was observed that higher inorganic contents lead to a lower CO</w:t>
      </w:r>
      <w:r w:rsidRPr="00111046">
        <w:rPr>
          <w:vertAlign w:val="subscript"/>
        </w:rPr>
        <w:t>2</w:t>
      </w:r>
      <w:r>
        <w:t xml:space="preserve"> composition, while H</w:t>
      </w:r>
      <w:r w:rsidRPr="00111046">
        <w:rPr>
          <w:vertAlign w:val="subscript"/>
        </w:rPr>
        <w:t>2</w:t>
      </w:r>
      <w:r>
        <w:t xml:space="preserve"> and CH</w:t>
      </w:r>
      <w:r w:rsidRPr="00111046">
        <w:rPr>
          <w:vertAlign w:val="subscript"/>
        </w:rPr>
        <w:t>4</w:t>
      </w:r>
      <w:r>
        <w:t xml:space="preserve"> composition are increased. These results provide a novel insight on a thermodynamic model’s behavior when the feedstock inorganic content is considered. </w:t>
      </w:r>
    </w:p>
    <w:p w14:paraId="12B9194A" w14:textId="091C5CB9" w:rsidR="009E004B" w:rsidRDefault="00680431" w:rsidP="00680431">
      <w:pPr>
        <w:pStyle w:val="CETReference"/>
      </w:pPr>
      <w:bookmarkStart w:id="0" w:name="_Hlk129797456"/>
      <w:r>
        <w:t>Acknowledgement</w:t>
      </w:r>
    </w:p>
    <w:p w14:paraId="30E166C7" w14:textId="77777777" w:rsidR="00B50D04" w:rsidRPr="001216B6" w:rsidRDefault="00B50D04" w:rsidP="00B50D04">
      <w:pPr>
        <w:pStyle w:val="CETBodytext"/>
      </w:pPr>
      <w:r>
        <w:t xml:space="preserve">This work was supported by the </w:t>
      </w:r>
      <w:proofErr w:type="spellStart"/>
      <w:r>
        <w:t>BioSynGas</w:t>
      </w:r>
      <w:proofErr w:type="spellEnd"/>
      <w:r>
        <w:t xml:space="preserve"> project partly funded by the Research Council of Norway (Project Number: </w:t>
      </w:r>
      <w:r w:rsidRPr="00425CC2">
        <w:t>319723</w:t>
      </w:r>
      <w:r>
        <w:t>).</w:t>
      </w:r>
    </w:p>
    <w:bookmarkEnd w:id="0"/>
    <w:p w14:paraId="4F1327F8" w14:textId="7D7AF823" w:rsidR="00600535" w:rsidRPr="00290E58" w:rsidRDefault="00600535" w:rsidP="00600535">
      <w:pPr>
        <w:pStyle w:val="CETReference"/>
        <w:rPr>
          <w:lang w:val="en-US"/>
        </w:rPr>
      </w:pPr>
      <w:r w:rsidRPr="00290E58">
        <w:rPr>
          <w:lang w:val="en-US"/>
        </w:rPr>
        <w:t>References</w:t>
      </w:r>
    </w:p>
    <w:p w14:paraId="71AF39CA" w14:textId="77777777" w:rsidR="00322C16" w:rsidRPr="002E7B82" w:rsidRDefault="002A70D7" w:rsidP="002E7B82">
      <w:pPr>
        <w:pStyle w:val="EndNoteBibliography"/>
        <w:ind w:left="426" w:hanging="426"/>
        <w:rPr>
          <w:sz w:val="18"/>
          <w:szCs w:val="18"/>
        </w:rPr>
      </w:pPr>
      <w:r w:rsidRPr="002E7B82">
        <w:rPr>
          <w:sz w:val="18"/>
          <w:szCs w:val="18"/>
        </w:rPr>
        <w:fldChar w:fldCharType="begin"/>
      </w:r>
      <w:r w:rsidRPr="00290E58">
        <w:rPr>
          <w:sz w:val="18"/>
          <w:szCs w:val="18"/>
        </w:rPr>
        <w:instrText xml:space="preserve"> ADDIN EN.REFLIST </w:instrText>
      </w:r>
      <w:r w:rsidRPr="002E7B82">
        <w:rPr>
          <w:sz w:val="18"/>
          <w:szCs w:val="18"/>
        </w:rPr>
        <w:fldChar w:fldCharType="separate"/>
      </w:r>
      <w:r w:rsidR="00322C16" w:rsidRPr="002E7B82">
        <w:rPr>
          <w:sz w:val="18"/>
          <w:szCs w:val="18"/>
        </w:rPr>
        <w:t xml:space="preserve">Castello, D. and L. Fiori (2011). "Supercritical water gasification of biomass: Thermodynamic constraints." </w:t>
      </w:r>
      <w:r w:rsidR="00322C16" w:rsidRPr="002E7B82">
        <w:rPr>
          <w:sz w:val="18"/>
          <w:szCs w:val="18"/>
          <w:u w:val="single"/>
        </w:rPr>
        <w:t>Bioresource technology</w:t>
      </w:r>
      <w:r w:rsidR="00322C16" w:rsidRPr="002E7B82">
        <w:rPr>
          <w:sz w:val="18"/>
          <w:szCs w:val="18"/>
        </w:rPr>
        <w:t xml:space="preserve"> </w:t>
      </w:r>
      <w:r w:rsidR="00322C16" w:rsidRPr="002E7B82">
        <w:rPr>
          <w:b/>
          <w:sz w:val="18"/>
          <w:szCs w:val="18"/>
        </w:rPr>
        <w:t>102</w:t>
      </w:r>
      <w:r w:rsidR="00322C16" w:rsidRPr="002E7B82">
        <w:rPr>
          <w:sz w:val="18"/>
          <w:szCs w:val="18"/>
        </w:rPr>
        <w:t>(16): 7574-7582.</w:t>
      </w:r>
    </w:p>
    <w:p w14:paraId="1462081E" w14:textId="77777777" w:rsidR="00322C16" w:rsidRPr="002E7B82" w:rsidRDefault="00322C16" w:rsidP="002E7B82">
      <w:pPr>
        <w:pStyle w:val="EndNoteBibliography"/>
        <w:ind w:left="426" w:hanging="426"/>
        <w:rPr>
          <w:sz w:val="18"/>
          <w:szCs w:val="18"/>
        </w:rPr>
      </w:pPr>
      <w:r w:rsidRPr="002E7B82">
        <w:rPr>
          <w:sz w:val="18"/>
          <w:szCs w:val="18"/>
        </w:rPr>
        <w:t xml:space="preserve">Chrastil, J. (1982). "Solubility of solids and liquids in supercritical gases." </w:t>
      </w:r>
      <w:r w:rsidRPr="002E7B82">
        <w:rPr>
          <w:sz w:val="18"/>
          <w:szCs w:val="18"/>
          <w:u w:val="single"/>
        </w:rPr>
        <w:t>The Journal of Physical Chemistry</w:t>
      </w:r>
      <w:r w:rsidRPr="002E7B82">
        <w:rPr>
          <w:sz w:val="18"/>
          <w:szCs w:val="18"/>
        </w:rPr>
        <w:t xml:space="preserve"> </w:t>
      </w:r>
      <w:r w:rsidRPr="002E7B82">
        <w:rPr>
          <w:b/>
          <w:sz w:val="18"/>
          <w:szCs w:val="18"/>
        </w:rPr>
        <w:t>86</w:t>
      </w:r>
      <w:r w:rsidRPr="002E7B82">
        <w:rPr>
          <w:sz w:val="18"/>
          <w:szCs w:val="18"/>
        </w:rPr>
        <w:t>(15): 3016-3021.</w:t>
      </w:r>
    </w:p>
    <w:p w14:paraId="58BD4E7E" w14:textId="77777777" w:rsidR="00322C16" w:rsidRPr="002E7B82" w:rsidRDefault="00322C16" w:rsidP="002E7B82">
      <w:pPr>
        <w:pStyle w:val="EndNoteBibliography"/>
        <w:ind w:left="426" w:hanging="426"/>
        <w:rPr>
          <w:sz w:val="18"/>
          <w:szCs w:val="18"/>
        </w:rPr>
      </w:pPr>
      <w:r w:rsidRPr="002E7B82">
        <w:rPr>
          <w:sz w:val="18"/>
          <w:szCs w:val="18"/>
        </w:rPr>
        <w:t xml:space="preserve">Divya, D., L. Gopinath and P. M. Christy (2015). "A review on current aspects and diverse prospects for enhancing biogas production in sustainable means." </w:t>
      </w:r>
      <w:r w:rsidRPr="002E7B82">
        <w:rPr>
          <w:sz w:val="18"/>
          <w:szCs w:val="18"/>
          <w:u w:val="single"/>
        </w:rPr>
        <w:t>Renewable and sustainable energy reviews</w:t>
      </w:r>
      <w:r w:rsidRPr="002E7B82">
        <w:rPr>
          <w:sz w:val="18"/>
          <w:szCs w:val="18"/>
        </w:rPr>
        <w:t xml:space="preserve"> </w:t>
      </w:r>
      <w:r w:rsidRPr="002E7B82">
        <w:rPr>
          <w:b/>
          <w:sz w:val="18"/>
          <w:szCs w:val="18"/>
        </w:rPr>
        <w:t>42</w:t>
      </w:r>
      <w:r w:rsidRPr="002E7B82">
        <w:rPr>
          <w:sz w:val="18"/>
          <w:szCs w:val="18"/>
        </w:rPr>
        <w:t>: 690-699.</w:t>
      </w:r>
    </w:p>
    <w:p w14:paraId="3E20F1DB" w14:textId="77777777" w:rsidR="00322C16" w:rsidRPr="002E7B82" w:rsidRDefault="00322C16" w:rsidP="002E7B82">
      <w:pPr>
        <w:pStyle w:val="EndNoteBibliography"/>
        <w:ind w:left="426" w:hanging="426"/>
        <w:rPr>
          <w:sz w:val="18"/>
          <w:szCs w:val="18"/>
        </w:rPr>
      </w:pPr>
      <w:r w:rsidRPr="002E7B82">
        <w:rPr>
          <w:sz w:val="18"/>
          <w:szCs w:val="18"/>
        </w:rPr>
        <w:t xml:space="preserve">Freitas, A. and R. Guirardello (2013). "Thermodynamic analysis of supercritical water gasification of microalgae biomass for hydrogen and syngas production." </w:t>
      </w:r>
      <w:r w:rsidRPr="002E7B82">
        <w:rPr>
          <w:sz w:val="18"/>
          <w:szCs w:val="18"/>
          <w:u w:val="single"/>
        </w:rPr>
        <w:t>Chemical Engineering Transactions</w:t>
      </w:r>
      <w:r w:rsidRPr="002E7B82">
        <w:rPr>
          <w:sz w:val="18"/>
          <w:szCs w:val="18"/>
        </w:rPr>
        <w:t xml:space="preserve"> </w:t>
      </w:r>
      <w:r w:rsidRPr="002E7B82">
        <w:rPr>
          <w:b/>
          <w:sz w:val="18"/>
          <w:szCs w:val="18"/>
        </w:rPr>
        <w:t>32</w:t>
      </w:r>
      <w:r w:rsidRPr="002E7B82">
        <w:rPr>
          <w:sz w:val="18"/>
          <w:szCs w:val="18"/>
        </w:rPr>
        <w:t>: 553-558.</w:t>
      </w:r>
    </w:p>
    <w:p w14:paraId="51483B62" w14:textId="77777777" w:rsidR="00322C16" w:rsidRPr="002E7B82" w:rsidRDefault="00322C16" w:rsidP="002E7B82">
      <w:pPr>
        <w:pStyle w:val="EndNoteBibliography"/>
        <w:ind w:left="426" w:hanging="426"/>
        <w:rPr>
          <w:sz w:val="18"/>
          <w:szCs w:val="18"/>
        </w:rPr>
      </w:pPr>
      <w:r w:rsidRPr="002E7B82">
        <w:rPr>
          <w:sz w:val="18"/>
          <w:szCs w:val="18"/>
        </w:rPr>
        <w:lastRenderedPageBreak/>
        <w:t xml:space="preserve">Freitas, A. C. and R. Guirardello (2014). "Comparison of several glycerol reforming methods for hydrogen and syngas production using Gibbs energy minimization." </w:t>
      </w:r>
      <w:r w:rsidRPr="002E7B82">
        <w:rPr>
          <w:sz w:val="18"/>
          <w:szCs w:val="18"/>
          <w:u w:val="single"/>
        </w:rPr>
        <w:t>International journal of hydrogen energy</w:t>
      </w:r>
      <w:r w:rsidRPr="002E7B82">
        <w:rPr>
          <w:sz w:val="18"/>
          <w:szCs w:val="18"/>
        </w:rPr>
        <w:t xml:space="preserve"> </w:t>
      </w:r>
      <w:r w:rsidRPr="002E7B82">
        <w:rPr>
          <w:b/>
          <w:sz w:val="18"/>
          <w:szCs w:val="18"/>
        </w:rPr>
        <w:t>39</w:t>
      </w:r>
      <w:r w:rsidRPr="002E7B82">
        <w:rPr>
          <w:sz w:val="18"/>
          <w:szCs w:val="18"/>
        </w:rPr>
        <w:t>(31): 17969-17984.</w:t>
      </w:r>
    </w:p>
    <w:p w14:paraId="6C3D67A9" w14:textId="77777777" w:rsidR="00322C16" w:rsidRPr="002E7B82" w:rsidRDefault="00322C16" w:rsidP="002E7B82">
      <w:pPr>
        <w:pStyle w:val="EndNoteBibliography"/>
        <w:ind w:left="426" w:hanging="426"/>
        <w:rPr>
          <w:sz w:val="18"/>
          <w:szCs w:val="18"/>
        </w:rPr>
      </w:pPr>
      <w:r w:rsidRPr="002E7B82">
        <w:rPr>
          <w:sz w:val="18"/>
          <w:szCs w:val="18"/>
        </w:rPr>
        <w:t xml:space="preserve">Guilayn, F., M. Rouez, M. Crest, D. Patureau and J. Jimenez (2020). "Valorization of digestates from urban or centralized biogas plants: a critical review." </w:t>
      </w:r>
      <w:r w:rsidRPr="002E7B82">
        <w:rPr>
          <w:sz w:val="18"/>
          <w:szCs w:val="18"/>
          <w:u w:val="single"/>
        </w:rPr>
        <w:t>Reviews in Environmental Science and Bio/Technology</w:t>
      </w:r>
      <w:r w:rsidRPr="002E7B82">
        <w:rPr>
          <w:sz w:val="18"/>
          <w:szCs w:val="18"/>
        </w:rPr>
        <w:t xml:space="preserve"> </w:t>
      </w:r>
      <w:r w:rsidRPr="002E7B82">
        <w:rPr>
          <w:b/>
          <w:sz w:val="18"/>
          <w:szCs w:val="18"/>
        </w:rPr>
        <w:t>19</w:t>
      </w:r>
      <w:r w:rsidRPr="002E7B82">
        <w:rPr>
          <w:sz w:val="18"/>
          <w:szCs w:val="18"/>
        </w:rPr>
        <w:t>(2): 419-462.</w:t>
      </w:r>
    </w:p>
    <w:p w14:paraId="59871443" w14:textId="77777777" w:rsidR="00322C16" w:rsidRPr="002E7B82" w:rsidRDefault="00322C16" w:rsidP="002E7B82">
      <w:pPr>
        <w:pStyle w:val="EndNoteBibliography"/>
        <w:ind w:left="426" w:hanging="426"/>
        <w:rPr>
          <w:sz w:val="18"/>
          <w:szCs w:val="18"/>
        </w:rPr>
      </w:pPr>
      <w:r w:rsidRPr="002E7B82">
        <w:rPr>
          <w:sz w:val="18"/>
          <w:szCs w:val="18"/>
        </w:rPr>
        <w:t xml:space="preserve">Guo, S., L. Guo, C. Cao, J. Yin, Y. Lu and X. Zhang (2012). "Hydrogen production from glycerol by supercritical water gasification in a continuous flow tubular reactor." </w:t>
      </w:r>
      <w:r w:rsidRPr="002E7B82">
        <w:rPr>
          <w:sz w:val="18"/>
          <w:szCs w:val="18"/>
          <w:u w:val="single"/>
        </w:rPr>
        <w:t>International Journal of Hydrogen Energy</w:t>
      </w:r>
      <w:r w:rsidRPr="002E7B82">
        <w:rPr>
          <w:sz w:val="18"/>
          <w:szCs w:val="18"/>
        </w:rPr>
        <w:t xml:space="preserve"> </w:t>
      </w:r>
      <w:r w:rsidRPr="002E7B82">
        <w:rPr>
          <w:b/>
          <w:sz w:val="18"/>
          <w:szCs w:val="18"/>
        </w:rPr>
        <w:t>37</w:t>
      </w:r>
      <w:r w:rsidRPr="002E7B82">
        <w:rPr>
          <w:sz w:val="18"/>
          <w:szCs w:val="18"/>
        </w:rPr>
        <w:t>(7): 5559-5568.</w:t>
      </w:r>
    </w:p>
    <w:p w14:paraId="0E331F47" w14:textId="77777777" w:rsidR="00322C16" w:rsidRPr="002E7B82" w:rsidRDefault="00322C16" w:rsidP="002E7B82">
      <w:pPr>
        <w:pStyle w:val="EndNoteBibliography"/>
        <w:ind w:left="426" w:hanging="426"/>
        <w:rPr>
          <w:sz w:val="18"/>
          <w:szCs w:val="18"/>
        </w:rPr>
      </w:pPr>
      <w:r w:rsidRPr="002E7B82">
        <w:rPr>
          <w:sz w:val="18"/>
          <w:szCs w:val="18"/>
        </w:rPr>
        <w:t xml:space="preserve">Hantoko, D., H. Su, M. Yan, E. Kanchanatip, H. Susanto, G. Wang, S. Zhang and Z. Xu (2018). "Thermodynamic study on the integrated supercritical water gasification with reforming process for hydrogen production: Effects of operating parameters." </w:t>
      </w:r>
      <w:r w:rsidRPr="002E7B82">
        <w:rPr>
          <w:sz w:val="18"/>
          <w:szCs w:val="18"/>
          <w:u w:val="single"/>
        </w:rPr>
        <w:t>International Journal of Hydrogen Energy</w:t>
      </w:r>
      <w:r w:rsidRPr="002E7B82">
        <w:rPr>
          <w:sz w:val="18"/>
          <w:szCs w:val="18"/>
        </w:rPr>
        <w:t xml:space="preserve"> </w:t>
      </w:r>
      <w:r w:rsidRPr="002E7B82">
        <w:rPr>
          <w:b/>
          <w:sz w:val="18"/>
          <w:szCs w:val="18"/>
        </w:rPr>
        <w:t>43</w:t>
      </w:r>
      <w:r w:rsidRPr="002E7B82">
        <w:rPr>
          <w:sz w:val="18"/>
          <w:szCs w:val="18"/>
        </w:rPr>
        <w:t>(37): 17620-17632.</w:t>
      </w:r>
    </w:p>
    <w:p w14:paraId="0668D26A" w14:textId="77777777" w:rsidR="00322C16" w:rsidRPr="002E7B82" w:rsidRDefault="00322C16" w:rsidP="002E7B82">
      <w:pPr>
        <w:pStyle w:val="EndNoteBibliography"/>
        <w:ind w:left="426" w:hanging="426"/>
        <w:rPr>
          <w:sz w:val="18"/>
          <w:szCs w:val="18"/>
        </w:rPr>
      </w:pPr>
      <w:r w:rsidRPr="002E7B82">
        <w:rPr>
          <w:sz w:val="18"/>
          <w:szCs w:val="18"/>
        </w:rPr>
        <w:t xml:space="preserve">Macrì, D., E. Catizzone, A. Molino and M. Migliori (2020). "Supercritical water gasification of biomass and agro-food residues: Energy assessment from modelling approach." </w:t>
      </w:r>
      <w:r w:rsidRPr="002E7B82">
        <w:rPr>
          <w:sz w:val="18"/>
          <w:szCs w:val="18"/>
          <w:u w:val="single"/>
        </w:rPr>
        <w:t>Renewable Energy</w:t>
      </w:r>
      <w:r w:rsidRPr="002E7B82">
        <w:rPr>
          <w:sz w:val="18"/>
          <w:szCs w:val="18"/>
        </w:rPr>
        <w:t xml:space="preserve"> </w:t>
      </w:r>
      <w:r w:rsidRPr="002E7B82">
        <w:rPr>
          <w:b/>
          <w:sz w:val="18"/>
          <w:szCs w:val="18"/>
        </w:rPr>
        <w:t>150</w:t>
      </w:r>
      <w:r w:rsidRPr="002E7B82">
        <w:rPr>
          <w:sz w:val="18"/>
          <w:szCs w:val="18"/>
        </w:rPr>
        <w:t>: 624-636.</w:t>
      </w:r>
    </w:p>
    <w:p w14:paraId="31205EA2" w14:textId="77777777" w:rsidR="00322C16" w:rsidRPr="002E7B82" w:rsidRDefault="00322C16" w:rsidP="002E7B82">
      <w:pPr>
        <w:pStyle w:val="EndNoteBibliography"/>
        <w:ind w:left="426" w:hanging="426"/>
        <w:rPr>
          <w:sz w:val="18"/>
          <w:szCs w:val="18"/>
        </w:rPr>
      </w:pPr>
      <w:r w:rsidRPr="002E7B82">
        <w:rPr>
          <w:sz w:val="18"/>
          <w:szCs w:val="18"/>
        </w:rPr>
        <w:t xml:space="preserve">Mutlu, Ö. Ç. and T. Zeng (2020). "Challenges and opportunities of modeling biomass gasification in Aspen Plus: A review." </w:t>
      </w:r>
      <w:r w:rsidRPr="002E7B82">
        <w:rPr>
          <w:sz w:val="18"/>
          <w:szCs w:val="18"/>
          <w:u w:val="single"/>
        </w:rPr>
        <w:t>Chemical Engineering &amp; Technology</w:t>
      </w:r>
      <w:r w:rsidRPr="002E7B82">
        <w:rPr>
          <w:sz w:val="18"/>
          <w:szCs w:val="18"/>
        </w:rPr>
        <w:t xml:space="preserve"> </w:t>
      </w:r>
      <w:r w:rsidRPr="002E7B82">
        <w:rPr>
          <w:b/>
          <w:sz w:val="18"/>
          <w:szCs w:val="18"/>
        </w:rPr>
        <w:t>43</w:t>
      </w:r>
      <w:r w:rsidRPr="002E7B82">
        <w:rPr>
          <w:sz w:val="18"/>
          <w:szCs w:val="18"/>
        </w:rPr>
        <w:t>(9): 1674-1689.</w:t>
      </w:r>
    </w:p>
    <w:p w14:paraId="100F15B2" w14:textId="77777777" w:rsidR="00322C16" w:rsidRPr="002E7B82" w:rsidRDefault="00322C16" w:rsidP="002E7B82">
      <w:pPr>
        <w:pStyle w:val="EndNoteBibliography"/>
        <w:ind w:left="426" w:hanging="426"/>
        <w:rPr>
          <w:sz w:val="18"/>
          <w:szCs w:val="18"/>
        </w:rPr>
      </w:pPr>
      <w:r w:rsidRPr="002E7B82">
        <w:rPr>
          <w:sz w:val="18"/>
          <w:szCs w:val="18"/>
        </w:rPr>
        <w:t xml:space="preserve">Nkoa, R. (2014). "Agricultural benefits and environmental risks of soil fertilization with anaerobic digestates: a review." </w:t>
      </w:r>
      <w:r w:rsidRPr="002E7B82">
        <w:rPr>
          <w:sz w:val="18"/>
          <w:szCs w:val="18"/>
          <w:u w:val="single"/>
        </w:rPr>
        <w:t>Agronomy for Sustainable Development</w:t>
      </w:r>
      <w:r w:rsidRPr="002E7B82">
        <w:rPr>
          <w:sz w:val="18"/>
          <w:szCs w:val="18"/>
        </w:rPr>
        <w:t xml:space="preserve"> </w:t>
      </w:r>
      <w:r w:rsidRPr="002E7B82">
        <w:rPr>
          <w:b/>
          <w:sz w:val="18"/>
          <w:szCs w:val="18"/>
        </w:rPr>
        <w:t>34</w:t>
      </w:r>
      <w:r w:rsidRPr="002E7B82">
        <w:rPr>
          <w:sz w:val="18"/>
          <w:szCs w:val="18"/>
        </w:rPr>
        <w:t>(2): 473-492.</w:t>
      </w:r>
    </w:p>
    <w:p w14:paraId="5693CD0B" w14:textId="77777777" w:rsidR="00322C16" w:rsidRPr="002E7B82" w:rsidRDefault="00322C16" w:rsidP="002E7B82">
      <w:pPr>
        <w:pStyle w:val="EndNoteBibliography"/>
        <w:ind w:left="426" w:hanging="426"/>
        <w:rPr>
          <w:sz w:val="18"/>
          <w:szCs w:val="18"/>
        </w:rPr>
      </w:pPr>
      <w:r w:rsidRPr="002E7B82">
        <w:rPr>
          <w:sz w:val="18"/>
          <w:szCs w:val="18"/>
        </w:rPr>
        <w:t xml:space="preserve">Okolie, J. A., E. I. Epelle, S. Nanda, D. Castello, A. K. Dalai and J. A. Kozinski (2021). "Modeling and process optimization of hydrothermal gasification for hydrogen production: A comprehensive review." </w:t>
      </w:r>
      <w:r w:rsidRPr="002E7B82">
        <w:rPr>
          <w:sz w:val="18"/>
          <w:szCs w:val="18"/>
          <w:u w:val="single"/>
        </w:rPr>
        <w:t>The Journal of Supercritical Fluids</w:t>
      </w:r>
      <w:r w:rsidRPr="002E7B82">
        <w:rPr>
          <w:sz w:val="18"/>
          <w:szCs w:val="18"/>
        </w:rPr>
        <w:t xml:space="preserve"> </w:t>
      </w:r>
      <w:r w:rsidRPr="002E7B82">
        <w:rPr>
          <w:b/>
          <w:sz w:val="18"/>
          <w:szCs w:val="18"/>
        </w:rPr>
        <w:t>173</w:t>
      </w:r>
      <w:r w:rsidRPr="002E7B82">
        <w:rPr>
          <w:sz w:val="18"/>
          <w:szCs w:val="18"/>
        </w:rPr>
        <w:t>: 105199.</w:t>
      </w:r>
    </w:p>
    <w:p w14:paraId="6BA5584C" w14:textId="77777777" w:rsidR="00322C16" w:rsidRPr="002E7B82" w:rsidRDefault="00322C16" w:rsidP="002E7B82">
      <w:pPr>
        <w:pStyle w:val="EndNoteBibliography"/>
        <w:ind w:left="426" w:hanging="426"/>
        <w:rPr>
          <w:sz w:val="18"/>
          <w:szCs w:val="18"/>
        </w:rPr>
      </w:pPr>
      <w:r w:rsidRPr="002E7B82">
        <w:rPr>
          <w:sz w:val="18"/>
          <w:szCs w:val="18"/>
        </w:rPr>
        <w:t xml:space="preserve">Onwudili, J. A. and P. T. Williams (2014). Production of hydrogen from biomass via supercritical water gasification. </w:t>
      </w:r>
      <w:r w:rsidRPr="002E7B82">
        <w:rPr>
          <w:sz w:val="18"/>
          <w:szCs w:val="18"/>
          <w:u w:val="single"/>
        </w:rPr>
        <w:t>Near-critical and supercritical water and their applications for biorefineries</w:t>
      </w:r>
      <w:r w:rsidRPr="002E7B82">
        <w:rPr>
          <w:sz w:val="18"/>
          <w:szCs w:val="18"/>
        </w:rPr>
        <w:t>, Springer</w:t>
      </w:r>
      <w:r w:rsidRPr="002E7B82">
        <w:rPr>
          <w:b/>
          <w:sz w:val="18"/>
          <w:szCs w:val="18"/>
        </w:rPr>
        <w:t xml:space="preserve">: </w:t>
      </w:r>
      <w:r w:rsidRPr="002E7B82">
        <w:rPr>
          <w:sz w:val="18"/>
          <w:szCs w:val="18"/>
        </w:rPr>
        <w:t>299-322.</w:t>
      </w:r>
    </w:p>
    <w:p w14:paraId="02C7C0EA" w14:textId="77777777" w:rsidR="00322C16" w:rsidRPr="002E7B82" w:rsidRDefault="00322C16" w:rsidP="002E7B82">
      <w:pPr>
        <w:pStyle w:val="EndNoteBibliography"/>
        <w:ind w:left="426" w:hanging="426"/>
        <w:rPr>
          <w:sz w:val="18"/>
          <w:szCs w:val="18"/>
        </w:rPr>
      </w:pPr>
      <w:r w:rsidRPr="002E7B82">
        <w:rPr>
          <w:sz w:val="18"/>
          <w:szCs w:val="18"/>
        </w:rPr>
        <w:t xml:space="preserve">Parmar, K. R. and A. B. Ross (2019). "Integration of hydrothermal carbonisation with anaerobic digestion; Opportunities for valorisation of digestate." </w:t>
      </w:r>
      <w:r w:rsidRPr="002E7B82">
        <w:rPr>
          <w:sz w:val="18"/>
          <w:szCs w:val="18"/>
          <w:u w:val="single"/>
        </w:rPr>
        <w:t>Energies</w:t>
      </w:r>
      <w:r w:rsidRPr="002E7B82">
        <w:rPr>
          <w:sz w:val="18"/>
          <w:szCs w:val="18"/>
        </w:rPr>
        <w:t xml:space="preserve"> </w:t>
      </w:r>
      <w:r w:rsidRPr="002E7B82">
        <w:rPr>
          <w:b/>
          <w:sz w:val="18"/>
          <w:szCs w:val="18"/>
        </w:rPr>
        <w:t>12</w:t>
      </w:r>
      <w:r w:rsidRPr="002E7B82">
        <w:rPr>
          <w:sz w:val="18"/>
          <w:szCs w:val="18"/>
        </w:rPr>
        <w:t>(9): 1586.</w:t>
      </w:r>
    </w:p>
    <w:p w14:paraId="78D429FA" w14:textId="77777777" w:rsidR="00322C16" w:rsidRPr="002E7B82" w:rsidRDefault="00322C16" w:rsidP="002E7B82">
      <w:pPr>
        <w:pStyle w:val="EndNoteBibliography"/>
        <w:ind w:left="426" w:hanging="426"/>
        <w:rPr>
          <w:sz w:val="18"/>
          <w:szCs w:val="18"/>
        </w:rPr>
      </w:pPr>
      <w:r w:rsidRPr="002E7B82">
        <w:rPr>
          <w:sz w:val="18"/>
          <w:szCs w:val="18"/>
        </w:rPr>
        <w:t xml:space="preserve">Scarlat, N., J.-F. Dallemand and F. Fahl (2018). "Biogas: Developments and perspectives in Europe." </w:t>
      </w:r>
      <w:r w:rsidRPr="002E7B82">
        <w:rPr>
          <w:sz w:val="18"/>
          <w:szCs w:val="18"/>
          <w:u w:val="single"/>
        </w:rPr>
        <w:t>Renewable energy</w:t>
      </w:r>
      <w:r w:rsidRPr="002E7B82">
        <w:rPr>
          <w:sz w:val="18"/>
          <w:szCs w:val="18"/>
        </w:rPr>
        <w:t xml:space="preserve"> </w:t>
      </w:r>
      <w:r w:rsidRPr="002E7B82">
        <w:rPr>
          <w:b/>
          <w:sz w:val="18"/>
          <w:szCs w:val="18"/>
        </w:rPr>
        <w:t>129</w:t>
      </w:r>
      <w:r w:rsidRPr="002E7B82">
        <w:rPr>
          <w:sz w:val="18"/>
          <w:szCs w:val="18"/>
        </w:rPr>
        <w:t>: 457-472.</w:t>
      </w:r>
    </w:p>
    <w:p w14:paraId="6C21D2A3" w14:textId="77777777" w:rsidR="00322C16" w:rsidRPr="002E7B82" w:rsidRDefault="00322C16" w:rsidP="002E7B82">
      <w:pPr>
        <w:pStyle w:val="EndNoteBibliography"/>
        <w:ind w:left="426" w:hanging="426"/>
        <w:rPr>
          <w:sz w:val="18"/>
          <w:szCs w:val="18"/>
        </w:rPr>
      </w:pPr>
      <w:r w:rsidRPr="002E7B82">
        <w:rPr>
          <w:sz w:val="18"/>
          <w:szCs w:val="18"/>
        </w:rPr>
        <w:t xml:space="preserve">Su, H., M. Yan and S. Wang (2022). "Recent advances in supercritical water gasification of biowaste catalyzed by transition metal-based catalysts for hydrogen production." </w:t>
      </w:r>
      <w:r w:rsidRPr="002E7B82">
        <w:rPr>
          <w:sz w:val="18"/>
          <w:szCs w:val="18"/>
          <w:u w:val="single"/>
        </w:rPr>
        <w:t>Renewable and Sustainable Energy Reviews</w:t>
      </w:r>
      <w:r w:rsidRPr="002E7B82">
        <w:rPr>
          <w:sz w:val="18"/>
          <w:szCs w:val="18"/>
        </w:rPr>
        <w:t xml:space="preserve"> </w:t>
      </w:r>
      <w:r w:rsidRPr="002E7B82">
        <w:rPr>
          <w:b/>
          <w:sz w:val="18"/>
          <w:szCs w:val="18"/>
        </w:rPr>
        <w:t>154</w:t>
      </w:r>
      <w:r w:rsidRPr="002E7B82">
        <w:rPr>
          <w:sz w:val="18"/>
          <w:szCs w:val="18"/>
        </w:rPr>
        <w:t>: 111831.</w:t>
      </w:r>
    </w:p>
    <w:p w14:paraId="4019959C" w14:textId="77777777" w:rsidR="00322C16" w:rsidRPr="002E7B82" w:rsidRDefault="00322C16" w:rsidP="002E7B82">
      <w:pPr>
        <w:pStyle w:val="EndNoteBibliography"/>
        <w:ind w:left="426" w:hanging="426"/>
        <w:rPr>
          <w:sz w:val="18"/>
          <w:szCs w:val="18"/>
        </w:rPr>
      </w:pPr>
      <w:r w:rsidRPr="002E7B82">
        <w:rPr>
          <w:sz w:val="18"/>
          <w:szCs w:val="18"/>
        </w:rPr>
        <w:t xml:space="preserve">Sudibyo, H., M. Pecchi and J. W. Tester (2022). "Experimental-based mechanistic study and optimization of hydrothermal liquefaction of anaerobic digestates." </w:t>
      </w:r>
      <w:r w:rsidRPr="002E7B82">
        <w:rPr>
          <w:sz w:val="18"/>
          <w:szCs w:val="18"/>
          <w:u w:val="single"/>
        </w:rPr>
        <w:t>Sustainable Energy &amp; Fuels</w:t>
      </w:r>
      <w:r w:rsidRPr="002E7B82">
        <w:rPr>
          <w:sz w:val="18"/>
          <w:szCs w:val="18"/>
        </w:rPr>
        <w:t xml:space="preserve"> </w:t>
      </w:r>
      <w:r w:rsidRPr="002E7B82">
        <w:rPr>
          <w:b/>
          <w:sz w:val="18"/>
          <w:szCs w:val="18"/>
        </w:rPr>
        <w:t>6</w:t>
      </w:r>
      <w:r w:rsidRPr="002E7B82">
        <w:rPr>
          <w:sz w:val="18"/>
          <w:szCs w:val="18"/>
        </w:rPr>
        <w:t>(9): 2314-2329.</w:t>
      </w:r>
    </w:p>
    <w:p w14:paraId="2AADABA5" w14:textId="77777777" w:rsidR="00322C16" w:rsidRPr="002E7B82" w:rsidRDefault="00322C16" w:rsidP="002E7B82">
      <w:pPr>
        <w:pStyle w:val="EndNoteBibliography"/>
        <w:ind w:left="426" w:hanging="426"/>
        <w:rPr>
          <w:sz w:val="18"/>
          <w:szCs w:val="18"/>
        </w:rPr>
      </w:pPr>
      <w:r w:rsidRPr="002E7B82">
        <w:rPr>
          <w:sz w:val="18"/>
          <w:szCs w:val="18"/>
        </w:rPr>
        <w:t xml:space="preserve">Tang, H. and K. Kitagawa (2005). "Supercritical water gasification of biomass: thermodynamic analysis with direct Gibbs free energy minimization." </w:t>
      </w:r>
      <w:r w:rsidRPr="002E7B82">
        <w:rPr>
          <w:sz w:val="18"/>
          <w:szCs w:val="18"/>
          <w:u w:val="single"/>
        </w:rPr>
        <w:t>Chemical Engineering Journal</w:t>
      </w:r>
      <w:r w:rsidRPr="002E7B82">
        <w:rPr>
          <w:sz w:val="18"/>
          <w:szCs w:val="18"/>
        </w:rPr>
        <w:t xml:space="preserve"> </w:t>
      </w:r>
      <w:r w:rsidRPr="002E7B82">
        <w:rPr>
          <w:b/>
          <w:sz w:val="18"/>
          <w:szCs w:val="18"/>
        </w:rPr>
        <w:t>106</w:t>
      </w:r>
      <w:r w:rsidRPr="002E7B82">
        <w:rPr>
          <w:sz w:val="18"/>
          <w:szCs w:val="18"/>
        </w:rPr>
        <w:t>(3): 261-267.</w:t>
      </w:r>
    </w:p>
    <w:p w14:paraId="3628AC62" w14:textId="77777777" w:rsidR="00322C16" w:rsidRPr="002E7B82" w:rsidRDefault="00322C16" w:rsidP="002E7B82">
      <w:pPr>
        <w:pStyle w:val="EndNoteBibliography"/>
        <w:ind w:left="426" w:hanging="426"/>
        <w:rPr>
          <w:sz w:val="18"/>
          <w:szCs w:val="18"/>
        </w:rPr>
      </w:pPr>
      <w:r w:rsidRPr="002E7B82">
        <w:rPr>
          <w:sz w:val="18"/>
          <w:szCs w:val="18"/>
        </w:rPr>
        <w:t xml:space="preserve">Voll, F., C. Rossi, C. Silva, R. Guirardello, R. Souza, V. Cabral and L. Cardozo-Filho (2009). "Thermodynamic analysis of supercritical water gasification of methanol, ethanol, glycerol, glucose and cellulose." </w:t>
      </w:r>
      <w:r w:rsidRPr="002E7B82">
        <w:rPr>
          <w:sz w:val="18"/>
          <w:szCs w:val="18"/>
          <w:u w:val="single"/>
        </w:rPr>
        <w:t>International Journal of Hydrogen Energy</w:t>
      </w:r>
      <w:r w:rsidRPr="002E7B82">
        <w:rPr>
          <w:sz w:val="18"/>
          <w:szCs w:val="18"/>
        </w:rPr>
        <w:t xml:space="preserve"> </w:t>
      </w:r>
      <w:r w:rsidRPr="002E7B82">
        <w:rPr>
          <w:b/>
          <w:sz w:val="18"/>
          <w:szCs w:val="18"/>
        </w:rPr>
        <w:t>34</w:t>
      </w:r>
      <w:r w:rsidRPr="002E7B82">
        <w:rPr>
          <w:sz w:val="18"/>
          <w:szCs w:val="18"/>
        </w:rPr>
        <w:t>(24): 9737-9744.</w:t>
      </w:r>
    </w:p>
    <w:p w14:paraId="23002CF9" w14:textId="77777777" w:rsidR="00322C16" w:rsidRPr="002E7B82" w:rsidRDefault="00322C16" w:rsidP="002E7B82">
      <w:pPr>
        <w:pStyle w:val="EndNoteBibliography"/>
        <w:ind w:left="426" w:hanging="426"/>
        <w:rPr>
          <w:sz w:val="18"/>
          <w:szCs w:val="18"/>
        </w:rPr>
      </w:pPr>
      <w:r w:rsidRPr="002E7B82">
        <w:rPr>
          <w:sz w:val="18"/>
          <w:szCs w:val="18"/>
        </w:rPr>
        <w:t xml:space="preserve">Xu, D., S. Wang, X. Hu, C. Chen, Q. Zhang and Y. Gong (2009). "Catalytic gasification of glycine and glycerol in supercritical water." </w:t>
      </w:r>
      <w:r w:rsidRPr="002E7B82">
        <w:rPr>
          <w:sz w:val="18"/>
          <w:szCs w:val="18"/>
          <w:u w:val="single"/>
        </w:rPr>
        <w:t>International journal of hydrogen energy</w:t>
      </w:r>
      <w:r w:rsidRPr="002E7B82">
        <w:rPr>
          <w:sz w:val="18"/>
          <w:szCs w:val="18"/>
        </w:rPr>
        <w:t xml:space="preserve"> </w:t>
      </w:r>
      <w:r w:rsidRPr="002E7B82">
        <w:rPr>
          <w:b/>
          <w:sz w:val="18"/>
          <w:szCs w:val="18"/>
        </w:rPr>
        <w:t>34</w:t>
      </w:r>
      <w:r w:rsidRPr="002E7B82">
        <w:rPr>
          <w:sz w:val="18"/>
          <w:szCs w:val="18"/>
        </w:rPr>
        <w:t>(13): 5357-5364.</w:t>
      </w:r>
    </w:p>
    <w:p w14:paraId="5DCA47AD" w14:textId="77777777" w:rsidR="00322C16" w:rsidRPr="002E7B82" w:rsidRDefault="00322C16" w:rsidP="002E7B82">
      <w:pPr>
        <w:pStyle w:val="EndNoteBibliography"/>
        <w:ind w:left="426" w:hanging="426"/>
        <w:rPr>
          <w:sz w:val="18"/>
          <w:szCs w:val="18"/>
        </w:rPr>
      </w:pPr>
      <w:r w:rsidRPr="002E7B82">
        <w:rPr>
          <w:sz w:val="18"/>
          <w:szCs w:val="18"/>
        </w:rPr>
        <w:t xml:space="preserve">Xu, J., Z. Peng, S. Rong, H. Jin, L. Guo, X. Zhang and T. Zhou (2021). "Model-based thermodynamic analysis of supercritical water gasification of oil-containing wastewater." </w:t>
      </w:r>
      <w:r w:rsidRPr="002E7B82">
        <w:rPr>
          <w:sz w:val="18"/>
          <w:szCs w:val="18"/>
          <w:u w:val="single"/>
        </w:rPr>
        <w:t>Fuel</w:t>
      </w:r>
      <w:r w:rsidRPr="002E7B82">
        <w:rPr>
          <w:sz w:val="18"/>
          <w:szCs w:val="18"/>
        </w:rPr>
        <w:t xml:space="preserve"> </w:t>
      </w:r>
      <w:r w:rsidRPr="002E7B82">
        <w:rPr>
          <w:b/>
          <w:sz w:val="18"/>
          <w:szCs w:val="18"/>
        </w:rPr>
        <w:t>306</w:t>
      </w:r>
      <w:r w:rsidRPr="002E7B82">
        <w:rPr>
          <w:sz w:val="18"/>
          <w:szCs w:val="18"/>
        </w:rPr>
        <w:t>: 121767.</w:t>
      </w:r>
    </w:p>
    <w:p w14:paraId="20E98C33" w14:textId="77777777" w:rsidR="00322C16" w:rsidRPr="002E7B82" w:rsidRDefault="00322C16" w:rsidP="002E7B82">
      <w:pPr>
        <w:pStyle w:val="EndNoteBibliography"/>
        <w:ind w:left="426" w:hanging="426"/>
        <w:rPr>
          <w:sz w:val="18"/>
          <w:szCs w:val="18"/>
        </w:rPr>
      </w:pPr>
      <w:r w:rsidRPr="002E7B82">
        <w:rPr>
          <w:sz w:val="18"/>
          <w:szCs w:val="18"/>
        </w:rPr>
        <w:t xml:space="preserve">Yakaboylu, O., J. Harinck, K. Smit and W. de Jong (2014). "Supercritical water gasification of biomass: A thermodynamic model for the prediction of product compounds at equilibrium state." </w:t>
      </w:r>
      <w:r w:rsidRPr="002E7B82">
        <w:rPr>
          <w:sz w:val="18"/>
          <w:szCs w:val="18"/>
          <w:u w:val="single"/>
        </w:rPr>
        <w:t>Energy &amp; fuels</w:t>
      </w:r>
      <w:r w:rsidRPr="002E7B82">
        <w:rPr>
          <w:sz w:val="18"/>
          <w:szCs w:val="18"/>
        </w:rPr>
        <w:t xml:space="preserve"> </w:t>
      </w:r>
      <w:r w:rsidRPr="002E7B82">
        <w:rPr>
          <w:b/>
          <w:sz w:val="18"/>
          <w:szCs w:val="18"/>
        </w:rPr>
        <w:t>28</w:t>
      </w:r>
      <w:r w:rsidRPr="002E7B82">
        <w:rPr>
          <w:sz w:val="18"/>
          <w:szCs w:val="18"/>
        </w:rPr>
        <w:t>(4): 2506-2522.</w:t>
      </w:r>
    </w:p>
    <w:p w14:paraId="5E41CE41" w14:textId="77777777" w:rsidR="00322C16" w:rsidRPr="002E7B82" w:rsidRDefault="00322C16" w:rsidP="002E7B82">
      <w:pPr>
        <w:pStyle w:val="EndNoteBibliography"/>
        <w:ind w:left="426" w:hanging="426"/>
        <w:rPr>
          <w:sz w:val="18"/>
          <w:szCs w:val="18"/>
        </w:rPr>
      </w:pPr>
      <w:r w:rsidRPr="002E7B82">
        <w:rPr>
          <w:sz w:val="18"/>
          <w:szCs w:val="18"/>
        </w:rPr>
        <w:t xml:space="preserve">Yang, C., S. Wang, Y. Li, Y. Zhang and C. Cui (2021). "Thermodynamic analysis of hydrogen production via supercritical water gasification of coal, sewage sludge, microalga, and sawdust." </w:t>
      </w:r>
      <w:r w:rsidRPr="002E7B82">
        <w:rPr>
          <w:sz w:val="18"/>
          <w:szCs w:val="18"/>
          <w:u w:val="single"/>
        </w:rPr>
        <w:t>International Journal of Hydrogen Energy</w:t>
      </w:r>
      <w:r w:rsidRPr="002E7B82">
        <w:rPr>
          <w:sz w:val="18"/>
          <w:szCs w:val="18"/>
        </w:rPr>
        <w:t xml:space="preserve"> </w:t>
      </w:r>
      <w:r w:rsidRPr="002E7B82">
        <w:rPr>
          <w:b/>
          <w:sz w:val="18"/>
          <w:szCs w:val="18"/>
        </w:rPr>
        <w:t>46</w:t>
      </w:r>
      <w:r w:rsidRPr="002E7B82">
        <w:rPr>
          <w:sz w:val="18"/>
          <w:szCs w:val="18"/>
        </w:rPr>
        <w:t>(34): 18042-18050.</w:t>
      </w:r>
    </w:p>
    <w:p w14:paraId="063551CE" w14:textId="77777777" w:rsidR="00322C16" w:rsidRPr="002E7B82" w:rsidRDefault="00322C16" w:rsidP="002E7B82">
      <w:pPr>
        <w:pStyle w:val="EndNoteBibliography"/>
        <w:ind w:left="426" w:hanging="426"/>
        <w:rPr>
          <w:sz w:val="18"/>
          <w:szCs w:val="18"/>
        </w:rPr>
      </w:pPr>
      <w:r w:rsidRPr="002E7B82">
        <w:rPr>
          <w:sz w:val="18"/>
          <w:szCs w:val="18"/>
        </w:rPr>
        <w:t xml:space="preserve">Yang, Z., Y. Liu, J. Zhang, K. Mao, M. Kurbonova, G. Liu, R. Zhang and W. Wang (2020). "Improvement of biofuel recovery from food waste by integration of anaerobic digestion, digestate pyrolysis and syngas biomethanation under mesophilic and thermophilic conditions." </w:t>
      </w:r>
      <w:r w:rsidRPr="002E7B82">
        <w:rPr>
          <w:sz w:val="18"/>
          <w:szCs w:val="18"/>
          <w:u w:val="single"/>
        </w:rPr>
        <w:t>Journal of Cleaner Production</w:t>
      </w:r>
      <w:r w:rsidRPr="002E7B82">
        <w:rPr>
          <w:sz w:val="18"/>
          <w:szCs w:val="18"/>
        </w:rPr>
        <w:t xml:space="preserve"> </w:t>
      </w:r>
      <w:r w:rsidRPr="002E7B82">
        <w:rPr>
          <w:b/>
          <w:sz w:val="18"/>
          <w:szCs w:val="18"/>
        </w:rPr>
        <w:t>256</w:t>
      </w:r>
      <w:r w:rsidRPr="002E7B82">
        <w:rPr>
          <w:sz w:val="18"/>
          <w:szCs w:val="18"/>
        </w:rPr>
        <w:t>: 120594.</w:t>
      </w:r>
    </w:p>
    <w:p w14:paraId="19C4FC68" w14:textId="16A2FFA0" w:rsidR="004628D2" w:rsidRDefault="002A70D7" w:rsidP="002E7B82">
      <w:pPr>
        <w:pStyle w:val="CETHeading1"/>
        <w:numPr>
          <w:ilvl w:val="0"/>
          <w:numId w:val="0"/>
        </w:numPr>
        <w:spacing w:before="0" w:after="0" w:line="216" w:lineRule="auto"/>
        <w:ind w:left="426" w:hanging="426"/>
        <w:jc w:val="both"/>
        <w:rPr>
          <w:sz w:val="18"/>
          <w:szCs w:val="18"/>
        </w:rPr>
      </w:pPr>
      <w:r w:rsidRPr="002E7B82">
        <w:rPr>
          <w:sz w:val="18"/>
          <w:szCs w:val="18"/>
        </w:rPr>
        <w:fldChar w:fldCharType="end"/>
      </w:r>
    </w:p>
    <w:p w14:paraId="56311B61" w14:textId="34F43DC4" w:rsidR="00F16028" w:rsidRDefault="00F16028" w:rsidP="00F16028">
      <w:pPr>
        <w:pStyle w:val="CETBodytext"/>
      </w:pPr>
    </w:p>
    <w:p w14:paraId="18F266C4" w14:textId="265D2986" w:rsidR="00F16028" w:rsidRDefault="00F16028" w:rsidP="00F16028">
      <w:pPr>
        <w:pStyle w:val="CETBodytext"/>
      </w:pPr>
    </w:p>
    <w:p w14:paraId="0430C05C" w14:textId="58C5CA4E" w:rsidR="00F16028" w:rsidRPr="00F16028" w:rsidRDefault="00F16028" w:rsidP="00F16028">
      <w:pPr>
        <w:pStyle w:val="CETBodytext"/>
      </w:pPr>
    </w:p>
    <w:sectPr w:rsidR="00F16028" w:rsidRPr="00F16028" w:rsidSect="00EF06D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6950" w14:textId="77777777" w:rsidR="00AC572D" w:rsidRDefault="00AC572D" w:rsidP="004F5E36">
      <w:r>
        <w:separator/>
      </w:r>
    </w:p>
  </w:endnote>
  <w:endnote w:type="continuationSeparator" w:id="0">
    <w:p w14:paraId="74B770F5" w14:textId="77777777" w:rsidR="00AC572D" w:rsidRDefault="00AC572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0000" w14:textId="77777777" w:rsidR="00AE2291" w:rsidRDefault="00AE2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1399" w14:textId="77777777" w:rsidR="00AE2291" w:rsidRDefault="00AE2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711C" w14:textId="77777777" w:rsidR="00AE2291" w:rsidRDefault="00AE2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EAFD" w14:textId="77777777" w:rsidR="00AC572D" w:rsidRDefault="00AC572D" w:rsidP="004F5E36">
      <w:r>
        <w:separator/>
      </w:r>
    </w:p>
  </w:footnote>
  <w:footnote w:type="continuationSeparator" w:id="0">
    <w:p w14:paraId="142C466E" w14:textId="77777777" w:rsidR="00AC572D" w:rsidRDefault="00AC572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50E8" w14:textId="77777777" w:rsidR="00AE2291" w:rsidRDefault="00AE2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B77C" w14:textId="77777777" w:rsidR="00AE2291" w:rsidRDefault="00AE2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0428" w14:textId="77777777" w:rsidR="00AE2291" w:rsidRDefault="00AE2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05628D"/>
    <w:multiLevelType w:val="hybridMultilevel"/>
    <w:tmpl w:val="58A4E9A4"/>
    <w:lvl w:ilvl="0" w:tplc="F0A6A43A">
      <w:start w:val="1"/>
      <w:numFmt w:val="decimal"/>
      <w:lvlText w:val="2.1.%1."/>
      <w:lvlJc w:val="left"/>
      <w:pPr>
        <w:ind w:left="36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438217E"/>
    <w:multiLevelType w:val="multilevel"/>
    <w:tmpl w:val="0AB8708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5086514"/>
    <w:multiLevelType w:val="multilevel"/>
    <w:tmpl w:val="25AEF0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5D3E9D"/>
    <w:multiLevelType w:val="multilevel"/>
    <w:tmpl w:val="5C70C79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3"/>
  </w:num>
  <w:num w:numId="16" w16cid:durableId="1977102699">
    <w:abstractNumId w:val="22"/>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922105806">
    <w:abstractNumId w:val="11"/>
  </w:num>
  <w:num w:numId="24" w16cid:durableId="162355063">
    <w:abstractNumId w:val="11"/>
  </w:num>
  <w:num w:numId="25" w16cid:durableId="1000424381">
    <w:abstractNumId w:val="11"/>
  </w:num>
  <w:num w:numId="26" w16cid:durableId="2127189356">
    <w:abstractNumId w:val="11"/>
  </w:num>
  <w:num w:numId="27" w16cid:durableId="1062173947">
    <w:abstractNumId w:val="11"/>
  </w:num>
  <w:num w:numId="28" w16cid:durableId="421074363">
    <w:abstractNumId w:val="11"/>
  </w:num>
  <w:num w:numId="29" w16cid:durableId="601380170">
    <w:abstractNumId w:val="21"/>
  </w:num>
  <w:num w:numId="30" w16cid:durableId="301080892">
    <w:abstractNumId w:val="11"/>
  </w:num>
  <w:num w:numId="31" w16cid:durableId="1527793636">
    <w:abstractNumId w:val="11"/>
  </w:num>
  <w:num w:numId="32" w16cid:durableId="280769390">
    <w:abstractNumId w:val="11"/>
  </w:num>
  <w:num w:numId="33" w16cid:durableId="1686786490">
    <w:abstractNumId w:val="11"/>
  </w:num>
  <w:num w:numId="34" w16cid:durableId="1136219612">
    <w:abstractNumId w:val="11"/>
  </w:num>
  <w:num w:numId="35" w16cid:durableId="1960405709">
    <w:abstractNumId w:val="10"/>
  </w:num>
  <w:num w:numId="36" w16cid:durableId="1210924087">
    <w:abstractNumId w:val="11"/>
  </w:num>
  <w:num w:numId="37" w16cid:durableId="884869241">
    <w:abstractNumId w:val="11"/>
  </w:num>
  <w:num w:numId="38" w16cid:durableId="869338278">
    <w:abstractNumId w:val="11"/>
  </w:num>
  <w:num w:numId="39" w16cid:durableId="159077347">
    <w:abstractNumId w:val="12"/>
  </w:num>
  <w:num w:numId="40" w16cid:durableId="209348463">
    <w:abstractNumId w:val="11"/>
  </w:num>
  <w:num w:numId="41" w16cid:durableId="2428765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Layout" w:val="&lt;ENLayout&gt;&lt;Style&gt;Author-Date&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eez5z08wvwt5evrp7xr95rzs2ez0x9rtfv&quot;&gt;My EndNote Library&lt;record-ids&gt;&lt;item&gt;3&lt;/item&gt;&lt;item&gt;4&lt;/item&gt;&lt;item&gt;6&lt;/item&gt;&lt;item&gt;10&lt;/item&gt;&lt;item&gt;12&lt;/item&gt;&lt;item&gt;13&lt;/item&gt;&lt;item&gt;18&lt;/item&gt;&lt;item&gt;19&lt;/item&gt;&lt;item&gt;34&lt;/item&gt;&lt;item&gt;35&lt;/item&gt;&lt;item&gt;37&lt;/item&gt;&lt;item&gt;38&lt;/item&gt;&lt;item&gt;39&lt;/item&gt;&lt;item&gt;40&lt;/item&gt;&lt;item&gt;42&lt;/item&gt;&lt;item&gt;43&lt;/item&gt;&lt;item&gt;55&lt;/item&gt;&lt;item&gt;56&lt;/item&gt;&lt;item&gt;57&lt;/item&gt;&lt;item&gt;58&lt;/item&gt;&lt;item&gt;63&lt;/item&gt;&lt;item&gt;104&lt;/item&gt;&lt;item&gt;120&lt;/item&gt;&lt;/record-ids&gt;&lt;/item&gt;&lt;/Libraries&gt;"/>
  </w:docVars>
  <w:rsids>
    <w:rsidRoot w:val="000E414A"/>
    <w:rsid w:val="000027C0"/>
    <w:rsid w:val="000052FB"/>
    <w:rsid w:val="000117CB"/>
    <w:rsid w:val="00017ECB"/>
    <w:rsid w:val="0003148D"/>
    <w:rsid w:val="00031EEC"/>
    <w:rsid w:val="000417A5"/>
    <w:rsid w:val="00051077"/>
    <w:rsid w:val="00051566"/>
    <w:rsid w:val="000562A9"/>
    <w:rsid w:val="00062A9A"/>
    <w:rsid w:val="00065058"/>
    <w:rsid w:val="00074048"/>
    <w:rsid w:val="0007417C"/>
    <w:rsid w:val="000811BC"/>
    <w:rsid w:val="00082ECA"/>
    <w:rsid w:val="00086C39"/>
    <w:rsid w:val="000A03B2"/>
    <w:rsid w:val="000A2414"/>
    <w:rsid w:val="000C4F3B"/>
    <w:rsid w:val="000C638D"/>
    <w:rsid w:val="000D0268"/>
    <w:rsid w:val="000D34BE"/>
    <w:rsid w:val="000D638D"/>
    <w:rsid w:val="000E102F"/>
    <w:rsid w:val="000E3629"/>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39D2"/>
    <w:rsid w:val="00184AD6"/>
    <w:rsid w:val="00191FAA"/>
    <w:rsid w:val="001A4AF7"/>
    <w:rsid w:val="001B0349"/>
    <w:rsid w:val="001B1E93"/>
    <w:rsid w:val="001B65C1"/>
    <w:rsid w:val="001C684B"/>
    <w:rsid w:val="001D0CFB"/>
    <w:rsid w:val="001D21AF"/>
    <w:rsid w:val="001D53FC"/>
    <w:rsid w:val="001E55B2"/>
    <w:rsid w:val="001F42A5"/>
    <w:rsid w:val="001F7B9D"/>
    <w:rsid w:val="00201C93"/>
    <w:rsid w:val="002224B4"/>
    <w:rsid w:val="00233C62"/>
    <w:rsid w:val="002447EF"/>
    <w:rsid w:val="00251550"/>
    <w:rsid w:val="00263B05"/>
    <w:rsid w:val="00271ECC"/>
    <w:rsid w:val="0027221A"/>
    <w:rsid w:val="00275B61"/>
    <w:rsid w:val="00280337"/>
    <w:rsid w:val="00280FAF"/>
    <w:rsid w:val="00282656"/>
    <w:rsid w:val="00290E58"/>
    <w:rsid w:val="002942BC"/>
    <w:rsid w:val="00296B83"/>
    <w:rsid w:val="002A70D7"/>
    <w:rsid w:val="002B0335"/>
    <w:rsid w:val="002B1C5C"/>
    <w:rsid w:val="002B4015"/>
    <w:rsid w:val="002B78CE"/>
    <w:rsid w:val="002C2FB6"/>
    <w:rsid w:val="002C5A13"/>
    <w:rsid w:val="002E5FA7"/>
    <w:rsid w:val="002E7B82"/>
    <w:rsid w:val="002F3309"/>
    <w:rsid w:val="002F4057"/>
    <w:rsid w:val="002F4F70"/>
    <w:rsid w:val="003008CE"/>
    <w:rsid w:val="003009B7"/>
    <w:rsid w:val="00300E56"/>
    <w:rsid w:val="0030152C"/>
    <w:rsid w:val="0030469C"/>
    <w:rsid w:val="003176D6"/>
    <w:rsid w:val="00321CA6"/>
    <w:rsid w:val="00322C16"/>
    <w:rsid w:val="00322EF9"/>
    <w:rsid w:val="00323763"/>
    <w:rsid w:val="00323C5F"/>
    <w:rsid w:val="00326AC4"/>
    <w:rsid w:val="00334C09"/>
    <w:rsid w:val="003723D4"/>
    <w:rsid w:val="003744D2"/>
    <w:rsid w:val="00381905"/>
    <w:rsid w:val="003834DD"/>
    <w:rsid w:val="00384CC8"/>
    <w:rsid w:val="003871FD"/>
    <w:rsid w:val="003A1E30"/>
    <w:rsid w:val="003A2829"/>
    <w:rsid w:val="003A6FC6"/>
    <w:rsid w:val="003A7D1C"/>
    <w:rsid w:val="003B304B"/>
    <w:rsid w:val="003B3146"/>
    <w:rsid w:val="003B5132"/>
    <w:rsid w:val="003F015E"/>
    <w:rsid w:val="00400414"/>
    <w:rsid w:val="00406334"/>
    <w:rsid w:val="0041446B"/>
    <w:rsid w:val="00422B2F"/>
    <w:rsid w:val="0044071E"/>
    <w:rsid w:val="0044329C"/>
    <w:rsid w:val="00450712"/>
    <w:rsid w:val="00453E24"/>
    <w:rsid w:val="00457456"/>
    <w:rsid w:val="004577FE"/>
    <w:rsid w:val="00457B9C"/>
    <w:rsid w:val="0046164A"/>
    <w:rsid w:val="00461D09"/>
    <w:rsid w:val="004628D2"/>
    <w:rsid w:val="00462DCD"/>
    <w:rsid w:val="00463E7A"/>
    <w:rsid w:val="004648AD"/>
    <w:rsid w:val="004703A9"/>
    <w:rsid w:val="004760DE"/>
    <w:rsid w:val="004763D7"/>
    <w:rsid w:val="00482B13"/>
    <w:rsid w:val="00486AAD"/>
    <w:rsid w:val="004A004E"/>
    <w:rsid w:val="004A031A"/>
    <w:rsid w:val="004A24CF"/>
    <w:rsid w:val="004C1B81"/>
    <w:rsid w:val="004C3D1D"/>
    <w:rsid w:val="004C3D84"/>
    <w:rsid w:val="004C7913"/>
    <w:rsid w:val="004D4EC0"/>
    <w:rsid w:val="004E1DA4"/>
    <w:rsid w:val="004E4297"/>
    <w:rsid w:val="004E4DD6"/>
    <w:rsid w:val="004F0F4E"/>
    <w:rsid w:val="004F3264"/>
    <w:rsid w:val="004F5E36"/>
    <w:rsid w:val="00507B47"/>
    <w:rsid w:val="00507BEF"/>
    <w:rsid w:val="00507CC9"/>
    <w:rsid w:val="005119A5"/>
    <w:rsid w:val="00516AAC"/>
    <w:rsid w:val="005278B7"/>
    <w:rsid w:val="005316B2"/>
    <w:rsid w:val="00532016"/>
    <w:rsid w:val="005346C8"/>
    <w:rsid w:val="005370B1"/>
    <w:rsid w:val="00543E7D"/>
    <w:rsid w:val="00547A68"/>
    <w:rsid w:val="00547AD5"/>
    <w:rsid w:val="005518D0"/>
    <w:rsid w:val="005531C9"/>
    <w:rsid w:val="00564C3B"/>
    <w:rsid w:val="00570C43"/>
    <w:rsid w:val="00580A35"/>
    <w:rsid w:val="0058313E"/>
    <w:rsid w:val="005B2110"/>
    <w:rsid w:val="005B61E6"/>
    <w:rsid w:val="005C77E1"/>
    <w:rsid w:val="005D668A"/>
    <w:rsid w:val="005D6A2F"/>
    <w:rsid w:val="005E1A82"/>
    <w:rsid w:val="005E794C"/>
    <w:rsid w:val="005E7C48"/>
    <w:rsid w:val="005F0A28"/>
    <w:rsid w:val="005F0E5E"/>
    <w:rsid w:val="00600535"/>
    <w:rsid w:val="00610CD6"/>
    <w:rsid w:val="00616106"/>
    <w:rsid w:val="0061634D"/>
    <w:rsid w:val="00620DEE"/>
    <w:rsid w:val="00621F92"/>
    <w:rsid w:val="0062280A"/>
    <w:rsid w:val="006245C2"/>
    <w:rsid w:val="00625639"/>
    <w:rsid w:val="00631B33"/>
    <w:rsid w:val="00636966"/>
    <w:rsid w:val="00637B50"/>
    <w:rsid w:val="0064184D"/>
    <w:rsid w:val="006422CC"/>
    <w:rsid w:val="00644A67"/>
    <w:rsid w:val="00646364"/>
    <w:rsid w:val="006548BC"/>
    <w:rsid w:val="00660E3E"/>
    <w:rsid w:val="00661DA8"/>
    <w:rsid w:val="00662E74"/>
    <w:rsid w:val="00680431"/>
    <w:rsid w:val="00680C23"/>
    <w:rsid w:val="00693766"/>
    <w:rsid w:val="006A14C0"/>
    <w:rsid w:val="006A3281"/>
    <w:rsid w:val="006B0609"/>
    <w:rsid w:val="006B0B26"/>
    <w:rsid w:val="006B31F5"/>
    <w:rsid w:val="006B4888"/>
    <w:rsid w:val="006C2E45"/>
    <w:rsid w:val="006C359C"/>
    <w:rsid w:val="006C5257"/>
    <w:rsid w:val="006C5579"/>
    <w:rsid w:val="006D6E8B"/>
    <w:rsid w:val="006D7919"/>
    <w:rsid w:val="006E737D"/>
    <w:rsid w:val="00713973"/>
    <w:rsid w:val="00720A24"/>
    <w:rsid w:val="00723866"/>
    <w:rsid w:val="00727E68"/>
    <w:rsid w:val="00732386"/>
    <w:rsid w:val="0073514D"/>
    <w:rsid w:val="007447F3"/>
    <w:rsid w:val="00744988"/>
    <w:rsid w:val="0075499F"/>
    <w:rsid w:val="007572FB"/>
    <w:rsid w:val="00762AB9"/>
    <w:rsid w:val="00763F1D"/>
    <w:rsid w:val="007661C8"/>
    <w:rsid w:val="0077098D"/>
    <w:rsid w:val="00772B04"/>
    <w:rsid w:val="00786FE8"/>
    <w:rsid w:val="007931FA"/>
    <w:rsid w:val="007A4861"/>
    <w:rsid w:val="007A7BBA"/>
    <w:rsid w:val="007B0C50"/>
    <w:rsid w:val="007B48F9"/>
    <w:rsid w:val="007C1A43"/>
    <w:rsid w:val="007D0951"/>
    <w:rsid w:val="007D7926"/>
    <w:rsid w:val="007E17D4"/>
    <w:rsid w:val="007E66F7"/>
    <w:rsid w:val="007E790F"/>
    <w:rsid w:val="0080013E"/>
    <w:rsid w:val="00813288"/>
    <w:rsid w:val="008168FC"/>
    <w:rsid w:val="00824638"/>
    <w:rsid w:val="00830996"/>
    <w:rsid w:val="008345F1"/>
    <w:rsid w:val="00865B07"/>
    <w:rsid w:val="008662B2"/>
    <w:rsid w:val="008667EA"/>
    <w:rsid w:val="00867BEA"/>
    <w:rsid w:val="0087637F"/>
    <w:rsid w:val="00883BE7"/>
    <w:rsid w:val="00892AD5"/>
    <w:rsid w:val="008941A7"/>
    <w:rsid w:val="0089425C"/>
    <w:rsid w:val="008A1512"/>
    <w:rsid w:val="008B7C03"/>
    <w:rsid w:val="008D32B9"/>
    <w:rsid w:val="008D433B"/>
    <w:rsid w:val="008D4A16"/>
    <w:rsid w:val="008D724C"/>
    <w:rsid w:val="008E566E"/>
    <w:rsid w:val="0090161A"/>
    <w:rsid w:val="00901EB6"/>
    <w:rsid w:val="00904C62"/>
    <w:rsid w:val="0090726E"/>
    <w:rsid w:val="00922BA8"/>
    <w:rsid w:val="00923A9B"/>
    <w:rsid w:val="00924DAC"/>
    <w:rsid w:val="00927058"/>
    <w:rsid w:val="00930FAA"/>
    <w:rsid w:val="00942750"/>
    <w:rsid w:val="009450CE"/>
    <w:rsid w:val="009459BB"/>
    <w:rsid w:val="009463EA"/>
    <w:rsid w:val="00947179"/>
    <w:rsid w:val="0095164B"/>
    <w:rsid w:val="00954090"/>
    <w:rsid w:val="009573E7"/>
    <w:rsid w:val="00963E05"/>
    <w:rsid w:val="00964A45"/>
    <w:rsid w:val="00967843"/>
    <w:rsid w:val="00967D54"/>
    <w:rsid w:val="00971028"/>
    <w:rsid w:val="00993B84"/>
    <w:rsid w:val="00996483"/>
    <w:rsid w:val="00996F5A"/>
    <w:rsid w:val="009A0476"/>
    <w:rsid w:val="009B041A"/>
    <w:rsid w:val="009B55EA"/>
    <w:rsid w:val="009C37C3"/>
    <w:rsid w:val="009C7C86"/>
    <w:rsid w:val="009C7FBF"/>
    <w:rsid w:val="009D2FF7"/>
    <w:rsid w:val="009D7B18"/>
    <w:rsid w:val="009E004B"/>
    <w:rsid w:val="009E404C"/>
    <w:rsid w:val="009E6912"/>
    <w:rsid w:val="009E7884"/>
    <w:rsid w:val="009E788A"/>
    <w:rsid w:val="009F0E08"/>
    <w:rsid w:val="00A1763D"/>
    <w:rsid w:val="00A17CEC"/>
    <w:rsid w:val="00A235C5"/>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2B68"/>
    <w:rsid w:val="00AB3DF2"/>
    <w:rsid w:val="00AB5011"/>
    <w:rsid w:val="00AC572D"/>
    <w:rsid w:val="00AC7368"/>
    <w:rsid w:val="00AD05A2"/>
    <w:rsid w:val="00AD16B9"/>
    <w:rsid w:val="00AE2291"/>
    <w:rsid w:val="00AE377D"/>
    <w:rsid w:val="00AF0EBA"/>
    <w:rsid w:val="00AF7F86"/>
    <w:rsid w:val="00B02C8A"/>
    <w:rsid w:val="00B11CAA"/>
    <w:rsid w:val="00B15A2E"/>
    <w:rsid w:val="00B17FBD"/>
    <w:rsid w:val="00B315A6"/>
    <w:rsid w:val="00B31813"/>
    <w:rsid w:val="00B321BB"/>
    <w:rsid w:val="00B33365"/>
    <w:rsid w:val="00B363C6"/>
    <w:rsid w:val="00B50811"/>
    <w:rsid w:val="00B50D04"/>
    <w:rsid w:val="00B5105E"/>
    <w:rsid w:val="00B57B36"/>
    <w:rsid w:val="00B57E6F"/>
    <w:rsid w:val="00B61EEB"/>
    <w:rsid w:val="00B63473"/>
    <w:rsid w:val="00B8686D"/>
    <w:rsid w:val="00B93F69"/>
    <w:rsid w:val="00BA2D59"/>
    <w:rsid w:val="00BB1DDC"/>
    <w:rsid w:val="00BB3956"/>
    <w:rsid w:val="00BB573A"/>
    <w:rsid w:val="00BC30C9"/>
    <w:rsid w:val="00BD077D"/>
    <w:rsid w:val="00BE3E58"/>
    <w:rsid w:val="00BE4456"/>
    <w:rsid w:val="00C01616"/>
    <w:rsid w:val="00C0162B"/>
    <w:rsid w:val="00C02674"/>
    <w:rsid w:val="00C04084"/>
    <w:rsid w:val="00C04EBD"/>
    <w:rsid w:val="00C068ED"/>
    <w:rsid w:val="00C22E0C"/>
    <w:rsid w:val="00C24AF4"/>
    <w:rsid w:val="00C27EF4"/>
    <w:rsid w:val="00C345B1"/>
    <w:rsid w:val="00C40142"/>
    <w:rsid w:val="00C52C3C"/>
    <w:rsid w:val="00C52D7B"/>
    <w:rsid w:val="00C57182"/>
    <w:rsid w:val="00C57863"/>
    <w:rsid w:val="00C640AF"/>
    <w:rsid w:val="00C655FD"/>
    <w:rsid w:val="00C75407"/>
    <w:rsid w:val="00C7775F"/>
    <w:rsid w:val="00C870A8"/>
    <w:rsid w:val="00C94434"/>
    <w:rsid w:val="00CA0D4A"/>
    <w:rsid w:val="00CA0D75"/>
    <w:rsid w:val="00CA1C95"/>
    <w:rsid w:val="00CA5A9C"/>
    <w:rsid w:val="00CA75E7"/>
    <w:rsid w:val="00CB7B05"/>
    <w:rsid w:val="00CC4C20"/>
    <w:rsid w:val="00CD07AD"/>
    <w:rsid w:val="00CD3517"/>
    <w:rsid w:val="00CD5FE2"/>
    <w:rsid w:val="00CE7C68"/>
    <w:rsid w:val="00D02B4C"/>
    <w:rsid w:val="00D040C4"/>
    <w:rsid w:val="00D20AD1"/>
    <w:rsid w:val="00D21A3D"/>
    <w:rsid w:val="00D24077"/>
    <w:rsid w:val="00D25112"/>
    <w:rsid w:val="00D42D10"/>
    <w:rsid w:val="00D46B7E"/>
    <w:rsid w:val="00D5071F"/>
    <w:rsid w:val="00D57C84"/>
    <w:rsid w:val="00D6057D"/>
    <w:rsid w:val="00D639C1"/>
    <w:rsid w:val="00D648EC"/>
    <w:rsid w:val="00D71640"/>
    <w:rsid w:val="00D83610"/>
    <w:rsid w:val="00D836C5"/>
    <w:rsid w:val="00D84576"/>
    <w:rsid w:val="00DA1399"/>
    <w:rsid w:val="00DA24C6"/>
    <w:rsid w:val="00DA4D7B"/>
    <w:rsid w:val="00DD271C"/>
    <w:rsid w:val="00DD7B21"/>
    <w:rsid w:val="00DE264A"/>
    <w:rsid w:val="00DF5072"/>
    <w:rsid w:val="00DF6770"/>
    <w:rsid w:val="00E02D18"/>
    <w:rsid w:val="00E03D3F"/>
    <w:rsid w:val="00E041E7"/>
    <w:rsid w:val="00E23CA1"/>
    <w:rsid w:val="00E33DD7"/>
    <w:rsid w:val="00E343C7"/>
    <w:rsid w:val="00E3569E"/>
    <w:rsid w:val="00E409A8"/>
    <w:rsid w:val="00E50C12"/>
    <w:rsid w:val="00E54452"/>
    <w:rsid w:val="00E630A3"/>
    <w:rsid w:val="00E65B91"/>
    <w:rsid w:val="00E66160"/>
    <w:rsid w:val="00E7209D"/>
    <w:rsid w:val="00E72EAD"/>
    <w:rsid w:val="00E77223"/>
    <w:rsid w:val="00E8236A"/>
    <w:rsid w:val="00E8528B"/>
    <w:rsid w:val="00E85B94"/>
    <w:rsid w:val="00E93482"/>
    <w:rsid w:val="00E978D0"/>
    <w:rsid w:val="00EA4613"/>
    <w:rsid w:val="00EA6CAB"/>
    <w:rsid w:val="00EA7F91"/>
    <w:rsid w:val="00EB1523"/>
    <w:rsid w:val="00EC0E49"/>
    <w:rsid w:val="00EC101F"/>
    <w:rsid w:val="00EC1D9F"/>
    <w:rsid w:val="00EE0131"/>
    <w:rsid w:val="00EE17B0"/>
    <w:rsid w:val="00EF06D9"/>
    <w:rsid w:val="00F15993"/>
    <w:rsid w:val="00F16028"/>
    <w:rsid w:val="00F3049E"/>
    <w:rsid w:val="00F30C64"/>
    <w:rsid w:val="00F32BA2"/>
    <w:rsid w:val="00F32CDB"/>
    <w:rsid w:val="00F37AA7"/>
    <w:rsid w:val="00F40F46"/>
    <w:rsid w:val="00F565FE"/>
    <w:rsid w:val="00F63A70"/>
    <w:rsid w:val="00F63D8C"/>
    <w:rsid w:val="00F7009C"/>
    <w:rsid w:val="00F7534E"/>
    <w:rsid w:val="00F82A45"/>
    <w:rsid w:val="00F93EDF"/>
    <w:rsid w:val="00FA0096"/>
    <w:rsid w:val="00FA1802"/>
    <w:rsid w:val="00FA1F4E"/>
    <w:rsid w:val="00FA21D0"/>
    <w:rsid w:val="00FA2C4A"/>
    <w:rsid w:val="00FA5F5F"/>
    <w:rsid w:val="00FB3FDA"/>
    <w:rsid w:val="00FB730C"/>
    <w:rsid w:val="00FC2695"/>
    <w:rsid w:val="00FC3E03"/>
    <w:rsid w:val="00FC3FC1"/>
    <w:rsid w:val="00FF0C7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61634D"/>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61634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link w:val="ListParagraphChar"/>
    <w:uiPriority w:val="34"/>
    <w:qFormat/>
    <w:rsid w:val="00280FAF"/>
    <w:pPr>
      <w:ind w:left="720"/>
      <w:contextualSpacing/>
    </w:pPr>
  </w:style>
  <w:style w:type="character" w:customStyle="1" w:styleId="ListParagraphChar">
    <w:name w:val="List Paragraph Char"/>
    <w:basedOn w:val="DefaultParagraphFont"/>
    <w:link w:val="ListParagraph"/>
    <w:uiPriority w:val="34"/>
    <w:rsid w:val="002A70D7"/>
    <w:rPr>
      <w:rFonts w:ascii="Arial" w:eastAsia="Times New Roman" w:hAnsi="Arial" w:cs="Times New Roman"/>
      <w:sz w:val="18"/>
      <w:szCs w:val="20"/>
      <w:lang w:val="en-GB"/>
    </w:rPr>
  </w:style>
  <w:style w:type="paragraph" w:customStyle="1" w:styleId="EndNoteBibliographyTitle">
    <w:name w:val="EndNote Bibliography Title"/>
    <w:basedOn w:val="Normal"/>
    <w:link w:val="EndNoteBibliographyTitleChar"/>
    <w:rsid w:val="002A70D7"/>
    <w:pPr>
      <w:jc w:val="center"/>
    </w:pPr>
    <w:rPr>
      <w:rFonts w:cs="Arial"/>
      <w:noProof/>
      <w:sz w:val="20"/>
      <w:lang w:val="en-US"/>
    </w:rPr>
  </w:style>
  <w:style w:type="character" w:customStyle="1" w:styleId="EndNoteBibliographyTitleChar">
    <w:name w:val="EndNote Bibliography Title Char"/>
    <w:basedOn w:val="CETBodytextCarattere"/>
    <w:link w:val="EndNoteBibliographyTitle"/>
    <w:rsid w:val="002A70D7"/>
    <w:rPr>
      <w:rFonts w:ascii="Arial" w:eastAsia="Times New Roman" w:hAnsi="Arial" w:cs="Arial"/>
      <w:noProof/>
      <w:sz w:val="20"/>
      <w:szCs w:val="20"/>
      <w:lang w:val="en-US"/>
    </w:rPr>
  </w:style>
  <w:style w:type="paragraph" w:customStyle="1" w:styleId="EndNoteBibliography">
    <w:name w:val="EndNote Bibliography"/>
    <w:basedOn w:val="Normal"/>
    <w:link w:val="EndNoteBibliographyChar"/>
    <w:rsid w:val="002A70D7"/>
    <w:pPr>
      <w:spacing w:line="240" w:lineRule="auto"/>
      <w:jc w:val="left"/>
    </w:pPr>
    <w:rPr>
      <w:rFonts w:cs="Arial"/>
      <w:noProof/>
      <w:sz w:val="20"/>
      <w:lang w:val="en-US"/>
    </w:rPr>
  </w:style>
  <w:style w:type="character" w:customStyle="1" w:styleId="EndNoteBibliographyChar">
    <w:name w:val="EndNote Bibliography Char"/>
    <w:basedOn w:val="CETBodytextCarattere"/>
    <w:link w:val="EndNoteBibliography"/>
    <w:rsid w:val="002A70D7"/>
    <w:rPr>
      <w:rFonts w:ascii="Arial" w:eastAsia="Times New Roman" w:hAnsi="Arial" w:cs="Arial"/>
      <w:noProof/>
      <w:sz w:val="20"/>
      <w:szCs w:val="20"/>
      <w:lang w:val="en-US"/>
    </w:rPr>
  </w:style>
  <w:style w:type="paragraph" w:customStyle="1" w:styleId="Els-referenceno-number">
    <w:name w:val="Els-reference no-number"/>
    <w:basedOn w:val="Normal"/>
    <w:rsid w:val="00B50D04"/>
    <w:pPr>
      <w:tabs>
        <w:tab w:val="clear" w:pos="7100"/>
      </w:tabs>
      <w:spacing w:line="240" w:lineRule="auto"/>
      <w:ind w:left="240" w:hanging="240"/>
      <w:jc w:val="left"/>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7558</Words>
  <Characters>40058</Characters>
  <Application>Microsoft Office Word</Application>
  <DocSecurity>0</DocSecurity>
  <Lines>333</Lines>
  <Paragraphs>95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Fadilla Noor Rahma, S.T., M.Sc.</cp:lastModifiedBy>
  <cp:revision>28</cp:revision>
  <cp:lastPrinted>2015-05-12T18:31:00Z</cp:lastPrinted>
  <dcterms:created xsi:type="dcterms:W3CDTF">2023-03-15T17:32:00Z</dcterms:created>
  <dcterms:modified xsi:type="dcterms:W3CDTF">2023-06-30T21:40:00Z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