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2190" w14:textId="77777777" w:rsidR="00D929E3" w:rsidRPr="008D4E35" w:rsidRDefault="00D929E3" w:rsidP="00D929E3">
      <w:pPr>
        <w:spacing w:line="276" w:lineRule="auto"/>
        <w:rPr>
          <w:rFonts w:ascii="Times New Roman" w:hAnsi="Times New Roman"/>
          <w:sz w:val="24"/>
          <w:szCs w:val="24"/>
          <w:lang w:val="en-US"/>
        </w:rPr>
      </w:pPr>
      <w:r w:rsidRPr="008D4E35">
        <w:rPr>
          <w:rFonts w:ascii="Times New Roman" w:hAnsi="Times New Roman"/>
          <w:sz w:val="24"/>
          <w:szCs w:val="24"/>
          <w:lang w:val="en-US"/>
        </w:rPr>
        <w:t>Dear</w:t>
      </w:r>
      <w:r>
        <w:rPr>
          <w:rFonts w:ascii="Times New Roman" w:hAnsi="Times New Roman"/>
          <w:sz w:val="24"/>
          <w:szCs w:val="24"/>
          <w:lang w:val="en-US"/>
        </w:rPr>
        <w:t xml:space="preserve"> Editors, </w:t>
      </w:r>
    </w:p>
    <w:p w14:paraId="66948620" w14:textId="77777777" w:rsidR="00D929E3" w:rsidRPr="008D4E35" w:rsidRDefault="00D929E3" w:rsidP="00D929E3">
      <w:pPr>
        <w:spacing w:line="276" w:lineRule="auto"/>
        <w:rPr>
          <w:rFonts w:ascii="Times New Roman" w:hAnsi="Times New Roman"/>
          <w:sz w:val="24"/>
          <w:szCs w:val="24"/>
          <w:lang w:val="en-US"/>
        </w:rPr>
      </w:pPr>
    </w:p>
    <w:p w14:paraId="6AEA5A5B" w14:textId="77777777" w:rsidR="00D929E3" w:rsidRPr="008D4E35" w:rsidRDefault="00D929E3" w:rsidP="00D929E3">
      <w:pPr>
        <w:spacing w:line="276" w:lineRule="auto"/>
        <w:rPr>
          <w:rFonts w:ascii="Times New Roman" w:hAnsi="Times New Roman"/>
          <w:sz w:val="24"/>
          <w:szCs w:val="24"/>
          <w:lang w:val="en-US"/>
        </w:rPr>
      </w:pPr>
      <w:r w:rsidRPr="008D4E35">
        <w:rPr>
          <w:rFonts w:ascii="Times New Roman" w:hAnsi="Times New Roman"/>
          <w:sz w:val="24"/>
          <w:szCs w:val="24"/>
          <w:lang w:val="en-US"/>
        </w:rPr>
        <w:t xml:space="preserve">Thank you for giving me the opportunity to submit a revised draft of my manuscript titled </w:t>
      </w:r>
      <w:r w:rsidRPr="008D4E35">
        <w:rPr>
          <w:rFonts w:ascii="Times New Roman" w:hAnsi="Times New Roman"/>
          <w:b/>
          <w:bCs/>
          <w:sz w:val="24"/>
          <w:szCs w:val="24"/>
          <w:lang w:val="en-US"/>
        </w:rPr>
        <w:t>“Hydrothermal Gasification of Biogas Digestate: A Thermodynamic Study on Effects of Process Parameters Using Aspen Plus”</w:t>
      </w:r>
      <w:r w:rsidRPr="008D4E35">
        <w:rPr>
          <w:rFonts w:ascii="Times New Roman" w:hAnsi="Times New Roman"/>
          <w:sz w:val="24"/>
          <w:szCs w:val="24"/>
          <w:lang w:val="en-US"/>
        </w:rPr>
        <w:t xml:space="preserve"> to </w:t>
      </w:r>
      <w:r w:rsidRPr="008D4E35">
        <w:rPr>
          <w:rFonts w:ascii="Times New Roman" w:hAnsi="Times New Roman"/>
          <w:i/>
          <w:iCs/>
          <w:sz w:val="24"/>
          <w:szCs w:val="24"/>
          <w:lang w:val="en-US"/>
        </w:rPr>
        <w:t>Chemical Engineering Journal</w:t>
      </w:r>
      <w:r w:rsidRPr="008D4E35">
        <w:rPr>
          <w:rFonts w:ascii="Times New Roman" w:hAnsi="Times New Roman"/>
          <w:sz w:val="24"/>
          <w:szCs w:val="24"/>
          <w:lang w:val="en-US"/>
        </w:rPr>
        <w:t>. We appreciate the time and effort that you and the reviewers have dedicated to providing your valuable feedback on my manuscript. We are grateful to the reviewers for their insightful comments on the paper.</w:t>
      </w:r>
    </w:p>
    <w:p w14:paraId="3B994201" w14:textId="77777777" w:rsidR="00D929E3" w:rsidRDefault="00D929E3" w:rsidP="00D929E3">
      <w:pPr>
        <w:spacing w:line="276" w:lineRule="auto"/>
        <w:rPr>
          <w:rFonts w:ascii="Times New Roman" w:hAnsi="Times New Roman"/>
          <w:sz w:val="24"/>
          <w:szCs w:val="24"/>
          <w:lang w:val="en-US"/>
        </w:rPr>
      </w:pPr>
      <w:r w:rsidRPr="008D4E35">
        <w:rPr>
          <w:rFonts w:ascii="Times New Roman" w:hAnsi="Times New Roman"/>
          <w:sz w:val="24"/>
          <w:szCs w:val="24"/>
          <w:lang w:val="en-US"/>
        </w:rPr>
        <w:t>Here is a point-by-point response to the reviewers’ comments.</w:t>
      </w:r>
    </w:p>
    <w:p w14:paraId="0185FE67" w14:textId="77777777" w:rsidR="00D929E3" w:rsidRPr="008D4E35" w:rsidRDefault="00D929E3" w:rsidP="00D929E3">
      <w:pPr>
        <w:spacing w:line="276" w:lineRule="auto"/>
        <w:rPr>
          <w:rFonts w:ascii="Times New Roman" w:hAnsi="Times New Roman"/>
          <w:sz w:val="24"/>
          <w:szCs w:val="24"/>
          <w:lang w:val="en-US"/>
        </w:rPr>
      </w:pPr>
    </w:p>
    <w:p w14:paraId="0C7D6753" w14:textId="77777777" w:rsidR="00D929E3" w:rsidRPr="00D07984" w:rsidRDefault="00D929E3" w:rsidP="00D929E3">
      <w:pPr>
        <w:spacing w:line="276" w:lineRule="auto"/>
        <w:rPr>
          <w:rFonts w:ascii="Times New Roman" w:hAnsi="Times New Roman"/>
          <w:b/>
          <w:bCs/>
          <w:sz w:val="24"/>
          <w:szCs w:val="24"/>
          <w:lang w:val="en-US"/>
        </w:rPr>
      </w:pPr>
      <w:r w:rsidRPr="00D07984">
        <w:rPr>
          <w:rFonts w:ascii="Times New Roman" w:hAnsi="Times New Roman"/>
          <w:b/>
          <w:bCs/>
          <w:sz w:val="24"/>
          <w:szCs w:val="24"/>
          <w:lang w:val="en-US"/>
        </w:rPr>
        <w:t>Comments from Reviewer 1:</w:t>
      </w:r>
    </w:p>
    <w:p w14:paraId="41F18D95" w14:textId="77777777" w:rsidR="00D929E3" w:rsidRDefault="00D929E3" w:rsidP="00D929E3">
      <w:pPr>
        <w:pStyle w:val="ListParagraph"/>
        <w:numPr>
          <w:ilvl w:val="0"/>
          <w:numId w:val="34"/>
        </w:numPr>
        <w:tabs>
          <w:tab w:val="clear" w:pos="7100"/>
        </w:tabs>
        <w:spacing w:line="276" w:lineRule="auto"/>
        <w:ind w:left="426" w:hanging="426"/>
        <w:rPr>
          <w:rFonts w:ascii="Times New Roman" w:hAnsi="Times New Roman"/>
          <w:sz w:val="24"/>
          <w:szCs w:val="24"/>
          <w:lang w:val="en-US"/>
        </w:rPr>
      </w:pPr>
      <w:r w:rsidRPr="00E22E49">
        <w:rPr>
          <w:rFonts w:ascii="Times New Roman" w:hAnsi="Times New Roman"/>
          <w:b/>
          <w:bCs/>
          <w:sz w:val="24"/>
          <w:szCs w:val="24"/>
          <w:lang w:val="en-US"/>
        </w:rPr>
        <w:t>Comment 1:</w:t>
      </w:r>
      <w:r>
        <w:rPr>
          <w:rFonts w:ascii="Times New Roman" w:hAnsi="Times New Roman"/>
          <w:sz w:val="24"/>
          <w:szCs w:val="24"/>
          <w:lang w:val="en-US"/>
        </w:rPr>
        <w:t xml:space="preserve"> </w:t>
      </w:r>
      <w:r w:rsidRPr="008D4E35">
        <w:rPr>
          <w:rFonts w:ascii="Times New Roman" w:hAnsi="Times New Roman"/>
          <w:sz w:val="24"/>
          <w:szCs w:val="24"/>
          <w:lang w:val="en-US"/>
        </w:rPr>
        <w:t xml:space="preserve">You modelled the chemical reaction through a </w:t>
      </w:r>
      <w:proofErr w:type="spellStart"/>
      <w:r w:rsidRPr="008D4E35">
        <w:rPr>
          <w:rFonts w:ascii="Times New Roman" w:hAnsi="Times New Roman"/>
          <w:sz w:val="24"/>
          <w:szCs w:val="24"/>
          <w:lang w:val="en-US"/>
        </w:rPr>
        <w:t>gibbs</w:t>
      </w:r>
      <w:proofErr w:type="spellEnd"/>
      <w:r w:rsidRPr="008D4E35">
        <w:rPr>
          <w:rFonts w:ascii="Times New Roman" w:hAnsi="Times New Roman"/>
          <w:sz w:val="24"/>
          <w:szCs w:val="24"/>
          <w:lang w:val="en-US"/>
        </w:rPr>
        <w:t xml:space="preserve"> reactor, that is, at the equilibrium. Is it really going to the equilibrium? did you consider the carbon remaining unreacted? In fact you did all your considerations taking into account the chemical reaction scheme, which might lead to kinetic restrictions.</w:t>
      </w:r>
    </w:p>
    <w:p w14:paraId="6AD15578" w14:textId="77777777" w:rsidR="00D929E3" w:rsidRPr="00656AC7" w:rsidRDefault="00D929E3" w:rsidP="00D929E3">
      <w:pPr>
        <w:pStyle w:val="ListParagraph"/>
        <w:spacing w:line="276" w:lineRule="auto"/>
        <w:ind w:left="426"/>
        <w:rPr>
          <w:rFonts w:ascii="Times New Roman" w:hAnsi="Times New Roman"/>
          <w:sz w:val="24"/>
          <w:szCs w:val="24"/>
          <w:lang w:val="en-US"/>
        </w:rPr>
      </w:pPr>
      <w:r w:rsidRPr="00E22E49">
        <w:rPr>
          <w:rFonts w:ascii="Times New Roman" w:hAnsi="Times New Roman"/>
          <w:b/>
          <w:bCs/>
          <w:sz w:val="24"/>
          <w:szCs w:val="24"/>
          <w:lang w:val="en-US"/>
        </w:rPr>
        <w:t>Response:</w:t>
      </w:r>
      <w:r>
        <w:rPr>
          <w:rFonts w:ascii="Times New Roman" w:hAnsi="Times New Roman"/>
          <w:b/>
          <w:bCs/>
          <w:sz w:val="24"/>
          <w:szCs w:val="24"/>
          <w:lang w:val="en-US"/>
        </w:rPr>
        <w:t xml:space="preserve"> </w:t>
      </w:r>
      <w:r>
        <w:rPr>
          <w:rFonts w:ascii="Times New Roman" w:hAnsi="Times New Roman"/>
          <w:sz w:val="24"/>
          <w:szCs w:val="24"/>
          <w:lang w:val="en-US"/>
        </w:rPr>
        <w:t>Thank you for pointing this out. The modelling of hydrothermal gasification using Gibbs free energy minimization has been widely used in the previous research, and numerous studies have shown that this method has a good agreement with experimental works. This approach is considered preferable compared to taking into account the individual chemical reaction schemes, which can be very complex in an HTG system. Although there is a possibility that there is remaining carbon unreacted, the amount is not significant, hence, the gas product yield and composition is very similar to those at equilibrium condition [1].</w:t>
      </w:r>
    </w:p>
    <w:p w14:paraId="7BC8D7EC" w14:textId="77777777" w:rsidR="00D929E3" w:rsidRDefault="00D929E3" w:rsidP="00D929E3">
      <w:pPr>
        <w:pStyle w:val="ListParagraph"/>
        <w:numPr>
          <w:ilvl w:val="0"/>
          <w:numId w:val="34"/>
        </w:numPr>
        <w:tabs>
          <w:tab w:val="clear" w:pos="7100"/>
        </w:tabs>
        <w:spacing w:line="276" w:lineRule="auto"/>
        <w:ind w:left="426" w:hanging="426"/>
        <w:rPr>
          <w:rFonts w:ascii="Times New Roman" w:hAnsi="Times New Roman"/>
          <w:sz w:val="24"/>
          <w:szCs w:val="24"/>
          <w:lang w:val="en-US"/>
        </w:rPr>
      </w:pPr>
      <w:r w:rsidRPr="00E22E49">
        <w:rPr>
          <w:rFonts w:ascii="Times New Roman" w:hAnsi="Times New Roman"/>
          <w:b/>
          <w:bCs/>
          <w:sz w:val="24"/>
          <w:szCs w:val="24"/>
          <w:lang w:val="en-US"/>
        </w:rPr>
        <w:t>Comment 2:</w:t>
      </w:r>
      <w:r>
        <w:rPr>
          <w:rFonts w:ascii="Times New Roman" w:hAnsi="Times New Roman"/>
          <w:sz w:val="24"/>
          <w:szCs w:val="24"/>
          <w:lang w:val="en-US"/>
        </w:rPr>
        <w:t xml:space="preserve"> </w:t>
      </w:r>
      <w:r w:rsidRPr="008D4E35">
        <w:rPr>
          <w:rFonts w:ascii="Times New Roman" w:hAnsi="Times New Roman"/>
          <w:sz w:val="24"/>
          <w:szCs w:val="24"/>
          <w:lang w:val="en-US"/>
        </w:rPr>
        <w:t xml:space="preserve">What are the input data of the model? </w:t>
      </w:r>
    </w:p>
    <w:p w14:paraId="63107856" w14:textId="77777777" w:rsidR="00D929E3" w:rsidRPr="00D9215C" w:rsidRDefault="00D929E3" w:rsidP="00D929E3">
      <w:pPr>
        <w:pStyle w:val="ListParagraph"/>
        <w:spacing w:line="276" w:lineRule="auto"/>
        <w:ind w:left="426"/>
        <w:rPr>
          <w:rFonts w:ascii="Times New Roman" w:hAnsi="Times New Roman"/>
          <w:sz w:val="24"/>
          <w:szCs w:val="24"/>
          <w:lang w:val="en-US"/>
        </w:rPr>
      </w:pPr>
      <w:r>
        <w:rPr>
          <w:rFonts w:ascii="Times New Roman" w:hAnsi="Times New Roman"/>
          <w:b/>
          <w:bCs/>
          <w:sz w:val="24"/>
          <w:szCs w:val="24"/>
          <w:lang w:val="en-US"/>
        </w:rPr>
        <w:t xml:space="preserve">Response: </w:t>
      </w:r>
      <w:r>
        <w:rPr>
          <w:rFonts w:ascii="Times New Roman" w:hAnsi="Times New Roman"/>
          <w:sz w:val="24"/>
          <w:szCs w:val="24"/>
          <w:lang w:val="en-US"/>
        </w:rPr>
        <w:t>The input data of the model includes proximate analysis of feedstock materials (Table 1), ultimate analysis of feedstock materials (Table 2), and process conditions (Table 3).</w:t>
      </w:r>
    </w:p>
    <w:p w14:paraId="09E561F9" w14:textId="77777777" w:rsidR="00D929E3" w:rsidRDefault="00D929E3" w:rsidP="00D929E3">
      <w:pPr>
        <w:pStyle w:val="ListParagraph"/>
        <w:numPr>
          <w:ilvl w:val="0"/>
          <w:numId w:val="34"/>
        </w:numPr>
        <w:tabs>
          <w:tab w:val="clear" w:pos="7100"/>
        </w:tabs>
        <w:spacing w:line="276" w:lineRule="auto"/>
        <w:ind w:left="426" w:hanging="426"/>
        <w:rPr>
          <w:rFonts w:ascii="Times New Roman" w:hAnsi="Times New Roman"/>
          <w:sz w:val="24"/>
          <w:szCs w:val="24"/>
          <w:lang w:val="en-US"/>
        </w:rPr>
      </w:pPr>
      <w:r w:rsidRPr="00E22E49">
        <w:rPr>
          <w:rFonts w:ascii="Times New Roman" w:hAnsi="Times New Roman"/>
          <w:b/>
          <w:bCs/>
          <w:sz w:val="24"/>
          <w:szCs w:val="24"/>
          <w:lang w:val="en-US"/>
        </w:rPr>
        <w:t>Comment 3:</w:t>
      </w:r>
      <w:r>
        <w:rPr>
          <w:rFonts w:ascii="Times New Roman" w:hAnsi="Times New Roman"/>
          <w:sz w:val="24"/>
          <w:szCs w:val="24"/>
          <w:lang w:val="en-US"/>
        </w:rPr>
        <w:t xml:space="preserve"> </w:t>
      </w:r>
      <w:r w:rsidRPr="008D4E35">
        <w:rPr>
          <w:rFonts w:ascii="Times New Roman" w:hAnsi="Times New Roman"/>
          <w:sz w:val="24"/>
          <w:szCs w:val="24"/>
          <w:lang w:val="en-US"/>
        </w:rPr>
        <w:t>The ultimate analysis sums 99.9%, please check.</w:t>
      </w:r>
    </w:p>
    <w:p w14:paraId="3FEC420F" w14:textId="77777777" w:rsidR="00D929E3" w:rsidRPr="00005BE4" w:rsidRDefault="00D929E3" w:rsidP="00D929E3">
      <w:pPr>
        <w:pStyle w:val="ListParagraph"/>
        <w:spacing w:line="276" w:lineRule="auto"/>
        <w:ind w:left="426"/>
        <w:rPr>
          <w:rFonts w:ascii="Times New Roman" w:hAnsi="Times New Roman"/>
          <w:sz w:val="24"/>
          <w:szCs w:val="24"/>
          <w:lang w:val="en-US"/>
        </w:rPr>
      </w:pPr>
      <w:r>
        <w:rPr>
          <w:rFonts w:ascii="Times New Roman" w:hAnsi="Times New Roman"/>
          <w:b/>
          <w:bCs/>
          <w:sz w:val="24"/>
          <w:szCs w:val="24"/>
          <w:lang w:val="en-US"/>
        </w:rPr>
        <w:t xml:space="preserve">Response: </w:t>
      </w:r>
      <w:r>
        <w:rPr>
          <w:rFonts w:ascii="Times New Roman" w:hAnsi="Times New Roman"/>
          <w:sz w:val="24"/>
          <w:szCs w:val="24"/>
          <w:lang w:val="en-US"/>
        </w:rPr>
        <w:t xml:space="preserve">Thank you for pointing this out. The ultimate analysis used for this study is taken from a literature [2], and we have re-checked that the values written on this manuscript are consistent with the reference. Since there is no further information on the reference, we assume that this 0.1% difference might be caused by rounding. </w:t>
      </w:r>
    </w:p>
    <w:p w14:paraId="65AF008E" w14:textId="77777777" w:rsidR="00D929E3" w:rsidRDefault="00D929E3" w:rsidP="00D929E3">
      <w:pPr>
        <w:pStyle w:val="ListParagraph"/>
        <w:numPr>
          <w:ilvl w:val="0"/>
          <w:numId w:val="34"/>
        </w:numPr>
        <w:tabs>
          <w:tab w:val="clear" w:pos="7100"/>
        </w:tabs>
        <w:spacing w:line="276" w:lineRule="auto"/>
        <w:ind w:left="426" w:hanging="426"/>
        <w:rPr>
          <w:rFonts w:ascii="Times New Roman" w:hAnsi="Times New Roman"/>
          <w:sz w:val="24"/>
          <w:szCs w:val="24"/>
          <w:lang w:val="en-US"/>
        </w:rPr>
      </w:pPr>
      <w:r w:rsidRPr="00E22E49">
        <w:rPr>
          <w:rFonts w:ascii="Times New Roman" w:hAnsi="Times New Roman"/>
          <w:b/>
          <w:bCs/>
          <w:sz w:val="24"/>
          <w:szCs w:val="24"/>
          <w:lang w:val="en-US"/>
        </w:rPr>
        <w:t>Comment 4:</w:t>
      </w:r>
      <w:r>
        <w:rPr>
          <w:rFonts w:ascii="Times New Roman" w:hAnsi="Times New Roman"/>
          <w:sz w:val="24"/>
          <w:szCs w:val="24"/>
          <w:lang w:val="en-US"/>
        </w:rPr>
        <w:t xml:space="preserve"> </w:t>
      </w:r>
      <w:r w:rsidRPr="008D4E35">
        <w:rPr>
          <w:rFonts w:ascii="Times New Roman" w:hAnsi="Times New Roman"/>
          <w:sz w:val="24"/>
          <w:szCs w:val="24"/>
          <w:lang w:val="en-US"/>
        </w:rPr>
        <w:t>What is the moisture of the initial biomass? what are the water quantities in the ratio feedstock/water?</w:t>
      </w:r>
    </w:p>
    <w:p w14:paraId="05B52FE4" w14:textId="77777777" w:rsidR="00D929E3" w:rsidRPr="00BF2AF4" w:rsidRDefault="00D929E3" w:rsidP="00D929E3">
      <w:pPr>
        <w:pStyle w:val="ListParagraph"/>
        <w:spacing w:line="276" w:lineRule="auto"/>
        <w:ind w:left="426"/>
        <w:rPr>
          <w:rFonts w:ascii="Times New Roman" w:hAnsi="Times New Roman"/>
          <w:sz w:val="24"/>
          <w:szCs w:val="24"/>
          <w:lang w:val="en-US"/>
        </w:rPr>
      </w:pPr>
      <w:r>
        <w:rPr>
          <w:rFonts w:ascii="Times New Roman" w:hAnsi="Times New Roman"/>
          <w:b/>
          <w:bCs/>
          <w:sz w:val="24"/>
          <w:szCs w:val="24"/>
          <w:lang w:val="en-US"/>
        </w:rPr>
        <w:t xml:space="preserve">Response: </w:t>
      </w:r>
      <w:r>
        <w:rPr>
          <w:rFonts w:ascii="Times New Roman" w:hAnsi="Times New Roman"/>
          <w:sz w:val="24"/>
          <w:szCs w:val="24"/>
          <w:lang w:val="en-US"/>
        </w:rPr>
        <w:t xml:space="preserve">The proximate and ultimate analysis given in the reference [2] is on a dry-basis and therefore no information on the moisture of the initial biomass was given. </w:t>
      </w:r>
    </w:p>
    <w:p w14:paraId="12FAEB50" w14:textId="77777777" w:rsidR="00D929E3" w:rsidRDefault="00D929E3" w:rsidP="00D929E3">
      <w:pPr>
        <w:pStyle w:val="ListParagraph"/>
        <w:numPr>
          <w:ilvl w:val="0"/>
          <w:numId w:val="34"/>
        </w:numPr>
        <w:tabs>
          <w:tab w:val="clear" w:pos="7100"/>
        </w:tabs>
        <w:spacing w:line="276" w:lineRule="auto"/>
        <w:ind w:left="426" w:hanging="426"/>
        <w:rPr>
          <w:rFonts w:ascii="Times New Roman" w:hAnsi="Times New Roman"/>
          <w:sz w:val="24"/>
          <w:szCs w:val="24"/>
          <w:lang w:val="en-US"/>
        </w:rPr>
      </w:pPr>
      <w:r w:rsidRPr="00E22E49">
        <w:rPr>
          <w:rFonts w:ascii="Times New Roman" w:hAnsi="Times New Roman"/>
          <w:b/>
          <w:bCs/>
          <w:sz w:val="24"/>
          <w:szCs w:val="24"/>
          <w:lang w:val="en-US"/>
        </w:rPr>
        <w:t>Comment 5:</w:t>
      </w:r>
      <w:r>
        <w:rPr>
          <w:rFonts w:ascii="Times New Roman" w:hAnsi="Times New Roman"/>
          <w:sz w:val="24"/>
          <w:szCs w:val="24"/>
          <w:lang w:val="en-US"/>
        </w:rPr>
        <w:t xml:space="preserve"> </w:t>
      </w:r>
      <w:r w:rsidRPr="008D4E35">
        <w:rPr>
          <w:rFonts w:ascii="Times New Roman" w:hAnsi="Times New Roman"/>
          <w:sz w:val="24"/>
          <w:szCs w:val="24"/>
          <w:lang w:val="en-US"/>
        </w:rPr>
        <w:t>How was the ash content varied? is it related also to the added water? obviously, more ashes means less volatiles so decreased yields.</w:t>
      </w:r>
    </w:p>
    <w:p w14:paraId="3F22195B" w14:textId="77777777" w:rsidR="00D929E3" w:rsidRPr="008D4E35" w:rsidRDefault="00D929E3" w:rsidP="00D929E3">
      <w:pPr>
        <w:pStyle w:val="ListParagraph"/>
        <w:spacing w:line="276" w:lineRule="auto"/>
        <w:ind w:left="426"/>
        <w:rPr>
          <w:rFonts w:ascii="Times New Roman" w:hAnsi="Times New Roman"/>
          <w:sz w:val="24"/>
          <w:szCs w:val="24"/>
          <w:lang w:val="en-US"/>
        </w:rPr>
      </w:pPr>
      <w:r>
        <w:rPr>
          <w:rFonts w:ascii="Times New Roman" w:hAnsi="Times New Roman"/>
          <w:b/>
          <w:bCs/>
          <w:sz w:val="24"/>
          <w:szCs w:val="24"/>
          <w:lang w:val="en-US"/>
        </w:rPr>
        <w:t xml:space="preserve">Response: </w:t>
      </w:r>
      <w:r>
        <w:rPr>
          <w:rFonts w:ascii="Times New Roman" w:hAnsi="Times New Roman"/>
          <w:sz w:val="24"/>
          <w:szCs w:val="24"/>
          <w:lang w:val="en-US"/>
        </w:rPr>
        <w:t xml:space="preserve">The ash content was varied by keeping the total feedstock mass constant. The amount of added water was also kept constant. It is true that as the ash content increased, the organic content of the feedstock decreased accordingly. </w:t>
      </w:r>
    </w:p>
    <w:p w14:paraId="69F1B9B3" w14:textId="77777777" w:rsidR="00D929E3" w:rsidRPr="00635606" w:rsidRDefault="00D929E3" w:rsidP="00D929E3">
      <w:pPr>
        <w:spacing w:line="276" w:lineRule="auto"/>
        <w:rPr>
          <w:rFonts w:ascii="Times New Roman" w:hAnsi="Times New Roman"/>
          <w:b/>
          <w:bCs/>
          <w:sz w:val="24"/>
          <w:szCs w:val="24"/>
          <w:lang w:val="en-US"/>
        </w:rPr>
      </w:pPr>
      <w:r w:rsidRPr="00635606">
        <w:rPr>
          <w:rFonts w:ascii="Times New Roman" w:hAnsi="Times New Roman"/>
          <w:b/>
          <w:bCs/>
          <w:sz w:val="24"/>
          <w:szCs w:val="24"/>
          <w:lang w:val="en-US"/>
        </w:rPr>
        <w:lastRenderedPageBreak/>
        <w:t>Comments from Reviewer 2</w:t>
      </w:r>
    </w:p>
    <w:p w14:paraId="796DEC81" w14:textId="77777777" w:rsidR="00D929E3" w:rsidRPr="008D4E35" w:rsidRDefault="00D929E3" w:rsidP="00D929E3">
      <w:pPr>
        <w:pStyle w:val="ListParagraph"/>
        <w:numPr>
          <w:ilvl w:val="0"/>
          <w:numId w:val="34"/>
        </w:numPr>
        <w:tabs>
          <w:tab w:val="clear" w:pos="7100"/>
        </w:tabs>
        <w:spacing w:line="276" w:lineRule="auto"/>
        <w:ind w:left="426" w:hanging="426"/>
        <w:rPr>
          <w:rFonts w:ascii="Times New Roman" w:hAnsi="Times New Roman"/>
          <w:sz w:val="24"/>
          <w:szCs w:val="24"/>
          <w:lang w:val="en-US"/>
        </w:rPr>
      </w:pPr>
      <w:r w:rsidRPr="00663A54">
        <w:rPr>
          <w:rFonts w:ascii="Times New Roman" w:hAnsi="Times New Roman"/>
          <w:b/>
          <w:bCs/>
          <w:sz w:val="24"/>
          <w:szCs w:val="24"/>
          <w:lang w:val="en-US"/>
        </w:rPr>
        <w:t>Comment 1:</w:t>
      </w:r>
      <w:r>
        <w:rPr>
          <w:rFonts w:ascii="Times New Roman" w:hAnsi="Times New Roman"/>
          <w:sz w:val="24"/>
          <w:szCs w:val="24"/>
          <w:lang w:val="en-US"/>
        </w:rPr>
        <w:t xml:space="preserve"> </w:t>
      </w:r>
      <w:r w:rsidRPr="008D4E35">
        <w:rPr>
          <w:rFonts w:ascii="Times New Roman" w:hAnsi="Times New Roman"/>
          <w:sz w:val="24"/>
          <w:szCs w:val="24"/>
          <w:lang w:val="en-US"/>
        </w:rPr>
        <w:t xml:space="preserve">The present work (51) presented by the authors is completely analogous to the work (52) of the same authors. The difference is that in this case the simulation was performed with Aspen plus and the sensitivity analysis also included the ash content, while in work 52 the simulation was performed with </w:t>
      </w:r>
      <w:proofErr w:type="spellStart"/>
      <w:r w:rsidRPr="008D4E35">
        <w:rPr>
          <w:rFonts w:ascii="Times New Roman" w:hAnsi="Times New Roman"/>
          <w:sz w:val="24"/>
          <w:szCs w:val="24"/>
          <w:lang w:val="en-US"/>
        </w:rPr>
        <w:t>Matlab</w:t>
      </w:r>
      <w:proofErr w:type="spellEnd"/>
      <w:r w:rsidRPr="008D4E35">
        <w:rPr>
          <w:rFonts w:ascii="Times New Roman" w:hAnsi="Times New Roman"/>
          <w:sz w:val="24"/>
          <w:szCs w:val="24"/>
          <w:lang w:val="en-US"/>
        </w:rPr>
        <w:t>-based code and the presence of inorganic components in the feedstock has been considered.</w:t>
      </w:r>
    </w:p>
    <w:p w14:paraId="091700F6" w14:textId="77777777" w:rsidR="00D929E3" w:rsidRDefault="00D929E3" w:rsidP="00D929E3">
      <w:pPr>
        <w:pStyle w:val="ListParagraph"/>
        <w:spacing w:line="276" w:lineRule="auto"/>
        <w:ind w:left="426"/>
        <w:rPr>
          <w:rFonts w:ascii="Times New Roman" w:hAnsi="Times New Roman"/>
          <w:sz w:val="24"/>
          <w:szCs w:val="24"/>
          <w:lang w:val="en-US"/>
        </w:rPr>
      </w:pPr>
      <w:r w:rsidRPr="008D4E35">
        <w:rPr>
          <w:rFonts w:ascii="Times New Roman" w:hAnsi="Times New Roman"/>
          <w:sz w:val="24"/>
          <w:szCs w:val="24"/>
          <w:lang w:val="en-US"/>
        </w:rPr>
        <w:t xml:space="preserve">The close similarity between the two works also extends to the structure of the paper, the data presented in the tables and the results of the sensitivity analysis. However, in both works there is no experimental validation of the models. Some comments made for the paper 52 are also valid for the paper 51. Since the two works are presented at the same conference and in the same topic, the suggestion is to bring them together in a single work that compares the two different simulation tools (Aspen and </w:t>
      </w:r>
      <w:proofErr w:type="spellStart"/>
      <w:r w:rsidRPr="008D4E35">
        <w:rPr>
          <w:rFonts w:ascii="Times New Roman" w:hAnsi="Times New Roman"/>
          <w:sz w:val="24"/>
          <w:szCs w:val="24"/>
          <w:lang w:val="en-US"/>
        </w:rPr>
        <w:t>matlab</w:t>
      </w:r>
      <w:proofErr w:type="spellEnd"/>
      <w:r w:rsidRPr="008D4E35">
        <w:rPr>
          <w:rFonts w:ascii="Times New Roman" w:hAnsi="Times New Roman"/>
          <w:sz w:val="24"/>
          <w:szCs w:val="24"/>
          <w:lang w:val="en-US"/>
        </w:rPr>
        <w:t>).</w:t>
      </w:r>
    </w:p>
    <w:p w14:paraId="528C86A7" w14:textId="77777777" w:rsidR="00D929E3" w:rsidRDefault="00D929E3" w:rsidP="00D929E3">
      <w:pPr>
        <w:pStyle w:val="ListParagraph"/>
        <w:spacing w:line="276" w:lineRule="auto"/>
        <w:ind w:left="426"/>
        <w:rPr>
          <w:rFonts w:ascii="Times New Roman" w:hAnsi="Times New Roman"/>
          <w:sz w:val="24"/>
          <w:szCs w:val="24"/>
          <w:lang w:val="en-US"/>
        </w:rPr>
      </w:pPr>
      <w:r w:rsidRPr="001C16DE">
        <w:rPr>
          <w:rFonts w:ascii="Times New Roman" w:hAnsi="Times New Roman"/>
          <w:b/>
          <w:bCs/>
          <w:sz w:val="24"/>
          <w:szCs w:val="24"/>
          <w:lang w:val="en-US"/>
        </w:rPr>
        <w:t>Response:</w:t>
      </w:r>
      <w:r>
        <w:rPr>
          <w:rFonts w:ascii="Times New Roman" w:hAnsi="Times New Roman"/>
          <w:sz w:val="24"/>
          <w:szCs w:val="24"/>
          <w:lang w:val="en-US"/>
        </w:rPr>
        <w:t xml:space="preserve"> Thank you for your suggestion. We agree with Reviewer 2 on this comment. However, the main reason we are writing two separate manuscripts is because we want to highlight how the ash/inorganic contents of the biomass can play a significant role to influence gas yield and composition, and that </w:t>
      </w:r>
      <w:proofErr w:type="spellStart"/>
      <w:r>
        <w:rPr>
          <w:rFonts w:ascii="Times New Roman" w:hAnsi="Times New Roman"/>
          <w:sz w:val="24"/>
          <w:szCs w:val="24"/>
          <w:lang w:val="en-US"/>
        </w:rPr>
        <w:t>Matlab</w:t>
      </w:r>
      <w:proofErr w:type="spellEnd"/>
      <w:r>
        <w:rPr>
          <w:rFonts w:ascii="Times New Roman" w:hAnsi="Times New Roman"/>
          <w:sz w:val="24"/>
          <w:szCs w:val="24"/>
          <w:lang w:val="en-US"/>
        </w:rPr>
        <w:t xml:space="preserve">-based code is capable of evaluating the inorganic effect. Furthermore, it is necessary to separate these findings into two different manuscripts due to the page limitation for E2DT publication. </w:t>
      </w:r>
    </w:p>
    <w:p w14:paraId="741691BA" w14:textId="77777777" w:rsidR="00D929E3" w:rsidRDefault="00D929E3" w:rsidP="00D929E3">
      <w:pPr>
        <w:spacing w:line="276" w:lineRule="auto"/>
        <w:rPr>
          <w:rFonts w:ascii="Times New Roman" w:hAnsi="Times New Roman"/>
          <w:sz w:val="24"/>
          <w:szCs w:val="24"/>
          <w:lang w:val="en-US"/>
        </w:rPr>
      </w:pPr>
    </w:p>
    <w:p w14:paraId="20E17D57" w14:textId="77777777" w:rsidR="00D929E3" w:rsidRDefault="00D929E3" w:rsidP="00D929E3">
      <w:pPr>
        <w:spacing w:line="276" w:lineRule="auto"/>
        <w:rPr>
          <w:rFonts w:ascii="Times New Roman" w:hAnsi="Times New Roman"/>
          <w:sz w:val="24"/>
          <w:szCs w:val="24"/>
          <w:lang w:val="en-US"/>
        </w:rPr>
      </w:pPr>
      <w:r>
        <w:rPr>
          <w:rFonts w:ascii="Times New Roman" w:hAnsi="Times New Roman"/>
          <w:sz w:val="24"/>
          <w:szCs w:val="24"/>
          <w:lang w:val="en-US"/>
        </w:rPr>
        <w:t>We look forward to hearing from you in due time regarding our submission and to respond to any further questions and comments you may have.</w:t>
      </w:r>
    </w:p>
    <w:p w14:paraId="05923452" w14:textId="77777777" w:rsidR="00D929E3" w:rsidRDefault="00D929E3" w:rsidP="00D929E3">
      <w:pPr>
        <w:spacing w:line="276" w:lineRule="auto"/>
        <w:rPr>
          <w:rFonts w:ascii="Times New Roman" w:hAnsi="Times New Roman"/>
          <w:sz w:val="24"/>
          <w:szCs w:val="24"/>
          <w:lang w:val="en-US"/>
        </w:rPr>
      </w:pPr>
    </w:p>
    <w:p w14:paraId="54EDECBA" w14:textId="77777777" w:rsidR="00D929E3" w:rsidRDefault="00D929E3" w:rsidP="00D929E3">
      <w:pPr>
        <w:spacing w:line="276" w:lineRule="auto"/>
        <w:rPr>
          <w:rFonts w:ascii="Times New Roman" w:hAnsi="Times New Roman"/>
          <w:sz w:val="24"/>
          <w:szCs w:val="24"/>
          <w:lang w:val="en-US"/>
        </w:rPr>
      </w:pPr>
      <w:r>
        <w:rPr>
          <w:rFonts w:ascii="Times New Roman" w:hAnsi="Times New Roman"/>
          <w:sz w:val="24"/>
          <w:szCs w:val="24"/>
          <w:lang w:val="en-US"/>
        </w:rPr>
        <w:t>Sincerely,</w:t>
      </w:r>
    </w:p>
    <w:p w14:paraId="469F8B97" w14:textId="77777777" w:rsidR="00D929E3" w:rsidRDefault="00D929E3" w:rsidP="00D929E3">
      <w:pPr>
        <w:spacing w:line="276" w:lineRule="auto"/>
        <w:rPr>
          <w:rFonts w:ascii="Times New Roman" w:hAnsi="Times New Roman"/>
          <w:sz w:val="24"/>
          <w:szCs w:val="24"/>
          <w:lang w:val="en-US"/>
        </w:rPr>
      </w:pPr>
      <w:r>
        <w:rPr>
          <w:rFonts w:ascii="Times New Roman" w:hAnsi="Times New Roman"/>
          <w:sz w:val="24"/>
          <w:szCs w:val="24"/>
          <w:lang w:val="en-US"/>
        </w:rPr>
        <w:t>Fadilla Noor Rahma</w:t>
      </w:r>
    </w:p>
    <w:p w14:paraId="71BAE889" w14:textId="77777777" w:rsidR="00D929E3" w:rsidRDefault="00D929E3" w:rsidP="00D929E3">
      <w:pPr>
        <w:spacing w:line="276" w:lineRule="auto"/>
        <w:rPr>
          <w:rFonts w:ascii="Times New Roman" w:hAnsi="Times New Roman"/>
          <w:sz w:val="24"/>
          <w:szCs w:val="24"/>
          <w:lang w:val="en-US"/>
        </w:rPr>
      </w:pPr>
      <w:r>
        <w:rPr>
          <w:rFonts w:ascii="Times New Roman" w:hAnsi="Times New Roman"/>
          <w:sz w:val="24"/>
          <w:szCs w:val="24"/>
          <w:lang w:val="en-US"/>
        </w:rPr>
        <w:t>Corresponding Author</w:t>
      </w:r>
    </w:p>
    <w:p w14:paraId="2A77B0F4" w14:textId="77777777" w:rsidR="00D929E3" w:rsidRDefault="00D929E3" w:rsidP="00D929E3">
      <w:pPr>
        <w:spacing w:line="276" w:lineRule="auto"/>
        <w:rPr>
          <w:rFonts w:ascii="Times New Roman" w:hAnsi="Times New Roman"/>
          <w:sz w:val="24"/>
          <w:szCs w:val="24"/>
          <w:lang w:val="en-US"/>
        </w:rPr>
      </w:pPr>
    </w:p>
    <w:p w14:paraId="4CCC4ABF" w14:textId="77777777" w:rsidR="00D929E3" w:rsidRDefault="00D929E3" w:rsidP="00D929E3">
      <w:pPr>
        <w:spacing w:line="276" w:lineRule="auto"/>
        <w:rPr>
          <w:rFonts w:ascii="Times New Roman" w:hAnsi="Times New Roman"/>
          <w:b/>
          <w:bCs/>
          <w:sz w:val="24"/>
          <w:szCs w:val="24"/>
          <w:lang w:val="en-US"/>
        </w:rPr>
      </w:pPr>
      <w:r w:rsidRPr="00635606">
        <w:rPr>
          <w:rFonts w:ascii="Times New Roman" w:hAnsi="Times New Roman"/>
          <w:b/>
          <w:bCs/>
          <w:sz w:val="24"/>
          <w:szCs w:val="24"/>
          <w:lang w:val="en-US"/>
        </w:rPr>
        <w:t>REFERENCES</w:t>
      </w:r>
    </w:p>
    <w:p w14:paraId="545C4D83" w14:textId="58A1243A" w:rsidR="00D929E3" w:rsidRPr="003E4D97" w:rsidRDefault="00D929E3" w:rsidP="00D929E3">
      <w:pPr>
        <w:spacing w:line="276" w:lineRule="auto"/>
        <w:rPr>
          <w:rFonts w:ascii="Times New Roman" w:hAnsi="Times New Roman"/>
          <w:sz w:val="24"/>
          <w:szCs w:val="24"/>
          <w:lang w:val="en-US"/>
        </w:rPr>
      </w:pPr>
      <w:r>
        <w:rPr>
          <w:rFonts w:ascii="Times New Roman" w:hAnsi="Times New Roman"/>
          <w:sz w:val="24"/>
          <w:szCs w:val="24"/>
          <w:lang w:val="en-US"/>
        </w:rPr>
        <w:t>[</w:t>
      </w:r>
      <w:r w:rsidRPr="003E4D97">
        <w:rPr>
          <w:rFonts w:ascii="Times New Roman" w:hAnsi="Times New Roman"/>
          <w:sz w:val="24"/>
          <w:szCs w:val="24"/>
          <w:lang w:val="en-US"/>
        </w:rPr>
        <w:t>1</w:t>
      </w:r>
      <w:r>
        <w:rPr>
          <w:rFonts w:ascii="Times New Roman" w:hAnsi="Times New Roman"/>
          <w:sz w:val="24"/>
          <w:szCs w:val="24"/>
          <w:lang w:val="en-US"/>
        </w:rPr>
        <w:t xml:space="preserve">] </w:t>
      </w:r>
      <w:r w:rsidRPr="003E4D97">
        <w:rPr>
          <w:rFonts w:ascii="Times New Roman" w:hAnsi="Times New Roman"/>
          <w:sz w:val="24"/>
          <w:szCs w:val="24"/>
          <w:lang w:val="en-US"/>
        </w:rPr>
        <w:tab/>
      </w:r>
      <w:proofErr w:type="spellStart"/>
      <w:r w:rsidRPr="003E4D97">
        <w:rPr>
          <w:rFonts w:ascii="Times New Roman" w:hAnsi="Times New Roman"/>
          <w:sz w:val="24"/>
          <w:szCs w:val="24"/>
          <w:lang w:val="en-US"/>
        </w:rPr>
        <w:t>Hantoko</w:t>
      </w:r>
      <w:proofErr w:type="spellEnd"/>
      <w:r w:rsidRPr="003E4D97">
        <w:rPr>
          <w:rFonts w:ascii="Times New Roman" w:hAnsi="Times New Roman"/>
          <w:sz w:val="24"/>
          <w:szCs w:val="24"/>
          <w:lang w:val="en-US"/>
        </w:rPr>
        <w:t>, D., et al., Thermodynamic study on the integrated supercritical water gasification with reforming process for hydrogen production: Effects of operating parameters. International Journal of Hydrogen Energy, 2018. 43(37): p. 17620-17632.</w:t>
      </w:r>
    </w:p>
    <w:p w14:paraId="74168968" w14:textId="0F129592" w:rsidR="00D929E3" w:rsidRPr="003E4D97" w:rsidRDefault="00D929E3" w:rsidP="00D929E3">
      <w:pPr>
        <w:spacing w:line="276" w:lineRule="auto"/>
        <w:rPr>
          <w:rFonts w:ascii="Times New Roman" w:hAnsi="Times New Roman"/>
          <w:sz w:val="24"/>
          <w:szCs w:val="24"/>
          <w:lang w:val="en-US"/>
        </w:rPr>
      </w:pPr>
      <w:r>
        <w:rPr>
          <w:rFonts w:ascii="Times New Roman" w:hAnsi="Times New Roman"/>
          <w:sz w:val="24"/>
          <w:szCs w:val="24"/>
          <w:lang w:val="en-US"/>
        </w:rPr>
        <w:t>[</w:t>
      </w:r>
      <w:r w:rsidRPr="003E4D97">
        <w:rPr>
          <w:rFonts w:ascii="Times New Roman" w:hAnsi="Times New Roman"/>
          <w:sz w:val="24"/>
          <w:szCs w:val="24"/>
          <w:lang w:val="en-US"/>
        </w:rPr>
        <w:t>2</w:t>
      </w:r>
      <w:r>
        <w:rPr>
          <w:rFonts w:ascii="Times New Roman" w:hAnsi="Times New Roman"/>
          <w:sz w:val="24"/>
          <w:szCs w:val="24"/>
          <w:lang w:val="en-US"/>
        </w:rPr>
        <w:t xml:space="preserve">] </w:t>
      </w:r>
      <w:r w:rsidRPr="003E4D97">
        <w:rPr>
          <w:rFonts w:ascii="Times New Roman" w:hAnsi="Times New Roman"/>
          <w:sz w:val="24"/>
          <w:szCs w:val="24"/>
          <w:lang w:val="en-US"/>
        </w:rPr>
        <w:t xml:space="preserve">Parmar, K.R. and A.B. Ross, Integration of hydrothermal </w:t>
      </w:r>
      <w:proofErr w:type="spellStart"/>
      <w:r w:rsidRPr="003E4D97">
        <w:rPr>
          <w:rFonts w:ascii="Times New Roman" w:hAnsi="Times New Roman"/>
          <w:sz w:val="24"/>
          <w:szCs w:val="24"/>
          <w:lang w:val="en-US"/>
        </w:rPr>
        <w:t>carbonisation</w:t>
      </w:r>
      <w:proofErr w:type="spellEnd"/>
      <w:r w:rsidRPr="003E4D97">
        <w:rPr>
          <w:rFonts w:ascii="Times New Roman" w:hAnsi="Times New Roman"/>
          <w:sz w:val="24"/>
          <w:szCs w:val="24"/>
          <w:lang w:val="en-US"/>
        </w:rPr>
        <w:t xml:space="preserve"> with anaerobic digestion; Opportunities for </w:t>
      </w:r>
      <w:proofErr w:type="spellStart"/>
      <w:r w:rsidRPr="003E4D97">
        <w:rPr>
          <w:rFonts w:ascii="Times New Roman" w:hAnsi="Times New Roman"/>
          <w:sz w:val="24"/>
          <w:szCs w:val="24"/>
          <w:lang w:val="en-US"/>
        </w:rPr>
        <w:t>valorisation</w:t>
      </w:r>
      <w:proofErr w:type="spellEnd"/>
      <w:r w:rsidRPr="003E4D97">
        <w:rPr>
          <w:rFonts w:ascii="Times New Roman" w:hAnsi="Times New Roman"/>
          <w:sz w:val="24"/>
          <w:szCs w:val="24"/>
          <w:lang w:val="en-US"/>
        </w:rPr>
        <w:t xml:space="preserve"> of digestate. Energies, 2019. 12(9): p. 1586.</w:t>
      </w:r>
    </w:p>
    <w:p w14:paraId="1FA24D6D" w14:textId="77777777" w:rsidR="00D929E3" w:rsidRDefault="00D929E3" w:rsidP="00D929E3">
      <w:pPr>
        <w:spacing w:line="276" w:lineRule="auto"/>
        <w:rPr>
          <w:rFonts w:ascii="Times New Roman" w:hAnsi="Times New Roman"/>
          <w:b/>
          <w:bCs/>
          <w:sz w:val="24"/>
          <w:szCs w:val="24"/>
          <w:lang w:val="en-US"/>
        </w:rPr>
      </w:pPr>
    </w:p>
    <w:p w14:paraId="3080FEC7" w14:textId="77777777" w:rsidR="00D929E3" w:rsidRPr="008D4E35" w:rsidRDefault="00D929E3" w:rsidP="00D929E3">
      <w:pPr>
        <w:pStyle w:val="ListParagraph"/>
        <w:spacing w:line="276" w:lineRule="auto"/>
        <w:rPr>
          <w:rFonts w:ascii="Times New Roman" w:hAnsi="Times New Roman"/>
          <w:sz w:val="24"/>
          <w:szCs w:val="24"/>
          <w:lang w:val="en-US"/>
        </w:rPr>
      </w:pPr>
    </w:p>
    <w:p w14:paraId="42FF4197" w14:textId="77777777" w:rsidR="00D929E3" w:rsidRDefault="00D929E3">
      <w:pPr>
        <w:sectPr w:rsidR="00D929E3" w:rsidSect="00EF06D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701" w:left="1701" w:header="1701" w:footer="0" w:gutter="0"/>
          <w:cols w:space="708"/>
          <w:formProt w:val="0"/>
          <w:titlePg/>
          <w:docGrid w:linePitch="360"/>
        </w:sectPr>
      </w:pPr>
      <w:r>
        <w:br w:type="page"/>
      </w:r>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E2291">
        <w:trPr>
          <w:trHeight w:val="852"/>
          <w:jc w:val="center"/>
        </w:trPr>
        <w:tc>
          <w:tcPr>
            <w:tcW w:w="6940" w:type="dxa"/>
            <w:vMerge w:val="restart"/>
            <w:tcBorders>
              <w:right w:val="single" w:sz="4" w:space="0" w:color="auto"/>
            </w:tcBorders>
          </w:tcPr>
          <w:p w14:paraId="38C3D2BA" w14:textId="5F31427D"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lastRenderedPageBreak/>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B2A78" w14:paraId="380FA3CD" w14:textId="77777777" w:rsidTr="00AE229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E2291" w:rsidRDefault="000D0268" w:rsidP="00CD5FE2">
            <w:pPr>
              <w:spacing w:line="140" w:lineRule="atLeast"/>
              <w:jc w:val="right"/>
              <w:rPr>
                <w:rFonts w:cs="Arial"/>
                <w:sz w:val="13"/>
                <w:szCs w:val="13"/>
                <w:lang w:val="nb-NO"/>
              </w:rPr>
            </w:pPr>
            <w:r w:rsidRPr="00AE2291">
              <w:rPr>
                <w:rFonts w:cs="Arial"/>
                <w:sz w:val="13"/>
                <w:szCs w:val="13"/>
                <w:lang w:val="nb-NO"/>
              </w:rPr>
              <w:t>Online at www.cetjournal.it</w:t>
            </w:r>
          </w:p>
        </w:tc>
      </w:tr>
      <w:tr w:rsidR="000A03B2" w:rsidRPr="003B2A78" w14:paraId="2D1B7169" w14:textId="77777777" w:rsidTr="00AE2291">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AE2291" w:rsidRDefault="00AA7D26" w:rsidP="00AA7D26">
            <w:pPr>
              <w:tabs>
                <w:tab w:val="left" w:pos="-108"/>
              </w:tabs>
              <w:spacing w:line="140" w:lineRule="atLeast"/>
              <w:ind w:left="-107"/>
              <w:jc w:val="left"/>
              <w:rPr>
                <w:lang w:val="nb-NO"/>
              </w:rPr>
            </w:pPr>
            <w:r w:rsidRPr="00AE2291">
              <w:rPr>
                <w:rFonts w:ascii="Tahoma" w:hAnsi="Tahoma" w:cs="Tahoma"/>
                <w:iCs/>
                <w:color w:val="333333"/>
                <w:sz w:val="14"/>
                <w:szCs w:val="14"/>
                <w:lang w:val="nb-NO" w:eastAsia="it-IT"/>
              </w:rPr>
              <w:t xml:space="preserve">Copyright © 2023, AIDIC </w:t>
            </w:r>
            <w:proofErr w:type="spellStart"/>
            <w:r w:rsidRPr="00AE2291">
              <w:rPr>
                <w:rFonts w:ascii="Tahoma" w:hAnsi="Tahoma" w:cs="Tahoma"/>
                <w:iCs/>
                <w:color w:val="333333"/>
                <w:sz w:val="14"/>
                <w:szCs w:val="14"/>
                <w:lang w:val="nb-NO" w:eastAsia="it-IT"/>
              </w:rPr>
              <w:t>Servizi</w:t>
            </w:r>
            <w:proofErr w:type="spellEnd"/>
            <w:r w:rsidRPr="00AE2291">
              <w:rPr>
                <w:rFonts w:ascii="Tahoma" w:hAnsi="Tahoma" w:cs="Tahoma"/>
                <w:iCs/>
                <w:color w:val="333333"/>
                <w:sz w:val="14"/>
                <w:szCs w:val="14"/>
                <w:lang w:val="nb-NO" w:eastAsia="it-IT"/>
              </w:rPr>
              <w:t xml:space="preserve"> </w:t>
            </w:r>
            <w:proofErr w:type="spellStart"/>
            <w:r w:rsidRPr="00AE2291">
              <w:rPr>
                <w:rFonts w:ascii="Tahoma" w:hAnsi="Tahoma" w:cs="Tahoma"/>
                <w:iCs/>
                <w:color w:val="333333"/>
                <w:sz w:val="14"/>
                <w:szCs w:val="14"/>
                <w:lang w:val="nb-NO" w:eastAsia="it-IT"/>
              </w:rPr>
              <w:t>S.r.l</w:t>
            </w:r>
            <w:proofErr w:type="spellEnd"/>
            <w:r w:rsidRPr="00AE2291">
              <w:rPr>
                <w:rFonts w:ascii="Tahoma" w:hAnsi="Tahoma" w:cs="Tahoma"/>
                <w:iCs/>
                <w:color w:val="333333"/>
                <w:sz w:val="14"/>
                <w:szCs w:val="14"/>
                <w:lang w:val="nb-NO" w:eastAsia="it-IT"/>
              </w:rPr>
              <w:t>.</w:t>
            </w:r>
            <w:r w:rsidRPr="00AE2291">
              <w:rPr>
                <w:rFonts w:ascii="Tahoma" w:hAnsi="Tahoma" w:cs="Tahoma"/>
                <w:iCs/>
                <w:color w:val="333333"/>
                <w:sz w:val="14"/>
                <w:szCs w:val="14"/>
                <w:lang w:val="nb-NO" w:eastAsia="it-IT"/>
              </w:rPr>
              <w:br/>
            </w:r>
            <w:r w:rsidRPr="00AE2291">
              <w:rPr>
                <w:rFonts w:ascii="Tahoma" w:hAnsi="Tahoma" w:cs="Tahoma"/>
                <w:b/>
                <w:iCs/>
                <w:color w:val="000000"/>
                <w:sz w:val="14"/>
                <w:szCs w:val="14"/>
                <w:lang w:val="nb-NO" w:eastAsia="it-IT"/>
              </w:rPr>
              <w:t>ISBN</w:t>
            </w:r>
            <w:r w:rsidRPr="00AE2291">
              <w:rPr>
                <w:rFonts w:ascii="Tahoma" w:hAnsi="Tahoma" w:cs="Tahoma"/>
                <w:iCs/>
                <w:color w:val="000000"/>
                <w:sz w:val="14"/>
                <w:szCs w:val="14"/>
                <w:lang w:val="nb-NO" w:eastAsia="it-IT"/>
              </w:rPr>
              <w:t xml:space="preserve"> </w:t>
            </w:r>
            <w:r w:rsidR="008B7C03" w:rsidRPr="00AE2291">
              <w:rPr>
                <w:rFonts w:ascii="Tahoma" w:hAnsi="Tahoma" w:cs="Tahoma"/>
                <w:sz w:val="14"/>
                <w:szCs w:val="14"/>
                <w:lang w:val="nb-NO"/>
              </w:rPr>
              <w:t>979-12-81206</w:t>
            </w:r>
            <w:r w:rsidRPr="00AE2291">
              <w:rPr>
                <w:rFonts w:ascii="Tahoma" w:hAnsi="Tahoma" w:cs="Tahoma"/>
                <w:sz w:val="14"/>
                <w:szCs w:val="14"/>
                <w:lang w:val="nb-NO"/>
              </w:rPr>
              <w:t>-</w:t>
            </w:r>
            <w:r w:rsidR="00E33DD7" w:rsidRPr="00AE2291">
              <w:rPr>
                <w:rFonts w:ascii="Tahoma" w:hAnsi="Tahoma" w:cs="Tahoma"/>
                <w:sz w:val="14"/>
                <w:szCs w:val="14"/>
                <w:lang w:val="nb-NO"/>
              </w:rPr>
              <w:t>0</w:t>
            </w:r>
            <w:r w:rsidR="005E7C48" w:rsidRPr="00AE2291">
              <w:rPr>
                <w:rFonts w:ascii="Tahoma" w:hAnsi="Tahoma" w:cs="Tahoma"/>
                <w:sz w:val="14"/>
                <w:szCs w:val="14"/>
                <w:lang w:val="nb-NO"/>
              </w:rPr>
              <w:t>4</w:t>
            </w:r>
            <w:r w:rsidRPr="00AE2291">
              <w:rPr>
                <w:rFonts w:ascii="Tahoma" w:hAnsi="Tahoma" w:cs="Tahoma"/>
                <w:sz w:val="14"/>
                <w:szCs w:val="14"/>
                <w:lang w:val="nb-NO"/>
              </w:rPr>
              <w:t>-</w:t>
            </w:r>
            <w:r w:rsidR="005E7C48" w:rsidRPr="00AE2291">
              <w:rPr>
                <w:rFonts w:ascii="Tahoma" w:hAnsi="Tahoma" w:cs="Tahoma"/>
                <w:sz w:val="14"/>
                <w:szCs w:val="14"/>
                <w:lang w:val="nb-NO"/>
              </w:rPr>
              <w:t>5</w:t>
            </w:r>
            <w:r w:rsidRPr="00AE2291">
              <w:rPr>
                <w:rFonts w:ascii="Tahoma" w:hAnsi="Tahoma" w:cs="Tahoma"/>
                <w:iCs/>
                <w:color w:val="333333"/>
                <w:sz w:val="14"/>
                <w:szCs w:val="14"/>
                <w:lang w:val="nb-NO" w:eastAsia="it-IT"/>
              </w:rPr>
              <w:t xml:space="preserve">; </w:t>
            </w:r>
            <w:r w:rsidRPr="00AE2291">
              <w:rPr>
                <w:rFonts w:ascii="Tahoma" w:hAnsi="Tahoma" w:cs="Tahoma"/>
                <w:b/>
                <w:iCs/>
                <w:color w:val="333333"/>
                <w:sz w:val="14"/>
                <w:szCs w:val="14"/>
                <w:lang w:val="nb-NO" w:eastAsia="it-IT"/>
              </w:rPr>
              <w:t>ISSN</w:t>
            </w:r>
            <w:r w:rsidRPr="00AE2291">
              <w:rPr>
                <w:rFonts w:ascii="Tahoma" w:hAnsi="Tahoma" w:cs="Tahoma"/>
                <w:iCs/>
                <w:color w:val="333333"/>
                <w:sz w:val="14"/>
                <w:szCs w:val="14"/>
                <w:lang w:val="nb-NO" w:eastAsia="it-IT"/>
              </w:rPr>
              <w:t xml:space="preserve"> 2283-9216</w:t>
            </w:r>
          </w:p>
        </w:tc>
      </w:tr>
    </w:tbl>
    <w:p w14:paraId="2E667253" w14:textId="1B2D603D" w:rsidR="00E978D0" w:rsidRPr="00B57B36" w:rsidRDefault="00AE2291" w:rsidP="00E978D0">
      <w:pPr>
        <w:pStyle w:val="CETTitle"/>
      </w:pPr>
      <w:r w:rsidRPr="00AE2291">
        <w:t>Hydrothermal Gasification of Biogas Digestate: A Thermodynamic Study on Effects of Process Parameters Using Aspen Plus</w:t>
      </w:r>
    </w:p>
    <w:p w14:paraId="0488FED2" w14:textId="711E14A1" w:rsidR="00B57E6F" w:rsidRPr="00B57B36" w:rsidRDefault="00AE2291" w:rsidP="00B57E6F">
      <w:pPr>
        <w:pStyle w:val="CETAuthors"/>
      </w:pPr>
      <w:r>
        <w:t>Fadilla N. Rahma</w:t>
      </w:r>
      <w:r w:rsidR="00B57E6F" w:rsidRPr="00B57B36">
        <w:rPr>
          <w:vertAlign w:val="superscript"/>
        </w:rPr>
        <w:t>a</w:t>
      </w:r>
      <w:r>
        <w:rPr>
          <w:vertAlign w:val="superscript"/>
        </w:rPr>
        <w:t>,</w:t>
      </w:r>
      <w:r>
        <w:rPr>
          <w:vertAlign w:val="superscript"/>
          <w:lang w:val="en-US"/>
        </w:rPr>
        <w:t>*</w:t>
      </w:r>
      <w:r w:rsidR="00B57E6F" w:rsidRPr="00B57B36">
        <w:t xml:space="preserve">, </w:t>
      </w:r>
      <w:r>
        <w:t>Tian Li</w:t>
      </w:r>
      <w:r w:rsidRPr="00B57B36">
        <w:rPr>
          <w:vertAlign w:val="superscript"/>
        </w:rPr>
        <w:t>a</w:t>
      </w:r>
      <w:r>
        <w:t>, Roger Khalil</w:t>
      </w:r>
      <w:r>
        <w:rPr>
          <w:vertAlign w:val="superscript"/>
        </w:rPr>
        <w:t>b</w:t>
      </w:r>
      <w:r>
        <w:t>, Khanh-Quang Tran</w:t>
      </w:r>
      <w:r>
        <w:rPr>
          <w:vertAlign w:val="superscript"/>
        </w:rPr>
        <w:t>a</w:t>
      </w:r>
    </w:p>
    <w:p w14:paraId="6B2D21B3" w14:textId="7B87A165" w:rsidR="00B57E6F" w:rsidRPr="00B57B36" w:rsidRDefault="00B57E6F" w:rsidP="00B57E6F">
      <w:pPr>
        <w:pStyle w:val="CETAddress"/>
      </w:pPr>
      <w:r w:rsidRPr="00B57B36">
        <w:rPr>
          <w:vertAlign w:val="superscript"/>
        </w:rPr>
        <w:t>a</w:t>
      </w:r>
      <w:r w:rsidR="00772B04" w:rsidRPr="00772B04">
        <w:t>Department of Energy and Process Engineering, Norwegian University of Science and Technology (NTNU), Norway</w:t>
      </w:r>
      <w:r w:rsidRPr="00B57B36">
        <w:t xml:space="preserve"> </w:t>
      </w:r>
    </w:p>
    <w:p w14:paraId="3D72B0B0" w14:textId="5F36ED3D" w:rsidR="00B57E6F" w:rsidRPr="00B57B36" w:rsidRDefault="00B57E6F" w:rsidP="00B57E6F">
      <w:pPr>
        <w:pStyle w:val="CETAddress"/>
      </w:pPr>
      <w:r w:rsidRPr="00B57B36">
        <w:rPr>
          <w:vertAlign w:val="superscript"/>
        </w:rPr>
        <w:t>b</w:t>
      </w:r>
      <w:r w:rsidR="00772B04" w:rsidRPr="00772B04">
        <w:t>SINTEF Energy Research, Norway</w:t>
      </w:r>
      <w:r w:rsidRPr="00B57B36">
        <w:t xml:space="preserve"> </w:t>
      </w:r>
    </w:p>
    <w:p w14:paraId="73F1267A" w14:textId="09D6DBD4" w:rsidR="00B57E6F" w:rsidRPr="00772B04" w:rsidRDefault="00B57E6F" w:rsidP="00B57E6F">
      <w:pPr>
        <w:pStyle w:val="CETemail"/>
        <w:rPr>
          <w:lang w:val="en-US"/>
        </w:rPr>
      </w:pPr>
      <w:r>
        <w:t xml:space="preserve"> </w:t>
      </w:r>
      <w:r w:rsidR="00772B04" w:rsidRPr="00772B04">
        <w:rPr>
          <w:lang w:val="en-US"/>
        </w:rPr>
        <w:t>fa</w:t>
      </w:r>
      <w:r w:rsidR="00772B04">
        <w:rPr>
          <w:lang w:val="en-US"/>
        </w:rPr>
        <w:t>dilla.n.rahma@ntnu.no</w:t>
      </w:r>
    </w:p>
    <w:p w14:paraId="60912B31" w14:textId="50265352" w:rsidR="00D83610" w:rsidRDefault="00D83610" w:rsidP="00600535">
      <w:pPr>
        <w:pStyle w:val="CETBodytext"/>
        <w:rPr>
          <w:lang w:val="en-GB"/>
        </w:rPr>
      </w:pPr>
      <w:r w:rsidRPr="00D83610">
        <w:rPr>
          <w:lang w:val="en-GB"/>
        </w:rPr>
        <w:t xml:space="preserve">In this work, effects of process parameters on hydrothermal gasification (HTG) of biogas digestate are investigated using Aspen Plus software with an assumption that the inorganic contents of feedstock are lumped together as a single input parameter. The investigated parameters are temperature (400-600 </w:t>
      </w:r>
      <w:proofErr w:type="spellStart"/>
      <w:r w:rsidRPr="00AF7F86">
        <w:rPr>
          <w:vertAlign w:val="superscript"/>
          <w:lang w:val="en-GB"/>
        </w:rPr>
        <w:t>o</w:t>
      </w:r>
      <w:r w:rsidRPr="00D83610">
        <w:rPr>
          <w:lang w:val="en-GB"/>
        </w:rPr>
        <w:t>C</w:t>
      </w:r>
      <w:proofErr w:type="spellEnd"/>
      <w:r w:rsidRPr="00D83610">
        <w:rPr>
          <w:lang w:val="en-GB"/>
        </w:rPr>
        <w:t xml:space="preserve">), pressure (250-300 bar), feedstock concentration (10-50 </w:t>
      </w:r>
      <w:proofErr w:type="spellStart"/>
      <w:r w:rsidRPr="00D83610">
        <w:rPr>
          <w:lang w:val="en-GB"/>
        </w:rPr>
        <w:t>wt</w:t>
      </w:r>
      <w:proofErr w:type="spellEnd"/>
      <w:r w:rsidRPr="00D83610">
        <w:rPr>
          <w:lang w:val="en-GB"/>
        </w:rPr>
        <w:t>%), and feedstock ash content (0-40%), while the performance indicators are producer gas yield and composition. According to the modelling results, significant effects on the producer gas yield and composition were observed for temperature and feed concentration changes. On the other hand, pressure only had slight effects on the gas production. Hydrogen composition can be enhanced by keeping the pressure and feedstock composition low while increasing the reaction temperature. Furthermore, a higher ash content leads to a higher H</w:t>
      </w:r>
      <w:r w:rsidRPr="009E6912">
        <w:rPr>
          <w:vertAlign w:val="subscript"/>
          <w:lang w:val="en-GB"/>
        </w:rPr>
        <w:t>2</w:t>
      </w:r>
      <w:r w:rsidRPr="00D83610">
        <w:rPr>
          <w:lang w:val="en-GB"/>
        </w:rPr>
        <w:t xml:space="preserve"> composition, lower CO</w:t>
      </w:r>
      <w:r w:rsidRPr="009E6912">
        <w:rPr>
          <w:vertAlign w:val="subscript"/>
          <w:lang w:val="en-GB"/>
        </w:rPr>
        <w:t>2</w:t>
      </w:r>
      <w:r w:rsidRPr="00D83610">
        <w:rPr>
          <w:lang w:val="en-GB"/>
        </w:rPr>
        <w:t xml:space="preserve"> and CH</w:t>
      </w:r>
      <w:r w:rsidRPr="009E6912">
        <w:rPr>
          <w:vertAlign w:val="subscript"/>
          <w:lang w:val="en-GB"/>
        </w:rPr>
        <w:t>4</w:t>
      </w:r>
      <w:r w:rsidRPr="00D83610">
        <w:rPr>
          <w:lang w:val="en-GB"/>
        </w:rPr>
        <w:t xml:space="preserve"> composition, and higher gas yield. However, the influence of ash content captured in this study does not represent any chemical activities of the ash components.</w:t>
      </w:r>
    </w:p>
    <w:p w14:paraId="476B2F2E" w14:textId="77777777" w:rsidR="00600535" w:rsidRPr="00B57B36" w:rsidRDefault="00600535" w:rsidP="00600535">
      <w:pPr>
        <w:pStyle w:val="CETHeading1"/>
        <w:rPr>
          <w:lang w:val="en-GB"/>
        </w:rPr>
      </w:pPr>
      <w:r w:rsidRPr="00B57B36">
        <w:rPr>
          <w:lang w:val="en-GB"/>
        </w:rPr>
        <w:t>Introduction</w:t>
      </w:r>
    </w:p>
    <w:p w14:paraId="1801D442" w14:textId="3255B720" w:rsidR="002A70D7" w:rsidRDefault="002A70D7" w:rsidP="002A70D7">
      <w:pPr>
        <w:pStyle w:val="CETBodytext"/>
      </w:pPr>
      <w:r>
        <w:t xml:space="preserve">Among the rapidly growing interests towards renewable and sustainable energy alternatives, biogas production technology has received significant attention as one of the most promising biofuels </w:t>
      </w:r>
      <w:r>
        <w:fldChar w:fldCharType="begin"/>
      </w:r>
      <w:r w:rsidR="00BA2D59">
        <w:instrText xml:space="preserve"> ADDIN EN.CITE &lt;EndNote&gt;&lt;Cite&gt;&lt;Author&gt;Zabed&lt;/Author&gt;&lt;Year&gt;2020&lt;/Year&gt;&lt;RecNum&gt;102&lt;/RecNum&gt;&lt;DisplayText&gt;(Zabed, Akter et al. 2020)&lt;/DisplayText&gt;&lt;record&gt;&lt;rec-number&gt;102&lt;/rec-number&gt;&lt;foreign-keys&gt;&lt;key app="EN" db-id="50eez5z08wvwt5evrp7xr95rzs2ez0x9rtfv" timestamp="1673534266"&gt;102&lt;/key&gt;&lt;/foreign-keys&gt;&lt;ref-type name="Journal Article"&gt;17&lt;/ref-type&gt;&lt;contributors&gt;&lt;authors&gt;&lt;author&gt;Zabed, Hossain M&lt;/author&gt;&lt;author&gt;Akter, Suely&lt;/author&gt;&lt;author&gt;Yun, Junhua&lt;/author&gt;&lt;author&gt;Zhang, Guoyan&lt;/author&gt;&lt;author&gt;Zhang, Yufei&lt;/author&gt;&lt;author&gt;Qi, Xianghui&lt;/author&gt;&lt;/authors&gt;&lt;/contributors&gt;&lt;titles&gt;&lt;title&gt;Biogas from microalgae: Technologies, challenges and opportunities&lt;/title&gt;&lt;secondary-title&gt;Renewable and Sustainable Energy Reviews&lt;/secondary-title&gt;&lt;/titles&gt;&lt;periodical&gt;&lt;full-title&gt;Renewable and Sustainable Energy Reviews&lt;/full-title&gt;&lt;/periodical&gt;&lt;pages&gt;109503&lt;/pages&gt;&lt;volume&gt;117&lt;/volume&gt;&lt;dates&gt;&lt;year&gt;2020&lt;/year&gt;&lt;/dates&gt;&lt;isbn&gt;1364-0321&lt;/isbn&gt;&lt;urls&gt;&lt;/urls&gt;&lt;/record&gt;&lt;/Cite&gt;&lt;/EndNote&gt;</w:instrText>
      </w:r>
      <w:r>
        <w:fldChar w:fldCharType="separate"/>
      </w:r>
      <w:r w:rsidR="00BA2D59">
        <w:rPr>
          <w:noProof/>
        </w:rPr>
        <w:t>(Zabed, Akter et al. 2020)</w:t>
      </w:r>
      <w:r>
        <w:fldChar w:fldCharType="end"/>
      </w:r>
      <w:r>
        <w:t>. Biogas, primarily consisting of CH</w:t>
      </w:r>
      <w:r w:rsidRPr="001C21C6">
        <w:rPr>
          <w:vertAlign w:val="subscript"/>
        </w:rPr>
        <w:t>4</w:t>
      </w:r>
      <w:r>
        <w:t xml:space="preserve"> and CO</w:t>
      </w:r>
      <w:r w:rsidRPr="001C21C6">
        <w:rPr>
          <w:vertAlign w:val="subscript"/>
        </w:rPr>
        <w:t>2</w:t>
      </w:r>
      <w:r>
        <w:t xml:space="preserve">, is a versatile energy source which can be utilized for transport fuel as well as heat and electricity generation. It has a significant potential as a renewable energy source for both domestic and industrial applications </w:t>
      </w:r>
      <w:r>
        <w:fldChar w:fldCharType="begin"/>
      </w:r>
      <w:r w:rsidR="00BA2D59">
        <w:instrText xml:space="preserve"> ADDIN EN.CITE &lt;EndNote&gt;&lt;Cite&gt;&lt;Author&gt;Kabeyi&lt;/Author&gt;&lt;Year&gt;2022&lt;/Year&gt;&lt;RecNum&gt;111&lt;/RecNum&gt;&lt;DisplayText&gt;(Kabeyi and Olanrewaju 2022)&lt;/DisplayText&gt;&lt;record&gt;&lt;rec-number&gt;111&lt;/rec-number&gt;&lt;foreign-keys&gt;&lt;key app="EN" db-id="50eez5z08wvwt5evrp7xr95rzs2ez0x9rtfv" timestamp="1675596097"&gt;111&lt;/key&gt;&lt;/foreign-keys&gt;&lt;ref-type name="Journal Article"&gt;17&lt;/ref-type&gt;&lt;contributors&gt;&lt;authors&gt;&lt;author&gt;Kabeyi, Moses Jeremiah Barasa&lt;/author&gt;&lt;author&gt;Olanrewaju, Oludolapo Akanni&lt;/author&gt;&lt;/authors&gt;&lt;/contributors&gt;&lt;titles&gt;&lt;title&gt;Biogas production and applications in the sustainable energy transition&lt;/title&gt;&lt;secondary-title&gt;Journal of Energy&lt;/secondary-title&gt;&lt;/titles&gt;&lt;periodical&gt;&lt;full-title&gt;Journal of Energy&lt;/full-title&gt;&lt;/periodical&gt;&lt;volume&gt;2022&lt;/volume&gt;&lt;dates&gt;&lt;year&gt;2022&lt;/year&gt;&lt;/dates&gt;&lt;isbn&gt;2356-735X&lt;/isbn&gt;&lt;urls&gt;&lt;/urls&gt;&lt;/record&gt;&lt;/Cite&gt;&lt;/EndNote&gt;</w:instrText>
      </w:r>
      <w:r>
        <w:fldChar w:fldCharType="separate"/>
      </w:r>
      <w:r w:rsidR="00BA2D59">
        <w:rPr>
          <w:noProof/>
        </w:rPr>
        <w:t>(Kabeyi and Olanrewaju 2022)</w:t>
      </w:r>
      <w:r>
        <w:fldChar w:fldCharType="end"/>
      </w:r>
      <w:r>
        <w:t xml:space="preserve">. Biogas energy has accounted for 16,915 MW of global energy production in 2017, 71% of which is contributed by European countries </w:t>
      </w:r>
      <w:r>
        <w:fldChar w:fldCharType="begin"/>
      </w:r>
      <w:r w:rsidR="00BA2D59">
        <w:instrText xml:space="preserve"> ADDIN EN.CITE &lt;EndNote&gt;&lt;Cite&gt;&lt;Author&gt;Herbes&lt;/Author&gt;&lt;Year&gt;2020&lt;/Year&gt;&lt;RecNum&gt;106&lt;/RecNum&gt;&lt;DisplayText&gt;(Herbes, Roth et al. 2020)&lt;/DisplayText&gt;&lt;record&gt;&lt;rec-number&gt;106&lt;/rec-number&gt;&lt;foreign-keys&gt;&lt;key app="EN" db-id="50eez5z08wvwt5evrp7xr95rzs2ez0x9rtfv" timestamp="1674222921"&gt;106&lt;/key&gt;&lt;/foreign-keys&gt;&lt;ref-type name="Journal Article"&gt;17&lt;/ref-type&gt;&lt;contributors&gt;&lt;authors&gt;&lt;author&gt;Herbes, Carsten&lt;/author&gt;&lt;author&gt;Roth, Ursula&lt;/author&gt;&lt;author&gt;Wulf, Sebastian&lt;/author&gt;&lt;author&gt;Dahlin, Johannes&lt;/author&gt;&lt;/authors&gt;&lt;/contributors&gt;&lt;titles&gt;&lt;title&gt;Economic assessment of different biogas digestate processing technologies: A scenario-based analysis&lt;/title&gt;&lt;secondary-title&gt;Journal of Cleaner Production&lt;/secondary-title&gt;&lt;/titles&gt;&lt;periodical&gt;&lt;full-title&gt;Journal of Cleaner Production&lt;/full-title&gt;&lt;/periodical&gt;&lt;pages&gt;120282&lt;/pages&gt;&lt;volume&gt;255&lt;/volume&gt;&lt;dates&gt;&lt;year&gt;2020&lt;/year&gt;&lt;/dates&gt;&lt;isbn&gt;0959-6526&lt;/isbn&gt;&lt;urls&gt;&lt;/urls&gt;&lt;/record&gt;&lt;/Cite&gt;&lt;/EndNote&gt;</w:instrText>
      </w:r>
      <w:r>
        <w:fldChar w:fldCharType="separate"/>
      </w:r>
      <w:r w:rsidR="00BA2D59">
        <w:rPr>
          <w:noProof/>
        </w:rPr>
        <w:t>(Herbes, Roth et al. 2020)</w:t>
      </w:r>
      <w:r>
        <w:fldChar w:fldCharType="end"/>
      </w:r>
      <w:r>
        <w:t>.</w:t>
      </w:r>
    </w:p>
    <w:p w14:paraId="19389623" w14:textId="53C3C8A4" w:rsidR="002A70D7" w:rsidRDefault="002A70D7" w:rsidP="002A70D7">
      <w:pPr>
        <w:pStyle w:val="CETBodytext"/>
      </w:pPr>
      <w:r>
        <w:t>D</w:t>
      </w:r>
      <w:r w:rsidRPr="006B3AEA">
        <w:t xml:space="preserve">espite its potentials, the implementation of </w:t>
      </w:r>
      <w:r>
        <w:t xml:space="preserve">biogas technology is still hindered by significant key challenges. Biogas is mainly produced through anaerobic digestion, a biological process that decomposes organic materials in the absence of oxygen </w:t>
      </w:r>
      <w:r>
        <w:fldChar w:fldCharType="begin"/>
      </w:r>
      <w:r w:rsidR="00BA2D59">
        <w:instrText xml:space="preserve"> ADDIN EN.CITE &lt;EndNote&gt;&lt;Cite&gt;&lt;Author&gt;Surendra&lt;/Author&gt;&lt;Year&gt;2014&lt;/Year&gt;&lt;RecNum&gt;107&lt;/RecNum&gt;&lt;DisplayText&gt;(Surendra, Takara et al. 2014)&lt;/DisplayText&gt;&lt;record&gt;&lt;rec-number&gt;107&lt;/rec-number&gt;&lt;foreign-keys&gt;&lt;key app="EN" db-id="50eez5z08wvwt5evrp7xr95rzs2ez0x9rtfv" timestamp="1674223249"&gt;107&lt;/key&gt;&lt;/foreign-keys&gt;&lt;ref-type name="Journal Article"&gt;17&lt;/ref-type&gt;&lt;contributors&gt;&lt;authors&gt;&lt;author&gt;Surendra, KC&lt;/author&gt;&lt;author&gt;Takara, Devin&lt;/author&gt;&lt;author&gt;Hashimoto, Andrew G&lt;/author&gt;&lt;author&gt;Khanal, Samir Kumar&lt;/author&gt;&lt;/authors&gt;&lt;/contributors&gt;&lt;titles&gt;&lt;title&gt;Biogas as a sustainable energy source for developing countries: Opportunities and challenges&lt;/title&gt;&lt;secondary-title&gt;Renewable and Sustainable Energy Reviews&lt;/secondary-title&gt;&lt;/titles&gt;&lt;periodical&gt;&lt;full-title&gt;Renewable and Sustainable Energy Reviews&lt;/full-title&gt;&lt;/periodical&gt;&lt;pages&gt;846-859&lt;/pages&gt;&lt;volume&gt;31&lt;/volume&gt;&lt;dates&gt;&lt;year&gt;2014&lt;/year&gt;&lt;/dates&gt;&lt;isbn&gt;1364-0321&lt;/isbn&gt;&lt;urls&gt;&lt;/urls&gt;&lt;/record&gt;&lt;/Cite&gt;&lt;/EndNote&gt;</w:instrText>
      </w:r>
      <w:r>
        <w:fldChar w:fldCharType="separate"/>
      </w:r>
      <w:r w:rsidR="00BA2D59">
        <w:rPr>
          <w:noProof/>
        </w:rPr>
        <w:t>(Surendra, Takara et al. 2014)</w:t>
      </w:r>
      <w:r>
        <w:fldChar w:fldCharType="end"/>
      </w:r>
      <w:r>
        <w:t xml:space="preserve">. During the biogas production, the anaerobic digestion simultaneously generates a solid-liquid digestate stream, typically consists of 30-60% fraction of the feed </w:t>
      </w:r>
      <w:r>
        <w:fldChar w:fldCharType="begin"/>
      </w:r>
      <w:r w:rsidR="00BA2D59">
        <w:instrText xml:space="preserve"> ADDIN EN.CITE &lt;EndNote&gt;&lt;Cite&gt;&lt;Author&gt;Romio&lt;/Author&gt;&lt;Year&gt;2021&lt;/Year&gt;&lt;RecNum&gt;108&lt;/RecNum&gt;&lt;DisplayText&gt;(Romio, Kofoed et al. 2021)&lt;/DisplayText&gt;&lt;record&gt;&lt;rec-number&gt;108&lt;/rec-number&gt;&lt;foreign-keys&gt;&lt;key app="EN" db-id="50eez5z08wvwt5evrp7xr95rzs2ez0x9rtfv" timestamp="1674223415"&gt;108&lt;/key&gt;&lt;/foreign-keys&gt;&lt;ref-type name="Journal Article"&gt;17&lt;/ref-type&gt;&lt;contributors&gt;&lt;authors&gt;&lt;author&gt;Romio, Cristiane&lt;/author&gt;&lt;author&gt;Kofoed, Michael Vedel Wegener&lt;/author&gt;&lt;author&gt;Møller, Henrik Bjarne&lt;/author&gt;&lt;/authors&gt;&lt;/contributors&gt;&lt;titles&gt;&lt;title&gt;Digestate post-treatment strategies for additional biogas recovery: A review&lt;/title&gt;&lt;secondary-title&gt;Sustainability&lt;/secondary-title&gt;&lt;/titles&gt;&lt;periodical&gt;&lt;full-title&gt;Sustainability&lt;/full-title&gt;&lt;/periodical&gt;&lt;pages&gt;9295&lt;/pages&gt;&lt;volume&gt;13&lt;/volume&gt;&lt;number&gt;16&lt;/number&gt;&lt;dates&gt;&lt;year&gt;2021&lt;/year&gt;&lt;/dates&gt;&lt;isbn&gt;2071-1050&lt;/isbn&gt;&lt;urls&gt;&lt;/urls&gt;&lt;/record&gt;&lt;/Cite&gt;&lt;/EndNote&gt;</w:instrText>
      </w:r>
      <w:r>
        <w:fldChar w:fldCharType="separate"/>
      </w:r>
      <w:r w:rsidR="00BA2D59">
        <w:rPr>
          <w:noProof/>
        </w:rPr>
        <w:t>(Romio, Kofoed et al. 2021)</w:t>
      </w:r>
      <w:r>
        <w:fldChar w:fldCharType="end"/>
      </w:r>
      <w:r>
        <w:t xml:space="preserve">. Due to its rich nutrient content, biogas digestate is commonly used as bio-fertilizer and soil improver </w:t>
      </w:r>
      <w:r>
        <w:fldChar w:fldCharType="begin"/>
      </w:r>
      <w:r w:rsidR="00BA2D59">
        <w:instrText xml:space="preserve"> ADDIN EN.CITE &lt;EndNote&gt;&lt;Cite&gt;&lt;Author&gt;Lu&lt;/Author&gt;&lt;Year&gt;2021&lt;/Year&gt;&lt;RecNum&gt;112&lt;/RecNum&gt;&lt;DisplayText&gt;(Lu and Xu 2021)&lt;/DisplayText&gt;&lt;record&gt;&lt;rec-number&gt;112&lt;/rec-number&gt;&lt;foreign-keys&gt;&lt;key app="EN" db-id="50eez5z08wvwt5evrp7xr95rzs2ez0x9rtfv" timestamp="1675596324"&gt;112&lt;/key&gt;&lt;/foreign-keys&gt;&lt;ref-type name="Journal Article"&gt;17&lt;/ref-type&gt;&lt;contributors&gt;&lt;authors&gt;&lt;author&gt;Lu, Jin&lt;/author&gt;&lt;author&gt;Xu, Suyun&lt;/author&gt;&lt;/authors&gt;&lt;/contributors&gt;&lt;titles&gt;&lt;title&gt;Post-treatment of food waste digestate towards land application: a review&lt;/title&gt;&lt;secondary-title&gt;Journal of Cleaner Production&lt;/secondary-title&gt;&lt;/titles&gt;&lt;periodical&gt;&lt;full-title&gt;Journal of Cleaner Production&lt;/full-title&gt;&lt;/periodical&gt;&lt;pages&gt;127033&lt;/pages&gt;&lt;volume&gt;303&lt;/volume&gt;&lt;dates&gt;&lt;year&gt;2021&lt;/year&gt;&lt;/dates&gt;&lt;isbn&gt;0959-6526&lt;/isbn&gt;&lt;urls&gt;&lt;/urls&gt;&lt;/record&gt;&lt;/Cite&gt;&lt;/EndNote&gt;</w:instrText>
      </w:r>
      <w:r>
        <w:fldChar w:fldCharType="separate"/>
      </w:r>
      <w:r w:rsidR="00BA2D59">
        <w:rPr>
          <w:noProof/>
        </w:rPr>
        <w:t>(Lu and Xu 2021)</w:t>
      </w:r>
      <w:r>
        <w:fldChar w:fldCharType="end"/>
      </w:r>
      <w:r>
        <w:t xml:space="preserve">. However, this practice recently raises some environmental concerns due to the risk of ammonia emission and the presence of pathogens, organic micropollutants, and heavy metal contents </w:t>
      </w:r>
      <w:r>
        <w:fldChar w:fldCharType="begin"/>
      </w:r>
      <w:r w:rsidR="00BA2D59">
        <w:instrText xml:space="preserve"> ADDIN EN.CITE &lt;EndNote&gt;&lt;Cite&gt;&lt;Author&gt;Nkoa&lt;/Author&gt;&lt;Year&gt;2014&lt;/Year&gt;&lt;RecNum&gt;57&lt;/RecNum&gt;&lt;DisplayText&gt;(Nkoa 2014)&lt;/DisplayText&gt;&lt;record&gt;&lt;rec-number&gt;57&lt;/rec-number&gt;&lt;foreign-keys&gt;&lt;key app="EN" db-id="50eez5z08wvwt5evrp7xr95rzs2ez0x9rtfv" timestamp="1665808136"&gt;57&lt;/key&gt;&lt;/foreign-keys&gt;&lt;ref-type name="Journal Article"&gt;17&lt;/ref-type&gt;&lt;contributors&gt;&lt;authors&gt;&lt;author&gt;Nkoa, Roger&lt;/author&gt;&lt;/authors&gt;&lt;/contributors&gt;&lt;titles&gt;&lt;title&gt;Agricultural benefits and environmental risks of soil fertilization with anaerobic digestates: a review&lt;/title&gt;&lt;secondary-title&gt;Agronomy for Sustainable Development&lt;/secondary-title&gt;&lt;/titles&gt;&lt;periodical&gt;&lt;full-title&gt;Agronomy for Sustainable Development&lt;/full-title&gt;&lt;/periodical&gt;&lt;pages&gt;473-492&lt;/pages&gt;&lt;volume&gt;34&lt;/volume&gt;&lt;number&gt;2&lt;/number&gt;&lt;dates&gt;&lt;year&gt;2014&lt;/year&gt;&lt;/dates&gt;&lt;isbn&gt;1773-0155&lt;/isbn&gt;&lt;urls&gt;&lt;/urls&gt;&lt;/record&gt;&lt;/Cite&gt;&lt;/EndNote&gt;</w:instrText>
      </w:r>
      <w:r>
        <w:fldChar w:fldCharType="separate"/>
      </w:r>
      <w:r w:rsidR="00BA2D59">
        <w:rPr>
          <w:noProof/>
        </w:rPr>
        <w:t>(Nkoa 2014)</w:t>
      </w:r>
      <w:r>
        <w:fldChar w:fldCharType="end"/>
      </w:r>
      <w:r>
        <w:t xml:space="preserve">. This leads to more stringent control on digestate-based fertilizer which creates disposal problems for biogas production plants </w:t>
      </w:r>
      <w:r>
        <w:fldChar w:fldCharType="begin"/>
      </w:r>
      <w:r w:rsidR="00BA2D59">
        <w:instrText xml:space="preserve"> ADDIN EN.CITE &lt;EndNote&gt;&lt;Cite&gt;&lt;Author&gt;Dahlin&lt;/Author&gt;&lt;Year&gt;2015&lt;/Year&gt;&lt;RecNum&gt;114&lt;/RecNum&gt;&lt;DisplayText&gt;(Dahlin, Herbes et al. 2015)&lt;/DisplayText&gt;&lt;record&gt;&lt;rec-number&gt;114&lt;/rec-number&gt;&lt;foreign-keys&gt;&lt;key app="EN" db-id="50eez5z08wvwt5evrp7xr95rzs2ez0x9rtfv" timestamp="1675596650"&gt;114&lt;/key&gt;&lt;/foreign-keys&gt;&lt;ref-type name="Journal Article"&gt;17&lt;/ref-type&gt;&lt;contributors&gt;&lt;authors&gt;&lt;author&gt;Dahlin, Johannes&lt;/author&gt;&lt;author&gt;Herbes, Carsten&lt;/author&gt;&lt;author&gt;Nelles, Michael&lt;/author&gt;&lt;/authors&gt;&lt;/contributors&gt;&lt;titles&gt;&lt;title&gt;Biogas digestate marketing: qualitative insights into the supply side&lt;/title&gt;&lt;secondary-title&gt;Resources, Conservation and Recycling&lt;/secondary-title&gt;&lt;/titles&gt;&lt;periodical&gt;&lt;full-title&gt;Resources, Conservation and Recycling&lt;/full-title&gt;&lt;/periodical&gt;&lt;pages&gt;152-161&lt;/pages&gt;&lt;volume&gt;104&lt;/volume&gt;&lt;dates&gt;&lt;year&gt;2015&lt;/year&gt;&lt;/dates&gt;&lt;isbn&gt;0921-3449&lt;/isbn&gt;&lt;urls&gt;&lt;/urls&gt;&lt;/record&gt;&lt;/Cite&gt;&lt;/EndNote&gt;</w:instrText>
      </w:r>
      <w:r>
        <w:fldChar w:fldCharType="separate"/>
      </w:r>
      <w:r w:rsidR="00BA2D59">
        <w:rPr>
          <w:noProof/>
        </w:rPr>
        <w:t>(Dahlin, Herbes et al. 2015)</w:t>
      </w:r>
      <w:r>
        <w:fldChar w:fldCharType="end"/>
      </w:r>
      <w:r>
        <w:t xml:space="preserve">. In addition, there is another major issue related to the inadequate availability of suitable feedstock to meet the biogas production target </w:t>
      </w:r>
      <w:r>
        <w:fldChar w:fldCharType="begin"/>
      </w:r>
      <w:r w:rsidR="00BA2D59">
        <w:instrText xml:space="preserve"> ADDIN EN.CITE &lt;EndNote&gt;&lt;Cite&gt;&lt;Author&gt;Divya&lt;/Author&gt;&lt;Year&gt;2015&lt;/Year&gt;&lt;RecNum&gt;58&lt;/RecNum&gt;&lt;DisplayText&gt;(Divya, Gopinath et al. 2015)&lt;/DisplayText&gt;&lt;record&gt;&lt;rec-number&gt;58&lt;/rec-number&gt;&lt;foreign-keys&gt;&lt;key app="EN" db-id="50eez5z08wvwt5evrp7xr95rzs2ez0x9rtfv" timestamp="1665808226"&gt;58&lt;/key&gt;&lt;/foreign-keys&gt;&lt;ref-type name="Journal Article"&gt;17&lt;/ref-type&gt;&lt;contributors&gt;&lt;authors&gt;&lt;author&gt;Divya, D&lt;/author&gt;&lt;author&gt;Gopinath, LR&lt;/author&gt;&lt;author&gt;Christy, P Merlin&lt;/author&gt;&lt;/authors&gt;&lt;/contributors&gt;&lt;titles&gt;&lt;title&gt;A review on current aspects and diverse prospects for enhancing biogas production in sustainable means&lt;/title&gt;&lt;secondary-title&gt;Renewable and sustainable energy reviews&lt;/secondary-title&gt;&lt;/titles&gt;&lt;periodical&gt;&lt;full-title&gt;Renewable and Sustainable Energy Reviews&lt;/full-title&gt;&lt;/periodical&gt;&lt;pages&gt;690-699&lt;/pages&gt;&lt;volume&gt;42&lt;/volume&gt;&lt;dates&gt;&lt;year&gt;2015&lt;/year&gt;&lt;/dates&gt;&lt;isbn&gt;1364-0321&lt;/isbn&gt;&lt;urls&gt;&lt;/urls&gt;&lt;/record&gt;&lt;/Cite&gt;&lt;/EndNote&gt;</w:instrText>
      </w:r>
      <w:r>
        <w:fldChar w:fldCharType="separate"/>
      </w:r>
      <w:r w:rsidR="00BA2D59">
        <w:rPr>
          <w:noProof/>
        </w:rPr>
        <w:t>(Divya, Gopinath et al. 2015)</w:t>
      </w:r>
      <w:r>
        <w:fldChar w:fldCharType="end"/>
      </w:r>
      <w:r>
        <w:t>.</w:t>
      </w:r>
    </w:p>
    <w:p w14:paraId="2AE46BFF" w14:textId="07A13551" w:rsidR="002A70D7" w:rsidRDefault="002A70D7" w:rsidP="002A70D7">
      <w:pPr>
        <w:pStyle w:val="CETBodytext"/>
      </w:pPr>
      <w:r>
        <w:t xml:space="preserve">Process integration of anaerobic digestion (AD) and hydrothermal gasification (HTG) is a potential answer to both challenges. The idea of the integration is to process the digestate through HTG to generate producer gas, with a possibility of recycling the producer gas back into the AD. Previous experimental studies have confirmed that biomethane production can be improved through producer gas recycle into the AD </w:t>
      </w:r>
      <w:r>
        <w:fldChar w:fldCharType="begin"/>
      </w:r>
      <w:r w:rsidR="00BA2D59">
        <w:instrText xml:space="preserve"> ADDIN EN.CITE &lt;EndNote&gt;&lt;Cite&gt;&lt;Author&gt;Yang&lt;/Author&gt;&lt;Year&gt;2020&lt;/Year&gt;&lt;RecNum&gt;43&lt;/RecNum&gt;&lt;DisplayText&gt;(Li, Chen et al. 2019, Yang, Liu et al. 2020)&lt;/DisplayText&gt;&lt;record&gt;&lt;rec-number&gt;43&lt;/rec-number&gt;&lt;foreign-keys&gt;&lt;key app="EN" db-id="50eez5z08wvwt5evrp7xr95rzs2ez0x9rtfv" timestamp="1665574553"&gt;43&lt;/key&gt;&lt;/foreign-keys&gt;&lt;ref-type name="Journal Article"&gt;17&lt;/ref-type&gt;&lt;contributors&gt;&lt;authors&gt;&lt;author&gt;Yang, Ziyi&lt;/author&gt;&lt;author&gt;Liu, Yang&lt;/author&gt;&lt;author&gt;Zhang, Jie&lt;/author&gt;&lt;author&gt;Mao, Kaiwei&lt;/author&gt;&lt;author&gt;Kurbonova, Malikakhon&lt;/author&gt;&lt;author&gt;Liu, Guangqing&lt;/author&gt;&lt;author&gt;Zhang, Ruihong&lt;/author&gt;&lt;author&gt;Wang, Wen&lt;/author&gt;&lt;/authors&gt;&lt;/contributors&gt;&lt;titles&gt;&lt;title&gt;Improvement of biofuel recovery from food waste by integration of anaerobic digestion, digestate pyrolysis and syngas biomethanation under mesophilic and thermophilic conditions&lt;/title&gt;&lt;secondary-title&gt;Journal of Cleaner Production&lt;/secondary-title&gt;&lt;/titles&gt;&lt;periodical&gt;&lt;full-title&gt;Journal of Cleaner Production&lt;/full-title&gt;&lt;/periodical&gt;&lt;pages&gt;120594&lt;/pages&gt;&lt;volume&gt;256&lt;/volume&gt;&lt;dates&gt;&lt;year&gt;2020&lt;/year&gt;&lt;/dates&gt;&lt;isbn&gt;0959-6526&lt;/isbn&gt;&lt;urls&gt;&lt;/urls&gt;&lt;/record&gt;&lt;/Cite&gt;&lt;Cite&gt;&lt;Author&gt;Li&lt;/Author&gt;&lt;Year&gt;2019&lt;/Year&gt;&lt;RecNum&gt;79&lt;/RecNum&gt;&lt;record&gt;&lt;rec-number&gt;79&lt;/rec-number&gt;&lt;foreign-keys&gt;&lt;key app="EN" db-id="50eez5z08wvwt5evrp7xr95rzs2ez0x9rtfv" timestamp="1667212384"&gt;79&lt;/key&gt;&lt;/foreign-keys&gt;&lt;ref-type name="Journal Article"&gt;17&lt;/ref-type&gt;&lt;contributors&gt;&lt;authors&gt;&lt;author&gt;Li, Yue&lt;/author&gt;&lt;author&gt;Chen, Yinguang&lt;/author&gt;&lt;author&gt;Wu, Jiang&lt;/author&gt;&lt;/authors&gt;&lt;/contributors&gt;&lt;titles&gt;&lt;title&gt;Enhancement of methane production in anaerobic digestion process: A review&lt;/title&gt;&lt;secondary-title&gt;Applied energy&lt;/secondary-title&gt;&lt;/titles&gt;&lt;periodical&gt;&lt;full-title&gt;Applied Energy&lt;/full-title&gt;&lt;/periodical&gt;&lt;pages&gt;120-137&lt;/pages&gt;&lt;volume&gt;240&lt;/volume&gt;&lt;dates&gt;&lt;year&gt;2019&lt;/year&gt;&lt;/dates&gt;&lt;isbn&gt;0306-2619&lt;/isbn&gt;&lt;urls&gt;&lt;/urls&gt;&lt;/record&gt;&lt;/Cite&gt;&lt;/EndNote&gt;</w:instrText>
      </w:r>
      <w:r>
        <w:fldChar w:fldCharType="separate"/>
      </w:r>
      <w:r w:rsidR="00BA2D59">
        <w:rPr>
          <w:noProof/>
        </w:rPr>
        <w:t xml:space="preserve">(Li, Chen et al. 2019, </w:t>
      </w:r>
      <w:r w:rsidR="00BA2D59">
        <w:rPr>
          <w:noProof/>
        </w:rPr>
        <w:lastRenderedPageBreak/>
        <w:t>Yang, Liu et al. 2020)</w:t>
      </w:r>
      <w:r>
        <w:fldChar w:fldCharType="end"/>
      </w:r>
      <w:r>
        <w:t xml:space="preserve">. Therefore, the integration provides simultaneous benefits: 1) reducing the amount of material disposal; 2) enabling the AD to utilize a wider selection of feedstock, including materials containing non-digestible fractions; and 3) enhancing biogas production through the producer gas recycling </w:t>
      </w:r>
      <w:r>
        <w:fldChar w:fldCharType="begin"/>
      </w:r>
      <w:r w:rsidR="00BA2D59">
        <w:instrText xml:space="preserve"> ADDIN EN.CITE &lt;EndNote&gt;&lt;Cite&gt;&lt;Author&gt;Li&lt;/Author&gt;&lt;Year&gt;2019&lt;/Year&gt;&lt;RecNum&gt;79&lt;/RecNum&gt;&lt;DisplayText&gt;(Li, Chen et al. 2019)&lt;/DisplayText&gt;&lt;record&gt;&lt;rec-number&gt;79&lt;/rec-number&gt;&lt;foreign-keys&gt;&lt;key app="EN" db-id="50eez5z08wvwt5evrp7xr95rzs2ez0x9rtfv" timestamp="1667212384"&gt;79&lt;/key&gt;&lt;/foreign-keys&gt;&lt;ref-type name="Journal Article"&gt;17&lt;/ref-type&gt;&lt;contributors&gt;&lt;authors&gt;&lt;author&gt;Li, Yue&lt;/author&gt;&lt;author&gt;Chen, Yinguang&lt;/author&gt;&lt;author&gt;Wu, Jiang&lt;/author&gt;&lt;/authors&gt;&lt;/contributors&gt;&lt;titles&gt;&lt;title&gt;Enhancement of methane production in anaerobic digestion process: A review&lt;/title&gt;&lt;secondary-title&gt;Applied energy&lt;/secondary-title&gt;&lt;/titles&gt;&lt;periodical&gt;&lt;full-title&gt;Applied Energy&lt;/full-title&gt;&lt;/periodical&gt;&lt;pages&gt;120-137&lt;/pages&gt;&lt;volume&gt;240&lt;/volume&gt;&lt;dates&gt;&lt;year&gt;2019&lt;/year&gt;&lt;/dates&gt;&lt;isbn&gt;0306-2619&lt;/isbn&gt;&lt;urls&gt;&lt;/urls&gt;&lt;/record&gt;&lt;/Cite&gt;&lt;/EndNote&gt;</w:instrText>
      </w:r>
      <w:r>
        <w:fldChar w:fldCharType="separate"/>
      </w:r>
      <w:r w:rsidR="00BA2D59">
        <w:rPr>
          <w:noProof/>
        </w:rPr>
        <w:t>(Li, Chen et al. 2019)</w:t>
      </w:r>
      <w:r>
        <w:fldChar w:fldCharType="end"/>
      </w:r>
      <w:r>
        <w:t xml:space="preserve">. </w:t>
      </w:r>
    </w:p>
    <w:p w14:paraId="180FE0B8" w14:textId="40864F9C" w:rsidR="002A70D7" w:rsidRDefault="002A70D7" w:rsidP="002A70D7">
      <w:pPr>
        <w:pStyle w:val="CETBodytext"/>
      </w:pPr>
      <w:r>
        <w:t xml:space="preserve">The implementation of AD-HTG integration with producer gas recycling requires a comprehensive understanding about the impact of important operating parameters on the behavior of producer gas from the HTG. Studies about the effects of process parameters on HTG has been carried out previously </w:t>
      </w:r>
      <w:r>
        <w:fldChar w:fldCharType="begin">
          <w:fldData xml:space="preserve">PEVuZE5vdGU+PENpdGU+PEF1dGhvcj5ZYWthYm95bHU8L0F1dGhvcj48WWVhcj4yMDEzPC9ZZWFy
PjxSZWNOdW0+ODwvUmVjTnVtPjxEaXNwbGF5VGV4dD4oWWFrYWJveWx1LCBIYXJpbmNrIGV0IGFs
LiAyMDEzLCBMb3V3LCBTY2h3YXJ6IGV0IGFsLiAyMDE2LCBPa29saWUsIE5hbmRhIGV0IGFsLiAy
MDIwKTwvRGlzcGxheVRleHQ+PHJlY29yZD48cmVjLW51bWJlcj44PC9yZWMtbnVtYmVyPjxmb3Jl
aWduLWtleXM+PGtleSBhcHA9IkVOIiBkYi1pZD0iNTBlZXo1ejA4d3Z3dDVldnJwN3hyOTVyenMy
ZXoweDlydGZ2IiB0aW1lc3RhbXA9IjE2NTEwNzE0NDIiPjg8L2tleT48L2ZvcmVpZ24ta2V5cz48
cmVmLXR5cGUgbmFtZT0iSm91cm5hbCBBcnRpY2xlIj4xNzwvcmVmLXR5cGU+PGNvbnRyaWJ1dG9y
cz48YXV0aG9ycz48YXV0aG9yPllha2Fib3lsdSwgT251cnNhbDwvYXV0aG9yPjxhdXRob3I+SGFy
aW5jaywgSm9objwvYXV0aG9yPjxhdXRob3I+U21pdCwgS0cgR2VydG9uPC9hdXRob3I+PGF1dGhv
cj5kZSBKb25nLCBXaWVicmVuPC9hdXRob3I+PC9hdXRob3JzPjwvY29udHJpYnV0b3JzPjx0aXRs
ZXM+PHRpdGxlPlN1cGVyY3JpdGljYWwgd2F0ZXIgZ2FzaWZpY2F0aW9uIG9mIG1hbnVyZTogQSB0
aGVybW9keW5hbWljIGVxdWlsaWJyaXVtIG1vZGVsaW5nIGFwcHJvYWNoPC90aXRsZT48c2Vjb25k
YXJ5LXRpdGxlPkJpb21hc3MgYW5kIEJpb2VuZXJneTwvc2Vjb25kYXJ5LXRpdGxlPjwvdGl0bGVz
PjxwZXJpb2RpY2FsPjxmdWxsLXRpdGxlPkJpb21hc3MgYW5kIEJpb2VuZXJneTwvZnVsbC10aXRs
ZT48L3BlcmlvZGljYWw+PHBhZ2VzPjI1My0yNjM8L3BhZ2VzPjx2b2x1bWU+NTk8L3ZvbHVtZT48
ZGF0ZXM+PHllYXI+MjAxMzwveWVhcj48L2RhdGVzPjxpc2JuPjA5NjEtOTUzNDwvaXNibj48dXJs
cz48L3VybHM+PC9yZWNvcmQ+PC9DaXRlPjxDaXRlPjxBdXRob3I+TG91dzwvQXV0aG9yPjxZZWFy
PjIwMTY8L1llYXI+PFJlY051bT4yMzwvUmVjTnVtPjxyZWNvcmQ+PHJlYy1udW1iZXI+MjM8L3Jl
Yy1udW1iZXI+PGZvcmVpZ24ta2V5cz48a2V5IGFwcD0iRU4iIGRiLWlkPSI1MGVlejV6MDh3dnd0
NWV2cnA3eHI5NXJ6czJlejB4OXJ0ZnYiIHRpbWVzdGFtcD0iMTY1MTA3NTcwNiI+MjM8L2tleT48
L2ZvcmVpZ24ta2V5cz48cmVmLXR5cGUgbmFtZT0iSm91cm5hbCBBcnRpY2xlIj4xNzwvcmVmLXR5
cGU+PGNvbnRyaWJ1dG9ycz48YXV0aG9ycz48YXV0aG9yPkxvdXcsIEplYW5uZTwvYXV0aG9yPjxh
dXRob3I+U2Nod2FyeiwgQ2FyYSBFPC9hdXRob3I+PGF1dGhvcj5CdXJnZXIsIEFuZHJpZXMgSjwv
YXV0aG9yPjwvYXV0aG9ycz48L2NvbnRyaWJ1dG9ycz48dGl0bGVzPjx0aXRsZT5DYXRhbHl0aWMg
c3VwZXJjcml0aWNhbCB3YXRlciBnYXNpZmljYXRpb24gb2YgcHJpbWFyeSBwYXBlciBzbHVkZ2Ug
dXNpbmcgYSBob21vZ2VuZW91cyBhbmQgaGV0ZXJvZ2VuZW91cyBjYXRhbHlzdDogZXhwZXJpbWVu
dGFsIHZzIHRoZXJtb2R5bmFtaWMgZXF1aWxpYnJpdW0gcmVzdWx0czwvdGl0bGU+PHNlY29uZGFy
eS10aXRsZT5CaW9yZXNvdXJjZSB0ZWNobm9sb2d5PC9zZWNvbmRhcnktdGl0bGU+PC90aXRsZXM+
PHBlcmlvZGljYWw+PGZ1bGwtdGl0bGU+QmlvcmVzb3VyY2UgdGVjaG5vbG9neTwvZnVsbC10aXRs
ZT48L3BlcmlvZGljYWw+PHBhZ2VzPjExMS0xMjA8L3BhZ2VzPjx2b2x1bWU+MjAxPC92b2x1bWU+
PGRhdGVzPjx5ZWFyPjIwMTY8L3llYXI+PC9kYXRlcz48aXNibj4wOTYwLTg1MjQ8L2lzYm4+PHVy
bHM+PC91cmxzPjwvcmVjb3JkPjwvQ2l0ZT48Q2l0ZT48QXV0aG9yPk9rb2xpZTwvQXV0aG9yPjxZ
ZWFyPjIwMjA8L1llYXI+PFJlY051bT4yNDwvUmVjTnVtPjxyZWNvcmQ+PHJlYy1udW1iZXI+MjQ8
L3JlYy1udW1iZXI+PGZvcmVpZ24ta2V5cz48a2V5IGFwcD0iRU4iIGRiLWlkPSI1MGVlejV6MDh3
dnd0NWV2cnA3eHI5NXJ6czJlejB4OXJ0ZnYiIHRpbWVzdGFtcD0iMTY1MTA3NTcyNSI+MjQ8L2tl
eT48L2ZvcmVpZ24ta2V5cz48cmVmLXR5cGUgbmFtZT0iSm91cm5hbCBBcnRpY2xlIj4xNzwvcmVm
LXR5cGU+PGNvbnRyaWJ1dG9ycz48YXV0aG9ycz48YXV0aG9yPk9rb2xpZSwgSnVkZSBBPC9hdXRo
b3I+PGF1dGhvcj5OYW5kYSwgU29uaWw8L2F1dGhvcj48YXV0aG9yPkRhbGFpLCBBamF5IEs8L2F1
dGhvcj48YXV0aG9yPktvemluc2tpLCBKYW51c3ogQTwvYXV0aG9yPjwvYXV0aG9ycz48L2NvbnRy
aWJ1dG9ycz48dGl0bGVzPjx0aXRsZT5IeWRyb3RoZXJtYWwgZ2FzaWZpY2F0aW9uIG9mIHNveWJl
YW4gc3RyYXcgYW5kIGZsYXggc3RyYXcgZm9yIGh5ZHJvZ2VuLXJpY2ggc3luZ2FzIHByb2R1Y3Rp
b246IEV4cGVyaW1lbnRhbCBhbmQgdGhlcm1vZHluYW1pYyBtb2RlbGluZzwvdGl0bGU+PHNlY29u
ZGFyeS10aXRsZT5FbmVyZ3kgQ29udmVyc2lvbiBhbmQgTWFuYWdlbWVudDwvc2Vjb25kYXJ5LXRp
dGxlPjwvdGl0bGVzPjxwZXJpb2RpY2FsPjxmdWxsLXRpdGxlPkVuZXJneSBjb252ZXJzaW9uIGFu
ZCBtYW5hZ2VtZW50PC9mdWxsLXRpdGxlPjwvcGVyaW9kaWNhbD48cGFnZXM+MTEyNTQ1PC9wYWdl
cz48dm9sdW1lPjIwODwvdm9sdW1lPjxkYXRlcz48eWVhcj4yMDIwPC95ZWFyPjwvZGF0ZXM+PGlz
Ym4+MDE5Ni04OTA0PC9pc2JuPjx1cmxzPjwvdXJscz48L3JlY29yZD48L0NpdGU+PC9FbmROb3Rl
Pn==
</w:fldData>
        </w:fldChar>
      </w:r>
      <w:r w:rsidR="00BA2D59">
        <w:instrText xml:space="preserve"> ADDIN EN.CITE </w:instrText>
      </w:r>
      <w:r w:rsidR="00BA2D59">
        <w:fldChar w:fldCharType="begin">
          <w:fldData xml:space="preserve">PEVuZE5vdGU+PENpdGU+PEF1dGhvcj5ZYWthYm95bHU8L0F1dGhvcj48WWVhcj4yMDEzPC9ZZWFy
PjxSZWNOdW0+ODwvUmVjTnVtPjxEaXNwbGF5VGV4dD4oWWFrYWJveWx1LCBIYXJpbmNrIGV0IGFs
LiAyMDEzLCBMb3V3LCBTY2h3YXJ6IGV0IGFsLiAyMDE2LCBPa29saWUsIE5hbmRhIGV0IGFsLiAy
MDIwKTwvRGlzcGxheVRleHQ+PHJlY29yZD48cmVjLW51bWJlcj44PC9yZWMtbnVtYmVyPjxmb3Jl
aWduLWtleXM+PGtleSBhcHA9IkVOIiBkYi1pZD0iNTBlZXo1ejA4d3Z3dDVldnJwN3hyOTVyenMy
ZXoweDlydGZ2IiB0aW1lc3RhbXA9IjE2NTEwNzE0NDIiPjg8L2tleT48L2ZvcmVpZ24ta2V5cz48
cmVmLXR5cGUgbmFtZT0iSm91cm5hbCBBcnRpY2xlIj4xNzwvcmVmLXR5cGU+PGNvbnRyaWJ1dG9y
cz48YXV0aG9ycz48YXV0aG9yPllha2Fib3lsdSwgT251cnNhbDwvYXV0aG9yPjxhdXRob3I+SGFy
aW5jaywgSm9objwvYXV0aG9yPjxhdXRob3I+U21pdCwgS0cgR2VydG9uPC9hdXRob3I+PGF1dGhv
cj5kZSBKb25nLCBXaWVicmVuPC9hdXRob3I+PC9hdXRob3JzPjwvY29udHJpYnV0b3JzPjx0aXRs
ZXM+PHRpdGxlPlN1cGVyY3JpdGljYWwgd2F0ZXIgZ2FzaWZpY2F0aW9uIG9mIG1hbnVyZTogQSB0
aGVybW9keW5hbWljIGVxdWlsaWJyaXVtIG1vZGVsaW5nIGFwcHJvYWNoPC90aXRsZT48c2Vjb25k
YXJ5LXRpdGxlPkJpb21hc3MgYW5kIEJpb2VuZXJneTwvc2Vjb25kYXJ5LXRpdGxlPjwvdGl0bGVz
PjxwZXJpb2RpY2FsPjxmdWxsLXRpdGxlPkJpb21hc3MgYW5kIEJpb2VuZXJneTwvZnVsbC10aXRs
ZT48L3BlcmlvZGljYWw+PHBhZ2VzPjI1My0yNjM8L3BhZ2VzPjx2b2x1bWU+NTk8L3ZvbHVtZT48
ZGF0ZXM+PHllYXI+MjAxMzwveWVhcj48L2RhdGVzPjxpc2JuPjA5NjEtOTUzNDwvaXNibj48dXJs
cz48L3VybHM+PC9yZWNvcmQ+PC9DaXRlPjxDaXRlPjxBdXRob3I+TG91dzwvQXV0aG9yPjxZZWFy
PjIwMTY8L1llYXI+PFJlY051bT4yMzwvUmVjTnVtPjxyZWNvcmQ+PHJlYy1udW1iZXI+MjM8L3Jl
Yy1udW1iZXI+PGZvcmVpZ24ta2V5cz48a2V5IGFwcD0iRU4iIGRiLWlkPSI1MGVlejV6MDh3dnd0
NWV2cnA3eHI5NXJ6czJlejB4OXJ0ZnYiIHRpbWVzdGFtcD0iMTY1MTA3NTcwNiI+MjM8L2tleT48
L2ZvcmVpZ24ta2V5cz48cmVmLXR5cGUgbmFtZT0iSm91cm5hbCBBcnRpY2xlIj4xNzwvcmVmLXR5
cGU+PGNvbnRyaWJ1dG9ycz48YXV0aG9ycz48YXV0aG9yPkxvdXcsIEplYW5uZTwvYXV0aG9yPjxh
dXRob3I+U2Nod2FyeiwgQ2FyYSBFPC9hdXRob3I+PGF1dGhvcj5CdXJnZXIsIEFuZHJpZXMgSjwv
YXV0aG9yPjwvYXV0aG9ycz48L2NvbnRyaWJ1dG9ycz48dGl0bGVzPjx0aXRsZT5DYXRhbHl0aWMg
c3VwZXJjcml0aWNhbCB3YXRlciBnYXNpZmljYXRpb24gb2YgcHJpbWFyeSBwYXBlciBzbHVkZ2Ug
dXNpbmcgYSBob21vZ2VuZW91cyBhbmQgaGV0ZXJvZ2VuZW91cyBjYXRhbHlzdDogZXhwZXJpbWVu
dGFsIHZzIHRoZXJtb2R5bmFtaWMgZXF1aWxpYnJpdW0gcmVzdWx0czwvdGl0bGU+PHNlY29uZGFy
eS10aXRsZT5CaW9yZXNvdXJjZSB0ZWNobm9sb2d5PC9zZWNvbmRhcnktdGl0bGU+PC90aXRsZXM+
PHBlcmlvZGljYWw+PGZ1bGwtdGl0bGU+QmlvcmVzb3VyY2UgdGVjaG5vbG9neTwvZnVsbC10aXRs
ZT48L3BlcmlvZGljYWw+PHBhZ2VzPjExMS0xMjA8L3BhZ2VzPjx2b2x1bWU+MjAxPC92b2x1bWU+
PGRhdGVzPjx5ZWFyPjIwMTY8L3llYXI+PC9kYXRlcz48aXNibj4wOTYwLTg1MjQ8L2lzYm4+PHVy
bHM+PC91cmxzPjwvcmVjb3JkPjwvQ2l0ZT48Q2l0ZT48QXV0aG9yPk9rb2xpZTwvQXV0aG9yPjxZ
ZWFyPjIwMjA8L1llYXI+PFJlY051bT4yNDwvUmVjTnVtPjxyZWNvcmQ+PHJlYy1udW1iZXI+MjQ8
L3JlYy1udW1iZXI+PGZvcmVpZ24ta2V5cz48a2V5IGFwcD0iRU4iIGRiLWlkPSI1MGVlejV6MDh3
dnd0NWV2cnA3eHI5NXJ6czJlejB4OXJ0ZnYiIHRpbWVzdGFtcD0iMTY1MTA3NTcyNSI+MjQ8L2tl
eT48L2ZvcmVpZ24ta2V5cz48cmVmLXR5cGUgbmFtZT0iSm91cm5hbCBBcnRpY2xlIj4xNzwvcmVm
LXR5cGU+PGNvbnRyaWJ1dG9ycz48YXV0aG9ycz48YXV0aG9yPk9rb2xpZSwgSnVkZSBBPC9hdXRo
b3I+PGF1dGhvcj5OYW5kYSwgU29uaWw8L2F1dGhvcj48YXV0aG9yPkRhbGFpLCBBamF5IEs8L2F1
dGhvcj48YXV0aG9yPktvemluc2tpLCBKYW51c3ogQTwvYXV0aG9yPjwvYXV0aG9ycz48L2NvbnRy
aWJ1dG9ycz48dGl0bGVzPjx0aXRsZT5IeWRyb3RoZXJtYWwgZ2FzaWZpY2F0aW9uIG9mIHNveWJl
YW4gc3RyYXcgYW5kIGZsYXggc3RyYXcgZm9yIGh5ZHJvZ2VuLXJpY2ggc3luZ2FzIHByb2R1Y3Rp
b246IEV4cGVyaW1lbnRhbCBhbmQgdGhlcm1vZHluYW1pYyBtb2RlbGluZzwvdGl0bGU+PHNlY29u
ZGFyeS10aXRsZT5FbmVyZ3kgQ29udmVyc2lvbiBhbmQgTWFuYWdlbWVudDwvc2Vjb25kYXJ5LXRp
dGxlPjwvdGl0bGVzPjxwZXJpb2RpY2FsPjxmdWxsLXRpdGxlPkVuZXJneSBjb252ZXJzaW9uIGFu
ZCBtYW5hZ2VtZW50PC9mdWxsLXRpdGxlPjwvcGVyaW9kaWNhbD48cGFnZXM+MTEyNTQ1PC9wYWdl
cz48dm9sdW1lPjIwODwvdm9sdW1lPjxkYXRlcz48eWVhcj4yMDIwPC95ZWFyPjwvZGF0ZXM+PGlz
Ym4+MDE5Ni04OTA0PC9pc2JuPjx1cmxzPjwvdXJscz48L3JlY29yZD48L0NpdGU+PC9FbmROb3Rl
Pn==
</w:fldData>
        </w:fldChar>
      </w:r>
      <w:r w:rsidR="00BA2D59">
        <w:instrText xml:space="preserve"> ADDIN EN.CITE.DATA </w:instrText>
      </w:r>
      <w:r w:rsidR="00BA2D59">
        <w:fldChar w:fldCharType="end"/>
      </w:r>
      <w:r>
        <w:fldChar w:fldCharType="separate"/>
      </w:r>
      <w:r w:rsidR="00BA2D59">
        <w:rPr>
          <w:noProof/>
        </w:rPr>
        <w:t>(Yakaboylu, Harinck et al. 2013, Louw, Schwarz et al. 2016, Okolie, Nanda et al. 2020)</w:t>
      </w:r>
      <w:r>
        <w:fldChar w:fldCharType="end"/>
      </w:r>
      <w:r>
        <w:t xml:space="preserve">, however, the use of biogas digestate as a feedstock has not been investigated. In addition, the effect of feedstock ash content has not been reported. </w:t>
      </w:r>
    </w:p>
    <w:p w14:paraId="342CA678" w14:textId="77777777" w:rsidR="002A70D7" w:rsidRPr="00535930" w:rsidRDefault="002A70D7" w:rsidP="002A70D7">
      <w:pPr>
        <w:pStyle w:val="CETBodytext"/>
      </w:pPr>
      <w:r>
        <w:t>In this paper, an HTG Aspen Plus model is developed with Gibbs free energy minimization principle to study the effect of process parameters in the HTG of biogas digestate. The model is implemented to thermodynamically evaluate the effect of temperature, pressure, feed concentration, and feedstock ash content on the producer gas yield and composition. The result of this present research provides an important insight for the future development of AD-HTG integration.</w:t>
      </w:r>
    </w:p>
    <w:p w14:paraId="4D7AD279" w14:textId="0FF382D9" w:rsidR="002A70D7" w:rsidRDefault="004D4EC0" w:rsidP="004D4EC0">
      <w:pPr>
        <w:pStyle w:val="CETHeading1"/>
        <w:tabs>
          <w:tab w:val="num" w:pos="360"/>
        </w:tabs>
        <w:rPr>
          <w:lang w:val="en-GB"/>
        </w:rPr>
      </w:pPr>
      <w:r>
        <w:rPr>
          <w:lang w:val="en-GB"/>
        </w:rPr>
        <w:t>Methods</w:t>
      </w:r>
    </w:p>
    <w:p w14:paraId="0BEF7A41" w14:textId="6F2E4DDC" w:rsidR="000D638D" w:rsidRDefault="000D638D" w:rsidP="000D638D">
      <w:pPr>
        <w:pStyle w:val="CETheadingx"/>
        <w:rPr>
          <w:lang w:val="en-GB"/>
        </w:rPr>
      </w:pPr>
      <w:r>
        <w:rPr>
          <w:lang w:val="en-GB"/>
        </w:rPr>
        <w:t>Model Description</w:t>
      </w:r>
    </w:p>
    <w:p w14:paraId="47A1D2C6" w14:textId="6DFE892E" w:rsidR="000A2414" w:rsidRDefault="000A2414" w:rsidP="000A2414">
      <w:pPr>
        <w:pStyle w:val="CETBodytext"/>
      </w:pPr>
      <w:r>
        <w:t xml:space="preserve">An HTG process model is developed in Aspen Plus to represent the typical experimental setup used in previous HTG studies </w:t>
      </w:r>
      <w:r>
        <w:fldChar w:fldCharType="begin"/>
      </w:r>
      <w:r w:rsidR="00BA2D59">
        <w:instrText xml:space="preserve"> ADDIN EN.CITE &lt;EndNote&gt;&lt;Cite&gt;&lt;Author&gt;Byrd&lt;/Author&gt;&lt;Year&gt;2007&lt;/Year&gt;&lt;RecNum&gt;69&lt;/RecNum&gt;&lt;DisplayText&gt;(Byrd, Pant et al. 2007, Byrd, Pant et al. 2008)&lt;/DisplayText&gt;&lt;record&gt;&lt;rec-number&gt;69&lt;/rec-number&gt;&lt;foreign-keys&gt;&lt;key app="EN" db-id="50eez5z08wvwt5evrp7xr95rzs2ez0x9rtfv" timestamp="1665819799"&gt;69&lt;/key&gt;&lt;/foreign-keys&gt;&lt;ref-type name="Journal Article"&gt;17&lt;/ref-type&gt;&lt;contributors&gt;&lt;authors&gt;&lt;author&gt;Byrd, Adam J&lt;/author&gt;&lt;author&gt;Pant, KK&lt;/author&gt;&lt;author&gt;Gupta, Ram B&lt;/author&gt;&lt;/authors&gt;&lt;/contributors&gt;&lt;titles&gt;&lt;title&gt;Hydrogen production from ethanol by reforming in supercritical water using Ru/Al2O3 catalyst&lt;/title&gt;&lt;secondary-title&gt;Energy &amp;amp; Fuels&lt;/secondary-title&gt;&lt;/titles&gt;&lt;periodical&gt;&lt;full-title&gt;Energy &amp;amp; fuels&lt;/full-title&gt;&lt;/periodical&gt;&lt;pages&gt;3541-3547&lt;/pages&gt;&lt;volume&gt;21&lt;/volume&gt;&lt;number&gt;6&lt;/number&gt;&lt;dates&gt;&lt;year&gt;2007&lt;/year&gt;&lt;/dates&gt;&lt;isbn&gt;0887-0624&lt;/isbn&gt;&lt;urls&gt;&lt;/urls&gt;&lt;/record&gt;&lt;/Cite&gt;&lt;Cite&gt;&lt;Author&gt;Byrd&lt;/Author&gt;&lt;Year&gt;2008&lt;/Year&gt;&lt;RecNum&gt;70&lt;/RecNum&gt;&lt;record&gt;&lt;rec-number&gt;70&lt;/rec-number&gt;&lt;foreign-keys&gt;&lt;key app="EN" db-id="50eez5z08wvwt5evrp7xr95rzs2ez0x9rtfv" timestamp="1665819817"&gt;70&lt;/key&gt;&lt;/foreign-keys&gt;&lt;ref-type name="Journal Article"&gt;17&lt;/ref-type&gt;&lt;contributors&gt;&lt;authors&gt;&lt;author&gt;Byrd, Adam J&lt;/author&gt;&lt;author&gt;Pant, KK&lt;/author&gt;&lt;author&gt;Gupta, Ram B&lt;/author&gt;&lt;/authors&gt;&lt;/contributors&gt;&lt;titles&gt;&lt;title&gt;Hydrogen production from glycerol by reforming in supercritical water over Ru/Al2O3 catalyst&lt;/title&gt;&lt;secondary-title&gt;Fuel&lt;/secondary-title&gt;&lt;/titles&gt;&lt;periodical&gt;&lt;full-title&gt;Fuel&lt;/full-title&gt;&lt;/periodical&gt;&lt;pages&gt;2956-2960&lt;/pages&gt;&lt;volume&gt;87&lt;/volume&gt;&lt;number&gt;13-14&lt;/number&gt;&lt;dates&gt;&lt;year&gt;2008&lt;/year&gt;&lt;/dates&gt;&lt;isbn&gt;0016-2361&lt;/isbn&gt;&lt;urls&gt;&lt;/urls&gt;&lt;/record&gt;&lt;/Cite&gt;&lt;/EndNote&gt;</w:instrText>
      </w:r>
      <w:r>
        <w:fldChar w:fldCharType="separate"/>
      </w:r>
      <w:r w:rsidR="00BA2D59">
        <w:rPr>
          <w:noProof/>
        </w:rPr>
        <w:t>(Byrd, Pant et al. 2007, Byrd, Pant et al. 2008)</w:t>
      </w:r>
      <w:r>
        <w:fldChar w:fldCharType="end"/>
      </w:r>
      <w:r>
        <w:t xml:space="preserve">. The same setup, as presented in Figure 1, has also been repeatedly adopted in numerous HTG modelling works utilizing Aspen Plus </w:t>
      </w:r>
      <w:r>
        <w:fldChar w:fldCharType="begin"/>
      </w:r>
      <w:r w:rsidR="00BA2D59">
        <w:instrText xml:space="preserve"> ADDIN EN.CITE &lt;EndNote&gt;&lt;Cite&gt;&lt;Author&gt;Okolie&lt;/Author&gt;&lt;Year&gt;2020&lt;/Year&gt;&lt;RecNum&gt;24&lt;/RecNum&gt;&lt;DisplayText&gt;(Hantoko, Su et al. 2018, Okolie, Nanda et al. 2020)&lt;/DisplayText&gt;&lt;record&gt;&lt;rec-number&gt;24&lt;/rec-number&gt;&lt;foreign-keys&gt;&lt;key app="EN" db-id="50eez5z08wvwt5evrp7xr95rzs2ez0x9rtfv" timestamp="1651075725"&gt;24&lt;/key&gt;&lt;/foreign-keys&gt;&lt;ref-type name="Journal Article"&gt;17&lt;/ref-type&gt;&lt;contributors&gt;&lt;authors&gt;&lt;author&gt;Okolie, Jude A&lt;/author&gt;&lt;author&gt;Nanda, Sonil&lt;/author&gt;&lt;author&gt;Dalai, Ajay K&lt;/author&gt;&lt;author&gt;Kozinski, Janusz A&lt;/author&gt;&lt;/authors&gt;&lt;/contributors&gt;&lt;titles&gt;&lt;title&gt;Hydrothermal gasification of soybean straw and flax straw for hydrogen-rich syngas production: Experimental and thermodynamic modeling&lt;/title&gt;&lt;secondary-title&gt;Energy Conversion and Management&lt;/secondary-title&gt;&lt;/titles&gt;&lt;periodical&gt;&lt;full-title&gt;Energy conversion and management&lt;/full-title&gt;&lt;/periodical&gt;&lt;pages&gt;112545&lt;/pages&gt;&lt;volume&gt;208&lt;/volume&gt;&lt;dates&gt;&lt;year&gt;2020&lt;/year&gt;&lt;/dates&gt;&lt;isbn&gt;0196-8904&lt;/isbn&gt;&lt;urls&gt;&lt;/urls&gt;&lt;/record&gt;&lt;/Cite&gt;&lt;Cite&gt;&lt;Author&gt;Hantoko&lt;/Author&gt;&lt;Year&gt;2018&lt;/Year&gt;&lt;RecNum&gt;63&lt;/RecNum&gt;&lt;record&gt;&lt;rec-number&gt;63&lt;/rec-number&gt;&lt;foreign-keys&gt;&lt;key app="EN" db-id="50eez5z08wvwt5evrp7xr95rzs2ez0x9rtfv" timestamp="1665809789"&gt;63&lt;/key&gt;&lt;/foreign-keys&gt;&lt;ref-type name="Journal Article"&gt;17&lt;/ref-type&gt;&lt;contributors&gt;&lt;authors&gt;&lt;author&gt;Hantoko, Dwi&lt;/author&gt;&lt;author&gt;Su, Hongcai&lt;/author&gt;&lt;author&gt;Yan, Mi&lt;/author&gt;&lt;author&gt;Kanchanatip, Ekkachai&lt;/author&gt;&lt;author&gt;Susanto, Herri&lt;/author&gt;&lt;author&gt;Wang, Guobin&lt;/author&gt;&lt;author&gt;Zhang, Sicheng&lt;/author&gt;&lt;author&gt;Xu, Zhang&lt;/author&gt;&lt;/authors&gt;&lt;/contributors&gt;&lt;titles&gt;&lt;title&gt;Thermodynamic study on the integrated supercritical water gasification with reforming process for hydrogen production: Effects of operating parameters&lt;/title&gt;&lt;secondary-title&gt;International Journal of Hydrogen Energy&lt;/secondary-title&gt;&lt;/titles&gt;&lt;periodical&gt;&lt;full-title&gt;International Journal of Hydrogen Energy&lt;/full-title&gt;&lt;/periodical&gt;&lt;pages&gt;17620-17632&lt;/pages&gt;&lt;volume&gt;43&lt;/volume&gt;&lt;number&gt;37&lt;/number&gt;&lt;dates&gt;&lt;year&gt;2018&lt;/year&gt;&lt;/dates&gt;&lt;isbn&gt;0360-3199&lt;/isbn&gt;&lt;urls&gt;&lt;/urls&gt;&lt;/record&gt;&lt;/Cite&gt;&lt;/EndNote&gt;</w:instrText>
      </w:r>
      <w:r>
        <w:fldChar w:fldCharType="separate"/>
      </w:r>
      <w:r w:rsidR="00BA2D59">
        <w:rPr>
          <w:noProof/>
        </w:rPr>
        <w:t>(Hantoko, Su et al. 2018, Okolie, Nanda et al. 2020)</w:t>
      </w:r>
      <w:r>
        <w:fldChar w:fldCharType="end"/>
      </w:r>
      <w:r>
        <w:t xml:space="preserve">. In the Aspen Plus model, the biogas digestate feedstock is regarded as an </w:t>
      </w:r>
      <w:r w:rsidR="00727E68">
        <w:t>non-</w:t>
      </w:r>
      <w:r>
        <w:t xml:space="preserve">conventional component specified by its proximate and ultimate composition. The composition is obtained from biogas digestate data available in literature </w:t>
      </w:r>
      <w:r>
        <w:rPr>
          <w:bCs/>
        </w:rPr>
        <w:fldChar w:fldCharType="begin"/>
      </w:r>
      <w:r w:rsidR="00BA2D59">
        <w:rPr>
          <w:bCs/>
        </w:rPr>
        <w:instrText xml:space="preserve"> ADDIN EN.CITE &lt;EndNote&gt;&lt;Cite&gt;&lt;Author&gt;Parmar&lt;/Author&gt;&lt;Year&gt;2019&lt;/Year&gt;&lt;RecNum&gt;104&lt;/RecNum&gt;&lt;DisplayText&gt;(Parmar and Ross 2019)&lt;/DisplayText&gt;&lt;record&gt;&lt;rec-number&gt;104&lt;/rec-number&gt;&lt;foreign-keys&gt;&lt;key app="EN" db-id="50eez5z08wvwt5evrp7xr95rzs2ez0x9rtfv" timestamp="1673537966"&gt;104&lt;/key&gt;&lt;/foreign-keys&gt;&lt;ref-type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Pr>
          <w:bCs/>
        </w:rPr>
        <w:fldChar w:fldCharType="separate"/>
      </w:r>
      <w:r w:rsidR="00BA2D59">
        <w:rPr>
          <w:bCs/>
          <w:noProof/>
        </w:rPr>
        <w:t>(Parmar and Ross 2019)</w:t>
      </w:r>
      <w:r>
        <w:rPr>
          <w:bCs/>
        </w:rPr>
        <w:fldChar w:fldCharType="end"/>
      </w:r>
      <w:r>
        <w:rPr>
          <w:bCs/>
        </w:rPr>
        <w:t xml:space="preserve"> and summarized in Table 1 and Table 2. </w:t>
      </w:r>
      <w:r>
        <w:t xml:space="preserve">The inorganic contents of the feedstock are lumped together as a single ash input. The PUMP and HEATER blocks are used to adjust the pressure and temperature of the feedstock to the reaction condition. The HTG reactor is represented by integrating two blocks of reactors (RYIELD and RGIBBS). The RYIELD is employed to break down the </w:t>
      </w:r>
      <w:r w:rsidR="00727E68">
        <w:t>non-</w:t>
      </w:r>
      <w:r>
        <w:t xml:space="preserve">conventional feedstock component into its elements (C, H, O, N, S, and ash) based on the specified ultimate composition. For this purpose, a Fortran statement is written on a calculator block embedded in the RYIELD reactor. The output from the RYIELD flows into RGIBBS, where the Gibbs free energy minimization occurs. Following HTG, the reaction products are cooled in COOLER and brought to SEP block for separation of producer gas from the liquid product. The Peng-Robinson </w:t>
      </w:r>
      <w:proofErr w:type="spellStart"/>
      <w:r>
        <w:t>EoS</w:t>
      </w:r>
      <w:proofErr w:type="spellEnd"/>
      <w:r>
        <w:t xml:space="preserve"> (equation of state) is chosen for the Aspen Plus model. The process conditions range used for parametric investigation is summarized in Table 3. </w:t>
      </w:r>
    </w:p>
    <w:p w14:paraId="2014D96F" w14:textId="5FE6C78F" w:rsidR="003176D6" w:rsidRDefault="00723866" w:rsidP="000A2414">
      <w:pPr>
        <w:pStyle w:val="CETBodytext"/>
      </w:pPr>
      <w:r>
        <w:rPr>
          <w:rFonts w:ascii="Times New Roman" w:hAnsi="Times New Roman"/>
          <w:noProof/>
          <w:lang w:eastAsia="nb-NO"/>
        </w:rPr>
        <w:drawing>
          <wp:inline distT="0" distB="0" distL="0" distR="0" wp14:anchorId="3382AB11" wp14:editId="63DACDAD">
            <wp:extent cx="3878580" cy="905897"/>
            <wp:effectExtent l="0" t="0" r="7620" b="8890"/>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6734" b="11022"/>
                    <a:stretch/>
                  </pic:blipFill>
                  <pic:spPr bwMode="auto">
                    <a:xfrm>
                      <a:off x="0" y="0"/>
                      <a:ext cx="3958601" cy="924587"/>
                    </a:xfrm>
                    <a:prstGeom prst="rect">
                      <a:avLst/>
                    </a:prstGeom>
                    <a:noFill/>
                    <a:ln>
                      <a:noFill/>
                    </a:ln>
                    <a:extLst>
                      <a:ext uri="{53640926-AAD7-44D8-BBD7-CCE9431645EC}">
                        <a14:shadowObscured xmlns:a14="http://schemas.microsoft.com/office/drawing/2010/main"/>
                      </a:ext>
                    </a:extLst>
                  </pic:spPr>
                </pic:pic>
              </a:graphicData>
            </a:graphic>
          </wp:inline>
        </w:drawing>
      </w:r>
    </w:p>
    <w:p w14:paraId="14C03A13" w14:textId="5FEA9F59" w:rsidR="00723866" w:rsidRPr="00BD077D" w:rsidRDefault="00723866" w:rsidP="00723866">
      <w:pPr>
        <w:pStyle w:val="CETCaption"/>
      </w:pPr>
      <w:r w:rsidRPr="00BD077D">
        <w:rPr>
          <w:rStyle w:val="CETCaptionCarattere"/>
          <w:i/>
        </w:rPr>
        <w:t xml:space="preserve">Figure 1: </w:t>
      </w:r>
      <w:r w:rsidRPr="00723866">
        <w:rPr>
          <w:rStyle w:val="CETCaptionCarattere"/>
          <w:i/>
        </w:rPr>
        <w:t>Flowsheet of Aspen Plus Model</w:t>
      </w:r>
    </w:p>
    <w:p w14:paraId="15E49A36" w14:textId="093B973D" w:rsidR="008D724C" w:rsidRPr="008D724C" w:rsidRDefault="008D724C" w:rsidP="008D724C">
      <w:pPr>
        <w:pStyle w:val="CETTabletitle"/>
      </w:pPr>
      <w:r w:rsidRPr="008D724C">
        <w:t xml:space="preserve">Table 1: Proximate Analysis of Feedstock Materials </w:t>
      </w:r>
      <w:r w:rsidRPr="008D724C">
        <w:fldChar w:fldCharType="begin"/>
      </w:r>
      <w:r w:rsidR="00BA2D59">
        <w:instrText xml:space="preserve"> ADDIN EN.CITE &lt;EndNote&gt;&lt;Cite&gt;&lt;Author&gt;Parmar&lt;/Author&gt;&lt;Year&gt;2019&lt;/Year&gt;&lt;RecNum&gt;104&lt;/RecNum&gt;&lt;DisplayText&gt;(Parmar and Ross 2019)&lt;/DisplayText&gt;&lt;record&gt;&lt;rec-number&gt;104&lt;/rec-number&gt;&lt;foreign-keys&gt;&lt;key app="EN" db-id="50eez5z08wvwt5evrp7xr95rzs2ez0x9rtfv" timestamp="1673537966"&gt;104&lt;/key&gt;&lt;/foreign-keys&gt;&lt;ref-type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sidRPr="008D724C">
        <w:fldChar w:fldCharType="separate"/>
      </w:r>
      <w:r w:rsidR="00BA2D59">
        <w:rPr>
          <w:noProof/>
        </w:rPr>
        <w:t>(Parmar and Ross 2019)</w:t>
      </w:r>
      <w:r w:rsidRPr="008D724C">
        <w:fldChar w:fldCharType="end"/>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701"/>
      </w:tblGrid>
      <w:tr w:rsidR="003B5132" w:rsidRPr="00B57B36" w14:paraId="118F7E10" w14:textId="77777777" w:rsidTr="003B5132">
        <w:tc>
          <w:tcPr>
            <w:tcW w:w="2694" w:type="dxa"/>
            <w:tcBorders>
              <w:top w:val="single" w:sz="12" w:space="0" w:color="008000"/>
              <w:bottom w:val="single" w:sz="6" w:space="0" w:color="008000"/>
            </w:tcBorders>
            <w:shd w:val="clear" w:color="auto" w:fill="FFFFFF"/>
          </w:tcPr>
          <w:p w14:paraId="7DFCD25E" w14:textId="59332819" w:rsidR="003B5132" w:rsidRPr="00B57B36" w:rsidRDefault="003B5132" w:rsidP="003B5132">
            <w:pPr>
              <w:pStyle w:val="CETBodytext"/>
              <w:rPr>
                <w:lang w:val="en-GB"/>
              </w:rPr>
            </w:pPr>
            <w:r w:rsidRPr="00CB2B45">
              <w:t>Proximate Analysis (</w:t>
            </w:r>
            <w:proofErr w:type="spellStart"/>
            <w:r w:rsidRPr="00CB2B45">
              <w:t>wt</w:t>
            </w:r>
            <w:proofErr w:type="spellEnd"/>
            <w:r w:rsidRPr="00CB2B45">
              <w:t>%)</w:t>
            </w:r>
          </w:p>
        </w:tc>
        <w:tc>
          <w:tcPr>
            <w:tcW w:w="1701" w:type="dxa"/>
            <w:tcBorders>
              <w:top w:val="single" w:sz="12" w:space="0" w:color="008000"/>
              <w:bottom w:val="single" w:sz="6" w:space="0" w:color="008000"/>
            </w:tcBorders>
            <w:shd w:val="clear" w:color="auto" w:fill="FFFFFF"/>
          </w:tcPr>
          <w:p w14:paraId="671F6EA9" w14:textId="0DAD6192" w:rsidR="003B5132" w:rsidRPr="00B57B36" w:rsidRDefault="003B5132" w:rsidP="003B5132">
            <w:pPr>
              <w:pStyle w:val="CETBodytext"/>
              <w:rPr>
                <w:lang w:val="en-GB"/>
              </w:rPr>
            </w:pPr>
            <w:r w:rsidRPr="00CB2B45">
              <w:t>Value (</w:t>
            </w:r>
            <w:proofErr w:type="spellStart"/>
            <w:r w:rsidRPr="00CB2B45">
              <w:t>db</w:t>
            </w:r>
            <w:proofErr w:type="spellEnd"/>
            <w:r w:rsidRPr="00CB2B45">
              <w:t>)</w:t>
            </w:r>
          </w:p>
        </w:tc>
      </w:tr>
      <w:tr w:rsidR="00412F8A" w:rsidRPr="00B57B36" w14:paraId="036E3EF4" w14:textId="77777777" w:rsidTr="003B5132">
        <w:tc>
          <w:tcPr>
            <w:tcW w:w="2694" w:type="dxa"/>
            <w:shd w:val="clear" w:color="auto" w:fill="FFFFFF"/>
          </w:tcPr>
          <w:p w14:paraId="48E3DA31" w14:textId="383DC5E8" w:rsidR="00412F8A" w:rsidRPr="00B57B36" w:rsidRDefault="00412F8A" w:rsidP="00412F8A">
            <w:pPr>
              <w:pStyle w:val="CETBodytext"/>
              <w:rPr>
                <w:lang w:val="en-GB"/>
              </w:rPr>
            </w:pPr>
            <w:r w:rsidRPr="00CB2B45">
              <w:t>Fixed Carbon</w:t>
            </w:r>
          </w:p>
        </w:tc>
        <w:tc>
          <w:tcPr>
            <w:tcW w:w="1701" w:type="dxa"/>
            <w:shd w:val="clear" w:color="auto" w:fill="FFFFFF"/>
          </w:tcPr>
          <w:p w14:paraId="68367459" w14:textId="5D44BEDE" w:rsidR="00412F8A" w:rsidRPr="00B57B36" w:rsidRDefault="00412F8A" w:rsidP="00412F8A">
            <w:pPr>
              <w:pStyle w:val="CETBodytext"/>
              <w:rPr>
                <w:lang w:val="en-GB"/>
              </w:rPr>
            </w:pPr>
            <w:r w:rsidRPr="00152047">
              <w:t>8.3</w:t>
            </w:r>
          </w:p>
        </w:tc>
      </w:tr>
      <w:tr w:rsidR="00412F8A" w:rsidRPr="00B57B36" w14:paraId="41B61DA0" w14:textId="77777777" w:rsidTr="003B5132">
        <w:tc>
          <w:tcPr>
            <w:tcW w:w="2694" w:type="dxa"/>
            <w:shd w:val="clear" w:color="auto" w:fill="FFFFFF"/>
          </w:tcPr>
          <w:p w14:paraId="3771CBD7" w14:textId="49ABB67A" w:rsidR="00412F8A" w:rsidRPr="00B57B36" w:rsidRDefault="00412F8A" w:rsidP="00412F8A">
            <w:pPr>
              <w:pStyle w:val="CETBodytext"/>
              <w:ind w:right="-1"/>
              <w:rPr>
                <w:rFonts w:cs="Arial"/>
                <w:szCs w:val="18"/>
                <w:lang w:val="en-GB"/>
              </w:rPr>
            </w:pPr>
            <w:r w:rsidRPr="00CB2B45">
              <w:t>Volatile Matters</w:t>
            </w:r>
          </w:p>
        </w:tc>
        <w:tc>
          <w:tcPr>
            <w:tcW w:w="1701" w:type="dxa"/>
            <w:shd w:val="clear" w:color="auto" w:fill="FFFFFF"/>
          </w:tcPr>
          <w:p w14:paraId="23A5CF99" w14:textId="11FAF0EB" w:rsidR="00412F8A" w:rsidRPr="00B57B36" w:rsidRDefault="00412F8A" w:rsidP="00412F8A">
            <w:pPr>
              <w:pStyle w:val="CETBodytext"/>
              <w:ind w:right="-1"/>
              <w:rPr>
                <w:rFonts w:cs="Arial"/>
                <w:szCs w:val="18"/>
                <w:lang w:val="en-GB"/>
              </w:rPr>
            </w:pPr>
            <w:r w:rsidRPr="00152047">
              <w:t>36.2</w:t>
            </w:r>
          </w:p>
        </w:tc>
      </w:tr>
      <w:tr w:rsidR="00412F8A" w:rsidRPr="00B57B36" w14:paraId="0965891B" w14:textId="77777777" w:rsidTr="003B5132">
        <w:tc>
          <w:tcPr>
            <w:tcW w:w="2694" w:type="dxa"/>
            <w:shd w:val="clear" w:color="auto" w:fill="FFFFFF"/>
          </w:tcPr>
          <w:p w14:paraId="47E28E18" w14:textId="7DF6FB89" w:rsidR="00412F8A" w:rsidRPr="00B57B36" w:rsidRDefault="00412F8A" w:rsidP="00412F8A">
            <w:pPr>
              <w:pStyle w:val="CETBodytext"/>
              <w:ind w:right="-1"/>
              <w:rPr>
                <w:rFonts w:cs="Arial"/>
                <w:szCs w:val="18"/>
                <w:lang w:val="en-GB"/>
              </w:rPr>
            </w:pPr>
            <w:r w:rsidRPr="00CB2B45">
              <w:t>Ash</w:t>
            </w:r>
          </w:p>
        </w:tc>
        <w:tc>
          <w:tcPr>
            <w:tcW w:w="1701" w:type="dxa"/>
            <w:shd w:val="clear" w:color="auto" w:fill="FFFFFF"/>
          </w:tcPr>
          <w:p w14:paraId="59721A3D" w14:textId="0CC0C364" w:rsidR="00412F8A" w:rsidRPr="00B57B36" w:rsidRDefault="00412F8A" w:rsidP="00412F8A">
            <w:pPr>
              <w:pStyle w:val="CETBodytext"/>
              <w:ind w:right="-1"/>
              <w:rPr>
                <w:rFonts w:cs="Arial"/>
                <w:szCs w:val="18"/>
                <w:lang w:val="en-GB"/>
              </w:rPr>
            </w:pPr>
            <w:r w:rsidRPr="00152047">
              <w:t>55.5</w:t>
            </w:r>
          </w:p>
        </w:tc>
      </w:tr>
    </w:tbl>
    <w:p w14:paraId="4C6BCE3F" w14:textId="5739A06F" w:rsidR="00233C62" w:rsidRDefault="00233C62" w:rsidP="00233C62">
      <w:pPr>
        <w:pStyle w:val="CETTabletitle"/>
        <w:rPr>
          <w:lang w:val="en-US"/>
        </w:rPr>
      </w:pPr>
      <w:r>
        <w:rPr>
          <w:lang w:val="en-US"/>
        </w:rPr>
        <w:t xml:space="preserve">Table 2. Ultimate Analysis of Feedstock Materials </w:t>
      </w:r>
      <w:r>
        <w:rPr>
          <w:lang w:val="en-US"/>
        </w:rPr>
        <w:fldChar w:fldCharType="begin"/>
      </w:r>
      <w:r w:rsidR="00BA2D59">
        <w:rPr>
          <w:lang w:val="en-US"/>
        </w:rPr>
        <w:instrText xml:space="preserve"> ADDIN EN.CITE &lt;EndNote&gt;&lt;Cite&gt;&lt;Author&gt;Parmar&lt;/Author&gt;&lt;Year&gt;2019&lt;/Year&gt;&lt;RecNum&gt;104&lt;/RecNum&gt;&lt;DisplayText&gt;(Parmar and Ross 2019)&lt;/DisplayText&gt;&lt;record&gt;&lt;rec-number&gt;104&lt;/rec-number&gt;&lt;foreign-keys&gt;&lt;key app="EN" db-id="50eez5z08wvwt5evrp7xr95rzs2ez0x9rtfv" timestamp="1673537966"&gt;104&lt;/key&gt;&lt;/foreign-keys&gt;&lt;ref-type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Pr>
          <w:lang w:val="en-US"/>
        </w:rPr>
        <w:fldChar w:fldCharType="separate"/>
      </w:r>
      <w:r w:rsidR="00BA2D59">
        <w:rPr>
          <w:noProof/>
          <w:lang w:val="en-US"/>
        </w:rPr>
        <w:t>(Parmar and Ross 2019)</w:t>
      </w:r>
      <w:r>
        <w:rPr>
          <w:lang w:val="en-US"/>
        </w:rPr>
        <w:fldChar w:fldCharType="end"/>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701"/>
      </w:tblGrid>
      <w:tr w:rsidR="00E93482" w:rsidRPr="00B57B36" w14:paraId="4A079448" w14:textId="77777777" w:rsidTr="000073A7">
        <w:tc>
          <w:tcPr>
            <w:tcW w:w="2694" w:type="dxa"/>
            <w:tcBorders>
              <w:top w:val="single" w:sz="12" w:space="0" w:color="008000"/>
              <w:bottom w:val="single" w:sz="6" w:space="0" w:color="008000"/>
            </w:tcBorders>
            <w:shd w:val="clear" w:color="auto" w:fill="FFFFFF"/>
          </w:tcPr>
          <w:p w14:paraId="5FBAE56D" w14:textId="2DB0A264" w:rsidR="00E93482" w:rsidRPr="00B57B36" w:rsidRDefault="00E93482" w:rsidP="00E93482">
            <w:pPr>
              <w:pStyle w:val="CETBodytext"/>
              <w:rPr>
                <w:lang w:val="en-GB"/>
              </w:rPr>
            </w:pPr>
            <w:r w:rsidRPr="006E016E">
              <w:t>Ultimate Analysis (</w:t>
            </w:r>
            <w:proofErr w:type="spellStart"/>
            <w:r w:rsidRPr="006E016E">
              <w:t>wt</w:t>
            </w:r>
            <w:proofErr w:type="spellEnd"/>
            <w:r w:rsidRPr="006E016E">
              <w:t>%)</w:t>
            </w:r>
          </w:p>
        </w:tc>
        <w:tc>
          <w:tcPr>
            <w:tcW w:w="1701" w:type="dxa"/>
            <w:tcBorders>
              <w:top w:val="single" w:sz="12" w:space="0" w:color="008000"/>
              <w:bottom w:val="single" w:sz="6" w:space="0" w:color="008000"/>
            </w:tcBorders>
            <w:shd w:val="clear" w:color="auto" w:fill="FFFFFF"/>
          </w:tcPr>
          <w:p w14:paraId="200063F6" w14:textId="38185781" w:rsidR="00E93482" w:rsidRPr="00B57B36" w:rsidRDefault="00E93482" w:rsidP="00E93482">
            <w:pPr>
              <w:pStyle w:val="CETBodytext"/>
              <w:rPr>
                <w:lang w:val="en-GB"/>
              </w:rPr>
            </w:pPr>
            <w:r w:rsidRPr="006E016E">
              <w:t>Value (</w:t>
            </w:r>
            <w:proofErr w:type="spellStart"/>
            <w:r w:rsidRPr="006E016E">
              <w:t>db</w:t>
            </w:r>
            <w:proofErr w:type="spellEnd"/>
            <w:r w:rsidRPr="006E016E">
              <w:t xml:space="preserve">) </w:t>
            </w:r>
          </w:p>
        </w:tc>
      </w:tr>
      <w:tr w:rsidR="00412F8A" w:rsidRPr="00B57B36" w14:paraId="64F7A47A" w14:textId="77777777" w:rsidTr="000073A7">
        <w:tc>
          <w:tcPr>
            <w:tcW w:w="2694" w:type="dxa"/>
            <w:shd w:val="clear" w:color="auto" w:fill="FFFFFF"/>
          </w:tcPr>
          <w:p w14:paraId="1FD065AD" w14:textId="296B4B69" w:rsidR="00412F8A" w:rsidRPr="00B57B36" w:rsidRDefault="00412F8A" w:rsidP="00412F8A">
            <w:pPr>
              <w:pStyle w:val="CETBodytext"/>
              <w:rPr>
                <w:lang w:val="en-GB"/>
              </w:rPr>
            </w:pPr>
            <w:r w:rsidRPr="006E016E">
              <w:t>C</w:t>
            </w:r>
          </w:p>
        </w:tc>
        <w:tc>
          <w:tcPr>
            <w:tcW w:w="1701" w:type="dxa"/>
            <w:shd w:val="clear" w:color="auto" w:fill="FFFFFF"/>
          </w:tcPr>
          <w:p w14:paraId="18D95752" w14:textId="1EB86967" w:rsidR="00412F8A" w:rsidRPr="00B57B36" w:rsidRDefault="00412F8A" w:rsidP="00412F8A">
            <w:pPr>
              <w:pStyle w:val="CETBodytext"/>
              <w:rPr>
                <w:lang w:val="en-GB"/>
              </w:rPr>
            </w:pPr>
            <w:r w:rsidRPr="00284787">
              <w:t>24.1</w:t>
            </w:r>
          </w:p>
        </w:tc>
      </w:tr>
      <w:tr w:rsidR="00412F8A" w:rsidRPr="00B57B36" w14:paraId="079B65FC" w14:textId="77777777" w:rsidTr="000073A7">
        <w:tc>
          <w:tcPr>
            <w:tcW w:w="2694" w:type="dxa"/>
            <w:shd w:val="clear" w:color="auto" w:fill="FFFFFF"/>
          </w:tcPr>
          <w:p w14:paraId="0B6DC54C" w14:textId="313D4947" w:rsidR="00412F8A" w:rsidRPr="00B57B36" w:rsidRDefault="00412F8A" w:rsidP="00412F8A">
            <w:pPr>
              <w:pStyle w:val="CETBodytext"/>
              <w:ind w:right="-1"/>
              <w:rPr>
                <w:rFonts w:cs="Arial"/>
                <w:szCs w:val="18"/>
                <w:lang w:val="en-GB"/>
              </w:rPr>
            </w:pPr>
            <w:r w:rsidRPr="006E016E">
              <w:t>H</w:t>
            </w:r>
          </w:p>
        </w:tc>
        <w:tc>
          <w:tcPr>
            <w:tcW w:w="1701" w:type="dxa"/>
            <w:shd w:val="clear" w:color="auto" w:fill="FFFFFF"/>
          </w:tcPr>
          <w:p w14:paraId="0D36BA72" w14:textId="3C9D8F8C" w:rsidR="00412F8A" w:rsidRPr="00B57B36" w:rsidRDefault="00412F8A" w:rsidP="00412F8A">
            <w:pPr>
              <w:pStyle w:val="CETBodytext"/>
              <w:ind w:right="-1"/>
              <w:rPr>
                <w:rFonts w:cs="Arial"/>
                <w:szCs w:val="18"/>
                <w:lang w:val="en-GB"/>
              </w:rPr>
            </w:pPr>
            <w:r w:rsidRPr="00284787">
              <w:t>1.7</w:t>
            </w:r>
          </w:p>
        </w:tc>
      </w:tr>
      <w:tr w:rsidR="00412F8A" w:rsidRPr="00B57B36" w14:paraId="5D428023" w14:textId="77777777" w:rsidTr="000073A7">
        <w:tc>
          <w:tcPr>
            <w:tcW w:w="2694" w:type="dxa"/>
            <w:shd w:val="clear" w:color="auto" w:fill="FFFFFF"/>
          </w:tcPr>
          <w:p w14:paraId="6FA41B5B" w14:textId="74C572AE" w:rsidR="00412F8A" w:rsidRPr="00B57B36" w:rsidRDefault="00412F8A" w:rsidP="00412F8A">
            <w:pPr>
              <w:pStyle w:val="CETBodytext"/>
              <w:ind w:right="-1"/>
              <w:rPr>
                <w:rFonts w:cs="Arial"/>
                <w:szCs w:val="18"/>
                <w:lang w:val="en-GB"/>
              </w:rPr>
            </w:pPr>
            <w:r w:rsidRPr="006E016E">
              <w:t>O</w:t>
            </w:r>
          </w:p>
        </w:tc>
        <w:tc>
          <w:tcPr>
            <w:tcW w:w="1701" w:type="dxa"/>
            <w:shd w:val="clear" w:color="auto" w:fill="FFFFFF"/>
          </w:tcPr>
          <w:p w14:paraId="05BA75B6" w14:textId="13A87871" w:rsidR="00412F8A" w:rsidRPr="00B57B36" w:rsidRDefault="00412F8A" w:rsidP="00412F8A">
            <w:pPr>
              <w:pStyle w:val="CETBodytext"/>
              <w:ind w:right="-1"/>
              <w:rPr>
                <w:rFonts w:cs="Arial"/>
                <w:szCs w:val="18"/>
                <w:lang w:val="en-GB"/>
              </w:rPr>
            </w:pPr>
            <w:r w:rsidRPr="00284787">
              <w:t>16.9</w:t>
            </w:r>
          </w:p>
        </w:tc>
      </w:tr>
      <w:tr w:rsidR="00412F8A" w:rsidRPr="00B57B36" w14:paraId="59028933" w14:textId="77777777" w:rsidTr="000073A7">
        <w:tc>
          <w:tcPr>
            <w:tcW w:w="2694" w:type="dxa"/>
            <w:shd w:val="clear" w:color="auto" w:fill="FFFFFF"/>
          </w:tcPr>
          <w:p w14:paraId="54C6751C" w14:textId="280B1916" w:rsidR="00412F8A" w:rsidRPr="00CB2B45" w:rsidRDefault="00412F8A" w:rsidP="00412F8A">
            <w:pPr>
              <w:pStyle w:val="CETBodytext"/>
              <w:ind w:right="-1"/>
            </w:pPr>
            <w:r w:rsidRPr="006E016E">
              <w:t>N</w:t>
            </w:r>
          </w:p>
        </w:tc>
        <w:tc>
          <w:tcPr>
            <w:tcW w:w="1701" w:type="dxa"/>
            <w:shd w:val="clear" w:color="auto" w:fill="FFFFFF"/>
          </w:tcPr>
          <w:p w14:paraId="5C8798EC" w14:textId="31CF4A3A" w:rsidR="00412F8A" w:rsidRPr="00CB2B45" w:rsidRDefault="00412F8A" w:rsidP="00412F8A">
            <w:pPr>
              <w:pStyle w:val="CETBodytext"/>
              <w:ind w:right="-1"/>
            </w:pPr>
            <w:r w:rsidRPr="00284787">
              <w:t>1.5</w:t>
            </w:r>
          </w:p>
        </w:tc>
      </w:tr>
      <w:tr w:rsidR="00412F8A" w:rsidRPr="00B57B36" w14:paraId="701A55D6" w14:textId="77777777" w:rsidTr="000073A7">
        <w:tc>
          <w:tcPr>
            <w:tcW w:w="2694" w:type="dxa"/>
            <w:shd w:val="clear" w:color="auto" w:fill="FFFFFF"/>
          </w:tcPr>
          <w:p w14:paraId="3C8066D1" w14:textId="1C132D51" w:rsidR="00412F8A" w:rsidRPr="00CB2B45" w:rsidRDefault="00412F8A" w:rsidP="00412F8A">
            <w:pPr>
              <w:pStyle w:val="CETBodytext"/>
              <w:ind w:right="-1"/>
            </w:pPr>
            <w:r w:rsidRPr="006E016E">
              <w:t>S</w:t>
            </w:r>
          </w:p>
        </w:tc>
        <w:tc>
          <w:tcPr>
            <w:tcW w:w="1701" w:type="dxa"/>
            <w:shd w:val="clear" w:color="auto" w:fill="FFFFFF"/>
          </w:tcPr>
          <w:p w14:paraId="24F5430F" w14:textId="7D49F630" w:rsidR="00412F8A" w:rsidRPr="00CB2B45" w:rsidRDefault="00412F8A" w:rsidP="00412F8A">
            <w:pPr>
              <w:pStyle w:val="CETBodytext"/>
              <w:ind w:right="-1"/>
            </w:pPr>
            <w:r w:rsidRPr="00284787">
              <w:t>0.2</w:t>
            </w:r>
          </w:p>
        </w:tc>
      </w:tr>
    </w:tbl>
    <w:p w14:paraId="3F6F0DF4" w14:textId="77777777" w:rsidR="001839D2" w:rsidRDefault="001839D2" w:rsidP="001839D2">
      <w:pPr>
        <w:pStyle w:val="CETTabletitle"/>
        <w:rPr>
          <w:lang w:val="en-US"/>
        </w:rPr>
      </w:pPr>
      <w:r>
        <w:rPr>
          <w:lang w:val="en-US"/>
        </w:rPr>
        <w:lastRenderedPageBreak/>
        <w:t>Table 3. Process Conditions for Parametric Investigation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701"/>
      </w:tblGrid>
      <w:tr w:rsidR="001839D2" w:rsidRPr="00B57B36" w14:paraId="4773BC64" w14:textId="77777777" w:rsidTr="000073A7">
        <w:tc>
          <w:tcPr>
            <w:tcW w:w="2694" w:type="dxa"/>
            <w:tcBorders>
              <w:top w:val="single" w:sz="12" w:space="0" w:color="008000"/>
              <w:bottom w:val="single" w:sz="6" w:space="0" w:color="008000"/>
            </w:tcBorders>
            <w:shd w:val="clear" w:color="auto" w:fill="FFFFFF"/>
          </w:tcPr>
          <w:p w14:paraId="531D1502" w14:textId="16D0BCE4" w:rsidR="001839D2" w:rsidRPr="00B57B36" w:rsidRDefault="001839D2" w:rsidP="001839D2">
            <w:pPr>
              <w:pStyle w:val="CETBodytext"/>
              <w:rPr>
                <w:lang w:val="en-GB"/>
              </w:rPr>
            </w:pPr>
            <w:r w:rsidRPr="00E3390E">
              <w:t>Parameters</w:t>
            </w:r>
          </w:p>
        </w:tc>
        <w:tc>
          <w:tcPr>
            <w:tcW w:w="1701" w:type="dxa"/>
            <w:tcBorders>
              <w:top w:val="single" w:sz="12" w:space="0" w:color="008000"/>
              <w:bottom w:val="single" w:sz="6" w:space="0" w:color="008000"/>
            </w:tcBorders>
            <w:shd w:val="clear" w:color="auto" w:fill="FFFFFF"/>
          </w:tcPr>
          <w:p w14:paraId="1DBBC4A5" w14:textId="397ABBBB" w:rsidR="001839D2" w:rsidRPr="00B57B36" w:rsidRDefault="001839D2" w:rsidP="001839D2">
            <w:pPr>
              <w:pStyle w:val="CETBodytext"/>
              <w:rPr>
                <w:lang w:val="en-GB"/>
              </w:rPr>
            </w:pPr>
            <w:r w:rsidRPr="00E3390E">
              <w:t>Value</w:t>
            </w:r>
          </w:p>
        </w:tc>
      </w:tr>
      <w:tr w:rsidR="001839D2" w:rsidRPr="00B57B36" w14:paraId="440CC3B0" w14:textId="77777777" w:rsidTr="000073A7">
        <w:tc>
          <w:tcPr>
            <w:tcW w:w="2694" w:type="dxa"/>
            <w:shd w:val="clear" w:color="auto" w:fill="FFFFFF"/>
          </w:tcPr>
          <w:p w14:paraId="3E0F28FC" w14:textId="4D300C1A" w:rsidR="001839D2" w:rsidRPr="00B57B36" w:rsidRDefault="001839D2" w:rsidP="001839D2">
            <w:pPr>
              <w:pStyle w:val="CETBodytext"/>
              <w:rPr>
                <w:lang w:val="en-GB"/>
              </w:rPr>
            </w:pPr>
            <w:r w:rsidRPr="00E3390E">
              <w:t>Temperature</w:t>
            </w:r>
          </w:p>
        </w:tc>
        <w:tc>
          <w:tcPr>
            <w:tcW w:w="1701" w:type="dxa"/>
            <w:shd w:val="clear" w:color="auto" w:fill="FFFFFF"/>
          </w:tcPr>
          <w:p w14:paraId="66A43186" w14:textId="72B8213A" w:rsidR="001839D2" w:rsidRPr="00B57B36" w:rsidRDefault="001839D2" w:rsidP="001839D2">
            <w:pPr>
              <w:pStyle w:val="CETBodytext"/>
              <w:rPr>
                <w:lang w:val="en-GB"/>
              </w:rPr>
            </w:pPr>
            <w:r w:rsidRPr="00E3390E">
              <w:t xml:space="preserve">400-600 </w:t>
            </w:r>
            <w:proofErr w:type="spellStart"/>
            <w:r w:rsidRPr="001839D2">
              <w:rPr>
                <w:vertAlign w:val="superscript"/>
              </w:rPr>
              <w:t>o</w:t>
            </w:r>
            <w:r w:rsidRPr="00E3390E">
              <w:t>C</w:t>
            </w:r>
            <w:proofErr w:type="spellEnd"/>
          </w:p>
        </w:tc>
      </w:tr>
      <w:tr w:rsidR="001839D2" w:rsidRPr="00B57B36" w14:paraId="4F09F34C" w14:textId="77777777" w:rsidTr="000073A7">
        <w:tc>
          <w:tcPr>
            <w:tcW w:w="2694" w:type="dxa"/>
            <w:shd w:val="clear" w:color="auto" w:fill="FFFFFF"/>
          </w:tcPr>
          <w:p w14:paraId="38BC00E4" w14:textId="4833F2F5" w:rsidR="001839D2" w:rsidRPr="00B57B36" w:rsidRDefault="001839D2" w:rsidP="001839D2">
            <w:pPr>
              <w:pStyle w:val="CETBodytext"/>
              <w:ind w:right="-1"/>
              <w:rPr>
                <w:rFonts w:cs="Arial"/>
                <w:szCs w:val="18"/>
                <w:lang w:val="en-GB"/>
              </w:rPr>
            </w:pPr>
            <w:r w:rsidRPr="00E3390E">
              <w:t>Pressure</w:t>
            </w:r>
          </w:p>
        </w:tc>
        <w:tc>
          <w:tcPr>
            <w:tcW w:w="1701" w:type="dxa"/>
            <w:shd w:val="clear" w:color="auto" w:fill="FFFFFF"/>
          </w:tcPr>
          <w:p w14:paraId="1F7B0F62" w14:textId="7123D513" w:rsidR="001839D2" w:rsidRPr="00B57B36" w:rsidRDefault="001839D2" w:rsidP="001839D2">
            <w:pPr>
              <w:pStyle w:val="CETBodytext"/>
              <w:ind w:right="-1"/>
              <w:rPr>
                <w:rFonts w:cs="Arial"/>
                <w:szCs w:val="18"/>
                <w:lang w:val="en-GB"/>
              </w:rPr>
            </w:pPr>
            <w:r w:rsidRPr="00E3390E">
              <w:t>250-300 bar</w:t>
            </w:r>
          </w:p>
        </w:tc>
      </w:tr>
      <w:tr w:rsidR="001839D2" w:rsidRPr="00B57B36" w14:paraId="795C3911" w14:textId="77777777" w:rsidTr="000073A7">
        <w:tc>
          <w:tcPr>
            <w:tcW w:w="2694" w:type="dxa"/>
            <w:shd w:val="clear" w:color="auto" w:fill="FFFFFF"/>
          </w:tcPr>
          <w:p w14:paraId="4BC79C80" w14:textId="7F380672" w:rsidR="001839D2" w:rsidRPr="00B57B36" w:rsidRDefault="001839D2" w:rsidP="001839D2">
            <w:pPr>
              <w:pStyle w:val="CETBodytext"/>
              <w:ind w:right="-1"/>
              <w:rPr>
                <w:rFonts w:cs="Arial"/>
                <w:szCs w:val="18"/>
                <w:lang w:val="en-GB"/>
              </w:rPr>
            </w:pPr>
            <w:r w:rsidRPr="00E3390E">
              <w:t xml:space="preserve">Feedstock concentration </w:t>
            </w:r>
            <w:proofErr w:type="spellStart"/>
            <w:r w:rsidRPr="00E3390E">
              <w:t>wt</w:t>
            </w:r>
            <w:proofErr w:type="spellEnd"/>
            <w:r w:rsidRPr="00E3390E">
              <w:t>%</w:t>
            </w:r>
          </w:p>
        </w:tc>
        <w:tc>
          <w:tcPr>
            <w:tcW w:w="1701" w:type="dxa"/>
            <w:shd w:val="clear" w:color="auto" w:fill="FFFFFF"/>
          </w:tcPr>
          <w:p w14:paraId="43CBB7F0" w14:textId="24058875" w:rsidR="001839D2" w:rsidRPr="00B57B36" w:rsidRDefault="001839D2" w:rsidP="001839D2">
            <w:pPr>
              <w:pStyle w:val="CETBodytext"/>
              <w:ind w:right="-1"/>
              <w:rPr>
                <w:rFonts w:cs="Arial"/>
                <w:szCs w:val="18"/>
                <w:lang w:val="en-GB"/>
              </w:rPr>
            </w:pPr>
            <w:r w:rsidRPr="00E3390E">
              <w:t>10-50%</w:t>
            </w:r>
          </w:p>
        </w:tc>
      </w:tr>
    </w:tbl>
    <w:p w14:paraId="0660F058" w14:textId="77777777" w:rsidR="001839D2" w:rsidRPr="00723866" w:rsidRDefault="001839D2" w:rsidP="001839D2">
      <w:pPr>
        <w:pStyle w:val="CETBodytext"/>
        <w:rPr>
          <w:lang w:val="en-GB"/>
        </w:rPr>
      </w:pPr>
    </w:p>
    <w:p w14:paraId="5F6175F0" w14:textId="2BC1135D" w:rsidR="00233C62" w:rsidRDefault="004F0F4E" w:rsidP="004F0F4E">
      <w:pPr>
        <w:pStyle w:val="CETheadingx"/>
        <w:rPr>
          <w:lang w:val="en-GB"/>
        </w:rPr>
      </w:pPr>
      <w:r>
        <w:rPr>
          <w:lang w:val="en-GB"/>
        </w:rPr>
        <w:t>Chemical Reactions in Hydrothermal Gasification</w:t>
      </w:r>
    </w:p>
    <w:p w14:paraId="25668459" w14:textId="0E0C3D7E" w:rsidR="00082ECA" w:rsidRDefault="00082ECA" w:rsidP="00082ECA">
      <w:pPr>
        <w:pStyle w:val="CETBodytext"/>
      </w:pPr>
      <w:r>
        <w:t>HTG of biomass involves a complex combination of chemical reactions. Equation (1) to (3) are commonly recognized as the main chemical reactions in HTG, generating H</w:t>
      </w:r>
      <w:r w:rsidRPr="00251185">
        <w:rPr>
          <w:vertAlign w:val="subscript"/>
        </w:rPr>
        <w:t>2</w:t>
      </w:r>
      <w:r>
        <w:t>, CO, CO</w:t>
      </w:r>
      <w:r w:rsidRPr="00251185">
        <w:rPr>
          <w:vertAlign w:val="subscript"/>
        </w:rPr>
        <w:t>2</w:t>
      </w:r>
      <w:r>
        <w:t>, and CH</w:t>
      </w:r>
      <w:r w:rsidRPr="00251185">
        <w:rPr>
          <w:vertAlign w:val="subscript"/>
        </w:rPr>
        <w:t>4</w:t>
      </w:r>
      <w:r>
        <w:t xml:space="preserve"> as the major components in the gaseous phase </w:t>
      </w:r>
      <w:r>
        <w:fldChar w:fldCharType="begin"/>
      </w:r>
      <w:r w:rsidR="00BA2D59">
        <w:instrText xml:space="preserve"> ADDIN EN.CITE &lt;EndNote&gt;&lt;Cite&gt;&lt;Author&gt;Yang&lt;/Author&gt;&lt;Year&gt;2021&lt;/Year&gt;&lt;RecNum&gt;34&lt;/RecNum&gt;&lt;DisplayText&gt;(Yang, Wang et al. 2021)&lt;/DisplayText&gt;&lt;record&gt;&lt;rec-number&gt;34&lt;/rec-number&gt;&lt;foreign-keys&gt;&lt;key app="EN" db-id="50eez5z08wvwt5evrp7xr95rzs2ez0x9rtfv" timestamp="1661254405"&gt;34&lt;/key&gt;&lt;/foreign-keys&gt;&lt;ref-type name="Journal Article"&gt;17&lt;/ref-type&gt;&lt;contributors&gt;&lt;authors&gt;&lt;author&gt;Yang, Chuang&lt;/author&gt;&lt;author&gt;Wang, Shuzhong&lt;/author&gt;&lt;author&gt;Li, Yanhui&lt;/author&gt;&lt;author&gt;Zhang, Yishu&lt;/author&gt;&lt;author&gt;Cui, Chengchao&lt;/author&gt;&lt;/authors&gt;&lt;/contributors&gt;&lt;titles&gt;&lt;title&gt;Thermodynamic analysis of hydrogen production via supercritical water gasification of coal, sewage sludge, microalga, and sawdust&lt;/title&gt;&lt;secondary-title&gt;International Journal of Hydrogen Energy&lt;/secondary-title&gt;&lt;/titles&gt;&lt;periodical&gt;&lt;full-title&gt;International Journal of Hydrogen Energy&lt;/full-title&gt;&lt;/periodical&gt;&lt;pages&gt;18042-18050&lt;/pages&gt;&lt;volume&gt;46&lt;/volume&gt;&lt;number&gt;34&lt;/number&gt;&lt;dates&gt;&lt;year&gt;2021&lt;/year&gt;&lt;/dates&gt;&lt;isbn&gt;0360-3199&lt;/isbn&gt;&lt;urls&gt;&lt;/urls&gt;&lt;/record&gt;&lt;/Cite&gt;&lt;/EndNote&gt;</w:instrText>
      </w:r>
      <w:r>
        <w:fldChar w:fldCharType="separate"/>
      </w:r>
      <w:r w:rsidR="00BA2D59">
        <w:rPr>
          <w:noProof/>
        </w:rPr>
        <w:t>(Yang, Wang et al. 2021)</w:t>
      </w:r>
      <w:r>
        <w:fldChar w:fldCharType="end"/>
      </w:r>
      <w:r>
        <w:t xml:space="preserve">. The steam reforming reaction (Equation 1) is an irreversible and highly endothermic reaction responsible for producing CO and </w:t>
      </w:r>
      <w:r w:rsidRPr="003C165B">
        <w:t>H</w:t>
      </w:r>
      <w:r w:rsidRPr="003C165B">
        <w:rPr>
          <w:vertAlign w:val="subscript"/>
        </w:rPr>
        <w:t>2</w:t>
      </w:r>
      <w:r w:rsidRPr="003C165B">
        <w:t xml:space="preserve"> </w:t>
      </w:r>
      <w:r w:rsidRPr="003C165B">
        <w:fldChar w:fldCharType="begin"/>
      </w:r>
      <w:r w:rsidR="00BA2D59">
        <w:instrText xml:space="preserve"> ADDIN EN.CITE &lt;EndNote&gt;&lt;Cite&gt;&lt;Author&gt;Yang&lt;/Author&gt;&lt;Year&gt;2021&lt;/Year&gt;&lt;RecNum&gt;34&lt;/RecNum&gt;&lt;DisplayText&gt;(Yang, Wang et al. 2021)&lt;/DisplayText&gt;&lt;record&gt;&lt;rec-number&gt;34&lt;/rec-number&gt;&lt;foreign-keys&gt;&lt;key app="EN" db-id="50eez5z08wvwt5evrp7xr95rzs2ez0x9rtfv" timestamp="1661254405"&gt;34&lt;/key&gt;&lt;/foreign-keys&gt;&lt;ref-type name="Journal Article"&gt;17&lt;/ref-type&gt;&lt;contributors&gt;&lt;authors&gt;&lt;author&gt;Yang, Chuang&lt;/author&gt;&lt;author&gt;Wang, Shuzhong&lt;/author&gt;&lt;author&gt;Li, Yanhui&lt;/author&gt;&lt;author&gt;Zhang, Yishu&lt;/author&gt;&lt;author&gt;Cui, Chengchao&lt;/author&gt;&lt;/authors&gt;&lt;/contributors&gt;&lt;titles&gt;&lt;title&gt;Thermodynamic analysis of hydrogen production via supercritical water gasification of coal, sewage sludge, microalga, and sawdust&lt;/title&gt;&lt;secondary-title&gt;International Journal of Hydrogen Energy&lt;/secondary-title&gt;&lt;/titles&gt;&lt;periodical&gt;&lt;full-title&gt;International Journal of Hydrogen Energy&lt;/full-title&gt;&lt;/periodical&gt;&lt;pages&gt;18042-18050&lt;/pages&gt;&lt;volume&gt;46&lt;/volume&gt;&lt;number&gt;34&lt;/number&gt;&lt;dates&gt;&lt;year&gt;2021&lt;/year&gt;&lt;/dates&gt;&lt;isbn&gt;0360-3199&lt;/isbn&gt;&lt;urls&gt;&lt;/urls&gt;&lt;/record&gt;&lt;/Cite&gt;&lt;/EndNote&gt;</w:instrText>
      </w:r>
      <w:r w:rsidRPr="003C165B">
        <w:fldChar w:fldCharType="separate"/>
      </w:r>
      <w:r w:rsidR="00BA2D59">
        <w:rPr>
          <w:noProof/>
        </w:rPr>
        <w:t>(Yang, Wang et al. 2021)</w:t>
      </w:r>
      <w:r w:rsidRPr="003C165B">
        <w:fldChar w:fldCharType="end"/>
      </w:r>
      <w:r>
        <w:t>. Following the production of CO, two subsequent reactions take place. The water-gas shift reaction (WGSR) converts CO and water from the hydrothermal environment into CO</w:t>
      </w:r>
      <w:r w:rsidRPr="00571A86">
        <w:rPr>
          <w:vertAlign w:val="subscript"/>
        </w:rPr>
        <w:t>2</w:t>
      </w:r>
      <w:r>
        <w:t xml:space="preserve"> and more H</w:t>
      </w:r>
      <w:r w:rsidRPr="00571A86">
        <w:rPr>
          <w:vertAlign w:val="subscript"/>
        </w:rPr>
        <w:t>2</w:t>
      </w:r>
      <w:r>
        <w:t xml:space="preserve"> (Equation 2), whereas the methanation reaction (Equation 3) produces CH</w:t>
      </w:r>
      <w:r w:rsidRPr="00571A86">
        <w:rPr>
          <w:vertAlign w:val="subscript"/>
        </w:rPr>
        <w:t>4</w:t>
      </w:r>
      <w:r>
        <w:t xml:space="preserve"> from H</w:t>
      </w:r>
      <w:r w:rsidRPr="00571A86">
        <w:rPr>
          <w:vertAlign w:val="subscript"/>
        </w:rPr>
        <w:t>2</w:t>
      </w:r>
      <w:r>
        <w:t xml:space="preserve"> and CO. Both WGSR and methanation reaction are reversible reactions with exothermic nature </w:t>
      </w:r>
      <w:r>
        <w:fldChar w:fldCharType="begin"/>
      </w:r>
      <w:r w:rsidR="00BA2D59">
        <w:instrText xml:space="preserve"> ADDIN EN.CITE &lt;EndNote&gt;&lt;Cite&gt;&lt;Author&gt;Xu&lt;/Author&gt;&lt;Year&gt;2021&lt;/Year&gt;&lt;RecNum&gt;55&lt;/RecNum&gt;&lt;DisplayText&gt;(Xu, Peng et al. 2021)&lt;/DisplayText&gt;&lt;record&gt;&lt;rec-number&gt;55&lt;/rec-number&gt;&lt;foreign-keys&gt;&lt;key app="EN" db-id="50eez5z08wvwt5evrp7xr95rzs2ez0x9rtfv" timestamp="1665807147"&gt;55&lt;/key&gt;&lt;/foreign-keys&gt;&lt;ref-type name="Journal Article"&gt;17&lt;/ref-type&gt;&lt;contributors&gt;&lt;authors&gt;&lt;author&gt;Xu, Jialing&lt;/author&gt;&lt;author&gt;Peng, Zhiyong&lt;/author&gt;&lt;author&gt;Rong, Siqi&lt;/author&gt;&lt;author&gt;Jin, Hui&lt;/author&gt;&lt;author&gt;Guo, Liejin&lt;/author&gt;&lt;author&gt;Zhang, Xiang&lt;/author&gt;&lt;author&gt;Zhou, Teng&lt;/author&gt;&lt;/authors&gt;&lt;/contributors&gt;&lt;titles&gt;&lt;title&gt;Model-based thermodynamic analysis of supercritical water gasification of oil-containing wastewater&lt;/title&gt;&lt;secondary-title&gt;Fuel&lt;/secondary-title&gt;&lt;/titles&gt;&lt;periodical&gt;&lt;full-title&gt;Fuel&lt;/full-title&gt;&lt;/periodical&gt;&lt;pages&gt;121767&lt;/pages&gt;&lt;volume&gt;306&lt;/volume&gt;&lt;dates&gt;&lt;year&gt;2021&lt;/year&gt;&lt;/dates&gt;&lt;isbn&gt;0016-2361&lt;/isbn&gt;&lt;urls&gt;&lt;/urls&gt;&lt;/record&gt;&lt;/Cite&gt;&lt;/EndNote&gt;</w:instrText>
      </w:r>
      <w:r>
        <w:fldChar w:fldCharType="separate"/>
      </w:r>
      <w:r w:rsidR="00BA2D59">
        <w:rPr>
          <w:noProof/>
        </w:rPr>
        <w:t>(Xu, Peng et al. 2021)</w:t>
      </w:r>
      <w:r>
        <w:fldChar w:fldCharType="end"/>
      </w:r>
      <w:r>
        <w:t xml:space="preserve">. Additionally, the methanation reaction (Equation 3) is pressure-dependent based on Le </w:t>
      </w:r>
      <w:proofErr w:type="spellStart"/>
      <w:r>
        <w:t>Chatelier’s</w:t>
      </w:r>
      <w:proofErr w:type="spellEnd"/>
      <w:r>
        <w:t xml:space="preserve"> principle. According to the principle, increasing pressure will push the equilibrium reaction towards the side with smaller total reaction coefficients </w:t>
      </w:r>
      <w:r>
        <w:fldChar w:fldCharType="begin"/>
      </w:r>
      <w:r w:rsidR="00BA2D59">
        <w:instrText xml:space="preserve"> ADDIN EN.CITE &lt;EndNote&gt;&lt;Cite&gt;&lt;Author&gt;Susanti&lt;/Author&gt;&lt;Year&gt;2014&lt;/Year&gt;&lt;RecNum&gt;123&lt;/RecNum&gt;&lt;DisplayText&gt;(Susanti, Kim et al. 2014)&lt;/DisplayText&gt;&lt;record&gt;&lt;rec-number&gt;123&lt;/rec-number&gt;&lt;foreign-keys&gt;&lt;key app="EN" db-id="50eez5z08wvwt5evrp7xr95rzs2ez0x9rtfv" timestamp="1676915588"&gt;123&lt;/key&gt;&lt;/foreign-keys&gt;&lt;ref-type name="Journal Article"&gt;17&lt;/ref-type&gt;&lt;contributors&gt;&lt;authors&gt;&lt;author&gt;Susanti, Ratna Frida&lt;/author&gt;&lt;author&gt;Kim, Jaehoon&lt;/author&gt;&lt;author&gt;Yoo, Ki-pung&lt;/author&gt;&lt;/authors&gt;&lt;/contributors&gt;&lt;titles&gt;&lt;title&gt;Supercritical water gasification for hydrogen production: current status and prospective of high-temperature operation&lt;/title&gt;&lt;secondary-title&gt;Supercritical fluid technology for energy and environmental applications&lt;/secondary-title&gt;&lt;/titles&gt;&lt;periodical&gt;&lt;full-title&gt;Supercritical fluid technology for energy and environmental applications&lt;/full-title&gt;&lt;/periodical&gt;&lt;pages&gt;111-137&lt;/pages&gt;&lt;dates&gt;&lt;year&gt;2014&lt;/year&gt;&lt;/dates&gt;&lt;urls&gt;&lt;/urls&gt;&lt;/record&gt;&lt;/Cite&gt;&lt;/EndNote&gt;</w:instrText>
      </w:r>
      <w:r>
        <w:fldChar w:fldCharType="separate"/>
      </w:r>
      <w:r w:rsidR="00BA2D59">
        <w:rPr>
          <w:noProof/>
        </w:rPr>
        <w:t>(Susanti, Kim et al. 2014)</w:t>
      </w:r>
      <w:r>
        <w:fldChar w:fldCharType="end"/>
      </w:r>
      <w:r>
        <w:t>.</w:t>
      </w:r>
    </w:p>
    <w:tbl>
      <w:tblPr>
        <w:tblW w:w="5000" w:type="pct"/>
        <w:tblLook w:val="04A0" w:firstRow="1" w:lastRow="0" w:firstColumn="1" w:lastColumn="0" w:noHBand="0" w:noVBand="1"/>
      </w:tblPr>
      <w:tblGrid>
        <w:gridCol w:w="7983"/>
        <w:gridCol w:w="804"/>
      </w:tblGrid>
      <w:tr w:rsidR="000417A5" w:rsidRPr="00B57B36" w14:paraId="2F926205" w14:textId="77777777" w:rsidTr="000417A5">
        <w:tc>
          <w:tcPr>
            <w:tcW w:w="7983" w:type="dxa"/>
            <w:shd w:val="clear" w:color="auto" w:fill="auto"/>
            <w:vAlign w:val="center"/>
          </w:tcPr>
          <w:p w14:paraId="616B2976" w14:textId="32A098F6" w:rsidR="000417A5" w:rsidRPr="000417A5" w:rsidRDefault="000417A5" w:rsidP="000073A7">
            <w:pPr>
              <w:pStyle w:val="CETEquation"/>
            </w:pPr>
            <m:oMathPara>
              <m:oMathParaPr>
                <m:jc m:val="left"/>
              </m:oMathParaPr>
              <m:oMath>
                <m:r>
                  <m:rPr>
                    <m:sty m:val="p"/>
                  </m:rPr>
                  <w:rPr>
                    <w:rFonts w:ascii="Cambria Math" w:hAnsi="Cambria Math"/>
                    <w:lang w:val="en-US"/>
                  </w:rPr>
                  <m:t>C</m:t>
                </m:r>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x</m:t>
                    </m:r>
                  </m:sub>
                </m:sSub>
                <m:sSub>
                  <m:sSubPr>
                    <m:ctrlPr>
                      <w:rPr>
                        <w:rFonts w:ascii="Cambria Math" w:hAnsi="Cambria Math"/>
                        <w:iCs/>
                        <w:lang w:val="en-US"/>
                      </w:rPr>
                    </m:ctrlPr>
                  </m:sSubPr>
                  <m:e>
                    <m:r>
                      <m:rPr>
                        <m:sty m:val="p"/>
                      </m:rPr>
                      <w:rPr>
                        <w:rFonts w:ascii="Cambria Math" w:hAnsi="Cambria Math"/>
                        <w:lang w:val="en-US"/>
                      </w:rPr>
                      <m:t>O</m:t>
                    </m:r>
                  </m:e>
                  <m:sub>
                    <m:r>
                      <m:rPr>
                        <m:sty m:val="p"/>
                      </m:rPr>
                      <w:rPr>
                        <w:rFonts w:ascii="Cambria Math" w:hAnsi="Cambria Math"/>
                        <w:lang w:val="en-US"/>
                      </w:rPr>
                      <m:t>y</m:t>
                    </m:r>
                  </m:sub>
                </m:sSub>
                <m:r>
                  <m:rPr>
                    <m:sty m:val="p"/>
                  </m:rPr>
                  <w:rPr>
                    <w:rFonts w:ascii="Cambria Math" w:hAnsi="Cambria Math"/>
                    <w:lang w:val="en-US"/>
                  </w:rPr>
                  <m:t>+</m:t>
                </m:r>
                <m:d>
                  <m:dPr>
                    <m:ctrlPr>
                      <w:rPr>
                        <w:rFonts w:ascii="Cambria Math" w:hAnsi="Cambria Math"/>
                        <w:iCs/>
                        <w:lang w:val="en-US"/>
                      </w:rPr>
                    </m:ctrlPr>
                  </m:dPr>
                  <m:e>
                    <m:r>
                      <m:rPr>
                        <m:sty m:val="p"/>
                      </m:rPr>
                      <w:rPr>
                        <w:rFonts w:ascii="Cambria Math" w:hAnsi="Cambria Math"/>
                        <w:lang w:val="en-US"/>
                      </w:rPr>
                      <m:t>1-y</m:t>
                    </m:r>
                  </m:e>
                </m:d>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O→CO+</m:t>
                </m:r>
                <m:d>
                  <m:dPr>
                    <m:ctrlPr>
                      <w:rPr>
                        <w:rFonts w:ascii="Cambria Math" w:hAnsi="Cambria Math"/>
                        <w:iCs/>
                        <w:lang w:val="en-US"/>
                      </w:rPr>
                    </m:ctrlPr>
                  </m:dPr>
                  <m:e>
                    <m:r>
                      <m:rPr>
                        <m:sty m:val="p"/>
                      </m:rPr>
                      <w:rPr>
                        <w:rFonts w:ascii="Cambria Math" w:hAnsi="Cambria Math"/>
                        <w:lang w:val="en-US"/>
                      </w:rPr>
                      <m:t>1+</m:t>
                    </m:r>
                    <m:f>
                      <m:fPr>
                        <m:ctrlPr>
                          <w:rPr>
                            <w:rFonts w:ascii="Cambria Math" w:hAnsi="Cambria Math"/>
                            <w:iCs/>
                            <w:lang w:val="en-US"/>
                          </w:rPr>
                        </m:ctrlPr>
                      </m:fPr>
                      <m:num>
                        <m:r>
                          <m:rPr>
                            <m:sty m:val="p"/>
                          </m:rPr>
                          <w:rPr>
                            <w:rFonts w:ascii="Cambria Math" w:hAnsi="Cambria Math"/>
                            <w:lang w:val="en-US"/>
                          </w:rPr>
                          <m:t>x</m:t>
                        </m:r>
                      </m:num>
                      <m:den>
                        <m:r>
                          <m:rPr>
                            <m:sty m:val="p"/>
                          </m:rPr>
                          <w:rPr>
                            <w:rFonts w:ascii="Cambria Math" w:hAnsi="Cambria Math"/>
                            <w:lang w:val="en-US"/>
                          </w:rPr>
                          <m:t>2</m:t>
                        </m:r>
                      </m:den>
                    </m:f>
                    <m:r>
                      <m:rPr>
                        <m:sty m:val="p"/>
                      </m:rPr>
                      <w:rPr>
                        <w:rFonts w:ascii="Cambria Math" w:hAnsi="Cambria Math"/>
                        <w:lang w:val="en-US"/>
                      </w:rPr>
                      <m:t>-y</m:t>
                    </m:r>
                  </m:e>
                </m:d>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oMath>
            </m:oMathPara>
          </w:p>
        </w:tc>
        <w:tc>
          <w:tcPr>
            <w:tcW w:w="804" w:type="dxa"/>
            <w:shd w:val="clear" w:color="auto" w:fill="auto"/>
            <w:vAlign w:val="center"/>
          </w:tcPr>
          <w:p w14:paraId="67227293" w14:textId="77777777" w:rsidR="000417A5" w:rsidRPr="00B57B36" w:rsidRDefault="000417A5" w:rsidP="000073A7">
            <w:pPr>
              <w:pStyle w:val="CETEquation"/>
              <w:jc w:val="right"/>
            </w:pPr>
            <w:r w:rsidRPr="00B57B36">
              <w:t>(1)</w:t>
            </w:r>
          </w:p>
        </w:tc>
      </w:tr>
      <w:tr w:rsidR="000417A5" w:rsidRPr="00B57B36" w14:paraId="6F146D36" w14:textId="77777777" w:rsidTr="000417A5">
        <w:tc>
          <w:tcPr>
            <w:tcW w:w="7983" w:type="dxa"/>
            <w:shd w:val="clear" w:color="auto" w:fill="auto"/>
            <w:vAlign w:val="center"/>
          </w:tcPr>
          <w:p w14:paraId="101EBEB2" w14:textId="7FD035FB" w:rsidR="000417A5" w:rsidRPr="000417A5" w:rsidRDefault="000417A5" w:rsidP="000073A7">
            <w:pPr>
              <w:pStyle w:val="CETEquation"/>
              <w:rPr>
                <w:rFonts w:ascii="Cambria Math" w:hAnsi="Cambria Math"/>
                <w:lang w:val="en-US"/>
                <w:oMath/>
              </w:rPr>
            </w:pPr>
            <m:oMathPara>
              <m:oMathParaPr>
                <m:jc m:val="left"/>
              </m:oMathParaPr>
              <m:oMath>
                <m:r>
                  <m:rPr>
                    <m:sty m:val="p"/>
                  </m:rPr>
                  <w:rPr>
                    <w:rFonts w:ascii="Cambria Math" w:hAnsi="Cambria Math"/>
                    <w:lang w:val="en-US"/>
                  </w:rPr>
                  <m:t>CO+</m:t>
                </m:r>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O↔C</m:t>
                </m:r>
                <m:sSub>
                  <m:sSubPr>
                    <m:ctrlPr>
                      <w:rPr>
                        <w:rFonts w:ascii="Cambria Math" w:hAnsi="Cambria Math"/>
                        <w:iCs/>
                        <w:lang w:val="en-US"/>
                      </w:rPr>
                    </m:ctrlPr>
                  </m:sSubPr>
                  <m:e>
                    <m:r>
                      <m:rPr>
                        <m:sty m:val="p"/>
                      </m:rPr>
                      <w:rPr>
                        <w:rFonts w:ascii="Cambria Math" w:hAnsi="Cambria Math"/>
                        <w:lang w:val="en-US"/>
                      </w:rPr>
                      <m:t>O</m:t>
                    </m:r>
                  </m:e>
                  <m:sub>
                    <m:r>
                      <m:rPr>
                        <m:sty m:val="p"/>
                      </m:rPr>
                      <w:rPr>
                        <w:rFonts w:ascii="Cambria Math" w:hAnsi="Cambria Math"/>
                        <w:lang w:val="en-US"/>
                      </w:rPr>
                      <m:t>2</m:t>
                    </m:r>
                  </m:sub>
                </m:sSub>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       ∆H</m:t>
                </m:r>
                <m:d>
                  <m:dPr>
                    <m:ctrlPr>
                      <w:rPr>
                        <w:rFonts w:ascii="Cambria Math" w:hAnsi="Cambria Math"/>
                        <w:iCs/>
                        <w:lang w:val="en-US"/>
                      </w:rPr>
                    </m:ctrlPr>
                  </m:dPr>
                  <m:e>
                    <m:r>
                      <m:rPr>
                        <m:sty m:val="p"/>
                      </m:rPr>
                      <w:rPr>
                        <w:rFonts w:ascii="Cambria Math" w:hAnsi="Cambria Math"/>
                        <w:lang w:val="en-US"/>
                      </w:rPr>
                      <m:t>25 ℃</m:t>
                    </m:r>
                  </m:e>
                </m:d>
                <m:r>
                  <m:rPr>
                    <m:sty m:val="p"/>
                  </m:rPr>
                  <w:rPr>
                    <w:rFonts w:ascii="Cambria Math" w:hAnsi="Cambria Math"/>
                    <w:lang w:val="en-US"/>
                  </w:rPr>
                  <m:t>=-41.14 kJ/mol</m:t>
                </m:r>
              </m:oMath>
            </m:oMathPara>
          </w:p>
        </w:tc>
        <w:tc>
          <w:tcPr>
            <w:tcW w:w="804" w:type="dxa"/>
            <w:shd w:val="clear" w:color="auto" w:fill="auto"/>
            <w:vAlign w:val="center"/>
          </w:tcPr>
          <w:p w14:paraId="068673C8" w14:textId="4A5B2A2D" w:rsidR="000417A5" w:rsidRPr="00B57B36" w:rsidRDefault="000417A5" w:rsidP="000073A7">
            <w:pPr>
              <w:pStyle w:val="CETEquation"/>
              <w:jc w:val="right"/>
            </w:pPr>
            <w:r w:rsidRPr="00B57B36">
              <w:t>(</w:t>
            </w:r>
            <w:r>
              <w:t>2</w:t>
            </w:r>
            <w:r w:rsidRPr="00B57B36">
              <w:t>)</w:t>
            </w:r>
          </w:p>
        </w:tc>
      </w:tr>
      <w:tr w:rsidR="000417A5" w:rsidRPr="00B57B36" w14:paraId="26284C99" w14:textId="77777777" w:rsidTr="000417A5">
        <w:tc>
          <w:tcPr>
            <w:tcW w:w="7983" w:type="dxa"/>
            <w:shd w:val="clear" w:color="auto" w:fill="auto"/>
            <w:vAlign w:val="center"/>
          </w:tcPr>
          <w:p w14:paraId="1FD6A8DF" w14:textId="58D73F13" w:rsidR="000417A5" w:rsidRPr="000417A5" w:rsidRDefault="000417A5" w:rsidP="000073A7">
            <w:pPr>
              <w:pStyle w:val="CETEquation"/>
              <w:rPr>
                <w:lang w:val="en-US"/>
              </w:rPr>
            </w:pPr>
            <m:oMathPara>
              <m:oMathParaPr>
                <m:jc m:val="left"/>
              </m:oMathParaPr>
              <m:oMath>
                <m:r>
                  <m:rPr>
                    <m:sty m:val="p"/>
                  </m:rPr>
                  <w:rPr>
                    <w:rFonts w:ascii="Cambria Math" w:hAnsi="Cambria Math"/>
                    <w:lang w:val="en-US"/>
                  </w:rPr>
                  <m:t>CO+</m:t>
                </m:r>
                <m:sSub>
                  <m:sSubPr>
                    <m:ctrlPr>
                      <w:rPr>
                        <w:rFonts w:ascii="Cambria Math" w:hAnsi="Cambria Math"/>
                        <w:iCs/>
                        <w:lang w:val="en-US"/>
                      </w:rPr>
                    </m:ctrlPr>
                  </m:sSubPr>
                  <m:e>
                    <m:r>
                      <m:rPr>
                        <m:sty m:val="p"/>
                      </m:rPr>
                      <w:rPr>
                        <w:rFonts w:ascii="Cambria Math" w:hAnsi="Cambria Math"/>
                        <w:lang w:val="en-US"/>
                      </w:rPr>
                      <m:t>3H</m:t>
                    </m:r>
                  </m:e>
                  <m:sub>
                    <m:r>
                      <m:rPr>
                        <m:sty m:val="p"/>
                      </m:rPr>
                      <w:rPr>
                        <w:rFonts w:ascii="Cambria Math" w:hAnsi="Cambria Math"/>
                        <w:lang w:val="en-US"/>
                      </w:rPr>
                      <m:t>2</m:t>
                    </m:r>
                  </m:sub>
                </m:sSub>
                <m:r>
                  <m:rPr>
                    <m:sty m:val="p"/>
                  </m:rPr>
                  <w:rPr>
                    <w:rFonts w:ascii="Cambria Math" w:hAnsi="Cambria Math"/>
                    <w:lang w:val="en-US"/>
                  </w:rPr>
                  <m:t>↔C</m:t>
                </m:r>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4</m:t>
                    </m:r>
                  </m:sub>
                </m:sSub>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O       ∆H</m:t>
                </m:r>
                <m:d>
                  <m:dPr>
                    <m:ctrlPr>
                      <w:rPr>
                        <w:rFonts w:ascii="Cambria Math" w:hAnsi="Cambria Math"/>
                        <w:iCs/>
                        <w:lang w:val="en-US"/>
                      </w:rPr>
                    </m:ctrlPr>
                  </m:dPr>
                  <m:e>
                    <m:r>
                      <m:rPr>
                        <m:sty m:val="p"/>
                      </m:rPr>
                      <w:rPr>
                        <w:rFonts w:ascii="Cambria Math" w:hAnsi="Cambria Math"/>
                        <w:lang w:val="en-US"/>
                      </w:rPr>
                      <m:t>25 ℃</m:t>
                    </m:r>
                  </m:e>
                </m:d>
                <m:r>
                  <m:rPr>
                    <m:sty m:val="p"/>
                  </m:rPr>
                  <w:rPr>
                    <w:rFonts w:ascii="Cambria Math" w:hAnsi="Cambria Math"/>
                    <w:lang w:val="en-US"/>
                  </w:rPr>
                  <m:t>=-205.89 kJ/mol</m:t>
                </m:r>
              </m:oMath>
            </m:oMathPara>
          </w:p>
        </w:tc>
        <w:tc>
          <w:tcPr>
            <w:tcW w:w="804" w:type="dxa"/>
            <w:shd w:val="clear" w:color="auto" w:fill="auto"/>
            <w:vAlign w:val="center"/>
          </w:tcPr>
          <w:p w14:paraId="09192EE2" w14:textId="44D24E8B" w:rsidR="000417A5" w:rsidRPr="00B57B36" w:rsidRDefault="000417A5" w:rsidP="000073A7">
            <w:pPr>
              <w:pStyle w:val="CETEquation"/>
              <w:jc w:val="right"/>
            </w:pPr>
            <w:r>
              <w:t>(3)</w:t>
            </w:r>
          </w:p>
        </w:tc>
      </w:tr>
    </w:tbl>
    <w:p w14:paraId="68CC1C1B" w14:textId="6987EF84" w:rsidR="000417A5" w:rsidRDefault="006245C2" w:rsidP="006245C2">
      <w:pPr>
        <w:pStyle w:val="CETHeading1"/>
        <w:tabs>
          <w:tab w:val="num" w:pos="360"/>
        </w:tabs>
        <w:rPr>
          <w:lang w:val="en-GB"/>
        </w:rPr>
      </w:pPr>
      <w:r>
        <w:rPr>
          <w:lang w:val="en-GB"/>
        </w:rPr>
        <w:t>Results and Discussion</w:t>
      </w:r>
    </w:p>
    <w:p w14:paraId="53E668EB" w14:textId="51149843" w:rsidR="000417A5" w:rsidRDefault="00B5105E" w:rsidP="00B5105E">
      <w:pPr>
        <w:pStyle w:val="CETheadingx"/>
        <w:rPr>
          <w:lang w:val="en-GB"/>
        </w:rPr>
      </w:pPr>
      <w:r>
        <w:rPr>
          <w:lang w:val="en-GB"/>
        </w:rPr>
        <w:t>Model Validation</w:t>
      </w:r>
    </w:p>
    <w:p w14:paraId="7376EE61" w14:textId="5A03452C" w:rsidR="00C24AF4" w:rsidRDefault="00C24AF4" w:rsidP="00C24AF4">
      <w:pPr>
        <w:spacing w:line="276" w:lineRule="auto"/>
        <w:rPr>
          <w:rFonts w:ascii="Times New Roman" w:hAnsi="Times New Roman"/>
          <w:lang w:val="en-US"/>
        </w:rPr>
      </w:pPr>
      <w:r w:rsidRPr="00C24AF4">
        <w:rPr>
          <w:rStyle w:val="CETBodytextCarattere"/>
        </w:rPr>
        <w:t xml:space="preserve">Figure 2 displays the comparison of modelling result against experimental data from the HTG of cornstarch </w:t>
      </w:r>
      <w:r w:rsidRPr="00C24AF4">
        <w:rPr>
          <w:rStyle w:val="CETBodytextCarattere"/>
        </w:rPr>
        <w:fldChar w:fldCharType="begin"/>
      </w:r>
      <w:r w:rsidR="00BA2D59">
        <w:rPr>
          <w:rStyle w:val="CETBodytextCarattere"/>
        </w:rPr>
        <w:instrText xml:space="preserve"> ADDIN EN.CITE &lt;EndNote&gt;&lt;Cite&gt;&lt;Author&gt;Antal Jr&lt;/Author&gt;&lt;Year&gt;2000&lt;/Year&gt;&lt;RecNum&gt;110&lt;/RecNum&gt;&lt;DisplayText&gt;(Antal Jr, Allen et al. 2000)&lt;/DisplayText&gt;&lt;record&gt;&lt;rec-number&gt;110&lt;/rec-number&gt;&lt;foreign-keys&gt;&lt;key app="EN" db-id="50eez5z08wvwt5evrp7xr95rzs2ez0x9rtfv" timestamp="1674235373"&gt;110&lt;/key&gt;&lt;/foreign-keys&gt;&lt;ref-type name="Journal Article"&gt;17&lt;/ref-type&gt;&lt;contributors&gt;&lt;authors&gt;&lt;author&gt;Antal Jr, Michael Jerry&lt;/author&gt;&lt;author&gt;Allen, Stephen Glen&lt;/author&gt;&lt;author&gt;Schulman, Deborah&lt;/author&gt;&lt;author&gt;Xu, Xiaodong&lt;/author&gt;&lt;author&gt;Divilio, Robert J&lt;/author&gt;&lt;/authors&gt;&lt;/contributors&gt;&lt;titles&gt;&lt;title&gt;Biomass gasification in supercritical water&lt;/title&gt;&lt;secondary-title&gt;Industrial &amp;amp; Engineering Chemistry Research&lt;/secondary-title&gt;&lt;/titles&gt;&lt;periodical&gt;&lt;full-title&gt;Industrial &amp;amp; Engineering Chemistry Research&lt;/full-title&gt;&lt;/periodical&gt;&lt;pages&gt;4040-4053&lt;/pages&gt;&lt;volume&gt;39&lt;/volume&gt;&lt;number&gt;11&lt;/number&gt;&lt;dates&gt;&lt;year&gt;2000&lt;/year&gt;&lt;/dates&gt;&lt;isbn&gt;0888-5885&lt;/isbn&gt;&lt;urls&gt;&lt;/urls&gt;&lt;/record&gt;&lt;/Cite&gt;&lt;/EndNote&gt;</w:instrText>
      </w:r>
      <w:r w:rsidRPr="00C24AF4">
        <w:rPr>
          <w:rStyle w:val="CETBodytextCarattere"/>
        </w:rPr>
        <w:fldChar w:fldCharType="separate"/>
      </w:r>
      <w:r w:rsidR="00BA2D59">
        <w:rPr>
          <w:rStyle w:val="CETBodytextCarattere"/>
          <w:noProof/>
        </w:rPr>
        <w:t>(Antal Jr, Allen et al. 2000)</w:t>
      </w:r>
      <w:r w:rsidRPr="00C24AF4">
        <w:rPr>
          <w:rStyle w:val="CETBodytextCarattere"/>
        </w:rPr>
        <w:fldChar w:fldCharType="end"/>
      </w:r>
      <w:r w:rsidRPr="00C24AF4">
        <w:rPr>
          <w:rStyle w:val="CETBodytextCarattere"/>
        </w:rPr>
        <w:t>. It shows that the model predicts H</w:t>
      </w:r>
      <w:r w:rsidRPr="00051077">
        <w:rPr>
          <w:rStyle w:val="CETBodytextCarattere"/>
          <w:vertAlign w:val="subscript"/>
        </w:rPr>
        <w:t>2</w:t>
      </w:r>
      <w:r w:rsidRPr="00C24AF4">
        <w:rPr>
          <w:rStyle w:val="CETBodytextCarattere"/>
        </w:rPr>
        <w:t>, CO, CO</w:t>
      </w:r>
      <w:r w:rsidRPr="00051077">
        <w:rPr>
          <w:rStyle w:val="CETBodytextCarattere"/>
          <w:vertAlign w:val="subscript"/>
        </w:rPr>
        <w:t>2</w:t>
      </w:r>
      <w:r w:rsidRPr="00C24AF4">
        <w:rPr>
          <w:rStyle w:val="CETBodytextCarattere"/>
        </w:rPr>
        <w:t>, and CH</w:t>
      </w:r>
      <w:r w:rsidRPr="00051077">
        <w:rPr>
          <w:rStyle w:val="CETBodytextCarattere"/>
          <w:vertAlign w:val="subscript"/>
        </w:rPr>
        <w:t>4</w:t>
      </w:r>
      <w:r w:rsidRPr="00C24AF4">
        <w:rPr>
          <w:rStyle w:val="CETBodytextCarattere"/>
        </w:rPr>
        <w:t xml:space="preserve"> composition in the producer gas with a high accuracy. This result suggests that the Aspen Plus model can be used to perform the parametric investigation with a good reliability</w:t>
      </w:r>
      <w:r>
        <w:rPr>
          <w:rFonts w:ascii="Times New Roman" w:hAnsi="Times New Roman"/>
          <w:lang w:val="en-US"/>
        </w:rPr>
        <w:t>.</w:t>
      </w:r>
    </w:p>
    <w:p w14:paraId="6774D1A8" w14:textId="64B9D31A" w:rsidR="00E630A3" w:rsidRDefault="00E630A3" w:rsidP="00E630A3">
      <w:pPr>
        <w:pStyle w:val="CETBodytext"/>
      </w:pPr>
      <w:r>
        <w:rPr>
          <w:rFonts w:ascii="Times New Roman" w:hAnsi="Times New Roman"/>
          <w:noProof/>
          <w:lang w:eastAsia="nb-NO"/>
        </w:rPr>
        <w:drawing>
          <wp:inline distT="0" distB="0" distL="0" distR="0" wp14:anchorId="47E48827" wp14:editId="65D98267">
            <wp:extent cx="2098190" cy="1440000"/>
            <wp:effectExtent l="0" t="0" r="0" b="8255"/>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8190" cy="1440000"/>
                    </a:xfrm>
                    <a:prstGeom prst="rect">
                      <a:avLst/>
                    </a:prstGeom>
                    <a:noFill/>
                  </pic:spPr>
                </pic:pic>
              </a:graphicData>
            </a:graphic>
          </wp:inline>
        </w:drawing>
      </w:r>
    </w:p>
    <w:p w14:paraId="60B471C4" w14:textId="5F37DFA8" w:rsidR="00E630A3" w:rsidRPr="00E630A3" w:rsidRDefault="00E630A3" w:rsidP="00600535">
      <w:pPr>
        <w:pStyle w:val="CETBodytext"/>
        <w:rPr>
          <w:lang w:val="en-GB"/>
        </w:rPr>
      </w:pPr>
      <w:r w:rsidRPr="00E630A3">
        <w:rPr>
          <w:rStyle w:val="CETCaptionCarattere"/>
        </w:rPr>
        <w:t>Figure 2. Validation Result of Aspen Plus Model</w:t>
      </w:r>
    </w:p>
    <w:p w14:paraId="2B9E000E" w14:textId="4656E683" w:rsidR="00E630A3" w:rsidRPr="00C24AF4" w:rsidRDefault="00867BEA" w:rsidP="00867BEA">
      <w:pPr>
        <w:pStyle w:val="CETheadingx"/>
      </w:pPr>
      <w:r>
        <w:t>Effect of Temperature of Gas Composition and Yield</w:t>
      </w:r>
    </w:p>
    <w:p w14:paraId="7028637D" w14:textId="0E014875" w:rsidR="00F15993" w:rsidRDefault="00F15993" w:rsidP="00F15993">
      <w:pPr>
        <w:pStyle w:val="CETBodytext"/>
      </w:pPr>
      <w:r>
        <w:t xml:space="preserve">The effect of temperature on the gas product composition is presented in Figure 3 (a). This result was obtained at the pressure of 280 bar and feedstock concentration of 10 </w:t>
      </w:r>
      <w:proofErr w:type="spellStart"/>
      <w:r>
        <w:t>wt</w:t>
      </w:r>
      <w:proofErr w:type="spellEnd"/>
      <w:r>
        <w:t xml:space="preserve">%, with temperature ranging within 400-600 </w:t>
      </w:r>
      <w:proofErr w:type="spellStart"/>
      <w:r w:rsidRPr="00E74D98">
        <w:rPr>
          <w:vertAlign w:val="superscript"/>
        </w:rPr>
        <w:t>o</w:t>
      </w:r>
      <w:r>
        <w:t>C.</w:t>
      </w:r>
      <w:proofErr w:type="spellEnd"/>
      <w:r>
        <w:t xml:space="preserve"> An increase in temperature enhances the endothermic steam reforming reaction (Equation 1). Accordingly, H</w:t>
      </w:r>
      <w:r w:rsidRPr="00A02A97">
        <w:rPr>
          <w:vertAlign w:val="subscript"/>
        </w:rPr>
        <w:t>2</w:t>
      </w:r>
      <w:r>
        <w:t xml:space="preserve"> production is promoted at higher temperature. Additionally, as the temperature increases, the highly exothermic methanation reaction (Equation 3) is pushed towards the backward direction, therefore converting CH</w:t>
      </w:r>
      <w:r w:rsidRPr="008849F5">
        <w:rPr>
          <w:vertAlign w:val="subscript"/>
        </w:rPr>
        <w:t>4</w:t>
      </w:r>
      <w:r>
        <w:t xml:space="preserve"> into H</w:t>
      </w:r>
      <w:r w:rsidRPr="008849F5">
        <w:rPr>
          <w:vertAlign w:val="subscript"/>
        </w:rPr>
        <w:t>2</w:t>
      </w:r>
      <w:r>
        <w:t>. This consequently leads to lower CH</w:t>
      </w:r>
      <w:r w:rsidRPr="008849F5">
        <w:rPr>
          <w:vertAlign w:val="subscript"/>
        </w:rPr>
        <w:t>4</w:t>
      </w:r>
      <w:r>
        <w:t xml:space="preserve"> concentrations at higher temperatures. For the entire temperature range of the investigation, only negligibly small amounts of CO are present in the product gas mixture. This indicates that CO is almost completely consumed during the HTG process via the WGSR and methanation reactions. The result also suggests that the temperature influence on CO</w:t>
      </w:r>
      <w:r w:rsidRPr="008849F5">
        <w:rPr>
          <w:vertAlign w:val="subscript"/>
        </w:rPr>
        <w:t>2</w:t>
      </w:r>
      <w:r>
        <w:t xml:space="preserve"> concentration is not prominent. A possible contributing factor for this is the slightly exothermic nature of the WGSR reaction (Equation 2) which can be translated to a relatively weak temperature dependence of CO</w:t>
      </w:r>
      <w:r w:rsidRPr="008849F5">
        <w:rPr>
          <w:vertAlign w:val="subscript"/>
        </w:rPr>
        <w:t>2</w:t>
      </w:r>
      <w:r>
        <w:t xml:space="preserve"> production. Similar results were reported in </w:t>
      </w:r>
      <w:r>
        <w:lastRenderedPageBreak/>
        <w:t xml:space="preserve">previous studies involving hydrothermal gasification of other biomass feedstocks </w:t>
      </w:r>
      <w:r>
        <w:fldChar w:fldCharType="begin"/>
      </w:r>
      <w:r w:rsidR="00BA2D59">
        <w:instrText xml:space="preserve"> ADDIN EN.CITE &lt;EndNote&gt;&lt;Cite&gt;&lt;Author&gt;Voll&lt;/Author&gt;&lt;Year&gt;2009&lt;/Year&gt;&lt;RecNum&gt;4&lt;/RecNum&gt;&lt;DisplayText&gt;(Tang and Kitagawa 2005, Voll, Rossi et al. 2009)&lt;/DisplayText&gt;&lt;record&gt;&lt;rec-number&gt;4&lt;/rec-number&gt;&lt;foreign-keys&gt;&lt;key app="EN" db-id="50eez5z08wvwt5evrp7xr95rzs2ez0x9rtfv" timestamp="1651065587"&gt;4&lt;/key&gt;&lt;/foreign-keys&gt;&lt;ref-type name="Journal Article"&gt;17&lt;/ref-type&gt;&lt;contributors&gt;&lt;authors&gt;&lt;author&gt;Voll, FAP&lt;/author&gt;&lt;author&gt;Rossi, CCRS&lt;/author&gt;&lt;author&gt;Silva, C&lt;/author&gt;&lt;author&gt;Guirardello, R&lt;/author&gt;&lt;author&gt;Souza, ROMA&lt;/author&gt;&lt;author&gt;Cabral, VF&lt;/author&gt;&lt;author&gt;Cardozo-Filho, L&lt;/author&gt;&lt;/authors&gt;&lt;/contributors&gt;&lt;titles&gt;&lt;title&gt;Thermodynamic analysis of supercritical water gasification of methanol, ethanol, glycerol, glucose and cellulose&lt;/title&gt;&lt;secondary-title&gt;International Journal of Hydrogen Energy&lt;/secondary-title&gt;&lt;/titles&gt;&lt;periodical&gt;&lt;full-title&gt;International Journal of Hydrogen Energy&lt;/full-title&gt;&lt;/periodical&gt;&lt;pages&gt;9737-9744&lt;/pages&gt;&lt;volume&gt;34&lt;/volume&gt;&lt;number&gt;24&lt;/number&gt;&lt;dates&gt;&lt;year&gt;2009&lt;/year&gt;&lt;/dates&gt;&lt;isbn&gt;0360-3199&lt;/isbn&gt;&lt;urls&gt;&lt;/urls&gt;&lt;/record&gt;&lt;/Cite&gt;&lt;Cite&gt;&lt;Author&gt;Tang&lt;/Author&gt;&lt;Year&gt;2005&lt;/Year&gt;&lt;RecNum&gt;3&lt;/RecNum&gt;&lt;record&gt;&lt;rec-number&gt;3&lt;/rec-number&gt;&lt;foreign-keys&gt;&lt;key app="EN" db-id="50eez5z08wvwt5evrp7xr95rzs2ez0x9rtfv" timestamp="1651065227"&gt;3&lt;/key&gt;&lt;/foreign-keys&gt;&lt;ref-type name="Journal Article"&gt;17&lt;/ref-type&gt;&lt;contributors&gt;&lt;authors&gt;&lt;author&gt;Tang, Huiqing&lt;/author&gt;&lt;author&gt;Kitagawa, Kuniyuki&lt;/author&gt;&lt;/authors&gt;&lt;/contributors&gt;&lt;titles&gt;&lt;title&gt;Supercritical water gasification of biomass: thermodynamic analysis with direct Gibbs free energy minimization&lt;/title&gt;&lt;secondary-title&gt;Chemical Engineering Journal&lt;/secondary-title&gt;&lt;/titles&gt;&lt;periodical&gt;&lt;full-title&gt;Chemical Engineering Journal&lt;/full-title&gt;&lt;/periodical&gt;&lt;pages&gt;261-267&lt;/pages&gt;&lt;volume&gt;106&lt;/volume&gt;&lt;number&gt;3&lt;/number&gt;&lt;dates&gt;&lt;year&gt;2005&lt;/year&gt;&lt;/dates&gt;&lt;isbn&gt;1385-8947&lt;/isbn&gt;&lt;urls&gt;&lt;/urls&gt;&lt;/record&gt;&lt;/Cite&gt;&lt;/EndNote&gt;</w:instrText>
      </w:r>
      <w:r>
        <w:fldChar w:fldCharType="separate"/>
      </w:r>
      <w:r w:rsidR="00BA2D59">
        <w:rPr>
          <w:noProof/>
        </w:rPr>
        <w:t>(Tang and Kitagawa 2005, Voll, Rossi et al. 2009)</w:t>
      </w:r>
      <w:r>
        <w:fldChar w:fldCharType="end"/>
      </w:r>
      <w:r>
        <w:t xml:space="preserve">. Figure 3 (b) displays the effect of temperature on the overall gas yield. It is evident from the figure that temperature has a positive effect on the total gas production. This result agrees well with an earlier study which also found that temperature positively influences the overall gas yield in the HTG of almond shells, algae, and sludge </w:t>
      </w:r>
      <w:r>
        <w:fldChar w:fldCharType="begin"/>
      </w:r>
      <w:r w:rsidR="00BA2D59">
        <w:instrText xml:space="preserve"> ADDIN EN.CITE &lt;EndNote&gt;&lt;Cite&gt;&lt;Author&gt;Macrì&lt;/Author&gt;&lt;Year&gt;2020&lt;/Year&gt;&lt;RecNum&gt;19&lt;/RecNum&gt;&lt;DisplayText&gt;(Macrì, Catizzone et al. 2020)&lt;/DisplayText&gt;&lt;record&gt;&lt;rec-number&gt;19&lt;/rec-number&gt;&lt;foreign-keys&gt;&lt;key app="EN" db-id="50eez5z08wvwt5evrp7xr95rzs2ez0x9rtfv" timestamp="1651075625"&gt;19&lt;/key&gt;&lt;/foreign-keys&gt;&lt;ref-type name="Journal Article"&gt;17&lt;/ref-type&gt;&lt;contributors&gt;&lt;authors&gt;&lt;author&gt;Macrì, Domenico&lt;/author&gt;&lt;author&gt;Catizzone, Enrico&lt;/author&gt;&lt;author&gt;Molino, Antonio&lt;/author&gt;&lt;author&gt;Migliori, Massimo&lt;/author&gt;&lt;/authors&gt;&lt;/contributors&gt;&lt;titles&gt;&lt;title&gt;Supercritical water gasification of biomass and agro-food residues: Energy assessment from modelling approach&lt;/title&gt;&lt;secondary-title&gt;Renewable Energy&lt;/secondary-title&gt;&lt;/titles&gt;&lt;periodical&gt;&lt;full-title&gt;Renewable Energy&lt;/full-title&gt;&lt;/periodical&gt;&lt;pages&gt;624-636&lt;/pages&gt;&lt;volume&gt;150&lt;/volume&gt;&lt;dates&gt;&lt;year&gt;2020&lt;/year&gt;&lt;/dates&gt;&lt;isbn&gt;0960-1481&lt;/isbn&gt;&lt;urls&gt;&lt;/urls&gt;&lt;/record&gt;&lt;/Cite&gt;&lt;/EndNote&gt;</w:instrText>
      </w:r>
      <w:r>
        <w:fldChar w:fldCharType="separate"/>
      </w:r>
      <w:r w:rsidR="00BA2D59">
        <w:rPr>
          <w:noProof/>
        </w:rPr>
        <w:t>(Macrì, Catizzone et al. 2020)</w:t>
      </w:r>
      <w:r>
        <w:fldChar w:fldCharType="end"/>
      </w:r>
      <w: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3996"/>
        <w:gridCol w:w="469"/>
        <w:gridCol w:w="3855"/>
      </w:tblGrid>
      <w:tr w:rsidR="009E404C" w:rsidRPr="009E404C" w14:paraId="1F5F191B" w14:textId="77777777" w:rsidTr="00E66160">
        <w:tc>
          <w:tcPr>
            <w:tcW w:w="604" w:type="dxa"/>
          </w:tcPr>
          <w:p w14:paraId="263FFAE1" w14:textId="77777777" w:rsidR="009E404C" w:rsidRPr="009E404C" w:rsidRDefault="009E404C" w:rsidP="000073A7">
            <w:pPr>
              <w:spacing w:line="276" w:lineRule="auto"/>
              <w:rPr>
                <w:rFonts w:cs="Arial"/>
                <w:lang w:val="en-US"/>
              </w:rPr>
            </w:pPr>
            <w:r w:rsidRPr="009E404C">
              <w:rPr>
                <w:rFonts w:cs="Arial"/>
                <w:lang w:val="en-US"/>
              </w:rPr>
              <w:t>(a)</w:t>
            </w:r>
          </w:p>
        </w:tc>
        <w:tc>
          <w:tcPr>
            <w:tcW w:w="3996" w:type="dxa"/>
          </w:tcPr>
          <w:p w14:paraId="7F886200" w14:textId="77777777" w:rsidR="009E404C" w:rsidRPr="009E404C" w:rsidRDefault="009E404C" w:rsidP="000073A7">
            <w:pPr>
              <w:spacing w:line="276" w:lineRule="auto"/>
              <w:rPr>
                <w:rFonts w:cs="Arial"/>
                <w:lang w:val="en-US"/>
              </w:rPr>
            </w:pPr>
            <w:r w:rsidRPr="009E404C">
              <w:rPr>
                <w:rFonts w:cs="Arial"/>
                <w:noProof/>
                <w:lang w:eastAsia="nb-NO"/>
              </w:rPr>
              <w:drawing>
                <wp:inline distT="0" distB="0" distL="0" distR="0" wp14:anchorId="1E52E5AC" wp14:editId="317D5142">
                  <wp:extent cx="2086971" cy="1440000"/>
                  <wp:effectExtent l="0" t="0" r="8890" b="825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6971" cy="1440000"/>
                          </a:xfrm>
                          <a:prstGeom prst="rect">
                            <a:avLst/>
                          </a:prstGeom>
                          <a:noFill/>
                        </pic:spPr>
                      </pic:pic>
                    </a:graphicData>
                  </a:graphic>
                </wp:inline>
              </w:drawing>
            </w:r>
          </w:p>
        </w:tc>
        <w:tc>
          <w:tcPr>
            <w:tcW w:w="469" w:type="dxa"/>
          </w:tcPr>
          <w:p w14:paraId="2E249928" w14:textId="77777777" w:rsidR="009E404C" w:rsidRPr="009E404C" w:rsidRDefault="009E404C" w:rsidP="000073A7">
            <w:pPr>
              <w:spacing w:line="276" w:lineRule="auto"/>
              <w:rPr>
                <w:rFonts w:cs="Arial"/>
                <w:lang w:val="en-US"/>
              </w:rPr>
            </w:pPr>
            <w:r w:rsidRPr="009E404C">
              <w:rPr>
                <w:rFonts w:cs="Arial"/>
                <w:lang w:val="en-US"/>
              </w:rPr>
              <w:t>(b)</w:t>
            </w:r>
          </w:p>
        </w:tc>
        <w:tc>
          <w:tcPr>
            <w:tcW w:w="3855" w:type="dxa"/>
          </w:tcPr>
          <w:p w14:paraId="4D145073" w14:textId="77777777" w:rsidR="009E404C" w:rsidRPr="009E404C" w:rsidRDefault="009E404C" w:rsidP="000073A7">
            <w:pPr>
              <w:spacing w:line="276" w:lineRule="auto"/>
              <w:rPr>
                <w:rFonts w:cs="Arial"/>
                <w:lang w:val="en-US"/>
              </w:rPr>
            </w:pPr>
            <w:r w:rsidRPr="009E404C">
              <w:rPr>
                <w:rFonts w:cs="Arial"/>
                <w:noProof/>
                <w:lang w:eastAsia="nb-NO"/>
              </w:rPr>
              <w:drawing>
                <wp:inline distT="0" distB="0" distL="0" distR="0" wp14:anchorId="0ADE15D4" wp14:editId="34A8AEAD">
                  <wp:extent cx="2083782" cy="1440000"/>
                  <wp:effectExtent l="0" t="0" r="0" b="825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3782" cy="1440000"/>
                          </a:xfrm>
                          <a:prstGeom prst="rect">
                            <a:avLst/>
                          </a:prstGeom>
                          <a:noFill/>
                        </pic:spPr>
                      </pic:pic>
                    </a:graphicData>
                  </a:graphic>
                </wp:inline>
              </w:drawing>
            </w:r>
          </w:p>
        </w:tc>
      </w:tr>
    </w:tbl>
    <w:p w14:paraId="4953F054" w14:textId="19DF3870" w:rsidR="009E404C" w:rsidRPr="009E404C" w:rsidRDefault="009E404C" w:rsidP="00600535">
      <w:pPr>
        <w:pStyle w:val="CETBodytext"/>
        <w:rPr>
          <w:lang w:val="en-GB"/>
        </w:rPr>
      </w:pPr>
      <w:r w:rsidRPr="009E404C">
        <w:rPr>
          <w:rStyle w:val="CETCaptionCarattere"/>
        </w:rPr>
        <w:t>Figure 3. Effect of Temperature on (a) Gas Composition and (</w:t>
      </w:r>
      <w:r>
        <w:rPr>
          <w:rStyle w:val="CETCaptionCarattere"/>
        </w:rPr>
        <w:t>b</w:t>
      </w:r>
      <w:r w:rsidRPr="009E404C">
        <w:rPr>
          <w:rStyle w:val="CETCaptionCarattere"/>
        </w:rPr>
        <w:t>) Gas Yield</w:t>
      </w:r>
    </w:p>
    <w:p w14:paraId="7CC9938F" w14:textId="51DA7F77" w:rsidR="00482B13" w:rsidRDefault="000C638D" w:rsidP="00486AAD">
      <w:pPr>
        <w:pStyle w:val="CETheadingx"/>
      </w:pPr>
      <w:r>
        <w:t>Effect of Pressure on Gas Composition and Yield</w:t>
      </w:r>
    </w:p>
    <w:p w14:paraId="5571EE8B" w14:textId="0CE04E23" w:rsidR="000C638D" w:rsidRDefault="000C638D" w:rsidP="000C638D">
      <w:pPr>
        <w:pStyle w:val="CETBodytext"/>
      </w:pPr>
      <w:r>
        <w:t xml:space="preserve">The effect of pressure towards gas composition is displayed in Figure 4 (a). This figure was obtained at the reaction temperature of 600 </w:t>
      </w:r>
      <w:proofErr w:type="spellStart"/>
      <w:r w:rsidRPr="00B37117">
        <w:rPr>
          <w:vertAlign w:val="superscript"/>
        </w:rPr>
        <w:t>o</w:t>
      </w:r>
      <w:r>
        <w:t>C</w:t>
      </w:r>
      <w:proofErr w:type="spellEnd"/>
      <w:r>
        <w:t xml:space="preserve">, feedstock concentration of 10 </w:t>
      </w:r>
      <w:proofErr w:type="spellStart"/>
      <w:r>
        <w:t>wt</w:t>
      </w:r>
      <w:proofErr w:type="spellEnd"/>
      <w:r>
        <w:t>%, and pressure range of 250-300 bar. The figure clearly indicates that pressure gives minor influence towards the gas composition in biogas digestate HTG. It can be observed, however, that a rise in pressure slightly decreases H</w:t>
      </w:r>
      <w:r w:rsidRPr="0096195A">
        <w:rPr>
          <w:vertAlign w:val="subscript"/>
        </w:rPr>
        <w:t>2</w:t>
      </w:r>
      <w:r>
        <w:t xml:space="preserve"> and increases CH</w:t>
      </w:r>
      <w:r w:rsidRPr="0096195A">
        <w:rPr>
          <w:vertAlign w:val="subscript"/>
        </w:rPr>
        <w:t>4</w:t>
      </w:r>
      <w:r>
        <w:t xml:space="preserve"> content. This trend is consistent with the Le </w:t>
      </w:r>
      <w:proofErr w:type="spellStart"/>
      <w:r>
        <w:t>Chatelier</w:t>
      </w:r>
      <w:proofErr w:type="spellEnd"/>
      <w:r>
        <w:t xml:space="preserve"> principle, which suggests that HTG pressure only affects the methanation reaction, where higher pressure promotes the production of CH</w:t>
      </w:r>
      <w:r w:rsidRPr="0095587D">
        <w:rPr>
          <w:vertAlign w:val="subscript"/>
        </w:rPr>
        <w:t>4</w:t>
      </w:r>
      <w:r>
        <w:t xml:space="preserve"> from H</w:t>
      </w:r>
      <w:r w:rsidRPr="0095587D">
        <w:rPr>
          <w:vertAlign w:val="subscript"/>
        </w:rPr>
        <w:t>2</w:t>
      </w:r>
      <w:r>
        <w:t xml:space="preserve">. Similar findings were reported in the HTG studies of other feedstocks </w:t>
      </w:r>
      <w:r>
        <w:fldChar w:fldCharType="begin"/>
      </w:r>
      <w:r w:rsidR="00BA2D59">
        <w:instrText xml:space="preserve"> ADDIN EN.CITE &lt;EndNote&gt;&lt;Cite&gt;&lt;Author&gt;Hantoko&lt;/Author&gt;&lt;Year&gt;2018&lt;/Year&gt;&lt;RecNum&gt;63&lt;/RecNum&gt;&lt;DisplayText&gt;(Castello and Fiori 2011, Hantoko, Su et al. 2018)&lt;/DisplayText&gt;&lt;record&gt;&lt;rec-number&gt;63&lt;/rec-number&gt;&lt;foreign-keys&gt;&lt;key app="EN" db-id="50eez5z08wvwt5evrp7xr95rzs2ez0x9rtfv" timestamp="1665809789"&gt;63&lt;/key&gt;&lt;/foreign-keys&gt;&lt;ref-type name="Journal Article"&gt;17&lt;/ref-type&gt;&lt;contributors&gt;&lt;authors&gt;&lt;author&gt;Hantoko, Dwi&lt;/author&gt;&lt;author&gt;Su, Hongcai&lt;/author&gt;&lt;author&gt;Yan, Mi&lt;/author&gt;&lt;author&gt;Kanchanatip, Ekkachai&lt;/author&gt;&lt;author&gt;Susanto, Herri&lt;/author&gt;&lt;author&gt;Wang, Guobin&lt;/author&gt;&lt;author&gt;Zhang, Sicheng&lt;/author&gt;&lt;author&gt;Xu, Zhang&lt;/author&gt;&lt;/authors&gt;&lt;/contributors&gt;&lt;titles&gt;&lt;title&gt;Thermodynamic study on the integrated supercritical water gasification with reforming process for hydrogen production: Effects of operating parameters&lt;/title&gt;&lt;secondary-title&gt;International Journal of Hydrogen Energy&lt;/secondary-title&gt;&lt;/titles&gt;&lt;periodical&gt;&lt;full-title&gt;International Journal of Hydrogen Energy&lt;/full-title&gt;&lt;/periodical&gt;&lt;pages&gt;17620-17632&lt;/pages&gt;&lt;volume&gt;43&lt;/volume&gt;&lt;number&gt;37&lt;/number&gt;&lt;dates&gt;&lt;year&gt;2018&lt;/year&gt;&lt;/dates&gt;&lt;isbn&gt;0360-3199&lt;/isbn&gt;&lt;urls&gt;&lt;/urls&gt;&lt;/record&gt;&lt;/Cite&gt;&lt;Cite&gt;&lt;Author&gt;Castello&lt;/Author&gt;&lt;Year&gt;2011&lt;/Year&gt;&lt;RecNum&gt;6&lt;/RecNum&gt;&lt;record&gt;&lt;rec-number&gt;6&lt;/rec-number&gt;&lt;foreign-keys&gt;&lt;key app="EN" db-id="50eez5z08wvwt5evrp7xr95rzs2ez0x9rtfv" timestamp="1651065878"&gt;6&lt;/key&gt;&lt;/foreign-keys&gt;&lt;ref-type name="Journal Article"&gt;17&lt;/ref-type&gt;&lt;contributors&gt;&lt;authors&gt;&lt;author&gt;Castello, Daniele&lt;/author&gt;&lt;author&gt;Fiori, Luca&lt;/author&gt;&lt;/authors&gt;&lt;/contributors&gt;&lt;titles&gt;&lt;title&gt;Supercritical water gasification of biomass: Thermodynamic constraints&lt;/title&gt;&lt;secondary-title&gt;Bioresource technology&lt;/secondary-title&gt;&lt;/titles&gt;&lt;periodical&gt;&lt;full-title&gt;Bioresource technology&lt;/full-title&gt;&lt;/periodical&gt;&lt;pages&gt;7574-7582&lt;/pages&gt;&lt;volume&gt;102&lt;/volume&gt;&lt;number&gt;16&lt;/number&gt;&lt;dates&gt;&lt;year&gt;2011&lt;/year&gt;&lt;/dates&gt;&lt;isbn&gt;0960-8524&lt;/isbn&gt;&lt;urls&gt;&lt;/urls&gt;&lt;/record&gt;&lt;/Cite&gt;&lt;/EndNote&gt;</w:instrText>
      </w:r>
      <w:r>
        <w:fldChar w:fldCharType="separate"/>
      </w:r>
      <w:r w:rsidR="00BA2D59">
        <w:rPr>
          <w:noProof/>
        </w:rPr>
        <w:t>(Castello and Fiori 2011, Hantoko, Su et al. 2018)</w:t>
      </w:r>
      <w:r>
        <w:fldChar w:fldCharType="end"/>
      </w:r>
      <w:r>
        <w:t>. However, the absolute value of total gas yield is negatively affected by the change of pressure, as indicated by Figure 4 (b).</w:t>
      </w:r>
    </w:p>
    <w:tbl>
      <w:tblPr>
        <w:tblStyle w:val="TableGrid"/>
        <w:tblW w:w="89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4"/>
        <w:gridCol w:w="236"/>
        <w:gridCol w:w="236"/>
        <w:gridCol w:w="236"/>
      </w:tblGrid>
      <w:tr w:rsidR="00661DA8" w:rsidRPr="00E66160" w14:paraId="506B01A8" w14:textId="77777777" w:rsidTr="00EA6CAB">
        <w:tc>
          <w:tcPr>
            <w:tcW w:w="8254" w:type="dxa"/>
          </w:tcPr>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4056"/>
              <w:gridCol w:w="473"/>
              <w:gridCol w:w="3798"/>
            </w:tblGrid>
            <w:tr w:rsidR="00E66160" w:rsidRPr="00E66160" w14:paraId="0B7956E1" w14:textId="5B762E33" w:rsidTr="00E66160">
              <w:tc>
                <w:tcPr>
                  <w:tcW w:w="493" w:type="dxa"/>
                </w:tcPr>
                <w:p w14:paraId="2C6920D4" w14:textId="77777777" w:rsidR="00E66160" w:rsidRPr="00E66160" w:rsidRDefault="00E66160" w:rsidP="00661DA8">
                  <w:pPr>
                    <w:spacing w:line="276" w:lineRule="auto"/>
                    <w:rPr>
                      <w:rFonts w:cs="Arial"/>
                      <w:lang w:val="en-US"/>
                    </w:rPr>
                  </w:pPr>
                  <w:bookmarkStart w:id="0" w:name="_Hlk129781683"/>
                  <w:r w:rsidRPr="00E66160">
                    <w:rPr>
                      <w:rFonts w:cs="Arial"/>
                      <w:lang w:val="en-US"/>
                    </w:rPr>
                    <w:t>(a)</w:t>
                  </w:r>
                </w:p>
              </w:tc>
              <w:tc>
                <w:tcPr>
                  <w:tcW w:w="4056" w:type="dxa"/>
                </w:tcPr>
                <w:p w14:paraId="581D4226" w14:textId="77777777" w:rsidR="00E66160" w:rsidRPr="00E66160" w:rsidRDefault="00E66160" w:rsidP="00661DA8">
                  <w:pPr>
                    <w:spacing w:line="276" w:lineRule="auto"/>
                    <w:rPr>
                      <w:rFonts w:cs="Arial"/>
                      <w:lang w:val="en-US"/>
                    </w:rPr>
                  </w:pPr>
                  <w:r w:rsidRPr="00E66160">
                    <w:rPr>
                      <w:rFonts w:cs="Arial"/>
                      <w:noProof/>
                      <w:lang w:eastAsia="nb-NO"/>
                    </w:rPr>
                    <w:drawing>
                      <wp:inline distT="0" distB="0" distL="0" distR="0" wp14:anchorId="4906A099" wp14:editId="3B6CEEF0">
                        <wp:extent cx="2160000" cy="14400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pic:spPr>
                            </pic:pic>
                          </a:graphicData>
                        </a:graphic>
                      </wp:inline>
                    </w:drawing>
                  </w:r>
                </w:p>
              </w:tc>
              <w:tc>
                <w:tcPr>
                  <w:tcW w:w="473" w:type="dxa"/>
                </w:tcPr>
                <w:p w14:paraId="757FA38A" w14:textId="77777777" w:rsidR="00E66160" w:rsidRPr="00E66160" w:rsidRDefault="00E66160" w:rsidP="00661DA8">
                  <w:pPr>
                    <w:spacing w:line="276" w:lineRule="auto"/>
                    <w:rPr>
                      <w:rFonts w:cs="Arial"/>
                      <w:lang w:val="en-US"/>
                    </w:rPr>
                  </w:pPr>
                  <w:r w:rsidRPr="00E66160">
                    <w:rPr>
                      <w:rFonts w:cs="Arial"/>
                      <w:lang w:val="en-US"/>
                    </w:rPr>
                    <w:t>(b)</w:t>
                  </w:r>
                </w:p>
              </w:tc>
              <w:tc>
                <w:tcPr>
                  <w:tcW w:w="3798" w:type="dxa"/>
                </w:tcPr>
                <w:p w14:paraId="5FD74214" w14:textId="34541B0D" w:rsidR="00E66160" w:rsidRPr="00E66160" w:rsidRDefault="00E66160" w:rsidP="00661DA8">
                  <w:pPr>
                    <w:spacing w:line="276" w:lineRule="auto"/>
                    <w:rPr>
                      <w:rFonts w:cs="Arial"/>
                      <w:lang w:val="en-US"/>
                    </w:rPr>
                  </w:pPr>
                  <w:r w:rsidRPr="00E66160">
                    <w:rPr>
                      <w:rFonts w:cs="Arial"/>
                      <w:noProof/>
                      <w:lang w:eastAsia="nb-NO"/>
                    </w:rPr>
                    <w:drawing>
                      <wp:inline distT="0" distB="0" distL="0" distR="0" wp14:anchorId="199E8097" wp14:editId="70B7E38A">
                        <wp:extent cx="2156586" cy="14400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6586" cy="1440000"/>
                                </a:xfrm>
                                <a:prstGeom prst="rect">
                                  <a:avLst/>
                                </a:prstGeom>
                                <a:noFill/>
                              </pic:spPr>
                            </pic:pic>
                          </a:graphicData>
                        </a:graphic>
                      </wp:inline>
                    </w:drawing>
                  </w:r>
                </w:p>
              </w:tc>
            </w:tr>
            <w:bookmarkEnd w:id="0"/>
          </w:tbl>
          <w:p w14:paraId="27B27219" w14:textId="35B5BAB1" w:rsidR="00661DA8" w:rsidRPr="00E66160" w:rsidRDefault="00661DA8" w:rsidP="000073A7">
            <w:pPr>
              <w:spacing w:line="276" w:lineRule="auto"/>
              <w:rPr>
                <w:rFonts w:cs="Arial"/>
                <w:lang w:val="en-US"/>
              </w:rPr>
            </w:pPr>
          </w:p>
        </w:tc>
        <w:tc>
          <w:tcPr>
            <w:tcW w:w="236" w:type="dxa"/>
          </w:tcPr>
          <w:p w14:paraId="03CFF3F0" w14:textId="26D52ACA" w:rsidR="00661DA8" w:rsidRPr="00E66160" w:rsidRDefault="00661DA8" w:rsidP="000073A7">
            <w:pPr>
              <w:spacing w:line="276" w:lineRule="auto"/>
              <w:rPr>
                <w:rFonts w:cs="Arial"/>
                <w:lang w:val="en-US"/>
              </w:rPr>
            </w:pPr>
          </w:p>
        </w:tc>
        <w:tc>
          <w:tcPr>
            <w:tcW w:w="236" w:type="dxa"/>
          </w:tcPr>
          <w:p w14:paraId="5BCE0345" w14:textId="17F4D67D" w:rsidR="00661DA8" w:rsidRPr="00E66160" w:rsidRDefault="00661DA8" w:rsidP="000073A7">
            <w:pPr>
              <w:spacing w:line="276" w:lineRule="auto"/>
              <w:rPr>
                <w:rFonts w:cs="Arial"/>
                <w:lang w:val="en-US"/>
              </w:rPr>
            </w:pPr>
          </w:p>
        </w:tc>
        <w:tc>
          <w:tcPr>
            <w:tcW w:w="236" w:type="dxa"/>
          </w:tcPr>
          <w:p w14:paraId="09605A0B" w14:textId="1BDB1ADF" w:rsidR="00661DA8" w:rsidRPr="00E66160" w:rsidRDefault="00661DA8" w:rsidP="000073A7">
            <w:pPr>
              <w:spacing w:line="276" w:lineRule="auto"/>
              <w:rPr>
                <w:rFonts w:cs="Arial"/>
                <w:lang w:val="en-US"/>
              </w:rPr>
            </w:pPr>
          </w:p>
        </w:tc>
      </w:tr>
    </w:tbl>
    <w:p w14:paraId="342B6392" w14:textId="2D0C24B0" w:rsidR="00661DA8" w:rsidRPr="009E404C" w:rsidRDefault="00EA6CAB" w:rsidP="00661DA8">
      <w:pPr>
        <w:pStyle w:val="CETBodytext"/>
        <w:rPr>
          <w:lang w:val="en-GB"/>
        </w:rPr>
      </w:pPr>
      <w:r w:rsidRPr="00EA6CAB">
        <w:rPr>
          <w:rStyle w:val="CETCaptionCarattere"/>
        </w:rPr>
        <w:t>Figure 4. Effect of Pressure on (a) Gas Composition and (a) Gas Yield</w:t>
      </w:r>
    </w:p>
    <w:p w14:paraId="62FEE1AA" w14:textId="5EC2E030" w:rsidR="00EA6CAB" w:rsidRDefault="00D24077" w:rsidP="00D24077">
      <w:pPr>
        <w:pStyle w:val="CETheadingx"/>
        <w:rPr>
          <w:lang w:val="en-GB"/>
        </w:rPr>
      </w:pPr>
      <w:r>
        <w:rPr>
          <w:lang w:val="en-GB"/>
        </w:rPr>
        <w:t>Effect of Feed Concentration on Gas Composition and Yield</w:t>
      </w:r>
    </w:p>
    <w:p w14:paraId="527FF507" w14:textId="77777777" w:rsidR="00CA75E7" w:rsidRDefault="00CA75E7" w:rsidP="00CA75E7">
      <w:pPr>
        <w:pStyle w:val="CETBodytext"/>
      </w:pPr>
      <w:r>
        <w:t xml:space="preserve">The influence of feedstock concentration towards gas composition is presented in Figure 5 (a). The feedstock concentration is defined as mass percentage of feedstock over the total mass of feedstock and water. The parametric investigation was performed by keeping the total mass constant; therefore, a higher feed ratio or percentage represents more feedstock and less water in the reaction system. The feedstock concentration was varied from 10 to 50 </w:t>
      </w:r>
      <w:proofErr w:type="spellStart"/>
      <w:r>
        <w:t>wt</w:t>
      </w:r>
      <w:proofErr w:type="spellEnd"/>
      <w:r>
        <w:t xml:space="preserve">%, whereas the temperature and pressure were set at 600 </w:t>
      </w:r>
      <w:proofErr w:type="spellStart"/>
      <w:r w:rsidRPr="00A34454">
        <w:rPr>
          <w:vertAlign w:val="superscript"/>
        </w:rPr>
        <w:t>o</w:t>
      </w:r>
      <w:r>
        <w:t>C</w:t>
      </w:r>
      <w:proofErr w:type="spellEnd"/>
      <w:r>
        <w:t xml:space="preserve"> and 280 bar, respectively. The presence of water strongly affects the yield and composition of HTG products since the water acts as reactant in the HTG reactions as presented earlier. </w:t>
      </w:r>
    </w:p>
    <w:p w14:paraId="11E80176" w14:textId="44E3A272" w:rsidR="00CA75E7" w:rsidRPr="00572640" w:rsidRDefault="00CA75E7" w:rsidP="00CA75E7">
      <w:pPr>
        <w:pStyle w:val="CETBodytext"/>
      </w:pPr>
      <w:r>
        <w:t>As the feedstock concentration increases, H</w:t>
      </w:r>
      <w:r w:rsidRPr="00FD2B4F">
        <w:rPr>
          <w:vertAlign w:val="subscript"/>
        </w:rPr>
        <w:t>2</w:t>
      </w:r>
      <w:r>
        <w:t xml:space="preserve"> composition drop</w:t>
      </w:r>
      <w:r w:rsidR="00762AB9">
        <w:t>s</w:t>
      </w:r>
      <w:r>
        <w:t xml:space="preserve"> notably. There are two possible factors responsible for this. First, the decreasing amount of water shifts the WGSR (Equation 2) backward. Second, the methanation reaction (Equation 3) is pushed forward. These actions result in less H</w:t>
      </w:r>
      <w:r w:rsidRPr="007A4529">
        <w:rPr>
          <w:vertAlign w:val="subscript"/>
        </w:rPr>
        <w:t>2</w:t>
      </w:r>
      <w:r>
        <w:t xml:space="preserve"> present in the product gas mixture. However, CO</w:t>
      </w:r>
      <w:r w:rsidRPr="007A4529">
        <w:rPr>
          <w:vertAlign w:val="subscript"/>
        </w:rPr>
        <w:t>2</w:t>
      </w:r>
      <w:r>
        <w:t>, which is consumed in the backward direction of the WGSR, is only slightly affected by the change in feedstock concentration. This implies that the influence of feedstock concentration towards the WGSR is not prominent, and the decrease in H</w:t>
      </w:r>
      <w:r w:rsidRPr="00214D4C">
        <w:rPr>
          <w:vertAlign w:val="subscript"/>
        </w:rPr>
        <w:t>2</w:t>
      </w:r>
      <w:r>
        <w:t xml:space="preserve"> concentration is mainly contributed by the methanation reaction. This is consistent with the observation that CH</w:t>
      </w:r>
      <w:r w:rsidRPr="00980193">
        <w:rPr>
          <w:vertAlign w:val="subscript"/>
        </w:rPr>
        <w:t>4</w:t>
      </w:r>
      <w:r>
        <w:t xml:space="preserve"> production is promoted with the increase in feedstock concentration. Similar observation was reported </w:t>
      </w:r>
      <w:r w:rsidR="00547AD5">
        <w:t xml:space="preserve">for a HTG simulation study of dewatered sewage sludge </w:t>
      </w:r>
      <w:r>
        <w:fldChar w:fldCharType="begin"/>
      </w:r>
      <w:r w:rsidR="00BA2D59">
        <w:instrText xml:space="preserve"> ADDIN EN.CITE &lt;EndNote&gt;&lt;Cite&gt;&lt;Author&gt;Hantoko&lt;/Author&gt;&lt;Year&gt;2018&lt;/Year&gt;&lt;RecNum&gt;63&lt;/RecNum&gt;&lt;DisplayText&gt;(Hantoko, Su et al. 2018)&lt;/DisplayText&gt;&lt;record&gt;&lt;rec-number&gt;63&lt;/rec-number&gt;&lt;foreign-keys&gt;&lt;key app="EN" db-id="50eez5z08wvwt5evrp7xr95rzs2ez0x9rtfv" timestamp="1665809789"&gt;63&lt;/key&gt;&lt;/foreign-keys&gt;&lt;ref-type name="Journal Article"&gt;17&lt;/ref-type&gt;&lt;contributors&gt;&lt;authors&gt;&lt;author&gt;Hantoko, Dwi&lt;/author&gt;&lt;author&gt;Su, Hongcai&lt;/author&gt;&lt;author&gt;Yan, Mi&lt;/author&gt;&lt;author&gt;Kanchanatip, Ekkachai&lt;/author&gt;&lt;author&gt;Susanto, Herri&lt;/author&gt;&lt;author&gt;Wang, Guobin&lt;/author&gt;&lt;author&gt;Zhang, Sicheng&lt;/author&gt;&lt;author&gt;Xu, Zhang&lt;/author&gt;&lt;/authors&gt;&lt;/contributors&gt;&lt;titles&gt;&lt;title&gt;Thermodynamic study on the integrated supercritical water gasification with reforming process for hydrogen production: Effects of operating parameters&lt;/title&gt;&lt;secondary-title&gt;International Journal of Hydrogen Energy&lt;/secondary-title&gt;&lt;/titles&gt;&lt;periodical&gt;&lt;full-title&gt;International Journal of Hydrogen Energy&lt;/full-title&gt;&lt;/periodical&gt;&lt;pages&gt;17620-17632&lt;/pages&gt;&lt;volume&gt;43&lt;/volume&gt;&lt;number&gt;37&lt;/number&gt;&lt;dates&gt;&lt;year&gt;2018&lt;/year&gt;&lt;/dates&gt;&lt;isbn&gt;0360-3199&lt;/isbn&gt;&lt;urls&gt;&lt;/urls&gt;&lt;/record&gt;&lt;/Cite&gt;&lt;/EndNote&gt;</w:instrText>
      </w:r>
      <w:r>
        <w:fldChar w:fldCharType="separate"/>
      </w:r>
      <w:r w:rsidR="00BA2D59">
        <w:rPr>
          <w:noProof/>
        </w:rPr>
        <w:t>(Hantoko, Su et al. 2018)</w:t>
      </w:r>
      <w:r>
        <w:fldChar w:fldCharType="end"/>
      </w:r>
      <w:r>
        <w:t>, where the concentration of H</w:t>
      </w:r>
      <w:r w:rsidRPr="00980193">
        <w:rPr>
          <w:vertAlign w:val="subscript"/>
        </w:rPr>
        <w:t>2</w:t>
      </w:r>
      <w:r>
        <w:t xml:space="preserve"> was found decreased and the concentration of CH</w:t>
      </w:r>
      <w:r w:rsidRPr="00980193">
        <w:rPr>
          <w:vertAlign w:val="subscript"/>
        </w:rPr>
        <w:t>4</w:t>
      </w:r>
      <w:r>
        <w:t xml:space="preserve"> was increased with higher feedstock concentrations. On the other hand, the effect of feedstock concentration </w:t>
      </w:r>
      <w:r>
        <w:lastRenderedPageBreak/>
        <w:t>on the producer gas yield is displayed on Figure 5 (b</w:t>
      </w:r>
      <w:r>
        <w:softHyphen/>
        <w:t xml:space="preserve">). The result shows that a higher feedstock concentration results in lower overall gas yield, as also reported </w:t>
      </w:r>
      <w:r w:rsidR="00D639C1">
        <w:t>in an earlier study</w:t>
      </w:r>
      <w:r>
        <w:t xml:space="preserve"> </w:t>
      </w:r>
      <w:r>
        <w:fldChar w:fldCharType="begin"/>
      </w:r>
      <w:r w:rsidR="00BA2D59">
        <w:instrText xml:space="preserve"> ADDIN EN.CITE &lt;EndNote&gt;&lt;Cite&gt;&lt;Author&gt;Onwudili&lt;/Author&gt;&lt;Year&gt;2014&lt;/Year&gt;&lt;RecNum&gt;35&lt;/RecNum&gt;&lt;DisplayText&gt;(Onwudili and Williams 2014)&lt;/DisplayText&gt;&lt;record&gt;&lt;rec-number&gt;35&lt;/rec-number&gt;&lt;foreign-keys&gt;&lt;key app="EN" db-id="50eez5z08wvwt5evrp7xr95rzs2ez0x9rtfv" timestamp="1662387302"&gt;35&lt;/key&gt;&lt;/foreign-keys&gt;&lt;ref-type name="Book Section"&gt;5&lt;/ref-type&gt;&lt;contributors&gt;&lt;authors&gt;&lt;author&gt;Onwudili, Jude A&lt;/author&gt;&lt;author&gt;Williams, Paul T&lt;/author&gt;&lt;/authors&gt;&lt;/contributors&gt;&lt;titles&gt;&lt;title&gt;Production of hydrogen from biomass via supercritical water gasification&lt;/title&gt;&lt;secondary-title&gt;Near-critical and supercritical water and their applications for biorefineries&lt;/secondary-title&gt;&lt;/titles&gt;&lt;pages&gt;299-322&lt;/pages&gt;&lt;dates&gt;&lt;year&gt;2014&lt;/year&gt;&lt;/dates&gt;&lt;publisher&gt;Springer&lt;/publisher&gt;&lt;urls&gt;&lt;/urls&gt;&lt;/record&gt;&lt;/Cite&gt;&lt;/EndNote&gt;</w:instrText>
      </w:r>
      <w:r>
        <w:fldChar w:fldCharType="separate"/>
      </w:r>
      <w:r w:rsidR="00BA2D59">
        <w:rPr>
          <w:noProof/>
        </w:rPr>
        <w:t>(Onwudili and Williams 2014)</w:t>
      </w:r>
      <w:r>
        <w:fldChar w:fldCharType="end"/>
      </w:r>
      <w: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4038"/>
        <w:gridCol w:w="473"/>
        <w:gridCol w:w="4036"/>
      </w:tblGrid>
      <w:tr w:rsidR="00450712" w:rsidRPr="00450712" w14:paraId="2D2BF658" w14:textId="77777777" w:rsidTr="00F06AAE">
        <w:tc>
          <w:tcPr>
            <w:tcW w:w="524" w:type="dxa"/>
          </w:tcPr>
          <w:p w14:paraId="6E2419C4" w14:textId="77777777" w:rsidR="00450712" w:rsidRPr="00450712" w:rsidRDefault="00450712" w:rsidP="00F06AAE">
            <w:pPr>
              <w:spacing w:line="276" w:lineRule="auto"/>
              <w:rPr>
                <w:rFonts w:cs="Arial"/>
                <w:lang w:val="en-US"/>
              </w:rPr>
            </w:pPr>
            <w:r w:rsidRPr="00450712">
              <w:rPr>
                <w:rFonts w:cs="Arial"/>
                <w:lang w:val="en-US"/>
              </w:rPr>
              <w:t>(a)</w:t>
            </w:r>
          </w:p>
        </w:tc>
        <w:tc>
          <w:tcPr>
            <w:tcW w:w="4038" w:type="dxa"/>
          </w:tcPr>
          <w:p w14:paraId="79FD7873" w14:textId="77777777" w:rsidR="00450712" w:rsidRPr="00450712" w:rsidRDefault="00450712" w:rsidP="00F06AAE">
            <w:pPr>
              <w:spacing w:line="276" w:lineRule="auto"/>
              <w:rPr>
                <w:rFonts w:cs="Arial"/>
                <w:lang w:val="en-US"/>
              </w:rPr>
            </w:pPr>
            <w:r w:rsidRPr="00450712">
              <w:rPr>
                <w:rFonts w:cs="Arial"/>
                <w:noProof/>
                <w:lang w:eastAsia="nb-NO"/>
              </w:rPr>
              <w:drawing>
                <wp:inline distT="0" distB="0" distL="0" distR="0" wp14:anchorId="0A9657A0" wp14:editId="45967835">
                  <wp:extent cx="2156586" cy="1440000"/>
                  <wp:effectExtent l="0" t="0" r="0" b="8255"/>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6586" cy="1440000"/>
                          </a:xfrm>
                          <a:prstGeom prst="rect">
                            <a:avLst/>
                          </a:prstGeom>
                          <a:noFill/>
                        </pic:spPr>
                      </pic:pic>
                    </a:graphicData>
                  </a:graphic>
                </wp:inline>
              </w:drawing>
            </w:r>
          </w:p>
        </w:tc>
        <w:tc>
          <w:tcPr>
            <w:tcW w:w="473" w:type="dxa"/>
          </w:tcPr>
          <w:p w14:paraId="0C02C48C" w14:textId="77777777" w:rsidR="00450712" w:rsidRPr="00450712" w:rsidRDefault="00450712" w:rsidP="00F06AAE">
            <w:pPr>
              <w:spacing w:line="276" w:lineRule="auto"/>
              <w:rPr>
                <w:rFonts w:cs="Arial"/>
                <w:lang w:val="en-US"/>
              </w:rPr>
            </w:pPr>
            <w:r w:rsidRPr="00450712">
              <w:rPr>
                <w:rFonts w:cs="Arial"/>
                <w:lang w:val="en-US"/>
              </w:rPr>
              <w:t>(b)</w:t>
            </w:r>
          </w:p>
        </w:tc>
        <w:tc>
          <w:tcPr>
            <w:tcW w:w="4036" w:type="dxa"/>
          </w:tcPr>
          <w:p w14:paraId="613AF092" w14:textId="77777777" w:rsidR="00450712" w:rsidRPr="00450712" w:rsidRDefault="00450712" w:rsidP="00F06AAE">
            <w:pPr>
              <w:spacing w:line="276" w:lineRule="auto"/>
              <w:rPr>
                <w:rFonts w:cs="Arial"/>
                <w:lang w:val="en-US"/>
              </w:rPr>
            </w:pPr>
            <w:r w:rsidRPr="00450712">
              <w:rPr>
                <w:rFonts w:cs="Arial"/>
                <w:noProof/>
                <w:lang w:eastAsia="nb-NO"/>
              </w:rPr>
              <w:drawing>
                <wp:inline distT="0" distB="0" distL="0" distR="0" wp14:anchorId="23978905" wp14:editId="3FA51060">
                  <wp:extent cx="2147754" cy="1440000"/>
                  <wp:effectExtent l="0" t="0" r="5080" b="825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7754" cy="1440000"/>
                          </a:xfrm>
                          <a:prstGeom prst="rect">
                            <a:avLst/>
                          </a:prstGeom>
                          <a:noFill/>
                        </pic:spPr>
                      </pic:pic>
                    </a:graphicData>
                  </a:graphic>
                </wp:inline>
              </w:drawing>
            </w:r>
          </w:p>
        </w:tc>
      </w:tr>
    </w:tbl>
    <w:p w14:paraId="0497D9C5" w14:textId="2A0BEB92" w:rsidR="00450712" w:rsidRPr="009E404C" w:rsidRDefault="00450712" w:rsidP="00450712">
      <w:pPr>
        <w:pStyle w:val="CETBodytext"/>
        <w:rPr>
          <w:lang w:val="en-GB"/>
        </w:rPr>
      </w:pPr>
      <w:r w:rsidRPr="00450712">
        <w:rPr>
          <w:rStyle w:val="CETCaptionCarattere"/>
        </w:rPr>
        <w:t>Figure 5. Effect of Feedstock Concentration on (a) Composition and (a) Yield of Product Gas</w:t>
      </w:r>
    </w:p>
    <w:p w14:paraId="5AB8350F" w14:textId="46D90AC1" w:rsidR="00450712" w:rsidRDefault="00271ECC" w:rsidP="00271ECC">
      <w:pPr>
        <w:pStyle w:val="CETheadingx"/>
      </w:pPr>
      <w:r>
        <w:t>Effect of Ash Content on Gas Composition and Yield</w:t>
      </w:r>
    </w:p>
    <w:p w14:paraId="4A929599" w14:textId="46EAA0C3" w:rsidR="004E4297" w:rsidRDefault="0090726E" w:rsidP="0090726E">
      <w:pPr>
        <w:pStyle w:val="CETBodytext"/>
      </w:pPr>
      <w:r w:rsidRPr="0090726E">
        <w:t xml:space="preserve">The influence of ash content on the composition and yield of product gas is presented in Figure 6. It is important to note that the ash content of biomass feedstock was defined as a non-conventional lumped component. This is due to the limitation in the Aspen Plus database. Non-conventional components in Aspen Plus are not characterized by molecular formula and not considered as chemical components. The only properties calculated for non-conventional components are enthalpy and density, using empirical correlations. Consequently, no thermodynamic or transport properties are available for the non-conventional components, and they are excluded from any phase or chemical equilibrium calculations </w:t>
      </w:r>
      <w:r w:rsidRPr="0090726E">
        <w:fldChar w:fldCharType="begin"/>
      </w:r>
      <w:r w:rsidR="00BA2D59">
        <w:instrText xml:space="preserve"> ADDIN EN.CITE &lt;EndNote&gt;&lt;Cite&gt;&lt;Author&gt;Onarheim&lt;/Author&gt;&lt;Year&gt;2015&lt;/Year&gt;&lt;RecNum&gt;122&lt;/RecNum&gt;&lt;DisplayText&gt;(Onarheim, Solantausta et al. 2015)&lt;/DisplayText&gt;&lt;record&gt;&lt;rec-number&gt;122&lt;/rec-number&gt;&lt;foreign-keys&gt;&lt;key app="EN" db-id="50eez5z08wvwt5evrp7xr95rzs2ez0x9rtfv" timestamp="1676912319"&gt;122&lt;/key&gt;&lt;/foreign-keys&gt;&lt;ref-type name="Journal Article"&gt;17&lt;/ref-type&gt;&lt;contributors&gt;&lt;authors&gt;&lt;author&gt;Onarheim, Kristin&lt;/author&gt;&lt;author&gt;Solantausta, Yrjö&lt;/author&gt;&lt;author&gt;Lehto, Jani&lt;/author&gt;&lt;/authors&gt;&lt;/contributors&gt;&lt;titles&gt;&lt;title&gt;Process simulation development of fast pyrolysis of wood using aspen plus&lt;/title&gt;&lt;secondary-title&gt;Energy &amp;amp; Fuels&lt;/secondary-title&gt;&lt;/titles&gt;&lt;periodical&gt;&lt;full-title&gt;Energy &amp;amp; fuels&lt;/full-title&gt;&lt;/periodical&gt;&lt;pages&gt;205-217&lt;/pages&gt;&lt;volume&gt;29&lt;/volume&gt;&lt;number&gt;1&lt;/number&gt;&lt;dates&gt;&lt;year&gt;2015&lt;/year&gt;&lt;/dates&gt;&lt;isbn&gt;0887-0624&lt;/isbn&gt;&lt;urls&gt;&lt;/urls&gt;&lt;/record&gt;&lt;/Cite&gt;&lt;/EndNote&gt;</w:instrText>
      </w:r>
      <w:r w:rsidRPr="0090726E">
        <w:fldChar w:fldCharType="separate"/>
      </w:r>
      <w:r w:rsidR="00BA2D59">
        <w:rPr>
          <w:noProof/>
        </w:rPr>
        <w:t>(Onarheim, Solantausta et al. 2015)</w:t>
      </w:r>
      <w:r w:rsidRPr="0090726E">
        <w:fldChar w:fldCharType="end"/>
      </w:r>
      <w:r w:rsidRPr="0090726E">
        <w:t>. The trend demonstrated in Figure 6, therefore, does not account for any chemical activities of ash components in the feedstock. Indeed, Figures 6a and 6b indicate that ash content affects both the gas composition and the gas yield. However, this effect is attributed to the change in organic components content, i.e., C, H, O, N, and S, with respect to the ash content. As the ash content increases, the organic content decreases accordingly, while the amount of water was kept constant. Hence, a higher ash content can be translated to a lower concentration of organic components in the water. This trend is therefore related to the effect of feedstock concentration, as previously discussed in section 3.4. Higher ash contents or lower combustibles lead to higher H</w:t>
      </w:r>
      <w:r w:rsidRPr="00463E7A">
        <w:rPr>
          <w:vertAlign w:val="subscript"/>
        </w:rPr>
        <w:t>2</w:t>
      </w:r>
      <w:r w:rsidRPr="0090726E">
        <w:t xml:space="preserve"> contents, lower CO</w:t>
      </w:r>
      <w:r w:rsidRPr="00463E7A">
        <w:rPr>
          <w:vertAlign w:val="subscript"/>
        </w:rPr>
        <w:t>2</w:t>
      </w:r>
      <w:r w:rsidRPr="0090726E">
        <w:t xml:space="preserve"> and CH</w:t>
      </w:r>
      <w:r w:rsidRPr="00463E7A">
        <w:rPr>
          <w:vertAlign w:val="subscript"/>
        </w:rPr>
        <w:t>4</w:t>
      </w:r>
      <w:r w:rsidRPr="0090726E">
        <w:t xml:space="preserve"> contents in the product gas, and higher overall gas yields.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4097"/>
        <w:gridCol w:w="473"/>
        <w:gridCol w:w="4032"/>
      </w:tblGrid>
      <w:tr w:rsidR="002C5A13" w:rsidRPr="002C5A13" w14:paraId="52C0620E" w14:textId="77777777" w:rsidTr="00F06AAE">
        <w:tc>
          <w:tcPr>
            <w:tcW w:w="469" w:type="dxa"/>
          </w:tcPr>
          <w:p w14:paraId="47632B54" w14:textId="77777777" w:rsidR="002C5A13" w:rsidRPr="002C5A13" w:rsidRDefault="002C5A13" w:rsidP="00F06AAE">
            <w:pPr>
              <w:spacing w:line="276" w:lineRule="auto"/>
              <w:rPr>
                <w:rFonts w:cs="Arial"/>
                <w:lang w:val="en-US"/>
              </w:rPr>
            </w:pPr>
            <w:r w:rsidRPr="002C5A13">
              <w:rPr>
                <w:rFonts w:cs="Arial"/>
                <w:lang w:val="en-US"/>
              </w:rPr>
              <w:t>(a)</w:t>
            </w:r>
          </w:p>
        </w:tc>
        <w:tc>
          <w:tcPr>
            <w:tcW w:w="4097" w:type="dxa"/>
          </w:tcPr>
          <w:p w14:paraId="428221B6" w14:textId="77777777" w:rsidR="002C5A13" w:rsidRPr="002C5A13" w:rsidRDefault="002C5A13" w:rsidP="00F06AAE">
            <w:pPr>
              <w:spacing w:line="276" w:lineRule="auto"/>
              <w:rPr>
                <w:rFonts w:cs="Arial"/>
                <w:lang w:val="en-US"/>
              </w:rPr>
            </w:pPr>
            <w:r w:rsidRPr="002C5A13">
              <w:rPr>
                <w:rFonts w:cs="Arial"/>
                <w:noProof/>
                <w:lang w:eastAsia="nb-NO"/>
              </w:rPr>
              <w:drawing>
                <wp:inline distT="0" distB="0" distL="0" distR="0" wp14:anchorId="397E9265" wp14:editId="236E7ACD">
                  <wp:extent cx="2191003" cy="1440000"/>
                  <wp:effectExtent l="0" t="0" r="0" b="8255"/>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1003" cy="1440000"/>
                          </a:xfrm>
                          <a:prstGeom prst="rect">
                            <a:avLst/>
                          </a:prstGeom>
                          <a:noFill/>
                        </pic:spPr>
                      </pic:pic>
                    </a:graphicData>
                  </a:graphic>
                </wp:inline>
              </w:drawing>
            </w:r>
          </w:p>
        </w:tc>
        <w:tc>
          <w:tcPr>
            <w:tcW w:w="473" w:type="dxa"/>
          </w:tcPr>
          <w:p w14:paraId="1554280C" w14:textId="77777777" w:rsidR="002C5A13" w:rsidRPr="002C5A13" w:rsidRDefault="002C5A13" w:rsidP="00F06AAE">
            <w:pPr>
              <w:spacing w:line="276" w:lineRule="auto"/>
              <w:rPr>
                <w:rFonts w:cs="Arial"/>
                <w:lang w:val="en-US"/>
              </w:rPr>
            </w:pPr>
            <w:r w:rsidRPr="002C5A13">
              <w:rPr>
                <w:rFonts w:cs="Arial"/>
                <w:lang w:val="en-US"/>
              </w:rPr>
              <w:t>(b)</w:t>
            </w:r>
          </w:p>
        </w:tc>
        <w:tc>
          <w:tcPr>
            <w:tcW w:w="4032" w:type="dxa"/>
          </w:tcPr>
          <w:p w14:paraId="58912189" w14:textId="77777777" w:rsidR="002C5A13" w:rsidRPr="002C5A13" w:rsidRDefault="002C5A13" w:rsidP="00F06AAE">
            <w:pPr>
              <w:spacing w:line="276" w:lineRule="auto"/>
              <w:rPr>
                <w:rFonts w:cs="Arial"/>
                <w:lang w:val="en-US"/>
              </w:rPr>
            </w:pPr>
            <w:r w:rsidRPr="002C5A13">
              <w:rPr>
                <w:rFonts w:cs="Arial"/>
                <w:noProof/>
                <w:lang w:eastAsia="nb-NO"/>
              </w:rPr>
              <w:drawing>
                <wp:inline distT="0" distB="0" distL="0" distR="0" wp14:anchorId="20235DFA" wp14:editId="039766CC">
                  <wp:extent cx="2154056" cy="1440000"/>
                  <wp:effectExtent l="0" t="0" r="0" b="8255"/>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line ch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54056" cy="1440000"/>
                          </a:xfrm>
                          <a:prstGeom prst="rect">
                            <a:avLst/>
                          </a:prstGeom>
                          <a:noFill/>
                        </pic:spPr>
                      </pic:pic>
                    </a:graphicData>
                  </a:graphic>
                </wp:inline>
              </w:drawing>
            </w:r>
          </w:p>
        </w:tc>
      </w:tr>
    </w:tbl>
    <w:p w14:paraId="0F7D15A5" w14:textId="7612CAE6" w:rsidR="002C5A13" w:rsidRPr="009E404C" w:rsidRDefault="002C5A13" w:rsidP="002C5A13">
      <w:pPr>
        <w:pStyle w:val="CETBodytext"/>
        <w:rPr>
          <w:lang w:val="en-GB"/>
        </w:rPr>
      </w:pPr>
      <w:r w:rsidRPr="002C5A13">
        <w:rPr>
          <w:rStyle w:val="CETCaptionCarattere"/>
        </w:rPr>
        <w:t>Figure 6. Effect of Ash Content on (a) Gas Composition and (a) Gas Yield</w:t>
      </w:r>
    </w:p>
    <w:p w14:paraId="041A724F" w14:textId="7199D0F8" w:rsidR="00DF6770" w:rsidRPr="002C5A13" w:rsidRDefault="00DF6770" w:rsidP="00DF6770">
      <w:pPr>
        <w:pStyle w:val="CETHeading1"/>
        <w:tabs>
          <w:tab w:val="num" w:pos="360"/>
        </w:tabs>
        <w:rPr>
          <w:lang w:val="en-GB"/>
        </w:rPr>
      </w:pPr>
      <w:r>
        <w:rPr>
          <w:lang w:val="en-GB"/>
        </w:rPr>
        <w:t>Conclusions</w:t>
      </w:r>
    </w:p>
    <w:p w14:paraId="7E5ED91B" w14:textId="77777777" w:rsidR="00C04EBD" w:rsidRDefault="00C04EBD" w:rsidP="00C04EBD">
      <w:pPr>
        <w:pStyle w:val="CETBodytext"/>
      </w:pPr>
      <w:r>
        <w:t>The influences of the important process parameters including temperature, pressure, feed concentration, and feedstock’s ash content on HTG of biogas digestate were thermodynamically evaluated using Aspen Plus software. It was observed that temperature effect was positive on the H</w:t>
      </w:r>
      <w:r w:rsidRPr="0053063D">
        <w:rPr>
          <w:vertAlign w:val="subscript"/>
        </w:rPr>
        <w:t>2</w:t>
      </w:r>
      <w:r>
        <w:t xml:space="preserve"> yield, but negative on the CH</w:t>
      </w:r>
      <w:r w:rsidRPr="0053063D">
        <w:rPr>
          <w:vertAlign w:val="subscript"/>
        </w:rPr>
        <w:t>4</w:t>
      </w:r>
      <w:r>
        <w:t xml:space="preserve"> yield, and only slightly affected the CO</w:t>
      </w:r>
      <w:r w:rsidRPr="0053063D">
        <w:rPr>
          <w:vertAlign w:val="subscript"/>
        </w:rPr>
        <w:t>2</w:t>
      </w:r>
      <w:r>
        <w:t xml:space="preserve"> yield. Temperature also had a positive effect on the total producer gas yield. The influence of pressure was less significant, although a rise in pressure slightly decreased the H</w:t>
      </w:r>
      <w:r w:rsidRPr="0053063D">
        <w:rPr>
          <w:vertAlign w:val="subscript"/>
        </w:rPr>
        <w:t>2</w:t>
      </w:r>
      <w:r>
        <w:t xml:space="preserve"> yield, increased the CH</w:t>
      </w:r>
      <w:r w:rsidRPr="0053063D">
        <w:rPr>
          <w:vertAlign w:val="subscript"/>
        </w:rPr>
        <w:t>4</w:t>
      </w:r>
      <w:r>
        <w:t xml:space="preserve"> yield, and lowered the total yield of the gaseous product. On the other hand, higher feedstock concentration had a significant effect on increasing the CH</w:t>
      </w:r>
      <w:r w:rsidRPr="0053063D">
        <w:rPr>
          <w:vertAlign w:val="subscript"/>
        </w:rPr>
        <w:t>4</w:t>
      </w:r>
      <w:r>
        <w:t xml:space="preserve"> and decreasing the H</w:t>
      </w:r>
      <w:r w:rsidRPr="0053063D">
        <w:rPr>
          <w:vertAlign w:val="subscript"/>
        </w:rPr>
        <w:t>2</w:t>
      </w:r>
      <w:r>
        <w:t xml:space="preserve"> yield and the overall product gas yield. It was also found that higher ash contents led to increased H</w:t>
      </w:r>
      <w:r w:rsidRPr="000E7F3D">
        <w:rPr>
          <w:vertAlign w:val="subscript"/>
        </w:rPr>
        <w:t>2</w:t>
      </w:r>
      <w:r>
        <w:t xml:space="preserve"> yield, lower CO</w:t>
      </w:r>
      <w:r w:rsidRPr="000E7F3D">
        <w:rPr>
          <w:vertAlign w:val="subscript"/>
        </w:rPr>
        <w:t>2</w:t>
      </w:r>
      <w:r>
        <w:t xml:space="preserve"> and CH</w:t>
      </w:r>
      <w:r w:rsidRPr="000E7F3D">
        <w:rPr>
          <w:vertAlign w:val="subscript"/>
        </w:rPr>
        <w:t>4</w:t>
      </w:r>
      <w:r>
        <w:t xml:space="preserve"> contents, and higher total product gas yield. However, the influence of ash content captured in this study does not represent any chemical activities of the ash components.  </w:t>
      </w:r>
    </w:p>
    <w:p w14:paraId="6BF9448D" w14:textId="77777777" w:rsidR="00E51324" w:rsidRDefault="00E51324" w:rsidP="00E51324">
      <w:pPr>
        <w:pStyle w:val="CETReference"/>
      </w:pPr>
      <w:r>
        <w:t>Acknowledgement</w:t>
      </w:r>
    </w:p>
    <w:p w14:paraId="54C7D0EE" w14:textId="77777777" w:rsidR="00E51324" w:rsidRPr="001216B6" w:rsidRDefault="00E51324" w:rsidP="00E51324">
      <w:pPr>
        <w:pStyle w:val="CETBodytext"/>
      </w:pPr>
      <w:r>
        <w:t xml:space="preserve">This work was supported by the </w:t>
      </w:r>
      <w:proofErr w:type="spellStart"/>
      <w:r>
        <w:t>BioSynGas</w:t>
      </w:r>
      <w:proofErr w:type="spellEnd"/>
      <w:r>
        <w:t xml:space="preserve"> project partly funded by the Research Council of Norway (Project Number: </w:t>
      </w:r>
      <w:r w:rsidRPr="00425CC2">
        <w:t>319723</w:t>
      </w:r>
      <w:r>
        <w:t>).</w:t>
      </w:r>
    </w:p>
    <w:p w14:paraId="4F1327F8" w14:textId="7D7AF823" w:rsidR="00600535" w:rsidRPr="00412F8A" w:rsidRDefault="00600535" w:rsidP="00600535">
      <w:pPr>
        <w:pStyle w:val="CETReference"/>
        <w:rPr>
          <w:lang w:val="de-DE"/>
        </w:rPr>
      </w:pPr>
      <w:r w:rsidRPr="00412F8A">
        <w:rPr>
          <w:lang w:val="de-DE"/>
        </w:rPr>
        <w:lastRenderedPageBreak/>
        <w:t>References</w:t>
      </w:r>
    </w:p>
    <w:p w14:paraId="0F3C1B73" w14:textId="77777777" w:rsidR="00BA2D59" w:rsidRPr="006548BC" w:rsidRDefault="002A70D7" w:rsidP="000E3629">
      <w:pPr>
        <w:pStyle w:val="EndNoteBibliography"/>
        <w:spacing w:line="216" w:lineRule="auto"/>
        <w:ind w:left="425" w:hanging="425"/>
        <w:jc w:val="both"/>
        <w:rPr>
          <w:sz w:val="18"/>
          <w:szCs w:val="18"/>
        </w:rPr>
      </w:pPr>
      <w:r w:rsidRPr="006548BC">
        <w:rPr>
          <w:sz w:val="18"/>
          <w:szCs w:val="18"/>
        </w:rPr>
        <w:fldChar w:fldCharType="begin"/>
      </w:r>
      <w:r w:rsidRPr="00412F8A">
        <w:rPr>
          <w:sz w:val="18"/>
          <w:szCs w:val="18"/>
          <w:lang w:val="de-DE"/>
        </w:rPr>
        <w:instrText xml:space="preserve"> ADDIN EN.REFLIST </w:instrText>
      </w:r>
      <w:r w:rsidRPr="006548BC">
        <w:rPr>
          <w:sz w:val="18"/>
          <w:szCs w:val="18"/>
        </w:rPr>
        <w:fldChar w:fldCharType="separate"/>
      </w:r>
      <w:r w:rsidR="00BA2D59" w:rsidRPr="00412F8A">
        <w:rPr>
          <w:sz w:val="18"/>
          <w:szCs w:val="18"/>
          <w:lang w:val="de-DE"/>
        </w:rPr>
        <w:t xml:space="preserve">Antal Jr, M. J., S. G. Allen, D. Schulman, X. Xu and R. J. Divilio (2000). </w:t>
      </w:r>
      <w:r w:rsidR="00BA2D59" w:rsidRPr="006548BC">
        <w:rPr>
          <w:sz w:val="18"/>
          <w:szCs w:val="18"/>
        </w:rPr>
        <w:t xml:space="preserve">"Biomass gasification in supercritical water." </w:t>
      </w:r>
      <w:r w:rsidR="00BA2D59" w:rsidRPr="006548BC">
        <w:rPr>
          <w:sz w:val="18"/>
          <w:szCs w:val="18"/>
          <w:u w:val="single"/>
        </w:rPr>
        <w:t>Industrial &amp; Engineering Chemistry Research</w:t>
      </w:r>
      <w:r w:rsidR="00BA2D59" w:rsidRPr="006548BC">
        <w:rPr>
          <w:sz w:val="18"/>
          <w:szCs w:val="18"/>
        </w:rPr>
        <w:t xml:space="preserve"> </w:t>
      </w:r>
      <w:r w:rsidR="00BA2D59" w:rsidRPr="006548BC">
        <w:rPr>
          <w:b/>
          <w:sz w:val="18"/>
          <w:szCs w:val="18"/>
        </w:rPr>
        <w:t>39</w:t>
      </w:r>
      <w:r w:rsidR="00BA2D59" w:rsidRPr="006548BC">
        <w:rPr>
          <w:sz w:val="18"/>
          <w:szCs w:val="18"/>
        </w:rPr>
        <w:t>(11): 4040-4053.</w:t>
      </w:r>
    </w:p>
    <w:p w14:paraId="4B892769"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Byrd, A. J., K. Pant and R. B. Gupta (2007). "Hydrogen production from ethanol by reforming in supercritical water using Ru/Al2O3 catalyst." </w:t>
      </w:r>
      <w:r w:rsidRPr="006548BC">
        <w:rPr>
          <w:sz w:val="18"/>
          <w:szCs w:val="18"/>
          <w:u w:val="single"/>
        </w:rPr>
        <w:t>Energy &amp; Fuels</w:t>
      </w:r>
      <w:r w:rsidRPr="006548BC">
        <w:rPr>
          <w:sz w:val="18"/>
          <w:szCs w:val="18"/>
        </w:rPr>
        <w:t xml:space="preserve"> </w:t>
      </w:r>
      <w:r w:rsidRPr="006548BC">
        <w:rPr>
          <w:b/>
          <w:sz w:val="18"/>
          <w:szCs w:val="18"/>
        </w:rPr>
        <w:t>21</w:t>
      </w:r>
      <w:r w:rsidRPr="006548BC">
        <w:rPr>
          <w:sz w:val="18"/>
          <w:szCs w:val="18"/>
        </w:rPr>
        <w:t>(6): 3541-3547.</w:t>
      </w:r>
    </w:p>
    <w:p w14:paraId="798B302F"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Byrd, A. J., K. Pant and R. B. Gupta (2008). "Hydrogen production from glycerol by reforming in supercritical water over Ru/Al2O3 catalyst." </w:t>
      </w:r>
      <w:r w:rsidRPr="006548BC">
        <w:rPr>
          <w:sz w:val="18"/>
          <w:szCs w:val="18"/>
          <w:u w:val="single"/>
        </w:rPr>
        <w:t>Fuel</w:t>
      </w:r>
      <w:r w:rsidRPr="006548BC">
        <w:rPr>
          <w:sz w:val="18"/>
          <w:szCs w:val="18"/>
        </w:rPr>
        <w:t xml:space="preserve"> </w:t>
      </w:r>
      <w:r w:rsidRPr="006548BC">
        <w:rPr>
          <w:b/>
          <w:sz w:val="18"/>
          <w:szCs w:val="18"/>
        </w:rPr>
        <w:t>87</w:t>
      </w:r>
      <w:r w:rsidRPr="006548BC">
        <w:rPr>
          <w:sz w:val="18"/>
          <w:szCs w:val="18"/>
        </w:rPr>
        <w:t>(13-14): 2956-2960.</w:t>
      </w:r>
    </w:p>
    <w:p w14:paraId="6A44755A"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Castello, D. and L. Fiori (2011). "Supercritical water gasification of biomass: Thermodynamic constraints." </w:t>
      </w:r>
      <w:r w:rsidRPr="006548BC">
        <w:rPr>
          <w:sz w:val="18"/>
          <w:szCs w:val="18"/>
          <w:u w:val="single"/>
        </w:rPr>
        <w:t>Bioresource technology</w:t>
      </w:r>
      <w:r w:rsidRPr="006548BC">
        <w:rPr>
          <w:sz w:val="18"/>
          <w:szCs w:val="18"/>
        </w:rPr>
        <w:t xml:space="preserve"> </w:t>
      </w:r>
      <w:r w:rsidRPr="006548BC">
        <w:rPr>
          <w:b/>
          <w:sz w:val="18"/>
          <w:szCs w:val="18"/>
        </w:rPr>
        <w:t>102</w:t>
      </w:r>
      <w:r w:rsidRPr="006548BC">
        <w:rPr>
          <w:sz w:val="18"/>
          <w:szCs w:val="18"/>
        </w:rPr>
        <w:t>(16): 7574-7582.</w:t>
      </w:r>
    </w:p>
    <w:p w14:paraId="719BE0C9"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Dahlin, J., C. Herbes and M. Nelles (2015). "Biogas digestate marketing: qualitative insights into the supply side." </w:t>
      </w:r>
      <w:r w:rsidRPr="006548BC">
        <w:rPr>
          <w:sz w:val="18"/>
          <w:szCs w:val="18"/>
          <w:u w:val="single"/>
        </w:rPr>
        <w:t>Resources, Conservation and Recycling</w:t>
      </w:r>
      <w:r w:rsidRPr="006548BC">
        <w:rPr>
          <w:sz w:val="18"/>
          <w:szCs w:val="18"/>
        </w:rPr>
        <w:t xml:space="preserve"> </w:t>
      </w:r>
      <w:r w:rsidRPr="006548BC">
        <w:rPr>
          <w:b/>
          <w:sz w:val="18"/>
          <w:szCs w:val="18"/>
        </w:rPr>
        <w:t>104</w:t>
      </w:r>
      <w:r w:rsidRPr="006548BC">
        <w:rPr>
          <w:sz w:val="18"/>
          <w:szCs w:val="18"/>
        </w:rPr>
        <w:t>: 152-161.</w:t>
      </w:r>
    </w:p>
    <w:p w14:paraId="7B242607"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Divya, D., L. Gopinath and P. M. Christy (2015). "A review on current aspects and diverse prospects for enhancing biogas production in sustainable means." </w:t>
      </w:r>
      <w:r w:rsidRPr="006548BC">
        <w:rPr>
          <w:sz w:val="18"/>
          <w:szCs w:val="18"/>
          <w:u w:val="single"/>
        </w:rPr>
        <w:t>Renewable and sustainable energy reviews</w:t>
      </w:r>
      <w:r w:rsidRPr="006548BC">
        <w:rPr>
          <w:sz w:val="18"/>
          <w:szCs w:val="18"/>
        </w:rPr>
        <w:t xml:space="preserve"> </w:t>
      </w:r>
      <w:r w:rsidRPr="006548BC">
        <w:rPr>
          <w:b/>
          <w:sz w:val="18"/>
          <w:szCs w:val="18"/>
        </w:rPr>
        <w:t>42</w:t>
      </w:r>
      <w:r w:rsidRPr="006548BC">
        <w:rPr>
          <w:sz w:val="18"/>
          <w:szCs w:val="18"/>
        </w:rPr>
        <w:t>: 690-699.</w:t>
      </w:r>
    </w:p>
    <w:p w14:paraId="65D04E0A"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Hantoko, D., H. Su, M. Yan, E. Kanchanatip, H. Susanto, G. Wang, S. Zhang and Z. Xu (2018). "Thermodynamic study on the integrated supercritical water gasification with reforming process for hydrogen production: Effects of operating parameters." </w:t>
      </w:r>
      <w:r w:rsidRPr="006548BC">
        <w:rPr>
          <w:sz w:val="18"/>
          <w:szCs w:val="18"/>
          <w:u w:val="single"/>
        </w:rPr>
        <w:t>International Journal of Hydrogen Energy</w:t>
      </w:r>
      <w:r w:rsidRPr="006548BC">
        <w:rPr>
          <w:sz w:val="18"/>
          <w:szCs w:val="18"/>
        </w:rPr>
        <w:t xml:space="preserve"> </w:t>
      </w:r>
      <w:r w:rsidRPr="006548BC">
        <w:rPr>
          <w:b/>
          <w:sz w:val="18"/>
          <w:szCs w:val="18"/>
        </w:rPr>
        <w:t>43</w:t>
      </w:r>
      <w:r w:rsidRPr="006548BC">
        <w:rPr>
          <w:sz w:val="18"/>
          <w:szCs w:val="18"/>
        </w:rPr>
        <w:t>(37): 17620-17632.</w:t>
      </w:r>
    </w:p>
    <w:p w14:paraId="40268294"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Herbes, C., U. Roth, S. Wulf and J. Dahlin (2020). "Economic assessment of different biogas digestate processing technologies: A scenario-based analysis." </w:t>
      </w:r>
      <w:r w:rsidRPr="006548BC">
        <w:rPr>
          <w:sz w:val="18"/>
          <w:szCs w:val="18"/>
          <w:u w:val="single"/>
        </w:rPr>
        <w:t>Journal of Cleaner Production</w:t>
      </w:r>
      <w:r w:rsidRPr="006548BC">
        <w:rPr>
          <w:sz w:val="18"/>
          <w:szCs w:val="18"/>
        </w:rPr>
        <w:t xml:space="preserve"> </w:t>
      </w:r>
      <w:r w:rsidRPr="006548BC">
        <w:rPr>
          <w:b/>
          <w:sz w:val="18"/>
          <w:szCs w:val="18"/>
        </w:rPr>
        <w:t>255</w:t>
      </w:r>
      <w:r w:rsidRPr="006548BC">
        <w:rPr>
          <w:sz w:val="18"/>
          <w:szCs w:val="18"/>
        </w:rPr>
        <w:t>: 120282.</w:t>
      </w:r>
    </w:p>
    <w:p w14:paraId="739F2EAB"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Kabeyi, M. J. B. and O. A. Olanrewaju (2022). "Biogas production and applications in the sustainable energy transition." </w:t>
      </w:r>
      <w:r w:rsidRPr="006548BC">
        <w:rPr>
          <w:sz w:val="18"/>
          <w:szCs w:val="18"/>
          <w:u w:val="single"/>
        </w:rPr>
        <w:t>Journal of Energy</w:t>
      </w:r>
      <w:r w:rsidRPr="006548BC">
        <w:rPr>
          <w:sz w:val="18"/>
          <w:szCs w:val="18"/>
        </w:rPr>
        <w:t xml:space="preserve"> </w:t>
      </w:r>
      <w:r w:rsidRPr="006548BC">
        <w:rPr>
          <w:b/>
          <w:sz w:val="18"/>
          <w:szCs w:val="18"/>
        </w:rPr>
        <w:t>2022</w:t>
      </w:r>
      <w:r w:rsidRPr="006548BC">
        <w:rPr>
          <w:sz w:val="18"/>
          <w:szCs w:val="18"/>
        </w:rPr>
        <w:t>.</w:t>
      </w:r>
    </w:p>
    <w:p w14:paraId="0C5916E1"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Li, Y., Y. Chen and J. Wu (2019). "Enhancement of methane production in anaerobic digestion process: A review." </w:t>
      </w:r>
      <w:r w:rsidRPr="006548BC">
        <w:rPr>
          <w:sz w:val="18"/>
          <w:szCs w:val="18"/>
          <w:u w:val="single"/>
        </w:rPr>
        <w:t>Applied energy</w:t>
      </w:r>
      <w:r w:rsidRPr="006548BC">
        <w:rPr>
          <w:sz w:val="18"/>
          <w:szCs w:val="18"/>
        </w:rPr>
        <w:t xml:space="preserve"> </w:t>
      </w:r>
      <w:r w:rsidRPr="006548BC">
        <w:rPr>
          <w:b/>
          <w:sz w:val="18"/>
          <w:szCs w:val="18"/>
        </w:rPr>
        <w:t>240</w:t>
      </w:r>
      <w:r w:rsidRPr="006548BC">
        <w:rPr>
          <w:sz w:val="18"/>
          <w:szCs w:val="18"/>
        </w:rPr>
        <w:t>: 120-137.</w:t>
      </w:r>
    </w:p>
    <w:p w14:paraId="2B7F82E0"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Louw, J., C. E. Schwarz and A. J. Burger (2016). "Catalytic supercritical water gasification of primary paper sludge using a homogeneous and heterogeneous catalyst: experimental vs thermodynamic equilibrium results." </w:t>
      </w:r>
      <w:r w:rsidRPr="006548BC">
        <w:rPr>
          <w:sz w:val="18"/>
          <w:szCs w:val="18"/>
          <w:u w:val="single"/>
        </w:rPr>
        <w:t>Bioresource technology</w:t>
      </w:r>
      <w:r w:rsidRPr="006548BC">
        <w:rPr>
          <w:sz w:val="18"/>
          <w:szCs w:val="18"/>
        </w:rPr>
        <w:t xml:space="preserve"> </w:t>
      </w:r>
      <w:r w:rsidRPr="006548BC">
        <w:rPr>
          <w:b/>
          <w:sz w:val="18"/>
          <w:szCs w:val="18"/>
        </w:rPr>
        <w:t>201</w:t>
      </w:r>
      <w:r w:rsidRPr="006548BC">
        <w:rPr>
          <w:sz w:val="18"/>
          <w:szCs w:val="18"/>
        </w:rPr>
        <w:t>: 111-120.</w:t>
      </w:r>
    </w:p>
    <w:p w14:paraId="24250099"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Lu, J. and S. Xu (2021). "Post-treatment of food waste digestate towards land application: a review." </w:t>
      </w:r>
      <w:r w:rsidRPr="006548BC">
        <w:rPr>
          <w:sz w:val="18"/>
          <w:szCs w:val="18"/>
          <w:u w:val="single"/>
        </w:rPr>
        <w:t>Journal of Cleaner Production</w:t>
      </w:r>
      <w:r w:rsidRPr="006548BC">
        <w:rPr>
          <w:sz w:val="18"/>
          <w:szCs w:val="18"/>
        </w:rPr>
        <w:t xml:space="preserve"> </w:t>
      </w:r>
      <w:r w:rsidRPr="006548BC">
        <w:rPr>
          <w:b/>
          <w:sz w:val="18"/>
          <w:szCs w:val="18"/>
        </w:rPr>
        <w:t>303</w:t>
      </w:r>
      <w:r w:rsidRPr="006548BC">
        <w:rPr>
          <w:sz w:val="18"/>
          <w:szCs w:val="18"/>
        </w:rPr>
        <w:t>: 127033.</w:t>
      </w:r>
    </w:p>
    <w:p w14:paraId="08108576"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Macrì, D., E. Catizzone, A. Molino and M. Migliori (2020). "Supercritical water gasification of biomass and agro-food residues: Energy assessment from modelling approach." </w:t>
      </w:r>
      <w:r w:rsidRPr="006548BC">
        <w:rPr>
          <w:sz w:val="18"/>
          <w:szCs w:val="18"/>
          <w:u w:val="single"/>
        </w:rPr>
        <w:t>Renewable Energy</w:t>
      </w:r>
      <w:r w:rsidRPr="006548BC">
        <w:rPr>
          <w:sz w:val="18"/>
          <w:szCs w:val="18"/>
        </w:rPr>
        <w:t xml:space="preserve"> </w:t>
      </w:r>
      <w:r w:rsidRPr="006548BC">
        <w:rPr>
          <w:b/>
          <w:sz w:val="18"/>
          <w:szCs w:val="18"/>
        </w:rPr>
        <w:t>150</w:t>
      </w:r>
      <w:r w:rsidRPr="006548BC">
        <w:rPr>
          <w:sz w:val="18"/>
          <w:szCs w:val="18"/>
        </w:rPr>
        <w:t>: 624-636.</w:t>
      </w:r>
    </w:p>
    <w:p w14:paraId="0915DC11"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Nkoa, R. (2014). "Agricultural benefits and environmental risks of soil fertilization with anaerobic digestates: a review." </w:t>
      </w:r>
      <w:r w:rsidRPr="006548BC">
        <w:rPr>
          <w:sz w:val="18"/>
          <w:szCs w:val="18"/>
          <w:u w:val="single"/>
        </w:rPr>
        <w:t>Agronomy for Sustainable Development</w:t>
      </w:r>
      <w:r w:rsidRPr="006548BC">
        <w:rPr>
          <w:sz w:val="18"/>
          <w:szCs w:val="18"/>
        </w:rPr>
        <w:t xml:space="preserve"> </w:t>
      </w:r>
      <w:r w:rsidRPr="006548BC">
        <w:rPr>
          <w:b/>
          <w:sz w:val="18"/>
          <w:szCs w:val="18"/>
        </w:rPr>
        <w:t>34</w:t>
      </w:r>
      <w:r w:rsidRPr="006548BC">
        <w:rPr>
          <w:sz w:val="18"/>
          <w:szCs w:val="18"/>
        </w:rPr>
        <w:t>(2): 473-492.</w:t>
      </w:r>
    </w:p>
    <w:p w14:paraId="6C1C0348"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Okolie, J. A., S. Nanda, A. K. Dalai and J. A. Kozinski (2020). "Hydrothermal gasification of soybean straw and flax straw for hydrogen-rich syngas production: Experimental and thermodynamic modeling." </w:t>
      </w:r>
      <w:r w:rsidRPr="006548BC">
        <w:rPr>
          <w:sz w:val="18"/>
          <w:szCs w:val="18"/>
          <w:u w:val="single"/>
        </w:rPr>
        <w:t>Energy Conversion and Management</w:t>
      </w:r>
      <w:r w:rsidRPr="006548BC">
        <w:rPr>
          <w:sz w:val="18"/>
          <w:szCs w:val="18"/>
        </w:rPr>
        <w:t xml:space="preserve"> </w:t>
      </w:r>
      <w:r w:rsidRPr="006548BC">
        <w:rPr>
          <w:b/>
          <w:sz w:val="18"/>
          <w:szCs w:val="18"/>
        </w:rPr>
        <w:t>208</w:t>
      </w:r>
      <w:r w:rsidRPr="006548BC">
        <w:rPr>
          <w:sz w:val="18"/>
          <w:szCs w:val="18"/>
        </w:rPr>
        <w:t>: 112545.</w:t>
      </w:r>
    </w:p>
    <w:p w14:paraId="45BCF184"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Onarheim, K., Y. Solantausta and J. Lehto (2015). "Process simulation development of fast pyrolysis of wood using aspen plus." </w:t>
      </w:r>
      <w:r w:rsidRPr="006548BC">
        <w:rPr>
          <w:sz w:val="18"/>
          <w:szCs w:val="18"/>
          <w:u w:val="single"/>
        </w:rPr>
        <w:t>Energy &amp; Fuels</w:t>
      </w:r>
      <w:r w:rsidRPr="006548BC">
        <w:rPr>
          <w:sz w:val="18"/>
          <w:szCs w:val="18"/>
        </w:rPr>
        <w:t xml:space="preserve"> </w:t>
      </w:r>
      <w:r w:rsidRPr="006548BC">
        <w:rPr>
          <w:b/>
          <w:sz w:val="18"/>
          <w:szCs w:val="18"/>
        </w:rPr>
        <w:t>29</w:t>
      </w:r>
      <w:r w:rsidRPr="006548BC">
        <w:rPr>
          <w:sz w:val="18"/>
          <w:szCs w:val="18"/>
        </w:rPr>
        <w:t>(1): 205-217.</w:t>
      </w:r>
    </w:p>
    <w:p w14:paraId="0CF5BAC4"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Onwudili, J. A. and P. T. Williams (2014). Production of hydrogen from biomass via supercritical water gasification. </w:t>
      </w:r>
      <w:r w:rsidRPr="006548BC">
        <w:rPr>
          <w:sz w:val="18"/>
          <w:szCs w:val="18"/>
          <w:u w:val="single"/>
        </w:rPr>
        <w:t>Near-critical and supercritical water and their applications for biorefineries</w:t>
      </w:r>
      <w:r w:rsidRPr="006548BC">
        <w:rPr>
          <w:sz w:val="18"/>
          <w:szCs w:val="18"/>
        </w:rPr>
        <w:t>, Springer</w:t>
      </w:r>
      <w:r w:rsidRPr="006548BC">
        <w:rPr>
          <w:b/>
          <w:sz w:val="18"/>
          <w:szCs w:val="18"/>
        </w:rPr>
        <w:t xml:space="preserve">: </w:t>
      </w:r>
      <w:r w:rsidRPr="006548BC">
        <w:rPr>
          <w:sz w:val="18"/>
          <w:szCs w:val="18"/>
        </w:rPr>
        <w:t>299-322.</w:t>
      </w:r>
    </w:p>
    <w:p w14:paraId="05DCB963"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Parmar, K. R. and A. B. Ross (2019). "Integration of hydrothermal carbonisation with anaerobic digestion; Opportunities for valorisation of digestate." </w:t>
      </w:r>
      <w:r w:rsidRPr="006548BC">
        <w:rPr>
          <w:sz w:val="18"/>
          <w:szCs w:val="18"/>
          <w:u w:val="single"/>
        </w:rPr>
        <w:t>Energies</w:t>
      </w:r>
      <w:r w:rsidRPr="006548BC">
        <w:rPr>
          <w:sz w:val="18"/>
          <w:szCs w:val="18"/>
        </w:rPr>
        <w:t xml:space="preserve"> </w:t>
      </w:r>
      <w:r w:rsidRPr="006548BC">
        <w:rPr>
          <w:b/>
          <w:sz w:val="18"/>
          <w:szCs w:val="18"/>
        </w:rPr>
        <w:t>12</w:t>
      </w:r>
      <w:r w:rsidRPr="006548BC">
        <w:rPr>
          <w:sz w:val="18"/>
          <w:szCs w:val="18"/>
        </w:rPr>
        <w:t>(9): 1586.</w:t>
      </w:r>
    </w:p>
    <w:p w14:paraId="1ED07500"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Romio, C., M. V. W. Kofoed and H. B. Møller (2021). "Digestate post-treatment strategies for additional biogas recovery: A review." </w:t>
      </w:r>
      <w:r w:rsidRPr="006548BC">
        <w:rPr>
          <w:sz w:val="18"/>
          <w:szCs w:val="18"/>
          <w:u w:val="single"/>
        </w:rPr>
        <w:t>Sustainability</w:t>
      </w:r>
      <w:r w:rsidRPr="006548BC">
        <w:rPr>
          <w:sz w:val="18"/>
          <w:szCs w:val="18"/>
        </w:rPr>
        <w:t xml:space="preserve"> </w:t>
      </w:r>
      <w:r w:rsidRPr="006548BC">
        <w:rPr>
          <w:b/>
          <w:sz w:val="18"/>
          <w:szCs w:val="18"/>
        </w:rPr>
        <w:t>13</w:t>
      </w:r>
      <w:r w:rsidRPr="006548BC">
        <w:rPr>
          <w:sz w:val="18"/>
          <w:szCs w:val="18"/>
        </w:rPr>
        <w:t>(16): 9295.</w:t>
      </w:r>
    </w:p>
    <w:p w14:paraId="35B10E9A"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Surendra, K., D. Takara, A. G. Hashimoto and S. K. Khanal (2014). "Biogas as a sustainable energy source for developing countries: Opportunities and challenges." </w:t>
      </w:r>
      <w:r w:rsidRPr="006548BC">
        <w:rPr>
          <w:sz w:val="18"/>
          <w:szCs w:val="18"/>
          <w:u w:val="single"/>
        </w:rPr>
        <w:t>Renewable and Sustainable Energy Reviews</w:t>
      </w:r>
      <w:r w:rsidRPr="006548BC">
        <w:rPr>
          <w:sz w:val="18"/>
          <w:szCs w:val="18"/>
        </w:rPr>
        <w:t xml:space="preserve"> </w:t>
      </w:r>
      <w:r w:rsidRPr="006548BC">
        <w:rPr>
          <w:b/>
          <w:sz w:val="18"/>
          <w:szCs w:val="18"/>
        </w:rPr>
        <w:t>31</w:t>
      </w:r>
      <w:r w:rsidRPr="006548BC">
        <w:rPr>
          <w:sz w:val="18"/>
          <w:szCs w:val="18"/>
        </w:rPr>
        <w:t>: 846-859.</w:t>
      </w:r>
    </w:p>
    <w:p w14:paraId="25D55936"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Susanti, R. F., J. Kim and K.-p. Yoo (2014). "Supercritical water gasification for hydrogen production: current status and prospective of high-temperature operation." </w:t>
      </w:r>
      <w:r w:rsidRPr="006548BC">
        <w:rPr>
          <w:sz w:val="18"/>
          <w:szCs w:val="18"/>
          <w:u w:val="single"/>
        </w:rPr>
        <w:t>Supercritical fluid technology for energy and environmental applications</w:t>
      </w:r>
      <w:r w:rsidRPr="006548BC">
        <w:rPr>
          <w:sz w:val="18"/>
          <w:szCs w:val="18"/>
        </w:rPr>
        <w:t>: 111-137.</w:t>
      </w:r>
    </w:p>
    <w:p w14:paraId="19788344"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Tang, H. and K. Kitagawa (2005). "Supercritical water gasification of biomass: thermodynamic analysis with direct Gibbs free energy minimization." </w:t>
      </w:r>
      <w:r w:rsidRPr="006548BC">
        <w:rPr>
          <w:sz w:val="18"/>
          <w:szCs w:val="18"/>
          <w:u w:val="single"/>
        </w:rPr>
        <w:t>Chemical Engineering Journal</w:t>
      </w:r>
      <w:r w:rsidRPr="006548BC">
        <w:rPr>
          <w:sz w:val="18"/>
          <w:szCs w:val="18"/>
        </w:rPr>
        <w:t xml:space="preserve"> </w:t>
      </w:r>
      <w:r w:rsidRPr="006548BC">
        <w:rPr>
          <w:b/>
          <w:sz w:val="18"/>
          <w:szCs w:val="18"/>
        </w:rPr>
        <w:t>106</w:t>
      </w:r>
      <w:r w:rsidRPr="006548BC">
        <w:rPr>
          <w:sz w:val="18"/>
          <w:szCs w:val="18"/>
        </w:rPr>
        <w:t>(3): 261-267.</w:t>
      </w:r>
    </w:p>
    <w:p w14:paraId="4203FE9B"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Voll, F., C. Rossi, C. Silva, R. Guirardello, R. Souza, V. Cabral and L. Cardozo-Filho (2009). "Thermodynamic analysis of supercritical water gasification of methanol, ethanol, glycerol, glucose and cellulose." </w:t>
      </w:r>
      <w:r w:rsidRPr="006548BC">
        <w:rPr>
          <w:sz w:val="18"/>
          <w:szCs w:val="18"/>
          <w:u w:val="single"/>
        </w:rPr>
        <w:t>International Journal of Hydrogen Energy</w:t>
      </w:r>
      <w:r w:rsidRPr="006548BC">
        <w:rPr>
          <w:sz w:val="18"/>
          <w:szCs w:val="18"/>
        </w:rPr>
        <w:t xml:space="preserve"> </w:t>
      </w:r>
      <w:r w:rsidRPr="006548BC">
        <w:rPr>
          <w:b/>
          <w:sz w:val="18"/>
          <w:szCs w:val="18"/>
        </w:rPr>
        <w:t>34</w:t>
      </w:r>
      <w:r w:rsidRPr="006548BC">
        <w:rPr>
          <w:sz w:val="18"/>
          <w:szCs w:val="18"/>
        </w:rPr>
        <w:t>(24): 9737-9744.</w:t>
      </w:r>
    </w:p>
    <w:p w14:paraId="741B54B6"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Xu, J., Z. Peng, S. Rong, H. Jin, L. Guo, X. Zhang and T. Zhou (2021). "Model-based thermodynamic analysis of supercritical water gasification of oil-containing wastewater." </w:t>
      </w:r>
      <w:r w:rsidRPr="006548BC">
        <w:rPr>
          <w:sz w:val="18"/>
          <w:szCs w:val="18"/>
          <w:u w:val="single"/>
        </w:rPr>
        <w:t>Fuel</w:t>
      </w:r>
      <w:r w:rsidRPr="006548BC">
        <w:rPr>
          <w:sz w:val="18"/>
          <w:szCs w:val="18"/>
        </w:rPr>
        <w:t xml:space="preserve"> </w:t>
      </w:r>
      <w:r w:rsidRPr="006548BC">
        <w:rPr>
          <w:b/>
          <w:sz w:val="18"/>
          <w:szCs w:val="18"/>
        </w:rPr>
        <w:t>306</w:t>
      </w:r>
      <w:r w:rsidRPr="006548BC">
        <w:rPr>
          <w:sz w:val="18"/>
          <w:szCs w:val="18"/>
        </w:rPr>
        <w:t>: 121767.</w:t>
      </w:r>
    </w:p>
    <w:p w14:paraId="2E47C636"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Yakaboylu, O., J. Harinck, K. G. Smit and W. de Jong (2013). "Supercritical water gasification of manure: A thermodynamic equilibrium modeling approach." </w:t>
      </w:r>
      <w:r w:rsidRPr="006548BC">
        <w:rPr>
          <w:sz w:val="18"/>
          <w:szCs w:val="18"/>
          <w:u w:val="single"/>
        </w:rPr>
        <w:t>Biomass and Bioenergy</w:t>
      </w:r>
      <w:r w:rsidRPr="006548BC">
        <w:rPr>
          <w:sz w:val="18"/>
          <w:szCs w:val="18"/>
        </w:rPr>
        <w:t xml:space="preserve"> </w:t>
      </w:r>
      <w:r w:rsidRPr="006548BC">
        <w:rPr>
          <w:b/>
          <w:sz w:val="18"/>
          <w:szCs w:val="18"/>
        </w:rPr>
        <w:t>59</w:t>
      </w:r>
      <w:r w:rsidRPr="006548BC">
        <w:rPr>
          <w:sz w:val="18"/>
          <w:szCs w:val="18"/>
        </w:rPr>
        <w:t>: 253-263.</w:t>
      </w:r>
    </w:p>
    <w:p w14:paraId="1BB4403B"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Yang, C., S. Wang, Y. Li, Y. Zhang and C. Cui (2021). "Thermodynamic analysis of hydrogen production via supercritical water gasification of coal, sewage sludge, microalga, and sawdust." </w:t>
      </w:r>
      <w:r w:rsidRPr="006548BC">
        <w:rPr>
          <w:sz w:val="18"/>
          <w:szCs w:val="18"/>
          <w:u w:val="single"/>
        </w:rPr>
        <w:t>International Journal of Hydrogen Energy</w:t>
      </w:r>
      <w:r w:rsidRPr="006548BC">
        <w:rPr>
          <w:sz w:val="18"/>
          <w:szCs w:val="18"/>
        </w:rPr>
        <w:t xml:space="preserve"> </w:t>
      </w:r>
      <w:r w:rsidRPr="006548BC">
        <w:rPr>
          <w:b/>
          <w:sz w:val="18"/>
          <w:szCs w:val="18"/>
        </w:rPr>
        <w:t>46</w:t>
      </w:r>
      <w:r w:rsidRPr="006548BC">
        <w:rPr>
          <w:sz w:val="18"/>
          <w:szCs w:val="18"/>
        </w:rPr>
        <w:t>(34): 18042-18050.</w:t>
      </w:r>
    </w:p>
    <w:p w14:paraId="646E7B57"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Yang, Z., Y. Liu, J. Zhang, K. Mao, M. Kurbonova, G. Liu, R. Zhang and W. Wang (2020). "Improvement of biofuel recovery from food waste by integration of anaerobic digestion, digestate pyrolysis and syngas biomethanation under mesophilic and thermophilic conditions." </w:t>
      </w:r>
      <w:r w:rsidRPr="006548BC">
        <w:rPr>
          <w:sz w:val="18"/>
          <w:szCs w:val="18"/>
          <w:u w:val="single"/>
        </w:rPr>
        <w:t>Journal of Cleaner Production</w:t>
      </w:r>
      <w:r w:rsidRPr="006548BC">
        <w:rPr>
          <w:sz w:val="18"/>
          <w:szCs w:val="18"/>
        </w:rPr>
        <w:t xml:space="preserve"> </w:t>
      </w:r>
      <w:r w:rsidRPr="006548BC">
        <w:rPr>
          <w:b/>
          <w:sz w:val="18"/>
          <w:szCs w:val="18"/>
        </w:rPr>
        <w:t>256</w:t>
      </w:r>
      <w:r w:rsidRPr="006548BC">
        <w:rPr>
          <w:sz w:val="18"/>
          <w:szCs w:val="18"/>
        </w:rPr>
        <w:t>: 120594.</w:t>
      </w:r>
    </w:p>
    <w:p w14:paraId="1203CF83" w14:textId="77777777" w:rsidR="00BA2D59" w:rsidRPr="006548BC" w:rsidRDefault="00BA2D59" w:rsidP="000E3629">
      <w:pPr>
        <w:pStyle w:val="EndNoteBibliography"/>
        <w:spacing w:line="216" w:lineRule="auto"/>
        <w:ind w:left="425" w:hanging="425"/>
        <w:jc w:val="both"/>
        <w:rPr>
          <w:sz w:val="18"/>
          <w:szCs w:val="18"/>
        </w:rPr>
      </w:pPr>
      <w:r w:rsidRPr="006548BC">
        <w:rPr>
          <w:sz w:val="18"/>
          <w:szCs w:val="18"/>
        </w:rPr>
        <w:t xml:space="preserve">Zabed, H. M., S. Akter, J. Yun, G. Zhang, Y. Zhang and X. Qi (2020). "Biogas from microalgae: Technologies, challenges and opportunities." </w:t>
      </w:r>
      <w:r w:rsidRPr="006548BC">
        <w:rPr>
          <w:sz w:val="18"/>
          <w:szCs w:val="18"/>
          <w:u w:val="single"/>
        </w:rPr>
        <w:t>Renewable and Sustainable Energy Reviews</w:t>
      </w:r>
      <w:r w:rsidRPr="006548BC">
        <w:rPr>
          <w:sz w:val="18"/>
          <w:szCs w:val="18"/>
        </w:rPr>
        <w:t xml:space="preserve"> </w:t>
      </w:r>
      <w:r w:rsidRPr="006548BC">
        <w:rPr>
          <w:b/>
          <w:sz w:val="18"/>
          <w:szCs w:val="18"/>
        </w:rPr>
        <w:t>117</w:t>
      </w:r>
      <w:r w:rsidRPr="006548BC">
        <w:rPr>
          <w:sz w:val="18"/>
          <w:szCs w:val="18"/>
        </w:rPr>
        <w:t>: 109503.</w:t>
      </w:r>
    </w:p>
    <w:p w14:paraId="19C4FC68" w14:textId="7D827D09" w:rsidR="004628D2" w:rsidRDefault="002A70D7" w:rsidP="000E3629">
      <w:pPr>
        <w:pStyle w:val="CETHeading1"/>
        <w:numPr>
          <w:ilvl w:val="0"/>
          <w:numId w:val="0"/>
        </w:numPr>
        <w:spacing w:before="0" w:after="0" w:line="216" w:lineRule="auto"/>
        <w:ind w:left="425" w:hanging="425"/>
        <w:jc w:val="both"/>
      </w:pPr>
      <w:r w:rsidRPr="006548BC">
        <w:rPr>
          <w:sz w:val="18"/>
          <w:szCs w:val="18"/>
        </w:rPr>
        <w:fldChar w:fldCharType="end"/>
      </w:r>
    </w:p>
    <w:sectPr w:rsidR="004628D2" w:rsidSect="00D929E3">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3305" w14:textId="77777777" w:rsidR="00326AC4" w:rsidRDefault="00326AC4" w:rsidP="004F5E36">
      <w:r>
        <w:separator/>
      </w:r>
    </w:p>
  </w:endnote>
  <w:endnote w:type="continuationSeparator" w:id="0">
    <w:p w14:paraId="245EE94F" w14:textId="77777777" w:rsidR="00326AC4" w:rsidRDefault="00326AC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0000" w14:textId="77777777" w:rsidR="00AE2291" w:rsidRDefault="00AE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1399" w14:textId="77777777" w:rsidR="00AE2291" w:rsidRDefault="00AE2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711C" w14:textId="77777777" w:rsidR="00AE2291" w:rsidRDefault="00AE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B59B" w14:textId="77777777" w:rsidR="00326AC4" w:rsidRDefault="00326AC4" w:rsidP="004F5E36">
      <w:r>
        <w:separator/>
      </w:r>
    </w:p>
  </w:footnote>
  <w:footnote w:type="continuationSeparator" w:id="0">
    <w:p w14:paraId="616FFA34" w14:textId="77777777" w:rsidR="00326AC4" w:rsidRDefault="00326AC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50E8" w14:textId="77777777" w:rsidR="00AE2291" w:rsidRDefault="00AE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B77C" w14:textId="77777777" w:rsidR="00AE2291" w:rsidRDefault="00AE2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0428" w14:textId="77777777" w:rsidR="00AE2291" w:rsidRDefault="00AE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4628E6"/>
    <w:multiLevelType w:val="hybridMultilevel"/>
    <w:tmpl w:val="54EAF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5D3E9D"/>
    <w:multiLevelType w:val="multilevel"/>
    <w:tmpl w:val="5C70C7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2"/>
  </w:num>
  <w:num w:numId="16" w16cid:durableId="1977102699">
    <w:abstractNumId w:val="21"/>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922105806">
    <w:abstractNumId w:val="10"/>
  </w:num>
  <w:num w:numId="24" w16cid:durableId="162355063">
    <w:abstractNumId w:val="10"/>
  </w:num>
  <w:num w:numId="25" w16cid:durableId="1000424381">
    <w:abstractNumId w:val="10"/>
  </w:num>
  <w:num w:numId="26" w16cid:durableId="2127189356">
    <w:abstractNumId w:val="10"/>
  </w:num>
  <w:num w:numId="27" w16cid:durableId="1062173947">
    <w:abstractNumId w:val="10"/>
  </w:num>
  <w:num w:numId="28" w16cid:durableId="421074363">
    <w:abstractNumId w:val="10"/>
  </w:num>
  <w:num w:numId="29" w16cid:durableId="601380170">
    <w:abstractNumId w:val="20"/>
  </w:num>
  <w:num w:numId="30" w16cid:durableId="301080892">
    <w:abstractNumId w:val="10"/>
  </w:num>
  <w:num w:numId="31" w16cid:durableId="1527793636">
    <w:abstractNumId w:val="10"/>
  </w:num>
  <w:num w:numId="32" w16cid:durableId="280769390">
    <w:abstractNumId w:val="10"/>
  </w:num>
  <w:num w:numId="33" w16cid:durableId="1686786490">
    <w:abstractNumId w:val="10"/>
  </w:num>
  <w:num w:numId="34" w16cid:durableId="698237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Layout" w:val="&lt;ENLayout&gt;&lt;Style&gt;Author-Dat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eez5z08wvwt5evrp7xr95rzs2ez0x9rtfv&quot;&gt;My EndNote Library&lt;record-ids&gt;&lt;item&gt;3&lt;/item&gt;&lt;item&gt;4&lt;/item&gt;&lt;item&gt;6&lt;/item&gt;&lt;item&gt;8&lt;/item&gt;&lt;item&gt;19&lt;/item&gt;&lt;item&gt;23&lt;/item&gt;&lt;item&gt;24&lt;/item&gt;&lt;item&gt;34&lt;/item&gt;&lt;item&gt;35&lt;/item&gt;&lt;item&gt;43&lt;/item&gt;&lt;item&gt;55&lt;/item&gt;&lt;item&gt;57&lt;/item&gt;&lt;item&gt;58&lt;/item&gt;&lt;item&gt;63&lt;/item&gt;&lt;item&gt;69&lt;/item&gt;&lt;item&gt;70&lt;/item&gt;&lt;item&gt;79&lt;/item&gt;&lt;item&gt;102&lt;/item&gt;&lt;item&gt;104&lt;/item&gt;&lt;item&gt;106&lt;/item&gt;&lt;item&gt;107&lt;/item&gt;&lt;item&gt;108&lt;/item&gt;&lt;item&gt;110&lt;/item&gt;&lt;item&gt;111&lt;/item&gt;&lt;item&gt;112&lt;/item&gt;&lt;item&gt;114&lt;/item&gt;&lt;item&gt;122&lt;/item&gt;&lt;item&gt;123&lt;/item&gt;&lt;/record-ids&gt;&lt;/item&gt;&lt;/Libraries&gt;"/>
  </w:docVars>
  <w:rsids>
    <w:rsidRoot w:val="000E414A"/>
    <w:rsid w:val="000027C0"/>
    <w:rsid w:val="000052FB"/>
    <w:rsid w:val="000117CB"/>
    <w:rsid w:val="0003148D"/>
    <w:rsid w:val="00031EEC"/>
    <w:rsid w:val="000417A5"/>
    <w:rsid w:val="00051077"/>
    <w:rsid w:val="00051566"/>
    <w:rsid w:val="000562A9"/>
    <w:rsid w:val="00062A9A"/>
    <w:rsid w:val="00065058"/>
    <w:rsid w:val="00074048"/>
    <w:rsid w:val="00082ECA"/>
    <w:rsid w:val="00086C39"/>
    <w:rsid w:val="000A03B2"/>
    <w:rsid w:val="000A2414"/>
    <w:rsid w:val="000C638D"/>
    <w:rsid w:val="000D0268"/>
    <w:rsid w:val="000D34BE"/>
    <w:rsid w:val="000D638D"/>
    <w:rsid w:val="000E102F"/>
    <w:rsid w:val="000E3629"/>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39D2"/>
    <w:rsid w:val="00184AD6"/>
    <w:rsid w:val="00191FAA"/>
    <w:rsid w:val="001A4AF7"/>
    <w:rsid w:val="001B0349"/>
    <w:rsid w:val="001B1E93"/>
    <w:rsid w:val="001B65C1"/>
    <w:rsid w:val="001C684B"/>
    <w:rsid w:val="001D0CFB"/>
    <w:rsid w:val="001D21AF"/>
    <w:rsid w:val="001D53FC"/>
    <w:rsid w:val="001E55B2"/>
    <w:rsid w:val="001F42A5"/>
    <w:rsid w:val="001F7B9D"/>
    <w:rsid w:val="00201C93"/>
    <w:rsid w:val="002224B4"/>
    <w:rsid w:val="00233C62"/>
    <w:rsid w:val="002447EF"/>
    <w:rsid w:val="00251550"/>
    <w:rsid w:val="00263B05"/>
    <w:rsid w:val="00271ECC"/>
    <w:rsid w:val="0027221A"/>
    <w:rsid w:val="00275B61"/>
    <w:rsid w:val="00280FAF"/>
    <w:rsid w:val="00282656"/>
    <w:rsid w:val="00296B83"/>
    <w:rsid w:val="002A70D7"/>
    <w:rsid w:val="002B4015"/>
    <w:rsid w:val="002B78CE"/>
    <w:rsid w:val="002C2FB6"/>
    <w:rsid w:val="002C5A13"/>
    <w:rsid w:val="002E5FA7"/>
    <w:rsid w:val="002F3309"/>
    <w:rsid w:val="003008CE"/>
    <w:rsid w:val="003009B7"/>
    <w:rsid w:val="00300E56"/>
    <w:rsid w:val="0030152C"/>
    <w:rsid w:val="0030469C"/>
    <w:rsid w:val="003176D6"/>
    <w:rsid w:val="00321CA6"/>
    <w:rsid w:val="00323763"/>
    <w:rsid w:val="00323C5F"/>
    <w:rsid w:val="00326AC4"/>
    <w:rsid w:val="00334C09"/>
    <w:rsid w:val="003723D4"/>
    <w:rsid w:val="003744D2"/>
    <w:rsid w:val="00381905"/>
    <w:rsid w:val="00384CC8"/>
    <w:rsid w:val="003871FD"/>
    <w:rsid w:val="003A1E30"/>
    <w:rsid w:val="003A2829"/>
    <w:rsid w:val="003A6FC6"/>
    <w:rsid w:val="003A7D1C"/>
    <w:rsid w:val="003B2A78"/>
    <w:rsid w:val="003B304B"/>
    <w:rsid w:val="003B3146"/>
    <w:rsid w:val="003B5132"/>
    <w:rsid w:val="003F015E"/>
    <w:rsid w:val="00400414"/>
    <w:rsid w:val="00412F8A"/>
    <w:rsid w:val="0041446B"/>
    <w:rsid w:val="0044071E"/>
    <w:rsid w:val="0044329C"/>
    <w:rsid w:val="00450712"/>
    <w:rsid w:val="00453E24"/>
    <w:rsid w:val="00457456"/>
    <w:rsid w:val="004577FE"/>
    <w:rsid w:val="00457B9C"/>
    <w:rsid w:val="0046164A"/>
    <w:rsid w:val="00461D09"/>
    <w:rsid w:val="004628D2"/>
    <w:rsid w:val="00462DCD"/>
    <w:rsid w:val="00463E7A"/>
    <w:rsid w:val="004648AD"/>
    <w:rsid w:val="004703A9"/>
    <w:rsid w:val="004760DE"/>
    <w:rsid w:val="004763D7"/>
    <w:rsid w:val="00482B13"/>
    <w:rsid w:val="00486AAD"/>
    <w:rsid w:val="004A004E"/>
    <w:rsid w:val="004A031A"/>
    <w:rsid w:val="004A24CF"/>
    <w:rsid w:val="004C3D1D"/>
    <w:rsid w:val="004C3D84"/>
    <w:rsid w:val="004C7913"/>
    <w:rsid w:val="004D4EC0"/>
    <w:rsid w:val="004E4297"/>
    <w:rsid w:val="004E4DD6"/>
    <w:rsid w:val="004F0F4E"/>
    <w:rsid w:val="004F5E36"/>
    <w:rsid w:val="00507B47"/>
    <w:rsid w:val="00507BEF"/>
    <w:rsid w:val="00507CC9"/>
    <w:rsid w:val="005119A5"/>
    <w:rsid w:val="00516AAC"/>
    <w:rsid w:val="005278B7"/>
    <w:rsid w:val="00532016"/>
    <w:rsid w:val="005346C8"/>
    <w:rsid w:val="00543E7D"/>
    <w:rsid w:val="00547A68"/>
    <w:rsid w:val="00547AD5"/>
    <w:rsid w:val="005531C9"/>
    <w:rsid w:val="00564C3B"/>
    <w:rsid w:val="00570C43"/>
    <w:rsid w:val="0058313E"/>
    <w:rsid w:val="005B2110"/>
    <w:rsid w:val="005B61E6"/>
    <w:rsid w:val="005C77E1"/>
    <w:rsid w:val="005D668A"/>
    <w:rsid w:val="005D6A2F"/>
    <w:rsid w:val="005E1A82"/>
    <w:rsid w:val="005E794C"/>
    <w:rsid w:val="005E7C48"/>
    <w:rsid w:val="005F0A28"/>
    <w:rsid w:val="005F0E5E"/>
    <w:rsid w:val="00600535"/>
    <w:rsid w:val="00610CD6"/>
    <w:rsid w:val="00620DEE"/>
    <w:rsid w:val="00621F92"/>
    <w:rsid w:val="0062280A"/>
    <w:rsid w:val="006245C2"/>
    <w:rsid w:val="00625639"/>
    <w:rsid w:val="00631B33"/>
    <w:rsid w:val="0064184D"/>
    <w:rsid w:val="006422CC"/>
    <w:rsid w:val="00646364"/>
    <w:rsid w:val="006548BC"/>
    <w:rsid w:val="00660E3E"/>
    <w:rsid w:val="00661DA8"/>
    <w:rsid w:val="00662E74"/>
    <w:rsid w:val="00680C23"/>
    <w:rsid w:val="00693766"/>
    <w:rsid w:val="006A3281"/>
    <w:rsid w:val="006B0609"/>
    <w:rsid w:val="006B0B26"/>
    <w:rsid w:val="006B4888"/>
    <w:rsid w:val="006C2E45"/>
    <w:rsid w:val="006C359C"/>
    <w:rsid w:val="006C5579"/>
    <w:rsid w:val="006D6E8B"/>
    <w:rsid w:val="006E737D"/>
    <w:rsid w:val="00713973"/>
    <w:rsid w:val="00720A24"/>
    <w:rsid w:val="00723866"/>
    <w:rsid w:val="00727E68"/>
    <w:rsid w:val="00732386"/>
    <w:rsid w:val="0073514D"/>
    <w:rsid w:val="00740062"/>
    <w:rsid w:val="007447F3"/>
    <w:rsid w:val="0075499F"/>
    <w:rsid w:val="00762AB9"/>
    <w:rsid w:val="00763F1D"/>
    <w:rsid w:val="007661C8"/>
    <w:rsid w:val="0077098D"/>
    <w:rsid w:val="00772B04"/>
    <w:rsid w:val="007931FA"/>
    <w:rsid w:val="007A4861"/>
    <w:rsid w:val="007A7BBA"/>
    <w:rsid w:val="007B0C50"/>
    <w:rsid w:val="007B48F9"/>
    <w:rsid w:val="007C1A43"/>
    <w:rsid w:val="007D0951"/>
    <w:rsid w:val="007E17D4"/>
    <w:rsid w:val="007E66F7"/>
    <w:rsid w:val="0080013E"/>
    <w:rsid w:val="00813288"/>
    <w:rsid w:val="008168FC"/>
    <w:rsid w:val="00824638"/>
    <w:rsid w:val="00830996"/>
    <w:rsid w:val="008345F1"/>
    <w:rsid w:val="00865B07"/>
    <w:rsid w:val="008662B2"/>
    <w:rsid w:val="008667EA"/>
    <w:rsid w:val="00867BEA"/>
    <w:rsid w:val="0087637F"/>
    <w:rsid w:val="00892AD5"/>
    <w:rsid w:val="008941A7"/>
    <w:rsid w:val="008A1512"/>
    <w:rsid w:val="008B7C03"/>
    <w:rsid w:val="008D32B9"/>
    <w:rsid w:val="008D433B"/>
    <w:rsid w:val="008D4A16"/>
    <w:rsid w:val="008D724C"/>
    <w:rsid w:val="008E566E"/>
    <w:rsid w:val="0090161A"/>
    <w:rsid w:val="00901EB6"/>
    <w:rsid w:val="00904C62"/>
    <w:rsid w:val="0090726E"/>
    <w:rsid w:val="00922BA8"/>
    <w:rsid w:val="00923A9B"/>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0476"/>
    <w:rsid w:val="009B041A"/>
    <w:rsid w:val="009C37C3"/>
    <w:rsid w:val="009C7C86"/>
    <w:rsid w:val="009D2FF7"/>
    <w:rsid w:val="009E404C"/>
    <w:rsid w:val="009E6912"/>
    <w:rsid w:val="009E7884"/>
    <w:rsid w:val="009E788A"/>
    <w:rsid w:val="009F0E08"/>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2291"/>
    <w:rsid w:val="00AE377D"/>
    <w:rsid w:val="00AF0EBA"/>
    <w:rsid w:val="00AF7F86"/>
    <w:rsid w:val="00B02C8A"/>
    <w:rsid w:val="00B15A2E"/>
    <w:rsid w:val="00B17FBD"/>
    <w:rsid w:val="00B315A6"/>
    <w:rsid w:val="00B31813"/>
    <w:rsid w:val="00B33365"/>
    <w:rsid w:val="00B363C6"/>
    <w:rsid w:val="00B5105E"/>
    <w:rsid w:val="00B57B36"/>
    <w:rsid w:val="00B57E6F"/>
    <w:rsid w:val="00B61EEB"/>
    <w:rsid w:val="00B8686D"/>
    <w:rsid w:val="00B93F69"/>
    <w:rsid w:val="00BA2D59"/>
    <w:rsid w:val="00BB1DDC"/>
    <w:rsid w:val="00BB3956"/>
    <w:rsid w:val="00BB573A"/>
    <w:rsid w:val="00BC30C9"/>
    <w:rsid w:val="00BD077D"/>
    <w:rsid w:val="00BE3E58"/>
    <w:rsid w:val="00C01616"/>
    <w:rsid w:val="00C0162B"/>
    <w:rsid w:val="00C04EBD"/>
    <w:rsid w:val="00C068ED"/>
    <w:rsid w:val="00C22E0C"/>
    <w:rsid w:val="00C24AF4"/>
    <w:rsid w:val="00C345B1"/>
    <w:rsid w:val="00C40142"/>
    <w:rsid w:val="00C52C3C"/>
    <w:rsid w:val="00C57182"/>
    <w:rsid w:val="00C57863"/>
    <w:rsid w:val="00C640AF"/>
    <w:rsid w:val="00C655FD"/>
    <w:rsid w:val="00C75407"/>
    <w:rsid w:val="00C80D36"/>
    <w:rsid w:val="00C870A8"/>
    <w:rsid w:val="00C94434"/>
    <w:rsid w:val="00CA0D4A"/>
    <w:rsid w:val="00CA0D75"/>
    <w:rsid w:val="00CA1C95"/>
    <w:rsid w:val="00CA5A9C"/>
    <w:rsid w:val="00CA75E7"/>
    <w:rsid w:val="00CC4C20"/>
    <w:rsid w:val="00CD07AD"/>
    <w:rsid w:val="00CD3517"/>
    <w:rsid w:val="00CD5FE2"/>
    <w:rsid w:val="00CE7C68"/>
    <w:rsid w:val="00D02B4C"/>
    <w:rsid w:val="00D040C4"/>
    <w:rsid w:val="00D20AD1"/>
    <w:rsid w:val="00D21A3D"/>
    <w:rsid w:val="00D24077"/>
    <w:rsid w:val="00D25112"/>
    <w:rsid w:val="00D46B7E"/>
    <w:rsid w:val="00D57C84"/>
    <w:rsid w:val="00D6057D"/>
    <w:rsid w:val="00D639C1"/>
    <w:rsid w:val="00D648EC"/>
    <w:rsid w:val="00D71640"/>
    <w:rsid w:val="00D83610"/>
    <w:rsid w:val="00D836C5"/>
    <w:rsid w:val="00D84576"/>
    <w:rsid w:val="00D929E3"/>
    <w:rsid w:val="00DA1399"/>
    <w:rsid w:val="00DA24C6"/>
    <w:rsid w:val="00DA4D7B"/>
    <w:rsid w:val="00DD271C"/>
    <w:rsid w:val="00DE264A"/>
    <w:rsid w:val="00DF5072"/>
    <w:rsid w:val="00DF6770"/>
    <w:rsid w:val="00E02D18"/>
    <w:rsid w:val="00E03D3F"/>
    <w:rsid w:val="00E041E7"/>
    <w:rsid w:val="00E23CA1"/>
    <w:rsid w:val="00E33DD7"/>
    <w:rsid w:val="00E343C7"/>
    <w:rsid w:val="00E3569E"/>
    <w:rsid w:val="00E409A8"/>
    <w:rsid w:val="00E50C12"/>
    <w:rsid w:val="00E51324"/>
    <w:rsid w:val="00E630A3"/>
    <w:rsid w:val="00E65B91"/>
    <w:rsid w:val="00E66160"/>
    <w:rsid w:val="00E7209D"/>
    <w:rsid w:val="00E72EAD"/>
    <w:rsid w:val="00E77223"/>
    <w:rsid w:val="00E8528B"/>
    <w:rsid w:val="00E85B94"/>
    <w:rsid w:val="00E93482"/>
    <w:rsid w:val="00E978D0"/>
    <w:rsid w:val="00EA4613"/>
    <w:rsid w:val="00EA6CAB"/>
    <w:rsid w:val="00EA7F91"/>
    <w:rsid w:val="00EB1523"/>
    <w:rsid w:val="00EC0E49"/>
    <w:rsid w:val="00EC101F"/>
    <w:rsid w:val="00EC1D9F"/>
    <w:rsid w:val="00EE0131"/>
    <w:rsid w:val="00EE17B0"/>
    <w:rsid w:val="00EF06D9"/>
    <w:rsid w:val="00F15993"/>
    <w:rsid w:val="00F3049E"/>
    <w:rsid w:val="00F30C64"/>
    <w:rsid w:val="00F32BA2"/>
    <w:rsid w:val="00F32CDB"/>
    <w:rsid w:val="00F40F46"/>
    <w:rsid w:val="00F565FE"/>
    <w:rsid w:val="00F63A70"/>
    <w:rsid w:val="00F63D8C"/>
    <w:rsid w:val="00F7009C"/>
    <w:rsid w:val="00F7534E"/>
    <w:rsid w:val="00F93EDF"/>
    <w:rsid w:val="00FA1802"/>
    <w:rsid w:val="00FA21D0"/>
    <w:rsid w:val="00FA5F5F"/>
    <w:rsid w:val="00FB730C"/>
    <w:rsid w:val="00FC2695"/>
    <w:rsid w:val="00FC3E03"/>
    <w:rsid w:val="00FC3FC1"/>
    <w:rsid w:val="00FF0C7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link w:val="ListParagraphChar"/>
    <w:uiPriority w:val="34"/>
    <w:qFormat/>
    <w:rsid w:val="00280FAF"/>
    <w:pPr>
      <w:ind w:left="720"/>
      <w:contextualSpacing/>
    </w:pPr>
  </w:style>
  <w:style w:type="character" w:customStyle="1" w:styleId="ListParagraphChar">
    <w:name w:val="List Paragraph Char"/>
    <w:basedOn w:val="DefaultParagraphFont"/>
    <w:link w:val="ListParagraph"/>
    <w:uiPriority w:val="34"/>
    <w:rsid w:val="002A70D7"/>
    <w:rPr>
      <w:rFonts w:ascii="Arial" w:eastAsia="Times New Roman" w:hAnsi="Arial" w:cs="Times New Roman"/>
      <w:sz w:val="18"/>
      <w:szCs w:val="20"/>
      <w:lang w:val="en-GB"/>
    </w:rPr>
  </w:style>
  <w:style w:type="paragraph" w:customStyle="1" w:styleId="EndNoteBibliographyTitle">
    <w:name w:val="EndNote Bibliography Title"/>
    <w:basedOn w:val="Normal"/>
    <w:link w:val="EndNoteBibliographyTitleChar"/>
    <w:rsid w:val="002A70D7"/>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2A70D7"/>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2A70D7"/>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2A70D7"/>
    <w:rPr>
      <w:rFonts w:ascii="Arial" w:eastAsia="Times New Roman"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9071</Words>
  <Characters>48080</Characters>
  <Application>Microsoft Office Word</Application>
  <DocSecurity>0</DocSecurity>
  <Lines>400</Lines>
  <Paragraphs>114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Fadilla Noor Rahma, S.T., M.Sc.</cp:lastModifiedBy>
  <cp:revision>3</cp:revision>
  <cp:lastPrinted>2015-05-12T18:31:00Z</cp:lastPrinted>
  <dcterms:created xsi:type="dcterms:W3CDTF">2023-06-30T20:50:00Z</dcterms:created>
  <dcterms:modified xsi:type="dcterms:W3CDTF">2023-06-30T20:53:00Z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