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0C5A66">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0C5A66">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0C5A66">
        <w:trPr>
          <w:trHeight w:val="68"/>
          <w:jc w:val="center"/>
        </w:trPr>
        <w:tc>
          <w:tcPr>
            <w:tcW w:w="8782" w:type="dxa"/>
            <w:gridSpan w:val="2"/>
          </w:tcPr>
          <w:p w14:paraId="1D8DD3C9" w14:textId="10669D10" w:rsidR="00AA7D26" w:rsidRPr="005E7C48"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5E7C48" w:rsidRPr="005E7C48">
              <w:rPr>
                <w:sz w:val="14"/>
                <w:szCs w:val="14"/>
                <w:lang w:val="it-IT"/>
              </w:rPr>
              <w:t>David Bogle, Flavio Manenti, Piero Salatino</w:t>
            </w:r>
          </w:p>
          <w:p w14:paraId="1B0F1814" w14:textId="6981DC84"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5E7C48">
              <w:rPr>
                <w:rFonts w:ascii="Tahoma" w:hAnsi="Tahoma" w:cs="Tahoma"/>
                <w:sz w:val="14"/>
                <w:szCs w:val="14"/>
              </w:rPr>
              <w:t>4</w:t>
            </w:r>
            <w:r>
              <w:rPr>
                <w:rFonts w:ascii="Tahoma" w:hAnsi="Tahoma" w:cs="Tahoma"/>
                <w:sz w:val="14"/>
                <w:szCs w:val="14"/>
              </w:rPr>
              <w:t>-</w:t>
            </w:r>
            <w:r w:rsidR="005E7C48">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3EB84089" w:rsidR="00E978D0" w:rsidRPr="00B57B36" w:rsidRDefault="000C5A66" w:rsidP="00E978D0">
      <w:pPr>
        <w:pStyle w:val="CETTitle"/>
      </w:pPr>
      <w:r w:rsidRPr="000C5A66">
        <w:t>B</w:t>
      </w:r>
      <w:r>
        <w:t>iosorption</w:t>
      </w:r>
      <w:r w:rsidRPr="000C5A66">
        <w:t xml:space="preserve"> </w:t>
      </w:r>
      <w:r>
        <w:t>of</w:t>
      </w:r>
      <w:r w:rsidRPr="000C5A66">
        <w:t xml:space="preserve"> A</w:t>
      </w:r>
      <w:r>
        <w:t>queous</w:t>
      </w:r>
      <w:r w:rsidRPr="000C5A66">
        <w:t xml:space="preserve"> </w:t>
      </w:r>
      <w:proofErr w:type="gramStart"/>
      <w:r w:rsidRPr="000C5A66">
        <w:t>P</w:t>
      </w:r>
      <w:r>
        <w:t>b</w:t>
      </w:r>
      <w:r w:rsidRPr="000C5A66">
        <w:t>(</w:t>
      </w:r>
      <w:proofErr w:type="gramEnd"/>
      <w:r w:rsidRPr="000C5A66">
        <w:t xml:space="preserve">II) </w:t>
      </w:r>
      <w:r>
        <w:t>by</w:t>
      </w:r>
      <w:r w:rsidRPr="000C5A66">
        <w:t xml:space="preserve"> </w:t>
      </w:r>
      <w:r>
        <w:t>a</w:t>
      </w:r>
      <w:r w:rsidRPr="000C5A66">
        <w:t xml:space="preserve"> M</w:t>
      </w:r>
      <w:r>
        <w:t>etabolically</w:t>
      </w:r>
      <w:r w:rsidRPr="000C5A66">
        <w:t xml:space="preserve"> I</w:t>
      </w:r>
      <w:r>
        <w:t>nactive</w:t>
      </w:r>
      <w:r w:rsidRPr="000C5A66">
        <w:t xml:space="preserve"> B</w:t>
      </w:r>
      <w:r>
        <w:t>attery</w:t>
      </w:r>
      <w:r w:rsidRPr="000C5A66">
        <w:t xml:space="preserve"> R</w:t>
      </w:r>
      <w:r>
        <w:t>ecycling</w:t>
      </w:r>
      <w:r w:rsidRPr="000C5A66">
        <w:t xml:space="preserve"> </w:t>
      </w:r>
      <w:r>
        <w:t>Plant</w:t>
      </w:r>
      <w:r w:rsidRPr="000C5A66">
        <w:t xml:space="preserve"> C</w:t>
      </w:r>
      <w:r>
        <w:t>onsortium</w:t>
      </w:r>
      <w:r w:rsidRPr="000C5A66">
        <w:t>: T</w:t>
      </w:r>
      <w:r>
        <w:t>he</w:t>
      </w:r>
      <w:r w:rsidRPr="000C5A66">
        <w:t xml:space="preserve"> R</w:t>
      </w:r>
      <w:r>
        <w:t>ole</w:t>
      </w:r>
      <w:r w:rsidRPr="000C5A66">
        <w:t xml:space="preserve"> </w:t>
      </w:r>
      <w:r>
        <w:t>of</w:t>
      </w:r>
      <w:r w:rsidRPr="000C5A66">
        <w:t xml:space="preserve"> </w:t>
      </w:r>
      <w:proofErr w:type="spellStart"/>
      <w:r w:rsidRPr="000C5A66">
        <w:rPr>
          <w:i/>
          <w:iCs/>
        </w:rPr>
        <w:t>Paraclostridium</w:t>
      </w:r>
      <w:proofErr w:type="spellEnd"/>
      <w:r w:rsidRPr="000C5A66">
        <w:rPr>
          <w:i/>
          <w:iCs/>
        </w:rPr>
        <w:t xml:space="preserve"> </w:t>
      </w:r>
      <w:proofErr w:type="spellStart"/>
      <w:r w:rsidRPr="000C5A66">
        <w:rPr>
          <w:i/>
          <w:iCs/>
        </w:rPr>
        <w:t>bifermentans</w:t>
      </w:r>
      <w:proofErr w:type="spellEnd"/>
      <w:r w:rsidRPr="000C5A66">
        <w:t xml:space="preserve"> M</w:t>
      </w:r>
      <w:r>
        <w:t>icrobial</w:t>
      </w:r>
      <w:r w:rsidRPr="000C5A66">
        <w:t xml:space="preserve"> S</w:t>
      </w:r>
      <w:r>
        <w:t>train</w:t>
      </w:r>
      <w:r w:rsidR="00600535" w:rsidRPr="00B57B36">
        <w:t xml:space="preserve"> </w:t>
      </w:r>
    </w:p>
    <w:p w14:paraId="0488FED2" w14:textId="3DBAE33F" w:rsidR="00B57E6F" w:rsidRPr="00B57B36" w:rsidRDefault="000C5A66" w:rsidP="00B57E6F">
      <w:pPr>
        <w:pStyle w:val="CETAuthors"/>
      </w:pPr>
      <w:r>
        <w:t>Patrick Y. Kpai</w:t>
      </w:r>
      <w:r w:rsidR="00B57E6F" w:rsidRPr="00B57B36">
        <w:rPr>
          <w:vertAlign w:val="superscript"/>
        </w:rPr>
        <w:t>a</w:t>
      </w:r>
      <w:r w:rsidR="00B57E6F" w:rsidRPr="00B57B36">
        <w:t>,</w:t>
      </w:r>
      <w:r w:rsidR="00C663B1" w:rsidRPr="00C663B1">
        <w:rPr>
          <w:noProof w:val="0"/>
          <w:sz w:val="18"/>
        </w:rPr>
        <w:t xml:space="preserve"> </w:t>
      </w:r>
      <w:r w:rsidR="00C663B1" w:rsidRPr="00C663B1">
        <w:t>Evans M. N. Chirwa</w:t>
      </w:r>
      <w:r w:rsidR="00C663B1" w:rsidRPr="00C663B1">
        <w:rPr>
          <w:vertAlign w:val="superscript"/>
        </w:rPr>
        <w:t>b</w:t>
      </w:r>
      <w:r w:rsidR="00C663B1">
        <w:t>, Hendrik G. Brink</w:t>
      </w:r>
      <w:r w:rsidR="003D7884">
        <w:rPr>
          <w:vertAlign w:val="superscript"/>
        </w:rPr>
        <w:t>c</w:t>
      </w:r>
      <w:r w:rsidR="00B57E6F" w:rsidRPr="00B57B36">
        <w:rPr>
          <w:vertAlign w:val="superscript"/>
        </w:rPr>
        <w:t>,</w:t>
      </w:r>
      <w:r w:rsidR="00B57E6F" w:rsidRPr="00B57B36">
        <w:t>*</w:t>
      </w:r>
    </w:p>
    <w:p w14:paraId="6B2D21B3" w14:textId="1B52E19B" w:rsidR="00B57E6F" w:rsidRPr="00B57B36" w:rsidRDefault="00C663B1" w:rsidP="00B57E6F">
      <w:pPr>
        <w:pStyle w:val="CETAddress"/>
      </w:pPr>
      <w:r w:rsidRPr="00C663B1">
        <w:t xml:space="preserve">Department of Chemical Engineering, Faculty of Engineering, Built Environment and Information Technology, University of Pretoria, Pretoria, South Africa. </w:t>
      </w:r>
      <w:r>
        <w:t xml:space="preserve"> </w:t>
      </w:r>
    </w:p>
    <w:p w14:paraId="3D72B0B0" w14:textId="7EC10B64" w:rsidR="00B57E6F" w:rsidRPr="00B57B36" w:rsidRDefault="00B57E6F" w:rsidP="00B57E6F">
      <w:pPr>
        <w:pStyle w:val="CETAddress"/>
      </w:pPr>
    </w:p>
    <w:p w14:paraId="73F1267A" w14:textId="5D9DAD8B" w:rsidR="00B57E6F" w:rsidRPr="00B57B36" w:rsidRDefault="00B57E6F" w:rsidP="00B57E6F">
      <w:pPr>
        <w:pStyle w:val="CETemail"/>
      </w:pPr>
      <w:r>
        <w:t xml:space="preserve"> </w:t>
      </w:r>
      <w:r w:rsidR="00C663B1" w:rsidRPr="00C663B1">
        <w:t xml:space="preserve">deon.brink@up.ac.za  </w:t>
      </w:r>
    </w:p>
    <w:p w14:paraId="5B8A3DCF" w14:textId="5ED72631" w:rsidR="00C663B1" w:rsidRDefault="00C663B1" w:rsidP="00600535">
      <w:pPr>
        <w:pStyle w:val="CETBodytext"/>
        <w:rPr>
          <w:lang w:val="en-GB"/>
        </w:rPr>
      </w:pPr>
      <w:r w:rsidRPr="00C663B1">
        <w:rPr>
          <w:lang w:val="en-GB"/>
        </w:rPr>
        <w:t xml:space="preserve">A microbial consortium which was obtained from lead contaminated soil at a battery recycling plant in South Africa has been demonstrated to remove 90 % of </w:t>
      </w:r>
      <w:proofErr w:type="gramStart"/>
      <w:r w:rsidRPr="00C663B1">
        <w:rPr>
          <w:lang w:val="en-GB"/>
        </w:rPr>
        <w:t>Pb(</w:t>
      </w:r>
      <w:proofErr w:type="gramEnd"/>
      <w:r w:rsidRPr="00C663B1">
        <w:rPr>
          <w:lang w:val="en-GB"/>
        </w:rPr>
        <w:t>II) from an 80 mg</w:t>
      </w:r>
      <w:r>
        <w:rPr>
          <w:lang w:val="en-GB"/>
        </w:rPr>
        <w:t>/L</w:t>
      </w:r>
      <w:r w:rsidRPr="00C663B1">
        <w:rPr>
          <w:lang w:val="en-GB"/>
        </w:rPr>
        <w:t xml:space="preserve"> solution over a period of 7 days</w:t>
      </w:r>
      <w:r>
        <w:rPr>
          <w:lang w:val="en-GB"/>
        </w:rPr>
        <w:t>.</w:t>
      </w:r>
      <w:r w:rsidR="00E82092">
        <w:rPr>
          <w:lang w:val="en-GB"/>
        </w:rPr>
        <w:t xml:space="preserve"> </w:t>
      </w:r>
      <w:r w:rsidRPr="00C663B1">
        <w:rPr>
          <w:lang w:val="en-GB"/>
        </w:rPr>
        <w:t xml:space="preserve">The consortium was effective at precipitating </w:t>
      </w:r>
      <w:proofErr w:type="gramStart"/>
      <w:r w:rsidRPr="00C663B1">
        <w:rPr>
          <w:lang w:val="en-GB"/>
        </w:rPr>
        <w:t>Pb(</w:t>
      </w:r>
      <w:proofErr w:type="gramEnd"/>
      <w:r w:rsidRPr="00C663B1">
        <w:rPr>
          <w:lang w:val="en-GB"/>
        </w:rPr>
        <w:t xml:space="preserve">II) from solution and was shown to remove approximately 50 % of Pb(II) at conditions of 80 and 500 ppm within the first 3 hours. Study shows that the identities of the precipitates vary for each microbial strain, as </w:t>
      </w:r>
      <w:proofErr w:type="spellStart"/>
      <w:r w:rsidRPr="00C663B1">
        <w:rPr>
          <w:lang w:val="en-GB"/>
        </w:rPr>
        <w:t>PbS</w:t>
      </w:r>
      <w:proofErr w:type="spellEnd"/>
      <w:r w:rsidRPr="00C663B1">
        <w:rPr>
          <w:lang w:val="en-GB"/>
        </w:rPr>
        <w:t xml:space="preserve"> and </w:t>
      </w:r>
      <m:oMath>
        <m:sSup>
          <m:sSupPr>
            <m:ctrlPr>
              <w:rPr>
                <w:rFonts w:ascii="Cambria Math" w:hAnsi="Cambria Math"/>
                <w:i/>
                <w:lang w:val="en-GB"/>
              </w:rPr>
            </m:ctrlPr>
          </m:sSupPr>
          <m:e>
            <m:r>
              <w:rPr>
                <w:rFonts w:ascii="Cambria Math" w:hAnsi="Cambria Math"/>
                <w:lang w:val="en-GB"/>
              </w:rPr>
              <m:t>Pb</m:t>
            </m:r>
          </m:e>
          <m:sup>
            <m:r>
              <w:rPr>
                <w:rFonts w:ascii="Cambria Math" w:hAnsi="Cambria Math"/>
                <w:lang w:val="en-GB"/>
              </w:rPr>
              <m:t>0</m:t>
            </m:r>
          </m:sup>
        </m:sSup>
      </m:oMath>
      <w:r w:rsidRPr="00C663B1">
        <w:rPr>
          <w:lang w:val="en-GB"/>
        </w:rPr>
        <w:t xml:space="preserve"> were the main species precipitated by </w:t>
      </w:r>
      <w:r w:rsidRPr="00CB3995">
        <w:rPr>
          <w:i/>
          <w:iCs/>
          <w:lang w:val="en-GB"/>
        </w:rPr>
        <w:t xml:space="preserve">P. </w:t>
      </w:r>
      <w:proofErr w:type="spellStart"/>
      <w:r w:rsidRPr="00CB3995">
        <w:rPr>
          <w:i/>
          <w:iCs/>
          <w:lang w:val="en-GB"/>
        </w:rPr>
        <w:t>bifermentans</w:t>
      </w:r>
      <w:proofErr w:type="spellEnd"/>
      <w:r w:rsidRPr="00C663B1">
        <w:rPr>
          <w:lang w:val="en-GB"/>
        </w:rPr>
        <w:t xml:space="preserve"> and </w:t>
      </w:r>
      <w:proofErr w:type="spellStart"/>
      <w:r w:rsidRPr="00C663B1">
        <w:rPr>
          <w:lang w:val="en-GB"/>
        </w:rPr>
        <w:t>PbO</w:t>
      </w:r>
      <w:proofErr w:type="spellEnd"/>
      <w:r w:rsidRPr="00C663B1">
        <w:rPr>
          <w:lang w:val="en-GB"/>
        </w:rPr>
        <w:t xml:space="preserve"> with either PbCl or </w:t>
      </w:r>
      <m:oMath>
        <m:sSub>
          <m:sSubPr>
            <m:ctrlPr>
              <w:rPr>
                <w:rFonts w:ascii="Cambria Math" w:hAnsi="Cambria Math"/>
                <w:i/>
                <w:lang w:val="en-GB"/>
              </w:rPr>
            </m:ctrlPr>
          </m:sSubPr>
          <m:e>
            <m:r>
              <w:rPr>
                <w:rFonts w:ascii="Cambria Math" w:hAnsi="Cambria Math"/>
                <w:lang w:val="en-GB"/>
              </w:rPr>
              <m:t>Pb</m:t>
            </m:r>
          </m:e>
          <m:sub>
            <m:r>
              <w:rPr>
                <w:rFonts w:ascii="Cambria Math" w:hAnsi="Cambria Math"/>
                <w:lang w:val="en-GB"/>
              </w:rPr>
              <m:t>3</m:t>
            </m:r>
          </m:sub>
        </m:sSub>
        <m:sSub>
          <m:sSubPr>
            <m:ctrlPr>
              <w:rPr>
                <w:rFonts w:ascii="Cambria Math" w:hAnsi="Cambria Math"/>
                <w:i/>
                <w:lang w:val="en-GB"/>
              </w:rPr>
            </m:ctrlPr>
          </m:sSubPr>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PO</m:t>
                    </m:r>
                  </m:e>
                  <m:sub>
                    <m:r>
                      <w:rPr>
                        <w:rFonts w:ascii="Cambria Math" w:hAnsi="Cambria Math"/>
                        <w:lang w:val="en-GB"/>
                      </w:rPr>
                      <m:t>4</m:t>
                    </m:r>
                  </m:sub>
                </m:sSub>
              </m:e>
            </m:d>
          </m:e>
          <m:sub>
            <m:r>
              <w:rPr>
                <w:rFonts w:ascii="Cambria Math" w:hAnsi="Cambria Math"/>
                <w:lang w:val="en-GB"/>
              </w:rPr>
              <m:t>2</m:t>
            </m:r>
          </m:sub>
        </m:sSub>
      </m:oMath>
      <w:r w:rsidR="00E82092">
        <w:rPr>
          <w:rFonts w:ascii="Cambria Math" w:eastAsia="Cambria Math" w:hAnsi="Cambria Math" w:cs="Cambria Math" w:hint="eastAsia"/>
          <w:lang w:val="en-GB"/>
        </w:rPr>
        <w:t xml:space="preserve"> </w:t>
      </w:r>
      <w:r w:rsidRPr="00C663B1">
        <w:rPr>
          <w:lang w:val="en-GB"/>
        </w:rPr>
        <w:t xml:space="preserve">precipitated by </w:t>
      </w:r>
      <w:r w:rsidRPr="00CB3995">
        <w:rPr>
          <w:i/>
          <w:iCs/>
          <w:lang w:val="en-GB"/>
        </w:rPr>
        <w:t>K. pneumoniae</w:t>
      </w:r>
      <w:r w:rsidRPr="00C663B1">
        <w:rPr>
          <w:lang w:val="en-GB"/>
        </w:rPr>
        <w:t xml:space="preserve">.  FTIR spectroscopy supported the chemisorption of </w:t>
      </w:r>
      <w:proofErr w:type="gramStart"/>
      <w:r w:rsidR="00463680">
        <w:rPr>
          <w:lang w:val="en-GB"/>
        </w:rPr>
        <w:t>Pb(</w:t>
      </w:r>
      <w:proofErr w:type="gramEnd"/>
      <w:r w:rsidR="00463680">
        <w:rPr>
          <w:lang w:val="en-GB"/>
        </w:rPr>
        <w:t>II)</w:t>
      </w:r>
      <w:r w:rsidRPr="00C663B1">
        <w:rPr>
          <w:lang w:val="en-GB"/>
        </w:rPr>
        <w:t xml:space="preserve"> onto functional groups as being responsible for this removal confirming biosorption being responsible for the initial phase of Pb(II) removal which acts as a vehicle for concentrating Pb(II) on the surface of the bacteria before bioprecipitation takes place</w:t>
      </w:r>
      <w:r w:rsidR="00E82092">
        <w:rPr>
          <w:lang w:val="en-GB"/>
        </w:rPr>
        <w:t>.</w:t>
      </w:r>
      <w:r w:rsidR="00466116">
        <w:rPr>
          <w:lang w:val="en-GB"/>
        </w:rPr>
        <w:t xml:space="preserve"> Functional groups identified in both the consortia and </w:t>
      </w:r>
      <w:r w:rsidR="00466116" w:rsidRPr="00CB3995">
        <w:rPr>
          <w:i/>
          <w:iCs/>
          <w:lang w:val="en-GB"/>
        </w:rPr>
        <w:t xml:space="preserve">P. </w:t>
      </w:r>
      <w:proofErr w:type="spellStart"/>
      <w:r w:rsidR="00466116" w:rsidRPr="00CB3995">
        <w:rPr>
          <w:i/>
          <w:iCs/>
          <w:lang w:val="en-GB"/>
        </w:rPr>
        <w:t>bifermentans</w:t>
      </w:r>
      <w:proofErr w:type="spellEnd"/>
      <w:r w:rsidR="00466116" w:rsidRPr="00CB3995">
        <w:rPr>
          <w:i/>
          <w:iCs/>
          <w:lang w:val="en-GB"/>
        </w:rPr>
        <w:t xml:space="preserve"> </w:t>
      </w:r>
      <w:r w:rsidR="00466116">
        <w:rPr>
          <w:lang w:val="en-GB"/>
        </w:rPr>
        <w:t xml:space="preserve">are alkyl halides, phenols, aromatic, and alkene. </w:t>
      </w:r>
      <w:r w:rsidR="00DB52CB" w:rsidRPr="00DB52CB">
        <w:rPr>
          <w:lang w:val="en-GB"/>
        </w:rPr>
        <w:t>Metabolically inactive consortium</w:t>
      </w:r>
      <w:r w:rsidR="00DB52CB">
        <w:rPr>
          <w:lang w:val="en-GB"/>
        </w:rPr>
        <w:t xml:space="preserve"> </w:t>
      </w:r>
      <w:r w:rsidR="00DB52CB" w:rsidRPr="00DB52CB">
        <w:rPr>
          <w:lang w:val="en-GB"/>
        </w:rPr>
        <w:t xml:space="preserve">and </w:t>
      </w:r>
      <w:r w:rsidR="00DB52CB" w:rsidRPr="00CB3995">
        <w:rPr>
          <w:i/>
          <w:iCs/>
          <w:lang w:val="en-GB"/>
        </w:rPr>
        <w:t xml:space="preserve">P. </w:t>
      </w:r>
      <w:proofErr w:type="spellStart"/>
      <w:r w:rsidR="00DB52CB" w:rsidRPr="00CB3995">
        <w:rPr>
          <w:i/>
          <w:iCs/>
          <w:lang w:val="en-GB"/>
        </w:rPr>
        <w:t>bifermentans</w:t>
      </w:r>
      <w:proofErr w:type="spellEnd"/>
      <w:r w:rsidR="00DB52CB" w:rsidRPr="00DB52CB">
        <w:rPr>
          <w:lang w:val="en-GB"/>
        </w:rPr>
        <w:t xml:space="preserve"> removed 54.44 mg/g</w:t>
      </w:r>
      <w:r w:rsidR="00DB52CB">
        <w:rPr>
          <w:lang w:val="en-GB"/>
        </w:rPr>
        <w:t xml:space="preserve"> </w:t>
      </w:r>
      <w:r w:rsidR="00DB52CB" w:rsidRPr="00DB52CB">
        <w:rPr>
          <w:lang w:val="en-GB"/>
        </w:rPr>
        <w:t xml:space="preserve">and 27.39 mg/g of </w:t>
      </w:r>
      <w:proofErr w:type="gramStart"/>
      <w:r w:rsidR="00DB52CB" w:rsidRPr="00DB52CB">
        <w:rPr>
          <w:lang w:val="en-GB"/>
        </w:rPr>
        <w:t>Pb(</w:t>
      </w:r>
      <w:proofErr w:type="gramEnd"/>
      <w:r w:rsidR="00DB52CB" w:rsidRPr="00DB52CB">
        <w:rPr>
          <w:lang w:val="en-GB"/>
        </w:rPr>
        <w:t>II) in 3 h respectively</w:t>
      </w:r>
      <w:r w:rsidR="00DB52CB">
        <w:rPr>
          <w:lang w:val="en-GB"/>
        </w:rPr>
        <w:t>.</w:t>
      </w:r>
      <w:r w:rsidR="003D7884">
        <w:rPr>
          <w:lang w:val="en-GB"/>
        </w:rPr>
        <w:t xml:space="preserve"> The adsorption kinetics shows that two-phase pseudo-first-order kinetics represents the data better than pseudo-</w:t>
      </w:r>
      <w:proofErr w:type="gramStart"/>
      <w:r w:rsidR="003D7884">
        <w:rPr>
          <w:lang w:val="en-GB"/>
        </w:rPr>
        <w:t>first-order</w:t>
      </w:r>
      <w:proofErr w:type="gramEnd"/>
      <w:r w:rsidR="003D7884">
        <w:rPr>
          <w:lang w:val="en-GB"/>
        </w:rPr>
        <w:t xml:space="preserve"> and pseudo-second-order kinetics. These results provide further insights into the </w:t>
      </w:r>
      <w:proofErr w:type="gramStart"/>
      <w:r w:rsidR="003D7884">
        <w:rPr>
          <w:lang w:val="en-GB"/>
        </w:rPr>
        <w:t>Pb(</w:t>
      </w:r>
      <w:proofErr w:type="gramEnd"/>
      <w:r w:rsidR="003D7884">
        <w:rPr>
          <w:lang w:val="en-GB"/>
        </w:rPr>
        <w:t>II) removal mechanisms required for eventual scaling of these processes.</w:t>
      </w:r>
      <w:r w:rsidR="00DB52CB">
        <w:rPr>
          <w:lang w:val="en-GB"/>
        </w:rPr>
        <w:t xml:space="preserve"> </w:t>
      </w:r>
    </w:p>
    <w:p w14:paraId="476B2F2E" w14:textId="77777777" w:rsidR="00600535" w:rsidRPr="00B57B36" w:rsidRDefault="00600535" w:rsidP="00600535">
      <w:pPr>
        <w:pStyle w:val="CETHeading1"/>
        <w:rPr>
          <w:lang w:val="en-GB"/>
        </w:rPr>
      </w:pPr>
      <w:r w:rsidRPr="00B57B36">
        <w:rPr>
          <w:lang w:val="en-GB"/>
        </w:rPr>
        <w:t>Introduction</w:t>
      </w:r>
    </w:p>
    <w:p w14:paraId="252F3349" w14:textId="6BDCF092" w:rsidR="00060C4B" w:rsidRDefault="00463680" w:rsidP="00600535">
      <w:pPr>
        <w:pStyle w:val="CETBodytext"/>
        <w:rPr>
          <w:lang w:val="en-GB"/>
        </w:rPr>
      </w:pPr>
      <w:r w:rsidRPr="00540C15">
        <w:rPr>
          <w:rFonts w:cs="Arial"/>
        </w:rPr>
        <w:t>Due to the increasing concern about public health and environmental problems caused by lead contamination, developing highly efficient and stable treatment methods is necessary (</w:t>
      </w:r>
      <w:proofErr w:type="spellStart"/>
      <w:r w:rsidRPr="00540C15">
        <w:rPr>
          <w:rFonts w:cs="Arial"/>
        </w:rPr>
        <w:t>Jeong</w:t>
      </w:r>
      <w:proofErr w:type="spellEnd"/>
      <w:r w:rsidRPr="00540C15">
        <w:rPr>
          <w:rFonts w:cs="Arial"/>
        </w:rPr>
        <w:t xml:space="preserve"> et al., 2019).</w:t>
      </w:r>
      <w:r w:rsidRPr="007D3A92">
        <w:rPr>
          <w:rFonts w:ascii="Times New Roman" w:hAnsi="Times New Roman"/>
        </w:rPr>
        <w:t xml:space="preserve"> </w:t>
      </w:r>
      <w:r w:rsidR="0085609B" w:rsidRPr="0085609B">
        <w:t>Lead is one of a limited class of elements that can be described as purely toxic (Tiwari et al., 2013). Lead causes environmental and health problems because of its stability in contaminated site and complexity of mechanism in biological toxicity, particularly hazardous for children leading to mental retardation when exist with abnormal concentration in body fluid (Tiwari et al., 2013).</w:t>
      </w:r>
      <w:r w:rsidR="0085609B">
        <w:t xml:space="preserve"> </w:t>
      </w:r>
      <w:r w:rsidR="0085609B" w:rsidRPr="0085609B">
        <w:rPr>
          <w:lang w:val="en-GB"/>
        </w:rPr>
        <w:t>Lead exposure in plants causes necrosis, reduction in biomass and it inhibits growth (Bilal Shakoor et al., 2013). Lead poisoning causes brain damage and mental retardation of children (Moncrieff et al., 1964; Gibson et al., 1967).</w:t>
      </w:r>
      <w:r w:rsidR="0085609B">
        <w:rPr>
          <w:lang w:val="en-GB"/>
        </w:rPr>
        <w:t xml:space="preserve"> </w:t>
      </w:r>
      <w:r w:rsidR="0085609B" w:rsidRPr="0085609B">
        <w:rPr>
          <w:lang w:val="en-GB"/>
        </w:rPr>
        <w:t>People with prolonged exposure to lead may be at risk for high blood pressure, heart disease, kidney disease, and reduced fertility (CDC, 2021). Lead targets tissues and organs including the heart, bones, intestines, kidneys, and the reproductive system, thus capable of disrupting metabolic processes and threaten lives (Seiler et al., 1994; Deng et al., 2006).</w:t>
      </w:r>
    </w:p>
    <w:p w14:paraId="041493D3" w14:textId="58C93E2A" w:rsidR="00060C4B" w:rsidRDefault="00060C4B" w:rsidP="00600535">
      <w:pPr>
        <w:pStyle w:val="CETBodytext"/>
        <w:rPr>
          <w:lang w:val="en-GB"/>
        </w:rPr>
      </w:pPr>
      <w:r w:rsidRPr="00060C4B">
        <w:rPr>
          <w:lang w:val="en-GB"/>
        </w:rPr>
        <w:t xml:space="preserve">Conventional techniques such as membrane filtration, adsorption, chemical precipitation, ion exchange and electrodialysis are employed in addressing lead pollution from waste streams by converting </w:t>
      </w:r>
      <w:proofErr w:type="gramStart"/>
      <w:r w:rsidRPr="00060C4B">
        <w:rPr>
          <w:lang w:val="en-GB"/>
        </w:rPr>
        <w:t>Pb(</w:t>
      </w:r>
      <w:proofErr w:type="gramEnd"/>
      <w:r w:rsidRPr="00060C4B">
        <w:rPr>
          <w:lang w:val="en-GB"/>
        </w:rPr>
        <w:t xml:space="preserve">II) ions to a less harmful state but requires supplementary treatment in the recovery of Pb (0) (Van </w:t>
      </w:r>
      <w:proofErr w:type="spellStart"/>
      <w:r w:rsidRPr="00060C4B">
        <w:rPr>
          <w:lang w:val="en-GB"/>
        </w:rPr>
        <w:t>Veenhuyzen</w:t>
      </w:r>
      <w:proofErr w:type="spellEnd"/>
      <w:r w:rsidRPr="00060C4B">
        <w:rPr>
          <w:lang w:val="en-GB"/>
        </w:rPr>
        <w:t xml:space="preserve"> et al., 2021).</w:t>
      </w:r>
      <w:r w:rsidRPr="00060C4B">
        <w:t xml:space="preserve"> </w:t>
      </w:r>
      <w:r w:rsidRPr="00060C4B">
        <w:rPr>
          <w:lang w:val="en-GB"/>
        </w:rPr>
        <w:t xml:space="preserve">Most of these treatment techniques are advantageous due to high selectivity but are too costly in the treatment of waste streams with low </w:t>
      </w:r>
      <w:proofErr w:type="gramStart"/>
      <w:r w:rsidRPr="00060C4B">
        <w:rPr>
          <w:lang w:val="en-GB"/>
        </w:rPr>
        <w:t>Pb(</w:t>
      </w:r>
      <w:proofErr w:type="gramEnd"/>
      <w:r w:rsidRPr="00060C4B">
        <w:rPr>
          <w:lang w:val="en-GB"/>
        </w:rPr>
        <w:t>II) concentrations (Fu and Wang, 2011). Adsorption has become one of the alternative treatments due to its low-cost, high performance and wide pH range, in recent years, the search for low-cost adsorbents that have metal-binding capacities has intensified (Leung et al., 2000).</w:t>
      </w:r>
      <w:r>
        <w:rPr>
          <w:lang w:val="en-GB"/>
        </w:rPr>
        <w:t xml:space="preserve"> </w:t>
      </w:r>
      <w:r w:rsidR="0085609B" w:rsidRPr="0085609B">
        <w:rPr>
          <w:lang w:val="en-GB"/>
        </w:rPr>
        <w:t>Biosorption is a process that utilizes biological materials as adsorbents (</w:t>
      </w:r>
      <w:proofErr w:type="spellStart"/>
      <w:r w:rsidR="0085609B" w:rsidRPr="0085609B">
        <w:rPr>
          <w:lang w:val="en-GB"/>
        </w:rPr>
        <w:t>Volesky</w:t>
      </w:r>
      <w:proofErr w:type="spellEnd"/>
      <w:r w:rsidR="0085609B" w:rsidRPr="0085609B">
        <w:rPr>
          <w:lang w:val="en-GB"/>
        </w:rPr>
        <w:t xml:space="preserve">, 1994), and this method has been studied by </w:t>
      </w:r>
      <w:r w:rsidR="0085609B" w:rsidRPr="0085609B">
        <w:rPr>
          <w:lang w:val="en-GB"/>
        </w:rPr>
        <w:lastRenderedPageBreak/>
        <w:t>several researchers as an alternative technique to conventional methods for heavy metal removal from wastewater (Ahluwalia and Goyal, 2007).</w:t>
      </w:r>
    </w:p>
    <w:p w14:paraId="3902EF3D" w14:textId="67E98CE0" w:rsidR="00060C4B" w:rsidRDefault="0085609B" w:rsidP="00600535">
      <w:pPr>
        <w:pStyle w:val="CETBodytext"/>
        <w:rPr>
          <w:lang w:val="en-GB"/>
        </w:rPr>
      </w:pPr>
      <w:r w:rsidRPr="0085609B">
        <w:rPr>
          <w:lang w:val="en-GB"/>
        </w:rPr>
        <w:t xml:space="preserve">A microbial consortium which was obtained from lead contaminated soil at a battery recycling plant in South Africa has been demonstrated to remove 90 % of Pb(II) from an 80 mg/L solution over a period of 7 days (Brink et al., 2017). The main purpose of this study is to investigate the bioremediation removal effectiveness of the consortium and </w:t>
      </w:r>
      <w:r>
        <w:rPr>
          <w:lang w:val="en-GB"/>
        </w:rPr>
        <w:t xml:space="preserve">one of </w:t>
      </w:r>
      <w:r w:rsidRPr="0085609B">
        <w:rPr>
          <w:lang w:val="en-GB"/>
        </w:rPr>
        <w:t>its isolated microbial strain (</w:t>
      </w:r>
      <w:r w:rsidRPr="00645677">
        <w:rPr>
          <w:i/>
          <w:iCs/>
          <w:lang w:val="en-GB"/>
        </w:rPr>
        <w:t xml:space="preserve">P. </w:t>
      </w:r>
      <w:proofErr w:type="spellStart"/>
      <w:r w:rsidRPr="00645677">
        <w:rPr>
          <w:i/>
          <w:iCs/>
          <w:lang w:val="en-GB"/>
        </w:rPr>
        <w:t>bifermentans</w:t>
      </w:r>
      <w:proofErr w:type="spellEnd"/>
      <w:r>
        <w:rPr>
          <w:lang w:val="en-GB"/>
        </w:rPr>
        <w:t xml:space="preserve">) </w:t>
      </w:r>
      <w:r w:rsidRPr="0085609B">
        <w:rPr>
          <w:lang w:val="en-GB"/>
        </w:rPr>
        <w:t xml:space="preserve">to determine its contribution to </w:t>
      </w:r>
      <w:proofErr w:type="gramStart"/>
      <w:r w:rsidRPr="0085609B">
        <w:rPr>
          <w:lang w:val="en-GB"/>
        </w:rPr>
        <w:t>Pb(</w:t>
      </w:r>
      <w:proofErr w:type="gramEnd"/>
      <w:r w:rsidRPr="0085609B">
        <w:rPr>
          <w:lang w:val="en-GB"/>
        </w:rPr>
        <w:t xml:space="preserve">II) removal. This method of bio-removal could serve as </w:t>
      </w:r>
      <w:r>
        <w:rPr>
          <w:lang w:val="en-GB"/>
        </w:rPr>
        <w:t xml:space="preserve">a further </w:t>
      </w:r>
      <w:r w:rsidRPr="0085609B">
        <w:rPr>
          <w:lang w:val="en-GB"/>
        </w:rPr>
        <w:t>step towards the design of a continuous reactor for large-scale implementation in various industries as a simple cost-effective method to remediate and regenerate Pb-containing effluents.</w:t>
      </w:r>
      <w:r>
        <w:rPr>
          <w:lang w:val="en-GB"/>
        </w:rPr>
        <w:t xml:space="preserve"> </w:t>
      </w:r>
    </w:p>
    <w:p w14:paraId="09406386" w14:textId="268A3946" w:rsidR="00453E24" w:rsidRDefault="00B24A55" w:rsidP="00453E24">
      <w:pPr>
        <w:pStyle w:val="CETHeading1"/>
      </w:pPr>
      <w:r>
        <w:t>Materials and methods</w:t>
      </w:r>
    </w:p>
    <w:p w14:paraId="0636B784" w14:textId="3C5FE409" w:rsidR="00453E24" w:rsidRDefault="00B24A55" w:rsidP="00453E24">
      <w:pPr>
        <w:pStyle w:val="CETheadingx"/>
      </w:pPr>
      <w:r>
        <w:t>Microbial culture</w:t>
      </w:r>
    </w:p>
    <w:p w14:paraId="5B6ED4A9" w14:textId="77777777" w:rsidR="005D398C" w:rsidRPr="005D398C" w:rsidRDefault="005D398C" w:rsidP="005D398C">
      <w:pPr>
        <w:pStyle w:val="ListParagraph"/>
        <w:spacing w:line="276" w:lineRule="auto"/>
        <w:ind w:left="0"/>
        <w:rPr>
          <w:rFonts w:cs="Arial"/>
        </w:rPr>
      </w:pPr>
      <w:r w:rsidRPr="005D398C">
        <w:rPr>
          <w:rFonts w:cs="Arial"/>
        </w:rPr>
        <w:t xml:space="preserve">The microbial cultures preparation is described by Brink, </w:t>
      </w:r>
      <w:proofErr w:type="spellStart"/>
      <w:r w:rsidRPr="005D398C">
        <w:rPr>
          <w:rFonts w:cs="Arial"/>
        </w:rPr>
        <w:t>Hörstmann</w:t>
      </w:r>
      <w:proofErr w:type="spellEnd"/>
      <w:r w:rsidRPr="005D398C">
        <w:rPr>
          <w:rFonts w:cs="Arial"/>
        </w:rPr>
        <w:t xml:space="preserve"> &amp; Feucht (2019) in study conducted by this research team on the determination of the minimum inhibitory concentration of a consortium obtained from a borehole at an automotive-battery recycling plant in South Africa. </w:t>
      </w:r>
      <w:r w:rsidRPr="005D398C">
        <w:rPr>
          <w:rFonts w:cs="Arial"/>
          <w:i/>
          <w:iCs/>
          <w:lang w:val="en-US"/>
        </w:rPr>
        <w:t xml:space="preserve">P. </w:t>
      </w:r>
      <w:proofErr w:type="spellStart"/>
      <w:r w:rsidRPr="005D398C">
        <w:rPr>
          <w:rFonts w:cs="Arial"/>
          <w:i/>
          <w:iCs/>
          <w:lang w:val="en-US"/>
        </w:rPr>
        <w:t>bifermentans</w:t>
      </w:r>
      <w:proofErr w:type="spellEnd"/>
      <w:r w:rsidRPr="005D398C">
        <w:rPr>
          <w:rFonts w:cs="Arial"/>
          <w:i/>
          <w:iCs/>
          <w:lang w:val="en-US"/>
        </w:rPr>
        <w:t xml:space="preserve"> </w:t>
      </w:r>
      <w:r w:rsidRPr="005D398C">
        <w:rPr>
          <w:rFonts w:cs="Arial"/>
          <w:lang w:val="en-US"/>
        </w:rPr>
        <w:t xml:space="preserve">was prepared from a battery recycling plant consortium frozen at -60 °C. The consortium and </w:t>
      </w:r>
      <w:r w:rsidRPr="005D398C">
        <w:rPr>
          <w:rFonts w:cs="Arial"/>
          <w:i/>
          <w:iCs/>
          <w:lang w:val="en-US"/>
        </w:rPr>
        <w:t xml:space="preserve">P. </w:t>
      </w:r>
      <w:proofErr w:type="spellStart"/>
      <w:r w:rsidRPr="005D398C">
        <w:rPr>
          <w:rFonts w:cs="Arial"/>
          <w:i/>
          <w:iCs/>
          <w:lang w:val="en-US"/>
        </w:rPr>
        <w:t>bifermentans</w:t>
      </w:r>
      <w:proofErr w:type="spellEnd"/>
      <w:r w:rsidRPr="005D398C">
        <w:rPr>
          <w:rFonts w:cs="Arial"/>
          <w:lang w:val="en-US"/>
        </w:rPr>
        <w:t xml:space="preserve"> were prepared under aerobic conditions in a batch reactor and were left to grow in a shaker-incubator for 24 h, 35 °C, and 120 rpm.</w:t>
      </w:r>
    </w:p>
    <w:p w14:paraId="73E9546F" w14:textId="77777777" w:rsidR="005D398C" w:rsidRPr="005D398C" w:rsidRDefault="005D398C" w:rsidP="005D398C">
      <w:pPr>
        <w:pStyle w:val="CETBodytext"/>
      </w:pPr>
    </w:p>
    <w:p w14:paraId="74E4DF73" w14:textId="68C12BA9" w:rsidR="00FC148B" w:rsidRDefault="00FC148B" w:rsidP="00FC148B">
      <w:pPr>
        <w:pStyle w:val="CETheadingx"/>
      </w:pPr>
      <w:r>
        <w:t>Metabolic activity measurement</w:t>
      </w:r>
    </w:p>
    <w:p w14:paraId="55B4DBE4" w14:textId="3B62B8CF" w:rsidR="00FC148B" w:rsidRDefault="00FC148B" w:rsidP="00FC148B">
      <w:pPr>
        <w:pStyle w:val="CETBodytext"/>
      </w:pPr>
      <w:r w:rsidRPr="00FC148B">
        <w:t>Metabolic activity measurements were conducted with the aid of 3-(4,5-dimethylthiazol-2-yl)-2,5-diphenyl tetrazolium bromide (MTT) which is a yellow dye reduced to formazan crystals and the organic solvent dimethyl sulfoxide (DMSO) at a wavelength of 550 nm (Sigma Aldrich, St. Louis, MO, USA) (</w:t>
      </w:r>
      <w:proofErr w:type="spellStart"/>
      <w:r w:rsidRPr="00FC148B">
        <w:t>Hörstmann</w:t>
      </w:r>
      <w:proofErr w:type="spellEnd"/>
      <w:r w:rsidRPr="00FC148B">
        <w:t xml:space="preserve"> et al., 2020). For metabolic activity readings, 0.5 mL filtered (0.45 µm) of the sample was added to 0.2 mL MTT and 1.3 mL sterilized ultrapure water. Also, 0.5 mL unfiltered sample was added to 0.2 mL MTT and 1.3 mL sterilized ultrapure water. Dimethyl sulfoxide was added to the solution after an hour incubation to dissolve the formazan crystals (Van </w:t>
      </w:r>
      <w:proofErr w:type="spellStart"/>
      <w:r w:rsidRPr="00FC148B">
        <w:t>Veenhuyzen</w:t>
      </w:r>
      <w:proofErr w:type="spellEnd"/>
      <w:r w:rsidRPr="00FC148B">
        <w:t xml:space="preserve"> et al., 2021).  A spectrophotometer was used in measuring light absorbed at 550 nm between the unfiltered and filtered samples to infer metabolic activity differences (Peens, 2018).  </w:t>
      </w:r>
    </w:p>
    <w:p w14:paraId="4378F42A" w14:textId="753B3CB7" w:rsidR="00FC148B" w:rsidRDefault="005C08AF" w:rsidP="005C08AF">
      <w:pPr>
        <w:pStyle w:val="CETheadingx"/>
      </w:pPr>
      <w:r>
        <w:t>Lead removal experiments</w:t>
      </w:r>
    </w:p>
    <w:p w14:paraId="47F20D74" w14:textId="77777777" w:rsidR="005C08AF" w:rsidRDefault="005C08AF" w:rsidP="005C08AF">
      <w:pPr>
        <w:pStyle w:val="CETBodytext"/>
      </w:pPr>
      <w:r>
        <w:t xml:space="preserve">The Pb(II) concentration in samples was measured using an atomic absorption spectroscopy (Perkin Elmer </w:t>
      </w:r>
      <w:proofErr w:type="spellStart"/>
      <w:r>
        <w:t>AAnalyst</w:t>
      </w:r>
      <w:proofErr w:type="spellEnd"/>
      <w:r>
        <w:t xml:space="preserve"> 400, Waltham, Massachusetts). </w:t>
      </w:r>
    </w:p>
    <w:p w14:paraId="690987D1" w14:textId="77777777" w:rsidR="00394919" w:rsidRDefault="005D398C" w:rsidP="005C08AF">
      <w:pPr>
        <w:pStyle w:val="CETBodytext"/>
      </w:pPr>
      <w:r>
        <w:t>The adsorption capacity was calculated as:</w:t>
      </w:r>
    </w:p>
    <w:p w14:paraId="7F995832" w14:textId="7A78029F" w:rsidR="005D398C" w:rsidRPr="005D398C" w:rsidRDefault="005D398C" w:rsidP="005C08AF">
      <w:pPr>
        <w:pStyle w:val="CETBodytext"/>
      </w:pPr>
      <m:oMathPara>
        <m:oMath>
          <m:sSub>
            <m:sSubPr>
              <m:ctrlPr>
                <w:rPr>
                  <w:rFonts w:ascii="Cambria Math" w:hAnsi="Cambria Math"/>
                  <w:lang w:val="en-GB"/>
                </w:rPr>
              </m:ctrlPr>
            </m:sSubPr>
            <m:e>
              <m:r>
                <w:rPr>
                  <w:rFonts w:ascii="Cambria Math" w:hAnsi="Cambria Math"/>
                </w:rPr>
                <m:t>q</m:t>
              </m:r>
            </m:e>
            <m:sub>
              <m:r>
                <w:rPr>
                  <w:rFonts w:ascii="Cambria Math" w:hAnsi="Cambria Math"/>
                </w:rPr>
                <m:t>t</m:t>
              </m:r>
            </m:sub>
          </m:sSub>
          <m:r>
            <m:rPr>
              <m:sty m:val="p"/>
            </m:rPr>
            <w:rPr>
              <w:rFonts w:ascii="Cambria Math" w:hAnsi="Cambria Math"/>
            </w:rPr>
            <m:t xml:space="preserve">= </m:t>
          </m:r>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o</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m:t>
                      </m:r>
                    </m:e>
                    <m:sub>
                      <m:r>
                        <w:rPr>
                          <w:rFonts w:ascii="Cambria Math" w:hAnsi="Cambria Math"/>
                        </w:rPr>
                        <m:t>f</m:t>
                      </m:r>
                    </m:sub>
                  </m:sSub>
                </m:e>
              </m:d>
              <m:r>
                <w:rPr>
                  <w:rFonts w:ascii="Cambria Math" w:hAnsi="Cambria Math"/>
                </w:rPr>
                <m:t>V</m:t>
              </m:r>
              <m:r>
                <m:rPr>
                  <m:sty m:val="p"/>
                </m:rPr>
                <w:rPr>
                  <w:rFonts w:ascii="Cambria Math" w:hAnsi="Cambria Math"/>
                </w:rPr>
                <m:t xml:space="preserve"> </m:t>
              </m:r>
            </m:num>
            <m:den>
              <m:r>
                <w:rPr>
                  <w:rFonts w:ascii="Cambria Math" w:hAnsi="Cambria Math"/>
                </w:rPr>
                <m:t>W</m:t>
              </m:r>
            </m:den>
          </m:f>
          <m:r>
            <w:rPr>
              <w:rFonts w:ascii="Cambria Math" w:hAnsi="Cambria Math"/>
            </w:rPr>
            <m:t xml:space="preserve">                              (1)</m:t>
          </m:r>
        </m:oMath>
      </m:oMathPara>
    </w:p>
    <w:p w14:paraId="5B92F119" w14:textId="65F683F2" w:rsidR="00394919" w:rsidRDefault="00394919" w:rsidP="00394919">
      <w:pPr>
        <w:pStyle w:val="CETBodytext"/>
      </w:pPr>
      <w:r w:rsidRPr="000255ED">
        <w:t xml:space="preserve">Where </w:t>
      </w:r>
      <m:oMath>
        <m:sSub>
          <m:sSubPr>
            <m:ctrlPr>
              <w:rPr>
                <w:rFonts w:ascii="Cambria Math" w:hAnsi="Cambria Math"/>
                <w:i/>
              </w:rPr>
            </m:ctrlPr>
          </m:sSubPr>
          <m:e>
            <m:r>
              <w:rPr>
                <w:rFonts w:ascii="Cambria Math" w:hAnsi="Cambria Math"/>
              </w:rPr>
              <m:t>q</m:t>
            </m:r>
          </m:e>
          <m:sub>
            <m:r>
              <w:rPr>
                <w:rFonts w:ascii="Cambria Math" w:hAnsi="Cambria Math"/>
              </w:rPr>
              <m:t>t</m:t>
            </m:r>
          </m:sub>
        </m:sSub>
      </m:oMath>
      <w:r w:rsidRPr="000255ED">
        <w:t xml:space="preserve"> is the adsorption capacity in mg/g,</w:t>
      </w:r>
      <w:r>
        <w:t xml:space="preserve"> </w:t>
      </w:r>
      <m:oMath>
        <m:sSub>
          <m:sSubPr>
            <m:ctrlPr>
              <w:rPr>
                <w:rFonts w:ascii="Cambria Math" w:hAnsi="Cambria Math"/>
                <w:i/>
              </w:rPr>
            </m:ctrlPr>
          </m:sSubPr>
          <m:e>
            <m:r>
              <w:rPr>
                <w:rFonts w:ascii="Cambria Math" w:hAnsi="Cambria Math"/>
              </w:rPr>
              <m:t>C</m:t>
            </m:r>
          </m:e>
          <m:sub>
            <m:r>
              <w:rPr>
                <w:rFonts w:ascii="Cambria Math" w:hAnsi="Cambria Math"/>
              </w:rPr>
              <m:t>o</m:t>
            </m:r>
          </m:sub>
        </m:sSub>
      </m:oMath>
      <w:r w:rsidRPr="000255ED">
        <w:t xml:space="preserve"> and </w:t>
      </w:r>
      <m:oMath>
        <m:sSub>
          <m:sSubPr>
            <m:ctrlPr>
              <w:rPr>
                <w:rFonts w:ascii="Cambria Math" w:hAnsi="Cambria Math"/>
                <w:i/>
              </w:rPr>
            </m:ctrlPr>
          </m:sSubPr>
          <m:e>
            <m:r>
              <w:rPr>
                <w:rFonts w:ascii="Cambria Math" w:hAnsi="Cambria Math"/>
              </w:rPr>
              <m:t>C</m:t>
            </m:r>
          </m:e>
          <m:sub>
            <m:r>
              <w:rPr>
                <w:rFonts w:ascii="Cambria Math" w:hAnsi="Cambria Math"/>
              </w:rPr>
              <m:t>f</m:t>
            </m:r>
          </m:sub>
        </m:sSub>
      </m:oMath>
      <w:r w:rsidRPr="000255ED">
        <w:t xml:space="preserve"> are the initial and final concentrations in mg/L respectively, V is the </w:t>
      </w:r>
      <w:r>
        <w:t>volume of the solution in L</w:t>
      </w:r>
      <w:r w:rsidRPr="000255ED">
        <w:t>, and W is the dry mass of adsorbent in g</w:t>
      </w:r>
      <w:r>
        <w:t xml:space="preserve">.  </w:t>
      </w:r>
    </w:p>
    <w:p w14:paraId="2209A30F" w14:textId="77777777" w:rsidR="005D398C" w:rsidRDefault="005D398C" w:rsidP="005C08AF">
      <w:pPr>
        <w:pStyle w:val="CETBodytext"/>
      </w:pPr>
    </w:p>
    <w:p w14:paraId="5E238CED" w14:textId="56BA433C" w:rsidR="00394919" w:rsidRDefault="00394919" w:rsidP="00394919">
      <w:pPr>
        <w:pStyle w:val="CETheadingx"/>
      </w:pPr>
      <w:r>
        <w:t>Adsorption kinetics</w:t>
      </w:r>
    </w:p>
    <w:p w14:paraId="4C294D0E" w14:textId="4EF571AD" w:rsidR="00394919" w:rsidRDefault="00394919" w:rsidP="00394919">
      <w:pPr>
        <w:pStyle w:val="CETBodytext"/>
      </w:pPr>
      <w:r>
        <w:t>The sampled adsorptions were fit to a pseudo-first-order, two-phase pseudo-first order, and a pseudo-second order isotherms as described in Equation 2 (Tan and Hameed, 2017), Equation 3 (Wang et al., 2011), and Equation 4 (Tan and Hameed, 2017) respectively.</w:t>
      </w:r>
    </w:p>
    <w:p w14:paraId="7CD72959" w14:textId="77777777" w:rsidR="00394919" w:rsidRDefault="00394919" w:rsidP="00394919">
      <w:pPr>
        <w:pStyle w:val="CETBodytext"/>
      </w:pPr>
    </w:p>
    <w:p w14:paraId="112C9073" w14:textId="2BB2FE77" w:rsidR="00394919" w:rsidRDefault="00394919" w:rsidP="00394919">
      <w:pPr>
        <w:pStyle w:val="CETBodytext"/>
        <w:rPr>
          <w:rFonts w:eastAsiaTheme="minorEastAsia"/>
        </w:rPr>
      </w:pPr>
      <m:oMath>
        <m:r>
          <w:rPr>
            <w:rFonts w:ascii="Cambria Math" w:eastAsiaTheme="minorEastAsia" w:hAnsi="Cambria Math"/>
          </w:rPr>
          <m:t xml:space="preserve">                       Q</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e</m:t>
            </m:r>
          </m:sub>
        </m:sSub>
        <m:d>
          <m:dPr>
            <m:begChr m:val="["/>
            <m:endChr m:val="]"/>
            <m:ctrlPr>
              <w:rPr>
                <w:rFonts w:ascii="Cambria Math" w:eastAsiaTheme="minorEastAsia" w:hAnsi="Cambria Math"/>
                <w:i/>
              </w:rPr>
            </m:ctrlPr>
          </m:dPr>
          <m:e>
            <m:r>
              <w:rPr>
                <w:rFonts w:ascii="Cambria Math" w:eastAsiaTheme="minorEastAsia" w:hAnsi="Cambria Math"/>
              </w:rPr>
              <m:t>1-</m:t>
            </m:r>
            <m:r>
              <m:rPr>
                <m:sty m:val="p"/>
              </m:rPr>
              <w:rPr>
                <w:rFonts w:ascii="Cambria Math" w:eastAsiaTheme="minorEastAsia" w:hAnsi="Cambria Math"/>
              </w:rPr>
              <m:t>exp⁡</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r>
              <w:rPr>
                <w:rFonts w:ascii="Cambria Math" w:eastAsiaTheme="minorEastAsia" w:hAnsi="Cambria Math"/>
              </w:rPr>
              <m:t>t)</m:t>
            </m:r>
          </m:e>
        </m:d>
      </m:oMath>
      <w:r w:rsidRPr="00146B94">
        <w:rPr>
          <w:rFonts w:eastAsiaTheme="minorEastAsia"/>
        </w:rPr>
        <w:t xml:space="preserve">         </w:t>
      </w:r>
      <w:r>
        <w:rPr>
          <w:rFonts w:eastAsiaTheme="minorEastAsia"/>
        </w:rPr>
        <w:t xml:space="preserve">                                 </w:t>
      </w:r>
      <w:r w:rsidRPr="00146B94">
        <w:rPr>
          <w:rFonts w:eastAsiaTheme="minorEastAsia"/>
        </w:rPr>
        <w:t xml:space="preserve">            (2)</w:t>
      </w:r>
    </w:p>
    <w:p w14:paraId="75AE3C54" w14:textId="77777777" w:rsidR="00394919" w:rsidRPr="00146B94" w:rsidRDefault="00394919" w:rsidP="00394919">
      <w:pPr>
        <w:pStyle w:val="CETBodytext"/>
        <w:rPr>
          <w:rFonts w:ascii="Times New Roman" w:eastAsiaTheme="minorEastAsia" w:hAnsi="Times New Roman"/>
        </w:rPr>
      </w:pPr>
    </w:p>
    <w:p w14:paraId="384D5754" w14:textId="77777777" w:rsidR="00394919" w:rsidRDefault="00394919" w:rsidP="00394919">
      <w:pPr>
        <w:pStyle w:val="CETBodytext"/>
        <w:rPr>
          <w:rFonts w:ascii="Times New Roman" w:eastAsiaTheme="minorEastAsia" w:hAnsi="Times New Roman"/>
        </w:rPr>
      </w:pPr>
      <m:oMath>
        <m:r>
          <w:rPr>
            <w:rFonts w:ascii="Cambria Math" w:eastAsiaTheme="minorEastAsia" w:hAnsi="Cambria Math"/>
          </w:rPr>
          <m:t xml:space="preserve">                       Q</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e, fast</m:t>
            </m:r>
          </m:sub>
        </m:sSub>
        <m:d>
          <m:dPr>
            <m:begChr m:val="["/>
            <m:endChr m:val="]"/>
            <m:ctrlPr>
              <w:rPr>
                <w:rFonts w:ascii="Cambria Math" w:eastAsiaTheme="minorEastAsia" w:hAnsi="Cambria Math"/>
                <w:i/>
              </w:rPr>
            </m:ctrlPr>
          </m:dPr>
          <m:e>
            <m:r>
              <w:rPr>
                <w:rFonts w:ascii="Cambria Math" w:eastAsiaTheme="minorEastAsia" w:hAnsi="Cambria Math"/>
              </w:rPr>
              <m:t>1-</m:t>
            </m:r>
            <m:r>
              <m:rPr>
                <m:sty m:val="p"/>
              </m:rPr>
              <w:rPr>
                <w:rFonts w:ascii="Cambria Math" w:eastAsiaTheme="minorEastAsia" w:hAnsi="Cambria Math"/>
              </w:rPr>
              <m:t>exp⁡</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1,fast</m:t>
                </m:r>
              </m:sub>
            </m:sSub>
            <m:r>
              <w:rPr>
                <w:rFonts w:ascii="Cambria Math" w:eastAsiaTheme="minorEastAsia" w:hAnsi="Cambria Math"/>
              </w:rPr>
              <m:t>t)</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e,slow</m:t>
            </m:r>
          </m:sub>
        </m:sSub>
        <m:d>
          <m:dPr>
            <m:begChr m:val="["/>
            <m:endChr m:val="]"/>
            <m:ctrlPr>
              <w:rPr>
                <w:rFonts w:ascii="Cambria Math" w:eastAsiaTheme="minorEastAsia" w:hAnsi="Cambria Math"/>
                <w:i/>
              </w:rPr>
            </m:ctrlPr>
          </m:dPr>
          <m:e>
            <m:r>
              <w:rPr>
                <w:rFonts w:ascii="Cambria Math" w:eastAsiaTheme="minorEastAsia" w:hAnsi="Cambria Math"/>
              </w:rPr>
              <m:t>1-</m:t>
            </m:r>
            <m:r>
              <m:rPr>
                <m:sty m:val="p"/>
              </m:rPr>
              <w:rPr>
                <w:rFonts w:ascii="Cambria Math" w:eastAsiaTheme="minorEastAsia" w:hAnsi="Cambria Math"/>
              </w:rPr>
              <m:t>exp⁡</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 slow</m:t>
                </m:r>
              </m:sub>
            </m:sSub>
            <m:r>
              <w:rPr>
                <w:rFonts w:ascii="Cambria Math" w:eastAsiaTheme="minorEastAsia" w:hAnsi="Cambria Math"/>
              </w:rPr>
              <m:t>t)</m:t>
            </m:r>
          </m:e>
        </m:d>
      </m:oMath>
      <w:r w:rsidRPr="00146B94">
        <w:rPr>
          <w:rFonts w:ascii="Times New Roman" w:eastAsiaTheme="minorEastAsia" w:hAnsi="Times New Roman"/>
        </w:rPr>
        <w:t xml:space="preserve">           (3)</w:t>
      </w:r>
    </w:p>
    <w:p w14:paraId="0A1C1240" w14:textId="77777777" w:rsidR="00394919" w:rsidRPr="00146B94" w:rsidRDefault="00394919" w:rsidP="00394919">
      <w:pPr>
        <w:pStyle w:val="CETBodytext"/>
        <w:rPr>
          <w:rFonts w:ascii="Times New Roman" w:eastAsiaTheme="minorEastAsia" w:hAnsi="Times New Roman"/>
        </w:rPr>
      </w:pPr>
    </w:p>
    <w:p w14:paraId="71F4E7D4" w14:textId="77777777" w:rsidR="00394919" w:rsidRDefault="00394919" w:rsidP="00394919">
      <w:pPr>
        <w:pStyle w:val="CETBodytext"/>
        <w:rPr>
          <w:rFonts w:ascii="Times New Roman" w:eastAsiaTheme="minorEastAsia" w:hAnsi="Times New Roman"/>
        </w:rPr>
      </w:pPr>
      <m:oMath>
        <m:r>
          <w:rPr>
            <w:rFonts w:ascii="Cambria Math" w:eastAsiaTheme="minorEastAsia" w:hAnsi="Cambria Math"/>
          </w:rPr>
          <m:t xml:space="preserve">                       Q</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 xml:space="preserve">= </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Q</m:t>
                </m:r>
              </m:e>
              <m:sub>
                <m:r>
                  <w:rPr>
                    <w:rFonts w:ascii="Cambria Math" w:eastAsiaTheme="minorEastAsia" w:hAnsi="Cambria Math"/>
                  </w:rPr>
                  <m:t>e</m:t>
                </m:r>
              </m:sub>
              <m:sup>
                <m:r>
                  <w:rPr>
                    <w:rFonts w:ascii="Cambria Math" w:eastAsiaTheme="minorEastAsia" w:hAnsi="Cambria Math"/>
                  </w:rPr>
                  <m:t>2</m:t>
                </m:r>
              </m:sup>
            </m:sSubSup>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2</m:t>
                </m:r>
              </m:sub>
            </m:sSub>
            <m:r>
              <w:rPr>
                <w:rFonts w:ascii="Cambria Math" w:eastAsiaTheme="minorEastAsia" w:hAnsi="Cambria Math"/>
              </w:rPr>
              <m:t>t</m:t>
            </m:r>
          </m:num>
          <m:den>
            <m:r>
              <w:rPr>
                <w:rFonts w:ascii="Cambria Math" w:eastAsiaTheme="minorEastAsia" w:hAnsi="Cambria Math"/>
              </w:rPr>
              <m:t xml:space="preserve">1+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e</m:t>
                </m:r>
              </m:sub>
            </m:sSub>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2</m:t>
                </m:r>
              </m:sub>
            </m:sSub>
            <m:r>
              <w:rPr>
                <w:rFonts w:ascii="Cambria Math" w:eastAsiaTheme="minorEastAsia" w:hAnsi="Cambria Math"/>
              </w:rPr>
              <m:t>t</m:t>
            </m:r>
          </m:den>
        </m:f>
      </m:oMath>
      <w:r w:rsidRPr="00146B94">
        <w:rPr>
          <w:rFonts w:ascii="Times New Roman" w:eastAsiaTheme="minorEastAsia" w:hAnsi="Times New Roman"/>
        </w:rPr>
        <w:t xml:space="preserve">                                          (4)</w:t>
      </w:r>
    </w:p>
    <w:p w14:paraId="4935283C" w14:textId="77777777" w:rsidR="00394919" w:rsidRDefault="00394919" w:rsidP="00394919">
      <w:pPr>
        <w:pStyle w:val="CETBodytext"/>
        <w:rPr>
          <w:rFonts w:ascii="Times New Roman" w:eastAsiaTheme="minorEastAsia" w:hAnsi="Times New Roman"/>
        </w:rPr>
      </w:pPr>
    </w:p>
    <w:p w14:paraId="3FF550E4" w14:textId="157BA641" w:rsidR="00394919" w:rsidRPr="00394919" w:rsidRDefault="00394919" w:rsidP="00394919">
      <w:pPr>
        <w:pStyle w:val="CETBodytext"/>
        <w:rPr>
          <w:rFonts w:eastAsiaTheme="minorEastAsia" w:cs="Arial"/>
        </w:rPr>
      </w:pPr>
      <w:r>
        <w:rPr>
          <w:rFonts w:eastAsiaTheme="minorEastAsia" w:cs="Arial"/>
        </w:rPr>
        <w:t>W</w:t>
      </w:r>
      <w:r w:rsidRPr="00394919">
        <w:rPr>
          <w:rFonts w:eastAsiaTheme="minorEastAsia" w:cs="Arial"/>
        </w:rPr>
        <w:t xml:space="preserve">here </w:t>
      </w:r>
      <m:oMath>
        <m:sSub>
          <m:sSubPr>
            <m:ctrlPr>
              <w:rPr>
                <w:rFonts w:ascii="Cambria Math" w:eastAsiaTheme="minorEastAsia" w:hAnsi="Cambria Math" w:cs="Arial"/>
                <w:i/>
              </w:rPr>
            </m:ctrlPr>
          </m:sSubPr>
          <m:e>
            <m:r>
              <w:rPr>
                <w:rFonts w:ascii="Cambria Math" w:eastAsiaTheme="minorEastAsia" w:hAnsi="Cambria Math" w:cs="Arial"/>
              </w:rPr>
              <m:t>Q</m:t>
            </m:r>
          </m:e>
          <m:sub>
            <m:r>
              <w:rPr>
                <w:rFonts w:ascii="Cambria Math" w:eastAsiaTheme="minorEastAsia" w:hAnsi="Cambria Math" w:cs="Arial"/>
              </w:rPr>
              <m:t>e</m:t>
            </m:r>
          </m:sub>
        </m:sSub>
      </m:oMath>
      <w:r w:rsidRPr="00394919">
        <w:rPr>
          <w:rFonts w:eastAsiaTheme="minorEastAsia" w:cs="Arial"/>
        </w:rPr>
        <w:t xml:space="preserve"> is the value of </w:t>
      </w:r>
      <w:proofErr w:type="gramStart"/>
      <w:r w:rsidRPr="00394919">
        <w:rPr>
          <w:rFonts w:eastAsiaTheme="minorEastAsia" w:cs="Arial"/>
        </w:rPr>
        <w:t>Pb(</w:t>
      </w:r>
      <w:proofErr w:type="gramEnd"/>
      <w:r w:rsidRPr="00394919">
        <w:rPr>
          <w:rFonts w:eastAsiaTheme="minorEastAsia" w:cs="Arial"/>
        </w:rPr>
        <w:t xml:space="preserve">II) adsorbed at equilibrium in mg/g, t is time in min, </w:t>
      </w:r>
      <m:oMath>
        <m:sSub>
          <m:sSubPr>
            <m:ctrlPr>
              <w:rPr>
                <w:rFonts w:ascii="Cambria Math" w:eastAsiaTheme="minorEastAsia" w:hAnsi="Cambria Math" w:cs="Arial"/>
                <w:i/>
              </w:rPr>
            </m:ctrlPr>
          </m:sSubPr>
          <m:e>
            <m:r>
              <w:rPr>
                <w:rFonts w:ascii="Cambria Math" w:eastAsiaTheme="minorEastAsia" w:hAnsi="Cambria Math" w:cs="Arial"/>
              </w:rPr>
              <m:t>k</m:t>
            </m:r>
          </m:e>
          <m:sub>
            <m:r>
              <w:rPr>
                <w:rFonts w:ascii="Cambria Math" w:eastAsiaTheme="minorEastAsia" w:hAnsi="Cambria Math" w:cs="Arial"/>
              </w:rPr>
              <m:t>1</m:t>
            </m:r>
          </m:sub>
        </m:sSub>
      </m:oMath>
      <w:r w:rsidRPr="00394919">
        <w:rPr>
          <w:rFonts w:eastAsiaTheme="minorEastAsia" w:cs="Arial"/>
        </w:rPr>
        <w:t xml:space="preserve"> and </w:t>
      </w:r>
      <m:oMath>
        <m:sSub>
          <m:sSubPr>
            <m:ctrlPr>
              <w:rPr>
                <w:rFonts w:ascii="Cambria Math" w:eastAsiaTheme="minorEastAsia" w:hAnsi="Cambria Math" w:cs="Arial"/>
                <w:i/>
              </w:rPr>
            </m:ctrlPr>
          </m:sSubPr>
          <m:e>
            <m:r>
              <w:rPr>
                <w:rFonts w:ascii="Cambria Math" w:eastAsiaTheme="minorEastAsia" w:hAnsi="Cambria Math" w:cs="Arial"/>
              </w:rPr>
              <m:t>k</m:t>
            </m:r>
          </m:e>
          <m:sub>
            <m:r>
              <w:rPr>
                <w:rFonts w:ascii="Cambria Math" w:eastAsiaTheme="minorEastAsia" w:hAnsi="Cambria Math" w:cs="Arial"/>
              </w:rPr>
              <m:t>2</m:t>
            </m:r>
          </m:sub>
        </m:sSub>
      </m:oMath>
      <w:r w:rsidRPr="00394919">
        <w:rPr>
          <w:rFonts w:eastAsiaTheme="minorEastAsia" w:cs="Arial"/>
        </w:rPr>
        <w:t xml:space="preserve"> are the rate constants in 1/min and g/(mg min) for pseudo-first and pseudo-second order respectively. The sum of </w:t>
      </w:r>
      <m:oMath>
        <m:sSub>
          <m:sSubPr>
            <m:ctrlPr>
              <w:rPr>
                <w:rFonts w:ascii="Cambria Math" w:eastAsiaTheme="minorEastAsia" w:hAnsi="Cambria Math" w:cs="Arial"/>
                <w:i/>
              </w:rPr>
            </m:ctrlPr>
          </m:sSubPr>
          <m:e>
            <m:r>
              <w:rPr>
                <w:rFonts w:ascii="Cambria Math" w:eastAsiaTheme="minorEastAsia" w:hAnsi="Cambria Math" w:cs="Arial"/>
              </w:rPr>
              <m:t>Q</m:t>
            </m:r>
          </m:e>
          <m:sub>
            <m:r>
              <w:rPr>
                <w:rFonts w:ascii="Cambria Math" w:eastAsiaTheme="minorEastAsia" w:hAnsi="Cambria Math" w:cs="Arial"/>
              </w:rPr>
              <m:t>e, fast</m:t>
            </m:r>
          </m:sub>
        </m:sSub>
      </m:oMath>
      <w:r w:rsidRPr="00394919">
        <w:rPr>
          <w:rFonts w:eastAsiaTheme="minorEastAsia" w:cs="Arial"/>
        </w:rPr>
        <w:t xml:space="preserve"> and </w:t>
      </w:r>
      <m:oMath>
        <m:sSub>
          <m:sSubPr>
            <m:ctrlPr>
              <w:rPr>
                <w:rFonts w:ascii="Cambria Math" w:eastAsiaTheme="minorEastAsia" w:hAnsi="Cambria Math" w:cs="Arial"/>
                <w:i/>
              </w:rPr>
            </m:ctrlPr>
          </m:sSubPr>
          <m:e>
            <m:r>
              <w:rPr>
                <w:rFonts w:ascii="Cambria Math" w:eastAsiaTheme="minorEastAsia" w:hAnsi="Cambria Math" w:cs="Arial"/>
              </w:rPr>
              <m:t>Q</m:t>
            </m:r>
          </m:e>
          <m:sub>
            <m:r>
              <w:rPr>
                <w:rFonts w:ascii="Cambria Math" w:eastAsiaTheme="minorEastAsia" w:hAnsi="Cambria Math" w:cs="Arial"/>
              </w:rPr>
              <m:t>e, slow</m:t>
            </m:r>
          </m:sub>
        </m:sSub>
      </m:oMath>
      <w:r w:rsidRPr="00394919">
        <w:rPr>
          <w:rFonts w:eastAsiaTheme="minorEastAsia" w:cs="Arial"/>
        </w:rPr>
        <w:t xml:space="preserve"> in Equation (3) gives the overall equilibrium adsorption capacity.</w:t>
      </w:r>
    </w:p>
    <w:p w14:paraId="3E281D10" w14:textId="77777777" w:rsidR="00394919" w:rsidRPr="00394919" w:rsidRDefault="00394919" w:rsidP="00394919">
      <w:pPr>
        <w:pStyle w:val="CETBodytext"/>
      </w:pPr>
    </w:p>
    <w:p w14:paraId="2BF3146D" w14:textId="77777777" w:rsidR="00394919" w:rsidRDefault="00394919" w:rsidP="00394919">
      <w:pPr>
        <w:pStyle w:val="CETheadingx"/>
      </w:pPr>
      <w:r>
        <w:lastRenderedPageBreak/>
        <w:t>FTIR analysis</w:t>
      </w:r>
    </w:p>
    <w:p w14:paraId="6328CC98" w14:textId="25F9437F" w:rsidR="00394919" w:rsidRPr="00645677" w:rsidRDefault="00394919" w:rsidP="005C08AF">
      <w:pPr>
        <w:pStyle w:val="CETBodytext"/>
      </w:pPr>
      <w:r w:rsidRPr="005C08AF">
        <w:t xml:space="preserve">Fourier-transform infrared (FTIR) spectra of the cultures were measured after four successive processes. The first measurement was taken after 24 h growth period of the bacteria. The second measurement was taken after 24 h oven drying of the bacteria at 74 °C. The third measurement was taken after the bacteria was exposed to 100 ppm of </w:t>
      </w:r>
      <m:oMath>
        <m:sSub>
          <m:sSubPr>
            <m:ctrlPr>
              <w:rPr>
                <w:rFonts w:ascii="Cambria Math" w:hAnsi="Cambria Math"/>
                <w:i/>
              </w:rPr>
            </m:ctrlPr>
          </m:sSubPr>
          <m:e>
            <m:r>
              <w:rPr>
                <w:rFonts w:ascii="Cambria Math" w:hAnsi="Cambria Math"/>
              </w:rPr>
              <m:t>Pb</m:t>
            </m:r>
            <m:d>
              <m:dPr>
                <m:ctrlPr>
                  <w:rPr>
                    <w:rFonts w:ascii="Cambria Math" w:hAnsi="Cambria Math"/>
                    <w:i/>
                  </w:rPr>
                </m:ctrlPr>
              </m:dPr>
              <m:e>
                <m:sSub>
                  <m:sSubPr>
                    <m:ctrlPr>
                      <w:rPr>
                        <w:rFonts w:ascii="Cambria Math" w:hAnsi="Cambria Math"/>
                        <w:i/>
                      </w:rPr>
                    </m:ctrlPr>
                  </m:sSubPr>
                  <m:e>
                    <m:r>
                      <w:rPr>
                        <w:rFonts w:ascii="Cambria Math" w:hAnsi="Cambria Math"/>
                      </w:rPr>
                      <m:t>NO</m:t>
                    </m:r>
                  </m:e>
                  <m:sub>
                    <m:r>
                      <w:rPr>
                        <w:rFonts w:ascii="Cambria Math" w:hAnsi="Cambria Math"/>
                      </w:rPr>
                      <m:t>3</m:t>
                    </m:r>
                  </m:sub>
                </m:sSub>
              </m:e>
            </m:d>
          </m:e>
          <m:sub>
            <m:r>
              <w:rPr>
                <w:rFonts w:ascii="Cambria Math" w:hAnsi="Cambria Math"/>
              </w:rPr>
              <m:t>2</m:t>
            </m:r>
          </m:sub>
        </m:sSub>
      </m:oMath>
      <w:r w:rsidRPr="005C08AF">
        <w:t>.</w:t>
      </w:r>
      <w:r>
        <w:t xml:space="preserve"> </w:t>
      </w:r>
      <w:r w:rsidRPr="005C08AF">
        <w:t xml:space="preserve">The last measurement was taken 14 h after the addition of 100 ppm </w:t>
      </w:r>
      <m:oMath>
        <m:sSub>
          <m:sSubPr>
            <m:ctrlPr>
              <w:rPr>
                <w:rFonts w:ascii="Cambria Math" w:hAnsi="Cambria Math"/>
                <w:i/>
              </w:rPr>
            </m:ctrlPr>
          </m:sSubPr>
          <m:e>
            <m:r>
              <w:rPr>
                <w:rFonts w:ascii="Cambria Math" w:hAnsi="Cambria Math"/>
              </w:rPr>
              <m:t>Pb</m:t>
            </m:r>
            <m:d>
              <m:dPr>
                <m:ctrlPr>
                  <w:rPr>
                    <w:rFonts w:ascii="Cambria Math" w:hAnsi="Cambria Math"/>
                    <w:i/>
                  </w:rPr>
                </m:ctrlPr>
              </m:dPr>
              <m:e>
                <m:sSub>
                  <m:sSubPr>
                    <m:ctrlPr>
                      <w:rPr>
                        <w:rFonts w:ascii="Cambria Math" w:hAnsi="Cambria Math"/>
                        <w:i/>
                      </w:rPr>
                    </m:ctrlPr>
                  </m:sSubPr>
                  <m:e>
                    <m:r>
                      <w:rPr>
                        <w:rFonts w:ascii="Cambria Math" w:hAnsi="Cambria Math"/>
                      </w:rPr>
                      <m:t>NO</m:t>
                    </m:r>
                  </m:e>
                  <m:sub>
                    <m:r>
                      <w:rPr>
                        <w:rFonts w:ascii="Cambria Math" w:hAnsi="Cambria Math"/>
                      </w:rPr>
                      <m:t>3</m:t>
                    </m:r>
                  </m:sub>
                </m:sSub>
              </m:e>
            </m:d>
          </m:e>
          <m:sub>
            <m:r>
              <w:rPr>
                <w:rFonts w:ascii="Cambria Math" w:hAnsi="Cambria Math"/>
              </w:rPr>
              <m:t>2</m:t>
            </m:r>
          </m:sub>
        </m:sSub>
      </m:oMath>
      <w:r w:rsidRPr="005C08AF">
        <w:t xml:space="preserve"> to the cultures.  An attenuated total reflection (ATR) attachment was used in recording spectra on a Perkin Elmer Spectrum 100 FTIR spectrometer. </w:t>
      </w:r>
    </w:p>
    <w:p w14:paraId="677EBFF0" w14:textId="65E0D1AC" w:rsidR="00600535" w:rsidRPr="00B57B36" w:rsidRDefault="00B1727F" w:rsidP="00600535">
      <w:pPr>
        <w:pStyle w:val="CETHeading1"/>
        <w:tabs>
          <w:tab w:val="clear" w:pos="360"/>
          <w:tab w:val="right" w:pos="7100"/>
        </w:tabs>
        <w:jc w:val="both"/>
        <w:rPr>
          <w:lang w:val="en-GB"/>
        </w:rPr>
      </w:pPr>
      <w:r>
        <w:rPr>
          <w:lang w:val="en-GB"/>
        </w:rPr>
        <w:t>Results and discussion</w:t>
      </w:r>
    </w:p>
    <w:p w14:paraId="04963A06" w14:textId="54DEB2D1" w:rsidR="00600535" w:rsidRPr="00B57B36" w:rsidRDefault="00B1727F" w:rsidP="00FA5F5F">
      <w:pPr>
        <w:pStyle w:val="CETheadingx"/>
      </w:pPr>
      <w:r>
        <w:t>Lead removal experiments</w:t>
      </w:r>
    </w:p>
    <w:tbl>
      <w:tblPr>
        <w:tblW w:w="5000" w:type="pct"/>
        <w:tblLook w:val="04A0" w:firstRow="1" w:lastRow="0" w:firstColumn="1" w:lastColumn="0" w:noHBand="0" w:noVBand="1"/>
      </w:tblPr>
      <w:tblGrid>
        <w:gridCol w:w="8565"/>
        <w:gridCol w:w="222"/>
      </w:tblGrid>
      <w:tr w:rsidR="000255ED" w:rsidRPr="00B57B36" w14:paraId="36843078" w14:textId="77777777" w:rsidTr="00394919">
        <w:tc>
          <w:tcPr>
            <w:tcW w:w="8565" w:type="dxa"/>
            <w:shd w:val="clear" w:color="auto" w:fill="auto"/>
            <w:vAlign w:val="center"/>
          </w:tcPr>
          <w:p w14:paraId="7F31B81D" w14:textId="4D1CEFC0" w:rsidR="000255ED" w:rsidRDefault="000255ED" w:rsidP="000255ED">
            <w:pPr>
              <w:pStyle w:val="CETBodytext"/>
            </w:pPr>
            <w:r w:rsidRPr="000255ED">
              <w:t>As shown in figure</w:t>
            </w:r>
            <w:r w:rsidR="009228C3">
              <w:t xml:space="preserve"> 1</w:t>
            </w:r>
            <w:r w:rsidRPr="000255ED">
              <w:t>, metabolically inactive consortium</w:t>
            </w:r>
            <w:r>
              <w:t xml:space="preserve"> and </w:t>
            </w:r>
            <w:r w:rsidRPr="00F73D3B">
              <w:rPr>
                <w:i/>
                <w:iCs/>
              </w:rPr>
              <w:t xml:space="preserve">P. </w:t>
            </w:r>
            <w:proofErr w:type="spellStart"/>
            <w:r w:rsidRPr="00F73D3B">
              <w:rPr>
                <w:i/>
                <w:iCs/>
              </w:rPr>
              <w:t>bifermentans</w:t>
            </w:r>
            <w:proofErr w:type="spellEnd"/>
            <w:r w:rsidRPr="000255ED">
              <w:t xml:space="preserve"> removed 54.44 mg/g</w:t>
            </w:r>
            <w:r w:rsidR="004B6466">
              <w:t xml:space="preserve"> and </w:t>
            </w:r>
            <w:r w:rsidRPr="000255ED">
              <w:t>27.39 mg/g</w:t>
            </w:r>
            <w:r w:rsidR="004B6466">
              <w:t xml:space="preserve"> </w:t>
            </w:r>
            <w:r w:rsidRPr="000255ED">
              <w:t xml:space="preserve">of </w:t>
            </w:r>
            <w:proofErr w:type="gramStart"/>
            <w:r w:rsidRPr="000255ED">
              <w:t>Pb(</w:t>
            </w:r>
            <w:proofErr w:type="gramEnd"/>
            <w:r w:rsidRPr="000255ED">
              <w:t xml:space="preserve">II) in 3 h respectively. A passive process was responsible for </w:t>
            </w:r>
            <w:proofErr w:type="gramStart"/>
            <w:r w:rsidRPr="000255ED">
              <w:t>Pb(</w:t>
            </w:r>
            <w:proofErr w:type="gramEnd"/>
            <w:r w:rsidRPr="000255ED">
              <w:t xml:space="preserve">II) removal from the solution as metabolic activity was not detected using MTT. Black or grey precipitate was not evident in the 14 h period, which indicates that </w:t>
            </w:r>
            <w:proofErr w:type="spellStart"/>
            <w:r w:rsidRPr="000255ED">
              <w:t>PbS</w:t>
            </w:r>
            <w:proofErr w:type="spellEnd"/>
            <w:r w:rsidRPr="000255ED">
              <w:t xml:space="preserve"> or Pb (0) was not formed. The Initial and final pH </w:t>
            </w:r>
            <w:r w:rsidR="004B6466">
              <w:t xml:space="preserve">readings </w:t>
            </w:r>
            <w:r w:rsidRPr="000255ED">
              <w:t>for the consortium</w:t>
            </w:r>
            <w:r w:rsidR="004B6466">
              <w:t xml:space="preserve"> and </w:t>
            </w:r>
            <w:r w:rsidRPr="00F73D3B">
              <w:rPr>
                <w:i/>
                <w:iCs/>
              </w:rPr>
              <w:t xml:space="preserve">P. </w:t>
            </w:r>
            <w:proofErr w:type="spellStart"/>
            <w:r w:rsidRPr="00F73D3B">
              <w:rPr>
                <w:i/>
                <w:iCs/>
              </w:rPr>
              <w:t>bifermentans</w:t>
            </w:r>
            <w:proofErr w:type="spellEnd"/>
            <w:r w:rsidR="004B6466">
              <w:t xml:space="preserve"> </w:t>
            </w:r>
            <w:r w:rsidRPr="000255ED">
              <w:t>were 4.64 – 4.92</w:t>
            </w:r>
            <w:r w:rsidR="004B6466">
              <w:t xml:space="preserve"> and </w:t>
            </w:r>
            <w:r w:rsidRPr="000255ED">
              <w:t>4.63 – 4.74</w:t>
            </w:r>
            <w:r w:rsidR="004B6466">
              <w:t xml:space="preserve"> </w:t>
            </w:r>
            <w:r w:rsidRPr="000255ED">
              <w:t xml:space="preserve">respectively. </w:t>
            </w:r>
          </w:p>
          <w:p w14:paraId="096E84AE" w14:textId="65C3BEE6" w:rsidR="00394919" w:rsidRPr="000255ED" w:rsidRDefault="00394919" w:rsidP="000255ED">
            <w:pPr>
              <w:pStyle w:val="CETBodytext"/>
            </w:pPr>
          </w:p>
        </w:tc>
        <w:tc>
          <w:tcPr>
            <w:tcW w:w="222" w:type="dxa"/>
            <w:shd w:val="clear" w:color="auto" w:fill="auto"/>
            <w:vAlign w:val="center"/>
          </w:tcPr>
          <w:p w14:paraId="6FE4C5C6" w14:textId="77777777" w:rsidR="000255ED" w:rsidRPr="00B57B36" w:rsidRDefault="000255ED" w:rsidP="009E7884">
            <w:pPr>
              <w:pStyle w:val="CETEquation"/>
              <w:jc w:val="right"/>
            </w:pPr>
          </w:p>
        </w:tc>
      </w:tr>
      <w:tr w:rsidR="000255ED" w:rsidRPr="00B57B36" w14:paraId="71E03D78" w14:textId="77777777" w:rsidTr="00394919">
        <w:tc>
          <w:tcPr>
            <w:tcW w:w="8565" w:type="dxa"/>
            <w:shd w:val="clear" w:color="auto" w:fill="auto"/>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70"/>
            </w:tblGrid>
            <w:tr w:rsidR="00394919" w14:paraId="3923EE1F" w14:textId="77777777" w:rsidTr="0046384D">
              <w:trPr>
                <w:jc w:val="center"/>
              </w:trPr>
              <w:tc>
                <w:tcPr>
                  <w:tcW w:w="4169" w:type="dxa"/>
                </w:tcPr>
                <w:p w14:paraId="49CF09AF" w14:textId="77777777" w:rsidR="00394919" w:rsidRDefault="0046384D" w:rsidP="00394919">
                  <w:pPr>
                    <w:pStyle w:val="CETEquation"/>
                    <w:rPr>
                      <w:iCs/>
                    </w:rPr>
                  </w:pPr>
                  <w:r>
                    <w:rPr>
                      <w:iCs/>
                    </w:rPr>
                    <w:t xml:space="preserve">a. </w:t>
                  </w:r>
                </w:p>
                <w:p w14:paraId="3BD7B15E" w14:textId="26B35438" w:rsidR="0046384D" w:rsidRPr="0046384D" w:rsidRDefault="0046384D" w:rsidP="0046384D">
                  <w:pPr>
                    <w:pStyle w:val="CETBodytext"/>
                    <w:rPr>
                      <w:lang w:val="en-GB"/>
                    </w:rPr>
                  </w:pPr>
                  <w:r>
                    <w:rPr>
                      <w:rFonts w:ascii="Times New Roman" w:hAnsi="Times New Roman"/>
                      <w:noProof/>
                      <w:sz w:val="28"/>
                      <w:szCs w:val="28"/>
                    </w:rPr>
                    <w:drawing>
                      <wp:inline distT="0" distB="0" distL="0" distR="0" wp14:anchorId="48B2B36C" wp14:editId="240BBBC3">
                        <wp:extent cx="2319020" cy="1600200"/>
                        <wp:effectExtent l="0" t="0" r="5080" b="0"/>
                        <wp:docPr id="15471262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126251" name="Picture 154712625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9521" cy="1738552"/>
                                </a:xfrm>
                                <a:prstGeom prst="rect">
                                  <a:avLst/>
                                </a:prstGeom>
                              </pic:spPr>
                            </pic:pic>
                          </a:graphicData>
                        </a:graphic>
                      </wp:inline>
                    </w:drawing>
                  </w:r>
                </w:p>
              </w:tc>
              <w:tc>
                <w:tcPr>
                  <w:tcW w:w="4170" w:type="dxa"/>
                </w:tcPr>
                <w:p w14:paraId="6C2650D4" w14:textId="77777777" w:rsidR="00394919" w:rsidRDefault="0046384D" w:rsidP="000255ED">
                  <w:pPr>
                    <w:pStyle w:val="CETEquation"/>
                    <w:rPr>
                      <w:iCs/>
                    </w:rPr>
                  </w:pPr>
                  <w:r>
                    <w:rPr>
                      <w:iCs/>
                    </w:rPr>
                    <w:t>b.</w:t>
                  </w:r>
                </w:p>
                <w:p w14:paraId="5CBC26A8" w14:textId="27EAE4EA" w:rsidR="0046384D" w:rsidRPr="0046384D" w:rsidRDefault="0046384D" w:rsidP="0046384D">
                  <w:pPr>
                    <w:pStyle w:val="CETBodytext"/>
                    <w:rPr>
                      <w:lang w:val="en-GB"/>
                    </w:rPr>
                  </w:pPr>
                  <w:r>
                    <w:rPr>
                      <w:rFonts w:ascii="Times New Roman" w:hAnsi="Times New Roman"/>
                      <w:noProof/>
                      <w:sz w:val="28"/>
                      <w:szCs w:val="28"/>
                    </w:rPr>
                    <w:drawing>
                      <wp:inline distT="0" distB="0" distL="0" distR="0" wp14:anchorId="795CB75A" wp14:editId="0FAB44F0">
                        <wp:extent cx="2256560" cy="1600200"/>
                        <wp:effectExtent l="0" t="0" r="4445" b="0"/>
                        <wp:docPr id="20811411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141133" name="Picture 208114113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3972" cy="1704735"/>
                                </a:xfrm>
                                <a:prstGeom prst="rect">
                                  <a:avLst/>
                                </a:prstGeom>
                              </pic:spPr>
                            </pic:pic>
                          </a:graphicData>
                        </a:graphic>
                      </wp:inline>
                    </w:drawing>
                  </w:r>
                </w:p>
              </w:tc>
            </w:tr>
          </w:tbl>
          <w:p w14:paraId="61A44D1E" w14:textId="653BC860" w:rsidR="000255ED" w:rsidRPr="000255ED" w:rsidRDefault="000255ED" w:rsidP="000255ED">
            <w:pPr>
              <w:pStyle w:val="CETEquation"/>
              <w:rPr>
                <w:iCs/>
              </w:rPr>
            </w:pPr>
          </w:p>
        </w:tc>
        <w:tc>
          <w:tcPr>
            <w:tcW w:w="222" w:type="dxa"/>
            <w:shd w:val="clear" w:color="auto" w:fill="auto"/>
            <w:vAlign w:val="center"/>
          </w:tcPr>
          <w:p w14:paraId="772F6FC8" w14:textId="77777777" w:rsidR="000255ED" w:rsidRPr="00B57B36" w:rsidRDefault="000255ED" w:rsidP="009E7884">
            <w:pPr>
              <w:pStyle w:val="CETEquation"/>
              <w:jc w:val="right"/>
            </w:pPr>
          </w:p>
        </w:tc>
      </w:tr>
      <w:tr w:rsidR="009228C3" w:rsidRPr="00B57B36" w14:paraId="4DB5F300" w14:textId="77777777" w:rsidTr="00394919">
        <w:tc>
          <w:tcPr>
            <w:tcW w:w="8565" w:type="dxa"/>
            <w:shd w:val="clear" w:color="auto" w:fill="auto"/>
            <w:vAlign w:val="center"/>
          </w:tcPr>
          <w:p w14:paraId="34190005" w14:textId="5A5C578C" w:rsidR="009228C3" w:rsidRPr="00645677" w:rsidRDefault="009228C3" w:rsidP="00645677">
            <w:pPr>
              <w:pStyle w:val="CETCaption"/>
              <w:rPr>
                <w:noProof/>
                <w:lang w:val="en-US"/>
              </w:rPr>
            </w:pPr>
            <w:r>
              <w:rPr>
                <w:noProof/>
                <w:lang w:val="en-US"/>
              </w:rPr>
              <w:t xml:space="preserve">Figure 1: </w:t>
            </w:r>
            <w:r w:rsidRPr="009228C3">
              <w:rPr>
                <w:noProof/>
                <w:lang w:val="en-US"/>
              </w:rPr>
              <w:t xml:space="preserve">Graph of Pb(II) removal by the </w:t>
            </w:r>
            <w:r w:rsidR="0046384D">
              <w:rPr>
                <w:noProof/>
                <w:lang w:val="en-US"/>
              </w:rPr>
              <w:t xml:space="preserve">(a) </w:t>
            </w:r>
            <w:r w:rsidRPr="009228C3">
              <w:rPr>
                <w:noProof/>
                <w:lang w:val="en-US"/>
              </w:rPr>
              <w:t>consortium</w:t>
            </w:r>
            <w:r w:rsidR="0046384D">
              <w:rPr>
                <w:noProof/>
                <w:lang w:val="en-US"/>
              </w:rPr>
              <w:t xml:space="preserve"> and (b) P. bifermentans</w:t>
            </w:r>
            <w:r w:rsidRPr="009228C3">
              <w:rPr>
                <w:noProof/>
                <w:lang w:val="en-US"/>
              </w:rPr>
              <w:t xml:space="preserve"> in mg/g against time in minutes.</w:t>
            </w:r>
          </w:p>
        </w:tc>
        <w:tc>
          <w:tcPr>
            <w:tcW w:w="222" w:type="dxa"/>
            <w:shd w:val="clear" w:color="auto" w:fill="auto"/>
            <w:vAlign w:val="center"/>
          </w:tcPr>
          <w:p w14:paraId="3E228786" w14:textId="77777777" w:rsidR="009228C3" w:rsidRPr="00B57B36" w:rsidRDefault="009228C3" w:rsidP="009E7884">
            <w:pPr>
              <w:pStyle w:val="CETEquation"/>
              <w:jc w:val="right"/>
            </w:pPr>
          </w:p>
        </w:tc>
      </w:tr>
    </w:tbl>
    <w:p w14:paraId="1F96CA21" w14:textId="44303BA6" w:rsidR="00600535" w:rsidRDefault="00A457CF" w:rsidP="00FA5F5F">
      <w:pPr>
        <w:pStyle w:val="CETheadingx"/>
      </w:pPr>
      <w:r>
        <w:t>Adsorption kinetics</w:t>
      </w:r>
    </w:p>
    <w:p w14:paraId="75E2CD6F" w14:textId="78F4B035" w:rsidR="0046384D" w:rsidRPr="0046384D" w:rsidRDefault="0046384D" w:rsidP="0046384D">
      <w:pPr>
        <w:pStyle w:val="CETBodytext"/>
      </w:pPr>
      <w:r w:rsidRPr="0046384D">
        <w:t xml:space="preserve">It was found that two-phase pseudo-first-order fits had the highest coefficients of determination (average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rsidRPr="0046384D">
        <w:rPr>
          <w:rFonts w:eastAsiaTheme="minorEastAsia"/>
        </w:rPr>
        <w:t xml:space="preserve"> = 0.989) </w:t>
      </w:r>
      <w:r w:rsidR="00645677">
        <w:rPr>
          <w:rFonts w:eastAsiaTheme="minorEastAsia"/>
        </w:rPr>
        <w:t xml:space="preserve">which </w:t>
      </w:r>
      <w:r w:rsidRPr="0046384D">
        <w:rPr>
          <w:rFonts w:eastAsiaTheme="minorEastAsia"/>
        </w:rPr>
        <w:t>might be due to the separation of fast and slow adsorption rates into different compartments, thereby allowing better representation of a heterogeneous surface (</w:t>
      </w:r>
      <w:r w:rsidR="00645677">
        <w:t>V</w:t>
      </w:r>
      <w:r w:rsidRPr="0046384D">
        <w:t xml:space="preserve">an </w:t>
      </w:r>
      <w:proofErr w:type="spellStart"/>
      <w:r w:rsidRPr="0046384D">
        <w:t>Veenhuyzen</w:t>
      </w:r>
      <w:proofErr w:type="spellEnd"/>
      <w:r w:rsidRPr="0046384D">
        <w:t xml:space="preserve"> et al., 2021</w:t>
      </w:r>
      <w:r w:rsidRPr="0046384D">
        <w:rPr>
          <w:rFonts w:eastAsiaTheme="minorEastAsia"/>
        </w:rPr>
        <w:t xml:space="preserve">). Also, pseudo-second-order kinetics was found to represent data slightly better than pseudo-first-order kinetics. This may show that there is an abundance of adsorption sites relative to </w:t>
      </w:r>
      <w:proofErr w:type="gramStart"/>
      <w:r w:rsidRPr="0046384D">
        <w:rPr>
          <w:rFonts w:eastAsiaTheme="minorEastAsia"/>
        </w:rPr>
        <w:t>Pb(</w:t>
      </w:r>
      <w:proofErr w:type="gramEnd"/>
      <w:r w:rsidRPr="0046384D">
        <w:rPr>
          <w:rFonts w:eastAsiaTheme="minorEastAsia"/>
        </w:rPr>
        <w:t>II) ions in the solution (Wang and Guo, 2020; Guo and Wang, 2019). It was found in all the kinetic models that the consortium ha</w:t>
      </w:r>
      <w:r w:rsidR="00645677">
        <w:rPr>
          <w:rFonts w:eastAsiaTheme="minorEastAsia"/>
        </w:rPr>
        <w:t>d</w:t>
      </w:r>
      <w:r w:rsidRPr="0046384D">
        <w:rPr>
          <w:rFonts w:eastAsiaTheme="minorEastAsia"/>
        </w:rPr>
        <w:t xml:space="preserve"> a higher adsorption capacity and faster adsorption rates than its microbial strain </w:t>
      </w:r>
      <w:r w:rsidRPr="0046384D">
        <w:rPr>
          <w:rFonts w:eastAsiaTheme="minorEastAsia"/>
          <w:i/>
          <w:iCs/>
        </w:rPr>
        <w:t xml:space="preserve">P. </w:t>
      </w:r>
      <w:proofErr w:type="spellStart"/>
      <w:r w:rsidRPr="0046384D">
        <w:rPr>
          <w:rFonts w:eastAsiaTheme="minorEastAsia"/>
          <w:i/>
          <w:iCs/>
        </w:rPr>
        <w:t>bifermentans</w:t>
      </w:r>
      <w:proofErr w:type="spellEnd"/>
      <w:r w:rsidRPr="0046384D">
        <w:rPr>
          <w:rFonts w:eastAsiaTheme="minorEastAsia"/>
        </w:rPr>
        <w:t>.</w:t>
      </w:r>
    </w:p>
    <w:p w14:paraId="21708BC6" w14:textId="18F000DB" w:rsidR="006D5290" w:rsidRDefault="006D5290" w:rsidP="006D5290">
      <w:pPr>
        <w:pStyle w:val="CETBodytext"/>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46384D" w14:paraId="1BDEFEE4" w14:textId="77777777" w:rsidTr="00E139DD">
        <w:tc>
          <w:tcPr>
            <w:tcW w:w="4388" w:type="dxa"/>
          </w:tcPr>
          <w:p w14:paraId="691D18F2" w14:textId="77777777" w:rsidR="0046384D" w:rsidRDefault="0046384D" w:rsidP="0046384D">
            <w:pPr>
              <w:pStyle w:val="CETBodytext"/>
              <w:rPr>
                <w:lang w:val="en-GB"/>
              </w:rPr>
            </w:pPr>
            <w:r>
              <w:rPr>
                <w:lang w:val="en-GB"/>
              </w:rPr>
              <w:t>a.</w:t>
            </w:r>
          </w:p>
          <w:p w14:paraId="41901AF5" w14:textId="6B4793A3" w:rsidR="0046384D" w:rsidRDefault="0046384D" w:rsidP="0046384D">
            <w:pPr>
              <w:pStyle w:val="CETBodytext"/>
              <w:rPr>
                <w:lang w:val="en-GB"/>
              </w:rPr>
            </w:pPr>
            <w:r>
              <w:rPr>
                <w:rFonts w:ascii="Times New Roman" w:hAnsi="Times New Roman"/>
                <w:noProof/>
              </w:rPr>
              <w:drawing>
                <wp:inline distT="0" distB="0" distL="0" distR="0" wp14:anchorId="33F7C489" wp14:editId="010DA282">
                  <wp:extent cx="2470785" cy="1552575"/>
                  <wp:effectExtent l="0" t="0" r="5715" b="0"/>
                  <wp:docPr id="798463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463017" name="Picture 798463017"/>
                          <pic:cNvPicPr/>
                        </pic:nvPicPr>
                        <pic:blipFill>
                          <a:blip r:embed="rId12">
                            <a:extLst>
                              <a:ext uri="{28A0092B-C50C-407E-A947-70E740481C1C}">
                                <a14:useLocalDpi xmlns:a14="http://schemas.microsoft.com/office/drawing/2010/main" val="0"/>
                              </a:ext>
                            </a:extLst>
                          </a:blip>
                          <a:stretch>
                            <a:fillRect/>
                          </a:stretch>
                        </pic:blipFill>
                        <pic:spPr>
                          <a:xfrm>
                            <a:off x="0" y="0"/>
                            <a:ext cx="2477692" cy="1556915"/>
                          </a:xfrm>
                          <a:prstGeom prst="rect">
                            <a:avLst/>
                          </a:prstGeom>
                        </pic:spPr>
                      </pic:pic>
                    </a:graphicData>
                  </a:graphic>
                </wp:inline>
              </w:drawing>
            </w:r>
          </w:p>
        </w:tc>
        <w:tc>
          <w:tcPr>
            <w:tcW w:w="4389" w:type="dxa"/>
          </w:tcPr>
          <w:p w14:paraId="2DDB51F4" w14:textId="77777777" w:rsidR="0046384D" w:rsidRDefault="0046384D" w:rsidP="006D5290">
            <w:pPr>
              <w:pStyle w:val="CETBodytext"/>
              <w:rPr>
                <w:lang w:val="en-GB"/>
              </w:rPr>
            </w:pPr>
            <w:r>
              <w:rPr>
                <w:lang w:val="en-GB"/>
              </w:rPr>
              <w:t>b.</w:t>
            </w:r>
          </w:p>
          <w:p w14:paraId="5067095C" w14:textId="2BE5E3B1" w:rsidR="0046384D" w:rsidRDefault="0046384D" w:rsidP="006D5290">
            <w:pPr>
              <w:pStyle w:val="CETBodytext"/>
              <w:rPr>
                <w:lang w:val="en-GB"/>
              </w:rPr>
            </w:pPr>
            <w:r>
              <w:rPr>
                <w:rFonts w:ascii="Times New Roman" w:hAnsi="Times New Roman"/>
                <w:noProof/>
              </w:rPr>
              <w:drawing>
                <wp:inline distT="0" distB="0" distL="0" distR="0" wp14:anchorId="2D5CC515" wp14:editId="7A8B4CC1">
                  <wp:extent cx="2246630" cy="1552575"/>
                  <wp:effectExtent l="0" t="0" r="1270" b="0"/>
                  <wp:docPr id="1870523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23875" name="Picture 1870523875"/>
                          <pic:cNvPicPr/>
                        </pic:nvPicPr>
                        <pic:blipFill>
                          <a:blip r:embed="rId13">
                            <a:extLst>
                              <a:ext uri="{28A0092B-C50C-407E-A947-70E740481C1C}">
                                <a14:useLocalDpi xmlns:a14="http://schemas.microsoft.com/office/drawing/2010/main" val="0"/>
                              </a:ext>
                            </a:extLst>
                          </a:blip>
                          <a:stretch>
                            <a:fillRect/>
                          </a:stretch>
                        </pic:blipFill>
                        <pic:spPr>
                          <a:xfrm>
                            <a:off x="0" y="0"/>
                            <a:ext cx="2256470" cy="1559375"/>
                          </a:xfrm>
                          <a:prstGeom prst="rect">
                            <a:avLst/>
                          </a:prstGeom>
                        </pic:spPr>
                      </pic:pic>
                    </a:graphicData>
                  </a:graphic>
                </wp:inline>
              </w:drawing>
            </w:r>
          </w:p>
        </w:tc>
      </w:tr>
    </w:tbl>
    <w:p w14:paraId="3F8A8F86" w14:textId="00AB6903" w:rsidR="005B0964" w:rsidRDefault="005B0964" w:rsidP="005B0964">
      <w:pPr>
        <w:pStyle w:val="CETCaption"/>
      </w:pPr>
      <w:r>
        <w:t xml:space="preserve">Figure </w:t>
      </w:r>
      <w:r w:rsidR="0046384D">
        <w:t>2</w:t>
      </w:r>
      <w:r>
        <w:t xml:space="preserve">: </w:t>
      </w:r>
      <w:r w:rsidRPr="005B0964">
        <w:t>Pseudo-</w:t>
      </w:r>
      <w:r w:rsidR="0046384D">
        <w:t xml:space="preserve">first </w:t>
      </w:r>
      <w:r w:rsidRPr="005B0964">
        <w:t xml:space="preserve">order kinetics of </w:t>
      </w:r>
      <w:proofErr w:type="gramStart"/>
      <w:r w:rsidRPr="005B0964">
        <w:t>Pb(</w:t>
      </w:r>
      <w:proofErr w:type="gramEnd"/>
      <w:r w:rsidRPr="005B0964">
        <w:t xml:space="preserve">II) onto metabolically inactive </w:t>
      </w:r>
      <w:r w:rsidR="00E139DD">
        <w:t xml:space="preserve">(a) consortium and (b) P. </w:t>
      </w:r>
      <w:proofErr w:type="spellStart"/>
      <w:r w:rsidR="00E139DD">
        <w:t>bifermentans</w:t>
      </w:r>
      <w:proofErr w:type="spellEnd"/>
      <w:r w:rsidRPr="005B096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46384D" w14:paraId="2595A962" w14:textId="77777777" w:rsidTr="00E139DD">
        <w:tc>
          <w:tcPr>
            <w:tcW w:w="4388" w:type="dxa"/>
          </w:tcPr>
          <w:p w14:paraId="16C4368A" w14:textId="77777777" w:rsidR="0046384D" w:rsidRDefault="0046384D" w:rsidP="005B0964">
            <w:pPr>
              <w:pStyle w:val="CETBodytextItalic"/>
              <w:rPr>
                <w:i w:val="0"/>
                <w:iCs/>
              </w:rPr>
            </w:pPr>
            <w:r>
              <w:rPr>
                <w:i w:val="0"/>
                <w:iCs/>
              </w:rPr>
              <w:lastRenderedPageBreak/>
              <w:t>a.</w:t>
            </w:r>
          </w:p>
          <w:p w14:paraId="736D8989" w14:textId="44A854F9" w:rsidR="0046384D" w:rsidRDefault="0046384D" w:rsidP="005B0964">
            <w:pPr>
              <w:pStyle w:val="CETBodytextItalic"/>
              <w:rPr>
                <w:i w:val="0"/>
                <w:iCs/>
              </w:rPr>
            </w:pPr>
            <w:r>
              <w:rPr>
                <w:rFonts w:ascii="Times New Roman" w:hAnsi="Times New Roman"/>
                <w:noProof/>
                <w:lang w:val="en-US"/>
              </w:rPr>
              <w:drawing>
                <wp:inline distT="0" distB="0" distL="0" distR="0" wp14:anchorId="08D0C0C5" wp14:editId="4B7FFB5D">
                  <wp:extent cx="2480310" cy="1485900"/>
                  <wp:effectExtent l="0" t="0" r="0" b="0"/>
                  <wp:docPr id="13975581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558168" name="Picture 1397558168"/>
                          <pic:cNvPicPr/>
                        </pic:nvPicPr>
                        <pic:blipFill>
                          <a:blip r:embed="rId14">
                            <a:extLst>
                              <a:ext uri="{28A0092B-C50C-407E-A947-70E740481C1C}">
                                <a14:useLocalDpi xmlns:a14="http://schemas.microsoft.com/office/drawing/2010/main" val="0"/>
                              </a:ext>
                            </a:extLst>
                          </a:blip>
                          <a:stretch>
                            <a:fillRect/>
                          </a:stretch>
                        </pic:blipFill>
                        <pic:spPr>
                          <a:xfrm>
                            <a:off x="0" y="0"/>
                            <a:ext cx="2515607" cy="1507046"/>
                          </a:xfrm>
                          <a:prstGeom prst="rect">
                            <a:avLst/>
                          </a:prstGeom>
                        </pic:spPr>
                      </pic:pic>
                    </a:graphicData>
                  </a:graphic>
                </wp:inline>
              </w:drawing>
            </w:r>
          </w:p>
        </w:tc>
        <w:tc>
          <w:tcPr>
            <w:tcW w:w="4389" w:type="dxa"/>
          </w:tcPr>
          <w:p w14:paraId="2D92CE84" w14:textId="77777777" w:rsidR="0046384D" w:rsidRDefault="0046384D" w:rsidP="005B0964">
            <w:pPr>
              <w:pStyle w:val="CETBodytextItalic"/>
              <w:rPr>
                <w:i w:val="0"/>
                <w:iCs/>
              </w:rPr>
            </w:pPr>
            <w:r>
              <w:rPr>
                <w:i w:val="0"/>
                <w:iCs/>
              </w:rPr>
              <w:t>b.</w:t>
            </w:r>
          </w:p>
          <w:p w14:paraId="4C424674" w14:textId="546C4E00" w:rsidR="0046384D" w:rsidRDefault="0046384D" w:rsidP="005B0964">
            <w:pPr>
              <w:pStyle w:val="CETBodytextItalic"/>
              <w:rPr>
                <w:i w:val="0"/>
                <w:iCs/>
              </w:rPr>
            </w:pPr>
            <w:r>
              <w:rPr>
                <w:rFonts w:ascii="Times New Roman" w:hAnsi="Times New Roman"/>
                <w:noProof/>
                <w:lang w:val="en-US"/>
              </w:rPr>
              <w:drawing>
                <wp:inline distT="0" distB="0" distL="0" distR="0" wp14:anchorId="59F938E7" wp14:editId="4908ED21">
                  <wp:extent cx="2304505" cy="1533525"/>
                  <wp:effectExtent l="0" t="0" r="0" b="3175"/>
                  <wp:docPr id="16337382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738223" name="Picture 1633738223"/>
                          <pic:cNvPicPr/>
                        </pic:nvPicPr>
                        <pic:blipFill>
                          <a:blip r:embed="rId15">
                            <a:extLst>
                              <a:ext uri="{28A0092B-C50C-407E-A947-70E740481C1C}">
                                <a14:useLocalDpi xmlns:a14="http://schemas.microsoft.com/office/drawing/2010/main" val="0"/>
                              </a:ext>
                            </a:extLst>
                          </a:blip>
                          <a:stretch>
                            <a:fillRect/>
                          </a:stretch>
                        </pic:blipFill>
                        <pic:spPr>
                          <a:xfrm>
                            <a:off x="0" y="0"/>
                            <a:ext cx="2335683" cy="1554272"/>
                          </a:xfrm>
                          <a:prstGeom prst="rect">
                            <a:avLst/>
                          </a:prstGeom>
                        </pic:spPr>
                      </pic:pic>
                    </a:graphicData>
                  </a:graphic>
                </wp:inline>
              </w:drawing>
            </w:r>
          </w:p>
        </w:tc>
      </w:tr>
    </w:tbl>
    <w:p w14:paraId="0A70DDCC" w14:textId="39749CE2" w:rsidR="005B0964" w:rsidRDefault="005B0964" w:rsidP="005B0964">
      <w:pPr>
        <w:pStyle w:val="CETBodytextItalic"/>
        <w:rPr>
          <w:i w:val="0"/>
          <w:iCs/>
        </w:rPr>
      </w:pPr>
    </w:p>
    <w:p w14:paraId="7382C781" w14:textId="03A8A6F9" w:rsidR="00600535" w:rsidRDefault="005B0964" w:rsidP="00E25205">
      <w:pPr>
        <w:pStyle w:val="CETCaption"/>
      </w:pPr>
      <w:r>
        <w:t xml:space="preserve">Figure </w:t>
      </w:r>
      <w:r w:rsidR="00E139DD">
        <w:t>3</w:t>
      </w:r>
      <w:r>
        <w:t xml:space="preserve">: </w:t>
      </w:r>
      <w:r w:rsidR="00E139DD">
        <w:t>Two – phase pseudo - first</w:t>
      </w:r>
      <w:r w:rsidRPr="005B0964">
        <w:t xml:space="preserve"> order kinetics of </w:t>
      </w:r>
      <w:proofErr w:type="gramStart"/>
      <w:r w:rsidRPr="005B0964">
        <w:t>Pb(</w:t>
      </w:r>
      <w:proofErr w:type="gramEnd"/>
      <w:r w:rsidRPr="005B0964">
        <w:t>II) onto metabolically inactive</w:t>
      </w:r>
      <w:r w:rsidR="00E139DD">
        <w:t xml:space="preserve"> (a) consortium and (b)</w:t>
      </w:r>
      <w:r w:rsidRPr="005B0964">
        <w:t xml:space="preserve"> P</w:t>
      </w:r>
      <w:r w:rsidR="00E139DD">
        <w:t>.</w:t>
      </w:r>
      <w:r w:rsidRPr="005B0964">
        <w:t xml:space="preserve"> </w:t>
      </w:r>
      <w:proofErr w:type="spellStart"/>
      <w:r w:rsidRPr="005B0964">
        <w:t>bifermentans</w:t>
      </w:r>
      <w:proofErr w:type="spellEnd"/>
      <w:r w:rsidRPr="005B096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46384D" w14:paraId="151147AE" w14:textId="77777777" w:rsidTr="00E139DD">
        <w:tc>
          <w:tcPr>
            <w:tcW w:w="4388" w:type="dxa"/>
          </w:tcPr>
          <w:p w14:paraId="3A0269E2" w14:textId="77777777" w:rsidR="0046384D" w:rsidRDefault="0046384D" w:rsidP="00E25205">
            <w:pPr>
              <w:pStyle w:val="CETCaption"/>
              <w:rPr>
                <w:i w:val="0"/>
                <w:iCs/>
              </w:rPr>
            </w:pPr>
            <w:r>
              <w:rPr>
                <w:i w:val="0"/>
                <w:iCs/>
              </w:rPr>
              <w:t>a.</w:t>
            </w:r>
          </w:p>
          <w:p w14:paraId="28F3A31B" w14:textId="2408A53A" w:rsidR="0046384D" w:rsidRPr="0046384D" w:rsidRDefault="0046384D" w:rsidP="00E25205">
            <w:pPr>
              <w:pStyle w:val="CETCaption"/>
              <w:rPr>
                <w:i w:val="0"/>
                <w:iCs/>
              </w:rPr>
            </w:pPr>
            <w:r>
              <w:rPr>
                <w:rFonts w:ascii="Times New Roman" w:hAnsi="Times New Roman"/>
                <w:noProof/>
                <w:lang w:val="en-US"/>
              </w:rPr>
              <w:drawing>
                <wp:inline distT="0" distB="0" distL="0" distR="0" wp14:anchorId="572A4008" wp14:editId="0AE756A4">
                  <wp:extent cx="2528059" cy="1571625"/>
                  <wp:effectExtent l="0" t="0" r="0" b="3175"/>
                  <wp:docPr id="262314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31435" name="Picture 26231435"/>
                          <pic:cNvPicPr/>
                        </pic:nvPicPr>
                        <pic:blipFill>
                          <a:blip r:embed="rId16">
                            <a:extLst>
                              <a:ext uri="{28A0092B-C50C-407E-A947-70E740481C1C}">
                                <a14:useLocalDpi xmlns:a14="http://schemas.microsoft.com/office/drawing/2010/main" val="0"/>
                              </a:ext>
                            </a:extLst>
                          </a:blip>
                          <a:stretch>
                            <a:fillRect/>
                          </a:stretch>
                        </pic:blipFill>
                        <pic:spPr>
                          <a:xfrm>
                            <a:off x="0" y="0"/>
                            <a:ext cx="2564932" cy="1594548"/>
                          </a:xfrm>
                          <a:prstGeom prst="rect">
                            <a:avLst/>
                          </a:prstGeom>
                        </pic:spPr>
                      </pic:pic>
                    </a:graphicData>
                  </a:graphic>
                </wp:inline>
              </w:drawing>
            </w:r>
          </w:p>
        </w:tc>
        <w:tc>
          <w:tcPr>
            <w:tcW w:w="4389" w:type="dxa"/>
          </w:tcPr>
          <w:p w14:paraId="55A7CF88" w14:textId="77777777" w:rsidR="0046384D" w:rsidRDefault="0046384D" w:rsidP="00E25205">
            <w:pPr>
              <w:pStyle w:val="CETCaption"/>
            </w:pPr>
            <w:r>
              <w:t>b.</w:t>
            </w:r>
          </w:p>
          <w:p w14:paraId="25C51708" w14:textId="7DB54D27" w:rsidR="0046384D" w:rsidRDefault="0046384D" w:rsidP="00E25205">
            <w:pPr>
              <w:pStyle w:val="CETCaption"/>
            </w:pPr>
            <w:r>
              <w:rPr>
                <w:rFonts w:ascii="Times New Roman" w:hAnsi="Times New Roman"/>
                <w:noProof/>
                <w:lang w:val="en-US"/>
              </w:rPr>
              <w:drawing>
                <wp:inline distT="0" distB="0" distL="0" distR="0" wp14:anchorId="2F5DBF8A" wp14:editId="3A89DA0A">
                  <wp:extent cx="2197851" cy="1666875"/>
                  <wp:effectExtent l="0" t="0" r="0" b="0"/>
                  <wp:docPr id="16949047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904738" name="Picture 1694904738"/>
                          <pic:cNvPicPr/>
                        </pic:nvPicPr>
                        <pic:blipFill>
                          <a:blip r:embed="rId17">
                            <a:extLst>
                              <a:ext uri="{28A0092B-C50C-407E-A947-70E740481C1C}">
                                <a14:useLocalDpi xmlns:a14="http://schemas.microsoft.com/office/drawing/2010/main" val="0"/>
                              </a:ext>
                            </a:extLst>
                          </a:blip>
                          <a:stretch>
                            <a:fillRect/>
                          </a:stretch>
                        </pic:blipFill>
                        <pic:spPr>
                          <a:xfrm>
                            <a:off x="0" y="0"/>
                            <a:ext cx="2225335" cy="1687720"/>
                          </a:xfrm>
                          <a:prstGeom prst="rect">
                            <a:avLst/>
                          </a:prstGeom>
                        </pic:spPr>
                      </pic:pic>
                    </a:graphicData>
                  </a:graphic>
                </wp:inline>
              </w:drawing>
            </w:r>
          </w:p>
        </w:tc>
      </w:tr>
    </w:tbl>
    <w:p w14:paraId="69FD2A3B" w14:textId="41B634F1" w:rsidR="0046384D" w:rsidRPr="00B57B36" w:rsidRDefault="0046384D" w:rsidP="00E25205">
      <w:pPr>
        <w:pStyle w:val="CETCaption"/>
      </w:pPr>
      <w:r>
        <w:t xml:space="preserve">Figure </w:t>
      </w:r>
      <w:r w:rsidR="009E0C10">
        <w:t>4</w:t>
      </w:r>
      <w:r>
        <w:t xml:space="preserve">: </w:t>
      </w:r>
      <w:r w:rsidRPr="005B0964">
        <w:t>Pseudo</w:t>
      </w:r>
      <w:r w:rsidR="00E139DD">
        <w:t xml:space="preserve"> – second </w:t>
      </w:r>
      <w:r w:rsidRPr="005B0964">
        <w:t xml:space="preserve">order kinetics of </w:t>
      </w:r>
      <w:proofErr w:type="gramStart"/>
      <w:r w:rsidRPr="005B0964">
        <w:t>Pb(</w:t>
      </w:r>
      <w:proofErr w:type="gramEnd"/>
      <w:r w:rsidRPr="005B0964">
        <w:t xml:space="preserve">II) onto metabolically inactive industrial </w:t>
      </w:r>
      <w:r w:rsidR="00E139DD">
        <w:t xml:space="preserve">(a) </w:t>
      </w:r>
      <w:r w:rsidRPr="005B0964">
        <w:t>consortium</w:t>
      </w:r>
      <w:r w:rsidR="00E139DD">
        <w:t xml:space="preserve"> and (b) P. </w:t>
      </w:r>
      <w:proofErr w:type="spellStart"/>
      <w:r w:rsidR="00E139DD">
        <w:t>bifermentans</w:t>
      </w:r>
      <w:proofErr w:type="spellEnd"/>
      <w:r w:rsidR="00E139DD">
        <w:t>.</w:t>
      </w:r>
    </w:p>
    <w:p w14:paraId="6A5167CF" w14:textId="76A71C8D" w:rsidR="00600535" w:rsidRPr="00B57B36" w:rsidRDefault="00600535" w:rsidP="00600535">
      <w:pPr>
        <w:pStyle w:val="CETTabletitle"/>
      </w:pPr>
      <w:r w:rsidRPr="00B57B36">
        <w:t xml:space="preserve">Table 1: </w:t>
      </w:r>
      <w:r w:rsidR="00E139DD">
        <w:t xml:space="preserve">Kinetic parameters for the adsorption of </w:t>
      </w:r>
      <w:proofErr w:type="gramStart"/>
      <w:r w:rsidR="00E139DD">
        <w:t>Pb(</w:t>
      </w:r>
      <w:proofErr w:type="gramEnd"/>
      <w:r w:rsidR="00E139DD">
        <w:t xml:space="preserve">II) solution onto metabolically inhibited consortium and P. </w:t>
      </w:r>
      <w:proofErr w:type="spellStart"/>
      <w:r w:rsidR="00E139DD">
        <w:t>bifermentans</w:t>
      </w:r>
      <w:proofErr w:type="spellEnd"/>
      <w:r w:rsidR="00E139DD">
        <w:t xml:space="preserve">. </w:t>
      </w:r>
      <w:r w:rsidR="00CF6CA0" w:rsidRPr="00CF6CA0">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992"/>
        <w:gridCol w:w="1134"/>
        <w:gridCol w:w="1375"/>
        <w:gridCol w:w="1360"/>
        <w:gridCol w:w="1134"/>
        <w:gridCol w:w="1134"/>
      </w:tblGrid>
      <w:tr w:rsidR="00E7457B" w:rsidRPr="00B57B36" w14:paraId="4B29AA51" w14:textId="003DDCD8" w:rsidTr="000E0EF9">
        <w:trPr>
          <w:trHeight w:val="394"/>
        </w:trPr>
        <w:tc>
          <w:tcPr>
            <w:tcW w:w="1276" w:type="dxa"/>
            <w:tcBorders>
              <w:top w:val="single" w:sz="12" w:space="0" w:color="008000"/>
              <w:bottom w:val="single" w:sz="6" w:space="0" w:color="008000"/>
            </w:tcBorders>
            <w:shd w:val="clear" w:color="auto" w:fill="FFFFFF"/>
          </w:tcPr>
          <w:p w14:paraId="500859EC" w14:textId="1C642D87" w:rsidR="008D15E3" w:rsidRPr="000E0EF9" w:rsidRDefault="00E139DD" w:rsidP="00507B47">
            <w:pPr>
              <w:pStyle w:val="CETBodytext"/>
              <w:rPr>
                <w:rFonts w:cs="Arial"/>
                <w:sz w:val="16"/>
                <w:szCs w:val="16"/>
                <w:lang w:val="en-GB"/>
              </w:rPr>
            </w:pPr>
            <w:r w:rsidRPr="000E0EF9">
              <w:rPr>
                <w:rFonts w:cs="Arial"/>
                <w:sz w:val="16"/>
                <w:szCs w:val="16"/>
                <w:lang w:val="en-GB"/>
              </w:rPr>
              <w:t xml:space="preserve">Adsorbent        </w:t>
            </w:r>
          </w:p>
        </w:tc>
        <w:tc>
          <w:tcPr>
            <w:tcW w:w="992" w:type="dxa"/>
            <w:tcBorders>
              <w:top w:val="single" w:sz="12" w:space="0" w:color="008000"/>
              <w:bottom w:val="single" w:sz="6" w:space="0" w:color="008000"/>
            </w:tcBorders>
            <w:shd w:val="clear" w:color="auto" w:fill="FFFFFF"/>
          </w:tcPr>
          <w:p w14:paraId="6B6E97E3" w14:textId="1EFC4AEF" w:rsidR="008D15E3" w:rsidRPr="000E0EF9" w:rsidRDefault="00E139DD" w:rsidP="00507B47">
            <w:pPr>
              <w:pStyle w:val="CETBodytext"/>
              <w:rPr>
                <w:rFonts w:cs="Arial"/>
                <w:sz w:val="16"/>
                <w:szCs w:val="16"/>
                <w:lang w:val="en-GB"/>
              </w:rPr>
            </w:pPr>
            <w:r w:rsidRPr="000E0EF9">
              <w:rPr>
                <w:rFonts w:cs="Arial"/>
                <w:sz w:val="16"/>
                <w:szCs w:val="16"/>
                <w:lang w:val="en-GB"/>
              </w:rPr>
              <w:t>Pseudo-first order</w:t>
            </w:r>
          </w:p>
        </w:tc>
        <w:tc>
          <w:tcPr>
            <w:tcW w:w="1134" w:type="dxa"/>
            <w:tcBorders>
              <w:top w:val="single" w:sz="12" w:space="0" w:color="008000"/>
              <w:bottom w:val="single" w:sz="6" w:space="0" w:color="008000"/>
            </w:tcBorders>
            <w:shd w:val="clear" w:color="auto" w:fill="FFFFFF"/>
          </w:tcPr>
          <w:p w14:paraId="0CC5C18D" w14:textId="747323F5" w:rsidR="008D15E3" w:rsidRPr="000E0EF9" w:rsidRDefault="000E0EF9" w:rsidP="00507B47">
            <w:pPr>
              <w:pStyle w:val="CETBodytext"/>
              <w:rPr>
                <w:rFonts w:cs="Arial"/>
                <w:sz w:val="16"/>
                <w:szCs w:val="16"/>
                <w:lang w:val="en-GB"/>
              </w:rPr>
            </w:pPr>
            <w:r w:rsidRPr="000E0EF9">
              <w:rPr>
                <w:rFonts w:cs="Arial"/>
                <w:sz w:val="16"/>
                <w:szCs w:val="16"/>
                <w:lang w:val="en-GB"/>
              </w:rPr>
              <w:t xml:space="preserve">                       </w:t>
            </w:r>
          </w:p>
        </w:tc>
        <w:tc>
          <w:tcPr>
            <w:tcW w:w="1375" w:type="dxa"/>
            <w:tcBorders>
              <w:top w:val="single" w:sz="12" w:space="0" w:color="008000"/>
              <w:bottom w:val="single" w:sz="6" w:space="0" w:color="008000"/>
            </w:tcBorders>
            <w:shd w:val="clear" w:color="auto" w:fill="FFFFFF"/>
          </w:tcPr>
          <w:p w14:paraId="199EE8DC" w14:textId="593F2202" w:rsidR="008D15E3" w:rsidRPr="000E0EF9" w:rsidRDefault="00E139DD" w:rsidP="00507B47">
            <w:pPr>
              <w:pStyle w:val="CETBodytext"/>
              <w:ind w:right="-1"/>
              <w:rPr>
                <w:rFonts w:cs="Arial"/>
                <w:sz w:val="16"/>
                <w:szCs w:val="16"/>
                <w:lang w:val="en-GB"/>
              </w:rPr>
            </w:pPr>
            <w:r w:rsidRPr="000E0EF9">
              <w:rPr>
                <w:rFonts w:cs="Arial"/>
                <w:sz w:val="16"/>
                <w:szCs w:val="16"/>
                <w:lang w:val="en-GB"/>
              </w:rPr>
              <w:t>Two-phase pseudo-first order</w:t>
            </w:r>
          </w:p>
        </w:tc>
        <w:tc>
          <w:tcPr>
            <w:tcW w:w="1360" w:type="dxa"/>
            <w:tcBorders>
              <w:top w:val="single" w:sz="12" w:space="0" w:color="008000"/>
              <w:bottom w:val="single" w:sz="6" w:space="0" w:color="008000"/>
            </w:tcBorders>
            <w:shd w:val="clear" w:color="auto" w:fill="FFFFFF"/>
          </w:tcPr>
          <w:p w14:paraId="005800F7" w14:textId="77777777" w:rsidR="008D15E3" w:rsidRPr="000E0EF9" w:rsidRDefault="008D15E3" w:rsidP="00507B47">
            <w:pPr>
              <w:pStyle w:val="CETBodytext"/>
              <w:ind w:right="-1"/>
              <w:rPr>
                <w:rFonts w:cs="Arial"/>
                <w:sz w:val="16"/>
                <w:szCs w:val="16"/>
                <w:lang w:val="en-GB"/>
              </w:rPr>
            </w:pPr>
          </w:p>
        </w:tc>
        <w:tc>
          <w:tcPr>
            <w:tcW w:w="1134" w:type="dxa"/>
            <w:tcBorders>
              <w:top w:val="single" w:sz="12" w:space="0" w:color="008000"/>
              <w:bottom w:val="single" w:sz="6" w:space="0" w:color="008000"/>
            </w:tcBorders>
            <w:shd w:val="clear" w:color="auto" w:fill="FFFFFF"/>
          </w:tcPr>
          <w:p w14:paraId="6CAE0D33" w14:textId="2C5E5C62" w:rsidR="008D15E3" w:rsidRPr="000E0EF9" w:rsidRDefault="00BC4361" w:rsidP="00507B47">
            <w:pPr>
              <w:pStyle w:val="CETBodytext"/>
              <w:ind w:right="-1"/>
              <w:rPr>
                <w:rFonts w:cs="Arial"/>
                <w:sz w:val="16"/>
                <w:szCs w:val="16"/>
                <w:lang w:val="en-GB"/>
              </w:rPr>
            </w:pPr>
            <w:r>
              <w:rPr>
                <w:rFonts w:cs="Arial"/>
                <w:sz w:val="16"/>
                <w:szCs w:val="16"/>
                <w:lang w:val="en-GB"/>
              </w:rPr>
              <w:t>Pseudo-second order</w:t>
            </w:r>
          </w:p>
        </w:tc>
        <w:tc>
          <w:tcPr>
            <w:tcW w:w="1134" w:type="dxa"/>
            <w:tcBorders>
              <w:top w:val="single" w:sz="12" w:space="0" w:color="008000"/>
              <w:bottom w:val="single" w:sz="6" w:space="0" w:color="008000"/>
            </w:tcBorders>
            <w:shd w:val="clear" w:color="auto" w:fill="FFFFFF"/>
          </w:tcPr>
          <w:p w14:paraId="604DEF68" w14:textId="0B13E321" w:rsidR="008D15E3" w:rsidRPr="000E0EF9" w:rsidRDefault="008D15E3" w:rsidP="00507B47">
            <w:pPr>
              <w:pStyle w:val="CETBodytext"/>
              <w:ind w:right="-1"/>
              <w:rPr>
                <w:rFonts w:cs="Arial"/>
                <w:sz w:val="16"/>
                <w:szCs w:val="16"/>
                <w:lang w:val="en-GB"/>
              </w:rPr>
            </w:pPr>
          </w:p>
        </w:tc>
      </w:tr>
      <w:tr w:rsidR="00E7457B" w:rsidRPr="00B57B36" w14:paraId="6E28EE06" w14:textId="28E657AE" w:rsidTr="00B82C38">
        <w:tc>
          <w:tcPr>
            <w:tcW w:w="1276" w:type="dxa"/>
            <w:tcBorders>
              <w:top w:val="single" w:sz="12" w:space="0" w:color="008000"/>
              <w:bottom w:val="single" w:sz="6" w:space="0" w:color="008000"/>
            </w:tcBorders>
            <w:shd w:val="clear" w:color="auto" w:fill="FFFFFF"/>
          </w:tcPr>
          <w:p w14:paraId="0ECF891F" w14:textId="4AB291ED" w:rsidR="008D15E3" w:rsidRPr="000E0EF9" w:rsidRDefault="008D15E3" w:rsidP="00507B47">
            <w:pPr>
              <w:pStyle w:val="CETBodytext"/>
              <w:rPr>
                <w:rFonts w:cs="Arial"/>
                <w:sz w:val="16"/>
                <w:szCs w:val="16"/>
                <w:lang w:val="en-GB"/>
              </w:rPr>
            </w:pPr>
          </w:p>
        </w:tc>
        <w:tc>
          <w:tcPr>
            <w:tcW w:w="992" w:type="dxa"/>
            <w:tcBorders>
              <w:top w:val="single" w:sz="12" w:space="0" w:color="008000"/>
              <w:bottom w:val="single" w:sz="6" w:space="0" w:color="008000"/>
            </w:tcBorders>
            <w:shd w:val="clear" w:color="auto" w:fill="FFFFFF"/>
          </w:tcPr>
          <w:p w14:paraId="4D8620AC" w14:textId="2DA0407A" w:rsidR="000E0EF9" w:rsidRPr="000E0EF9" w:rsidRDefault="00E139DD" w:rsidP="00507B47">
            <w:pPr>
              <w:pStyle w:val="CETBodytext"/>
              <w:rPr>
                <w:rFonts w:cs="Arial"/>
                <w:sz w:val="16"/>
                <w:szCs w:val="16"/>
                <w:lang w:val="en-GB"/>
              </w:rPr>
            </w:pPr>
            <m:oMathPara>
              <m:oMath>
                <m:sSub>
                  <m:sSubPr>
                    <m:ctrlPr>
                      <w:rPr>
                        <w:rFonts w:ascii="Cambria Math" w:hAnsi="Cambria Math" w:cs="Arial"/>
                        <w:i/>
                        <w:sz w:val="16"/>
                        <w:szCs w:val="16"/>
                        <w:lang w:val="en-GB"/>
                      </w:rPr>
                    </m:ctrlPr>
                  </m:sSubPr>
                  <m:e>
                    <m:r>
                      <w:rPr>
                        <w:rFonts w:ascii="Cambria Math" w:hAnsi="Cambria Math" w:cs="Arial"/>
                        <w:sz w:val="16"/>
                        <w:szCs w:val="16"/>
                        <w:lang w:val="en-GB"/>
                      </w:rPr>
                      <m:t>Q</m:t>
                    </m:r>
                  </m:e>
                  <m:sub>
                    <m:r>
                      <w:rPr>
                        <w:rFonts w:ascii="Cambria Math" w:hAnsi="Cambria Math" w:cs="Arial"/>
                        <w:sz w:val="16"/>
                        <w:szCs w:val="16"/>
                        <w:lang w:val="en-GB"/>
                      </w:rPr>
                      <m:t>e</m:t>
                    </m:r>
                  </m:sub>
                </m:sSub>
              </m:oMath>
            </m:oMathPara>
          </w:p>
          <w:p w14:paraId="4ACC1A4A" w14:textId="389132BC" w:rsidR="000E0EF9" w:rsidRPr="000E0EF9" w:rsidRDefault="000E0EF9" w:rsidP="00507B47">
            <w:pPr>
              <w:pStyle w:val="CETBodytext"/>
              <w:rPr>
                <w:rFonts w:cs="Arial"/>
                <w:sz w:val="16"/>
                <w:szCs w:val="16"/>
                <w:lang w:val="en-GB"/>
              </w:rPr>
            </w:pPr>
            <w:r>
              <w:rPr>
                <w:rFonts w:cs="Arial"/>
                <w:sz w:val="16"/>
                <w:szCs w:val="16"/>
                <w:lang w:val="en-GB"/>
              </w:rPr>
              <w:t xml:space="preserve">       (mg/</w:t>
            </w:r>
            <w:proofErr w:type="gramStart"/>
            <w:r>
              <w:rPr>
                <w:rFonts w:cs="Arial"/>
                <w:sz w:val="16"/>
                <w:szCs w:val="16"/>
                <w:lang w:val="en-GB"/>
              </w:rPr>
              <w:t xml:space="preserve">g)   </w:t>
            </w:r>
            <w:proofErr w:type="gramEnd"/>
            <w:r>
              <w:rPr>
                <w:rFonts w:cs="Arial"/>
                <w:sz w:val="16"/>
                <w:szCs w:val="16"/>
                <w:lang w:val="en-GB"/>
              </w:rPr>
              <w:t xml:space="preserve"> ( </w:t>
            </w:r>
          </w:p>
        </w:tc>
        <w:tc>
          <w:tcPr>
            <w:tcW w:w="1134" w:type="dxa"/>
            <w:tcBorders>
              <w:top w:val="single" w:sz="12" w:space="0" w:color="008000"/>
              <w:bottom w:val="single" w:sz="6" w:space="0" w:color="008000"/>
            </w:tcBorders>
            <w:shd w:val="clear" w:color="auto" w:fill="FFFFFF"/>
          </w:tcPr>
          <w:p w14:paraId="13197349" w14:textId="7C7E6408" w:rsidR="008D15E3" w:rsidRPr="000E0EF9" w:rsidRDefault="000E0EF9" w:rsidP="00507B47">
            <w:pPr>
              <w:pStyle w:val="CETBodytext"/>
              <w:rPr>
                <w:rFonts w:cs="Arial"/>
                <w:sz w:val="16"/>
                <w:szCs w:val="16"/>
                <w:lang w:val="en-GB"/>
              </w:rPr>
            </w:pPr>
            <m:oMath>
              <m:sSub>
                <m:sSubPr>
                  <m:ctrlPr>
                    <w:rPr>
                      <w:rFonts w:ascii="Cambria Math" w:hAnsi="Cambria Math" w:cs="Arial"/>
                      <w:i/>
                      <w:sz w:val="16"/>
                      <w:szCs w:val="16"/>
                      <w:lang w:val="en-GB"/>
                    </w:rPr>
                  </m:ctrlPr>
                </m:sSubPr>
                <m:e>
                  <m:r>
                    <w:rPr>
                      <w:rFonts w:ascii="Cambria Math" w:hAnsi="Cambria Math" w:cs="Arial"/>
                      <w:sz w:val="16"/>
                      <w:szCs w:val="16"/>
                      <w:lang w:val="en-GB"/>
                    </w:rPr>
                    <m:t>k</m:t>
                  </m:r>
                </m:e>
                <m:sub>
                  <m:r>
                    <w:rPr>
                      <w:rFonts w:ascii="Cambria Math" w:hAnsi="Cambria Math" w:cs="Arial"/>
                      <w:sz w:val="16"/>
                      <w:szCs w:val="16"/>
                      <w:lang w:val="en-GB"/>
                    </w:rPr>
                    <m:t>1</m:t>
                  </m:r>
                </m:sub>
              </m:sSub>
            </m:oMath>
            <w:r w:rsidRPr="000E0EF9">
              <w:rPr>
                <w:rFonts w:cs="Arial"/>
                <w:sz w:val="16"/>
                <w:szCs w:val="16"/>
                <w:lang w:val="en-GB"/>
              </w:rPr>
              <w:t xml:space="preserve">     </w:t>
            </w:r>
            <w:r w:rsidR="00BC4361">
              <w:rPr>
                <w:rFonts w:cs="Arial"/>
                <w:sz w:val="16"/>
                <w:szCs w:val="16"/>
                <w:lang w:val="en-GB"/>
              </w:rPr>
              <w:t xml:space="preserve">     </w:t>
            </w:r>
            <w:r w:rsidRPr="000E0EF9">
              <w:rPr>
                <w:rFonts w:cs="Arial"/>
                <w:sz w:val="16"/>
                <w:szCs w:val="16"/>
                <w:lang w:val="en-GB"/>
              </w:rPr>
              <w:t xml:space="preserve"> </w:t>
            </w:r>
            <m:oMath>
              <m:sSup>
                <m:sSupPr>
                  <m:ctrlPr>
                    <w:rPr>
                      <w:rFonts w:ascii="Cambria Math" w:hAnsi="Cambria Math" w:cs="Arial"/>
                      <w:i/>
                      <w:sz w:val="16"/>
                      <w:szCs w:val="16"/>
                      <w:lang w:val="en-GB"/>
                    </w:rPr>
                  </m:ctrlPr>
                </m:sSupPr>
                <m:e>
                  <m:r>
                    <w:rPr>
                      <w:rFonts w:ascii="Cambria Math" w:hAnsi="Cambria Math" w:cs="Arial"/>
                      <w:sz w:val="16"/>
                      <w:szCs w:val="16"/>
                      <w:lang w:val="en-GB"/>
                    </w:rPr>
                    <m:t>R</m:t>
                  </m:r>
                </m:e>
                <m:sup>
                  <m:r>
                    <w:rPr>
                      <w:rFonts w:ascii="Cambria Math" w:hAnsi="Cambria Math" w:cs="Arial"/>
                      <w:sz w:val="16"/>
                      <w:szCs w:val="16"/>
                      <w:lang w:val="en-GB"/>
                    </w:rPr>
                    <m:t>2</m:t>
                  </m:r>
                </m:sup>
              </m:sSup>
            </m:oMath>
          </w:p>
        </w:tc>
        <w:tc>
          <w:tcPr>
            <w:tcW w:w="1375" w:type="dxa"/>
            <w:tcBorders>
              <w:top w:val="single" w:sz="12" w:space="0" w:color="008000"/>
              <w:bottom w:val="single" w:sz="6" w:space="0" w:color="008000"/>
            </w:tcBorders>
            <w:shd w:val="clear" w:color="auto" w:fill="FFFFFF"/>
          </w:tcPr>
          <w:p w14:paraId="5268684C" w14:textId="3B0AE0B0" w:rsidR="008D15E3" w:rsidRPr="000E0EF9" w:rsidRDefault="000E0EF9" w:rsidP="00507B47">
            <w:pPr>
              <w:pStyle w:val="CETBodytext"/>
              <w:ind w:right="-1"/>
              <w:rPr>
                <w:rFonts w:cs="Arial"/>
                <w:sz w:val="16"/>
                <w:szCs w:val="16"/>
                <w:lang w:val="en-GB"/>
              </w:rPr>
            </w:pPr>
            <m:oMath>
              <m:sSub>
                <m:sSubPr>
                  <m:ctrlPr>
                    <w:rPr>
                      <w:rFonts w:ascii="Cambria Math" w:hAnsi="Cambria Math" w:cs="Arial"/>
                      <w:i/>
                      <w:sz w:val="16"/>
                      <w:szCs w:val="16"/>
                      <w:lang w:val="en-GB"/>
                    </w:rPr>
                  </m:ctrlPr>
                </m:sSubPr>
                <m:e>
                  <m:r>
                    <w:rPr>
                      <w:rFonts w:ascii="Cambria Math" w:hAnsi="Cambria Math" w:cs="Arial"/>
                      <w:sz w:val="16"/>
                      <w:szCs w:val="16"/>
                      <w:lang w:val="en-GB"/>
                    </w:rPr>
                    <m:t>Q</m:t>
                  </m:r>
                </m:e>
                <m:sub>
                  <m:r>
                    <w:rPr>
                      <w:rFonts w:ascii="Cambria Math" w:hAnsi="Cambria Math" w:cs="Arial"/>
                      <w:sz w:val="16"/>
                      <w:szCs w:val="16"/>
                      <w:lang w:val="en-GB"/>
                    </w:rPr>
                    <m:t>e,fast</m:t>
                  </m:r>
                </m:sub>
              </m:sSub>
            </m:oMath>
            <w:r w:rsidRPr="000E0EF9">
              <w:rPr>
                <w:rFonts w:cs="Arial"/>
                <w:sz w:val="16"/>
                <w:szCs w:val="16"/>
                <w:lang w:val="en-GB"/>
              </w:rPr>
              <w:t xml:space="preserve"> </w:t>
            </w:r>
            <m:oMath>
              <m:sSub>
                <m:sSubPr>
                  <m:ctrlPr>
                    <w:rPr>
                      <w:rFonts w:ascii="Cambria Math" w:hAnsi="Cambria Math" w:cs="Arial"/>
                      <w:i/>
                      <w:sz w:val="16"/>
                      <w:szCs w:val="16"/>
                      <w:lang w:val="en-GB"/>
                    </w:rPr>
                  </m:ctrlPr>
                </m:sSubPr>
                <m:e>
                  <m:r>
                    <w:rPr>
                      <w:rFonts w:ascii="Cambria Math" w:hAnsi="Cambria Math" w:cs="Arial"/>
                      <w:sz w:val="16"/>
                      <w:szCs w:val="16"/>
                      <w:lang w:val="en-GB"/>
                    </w:rPr>
                    <m:t>Q</m:t>
                  </m:r>
                </m:e>
                <m:sub>
                  <m:r>
                    <w:rPr>
                      <w:rFonts w:ascii="Cambria Math" w:hAnsi="Cambria Math" w:cs="Arial"/>
                      <w:sz w:val="16"/>
                      <w:szCs w:val="16"/>
                      <w:lang w:val="en-GB"/>
                    </w:rPr>
                    <m:t>e,slow</m:t>
                  </m:r>
                </m:sub>
              </m:sSub>
            </m:oMath>
            <w:r w:rsidRPr="000E0EF9">
              <w:rPr>
                <w:rFonts w:cs="Arial"/>
                <w:sz w:val="16"/>
                <w:szCs w:val="16"/>
                <w:lang w:val="en-GB"/>
              </w:rPr>
              <w:t xml:space="preserve">  </w:t>
            </w:r>
          </w:p>
        </w:tc>
        <w:tc>
          <w:tcPr>
            <w:tcW w:w="1360" w:type="dxa"/>
            <w:tcBorders>
              <w:top w:val="single" w:sz="12" w:space="0" w:color="008000"/>
              <w:bottom w:val="single" w:sz="6" w:space="0" w:color="008000"/>
            </w:tcBorders>
            <w:shd w:val="clear" w:color="auto" w:fill="FFFFFF"/>
          </w:tcPr>
          <w:p w14:paraId="0A760EF8" w14:textId="1581346C" w:rsidR="008D15E3" w:rsidRPr="000E0EF9" w:rsidRDefault="000E0EF9" w:rsidP="00507B47">
            <w:pPr>
              <w:pStyle w:val="CETBodytext"/>
              <w:ind w:right="-1"/>
              <w:rPr>
                <w:rFonts w:cs="Arial"/>
                <w:sz w:val="16"/>
                <w:szCs w:val="16"/>
                <w:lang w:val="en-GB"/>
              </w:rPr>
            </w:pPr>
            <m:oMath>
              <m:sSub>
                <m:sSubPr>
                  <m:ctrlPr>
                    <w:rPr>
                      <w:rFonts w:ascii="Cambria Math" w:hAnsi="Cambria Math" w:cs="Arial"/>
                      <w:i/>
                      <w:sz w:val="16"/>
                      <w:szCs w:val="16"/>
                      <w:lang w:val="en-GB"/>
                    </w:rPr>
                  </m:ctrlPr>
                </m:sSubPr>
                <m:e>
                  <m:r>
                    <w:rPr>
                      <w:rFonts w:ascii="Cambria Math" w:hAnsi="Cambria Math" w:cs="Arial"/>
                      <w:sz w:val="16"/>
                      <w:szCs w:val="16"/>
                      <w:lang w:val="en-GB"/>
                    </w:rPr>
                    <m:t>k</m:t>
                  </m:r>
                </m:e>
                <m:sub>
                  <m:r>
                    <w:rPr>
                      <w:rFonts w:ascii="Cambria Math" w:hAnsi="Cambria Math" w:cs="Arial"/>
                      <w:sz w:val="16"/>
                      <w:szCs w:val="16"/>
                      <w:lang w:val="en-GB"/>
                    </w:rPr>
                    <m:t>1,fast</m:t>
                  </m:r>
                </m:sub>
              </m:sSub>
            </m:oMath>
            <w:r>
              <w:rPr>
                <w:rFonts w:cs="Arial"/>
                <w:sz w:val="16"/>
                <w:szCs w:val="16"/>
                <w:lang w:val="en-GB"/>
              </w:rPr>
              <w:t xml:space="preserve"> </w:t>
            </w:r>
            <w:r w:rsidRPr="000E0EF9">
              <w:rPr>
                <w:rFonts w:cs="Arial"/>
                <w:sz w:val="16"/>
                <w:szCs w:val="16"/>
                <w:lang w:val="en-GB"/>
              </w:rPr>
              <w:t xml:space="preserve">     </w:t>
            </w:r>
            <m:oMath>
              <m:sSub>
                <m:sSubPr>
                  <m:ctrlPr>
                    <w:rPr>
                      <w:rFonts w:ascii="Cambria Math" w:hAnsi="Cambria Math" w:cs="Arial"/>
                      <w:i/>
                      <w:sz w:val="16"/>
                      <w:szCs w:val="16"/>
                      <w:lang w:val="en-GB"/>
                    </w:rPr>
                  </m:ctrlPr>
                </m:sSubPr>
                <m:e>
                  <m:r>
                    <w:rPr>
                      <w:rFonts w:ascii="Cambria Math" w:hAnsi="Cambria Math" w:cs="Arial"/>
                      <w:sz w:val="16"/>
                      <w:szCs w:val="16"/>
                      <w:lang w:val="en-GB"/>
                    </w:rPr>
                    <m:t>k</m:t>
                  </m:r>
                </m:e>
                <m:sub>
                  <m:r>
                    <w:rPr>
                      <w:rFonts w:ascii="Cambria Math" w:hAnsi="Cambria Math" w:cs="Arial"/>
                      <w:sz w:val="16"/>
                      <w:szCs w:val="16"/>
                      <w:lang w:val="en-GB"/>
                    </w:rPr>
                    <m:t>1,slow</m:t>
                  </m:r>
                </m:sub>
              </m:sSub>
            </m:oMath>
            <w:r w:rsidR="00E7457B">
              <w:rPr>
                <w:rFonts w:cs="Arial"/>
                <w:sz w:val="16"/>
                <w:szCs w:val="16"/>
                <w:lang w:val="en-GB"/>
              </w:rPr>
              <w:t xml:space="preserve">   </w:t>
            </w:r>
            <w:r w:rsidRPr="000E0EF9">
              <w:rPr>
                <w:rFonts w:cs="Arial"/>
                <w:sz w:val="16"/>
                <w:szCs w:val="16"/>
                <w:lang w:val="en-GB"/>
              </w:rPr>
              <w:t xml:space="preserve"> </w:t>
            </w:r>
            <m:oMath>
              <m:sSup>
                <m:sSupPr>
                  <m:ctrlPr>
                    <w:rPr>
                      <w:rFonts w:ascii="Cambria Math" w:hAnsi="Cambria Math" w:cs="Arial"/>
                      <w:i/>
                      <w:sz w:val="16"/>
                      <w:szCs w:val="16"/>
                      <w:lang w:val="en-GB"/>
                    </w:rPr>
                  </m:ctrlPr>
                </m:sSupPr>
                <m:e>
                  <m:r>
                    <w:rPr>
                      <w:rFonts w:ascii="Cambria Math" w:hAnsi="Cambria Math" w:cs="Arial"/>
                      <w:sz w:val="16"/>
                      <w:szCs w:val="16"/>
                      <w:lang w:val="en-GB"/>
                    </w:rPr>
                    <m:t>R</m:t>
                  </m:r>
                </m:e>
                <m:sup>
                  <m:r>
                    <w:rPr>
                      <w:rFonts w:ascii="Cambria Math" w:hAnsi="Cambria Math" w:cs="Arial"/>
                      <w:sz w:val="16"/>
                      <w:szCs w:val="16"/>
                      <w:lang w:val="en-GB"/>
                    </w:rPr>
                    <m:t>2</m:t>
                  </m:r>
                </m:sup>
              </m:sSup>
            </m:oMath>
            <w:r w:rsidR="00E7457B">
              <w:rPr>
                <w:rFonts w:cs="Arial"/>
                <w:sz w:val="16"/>
                <w:szCs w:val="16"/>
                <w:lang w:val="en-GB"/>
              </w:rPr>
              <w:t xml:space="preserve">  </w:t>
            </w:r>
            <w:r w:rsidRPr="000E0EF9">
              <w:rPr>
                <w:rFonts w:cs="Arial"/>
                <w:sz w:val="16"/>
                <w:szCs w:val="16"/>
                <w:lang w:val="en-GB"/>
              </w:rPr>
              <w:t xml:space="preserve">            </w:t>
            </w:r>
          </w:p>
        </w:tc>
        <w:tc>
          <w:tcPr>
            <w:tcW w:w="1134" w:type="dxa"/>
            <w:tcBorders>
              <w:top w:val="single" w:sz="12" w:space="0" w:color="008000"/>
              <w:bottom w:val="single" w:sz="6" w:space="0" w:color="008000"/>
            </w:tcBorders>
            <w:shd w:val="clear" w:color="auto" w:fill="FFFFFF"/>
          </w:tcPr>
          <w:p w14:paraId="04849743" w14:textId="11F03E4C" w:rsidR="008D15E3" w:rsidRPr="000E0EF9" w:rsidRDefault="00E7457B" w:rsidP="00507B47">
            <w:pPr>
              <w:pStyle w:val="CETBodytext"/>
              <w:ind w:right="-1"/>
              <w:rPr>
                <w:rFonts w:cs="Arial"/>
                <w:sz w:val="16"/>
                <w:szCs w:val="16"/>
                <w:lang w:val="en-GB"/>
              </w:rPr>
            </w:pPr>
            <w:r>
              <w:rPr>
                <w:rFonts w:cs="Arial"/>
                <w:sz w:val="16"/>
                <w:szCs w:val="16"/>
                <w:lang w:val="en-GB"/>
              </w:rPr>
              <w:t xml:space="preserve">         </w:t>
            </w:r>
            <m:oMath>
              <m:sSub>
                <m:sSubPr>
                  <m:ctrlPr>
                    <w:rPr>
                      <w:rFonts w:ascii="Cambria Math" w:hAnsi="Cambria Math" w:cs="Arial"/>
                      <w:i/>
                      <w:sz w:val="16"/>
                      <w:szCs w:val="16"/>
                      <w:lang w:val="en-GB"/>
                    </w:rPr>
                  </m:ctrlPr>
                </m:sSubPr>
                <m:e>
                  <m:r>
                    <w:rPr>
                      <w:rFonts w:ascii="Cambria Math" w:hAnsi="Cambria Math" w:cs="Arial"/>
                      <w:sz w:val="16"/>
                      <w:szCs w:val="16"/>
                      <w:lang w:val="en-GB"/>
                    </w:rPr>
                    <m:t>Q</m:t>
                  </m:r>
                </m:e>
                <m:sub>
                  <m:r>
                    <w:rPr>
                      <w:rFonts w:ascii="Cambria Math" w:hAnsi="Cambria Math" w:cs="Arial"/>
                      <w:sz w:val="16"/>
                      <w:szCs w:val="16"/>
                      <w:lang w:val="en-GB"/>
                    </w:rPr>
                    <m:t>e</m:t>
                  </m:r>
                </m:sub>
              </m:sSub>
            </m:oMath>
          </w:p>
        </w:tc>
        <w:tc>
          <w:tcPr>
            <w:tcW w:w="1134" w:type="dxa"/>
            <w:tcBorders>
              <w:top w:val="single" w:sz="12" w:space="0" w:color="008000"/>
              <w:bottom w:val="single" w:sz="6" w:space="0" w:color="008000"/>
            </w:tcBorders>
            <w:shd w:val="clear" w:color="auto" w:fill="FFFFFF"/>
          </w:tcPr>
          <w:p w14:paraId="4C4BF672" w14:textId="505B350B" w:rsidR="008D15E3" w:rsidRPr="000E0EF9" w:rsidRDefault="00E7457B" w:rsidP="00507B47">
            <w:pPr>
              <w:pStyle w:val="CETBodytext"/>
              <w:ind w:right="-1"/>
              <w:rPr>
                <w:rFonts w:cs="Arial"/>
                <w:sz w:val="16"/>
                <w:szCs w:val="16"/>
                <w:lang w:val="en-GB"/>
              </w:rPr>
            </w:pPr>
            <m:oMath>
              <m:sSub>
                <m:sSubPr>
                  <m:ctrlPr>
                    <w:rPr>
                      <w:rFonts w:ascii="Cambria Math" w:hAnsi="Cambria Math" w:cs="Arial"/>
                      <w:i/>
                      <w:sz w:val="16"/>
                      <w:szCs w:val="16"/>
                      <w:lang w:val="en-GB"/>
                    </w:rPr>
                  </m:ctrlPr>
                </m:sSubPr>
                <m:e>
                  <m:r>
                    <w:rPr>
                      <w:rFonts w:ascii="Cambria Math" w:hAnsi="Cambria Math" w:cs="Arial"/>
                      <w:sz w:val="16"/>
                      <w:szCs w:val="16"/>
                      <w:lang w:val="en-GB"/>
                    </w:rPr>
                    <m:t>k</m:t>
                  </m:r>
                </m:e>
                <m:sub>
                  <m:r>
                    <w:rPr>
                      <w:rFonts w:ascii="Cambria Math" w:hAnsi="Cambria Math" w:cs="Arial"/>
                      <w:sz w:val="16"/>
                      <w:szCs w:val="16"/>
                      <w:lang w:val="en-GB"/>
                    </w:rPr>
                    <m:t>2</m:t>
                  </m:r>
                </m:sub>
              </m:sSub>
            </m:oMath>
            <w:r>
              <w:rPr>
                <w:rFonts w:cs="Arial"/>
                <w:sz w:val="16"/>
                <w:szCs w:val="16"/>
                <w:lang w:val="en-GB"/>
              </w:rPr>
              <w:t xml:space="preserve">          </w:t>
            </w:r>
            <m:oMath>
              <m:sSup>
                <m:sSupPr>
                  <m:ctrlPr>
                    <w:rPr>
                      <w:rFonts w:ascii="Cambria Math" w:hAnsi="Cambria Math" w:cs="Arial"/>
                      <w:i/>
                      <w:sz w:val="16"/>
                      <w:szCs w:val="16"/>
                      <w:lang w:val="en-GB"/>
                    </w:rPr>
                  </m:ctrlPr>
                </m:sSupPr>
                <m:e>
                  <m:r>
                    <w:rPr>
                      <w:rFonts w:ascii="Cambria Math" w:hAnsi="Cambria Math" w:cs="Arial"/>
                      <w:sz w:val="16"/>
                      <w:szCs w:val="16"/>
                      <w:lang w:val="en-GB"/>
                    </w:rPr>
                    <m:t>R</m:t>
                  </m:r>
                </m:e>
                <m:sup>
                  <m:r>
                    <w:rPr>
                      <w:rFonts w:ascii="Cambria Math" w:hAnsi="Cambria Math" w:cs="Arial"/>
                      <w:sz w:val="16"/>
                      <w:szCs w:val="16"/>
                      <w:lang w:val="en-GB"/>
                    </w:rPr>
                    <m:t>2</m:t>
                  </m:r>
                </m:sup>
              </m:sSup>
            </m:oMath>
          </w:p>
          <w:p w14:paraId="27BE697B" w14:textId="1AD062E2" w:rsidR="00E139DD" w:rsidRPr="000E0EF9" w:rsidRDefault="00E139DD" w:rsidP="00507B47">
            <w:pPr>
              <w:pStyle w:val="CETBodytext"/>
              <w:ind w:right="-1"/>
              <w:rPr>
                <w:rFonts w:cs="Arial"/>
                <w:sz w:val="16"/>
                <w:szCs w:val="16"/>
                <w:lang w:val="en-GB"/>
              </w:rPr>
            </w:pPr>
          </w:p>
        </w:tc>
      </w:tr>
      <w:tr w:rsidR="00E7457B" w:rsidRPr="00B57B36" w14:paraId="18FA68DB" w14:textId="4EE16129" w:rsidTr="000E0EF9">
        <w:trPr>
          <w:trHeight w:val="393"/>
        </w:trPr>
        <w:tc>
          <w:tcPr>
            <w:tcW w:w="1276" w:type="dxa"/>
            <w:shd w:val="clear" w:color="auto" w:fill="FFFFFF"/>
          </w:tcPr>
          <w:p w14:paraId="1877D42D" w14:textId="167A062F" w:rsidR="008D15E3" w:rsidRPr="000E0EF9" w:rsidRDefault="00E139DD" w:rsidP="00507B47">
            <w:pPr>
              <w:pStyle w:val="CETBodytext"/>
              <w:rPr>
                <w:rFonts w:cs="Arial"/>
                <w:sz w:val="16"/>
                <w:szCs w:val="16"/>
                <w:lang w:val="en-GB"/>
              </w:rPr>
            </w:pPr>
            <w:r w:rsidRPr="000E0EF9">
              <w:rPr>
                <w:rFonts w:cs="Arial"/>
                <w:sz w:val="16"/>
                <w:szCs w:val="16"/>
                <w:lang w:val="en-GB"/>
              </w:rPr>
              <w:t>Consortium</w:t>
            </w:r>
          </w:p>
        </w:tc>
        <w:tc>
          <w:tcPr>
            <w:tcW w:w="992" w:type="dxa"/>
            <w:shd w:val="clear" w:color="auto" w:fill="FFFFFF"/>
          </w:tcPr>
          <w:p w14:paraId="48136FAE" w14:textId="0425E201" w:rsidR="008D15E3" w:rsidRPr="000E0EF9" w:rsidRDefault="00E7457B" w:rsidP="00507B47">
            <w:pPr>
              <w:pStyle w:val="CETBodytext"/>
              <w:rPr>
                <w:rFonts w:cs="Arial"/>
                <w:sz w:val="16"/>
                <w:szCs w:val="16"/>
                <w:lang w:val="en-GB"/>
              </w:rPr>
            </w:pPr>
            <w:r>
              <w:rPr>
                <w:rFonts w:cs="Arial"/>
                <w:sz w:val="16"/>
                <w:szCs w:val="16"/>
                <w:lang w:val="en-GB"/>
              </w:rPr>
              <w:t xml:space="preserve">50.71         </w:t>
            </w:r>
          </w:p>
        </w:tc>
        <w:tc>
          <w:tcPr>
            <w:tcW w:w="1134" w:type="dxa"/>
            <w:shd w:val="clear" w:color="auto" w:fill="FFFFFF"/>
          </w:tcPr>
          <w:p w14:paraId="2CB03BEE" w14:textId="614BBCED" w:rsidR="008D15E3" w:rsidRPr="000E0EF9" w:rsidRDefault="00E7457B" w:rsidP="00507B47">
            <w:pPr>
              <w:pStyle w:val="CETBodytext"/>
              <w:rPr>
                <w:rFonts w:cs="Arial"/>
                <w:sz w:val="16"/>
                <w:szCs w:val="16"/>
                <w:lang w:val="en-GB"/>
              </w:rPr>
            </w:pPr>
            <w:r>
              <w:rPr>
                <w:rFonts w:cs="Arial"/>
                <w:sz w:val="16"/>
                <w:szCs w:val="16"/>
                <w:lang w:val="en-GB"/>
              </w:rPr>
              <w:t>0.373</w:t>
            </w:r>
            <w:r w:rsidR="00BC4361">
              <w:rPr>
                <w:rFonts w:cs="Arial"/>
                <w:sz w:val="16"/>
                <w:szCs w:val="16"/>
                <w:lang w:val="en-GB"/>
              </w:rPr>
              <w:t xml:space="preserve">  </w:t>
            </w:r>
            <w:r>
              <w:rPr>
                <w:rFonts w:cs="Arial"/>
                <w:sz w:val="16"/>
                <w:szCs w:val="16"/>
                <w:lang w:val="en-GB"/>
              </w:rPr>
              <w:t xml:space="preserve"> 0.988</w:t>
            </w:r>
          </w:p>
        </w:tc>
        <w:tc>
          <w:tcPr>
            <w:tcW w:w="1375" w:type="dxa"/>
            <w:shd w:val="clear" w:color="auto" w:fill="FFFFFF"/>
          </w:tcPr>
          <w:p w14:paraId="7FF7EB81" w14:textId="7D7C1424" w:rsidR="008D15E3" w:rsidRPr="000E0EF9" w:rsidRDefault="00E7457B" w:rsidP="00507B47">
            <w:pPr>
              <w:pStyle w:val="CETBodytext"/>
              <w:ind w:right="-1"/>
              <w:rPr>
                <w:rFonts w:cs="Arial"/>
                <w:sz w:val="16"/>
                <w:szCs w:val="16"/>
                <w:lang w:val="en-GB"/>
              </w:rPr>
            </w:pPr>
            <w:r>
              <w:rPr>
                <w:rFonts w:cs="Arial"/>
                <w:sz w:val="16"/>
                <w:szCs w:val="16"/>
                <w:lang w:val="en-GB"/>
              </w:rPr>
              <w:t>20.62    30.54</w:t>
            </w:r>
            <w:r w:rsidR="00BC4361">
              <w:rPr>
                <w:rFonts w:cs="Arial"/>
                <w:sz w:val="16"/>
                <w:szCs w:val="16"/>
                <w:lang w:val="en-GB"/>
              </w:rPr>
              <w:t xml:space="preserve">     1.</w:t>
            </w:r>
          </w:p>
        </w:tc>
        <w:tc>
          <w:tcPr>
            <w:tcW w:w="1360" w:type="dxa"/>
            <w:shd w:val="clear" w:color="auto" w:fill="FFFFFF"/>
          </w:tcPr>
          <w:p w14:paraId="6512B018" w14:textId="5577B878" w:rsidR="008D15E3" w:rsidRPr="000E0EF9" w:rsidRDefault="00E7457B" w:rsidP="00507B47">
            <w:pPr>
              <w:pStyle w:val="CETBodytext"/>
              <w:ind w:right="-1"/>
              <w:rPr>
                <w:rFonts w:cs="Arial"/>
                <w:sz w:val="16"/>
                <w:szCs w:val="16"/>
                <w:lang w:val="en-GB"/>
              </w:rPr>
            </w:pPr>
            <w:r>
              <w:rPr>
                <w:rFonts w:cs="Arial"/>
                <w:sz w:val="16"/>
                <w:szCs w:val="16"/>
                <w:lang w:val="en-GB"/>
              </w:rPr>
              <w:t>1</w:t>
            </w:r>
            <w:r w:rsidR="00BC4361">
              <w:rPr>
                <w:rFonts w:cs="Arial"/>
                <w:sz w:val="16"/>
                <w:szCs w:val="16"/>
                <w:lang w:val="en-GB"/>
              </w:rPr>
              <w:t>13</w:t>
            </w:r>
            <w:r>
              <w:rPr>
                <w:rFonts w:cs="Arial"/>
                <w:sz w:val="16"/>
                <w:szCs w:val="16"/>
                <w:lang w:val="en-GB"/>
              </w:rPr>
              <w:t xml:space="preserve">   0.208   0.99</w:t>
            </w:r>
            <w:r w:rsidR="00BC4361">
              <w:rPr>
                <w:rFonts w:cs="Arial"/>
                <w:sz w:val="16"/>
                <w:szCs w:val="16"/>
                <w:lang w:val="en-GB"/>
              </w:rPr>
              <w:t>3</w:t>
            </w:r>
          </w:p>
        </w:tc>
        <w:tc>
          <w:tcPr>
            <w:tcW w:w="1134" w:type="dxa"/>
            <w:shd w:val="clear" w:color="auto" w:fill="FFFFFF"/>
          </w:tcPr>
          <w:p w14:paraId="68383C72" w14:textId="1F63DF3C" w:rsidR="008D15E3" w:rsidRPr="000E0EF9" w:rsidRDefault="00E7457B" w:rsidP="00507B47">
            <w:pPr>
              <w:pStyle w:val="CETBodytext"/>
              <w:ind w:right="-1"/>
              <w:rPr>
                <w:rFonts w:cs="Arial"/>
                <w:sz w:val="16"/>
                <w:szCs w:val="16"/>
                <w:lang w:val="en-GB"/>
              </w:rPr>
            </w:pPr>
            <w:r>
              <w:rPr>
                <w:rFonts w:cs="Arial"/>
                <w:sz w:val="16"/>
                <w:szCs w:val="16"/>
                <w:lang w:val="en-GB"/>
              </w:rPr>
              <w:t xml:space="preserve">      52.82  </w:t>
            </w:r>
          </w:p>
        </w:tc>
        <w:tc>
          <w:tcPr>
            <w:tcW w:w="1134" w:type="dxa"/>
            <w:shd w:val="clear" w:color="auto" w:fill="FFFFFF"/>
          </w:tcPr>
          <w:p w14:paraId="375934B1" w14:textId="4925D484" w:rsidR="008D15E3" w:rsidRPr="000E0EF9" w:rsidRDefault="00E7457B" w:rsidP="00507B47">
            <w:pPr>
              <w:pStyle w:val="CETBodytext"/>
              <w:ind w:right="-1"/>
              <w:rPr>
                <w:rFonts w:cs="Arial"/>
                <w:sz w:val="16"/>
                <w:szCs w:val="16"/>
                <w:lang w:val="en-GB"/>
              </w:rPr>
            </w:pPr>
            <w:r>
              <w:rPr>
                <w:rFonts w:cs="Arial"/>
                <w:sz w:val="16"/>
                <w:szCs w:val="16"/>
                <w:lang w:val="en-GB"/>
              </w:rPr>
              <w:t>0.012    0.991</w:t>
            </w:r>
          </w:p>
        </w:tc>
      </w:tr>
      <w:tr w:rsidR="00E7457B" w:rsidRPr="00B57B36" w14:paraId="1777C522" w14:textId="7447391F" w:rsidTr="00B82C38">
        <w:tc>
          <w:tcPr>
            <w:tcW w:w="1276" w:type="dxa"/>
            <w:shd w:val="clear" w:color="auto" w:fill="FFFFFF"/>
          </w:tcPr>
          <w:p w14:paraId="59954EC2" w14:textId="45DFD314" w:rsidR="008D15E3" w:rsidRPr="000E0EF9" w:rsidRDefault="00B82C38" w:rsidP="00507B47">
            <w:pPr>
              <w:pStyle w:val="CETBodytext"/>
              <w:ind w:right="-1"/>
              <w:rPr>
                <w:rFonts w:cs="Arial"/>
                <w:i/>
                <w:iCs/>
                <w:sz w:val="16"/>
                <w:szCs w:val="16"/>
                <w:lang w:val="en-GB"/>
              </w:rPr>
            </w:pPr>
            <w:r w:rsidRPr="000E0EF9">
              <w:rPr>
                <w:rFonts w:cs="Arial"/>
                <w:i/>
                <w:iCs/>
                <w:sz w:val="16"/>
                <w:szCs w:val="16"/>
                <w:lang w:val="en-GB"/>
              </w:rPr>
              <w:t xml:space="preserve">P. </w:t>
            </w:r>
            <w:proofErr w:type="spellStart"/>
            <w:r w:rsidRPr="000E0EF9">
              <w:rPr>
                <w:rFonts w:cs="Arial"/>
                <w:i/>
                <w:iCs/>
                <w:sz w:val="16"/>
                <w:szCs w:val="16"/>
                <w:lang w:val="en-GB"/>
              </w:rPr>
              <w:t>bifermentans</w:t>
            </w:r>
            <w:proofErr w:type="spellEnd"/>
          </w:p>
        </w:tc>
        <w:tc>
          <w:tcPr>
            <w:tcW w:w="992" w:type="dxa"/>
            <w:shd w:val="clear" w:color="auto" w:fill="FFFFFF"/>
          </w:tcPr>
          <w:p w14:paraId="4FFB40F7" w14:textId="606C51F2" w:rsidR="008D15E3" w:rsidRPr="00E7457B" w:rsidRDefault="00E7457B" w:rsidP="00507B47">
            <w:pPr>
              <w:pStyle w:val="CETBodytext"/>
              <w:ind w:right="-1"/>
              <w:rPr>
                <w:rFonts w:cs="Arial"/>
                <w:sz w:val="16"/>
                <w:szCs w:val="16"/>
                <w:lang w:val="en-GB"/>
              </w:rPr>
            </w:pPr>
            <w:r>
              <w:rPr>
                <w:rFonts w:cs="Arial"/>
                <w:sz w:val="16"/>
                <w:szCs w:val="16"/>
                <w:lang w:val="en-GB"/>
              </w:rPr>
              <w:t>24.92</w:t>
            </w:r>
          </w:p>
        </w:tc>
        <w:tc>
          <w:tcPr>
            <w:tcW w:w="1134" w:type="dxa"/>
            <w:shd w:val="clear" w:color="auto" w:fill="FFFFFF"/>
          </w:tcPr>
          <w:p w14:paraId="74F8316C" w14:textId="35749393" w:rsidR="008D15E3" w:rsidRPr="000E0EF9" w:rsidRDefault="00BC4361" w:rsidP="00507B47">
            <w:pPr>
              <w:pStyle w:val="CETBodytext"/>
              <w:ind w:right="-1"/>
              <w:rPr>
                <w:rFonts w:cs="Arial"/>
                <w:sz w:val="16"/>
                <w:szCs w:val="16"/>
                <w:lang w:val="en-GB"/>
              </w:rPr>
            </w:pPr>
            <w:r>
              <w:rPr>
                <w:rFonts w:cs="Arial"/>
                <w:sz w:val="16"/>
                <w:szCs w:val="16"/>
                <w:lang w:val="en-GB"/>
              </w:rPr>
              <w:t>0.075   0.949</w:t>
            </w:r>
          </w:p>
        </w:tc>
        <w:tc>
          <w:tcPr>
            <w:tcW w:w="1375" w:type="dxa"/>
            <w:shd w:val="clear" w:color="auto" w:fill="FFFFFF"/>
          </w:tcPr>
          <w:p w14:paraId="708CF970" w14:textId="3D6E63A5" w:rsidR="008D15E3" w:rsidRPr="000E0EF9" w:rsidRDefault="00BC4361" w:rsidP="00507B47">
            <w:pPr>
              <w:pStyle w:val="CETBodytext"/>
              <w:ind w:right="-1"/>
              <w:rPr>
                <w:rFonts w:cs="Arial"/>
                <w:sz w:val="16"/>
                <w:szCs w:val="16"/>
                <w:lang w:val="en-GB"/>
              </w:rPr>
            </w:pPr>
            <w:r>
              <w:rPr>
                <w:rFonts w:cs="Arial"/>
                <w:sz w:val="16"/>
                <w:szCs w:val="16"/>
                <w:lang w:val="en-GB"/>
              </w:rPr>
              <w:t xml:space="preserve">17.13   14.02   0.14   </w:t>
            </w:r>
          </w:p>
        </w:tc>
        <w:tc>
          <w:tcPr>
            <w:tcW w:w="1360" w:type="dxa"/>
            <w:shd w:val="clear" w:color="auto" w:fill="FFFFFF"/>
          </w:tcPr>
          <w:p w14:paraId="6B4A2B9B" w14:textId="5394D852" w:rsidR="008D15E3" w:rsidRPr="000E0EF9" w:rsidRDefault="00BC4361" w:rsidP="00507B47">
            <w:pPr>
              <w:pStyle w:val="CETBodytext"/>
              <w:ind w:right="-1"/>
              <w:rPr>
                <w:rFonts w:cs="Arial"/>
                <w:sz w:val="16"/>
                <w:szCs w:val="16"/>
                <w:lang w:val="en-GB"/>
              </w:rPr>
            </w:pPr>
            <w:r>
              <w:rPr>
                <w:rFonts w:cs="Arial"/>
                <w:sz w:val="16"/>
                <w:szCs w:val="16"/>
                <w:lang w:val="en-GB"/>
              </w:rPr>
              <w:t xml:space="preserve">9       </w:t>
            </w:r>
            <w:proofErr w:type="gramStart"/>
            <w:r>
              <w:rPr>
                <w:rFonts w:cs="Arial"/>
                <w:sz w:val="16"/>
                <w:szCs w:val="16"/>
                <w:lang w:val="en-GB"/>
              </w:rPr>
              <w:t>0.0079  0.985</w:t>
            </w:r>
            <w:proofErr w:type="gramEnd"/>
            <w:r>
              <w:rPr>
                <w:rFonts w:cs="Arial"/>
                <w:sz w:val="16"/>
                <w:szCs w:val="16"/>
                <w:lang w:val="en-GB"/>
              </w:rPr>
              <w:t xml:space="preserve">   </w:t>
            </w:r>
          </w:p>
        </w:tc>
        <w:tc>
          <w:tcPr>
            <w:tcW w:w="1134" w:type="dxa"/>
            <w:shd w:val="clear" w:color="auto" w:fill="FFFFFF"/>
          </w:tcPr>
          <w:p w14:paraId="0475EC2F" w14:textId="214C8BAC" w:rsidR="008D15E3" w:rsidRPr="000E0EF9" w:rsidRDefault="00BC4361" w:rsidP="00507B47">
            <w:pPr>
              <w:pStyle w:val="CETBodytext"/>
              <w:ind w:right="-1"/>
              <w:rPr>
                <w:rFonts w:cs="Arial"/>
                <w:sz w:val="16"/>
                <w:szCs w:val="16"/>
                <w:lang w:val="en-GB"/>
              </w:rPr>
            </w:pPr>
            <w:r>
              <w:rPr>
                <w:rFonts w:cs="Arial"/>
                <w:sz w:val="16"/>
                <w:szCs w:val="16"/>
                <w:lang w:val="en-GB"/>
              </w:rPr>
              <w:t xml:space="preserve">      27.94          </w:t>
            </w:r>
          </w:p>
        </w:tc>
        <w:tc>
          <w:tcPr>
            <w:tcW w:w="1134" w:type="dxa"/>
            <w:shd w:val="clear" w:color="auto" w:fill="FFFFFF"/>
          </w:tcPr>
          <w:p w14:paraId="6B675DC2" w14:textId="1FAEE8FE" w:rsidR="008D15E3" w:rsidRPr="000E0EF9" w:rsidRDefault="00BC4361" w:rsidP="00507B47">
            <w:pPr>
              <w:pStyle w:val="CETBodytext"/>
              <w:ind w:right="-1"/>
              <w:rPr>
                <w:rFonts w:cs="Arial"/>
                <w:sz w:val="16"/>
                <w:szCs w:val="16"/>
                <w:lang w:val="en-GB"/>
              </w:rPr>
            </w:pPr>
            <w:r>
              <w:rPr>
                <w:rFonts w:cs="Arial"/>
                <w:sz w:val="16"/>
                <w:szCs w:val="16"/>
                <w:lang w:val="en-GB"/>
              </w:rPr>
              <w:t>0.003   0.977</w:t>
            </w:r>
          </w:p>
        </w:tc>
      </w:tr>
      <w:tr w:rsidR="00E7457B" w:rsidRPr="00B57B36" w14:paraId="2B6751C2" w14:textId="7784D349" w:rsidTr="00B82C38">
        <w:tc>
          <w:tcPr>
            <w:tcW w:w="1276" w:type="dxa"/>
            <w:shd w:val="clear" w:color="auto" w:fill="FFFFFF"/>
          </w:tcPr>
          <w:p w14:paraId="0F379EC9" w14:textId="4D6AF14E" w:rsidR="008D15E3" w:rsidRPr="00B57B36" w:rsidRDefault="00B82C38" w:rsidP="00507B47">
            <w:pPr>
              <w:pStyle w:val="CETBodytext"/>
              <w:ind w:right="-1"/>
              <w:rPr>
                <w:rFonts w:cs="Arial"/>
                <w:szCs w:val="18"/>
                <w:lang w:val="en-GB"/>
              </w:rPr>
            </w:pPr>
            <w:r>
              <w:rPr>
                <w:rFonts w:cs="Arial"/>
                <w:szCs w:val="18"/>
                <w:lang w:val="en-GB"/>
              </w:rPr>
              <w:t xml:space="preserve">     </w:t>
            </w:r>
          </w:p>
        </w:tc>
        <w:tc>
          <w:tcPr>
            <w:tcW w:w="992" w:type="dxa"/>
            <w:shd w:val="clear" w:color="auto" w:fill="FFFFFF"/>
          </w:tcPr>
          <w:p w14:paraId="63D347A1" w14:textId="6A07C92D" w:rsidR="008D15E3" w:rsidRPr="00B57B36" w:rsidRDefault="008D15E3" w:rsidP="00507B47">
            <w:pPr>
              <w:pStyle w:val="CETBodytext"/>
              <w:ind w:right="-1"/>
              <w:rPr>
                <w:rFonts w:cs="Arial"/>
                <w:szCs w:val="18"/>
                <w:lang w:val="en-GB"/>
              </w:rPr>
            </w:pPr>
          </w:p>
        </w:tc>
        <w:tc>
          <w:tcPr>
            <w:tcW w:w="1134" w:type="dxa"/>
            <w:shd w:val="clear" w:color="auto" w:fill="FFFFFF"/>
          </w:tcPr>
          <w:p w14:paraId="3B6FD7AF" w14:textId="2411D04C" w:rsidR="008D15E3" w:rsidRPr="00B57B36" w:rsidRDefault="008D15E3" w:rsidP="00507B47">
            <w:pPr>
              <w:pStyle w:val="CETBodytext"/>
              <w:ind w:right="-1"/>
              <w:rPr>
                <w:rFonts w:cs="Arial"/>
                <w:szCs w:val="18"/>
                <w:lang w:val="en-GB"/>
              </w:rPr>
            </w:pPr>
          </w:p>
        </w:tc>
        <w:tc>
          <w:tcPr>
            <w:tcW w:w="1375" w:type="dxa"/>
            <w:shd w:val="clear" w:color="auto" w:fill="FFFFFF"/>
          </w:tcPr>
          <w:p w14:paraId="4CB23981" w14:textId="7D9FAED0" w:rsidR="008D15E3" w:rsidRPr="00B57B36" w:rsidRDefault="008D15E3" w:rsidP="00507B47">
            <w:pPr>
              <w:pStyle w:val="CETBodytext"/>
              <w:ind w:right="-1"/>
              <w:rPr>
                <w:rFonts w:cs="Arial"/>
                <w:szCs w:val="18"/>
                <w:lang w:val="en-GB"/>
              </w:rPr>
            </w:pPr>
          </w:p>
        </w:tc>
        <w:tc>
          <w:tcPr>
            <w:tcW w:w="1360" w:type="dxa"/>
            <w:shd w:val="clear" w:color="auto" w:fill="FFFFFF"/>
          </w:tcPr>
          <w:p w14:paraId="6C54D709" w14:textId="058C85BF" w:rsidR="008D15E3" w:rsidRPr="00B57B36" w:rsidRDefault="008D15E3" w:rsidP="00507B47">
            <w:pPr>
              <w:pStyle w:val="CETBodytext"/>
              <w:ind w:right="-1"/>
              <w:rPr>
                <w:rFonts w:cs="Arial"/>
                <w:szCs w:val="18"/>
                <w:lang w:val="en-GB"/>
              </w:rPr>
            </w:pPr>
          </w:p>
        </w:tc>
        <w:tc>
          <w:tcPr>
            <w:tcW w:w="1134" w:type="dxa"/>
            <w:shd w:val="clear" w:color="auto" w:fill="FFFFFF"/>
          </w:tcPr>
          <w:p w14:paraId="0DCA77EC" w14:textId="77777777" w:rsidR="008D15E3" w:rsidRPr="00B57B36" w:rsidRDefault="008D15E3" w:rsidP="00507B47">
            <w:pPr>
              <w:pStyle w:val="CETBodytext"/>
              <w:ind w:right="-1"/>
              <w:rPr>
                <w:rFonts w:cs="Arial"/>
                <w:szCs w:val="18"/>
                <w:lang w:val="en-GB"/>
              </w:rPr>
            </w:pPr>
          </w:p>
        </w:tc>
        <w:tc>
          <w:tcPr>
            <w:tcW w:w="1134" w:type="dxa"/>
            <w:shd w:val="clear" w:color="auto" w:fill="FFFFFF"/>
          </w:tcPr>
          <w:p w14:paraId="3DAA8271" w14:textId="44607312" w:rsidR="008D15E3" w:rsidRPr="00B57B36" w:rsidRDefault="008D15E3" w:rsidP="00507B47">
            <w:pPr>
              <w:pStyle w:val="CETBodytext"/>
              <w:ind w:right="-1"/>
              <w:rPr>
                <w:rFonts w:cs="Arial"/>
                <w:szCs w:val="18"/>
                <w:lang w:val="en-GB"/>
              </w:rPr>
            </w:pPr>
          </w:p>
        </w:tc>
      </w:tr>
    </w:tbl>
    <w:p w14:paraId="42043037" w14:textId="77777777" w:rsidR="00BC4361" w:rsidRDefault="00BC4361" w:rsidP="00BC4361">
      <w:pPr>
        <w:pStyle w:val="CETheadingx"/>
        <w:numPr>
          <w:ilvl w:val="0"/>
          <w:numId w:val="0"/>
        </w:numPr>
      </w:pPr>
    </w:p>
    <w:p w14:paraId="25254296" w14:textId="5666D4F2" w:rsidR="001D07FB" w:rsidRDefault="00E25205" w:rsidP="00E25205">
      <w:pPr>
        <w:pStyle w:val="CETheadingx"/>
      </w:pPr>
      <w:r>
        <w:t>FTIR analysis</w:t>
      </w:r>
    </w:p>
    <w:p w14:paraId="020B2DB2" w14:textId="7E7C089C" w:rsidR="00E25205" w:rsidRDefault="00E25205" w:rsidP="00E25205">
      <w:pPr>
        <w:pStyle w:val="CETBodytext"/>
        <w:rPr>
          <w:rFonts w:cs="Arial"/>
          <w:sz w:val="16"/>
          <w:szCs w:val="16"/>
        </w:rPr>
      </w:pPr>
      <w:r w:rsidRPr="00E25205">
        <w:t>FTIR analysis for functional groups revealed the presence of functional groups in the samples. The wavelength and functional group obtained from the spectra are presented in Table</w:t>
      </w:r>
      <w:r>
        <w:t xml:space="preserve"> 2.</w:t>
      </w:r>
      <w:r w:rsidR="00BC4361">
        <w:t xml:space="preserve"> No difference was observed in any of the spectra which shows that the surface characteristics of the consortium and </w:t>
      </w:r>
      <w:r w:rsidR="00BC4361" w:rsidRPr="00CF7DBC">
        <w:rPr>
          <w:i/>
          <w:iCs/>
        </w:rPr>
        <w:t xml:space="preserve">P. </w:t>
      </w:r>
      <w:proofErr w:type="spellStart"/>
      <w:r w:rsidR="00BC4361" w:rsidRPr="00CF7DBC">
        <w:rPr>
          <w:i/>
          <w:iCs/>
        </w:rPr>
        <w:t>bifermentans</w:t>
      </w:r>
      <w:proofErr w:type="spellEnd"/>
      <w:r w:rsidR="00BC4361">
        <w:t xml:space="preserve"> remain unchanged and oven drying a</w:t>
      </w:r>
      <w:r w:rsidR="00BC4361" w:rsidRPr="00BC4361">
        <w:rPr>
          <w:rFonts w:cs="Arial"/>
          <w:sz w:val="16"/>
          <w:szCs w:val="16"/>
        </w:rPr>
        <w:t xml:space="preserve">t </w:t>
      </w:r>
      <w:r w:rsidR="00BC4361" w:rsidRPr="00CF7DBC">
        <w:rPr>
          <w:rFonts w:eastAsiaTheme="minorEastAsia" w:cs="Arial"/>
          <w:szCs w:val="18"/>
        </w:rPr>
        <w:t xml:space="preserve">74 </w:t>
      </w:r>
      <w:r w:rsidR="00BC4361" w:rsidRPr="00CF7DBC">
        <w:rPr>
          <w:rFonts w:cs="Arial"/>
          <w:szCs w:val="18"/>
        </w:rPr>
        <w:t>°C</w:t>
      </w:r>
      <w:r w:rsidR="00BC4361" w:rsidRPr="00CF7DBC">
        <w:rPr>
          <w:rFonts w:cs="Arial"/>
          <w:szCs w:val="18"/>
        </w:rPr>
        <w:t xml:space="preserve"> for 24 h did not rupture the cell wall</w:t>
      </w:r>
      <w:r w:rsidR="00BC4361" w:rsidRPr="00BC4361">
        <w:rPr>
          <w:rFonts w:cs="Arial"/>
          <w:sz w:val="16"/>
          <w:szCs w:val="16"/>
        </w:rPr>
        <w:t>.</w:t>
      </w:r>
    </w:p>
    <w:p w14:paraId="3209DB05" w14:textId="77777777" w:rsidR="00645677" w:rsidRDefault="00645677" w:rsidP="00E25205">
      <w:pPr>
        <w:pStyle w:val="CETBodytext"/>
        <w:rPr>
          <w:rFonts w:cs="Arial"/>
          <w:sz w:val="16"/>
          <w:szCs w:val="16"/>
        </w:rPr>
      </w:pPr>
    </w:p>
    <w:p w14:paraId="66D7221E" w14:textId="77777777" w:rsidR="00645677" w:rsidRDefault="00645677" w:rsidP="00E25205">
      <w:pPr>
        <w:pStyle w:val="CETBodytext"/>
      </w:pPr>
    </w:p>
    <w:p w14:paraId="095C1F15" w14:textId="77777777" w:rsidR="00E852E0" w:rsidRDefault="00E852E0" w:rsidP="00E25205">
      <w:pPr>
        <w:pStyle w:val="CETBodytext"/>
      </w:pPr>
    </w:p>
    <w:tbl>
      <w:tblPr>
        <w:tblW w:w="0" w:type="auto"/>
        <w:tblInd w:w="86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24"/>
        <w:gridCol w:w="578"/>
        <w:gridCol w:w="1880"/>
        <w:gridCol w:w="2313"/>
      </w:tblGrid>
      <w:tr w:rsidR="00E852E0" w:rsidRPr="00B57B36" w14:paraId="1963D5D4" w14:textId="77777777" w:rsidTr="00603D70">
        <w:trPr>
          <w:trHeight w:val="403"/>
        </w:trPr>
        <w:tc>
          <w:tcPr>
            <w:tcW w:w="2024" w:type="dxa"/>
            <w:tcBorders>
              <w:top w:val="single" w:sz="12" w:space="0" w:color="008000"/>
              <w:bottom w:val="single" w:sz="6" w:space="0" w:color="008000"/>
            </w:tcBorders>
            <w:shd w:val="clear" w:color="auto" w:fill="FFFFFF"/>
          </w:tcPr>
          <w:p w14:paraId="043F7FBF" w14:textId="77777777" w:rsidR="00E852E0" w:rsidRDefault="00E852E0" w:rsidP="001C053C">
            <w:pPr>
              <w:pStyle w:val="CETBodytext"/>
              <w:rPr>
                <w:lang w:val="en-GB"/>
              </w:rPr>
            </w:pPr>
            <w:r>
              <w:rPr>
                <w:lang w:val="en-GB"/>
              </w:rPr>
              <w:lastRenderedPageBreak/>
              <w:t>Wavelength</w:t>
            </w:r>
          </w:p>
          <w:p w14:paraId="7EC8428C" w14:textId="6AD6DF78" w:rsidR="00E852E0" w:rsidRPr="00B57B36" w:rsidRDefault="00E852E0" w:rsidP="001C053C">
            <w:pPr>
              <w:pStyle w:val="CETBodytext"/>
              <w:rPr>
                <w:lang w:val="en-GB"/>
              </w:rPr>
            </w:pPr>
            <w:r>
              <w:rPr>
                <w:lang w:val="en-GB"/>
              </w:rPr>
              <w:t>(</w:t>
            </w:r>
            <m:oMath>
              <m:sSup>
                <m:sSupPr>
                  <m:ctrlPr>
                    <w:rPr>
                      <w:rFonts w:ascii="Cambria Math" w:hAnsi="Cambria Math"/>
                      <w:i/>
                      <w:lang w:val="en-GB"/>
                    </w:rPr>
                  </m:ctrlPr>
                </m:sSupPr>
                <m:e>
                  <m:r>
                    <w:rPr>
                      <w:rFonts w:ascii="Cambria Math" w:hAnsi="Cambria Math"/>
                      <w:lang w:val="en-GB"/>
                    </w:rPr>
                    <m:t>cm</m:t>
                  </m:r>
                </m:e>
                <m:sup>
                  <m:r>
                    <w:rPr>
                      <w:rFonts w:ascii="Cambria Math" w:hAnsi="Cambria Math"/>
                      <w:lang w:val="en-GB"/>
                    </w:rPr>
                    <m:t>-1</m:t>
                  </m:r>
                </m:sup>
              </m:sSup>
              <m:r>
                <w:rPr>
                  <w:rFonts w:ascii="Cambria Math" w:hAnsi="Cambria Math"/>
                  <w:lang w:val="en-GB"/>
                </w:rPr>
                <m:t>)</m:t>
              </m:r>
            </m:oMath>
          </w:p>
        </w:tc>
        <w:tc>
          <w:tcPr>
            <w:tcW w:w="578" w:type="dxa"/>
            <w:tcBorders>
              <w:top w:val="single" w:sz="12" w:space="0" w:color="008000"/>
              <w:bottom w:val="single" w:sz="6" w:space="0" w:color="008000"/>
            </w:tcBorders>
            <w:shd w:val="clear" w:color="auto" w:fill="FFFFFF"/>
          </w:tcPr>
          <w:p w14:paraId="63AE02B2" w14:textId="2FE41AF9" w:rsidR="00E852E0" w:rsidRPr="00B57B36" w:rsidRDefault="00E852E0" w:rsidP="001C053C">
            <w:pPr>
              <w:pStyle w:val="CETBodytext"/>
              <w:rPr>
                <w:lang w:val="en-GB"/>
              </w:rPr>
            </w:pPr>
            <w:r>
              <w:rPr>
                <w:lang w:val="en-GB"/>
              </w:rPr>
              <w:t>Bond</w:t>
            </w:r>
          </w:p>
        </w:tc>
        <w:tc>
          <w:tcPr>
            <w:tcW w:w="1880" w:type="dxa"/>
            <w:tcBorders>
              <w:top w:val="single" w:sz="12" w:space="0" w:color="008000"/>
              <w:bottom w:val="single" w:sz="6" w:space="0" w:color="008000"/>
            </w:tcBorders>
            <w:shd w:val="clear" w:color="auto" w:fill="FFFFFF"/>
          </w:tcPr>
          <w:p w14:paraId="25AA6106" w14:textId="225B8A5A" w:rsidR="00E852E0" w:rsidRPr="00B57B36" w:rsidRDefault="00E852E0" w:rsidP="001C053C">
            <w:pPr>
              <w:pStyle w:val="CETBodytext"/>
              <w:rPr>
                <w:lang w:val="en-GB"/>
              </w:rPr>
            </w:pPr>
            <w:r>
              <w:rPr>
                <w:lang w:val="en-GB"/>
              </w:rPr>
              <w:t>Functional Group</w:t>
            </w:r>
          </w:p>
        </w:tc>
        <w:tc>
          <w:tcPr>
            <w:tcW w:w="2313" w:type="dxa"/>
            <w:tcBorders>
              <w:top w:val="single" w:sz="12" w:space="0" w:color="008000"/>
              <w:bottom w:val="single" w:sz="6" w:space="0" w:color="008000"/>
            </w:tcBorders>
            <w:shd w:val="clear" w:color="auto" w:fill="FFFFFF"/>
          </w:tcPr>
          <w:p w14:paraId="1458EE69" w14:textId="1405904F" w:rsidR="00E852E0" w:rsidRPr="00B57B36" w:rsidRDefault="00E852E0" w:rsidP="001C053C">
            <w:pPr>
              <w:pStyle w:val="CETBodytext"/>
              <w:ind w:right="-1"/>
              <w:rPr>
                <w:rFonts w:cs="Arial"/>
                <w:szCs w:val="18"/>
                <w:lang w:val="en-GB"/>
              </w:rPr>
            </w:pPr>
            <w:r>
              <w:rPr>
                <w:rFonts w:cs="Arial"/>
                <w:szCs w:val="18"/>
                <w:lang w:val="en-GB"/>
              </w:rPr>
              <w:t>Reference</w:t>
            </w:r>
          </w:p>
        </w:tc>
      </w:tr>
      <w:tr w:rsidR="00E852E0" w:rsidRPr="00B57B36" w14:paraId="60B7B19E" w14:textId="77777777" w:rsidTr="00603D70">
        <w:trPr>
          <w:trHeight w:val="390"/>
        </w:trPr>
        <w:tc>
          <w:tcPr>
            <w:tcW w:w="2024" w:type="dxa"/>
            <w:tcBorders>
              <w:top w:val="single" w:sz="12" w:space="0" w:color="008000"/>
              <w:bottom w:val="single" w:sz="6" w:space="0" w:color="008000"/>
            </w:tcBorders>
            <w:shd w:val="clear" w:color="auto" w:fill="FFFFFF"/>
          </w:tcPr>
          <w:p w14:paraId="49E34B14" w14:textId="63C23E36" w:rsidR="00E852E0" w:rsidRDefault="00E852E0" w:rsidP="001C053C">
            <w:pPr>
              <w:pStyle w:val="CETBodytext"/>
              <w:rPr>
                <w:lang w:val="en-GB"/>
              </w:rPr>
            </w:pPr>
            <w:r>
              <w:rPr>
                <w:lang w:val="en-GB"/>
              </w:rPr>
              <w:t xml:space="preserve">Consortium / </w:t>
            </w:r>
            <w:r w:rsidRPr="00F73D3B">
              <w:rPr>
                <w:i/>
                <w:iCs/>
                <w:lang w:val="en-GB"/>
              </w:rPr>
              <w:t xml:space="preserve">P. </w:t>
            </w:r>
            <w:proofErr w:type="spellStart"/>
            <w:r w:rsidRPr="00F73D3B">
              <w:rPr>
                <w:i/>
                <w:iCs/>
                <w:lang w:val="en-GB"/>
              </w:rPr>
              <w:t>bifermentans</w:t>
            </w:r>
            <w:proofErr w:type="spellEnd"/>
          </w:p>
        </w:tc>
        <w:tc>
          <w:tcPr>
            <w:tcW w:w="578" w:type="dxa"/>
            <w:tcBorders>
              <w:top w:val="single" w:sz="12" w:space="0" w:color="008000"/>
              <w:bottom w:val="single" w:sz="6" w:space="0" w:color="008000"/>
            </w:tcBorders>
            <w:shd w:val="clear" w:color="auto" w:fill="FFFFFF"/>
          </w:tcPr>
          <w:p w14:paraId="2FC42704" w14:textId="3D9464A2" w:rsidR="00E852E0" w:rsidRPr="00B57B36" w:rsidRDefault="00EF112A" w:rsidP="001C053C">
            <w:pPr>
              <w:pStyle w:val="CETBodytext"/>
              <w:rPr>
                <w:lang w:val="en-GB"/>
              </w:rPr>
            </w:pPr>
            <w:r>
              <w:rPr>
                <w:lang w:val="en-GB"/>
              </w:rPr>
              <w:t xml:space="preserve">  </w:t>
            </w:r>
          </w:p>
        </w:tc>
        <w:tc>
          <w:tcPr>
            <w:tcW w:w="1880" w:type="dxa"/>
            <w:tcBorders>
              <w:top w:val="single" w:sz="12" w:space="0" w:color="008000"/>
              <w:bottom w:val="single" w:sz="6" w:space="0" w:color="008000"/>
            </w:tcBorders>
            <w:shd w:val="clear" w:color="auto" w:fill="FFFFFF"/>
          </w:tcPr>
          <w:p w14:paraId="13199BBF" w14:textId="77777777" w:rsidR="00E852E0" w:rsidRPr="00B57B36" w:rsidRDefault="00E852E0" w:rsidP="001C053C">
            <w:pPr>
              <w:pStyle w:val="CETBodytext"/>
              <w:rPr>
                <w:lang w:val="en-GB"/>
              </w:rPr>
            </w:pPr>
          </w:p>
        </w:tc>
        <w:tc>
          <w:tcPr>
            <w:tcW w:w="2313" w:type="dxa"/>
            <w:tcBorders>
              <w:top w:val="single" w:sz="12" w:space="0" w:color="008000"/>
              <w:bottom w:val="single" w:sz="6" w:space="0" w:color="008000"/>
            </w:tcBorders>
            <w:shd w:val="clear" w:color="auto" w:fill="FFFFFF"/>
          </w:tcPr>
          <w:p w14:paraId="5878B950" w14:textId="77777777" w:rsidR="00E852E0" w:rsidRPr="00B57B36" w:rsidRDefault="00E852E0" w:rsidP="001C053C">
            <w:pPr>
              <w:pStyle w:val="CETBodytext"/>
              <w:ind w:right="-1"/>
              <w:rPr>
                <w:rFonts w:cs="Arial"/>
                <w:szCs w:val="18"/>
                <w:lang w:val="en-GB"/>
              </w:rPr>
            </w:pPr>
          </w:p>
        </w:tc>
      </w:tr>
      <w:tr w:rsidR="00E852E0" w:rsidRPr="00B57B36" w14:paraId="470797FA" w14:textId="77777777" w:rsidTr="00603D70">
        <w:trPr>
          <w:trHeight w:val="795"/>
        </w:trPr>
        <w:tc>
          <w:tcPr>
            <w:tcW w:w="2024" w:type="dxa"/>
            <w:tcBorders>
              <w:top w:val="single" w:sz="12" w:space="0" w:color="008000"/>
              <w:bottom w:val="single" w:sz="6" w:space="0" w:color="008000"/>
            </w:tcBorders>
            <w:shd w:val="clear" w:color="auto" w:fill="FFFFFF"/>
          </w:tcPr>
          <w:p w14:paraId="0D52B324" w14:textId="1FFCE4DC" w:rsidR="00E852E0" w:rsidRDefault="00EF112A" w:rsidP="00EF112A">
            <w:pPr>
              <w:pStyle w:val="CETBodytext"/>
              <w:tabs>
                <w:tab w:val="clear" w:pos="7100"/>
                <w:tab w:val="right" w:pos="1985"/>
              </w:tabs>
              <w:rPr>
                <w:lang w:val="en-GB"/>
              </w:rPr>
            </w:pPr>
            <w:r>
              <w:rPr>
                <w:lang w:val="en-GB"/>
              </w:rPr>
              <w:t xml:space="preserve">504 </w:t>
            </w:r>
            <w:r>
              <w:rPr>
                <w:lang w:val="en-GB"/>
              </w:rPr>
              <w:tab/>
            </w:r>
          </w:p>
          <w:p w14:paraId="3B9D4D0B" w14:textId="77777777" w:rsidR="00EF112A" w:rsidRDefault="00EF112A" w:rsidP="001C053C">
            <w:pPr>
              <w:pStyle w:val="CETBodytext"/>
              <w:rPr>
                <w:lang w:val="en-GB"/>
              </w:rPr>
            </w:pPr>
            <w:r>
              <w:rPr>
                <w:lang w:val="en-GB"/>
              </w:rPr>
              <w:t>553</w:t>
            </w:r>
          </w:p>
          <w:p w14:paraId="67728833" w14:textId="3C86EAF5" w:rsidR="00EF112A" w:rsidRDefault="00EF112A" w:rsidP="001C053C">
            <w:pPr>
              <w:pStyle w:val="CETBodytext"/>
              <w:rPr>
                <w:lang w:val="en-GB"/>
              </w:rPr>
            </w:pPr>
            <w:r>
              <w:rPr>
                <w:lang w:val="en-GB"/>
              </w:rPr>
              <w:t>640 – 799</w:t>
            </w:r>
          </w:p>
          <w:p w14:paraId="260EE7E1" w14:textId="1BE31F1B" w:rsidR="00EF112A" w:rsidRPr="00B57B36" w:rsidRDefault="00EF112A" w:rsidP="001C053C">
            <w:pPr>
              <w:pStyle w:val="CETBodytext"/>
              <w:rPr>
                <w:lang w:val="en-GB"/>
              </w:rPr>
            </w:pPr>
            <w:r>
              <w:rPr>
                <w:lang w:val="en-GB"/>
              </w:rPr>
              <w:t>1019 - 1214</w:t>
            </w:r>
          </w:p>
        </w:tc>
        <w:tc>
          <w:tcPr>
            <w:tcW w:w="578" w:type="dxa"/>
            <w:tcBorders>
              <w:top w:val="single" w:sz="12" w:space="0" w:color="008000"/>
              <w:bottom w:val="single" w:sz="6" w:space="0" w:color="008000"/>
            </w:tcBorders>
            <w:shd w:val="clear" w:color="auto" w:fill="FFFFFF"/>
          </w:tcPr>
          <w:p w14:paraId="2C9F936B" w14:textId="32DB7C0F" w:rsidR="00E852E0" w:rsidRDefault="00EF112A" w:rsidP="001C053C">
            <w:pPr>
              <w:pStyle w:val="CETBodytext"/>
              <w:rPr>
                <w:lang w:val="en-GB"/>
              </w:rPr>
            </w:pPr>
            <w:r>
              <w:rPr>
                <w:lang w:val="en-GB"/>
              </w:rPr>
              <w:t>C-I</w:t>
            </w:r>
          </w:p>
          <w:p w14:paraId="29331E66" w14:textId="2EA3C71F" w:rsidR="00EF112A" w:rsidRDefault="00EF112A" w:rsidP="001C053C">
            <w:pPr>
              <w:pStyle w:val="CETBodytext"/>
              <w:rPr>
                <w:lang w:val="en-GB"/>
              </w:rPr>
            </w:pPr>
            <w:r>
              <w:rPr>
                <w:lang w:val="en-GB"/>
              </w:rPr>
              <w:t>C-Br</w:t>
            </w:r>
          </w:p>
          <w:p w14:paraId="5C1ABE43" w14:textId="427ED7A0" w:rsidR="00EF112A" w:rsidRDefault="00EF112A" w:rsidP="001C053C">
            <w:pPr>
              <w:pStyle w:val="CETBodytext"/>
              <w:rPr>
                <w:lang w:val="en-GB"/>
              </w:rPr>
            </w:pPr>
            <w:r>
              <w:rPr>
                <w:lang w:val="en-GB"/>
              </w:rPr>
              <w:t>C-Cl</w:t>
            </w:r>
          </w:p>
          <w:p w14:paraId="24E26F9E" w14:textId="04766782" w:rsidR="00EF112A" w:rsidRPr="00B57B36" w:rsidRDefault="00EF112A" w:rsidP="001C053C">
            <w:pPr>
              <w:pStyle w:val="CETBodytext"/>
              <w:rPr>
                <w:lang w:val="en-GB"/>
              </w:rPr>
            </w:pPr>
            <w:r>
              <w:rPr>
                <w:lang w:val="en-GB"/>
              </w:rPr>
              <w:t>C-O</w:t>
            </w:r>
          </w:p>
        </w:tc>
        <w:tc>
          <w:tcPr>
            <w:tcW w:w="1880" w:type="dxa"/>
            <w:tcBorders>
              <w:top w:val="single" w:sz="12" w:space="0" w:color="008000"/>
              <w:bottom w:val="single" w:sz="6" w:space="0" w:color="008000"/>
            </w:tcBorders>
            <w:shd w:val="clear" w:color="auto" w:fill="FFFFFF"/>
          </w:tcPr>
          <w:p w14:paraId="216781BD" w14:textId="77777777" w:rsidR="00E852E0" w:rsidRDefault="00EF112A" w:rsidP="001C053C">
            <w:pPr>
              <w:pStyle w:val="CETBodytext"/>
              <w:rPr>
                <w:lang w:val="en-GB"/>
              </w:rPr>
            </w:pPr>
            <w:r>
              <w:rPr>
                <w:lang w:val="en-GB"/>
              </w:rPr>
              <w:t>Alkyl Halides</w:t>
            </w:r>
          </w:p>
          <w:p w14:paraId="2DC8F0E4" w14:textId="77777777" w:rsidR="00EF112A" w:rsidRDefault="00EF112A" w:rsidP="001C053C">
            <w:pPr>
              <w:pStyle w:val="CETBodytext"/>
              <w:rPr>
                <w:lang w:val="en-GB"/>
              </w:rPr>
            </w:pPr>
            <w:r>
              <w:rPr>
                <w:lang w:val="en-GB"/>
              </w:rPr>
              <w:t>Alkyl Halides</w:t>
            </w:r>
          </w:p>
          <w:p w14:paraId="606654D4" w14:textId="77777777" w:rsidR="00EF112A" w:rsidRDefault="00EF112A" w:rsidP="001C053C">
            <w:pPr>
              <w:pStyle w:val="CETBodytext"/>
              <w:rPr>
                <w:lang w:val="en-GB"/>
              </w:rPr>
            </w:pPr>
            <w:r>
              <w:rPr>
                <w:lang w:val="en-GB"/>
              </w:rPr>
              <w:t>Alkyl Halides</w:t>
            </w:r>
          </w:p>
          <w:p w14:paraId="1DE0C1D0" w14:textId="0EFC544E" w:rsidR="00EF112A" w:rsidRPr="00B57B36" w:rsidRDefault="00EF112A" w:rsidP="001C053C">
            <w:pPr>
              <w:pStyle w:val="CETBodytext"/>
              <w:rPr>
                <w:lang w:val="en-GB"/>
              </w:rPr>
            </w:pPr>
            <w:r>
              <w:rPr>
                <w:lang w:val="en-GB"/>
              </w:rPr>
              <w:t>Phenols</w:t>
            </w:r>
          </w:p>
        </w:tc>
        <w:tc>
          <w:tcPr>
            <w:tcW w:w="2313" w:type="dxa"/>
            <w:tcBorders>
              <w:top w:val="single" w:sz="12" w:space="0" w:color="008000"/>
              <w:bottom w:val="single" w:sz="6" w:space="0" w:color="008000"/>
            </w:tcBorders>
            <w:shd w:val="clear" w:color="auto" w:fill="FFFFFF"/>
          </w:tcPr>
          <w:p w14:paraId="4DDB9CB7" w14:textId="02886532" w:rsidR="00E852E0" w:rsidRDefault="00BC4361" w:rsidP="001C053C">
            <w:pPr>
              <w:pStyle w:val="CETBodytext"/>
              <w:ind w:right="-1"/>
              <w:rPr>
                <w:rFonts w:cs="Arial"/>
                <w:szCs w:val="18"/>
                <w:lang w:val="en-GB"/>
              </w:rPr>
            </w:pPr>
            <w:proofErr w:type="spellStart"/>
            <w:r>
              <w:rPr>
                <w:rFonts w:cs="Arial"/>
                <w:szCs w:val="18"/>
                <w:lang w:val="en-GB"/>
              </w:rPr>
              <w:t>Meenambal</w:t>
            </w:r>
            <w:proofErr w:type="spellEnd"/>
            <w:r>
              <w:rPr>
                <w:rFonts w:cs="Arial"/>
                <w:szCs w:val="18"/>
                <w:lang w:val="en-GB"/>
              </w:rPr>
              <w:t xml:space="preserve"> et al., 2012</w:t>
            </w:r>
          </w:p>
          <w:p w14:paraId="1C26907A" w14:textId="5859741E" w:rsidR="00EF112A" w:rsidRDefault="00BC4361" w:rsidP="001C053C">
            <w:pPr>
              <w:pStyle w:val="CETBodytext"/>
              <w:ind w:right="-1"/>
              <w:rPr>
                <w:rFonts w:cs="Arial"/>
                <w:szCs w:val="18"/>
                <w:lang w:val="en-GB"/>
              </w:rPr>
            </w:pPr>
            <w:proofErr w:type="spellStart"/>
            <w:r>
              <w:rPr>
                <w:rFonts w:cs="Arial"/>
                <w:szCs w:val="18"/>
                <w:lang w:val="en-GB"/>
              </w:rPr>
              <w:t>Meenambal</w:t>
            </w:r>
            <w:proofErr w:type="spellEnd"/>
            <w:r>
              <w:rPr>
                <w:rFonts w:cs="Arial"/>
                <w:szCs w:val="18"/>
                <w:lang w:val="en-GB"/>
              </w:rPr>
              <w:t xml:space="preserve"> et al., 2012</w:t>
            </w:r>
          </w:p>
          <w:p w14:paraId="12485725" w14:textId="17B813D3" w:rsidR="00EF112A" w:rsidRDefault="00BC4361" w:rsidP="001C053C">
            <w:pPr>
              <w:pStyle w:val="CETBodytext"/>
              <w:ind w:right="-1"/>
              <w:rPr>
                <w:rFonts w:cs="Arial"/>
                <w:szCs w:val="18"/>
                <w:lang w:val="en-GB"/>
              </w:rPr>
            </w:pPr>
            <w:proofErr w:type="spellStart"/>
            <w:r>
              <w:rPr>
                <w:rFonts w:cs="Arial"/>
                <w:szCs w:val="18"/>
                <w:lang w:val="en-GB"/>
              </w:rPr>
              <w:t>Meenambal</w:t>
            </w:r>
            <w:proofErr w:type="spellEnd"/>
            <w:r>
              <w:rPr>
                <w:rFonts w:cs="Arial"/>
                <w:szCs w:val="18"/>
                <w:lang w:val="en-GB"/>
              </w:rPr>
              <w:t xml:space="preserve"> et al., 2012</w:t>
            </w:r>
          </w:p>
          <w:p w14:paraId="527811FE" w14:textId="3FAC32B2" w:rsidR="00EF112A" w:rsidRPr="00B57B36" w:rsidRDefault="00EF112A" w:rsidP="001C053C">
            <w:pPr>
              <w:pStyle w:val="CETBodytext"/>
              <w:ind w:right="-1"/>
              <w:rPr>
                <w:rFonts w:cs="Arial"/>
                <w:szCs w:val="18"/>
                <w:lang w:val="en-GB"/>
              </w:rPr>
            </w:pPr>
            <w:proofErr w:type="spellStart"/>
            <w:r>
              <w:rPr>
                <w:rFonts w:cs="Arial"/>
                <w:szCs w:val="18"/>
                <w:lang w:val="en-GB"/>
              </w:rPr>
              <w:t>Rushikesh</w:t>
            </w:r>
            <w:proofErr w:type="spellEnd"/>
            <w:r>
              <w:rPr>
                <w:rFonts w:cs="Arial"/>
                <w:szCs w:val="18"/>
                <w:lang w:val="en-GB"/>
              </w:rPr>
              <w:t xml:space="preserve"> et al., 2018</w:t>
            </w:r>
          </w:p>
        </w:tc>
      </w:tr>
      <w:tr w:rsidR="00E852E0" w:rsidRPr="00B57B36" w14:paraId="7A979E2D" w14:textId="77777777" w:rsidTr="00603D70">
        <w:trPr>
          <w:trHeight w:val="195"/>
        </w:trPr>
        <w:tc>
          <w:tcPr>
            <w:tcW w:w="2024" w:type="dxa"/>
            <w:shd w:val="clear" w:color="auto" w:fill="FFFFFF"/>
          </w:tcPr>
          <w:p w14:paraId="6A578F21" w14:textId="77777777" w:rsidR="00E852E0" w:rsidRDefault="00EF112A" w:rsidP="001C053C">
            <w:pPr>
              <w:pStyle w:val="CETBodytext"/>
              <w:rPr>
                <w:i/>
                <w:iCs/>
                <w:lang w:val="en-GB"/>
              </w:rPr>
            </w:pPr>
            <w:r w:rsidRPr="00EF112A">
              <w:rPr>
                <w:i/>
                <w:iCs/>
                <w:lang w:val="en-GB"/>
              </w:rPr>
              <w:t xml:space="preserve">P. </w:t>
            </w:r>
            <w:proofErr w:type="spellStart"/>
            <w:r w:rsidRPr="00EF112A">
              <w:rPr>
                <w:i/>
                <w:iCs/>
                <w:lang w:val="en-GB"/>
              </w:rPr>
              <w:t>bifermentans</w:t>
            </w:r>
            <w:proofErr w:type="spellEnd"/>
          </w:p>
          <w:p w14:paraId="095E35DA" w14:textId="42C02796" w:rsidR="00EF112A" w:rsidRPr="00EF112A" w:rsidRDefault="00EF112A" w:rsidP="001C053C">
            <w:pPr>
              <w:pStyle w:val="CETBodytext"/>
              <w:rPr>
                <w:lang w:val="en-GB"/>
              </w:rPr>
            </w:pPr>
            <w:r>
              <w:rPr>
                <w:lang w:val="en-GB"/>
              </w:rPr>
              <w:t>1406</w:t>
            </w:r>
          </w:p>
        </w:tc>
        <w:tc>
          <w:tcPr>
            <w:tcW w:w="578" w:type="dxa"/>
            <w:shd w:val="clear" w:color="auto" w:fill="FFFFFF"/>
          </w:tcPr>
          <w:p w14:paraId="11814F0A" w14:textId="77777777" w:rsidR="00E852E0" w:rsidRDefault="00E852E0" w:rsidP="001C053C">
            <w:pPr>
              <w:pStyle w:val="CETBodytext"/>
              <w:rPr>
                <w:lang w:val="en-GB"/>
              </w:rPr>
            </w:pPr>
          </w:p>
          <w:p w14:paraId="7E44B279" w14:textId="2F82A5F6" w:rsidR="00EF112A" w:rsidRPr="00B57B36" w:rsidRDefault="00EF112A" w:rsidP="001C053C">
            <w:pPr>
              <w:pStyle w:val="CETBodytext"/>
              <w:rPr>
                <w:lang w:val="en-GB"/>
              </w:rPr>
            </w:pPr>
            <w:r>
              <w:rPr>
                <w:lang w:val="en-GB"/>
              </w:rPr>
              <w:t>C=C</w:t>
            </w:r>
          </w:p>
        </w:tc>
        <w:tc>
          <w:tcPr>
            <w:tcW w:w="1880" w:type="dxa"/>
            <w:shd w:val="clear" w:color="auto" w:fill="FFFFFF"/>
          </w:tcPr>
          <w:p w14:paraId="3A456455" w14:textId="77777777" w:rsidR="00E852E0" w:rsidRDefault="00E852E0" w:rsidP="001C053C">
            <w:pPr>
              <w:pStyle w:val="CETBodytext"/>
              <w:rPr>
                <w:lang w:val="en-GB"/>
              </w:rPr>
            </w:pPr>
          </w:p>
          <w:p w14:paraId="2C7FDAB2" w14:textId="24E6942C" w:rsidR="00EF112A" w:rsidRPr="00B57B36" w:rsidRDefault="00EF112A" w:rsidP="001C053C">
            <w:pPr>
              <w:pStyle w:val="CETBodytext"/>
              <w:rPr>
                <w:lang w:val="en-GB"/>
              </w:rPr>
            </w:pPr>
            <w:r>
              <w:rPr>
                <w:lang w:val="en-GB"/>
              </w:rPr>
              <w:t xml:space="preserve"> Aromatic</w:t>
            </w:r>
          </w:p>
        </w:tc>
        <w:tc>
          <w:tcPr>
            <w:tcW w:w="2313" w:type="dxa"/>
            <w:shd w:val="clear" w:color="auto" w:fill="FFFFFF"/>
          </w:tcPr>
          <w:p w14:paraId="7073DDCF" w14:textId="77777777" w:rsidR="00E852E0" w:rsidRDefault="00E852E0" w:rsidP="001C053C">
            <w:pPr>
              <w:pStyle w:val="CETBodytext"/>
              <w:ind w:right="-1"/>
              <w:rPr>
                <w:rFonts w:cs="Arial"/>
                <w:szCs w:val="18"/>
                <w:lang w:val="en-GB"/>
              </w:rPr>
            </w:pPr>
          </w:p>
          <w:p w14:paraId="3FF5B98D" w14:textId="57A8B20B" w:rsidR="00EF112A" w:rsidRPr="00B57B36" w:rsidRDefault="00EF112A" w:rsidP="001C053C">
            <w:pPr>
              <w:pStyle w:val="CETBodytext"/>
              <w:ind w:right="-1"/>
              <w:rPr>
                <w:rFonts w:cs="Arial"/>
                <w:szCs w:val="18"/>
                <w:lang w:val="en-GB"/>
              </w:rPr>
            </w:pPr>
            <w:r>
              <w:rPr>
                <w:rFonts w:cs="Arial"/>
                <w:szCs w:val="18"/>
                <w:lang w:val="en-GB"/>
              </w:rPr>
              <w:t xml:space="preserve"> </w:t>
            </w:r>
            <w:proofErr w:type="spellStart"/>
            <w:r>
              <w:rPr>
                <w:rFonts w:cs="Arial"/>
                <w:szCs w:val="18"/>
                <w:lang w:val="en-GB"/>
              </w:rPr>
              <w:t>Rushikesh</w:t>
            </w:r>
            <w:proofErr w:type="spellEnd"/>
            <w:r>
              <w:rPr>
                <w:rFonts w:cs="Arial"/>
                <w:szCs w:val="18"/>
                <w:lang w:val="en-GB"/>
              </w:rPr>
              <w:t xml:space="preserve"> et al., 2018</w:t>
            </w:r>
          </w:p>
        </w:tc>
      </w:tr>
      <w:tr w:rsidR="00E852E0" w:rsidRPr="00B57B36" w14:paraId="61D31CE9" w14:textId="77777777" w:rsidTr="00603D70">
        <w:trPr>
          <w:trHeight w:val="195"/>
        </w:trPr>
        <w:tc>
          <w:tcPr>
            <w:tcW w:w="2024" w:type="dxa"/>
            <w:shd w:val="clear" w:color="auto" w:fill="FFFFFF"/>
          </w:tcPr>
          <w:p w14:paraId="76CF4F5E" w14:textId="779CD057" w:rsidR="00E852E0" w:rsidRPr="00B57B36" w:rsidRDefault="00EF112A" w:rsidP="001C053C">
            <w:pPr>
              <w:pStyle w:val="CETBodytext"/>
              <w:rPr>
                <w:lang w:val="en-GB"/>
              </w:rPr>
            </w:pPr>
            <w:r>
              <w:rPr>
                <w:lang w:val="en-GB"/>
              </w:rPr>
              <w:t>1620</w:t>
            </w:r>
          </w:p>
        </w:tc>
        <w:tc>
          <w:tcPr>
            <w:tcW w:w="578" w:type="dxa"/>
            <w:shd w:val="clear" w:color="auto" w:fill="FFFFFF"/>
          </w:tcPr>
          <w:p w14:paraId="0A24BAD1" w14:textId="11124162" w:rsidR="00E852E0" w:rsidRDefault="00EF112A" w:rsidP="001C053C">
            <w:pPr>
              <w:pStyle w:val="CETBodytext"/>
              <w:rPr>
                <w:lang w:val="en-GB"/>
              </w:rPr>
            </w:pPr>
            <w:r>
              <w:rPr>
                <w:lang w:val="en-GB"/>
              </w:rPr>
              <w:t>C=C</w:t>
            </w:r>
          </w:p>
        </w:tc>
        <w:tc>
          <w:tcPr>
            <w:tcW w:w="1880" w:type="dxa"/>
            <w:shd w:val="clear" w:color="auto" w:fill="FFFFFF"/>
          </w:tcPr>
          <w:p w14:paraId="3E1FAC88" w14:textId="4940B7F8" w:rsidR="00E852E0" w:rsidRDefault="00EF112A" w:rsidP="001C053C">
            <w:pPr>
              <w:pStyle w:val="CETBodytext"/>
              <w:rPr>
                <w:lang w:val="en-GB"/>
              </w:rPr>
            </w:pPr>
            <w:r>
              <w:rPr>
                <w:lang w:val="en-GB"/>
              </w:rPr>
              <w:t xml:space="preserve"> Alkene</w:t>
            </w:r>
          </w:p>
        </w:tc>
        <w:tc>
          <w:tcPr>
            <w:tcW w:w="2313" w:type="dxa"/>
            <w:shd w:val="clear" w:color="auto" w:fill="FFFFFF"/>
          </w:tcPr>
          <w:p w14:paraId="602AB79E" w14:textId="503D722F" w:rsidR="00E852E0" w:rsidRDefault="00EF112A" w:rsidP="001C053C">
            <w:pPr>
              <w:pStyle w:val="CETBodytext"/>
              <w:ind w:right="-1"/>
              <w:rPr>
                <w:rFonts w:cs="Arial"/>
                <w:szCs w:val="18"/>
                <w:lang w:val="en-GB"/>
              </w:rPr>
            </w:pPr>
            <w:r>
              <w:rPr>
                <w:rFonts w:cs="Arial"/>
                <w:szCs w:val="18"/>
                <w:lang w:val="en-GB"/>
              </w:rPr>
              <w:t xml:space="preserve"> </w:t>
            </w:r>
            <w:proofErr w:type="spellStart"/>
            <w:r>
              <w:rPr>
                <w:rFonts w:cs="Arial"/>
                <w:szCs w:val="18"/>
                <w:lang w:val="en-GB"/>
              </w:rPr>
              <w:t>Rushikesh</w:t>
            </w:r>
            <w:proofErr w:type="spellEnd"/>
            <w:r>
              <w:rPr>
                <w:rFonts w:cs="Arial"/>
                <w:szCs w:val="18"/>
                <w:lang w:val="en-GB"/>
              </w:rPr>
              <w:t xml:space="preserve"> et al., 2018</w:t>
            </w:r>
          </w:p>
        </w:tc>
      </w:tr>
      <w:tr w:rsidR="00E852E0" w:rsidRPr="00B57B36" w14:paraId="5340C9C6" w14:textId="77777777" w:rsidTr="00603D70">
        <w:trPr>
          <w:trHeight w:val="195"/>
        </w:trPr>
        <w:tc>
          <w:tcPr>
            <w:tcW w:w="2024" w:type="dxa"/>
            <w:shd w:val="clear" w:color="auto" w:fill="FFFFFF"/>
          </w:tcPr>
          <w:p w14:paraId="1CE51910" w14:textId="77777777" w:rsidR="00E852E0" w:rsidRPr="00B57B36" w:rsidRDefault="00E852E0" w:rsidP="001C053C">
            <w:pPr>
              <w:pStyle w:val="CETBodytext"/>
              <w:rPr>
                <w:lang w:val="en-GB"/>
              </w:rPr>
            </w:pPr>
          </w:p>
        </w:tc>
        <w:tc>
          <w:tcPr>
            <w:tcW w:w="578" w:type="dxa"/>
            <w:shd w:val="clear" w:color="auto" w:fill="FFFFFF"/>
          </w:tcPr>
          <w:p w14:paraId="1BFF3C9A" w14:textId="77777777" w:rsidR="00E852E0" w:rsidRDefault="00E852E0" w:rsidP="001C053C">
            <w:pPr>
              <w:pStyle w:val="CETBodytext"/>
              <w:rPr>
                <w:lang w:val="en-GB"/>
              </w:rPr>
            </w:pPr>
          </w:p>
        </w:tc>
        <w:tc>
          <w:tcPr>
            <w:tcW w:w="1880" w:type="dxa"/>
            <w:shd w:val="clear" w:color="auto" w:fill="FFFFFF"/>
          </w:tcPr>
          <w:p w14:paraId="29C4A5DB" w14:textId="77777777" w:rsidR="00E852E0" w:rsidRDefault="00E852E0" w:rsidP="001C053C">
            <w:pPr>
              <w:pStyle w:val="CETBodytext"/>
              <w:rPr>
                <w:lang w:val="en-GB"/>
              </w:rPr>
            </w:pPr>
          </w:p>
        </w:tc>
        <w:tc>
          <w:tcPr>
            <w:tcW w:w="2313" w:type="dxa"/>
            <w:shd w:val="clear" w:color="auto" w:fill="FFFFFF"/>
          </w:tcPr>
          <w:p w14:paraId="781B8817" w14:textId="77777777" w:rsidR="00E852E0" w:rsidRDefault="00E852E0" w:rsidP="001C053C">
            <w:pPr>
              <w:pStyle w:val="CETBodytext"/>
              <w:ind w:right="-1"/>
              <w:rPr>
                <w:rFonts w:cs="Arial"/>
                <w:szCs w:val="18"/>
                <w:lang w:val="en-GB"/>
              </w:rPr>
            </w:pPr>
          </w:p>
        </w:tc>
      </w:tr>
      <w:tr w:rsidR="00E852E0" w:rsidRPr="00B57B36" w14:paraId="6DD0E338" w14:textId="77777777" w:rsidTr="00603D70">
        <w:trPr>
          <w:trHeight w:val="208"/>
        </w:trPr>
        <w:tc>
          <w:tcPr>
            <w:tcW w:w="2024" w:type="dxa"/>
            <w:shd w:val="clear" w:color="auto" w:fill="FFFFFF"/>
          </w:tcPr>
          <w:p w14:paraId="259C291F" w14:textId="6B8BDB0C" w:rsidR="00E852E0" w:rsidRPr="00B57B36" w:rsidRDefault="00E852E0" w:rsidP="001C053C">
            <w:pPr>
              <w:pStyle w:val="CETBodytext"/>
              <w:ind w:right="-1"/>
              <w:rPr>
                <w:rFonts w:cs="Arial"/>
                <w:szCs w:val="18"/>
                <w:lang w:val="en-GB"/>
              </w:rPr>
            </w:pPr>
          </w:p>
        </w:tc>
        <w:tc>
          <w:tcPr>
            <w:tcW w:w="578" w:type="dxa"/>
            <w:shd w:val="clear" w:color="auto" w:fill="FFFFFF"/>
          </w:tcPr>
          <w:p w14:paraId="72E25F01" w14:textId="77777777" w:rsidR="00E852E0" w:rsidRPr="00B57B36" w:rsidRDefault="00E852E0" w:rsidP="001C053C">
            <w:pPr>
              <w:pStyle w:val="CETBodytext"/>
              <w:ind w:right="-1"/>
              <w:rPr>
                <w:rFonts w:cs="Arial"/>
                <w:szCs w:val="18"/>
                <w:lang w:val="en-GB"/>
              </w:rPr>
            </w:pPr>
          </w:p>
        </w:tc>
        <w:tc>
          <w:tcPr>
            <w:tcW w:w="1880" w:type="dxa"/>
            <w:shd w:val="clear" w:color="auto" w:fill="FFFFFF"/>
          </w:tcPr>
          <w:p w14:paraId="716393E9" w14:textId="77777777" w:rsidR="00E852E0" w:rsidRPr="00B57B36" w:rsidRDefault="00E852E0" w:rsidP="001C053C">
            <w:pPr>
              <w:pStyle w:val="CETBodytext"/>
              <w:ind w:right="-1"/>
              <w:rPr>
                <w:rFonts w:cs="Arial"/>
                <w:szCs w:val="18"/>
                <w:lang w:val="en-GB"/>
              </w:rPr>
            </w:pPr>
          </w:p>
        </w:tc>
        <w:tc>
          <w:tcPr>
            <w:tcW w:w="2313" w:type="dxa"/>
            <w:shd w:val="clear" w:color="auto" w:fill="FFFFFF"/>
          </w:tcPr>
          <w:p w14:paraId="142E36E0" w14:textId="268AF9DF" w:rsidR="00E852E0" w:rsidRPr="00B57B36" w:rsidRDefault="00E852E0" w:rsidP="001C053C">
            <w:pPr>
              <w:pStyle w:val="CETBodytext"/>
              <w:ind w:right="-1"/>
              <w:rPr>
                <w:rFonts w:cs="Arial"/>
                <w:szCs w:val="18"/>
                <w:lang w:val="en-GB"/>
              </w:rPr>
            </w:pPr>
          </w:p>
        </w:tc>
      </w:tr>
      <w:tr w:rsidR="00E852E0" w:rsidRPr="00B57B36" w14:paraId="7E88266E" w14:textId="77777777" w:rsidTr="00603D70">
        <w:trPr>
          <w:trHeight w:val="72"/>
        </w:trPr>
        <w:tc>
          <w:tcPr>
            <w:tcW w:w="2024" w:type="dxa"/>
            <w:shd w:val="clear" w:color="auto" w:fill="FFFFFF"/>
          </w:tcPr>
          <w:p w14:paraId="01A9D7F4" w14:textId="77777777" w:rsidR="00E852E0" w:rsidRPr="00B57B36" w:rsidRDefault="00E852E0" w:rsidP="001C053C">
            <w:pPr>
              <w:pStyle w:val="CETBodytext"/>
              <w:ind w:right="-1"/>
              <w:rPr>
                <w:rFonts w:cs="Arial"/>
                <w:szCs w:val="18"/>
                <w:lang w:val="en-GB"/>
              </w:rPr>
            </w:pPr>
            <w:r>
              <w:rPr>
                <w:rFonts w:cs="Arial"/>
                <w:szCs w:val="18"/>
                <w:lang w:val="en-GB"/>
              </w:rPr>
              <w:t xml:space="preserve">     </w:t>
            </w:r>
          </w:p>
        </w:tc>
        <w:tc>
          <w:tcPr>
            <w:tcW w:w="578" w:type="dxa"/>
            <w:shd w:val="clear" w:color="auto" w:fill="FFFFFF"/>
          </w:tcPr>
          <w:p w14:paraId="6BCE61D0" w14:textId="3C73DB9E" w:rsidR="00E852E0" w:rsidRPr="00B57B36" w:rsidRDefault="00E852E0" w:rsidP="001C053C">
            <w:pPr>
              <w:pStyle w:val="CETBodytext"/>
              <w:ind w:right="-1"/>
              <w:rPr>
                <w:rFonts w:cs="Arial"/>
                <w:szCs w:val="18"/>
                <w:lang w:val="en-GB"/>
              </w:rPr>
            </w:pPr>
          </w:p>
        </w:tc>
        <w:tc>
          <w:tcPr>
            <w:tcW w:w="1880" w:type="dxa"/>
            <w:shd w:val="clear" w:color="auto" w:fill="FFFFFF"/>
          </w:tcPr>
          <w:p w14:paraId="678B4EEA" w14:textId="46893AA8" w:rsidR="00E852E0" w:rsidRPr="00B57B36" w:rsidRDefault="00E852E0" w:rsidP="001C053C">
            <w:pPr>
              <w:pStyle w:val="CETBodytext"/>
              <w:ind w:right="-1"/>
              <w:rPr>
                <w:rFonts w:cs="Arial"/>
                <w:szCs w:val="18"/>
                <w:lang w:val="en-GB"/>
              </w:rPr>
            </w:pPr>
          </w:p>
        </w:tc>
        <w:tc>
          <w:tcPr>
            <w:tcW w:w="2313" w:type="dxa"/>
            <w:shd w:val="clear" w:color="auto" w:fill="FFFFFF"/>
          </w:tcPr>
          <w:p w14:paraId="665F5108" w14:textId="4620758E" w:rsidR="00E852E0" w:rsidRPr="00B57B36" w:rsidRDefault="00E852E0" w:rsidP="001C053C">
            <w:pPr>
              <w:pStyle w:val="CETBodytext"/>
              <w:ind w:right="-1"/>
              <w:rPr>
                <w:rFonts w:cs="Arial"/>
                <w:szCs w:val="18"/>
                <w:lang w:val="en-GB"/>
              </w:rPr>
            </w:pPr>
          </w:p>
        </w:tc>
      </w:tr>
    </w:tbl>
    <w:p w14:paraId="20381737" w14:textId="22DF57B3" w:rsidR="00E25205" w:rsidRDefault="00E25205" w:rsidP="00E25205">
      <w:pPr>
        <w:pStyle w:val="CETBodytext"/>
      </w:pPr>
    </w:p>
    <w:p w14:paraId="4266A755" w14:textId="77777777" w:rsidR="00BC4361" w:rsidRDefault="00BC4361" w:rsidP="00E25205">
      <w:pPr>
        <w:pStyle w:val="CETBodytext"/>
      </w:pPr>
    </w:p>
    <w:p w14:paraId="42461C6A" w14:textId="77777777" w:rsidR="00BC4361" w:rsidRDefault="00BC4361" w:rsidP="00E25205">
      <w:pPr>
        <w:pStyle w:val="CETBodytext"/>
      </w:pPr>
    </w:p>
    <w:p w14:paraId="6D3422C6" w14:textId="3D34CA1C" w:rsidR="00E25205" w:rsidRDefault="00E25205" w:rsidP="00E25205">
      <w:pPr>
        <w:pStyle w:val="CETBodytext"/>
      </w:pPr>
      <w:r>
        <w:rPr>
          <w:rFonts w:ascii="Times New Roman" w:hAnsi="Times New Roman"/>
          <w:noProof/>
          <w:sz w:val="24"/>
          <w:szCs w:val="24"/>
        </w:rPr>
        <w:drawing>
          <wp:inline distT="0" distB="0" distL="0" distR="0" wp14:anchorId="676B2060" wp14:editId="05B2B820">
            <wp:extent cx="5579745"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8">
                      <a:extLst>
                        <a:ext uri="{28A0092B-C50C-407E-A947-70E740481C1C}">
                          <a14:useLocalDpi xmlns:a14="http://schemas.microsoft.com/office/drawing/2010/main" val="0"/>
                        </a:ext>
                      </a:extLst>
                    </a:blip>
                    <a:stretch>
                      <a:fillRect/>
                    </a:stretch>
                  </pic:blipFill>
                  <pic:spPr>
                    <a:xfrm>
                      <a:off x="0" y="0"/>
                      <a:ext cx="5579745" cy="2247900"/>
                    </a:xfrm>
                    <a:prstGeom prst="rect">
                      <a:avLst/>
                    </a:prstGeom>
                  </pic:spPr>
                </pic:pic>
              </a:graphicData>
            </a:graphic>
          </wp:inline>
        </w:drawing>
      </w:r>
    </w:p>
    <w:p w14:paraId="2D3A568F" w14:textId="307422C3" w:rsidR="00E25205" w:rsidRDefault="00E25205" w:rsidP="00E25205">
      <w:pPr>
        <w:pStyle w:val="CETCaption"/>
      </w:pPr>
      <w:r>
        <w:t xml:space="preserve">Figure 5: </w:t>
      </w:r>
      <w:r w:rsidRPr="00E25205">
        <w:t xml:space="preserve">FTIR spectra of the consortium C-1. after a growth period of 24 h, C-2. after oven drying at 74C for 24 h, C-3. after exposure to 100 ppm of </w:t>
      </w:r>
      <m:oMath>
        <m:sSub>
          <m:sSubPr>
            <m:ctrlPr>
              <w:rPr>
                <w:rFonts w:ascii="Cambria Math" w:hAnsi="Cambria Math"/>
              </w:rPr>
            </m:ctrlPr>
          </m:sSubPr>
          <m:e>
            <m:r>
              <w:rPr>
                <w:rFonts w:ascii="Cambria Math" w:hAnsi="Cambria Math"/>
              </w:rPr>
              <m:t>Pb</m:t>
            </m:r>
            <m:d>
              <m:dPr>
                <m:ctrlPr>
                  <w:rPr>
                    <w:rFonts w:ascii="Cambria Math" w:hAnsi="Cambria Math"/>
                  </w:rPr>
                </m:ctrlPr>
              </m:dPr>
              <m:e>
                <m:sSub>
                  <m:sSubPr>
                    <m:ctrlPr>
                      <w:rPr>
                        <w:rFonts w:ascii="Cambria Math" w:hAnsi="Cambria Math"/>
                      </w:rPr>
                    </m:ctrlPr>
                  </m:sSubPr>
                  <m:e>
                    <m:r>
                      <w:rPr>
                        <w:rFonts w:ascii="Cambria Math" w:hAnsi="Cambria Math"/>
                      </w:rPr>
                      <m:t>NO</m:t>
                    </m:r>
                  </m:e>
                  <m:sub>
                    <m:r>
                      <w:rPr>
                        <w:rFonts w:ascii="Cambria Math" w:hAnsi="Cambria Math"/>
                      </w:rPr>
                      <m:t>3</m:t>
                    </m:r>
                  </m:sub>
                </m:sSub>
              </m:e>
            </m:d>
          </m:e>
          <m:sub>
            <m:r>
              <w:rPr>
                <w:rFonts w:ascii="Cambria Math" w:hAnsi="Cambria Math"/>
              </w:rPr>
              <m:t>2</m:t>
            </m:r>
          </m:sub>
        </m:sSub>
      </m:oMath>
      <w:r w:rsidRPr="00E25205">
        <w:t>, and C-4. 14 h after adding 100 ppm of</w:t>
      </w:r>
      <w:r w:rsidR="0052125D">
        <w:t xml:space="preserve"> </w:t>
      </w:r>
      <m:oMath>
        <m:sSub>
          <m:sSubPr>
            <m:ctrlPr>
              <w:rPr>
                <w:rFonts w:ascii="Cambria Math" w:hAnsi="Cambria Math"/>
              </w:rPr>
            </m:ctrlPr>
          </m:sSubPr>
          <m:e>
            <m:r>
              <w:rPr>
                <w:rFonts w:ascii="Cambria Math" w:hAnsi="Cambria Math"/>
              </w:rPr>
              <m:t>Pb</m:t>
            </m:r>
            <m:d>
              <m:dPr>
                <m:ctrlPr>
                  <w:rPr>
                    <w:rFonts w:ascii="Cambria Math" w:hAnsi="Cambria Math"/>
                  </w:rPr>
                </m:ctrlPr>
              </m:dPr>
              <m:e>
                <m:sSub>
                  <m:sSubPr>
                    <m:ctrlPr>
                      <w:rPr>
                        <w:rFonts w:ascii="Cambria Math" w:hAnsi="Cambria Math"/>
                      </w:rPr>
                    </m:ctrlPr>
                  </m:sSubPr>
                  <m:e>
                    <m:r>
                      <w:rPr>
                        <w:rFonts w:ascii="Cambria Math" w:hAnsi="Cambria Math"/>
                      </w:rPr>
                      <m:t>NO</m:t>
                    </m:r>
                  </m:e>
                  <m:sub>
                    <m:r>
                      <w:rPr>
                        <w:rFonts w:ascii="Cambria Math" w:hAnsi="Cambria Math"/>
                      </w:rPr>
                      <m:t>3</m:t>
                    </m:r>
                  </m:sub>
                </m:sSub>
              </m:e>
            </m:d>
          </m:e>
          <m:sub>
            <m:r>
              <w:rPr>
                <w:rFonts w:ascii="Cambria Math" w:hAnsi="Cambria Math"/>
              </w:rPr>
              <m:t>2</m:t>
            </m:r>
          </m:sub>
        </m:sSub>
      </m:oMath>
      <w:r w:rsidRPr="00E25205">
        <w:t>.</w:t>
      </w:r>
    </w:p>
    <w:p w14:paraId="72664D22" w14:textId="72172930" w:rsidR="0052125D" w:rsidRDefault="0052125D" w:rsidP="0052125D">
      <w:pPr>
        <w:pStyle w:val="CETBodytextItalic"/>
        <w:rPr>
          <w:i w:val="0"/>
          <w:iCs/>
        </w:rPr>
      </w:pPr>
      <w:r w:rsidRPr="003548B9">
        <w:rPr>
          <w:rFonts w:ascii="Times New Roman" w:hAnsi="Times New Roman"/>
          <w:noProof/>
          <w:sz w:val="24"/>
          <w:szCs w:val="24"/>
          <w:lang w:val="en-US"/>
        </w:rPr>
        <w:drawing>
          <wp:inline distT="0" distB="0" distL="0" distR="0" wp14:anchorId="223093AD" wp14:editId="159E39AC">
            <wp:extent cx="5578475" cy="2085975"/>
            <wp:effectExtent l="0" t="0" r="317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9">
                      <a:extLst>
                        <a:ext uri="{28A0092B-C50C-407E-A947-70E740481C1C}">
                          <a14:useLocalDpi xmlns:a14="http://schemas.microsoft.com/office/drawing/2010/main" val="0"/>
                        </a:ext>
                      </a:extLst>
                    </a:blip>
                    <a:stretch>
                      <a:fillRect/>
                    </a:stretch>
                  </pic:blipFill>
                  <pic:spPr>
                    <a:xfrm>
                      <a:off x="0" y="0"/>
                      <a:ext cx="5582642" cy="2087533"/>
                    </a:xfrm>
                    <a:prstGeom prst="rect">
                      <a:avLst/>
                    </a:prstGeom>
                  </pic:spPr>
                </pic:pic>
              </a:graphicData>
            </a:graphic>
          </wp:inline>
        </w:drawing>
      </w:r>
    </w:p>
    <w:p w14:paraId="4CB864A9" w14:textId="48CC6CA9" w:rsidR="00E25205" w:rsidRPr="00E25205" w:rsidRDefault="0052125D" w:rsidP="00E20FFE">
      <w:pPr>
        <w:pStyle w:val="CETCaption"/>
      </w:pPr>
      <w:r>
        <w:t xml:space="preserve">Figure 6: </w:t>
      </w:r>
      <w:r w:rsidRPr="0052125D">
        <w:t xml:space="preserve">FTIR spectra of P. </w:t>
      </w:r>
      <w:proofErr w:type="spellStart"/>
      <w:r w:rsidRPr="0052125D">
        <w:t>bifermentans</w:t>
      </w:r>
      <w:proofErr w:type="spellEnd"/>
      <w:r w:rsidRPr="0052125D">
        <w:t xml:space="preserve"> P-1. After a growth period of 24 h, P-2 after oven drying at 74C for 24 h, P-3 after exposure to 100 ppm of </w:t>
      </w:r>
      <m:oMath>
        <m:sSub>
          <m:sSubPr>
            <m:ctrlPr>
              <w:rPr>
                <w:rFonts w:ascii="Cambria Math" w:hAnsi="Cambria Math"/>
              </w:rPr>
            </m:ctrlPr>
          </m:sSubPr>
          <m:e>
            <m:r>
              <w:rPr>
                <w:rFonts w:ascii="Cambria Math" w:hAnsi="Cambria Math"/>
              </w:rPr>
              <m:t>Pb</m:t>
            </m:r>
            <m:d>
              <m:dPr>
                <m:ctrlPr>
                  <w:rPr>
                    <w:rFonts w:ascii="Cambria Math" w:hAnsi="Cambria Math"/>
                  </w:rPr>
                </m:ctrlPr>
              </m:dPr>
              <m:e>
                <m:sSub>
                  <m:sSubPr>
                    <m:ctrlPr>
                      <w:rPr>
                        <w:rFonts w:ascii="Cambria Math" w:hAnsi="Cambria Math"/>
                      </w:rPr>
                    </m:ctrlPr>
                  </m:sSubPr>
                  <m:e>
                    <m:r>
                      <w:rPr>
                        <w:rFonts w:ascii="Cambria Math" w:hAnsi="Cambria Math"/>
                      </w:rPr>
                      <m:t>NO</m:t>
                    </m:r>
                  </m:e>
                  <m:sub>
                    <m:r>
                      <w:rPr>
                        <w:rFonts w:ascii="Cambria Math" w:hAnsi="Cambria Math"/>
                      </w:rPr>
                      <m:t>3</m:t>
                    </m:r>
                  </m:sub>
                </m:sSub>
              </m:e>
            </m:d>
          </m:e>
          <m:sub>
            <m:r>
              <w:rPr>
                <w:rFonts w:ascii="Cambria Math" w:hAnsi="Cambria Math"/>
              </w:rPr>
              <m:t>2</m:t>
            </m:r>
          </m:sub>
        </m:sSub>
      </m:oMath>
      <w:r w:rsidRPr="0052125D">
        <w:t xml:space="preserve">, and P-4 14 h after adding 100 ppm of </w:t>
      </w:r>
      <m:oMath>
        <m:sSub>
          <m:sSubPr>
            <m:ctrlPr>
              <w:rPr>
                <w:rFonts w:ascii="Cambria Math" w:hAnsi="Cambria Math"/>
              </w:rPr>
            </m:ctrlPr>
          </m:sSubPr>
          <m:e>
            <m:r>
              <w:rPr>
                <w:rFonts w:ascii="Cambria Math" w:hAnsi="Cambria Math"/>
              </w:rPr>
              <m:t>Pb</m:t>
            </m:r>
            <m:d>
              <m:dPr>
                <m:ctrlPr>
                  <w:rPr>
                    <w:rFonts w:ascii="Cambria Math" w:hAnsi="Cambria Math"/>
                  </w:rPr>
                </m:ctrlPr>
              </m:dPr>
              <m:e>
                <m:sSub>
                  <m:sSubPr>
                    <m:ctrlPr>
                      <w:rPr>
                        <w:rFonts w:ascii="Cambria Math" w:hAnsi="Cambria Math"/>
                      </w:rPr>
                    </m:ctrlPr>
                  </m:sSubPr>
                  <m:e>
                    <m:r>
                      <w:rPr>
                        <w:rFonts w:ascii="Cambria Math" w:hAnsi="Cambria Math"/>
                      </w:rPr>
                      <m:t>NO</m:t>
                    </m:r>
                  </m:e>
                  <m:sub>
                    <m:r>
                      <w:rPr>
                        <w:rFonts w:ascii="Cambria Math" w:hAnsi="Cambria Math"/>
                      </w:rPr>
                      <m:t>3</m:t>
                    </m:r>
                  </m:sub>
                </m:sSub>
              </m:e>
            </m:d>
          </m:e>
          <m:sub>
            <m:r>
              <w:rPr>
                <w:rFonts w:ascii="Cambria Math" w:hAnsi="Cambria Math"/>
              </w:rPr>
              <m:t>2</m:t>
            </m:r>
          </m:sub>
        </m:sSub>
      </m:oMath>
      <w:r w:rsidRPr="0052125D">
        <w:t>.</w:t>
      </w:r>
    </w:p>
    <w:p w14:paraId="68D26B83" w14:textId="6057D8CE" w:rsidR="00600535" w:rsidRDefault="00600535" w:rsidP="00600535">
      <w:pPr>
        <w:pStyle w:val="CETHeading1"/>
        <w:rPr>
          <w:lang w:val="en-GB"/>
        </w:rPr>
      </w:pPr>
      <w:r w:rsidRPr="00B57B36">
        <w:rPr>
          <w:lang w:val="en-GB"/>
        </w:rPr>
        <w:lastRenderedPageBreak/>
        <w:t>Conclusions</w:t>
      </w:r>
    </w:p>
    <w:p w14:paraId="596C8D85" w14:textId="391C6941" w:rsidR="00B82C38" w:rsidRPr="00B82C38" w:rsidRDefault="00B82C38" w:rsidP="00B82C38">
      <w:pPr>
        <w:pStyle w:val="CETBodytext"/>
        <w:rPr>
          <w:lang w:val="en-GB"/>
        </w:rPr>
      </w:pPr>
      <w:r w:rsidRPr="00B82C38">
        <w:rPr>
          <w:lang w:val="en-GB"/>
        </w:rPr>
        <w:t>Metabolically inactive consortium</w:t>
      </w:r>
      <w:r>
        <w:rPr>
          <w:lang w:val="en-GB"/>
        </w:rPr>
        <w:t xml:space="preserve"> </w:t>
      </w:r>
      <w:r w:rsidRPr="00B82C38">
        <w:rPr>
          <w:lang w:val="en-GB"/>
        </w:rPr>
        <w:t xml:space="preserve">and </w:t>
      </w:r>
      <w:r w:rsidRPr="00F73D3B">
        <w:rPr>
          <w:i/>
          <w:iCs/>
          <w:lang w:val="en-GB"/>
        </w:rPr>
        <w:t xml:space="preserve">P. </w:t>
      </w:r>
      <w:proofErr w:type="spellStart"/>
      <w:r w:rsidRPr="00F73D3B">
        <w:rPr>
          <w:i/>
          <w:iCs/>
          <w:lang w:val="en-GB"/>
        </w:rPr>
        <w:t>bifermentans</w:t>
      </w:r>
      <w:proofErr w:type="spellEnd"/>
      <w:r w:rsidRPr="00F73D3B">
        <w:rPr>
          <w:i/>
          <w:iCs/>
          <w:lang w:val="en-GB"/>
        </w:rPr>
        <w:t xml:space="preserve"> </w:t>
      </w:r>
      <w:r w:rsidRPr="00B82C38">
        <w:rPr>
          <w:lang w:val="en-GB"/>
        </w:rPr>
        <w:t xml:space="preserve">were employed as a biosorbent to eliminate </w:t>
      </w:r>
      <w:proofErr w:type="gramStart"/>
      <w:r w:rsidRPr="00B82C38">
        <w:rPr>
          <w:lang w:val="en-GB"/>
        </w:rPr>
        <w:t>Pb(</w:t>
      </w:r>
      <w:proofErr w:type="gramEnd"/>
      <w:r w:rsidRPr="00B82C38">
        <w:rPr>
          <w:lang w:val="en-GB"/>
        </w:rPr>
        <w:t>II) from aqueous solution. It was found that, oven drying the consortium and the microbial strain at 74 °C for 24 h successfully inhibited the metabolic activity without rupturing the cell wall. Metabolically inactive consortium</w:t>
      </w:r>
      <w:r>
        <w:rPr>
          <w:lang w:val="en-GB"/>
        </w:rPr>
        <w:t xml:space="preserve"> </w:t>
      </w:r>
      <w:r w:rsidRPr="00B82C38">
        <w:rPr>
          <w:lang w:val="en-GB"/>
        </w:rPr>
        <w:t xml:space="preserve">and </w:t>
      </w:r>
      <w:r w:rsidRPr="00F73D3B">
        <w:rPr>
          <w:i/>
          <w:iCs/>
          <w:lang w:val="en-GB"/>
        </w:rPr>
        <w:t xml:space="preserve">P. </w:t>
      </w:r>
      <w:proofErr w:type="spellStart"/>
      <w:r w:rsidRPr="00F73D3B">
        <w:rPr>
          <w:i/>
          <w:iCs/>
          <w:lang w:val="en-GB"/>
        </w:rPr>
        <w:t>bifermentans</w:t>
      </w:r>
      <w:proofErr w:type="spellEnd"/>
      <w:r w:rsidRPr="00B82C38">
        <w:rPr>
          <w:lang w:val="en-GB"/>
        </w:rPr>
        <w:t xml:space="preserve"> removed 54.44 mg/g</w:t>
      </w:r>
      <w:r>
        <w:rPr>
          <w:lang w:val="en-GB"/>
        </w:rPr>
        <w:t xml:space="preserve"> </w:t>
      </w:r>
      <w:r w:rsidRPr="00B82C38">
        <w:rPr>
          <w:lang w:val="en-GB"/>
        </w:rPr>
        <w:t xml:space="preserve">and 27.39 mg/g of </w:t>
      </w:r>
      <w:proofErr w:type="gramStart"/>
      <w:r w:rsidRPr="00B82C38">
        <w:rPr>
          <w:lang w:val="en-GB"/>
        </w:rPr>
        <w:t>Pb(</w:t>
      </w:r>
      <w:proofErr w:type="gramEnd"/>
      <w:r w:rsidRPr="00B82C38">
        <w:rPr>
          <w:lang w:val="en-GB"/>
        </w:rPr>
        <w:t>II) in 3 h respectively.</w:t>
      </w:r>
      <w:r w:rsidR="00603D70">
        <w:rPr>
          <w:lang w:val="en-GB"/>
        </w:rPr>
        <w:t xml:space="preserve"> </w:t>
      </w:r>
      <w:r w:rsidR="00603D70" w:rsidRPr="00B82C38">
        <w:rPr>
          <w:lang w:val="en-GB"/>
        </w:rPr>
        <w:t xml:space="preserve">FTIR spectroscopy indicated the biosorption of </w:t>
      </w:r>
      <w:proofErr w:type="gramStart"/>
      <w:r w:rsidR="00603D70" w:rsidRPr="00B82C38">
        <w:rPr>
          <w:lang w:val="en-GB"/>
        </w:rPr>
        <w:t>Pb(</w:t>
      </w:r>
      <w:proofErr w:type="gramEnd"/>
      <w:r w:rsidR="00603D70" w:rsidRPr="00B82C38">
        <w:rPr>
          <w:lang w:val="en-GB"/>
        </w:rPr>
        <w:t>II) onto functional groups (</w:t>
      </w:r>
      <w:r w:rsidR="00603D70">
        <w:rPr>
          <w:lang w:val="en-GB"/>
        </w:rPr>
        <w:t>Alkyl halides, phenols, alkene, and aromatic</w:t>
      </w:r>
      <w:r w:rsidR="00603D70" w:rsidRPr="00B82C38">
        <w:rPr>
          <w:lang w:val="en-GB"/>
        </w:rPr>
        <w:t xml:space="preserve">) as being responsible for this removal. </w:t>
      </w:r>
      <w:r w:rsidR="00603D70">
        <w:rPr>
          <w:lang w:val="en-GB"/>
        </w:rPr>
        <w:t xml:space="preserve">Two-phase pseudo-first-order fits had the highest coefficient of determination which might be due to the fast and slow adsorption rates into different compartments, thereby allowing better representation of a heterogeneous surface. Pseudo-second -order kinetics was found to represent the data slightly better than pseudo-first-order kinetics which suggests an abundance of adsorption sites relative to </w:t>
      </w:r>
      <w:proofErr w:type="gramStart"/>
      <w:r w:rsidR="00603D70">
        <w:rPr>
          <w:lang w:val="en-GB"/>
        </w:rPr>
        <w:t>Pb(</w:t>
      </w:r>
      <w:proofErr w:type="gramEnd"/>
      <w:r w:rsidR="00603D70">
        <w:rPr>
          <w:lang w:val="en-GB"/>
        </w:rPr>
        <w:t xml:space="preserve">II) ions in the solution. </w:t>
      </w:r>
      <w:r w:rsidRPr="00B82C38">
        <w:rPr>
          <w:lang w:val="en-GB"/>
        </w:rPr>
        <w:t>It was found that, the consortia</w:t>
      </w:r>
      <w:r w:rsidR="006C185D">
        <w:rPr>
          <w:lang w:val="en-GB"/>
        </w:rPr>
        <w:t xml:space="preserve"> </w:t>
      </w:r>
      <w:r w:rsidRPr="00B82C38">
        <w:rPr>
          <w:lang w:val="en-GB"/>
        </w:rPr>
        <w:t xml:space="preserve">and </w:t>
      </w:r>
      <w:r w:rsidRPr="00F73D3B">
        <w:rPr>
          <w:i/>
          <w:iCs/>
          <w:lang w:val="en-GB"/>
        </w:rPr>
        <w:t xml:space="preserve">P. </w:t>
      </w:r>
      <w:proofErr w:type="spellStart"/>
      <w:r w:rsidRPr="00F73D3B">
        <w:rPr>
          <w:i/>
          <w:iCs/>
          <w:lang w:val="en-GB"/>
        </w:rPr>
        <w:t>bifermentans</w:t>
      </w:r>
      <w:proofErr w:type="spellEnd"/>
      <w:r w:rsidRPr="00B82C38">
        <w:rPr>
          <w:lang w:val="en-GB"/>
        </w:rPr>
        <w:t xml:space="preserve"> </w:t>
      </w:r>
      <w:r w:rsidR="00F75D26">
        <w:rPr>
          <w:lang w:val="en-GB"/>
        </w:rPr>
        <w:t xml:space="preserve">slightly </w:t>
      </w:r>
      <w:r w:rsidR="006C185D">
        <w:rPr>
          <w:lang w:val="en-GB"/>
        </w:rPr>
        <w:t>increased</w:t>
      </w:r>
      <w:r w:rsidRPr="00B82C38">
        <w:rPr>
          <w:lang w:val="en-GB"/>
        </w:rPr>
        <w:t xml:space="preserve"> the pH of the solution</w:t>
      </w:r>
      <w:r w:rsidR="00603D70">
        <w:rPr>
          <w:lang w:val="en-GB"/>
        </w:rPr>
        <w:t xml:space="preserve"> as a result of the electrostatic attraction between the negatively charged adsorbent surfaces and the positively charged </w:t>
      </w:r>
      <w:proofErr w:type="gramStart"/>
      <w:r w:rsidR="00603D70">
        <w:rPr>
          <w:lang w:val="en-GB"/>
        </w:rPr>
        <w:t>Pb(</w:t>
      </w:r>
      <w:proofErr w:type="gramEnd"/>
      <w:r w:rsidR="00603D70">
        <w:rPr>
          <w:lang w:val="en-GB"/>
        </w:rPr>
        <w:t>II) resulting in an increase in adsorption efficiency</w:t>
      </w:r>
      <w:r w:rsidR="006C185D">
        <w:rPr>
          <w:lang w:val="en-GB"/>
        </w:rPr>
        <w:t>.</w:t>
      </w:r>
      <w:r w:rsidR="00F73D3B">
        <w:rPr>
          <w:lang w:val="en-GB"/>
        </w:rPr>
        <w:t xml:space="preserve"> </w:t>
      </w:r>
    </w:p>
    <w:p w14:paraId="459D05E6" w14:textId="77777777" w:rsidR="00600535" w:rsidRPr="00B57B36" w:rsidRDefault="00600535" w:rsidP="00600535">
      <w:pPr>
        <w:pStyle w:val="CETAcknowledgementstitle"/>
      </w:pPr>
      <w:r w:rsidRPr="00B57B36">
        <w:t>Acknowledgments</w:t>
      </w:r>
    </w:p>
    <w:p w14:paraId="33F8138F" w14:textId="634E707C" w:rsidR="00600535" w:rsidRPr="00B57B36" w:rsidRDefault="00513095" w:rsidP="00600535">
      <w:pPr>
        <w:pStyle w:val="CETBodytext"/>
        <w:rPr>
          <w:lang w:val="en-GB"/>
        </w:rPr>
      </w:pPr>
      <w:r w:rsidRPr="00513095">
        <w:rPr>
          <w:lang w:val="en-GB"/>
        </w:rPr>
        <w:t>This work is based on the research supported in part by the National Research Foundation of South Africa</w:t>
      </w:r>
      <w:r w:rsidR="00600535" w:rsidRPr="00B57B36">
        <w:rPr>
          <w:lang w:val="en-GB"/>
        </w:rPr>
        <w:t>.</w:t>
      </w:r>
    </w:p>
    <w:p w14:paraId="03507984" w14:textId="004255A5" w:rsidR="00600535" w:rsidRPr="00B57B36" w:rsidRDefault="00600535" w:rsidP="00513095">
      <w:pPr>
        <w:pStyle w:val="CETReference"/>
      </w:pPr>
      <w:r w:rsidRPr="00B57B36">
        <w:t>References</w:t>
      </w:r>
    </w:p>
    <w:p w14:paraId="255E03C1" w14:textId="753D134E" w:rsidR="001E3AE5" w:rsidRPr="00540C15" w:rsidRDefault="001E3AE5" w:rsidP="006B4888">
      <w:pPr>
        <w:pStyle w:val="CETReferencetext"/>
      </w:pPr>
      <w:r w:rsidRPr="00540C15">
        <w:t>Ahluwalia, S.S. and Goyal, D., 2007. Microbial and plant derived biomass for removal of heavy metals from wastewater. Bioresource technology, 98(12), pp.2243-2257.</w:t>
      </w:r>
    </w:p>
    <w:p w14:paraId="63745A80" w14:textId="7B6679DD" w:rsidR="008D6E9D" w:rsidRPr="00540C15" w:rsidRDefault="008D6E9D" w:rsidP="006B4888">
      <w:pPr>
        <w:pStyle w:val="CETReferencetext"/>
      </w:pPr>
      <w:r w:rsidRPr="00540C15">
        <w:t xml:space="preserve">Bilal Shakoor, M, S Ali, M Farid, M Ahsan Farooq, H Muhammad </w:t>
      </w:r>
      <w:proofErr w:type="spellStart"/>
      <w:r w:rsidRPr="00540C15">
        <w:t>Tauqeer</w:t>
      </w:r>
      <w:proofErr w:type="spellEnd"/>
      <w:r w:rsidRPr="00540C15">
        <w:t xml:space="preserve">, U Iftikhar, F Hannan, and S Aslam </w:t>
      </w:r>
      <w:proofErr w:type="spellStart"/>
      <w:r w:rsidRPr="00540C15">
        <w:t>Bharwana</w:t>
      </w:r>
      <w:proofErr w:type="spellEnd"/>
      <w:r w:rsidRPr="00540C15">
        <w:t xml:space="preserve"> (2013). “Heavy metal pollution, a global problem and its remediation by chemically enhanced phytoremediation: A Review”. In: J. Bio. &amp; Env. Sci 2013.3, pp. 12–20.</w:t>
      </w:r>
    </w:p>
    <w:p w14:paraId="10B20E57" w14:textId="577A2E19" w:rsidR="008D6E9D" w:rsidRPr="00540C15" w:rsidRDefault="008D6E9D" w:rsidP="006B4888">
      <w:pPr>
        <w:pStyle w:val="CETReferencetext"/>
        <w:rPr>
          <w:rFonts w:cs="Arial"/>
        </w:rPr>
      </w:pPr>
      <w:proofErr w:type="spellStart"/>
      <w:r w:rsidRPr="00540C15">
        <w:t>Hörstmann</w:t>
      </w:r>
      <w:proofErr w:type="spellEnd"/>
      <w:r w:rsidRPr="00540C15">
        <w:t xml:space="preserve"> C., Brink, H.G. and Chirwa, E.M.N., 2020. </w:t>
      </w:r>
      <w:proofErr w:type="gramStart"/>
      <w:r w:rsidRPr="00540C15">
        <w:t>Pb(</w:t>
      </w:r>
      <w:proofErr w:type="gramEnd"/>
      <w:r w:rsidRPr="00540C15">
        <w:t xml:space="preserve">II) Bio-Removal, Viability, and Population Distribution of an Industrial Microbial Consortium: The Effect of Pb(II) and Nutrient Concentrations. Sustainability, </w:t>
      </w:r>
      <w:r w:rsidRPr="00540C15">
        <w:rPr>
          <w:rFonts w:cs="Arial"/>
        </w:rPr>
        <w:t>p.2511.</w:t>
      </w:r>
    </w:p>
    <w:p w14:paraId="7FA04D03" w14:textId="71BC907D" w:rsidR="009E0C10" w:rsidRPr="00540C15" w:rsidRDefault="0087498B" w:rsidP="0087498B">
      <w:pPr>
        <w:spacing w:line="276" w:lineRule="auto"/>
        <w:rPr>
          <w:rFonts w:cs="Arial"/>
          <w:lang w:val="en-US"/>
        </w:rPr>
      </w:pPr>
      <w:r w:rsidRPr="00540C15">
        <w:rPr>
          <w:rFonts w:cs="Arial"/>
          <w:lang w:val="en-US"/>
        </w:rPr>
        <w:t>Leung, W.C., Wong, M.F., Chua, H., Lo, W. and Leung, C.K.</w:t>
      </w:r>
      <w:r w:rsidR="00540C15" w:rsidRPr="00540C15">
        <w:rPr>
          <w:rFonts w:cs="Arial"/>
          <w:lang w:val="en-US"/>
        </w:rPr>
        <w:t>,</w:t>
      </w:r>
      <w:r w:rsidRPr="00540C15">
        <w:rPr>
          <w:rFonts w:cs="Arial"/>
          <w:lang w:val="en-US"/>
        </w:rPr>
        <w:t xml:space="preserve"> 2000</w:t>
      </w:r>
      <w:r w:rsidR="00540C15" w:rsidRPr="00540C15">
        <w:rPr>
          <w:rFonts w:cs="Arial"/>
          <w:lang w:val="en-US"/>
        </w:rPr>
        <w:t>.</w:t>
      </w:r>
      <w:r w:rsidRPr="00540C15">
        <w:rPr>
          <w:rFonts w:cs="Arial"/>
          <w:lang w:val="en-US"/>
        </w:rPr>
        <w:t xml:space="preserve"> Removal and recovery of heavy metals by </w:t>
      </w:r>
    </w:p>
    <w:p w14:paraId="37222E22" w14:textId="77777777" w:rsidR="009E0C10" w:rsidRPr="00540C15" w:rsidRDefault="009E0C10" w:rsidP="0087498B">
      <w:pPr>
        <w:spacing w:line="276" w:lineRule="auto"/>
        <w:rPr>
          <w:rFonts w:cs="Arial"/>
          <w:lang w:val="en-US"/>
        </w:rPr>
      </w:pPr>
      <w:r w:rsidRPr="00540C15">
        <w:rPr>
          <w:rFonts w:cs="Arial"/>
          <w:lang w:val="en-US"/>
        </w:rPr>
        <w:t xml:space="preserve">     </w:t>
      </w:r>
      <w:r w:rsidR="0087498B" w:rsidRPr="00540C15">
        <w:rPr>
          <w:rFonts w:cs="Arial"/>
          <w:lang w:val="en-US"/>
        </w:rPr>
        <w:t xml:space="preserve">bacteria isolated from activated sludge treating industrial effluents and municipal wastewater. Water Sci. </w:t>
      </w:r>
      <w:r w:rsidRPr="00540C15">
        <w:rPr>
          <w:rFonts w:cs="Arial"/>
          <w:lang w:val="en-US"/>
        </w:rPr>
        <w:t xml:space="preserve">  </w:t>
      </w:r>
    </w:p>
    <w:p w14:paraId="6BDD7214" w14:textId="5BDA65A5" w:rsidR="0087498B" w:rsidRPr="00540C15" w:rsidRDefault="009E0C10" w:rsidP="0087498B">
      <w:pPr>
        <w:spacing w:line="276" w:lineRule="auto"/>
        <w:rPr>
          <w:rFonts w:cs="Arial"/>
          <w:lang w:val="en-US"/>
        </w:rPr>
      </w:pPr>
      <w:r w:rsidRPr="00540C15">
        <w:rPr>
          <w:rFonts w:cs="Arial"/>
          <w:lang w:val="en-US"/>
        </w:rPr>
        <w:t xml:space="preserve">    </w:t>
      </w:r>
      <w:r w:rsidR="0087498B" w:rsidRPr="00540C15">
        <w:rPr>
          <w:rFonts w:cs="Arial"/>
          <w:lang w:val="en-US"/>
        </w:rPr>
        <w:t>Technol., 41 (12), 233-240.</w:t>
      </w:r>
    </w:p>
    <w:p w14:paraId="09870845" w14:textId="1E433DCA" w:rsidR="0087498B" w:rsidRPr="00540C15" w:rsidRDefault="0087498B" w:rsidP="0087498B">
      <w:pPr>
        <w:spacing w:line="276" w:lineRule="auto"/>
        <w:ind w:left="284" w:hanging="284"/>
        <w:rPr>
          <w:rFonts w:cs="Arial"/>
        </w:rPr>
      </w:pPr>
      <w:proofErr w:type="spellStart"/>
      <w:r w:rsidRPr="00540C15">
        <w:rPr>
          <w:rFonts w:cs="Arial"/>
        </w:rPr>
        <w:t>Meenambal</w:t>
      </w:r>
      <w:proofErr w:type="spellEnd"/>
      <w:r w:rsidRPr="00540C15">
        <w:rPr>
          <w:rFonts w:cs="Arial"/>
        </w:rPr>
        <w:t xml:space="preserve">, M., </w:t>
      </w:r>
      <w:proofErr w:type="spellStart"/>
      <w:r w:rsidRPr="00540C15">
        <w:rPr>
          <w:rFonts w:cs="Arial"/>
        </w:rPr>
        <w:t>Phugalendy</w:t>
      </w:r>
      <w:proofErr w:type="spellEnd"/>
      <w:r w:rsidRPr="00540C15">
        <w:rPr>
          <w:rFonts w:cs="Arial"/>
        </w:rPr>
        <w:t xml:space="preserve">, K., </w:t>
      </w:r>
      <w:proofErr w:type="spellStart"/>
      <w:r w:rsidRPr="00540C15">
        <w:rPr>
          <w:rFonts w:cs="Arial"/>
        </w:rPr>
        <w:t>Vasantharaja</w:t>
      </w:r>
      <w:proofErr w:type="spellEnd"/>
      <w:r w:rsidRPr="00540C15">
        <w:rPr>
          <w:rFonts w:cs="Arial"/>
        </w:rPr>
        <w:t xml:space="preserve">, C., </w:t>
      </w:r>
      <w:proofErr w:type="spellStart"/>
      <w:r w:rsidRPr="00540C15">
        <w:rPr>
          <w:rFonts w:cs="Arial"/>
        </w:rPr>
        <w:t>Prapakaran</w:t>
      </w:r>
      <w:proofErr w:type="spellEnd"/>
      <w:r w:rsidRPr="00540C15">
        <w:rPr>
          <w:rFonts w:cs="Arial"/>
        </w:rPr>
        <w:t>, S. and Vijayan, P.</w:t>
      </w:r>
      <w:r w:rsidR="00540C15" w:rsidRPr="00540C15">
        <w:rPr>
          <w:rFonts w:cs="Arial"/>
        </w:rPr>
        <w:t>,</w:t>
      </w:r>
      <w:r w:rsidRPr="00540C15">
        <w:rPr>
          <w:rFonts w:cs="Arial"/>
        </w:rPr>
        <w:t xml:space="preserve"> 2012</w:t>
      </w:r>
      <w:r w:rsidR="00540C15" w:rsidRPr="00540C15">
        <w:rPr>
          <w:rFonts w:cs="Arial"/>
        </w:rPr>
        <w:t>.</w:t>
      </w:r>
      <w:r w:rsidRPr="00540C15">
        <w:rPr>
          <w:rFonts w:cs="Arial"/>
        </w:rPr>
        <w:t xml:space="preserve"> Phytochemical investigation from FTIR and GC-MS studies of methanol extract of </w:t>
      </w:r>
      <w:proofErr w:type="spellStart"/>
      <w:r w:rsidRPr="00540C15">
        <w:rPr>
          <w:rFonts w:cs="Arial"/>
        </w:rPr>
        <w:t>Denolix</w:t>
      </w:r>
      <w:proofErr w:type="spellEnd"/>
      <w:r w:rsidRPr="00540C15">
        <w:rPr>
          <w:rFonts w:cs="Arial"/>
        </w:rPr>
        <w:t xml:space="preserve"> </w:t>
      </w:r>
      <w:proofErr w:type="spellStart"/>
      <w:r w:rsidRPr="00540C15">
        <w:rPr>
          <w:rFonts w:cs="Arial"/>
        </w:rPr>
        <w:t>eltaleaves</w:t>
      </w:r>
      <w:proofErr w:type="spellEnd"/>
      <w:r w:rsidRPr="00540C15">
        <w:rPr>
          <w:rFonts w:cs="Arial"/>
        </w:rPr>
        <w:t>. International Journal of Chemical and Analytical Science, 3(6), 1446–1448.</w:t>
      </w:r>
    </w:p>
    <w:p w14:paraId="3A4E4C76" w14:textId="627E0C54" w:rsidR="00CB3995" w:rsidRPr="00540C15" w:rsidRDefault="00CB3995" w:rsidP="00CB3995">
      <w:pPr>
        <w:pStyle w:val="CETReferencetext"/>
      </w:pPr>
      <w:r w:rsidRPr="00540C15">
        <w:t xml:space="preserve">Moncrieff, A. A., 0. P, </w:t>
      </w:r>
      <w:proofErr w:type="spellStart"/>
      <w:r w:rsidRPr="00540C15">
        <w:t>Koumides</w:t>
      </w:r>
      <w:proofErr w:type="spellEnd"/>
      <w:r w:rsidRPr="00540C15">
        <w:t>, B. E. Clayton, A. D. Patrick, A. G. C. Renwick, and G. E. Roberts. 1964. Lead poisoning in children. Archives of Disease in Childhood 39:1-13.</w:t>
      </w:r>
    </w:p>
    <w:p w14:paraId="21EE7032" w14:textId="2811BD4E" w:rsidR="008D6E9D" w:rsidRPr="00540C15" w:rsidRDefault="008D6E9D" w:rsidP="006B4888">
      <w:pPr>
        <w:pStyle w:val="CETReferencetext"/>
      </w:pPr>
      <w:r w:rsidRPr="00540C15">
        <w:t>Peens J., Wu W.Y., Brink H.G., 2018. Chem. Eng. Trans. 64, 439–444.</w:t>
      </w:r>
    </w:p>
    <w:p w14:paraId="7C51CB6C" w14:textId="3760E21D" w:rsidR="00463680" w:rsidRPr="00540C15" w:rsidRDefault="00463680" w:rsidP="00463680">
      <w:pPr>
        <w:spacing w:line="276" w:lineRule="auto"/>
        <w:rPr>
          <w:rFonts w:cs="Arial"/>
          <w:szCs w:val="18"/>
        </w:rPr>
      </w:pPr>
      <w:proofErr w:type="spellStart"/>
      <w:r w:rsidRPr="00540C15">
        <w:rPr>
          <w:rFonts w:cs="Arial"/>
          <w:szCs w:val="18"/>
        </w:rPr>
        <w:t>Rushikesh</w:t>
      </w:r>
      <w:proofErr w:type="spellEnd"/>
      <w:r w:rsidRPr="00540C15">
        <w:rPr>
          <w:rFonts w:cs="Arial"/>
          <w:szCs w:val="18"/>
        </w:rPr>
        <w:t>, N., Rajdeep, P., Manish, N. and Bhaskar, C.</w:t>
      </w:r>
      <w:r w:rsidR="00540C15">
        <w:rPr>
          <w:rFonts w:cs="Arial"/>
          <w:szCs w:val="18"/>
        </w:rPr>
        <w:t>,</w:t>
      </w:r>
      <w:r w:rsidRPr="00540C15">
        <w:rPr>
          <w:rFonts w:cs="Arial"/>
          <w:szCs w:val="18"/>
        </w:rPr>
        <w:t xml:space="preserve"> 2018</w:t>
      </w:r>
      <w:r w:rsidR="00540C15">
        <w:rPr>
          <w:rFonts w:cs="Arial"/>
          <w:szCs w:val="18"/>
        </w:rPr>
        <w:t>.</w:t>
      </w:r>
      <w:r w:rsidRPr="00540C15">
        <w:rPr>
          <w:rFonts w:cs="Arial"/>
          <w:szCs w:val="18"/>
        </w:rPr>
        <w:t xml:space="preserve"> Priority based functional group</w:t>
      </w:r>
      <w:r w:rsidRPr="00540C15">
        <w:rPr>
          <w:rFonts w:cs="Arial"/>
          <w:szCs w:val="18"/>
        </w:rPr>
        <w:t xml:space="preserve"> </w:t>
      </w:r>
      <w:r w:rsidRPr="00540C15">
        <w:rPr>
          <w:rFonts w:cs="Arial"/>
          <w:szCs w:val="18"/>
        </w:rPr>
        <w:t xml:space="preserve">identification of </w:t>
      </w:r>
      <w:r w:rsidRPr="00540C15">
        <w:rPr>
          <w:rFonts w:cs="Arial"/>
          <w:szCs w:val="18"/>
        </w:rPr>
        <w:t xml:space="preserve"> </w:t>
      </w:r>
    </w:p>
    <w:p w14:paraId="45ED54AC" w14:textId="6644CFF5" w:rsidR="00463680" w:rsidRPr="00540C15" w:rsidRDefault="00463680" w:rsidP="00463680">
      <w:pPr>
        <w:spacing w:line="276" w:lineRule="auto"/>
        <w:rPr>
          <w:rFonts w:cs="Arial"/>
          <w:szCs w:val="18"/>
        </w:rPr>
      </w:pPr>
      <w:r w:rsidRPr="00540C15">
        <w:rPr>
          <w:rFonts w:cs="Arial"/>
          <w:szCs w:val="18"/>
        </w:rPr>
        <w:t xml:space="preserve">      </w:t>
      </w:r>
      <w:r w:rsidRPr="00540C15">
        <w:rPr>
          <w:rFonts w:cs="Arial"/>
          <w:szCs w:val="18"/>
        </w:rPr>
        <w:t>organic</w:t>
      </w:r>
      <w:r w:rsidRPr="00540C15">
        <w:rPr>
          <w:rFonts w:cs="Arial"/>
          <w:szCs w:val="18"/>
        </w:rPr>
        <w:t xml:space="preserve"> </w:t>
      </w:r>
      <w:r w:rsidRPr="00540C15">
        <w:rPr>
          <w:rFonts w:cs="Arial"/>
          <w:szCs w:val="18"/>
        </w:rPr>
        <w:t>molecules using machine learning. The ACM India Joint International Conference, 201 – 209.</w:t>
      </w:r>
    </w:p>
    <w:p w14:paraId="17CEF85F" w14:textId="2B11A99D" w:rsidR="00463680" w:rsidRPr="00540C15" w:rsidRDefault="00463680" w:rsidP="00463680">
      <w:pPr>
        <w:spacing w:line="276" w:lineRule="auto"/>
        <w:ind w:left="284" w:hanging="284"/>
        <w:rPr>
          <w:rFonts w:cs="Arial"/>
          <w:szCs w:val="18"/>
        </w:rPr>
      </w:pPr>
      <w:r w:rsidRPr="00540C15">
        <w:rPr>
          <w:rFonts w:cs="Arial"/>
          <w:szCs w:val="18"/>
        </w:rPr>
        <w:t>Tan, K.L. and Hameed, B.H. 2017 Insight into the adsorption kinetics models for the removal of contaminants from aqueous</w:t>
      </w:r>
      <w:r w:rsidRPr="00540C15">
        <w:rPr>
          <w:rFonts w:cs="Arial"/>
          <w:szCs w:val="18"/>
        </w:rPr>
        <w:t xml:space="preserve"> </w:t>
      </w:r>
      <w:r w:rsidRPr="00540C15">
        <w:rPr>
          <w:rFonts w:cs="Arial"/>
          <w:szCs w:val="18"/>
        </w:rPr>
        <w:t>solutions. J. Taiwan Inst. Chem. Eng. 74, 25–48.</w:t>
      </w:r>
    </w:p>
    <w:p w14:paraId="7C7E5AE8" w14:textId="5D588353" w:rsidR="008D6E9D" w:rsidRPr="00540C15" w:rsidRDefault="008D6E9D" w:rsidP="006B4888">
      <w:pPr>
        <w:pStyle w:val="CETReferencetext"/>
      </w:pPr>
      <w:r w:rsidRPr="00540C15">
        <w:t>Tiwari, Seema &amp; Tripathi, Indra &amp; Tiwari, Hl. (2013). Effects of Lead on Environment. 2278-9359.</w:t>
      </w:r>
    </w:p>
    <w:p w14:paraId="497F3F9E" w14:textId="610A6B7E" w:rsidR="008D6E9D" w:rsidRPr="00540C15" w:rsidRDefault="008D6E9D" w:rsidP="006B4888">
      <w:pPr>
        <w:pStyle w:val="CETReferencetext"/>
      </w:pPr>
      <w:r w:rsidRPr="00540C15">
        <w:t xml:space="preserve">Van </w:t>
      </w:r>
      <w:proofErr w:type="spellStart"/>
      <w:r w:rsidRPr="00540C15">
        <w:t>Hille</w:t>
      </w:r>
      <w:proofErr w:type="spellEnd"/>
      <w:r w:rsidRPr="00540C15">
        <w:t xml:space="preserve">, RP, A Antunes, D </w:t>
      </w:r>
      <w:proofErr w:type="spellStart"/>
      <w:r w:rsidRPr="00540C15">
        <w:t>Sanyahumbi</w:t>
      </w:r>
      <w:proofErr w:type="spellEnd"/>
      <w:r w:rsidRPr="00540C15">
        <w:t xml:space="preserve">, L Nightingale, and JR Duncan (2003). Development of integrated biosorption systems for the removal and/or recovery of heavy metals from mining and other industrial wastewaters, and determination of the toxicity of metals to bioremediation processes: WRC Report No. 1243/1/03. Tech. rep. Water Research </w:t>
      </w:r>
      <w:proofErr w:type="spellStart"/>
      <w:r w:rsidRPr="00540C15">
        <w:t>Comission</w:t>
      </w:r>
      <w:proofErr w:type="spellEnd"/>
      <w:r w:rsidRPr="00540C15">
        <w:t>.</w:t>
      </w:r>
    </w:p>
    <w:p w14:paraId="09AAF08B" w14:textId="5DB752D9" w:rsidR="00540C15" w:rsidRPr="00540C15" w:rsidRDefault="00540C15" w:rsidP="00540C15">
      <w:pPr>
        <w:spacing w:line="276" w:lineRule="auto"/>
        <w:ind w:left="284" w:hanging="284"/>
        <w:rPr>
          <w:rFonts w:cs="Arial"/>
        </w:rPr>
      </w:pPr>
      <w:r w:rsidRPr="00540C15">
        <w:rPr>
          <w:rFonts w:cs="Arial"/>
        </w:rPr>
        <w:t>Van-</w:t>
      </w:r>
      <w:proofErr w:type="spellStart"/>
      <w:r w:rsidRPr="00540C15">
        <w:rPr>
          <w:rFonts w:cs="Arial"/>
        </w:rPr>
        <w:t>Veenhuyzen</w:t>
      </w:r>
      <w:proofErr w:type="spellEnd"/>
      <w:r w:rsidRPr="00540C15">
        <w:rPr>
          <w:rFonts w:cs="Arial"/>
        </w:rPr>
        <w:t>, B., Brink, H.G. and Chirwa, E.M.N</w:t>
      </w:r>
      <w:r>
        <w:rPr>
          <w:rFonts w:cs="Arial"/>
        </w:rPr>
        <w:t>.,</w:t>
      </w:r>
      <w:r w:rsidRPr="00540C15">
        <w:rPr>
          <w:rFonts w:cs="Arial"/>
        </w:rPr>
        <w:t xml:space="preserve"> 2021a</w:t>
      </w:r>
      <w:r>
        <w:rPr>
          <w:rFonts w:cs="Arial"/>
        </w:rPr>
        <w:t>.</w:t>
      </w:r>
      <w:r w:rsidRPr="00540C15">
        <w:rPr>
          <w:rFonts w:cs="Arial"/>
        </w:rPr>
        <w:t xml:space="preserve"> Microbial Pb(ii) Precipitation: </w:t>
      </w:r>
      <w:proofErr w:type="gramStart"/>
      <w:r w:rsidRPr="00540C15">
        <w:rPr>
          <w:rFonts w:cs="Arial"/>
        </w:rPr>
        <w:t>the</w:t>
      </w:r>
      <w:proofErr w:type="gramEnd"/>
      <w:r w:rsidRPr="00540C15">
        <w:rPr>
          <w:rFonts w:cs="Arial"/>
        </w:rPr>
        <w:t xml:space="preserve"> Role of Biosorption as a Pb(ii) Removal Mechanism. Chemical Engineering Transactions. 86. 181-185.</w:t>
      </w:r>
    </w:p>
    <w:p w14:paraId="0DDBC233" w14:textId="53EEFF0C" w:rsidR="00463680" w:rsidRPr="00540C15" w:rsidRDefault="00463680" w:rsidP="00463680">
      <w:pPr>
        <w:spacing w:line="276" w:lineRule="auto"/>
        <w:ind w:left="284" w:hanging="284"/>
        <w:rPr>
          <w:rFonts w:cs="Arial"/>
        </w:rPr>
      </w:pPr>
      <w:r w:rsidRPr="00540C15">
        <w:rPr>
          <w:rFonts w:cs="Arial"/>
        </w:rPr>
        <w:t>Van-</w:t>
      </w:r>
      <w:proofErr w:type="spellStart"/>
      <w:r w:rsidRPr="00540C15">
        <w:rPr>
          <w:rFonts w:cs="Arial"/>
        </w:rPr>
        <w:t>Veenhuyzen</w:t>
      </w:r>
      <w:proofErr w:type="spellEnd"/>
      <w:r w:rsidRPr="00540C15">
        <w:rPr>
          <w:rFonts w:cs="Arial"/>
        </w:rPr>
        <w:t xml:space="preserve">, B., </w:t>
      </w:r>
      <w:proofErr w:type="spellStart"/>
      <w:r w:rsidRPr="00540C15">
        <w:rPr>
          <w:rFonts w:cs="Arial"/>
        </w:rPr>
        <w:t>Tichapondwa</w:t>
      </w:r>
      <w:proofErr w:type="spellEnd"/>
      <w:r w:rsidRPr="00540C15">
        <w:rPr>
          <w:rFonts w:cs="Arial"/>
        </w:rPr>
        <w:t xml:space="preserve">, S., </w:t>
      </w:r>
      <w:proofErr w:type="spellStart"/>
      <w:r w:rsidRPr="00540C15">
        <w:rPr>
          <w:rFonts w:cs="Arial"/>
        </w:rPr>
        <w:t>Cilliers</w:t>
      </w:r>
      <w:proofErr w:type="spellEnd"/>
      <w:r w:rsidRPr="00540C15">
        <w:rPr>
          <w:rFonts w:cs="Arial"/>
        </w:rPr>
        <w:t>, C., Chirwa, E.M.N. and Brink, H.G.</w:t>
      </w:r>
      <w:r w:rsidR="00540C15">
        <w:rPr>
          <w:rFonts w:cs="Arial"/>
        </w:rPr>
        <w:t>,</w:t>
      </w:r>
      <w:r w:rsidRPr="00540C15">
        <w:rPr>
          <w:rFonts w:cs="Arial"/>
        </w:rPr>
        <w:t xml:space="preserve"> 2021b</w:t>
      </w:r>
      <w:r w:rsidR="00540C15">
        <w:rPr>
          <w:rFonts w:cs="Arial"/>
        </w:rPr>
        <w:t>.</w:t>
      </w:r>
      <w:r w:rsidRPr="00540C15">
        <w:rPr>
          <w:rFonts w:cs="Arial"/>
        </w:rPr>
        <w:t xml:space="preserve"> High Capacity </w:t>
      </w:r>
      <w:proofErr w:type="gramStart"/>
      <w:r w:rsidRPr="00540C15">
        <w:rPr>
          <w:rFonts w:cs="Arial"/>
        </w:rPr>
        <w:t>Pb(</w:t>
      </w:r>
      <w:proofErr w:type="gramEnd"/>
      <w:r w:rsidRPr="00540C15">
        <w:rPr>
          <w:rFonts w:cs="Arial"/>
        </w:rPr>
        <w:t>II) Adsorption Characteristics onto Raw- and Chemically Activated Waste Activated Sludge. Journal of Hazardous Materials, 416. 125943.</w:t>
      </w:r>
    </w:p>
    <w:p w14:paraId="25C740BD" w14:textId="38C29ADE" w:rsidR="00A97E03" w:rsidRPr="00540C15" w:rsidRDefault="00A97E03" w:rsidP="00A97E03">
      <w:pPr>
        <w:spacing w:line="276" w:lineRule="auto"/>
        <w:ind w:left="284" w:hanging="284"/>
        <w:rPr>
          <w:rFonts w:cs="Arial"/>
        </w:rPr>
      </w:pPr>
      <w:r w:rsidRPr="00540C15">
        <w:rPr>
          <w:rFonts w:cs="Arial"/>
        </w:rPr>
        <w:t>Wang, J., and Guo, X.</w:t>
      </w:r>
      <w:r w:rsidR="00540C15">
        <w:rPr>
          <w:rFonts w:cs="Arial"/>
        </w:rPr>
        <w:t>,</w:t>
      </w:r>
      <w:r w:rsidRPr="00540C15">
        <w:rPr>
          <w:rFonts w:cs="Arial"/>
        </w:rPr>
        <w:t xml:space="preserve"> 2020</w:t>
      </w:r>
      <w:r w:rsidR="00540C15">
        <w:rPr>
          <w:rFonts w:cs="Arial"/>
        </w:rPr>
        <w:t>.</w:t>
      </w:r>
      <w:r w:rsidRPr="00540C15">
        <w:rPr>
          <w:rFonts w:cs="Arial"/>
        </w:rPr>
        <w:t xml:space="preserve"> Adsorption isotherm models: classification, physical meaning,</w:t>
      </w:r>
      <w:r w:rsidR="0087498B" w:rsidRPr="00540C15">
        <w:rPr>
          <w:rFonts w:cs="Arial"/>
        </w:rPr>
        <w:t xml:space="preserve"> </w:t>
      </w:r>
      <w:r w:rsidRPr="00540C15">
        <w:rPr>
          <w:rFonts w:cs="Arial"/>
        </w:rPr>
        <w:t>application and solving method. Chemosphere 258, 12727.</w:t>
      </w:r>
    </w:p>
    <w:p w14:paraId="35FB3631" w14:textId="4871C07B" w:rsidR="00BC4361" w:rsidRDefault="00BC4361" w:rsidP="00BC4361">
      <w:pPr>
        <w:pStyle w:val="CETReferencetext"/>
      </w:pPr>
    </w:p>
    <w:sectPr w:rsidR="00BC4361"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6C224" w14:textId="77777777" w:rsidR="0099058B" w:rsidRDefault="0099058B" w:rsidP="004F5E36">
      <w:r>
        <w:separator/>
      </w:r>
    </w:p>
  </w:endnote>
  <w:endnote w:type="continuationSeparator" w:id="0">
    <w:p w14:paraId="6D48922F" w14:textId="77777777" w:rsidR="0099058B" w:rsidRDefault="0099058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073AA" w14:textId="77777777" w:rsidR="0099058B" w:rsidRDefault="0099058B" w:rsidP="004F5E36">
      <w:r>
        <w:separator/>
      </w:r>
    </w:p>
  </w:footnote>
  <w:footnote w:type="continuationSeparator" w:id="0">
    <w:p w14:paraId="6FB109D3" w14:textId="77777777" w:rsidR="0099058B" w:rsidRDefault="0099058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3622FD0"/>
    <w:multiLevelType w:val="hybridMultilevel"/>
    <w:tmpl w:val="A40830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3AA4EE8"/>
    <w:multiLevelType w:val="hybridMultilevel"/>
    <w:tmpl w:val="C8EE09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2"/>
  </w:num>
  <w:num w:numId="16" w16cid:durableId="1977102699">
    <w:abstractNumId w:val="21"/>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87958149">
    <w:abstractNumId w:val="20"/>
  </w:num>
  <w:num w:numId="24" w16cid:durableId="1937343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55ED"/>
    <w:rsid w:val="0003148D"/>
    <w:rsid w:val="00031EEC"/>
    <w:rsid w:val="00051566"/>
    <w:rsid w:val="000562A9"/>
    <w:rsid w:val="00060C4B"/>
    <w:rsid w:val="00062A9A"/>
    <w:rsid w:val="00065058"/>
    <w:rsid w:val="000742A9"/>
    <w:rsid w:val="00086C39"/>
    <w:rsid w:val="000A03B2"/>
    <w:rsid w:val="000C5A66"/>
    <w:rsid w:val="000D0268"/>
    <w:rsid w:val="000D34BE"/>
    <w:rsid w:val="000E0EF9"/>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A4AF7"/>
    <w:rsid w:val="001B0349"/>
    <w:rsid w:val="001B1E93"/>
    <w:rsid w:val="001B65C1"/>
    <w:rsid w:val="001C684B"/>
    <w:rsid w:val="001D07FB"/>
    <w:rsid w:val="001D0CFB"/>
    <w:rsid w:val="001D21AF"/>
    <w:rsid w:val="001D53FC"/>
    <w:rsid w:val="001E3AE5"/>
    <w:rsid w:val="001F42A5"/>
    <w:rsid w:val="001F7B9D"/>
    <w:rsid w:val="00201C93"/>
    <w:rsid w:val="002224B4"/>
    <w:rsid w:val="002447EF"/>
    <w:rsid w:val="00251550"/>
    <w:rsid w:val="00263B05"/>
    <w:rsid w:val="0027221A"/>
    <w:rsid w:val="00275B61"/>
    <w:rsid w:val="00280FAF"/>
    <w:rsid w:val="00282656"/>
    <w:rsid w:val="00296B83"/>
    <w:rsid w:val="002B4015"/>
    <w:rsid w:val="002B78CE"/>
    <w:rsid w:val="002C2FB6"/>
    <w:rsid w:val="002E5FA7"/>
    <w:rsid w:val="002F3309"/>
    <w:rsid w:val="003008CE"/>
    <w:rsid w:val="003009B7"/>
    <w:rsid w:val="00300E56"/>
    <w:rsid w:val="0030152C"/>
    <w:rsid w:val="0030469C"/>
    <w:rsid w:val="00321CA6"/>
    <w:rsid w:val="00323763"/>
    <w:rsid w:val="00323C5F"/>
    <w:rsid w:val="00334C09"/>
    <w:rsid w:val="003723D4"/>
    <w:rsid w:val="00381905"/>
    <w:rsid w:val="00384CC8"/>
    <w:rsid w:val="003871FD"/>
    <w:rsid w:val="00394919"/>
    <w:rsid w:val="003A1E30"/>
    <w:rsid w:val="003A2829"/>
    <w:rsid w:val="003A6FC6"/>
    <w:rsid w:val="003A7D1C"/>
    <w:rsid w:val="003B304B"/>
    <w:rsid w:val="003B3146"/>
    <w:rsid w:val="003D7884"/>
    <w:rsid w:val="003F015E"/>
    <w:rsid w:val="00400414"/>
    <w:rsid w:val="0041239E"/>
    <w:rsid w:val="0041446B"/>
    <w:rsid w:val="0044071E"/>
    <w:rsid w:val="0044329C"/>
    <w:rsid w:val="00453E24"/>
    <w:rsid w:val="00457456"/>
    <w:rsid w:val="004577FE"/>
    <w:rsid w:val="00457B9C"/>
    <w:rsid w:val="0046164A"/>
    <w:rsid w:val="004628D2"/>
    <w:rsid w:val="00462DCD"/>
    <w:rsid w:val="00463680"/>
    <w:rsid w:val="0046384D"/>
    <w:rsid w:val="004648AD"/>
    <w:rsid w:val="00466116"/>
    <w:rsid w:val="004703A9"/>
    <w:rsid w:val="004760DE"/>
    <w:rsid w:val="004763D7"/>
    <w:rsid w:val="00481CAD"/>
    <w:rsid w:val="004A004E"/>
    <w:rsid w:val="004A24CF"/>
    <w:rsid w:val="004B6466"/>
    <w:rsid w:val="004C3D1D"/>
    <w:rsid w:val="004C3D84"/>
    <w:rsid w:val="004C7913"/>
    <w:rsid w:val="004E4DD6"/>
    <w:rsid w:val="004F5E36"/>
    <w:rsid w:val="00507B47"/>
    <w:rsid w:val="00507BEF"/>
    <w:rsid w:val="00507CC9"/>
    <w:rsid w:val="005119A5"/>
    <w:rsid w:val="00513095"/>
    <w:rsid w:val="00516AAC"/>
    <w:rsid w:val="0052125D"/>
    <w:rsid w:val="005278B7"/>
    <w:rsid w:val="00532016"/>
    <w:rsid w:val="005346C8"/>
    <w:rsid w:val="00540C15"/>
    <w:rsid w:val="00543E7D"/>
    <w:rsid w:val="00543F00"/>
    <w:rsid w:val="00547A68"/>
    <w:rsid w:val="005531C9"/>
    <w:rsid w:val="00570C43"/>
    <w:rsid w:val="005B0964"/>
    <w:rsid w:val="005B2110"/>
    <w:rsid w:val="005B61E6"/>
    <w:rsid w:val="005C08AF"/>
    <w:rsid w:val="005C77E1"/>
    <w:rsid w:val="005D398C"/>
    <w:rsid w:val="005D668A"/>
    <w:rsid w:val="005D6A2F"/>
    <w:rsid w:val="005E1A82"/>
    <w:rsid w:val="005E794C"/>
    <w:rsid w:val="005E7C48"/>
    <w:rsid w:val="005F0A28"/>
    <w:rsid w:val="005F0E5E"/>
    <w:rsid w:val="00600535"/>
    <w:rsid w:val="00603D70"/>
    <w:rsid w:val="00610CD6"/>
    <w:rsid w:val="00620DEE"/>
    <w:rsid w:val="00621F92"/>
    <w:rsid w:val="0062280A"/>
    <w:rsid w:val="00625639"/>
    <w:rsid w:val="00631B33"/>
    <w:rsid w:val="0064184D"/>
    <w:rsid w:val="006422CC"/>
    <w:rsid w:val="00645677"/>
    <w:rsid w:val="00660E3E"/>
    <w:rsid w:val="00662E74"/>
    <w:rsid w:val="00680C23"/>
    <w:rsid w:val="006841FA"/>
    <w:rsid w:val="00693766"/>
    <w:rsid w:val="006A3281"/>
    <w:rsid w:val="006B4888"/>
    <w:rsid w:val="006C185D"/>
    <w:rsid w:val="006C2E45"/>
    <w:rsid w:val="006C359C"/>
    <w:rsid w:val="006C5579"/>
    <w:rsid w:val="006D5290"/>
    <w:rsid w:val="006D6E8B"/>
    <w:rsid w:val="006E737D"/>
    <w:rsid w:val="00713973"/>
    <w:rsid w:val="00720A24"/>
    <w:rsid w:val="00732386"/>
    <w:rsid w:val="0073514D"/>
    <w:rsid w:val="007447F3"/>
    <w:rsid w:val="0075499F"/>
    <w:rsid w:val="007661C8"/>
    <w:rsid w:val="0077098D"/>
    <w:rsid w:val="007931FA"/>
    <w:rsid w:val="007A4861"/>
    <w:rsid w:val="007A7BBA"/>
    <w:rsid w:val="007B0C50"/>
    <w:rsid w:val="007B48F9"/>
    <w:rsid w:val="007C1A43"/>
    <w:rsid w:val="007D0951"/>
    <w:rsid w:val="0080013E"/>
    <w:rsid w:val="00813288"/>
    <w:rsid w:val="008168FC"/>
    <w:rsid w:val="00830996"/>
    <w:rsid w:val="008345F1"/>
    <w:rsid w:val="0085609B"/>
    <w:rsid w:val="00865B07"/>
    <w:rsid w:val="008667EA"/>
    <w:rsid w:val="0087498B"/>
    <w:rsid w:val="0087637F"/>
    <w:rsid w:val="00892AD5"/>
    <w:rsid w:val="008A1512"/>
    <w:rsid w:val="008B7C03"/>
    <w:rsid w:val="008D15E3"/>
    <w:rsid w:val="008D32B9"/>
    <w:rsid w:val="008D433B"/>
    <w:rsid w:val="008D4A16"/>
    <w:rsid w:val="008D6E9D"/>
    <w:rsid w:val="008E566E"/>
    <w:rsid w:val="0090161A"/>
    <w:rsid w:val="00901EB6"/>
    <w:rsid w:val="00904C62"/>
    <w:rsid w:val="009228C3"/>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9058B"/>
    <w:rsid w:val="00993B84"/>
    <w:rsid w:val="00996483"/>
    <w:rsid w:val="00996F5A"/>
    <w:rsid w:val="009A3B59"/>
    <w:rsid w:val="009B041A"/>
    <w:rsid w:val="009B30F8"/>
    <w:rsid w:val="009C37C3"/>
    <w:rsid w:val="009C7C86"/>
    <w:rsid w:val="009D2FF7"/>
    <w:rsid w:val="009E0C10"/>
    <w:rsid w:val="009E7884"/>
    <w:rsid w:val="009E788A"/>
    <w:rsid w:val="009F0E08"/>
    <w:rsid w:val="00A1763D"/>
    <w:rsid w:val="00A17CEC"/>
    <w:rsid w:val="00A27EF0"/>
    <w:rsid w:val="00A42361"/>
    <w:rsid w:val="00A457CF"/>
    <w:rsid w:val="00A50B20"/>
    <w:rsid w:val="00A51390"/>
    <w:rsid w:val="00A60D13"/>
    <w:rsid w:val="00A7223D"/>
    <w:rsid w:val="00A72745"/>
    <w:rsid w:val="00A76EFC"/>
    <w:rsid w:val="00A87D50"/>
    <w:rsid w:val="00A91010"/>
    <w:rsid w:val="00A97E03"/>
    <w:rsid w:val="00A97F29"/>
    <w:rsid w:val="00AA702E"/>
    <w:rsid w:val="00AA7D26"/>
    <w:rsid w:val="00AB0964"/>
    <w:rsid w:val="00AB5011"/>
    <w:rsid w:val="00AC7368"/>
    <w:rsid w:val="00AD16B9"/>
    <w:rsid w:val="00AE377D"/>
    <w:rsid w:val="00AF0EBA"/>
    <w:rsid w:val="00B02C8A"/>
    <w:rsid w:val="00B1727F"/>
    <w:rsid w:val="00B17FBD"/>
    <w:rsid w:val="00B24A55"/>
    <w:rsid w:val="00B25584"/>
    <w:rsid w:val="00B315A6"/>
    <w:rsid w:val="00B31813"/>
    <w:rsid w:val="00B33365"/>
    <w:rsid w:val="00B57B36"/>
    <w:rsid w:val="00B57E6F"/>
    <w:rsid w:val="00B81CFC"/>
    <w:rsid w:val="00B82C38"/>
    <w:rsid w:val="00B8686D"/>
    <w:rsid w:val="00B93F69"/>
    <w:rsid w:val="00BB1DDC"/>
    <w:rsid w:val="00BC30C9"/>
    <w:rsid w:val="00BC4361"/>
    <w:rsid w:val="00BD077D"/>
    <w:rsid w:val="00BE3E58"/>
    <w:rsid w:val="00BF3C5A"/>
    <w:rsid w:val="00C01616"/>
    <w:rsid w:val="00C0162B"/>
    <w:rsid w:val="00C068ED"/>
    <w:rsid w:val="00C22E0C"/>
    <w:rsid w:val="00C33FF8"/>
    <w:rsid w:val="00C345B1"/>
    <w:rsid w:val="00C40142"/>
    <w:rsid w:val="00C52C3C"/>
    <w:rsid w:val="00C57182"/>
    <w:rsid w:val="00C57863"/>
    <w:rsid w:val="00C640AF"/>
    <w:rsid w:val="00C655FD"/>
    <w:rsid w:val="00C663B1"/>
    <w:rsid w:val="00C75407"/>
    <w:rsid w:val="00C870A8"/>
    <w:rsid w:val="00C94434"/>
    <w:rsid w:val="00CA0D4A"/>
    <w:rsid w:val="00CA0D75"/>
    <w:rsid w:val="00CA1C95"/>
    <w:rsid w:val="00CA5A9C"/>
    <w:rsid w:val="00CB3995"/>
    <w:rsid w:val="00CC4C20"/>
    <w:rsid w:val="00CD3517"/>
    <w:rsid w:val="00CD5FE2"/>
    <w:rsid w:val="00CE7C68"/>
    <w:rsid w:val="00CF6CA0"/>
    <w:rsid w:val="00CF7DBC"/>
    <w:rsid w:val="00D02B4C"/>
    <w:rsid w:val="00D040C4"/>
    <w:rsid w:val="00D20AD1"/>
    <w:rsid w:val="00D46B7E"/>
    <w:rsid w:val="00D57C84"/>
    <w:rsid w:val="00D6057D"/>
    <w:rsid w:val="00D648EC"/>
    <w:rsid w:val="00D71640"/>
    <w:rsid w:val="00D7585D"/>
    <w:rsid w:val="00D836C5"/>
    <w:rsid w:val="00D84576"/>
    <w:rsid w:val="00DA1399"/>
    <w:rsid w:val="00DA24C6"/>
    <w:rsid w:val="00DA4D7B"/>
    <w:rsid w:val="00DB52CB"/>
    <w:rsid w:val="00DC4F2D"/>
    <w:rsid w:val="00DD271C"/>
    <w:rsid w:val="00DE264A"/>
    <w:rsid w:val="00DF5072"/>
    <w:rsid w:val="00E02D18"/>
    <w:rsid w:val="00E03D3F"/>
    <w:rsid w:val="00E041E7"/>
    <w:rsid w:val="00E139DD"/>
    <w:rsid w:val="00E20FFE"/>
    <w:rsid w:val="00E23CA1"/>
    <w:rsid w:val="00E25205"/>
    <w:rsid w:val="00E33DD7"/>
    <w:rsid w:val="00E409A8"/>
    <w:rsid w:val="00E50C12"/>
    <w:rsid w:val="00E65B91"/>
    <w:rsid w:val="00E7209D"/>
    <w:rsid w:val="00E72EAD"/>
    <w:rsid w:val="00E7457B"/>
    <w:rsid w:val="00E77223"/>
    <w:rsid w:val="00E82092"/>
    <w:rsid w:val="00E8528B"/>
    <w:rsid w:val="00E852E0"/>
    <w:rsid w:val="00E85B94"/>
    <w:rsid w:val="00E978D0"/>
    <w:rsid w:val="00EA4613"/>
    <w:rsid w:val="00EA7F91"/>
    <w:rsid w:val="00EB1523"/>
    <w:rsid w:val="00EC0E49"/>
    <w:rsid w:val="00EC101F"/>
    <w:rsid w:val="00EC1D9F"/>
    <w:rsid w:val="00EE0131"/>
    <w:rsid w:val="00EE17B0"/>
    <w:rsid w:val="00EF06D9"/>
    <w:rsid w:val="00EF112A"/>
    <w:rsid w:val="00F3049E"/>
    <w:rsid w:val="00F30C64"/>
    <w:rsid w:val="00F32BA2"/>
    <w:rsid w:val="00F32CDB"/>
    <w:rsid w:val="00F55B07"/>
    <w:rsid w:val="00F565FE"/>
    <w:rsid w:val="00F63A70"/>
    <w:rsid w:val="00F63D8C"/>
    <w:rsid w:val="00F73D3B"/>
    <w:rsid w:val="00F7534E"/>
    <w:rsid w:val="00F75D26"/>
    <w:rsid w:val="00F93EDF"/>
    <w:rsid w:val="00F94545"/>
    <w:rsid w:val="00FA1802"/>
    <w:rsid w:val="00FA21D0"/>
    <w:rsid w:val="00FA5F5F"/>
    <w:rsid w:val="00FB40C1"/>
    <w:rsid w:val="00FB730C"/>
    <w:rsid w:val="00FC148B"/>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PlaceholderText">
    <w:name w:val="Placeholder Text"/>
    <w:basedOn w:val="DefaultParagraphFont"/>
    <w:uiPriority w:val="99"/>
    <w:semiHidden/>
    <w:rsid w:val="00E82092"/>
    <w:rPr>
      <w:color w:val="808080"/>
    </w:rPr>
  </w:style>
  <w:style w:type="character" w:styleId="UnresolvedMention">
    <w:name w:val="Unresolved Mention"/>
    <w:basedOn w:val="DefaultParagraphFont"/>
    <w:uiPriority w:val="99"/>
    <w:semiHidden/>
    <w:unhideWhenUsed/>
    <w:rsid w:val="008D6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6</Pages>
  <Words>2490</Words>
  <Characters>14196</Characters>
  <Application>Microsoft Office Word</Application>
  <DocSecurity>0</DocSecurity>
  <Lines>118</Lines>
  <Paragraphs>33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Patrick Kpai</cp:lastModifiedBy>
  <cp:revision>44</cp:revision>
  <cp:lastPrinted>2015-05-12T18:31:00Z</cp:lastPrinted>
  <dcterms:created xsi:type="dcterms:W3CDTF">2022-09-21T08:52:00Z</dcterms:created>
  <dcterms:modified xsi:type="dcterms:W3CDTF">2023-05-06T20:40:00Z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