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2351A"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272AA8" w:rsidRDefault="000D0268" w:rsidP="00CD5FE2">
            <w:pPr>
              <w:spacing w:line="140" w:lineRule="atLeast"/>
              <w:jc w:val="right"/>
              <w:rPr>
                <w:rFonts w:cs="Arial"/>
                <w:sz w:val="13"/>
                <w:szCs w:val="13"/>
              </w:rPr>
            </w:pPr>
            <w:r w:rsidRPr="00272AA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3EBF9A0" w:rsidR="00E978D0" w:rsidRPr="00B57B36" w:rsidRDefault="00EB2B6A" w:rsidP="00E978D0">
      <w:pPr>
        <w:pStyle w:val="CETTitle"/>
      </w:pPr>
      <w:bookmarkStart w:id="0" w:name="_Hlk127457674"/>
      <w:r w:rsidRPr="00EB2B6A">
        <w:t xml:space="preserve">Safety of </w:t>
      </w:r>
      <w:r w:rsidR="0073163D">
        <w:t>L</w:t>
      </w:r>
      <w:r w:rsidRPr="00EB2B6A">
        <w:t xml:space="preserve">iquid and </w:t>
      </w:r>
      <w:r w:rsidR="0073163D">
        <w:t>C</w:t>
      </w:r>
      <w:r w:rsidR="0073163D" w:rsidRPr="00EB2B6A">
        <w:t>ryo</w:t>
      </w:r>
      <w:r w:rsidRPr="00EB2B6A">
        <w:t>-</w:t>
      </w:r>
      <w:r w:rsidR="0073163D">
        <w:t>C</w:t>
      </w:r>
      <w:r w:rsidR="0073163D" w:rsidRPr="00EB2B6A">
        <w:t xml:space="preserve">ompressed </w:t>
      </w:r>
      <w:r w:rsidR="0073163D">
        <w:t>H</w:t>
      </w:r>
      <w:r w:rsidR="0073163D" w:rsidRPr="00EB2B6A">
        <w:t>ydrogen</w:t>
      </w:r>
      <w:r w:rsidRPr="00EB2B6A">
        <w:t xml:space="preserve">: </w:t>
      </w:r>
      <w:r w:rsidR="0073163D">
        <w:t>O</w:t>
      </w:r>
      <w:r w:rsidRPr="00EB2B6A">
        <w:t xml:space="preserve">verview of </w:t>
      </w:r>
      <w:r w:rsidR="0073163D">
        <w:t>P</w:t>
      </w:r>
      <w:r w:rsidR="0073163D" w:rsidRPr="00EB2B6A">
        <w:t xml:space="preserve">hysical </w:t>
      </w:r>
      <w:r w:rsidRPr="00EB2B6A">
        <w:t xml:space="preserve">and CFD </w:t>
      </w:r>
      <w:r w:rsidR="0073163D">
        <w:t>M</w:t>
      </w:r>
      <w:r w:rsidR="0073163D" w:rsidRPr="00EB2B6A">
        <w:t xml:space="preserve">odels </w:t>
      </w:r>
      <w:r w:rsidR="0073163D">
        <w:t>D</w:t>
      </w:r>
      <w:r w:rsidRPr="00EB2B6A">
        <w:t>eveloped at Ulster University</w:t>
      </w:r>
    </w:p>
    <w:bookmarkEnd w:id="0"/>
    <w:p w14:paraId="0488FED2" w14:textId="4FC30BA7" w:rsidR="00B57E6F" w:rsidRPr="00AD5646" w:rsidRDefault="00C05E20" w:rsidP="00B57E6F">
      <w:pPr>
        <w:pStyle w:val="CETAuthors"/>
        <w:rPr>
          <w:lang w:val="it-IT"/>
        </w:rPr>
      </w:pPr>
      <w:r w:rsidRPr="00AD5646">
        <w:rPr>
          <w:lang w:val="it-IT"/>
        </w:rPr>
        <w:t>Donatella Cirrone</w:t>
      </w:r>
      <w:r w:rsidR="00B57E6F" w:rsidRPr="00AD5646">
        <w:rPr>
          <w:lang w:val="it-IT"/>
        </w:rPr>
        <w:t>*,</w:t>
      </w:r>
      <w:r w:rsidRPr="00AD5646">
        <w:rPr>
          <w:lang w:val="it-IT"/>
        </w:rPr>
        <w:t xml:space="preserve"> Dmitriy Makarov, Vladimir Molkov</w:t>
      </w:r>
      <w:r w:rsidR="00B57E6F" w:rsidRPr="00AD5646">
        <w:rPr>
          <w:lang w:val="it-IT"/>
        </w:rPr>
        <w:t xml:space="preserve"> </w:t>
      </w:r>
    </w:p>
    <w:p w14:paraId="6B2D21B3" w14:textId="63148932" w:rsidR="00B57E6F" w:rsidRPr="00B57B36" w:rsidRDefault="002079E6" w:rsidP="00B57E6F">
      <w:pPr>
        <w:pStyle w:val="CETAddress"/>
      </w:pPr>
      <w:r w:rsidRPr="002079E6">
        <w:t>Hydrogen Safety Engineering and Research Centre (HySAFER), Ulster University, Jordanstown, BT37 0QB, Northern Ireland, UK</w:t>
      </w:r>
    </w:p>
    <w:p w14:paraId="73F1267A" w14:textId="2195FB03" w:rsidR="00B57E6F" w:rsidRPr="00B57B36" w:rsidRDefault="00180F45" w:rsidP="00B57E6F">
      <w:pPr>
        <w:pStyle w:val="CETemail"/>
      </w:pPr>
      <w:hyperlink r:id="rId10" w:history="1">
        <w:r w:rsidR="002079E6" w:rsidRPr="00591332">
          <w:rPr>
            <w:rStyle w:val="Hyperlink"/>
          </w:rPr>
          <w:t>d.cirrone@ulster.ac.uk</w:t>
        </w:r>
      </w:hyperlink>
      <w:r w:rsidR="002079E6">
        <w:t xml:space="preserve"> </w:t>
      </w:r>
    </w:p>
    <w:p w14:paraId="61D3635F" w14:textId="2127C093" w:rsidR="00410E08" w:rsidRPr="00B57B36" w:rsidRDefault="00410E08" w:rsidP="00600535">
      <w:pPr>
        <w:pStyle w:val="CETBodytext"/>
        <w:rPr>
          <w:lang w:val="en-GB"/>
        </w:rPr>
      </w:pPr>
      <w:r w:rsidRPr="00410E08">
        <w:rPr>
          <w:lang w:val="en-GB"/>
        </w:rPr>
        <w:t>Transport and storage of liquid hydrogen (LH</w:t>
      </w:r>
      <w:r w:rsidRPr="002576AE">
        <w:rPr>
          <w:vertAlign w:val="subscript"/>
          <w:lang w:val="en-GB"/>
        </w:rPr>
        <w:t>2</w:t>
      </w:r>
      <w:r w:rsidRPr="00410E08">
        <w:rPr>
          <w:lang w:val="en-GB"/>
        </w:rPr>
        <w:t xml:space="preserve">) is currently the most attractive option for scaling up the hydrogen supply infrastructure. Hazards and associated risks for compressed gaseous hydrogen applications are relatively well investigated, yet there is less understanding of the hazards </w:t>
      </w:r>
      <w:r w:rsidR="0062351A">
        <w:rPr>
          <w:lang w:val="en-GB"/>
        </w:rPr>
        <w:t xml:space="preserve">and associated risks </w:t>
      </w:r>
      <w:r w:rsidRPr="00410E08">
        <w:rPr>
          <w:lang w:val="en-GB"/>
        </w:rPr>
        <w:t>for cryogenic hydrogen, including LH</w:t>
      </w:r>
      <w:r w:rsidRPr="002576AE">
        <w:rPr>
          <w:vertAlign w:val="subscript"/>
          <w:lang w:val="en-GB"/>
        </w:rPr>
        <w:t>2</w:t>
      </w:r>
      <w:r w:rsidRPr="00410E08">
        <w:rPr>
          <w:lang w:val="en-GB"/>
        </w:rPr>
        <w:t>. Validated models and tools are needed for hydrogen safety engineering of LH</w:t>
      </w:r>
      <w:r w:rsidRPr="00C635E2">
        <w:rPr>
          <w:vertAlign w:val="subscript"/>
          <w:lang w:val="en-GB"/>
        </w:rPr>
        <w:t>2</w:t>
      </w:r>
      <w:r w:rsidRPr="00410E08">
        <w:rPr>
          <w:lang w:val="en-GB"/>
        </w:rPr>
        <w:t xml:space="preserve"> systems and infrastructure. This paper presents an overview of models developed and validated </w:t>
      </w:r>
      <w:r w:rsidR="0062351A">
        <w:rPr>
          <w:lang w:val="en-GB"/>
        </w:rPr>
        <w:t xml:space="preserve">at </w:t>
      </w:r>
      <w:proofErr w:type="spellStart"/>
      <w:r w:rsidR="0062351A">
        <w:rPr>
          <w:lang w:val="en-GB"/>
        </w:rPr>
        <w:t>HySAFER</w:t>
      </w:r>
      <w:proofErr w:type="spellEnd"/>
      <w:r w:rsidR="0062351A">
        <w:rPr>
          <w:lang w:val="en-GB"/>
        </w:rPr>
        <w:t xml:space="preserve"> Centre of Ulster University</w:t>
      </w:r>
      <w:r w:rsidRPr="00410E08">
        <w:rPr>
          <w:lang w:val="en-GB"/>
        </w:rPr>
        <w:t>, including within the PRESLHY project</w:t>
      </w:r>
      <w:r w:rsidR="0062351A">
        <w:rPr>
          <w:lang w:val="en-GB"/>
        </w:rPr>
        <w:t>. These include models for</w:t>
      </w:r>
      <w:r w:rsidRPr="00410E08">
        <w:rPr>
          <w:lang w:val="en-GB"/>
        </w:rPr>
        <w:t xml:space="preserve"> assess</w:t>
      </w:r>
      <w:r w:rsidR="0062351A">
        <w:rPr>
          <w:lang w:val="en-GB"/>
        </w:rPr>
        <w:t>ment</w:t>
      </w:r>
      <w:r w:rsidRPr="00410E08">
        <w:rPr>
          <w:lang w:val="en-GB"/>
        </w:rPr>
        <w:t xml:space="preserve"> </w:t>
      </w:r>
      <w:r w:rsidR="0062351A">
        <w:rPr>
          <w:lang w:val="en-GB"/>
        </w:rPr>
        <w:t>of hazard</w:t>
      </w:r>
      <w:r w:rsidRPr="00410E08">
        <w:rPr>
          <w:lang w:val="en-GB"/>
        </w:rPr>
        <w:t xml:space="preserve"> distances </w:t>
      </w:r>
      <w:r w:rsidR="00A00A41">
        <w:rPr>
          <w:lang w:val="en-GB"/>
        </w:rPr>
        <w:t xml:space="preserve">for </w:t>
      </w:r>
      <w:r w:rsidRPr="00410E08">
        <w:rPr>
          <w:lang w:val="en-GB"/>
        </w:rPr>
        <w:t xml:space="preserve">incident scenarios. Experimental data have been used to validate </w:t>
      </w:r>
      <w:r w:rsidR="0062351A">
        <w:rPr>
          <w:lang w:val="en-GB"/>
        </w:rPr>
        <w:t>the contemporary CFD</w:t>
      </w:r>
      <w:r w:rsidR="0062351A" w:rsidRPr="00410E08">
        <w:rPr>
          <w:lang w:val="en-GB"/>
        </w:rPr>
        <w:t xml:space="preserve"> </w:t>
      </w:r>
      <w:r w:rsidRPr="00410E08">
        <w:rPr>
          <w:lang w:val="en-GB"/>
        </w:rPr>
        <w:t>models and build new correlations</w:t>
      </w:r>
      <w:r w:rsidR="0062351A">
        <w:rPr>
          <w:lang w:val="en-GB"/>
        </w:rPr>
        <w:t xml:space="preserve"> </w:t>
      </w:r>
      <w:r w:rsidR="00381175">
        <w:rPr>
          <w:lang w:val="en-GB"/>
        </w:rPr>
        <w:t>or reduced models</w:t>
      </w:r>
      <w:r w:rsidRPr="00410E08">
        <w:rPr>
          <w:lang w:val="en-GB"/>
        </w:rPr>
        <w:t xml:space="preserve">. The analysed phenomena and relevant models are generally separated into three </w:t>
      </w:r>
      <w:r w:rsidR="00381175">
        <w:rPr>
          <w:lang w:val="en-GB"/>
        </w:rPr>
        <w:t xml:space="preserve">main </w:t>
      </w:r>
      <w:r w:rsidRPr="00410E08">
        <w:rPr>
          <w:lang w:val="en-GB"/>
        </w:rPr>
        <w:t xml:space="preserve">pillars to assess consequences of </w:t>
      </w:r>
      <w:r w:rsidR="00381175">
        <w:rPr>
          <w:lang w:val="en-GB"/>
        </w:rPr>
        <w:t xml:space="preserve">incidents involving </w:t>
      </w:r>
      <w:r w:rsidRPr="00410E08">
        <w:rPr>
          <w:lang w:val="en-GB"/>
        </w:rPr>
        <w:t xml:space="preserve">hydrogen: release and dispersion, ignition, and combustion. The developed </w:t>
      </w:r>
      <w:r w:rsidR="00381175">
        <w:rPr>
          <w:lang w:val="en-GB"/>
        </w:rPr>
        <w:t xml:space="preserve">and presented </w:t>
      </w:r>
      <w:r w:rsidRPr="00410E08">
        <w:rPr>
          <w:lang w:val="en-GB"/>
        </w:rPr>
        <w:t xml:space="preserve">models are interconnected and can be used synergistically to provide a unified approach to the assessment of consequences of selected incident scenarios </w:t>
      </w:r>
      <w:r w:rsidR="00381175">
        <w:rPr>
          <w:lang w:val="en-GB"/>
        </w:rPr>
        <w:t>with LH</w:t>
      </w:r>
      <w:r w:rsidR="00381175" w:rsidRPr="00EF5BD2">
        <w:rPr>
          <w:vertAlign w:val="subscript"/>
          <w:lang w:val="en-GB"/>
        </w:rPr>
        <w:t>2</w:t>
      </w:r>
      <w:r w:rsidR="00381175">
        <w:rPr>
          <w:lang w:val="en-GB"/>
        </w:rPr>
        <w:t xml:space="preserve"> </w:t>
      </w:r>
      <w:r w:rsidRPr="00410E08">
        <w:rPr>
          <w:lang w:val="en-GB"/>
        </w:rPr>
        <w:t>starting from an initiating event.</w:t>
      </w:r>
      <w:r w:rsidR="0005404B" w:rsidRPr="0005404B">
        <w:rPr>
          <w:lang w:val="en-GB"/>
        </w:rPr>
        <w:t xml:space="preserve"> </w:t>
      </w:r>
      <w:r w:rsidR="0005404B" w:rsidRPr="005A40E9">
        <w:rPr>
          <w:lang w:val="en-GB"/>
        </w:rPr>
        <w:t>The</w:t>
      </w:r>
      <w:r w:rsidR="00381175">
        <w:rPr>
          <w:lang w:val="en-GB"/>
        </w:rPr>
        <w:t xml:space="preserve"> models and tools</w:t>
      </w:r>
      <w:r w:rsidR="0005404B" w:rsidRPr="005A40E9">
        <w:rPr>
          <w:lang w:val="en-GB"/>
        </w:rPr>
        <w:t xml:space="preserve"> aim to inform and underpin relevant Regulations Codes and Standards and assist stakeholders in performing hydrogen safety engineering.</w:t>
      </w:r>
    </w:p>
    <w:p w14:paraId="476B2F2E" w14:textId="77777777" w:rsidR="00600535" w:rsidRPr="00B57B36" w:rsidRDefault="00600535" w:rsidP="00600535">
      <w:pPr>
        <w:pStyle w:val="CETHeading1"/>
        <w:rPr>
          <w:lang w:val="en-GB"/>
        </w:rPr>
      </w:pPr>
      <w:r w:rsidRPr="00B57B36">
        <w:rPr>
          <w:lang w:val="en-GB"/>
        </w:rPr>
        <w:t>Introduction</w:t>
      </w:r>
    </w:p>
    <w:p w14:paraId="23F86FEF" w14:textId="591F3133" w:rsidR="00600535" w:rsidRDefault="00947557" w:rsidP="00600535">
      <w:pPr>
        <w:pStyle w:val="CETBodytext"/>
        <w:rPr>
          <w:lang w:val="en-GB"/>
        </w:rPr>
      </w:pPr>
      <w:r>
        <w:t xml:space="preserve">The scaling-up of the hydrogen supply infrastructure requires competitive techniques to store and transport large quantities of </w:t>
      </w:r>
      <w:r w:rsidR="00805869">
        <w:t>this energy carrier</w:t>
      </w:r>
      <w:r>
        <w:t>.</w:t>
      </w:r>
      <w:r w:rsidR="008978CA">
        <w:t xml:space="preserve"> </w:t>
      </w:r>
      <w:r w:rsidR="008978CA" w:rsidRPr="00410E08">
        <w:rPr>
          <w:lang w:val="en-GB"/>
        </w:rPr>
        <w:t>Transport and storage of hydrogen</w:t>
      </w:r>
      <w:r w:rsidR="004A1560">
        <w:rPr>
          <w:lang w:val="en-GB"/>
        </w:rPr>
        <w:t xml:space="preserve"> as a</w:t>
      </w:r>
      <w:r w:rsidR="008978CA" w:rsidRPr="00410E08">
        <w:rPr>
          <w:lang w:val="en-GB"/>
        </w:rPr>
        <w:t xml:space="preserve"> </w:t>
      </w:r>
      <w:r w:rsidR="004A1560" w:rsidRPr="00410E08">
        <w:rPr>
          <w:lang w:val="en-GB"/>
        </w:rPr>
        <w:t xml:space="preserve">liquid </w:t>
      </w:r>
      <w:r w:rsidR="008978CA" w:rsidRPr="00410E08">
        <w:rPr>
          <w:lang w:val="en-GB"/>
        </w:rPr>
        <w:t>(LH</w:t>
      </w:r>
      <w:r w:rsidR="008978CA" w:rsidRPr="00C635E2">
        <w:rPr>
          <w:vertAlign w:val="subscript"/>
          <w:lang w:val="en-GB"/>
        </w:rPr>
        <w:t>2</w:t>
      </w:r>
      <w:r w:rsidR="008978CA" w:rsidRPr="00410E08">
        <w:rPr>
          <w:lang w:val="en-GB"/>
        </w:rPr>
        <w:t xml:space="preserve">) is currently the most attractive </w:t>
      </w:r>
      <w:r w:rsidR="00420CAD">
        <w:rPr>
          <w:lang w:val="en-GB"/>
        </w:rPr>
        <w:t xml:space="preserve">solution to </w:t>
      </w:r>
      <w:r w:rsidR="00695ACC">
        <w:rPr>
          <w:lang w:val="en-GB"/>
        </w:rPr>
        <w:t xml:space="preserve">fulfil </w:t>
      </w:r>
      <w:r w:rsidR="00420CAD">
        <w:rPr>
          <w:lang w:val="en-GB"/>
        </w:rPr>
        <w:t xml:space="preserve">this need. </w:t>
      </w:r>
      <w:r w:rsidR="00341ACD">
        <w:t xml:space="preserve">The hazards and associated </w:t>
      </w:r>
      <w:r w:rsidR="0050415B">
        <w:t xml:space="preserve">risks of </w:t>
      </w:r>
      <w:r w:rsidR="00341ACD">
        <w:t xml:space="preserve">new </w:t>
      </w:r>
      <w:r w:rsidR="0050415B">
        <w:t>LH</w:t>
      </w:r>
      <w:r w:rsidR="0050415B" w:rsidRPr="00875859">
        <w:rPr>
          <w:vertAlign w:val="subscript"/>
        </w:rPr>
        <w:t>2</w:t>
      </w:r>
      <w:r w:rsidR="0050415B">
        <w:t xml:space="preserve"> </w:t>
      </w:r>
      <w:r w:rsidR="00341ACD">
        <w:t xml:space="preserve">applications are not </w:t>
      </w:r>
      <w:r w:rsidR="0050415B">
        <w:t xml:space="preserve">yet </w:t>
      </w:r>
      <w:r w:rsidR="00341ACD">
        <w:t xml:space="preserve">well understood in comparison with applications </w:t>
      </w:r>
      <w:r w:rsidR="0050415B">
        <w:t xml:space="preserve">of </w:t>
      </w:r>
      <w:r w:rsidR="00341ACD">
        <w:t>compressed gaseous hydrogen. T</w:t>
      </w:r>
      <w:r w:rsidR="00341ACD" w:rsidRPr="001A38E8">
        <w:t xml:space="preserve">he European project PRESLHY </w:t>
      </w:r>
      <w:r w:rsidR="0009665B" w:rsidRPr="00410E08">
        <w:rPr>
          <w:lang w:val="en-GB"/>
        </w:rPr>
        <w:t>(</w:t>
      </w:r>
      <w:r w:rsidR="0009665B" w:rsidRPr="0009665B">
        <w:rPr>
          <w:lang w:val="en-GB"/>
        </w:rPr>
        <w:t>www.preslhy.eu</w:t>
      </w:r>
      <w:r w:rsidR="0009665B" w:rsidRPr="00410E08">
        <w:rPr>
          <w:lang w:val="en-GB"/>
        </w:rPr>
        <w:t>)</w:t>
      </w:r>
      <w:r w:rsidR="0009665B">
        <w:rPr>
          <w:lang w:val="en-GB"/>
        </w:rPr>
        <w:t xml:space="preserve"> </w:t>
      </w:r>
      <w:r w:rsidR="00341ACD" w:rsidRPr="001A38E8">
        <w:t xml:space="preserve">conducted pre-normative research for </w:t>
      </w:r>
      <w:r w:rsidR="00341ACD">
        <w:t xml:space="preserve">the inherently safer use of </w:t>
      </w:r>
      <w:r w:rsidR="00341ACD" w:rsidRPr="001A38E8">
        <w:t>LH</w:t>
      </w:r>
      <w:r w:rsidR="00341ACD" w:rsidRPr="00794DFD">
        <w:rPr>
          <w:vertAlign w:val="subscript"/>
        </w:rPr>
        <w:t>2</w:t>
      </w:r>
      <w:r w:rsidR="00341ACD" w:rsidRPr="001A38E8">
        <w:t xml:space="preserve"> in non-industrial settings</w:t>
      </w:r>
      <w:r w:rsidR="00341ACD">
        <w:t xml:space="preserve">, addressing the knowledge gaps and open issues associated with </w:t>
      </w:r>
      <w:r w:rsidR="00AB3DC9">
        <w:t>behavior</w:t>
      </w:r>
      <w:r w:rsidR="00341ACD">
        <w:t xml:space="preserve"> in accidental conditions.</w:t>
      </w:r>
      <w:r w:rsidR="00ED5BE0" w:rsidRPr="00ED5BE0">
        <w:t xml:space="preserve"> The research built on extensive experimental, </w:t>
      </w:r>
      <w:proofErr w:type="gramStart"/>
      <w:r w:rsidR="00ED5BE0" w:rsidRPr="00ED5BE0">
        <w:t>theoretical</w:t>
      </w:r>
      <w:proofErr w:type="gramEnd"/>
      <w:r w:rsidR="00ED5BE0" w:rsidRPr="00ED5BE0">
        <w:t xml:space="preserve"> and numerical studies addressing LH</w:t>
      </w:r>
      <w:r w:rsidR="00ED5BE0" w:rsidRPr="00592F45">
        <w:rPr>
          <w:vertAlign w:val="subscript"/>
        </w:rPr>
        <w:t>2</w:t>
      </w:r>
      <w:r w:rsidR="00ED5BE0" w:rsidRPr="00ED5BE0">
        <w:t xml:space="preserve"> relevant phenomena: release and </w:t>
      </w:r>
      <w:r w:rsidR="000238BC">
        <w:t>dispersion</w:t>
      </w:r>
      <w:r w:rsidR="00ED5BE0" w:rsidRPr="00ED5BE0">
        <w:t xml:space="preserve">, ignition and combustion. </w:t>
      </w:r>
      <w:r w:rsidR="0050415B">
        <w:t xml:space="preserve">One of the </w:t>
      </w:r>
      <w:r w:rsidR="00793359">
        <w:t>main</w:t>
      </w:r>
      <w:r w:rsidR="00ED5BE0" w:rsidRPr="00ED5BE0">
        <w:t xml:space="preserve"> outcome</w:t>
      </w:r>
      <w:r w:rsidR="0050415B">
        <w:t>s</w:t>
      </w:r>
      <w:r w:rsidR="00ED5BE0" w:rsidRPr="00ED5BE0">
        <w:t xml:space="preserve"> </w:t>
      </w:r>
      <w:r w:rsidR="00793359">
        <w:t xml:space="preserve">of the project </w:t>
      </w:r>
      <w:r w:rsidR="00592F45">
        <w:t>was</w:t>
      </w:r>
      <w:r w:rsidR="00ED5BE0" w:rsidRPr="00ED5BE0">
        <w:t xml:space="preserve"> the development </w:t>
      </w:r>
      <w:r w:rsidR="0050415B">
        <w:t>and</w:t>
      </w:r>
      <w:r w:rsidR="0050415B" w:rsidRPr="00ED5BE0">
        <w:t xml:space="preserve"> </w:t>
      </w:r>
      <w:r w:rsidR="00ED5BE0" w:rsidRPr="00ED5BE0">
        <w:t>validat</w:t>
      </w:r>
      <w:r w:rsidR="0050415B">
        <w:t>ion of</w:t>
      </w:r>
      <w:r w:rsidR="00ED5BE0" w:rsidRPr="00ED5BE0">
        <w:t xml:space="preserve"> predictive models and tools to</w:t>
      </w:r>
      <w:r w:rsidR="00592F45" w:rsidRPr="00592F45">
        <w:rPr>
          <w:lang w:val="en-GB"/>
        </w:rPr>
        <w:t xml:space="preserve"> </w:t>
      </w:r>
      <w:r w:rsidR="00592F45" w:rsidRPr="005A40E9">
        <w:rPr>
          <w:lang w:val="en-GB"/>
        </w:rPr>
        <w:t xml:space="preserve">assess consequences of incidents </w:t>
      </w:r>
      <w:r w:rsidR="0050415B">
        <w:rPr>
          <w:lang w:val="en-GB"/>
        </w:rPr>
        <w:t>to underpin the</w:t>
      </w:r>
      <w:r w:rsidR="0050415B" w:rsidRPr="005A40E9">
        <w:rPr>
          <w:lang w:val="en-GB"/>
        </w:rPr>
        <w:t xml:space="preserve"> </w:t>
      </w:r>
      <w:r w:rsidR="00592F45" w:rsidRPr="005A40E9">
        <w:rPr>
          <w:lang w:val="en-GB"/>
        </w:rPr>
        <w:t>develop</w:t>
      </w:r>
      <w:r w:rsidR="0050415B">
        <w:rPr>
          <w:lang w:val="en-GB"/>
        </w:rPr>
        <w:t>ment of incident prevention and</w:t>
      </w:r>
      <w:r w:rsidR="00592F45" w:rsidRPr="005A40E9">
        <w:rPr>
          <w:lang w:val="en-GB"/>
        </w:rPr>
        <w:t xml:space="preserve"> mitigation strategies for LH</w:t>
      </w:r>
      <w:r w:rsidR="00592F45" w:rsidRPr="002576AE">
        <w:rPr>
          <w:vertAlign w:val="subscript"/>
          <w:lang w:val="en-GB"/>
        </w:rPr>
        <w:t>2</w:t>
      </w:r>
      <w:r w:rsidR="00592F45" w:rsidRPr="005A40E9">
        <w:rPr>
          <w:lang w:val="en-GB"/>
        </w:rPr>
        <w:t xml:space="preserve"> systems</w:t>
      </w:r>
      <w:r w:rsidR="00592F45">
        <w:t xml:space="preserve">. </w:t>
      </w:r>
      <w:r w:rsidR="00EF3B92">
        <w:t>This</w:t>
      </w:r>
      <w:r w:rsidR="00C11AA7">
        <w:t xml:space="preserve"> paper presents an overview of the physical and CFD models developed and validated </w:t>
      </w:r>
      <w:r w:rsidR="0050415B">
        <w:t xml:space="preserve">at </w:t>
      </w:r>
      <w:r w:rsidR="00C11AA7">
        <w:t>Ulster University</w:t>
      </w:r>
      <w:r w:rsidR="003B6E7F">
        <w:t xml:space="preserve"> for the three main phenomena pillars</w:t>
      </w:r>
      <w:r w:rsidR="00C11AA7">
        <w:t xml:space="preserve">. </w:t>
      </w:r>
      <w:r w:rsidR="003F488F">
        <w:t>The</w:t>
      </w:r>
      <w:r w:rsidR="00C11AA7">
        <w:t xml:space="preserve"> final </w:t>
      </w:r>
      <w:r w:rsidR="0050415B">
        <w:t xml:space="preserve">goal was </w:t>
      </w:r>
      <w:r w:rsidR="00531503">
        <w:t>to in</w:t>
      </w:r>
      <w:r w:rsidR="00592F45">
        <w:t>tegrat</w:t>
      </w:r>
      <w:r w:rsidR="00531503">
        <w:t>e</w:t>
      </w:r>
      <w:r w:rsidR="00592F45">
        <w:t xml:space="preserve"> </w:t>
      </w:r>
      <w:r w:rsidR="0050415B">
        <w:t xml:space="preserve">models to </w:t>
      </w:r>
      <w:r w:rsidR="00592F45">
        <w:t>th</w:t>
      </w:r>
      <w:r w:rsidR="00ED5BE0" w:rsidRPr="00ED5BE0">
        <w:t>e guidelines for inherently safer design of LH</w:t>
      </w:r>
      <w:r w:rsidR="00ED5BE0" w:rsidRPr="00592F45">
        <w:rPr>
          <w:vertAlign w:val="subscript"/>
        </w:rPr>
        <w:t>2</w:t>
      </w:r>
      <w:r w:rsidR="00ED5BE0" w:rsidRPr="00ED5BE0">
        <w:t xml:space="preserve"> infrastructure, </w:t>
      </w:r>
      <w:r w:rsidR="00592F45" w:rsidRPr="005A40E9">
        <w:rPr>
          <w:lang w:val="en-GB"/>
        </w:rPr>
        <w:t xml:space="preserve">inform </w:t>
      </w:r>
      <w:r w:rsidR="00EF3B92">
        <w:rPr>
          <w:lang w:val="en-GB"/>
        </w:rPr>
        <w:t>the</w:t>
      </w:r>
      <w:r w:rsidR="00592F45" w:rsidRPr="005A40E9">
        <w:rPr>
          <w:lang w:val="en-GB"/>
        </w:rPr>
        <w:t xml:space="preserve"> relevant Regulations Codes and Standards and </w:t>
      </w:r>
      <w:r w:rsidR="0050415B">
        <w:rPr>
          <w:lang w:val="en-GB"/>
        </w:rPr>
        <w:t>equip</w:t>
      </w:r>
      <w:r w:rsidR="0050415B" w:rsidRPr="005A40E9">
        <w:rPr>
          <w:lang w:val="en-GB"/>
        </w:rPr>
        <w:t xml:space="preserve"> </w:t>
      </w:r>
      <w:r w:rsidR="00592F45" w:rsidRPr="005A40E9">
        <w:rPr>
          <w:lang w:val="en-GB"/>
        </w:rPr>
        <w:t xml:space="preserve">stakeholders </w:t>
      </w:r>
      <w:r w:rsidR="000B47F0">
        <w:rPr>
          <w:lang w:val="en-GB"/>
        </w:rPr>
        <w:t xml:space="preserve">with </w:t>
      </w:r>
      <w:r w:rsidR="0050415B">
        <w:rPr>
          <w:lang w:val="en-GB"/>
        </w:rPr>
        <w:t>tools to</w:t>
      </w:r>
      <w:r w:rsidR="00592F45" w:rsidRPr="005A40E9">
        <w:rPr>
          <w:lang w:val="en-GB"/>
        </w:rPr>
        <w:t xml:space="preserve"> perform</w:t>
      </w:r>
      <w:r w:rsidR="0050415B">
        <w:rPr>
          <w:lang w:val="en-GB"/>
        </w:rPr>
        <w:t xml:space="preserve"> professionally</w:t>
      </w:r>
      <w:r w:rsidR="00592F45" w:rsidRPr="005A40E9">
        <w:rPr>
          <w:lang w:val="en-GB"/>
        </w:rPr>
        <w:t xml:space="preserve"> hydrogen safety engineering.</w:t>
      </w:r>
    </w:p>
    <w:p w14:paraId="5741900F" w14:textId="6AC087F4" w:rsidR="00453E24" w:rsidRDefault="00AB18F8" w:rsidP="00453E24">
      <w:pPr>
        <w:pStyle w:val="CETHeading1"/>
      </w:pPr>
      <w:r>
        <w:t>Release and dispersion</w:t>
      </w:r>
    </w:p>
    <w:p w14:paraId="0636B784" w14:textId="4840E1FE" w:rsidR="00453E24" w:rsidRDefault="00B07245" w:rsidP="00453E24">
      <w:pPr>
        <w:pStyle w:val="CETheadingx"/>
      </w:pPr>
      <w:r>
        <w:t xml:space="preserve">Release source modelling for steady state and transient </w:t>
      </w:r>
      <w:r w:rsidR="00817191">
        <w:t>releases</w:t>
      </w:r>
    </w:p>
    <w:p w14:paraId="34A7BE72" w14:textId="4A8E7937" w:rsidR="00F92A9F" w:rsidRDefault="00D42418" w:rsidP="00FA1DBD">
      <w:pPr>
        <w:pStyle w:val="CETBodytext"/>
        <w:tabs>
          <w:tab w:val="left" w:pos="1985"/>
        </w:tabs>
      </w:pPr>
      <w:r>
        <w:t xml:space="preserve">Cryo-compressed hydrogen </w:t>
      </w:r>
      <w:r w:rsidR="00B528D2">
        <w:t xml:space="preserve">is generally stored at </w:t>
      </w:r>
      <w:proofErr w:type="gramStart"/>
      <w:r w:rsidR="00B528D2">
        <w:t>pressure</w:t>
      </w:r>
      <w:proofErr w:type="gramEnd"/>
      <w:r w:rsidR="00B528D2">
        <w:t xml:space="preserve"> up to 35 MPa.</w:t>
      </w:r>
      <w:r w:rsidR="00A86580">
        <w:t xml:space="preserve"> </w:t>
      </w:r>
      <w:r w:rsidR="00C36601">
        <w:t>In the case of a release</w:t>
      </w:r>
      <w:r w:rsidR="00E76DC3">
        <w:t>,</w:t>
      </w:r>
      <w:r w:rsidR="00791FBF">
        <w:t xml:space="preserve"> </w:t>
      </w:r>
      <w:r w:rsidR="00546E72" w:rsidRPr="00684357">
        <w:t xml:space="preserve">an under-expanded jet is </w:t>
      </w:r>
      <w:r w:rsidR="0050415B">
        <w:t>created</w:t>
      </w:r>
      <w:r w:rsidR="0050415B" w:rsidRPr="008F76A6">
        <w:t xml:space="preserve"> </w:t>
      </w:r>
      <w:r w:rsidR="00546E72" w:rsidRPr="008F76A6">
        <w:t>as p</w:t>
      </w:r>
      <w:r w:rsidR="00546E72" w:rsidRPr="00974A96">
        <w:t xml:space="preserve">ressure at the nozzle exit is above atmospheric. </w:t>
      </w:r>
      <w:r w:rsidR="00546E72">
        <w:t>The</w:t>
      </w:r>
      <w:r w:rsidR="00546E72" w:rsidRPr="00974A96">
        <w:t xml:space="preserve"> under-expanded jet theory </w:t>
      </w:r>
      <w:r w:rsidR="00791FBF">
        <w:t>developed at Ulster University</w:t>
      </w:r>
      <w:r w:rsidR="00546E72" w:rsidRPr="00EF7556">
        <w:t xml:space="preserve"> calculate</w:t>
      </w:r>
      <w:r w:rsidR="00D60B19">
        <w:t>s</w:t>
      </w:r>
      <w:r w:rsidR="00546E72" w:rsidRPr="00EF7556">
        <w:t xml:space="preserve"> the </w:t>
      </w:r>
      <w:r w:rsidR="00D60B19">
        <w:t>mass flow rate and</w:t>
      </w:r>
      <w:r w:rsidR="003B72FE">
        <w:t xml:space="preserve"> the</w:t>
      </w:r>
      <w:r w:rsidR="00546E72">
        <w:t xml:space="preserve"> </w:t>
      </w:r>
      <w:r w:rsidR="00C1717C">
        <w:t xml:space="preserve">jet </w:t>
      </w:r>
      <w:r w:rsidR="00546E72">
        <w:t>parameters</w:t>
      </w:r>
      <w:r w:rsidR="00D60B19">
        <w:t xml:space="preserve"> </w:t>
      </w:r>
      <w:r w:rsidR="00546E72" w:rsidRPr="00EF7556">
        <w:t xml:space="preserve">at the </w:t>
      </w:r>
      <w:r w:rsidR="00546E72">
        <w:t xml:space="preserve">real </w:t>
      </w:r>
      <w:r w:rsidR="00546E72" w:rsidRPr="00EF7556">
        <w:t>nozzle</w:t>
      </w:r>
      <w:r w:rsidR="00546E72" w:rsidRPr="00684357">
        <w:t xml:space="preserve"> </w:t>
      </w:r>
      <w:r w:rsidR="00546E72">
        <w:t>exit</w:t>
      </w:r>
      <w:r w:rsidR="00C1717C">
        <w:t>, in particular density,</w:t>
      </w:r>
      <w:r w:rsidR="00546E72">
        <w:t xml:space="preserve"> </w:t>
      </w:r>
      <w:r w:rsidR="00546E72" w:rsidRPr="00684357">
        <w:t xml:space="preserve">required </w:t>
      </w:r>
      <w:r w:rsidR="003B72FE">
        <w:t>to</w:t>
      </w:r>
      <w:r w:rsidR="00EF398C">
        <w:t xml:space="preserve"> </w:t>
      </w:r>
      <w:r w:rsidR="009646BD">
        <w:t xml:space="preserve">calculate </w:t>
      </w:r>
      <w:r w:rsidR="00C1717C">
        <w:t xml:space="preserve">the </w:t>
      </w:r>
      <w:r w:rsidR="009646BD">
        <w:t>hazard distance</w:t>
      </w:r>
      <w:r w:rsidR="00C1717C">
        <w:t xml:space="preserve">, </w:t>
      </w:r>
      <w:proofErr w:type="gramStart"/>
      <w:r w:rsidR="00C1717C">
        <w:t>i.e.</w:t>
      </w:r>
      <w:proofErr w:type="gramEnd"/>
      <w:r w:rsidR="00C1717C">
        <w:t xml:space="preserve"> the size of flammable envelope,</w:t>
      </w:r>
      <w:r w:rsidR="0050415B">
        <w:t xml:space="preserve"> by application of the similarity law</w:t>
      </w:r>
      <w:r w:rsidR="00546E72" w:rsidRPr="00684357">
        <w:t xml:space="preserve">. </w:t>
      </w:r>
      <w:r w:rsidR="002838AD" w:rsidRPr="00974A96">
        <w:t xml:space="preserve">Release conditions are calculated </w:t>
      </w:r>
      <w:r w:rsidR="00C1717C">
        <w:t>for</w:t>
      </w:r>
      <w:r w:rsidR="00C1717C" w:rsidRPr="00974A96">
        <w:t xml:space="preserve"> </w:t>
      </w:r>
      <w:r w:rsidR="002838AD" w:rsidRPr="00974A96">
        <w:t>chocked flow at the nozzle</w:t>
      </w:r>
      <w:r w:rsidR="00C1717C">
        <w:t xml:space="preserve"> exit</w:t>
      </w:r>
      <w:r w:rsidR="002838AD" w:rsidRPr="00974A96">
        <w:t xml:space="preserve">, isentropic </w:t>
      </w:r>
      <w:proofErr w:type="gramStart"/>
      <w:r w:rsidR="002838AD" w:rsidRPr="00974A96">
        <w:t>expansion</w:t>
      </w:r>
      <w:proofErr w:type="gramEnd"/>
      <w:r w:rsidR="002838AD" w:rsidRPr="00974A96">
        <w:t xml:space="preserve"> </w:t>
      </w:r>
      <w:r w:rsidR="002838AD" w:rsidRPr="00974A96">
        <w:lastRenderedPageBreak/>
        <w:t xml:space="preserve">and conservation of energy between the stagnation </w:t>
      </w:r>
      <w:r w:rsidR="00E90406">
        <w:t>(tank)</w:t>
      </w:r>
      <w:r w:rsidR="00C1717C">
        <w:t xml:space="preserve"> </w:t>
      </w:r>
      <w:r w:rsidR="002838AD" w:rsidRPr="00974A96">
        <w:t xml:space="preserve">and release </w:t>
      </w:r>
      <w:r w:rsidR="00E90406">
        <w:t xml:space="preserve">(nozzle exit) </w:t>
      </w:r>
      <w:r w:rsidR="002838AD" w:rsidRPr="00974A96">
        <w:t xml:space="preserve">locations. </w:t>
      </w:r>
      <w:r w:rsidR="008F38D3">
        <w:t xml:space="preserve">It was observed that </w:t>
      </w:r>
      <w:r w:rsidR="00546E72" w:rsidRPr="00974A96">
        <w:t>the Abel-Noble Equation of State (</w:t>
      </w:r>
      <w:proofErr w:type="spellStart"/>
      <w:r w:rsidR="00546E72" w:rsidRPr="00974A96">
        <w:t>E</w:t>
      </w:r>
      <w:r w:rsidR="00521829">
        <w:t>o</w:t>
      </w:r>
      <w:r w:rsidR="00546E72" w:rsidRPr="00974A96">
        <w:t>S</w:t>
      </w:r>
      <w:proofErr w:type="spellEnd"/>
      <w:r w:rsidR="00546E72" w:rsidRPr="00974A96">
        <w:t>) describe</w:t>
      </w:r>
      <w:r w:rsidR="008F38D3">
        <w:t xml:space="preserve">s </w:t>
      </w:r>
      <w:r w:rsidR="009646BD">
        <w:t>well</w:t>
      </w:r>
      <w:r w:rsidR="00546E72" w:rsidRPr="00974A96">
        <w:t xml:space="preserve"> the non-ideal </w:t>
      </w:r>
      <w:proofErr w:type="spellStart"/>
      <w:r w:rsidR="00546E72" w:rsidRPr="00974A96">
        <w:t>behaviour</w:t>
      </w:r>
      <w:proofErr w:type="spellEnd"/>
      <w:r w:rsidR="00546E72" w:rsidRPr="00974A96">
        <w:t xml:space="preserve"> of the gas</w:t>
      </w:r>
      <w:r w:rsidR="00546E72">
        <w:t xml:space="preserve"> at low temperatures</w:t>
      </w:r>
      <w:r w:rsidR="008F38D3">
        <w:t xml:space="preserve"> for </w:t>
      </w:r>
      <w:r w:rsidR="00C51154">
        <w:t xml:space="preserve">storage </w:t>
      </w:r>
      <w:r w:rsidR="008F38D3">
        <w:t>pressures up to 0.6 MPa</w:t>
      </w:r>
      <w:r w:rsidR="00546E72" w:rsidRPr="00974A96">
        <w:t>.</w:t>
      </w:r>
      <w:r w:rsidR="00EE17F8">
        <w:t xml:space="preserve"> </w:t>
      </w:r>
      <w:r w:rsidR="00386053">
        <w:fldChar w:fldCharType="begin"/>
      </w:r>
      <w:r w:rsidR="00386053">
        <w:instrText xml:space="preserve"> REF _Ref127179279 \h </w:instrText>
      </w:r>
      <w:r w:rsidR="00386053">
        <w:fldChar w:fldCharType="separate"/>
      </w:r>
      <w:r w:rsidR="00386053">
        <w:t xml:space="preserve">Figure </w:t>
      </w:r>
      <w:r w:rsidR="00386053">
        <w:rPr>
          <w:noProof/>
        </w:rPr>
        <w:t>1</w:t>
      </w:r>
      <w:r w:rsidR="00386053">
        <w:fldChar w:fldCharType="end"/>
      </w:r>
      <w:r w:rsidR="004C3DF1">
        <w:t>a</w:t>
      </w:r>
      <w:r w:rsidR="00A71DCF">
        <w:t xml:space="preserve"> shows the calculated </w:t>
      </w:r>
      <w:r w:rsidR="00BF7349">
        <w:t>mass flow rate versus experimental</w:t>
      </w:r>
      <w:r w:rsidR="00265DB5">
        <w:t>ly</w:t>
      </w:r>
      <w:r w:rsidR="00BF7349">
        <w:t xml:space="preserve"> measure</w:t>
      </w:r>
      <w:r w:rsidR="00265DB5">
        <w:t xml:space="preserve">d </w:t>
      </w:r>
      <w:r w:rsidR="00E90406">
        <w:t xml:space="preserve">by </w:t>
      </w:r>
      <w:r w:rsidR="000138F6" w:rsidRPr="000138F6">
        <w:t>Panda and Hecht (2017)</w:t>
      </w:r>
      <w:r w:rsidR="000138F6">
        <w:t xml:space="preserve"> </w:t>
      </w:r>
      <w:r w:rsidR="00F051D2">
        <w:t>for releases</w:t>
      </w:r>
      <w:r w:rsidR="009D38A6" w:rsidRPr="00EF7556">
        <w:t xml:space="preserve"> </w:t>
      </w:r>
      <w:r w:rsidR="00265DB5">
        <w:t xml:space="preserve">with </w:t>
      </w:r>
      <w:r w:rsidR="009D38A6" w:rsidRPr="00EF7556">
        <w:t>temperature</w:t>
      </w:r>
      <w:r w:rsidR="00265DB5">
        <w:t xml:space="preserve"> in the range</w:t>
      </w:r>
      <w:r w:rsidR="009D38A6" w:rsidRPr="00EF7556">
        <w:t xml:space="preserve"> 37-295 K and pressure up to </w:t>
      </w:r>
      <w:r w:rsidR="00265DB5">
        <w:t>0.</w:t>
      </w:r>
      <w:r w:rsidR="009D38A6" w:rsidRPr="00EF7556">
        <w:t xml:space="preserve">6 </w:t>
      </w:r>
      <w:r w:rsidR="00265DB5">
        <w:t>MPa</w:t>
      </w:r>
      <w:r w:rsidR="002753DB">
        <w:t>.</w:t>
      </w:r>
      <w:r w:rsidR="00046A96">
        <w:t xml:space="preserve"> </w:t>
      </w:r>
      <w:r w:rsidR="00521829">
        <w:t xml:space="preserve">For </w:t>
      </w:r>
      <w:r w:rsidR="00F92A9F">
        <w:t xml:space="preserve">storage </w:t>
      </w:r>
      <w:r w:rsidR="00521829">
        <w:t>pressures</w:t>
      </w:r>
      <w:r w:rsidR="00F92A9F">
        <w:t xml:space="preserve"> higher than 0.6 MPa</w:t>
      </w:r>
      <w:r w:rsidR="00521829">
        <w:t>, t</w:t>
      </w:r>
      <w:r w:rsidR="00521829" w:rsidRPr="006B57DA">
        <w:t>he high-accuracy Helmholtz energy formulations</w:t>
      </w:r>
      <w:r w:rsidR="00250B7B">
        <w:t xml:space="preserve"> </w:t>
      </w:r>
      <w:r w:rsidR="00521829">
        <w:t xml:space="preserve">shall be </w:t>
      </w:r>
      <w:r w:rsidR="000B3869">
        <w:t>us</w:t>
      </w:r>
      <w:r w:rsidR="00521829">
        <w:t xml:space="preserve">ed for the </w:t>
      </w:r>
      <w:proofErr w:type="spellStart"/>
      <w:r w:rsidR="00521829">
        <w:t>EoS</w:t>
      </w:r>
      <w:proofErr w:type="spellEnd"/>
      <w:r w:rsidR="00521829">
        <w:t>, as implemented by the National Institute of Standards and Technology (NIST)</w:t>
      </w:r>
      <w:r w:rsidR="00521829" w:rsidRPr="006B57DA">
        <w:t xml:space="preserve">. </w:t>
      </w:r>
      <w:r w:rsidR="003E5760">
        <w:t>T</w:t>
      </w:r>
      <w:r w:rsidR="003E5760" w:rsidRPr="00DF4AB4">
        <w:t xml:space="preserve">he under-expanded jet theory and non-adiabatic blowdown model </w:t>
      </w:r>
      <w:r w:rsidR="003E5760">
        <w:t>developed previously at Ulste</w:t>
      </w:r>
      <w:r w:rsidR="002011DB">
        <w:t>r</w:t>
      </w:r>
      <w:r w:rsidR="003E5760">
        <w:t xml:space="preserve"> University </w:t>
      </w:r>
      <w:r w:rsidR="003058DC">
        <w:t>w</w:t>
      </w:r>
      <w:r w:rsidR="00250B7B">
        <w:t>ere</w:t>
      </w:r>
      <w:r w:rsidR="003058DC">
        <w:t xml:space="preserve"> further </w:t>
      </w:r>
      <w:r w:rsidR="00D416ED">
        <w:t>advanc</w:t>
      </w:r>
      <w:r w:rsidR="003058DC">
        <w:t xml:space="preserve">ed to </w:t>
      </w:r>
      <w:r w:rsidR="003E5760" w:rsidRPr="00DF4AB4">
        <w:t>account for</w:t>
      </w:r>
      <w:r w:rsidR="003058DC">
        <w:t xml:space="preserve"> the NIST </w:t>
      </w:r>
      <w:proofErr w:type="spellStart"/>
      <w:r w:rsidR="003058DC">
        <w:t>EoS</w:t>
      </w:r>
      <w:proofErr w:type="spellEnd"/>
      <w:r w:rsidR="003058DC">
        <w:t xml:space="preserve"> and</w:t>
      </w:r>
      <w:r w:rsidR="003E5760" w:rsidRPr="00DF4AB4">
        <w:t xml:space="preserve"> the strong effect of heat transfer not only through the storage tank wall but </w:t>
      </w:r>
      <w:r w:rsidR="00496185">
        <w:t xml:space="preserve">also </w:t>
      </w:r>
      <w:r w:rsidR="003E5760" w:rsidRPr="00DF4AB4">
        <w:t>through the walls of the discharge line subjected to the ambient temperature.</w:t>
      </w:r>
      <w:r w:rsidR="00DF4AB4" w:rsidRPr="00DF4AB4">
        <w:t xml:space="preserve"> The non-adiabatic blowdown model demonstrated </w:t>
      </w:r>
      <w:r w:rsidR="00250B7B">
        <w:t>to reproduce accurately the</w:t>
      </w:r>
      <w:r w:rsidR="00057C12">
        <w:t xml:space="preserve"> storage</w:t>
      </w:r>
      <w:r w:rsidR="00DF4AB4" w:rsidRPr="00DF4AB4">
        <w:t xml:space="preserve"> pressure and temperature dynamics in </w:t>
      </w:r>
      <w:r w:rsidR="00C10EDD">
        <w:t xml:space="preserve">sixteen </w:t>
      </w:r>
      <w:r w:rsidR="00927748">
        <w:t>te</w:t>
      </w:r>
      <w:r w:rsidR="00DF4AB4" w:rsidRPr="00DF4AB4">
        <w:t>s</w:t>
      </w:r>
      <w:r w:rsidR="00927748">
        <w:t>ts</w:t>
      </w:r>
      <w:r w:rsidR="00DF4AB4" w:rsidRPr="00DF4AB4">
        <w:t xml:space="preserve"> </w:t>
      </w:r>
      <w:r w:rsidR="001C096C">
        <w:t xml:space="preserve">performed within PRESLHY </w:t>
      </w:r>
      <w:r w:rsidR="0069335C">
        <w:t xml:space="preserve">project </w:t>
      </w:r>
      <w:r w:rsidR="00927748">
        <w:t>at</w:t>
      </w:r>
      <w:r w:rsidR="001C096C">
        <w:t xml:space="preserve"> </w:t>
      </w:r>
      <w:r w:rsidR="00600997">
        <w:t>initial pressure</w:t>
      </w:r>
      <w:r w:rsidR="00927748">
        <w:t xml:space="preserve"> </w:t>
      </w:r>
      <w:r w:rsidR="00600997">
        <w:t xml:space="preserve">0.5-20 MPa and temperature 80-310 K, through release nozzle diameter </w:t>
      </w:r>
      <w:r w:rsidR="00927748">
        <w:t xml:space="preserve">of </w:t>
      </w:r>
      <w:r w:rsidR="00600997">
        <w:t>0.5-4.0 mm</w:t>
      </w:r>
      <w:r w:rsidR="00057C12">
        <w:t>, as shown in</w:t>
      </w:r>
      <w:r w:rsidR="002D60F6" w:rsidRPr="002D60F6">
        <w:t xml:space="preserve"> </w:t>
      </w:r>
      <w:r w:rsidR="002D60F6">
        <w:fldChar w:fldCharType="begin"/>
      </w:r>
      <w:r w:rsidR="002D60F6">
        <w:instrText xml:space="preserve"> REF _Ref127179279 \h </w:instrText>
      </w:r>
      <w:r w:rsidR="002D60F6">
        <w:fldChar w:fldCharType="separate"/>
      </w:r>
      <w:r w:rsidR="002D60F6">
        <w:t xml:space="preserve">Figure </w:t>
      </w:r>
      <w:r w:rsidR="002D60F6">
        <w:rPr>
          <w:noProof/>
        </w:rPr>
        <w:t>1</w:t>
      </w:r>
      <w:r w:rsidR="002D60F6">
        <w:fldChar w:fldCharType="end"/>
      </w:r>
      <w:r w:rsidR="004C3DF1">
        <w:t>b-c</w:t>
      </w:r>
      <w:r w:rsidR="00057C12">
        <w:t>.</w:t>
      </w:r>
      <w:r w:rsidR="002D60F6">
        <w:t xml:space="preserve"> </w:t>
      </w:r>
    </w:p>
    <w:p w14:paraId="490CB28D" w14:textId="68572DED" w:rsidR="00F92A9F" w:rsidRDefault="00546E72" w:rsidP="00F92A9F">
      <w:pPr>
        <w:pStyle w:val="CETBodytext"/>
        <w:keepNext/>
      </w:pPr>
      <w:r w:rsidRPr="00974A96">
        <w:t xml:space="preserve"> </w:t>
      </w:r>
      <w:r w:rsidR="00B46AC0" w:rsidRPr="00B46AC0">
        <w:t xml:space="preserve"> </w:t>
      </w:r>
      <w:r w:rsidR="00B46AC0" w:rsidRPr="00B46AC0">
        <w:rPr>
          <w:noProof/>
        </w:rPr>
        <w:drawing>
          <wp:inline distT="0" distB="0" distL="0" distR="0" wp14:anchorId="24F02ECB" wp14:editId="38F194FE">
            <wp:extent cx="2039064" cy="156134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5082" cy="1573606"/>
                    </a:xfrm>
                    <a:prstGeom prst="rect">
                      <a:avLst/>
                    </a:prstGeom>
                    <a:noFill/>
                    <a:ln>
                      <a:noFill/>
                    </a:ln>
                  </pic:spPr>
                </pic:pic>
              </a:graphicData>
            </a:graphic>
          </wp:inline>
        </w:drawing>
      </w:r>
      <w:r w:rsidR="00086707">
        <w:rPr>
          <w:noProof/>
        </w:rPr>
        <w:drawing>
          <wp:inline distT="0" distB="0" distL="0" distR="0" wp14:anchorId="0F84AD41" wp14:editId="594AC99A">
            <wp:extent cx="1612800" cy="1618716"/>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2800" cy="1618716"/>
                    </a:xfrm>
                    <a:prstGeom prst="rect">
                      <a:avLst/>
                    </a:prstGeom>
                    <a:noFill/>
                  </pic:spPr>
                </pic:pic>
              </a:graphicData>
            </a:graphic>
          </wp:inline>
        </w:drawing>
      </w:r>
      <w:r w:rsidR="00D64278">
        <w:rPr>
          <w:noProof/>
        </w:rPr>
        <w:drawing>
          <wp:inline distT="0" distB="0" distL="0" distR="0" wp14:anchorId="10679F42" wp14:editId="46AE4E4D">
            <wp:extent cx="1612800" cy="1612800"/>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800" cy="1612800"/>
                    </a:xfrm>
                    <a:prstGeom prst="rect">
                      <a:avLst/>
                    </a:prstGeom>
                    <a:noFill/>
                  </pic:spPr>
                </pic:pic>
              </a:graphicData>
            </a:graphic>
          </wp:inline>
        </w:drawing>
      </w:r>
    </w:p>
    <w:p w14:paraId="17F649C0" w14:textId="7389BA02" w:rsidR="00363CEF" w:rsidRDefault="004C3DF1" w:rsidP="004C3DF1">
      <w:pPr>
        <w:pStyle w:val="CETBodytext"/>
        <w:keepNext/>
        <w:numPr>
          <w:ilvl w:val="0"/>
          <w:numId w:val="23"/>
        </w:numPr>
      </w:pPr>
      <w:r>
        <w:t xml:space="preserve">                                                 (b)                                           </w:t>
      </w:r>
      <w:proofErr w:type="gramStart"/>
      <w:r>
        <w:t xml:space="preserve">   (</w:t>
      </w:r>
      <w:proofErr w:type="gramEnd"/>
      <w:r>
        <w:t>c)</w:t>
      </w:r>
    </w:p>
    <w:p w14:paraId="23E732A7" w14:textId="54625D8B" w:rsidR="00546E72" w:rsidRPr="00546E72" w:rsidRDefault="00F92A9F" w:rsidP="002D60F6">
      <w:pPr>
        <w:pStyle w:val="CETCaption"/>
      </w:pPr>
      <w:bookmarkStart w:id="1" w:name="_Ref127179279"/>
      <w:r>
        <w:t xml:space="preserve">Figure </w:t>
      </w:r>
      <w:r>
        <w:fldChar w:fldCharType="begin"/>
      </w:r>
      <w:r>
        <w:instrText xml:space="preserve"> SEQ Figure \* ARABIC </w:instrText>
      </w:r>
      <w:r>
        <w:fldChar w:fldCharType="separate"/>
      </w:r>
      <w:r w:rsidR="003803C3">
        <w:rPr>
          <w:noProof/>
        </w:rPr>
        <w:t>1</w:t>
      </w:r>
      <w:r>
        <w:fldChar w:fldCharType="end"/>
      </w:r>
      <w:bookmarkEnd w:id="1"/>
      <w:r>
        <w:t>:</w:t>
      </w:r>
      <w:r w:rsidR="00CD48DD">
        <w:t xml:space="preserve"> </w:t>
      </w:r>
      <w:r w:rsidR="00E351DF">
        <w:t>Release source modelling for s</w:t>
      </w:r>
      <w:r w:rsidR="00B133BA">
        <w:t>teady-state</w:t>
      </w:r>
      <w:r w:rsidR="00C07AF9">
        <w:t xml:space="preserve"> hydrogen releases</w:t>
      </w:r>
      <w:r w:rsidR="00E351DF">
        <w:t xml:space="preserve"> (</w:t>
      </w:r>
      <w:r w:rsidR="004C3DF1">
        <w:t>a</w:t>
      </w:r>
      <w:r w:rsidR="00E351DF">
        <w:t>)</w:t>
      </w:r>
      <w:r w:rsidR="00C07AF9">
        <w:t xml:space="preserve">. Modelling of </w:t>
      </w:r>
      <w:r w:rsidR="00046A96">
        <w:t xml:space="preserve">non-adiabatic blowdown dynamics in the storage tank for </w:t>
      </w:r>
      <w:r w:rsidR="00C07AF9">
        <w:t>transi</w:t>
      </w:r>
      <w:r w:rsidR="00E351DF">
        <w:t>ent hydrogen release</w:t>
      </w:r>
      <w:r w:rsidR="00057C12">
        <w:t xml:space="preserve"> with initial pressure and temperature of 20 MPa and 80 K, </w:t>
      </w:r>
      <w:r w:rsidR="00E87DE1">
        <w:t>and</w:t>
      </w:r>
      <w:r w:rsidR="00057C12">
        <w:t xml:space="preserve"> nozzle diameter of 0.5 mm </w:t>
      </w:r>
      <w:r w:rsidR="004C3DF1">
        <w:t>(b-c)</w:t>
      </w:r>
      <w:r w:rsidR="00E351DF">
        <w:t xml:space="preserve">. </w:t>
      </w:r>
    </w:p>
    <w:p w14:paraId="18BAFA6F" w14:textId="69882362" w:rsidR="00453E24" w:rsidRPr="00B57B36" w:rsidRDefault="004C7598" w:rsidP="00453E24">
      <w:pPr>
        <w:pStyle w:val="CETheadingx"/>
      </w:pPr>
      <w:r w:rsidRPr="004C7598">
        <w:t>The similarity law for concentration decay in momentum-dominated jets</w:t>
      </w:r>
    </w:p>
    <w:p w14:paraId="473C7583" w14:textId="673F0FA0" w:rsidR="00997A1E" w:rsidRDefault="00997A1E" w:rsidP="00997A1E">
      <w:r w:rsidRPr="007626E5">
        <w:t xml:space="preserve">The similarity law </w:t>
      </w:r>
      <w:r w:rsidR="00C83732">
        <w:t xml:space="preserve">for under-expanded jets </w:t>
      </w:r>
      <w:r w:rsidR="00E97051" w:rsidRPr="00E97051">
        <w:t>(Molkov, 2012)</w:t>
      </w:r>
      <w:r w:rsidR="005B32C8">
        <w:t xml:space="preserve"> allows</w:t>
      </w:r>
      <w:r>
        <w:t xml:space="preserve"> </w:t>
      </w:r>
      <w:r w:rsidRPr="008D04CE">
        <w:t xml:space="preserve">to </w:t>
      </w:r>
      <w:r>
        <w:t>calculate</w:t>
      </w:r>
      <w:r w:rsidRPr="008D04CE">
        <w:t xml:space="preserve"> </w:t>
      </w:r>
      <w:r>
        <w:t>axial</w:t>
      </w:r>
      <w:r w:rsidRPr="008D04CE">
        <w:t xml:space="preserve"> hydrogen concentration decay </w:t>
      </w:r>
      <w:r>
        <w:t>in</w:t>
      </w:r>
      <w:r w:rsidRPr="008D04CE">
        <w:t xml:space="preserve"> momentum-</w:t>
      </w:r>
      <w:r w:rsidR="00DC5353">
        <w:t>dominat</w:t>
      </w:r>
      <w:r w:rsidR="00DC5353" w:rsidRPr="008D04CE">
        <w:t xml:space="preserve">ed </w:t>
      </w:r>
      <w:r w:rsidR="00E87DE1">
        <w:t xml:space="preserve">hydrogen </w:t>
      </w:r>
      <w:r w:rsidRPr="008D04CE">
        <w:t xml:space="preserve">jets: </w:t>
      </w:r>
    </w:p>
    <w:tbl>
      <w:tblPr>
        <w:tblW w:w="5000" w:type="pct"/>
        <w:tblLook w:val="04A0" w:firstRow="1" w:lastRow="0" w:firstColumn="1" w:lastColumn="0" w:noHBand="0" w:noVBand="1"/>
      </w:tblPr>
      <w:tblGrid>
        <w:gridCol w:w="7984"/>
        <w:gridCol w:w="803"/>
      </w:tblGrid>
      <w:tr w:rsidR="008A5D40" w:rsidRPr="00B57B36" w14:paraId="3CD61168" w14:textId="77777777" w:rsidTr="00336783">
        <w:tc>
          <w:tcPr>
            <w:tcW w:w="8188" w:type="dxa"/>
            <w:shd w:val="clear" w:color="auto" w:fill="auto"/>
            <w:vAlign w:val="center"/>
          </w:tcPr>
          <w:p w14:paraId="077BDAC6" w14:textId="11A31C03" w:rsidR="008A5D40" w:rsidRPr="008A5D40" w:rsidRDefault="00180F45" w:rsidP="004C3DF1">
            <w:pPr>
              <w:pStyle w:val="CETEquation"/>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ax</m:t>
                  </m:r>
                </m:sub>
              </m:sSub>
              <m:r>
                <m:rPr>
                  <m:sty m:val="p"/>
                </m:rPr>
                <w:rPr>
                  <w:rFonts w:ascii="Cambria Math" w:hAnsi="Cambria Math"/>
                </w:rPr>
                <m:t xml:space="preserve">=5.4 </m:t>
              </m:r>
              <m:rad>
                <m:radPr>
                  <m:degHide m:val="1"/>
                  <m:ctrlPr>
                    <w:rPr>
                      <w:rFonts w:ascii="Cambria Math" w:hAnsi="Cambria Math"/>
                    </w:rPr>
                  </m:ctrlPr>
                </m:radPr>
                <m:deg/>
                <m:e>
                  <m:f>
                    <m:fPr>
                      <m:type m:val="lin"/>
                      <m:ctrlPr>
                        <w:rPr>
                          <w:rFonts w:ascii="Cambria Math" w:hAnsi="Cambria Math"/>
                          <w:i/>
                        </w:rPr>
                      </m:ctrlPr>
                    </m:fPr>
                    <m:num>
                      <m:sSub>
                        <m:sSubPr>
                          <m:ctrlPr>
                            <w:rPr>
                              <w:rFonts w:ascii="Cambria Math" w:hAnsi="Cambria Math"/>
                            </w:rPr>
                          </m:ctrlPr>
                        </m:sSubPr>
                        <m:e>
                          <m:r>
                            <m:rPr>
                              <m:sty m:val="p"/>
                            </m:rPr>
                            <w:rPr>
                              <w:rFonts w:ascii="Cambria Math" w:hAnsi="Cambria Math"/>
                            </w:rPr>
                            <m:t>ρ</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ρ</m:t>
                          </m:r>
                        </m:e>
                        <m:sub>
                          <m:r>
                            <m:rPr>
                              <m:sty m:val="p"/>
                            </m:rPr>
                            <w:rPr>
                              <w:rFonts w:ascii="Cambria Math" w:hAnsi="Cambria Math"/>
                            </w:rPr>
                            <m:t>s</m:t>
                          </m:r>
                        </m:sub>
                      </m:sSub>
                    </m:den>
                  </m:f>
                </m:e>
              </m:rad>
              <m:r>
                <m:rPr>
                  <m:sty m:val="p"/>
                </m:rPr>
                <w:rPr>
                  <w:rFonts w:ascii="Cambria Math" w:hAnsi="Cambria Math"/>
                </w:rPr>
                <m:t xml:space="preserve"> (</m:t>
              </m:r>
              <m:f>
                <m:fPr>
                  <m:type m:val="lin"/>
                  <m:ctrlPr>
                    <w:rPr>
                      <w:rFonts w:ascii="Cambria Math" w:hAnsi="Cambria Math"/>
                    </w:rPr>
                  </m:ctrlPr>
                </m:fPr>
                <m:num>
                  <m:r>
                    <w:rPr>
                      <w:rFonts w:ascii="Cambria Math" w:hAnsi="Cambria Math"/>
                    </w:rPr>
                    <m:t>d</m:t>
                  </m:r>
                </m:num>
                <m:den>
                  <m:r>
                    <w:rPr>
                      <w:rFonts w:ascii="Cambria Math" w:hAnsi="Cambria Math"/>
                    </w:rPr>
                    <m:t>x</m:t>
                  </m:r>
                </m:den>
              </m:f>
              <m:r>
                <w:rPr>
                  <w:rFonts w:ascii="Cambria Math" w:hAnsi="Cambria Math"/>
                </w:rPr>
                <m:t>)</m:t>
              </m:r>
            </m:oMath>
            <w:r w:rsidR="00DC05AB">
              <w:t>.</w:t>
            </w:r>
          </w:p>
        </w:tc>
        <w:tc>
          <w:tcPr>
            <w:tcW w:w="815" w:type="dxa"/>
            <w:shd w:val="clear" w:color="auto" w:fill="auto"/>
            <w:vAlign w:val="center"/>
          </w:tcPr>
          <w:p w14:paraId="3584A5B6" w14:textId="56A27B54" w:rsidR="008A5D40" w:rsidRPr="00B57B36" w:rsidRDefault="00DC05AB" w:rsidP="00336783">
            <w:pPr>
              <w:pStyle w:val="CETEquation"/>
              <w:jc w:val="right"/>
            </w:pPr>
            <w:r>
              <w:t xml:space="preserve">  </w:t>
            </w:r>
            <w:r w:rsidR="008A5D40" w:rsidRPr="00B57B36">
              <w:t>(1)</w:t>
            </w:r>
          </w:p>
        </w:tc>
      </w:tr>
    </w:tbl>
    <w:p w14:paraId="06201C0E" w14:textId="1DB56E9D" w:rsidR="00750D8D" w:rsidRDefault="00997A1E" w:rsidP="00997A1E">
      <w:pPr>
        <w:spacing w:after="160" w:line="259" w:lineRule="auto"/>
      </w:pPr>
      <w:r w:rsidRPr="00EF7556">
        <w:t xml:space="preserve">where </w:t>
      </w:r>
      <m:oMath>
        <m:sSub>
          <m:sSubPr>
            <m:ctrlPr>
              <w:rPr>
                <w:rFonts w:ascii="Cambria Math" w:hAnsi="Cambria Math"/>
              </w:rPr>
            </m:ctrlPr>
          </m:sSubPr>
          <m:e>
            <m:r>
              <w:rPr>
                <w:rFonts w:ascii="Cambria Math" w:hAnsi="Cambria Math"/>
              </w:rPr>
              <m:t>ρ</m:t>
            </m:r>
          </m:e>
          <m:sub>
            <m:r>
              <w:rPr>
                <w:rFonts w:ascii="Cambria Math" w:hAnsi="Cambria Math"/>
              </w:rPr>
              <m:t>N</m:t>
            </m:r>
          </m:sub>
        </m:sSub>
      </m:oMath>
      <w:r w:rsidRPr="00EF7556">
        <w:t xml:space="preserve"> is the density of hydrogen at the nozzle</w:t>
      </w:r>
      <w:r w:rsidR="00FB49D4">
        <w:t xml:space="preserve"> </w:t>
      </w:r>
      <w:r w:rsidR="00DC05AB">
        <w:t xml:space="preserve">exit </w:t>
      </w:r>
      <w:r w:rsidR="00FB49D4">
        <w:t>(calculated using Ulster’s under-expanded jet theory)</w:t>
      </w:r>
      <w:r w:rsidRPr="00EF7556">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oMath>
      <w:r w:rsidRPr="007626E5">
        <w:t xml:space="preserve"> is the density of the surrounding air, </w:t>
      </w:r>
      <w:r w:rsidRPr="007626E5">
        <w:rPr>
          <w:i/>
        </w:rPr>
        <w:t>d</w:t>
      </w:r>
      <w:r w:rsidRPr="007626E5">
        <w:t xml:space="preserve"> is the </w:t>
      </w:r>
      <w:r w:rsidRPr="00EF7556">
        <w:t>nozzle</w:t>
      </w:r>
      <w:r w:rsidRPr="007626E5">
        <w:t xml:space="preserve"> diameter and </w:t>
      </w:r>
      <w:r w:rsidRPr="007626E5">
        <w:rPr>
          <w:i/>
        </w:rPr>
        <w:t>x</w:t>
      </w:r>
      <w:r w:rsidRPr="007626E5">
        <w:t xml:space="preserve"> </w:t>
      </w:r>
      <w:r>
        <w:t xml:space="preserve">is </w:t>
      </w:r>
      <w:r w:rsidRPr="007626E5">
        <w:t xml:space="preserve">the distance from the </w:t>
      </w:r>
      <w:r w:rsidRPr="00EF7556">
        <w:t>release point</w:t>
      </w:r>
      <w:r w:rsidRPr="007626E5">
        <w:t>.</w:t>
      </w:r>
      <w:r w:rsidRPr="00EF7556">
        <w:t xml:space="preserve"> </w:t>
      </w:r>
      <w:r w:rsidR="00750D8D">
        <w:t>The similarity law</w:t>
      </w:r>
      <w:r w:rsidRPr="00EF7556">
        <w:t xml:space="preserve"> </w:t>
      </w:r>
      <w:r w:rsidR="00750D8D" w:rsidRPr="00E1167A">
        <w:t>was validated</w:t>
      </w:r>
      <w:r w:rsidR="00750D8D">
        <w:t xml:space="preserve"> </w:t>
      </w:r>
      <w:r w:rsidR="00750D8D" w:rsidRPr="00E1167A">
        <w:t xml:space="preserve">for </w:t>
      </w:r>
      <w:r w:rsidR="0053121C">
        <w:t xml:space="preserve">hydrogen </w:t>
      </w:r>
      <w:r w:rsidR="00750D8D" w:rsidRPr="00E1167A">
        <w:t xml:space="preserve">under-expanded jets with release temperature down to 80 K and pressure in the range </w:t>
      </w:r>
      <w:r w:rsidR="00750D8D">
        <w:t>0.</w:t>
      </w:r>
      <w:r w:rsidR="00750D8D" w:rsidRPr="00E1167A">
        <w:t xml:space="preserve">26–40 </w:t>
      </w:r>
      <w:r w:rsidR="00750D8D">
        <w:t>MPa</w:t>
      </w:r>
      <w:r w:rsidR="00FB49D4">
        <w:t xml:space="preserve"> </w:t>
      </w:r>
      <w:r w:rsidR="003065E0">
        <w:t xml:space="preserve">in </w:t>
      </w:r>
      <w:r w:rsidR="00F81683">
        <w:t>(Molkov, 2012)</w:t>
      </w:r>
      <w:r w:rsidR="00750D8D" w:rsidRPr="003F034C">
        <w:t>.</w:t>
      </w:r>
      <w:r w:rsidR="002024C3">
        <w:t xml:space="preserve"> </w:t>
      </w:r>
      <w:r w:rsidR="0025418D">
        <w:t>T</w:t>
      </w:r>
      <w:r w:rsidR="0025418D" w:rsidRPr="003F034C">
        <w:t xml:space="preserve">he similarity law </w:t>
      </w:r>
      <w:r w:rsidR="0025418D">
        <w:t xml:space="preserve">validation was expanded </w:t>
      </w:r>
      <w:r w:rsidR="0060589D">
        <w:t xml:space="preserve">in PRESLHY </w:t>
      </w:r>
      <w:r w:rsidR="0025418D">
        <w:t>to</w:t>
      </w:r>
      <w:r w:rsidR="0025418D" w:rsidRPr="003F034C">
        <w:t xml:space="preserve"> releases with temperature as low as 50 K </w:t>
      </w:r>
      <w:r w:rsidR="0025418D">
        <w:t xml:space="preserve">for pressure in the range </w:t>
      </w:r>
      <w:r w:rsidR="008F6B72">
        <w:t>0.</w:t>
      </w:r>
      <w:r w:rsidR="0025418D">
        <w:t>2-</w:t>
      </w:r>
      <w:r w:rsidR="008F6B72">
        <w:t>0.</w:t>
      </w:r>
      <w:r w:rsidR="0025418D">
        <w:t xml:space="preserve">5 </w:t>
      </w:r>
      <w:r w:rsidR="008F6B72">
        <w:t>MPa</w:t>
      </w:r>
      <w:r w:rsidR="00B547B9">
        <w:t xml:space="preserve"> </w:t>
      </w:r>
      <w:r w:rsidR="00CF16FB">
        <w:t>through comparison with experiments by</w:t>
      </w:r>
      <w:r w:rsidR="00261B7B">
        <w:t xml:space="preserve"> </w:t>
      </w:r>
      <w:r w:rsidR="00261B7B" w:rsidRPr="00261B7B">
        <w:t>Hecht and Panda (2019)</w:t>
      </w:r>
      <w:r w:rsidR="008F6B72">
        <w:t xml:space="preserve">, </w:t>
      </w:r>
      <w:r w:rsidR="004646EF">
        <w:t xml:space="preserve">see </w:t>
      </w:r>
      <w:r w:rsidR="00B9659A">
        <w:fldChar w:fldCharType="begin"/>
      </w:r>
      <w:r w:rsidR="00B9659A">
        <w:instrText xml:space="preserve"> REF _Ref127181373 \h </w:instrText>
      </w:r>
      <w:r w:rsidR="00B9659A">
        <w:fldChar w:fldCharType="separate"/>
      </w:r>
      <w:r w:rsidR="00B9659A">
        <w:t xml:space="preserve">Figure </w:t>
      </w:r>
      <w:r w:rsidR="00B9659A">
        <w:rPr>
          <w:noProof/>
        </w:rPr>
        <w:t>2</w:t>
      </w:r>
      <w:r w:rsidR="00B9659A">
        <w:fldChar w:fldCharType="end"/>
      </w:r>
      <w:r w:rsidR="0025418D" w:rsidRPr="00653F81">
        <w:t>.</w:t>
      </w:r>
    </w:p>
    <w:p w14:paraId="67411F8A" w14:textId="290A53C1" w:rsidR="004646EF" w:rsidRDefault="002172E2" w:rsidP="004646EF">
      <w:pPr>
        <w:keepNext/>
        <w:spacing w:after="160" w:line="259" w:lineRule="auto"/>
      </w:pPr>
      <w:r w:rsidRPr="002172E2">
        <w:rPr>
          <w:noProof/>
        </w:rPr>
        <w:drawing>
          <wp:inline distT="0" distB="0" distL="0" distR="0" wp14:anchorId="42A131D4" wp14:editId="4F1DB0E5">
            <wp:extent cx="3600000" cy="1884602"/>
            <wp:effectExtent l="0" t="0" r="63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0" cy="1884602"/>
                    </a:xfrm>
                    <a:prstGeom prst="rect">
                      <a:avLst/>
                    </a:prstGeom>
                    <a:noFill/>
                    <a:ln>
                      <a:noFill/>
                    </a:ln>
                  </pic:spPr>
                </pic:pic>
              </a:graphicData>
            </a:graphic>
          </wp:inline>
        </w:drawing>
      </w:r>
    </w:p>
    <w:p w14:paraId="2C2CC79C" w14:textId="36AEF35C" w:rsidR="00817191" w:rsidRPr="00B57B36" w:rsidRDefault="004646EF" w:rsidP="00511BFC">
      <w:pPr>
        <w:pStyle w:val="CETCaption"/>
      </w:pPr>
      <w:bookmarkStart w:id="2" w:name="_Ref127181373"/>
      <w:r>
        <w:t xml:space="preserve">Figure </w:t>
      </w:r>
      <w:r>
        <w:fldChar w:fldCharType="begin"/>
      </w:r>
      <w:r>
        <w:instrText xml:space="preserve"> SEQ Figure \* ARABIC </w:instrText>
      </w:r>
      <w:r>
        <w:fldChar w:fldCharType="separate"/>
      </w:r>
      <w:r w:rsidR="003803C3">
        <w:rPr>
          <w:noProof/>
        </w:rPr>
        <w:t>2</w:t>
      </w:r>
      <w:r>
        <w:fldChar w:fldCharType="end"/>
      </w:r>
      <w:bookmarkEnd w:id="2"/>
      <w:r>
        <w:t xml:space="preserve">: </w:t>
      </w:r>
      <w:r w:rsidR="004F30EC" w:rsidRPr="004F30EC">
        <w:t xml:space="preserve">The similarity law and experimental data </w:t>
      </w:r>
      <w:r w:rsidR="000B46FB">
        <w:t xml:space="preserve">by </w:t>
      </w:r>
      <w:r w:rsidR="000B46FB" w:rsidRPr="00261B7B">
        <w:t>Hecht and Panda (2019)</w:t>
      </w:r>
      <w:r w:rsidR="000B46FB">
        <w:t xml:space="preserve"> </w:t>
      </w:r>
      <w:r w:rsidR="004F30EC" w:rsidRPr="004F30EC">
        <w:t>on axial concentration decay in momentum</w:t>
      </w:r>
      <w:r w:rsidR="00BA2303">
        <w:t>-</w:t>
      </w:r>
      <w:r w:rsidR="00DC5353">
        <w:t>dominat</w:t>
      </w:r>
      <w:r w:rsidR="00DC5353" w:rsidRPr="004F30EC">
        <w:t xml:space="preserve">ed </w:t>
      </w:r>
      <w:r w:rsidR="004F30EC" w:rsidRPr="004F30EC">
        <w:t>under-expanded jets</w:t>
      </w:r>
      <w:r w:rsidR="00B9659A">
        <w:t>.</w:t>
      </w:r>
    </w:p>
    <w:p w14:paraId="677EBFF0" w14:textId="5AE60036" w:rsidR="00600535" w:rsidRPr="00B57B36" w:rsidRDefault="005C4ABB" w:rsidP="00600535">
      <w:pPr>
        <w:pStyle w:val="CETHeading1"/>
        <w:tabs>
          <w:tab w:val="clear" w:pos="360"/>
          <w:tab w:val="right" w:pos="7100"/>
        </w:tabs>
        <w:jc w:val="both"/>
        <w:rPr>
          <w:lang w:val="en-GB"/>
        </w:rPr>
      </w:pPr>
      <w:r>
        <w:rPr>
          <w:lang w:val="en-GB"/>
        </w:rPr>
        <w:lastRenderedPageBreak/>
        <w:t>Ignition</w:t>
      </w:r>
    </w:p>
    <w:p w14:paraId="04963A06" w14:textId="64977AD7" w:rsidR="00600535" w:rsidRPr="00B57B36" w:rsidRDefault="00817191" w:rsidP="00FA5F5F">
      <w:pPr>
        <w:pStyle w:val="CETheadingx"/>
      </w:pPr>
      <w:r>
        <w:t>Determination of minimum ignition energy of hydrogen-air mixtures by spark ignition</w:t>
      </w:r>
    </w:p>
    <w:p w14:paraId="7928E0CA" w14:textId="71031060" w:rsidR="004E1AA2" w:rsidRDefault="00B95A18" w:rsidP="00B95A18">
      <w:pPr>
        <w:rPr>
          <w:szCs w:val="24"/>
        </w:rPr>
      </w:pPr>
      <w:r>
        <w:rPr>
          <w:szCs w:val="24"/>
        </w:rPr>
        <w:t>The ignition and combustion of h</w:t>
      </w:r>
      <w:r w:rsidRPr="00C856D9">
        <w:rPr>
          <w:szCs w:val="24"/>
        </w:rPr>
        <w:t xml:space="preserve">ydrogen in air </w:t>
      </w:r>
      <w:r>
        <w:rPr>
          <w:szCs w:val="24"/>
        </w:rPr>
        <w:t>is considered more hazardous compared to other fuels due to the lower m</w:t>
      </w:r>
      <w:r w:rsidRPr="00C856D9">
        <w:rPr>
          <w:szCs w:val="24"/>
        </w:rPr>
        <w:t xml:space="preserve">inimum </w:t>
      </w:r>
      <w:r>
        <w:rPr>
          <w:szCs w:val="24"/>
        </w:rPr>
        <w:t>i</w:t>
      </w:r>
      <w:r w:rsidRPr="00C856D9">
        <w:rPr>
          <w:szCs w:val="24"/>
        </w:rPr>
        <w:t xml:space="preserve">gnition </w:t>
      </w:r>
      <w:r>
        <w:rPr>
          <w:szCs w:val="24"/>
        </w:rPr>
        <w:t>e</w:t>
      </w:r>
      <w:r w:rsidRPr="00C856D9">
        <w:rPr>
          <w:szCs w:val="24"/>
        </w:rPr>
        <w:t xml:space="preserve">nergy (MIE) and </w:t>
      </w:r>
      <w:r>
        <w:rPr>
          <w:szCs w:val="24"/>
        </w:rPr>
        <w:t xml:space="preserve">the </w:t>
      </w:r>
      <w:r w:rsidRPr="00C856D9">
        <w:rPr>
          <w:szCs w:val="24"/>
        </w:rPr>
        <w:t>wide</w:t>
      </w:r>
      <w:r>
        <w:rPr>
          <w:szCs w:val="24"/>
        </w:rPr>
        <w:t>r</w:t>
      </w:r>
      <w:r w:rsidRPr="00C856D9">
        <w:rPr>
          <w:szCs w:val="24"/>
        </w:rPr>
        <w:t xml:space="preserve"> flammability range</w:t>
      </w:r>
      <w:r>
        <w:rPr>
          <w:szCs w:val="24"/>
        </w:rPr>
        <w:t xml:space="preserve">. Spark discharge is the most common type of electrostatic ignition hazard. </w:t>
      </w:r>
      <w:r w:rsidR="00665358">
        <w:rPr>
          <w:szCs w:val="24"/>
        </w:rPr>
        <w:t xml:space="preserve">A </w:t>
      </w:r>
      <w:r w:rsidR="00907281">
        <w:rPr>
          <w:szCs w:val="24"/>
        </w:rPr>
        <w:t xml:space="preserve">theoretical </w:t>
      </w:r>
      <w:r w:rsidR="00665358">
        <w:rPr>
          <w:szCs w:val="24"/>
        </w:rPr>
        <w:t xml:space="preserve">model </w:t>
      </w:r>
      <w:r w:rsidR="008667A6">
        <w:rPr>
          <w:szCs w:val="24"/>
        </w:rPr>
        <w:t>was</w:t>
      </w:r>
      <w:r w:rsidR="00665358">
        <w:rPr>
          <w:szCs w:val="24"/>
        </w:rPr>
        <w:t xml:space="preserve"> developed </w:t>
      </w:r>
      <w:r>
        <w:rPr>
          <w:szCs w:val="24"/>
        </w:rPr>
        <w:t>to accurately predict MIE for hydrogen-air mixtures with arbitrary initial composition and temperature</w:t>
      </w:r>
      <w:r w:rsidR="007A6156">
        <w:rPr>
          <w:szCs w:val="24"/>
        </w:rPr>
        <w:t>, without relying on available experimental data as per methodologies available in literature. The MIE can be calculated</w:t>
      </w:r>
      <w:r w:rsidR="00CD0E38">
        <w:rPr>
          <w:szCs w:val="24"/>
        </w:rPr>
        <w:t xml:space="preserve"> </w:t>
      </w:r>
      <w:r w:rsidR="00CD0E38" w:rsidRPr="00CD0E38">
        <w:rPr>
          <w:szCs w:val="24"/>
        </w:rPr>
        <w:t>as (Cirrone et al., 2023</w:t>
      </w:r>
      <w:r w:rsidR="00894AEF">
        <w:rPr>
          <w:szCs w:val="24"/>
        </w:rPr>
        <w:t>b</w:t>
      </w:r>
      <w:r w:rsidR="00CD0E38" w:rsidRPr="00CD0E38">
        <w:rPr>
          <w:szCs w:val="24"/>
        </w:rPr>
        <w:t>)</w:t>
      </w:r>
      <w:r w:rsidR="004E1AA2">
        <w:rPr>
          <w:szCs w:val="24"/>
        </w:rPr>
        <w:t>:</w:t>
      </w:r>
    </w:p>
    <w:tbl>
      <w:tblPr>
        <w:tblW w:w="5000" w:type="pct"/>
        <w:tblLook w:val="04A0" w:firstRow="1" w:lastRow="0" w:firstColumn="1" w:lastColumn="0" w:noHBand="0" w:noVBand="1"/>
      </w:tblPr>
      <w:tblGrid>
        <w:gridCol w:w="7984"/>
        <w:gridCol w:w="803"/>
      </w:tblGrid>
      <w:tr w:rsidR="004E1AA2" w:rsidRPr="00B57B36" w14:paraId="63C84F46" w14:textId="77777777" w:rsidTr="00336783">
        <w:tc>
          <w:tcPr>
            <w:tcW w:w="8188" w:type="dxa"/>
            <w:shd w:val="clear" w:color="auto" w:fill="auto"/>
            <w:vAlign w:val="center"/>
          </w:tcPr>
          <w:p w14:paraId="0FF3176C" w14:textId="76898A9A" w:rsidR="004E1AA2" w:rsidRPr="0004081E" w:rsidRDefault="00180F45" w:rsidP="0004081E">
            <w:pPr>
              <w:pStyle w:val="CETEquation"/>
            </w:pPr>
            <m:oMath>
              <m:sSub>
                <m:sSubPr>
                  <m:ctrlPr>
                    <w:rPr>
                      <w:rFonts w:ascii="Cambria Math" w:hAnsi="Cambria Math"/>
                    </w:rPr>
                  </m:ctrlPr>
                </m:sSubPr>
                <m:e>
                  <m:r>
                    <w:rPr>
                      <w:rFonts w:ascii="Cambria Math" w:hAnsi="Cambria Math"/>
                    </w:rPr>
                    <m:t>E</m:t>
                  </m:r>
                </m:e>
                <m:sub>
                  <m:r>
                    <w:rPr>
                      <w:rFonts w:ascii="Cambria Math" w:hAnsi="Cambria Math"/>
                    </w:rPr>
                    <m:t>min</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r>
                <w:rPr>
                  <w:rFonts w:ascii="Cambria Math" w:hAnsi="Cambria Math"/>
                </w:rPr>
                <m:t>π</m:t>
              </m:r>
              <m:sSup>
                <m:sSupPr>
                  <m:ctrlPr>
                    <w:rPr>
                      <w:rFonts w:ascii="Cambria Math" w:hAnsi="Cambria Math"/>
                    </w:rPr>
                  </m:ctrlPr>
                </m:sSupPr>
                <m:e>
                  <w:bookmarkStart w:id="3" w:name="_Hlk115526975"/>
                  <m:r>
                    <w:rPr>
                      <w:rFonts w:ascii="Cambria Math" w:hAnsi="Cambria Math"/>
                    </w:rPr>
                    <m:t>d</m:t>
                  </m:r>
                  <w:bookmarkEnd w:id="3"/>
                </m:e>
                <m:sup>
                  <m:r>
                    <m:rPr>
                      <m:sty m:val="p"/>
                    </m:rPr>
                    <w:rPr>
                      <w:rFonts w:ascii="Cambria Math" w:hAnsi="Cambria Math"/>
                    </w:rPr>
                    <m:t>3</m:t>
                  </m:r>
                </m:sup>
              </m:sSup>
              <m:sSub>
                <m:sSubPr>
                  <m:ctrlPr>
                    <w:rPr>
                      <w:rFonts w:ascii="Cambria Math" w:hAnsi="Cambria Math"/>
                    </w:rPr>
                  </m:ctrlPr>
                </m:sSubPr>
                <m:e>
                  <m:r>
                    <w:rPr>
                      <w:rFonts w:ascii="Cambria Math" w:hAnsi="Cambria Math"/>
                    </w:rPr>
                    <m:t>ρ</m:t>
                  </m:r>
                </m:e>
                <m:sub>
                  <m:r>
                    <w:rPr>
                      <w:rFonts w:ascii="Cambria Math" w:hAnsi="Cambria Math"/>
                    </w:rPr>
                    <m:t>u</m:t>
                  </m:r>
                </m:sub>
              </m:sSub>
              <m:sSub>
                <m:sSubPr>
                  <m:ctrlPr>
                    <w:rPr>
                      <w:rFonts w:ascii="Cambria Math" w:hAnsi="Cambria Math"/>
                    </w:rPr>
                  </m:ctrlPr>
                </m:sSubPr>
                <m:e>
                  <m:r>
                    <w:rPr>
                      <w:rFonts w:ascii="Cambria Math" w:hAnsi="Cambria Math"/>
                    </w:rPr>
                    <m:t>c</m:t>
                  </m:r>
                </m:e>
                <m:sub>
                  <m:r>
                    <w:rPr>
                      <w:rFonts w:ascii="Cambria Math" w:hAnsi="Cambria Math"/>
                    </w:rPr>
                    <m:t>p</m:t>
                  </m:r>
                  <m:r>
                    <m:rPr>
                      <m:sty m:val="p"/>
                    </m:rPr>
                    <w:rPr>
                      <w:rFonts w:ascii="Cambria Math" w:hAnsi="Cambria Math"/>
                    </w:rPr>
                    <m:t>,</m:t>
                  </m:r>
                  <m:r>
                    <w:rPr>
                      <w:rFonts w:ascii="Cambria Math" w:hAnsi="Cambria Math"/>
                    </w:rPr>
                    <m:t>u</m:t>
                  </m:r>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u</m:t>
                      </m:r>
                    </m:sub>
                  </m:sSub>
                </m:e>
              </m:d>
            </m:oMath>
            <w:r w:rsidR="00210CE3" w:rsidRPr="0004081E">
              <w:t>,</w:t>
            </w:r>
          </w:p>
        </w:tc>
        <w:tc>
          <w:tcPr>
            <w:tcW w:w="815" w:type="dxa"/>
            <w:shd w:val="clear" w:color="auto" w:fill="auto"/>
            <w:vAlign w:val="center"/>
          </w:tcPr>
          <w:p w14:paraId="7BD63551" w14:textId="40F79B7D" w:rsidR="004E1AA2" w:rsidRPr="00B57B36" w:rsidRDefault="004E1AA2" w:rsidP="00336783">
            <w:pPr>
              <w:pStyle w:val="CETEquation"/>
              <w:jc w:val="right"/>
            </w:pPr>
            <w:r w:rsidRPr="00B57B36">
              <w:t>(</w:t>
            </w:r>
            <w:r>
              <w:t>2</w:t>
            </w:r>
            <w:r w:rsidRPr="00B57B36">
              <w:t>)</w:t>
            </w:r>
          </w:p>
        </w:tc>
      </w:tr>
    </w:tbl>
    <w:p w14:paraId="123CB7DF" w14:textId="238489B1" w:rsidR="00600535" w:rsidRPr="000D1315" w:rsidRDefault="00210CE3" w:rsidP="00600535">
      <w:pPr>
        <w:pStyle w:val="CETBodytext"/>
      </w:pPr>
      <w:r>
        <w:t>where</w:t>
      </w:r>
      <w:r w:rsidR="00ED4654">
        <w:t xml:space="preserve"> </w:t>
      </w:r>
      <w:r w:rsidR="00ED4654" w:rsidRPr="007A6156">
        <w:rPr>
          <w:i/>
          <w:iCs/>
        </w:rPr>
        <w:t>d</w:t>
      </w:r>
      <w:r w:rsidR="00ED4654">
        <w:t xml:space="preserve"> is the critical flame kernel</w:t>
      </w:r>
      <w:r w:rsidR="00ED4654" w:rsidRPr="00272149">
        <w:rPr>
          <w:rFonts w:cs="Arial"/>
        </w:rPr>
        <w:t xml:space="preserve"> diameter, </w:t>
      </w:r>
      <m:oMath>
        <m:sSub>
          <m:sSubPr>
            <m:ctrlPr>
              <w:rPr>
                <w:rFonts w:ascii="Cambria Math" w:eastAsiaTheme="minorEastAsia" w:hAnsi="Cambria Math" w:cs="Arial"/>
              </w:rPr>
            </m:ctrlPr>
          </m:sSubPr>
          <m:e>
            <m:r>
              <w:rPr>
                <w:rFonts w:ascii="Cambria Math" w:eastAsiaTheme="minorEastAsia" w:hAnsi="Cambria Math" w:cs="Arial"/>
              </w:rPr>
              <m:t>ρ</m:t>
            </m:r>
          </m:e>
          <m:sub>
            <m:r>
              <w:rPr>
                <w:rFonts w:ascii="Cambria Math" w:eastAsiaTheme="minorEastAsia" w:hAnsi="Cambria Math" w:cs="Arial"/>
              </w:rPr>
              <m:t>u</m:t>
            </m:r>
          </m:sub>
        </m:sSub>
      </m:oMath>
      <w:r w:rsidR="00272149" w:rsidRPr="00272149">
        <w:rPr>
          <w:rFonts w:eastAsiaTheme="minorEastAsia" w:cs="Arial"/>
        </w:rPr>
        <w:t xml:space="preserve"> is the density, </w:t>
      </w:r>
      <m:oMath>
        <m:sSub>
          <m:sSubPr>
            <m:ctrlPr>
              <w:rPr>
                <w:rFonts w:ascii="Cambria Math" w:eastAsiaTheme="minorEastAsia" w:hAnsi="Cambria Math" w:cs="Arial"/>
              </w:rPr>
            </m:ctrlPr>
          </m:sSubPr>
          <m:e>
            <m:r>
              <w:rPr>
                <w:rFonts w:ascii="Cambria Math" w:eastAsiaTheme="minorEastAsia" w:hAnsi="Cambria Math" w:cs="Arial"/>
              </w:rPr>
              <m:t>c</m:t>
            </m:r>
          </m:e>
          <m:sub>
            <m:r>
              <w:rPr>
                <w:rFonts w:ascii="Cambria Math" w:eastAsiaTheme="minorEastAsia" w:hAnsi="Cambria Math" w:cs="Arial"/>
              </w:rPr>
              <m:t>p</m:t>
            </m:r>
            <m:r>
              <m:rPr>
                <m:sty m:val="p"/>
              </m:rPr>
              <w:rPr>
                <w:rFonts w:ascii="Cambria Math" w:eastAsiaTheme="minorEastAsia" w:hAnsi="Cambria Math" w:cs="Arial"/>
              </w:rPr>
              <m:t>,</m:t>
            </m:r>
            <m:r>
              <w:rPr>
                <w:rFonts w:ascii="Cambria Math" w:eastAsiaTheme="minorEastAsia" w:hAnsi="Cambria Math" w:cs="Arial"/>
              </w:rPr>
              <m:t>u</m:t>
            </m:r>
          </m:sub>
        </m:sSub>
      </m:oMath>
      <w:r w:rsidR="00272149" w:rsidRPr="00272149">
        <w:rPr>
          <w:rFonts w:eastAsiaTheme="minorEastAsia" w:cs="Arial"/>
        </w:rPr>
        <w:t xml:space="preserve"> the specific </w:t>
      </w:r>
      <w:r w:rsidR="00272149" w:rsidRPr="00210CE3">
        <w:t xml:space="preserve">heat at constant pressure and </w:t>
      </w:r>
      <m:oMath>
        <m:sSub>
          <m:sSubPr>
            <m:ctrlPr>
              <w:rPr>
                <w:rFonts w:ascii="Cambria Math" w:hAnsi="Cambria Math"/>
              </w:rPr>
            </m:ctrlPr>
          </m:sSubPr>
          <m:e>
            <m:r>
              <w:rPr>
                <w:rFonts w:ascii="Cambria Math" w:hAnsi="Cambria Math"/>
              </w:rPr>
              <m:t>T</m:t>
            </m:r>
          </m:e>
          <m:sub>
            <m:r>
              <w:rPr>
                <w:rFonts w:ascii="Cambria Math" w:hAnsi="Cambria Math"/>
              </w:rPr>
              <m:t>u</m:t>
            </m:r>
          </m:sub>
        </m:sSub>
      </m:oMath>
      <w:r w:rsidR="00272149" w:rsidRPr="00210CE3">
        <w:t xml:space="preserve"> the temperature for the unburnt mixture, </w:t>
      </w:r>
      <m:oMath>
        <m:sSub>
          <m:sSubPr>
            <m:ctrlPr>
              <w:rPr>
                <w:rFonts w:ascii="Cambria Math" w:hAnsi="Cambria Math"/>
              </w:rPr>
            </m:ctrlPr>
          </m:sSubPr>
          <m:e>
            <m:r>
              <w:rPr>
                <w:rFonts w:ascii="Cambria Math" w:hAnsi="Cambria Math"/>
              </w:rPr>
              <m:t>T</m:t>
            </m:r>
          </m:e>
          <m:sub>
            <m:r>
              <w:rPr>
                <w:rFonts w:ascii="Cambria Math" w:hAnsi="Cambria Math"/>
              </w:rPr>
              <m:t>b</m:t>
            </m:r>
          </m:sub>
        </m:sSub>
      </m:oMath>
      <w:r w:rsidR="00272149" w:rsidRPr="00210CE3">
        <w:t xml:space="preserve"> is the temperature of the burnt mixture. </w:t>
      </w:r>
      <w:r w:rsidRPr="00210CE3">
        <w:t>The cri</w:t>
      </w:r>
      <w:r>
        <w:t>tical flame kernel diameter is calculated</w:t>
      </w:r>
      <w:r w:rsidR="00ED4654" w:rsidRPr="00210CE3">
        <w:t xml:space="preserve"> as</w:t>
      </w:r>
      <w:r>
        <w:t xml:space="preserve"> </w:t>
      </w:r>
      <m:oMath>
        <m:r>
          <w:rPr>
            <w:rFonts w:ascii="Cambria Math" w:hAnsi="Cambria Math"/>
          </w:rPr>
          <m:t>d</m:t>
        </m:r>
        <m:r>
          <m:rPr>
            <m:sty m:val="p"/>
          </m:rPr>
          <w:rPr>
            <w:rFonts w:ascii="Cambria Math" w:hAnsi="Cambria Math"/>
          </w:rPr>
          <m:t>=2.5</m:t>
        </m:r>
        <m:sSub>
          <m:sSubPr>
            <m:ctrlPr>
              <w:rPr>
                <w:rFonts w:ascii="Cambria Math" w:hAnsi="Cambria Math"/>
              </w:rPr>
            </m:ctrlPr>
          </m:sSubPr>
          <m:e>
            <m:r>
              <w:rPr>
                <w:rFonts w:ascii="Cambria Math" w:hAnsi="Cambria Math"/>
              </w:rPr>
              <m:t>δ</m:t>
            </m:r>
          </m:e>
          <m:sub>
            <m:r>
              <w:rPr>
                <w:rFonts w:ascii="Cambria Math" w:hAnsi="Cambria Math"/>
              </w:rPr>
              <m:t>L</m:t>
            </m:r>
          </m:sub>
        </m:sSub>
      </m:oMath>
      <w:r>
        <w:t>, with</w:t>
      </w:r>
      <m:oMath>
        <m:r>
          <w:rPr>
            <w:rFonts w:ascii="Cambria Math" w:hAnsi="Cambria Math"/>
          </w:rPr>
          <m:t xml:space="preserve"> </m:t>
        </m:r>
        <m:sSub>
          <m:sSubPr>
            <m:ctrlPr>
              <w:rPr>
                <w:rFonts w:ascii="Cambria Math" w:hAnsi="Cambria Math"/>
              </w:rPr>
            </m:ctrlPr>
          </m:sSubPr>
          <m:e>
            <m:r>
              <w:rPr>
                <w:rFonts w:ascii="Cambria Math" w:hAnsi="Cambria Math"/>
              </w:rPr>
              <m:t>δ</m:t>
            </m:r>
          </m:e>
          <m:sub>
            <m:r>
              <w:rPr>
                <w:rFonts w:ascii="Cambria Math" w:hAnsi="Cambria Math"/>
              </w:rPr>
              <m:t>L</m:t>
            </m:r>
          </m:sub>
        </m:sSub>
      </m:oMath>
      <w:r>
        <w:t xml:space="preserve"> being the laminar flame thickness </w:t>
      </w:r>
      <w:r w:rsidR="007A3822">
        <w:t xml:space="preserve">calculated </w:t>
      </w:r>
      <w:r w:rsidR="007E1165">
        <w:t>using Blint’s definition</w:t>
      </w:r>
      <w:r w:rsidR="00BC2E8D">
        <w:t xml:space="preserve"> </w:t>
      </w:r>
      <w:r w:rsidR="00BC2E8D" w:rsidRPr="00BC2E8D">
        <w:t>(</w:t>
      </w:r>
      <w:proofErr w:type="spellStart"/>
      <w:r w:rsidR="00BC2E8D" w:rsidRPr="00BC2E8D">
        <w:t>Poinsot</w:t>
      </w:r>
      <w:proofErr w:type="spellEnd"/>
      <w:r w:rsidR="00BC2E8D" w:rsidRPr="00BC2E8D">
        <w:t xml:space="preserve"> and </w:t>
      </w:r>
      <w:proofErr w:type="spellStart"/>
      <w:r w:rsidR="00BC2E8D" w:rsidRPr="00BC2E8D">
        <w:t>Veynante</w:t>
      </w:r>
      <w:proofErr w:type="spellEnd"/>
      <w:r w:rsidR="00BC2E8D" w:rsidRPr="00BC2E8D">
        <w:t>, 2005)</w:t>
      </w:r>
      <w:r w:rsidR="007E1165">
        <w:t xml:space="preserve">. The laminar flame thickness </w:t>
      </w:r>
      <w:r w:rsidR="008E1B3A">
        <w:t xml:space="preserve">requires </w:t>
      </w:r>
      <w:r w:rsidR="0015542F">
        <w:t>knowledge</w:t>
      </w:r>
      <w:r w:rsidR="008E1B3A">
        <w:t xml:space="preserve"> of the </w:t>
      </w:r>
      <w:r w:rsidR="008E1B3A" w:rsidRPr="00023E35">
        <w:rPr>
          <w:rFonts w:eastAsiaTheme="minorEastAsia"/>
        </w:rPr>
        <w:t xml:space="preserve">laminar </w:t>
      </w:r>
      <w:r w:rsidR="008E1B3A">
        <w:rPr>
          <w:rFonts w:eastAsiaTheme="minorEastAsia"/>
        </w:rPr>
        <w:t>burning velocity</w:t>
      </w:r>
      <w:r w:rsidR="008E1B3A" w:rsidRPr="00F160E0">
        <w:rPr>
          <w:rFonts w:eastAsiaTheme="minorEastAsia"/>
          <w:i/>
          <w:iCs/>
        </w:rPr>
        <w:t xml:space="preserve"> S</w:t>
      </w:r>
      <w:r w:rsidR="008E1B3A" w:rsidRPr="00F160E0">
        <w:rPr>
          <w:rFonts w:eastAsiaTheme="minorEastAsia"/>
          <w:i/>
          <w:iCs/>
          <w:vertAlign w:val="subscript"/>
        </w:rPr>
        <w:t>u</w:t>
      </w:r>
      <w:r w:rsidR="0028001D">
        <w:rPr>
          <w:rFonts w:eastAsiaTheme="minorEastAsia"/>
        </w:rPr>
        <w:t xml:space="preserve"> and properties of the hydrogen-air mixture, which are calculated </w:t>
      </w:r>
      <w:r w:rsidR="00A502DA">
        <w:rPr>
          <w:rFonts w:eastAsiaTheme="minorEastAsia"/>
        </w:rPr>
        <w:t>by</w:t>
      </w:r>
      <w:r w:rsidR="00A502DA">
        <w:t xml:space="preserve"> C</w:t>
      </w:r>
      <w:r w:rsidR="00B95A18">
        <w:t>hemkin software</w:t>
      </w:r>
      <w:r w:rsidR="001C7260">
        <w:t xml:space="preserve"> and correlation</w:t>
      </w:r>
      <w:r w:rsidR="0028001D">
        <w:t>s</w:t>
      </w:r>
      <w:r w:rsidR="001C7260">
        <w:t>.</w:t>
      </w:r>
      <w:r w:rsidR="0004081E">
        <w:t xml:space="preserve"> </w:t>
      </w:r>
      <w:r w:rsidR="00B95A18">
        <w:t xml:space="preserve">The model is validated against </w:t>
      </w:r>
      <w:r w:rsidR="00A502DA">
        <w:t xml:space="preserve">PRESLHY </w:t>
      </w:r>
      <w:r w:rsidR="00B95A18">
        <w:t>experiment</w:t>
      </w:r>
      <w:r w:rsidR="000505BB">
        <w:t xml:space="preserve">s </w:t>
      </w:r>
      <w:r w:rsidR="00B95A18">
        <w:t>at ambient and cryogenic (down to 123 K) temperatures</w:t>
      </w:r>
      <w:r w:rsidR="00894AEF">
        <w:t xml:space="preserve"> </w:t>
      </w:r>
      <w:r w:rsidR="00894AEF" w:rsidRPr="00CD0E38">
        <w:rPr>
          <w:szCs w:val="24"/>
        </w:rPr>
        <w:t>(Cirrone et al., 2023</w:t>
      </w:r>
      <w:r w:rsidR="00894AEF">
        <w:rPr>
          <w:szCs w:val="24"/>
        </w:rPr>
        <w:t>b</w:t>
      </w:r>
      <w:r w:rsidR="00894AEF" w:rsidRPr="00CD0E38">
        <w:rPr>
          <w:szCs w:val="24"/>
        </w:rPr>
        <w:t>)</w:t>
      </w:r>
      <w:r w:rsidR="00B95A18">
        <w:t>. Results show</w:t>
      </w:r>
      <w:r w:rsidR="005079D9">
        <w:t>ed</w:t>
      </w:r>
      <w:r w:rsidR="007A1F87" w:rsidRPr="007A1F87">
        <w:t xml:space="preserve"> a slight increase of MIE for decreasing temperature of the mixture</w:t>
      </w:r>
      <w:r w:rsidR="006656DC">
        <w:t xml:space="preserve"> and</w:t>
      </w:r>
      <w:r w:rsidR="007A1F87" w:rsidRPr="007A1F87">
        <w:t xml:space="preserve"> </w:t>
      </w:r>
      <w:r w:rsidR="00B95A18">
        <w:t xml:space="preserve">that the effect of flame </w:t>
      </w:r>
      <w:proofErr w:type="gramStart"/>
      <w:r w:rsidR="00B95A18">
        <w:t>stretch</w:t>
      </w:r>
      <w:proofErr w:type="gramEnd"/>
      <w:r w:rsidR="00B95A18">
        <w:t xml:space="preserve"> and preferential diffusion shall be considered </w:t>
      </w:r>
      <w:r w:rsidR="00F60073">
        <w:t xml:space="preserve">for </w:t>
      </w:r>
      <w:r w:rsidR="00B95A18">
        <w:t>accurate</w:t>
      </w:r>
      <w:r w:rsidR="00F60073">
        <w:t xml:space="preserve"> prediction.</w:t>
      </w:r>
    </w:p>
    <w:p w14:paraId="5431A07B" w14:textId="77777777" w:rsidR="00FB185D" w:rsidRDefault="0070246E" w:rsidP="00F87CC2">
      <w:pPr>
        <w:pStyle w:val="CETEquation"/>
      </w:pPr>
      <w:r w:rsidRPr="0070246E">
        <w:rPr>
          <w:noProof/>
        </w:rPr>
        <w:drawing>
          <wp:inline distT="0" distB="0" distL="0" distR="0" wp14:anchorId="52A1F264" wp14:editId="172E6FB0">
            <wp:extent cx="3092336" cy="158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2336" cy="1584000"/>
                    </a:xfrm>
                    <a:prstGeom prst="rect">
                      <a:avLst/>
                    </a:prstGeom>
                    <a:noFill/>
                    <a:ln>
                      <a:noFill/>
                    </a:ln>
                  </pic:spPr>
                </pic:pic>
              </a:graphicData>
            </a:graphic>
          </wp:inline>
        </w:drawing>
      </w:r>
    </w:p>
    <w:p w14:paraId="76D8F7B9" w14:textId="33C7F08D" w:rsidR="0004081E" w:rsidRDefault="00FB185D" w:rsidP="001C7260">
      <w:pPr>
        <w:pStyle w:val="CETCaption"/>
      </w:pPr>
      <w:r>
        <w:t xml:space="preserve">Figure </w:t>
      </w:r>
      <w:r>
        <w:fldChar w:fldCharType="begin"/>
      </w:r>
      <w:r>
        <w:instrText xml:space="preserve"> SEQ Figure \* ARABIC </w:instrText>
      </w:r>
      <w:r>
        <w:fldChar w:fldCharType="separate"/>
      </w:r>
      <w:r w:rsidR="003803C3">
        <w:rPr>
          <w:noProof/>
        </w:rPr>
        <w:t>3</w:t>
      </w:r>
      <w:r>
        <w:fldChar w:fldCharType="end"/>
      </w:r>
      <w:r>
        <w:t>: Comparison of results from</w:t>
      </w:r>
      <w:r w:rsidRPr="0078183F">
        <w:t xml:space="preserve"> the </w:t>
      </w:r>
      <w:r>
        <w:t>developed model against PRESLHY ex</w:t>
      </w:r>
      <w:r w:rsidRPr="0078183F">
        <w:t>periments</w:t>
      </w:r>
      <w:r>
        <w:t xml:space="preserve"> on</w:t>
      </w:r>
      <w:r w:rsidRPr="0078183F">
        <w:t xml:space="preserve"> hydrogen-air mixtures at initial temperature 173 K</w:t>
      </w:r>
      <w:r w:rsidR="00235A99">
        <w:t xml:space="preserve"> </w:t>
      </w:r>
      <w:r w:rsidR="00235A99" w:rsidRPr="00CD0E38">
        <w:rPr>
          <w:szCs w:val="24"/>
        </w:rPr>
        <w:t>(Cirrone et al., 2023</w:t>
      </w:r>
      <w:r w:rsidR="00235A99">
        <w:rPr>
          <w:szCs w:val="24"/>
        </w:rPr>
        <w:t>b</w:t>
      </w:r>
      <w:r w:rsidR="00235A99" w:rsidRPr="00CD0E38">
        <w:rPr>
          <w:szCs w:val="24"/>
        </w:rPr>
        <w:t>)</w:t>
      </w:r>
      <w:r w:rsidRPr="0078183F">
        <w:t>.</w:t>
      </w:r>
    </w:p>
    <w:p w14:paraId="64AFB66C" w14:textId="380E4656" w:rsidR="0018319A" w:rsidRDefault="002F7466" w:rsidP="0023038D">
      <w:pPr>
        <w:pStyle w:val="CETBodytext"/>
      </w:pPr>
      <w:r w:rsidRPr="002F7466">
        <w:t xml:space="preserve">CFD modelling </w:t>
      </w:r>
      <w:r w:rsidR="004858F4">
        <w:t xml:space="preserve">has been used to </w:t>
      </w:r>
      <w:r w:rsidRPr="002F7466">
        <w:t xml:space="preserve">complement and support the </w:t>
      </w:r>
      <w:r w:rsidR="00D944BC">
        <w:t>theoretical</w:t>
      </w:r>
      <w:r w:rsidR="00D944BC" w:rsidRPr="002F7466">
        <w:t xml:space="preserve"> </w:t>
      </w:r>
      <w:r w:rsidRPr="002F7466">
        <w:t>model for determination of MIE</w:t>
      </w:r>
      <w:r w:rsidR="004858F4">
        <w:t xml:space="preserve">, by providing </w:t>
      </w:r>
      <w:r w:rsidRPr="002F7466">
        <w:t xml:space="preserve">insights into the effect of the experimental apparatus features, </w:t>
      </w:r>
      <w:proofErr w:type="gramStart"/>
      <w:r w:rsidRPr="002F7466">
        <w:t>e.g.</w:t>
      </w:r>
      <w:proofErr w:type="gramEnd"/>
      <w:r w:rsidRPr="002F7466">
        <w:t xml:space="preserve"> the electrodes’ size</w:t>
      </w:r>
      <w:r w:rsidR="00EE1898">
        <w:t xml:space="preserve"> and shape</w:t>
      </w:r>
      <w:r w:rsidR="004858F4">
        <w:t>,</w:t>
      </w:r>
      <w:r w:rsidR="008E1B3A">
        <w:t xml:space="preserve"> the</w:t>
      </w:r>
      <w:r w:rsidRPr="002F7466">
        <w:t xml:space="preserve"> flame kernel development, etc.</w:t>
      </w:r>
      <w:r w:rsidR="002E21DC" w:rsidRPr="002E21DC">
        <w:t xml:space="preserve"> The CFD </w:t>
      </w:r>
      <w:r w:rsidR="00EE1898">
        <w:t>model</w:t>
      </w:r>
      <w:r w:rsidR="00EE1898" w:rsidRPr="002E21DC">
        <w:t xml:space="preserve"> </w:t>
      </w:r>
      <w:r w:rsidR="002E21DC" w:rsidRPr="002E21DC">
        <w:t xml:space="preserve">employs chemical kinetics, including 13 chemical species and 37-step reduced chemical reaction for hydrogen-air combustion. </w:t>
      </w:r>
      <w:r w:rsidR="000B4561" w:rsidRPr="000B4561">
        <w:t xml:space="preserve">The </w:t>
      </w:r>
      <w:r w:rsidR="000B4561">
        <w:t>MIE</w:t>
      </w:r>
      <w:r w:rsidR="000B4561" w:rsidRPr="000B4561">
        <w:t xml:space="preserve"> is determined by progressively reducing the energy released in the spark channel and verify until which value released energy leads to ignition</w:t>
      </w:r>
      <w:r w:rsidR="00E50D9D">
        <w:t xml:space="preserve"> and </w:t>
      </w:r>
      <w:r w:rsidR="00E1791B" w:rsidRPr="00E1791B">
        <w:t xml:space="preserve">formation of a flame kernel propagating outwards the spark channel. </w:t>
      </w:r>
      <w:r w:rsidR="00716495">
        <w:fldChar w:fldCharType="begin"/>
      </w:r>
      <w:r w:rsidR="00716495">
        <w:instrText xml:space="preserve"> REF _Ref127188046 \h </w:instrText>
      </w:r>
      <w:r w:rsidR="00716495">
        <w:fldChar w:fldCharType="separate"/>
      </w:r>
      <w:r w:rsidR="00716495">
        <w:t xml:space="preserve">Figure </w:t>
      </w:r>
      <w:r w:rsidR="00716495">
        <w:rPr>
          <w:noProof/>
        </w:rPr>
        <w:t>4</w:t>
      </w:r>
      <w:r w:rsidR="00716495">
        <w:fldChar w:fldCharType="end"/>
      </w:r>
      <w:r w:rsidR="00716495">
        <w:t xml:space="preserve">a </w:t>
      </w:r>
      <w:r w:rsidR="0018319A">
        <w:t xml:space="preserve">shows the ignition energies resulting in ignition or failure to ignite in simulations. </w:t>
      </w:r>
      <w:r w:rsidR="00716495">
        <w:t>O</w:t>
      </w:r>
      <w:r w:rsidR="0018319A">
        <w:t xml:space="preserve">verall, it </w:t>
      </w:r>
      <w:r w:rsidR="000D6A22">
        <w:t>wa</w:t>
      </w:r>
      <w:r w:rsidR="0018319A">
        <w:t>s found that simulations</w:t>
      </w:r>
      <w:r w:rsidR="00C55F98">
        <w:t>’</w:t>
      </w:r>
      <w:r w:rsidR="0018319A">
        <w:t xml:space="preserve"> results well predict experimental</w:t>
      </w:r>
      <w:r w:rsidR="00716495">
        <w:t xml:space="preserve"> </w:t>
      </w:r>
      <w:r w:rsidR="0018319A">
        <w:t xml:space="preserve">measurements within the range of hydrogen concentrations </w:t>
      </w:r>
      <w:r w:rsidR="00202202">
        <w:t xml:space="preserve">in air </w:t>
      </w:r>
      <w:r w:rsidR="0018319A">
        <w:t>10-55 % by vol.</w:t>
      </w:r>
      <w:r w:rsidR="0023038D">
        <w:t xml:space="preserve"> </w:t>
      </w:r>
      <w:r w:rsidR="0023038D">
        <w:fldChar w:fldCharType="begin"/>
      </w:r>
      <w:r w:rsidR="0023038D">
        <w:instrText xml:space="preserve"> REF _Ref127188046 \h </w:instrText>
      </w:r>
      <w:r w:rsidR="0023038D">
        <w:fldChar w:fldCharType="separate"/>
      </w:r>
      <w:r w:rsidR="0023038D">
        <w:t xml:space="preserve">Figure </w:t>
      </w:r>
      <w:r w:rsidR="0023038D">
        <w:rPr>
          <w:noProof/>
        </w:rPr>
        <w:t>4</w:t>
      </w:r>
      <w:r w:rsidR="0023038D">
        <w:fldChar w:fldCharType="end"/>
      </w:r>
      <w:r w:rsidR="0023038D">
        <w:t xml:space="preserve">b shows the flame kernel growth from 45 to 500 </w:t>
      </w:r>
      <w:proofErr w:type="spellStart"/>
      <w:r w:rsidR="0023038D">
        <w:t>μs</w:t>
      </w:r>
      <w:proofErr w:type="spellEnd"/>
      <w:r w:rsidR="0023038D">
        <w:t xml:space="preserve"> via the temperature and OH mole fraction contours. The flame kernel starts to develop at 100 </w:t>
      </w:r>
      <w:proofErr w:type="spellStart"/>
      <w:r w:rsidR="0023038D">
        <w:t>μs</w:t>
      </w:r>
      <w:proofErr w:type="spellEnd"/>
      <w:r w:rsidR="000B3A87">
        <w:t xml:space="preserve"> and then </w:t>
      </w:r>
      <w:r w:rsidR="0023038D">
        <w:t>expand</w:t>
      </w:r>
      <w:r w:rsidR="0089708A">
        <w:t>s</w:t>
      </w:r>
      <w:r w:rsidR="0023038D">
        <w:t xml:space="preserve"> spherically. </w:t>
      </w:r>
    </w:p>
    <w:p w14:paraId="00FF2433" w14:textId="423F7A5C" w:rsidR="000B3A87" w:rsidRDefault="009A7C04" w:rsidP="00DC0D5D">
      <w:pPr>
        <w:pStyle w:val="CETEquation"/>
      </w:pPr>
      <w:r w:rsidRPr="009A7C04">
        <w:rPr>
          <w:noProof/>
        </w:rPr>
        <w:drawing>
          <wp:inline distT="0" distB="0" distL="0" distR="0" wp14:anchorId="0542F460" wp14:editId="63EA5AE1">
            <wp:extent cx="2886241" cy="1440000"/>
            <wp:effectExtent l="0" t="0" r="0" b="8255"/>
            <wp:docPr id="696504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6241" cy="1440000"/>
                    </a:xfrm>
                    <a:prstGeom prst="rect">
                      <a:avLst/>
                    </a:prstGeom>
                    <a:noFill/>
                    <a:ln>
                      <a:noFill/>
                    </a:ln>
                  </pic:spPr>
                </pic:pic>
              </a:graphicData>
            </a:graphic>
          </wp:inline>
        </w:drawing>
      </w:r>
      <w:r w:rsidR="000B3A87" w:rsidRPr="003803C3">
        <w:rPr>
          <w:noProof/>
        </w:rPr>
        <w:drawing>
          <wp:inline distT="0" distB="0" distL="0" distR="0" wp14:anchorId="594B6CB3" wp14:editId="6CA8D506">
            <wp:extent cx="2448000" cy="141637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17"/>
                    <a:stretch>
                      <a:fillRect/>
                    </a:stretch>
                  </pic:blipFill>
                  <pic:spPr>
                    <a:xfrm>
                      <a:off x="0" y="0"/>
                      <a:ext cx="2448000" cy="1416370"/>
                    </a:xfrm>
                    <a:prstGeom prst="rect">
                      <a:avLst/>
                    </a:prstGeom>
                  </pic:spPr>
                </pic:pic>
              </a:graphicData>
            </a:graphic>
          </wp:inline>
        </w:drawing>
      </w:r>
    </w:p>
    <w:p w14:paraId="419EB7D4" w14:textId="7473B1AD" w:rsidR="000B3A87" w:rsidRPr="000B3A87" w:rsidRDefault="000B3A87" w:rsidP="000B3A87">
      <w:pPr>
        <w:pStyle w:val="CETCaption"/>
      </w:pPr>
      <w:bookmarkStart w:id="4" w:name="_Ref127188046"/>
      <w:r>
        <w:t xml:space="preserve">Figure </w:t>
      </w:r>
      <w:r>
        <w:fldChar w:fldCharType="begin"/>
      </w:r>
      <w:r>
        <w:instrText xml:space="preserve"> SEQ Figure \* ARABIC </w:instrText>
      </w:r>
      <w:r>
        <w:fldChar w:fldCharType="separate"/>
      </w:r>
      <w:r>
        <w:rPr>
          <w:noProof/>
        </w:rPr>
        <w:t>4</w:t>
      </w:r>
      <w:r>
        <w:fldChar w:fldCharType="end"/>
      </w:r>
      <w:bookmarkEnd w:id="4"/>
      <w:r>
        <w:t>:</w:t>
      </w:r>
      <w:r w:rsidRPr="00515D65">
        <w:t xml:space="preserve"> </w:t>
      </w:r>
      <w:r w:rsidR="009A1A92">
        <w:t>C</w:t>
      </w:r>
      <w:r>
        <w:t>omparison of CFD calculations of MIE in hydrogen-air mixture with initial temperature 288 K against experiments in</w:t>
      </w:r>
      <w:r w:rsidR="00894AEF">
        <w:t xml:space="preserve"> </w:t>
      </w:r>
      <w:r w:rsidR="00894AEF" w:rsidRPr="00894AEF">
        <w:t>(Lewis and</w:t>
      </w:r>
      <w:r w:rsidR="00894AEF">
        <w:t xml:space="preserve"> von</w:t>
      </w:r>
      <w:r w:rsidR="00894AEF" w:rsidRPr="00894AEF">
        <w:t xml:space="preserve"> Elbe, 1961; Ono et al., 2007; Proust, 2021)</w:t>
      </w:r>
      <w:r w:rsidR="00C60100">
        <w:t xml:space="preserve"> - left</w:t>
      </w:r>
      <w:r>
        <w:t xml:space="preserve">. </w:t>
      </w:r>
      <w:r w:rsidR="00C60100">
        <w:t>F</w:t>
      </w:r>
      <w:r w:rsidRPr="00515D65">
        <w:t>lame kernel growth for T=288K, H2=29% by vol. in air, MIE=15</w:t>
      </w:r>
      <w:r w:rsidR="0074010E">
        <w:t xml:space="preserve"> </w:t>
      </w:r>
      <w:proofErr w:type="spellStart"/>
      <w:r w:rsidRPr="00515D65">
        <w:t>μJ</w:t>
      </w:r>
      <w:proofErr w:type="spellEnd"/>
      <w:r w:rsidR="00C60100">
        <w:t xml:space="preserve"> - right</w:t>
      </w:r>
      <w:r w:rsidRPr="00515D65">
        <w:t>.</w:t>
      </w:r>
    </w:p>
    <w:p w14:paraId="27A57699" w14:textId="77777777" w:rsidR="0038088B" w:rsidRPr="00B57B36" w:rsidRDefault="0038088B" w:rsidP="0038088B">
      <w:pPr>
        <w:pStyle w:val="CETheadingx"/>
      </w:pPr>
      <w:r>
        <w:lastRenderedPageBreak/>
        <w:t>Spontaneous ignition of cryogenic hydrogen</w:t>
      </w:r>
    </w:p>
    <w:p w14:paraId="6E959ADC" w14:textId="1D3BFADB" w:rsidR="0038088B" w:rsidRPr="0038088B" w:rsidRDefault="0038088B" w:rsidP="0023038D">
      <w:pPr>
        <w:pStyle w:val="CETBodytext"/>
        <w:rPr>
          <w:bCs/>
          <w:szCs w:val="18"/>
        </w:rPr>
      </w:pPr>
      <w:r w:rsidRPr="005A7D4E">
        <w:rPr>
          <w:bCs/>
          <w:szCs w:val="18"/>
        </w:rPr>
        <w:t xml:space="preserve">Sudden releases of </w:t>
      </w:r>
      <w:r w:rsidR="00E41BE8">
        <w:rPr>
          <w:bCs/>
          <w:szCs w:val="18"/>
        </w:rPr>
        <w:t>high-pressure</w:t>
      </w:r>
      <w:r w:rsidRPr="005A7D4E">
        <w:rPr>
          <w:bCs/>
          <w:szCs w:val="18"/>
        </w:rPr>
        <w:t xml:space="preserve"> hydrogen may spontaneously ignite by the so-called “diffusion ignition” mechanism. Several experimental and numerical studies have been performed on spontaneous ignition for compressed hydrogen at ambient temperature</w:t>
      </w:r>
      <w:r>
        <w:rPr>
          <w:bCs/>
          <w:szCs w:val="18"/>
        </w:rPr>
        <w:t xml:space="preserve">. A </w:t>
      </w:r>
      <w:r w:rsidR="006B1002">
        <w:rPr>
          <w:bCs/>
          <w:szCs w:val="18"/>
        </w:rPr>
        <w:t xml:space="preserve">Large Eddy Simulation (LES) </w:t>
      </w:r>
      <w:r w:rsidR="008B5C46">
        <w:rPr>
          <w:bCs/>
          <w:szCs w:val="18"/>
        </w:rPr>
        <w:t xml:space="preserve">model </w:t>
      </w:r>
      <w:r>
        <w:rPr>
          <w:bCs/>
          <w:szCs w:val="18"/>
        </w:rPr>
        <w:t>has been</w:t>
      </w:r>
      <w:r w:rsidR="006B1002">
        <w:rPr>
          <w:bCs/>
          <w:szCs w:val="18"/>
        </w:rPr>
        <w:t xml:space="preserve"> developed to investigate</w:t>
      </w:r>
      <w:r>
        <w:rPr>
          <w:bCs/>
          <w:szCs w:val="18"/>
        </w:rPr>
        <w:t xml:space="preserve"> the effect of</w:t>
      </w:r>
      <w:r w:rsidRPr="005A7D4E">
        <w:rPr>
          <w:bCs/>
          <w:szCs w:val="18"/>
        </w:rPr>
        <w:t xml:space="preserve"> temperature decrease from ambient 300 K to cryogenic 80 K </w:t>
      </w:r>
      <w:r>
        <w:rPr>
          <w:bCs/>
          <w:szCs w:val="18"/>
        </w:rPr>
        <w:t xml:space="preserve">on the potential for spontaneous ignition </w:t>
      </w:r>
      <w:r w:rsidR="0036145A">
        <w:rPr>
          <w:bCs/>
          <w:szCs w:val="18"/>
        </w:rPr>
        <w:t xml:space="preserve">by “diffusion mechanism” </w:t>
      </w:r>
      <w:r>
        <w:rPr>
          <w:bCs/>
          <w:szCs w:val="18"/>
        </w:rPr>
        <w:t>to occur</w:t>
      </w:r>
      <w:r w:rsidR="00AD7801">
        <w:rPr>
          <w:bCs/>
          <w:szCs w:val="18"/>
        </w:rPr>
        <w:t xml:space="preserve"> </w:t>
      </w:r>
      <w:r w:rsidR="005A0B80">
        <w:rPr>
          <w:bCs/>
          <w:szCs w:val="18"/>
        </w:rPr>
        <w:t xml:space="preserve">in </w:t>
      </w:r>
      <w:r w:rsidR="00AD7801">
        <w:rPr>
          <w:bCs/>
          <w:szCs w:val="18"/>
        </w:rPr>
        <w:t xml:space="preserve">a T-shaped channel system </w:t>
      </w:r>
      <w:r w:rsidR="005A0B80">
        <w:rPr>
          <w:bCs/>
          <w:szCs w:val="18"/>
        </w:rPr>
        <w:t xml:space="preserve">after rupture </w:t>
      </w:r>
      <w:r w:rsidR="00AD7801">
        <w:rPr>
          <w:bCs/>
          <w:szCs w:val="18"/>
        </w:rPr>
        <w:t>of a burst disk</w:t>
      </w:r>
      <w:r w:rsidR="00DE0F55">
        <w:rPr>
          <w:bCs/>
          <w:szCs w:val="18"/>
        </w:rPr>
        <w:t xml:space="preserve"> </w:t>
      </w:r>
      <w:r w:rsidR="00DE0F55" w:rsidRPr="00DE0F55">
        <w:rPr>
          <w:bCs/>
          <w:szCs w:val="18"/>
        </w:rPr>
        <w:t>(Cirrone et al., 2022</w:t>
      </w:r>
      <w:r w:rsidR="009A7B7D">
        <w:rPr>
          <w:bCs/>
          <w:szCs w:val="18"/>
        </w:rPr>
        <w:t>d</w:t>
      </w:r>
      <w:r w:rsidR="00DE0F55" w:rsidRPr="00DE0F55">
        <w:rPr>
          <w:bCs/>
          <w:szCs w:val="18"/>
        </w:rPr>
        <w:t>)</w:t>
      </w:r>
      <w:r>
        <w:rPr>
          <w:bCs/>
          <w:szCs w:val="18"/>
        </w:rPr>
        <w:t xml:space="preserve">. </w:t>
      </w:r>
      <w:r w:rsidRPr="005A7D4E">
        <w:rPr>
          <w:bCs/>
          <w:szCs w:val="18"/>
        </w:rPr>
        <w:t xml:space="preserve">The </w:t>
      </w:r>
      <w:r>
        <w:rPr>
          <w:bCs/>
          <w:szCs w:val="18"/>
        </w:rPr>
        <w:t>CFD model was</w:t>
      </w:r>
      <w:r w:rsidRPr="005A7D4E">
        <w:rPr>
          <w:bCs/>
          <w:szCs w:val="18"/>
        </w:rPr>
        <w:t xml:space="preserve"> </w:t>
      </w:r>
      <w:r w:rsidR="00F10A4C">
        <w:rPr>
          <w:bCs/>
          <w:szCs w:val="18"/>
        </w:rPr>
        <w:t xml:space="preserve">first </w:t>
      </w:r>
      <w:r w:rsidRPr="005A7D4E">
        <w:rPr>
          <w:bCs/>
          <w:szCs w:val="18"/>
        </w:rPr>
        <w:t>validated against experiments at atmospheric temperatures</w:t>
      </w:r>
      <w:r w:rsidR="00621B29">
        <w:rPr>
          <w:bCs/>
          <w:szCs w:val="18"/>
        </w:rPr>
        <w:t xml:space="preserve"> and then applied to cryo-compressed hydrogen. </w:t>
      </w:r>
      <w:r w:rsidR="00F10A4C">
        <w:rPr>
          <w:bCs/>
          <w:szCs w:val="18"/>
        </w:rPr>
        <w:t>I</w:t>
      </w:r>
      <w:r w:rsidRPr="005A7D4E">
        <w:rPr>
          <w:bCs/>
          <w:szCs w:val="18"/>
        </w:rPr>
        <w:t xml:space="preserve">t </w:t>
      </w:r>
      <w:r w:rsidR="007508A0">
        <w:rPr>
          <w:bCs/>
          <w:szCs w:val="18"/>
        </w:rPr>
        <w:t>wa</w:t>
      </w:r>
      <w:r w:rsidRPr="005A7D4E">
        <w:rPr>
          <w:bCs/>
          <w:szCs w:val="18"/>
        </w:rPr>
        <w:t xml:space="preserve">s found that the pressure limit </w:t>
      </w:r>
      <w:r w:rsidR="007508A0">
        <w:rPr>
          <w:bCs/>
          <w:szCs w:val="18"/>
        </w:rPr>
        <w:t>leading to</w:t>
      </w:r>
      <w:r w:rsidRPr="005A7D4E">
        <w:rPr>
          <w:bCs/>
          <w:szCs w:val="18"/>
        </w:rPr>
        <w:t xml:space="preserve"> spontaneous ignition of the cryo-compressed hydrogen at temperature 80 K is 9.4 MPa. This is more than 3 times larger than </w:t>
      </w:r>
      <w:proofErr w:type="gramStart"/>
      <w:r w:rsidRPr="005A7D4E">
        <w:rPr>
          <w:bCs/>
          <w:szCs w:val="18"/>
        </w:rPr>
        <w:t>pressure</w:t>
      </w:r>
      <w:proofErr w:type="gramEnd"/>
      <w:r w:rsidRPr="005A7D4E">
        <w:rPr>
          <w:bCs/>
          <w:szCs w:val="18"/>
        </w:rPr>
        <w:t xml:space="preserve"> limit for spontaneous ignition of 2.9 MPa in the same setup at ambient temperature of 300 K.</w:t>
      </w:r>
    </w:p>
    <w:p w14:paraId="68D26B83" w14:textId="3433A23F" w:rsidR="00600535" w:rsidRDefault="00600535" w:rsidP="00600535">
      <w:pPr>
        <w:pStyle w:val="CETHeading1"/>
        <w:rPr>
          <w:lang w:val="en-GB"/>
        </w:rPr>
      </w:pPr>
      <w:r w:rsidRPr="00B57B36">
        <w:rPr>
          <w:lang w:val="en-GB"/>
        </w:rPr>
        <w:t>Co</w:t>
      </w:r>
      <w:r w:rsidR="005C4ABB">
        <w:rPr>
          <w:lang w:val="en-GB"/>
        </w:rPr>
        <w:t>mbustion</w:t>
      </w:r>
    </w:p>
    <w:p w14:paraId="34AFC540" w14:textId="6ED7CA49" w:rsidR="00817191" w:rsidRDefault="006A24D8" w:rsidP="00817191">
      <w:pPr>
        <w:pStyle w:val="CETheadingx"/>
      </w:pPr>
      <w:r>
        <w:t>The</w:t>
      </w:r>
      <w:r w:rsidR="00817191">
        <w:t xml:space="preserve"> dimensionless correlation for the flame length of cryogenic hydrogen jet fires</w:t>
      </w:r>
    </w:p>
    <w:p w14:paraId="4A4E67BD" w14:textId="3CEEAA62" w:rsidR="005B2F13" w:rsidRDefault="00576E36" w:rsidP="00D4189D">
      <w:pPr>
        <w:pStyle w:val="CETBodytext"/>
        <w:rPr>
          <w:lang w:val="en-GB"/>
        </w:rPr>
      </w:pPr>
      <w:r w:rsidRPr="00576E36">
        <w:rPr>
          <w:lang w:val="en-GB"/>
        </w:rPr>
        <w:t xml:space="preserve">The dimensionless correlation for hydrogen jet flames </w:t>
      </w:r>
      <w:r w:rsidR="005847B7">
        <w:rPr>
          <w:lang w:val="en-GB"/>
        </w:rPr>
        <w:t>allows to calculate the flame length of hydrogen jet fires</w:t>
      </w:r>
      <w:r w:rsidR="002F4425">
        <w:rPr>
          <w:lang w:val="en-GB"/>
        </w:rPr>
        <w:t xml:space="preserve">. </w:t>
      </w:r>
    </w:p>
    <w:p w14:paraId="2B0B3A95" w14:textId="7A885A5F" w:rsidR="005B2F13" w:rsidRDefault="00EB4923" w:rsidP="00EB4923">
      <w:r>
        <w:t xml:space="preserve">The correlation was </w:t>
      </w:r>
      <w:r w:rsidRPr="00576E36">
        <w:t xml:space="preserve">developed </w:t>
      </w:r>
      <w:r w:rsidR="00653323">
        <w:t>in 201</w:t>
      </w:r>
      <w:r w:rsidR="004E48AE">
        <w:t>2</w:t>
      </w:r>
      <w:r w:rsidR="00653323">
        <w:t xml:space="preserve"> </w:t>
      </w:r>
      <w:r w:rsidRPr="00576E36">
        <w:t>at Ulster University for ambient temperatures</w:t>
      </w:r>
      <w:r>
        <w:t xml:space="preserve"> and is valid for laminar and turbulent flames, buoyancy-</w:t>
      </w:r>
      <w:r w:rsidR="006D326C">
        <w:t>controlled</w:t>
      </w:r>
      <w:r>
        <w:t xml:space="preserve"> and momentum-</w:t>
      </w:r>
      <w:r w:rsidR="006D326C">
        <w:t xml:space="preserve">dominated </w:t>
      </w:r>
      <w:r>
        <w:t>fires, expanded and under-expanded jet fires</w:t>
      </w:r>
      <w:r w:rsidR="00EC5A26">
        <w:t xml:space="preserve"> (Molkov, 2012)</w:t>
      </w:r>
      <w:r>
        <w:t xml:space="preserve">. The flame length </w:t>
      </w:r>
      <w:r w:rsidR="008575B5">
        <w:t>(</w:t>
      </w:r>
      <m:oMath>
        <m:sSub>
          <m:sSubPr>
            <m:ctrlPr>
              <w:rPr>
                <w:rFonts w:ascii="Cambria Math" w:hAnsi="Cambria Math"/>
                <w:i/>
              </w:rPr>
            </m:ctrlPr>
          </m:sSubPr>
          <m:e>
            <m:r>
              <w:rPr>
                <w:rFonts w:ascii="Cambria Math" w:hAnsi="Cambria Math"/>
              </w:rPr>
              <m:t>L</m:t>
            </m:r>
          </m:e>
          <m:sub>
            <m:r>
              <w:rPr>
                <w:rFonts w:ascii="Cambria Math" w:hAnsi="Cambria Math"/>
              </w:rPr>
              <m:t>f</m:t>
            </m:r>
          </m:sub>
        </m:sSub>
      </m:oMath>
      <w:r w:rsidR="008575B5">
        <w:t>)</w:t>
      </w:r>
      <w:r>
        <w:t xml:space="preserve"> normalized to the </w:t>
      </w:r>
      <w:r w:rsidR="00653323">
        <w:t>nozzle</w:t>
      </w:r>
      <w:r>
        <w:t xml:space="preserve"> diameter</w:t>
      </w:r>
      <w:r w:rsidR="008575B5">
        <w:t xml:space="preserve"> (</w:t>
      </w:r>
      <m:oMath>
        <m:r>
          <w:rPr>
            <w:rFonts w:ascii="Cambria Math" w:hAnsi="Cambria Math"/>
          </w:rPr>
          <m:t>d</m:t>
        </m:r>
      </m:oMath>
      <w:r w:rsidR="008575B5">
        <w:t>)</w:t>
      </w:r>
      <w:r>
        <w:t xml:space="preserve"> depends only on the </w:t>
      </w:r>
      <w:r w:rsidR="00F81BC8">
        <w:t xml:space="preserve">dimensionless quantity </w:t>
      </w:r>
      <m:oMath>
        <m:r>
          <w:rPr>
            <w:rFonts w:ascii="Cambria Math" w:hAnsi="Cambria Math" w:cs="Arial"/>
          </w:rPr>
          <m:t>X</m:t>
        </m:r>
      </m:oMath>
      <w:r w:rsidR="00F81BC8">
        <w:t xml:space="preserve"> defined by </w:t>
      </w:r>
      <w:r w:rsidR="00653323">
        <w:t>density</w:t>
      </w:r>
      <w:r w:rsidR="00F81BC8" w:rsidRPr="00F81BC8">
        <w:rPr>
          <w:rFonts w:cs="Arial"/>
        </w:rPr>
        <w:t xml:space="preserve"> </w:t>
      </w:r>
      <w:r w:rsidR="00653323">
        <w:t>(</w:t>
      </w:r>
      <m:oMath>
        <m:sSub>
          <m:sSubPr>
            <m:ctrlPr>
              <w:rPr>
                <w:rFonts w:ascii="Cambria Math" w:hAnsi="Cambria Math"/>
                <w:i/>
              </w:rPr>
            </m:ctrlPr>
          </m:sSubPr>
          <m:e>
            <m:r>
              <w:rPr>
                <w:rFonts w:ascii="Cambria Math" w:hAnsi="Cambria Math"/>
              </w:rPr>
              <m:t>ρ</m:t>
            </m:r>
          </m:e>
          <m:sub>
            <m:r>
              <w:rPr>
                <w:rFonts w:ascii="Cambria Math" w:hAnsi="Cambria Math"/>
              </w:rPr>
              <m:t>N</m:t>
            </m:r>
          </m:sub>
        </m:sSub>
        <m:r>
          <w:rPr>
            <w:rFonts w:ascii="Cambria Math" w:hAnsi="Cambria Math"/>
          </w:rPr>
          <m:t>)</m:t>
        </m:r>
      </m:oMath>
      <w:r w:rsidR="00392CD5">
        <w:t xml:space="preserve">, </w:t>
      </w:r>
      <w:r w:rsidR="00653323">
        <w:t xml:space="preserve">velocity </w:t>
      </w:r>
      <m:oMath>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oMath>
      <w:r w:rsidR="00653323">
        <w:t xml:space="preserve"> </w:t>
      </w:r>
      <w:r w:rsidR="00392CD5">
        <w:t xml:space="preserve">and </w:t>
      </w:r>
      <w:r>
        <w:t xml:space="preserve">speed of sound </w:t>
      </w:r>
      <w:r w:rsidR="001E402E">
        <w:t>(</w:t>
      </w:r>
      <m:oMath>
        <m:sSub>
          <m:sSubPr>
            <m:ctrlPr>
              <w:rPr>
                <w:rFonts w:ascii="Cambria Math" w:hAnsi="Cambria Math"/>
                <w:i/>
              </w:rPr>
            </m:ctrlPr>
          </m:sSubPr>
          <m:e>
            <m:r>
              <w:rPr>
                <w:rFonts w:ascii="Cambria Math" w:hAnsi="Cambria Math"/>
              </w:rPr>
              <m:t>C</m:t>
            </m:r>
          </m:e>
          <m:sub>
            <m:r>
              <w:rPr>
                <w:rFonts w:ascii="Cambria Math" w:hAnsi="Cambria Math"/>
              </w:rPr>
              <m:t>N</m:t>
            </m:r>
          </m:sub>
        </m:sSub>
      </m:oMath>
      <w:r w:rsidR="001E402E">
        <w:t>)</w:t>
      </w:r>
      <w:r w:rsidR="00392CD5">
        <w:t xml:space="preserve"> at the nozzle exit,</w:t>
      </w:r>
      <w:r w:rsidR="001E402E">
        <w:t xml:space="preserve"> </w:t>
      </w:r>
      <w:r>
        <w:t>and density of the surrounding air</w:t>
      </w:r>
      <w:r w:rsidR="001E402E">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oMath>
      <w:r w:rsidR="001E402E">
        <w:t>)</w:t>
      </w:r>
      <w:r w:rsidR="00F81BC8">
        <w:t>:</w:t>
      </w:r>
    </w:p>
    <w:tbl>
      <w:tblPr>
        <w:tblW w:w="5000" w:type="pct"/>
        <w:tblLook w:val="04A0" w:firstRow="1" w:lastRow="0" w:firstColumn="1" w:lastColumn="0" w:noHBand="0" w:noVBand="1"/>
      </w:tblPr>
      <w:tblGrid>
        <w:gridCol w:w="7982"/>
        <w:gridCol w:w="805"/>
      </w:tblGrid>
      <w:tr w:rsidR="00814EA2" w:rsidRPr="00B57B36" w14:paraId="3778B0CD" w14:textId="77777777" w:rsidTr="00336783">
        <w:tc>
          <w:tcPr>
            <w:tcW w:w="8188" w:type="dxa"/>
            <w:shd w:val="clear" w:color="auto" w:fill="auto"/>
            <w:vAlign w:val="center"/>
          </w:tcPr>
          <w:p w14:paraId="09E1C758" w14:textId="2BDFDCCB" w:rsidR="00814EA2" w:rsidRPr="00B57B36" w:rsidRDefault="00814EA2" w:rsidP="00814EA2">
            <m:oMath>
              <m:r>
                <w:rPr>
                  <w:rFonts w:ascii="Cambria Math" w:hAnsi="Cambria Math"/>
                </w:rPr>
                <m:t>X=</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N</m:t>
                      </m:r>
                    </m:sub>
                  </m:sSub>
                </m:num>
                <m:den>
                  <m:sSub>
                    <m:sSubPr>
                      <m:ctrlPr>
                        <w:rPr>
                          <w:rFonts w:ascii="Cambria Math" w:hAnsi="Cambria Math"/>
                          <w:i/>
                        </w:rPr>
                      </m:ctrlPr>
                    </m:sSubPr>
                    <m:e>
                      <m:r>
                        <w:rPr>
                          <w:rFonts w:ascii="Cambria Math" w:hAnsi="Cambria Math"/>
                        </w:rPr>
                        <m:t>ρ</m:t>
                      </m:r>
                    </m:e>
                    <m:sub>
                      <m:r>
                        <w:rPr>
                          <w:rFonts w:ascii="Cambria Math" w:hAnsi="Cambria Math"/>
                        </w:rPr>
                        <m:t>s</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N</m:t>
                              </m:r>
                            </m:sub>
                          </m:sSub>
                        </m:num>
                        <m:den>
                          <m:sSub>
                            <m:sSubPr>
                              <m:ctrlPr>
                                <w:rPr>
                                  <w:rFonts w:ascii="Cambria Math" w:hAnsi="Cambria Math"/>
                                  <w:i/>
                                </w:rPr>
                              </m:ctrlPr>
                            </m:sSubPr>
                            <m:e>
                              <m:r>
                                <w:rPr>
                                  <w:rFonts w:ascii="Cambria Math" w:hAnsi="Cambria Math"/>
                                </w:rPr>
                                <m:t>C</m:t>
                              </m:r>
                            </m:e>
                            <m:sub>
                              <m:r>
                                <w:rPr>
                                  <w:rFonts w:ascii="Cambria Math" w:hAnsi="Cambria Math"/>
                                </w:rPr>
                                <m:t>N</m:t>
                              </m:r>
                            </m:sub>
                          </m:sSub>
                        </m:den>
                      </m:f>
                    </m:e>
                  </m:d>
                </m:e>
                <m:sup>
                  <m:r>
                    <w:rPr>
                      <w:rFonts w:ascii="Cambria Math" w:hAnsi="Cambria Math"/>
                    </w:rPr>
                    <m:t>3</m:t>
                  </m:r>
                </m:sup>
              </m:sSup>
            </m:oMath>
            <w:r w:rsidR="00700FCF">
              <w:t>.</w:t>
            </w:r>
            <w:r>
              <w:t xml:space="preserve">                                                                                                                </w:t>
            </w:r>
          </w:p>
        </w:tc>
        <w:tc>
          <w:tcPr>
            <w:tcW w:w="815" w:type="dxa"/>
            <w:shd w:val="clear" w:color="auto" w:fill="auto"/>
            <w:vAlign w:val="center"/>
          </w:tcPr>
          <w:p w14:paraId="35A93590" w14:textId="1148EFFC" w:rsidR="00814EA2" w:rsidRPr="00B57B36" w:rsidRDefault="00814EA2" w:rsidP="00336783">
            <w:pPr>
              <w:pStyle w:val="CETEquation"/>
              <w:jc w:val="right"/>
            </w:pPr>
            <w:r w:rsidRPr="00B57B36">
              <w:t>(</w:t>
            </w:r>
            <w:r>
              <w:t>4</w:t>
            </w:r>
            <w:r w:rsidRPr="00B57B36">
              <w:t>)</w:t>
            </w:r>
          </w:p>
        </w:tc>
      </w:tr>
    </w:tbl>
    <w:p w14:paraId="663CB844" w14:textId="0B9DBF67" w:rsidR="00FA7CFD" w:rsidRPr="00576E36" w:rsidRDefault="006D2544" w:rsidP="00814EA2">
      <w:r w:rsidRPr="006D2544">
        <w:t xml:space="preserve">In </w:t>
      </w:r>
      <w:r w:rsidR="00332098">
        <w:t>PRESLHY project</w:t>
      </w:r>
      <w:r w:rsidRPr="006D2544">
        <w:t xml:space="preserve">, the correlation </w:t>
      </w:r>
      <w:r w:rsidR="00F81BC8">
        <w:t xml:space="preserve">has been applied </w:t>
      </w:r>
      <w:r w:rsidRPr="006D2544">
        <w:t xml:space="preserve">to </w:t>
      </w:r>
      <w:r w:rsidR="00493F52">
        <w:t xml:space="preserve">cryogenic </w:t>
      </w:r>
      <w:r w:rsidR="002D6631">
        <w:t>tests</w:t>
      </w:r>
      <w:r w:rsidRPr="006D2544">
        <w:t xml:space="preserve"> with release temperature in the range 46-295</w:t>
      </w:r>
      <w:r w:rsidR="006131A5" w:rsidRPr="006131A5">
        <w:t xml:space="preserve"> K (Panda </w:t>
      </w:r>
      <w:r w:rsidR="002568E7">
        <w:t>&amp;</w:t>
      </w:r>
      <w:r w:rsidR="002568E7" w:rsidRPr="006131A5">
        <w:t xml:space="preserve"> </w:t>
      </w:r>
      <w:r w:rsidR="006131A5" w:rsidRPr="006131A5">
        <w:t>Hecht, 2017)</w:t>
      </w:r>
      <w:r w:rsidR="00493F52">
        <w:t xml:space="preserve">. </w:t>
      </w:r>
      <w:r w:rsidR="00493F52">
        <w:fldChar w:fldCharType="begin"/>
      </w:r>
      <w:r w:rsidR="00493F52">
        <w:instrText xml:space="preserve"> REF _Ref127182232 \h </w:instrText>
      </w:r>
      <w:r w:rsidR="00493F52">
        <w:fldChar w:fldCharType="separate"/>
      </w:r>
      <w:r w:rsidR="0047449E">
        <w:t xml:space="preserve">Figure </w:t>
      </w:r>
      <w:r w:rsidR="0047449E">
        <w:rPr>
          <w:noProof/>
        </w:rPr>
        <w:t>5</w:t>
      </w:r>
      <w:r w:rsidR="00493F52">
        <w:fldChar w:fldCharType="end"/>
      </w:r>
      <w:r w:rsidR="000843B0">
        <w:t xml:space="preserve"> shows that the correlation represents conservatively the experimental flame lengths measurements</w:t>
      </w:r>
      <w:r w:rsidR="009449C9">
        <w:t>, with only few exceptions.</w:t>
      </w:r>
      <w:r w:rsidR="000843B0">
        <w:t xml:space="preserve"> </w:t>
      </w:r>
      <w:r w:rsidR="003226AC" w:rsidRPr="003226AC">
        <w:t>T</w:t>
      </w:r>
      <w:r w:rsidR="005F7B30">
        <w:t>he release t</w:t>
      </w:r>
      <w:r w:rsidR="003226AC" w:rsidRPr="003226AC">
        <w:t xml:space="preserve">emperature is found to greatly affect the resulting flame length. Considering as an example two releases with pressure 2 bar abs and nozzle diameter 1.25 mm, the decrease of temperature from 185 K to 46 K leads to an increase in calculated flame length from 0.40 m to 0.77 m. </w:t>
      </w:r>
      <w:r w:rsidR="00FC4F6A" w:rsidRPr="003226AC">
        <w:t>Consequently</w:t>
      </w:r>
      <w:r w:rsidR="003226AC" w:rsidRPr="003226AC">
        <w:t xml:space="preserve">, the minimum </w:t>
      </w:r>
      <w:r w:rsidR="00426A02">
        <w:t xml:space="preserve">hazard </w:t>
      </w:r>
      <w:r w:rsidR="003226AC" w:rsidRPr="003226AC">
        <w:t xml:space="preserve">distance </w:t>
      </w:r>
      <w:r w:rsidR="00454B7B">
        <w:t xml:space="preserve">for humans </w:t>
      </w:r>
      <w:r w:rsidR="003226AC" w:rsidRPr="003226AC">
        <w:t>increase</w:t>
      </w:r>
      <w:r w:rsidR="00454B7B">
        <w:t>s</w:t>
      </w:r>
      <w:r w:rsidR="003226AC" w:rsidRPr="003226AC">
        <w:t xml:space="preserve"> from 1.4 m to 2.7 m. </w:t>
      </w:r>
    </w:p>
    <w:p w14:paraId="3A8423BF" w14:textId="17C1A5E1" w:rsidR="00493F52" w:rsidRDefault="00D30435" w:rsidP="00493F52">
      <w:pPr>
        <w:pStyle w:val="CETBodytext"/>
        <w:keepNext/>
      </w:pPr>
      <w:r w:rsidRPr="005C15D2">
        <w:rPr>
          <w:noProof/>
        </w:rPr>
        <w:drawing>
          <wp:inline distT="0" distB="0" distL="0" distR="0" wp14:anchorId="7B05783C" wp14:editId="3D057344">
            <wp:extent cx="2334119" cy="2160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r="-305"/>
                    <a:stretch/>
                  </pic:blipFill>
                  <pic:spPr bwMode="auto">
                    <a:xfrm>
                      <a:off x="0" y="0"/>
                      <a:ext cx="2334119"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285FD61" w14:textId="27F91D1F" w:rsidR="00FA7CFD" w:rsidRPr="00FA7CFD" w:rsidRDefault="00493F52" w:rsidP="00493F52">
      <w:pPr>
        <w:pStyle w:val="CETCaption"/>
      </w:pPr>
      <w:bookmarkStart w:id="5" w:name="_Ref127182232"/>
      <w:r>
        <w:t xml:space="preserve">Figure </w:t>
      </w:r>
      <w:r>
        <w:fldChar w:fldCharType="begin"/>
      </w:r>
      <w:r>
        <w:instrText xml:space="preserve"> SEQ Figure \* ARABIC </w:instrText>
      </w:r>
      <w:r>
        <w:fldChar w:fldCharType="separate"/>
      </w:r>
      <w:r w:rsidR="003803C3">
        <w:rPr>
          <w:noProof/>
        </w:rPr>
        <w:t>5</w:t>
      </w:r>
      <w:r>
        <w:fldChar w:fldCharType="end"/>
      </w:r>
      <w:bookmarkEnd w:id="5"/>
      <w:r>
        <w:t>:</w:t>
      </w:r>
      <w:r w:rsidR="00F92F36" w:rsidRPr="00F92F36">
        <w:t xml:space="preserve"> The dimensionless correlation for hydrogen jet flames against experiments</w:t>
      </w:r>
      <w:r w:rsidR="000D188D">
        <w:t xml:space="preserve"> at ambient temperature </w:t>
      </w:r>
      <w:r w:rsidR="000E388D">
        <w:t>in</w:t>
      </w:r>
      <w:r w:rsidR="00DC4354">
        <w:t xml:space="preserve"> </w:t>
      </w:r>
      <w:r w:rsidR="000E388D">
        <w:t>Molkov</w:t>
      </w:r>
      <w:r w:rsidR="00DC4354">
        <w:t xml:space="preserve"> (</w:t>
      </w:r>
      <w:r w:rsidR="000E388D">
        <w:t xml:space="preserve">2012) </w:t>
      </w:r>
      <w:r w:rsidR="000D188D">
        <w:t>(symbol: cross</w:t>
      </w:r>
      <w:r w:rsidR="007B194A">
        <w:t>es</w:t>
      </w:r>
      <w:r w:rsidR="000D188D">
        <w:t xml:space="preserve">) and cryogenic temperature </w:t>
      </w:r>
      <w:r w:rsidR="000E388D">
        <w:t xml:space="preserve">in </w:t>
      </w:r>
      <w:r w:rsidR="000E388D" w:rsidRPr="006131A5">
        <w:t xml:space="preserve">Panda and Hecht </w:t>
      </w:r>
      <w:r w:rsidR="000E388D">
        <w:t>(</w:t>
      </w:r>
      <w:r w:rsidR="000E388D" w:rsidRPr="006131A5">
        <w:t>2017</w:t>
      </w:r>
      <w:r w:rsidR="000E388D">
        <w:t xml:space="preserve">) </w:t>
      </w:r>
      <w:r w:rsidR="000D188D">
        <w:t>(</w:t>
      </w:r>
      <w:r w:rsidR="00601BE7">
        <w:t xml:space="preserve">symbol: </w:t>
      </w:r>
      <w:r w:rsidR="000D188D">
        <w:t>diamonds)</w:t>
      </w:r>
      <w:r w:rsidR="00F92F36">
        <w:t>.</w:t>
      </w:r>
    </w:p>
    <w:p w14:paraId="562EFD84" w14:textId="2E2C122C" w:rsidR="00817191" w:rsidRDefault="00817191" w:rsidP="00817191">
      <w:pPr>
        <w:pStyle w:val="CETheadingx"/>
      </w:pPr>
      <w:r w:rsidRPr="00B57B36">
        <w:t>T</w:t>
      </w:r>
      <w:r>
        <w:t>hermal radiation from cryogenic hydrogen jet fires</w:t>
      </w:r>
    </w:p>
    <w:p w14:paraId="5CC4177A" w14:textId="52A5E2F3" w:rsidR="008627C8" w:rsidRPr="008627C8" w:rsidRDefault="008627C8" w:rsidP="00FC5611">
      <w:r w:rsidRPr="00536707">
        <w:t xml:space="preserve">Jet flames originated by cryo-compressed ignited hydrogen releases can cause life-threatening conditions in their surroundings. </w:t>
      </w:r>
      <w:r w:rsidR="0066696B">
        <w:t xml:space="preserve">A CFD </w:t>
      </w:r>
      <w:r w:rsidR="00814A7D">
        <w:t xml:space="preserve">model </w:t>
      </w:r>
      <w:r w:rsidR="0066696B">
        <w:t xml:space="preserve">has been developed to </w:t>
      </w:r>
      <w:r w:rsidRPr="00536707">
        <w:t xml:space="preserve">accurately predict thermal hazards from a jet fire. </w:t>
      </w:r>
      <w:r w:rsidR="0066696B" w:rsidRPr="00536707">
        <w:t xml:space="preserve">The model was </w:t>
      </w:r>
      <w:r w:rsidR="0066696B">
        <w:t>firstly</w:t>
      </w:r>
      <w:r w:rsidR="0066696B" w:rsidRPr="00536707">
        <w:t xml:space="preserve"> validated against experiments with vertical cryogenic hydrogen jet fires with release pressures up to 0.5 MPa, release diameter 1.25 mm and temperatures as low as 50 K.</w:t>
      </w:r>
      <w:r w:rsidR="00B44F59" w:rsidRPr="00B44F59">
        <w:t xml:space="preserve"> </w:t>
      </w:r>
      <w:r w:rsidR="006B4115">
        <w:t xml:space="preserve">Afterwards, it was </w:t>
      </w:r>
      <w:r w:rsidR="00296379">
        <w:t xml:space="preserve">validated against </w:t>
      </w:r>
      <w:r w:rsidR="00296379" w:rsidRPr="00536707">
        <w:t>horizontal cryogenic jets at temperature 80 K, pressure up to 2 MPa abs and release diameters up to 4 mm</w:t>
      </w:r>
      <w:r w:rsidR="00C70B3A">
        <w:t xml:space="preserve"> </w:t>
      </w:r>
      <w:r w:rsidR="006131A5">
        <w:t>(Cirrone et al., 2022b)</w:t>
      </w:r>
      <w:r w:rsidR="00C70B3A">
        <w:fldChar w:fldCharType="begin" w:fldLock="1"/>
      </w:r>
      <w:r w:rsidR="00E37FF6">
        <w:instrText>ADDIN CSL_CITATION {"citationItems":[{"id":"ITEM-1","itemData":{"DOI":"10.1016/j.ijhydene.2022.04.276","ISSN":"03603199","abstract":"Jet flames originated by cryo-compressed ignited hydrogen releases can cause life-threatening conditions in their surroundings. Validated models are needed to accurately predict thermal hazards from a jet fire. Numerical simulations of cryogenic hydrogen flow in the release pipe are performed to assess the effect of heat transfer through the pipe walls on jet parameters. Notional nozzle exit diameter is calculated based on the simulated real nozzle parameters and used in CFD simulations as a boundary condition to model jet fires. The CFD model was previously validated against experiments with vertical cryogenic hydrogen jet fires with release pressures up to 0.5 MPa (abs), release diameter 1.25 mm and temperatures as low as 50 K. This study validates the CFD model in a wider domain of experimental release conditions - horizontal cryogenic jets at exhaust pipe temperature 80 K, pressure up to 2 MPa ab and release diameters up to 4 mm. Simulation results are compared against such experimentally measured parameters as hydrogen mass flow rate, flame length and radiative heat flux at different locations from the jet fire. The CFD model reproduces experiments with reasonable for engineering applications accuracy. Jet fire hazard distances established using three different criteria - temperature, thermal radiation and thermal dose - are compared and discussed based on CFD simulation results.","author":[{"dropping-particle":"","family":"Cirrone","given":"Donatella","non-dropping-particle":"","parse-names":false,"suffix":""},{"dropping-particle":"","family":"Makarov","given":"Dmitriy","non-dropping-particle":"","parse-names":false,"suffix":""},{"dropping-particle":"","family":"Kuznetsov","given":"Mike","non-dropping-particle":"","parse-names":false,"suffix":""},{"dropping-particle":"","family":"Friedrich","given":"Andreas","non-dropping-particle":"","parse-names":false,"suffix":""},{"dropping-particle":"","family":"Molkov","given":"Vladimir","non-dropping-particle":"","parse-names":false,"suffix":""}],"container-title":"International Journal of Hydrogen Energy","id":"ITEM-1","issue":"50","issued":{"date-parts":[["2022"]]},"page":"21596-21611","publisher":"Elsevier Ltd","title":"Effect of heat transfer through the release pipe on simulations of cryogenic hydrogen jet fires and hazard distances","type":"article-journal","volume":"47"},"uris":["http://www.mendeley.com/documents/?uuid=c4dd9f05-a615-4c7a-b986-6bbca4077f53"]}],"mendeley":{"formattedCitation":"(Donatella Cirrone et al., 2022b)","plainTextFormattedCitation":"(Donatella Cirrone et al., 2022b)","previouslyFormattedCitation":"(Donatella Cirrone et al., 2022b)"},"properties":{"noteIndex":0},"schema":"https://github.com/citation-style-language/schema/raw/master/csl-citation.json"}</w:instrText>
      </w:r>
      <w:r w:rsidR="00180F45">
        <w:fldChar w:fldCharType="separate"/>
      </w:r>
      <w:r w:rsidR="00C70B3A">
        <w:fldChar w:fldCharType="end"/>
      </w:r>
      <w:r w:rsidR="00296379" w:rsidRPr="00536707">
        <w:t>.</w:t>
      </w:r>
      <w:r w:rsidR="00191431">
        <w:t xml:space="preserve"> </w:t>
      </w:r>
      <w:r w:rsidR="00B44F59" w:rsidRPr="00536707">
        <w:t xml:space="preserve">Simulation results </w:t>
      </w:r>
      <w:r w:rsidR="00191431">
        <w:t>we</w:t>
      </w:r>
      <w:r w:rsidR="00B44F59" w:rsidRPr="00536707">
        <w:t xml:space="preserve">re compared against experimentally measured parameters as hydrogen mass flow rate, flame length and radiative heat flux at </w:t>
      </w:r>
      <w:r w:rsidR="00B44F59">
        <w:t xml:space="preserve">different </w:t>
      </w:r>
      <w:r w:rsidR="00B44F59" w:rsidRPr="00536707">
        <w:t>locations from the jet fire.</w:t>
      </w:r>
      <w:r w:rsidR="00DA6526" w:rsidRPr="00DA6526">
        <w:t xml:space="preserve"> </w:t>
      </w:r>
      <w:r w:rsidR="00DA6526" w:rsidRPr="00536707">
        <w:t>The CFD model</w:t>
      </w:r>
      <w:r w:rsidR="00D83318">
        <w:t xml:space="preserve"> </w:t>
      </w:r>
      <w:r w:rsidR="00DA6526" w:rsidRPr="00536707">
        <w:t>reproduce</w:t>
      </w:r>
      <w:r w:rsidR="00FB066A">
        <w:t>d</w:t>
      </w:r>
      <w:r w:rsidR="00DA6526" w:rsidRPr="00536707">
        <w:t xml:space="preserve"> experiments with </w:t>
      </w:r>
      <w:r w:rsidR="002E4497">
        <w:t>10-20% accuracy in the jet fire near-field</w:t>
      </w:r>
      <w:r w:rsidR="00A36A4E">
        <w:t>, with only few exceptions</w:t>
      </w:r>
      <w:r w:rsidR="00DA6526" w:rsidRPr="00536707">
        <w:t>.</w:t>
      </w:r>
      <w:r w:rsidR="00191431">
        <w:t xml:space="preserve"> </w:t>
      </w:r>
      <w:r w:rsidR="00191431" w:rsidRPr="00191431">
        <w:t xml:space="preserve">The </w:t>
      </w:r>
      <w:r w:rsidR="00191431" w:rsidRPr="00191431">
        <w:lastRenderedPageBreak/>
        <w:t xml:space="preserve">CFD study demonstrated that for horizontal jet fires, the buoyancy of combustion products may have a significant mitigating effect on the reduction of hazard distances for horizontal </w:t>
      </w:r>
      <w:r w:rsidR="00BC077D">
        <w:t>jets</w:t>
      </w:r>
      <w:r w:rsidR="00BC077D" w:rsidRPr="00191431">
        <w:t xml:space="preserve"> </w:t>
      </w:r>
      <w:r w:rsidR="00191431" w:rsidRPr="00191431">
        <w:t>as compared to vertical releases.</w:t>
      </w:r>
    </w:p>
    <w:p w14:paraId="63C0A5EA" w14:textId="4A50EAF7" w:rsidR="00817191" w:rsidRDefault="00817191" w:rsidP="00817191">
      <w:pPr>
        <w:pStyle w:val="CETheadingx"/>
      </w:pPr>
      <w:r>
        <w:t>Overpressure from delayed ignition of cryogenic hydrogen jets</w:t>
      </w:r>
    </w:p>
    <w:p w14:paraId="72C3BCDE" w14:textId="54866E89" w:rsidR="00A10E21" w:rsidRDefault="0013434A" w:rsidP="00D30435">
      <w:pPr>
        <w:pStyle w:val="CETBodytext"/>
        <w:rPr>
          <w:szCs w:val="18"/>
          <w:lang w:val="en-GB"/>
        </w:rPr>
      </w:pPr>
      <w:r>
        <w:rPr>
          <w:szCs w:val="18"/>
          <w:lang w:val="en-GB"/>
        </w:rPr>
        <w:t>The</w:t>
      </w:r>
      <w:r w:rsidR="00052525" w:rsidRPr="005724A1">
        <w:rPr>
          <w:szCs w:val="18"/>
          <w:lang w:val="en-GB"/>
        </w:rPr>
        <w:t xml:space="preserve"> delayed ignition of a highly turbulent under-expanded hydrogen jet generates a blast wave able to harm people and damage property. </w:t>
      </w:r>
      <w:r w:rsidR="0089472F">
        <w:rPr>
          <w:szCs w:val="18"/>
          <w:lang w:val="en-GB"/>
        </w:rPr>
        <w:t>An</w:t>
      </w:r>
      <w:r w:rsidR="00052525" w:rsidRPr="005724A1">
        <w:rPr>
          <w:szCs w:val="18"/>
          <w:lang w:val="en-GB"/>
        </w:rPr>
        <w:t xml:space="preserve"> engineering tool</w:t>
      </w:r>
      <w:r w:rsidR="0089472F">
        <w:rPr>
          <w:szCs w:val="18"/>
          <w:lang w:val="en-GB"/>
        </w:rPr>
        <w:t xml:space="preserve"> has been developed</w:t>
      </w:r>
      <w:r w:rsidR="00052525" w:rsidRPr="005724A1">
        <w:rPr>
          <w:szCs w:val="18"/>
          <w:lang w:val="en-GB"/>
        </w:rPr>
        <w:t xml:space="preserve"> to predict the pressure effects </w:t>
      </w:r>
      <w:r w:rsidR="00A80CFB">
        <w:rPr>
          <w:szCs w:val="18"/>
          <w:lang w:val="en-GB"/>
        </w:rPr>
        <w:t>and</w:t>
      </w:r>
      <w:r w:rsidR="00052525" w:rsidRPr="005724A1">
        <w:rPr>
          <w:szCs w:val="18"/>
          <w:lang w:val="en-GB"/>
        </w:rPr>
        <w:t xml:space="preserve"> to define </w:t>
      </w:r>
      <w:r w:rsidR="00A80CFB">
        <w:rPr>
          <w:szCs w:val="18"/>
          <w:lang w:val="en-GB"/>
        </w:rPr>
        <w:t xml:space="preserve">the associated </w:t>
      </w:r>
      <w:r w:rsidR="00052525" w:rsidRPr="005724A1">
        <w:rPr>
          <w:szCs w:val="18"/>
          <w:lang w:val="en-GB"/>
        </w:rPr>
        <w:t>hazard distances</w:t>
      </w:r>
      <w:r w:rsidR="006131A5">
        <w:rPr>
          <w:szCs w:val="18"/>
          <w:lang w:val="en-GB"/>
        </w:rPr>
        <w:t xml:space="preserve"> (Cirrone et al., 2022</w:t>
      </w:r>
      <w:r w:rsidR="00380A5B">
        <w:rPr>
          <w:szCs w:val="18"/>
          <w:lang w:val="en-GB"/>
        </w:rPr>
        <w:t>a</w:t>
      </w:r>
      <w:r w:rsidR="006131A5">
        <w:rPr>
          <w:szCs w:val="18"/>
          <w:lang w:val="en-GB"/>
        </w:rPr>
        <w:t>).</w:t>
      </w:r>
      <w:r w:rsidR="00052525" w:rsidRPr="005724A1">
        <w:rPr>
          <w:szCs w:val="18"/>
          <w:lang w:val="en-GB"/>
        </w:rPr>
        <w:t xml:space="preserve"> The similitude analysis </w:t>
      </w:r>
      <w:r w:rsidR="00E70302">
        <w:rPr>
          <w:szCs w:val="18"/>
          <w:lang w:val="en-GB"/>
        </w:rPr>
        <w:t>wa</w:t>
      </w:r>
      <w:r w:rsidR="00052525" w:rsidRPr="005724A1">
        <w:rPr>
          <w:szCs w:val="18"/>
          <w:lang w:val="en-GB"/>
        </w:rPr>
        <w:t>s applied to build a correlation using available data</w:t>
      </w:r>
      <w:r w:rsidR="00A9726D">
        <w:rPr>
          <w:szCs w:val="18"/>
          <w:lang w:val="en-GB"/>
        </w:rPr>
        <w:t xml:space="preserve"> from </w:t>
      </w:r>
      <w:r w:rsidR="00A9726D" w:rsidRPr="005724A1">
        <w:rPr>
          <w:szCs w:val="18"/>
          <w:lang w:val="en-GB"/>
        </w:rPr>
        <w:t>78 experiments in the wide range of hydrogen storage pressure of 0.5-65.0 MPa</w:t>
      </w:r>
      <w:r w:rsidR="006A13C2">
        <w:rPr>
          <w:szCs w:val="18"/>
          <w:lang w:val="en-GB"/>
        </w:rPr>
        <w:t>, temperature of 80-300 K</w:t>
      </w:r>
      <w:r w:rsidR="00A9726D" w:rsidRPr="005724A1">
        <w:rPr>
          <w:szCs w:val="18"/>
          <w:lang w:val="en-GB"/>
        </w:rPr>
        <w:t xml:space="preserve"> and release diameter of 0.5-52.5 mm</w:t>
      </w:r>
      <w:r w:rsidR="00052525" w:rsidRPr="005724A1">
        <w:rPr>
          <w:szCs w:val="18"/>
          <w:lang w:val="en-GB"/>
        </w:rPr>
        <w:t xml:space="preserve">. The dimensionless blast wave overpressure generated by delayed ignition and follow-up deflagration or detonation of hydrogen jets at any location from the jet, </w:t>
      </w:r>
      <m:oMath>
        <m:f>
          <m:fPr>
            <m:type m:val="lin"/>
            <m:ctrlPr>
              <w:rPr>
                <w:rFonts w:ascii="Cambria Math" w:hAnsi="Cambria Math"/>
                <w:i/>
                <w:szCs w:val="18"/>
                <w:lang w:val="en-GB"/>
              </w:rPr>
            </m:ctrlPr>
          </m:fPr>
          <m:num>
            <m:sSub>
              <m:sSubPr>
                <m:ctrlPr>
                  <w:rPr>
                    <w:rFonts w:ascii="Cambria Math" w:hAnsi="Cambria Math"/>
                    <w:i/>
                    <w:szCs w:val="18"/>
                    <w:lang w:val="en-GB"/>
                  </w:rPr>
                </m:ctrlPr>
              </m:sSubPr>
              <m:e>
                <m:r>
                  <w:rPr>
                    <w:rFonts w:ascii="Cambria Math" w:hAnsi="Cambria Math"/>
                    <w:szCs w:val="18"/>
                    <w:lang w:val="en-GB"/>
                  </w:rPr>
                  <m:t>∆P</m:t>
                </m:r>
              </m:e>
              <m:sub>
                <m:r>
                  <w:rPr>
                    <w:rFonts w:ascii="Cambria Math" w:hAnsi="Cambria Math"/>
                    <w:szCs w:val="18"/>
                    <w:lang w:val="en-GB"/>
                  </w:rPr>
                  <m:t>exp</m:t>
                </m:r>
              </m:sub>
            </m:sSub>
          </m:num>
          <m:den>
            <m:sSub>
              <m:sSubPr>
                <m:ctrlPr>
                  <w:rPr>
                    <w:rFonts w:ascii="Cambria Math" w:hAnsi="Cambria Math"/>
                    <w:i/>
                    <w:szCs w:val="18"/>
                    <w:lang w:val="en-GB"/>
                  </w:rPr>
                </m:ctrlPr>
              </m:sSubPr>
              <m:e>
                <m:r>
                  <w:rPr>
                    <w:rFonts w:ascii="Cambria Math" w:hAnsi="Cambria Math"/>
                    <w:szCs w:val="18"/>
                    <w:lang w:val="en-GB"/>
                  </w:rPr>
                  <m:t>P</m:t>
                </m:r>
              </m:e>
              <m:sub>
                <m:r>
                  <w:rPr>
                    <w:rFonts w:ascii="Cambria Math" w:hAnsi="Cambria Math"/>
                    <w:szCs w:val="18"/>
                    <w:lang w:val="en-GB"/>
                  </w:rPr>
                  <m:t>0</m:t>
                </m:r>
              </m:sub>
            </m:sSub>
          </m:den>
        </m:f>
      </m:oMath>
      <w:r w:rsidR="00052525" w:rsidRPr="005724A1">
        <w:rPr>
          <w:szCs w:val="18"/>
          <w:lang w:val="en-GB"/>
        </w:rPr>
        <w:t>, is correlated to the original dimensionless parameter composed of the product of the dimensionl</w:t>
      </w:r>
      <w:proofErr w:type="spellStart"/>
      <w:r w:rsidR="00052525" w:rsidRPr="005724A1">
        <w:rPr>
          <w:szCs w:val="18"/>
          <w:lang w:val="en-GB"/>
        </w:rPr>
        <w:t>ess</w:t>
      </w:r>
      <w:proofErr w:type="spellEnd"/>
      <w:r w:rsidR="00052525" w:rsidRPr="005724A1">
        <w:rPr>
          <w:szCs w:val="18"/>
          <w:lang w:val="en-GB"/>
        </w:rPr>
        <w:t xml:space="preserve"> ratio of storage pressure to atmospheric pressure, </w:t>
      </w:r>
      <m:oMath>
        <m:f>
          <m:fPr>
            <m:type m:val="lin"/>
            <m:ctrlPr>
              <w:rPr>
                <w:rFonts w:ascii="Cambria Math" w:hAnsi="Cambria Math"/>
                <w:i/>
                <w:szCs w:val="18"/>
                <w:lang w:val="en-GB"/>
              </w:rPr>
            </m:ctrlPr>
          </m:fPr>
          <m:num>
            <m:sSub>
              <m:sSubPr>
                <m:ctrlPr>
                  <w:rPr>
                    <w:rFonts w:ascii="Cambria Math" w:hAnsi="Cambria Math"/>
                    <w:i/>
                    <w:szCs w:val="18"/>
                    <w:lang w:val="en-GB"/>
                  </w:rPr>
                </m:ctrlPr>
              </m:sSubPr>
              <m:e>
                <m:r>
                  <w:rPr>
                    <w:rFonts w:ascii="Cambria Math" w:hAnsi="Cambria Math"/>
                    <w:szCs w:val="18"/>
                    <w:lang w:val="en-GB"/>
                  </w:rPr>
                  <m:t>P</m:t>
                </m:r>
              </m:e>
              <m:sub>
                <m:r>
                  <w:rPr>
                    <w:rFonts w:ascii="Cambria Math" w:hAnsi="Cambria Math"/>
                    <w:szCs w:val="18"/>
                    <w:lang w:val="en-GB"/>
                  </w:rPr>
                  <m:t>s</m:t>
                </m:r>
              </m:sub>
            </m:sSub>
          </m:num>
          <m:den>
            <m:sSub>
              <m:sSubPr>
                <m:ctrlPr>
                  <w:rPr>
                    <w:rFonts w:ascii="Cambria Math" w:hAnsi="Cambria Math"/>
                    <w:i/>
                    <w:szCs w:val="18"/>
                    <w:lang w:val="en-GB"/>
                  </w:rPr>
                </m:ctrlPr>
              </m:sSubPr>
              <m:e>
                <m:r>
                  <w:rPr>
                    <w:rFonts w:ascii="Cambria Math" w:hAnsi="Cambria Math"/>
                    <w:szCs w:val="18"/>
                    <w:lang w:val="en-GB"/>
                  </w:rPr>
                  <m:t>P</m:t>
                </m:r>
              </m:e>
              <m:sub>
                <m:r>
                  <w:rPr>
                    <w:rFonts w:ascii="Cambria Math" w:hAnsi="Cambria Math"/>
                    <w:szCs w:val="18"/>
                    <w:lang w:val="en-GB"/>
                  </w:rPr>
                  <m:t>0</m:t>
                </m:r>
              </m:sub>
            </m:sSub>
          </m:den>
        </m:f>
      </m:oMath>
      <w:r w:rsidR="00052525" w:rsidRPr="005724A1">
        <w:rPr>
          <w:szCs w:val="18"/>
          <w:lang w:val="en-GB"/>
        </w:rPr>
        <w:t xml:space="preserve">, and the ratio of the jet release nozzle diameter to the distance from the centre of location of the fast-burning near-stoichiometric mixture on the jet axis (30% of hydrogen in the air by volume) to the location of a target (personnel or property), </w:t>
      </w:r>
      <m:oMath>
        <m:f>
          <m:fPr>
            <m:type m:val="lin"/>
            <m:ctrlPr>
              <w:rPr>
                <w:rFonts w:ascii="Cambria Math" w:hAnsi="Cambria Math"/>
                <w:i/>
                <w:szCs w:val="18"/>
                <w:lang w:val="en-GB"/>
              </w:rPr>
            </m:ctrlPr>
          </m:fPr>
          <m:num>
            <m:r>
              <w:rPr>
                <w:rFonts w:ascii="Cambria Math" w:hAnsi="Cambria Math"/>
                <w:szCs w:val="18"/>
                <w:lang w:val="en-GB"/>
              </w:rPr>
              <m:t>d</m:t>
            </m:r>
          </m:num>
          <m:den>
            <m:sSub>
              <m:sSubPr>
                <m:ctrlPr>
                  <w:rPr>
                    <w:rFonts w:ascii="Cambria Math" w:hAnsi="Cambria Math"/>
                    <w:i/>
                    <w:szCs w:val="18"/>
                    <w:lang w:val="en-GB"/>
                  </w:rPr>
                </m:ctrlPr>
              </m:sSubPr>
              <m:e>
                <m:r>
                  <w:rPr>
                    <w:rFonts w:ascii="Cambria Math" w:hAnsi="Cambria Math"/>
                    <w:szCs w:val="18"/>
                    <w:lang w:val="en-GB"/>
                  </w:rPr>
                  <m:t>R</m:t>
                </m:r>
              </m:e>
              <m:sub>
                <m:r>
                  <w:rPr>
                    <w:rFonts w:ascii="Cambria Math" w:hAnsi="Cambria Math"/>
                    <w:szCs w:val="18"/>
                    <w:lang w:val="en-GB"/>
                  </w:rPr>
                  <m:t>w</m:t>
                </m:r>
              </m:sub>
            </m:sSub>
          </m:den>
        </m:f>
      </m:oMath>
      <w:r w:rsidR="00A10E21">
        <w:rPr>
          <w:szCs w:val="18"/>
          <w:lang w:val="en-GB"/>
        </w:rPr>
        <w:t>:</w:t>
      </w:r>
    </w:p>
    <w:tbl>
      <w:tblPr>
        <w:tblW w:w="5000" w:type="pct"/>
        <w:tblLook w:val="04A0" w:firstRow="1" w:lastRow="0" w:firstColumn="1" w:lastColumn="0" w:noHBand="0" w:noVBand="1"/>
      </w:tblPr>
      <w:tblGrid>
        <w:gridCol w:w="7983"/>
        <w:gridCol w:w="804"/>
      </w:tblGrid>
      <w:tr w:rsidR="00A10E21" w:rsidRPr="00B57B36" w14:paraId="2C2F2181" w14:textId="77777777" w:rsidTr="00336783">
        <w:tc>
          <w:tcPr>
            <w:tcW w:w="8188" w:type="dxa"/>
            <w:shd w:val="clear" w:color="auto" w:fill="auto"/>
            <w:vAlign w:val="center"/>
          </w:tcPr>
          <w:p w14:paraId="043D2D39" w14:textId="77777777" w:rsidR="00A10E21" w:rsidRPr="00B57B36" w:rsidRDefault="00180F45" w:rsidP="00A10E21">
            <w:pPr>
              <w:pStyle w:val="CETEquation"/>
            </w:pPr>
            <m:oMath>
              <m:f>
                <m:fPr>
                  <m:ctrlPr>
                    <w:rPr>
                      <w:rFonts w:ascii="Cambria Math" w:hAnsi="Cambria Math"/>
                    </w:rPr>
                  </m:ctrlPr>
                </m:fPr>
                <m:num>
                  <m:sSub>
                    <m:sSubPr>
                      <m:ctrlPr>
                        <w:rPr>
                          <w:rFonts w:ascii="Cambria Math" w:hAnsi="Cambria Math"/>
                        </w:rPr>
                      </m:ctrlPr>
                    </m:sSubPr>
                    <m:e>
                      <m:r>
                        <m:rPr>
                          <m:sty m:val="p"/>
                        </m:rPr>
                        <w:rPr>
                          <w:rFonts w:ascii="Cambria Math" w:hAnsi="Cambria Math"/>
                        </w:rPr>
                        <m:t>∆</m:t>
                      </m:r>
                      <m:r>
                        <w:rPr>
                          <w:rFonts w:ascii="Cambria Math" w:hAnsi="Cambria Math"/>
                        </w:rPr>
                        <m:t>P</m:t>
                      </m:r>
                    </m:e>
                    <m:sub>
                      <m:r>
                        <w:rPr>
                          <w:rFonts w:ascii="Cambria Math" w:hAnsi="Cambria Math"/>
                        </w:rPr>
                        <m:t>exp</m:t>
                      </m:r>
                    </m:sub>
                  </m:sSub>
                  <m:r>
                    <m:rPr>
                      <m:sty m:val="p"/>
                    </m:rPr>
                    <w:rPr>
                      <w:rFonts w:ascii="Cambria Math" w:hAnsi="Cambria Math"/>
                    </w:rPr>
                    <m:t xml:space="preserve"> </m:t>
                  </m:r>
                </m:num>
                <m:den>
                  <m:sSub>
                    <m:sSubPr>
                      <m:ctrlPr>
                        <w:rPr>
                          <w:rFonts w:ascii="Cambria Math" w:hAnsi="Cambria Math"/>
                        </w:rPr>
                      </m:ctrlPr>
                    </m:sSubPr>
                    <m:e>
                      <m:r>
                        <w:rPr>
                          <w:rFonts w:ascii="Cambria Math" w:hAnsi="Cambria Math"/>
                        </w:rPr>
                        <m:t>P</m:t>
                      </m:r>
                    </m:e>
                    <m:sub>
                      <m:r>
                        <m:rPr>
                          <m:sty m:val="p"/>
                        </m:rPr>
                        <w:rPr>
                          <w:rFonts w:ascii="Cambria Math" w:hAnsi="Cambria Math"/>
                        </w:rPr>
                        <m:t>0</m:t>
                      </m:r>
                    </m:sub>
                  </m:sSub>
                </m:den>
              </m:f>
              <m:r>
                <m:rPr>
                  <m:sty m:val="p"/>
                </m:rPr>
                <w:rPr>
                  <w:rFonts w:ascii="Cambria Math" w:hAnsi="Cambria Math"/>
                </w:rPr>
                <m:t>= 5000∙</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0</m:t>
                                      </m:r>
                                    </m:sub>
                                  </m:sSub>
                                </m:den>
                              </m:f>
                            </m:e>
                          </m:d>
                        </m:e>
                        <m:sup>
                          <m:r>
                            <m:rPr>
                              <m:sty m:val="p"/>
                            </m:rPr>
                            <w:rPr>
                              <w:rFonts w:ascii="Cambria Math" w:hAnsi="Cambria Math"/>
                            </w:rPr>
                            <m:t>0.5</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d</m:t>
                                  </m:r>
                                </m:num>
                                <m:den>
                                  <m:sSub>
                                    <m:sSubPr>
                                      <m:ctrlPr>
                                        <w:rPr>
                                          <w:rFonts w:ascii="Cambria Math" w:hAnsi="Cambria Math"/>
                                        </w:rPr>
                                      </m:ctrlPr>
                                    </m:sSubPr>
                                    <m:e>
                                      <m:r>
                                        <w:rPr>
                                          <w:rFonts w:ascii="Cambria Math" w:hAnsi="Cambria Math"/>
                                        </w:rPr>
                                        <m:t>R</m:t>
                                      </m:r>
                                    </m:e>
                                    <m:sub>
                                      <m:r>
                                        <w:rPr>
                                          <w:rFonts w:ascii="Cambria Math" w:hAnsi="Cambria Math"/>
                                        </w:rPr>
                                        <m:t>w</m:t>
                                      </m:r>
                                    </m:sub>
                                  </m:sSub>
                                </m:den>
                              </m:f>
                            </m:e>
                          </m:d>
                        </m:e>
                        <m:sup>
                          <m:r>
                            <m:rPr>
                              <m:sty m:val="p"/>
                            </m:rPr>
                            <w:rPr>
                              <w:rFonts w:ascii="Cambria Math" w:hAnsi="Cambria Math"/>
                            </w:rPr>
                            <m:t>2</m:t>
                          </m:r>
                        </m:sup>
                      </m:sSup>
                    </m:e>
                  </m:d>
                </m:e>
                <m:sup>
                  <m:r>
                    <m:rPr>
                      <m:sty m:val="p"/>
                    </m:rPr>
                    <w:rPr>
                      <w:rFonts w:ascii="Cambria Math" w:hAnsi="Cambria Math"/>
                    </w:rPr>
                    <m:t>0.95</m:t>
                  </m:r>
                </m:sup>
              </m:sSup>
            </m:oMath>
            <w:r w:rsidR="00A10E21" w:rsidRPr="0077096A">
              <w:rPr>
                <w:rFonts w:eastAsiaTheme="minorEastAsia"/>
              </w:rPr>
              <w:t>.</w:t>
            </w:r>
          </w:p>
        </w:tc>
        <w:tc>
          <w:tcPr>
            <w:tcW w:w="815" w:type="dxa"/>
            <w:shd w:val="clear" w:color="auto" w:fill="auto"/>
            <w:vAlign w:val="center"/>
          </w:tcPr>
          <w:p w14:paraId="39FCA412" w14:textId="77777777" w:rsidR="00A10E21" w:rsidRPr="00B57B36" w:rsidRDefault="00A10E21" w:rsidP="00336783">
            <w:pPr>
              <w:pStyle w:val="CETEquation"/>
              <w:jc w:val="right"/>
            </w:pPr>
            <w:r w:rsidRPr="00B57B36">
              <w:t>(</w:t>
            </w:r>
            <w:r>
              <w:t>5</w:t>
            </w:r>
            <w:r w:rsidRPr="00B57B36">
              <w:t>)</w:t>
            </w:r>
          </w:p>
        </w:tc>
      </w:tr>
    </w:tbl>
    <w:p w14:paraId="288528A9" w14:textId="08990728" w:rsidR="001965DD" w:rsidRDefault="0013434A" w:rsidP="00D30435">
      <w:pPr>
        <w:pStyle w:val="CETBodytext"/>
      </w:pPr>
      <w:r w:rsidRPr="0013434A">
        <w:t xml:space="preserve">The correlation can be used for the calculation of maximum blast wave overpressure for delayed ignition of under-expanded free hydrogen jet at arbitrary storage pressure, temperature, and release nozzle diameter. </w:t>
      </w:r>
    </w:p>
    <w:p w14:paraId="514CA0DE" w14:textId="7E409ECA" w:rsidR="00817191" w:rsidRDefault="00817191" w:rsidP="00817191">
      <w:pPr>
        <w:pStyle w:val="CETheadingx"/>
      </w:pPr>
      <w:r>
        <w:t>Pressure peaking phenomenon for ignited releases of cryogenic hydrogen</w:t>
      </w:r>
      <w:r w:rsidR="008A0260">
        <w:t xml:space="preserve"> in an enclosure</w:t>
      </w:r>
    </w:p>
    <w:p w14:paraId="42C11CDF" w14:textId="26FB47DA" w:rsidR="008A0260" w:rsidRPr="008A0260" w:rsidRDefault="00262DE1" w:rsidP="00E23BAE">
      <w:pPr>
        <w:pStyle w:val="CETBodytext"/>
      </w:pPr>
      <w:r w:rsidRPr="00262DE1">
        <w:t>Releases of hydrogen gas in a confined space</w:t>
      </w:r>
      <w:r w:rsidR="00C773FA">
        <w:t xml:space="preserve">, </w:t>
      </w:r>
      <w:proofErr w:type="gramStart"/>
      <w:r w:rsidR="00C773FA">
        <w:t>e.g.</w:t>
      </w:r>
      <w:proofErr w:type="gramEnd"/>
      <w:r w:rsidR="00C773FA">
        <w:t xml:space="preserve"> </w:t>
      </w:r>
      <w:r w:rsidR="00237B12">
        <w:t xml:space="preserve">hydrogen </w:t>
      </w:r>
      <w:r w:rsidR="000C357D">
        <w:t xml:space="preserve">storage rooms </w:t>
      </w:r>
      <w:r w:rsidR="00237B12">
        <w:t xml:space="preserve">in </w:t>
      </w:r>
      <w:r w:rsidR="00C773FA">
        <w:t xml:space="preserve">marine </w:t>
      </w:r>
      <w:proofErr w:type="gramStart"/>
      <w:r w:rsidR="00C773FA">
        <w:t>vessel</w:t>
      </w:r>
      <w:proofErr w:type="gramEnd"/>
      <w:r w:rsidR="00237B12">
        <w:t>, plane</w:t>
      </w:r>
      <w:r w:rsidR="00C773FA">
        <w:t xml:space="preserve"> or rail carriages,</w:t>
      </w:r>
      <w:r w:rsidRPr="00262DE1">
        <w:t xml:space="preserve"> are found to produce pressure dynamics with a distinctive peak that exceeds the steady-state </w:t>
      </w:r>
      <w:r w:rsidR="00EE6D0C">
        <w:t xml:space="preserve">release </w:t>
      </w:r>
      <w:r w:rsidRPr="00262DE1">
        <w:t>pressure level. This phenomenon is defined as the pressure peaking phenomenon (PPP)</w:t>
      </w:r>
      <w:r w:rsidR="00ED20FF">
        <w:t xml:space="preserve"> </w:t>
      </w:r>
      <w:r w:rsidRPr="00262DE1">
        <w:t>and can be observed for gases with density lower than air. The magnitude of the pressure peak depends mainly on the hydrogen release rate, enclosure vent size and volume.</w:t>
      </w:r>
      <w:r w:rsidR="00EB5908">
        <w:t xml:space="preserve"> The PPP was first </w:t>
      </w:r>
      <w:r w:rsidR="00EB5908" w:rsidRPr="008A0260">
        <w:t>revealed theoretically at Ulster University in 2010</w:t>
      </w:r>
      <w:r w:rsidR="004923E7">
        <w:t xml:space="preserve"> (Brennan et al., 2010)</w:t>
      </w:r>
      <w:r w:rsidR="00EB5908">
        <w:t>.</w:t>
      </w:r>
      <w:r w:rsidR="00E23BAE">
        <w:t xml:space="preserve"> A CFD </w:t>
      </w:r>
      <w:r w:rsidR="00A0227B">
        <w:t xml:space="preserve">model </w:t>
      </w:r>
      <w:r w:rsidR="00132449">
        <w:t>has been</w:t>
      </w:r>
      <w:r w:rsidR="00E23BAE">
        <w:t xml:space="preserve"> developed to investigate the</w:t>
      </w:r>
      <w:r w:rsidR="008A0260" w:rsidRPr="008A0260">
        <w:t xml:space="preserve"> maximum overpressure and pressure dynamics during ignited hydrogen releases in a storage enclosure</w:t>
      </w:r>
      <w:r w:rsidR="00E37FF6">
        <w:t xml:space="preserve"> </w:t>
      </w:r>
      <w:r w:rsidR="00E37FF6">
        <w:fldChar w:fldCharType="begin" w:fldLock="1"/>
      </w:r>
      <w:r w:rsidR="00380A5B">
        <w:instrText>ADDIN CSL_CITATION {"citationItems":[{"id":"ITEM-1","itemData":{"author":[{"dropping-particle":"","family":"Cirrone","given":"D.","non-dropping-particle":"","parse-names":false,"suffix":""},{"dropping-particle":"","family":"Makarov","given":"D.","non-dropping-particle":"","parse-names":false,"suffix":""},{"dropping-particle":"","family":"Lach","given":"A. W.","non-dropping-particle":"","parse-names":false,"suffix":""},{"dropping-particle":"","family":"Gaathaug","given":"A.V.","non-dropping-particle":"","parse-names":false,"suffix":""},{"dropping-particle":"","family":"Molkov","given":"V.","non-dropping-particle":"","parse-names":false,"suffix":""}],"container-title":"Energies","id":"ITEM-1","issue":"271","issued":{"date-parts":[["2022"]]},"page":"1-20","title":"The pressure peaking phenomenon for ignited under-expanded hydrogen jets in the storage enclosure: experiments and simulations for release rates of up to 11.5 g/s","type":"article-journal","volume":"15"},"uris":["http://www.mendeley.com/documents/?uuid=289e38ec-c2e1-42c1-a22b-d7d8234e8424"]}],"mendeley":{"formattedCitation":"(D. Cirrone et al., 2022)","manualFormatting":"(Cirrone et al., 2022c)","plainTextFormattedCitation":"(D. Cirrone et al., 2022)","previouslyFormattedCitation":"(D. Cirrone et al., 2022)"},"properties":{"noteIndex":0},"schema":"https://github.com/citation-style-language/schema/raw/master/csl-citation.json"}</w:instrText>
      </w:r>
      <w:r w:rsidR="00E37FF6">
        <w:fldChar w:fldCharType="separate"/>
      </w:r>
      <w:r w:rsidR="00E37FF6" w:rsidRPr="00E37FF6">
        <w:rPr>
          <w:noProof/>
        </w:rPr>
        <w:t>(Cirrone et al., 2022</w:t>
      </w:r>
      <w:r w:rsidR="00380A5B">
        <w:rPr>
          <w:noProof/>
        </w:rPr>
        <w:t>c</w:t>
      </w:r>
      <w:r w:rsidR="00E37FF6" w:rsidRPr="00E37FF6">
        <w:rPr>
          <w:noProof/>
        </w:rPr>
        <w:t>)</w:t>
      </w:r>
      <w:r w:rsidR="00E37FF6">
        <w:fldChar w:fldCharType="end"/>
      </w:r>
      <w:r w:rsidR="00E23BAE">
        <w:t xml:space="preserve">. </w:t>
      </w:r>
      <w:r w:rsidR="008A0260" w:rsidRPr="008A0260">
        <w:t xml:space="preserve">The CFD model </w:t>
      </w:r>
      <w:r w:rsidR="004C7F7B">
        <w:t>was</w:t>
      </w:r>
      <w:r w:rsidR="008A0260" w:rsidRPr="008A0260">
        <w:t xml:space="preserve"> validated against </w:t>
      </w:r>
      <w:r w:rsidR="004C7F7B">
        <w:t>large-</w:t>
      </w:r>
      <w:r w:rsidR="008A0260" w:rsidRPr="008A0260">
        <w:t>scale experiments in a 1</w:t>
      </w:r>
      <w:r w:rsidR="004C7F7B">
        <w:t>5</w:t>
      </w:r>
      <w:r w:rsidR="008A0260" w:rsidRPr="008A0260">
        <w:t xml:space="preserve"> m</w:t>
      </w:r>
      <w:r w:rsidR="008A0260" w:rsidRPr="004C7F7B">
        <w:rPr>
          <w:vertAlign w:val="superscript"/>
        </w:rPr>
        <w:t>3</w:t>
      </w:r>
      <w:r w:rsidR="008A0260" w:rsidRPr="008A0260">
        <w:t xml:space="preserve"> </w:t>
      </w:r>
      <w:r w:rsidR="004C7F7B">
        <w:t>chamber</w:t>
      </w:r>
      <w:r w:rsidR="008A0260" w:rsidRPr="008A0260">
        <w:t xml:space="preserve"> </w:t>
      </w:r>
      <w:r w:rsidR="00FD7B3C">
        <w:t xml:space="preserve">performed </w:t>
      </w:r>
      <w:r w:rsidR="008A0260" w:rsidRPr="008A0260">
        <w:t xml:space="preserve">by the University of South-Eastern Norway </w:t>
      </w:r>
      <w:r w:rsidR="00A97DBB">
        <w:t>for releases at ambient temperature</w:t>
      </w:r>
      <w:r w:rsidR="008A0260" w:rsidRPr="008A0260">
        <w:t xml:space="preserve">. </w:t>
      </w:r>
      <w:r w:rsidR="003E2097">
        <w:t xml:space="preserve">The CFD model employed </w:t>
      </w:r>
      <w:r w:rsidR="00DE5708">
        <w:t>a</w:t>
      </w:r>
      <w:r w:rsidR="003E2097">
        <w:t xml:space="preserve"> volumetric source approach</w:t>
      </w:r>
      <w:r w:rsidR="00DE5708">
        <w:t xml:space="preserve"> to reduce computational time</w:t>
      </w:r>
      <w:r w:rsidR="003E2097">
        <w:t xml:space="preserve"> </w:t>
      </w:r>
      <w:r w:rsidR="00DE5708">
        <w:t xml:space="preserve">and </w:t>
      </w:r>
      <w:r w:rsidR="008A0260" w:rsidRPr="008A0260">
        <w:t>demonstrate</w:t>
      </w:r>
      <w:r w:rsidR="00DE5708">
        <w:t>d</w:t>
      </w:r>
      <w:r w:rsidR="008A0260" w:rsidRPr="008A0260">
        <w:t xml:space="preserve"> good engineering accuracy in predicting experimental pressure peaks with deviation from −14% to +11% for various release and ventilation scenarios. After validation against experiments, the CFD model </w:t>
      </w:r>
      <w:r w:rsidR="00DE5708">
        <w:t>wa</w:t>
      </w:r>
      <w:r w:rsidR="008A0260" w:rsidRPr="008A0260">
        <w:t xml:space="preserve">s employed to investigate the effect of cryogenic temperature in the storage on the overpressure dynamics in the enclosure. For a storage pressure equal to 11.78 MPa, it </w:t>
      </w:r>
      <w:r w:rsidR="003011F0">
        <w:t>wa</w:t>
      </w:r>
      <w:r w:rsidR="008A0260" w:rsidRPr="008A0260">
        <w:t>s found that a decrease of storage temperature from 277 K to 100 K causes a twice larger pressure peak in the enclosure.</w:t>
      </w:r>
    </w:p>
    <w:p w14:paraId="6DAEC4AC" w14:textId="1F32D7B0" w:rsidR="00817191" w:rsidRPr="00B57B36" w:rsidRDefault="00817191" w:rsidP="00817191">
      <w:pPr>
        <w:pStyle w:val="CETheadingx"/>
      </w:pPr>
      <w:r>
        <w:t>Characterization of blast wave and fireball from BLEVE of LH</w:t>
      </w:r>
      <w:r w:rsidRPr="005F35A3">
        <w:rPr>
          <w:vertAlign w:val="subscript"/>
        </w:rPr>
        <w:t>2</w:t>
      </w:r>
      <w:r>
        <w:t xml:space="preserve"> storage systems</w:t>
      </w:r>
    </w:p>
    <w:p w14:paraId="3BE416CA" w14:textId="48606A96" w:rsidR="00817191" w:rsidRPr="00AF17B6" w:rsidRDefault="005E374C" w:rsidP="00817191">
      <w:pPr>
        <w:pStyle w:val="CETBodytext"/>
      </w:pPr>
      <w:r>
        <w:t>LH</w:t>
      </w:r>
      <w:r w:rsidR="007D236B" w:rsidRPr="00EE0099">
        <w:rPr>
          <w:vertAlign w:val="subscript"/>
        </w:rPr>
        <w:t>2</w:t>
      </w:r>
      <w:r w:rsidR="00A77AA8">
        <w:t xml:space="preserve"> is generally stored in double-wall, vacuum insulated tanks equipped with pressure relief devices (PRD)</w:t>
      </w:r>
      <w:r w:rsidR="00E275E8">
        <w:t xml:space="preserve">. The PRD </w:t>
      </w:r>
      <w:r w:rsidR="00233CA6">
        <w:t>vent</w:t>
      </w:r>
      <w:r w:rsidR="00905C8C">
        <w:t>s</w:t>
      </w:r>
      <w:r w:rsidR="00A77AA8">
        <w:t xml:space="preserve"> hydrogen to avoid the pressure build-up in a tank exchanging heat with the </w:t>
      </w:r>
      <w:proofErr w:type="gramStart"/>
      <w:r w:rsidR="00A77AA8">
        <w:t>ambient</w:t>
      </w:r>
      <w:proofErr w:type="gramEnd"/>
      <w:r w:rsidR="00A77AA8">
        <w:t xml:space="preserve">, </w:t>
      </w:r>
      <w:proofErr w:type="gramStart"/>
      <w:r w:rsidR="00E661DE">
        <w:t>e.g.</w:t>
      </w:r>
      <w:proofErr w:type="gramEnd"/>
      <w:r w:rsidR="00A77AA8">
        <w:t xml:space="preserve"> fire. If the PRD fails, or the structural integrity of the tank is compromised before the release of the stored hydrogen, a failure of </w:t>
      </w:r>
      <w:r w:rsidR="008738E9">
        <w:t>the</w:t>
      </w:r>
      <w:r w:rsidR="00A77AA8">
        <w:t xml:space="preserve"> tank may happen</w:t>
      </w:r>
      <w:r w:rsidR="0047786C">
        <w:t xml:space="preserve">, </w:t>
      </w:r>
      <w:r w:rsidR="00A77AA8">
        <w:t>releasing the stored energy</w:t>
      </w:r>
      <w:r w:rsidR="00993104">
        <w:t xml:space="preserve"> and producing a </w:t>
      </w:r>
      <w:r w:rsidR="00F635AB">
        <w:t xml:space="preserve">devastating </w:t>
      </w:r>
      <w:r w:rsidR="0047786C">
        <w:t xml:space="preserve">blast wave, </w:t>
      </w:r>
      <w:proofErr w:type="gramStart"/>
      <w:r w:rsidR="0047786C">
        <w:t>fireball</w:t>
      </w:r>
      <w:proofErr w:type="gramEnd"/>
      <w:r w:rsidR="0047786C">
        <w:t xml:space="preserve"> and projectiles.</w:t>
      </w:r>
      <w:r w:rsidR="0047786C" w:rsidRPr="0047786C">
        <w:t xml:space="preserve"> </w:t>
      </w:r>
      <w:r w:rsidR="007145FB">
        <w:t xml:space="preserve">A </w:t>
      </w:r>
      <w:r w:rsidR="00C01D6A">
        <w:t>CFD approach has been developed</w:t>
      </w:r>
      <w:r w:rsidR="000A3921">
        <w:t xml:space="preserve"> </w:t>
      </w:r>
      <w:r w:rsidR="00EE0364">
        <w:t>to</w:t>
      </w:r>
      <w:r w:rsidR="007145FB">
        <w:t xml:space="preserve"> provide insights into the physical mechanisms leading to the generation of blast waves after LH</w:t>
      </w:r>
      <w:r w:rsidR="007145FB" w:rsidRPr="0047786C">
        <w:rPr>
          <w:vertAlign w:val="subscript"/>
        </w:rPr>
        <w:t>2</w:t>
      </w:r>
      <w:r w:rsidR="007145FB">
        <w:t xml:space="preserve"> storage tank rupture in a fire</w:t>
      </w:r>
      <w:r w:rsidR="002C7EA3">
        <w:t xml:space="preserve"> </w:t>
      </w:r>
      <w:r w:rsidR="002C7EA3" w:rsidRPr="002C7EA3">
        <w:t>(Cirrone et al., 2023</w:t>
      </w:r>
      <w:r w:rsidR="00AB58A3">
        <w:t>a</w:t>
      </w:r>
      <w:r w:rsidR="002C7EA3" w:rsidRPr="002C7EA3">
        <w:t>)</w:t>
      </w:r>
      <w:r w:rsidR="007145FB">
        <w:t xml:space="preserve">. </w:t>
      </w:r>
      <w:r w:rsidR="00EE0364">
        <w:t>The thorough numerical analysis of BMW experiments (LH</w:t>
      </w:r>
      <w:r w:rsidR="00EE0364" w:rsidRPr="00DF6A8D">
        <w:rPr>
          <w:vertAlign w:val="subscript"/>
        </w:rPr>
        <w:t xml:space="preserve">2 </w:t>
      </w:r>
      <w:r w:rsidR="00EE0364">
        <w:t xml:space="preserve">storage pressure in the range </w:t>
      </w:r>
      <w:r w:rsidR="00DF6A8D">
        <w:t>0.</w:t>
      </w:r>
      <w:r w:rsidR="00EE0364">
        <w:t>2-1</w:t>
      </w:r>
      <w:r w:rsidR="00DF6A8D">
        <w:t>.13</w:t>
      </w:r>
      <w:r w:rsidR="00EE0364">
        <w:t xml:space="preserve"> </w:t>
      </w:r>
      <w:r w:rsidR="00DF6A8D">
        <w:t>MPa)</w:t>
      </w:r>
      <w:r w:rsidR="00EE0364">
        <w:t xml:space="preserve"> allowed to conclude that the maximum pressure in the blast wave is generated by </w:t>
      </w:r>
      <w:r w:rsidR="00225EE6">
        <w:t xml:space="preserve">the </w:t>
      </w:r>
      <w:r w:rsidR="00EE0364">
        <w:t xml:space="preserve">gaseous phase starting shock enhanced by combustion reaction of hydrogen at the contact surface with </w:t>
      </w:r>
      <w:r w:rsidR="0063072C">
        <w:t xml:space="preserve">air </w:t>
      </w:r>
      <w:r w:rsidR="00EE0364">
        <w:t xml:space="preserve">heated by the shock. The </w:t>
      </w:r>
      <w:r w:rsidR="00EE0364" w:rsidRPr="00420233">
        <w:t xml:space="preserve">boiling liquid expanding </w:t>
      </w:r>
      <w:proofErr w:type="spellStart"/>
      <w:r w:rsidR="00EE0364" w:rsidRPr="00420233">
        <w:t>vapour</w:t>
      </w:r>
      <w:proofErr w:type="spellEnd"/>
      <w:r w:rsidR="00EE0364" w:rsidRPr="00420233">
        <w:t xml:space="preserve"> explosion</w:t>
      </w:r>
      <w:r w:rsidR="00EE0364">
        <w:t xml:space="preserve"> (BLEVE) pressure peak follows the gaseous phase blast and is smaller in amplitude. The simulation results demonstrat</w:t>
      </w:r>
      <w:r w:rsidR="0063072C">
        <w:t>ed</w:t>
      </w:r>
      <w:r w:rsidR="00EE0364">
        <w:t xml:space="preserve"> that combustion at the contact surface contributes significantly to the generated blast wave, increasing the overpressure at 3 m from the tank</w:t>
      </w:r>
      <w:r w:rsidR="00EE0364" w:rsidRPr="005A7496">
        <w:t xml:space="preserve"> </w:t>
      </w:r>
      <w:r w:rsidR="00EE0364">
        <w:t xml:space="preserve">up to 5 times. The developed CFD model can be used as a contemporary tool for hydrogen safety engineering, </w:t>
      </w:r>
      <w:proofErr w:type="gramStart"/>
      <w:r w:rsidR="00EE0364">
        <w:t>e.g.</w:t>
      </w:r>
      <w:proofErr w:type="gramEnd"/>
      <w:r w:rsidR="00EE0364">
        <w:t xml:space="preserve"> </w:t>
      </w:r>
      <w:r w:rsidR="000A23D5">
        <w:t>to</w:t>
      </w:r>
      <w:r w:rsidR="00EE0364">
        <w:t xml:space="preserve"> assess hazard distances from LH</w:t>
      </w:r>
      <w:r w:rsidR="00EE0364" w:rsidRPr="00063AD5">
        <w:rPr>
          <w:vertAlign w:val="subscript"/>
        </w:rPr>
        <w:t>2</w:t>
      </w:r>
      <w:r w:rsidR="00EE0364">
        <w:t xml:space="preserve"> storage. </w:t>
      </w:r>
    </w:p>
    <w:p w14:paraId="5CD4C036" w14:textId="77777777" w:rsidR="005C4ABB" w:rsidRPr="00B57B36" w:rsidRDefault="005C4ABB" w:rsidP="005C4ABB">
      <w:pPr>
        <w:pStyle w:val="CETHeading1"/>
        <w:rPr>
          <w:lang w:val="en-GB"/>
        </w:rPr>
      </w:pPr>
      <w:r w:rsidRPr="00B57B36">
        <w:rPr>
          <w:lang w:val="en-GB"/>
        </w:rPr>
        <w:t>Conclusions</w:t>
      </w:r>
    </w:p>
    <w:p w14:paraId="291420FF" w14:textId="17B8D88F" w:rsidR="006B1002" w:rsidRPr="006B1002" w:rsidRDefault="009631BC" w:rsidP="006B1002">
      <w:pPr>
        <w:pStyle w:val="CETBodytext"/>
        <w:rPr>
          <w:lang w:val="en-GB"/>
        </w:rPr>
      </w:pPr>
      <w:r w:rsidRPr="00410E08">
        <w:rPr>
          <w:lang w:val="en-GB"/>
        </w:rPr>
        <w:t>This paper present</w:t>
      </w:r>
      <w:r w:rsidR="00782896">
        <w:rPr>
          <w:lang w:val="en-GB"/>
        </w:rPr>
        <w:t>ed</w:t>
      </w:r>
      <w:r w:rsidRPr="00410E08">
        <w:rPr>
          <w:lang w:val="en-GB"/>
        </w:rPr>
        <w:t xml:space="preserve"> an overview of</w:t>
      </w:r>
      <w:r w:rsidR="00782896">
        <w:rPr>
          <w:lang w:val="en-GB"/>
        </w:rPr>
        <w:t xml:space="preserve"> the</w:t>
      </w:r>
      <w:r w:rsidRPr="00410E08">
        <w:rPr>
          <w:lang w:val="en-GB"/>
        </w:rPr>
        <w:t xml:space="preserve"> models developed and validated by the authors</w:t>
      </w:r>
      <w:r w:rsidR="00782896">
        <w:rPr>
          <w:lang w:val="en-GB"/>
        </w:rPr>
        <w:t xml:space="preserve"> </w:t>
      </w:r>
      <w:r w:rsidR="007F37AD">
        <w:rPr>
          <w:lang w:val="en-GB"/>
        </w:rPr>
        <w:t>to assess the</w:t>
      </w:r>
      <w:r w:rsidR="00782896">
        <w:rPr>
          <w:lang w:val="en-GB"/>
        </w:rPr>
        <w:t xml:space="preserve"> hazards </w:t>
      </w:r>
      <w:r w:rsidR="003D2089">
        <w:rPr>
          <w:lang w:val="en-GB"/>
        </w:rPr>
        <w:t xml:space="preserve">and consequences </w:t>
      </w:r>
      <w:r w:rsidR="007F37AD">
        <w:rPr>
          <w:lang w:val="en-GB"/>
        </w:rPr>
        <w:t xml:space="preserve">from incident scenarios involving </w:t>
      </w:r>
      <w:r w:rsidR="003D2089">
        <w:rPr>
          <w:lang w:val="en-GB"/>
        </w:rPr>
        <w:t>LH</w:t>
      </w:r>
      <w:r w:rsidR="003D2089" w:rsidRPr="00FA4C58">
        <w:rPr>
          <w:vertAlign w:val="subscript"/>
          <w:lang w:val="en-GB"/>
        </w:rPr>
        <w:t>2</w:t>
      </w:r>
      <w:r w:rsidR="003D2089">
        <w:rPr>
          <w:lang w:val="en-GB"/>
        </w:rPr>
        <w:t xml:space="preserve"> </w:t>
      </w:r>
      <w:r w:rsidR="007F37AD">
        <w:rPr>
          <w:lang w:val="en-GB"/>
        </w:rPr>
        <w:t>and cryo-compressed hydrogen.</w:t>
      </w:r>
      <w:r w:rsidR="007434C6">
        <w:rPr>
          <w:lang w:val="en-GB"/>
        </w:rPr>
        <w:t xml:space="preserve"> </w:t>
      </w:r>
      <w:r w:rsidR="00F74E41">
        <w:rPr>
          <w:lang w:val="en-GB"/>
        </w:rPr>
        <w:t xml:space="preserve">The synergy and complementarities of physical and computational modelling are used to close the knowledge gaps and </w:t>
      </w:r>
      <w:r w:rsidR="003652BC">
        <w:rPr>
          <w:lang w:val="en-GB"/>
        </w:rPr>
        <w:t xml:space="preserve">provide validated tools </w:t>
      </w:r>
      <w:r w:rsidR="00A427B4">
        <w:rPr>
          <w:lang w:val="en-GB"/>
        </w:rPr>
        <w:t>to assess</w:t>
      </w:r>
      <w:r w:rsidR="003652BC">
        <w:rPr>
          <w:lang w:val="en-GB"/>
        </w:rPr>
        <w:t xml:space="preserve"> </w:t>
      </w:r>
      <w:r w:rsidR="008A1BF6">
        <w:rPr>
          <w:lang w:val="en-GB"/>
        </w:rPr>
        <w:t>relevant</w:t>
      </w:r>
      <w:r w:rsidR="003652BC">
        <w:rPr>
          <w:lang w:val="en-GB"/>
        </w:rPr>
        <w:t xml:space="preserve"> </w:t>
      </w:r>
      <w:r w:rsidR="00A427B4">
        <w:rPr>
          <w:lang w:val="en-GB"/>
        </w:rPr>
        <w:t xml:space="preserve">hazardous </w:t>
      </w:r>
      <w:r w:rsidR="003652BC">
        <w:rPr>
          <w:lang w:val="en-GB"/>
        </w:rPr>
        <w:t>phenomena</w:t>
      </w:r>
      <w:r w:rsidR="003711A3">
        <w:rPr>
          <w:lang w:val="en-GB"/>
        </w:rPr>
        <w:t xml:space="preserve"> and incident scenarios. </w:t>
      </w:r>
      <w:r w:rsidR="00A557D0">
        <w:rPr>
          <w:lang w:val="en-GB"/>
        </w:rPr>
        <w:t xml:space="preserve">Experimental data from the literature </w:t>
      </w:r>
      <w:r w:rsidR="00EE1571">
        <w:rPr>
          <w:lang w:val="en-GB"/>
        </w:rPr>
        <w:t xml:space="preserve">and </w:t>
      </w:r>
      <w:r w:rsidR="00A557D0">
        <w:rPr>
          <w:lang w:val="en-GB"/>
        </w:rPr>
        <w:t xml:space="preserve">PRESLHY project were used for the validation of physical and CFD models. </w:t>
      </w:r>
      <w:r w:rsidR="002B41EE">
        <w:rPr>
          <w:lang w:val="en-GB"/>
        </w:rPr>
        <w:t>T</w:t>
      </w:r>
      <w:r w:rsidR="003711A3">
        <w:rPr>
          <w:lang w:val="en-GB"/>
        </w:rPr>
        <w:t xml:space="preserve">he under-expanded jet theory </w:t>
      </w:r>
      <w:r w:rsidR="00AE27AA">
        <w:rPr>
          <w:lang w:val="en-GB"/>
        </w:rPr>
        <w:t>and non-adiabatic blowdown mode</w:t>
      </w:r>
      <w:r w:rsidR="004021B9">
        <w:rPr>
          <w:lang w:val="en-GB"/>
        </w:rPr>
        <w:t xml:space="preserve">ls </w:t>
      </w:r>
      <w:r w:rsidR="003711A3">
        <w:rPr>
          <w:lang w:val="en-GB"/>
        </w:rPr>
        <w:t>developed at Ulster University</w:t>
      </w:r>
      <w:r w:rsidR="00AE27AA">
        <w:rPr>
          <w:lang w:val="en-GB"/>
        </w:rPr>
        <w:t xml:space="preserve"> accounting for NIST </w:t>
      </w:r>
      <w:proofErr w:type="spellStart"/>
      <w:r w:rsidR="00AE27AA">
        <w:rPr>
          <w:lang w:val="en-GB"/>
        </w:rPr>
        <w:t>EoS</w:t>
      </w:r>
      <w:proofErr w:type="spellEnd"/>
      <w:r w:rsidR="003711A3">
        <w:rPr>
          <w:lang w:val="en-GB"/>
        </w:rPr>
        <w:t xml:space="preserve"> can be </w:t>
      </w:r>
      <w:r w:rsidR="003711A3">
        <w:rPr>
          <w:lang w:val="en-GB"/>
        </w:rPr>
        <w:lastRenderedPageBreak/>
        <w:t xml:space="preserve">used to </w:t>
      </w:r>
      <w:r w:rsidR="009B4942">
        <w:rPr>
          <w:lang w:val="en-GB"/>
        </w:rPr>
        <w:t xml:space="preserve">accurately </w:t>
      </w:r>
      <w:r w:rsidR="003711A3">
        <w:rPr>
          <w:lang w:val="en-GB"/>
        </w:rPr>
        <w:t>represent</w:t>
      </w:r>
      <w:r w:rsidR="009B4942">
        <w:rPr>
          <w:lang w:val="en-GB"/>
        </w:rPr>
        <w:t xml:space="preserve"> the release hydrogen sources at cryogenic temperature. </w:t>
      </w:r>
      <w:r w:rsidR="00527AB2">
        <w:rPr>
          <w:lang w:val="en-GB"/>
        </w:rPr>
        <w:t>No</w:t>
      </w:r>
      <w:r w:rsidR="00D92981" w:rsidRPr="00D92981">
        <w:rPr>
          <w:lang w:val="en-GB"/>
        </w:rPr>
        <w:t>n-adiabatic blowdown model</w:t>
      </w:r>
      <w:r w:rsidR="00527AB2">
        <w:rPr>
          <w:lang w:val="en-GB"/>
        </w:rPr>
        <w:t>ling should</w:t>
      </w:r>
      <w:r w:rsidR="00D92981" w:rsidRPr="00D92981">
        <w:rPr>
          <w:lang w:val="en-GB"/>
        </w:rPr>
        <w:t xml:space="preserve"> account for the strong effect of heat transfer not only through the storage tank wall but </w:t>
      </w:r>
      <w:r w:rsidR="00314FEB">
        <w:rPr>
          <w:lang w:val="en-GB"/>
        </w:rPr>
        <w:t xml:space="preserve">also </w:t>
      </w:r>
      <w:r w:rsidR="00D92981" w:rsidRPr="00D92981">
        <w:rPr>
          <w:lang w:val="en-GB"/>
        </w:rPr>
        <w:t xml:space="preserve">through the walls of the discharge line </w:t>
      </w:r>
      <w:r w:rsidR="00314FEB">
        <w:rPr>
          <w:lang w:val="en-GB"/>
        </w:rPr>
        <w:t>expose</w:t>
      </w:r>
      <w:r w:rsidR="00D92981" w:rsidRPr="00D92981">
        <w:rPr>
          <w:lang w:val="en-GB"/>
        </w:rPr>
        <w:t xml:space="preserve">d to the ambient temperature. </w:t>
      </w:r>
      <w:r w:rsidR="00A557D0" w:rsidRPr="00A557D0">
        <w:rPr>
          <w:lang w:val="en-GB"/>
        </w:rPr>
        <w:t xml:space="preserve">The similarity law for hydrogen concentration decay in momentum-dominated jets is proven to be applicable </w:t>
      </w:r>
      <w:r w:rsidR="00314FEB">
        <w:rPr>
          <w:lang w:val="en-GB"/>
        </w:rPr>
        <w:t>to</w:t>
      </w:r>
      <w:r w:rsidR="00A557D0" w:rsidRPr="00A557D0">
        <w:rPr>
          <w:lang w:val="en-GB"/>
        </w:rPr>
        <w:t xml:space="preserve"> cryogenic </w:t>
      </w:r>
      <w:r w:rsidR="00102A1E">
        <w:rPr>
          <w:lang w:val="en-GB"/>
        </w:rPr>
        <w:t xml:space="preserve">hydrogen </w:t>
      </w:r>
      <w:r w:rsidR="00A557D0" w:rsidRPr="00A557D0">
        <w:rPr>
          <w:lang w:val="en-GB"/>
        </w:rPr>
        <w:t>releases.</w:t>
      </w:r>
      <w:r w:rsidR="00AA675D">
        <w:rPr>
          <w:lang w:val="en-GB"/>
        </w:rPr>
        <w:t xml:space="preserve"> </w:t>
      </w:r>
      <w:r w:rsidR="006B1002" w:rsidRPr="006B1002">
        <w:rPr>
          <w:lang w:val="en-GB"/>
        </w:rPr>
        <w:t xml:space="preserve">Reduced and CFD models </w:t>
      </w:r>
      <w:r w:rsidR="008F2BEA">
        <w:rPr>
          <w:lang w:val="en-GB"/>
        </w:rPr>
        <w:t>we</w:t>
      </w:r>
      <w:r w:rsidR="006B1002" w:rsidRPr="006B1002">
        <w:rPr>
          <w:lang w:val="en-GB"/>
        </w:rPr>
        <w:t xml:space="preserve">re developed to determine the minimum ignition energy (MIE) by spark ignition in hydrogen-air mixtures at ambient and cryogenic temperatures. The models </w:t>
      </w:r>
      <w:r w:rsidR="00F073A3">
        <w:rPr>
          <w:lang w:val="en-GB"/>
        </w:rPr>
        <w:t>we</w:t>
      </w:r>
      <w:r w:rsidR="006B1002" w:rsidRPr="006B1002">
        <w:rPr>
          <w:lang w:val="en-GB"/>
        </w:rPr>
        <w:t>re validated against experiments and show</w:t>
      </w:r>
      <w:r w:rsidR="00314FEB">
        <w:rPr>
          <w:lang w:val="en-GB"/>
        </w:rPr>
        <w:t>ed</w:t>
      </w:r>
      <w:r w:rsidR="006B1002" w:rsidRPr="006B1002">
        <w:rPr>
          <w:lang w:val="en-GB"/>
        </w:rPr>
        <w:t xml:space="preserve"> a slight increase of MIE for decreasing temperature of the mixture. Large Eddy Simulations (LES) model </w:t>
      </w:r>
      <w:r w:rsidR="00391E6B">
        <w:rPr>
          <w:lang w:val="en-GB"/>
        </w:rPr>
        <w:t>wa</w:t>
      </w:r>
      <w:r w:rsidR="006B1002" w:rsidRPr="006B1002">
        <w:rPr>
          <w:lang w:val="en-GB"/>
        </w:rPr>
        <w:t xml:space="preserve">s </w:t>
      </w:r>
      <w:r w:rsidR="0003012F">
        <w:rPr>
          <w:lang w:val="en-GB"/>
        </w:rPr>
        <w:t>applied</w:t>
      </w:r>
      <w:r w:rsidR="0003012F" w:rsidRPr="006B1002">
        <w:rPr>
          <w:lang w:val="en-GB"/>
        </w:rPr>
        <w:t xml:space="preserve"> </w:t>
      </w:r>
      <w:r w:rsidR="006B1002" w:rsidRPr="006B1002">
        <w:rPr>
          <w:lang w:val="en-GB"/>
        </w:rPr>
        <w:t xml:space="preserve">to assess the lower pressure limit to trigger spontaneous ignition by the so-called ignition mechanism during sudden release of hydrogen into vent piping. </w:t>
      </w:r>
    </w:p>
    <w:p w14:paraId="3FA94BFB" w14:textId="5351480A" w:rsidR="005C4ABB" w:rsidRPr="005C4ABB" w:rsidRDefault="006B1002" w:rsidP="005C4ABB">
      <w:pPr>
        <w:pStyle w:val="CETBodytext"/>
        <w:rPr>
          <w:lang w:val="en-GB"/>
        </w:rPr>
      </w:pPr>
      <w:r w:rsidRPr="006B1002">
        <w:rPr>
          <w:lang w:val="en-GB"/>
        </w:rPr>
        <w:t xml:space="preserve">The dimensionless correlation for hydrogen jet flames developed at Ulster University for ambient temperatures </w:t>
      </w:r>
      <w:r w:rsidR="00D76287">
        <w:rPr>
          <w:lang w:val="en-GB"/>
        </w:rPr>
        <w:t>is</w:t>
      </w:r>
      <w:r w:rsidR="00D76287" w:rsidRPr="006B1002">
        <w:rPr>
          <w:lang w:val="en-GB"/>
        </w:rPr>
        <w:t xml:space="preserve"> </w:t>
      </w:r>
      <w:r w:rsidRPr="006B1002">
        <w:rPr>
          <w:lang w:val="en-GB"/>
        </w:rPr>
        <w:t>proven to be applicable for determination of hazard distances for cryogenic jet flames. The CFD study demonstrated that for horizontal jet fires, the buoyancy of combustion products may have a significant mitigating effect on the reduction of hazard distances for horizontal releases as compared to vertical releases. The application of similitude analysis to experimental data published by different research groups</w:t>
      </w:r>
      <w:r w:rsidR="000F2C68">
        <w:rPr>
          <w:lang w:val="en-GB"/>
        </w:rPr>
        <w:t xml:space="preserve"> worldwide</w:t>
      </w:r>
      <w:r w:rsidRPr="006B1002">
        <w:rPr>
          <w:lang w:val="en-GB"/>
        </w:rPr>
        <w:t xml:space="preserve"> allowed to develop a unique correlation to predict the maximum overpressure generated by </w:t>
      </w:r>
      <w:r w:rsidR="000F2C68">
        <w:rPr>
          <w:lang w:val="en-GB"/>
        </w:rPr>
        <w:t>delayed ignition</w:t>
      </w:r>
      <w:r w:rsidRPr="006B1002">
        <w:rPr>
          <w:lang w:val="en-GB"/>
        </w:rPr>
        <w:t xml:space="preserve"> of hydrogen je</w:t>
      </w:r>
      <w:r w:rsidR="000F2C68">
        <w:rPr>
          <w:lang w:val="en-GB"/>
        </w:rPr>
        <w:t>ts</w:t>
      </w:r>
      <w:r w:rsidRPr="006B1002">
        <w:rPr>
          <w:lang w:val="en-GB"/>
        </w:rPr>
        <w:t>. The results of BLEVE rethinking allowed to understand and explain the pressure dynamics created by LH</w:t>
      </w:r>
      <w:r w:rsidRPr="00245988">
        <w:rPr>
          <w:vertAlign w:val="subscript"/>
          <w:lang w:val="en-GB"/>
        </w:rPr>
        <w:t>2</w:t>
      </w:r>
      <w:r w:rsidRPr="006B1002">
        <w:rPr>
          <w:lang w:val="en-GB"/>
        </w:rPr>
        <w:t xml:space="preserve"> vessels rupture in a fire using BMW experimental data. The developed engineering models and correlations can be used </w:t>
      </w:r>
      <w:r w:rsidR="00E24FA3">
        <w:rPr>
          <w:lang w:val="en-GB"/>
        </w:rPr>
        <w:t xml:space="preserve">for hydrogen safety engineering </w:t>
      </w:r>
      <w:r w:rsidRPr="006B1002">
        <w:rPr>
          <w:lang w:val="en-GB"/>
        </w:rPr>
        <w:t>to assess consequences of incidents and develop mitigation strategies for LH</w:t>
      </w:r>
      <w:r w:rsidRPr="00245988">
        <w:rPr>
          <w:vertAlign w:val="subscript"/>
          <w:lang w:val="en-GB"/>
        </w:rPr>
        <w:t>2</w:t>
      </w:r>
      <w:r w:rsidRPr="006B1002">
        <w:rPr>
          <w:lang w:val="en-GB"/>
        </w:rPr>
        <w:t xml:space="preserve"> systems. They inform and underpin relevant Regulations Codes and Standards.</w:t>
      </w:r>
    </w:p>
    <w:p w14:paraId="459D05E6" w14:textId="77777777" w:rsidR="00600535" w:rsidRPr="00B57B36" w:rsidRDefault="00600535" w:rsidP="00600535">
      <w:pPr>
        <w:pStyle w:val="CETAcknowledgementstitle"/>
      </w:pPr>
      <w:r w:rsidRPr="00B57B36">
        <w:t>Acknowledgments</w:t>
      </w:r>
    </w:p>
    <w:p w14:paraId="1042EB8A" w14:textId="7BF187F3" w:rsidR="00FA4134" w:rsidRPr="00963059" w:rsidRDefault="00FA4134" w:rsidP="00FA4134">
      <w:pPr>
        <w:pStyle w:val="CETBodytext"/>
        <w:rPr>
          <w:color w:val="FF0000"/>
          <w:lang w:val="en-GB"/>
        </w:rPr>
      </w:pPr>
      <w:r w:rsidRPr="00C64B5D">
        <w:rPr>
          <w:lang w:val="en-GB"/>
        </w:rPr>
        <w:t xml:space="preserve">This research has received funding from the Fuel Cells and Hydrogen 2 Joint Undertaking (now </w:t>
      </w:r>
      <w:r w:rsidRPr="00C64B5D">
        <w:rPr>
          <w:cs/>
          <w:lang w:val="en-GB"/>
        </w:rPr>
        <w:t>‎</w:t>
      </w:r>
      <w:r w:rsidRPr="00C64B5D">
        <w:rPr>
          <w:lang w:val="en-GB"/>
        </w:rPr>
        <w:t xml:space="preserve">Clean Hydrogen Partnership) under the European Union’s Horizon 2020 research and innovation </w:t>
      </w:r>
      <w:r w:rsidRPr="00C64B5D">
        <w:rPr>
          <w:cs/>
          <w:lang w:val="en-GB"/>
        </w:rPr>
        <w:t>‎</w:t>
      </w:r>
      <w:r w:rsidRPr="00C64B5D">
        <w:rPr>
          <w:lang w:val="en-GB"/>
        </w:rPr>
        <w:t>programme under grant agreement No.</w:t>
      </w:r>
      <w:r w:rsidR="006C48E4" w:rsidRPr="006C48E4">
        <w:rPr>
          <w:lang w:val="en-GB"/>
        </w:rPr>
        <w:t xml:space="preserve"> 779613</w:t>
      </w:r>
      <w:r w:rsidRPr="00C64B5D">
        <w:rPr>
          <w:cs/>
          <w:lang w:val="en-GB"/>
        </w:rPr>
        <w:t>‎</w:t>
      </w:r>
      <w:r w:rsidRPr="00C64B5D">
        <w:rPr>
          <w:lang w:val="en-GB"/>
        </w:rPr>
        <w:t xml:space="preserve"> (</w:t>
      </w:r>
      <w:r>
        <w:rPr>
          <w:lang w:val="en-GB"/>
        </w:rPr>
        <w:t>PRESLHY</w:t>
      </w:r>
      <w:r w:rsidRPr="00C64B5D">
        <w:rPr>
          <w:lang w:val="en-GB"/>
        </w:rPr>
        <w:t>)</w:t>
      </w:r>
      <w:r w:rsidR="00156111">
        <w:rPr>
          <w:lang w:val="en-GB"/>
        </w:rPr>
        <w:t xml:space="preserve">, </w:t>
      </w:r>
      <w:r w:rsidR="00C825C2" w:rsidRPr="00C825C2">
        <w:rPr>
          <w:lang w:val="en-GB"/>
        </w:rPr>
        <w:t>No.736648 (NET-Tools</w:t>
      </w:r>
      <w:r w:rsidR="00C825C2">
        <w:rPr>
          <w:lang w:val="en-GB"/>
        </w:rPr>
        <w:t>)</w:t>
      </w:r>
      <w:r w:rsidR="00156111">
        <w:rPr>
          <w:lang w:val="en-GB"/>
        </w:rPr>
        <w:t xml:space="preserve"> and </w:t>
      </w:r>
      <w:r w:rsidR="00156111" w:rsidRPr="00596C86">
        <w:rPr>
          <w:lang w:val="en-GB"/>
        </w:rPr>
        <w:t>No. 101101381</w:t>
      </w:r>
      <w:r w:rsidR="00156111">
        <w:rPr>
          <w:lang w:val="en-GB"/>
        </w:rPr>
        <w:t xml:space="preserve"> (ELVHYS). ELVHYS</w:t>
      </w:r>
      <w:r w:rsidR="00842572">
        <w:rPr>
          <w:lang w:val="en-GB"/>
        </w:rPr>
        <w:t xml:space="preserve"> proj</w:t>
      </w:r>
      <w:r w:rsidR="00596C86" w:rsidRPr="00596C86">
        <w:rPr>
          <w:lang w:val="en-GB"/>
        </w:rPr>
        <w:t xml:space="preserve">ect is supported by the Clean Hydrogen Partnership </w:t>
      </w:r>
      <w:r w:rsidR="003643F2">
        <w:rPr>
          <w:lang w:val="en-GB"/>
        </w:rPr>
        <w:t xml:space="preserve">(CHP) </w:t>
      </w:r>
      <w:r w:rsidR="00596C86" w:rsidRPr="00596C86">
        <w:rPr>
          <w:lang w:val="en-GB"/>
        </w:rPr>
        <w:t xml:space="preserve">and its members. </w:t>
      </w:r>
      <w:r w:rsidR="007337E3" w:rsidRPr="008D1225">
        <w:rPr>
          <w:lang w:val="en-GB"/>
        </w:rPr>
        <w:t xml:space="preserve">University of Ulster </w:t>
      </w:r>
      <w:r w:rsidR="008D1225" w:rsidRPr="008D1225">
        <w:rPr>
          <w:lang w:val="en-GB"/>
        </w:rPr>
        <w:t xml:space="preserve">in Horizon Europe Project ELVHYS </w:t>
      </w:r>
      <w:r w:rsidR="007337E3">
        <w:rPr>
          <w:lang w:val="en-GB"/>
        </w:rPr>
        <w:t>is</w:t>
      </w:r>
      <w:r w:rsidR="008D1225" w:rsidRPr="008D1225">
        <w:rPr>
          <w:lang w:val="en-GB"/>
        </w:rPr>
        <w:t xml:space="preserve"> supported by UKRI grant number 10063519</w:t>
      </w:r>
      <w:r w:rsidR="008D1225">
        <w:rPr>
          <w:lang w:val="en-GB"/>
        </w:rPr>
        <w:t>.</w:t>
      </w:r>
      <w:r w:rsidR="008D1225" w:rsidRPr="008D1225">
        <w:rPr>
          <w:lang w:val="en-GB"/>
        </w:rPr>
        <w:t xml:space="preserve"> </w:t>
      </w:r>
      <w:r w:rsidR="00910B09" w:rsidRPr="00910B09">
        <w:rPr>
          <w:lang w:val="en-GB"/>
        </w:rPr>
        <w:t xml:space="preserve">Funded by the European Union. Views and opinions expressed are however those of the authors only and do not necessarily reflect those of the European Union or the </w:t>
      </w:r>
      <w:r w:rsidR="003643F2">
        <w:rPr>
          <w:lang w:val="en-GB"/>
        </w:rPr>
        <w:t>CHP</w:t>
      </w:r>
      <w:r w:rsidR="00910B09" w:rsidRPr="00910B09">
        <w:rPr>
          <w:lang w:val="en-GB"/>
        </w:rPr>
        <w:t xml:space="preserve">. Neither the European Union nor the </w:t>
      </w:r>
      <w:r w:rsidR="003643F2">
        <w:rPr>
          <w:lang w:val="en-GB"/>
        </w:rPr>
        <w:t xml:space="preserve">CHP </w:t>
      </w:r>
      <w:r w:rsidR="00910B09" w:rsidRPr="00910B09">
        <w:rPr>
          <w:lang w:val="en-GB"/>
        </w:rPr>
        <w:t>can be held responsible for them.</w:t>
      </w:r>
    </w:p>
    <w:p w14:paraId="03507984" w14:textId="7AD24BEE" w:rsidR="00600535" w:rsidRDefault="00600535" w:rsidP="00FA6F45">
      <w:pPr>
        <w:pStyle w:val="CETReference"/>
      </w:pPr>
      <w:r w:rsidRPr="00B57B36">
        <w:t>References</w:t>
      </w:r>
    </w:p>
    <w:p w14:paraId="237C4D23" w14:textId="401442C0" w:rsidR="004923E7" w:rsidRDefault="004923E7" w:rsidP="004923E7">
      <w:pPr>
        <w:widowControl w:val="0"/>
        <w:autoSpaceDE w:val="0"/>
        <w:autoSpaceDN w:val="0"/>
        <w:adjustRightInd w:val="0"/>
        <w:spacing w:line="240" w:lineRule="auto"/>
        <w:ind w:left="480" w:hanging="480"/>
      </w:pPr>
      <w:r>
        <w:t>Brennan, S., Makarov, D., Molkov, V., 2010</w:t>
      </w:r>
      <w:r w:rsidR="00EE10D4">
        <w:t>,</w:t>
      </w:r>
      <w:r>
        <w:t xml:space="preserve"> Dynamics of </w:t>
      </w:r>
      <w:r w:rsidR="00EE10D4">
        <w:t>f</w:t>
      </w:r>
      <w:r>
        <w:t xml:space="preserve">lammable </w:t>
      </w:r>
      <w:r w:rsidR="00EE10D4">
        <w:t>h</w:t>
      </w:r>
      <w:r>
        <w:t>ydrogen-</w:t>
      </w:r>
      <w:r w:rsidR="00EE10D4">
        <w:t>a</w:t>
      </w:r>
      <w:r>
        <w:t xml:space="preserve">ir </w:t>
      </w:r>
      <w:r w:rsidR="00EE10D4">
        <w:t>m</w:t>
      </w:r>
      <w:r>
        <w:t xml:space="preserve">ixture </w:t>
      </w:r>
      <w:r w:rsidR="00EE10D4">
        <w:t>f</w:t>
      </w:r>
      <w:r>
        <w:t xml:space="preserve">ormation in an </w:t>
      </w:r>
      <w:r w:rsidR="00EE10D4">
        <w:t>e</w:t>
      </w:r>
      <w:r>
        <w:t xml:space="preserve">nclosure with a </w:t>
      </w:r>
      <w:r w:rsidR="00EE10D4">
        <w:t>s</w:t>
      </w:r>
      <w:r>
        <w:t>ingle</w:t>
      </w:r>
      <w:r w:rsidR="00EE10D4">
        <w:t xml:space="preserve"> v</w:t>
      </w:r>
      <w:r>
        <w:t>ent. In Proceedings of the Sixth International Seminar on Fire and Explosion Hazards, Leeds, UK, 11–16 April 2010.</w:t>
      </w:r>
    </w:p>
    <w:p w14:paraId="20C7EC3F" w14:textId="14E4AAE2" w:rsidR="00F8682F" w:rsidRDefault="00F8682F" w:rsidP="00961AAA">
      <w:pPr>
        <w:widowControl w:val="0"/>
        <w:autoSpaceDE w:val="0"/>
        <w:autoSpaceDN w:val="0"/>
        <w:adjustRightInd w:val="0"/>
        <w:spacing w:line="240" w:lineRule="auto"/>
        <w:ind w:left="480" w:hanging="480"/>
      </w:pPr>
      <w:r w:rsidRPr="00F8682F">
        <w:t>Cirrone, D., Makarov, D., Friedrich, A., Grune, J., Takeno, K., Molkov, V., 2022a</w:t>
      </w:r>
      <w:r w:rsidR="005521C9">
        <w:t xml:space="preserve">, </w:t>
      </w:r>
      <w:r w:rsidRPr="00F8682F">
        <w:t xml:space="preserve">Blast </w:t>
      </w:r>
      <w:r w:rsidR="00F736A0">
        <w:t>w</w:t>
      </w:r>
      <w:r w:rsidRPr="00F8682F">
        <w:t xml:space="preserve">ave </w:t>
      </w:r>
      <w:r w:rsidR="00F736A0">
        <w:t>g</w:t>
      </w:r>
      <w:r w:rsidRPr="00F8682F">
        <w:t xml:space="preserve">enerated by </w:t>
      </w:r>
      <w:r w:rsidR="00F736A0">
        <w:t>d</w:t>
      </w:r>
      <w:r w:rsidRPr="00F8682F">
        <w:t xml:space="preserve">elayed </w:t>
      </w:r>
      <w:r w:rsidR="00F736A0">
        <w:t>i</w:t>
      </w:r>
      <w:r w:rsidRPr="00F8682F">
        <w:t xml:space="preserve">gnition of </w:t>
      </w:r>
      <w:r w:rsidR="00F736A0">
        <w:t>u</w:t>
      </w:r>
      <w:r w:rsidRPr="00F8682F">
        <w:t>nder-</w:t>
      </w:r>
      <w:r w:rsidR="00F736A0">
        <w:t>e</w:t>
      </w:r>
      <w:r w:rsidRPr="00F8682F">
        <w:t xml:space="preserve">xpanded </w:t>
      </w:r>
      <w:r w:rsidR="00F736A0">
        <w:t>h</w:t>
      </w:r>
      <w:r w:rsidRPr="00F8682F">
        <w:t xml:space="preserve">ydrogen </w:t>
      </w:r>
      <w:r w:rsidR="00F736A0">
        <w:t>f</w:t>
      </w:r>
      <w:r w:rsidRPr="00F8682F">
        <w:t xml:space="preserve">ree </w:t>
      </w:r>
      <w:r w:rsidR="00F736A0">
        <w:t>j</w:t>
      </w:r>
      <w:r w:rsidRPr="00F8682F">
        <w:t xml:space="preserve">et at </w:t>
      </w:r>
      <w:r w:rsidR="00F736A0">
        <w:t>a</w:t>
      </w:r>
      <w:r w:rsidRPr="00F8682F">
        <w:t xml:space="preserve">mbient and </w:t>
      </w:r>
      <w:r w:rsidR="00F736A0">
        <w:t>c</w:t>
      </w:r>
      <w:r w:rsidRPr="00F8682F">
        <w:t xml:space="preserve">ryogenic </w:t>
      </w:r>
      <w:r w:rsidR="00F736A0">
        <w:t>t</w:t>
      </w:r>
      <w:r w:rsidRPr="00F8682F">
        <w:t>emperatures</w:t>
      </w:r>
      <w:r w:rsidR="005521C9">
        <w:t>,</w:t>
      </w:r>
      <w:r w:rsidR="00C82B88">
        <w:t xml:space="preserve"> Hydrogen, 2022,3,</w:t>
      </w:r>
      <w:r w:rsidRPr="00F8682F">
        <w:t xml:space="preserve"> 433–449.</w:t>
      </w:r>
      <w:r w:rsidR="00B424C3" w:rsidRPr="00B424C3">
        <w:t xml:space="preserve"> doi.org/10.3390/hydrogen3040027</w:t>
      </w:r>
    </w:p>
    <w:p w14:paraId="11A59AA9" w14:textId="3E8F391D" w:rsidR="00961AAA" w:rsidRDefault="00961AAA" w:rsidP="00961AAA">
      <w:pPr>
        <w:widowControl w:val="0"/>
        <w:autoSpaceDE w:val="0"/>
        <w:autoSpaceDN w:val="0"/>
        <w:adjustRightInd w:val="0"/>
        <w:spacing w:line="240" w:lineRule="auto"/>
        <w:ind w:left="480" w:hanging="480"/>
      </w:pPr>
      <w:r>
        <w:t>Cirrone, D., Makarov, D., Kuznetsov, M., Friedrich, A., Molkov, V., 2022</w:t>
      </w:r>
      <w:r w:rsidR="001C3149">
        <w:t>b</w:t>
      </w:r>
      <w:r>
        <w:t>, Effect of heat transfer through the release pipe on simulations of cryogenic hydrogen jet fires and hazard distances, Int. J. Hydrogen Energy 47, 21596–21611. doi.org/10.1016/j.ijhydene.2022.04.276</w:t>
      </w:r>
    </w:p>
    <w:p w14:paraId="178EEDE5" w14:textId="20880A23" w:rsidR="009F0E51" w:rsidRDefault="009F0E51" w:rsidP="00961AAA">
      <w:pPr>
        <w:widowControl w:val="0"/>
        <w:autoSpaceDE w:val="0"/>
        <w:autoSpaceDN w:val="0"/>
        <w:adjustRightInd w:val="0"/>
        <w:spacing w:line="240" w:lineRule="auto"/>
        <w:ind w:left="480" w:hanging="480"/>
      </w:pPr>
      <w:r w:rsidRPr="009F0E51">
        <w:t>Cirrone, D., Makarov, D., Lach, A.W., Gaathaug, A.V., Molkov, V., 2022</w:t>
      </w:r>
      <w:r>
        <w:t>c</w:t>
      </w:r>
      <w:r w:rsidR="000A1B1B">
        <w:t>,</w:t>
      </w:r>
      <w:r w:rsidRPr="009F0E51">
        <w:t xml:space="preserve"> </w:t>
      </w:r>
      <w:proofErr w:type="gramStart"/>
      <w:r w:rsidRPr="009F0E51">
        <w:t>The</w:t>
      </w:r>
      <w:proofErr w:type="gramEnd"/>
      <w:r w:rsidRPr="009F0E51">
        <w:t xml:space="preserve"> pressure peaking phenomenon for ignited under-expanded hydrogen jets in the storage enclosure: experiments and simulations for release rates of up to 11.5 g/s</w:t>
      </w:r>
      <w:r w:rsidR="000A1B1B">
        <w:t>,</w:t>
      </w:r>
      <w:r w:rsidRPr="009F0E51">
        <w:t xml:space="preserve"> Energies 15, 1–20.</w:t>
      </w:r>
    </w:p>
    <w:p w14:paraId="407A58F6" w14:textId="33F96C7B" w:rsidR="00F8682F" w:rsidRDefault="00F8682F" w:rsidP="00961AAA">
      <w:pPr>
        <w:widowControl w:val="0"/>
        <w:autoSpaceDE w:val="0"/>
        <w:autoSpaceDN w:val="0"/>
        <w:adjustRightInd w:val="0"/>
        <w:spacing w:line="240" w:lineRule="auto"/>
        <w:ind w:left="480" w:hanging="480"/>
      </w:pPr>
      <w:r w:rsidRPr="00F8682F">
        <w:t>Cirrone, D., Makarov, D., Molkov, V., 2022</w:t>
      </w:r>
      <w:r w:rsidR="009F0E51">
        <w:t>d</w:t>
      </w:r>
      <w:r w:rsidR="000A1B1B">
        <w:t>,</w:t>
      </w:r>
      <w:r w:rsidRPr="00F8682F">
        <w:t xml:space="preserve"> Spontaneous </w:t>
      </w:r>
      <w:r w:rsidR="000A1B1B">
        <w:t>i</w:t>
      </w:r>
      <w:r w:rsidRPr="00F8682F">
        <w:t xml:space="preserve">gnition of </w:t>
      </w:r>
      <w:r w:rsidR="000A1B1B">
        <w:t>c</w:t>
      </w:r>
      <w:r w:rsidRPr="00F8682F">
        <w:t>ryo-</w:t>
      </w:r>
      <w:r w:rsidR="000A1B1B">
        <w:t>c</w:t>
      </w:r>
      <w:r w:rsidRPr="00F8682F">
        <w:t xml:space="preserve">ompressed </w:t>
      </w:r>
      <w:r w:rsidR="000A1B1B">
        <w:t>h</w:t>
      </w:r>
      <w:r w:rsidRPr="00F8682F">
        <w:t>ydrogen in a T-</w:t>
      </w:r>
      <w:r w:rsidR="000A1B1B">
        <w:t>s</w:t>
      </w:r>
      <w:r w:rsidRPr="00F8682F">
        <w:t xml:space="preserve">haped </w:t>
      </w:r>
      <w:r w:rsidR="000A1B1B">
        <w:t>c</w:t>
      </w:r>
      <w:r w:rsidRPr="00F8682F">
        <w:t xml:space="preserve">hannel </w:t>
      </w:r>
      <w:r w:rsidR="000A1B1B">
        <w:t>s</w:t>
      </w:r>
      <w:r w:rsidRPr="00F8682F">
        <w:t>ystem</w:t>
      </w:r>
      <w:r w:rsidR="000A1B1B">
        <w:t>,</w:t>
      </w:r>
      <w:r w:rsidRPr="00F8682F">
        <w:t xml:space="preserve"> Hydrogen 3, 348–360. https://doi.org/10.3390/hydrogen3030021</w:t>
      </w:r>
    </w:p>
    <w:p w14:paraId="480C91FE" w14:textId="1D805118" w:rsidR="001C3149" w:rsidRDefault="001C3149" w:rsidP="00961AAA">
      <w:pPr>
        <w:widowControl w:val="0"/>
        <w:autoSpaceDE w:val="0"/>
        <w:autoSpaceDN w:val="0"/>
        <w:adjustRightInd w:val="0"/>
        <w:spacing w:line="240" w:lineRule="auto"/>
        <w:ind w:left="480" w:hanging="480"/>
      </w:pPr>
      <w:r w:rsidRPr="00D31EB8">
        <w:t>Cirrone, D, Makarov, D., Molkov, V., 2023a</w:t>
      </w:r>
      <w:r w:rsidR="000A1B1B">
        <w:t>,</w:t>
      </w:r>
      <w:r w:rsidRPr="00D31EB8">
        <w:t xml:space="preserve"> </w:t>
      </w:r>
      <w:r w:rsidRPr="001C3149">
        <w:t>Rethinking “BLEVE explosion” after liquid hydrogen storage tank rupture in</w:t>
      </w:r>
      <w:r w:rsidR="000213B5">
        <w:t xml:space="preserve"> </w:t>
      </w:r>
      <w:r w:rsidRPr="001C3149">
        <w:t>a fire</w:t>
      </w:r>
      <w:r w:rsidR="000A1B1B">
        <w:t>,</w:t>
      </w:r>
      <w:r w:rsidRPr="001C3149">
        <w:t xml:space="preserve"> Int. J. Hydrogen Energy 48, 8716–8730. doi.org/10.1016/j.ijhydene.2022.09.114</w:t>
      </w:r>
    </w:p>
    <w:p w14:paraId="192AEF6F" w14:textId="483177C3" w:rsidR="00961AAA" w:rsidRDefault="00961AAA" w:rsidP="00961AAA">
      <w:pPr>
        <w:widowControl w:val="0"/>
        <w:autoSpaceDE w:val="0"/>
        <w:autoSpaceDN w:val="0"/>
        <w:adjustRightInd w:val="0"/>
        <w:spacing w:line="240" w:lineRule="auto"/>
        <w:ind w:left="480" w:hanging="480"/>
      </w:pPr>
      <w:r>
        <w:t>Cirrone, D., Makarov, D., Proust, C., Molkov, V., 2023</w:t>
      </w:r>
      <w:r w:rsidR="001C3149">
        <w:t>b</w:t>
      </w:r>
      <w:r>
        <w:t xml:space="preserve">, Minimum ignition energy of hydrogen-air mixtures at ambient and cryogenic temperatures, Int. J. Hydrogen Energy, 1–15. </w:t>
      </w:r>
    </w:p>
    <w:p w14:paraId="1F3024FB" w14:textId="77777777" w:rsidR="00961AAA" w:rsidRDefault="00961AAA" w:rsidP="00961AAA">
      <w:pPr>
        <w:widowControl w:val="0"/>
        <w:autoSpaceDE w:val="0"/>
        <w:autoSpaceDN w:val="0"/>
        <w:adjustRightInd w:val="0"/>
        <w:spacing w:line="240" w:lineRule="auto"/>
        <w:ind w:left="480" w:hanging="480"/>
      </w:pPr>
      <w:r>
        <w:t>Hecht, E.S., Panda, P.P., 2019, Mixing and warming of cryogenic hydrogen releases, Int. J. Hydrogen Energy 44, 8960–8970. https://doi.org/10.1016/j.ijhydene.2018.07.058</w:t>
      </w:r>
    </w:p>
    <w:p w14:paraId="150778BE" w14:textId="575C7F32" w:rsidR="00961AAA" w:rsidRDefault="00961AAA" w:rsidP="00961AAA">
      <w:pPr>
        <w:widowControl w:val="0"/>
        <w:autoSpaceDE w:val="0"/>
        <w:autoSpaceDN w:val="0"/>
        <w:adjustRightInd w:val="0"/>
        <w:spacing w:line="240" w:lineRule="auto"/>
        <w:ind w:left="480" w:hanging="480"/>
      </w:pPr>
      <w:r>
        <w:t xml:space="preserve">Lewis, B., Elbe, G. von, 1961, Combustion, Flames and Explosions of Gases, </w:t>
      </w:r>
      <w:proofErr w:type="spellStart"/>
      <w:r>
        <w:t>Zeitschrift</w:t>
      </w:r>
      <w:proofErr w:type="spellEnd"/>
      <w:r>
        <w:t xml:space="preserve"> für </w:t>
      </w:r>
      <w:proofErr w:type="spellStart"/>
      <w:r>
        <w:t>Physikalische</w:t>
      </w:r>
      <w:proofErr w:type="spellEnd"/>
      <w:r>
        <w:t xml:space="preserve"> </w:t>
      </w:r>
      <w:proofErr w:type="spellStart"/>
      <w:r>
        <w:t>Chemie</w:t>
      </w:r>
      <w:proofErr w:type="spellEnd"/>
      <w:r>
        <w:t>. Academic Press, New York. doi.org/10.1524/zpch.1963.36.3_4.136</w:t>
      </w:r>
    </w:p>
    <w:p w14:paraId="12888246" w14:textId="2CCC5267" w:rsidR="00893A1E" w:rsidRDefault="00893A1E" w:rsidP="00961AAA">
      <w:pPr>
        <w:widowControl w:val="0"/>
        <w:autoSpaceDE w:val="0"/>
        <w:autoSpaceDN w:val="0"/>
        <w:adjustRightInd w:val="0"/>
        <w:spacing w:line="240" w:lineRule="auto"/>
        <w:ind w:left="480" w:hanging="480"/>
      </w:pPr>
      <w:r w:rsidRPr="00893A1E">
        <w:t>Molkov, V.</w:t>
      </w:r>
      <w:r>
        <w:t xml:space="preserve">, </w:t>
      </w:r>
      <w:r w:rsidRPr="00893A1E">
        <w:t xml:space="preserve">2012, Fundamentals of Hydrogen Safety Engineering I, </w:t>
      </w:r>
      <w:proofErr w:type="gramStart"/>
      <w:r w:rsidR="007D743D">
        <w:t>f</w:t>
      </w:r>
      <w:r w:rsidRPr="00893A1E">
        <w:t>ree-download</w:t>
      </w:r>
      <w:proofErr w:type="gramEnd"/>
      <w:r w:rsidRPr="00893A1E">
        <w:t xml:space="preserve"> at www.bookboon.com</w:t>
      </w:r>
      <w:r w:rsidR="00070DED">
        <w:t>.</w:t>
      </w:r>
    </w:p>
    <w:p w14:paraId="5AAFD668" w14:textId="77777777" w:rsidR="00961AAA" w:rsidRDefault="00961AAA" w:rsidP="00961AAA">
      <w:pPr>
        <w:widowControl w:val="0"/>
        <w:autoSpaceDE w:val="0"/>
        <w:autoSpaceDN w:val="0"/>
        <w:adjustRightInd w:val="0"/>
        <w:spacing w:line="240" w:lineRule="auto"/>
        <w:ind w:left="480" w:hanging="480"/>
      </w:pPr>
      <w:r>
        <w:t xml:space="preserve">Ono, R., </w:t>
      </w:r>
      <w:proofErr w:type="spellStart"/>
      <w:r>
        <w:t>Nifuku</w:t>
      </w:r>
      <w:proofErr w:type="spellEnd"/>
      <w:r>
        <w:t xml:space="preserve">, M., Fujiwara, S., Horiguchi, S., Oda, T., 2007, Minimum ignition energy of hydrogen-air mixture: Effects of humidity and spark duration, J. </w:t>
      </w:r>
      <w:proofErr w:type="spellStart"/>
      <w:r>
        <w:t>Electrostat</w:t>
      </w:r>
      <w:proofErr w:type="spellEnd"/>
      <w:r>
        <w:t xml:space="preserve">. 65, 87–93. </w:t>
      </w:r>
    </w:p>
    <w:p w14:paraId="26C13544" w14:textId="77777777" w:rsidR="00961AAA" w:rsidRDefault="00961AAA" w:rsidP="00961AAA">
      <w:pPr>
        <w:widowControl w:val="0"/>
        <w:autoSpaceDE w:val="0"/>
        <w:autoSpaceDN w:val="0"/>
        <w:adjustRightInd w:val="0"/>
        <w:spacing w:line="240" w:lineRule="auto"/>
        <w:ind w:left="480" w:hanging="480"/>
      </w:pPr>
      <w:r>
        <w:t xml:space="preserve">Panda, P.P., Hecht, E.S., 2017, Ignition and flame characteristics of cryogenic hydrogen releases, Int. J. Hydrogen Energy 42, 775–785. </w:t>
      </w:r>
    </w:p>
    <w:p w14:paraId="5D25313E" w14:textId="77777777" w:rsidR="00961AAA" w:rsidRDefault="00961AAA" w:rsidP="00961AAA">
      <w:pPr>
        <w:widowControl w:val="0"/>
        <w:autoSpaceDE w:val="0"/>
        <w:autoSpaceDN w:val="0"/>
        <w:adjustRightInd w:val="0"/>
        <w:spacing w:line="240" w:lineRule="auto"/>
        <w:ind w:left="480" w:hanging="480"/>
      </w:pPr>
      <w:proofErr w:type="spellStart"/>
      <w:r>
        <w:t>Poinsot</w:t>
      </w:r>
      <w:proofErr w:type="spellEnd"/>
      <w:r>
        <w:t xml:space="preserve">, T., </w:t>
      </w:r>
      <w:proofErr w:type="spellStart"/>
      <w:r>
        <w:t>Veynante</w:t>
      </w:r>
      <w:proofErr w:type="spellEnd"/>
      <w:r>
        <w:t xml:space="preserve">, D., 2005, Theoretical and Numerical Combustion, Second Edition, R.T. Edwards Inc., Philadelphia, PA, USA. </w:t>
      </w:r>
    </w:p>
    <w:p w14:paraId="76DEF28F" w14:textId="77777777" w:rsidR="00961AAA" w:rsidRDefault="00961AAA" w:rsidP="00961AAA">
      <w:pPr>
        <w:widowControl w:val="0"/>
        <w:autoSpaceDE w:val="0"/>
        <w:autoSpaceDN w:val="0"/>
        <w:adjustRightInd w:val="0"/>
        <w:spacing w:line="240" w:lineRule="auto"/>
        <w:ind w:left="480" w:hanging="480"/>
      </w:pPr>
      <w:r>
        <w:t>Proust, C., 2021, PRESLHY D4.4 Summary of experiment series E4.1 results (Ignition parameters).</w:t>
      </w:r>
    </w:p>
    <w:sectPr w:rsidR="00961AA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01F1" w14:textId="77777777" w:rsidR="00A559F5" w:rsidRDefault="00A559F5" w:rsidP="004F5E36">
      <w:r>
        <w:separator/>
      </w:r>
    </w:p>
  </w:endnote>
  <w:endnote w:type="continuationSeparator" w:id="0">
    <w:p w14:paraId="54F26BCF" w14:textId="77777777" w:rsidR="00A559F5" w:rsidRDefault="00A559F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3A52" w14:textId="77777777" w:rsidR="00A559F5" w:rsidRDefault="00A559F5" w:rsidP="004F5E36">
      <w:r>
        <w:separator/>
      </w:r>
    </w:p>
  </w:footnote>
  <w:footnote w:type="continuationSeparator" w:id="0">
    <w:p w14:paraId="3B2CA62C" w14:textId="77777777" w:rsidR="00A559F5" w:rsidRDefault="00A559F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C57560"/>
    <w:multiLevelType w:val="hybridMultilevel"/>
    <w:tmpl w:val="0B122D24"/>
    <w:lvl w:ilvl="0" w:tplc="E17A823E">
      <w:start w:val="1"/>
      <w:numFmt w:val="lowerLetter"/>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756437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EF3"/>
    <w:rsid w:val="000027C0"/>
    <w:rsid w:val="000052FB"/>
    <w:rsid w:val="00005A19"/>
    <w:rsid w:val="00011249"/>
    <w:rsid w:val="000117CB"/>
    <w:rsid w:val="000138F6"/>
    <w:rsid w:val="000213B5"/>
    <w:rsid w:val="000238BC"/>
    <w:rsid w:val="00024A21"/>
    <w:rsid w:val="0003012F"/>
    <w:rsid w:val="0003148D"/>
    <w:rsid w:val="00031EEC"/>
    <w:rsid w:val="00032455"/>
    <w:rsid w:val="0004081E"/>
    <w:rsid w:val="00042D30"/>
    <w:rsid w:val="00046A96"/>
    <w:rsid w:val="000505BB"/>
    <w:rsid w:val="00051566"/>
    <w:rsid w:val="00052525"/>
    <w:rsid w:val="0005404B"/>
    <w:rsid w:val="00054288"/>
    <w:rsid w:val="000562A9"/>
    <w:rsid w:val="00057C12"/>
    <w:rsid w:val="00060B07"/>
    <w:rsid w:val="00062A9A"/>
    <w:rsid w:val="00063187"/>
    <w:rsid w:val="00063AD5"/>
    <w:rsid w:val="00065058"/>
    <w:rsid w:val="00070DED"/>
    <w:rsid w:val="000746BD"/>
    <w:rsid w:val="000843B0"/>
    <w:rsid w:val="00085B06"/>
    <w:rsid w:val="00085BC0"/>
    <w:rsid w:val="00086707"/>
    <w:rsid w:val="00086C39"/>
    <w:rsid w:val="0009665B"/>
    <w:rsid w:val="00096B23"/>
    <w:rsid w:val="000A03B2"/>
    <w:rsid w:val="000A1B1B"/>
    <w:rsid w:val="000A23D5"/>
    <w:rsid w:val="000A3921"/>
    <w:rsid w:val="000B3869"/>
    <w:rsid w:val="000B3A87"/>
    <w:rsid w:val="000B4561"/>
    <w:rsid w:val="000B46FB"/>
    <w:rsid w:val="000B47F0"/>
    <w:rsid w:val="000C357D"/>
    <w:rsid w:val="000D0268"/>
    <w:rsid w:val="000D1315"/>
    <w:rsid w:val="000D188D"/>
    <w:rsid w:val="000D2042"/>
    <w:rsid w:val="000D34BE"/>
    <w:rsid w:val="000D6A22"/>
    <w:rsid w:val="000D78C0"/>
    <w:rsid w:val="000E102F"/>
    <w:rsid w:val="000E36F1"/>
    <w:rsid w:val="000E388D"/>
    <w:rsid w:val="000E3A73"/>
    <w:rsid w:val="000E414A"/>
    <w:rsid w:val="000E514A"/>
    <w:rsid w:val="000E788A"/>
    <w:rsid w:val="000F093C"/>
    <w:rsid w:val="000F2C68"/>
    <w:rsid w:val="000F787B"/>
    <w:rsid w:val="00102A1E"/>
    <w:rsid w:val="0010746A"/>
    <w:rsid w:val="0012091F"/>
    <w:rsid w:val="0012482B"/>
    <w:rsid w:val="00124F98"/>
    <w:rsid w:val="00126BC2"/>
    <w:rsid w:val="001271A7"/>
    <w:rsid w:val="001308B6"/>
    <w:rsid w:val="0013121F"/>
    <w:rsid w:val="00131FE6"/>
    <w:rsid w:val="00132449"/>
    <w:rsid w:val="0013263F"/>
    <w:rsid w:val="001331DF"/>
    <w:rsid w:val="0013434A"/>
    <w:rsid w:val="00134DE4"/>
    <w:rsid w:val="00137988"/>
    <w:rsid w:val="0014034D"/>
    <w:rsid w:val="00144D16"/>
    <w:rsid w:val="00145858"/>
    <w:rsid w:val="00150E59"/>
    <w:rsid w:val="00152DE3"/>
    <w:rsid w:val="0015542F"/>
    <w:rsid w:val="00156111"/>
    <w:rsid w:val="00164CF9"/>
    <w:rsid w:val="001667A6"/>
    <w:rsid w:val="001755FC"/>
    <w:rsid w:val="00180F45"/>
    <w:rsid w:val="0018319A"/>
    <w:rsid w:val="00184AD6"/>
    <w:rsid w:val="00191431"/>
    <w:rsid w:val="001965DD"/>
    <w:rsid w:val="001A1A18"/>
    <w:rsid w:val="001A4AF7"/>
    <w:rsid w:val="001B0349"/>
    <w:rsid w:val="001B1E93"/>
    <w:rsid w:val="001B65C1"/>
    <w:rsid w:val="001B6644"/>
    <w:rsid w:val="001C096C"/>
    <w:rsid w:val="001C3149"/>
    <w:rsid w:val="001C684B"/>
    <w:rsid w:val="001C7260"/>
    <w:rsid w:val="001D0CFB"/>
    <w:rsid w:val="001D21AF"/>
    <w:rsid w:val="001D53FC"/>
    <w:rsid w:val="001E402E"/>
    <w:rsid w:val="001E76BF"/>
    <w:rsid w:val="001F42A5"/>
    <w:rsid w:val="001F7B9D"/>
    <w:rsid w:val="002011DB"/>
    <w:rsid w:val="00201C93"/>
    <w:rsid w:val="00202202"/>
    <w:rsid w:val="002024C3"/>
    <w:rsid w:val="00203313"/>
    <w:rsid w:val="002070A6"/>
    <w:rsid w:val="002079E6"/>
    <w:rsid w:val="00210CE3"/>
    <w:rsid w:val="002172E2"/>
    <w:rsid w:val="00221EE9"/>
    <w:rsid w:val="002224B4"/>
    <w:rsid w:val="0022405B"/>
    <w:rsid w:val="002245E3"/>
    <w:rsid w:val="00225EE6"/>
    <w:rsid w:val="0023038D"/>
    <w:rsid w:val="00233CA6"/>
    <w:rsid w:val="00235A99"/>
    <w:rsid w:val="00237B12"/>
    <w:rsid w:val="00242509"/>
    <w:rsid w:val="002447EF"/>
    <w:rsid w:val="00245988"/>
    <w:rsid w:val="00250B7B"/>
    <w:rsid w:val="00251550"/>
    <w:rsid w:val="0025418D"/>
    <w:rsid w:val="002568E7"/>
    <w:rsid w:val="0025731B"/>
    <w:rsid w:val="002576AE"/>
    <w:rsid w:val="00261B7B"/>
    <w:rsid w:val="00261DC2"/>
    <w:rsid w:val="00262DE1"/>
    <w:rsid w:val="00263B05"/>
    <w:rsid w:val="00265DB5"/>
    <w:rsid w:val="00272149"/>
    <w:rsid w:val="0027221A"/>
    <w:rsid w:val="00272AA8"/>
    <w:rsid w:val="002734D0"/>
    <w:rsid w:val="002753DB"/>
    <w:rsid w:val="002756D7"/>
    <w:rsid w:val="00275B61"/>
    <w:rsid w:val="00276033"/>
    <w:rsid w:val="00277222"/>
    <w:rsid w:val="0028001D"/>
    <w:rsid w:val="00280FAF"/>
    <w:rsid w:val="00282656"/>
    <w:rsid w:val="002838AD"/>
    <w:rsid w:val="00291749"/>
    <w:rsid w:val="00296379"/>
    <w:rsid w:val="00296B83"/>
    <w:rsid w:val="002B4015"/>
    <w:rsid w:val="002B41EE"/>
    <w:rsid w:val="002B78CE"/>
    <w:rsid w:val="002C0FCE"/>
    <w:rsid w:val="002C2FB6"/>
    <w:rsid w:val="002C7EA3"/>
    <w:rsid w:val="002D60F6"/>
    <w:rsid w:val="002D6631"/>
    <w:rsid w:val="002E21DC"/>
    <w:rsid w:val="002E4497"/>
    <w:rsid w:val="002E5FA7"/>
    <w:rsid w:val="002F3309"/>
    <w:rsid w:val="002F4425"/>
    <w:rsid w:val="002F7466"/>
    <w:rsid w:val="003008CE"/>
    <w:rsid w:val="003009B7"/>
    <w:rsid w:val="00300E56"/>
    <w:rsid w:val="003011F0"/>
    <w:rsid w:val="0030152C"/>
    <w:rsid w:val="0030469C"/>
    <w:rsid w:val="003058DC"/>
    <w:rsid w:val="00305F41"/>
    <w:rsid w:val="00306534"/>
    <w:rsid w:val="003065E0"/>
    <w:rsid w:val="00314FEB"/>
    <w:rsid w:val="003177FB"/>
    <w:rsid w:val="00321CA6"/>
    <w:rsid w:val="003226AC"/>
    <w:rsid w:val="00323763"/>
    <w:rsid w:val="00323C5F"/>
    <w:rsid w:val="00327DAB"/>
    <w:rsid w:val="00332098"/>
    <w:rsid w:val="00334C09"/>
    <w:rsid w:val="003370FF"/>
    <w:rsid w:val="00341ACD"/>
    <w:rsid w:val="0034271E"/>
    <w:rsid w:val="00353C7D"/>
    <w:rsid w:val="0036145A"/>
    <w:rsid w:val="00363CEF"/>
    <w:rsid w:val="003643F2"/>
    <w:rsid w:val="003652BC"/>
    <w:rsid w:val="003711A3"/>
    <w:rsid w:val="003723D4"/>
    <w:rsid w:val="003803C3"/>
    <w:rsid w:val="00380470"/>
    <w:rsid w:val="0038088B"/>
    <w:rsid w:val="00380A5B"/>
    <w:rsid w:val="00381175"/>
    <w:rsid w:val="00381905"/>
    <w:rsid w:val="00384CC8"/>
    <w:rsid w:val="00386053"/>
    <w:rsid w:val="003871FD"/>
    <w:rsid w:val="00391E6B"/>
    <w:rsid w:val="00392CD5"/>
    <w:rsid w:val="003A1E30"/>
    <w:rsid w:val="003A2829"/>
    <w:rsid w:val="003A333B"/>
    <w:rsid w:val="003A7D1C"/>
    <w:rsid w:val="003B0138"/>
    <w:rsid w:val="003B304B"/>
    <w:rsid w:val="003B3146"/>
    <w:rsid w:val="003B6E7F"/>
    <w:rsid w:val="003B72FE"/>
    <w:rsid w:val="003D2089"/>
    <w:rsid w:val="003E2097"/>
    <w:rsid w:val="003E5760"/>
    <w:rsid w:val="003F015E"/>
    <w:rsid w:val="003F488F"/>
    <w:rsid w:val="00400414"/>
    <w:rsid w:val="00400B87"/>
    <w:rsid w:val="004021B9"/>
    <w:rsid w:val="00410E08"/>
    <w:rsid w:val="0041446B"/>
    <w:rsid w:val="00420CAD"/>
    <w:rsid w:val="00426A02"/>
    <w:rsid w:val="0044071E"/>
    <w:rsid w:val="00442719"/>
    <w:rsid w:val="0044329C"/>
    <w:rsid w:val="00453E24"/>
    <w:rsid w:val="00454B7B"/>
    <w:rsid w:val="00457456"/>
    <w:rsid w:val="004577FE"/>
    <w:rsid w:val="00457B9C"/>
    <w:rsid w:val="0046164A"/>
    <w:rsid w:val="004628D2"/>
    <w:rsid w:val="00462DCD"/>
    <w:rsid w:val="004646EF"/>
    <w:rsid w:val="004648AD"/>
    <w:rsid w:val="004703A9"/>
    <w:rsid w:val="0047449E"/>
    <w:rsid w:val="004760DE"/>
    <w:rsid w:val="004763D7"/>
    <w:rsid w:val="0047786C"/>
    <w:rsid w:val="00477EB2"/>
    <w:rsid w:val="00483472"/>
    <w:rsid w:val="004858F4"/>
    <w:rsid w:val="004923E7"/>
    <w:rsid w:val="00493F52"/>
    <w:rsid w:val="0049481E"/>
    <w:rsid w:val="00496185"/>
    <w:rsid w:val="004A004E"/>
    <w:rsid w:val="004A0864"/>
    <w:rsid w:val="004A1560"/>
    <w:rsid w:val="004A24CF"/>
    <w:rsid w:val="004A6FDC"/>
    <w:rsid w:val="004B1041"/>
    <w:rsid w:val="004B731A"/>
    <w:rsid w:val="004C2548"/>
    <w:rsid w:val="004C3D1D"/>
    <w:rsid w:val="004C3D84"/>
    <w:rsid w:val="004C3DF1"/>
    <w:rsid w:val="004C7598"/>
    <w:rsid w:val="004C7913"/>
    <w:rsid w:val="004C7F7B"/>
    <w:rsid w:val="004E1AA2"/>
    <w:rsid w:val="004E48AE"/>
    <w:rsid w:val="004E4DD6"/>
    <w:rsid w:val="004E786E"/>
    <w:rsid w:val="004F25B9"/>
    <w:rsid w:val="004F30EC"/>
    <w:rsid w:val="004F4F31"/>
    <w:rsid w:val="004F5E36"/>
    <w:rsid w:val="0050415B"/>
    <w:rsid w:val="005079D9"/>
    <w:rsid w:val="00507B47"/>
    <w:rsid w:val="00507BEF"/>
    <w:rsid w:val="00507CC9"/>
    <w:rsid w:val="005119A5"/>
    <w:rsid w:val="00511BFC"/>
    <w:rsid w:val="00513B2D"/>
    <w:rsid w:val="00514415"/>
    <w:rsid w:val="00515D65"/>
    <w:rsid w:val="00521829"/>
    <w:rsid w:val="005278B7"/>
    <w:rsid w:val="00527AB2"/>
    <w:rsid w:val="0053121C"/>
    <w:rsid w:val="00531503"/>
    <w:rsid w:val="00532016"/>
    <w:rsid w:val="005346C8"/>
    <w:rsid w:val="00535245"/>
    <w:rsid w:val="00543E7D"/>
    <w:rsid w:val="00546E72"/>
    <w:rsid w:val="00547A68"/>
    <w:rsid w:val="005521C9"/>
    <w:rsid w:val="005531C9"/>
    <w:rsid w:val="00557D36"/>
    <w:rsid w:val="00557E00"/>
    <w:rsid w:val="00570C43"/>
    <w:rsid w:val="005738E1"/>
    <w:rsid w:val="00576E36"/>
    <w:rsid w:val="005847B7"/>
    <w:rsid w:val="005852D8"/>
    <w:rsid w:val="00591683"/>
    <w:rsid w:val="00592F45"/>
    <w:rsid w:val="00596C86"/>
    <w:rsid w:val="005A0B80"/>
    <w:rsid w:val="005A40E9"/>
    <w:rsid w:val="005B1671"/>
    <w:rsid w:val="005B2110"/>
    <w:rsid w:val="005B2F13"/>
    <w:rsid w:val="005B32C8"/>
    <w:rsid w:val="005B61E6"/>
    <w:rsid w:val="005C4ABB"/>
    <w:rsid w:val="005C77E1"/>
    <w:rsid w:val="005D668A"/>
    <w:rsid w:val="005D6A2F"/>
    <w:rsid w:val="005E1A82"/>
    <w:rsid w:val="005E374C"/>
    <w:rsid w:val="005E794C"/>
    <w:rsid w:val="005F0A28"/>
    <w:rsid w:val="005F0E5E"/>
    <w:rsid w:val="005F35A3"/>
    <w:rsid w:val="005F7B30"/>
    <w:rsid w:val="00600535"/>
    <w:rsid w:val="0060059A"/>
    <w:rsid w:val="00600997"/>
    <w:rsid w:val="00601BE7"/>
    <w:rsid w:val="0060589D"/>
    <w:rsid w:val="00610CD6"/>
    <w:rsid w:val="00610F13"/>
    <w:rsid w:val="00612AC0"/>
    <w:rsid w:val="006131A5"/>
    <w:rsid w:val="00620DEE"/>
    <w:rsid w:val="00621B29"/>
    <w:rsid w:val="00621F92"/>
    <w:rsid w:val="0062280A"/>
    <w:rsid w:val="0062351A"/>
    <w:rsid w:val="006243AF"/>
    <w:rsid w:val="00625639"/>
    <w:rsid w:val="0063072C"/>
    <w:rsid w:val="00631B33"/>
    <w:rsid w:val="0064184D"/>
    <w:rsid w:val="006422CC"/>
    <w:rsid w:val="00650248"/>
    <w:rsid w:val="00653323"/>
    <w:rsid w:val="00654AE3"/>
    <w:rsid w:val="00660E3E"/>
    <w:rsid w:val="00662E74"/>
    <w:rsid w:val="00665358"/>
    <w:rsid w:val="006656DC"/>
    <w:rsid w:val="0066696B"/>
    <w:rsid w:val="006749CB"/>
    <w:rsid w:val="00680768"/>
    <w:rsid w:val="00680C23"/>
    <w:rsid w:val="00684177"/>
    <w:rsid w:val="006916B0"/>
    <w:rsid w:val="0069335C"/>
    <w:rsid w:val="00693766"/>
    <w:rsid w:val="00694DEB"/>
    <w:rsid w:val="00695ACC"/>
    <w:rsid w:val="006A13C2"/>
    <w:rsid w:val="006A24D8"/>
    <w:rsid w:val="006A3281"/>
    <w:rsid w:val="006B1002"/>
    <w:rsid w:val="006B4115"/>
    <w:rsid w:val="006B4888"/>
    <w:rsid w:val="006C2E45"/>
    <w:rsid w:val="006C359C"/>
    <w:rsid w:val="006C48E4"/>
    <w:rsid w:val="006C5579"/>
    <w:rsid w:val="006D2544"/>
    <w:rsid w:val="006D326C"/>
    <w:rsid w:val="006D6E8B"/>
    <w:rsid w:val="006E737D"/>
    <w:rsid w:val="006F4806"/>
    <w:rsid w:val="00700FCF"/>
    <w:rsid w:val="0070246E"/>
    <w:rsid w:val="00707572"/>
    <w:rsid w:val="00707DD1"/>
    <w:rsid w:val="00713865"/>
    <w:rsid w:val="00713973"/>
    <w:rsid w:val="007145FB"/>
    <w:rsid w:val="00716495"/>
    <w:rsid w:val="00720A24"/>
    <w:rsid w:val="0073163D"/>
    <w:rsid w:val="00732386"/>
    <w:rsid w:val="007337E3"/>
    <w:rsid w:val="00734366"/>
    <w:rsid w:val="0073514D"/>
    <w:rsid w:val="00736C50"/>
    <w:rsid w:val="00737676"/>
    <w:rsid w:val="0074010E"/>
    <w:rsid w:val="007434C6"/>
    <w:rsid w:val="007447F3"/>
    <w:rsid w:val="007508A0"/>
    <w:rsid w:val="00750D8D"/>
    <w:rsid w:val="007515B5"/>
    <w:rsid w:val="00751E06"/>
    <w:rsid w:val="0075499F"/>
    <w:rsid w:val="007661C8"/>
    <w:rsid w:val="0077098D"/>
    <w:rsid w:val="00782896"/>
    <w:rsid w:val="00791FBF"/>
    <w:rsid w:val="00792D15"/>
    <w:rsid w:val="007931FA"/>
    <w:rsid w:val="00793359"/>
    <w:rsid w:val="007A1F87"/>
    <w:rsid w:val="007A3822"/>
    <w:rsid w:val="007A4861"/>
    <w:rsid w:val="007A6156"/>
    <w:rsid w:val="007A6D72"/>
    <w:rsid w:val="007A7BBA"/>
    <w:rsid w:val="007B0C50"/>
    <w:rsid w:val="007B194A"/>
    <w:rsid w:val="007B48F9"/>
    <w:rsid w:val="007B5738"/>
    <w:rsid w:val="007C0BE9"/>
    <w:rsid w:val="007C1A43"/>
    <w:rsid w:val="007C6100"/>
    <w:rsid w:val="007C6956"/>
    <w:rsid w:val="007D0951"/>
    <w:rsid w:val="007D236B"/>
    <w:rsid w:val="007D743D"/>
    <w:rsid w:val="007D7C2A"/>
    <w:rsid w:val="007E1165"/>
    <w:rsid w:val="007E3B2C"/>
    <w:rsid w:val="007F37AD"/>
    <w:rsid w:val="007F5163"/>
    <w:rsid w:val="0080013E"/>
    <w:rsid w:val="008020A4"/>
    <w:rsid w:val="0080562D"/>
    <w:rsid w:val="00805869"/>
    <w:rsid w:val="00813288"/>
    <w:rsid w:val="00814A7D"/>
    <w:rsid w:val="00814EA2"/>
    <w:rsid w:val="008168FC"/>
    <w:rsid w:val="00817191"/>
    <w:rsid w:val="00830996"/>
    <w:rsid w:val="008345F1"/>
    <w:rsid w:val="00842572"/>
    <w:rsid w:val="008575B5"/>
    <w:rsid w:val="008627C8"/>
    <w:rsid w:val="00865B07"/>
    <w:rsid w:val="008667A6"/>
    <w:rsid w:val="008667EA"/>
    <w:rsid w:val="008738E9"/>
    <w:rsid w:val="0087453E"/>
    <w:rsid w:val="0087637F"/>
    <w:rsid w:val="0087706D"/>
    <w:rsid w:val="0088396B"/>
    <w:rsid w:val="00892AD5"/>
    <w:rsid w:val="00893A1E"/>
    <w:rsid w:val="0089472F"/>
    <w:rsid w:val="00894AEF"/>
    <w:rsid w:val="0089708A"/>
    <w:rsid w:val="008978CA"/>
    <w:rsid w:val="008A0260"/>
    <w:rsid w:val="008A138A"/>
    <w:rsid w:val="008A1512"/>
    <w:rsid w:val="008A1BF6"/>
    <w:rsid w:val="008A5D40"/>
    <w:rsid w:val="008B5C46"/>
    <w:rsid w:val="008D0785"/>
    <w:rsid w:val="008D1225"/>
    <w:rsid w:val="008D32B9"/>
    <w:rsid w:val="008D433B"/>
    <w:rsid w:val="008D4A16"/>
    <w:rsid w:val="008E1B3A"/>
    <w:rsid w:val="008E35D7"/>
    <w:rsid w:val="008E566E"/>
    <w:rsid w:val="008F2BEA"/>
    <w:rsid w:val="008F38D3"/>
    <w:rsid w:val="008F6B72"/>
    <w:rsid w:val="008F7E2F"/>
    <w:rsid w:val="0090161A"/>
    <w:rsid w:val="00901EB6"/>
    <w:rsid w:val="00902840"/>
    <w:rsid w:val="00903AB6"/>
    <w:rsid w:val="00904C62"/>
    <w:rsid w:val="00905C8C"/>
    <w:rsid w:val="00907281"/>
    <w:rsid w:val="00910B09"/>
    <w:rsid w:val="00922BA8"/>
    <w:rsid w:val="00924DAC"/>
    <w:rsid w:val="00927058"/>
    <w:rsid w:val="00927748"/>
    <w:rsid w:val="00933085"/>
    <w:rsid w:val="00942750"/>
    <w:rsid w:val="009449C9"/>
    <w:rsid w:val="009450CE"/>
    <w:rsid w:val="009459BB"/>
    <w:rsid w:val="00947179"/>
    <w:rsid w:val="00947557"/>
    <w:rsid w:val="0095164B"/>
    <w:rsid w:val="00954090"/>
    <w:rsid w:val="00956CA7"/>
    <w:rsid w:val="009573E7"/>
    <w:rsid w:val="0096014F"/>
    <w:rsid w:val="00961AAA"/>
    <w:rsid w:val="00963059"/>
    <w:rsid w:val="009631BC"/>
    <w:rsid w:val="00963E05"/>
    <w:rsid w:val="009646BD"/>
    <w:rsid w:val="00964A45"/>
    <w:rsid w:val="00967843"/>
    <w:rsid w:val="00967D54"/>
    <w:rsid w:val="00971028"/>
    <w:rsid w:val="0097250E"/>
    <w:rsid w:val="00993104"/>
    <w:rsid w:val="00993B84"/>
    <w:rsid w:val="00996483"/>
    <w:rsid w:val="00996F5A"/>
    <w:rsid w:val="00997A1E"/>
    <w:rsid w:val="009A1A92"/>
    <w:rsid w:val="009A7B7D"/>
    <w:rsid w:val="009A7C04"/>
    <w:rsid w:val="009B041A"/>
    <w:rsid w:val="009B4942"/>
    <w:rsid w:val="009C37C3"/>
    <w:rsid w:val="009C7C86"/>
    <w:rsid w:val="009D2FF7"/>
    <w:rsid w:val="009D38A6"/>
    <w:rsid w:val="009E7884"/>
    <w:rsid w:val="009E788A"/>
    <w:rsid w:val="009F0E08"/>
    <w:rsid w:val="009F0E51"/>
    <w:rsid w:val="00A00A41"/>
    <w:rsid w:val="00A0227B"/>
    <w:rsid w:val="00A10E21"/>
    <w:rsid w:val="00A1146E"/>
    <w:rsid w:val="00A12055"/>
    <w:rsid w:val="00A1763D"/>
    <w:rsid w:val="00A17CEC"/>
    <w:rsid w:val="00A27EF0"/>
    <w:rsid w:val="00A36A4E"/>
    <w:rsid w:val="00A37425"/>
    <w:rsid w:val="00A40ACA"/>
    <w:rsid w:val="00A411D4"/>
    <w:rsid w:val="00A42361"/>
    <w:rsid w:val="00A427B4"/>
    <w:rsid w:val="00A502DA"/>
    <w:rsid w:val="00A50B20"/>
    <w:rsid w:val="00A51390"/>
    <w:rsid w:val="00A557D0"/>
    <w:rsid w:val="00A559F5"/>
    <w:rsid w:val="00A60D13"/>
    <w:rsid w:val="00A71DCF"/>
    <w:rsid w:val="00A7223D"/>
    <w:rsid w:val="00A72745"/>
    <w:rsid w:val="00A76EFC"/>
    <w:rsid w:val="00A77AA8"/>
    <w:rsid w:val="00A80CFB"/>
    <w:rsid w:val="00A84113"/>
    <w:rsid w:val="00A86580"/>
    <w:rsid w:val="00A87D50"/>
    <w:rsid w:val="00A91010"/>
    <w:rsid w:val="00A921CD"/>
    <w:rsid w:val="00A9726D"/>
    <w:rsid w:val="00A97DBB"/>
    <w:rsid w:val="00A97F29"/>
    <w:rsid w:val="00AA3E99"/>
    <w:rsid w:val="00AA5274"/>
    <w:rsid w:val="00AA675D"/>
    <w:rsid w:val="00AA702E"/>
    <w:rsid w:val="00AA7D26"/>
    <w:rsid w:val="00AB0964"/>
    <w:rsid w:val="00AB18F8"/>
    <w:rsid w:val="00AB3DC9"/>
    <w:rsid w:val="00AB5011"/>
    <w:rsid w:val="00AB58A3"/>
    <w:rsid w:val="00AC7368"/>
    <w:rsid w:val="00AD16B9"/>
    <w:rsid w:val="00AD5646"/>
    <w:rsid w:val="00AD7801"/>
    <w:rsid w:val="00AE27AA"/>
    <w:rsid w:val="00AE377D"/>
    <w:rsid w:val="00AE7CB0"/>
    <w:rsid w:val="00AF0EBA"/>
    <w:rsid w:val="00AF1456"/>
    <w:rsid w:val="00AF17B6"/>
    <w:rsid w:val="00B02C8A"/>
    <w:rsid w:val="00B05FA7"/>
    <w:rsid w:val="00B07245"/>
    <w:rsid w:val="00B133BA"/>
    <w:rsid w:val="00B17FBD"/>
    <w:rsid w:val="00B315A6"/>
    <w:rsid w:val="00B31813"/>
    <w:rsid w:val="00B33365"/>
    <w:rsid w:val="00B424C3"/>
    <w:rsid w:val="00B44F59"/>
    <w:rsid w:val="00B46AC0"/>
    <w:rsid w:val="00B528D2"/>
    <w:rsid w:val="00B547B9"/>
    <w:rsid w:val="00B57B36"/>
    <w:rsid w:val="00B57E6F"/>
    <w:rsid w:val="00B764CF"/>
    <w:rsid w:val="00B8037A"/>
    <w:rsid w:val="00B8686D"/>
    <w:rsid w:val="00B93F69"/>
    <w:rsid w:val="00B95A18"/>
    <w:rsid w:val="00B9659A"/>
    <w:rsid w:val="00BA2303"/>
    <w:rsid w:val="00BA7FAE"/>
    <w:rsid w:val="00BB1DDC"/>
    <w:rsid w:val="00BB221B"/>
    <w:rsid w:val="00BB2B44"/>
    <w:rsid w:val="00BC077D"/>
    <w:rsid w:val="00BC2E8D"/>
    <w:rsid w:val="00BC30C9"/>
    <w:rsid w:val="00BC32B7"/>
    <w:rsid w:val="00BD077D"/>
    <w:rsid w:val="00BE3E58"/>
    <w:rsid w:val="00BE4878"/>
    <w:rsid w:val="00BF7349"/>
    <w:rsid w:val="00C01616"/>
    <w:rsid w:val="00C0162B"/>
    <w:rsid w:val="00C01D6A"/>
    <w:rsid w:val="00C05989"/>
    <w:rsid w:val="00C05E20"/>
    <w:rsid w:val="00C068ED"/>
    <w:rsid w:val="00C07AF9"/>
    <w:rsid w:val="00C10EDD"/>
    <w:rsid w:val="00C10F31"/>
    <w:rsid w:val="00C11AA7"/>
    <w:rsid w:val="00C1717C"/>
    <w:rsid w:val="00C22E0C"/>
    <w:rsid w:val="00C345B1"/>
    <w:rsid w:val="00C36601"/>
    <w:rsid w:val="00C40142"/>
    <w:rsid w:val="00C51154"/>
    <w:rsid w:val="00C52C39"/>
    <w:rsid w:val="00C52C3C"/>
    <w:rsid w:val="00C55F98"/>
    <w:rsid w:val="00C57182"/>
    <w:rsid w:val="00C57863"/>
    <w:rsid w:val="00C60100"/>
    <w:rsid w:val="00C635E2"/>
    <w:rsid w:val="00C640AF"/>
    <w:rsid w:val="00C655FD"/>
    <w:rsid w:val="00C70B3A"/>
    <w:rsid w:val="00C75407"/>
    <w:rsid w:val="00C773FA"/>
    <w:rsid w:val="00C825C2"/>
    <w:rsid w:val="00C82B88"/>
    <w:rsid w:val="00C83732"/>
    <w:rsid w:val="00C841C6"/>
    <w:rsid w:val="00C84734"/>
    <w:rsid w:val="00C870A8"/>
    <w:rsid w:val="00C90CD0"/>
    <w:rsid w:val="00C94434"/>
    <w:rsid w:val="00CA0D75"/>
    <w:rsid w:val="00CA1C95"/>
    <w:rsid w:val="00CA5A9C"/>
    <w:rsid w:val="00CB046E"/>
    <w:rsid w:val="00CB1707"/>
    <w:rsid w:val="00CB1CB0"/>
    <w:rsid w:val="00CC4C20"/>
    <w:rsid w:val="00CC56A8"/>
    <w:rsid w:val="00CD0E38"/>
    <w:rsid w:val="00CD10C6"/>
    <w:rsid w:val="00CD3517"/>
    <w:rsid w:val="00CD48DD"/>
    <w:rsid w:val="00CD5FE2"/>
    <w:rsid w:val="00CD6A6D"/>
    <w:rsid w:val="00CE04C7"/>
    <w:rsid w:val="00CE7C68"/>
    <w:rsid w:val="00CF09F2"/>
    <w:rsid w:val="00CF16FB"/>
    <w:rsid w:val="00CF6FEC"/>
    <w:rsid w:val="00D02B4C"/>
    <w:rsid w:val="00D040C4"/>
    <w:rsid w:val="00D04B3E"/>
    <w:rsid w:val="00D1373D"/>
    <w:rsid w:val="00D17B5F"/>
    <w:rsid w:val="00D20AD1"/>
    <w:rsid w:val="00D22BB3"/>
    <w:rsid w:val="00D2582C"/>
    <w:rsid w:val="00D30435"/>
    <w:rsid w:val="00D31EB8"/>
    <w:rsid w:val="00D416ED"/>
    <w:rsid w:val="00D4189D"/>
    <w:rsid w:val="00D42418"/>
    <w:rsid w:val="00D42B52"/>
    <w:rsid w:val="00D46B7E"/>
    <w:rsid w:val="00D52DFE"/>
    <w:rsid w:val="00D56171"/>
    <w:rsid w:val="00D5794A"/>
    <w:rsid w:val="00D57C84"/>
    <w:rsid w:val="00D6057D"/>
    <w:rsid w:val="00D60B19"/>
    <w:rsid w:val="00D633BB"/>
    <w:rsid w:val="00D635F9"/>
    <w:rsid w:val="00D64278"/>
    <w:rsid w:val="00D678AA"/>
    <w:rsid w:val="00D70057"/>
    <w:rsid w:val="00D71640"/>
    <w:rsid w:val="00D74AEB"/>
    <w:rsid w:val="00D76287"/>
    <w:rsid w:val="00D77ADC"/>
    <w:rsid w:val="00D83318"/>
    <w:rsid w:val="00D836C5"/>
    <w:rsid w:val="00D84576"/>
    <w:rsid w:val="00D86209"/>
    <w:rsid w:val="00D92981"/>
    <w:rsid w:val="00D944BC"/>
    <w:rsid w:val="00DA1399"/>
    <w:rsid w:val="00DA24C6"/>
    <w:rsid w:val="00DA4D7B"/>
    <w:rsid w:val="00DA6526"/>
    <w:rsid w:val="00DB747D"/>
    <w:rsid w:val="00DC05AB"/>
    <w:rsid w:val="00DC0D5D"/>
    <w:rsid w:val="00DC4354"/>
    <w:rsid w:val="00DC5353"/>
    <w:rsid w:val="00DD271C"/>
    <w:rsid w:val="00DE0F55"/>
    <w:rsid w:val="00DE264A"/>
    <w:rsid w:val="00DE5708"/>
    <w:rsid w:val="00DE73D2"/>
    <w:rsid w:val="00DF4AB4"/>
    <w:rsid w:val="00DF5072"/>
    <w:rsid w:val="00DF6A8D"/>
    <w:rsid w:val="00E02D18"/>
    <w:rsid w:val="00E041E7"/>
    <w:rsid w:val="00E10278"/>
    <w:rsid w:val="00E15BD5"/>
    <w:rsid w:val="00E1791B"/>
    <w:rsid w:val="00E23BAE"/>
    <w:rsid w:val="00E23CA1"/>
    <w:rsid w:val="00E24FA3"/>
    <w:rsid w:val="00E275E8"/>
    <w:rsid w:val="00E351DF"/>
    <w:rsid w:val="00E37724"/>
    <w:rsid w:val="00E37FF6"/>
    <w:rsid w:val="00E409A8"/>
    <w:rsid w:val="00E41BE8"/>
    <w:rsid w:val="00E424A5"/>
    <w:rsid w:val="00E457E5"/>
    <w:rsid w:val="00E50C12"/>
    <w:rsid w:val="00E50D9D"/>
    <w:rsid w:val="00E65B91"/>
    <w:rsid w:val="00E661DE"/>
    <w:rsid w:val="00E66459"/>
    <w:rsid w:val="00E70302"/>
    <w:rsid w:val="00E7209D"/>
    <w:rsid w:val="00E72EAD"/>
    <w:rsid w:val="00E76DC3"/>
    <w:rsid w:val="00E77223"/>
    <w:rsid w:val="00E77A23"/>
    <w:rsid w:val="00E8528B"/>
    <w:rsid w:val="00E85B94"/>
    <w:rsid w:val="00E87DE1"/>
    <w:rsid w:val="00E90406"/>
    <w:rsid w:val="00E97051"/>
    <w:rsid w:val="00E978D0"/>
    <w:rsid w:val="00EA4613"/>
    <w:rsid w:val="00EA5E03"/>
    <w:rsid w:val="00EA7F91"/>
    <w:rsid w:val="00EB1523"/>
    <w:rsid w:val="00EB2B6A"/>
    <w:rsid w:val="00EB4923"/>
    <w:rsid w:val="00EB5908"/>
    <w:rsid w:val="00EB7EA9"/>
    <w:rsid w:val="00EC0E49"/>
    <w:rsid w:val="00EC101F"/>
    <w:rsid w:val="00EC119C"/>
    <w:rsid w:val="00EC1D9F"/>
    <w:rsid w:val="00EC5A26"/>
    <w:rsid w:val="00ED20FF"/>
    <w:rsid w:val="00ED4654"/>
    <w:rsid w:val="00ED518A"/>
    <w:rsid w:val="00ED5BE0"/>
    <w:rsid w:val="00EE0099"/>
    <w:rsid w:val="00EE0131"/>
    <w:rsid w:val="00EE0364"/>
    <w:rsid w:val="00EE10D4"/>
    <w:rsid w:val="00EE1571"/>
    <w:rsid w:val="00EE17B0"/>
    <w:rsid w:val="00EE17F8"/>
    <w:rsid w:val="00EE1898"/>
    <w:rsid w:val="00EE6D0C"/>
    <w:rsid w:val="00EF06D9"/>
    <w:rsid w:val="00EF398C"/>
    <w:rsid w:val="00EF3B92"/>
    <w:rsid w:val="00EF5BD2"/>
    <w:rsid w:val="00F051D2"/>
    <w:rsid w:val="00F073A3"/>
    <w:rsid w:val="00F10A4C"/>
    <w:rsid w:val="00F15969"/>
    <w:rsid w:val="00F209EE"/>
    <w:rsid w:val="00F3049E"/>
    <w:rsid w:val="00F30C64"/>
    <w:rsid w:val="00F32BA2"/>
    <w:rsid w:val="00F32CDB"/>
    <w:rsid w:val="00F34188"/>
    <w:rsid w:val="00F35F9E"/>
    <w:rsid w:val="00F55D17"/>
    <w:rsid w:val="00F565FE"/>
    <w:rsid w:val="00F57693"/>
    <w:rsid w:val="00F60073"/>
    <w:rsid w:val="00F635AB"/>
    <w:rsid w:val="00F63A70"/>
    <w:rsid w:val="00F63D8C"/>
    <w:rsid w:val="00F72CC3"/>
    <w:rsid w:val="00F736A0"/>
    <w:rsid w:val="00F737C6"/>
    <w:rsid w:val="00F74E41"/>
    <w:rsid w:val="00F7534E"/>
    <w:rsid w:val="00F773F0"/>
    <w:rsid w:val="00F8017D"/>
    <w:rsid w:val="00F81683"/>
    <w:rsid w:val="00F81BC8"/>
    <w:rsid w:val="00F8682F"/>
    <w:rsid w:val="00F87CC2"/>
    <w:rsid w:val="00F90CBA"/>
    <w:rsid w:val="00F92A9F"/>
    <w:rsid w:val="00F92F36"/>
    <w:rsid w:val="00F93EDF"/>
    <w:rsid w:val="00FA0F74"/>
    <w:rsid w:val="00FA1802"/>
    <w:rsid w:val="00FA1DBD"/>
    <w:rsid w:val="00FA21D0"/>
    <w:rsid w:val="00FA4134"/>
    <w:rsid w:val="00FA4C58"/>
    <w:rsid w:val="00FA5F5F"/>
    <w:rsid w:val="00FA6F45"/>
    <w:rsid w:val="00FA7CFD"/>
    <w:rsid w:val="00FB066A"/>
    <w:rsid w:val="00FB185D"/>
    <w:rsid w:val="00FB49D4"/>
    <w:rsid w:val="00FB4F91"/>
    <w:rsid w:val="00FB730C"/>
    <w:rsid w:val="00FC027B"/>
    <w:rsid w:val="00FC2695"/>
    <w:rsid w:val="00FC3E03"/>
    <w:rsid w:val="00FC3FC1"/>
    <w:rsid w:val="00FC4F6A"/>
    <w:rsid w:val="00FC5611"/>
    <w:rsid w:val="00FC605C"/>
    <w:rsid w:val="00FD2A5D"/>
    <w:rsid w:val="00FD7B3C"/>
    <w:rsid w:val="00FF4A0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2079E6"/>
    <w:rPr>
      <w:color w:val="605E5C"/>
      <w:shd w:val="clear" w:color="auto" w:fill="E1DFDD"/>
    </w:rPr>
  </w:style>
  <w:style w:type="paragraph" w:styleId="Revision">
    <w:name w:val="Revision"/>
    <w:hidden/>
    <w:uiPriority w:val="99"/>
    <w:semiHidden/>
    <w:rsid w:val="0062351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d.cirrone@ulster.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4307</Words>
  <Characters>24551</Characters>
  <Application>Microsoft Office Word</Application>
  <DocSecurity>0</DocSecurity>
  <Lines>204</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Cirrone, Donatella</cp:lastModifiedBy>
  <cp:revision>7</cp:revision>
  <cp:lastPrinted>2015-05-12T18:31:00Z</cp:lastPrinted>
  <dcterms:created xsi:type="dcterms:W3CDTF">2023-06-09T17:36:00Z</dcterms:created>
  <dcterms:modified xsi:type="dcterms:W3CDTF">2023-06-09T17:40:00Z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http://www.zotero.org/styles/elsevier-harvard</vt:lpwstr>
  </property>
  <property fmtid="{D5CDD505-2E9C-101B-9397-08002B2CF9AE}" pid="17" name="Mendeley Recent Style Name 6_1">
    <vt:lpwstr>Elsevier - Harvard (with titles)</vt:lpwstr>
  </property>
  <property fmtid="{D5CDD505-2E9C-101B-9397-08002B2CF9AE}" pid="18" name="Mendeley Recent Style Id 7_1">
    <vt:lpwstr>http://www.zotero.org/styles/harvard1</vt:lpwstr>
  </property>
  <property fmtid="{D5CDD505-2E9C-101B-9397-08002B2CF9AE}" pid="19" name="Mendeley Recent Style Name 7_1">
    <vt:lpwstr>Harvard reference format 1 (deprecated)</vt:lpwstr>
  </property>
  <property fmtid="{D5CDD505-2E9C-101B-9397-08002B2CF9AE}" pid="20" name="Mendeley Recent Style Id 8_1">
    <vt:lpwstr>http://www.zotero.org/styles/ieee</vt:lpwstr>
  </property>
  <property fmtid="{D5CDD505-2E9C-101B-9397-08002B2CF9AE}" pid="21" name="Mendeley Recent Style Name 8_1">
    <vt:lpwstr>IEEE</vt:lpwstr>
  </property>
  <property fmtid="{D5CDD505-2E9C-101B-9397-08002B2CF9AE}" pid="22" name="Mendeley Recent Style Id 9_1">
    <vt:lpwstr>http://www.zotero.org/styles/international-journal-of-hydrogen-energy</vt:lpwstr>
  </property>
  <property fmtid="{D5CDD505-2E9C-101B-9397-08002B2CF9AE}" pid="23" name="Mendeley Recent Style Name 9_1">
    <vt:lpwstr>International Journal of Hydrogen Energy</vt:lpwstr>
  </property>
  <property fmtid="{D5CDD505-2E9C-101B-9397-08002B2CF9AE}" pid="24" name="Mendeley Document_1">
    <vt:lpwstr>True</vt:lpwstr>
  </property>
  <property fmtid="{D5CDD505-2E9C-101B-9397-08002B2CF9AE}" pid="25" name="Mendeley Citation Style_1">
    <vt:lpwstr>http://www.zotero.org/styles/elsevier-harvard</vt:lpwstr>
  </property>
  <property fmtid="{D5CDD505-2E9C-101B-9397-08002B2CF9AE}" pid="26" name="Mendeley Unique User Id_1">
    <vt:lpwstr>6ad5e2ff-ba1c-37f1-a3a1-6ca4c230176b</vt:lpwstr>
  </property>
</Properties>
</file>