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885EA1F" w:rsidR="00E978D0" w:rsidRPr="00B57B36" w:rsidRDefault="009F6913" w:rsidP="00E978D0">
      <w:pPr>
        <w:pStyle w:val="CETTitle"/>
      </w:pPr>
      <w:r>
        <w:t>Glycerol and glycerol/water gasification for the decarbonisation of industrial heat</w:t>
      </w:r>
    </w:p>
    <w:p w14:paraId="0488FED2" w14:textId="4EBF5D8B" w:rsidR="00B57E6F" w:rsidRPr="00F42F21" w:rsidRDefault="009F6913" w:rsidP="00F42F21">
      <w:pPr>
        <w:pStyle w:val="CETAuthors"/>
        <w:rPr>
          <w:vertAlign w:val="superscript"/>
        </w:rPr>
      </w:pPr>
      <w:r w:rsidRPr="00F42F21">
        <w:t>José</w:t>
      </w:r>
      <w:r w:rsidR="00AE535E">
        <w:t xml:space="preserve"> </w:t>
      </w:r>
      <w:r w:rsidRPr="00F42F21">
        <w:t>Ramón Quiñonez Arce</w:t>
      </w:r>
      <w:r w:rsidR="00943FD1" w:rsidRPr="00F42F21">
        <w:t>*</w:t>
      </w:r>
      <w:r w:rsidR="00F42F21">
        <w:rPr>
          <w:vertAlign w:val="superscript"/>
        </w:rPr>
        <w:t>a</w:t>
      </w:r>
      <w:r w:rsidRPr="00F42F21">
        <w:t>, Gordon E. Andrews</w:t>
      </w:r>
      <w:r w:rsidR="00F42F21">
        <w:rPr>
          <w:vertAlign w:val="superscript"/>
        </w:rPr>
        <w:t>b</w:t>
      </w:r>
      <w:r w:rsidRPr="00F42F21">
        <w:t xml:space="preserve">, James </w:t>
      </w:r>
      <w:r w:rsidR="00943FD1" w:rsidRPr="00F42F21">
        <w:t>D. Maxflield</w:t>
      </w:r>
      <w:r w:rsidR="00F42F21">
        <w:rPr>
          <w:vertAlign w:val="superscript"/>
        </w:rPr>
        <w:t>a</w:t>
      </w:r>
      <w:r w:rsidR="00943FD1" w:rsidRPr="00F42F21">
        <w:t>,</w:t>
      </w:r>
      <w:r w:rsidR="005835BB" w:rsidRPr="005835BB">
        <w:t xml:space="preserve"> </w:t>
      </w:r>
      <w:r w:rsidR="005835BB" w:rsidRPr="00F42F21">
        <w:t xml:space="preserve">Herodotos </w:t>
      </w:r>
      <w:r w:rsidR="005835BB">
        <w:t xml:space="preserve">N. </w:t>
      </w:r>
      <w:r w:rsidR="005835BB" w:rsidRPr="00F42F21">
        <w:t>Phylaktou</w:t>
      </w:r>
      <w:r w:rsidR="005835BB">
        <w:rPr>
          <w:vertAlign w:val="superscript"/>
        </w:rPr>
        <w:t>b</w:t>
      </w:r>
      <w:r w:rsidR="005835BB" w:rsidRPr="00F42F21">
        <w:t xml:space="preserve">, </w:t>
      </w:r>
      <w:r w:rsidR="005835BB" w:rsidRPr="005835BB">
        <w:t xml:space="preserve"> </w:t>
      </w:r>
      <w:r w:rsidR="005835BB" w:rsidRPr="00F42F21">
        <w:t>Steve B. Smith</w:t>
      </w:r>
      <w:r w:rsidR="005835BB">
        <w:rPr>
          <w:vertAlign w:val="superscript"/>
        </w:rPr>
        <w:t>a</w:t>
      </w:r>
      <w:r w:rsidR="005835BB" w:rsidRPr="00F42F21">
        <w:t>,</w:t>
      </w:r>
      <w:r w:rsidR="00943FD1" w:rsidRPr="00F42F21">
        <w:t xml:space="preserve"> Richard Wakeman</w:t>
      </w:r>
      <w:r w:rsidR="00F42F21">
        <w:rPr>
          <w:vertAlign w:val="superscript"/>
        </w:rPr>
        <w:t>a</w:t>
      </w:r>
    </w:p>
    <w:p w14:paraId="6B2D21B3" w14:textId="7A820977" w:rsidR="00B57E6F" w:rsidRPr="00B57B36" w:rsidRDefault="00B57E6F" w:rsidP="00B57E6F">
      <w:pPr>
        <w:pStyle w:val="CETAddress"/>
      </w:pPr>
      <w:r w:rsidRPr="00B57B36">
        <w:rPr>
          <w:vertAlign w:val="superscript"/>
        </w:rPr>
        <w:t>a</w:t>
      </w:r>
      <w:r w:rsidR="00943FD1">
        <w:t xml:space="preserve">Clean Burner Systems, </w:t>
      </w:r>
      <w:r w:rsidR="00943FD1" w:rsidRPr="00943FD1">
        <w:t xml:space="preserve">11 Caputhall Road, Deans Industrial Estate, Livingston, EH54 8AS </w:t>
      </w:r>
      <w:r w:rsidRPr="00B57B36">
        <w:t xml:space="preserve"> </w:t>
      </w:r>
    </w:p>
    <w:p w14:paraId="3D72B0B0" w14:textId="4CBB3CB1" w:rsidR="00B57E6F" w:rsidRPr="00B57B36" w:rsidRDefault="00B57E6F" w:rsidP="00B57E6F">
      <w:pPr>
        <w:pStyle w:val="CETAddress"/>
      </w:pPr>
      <w:r w:rsidRPr="00B57B36">
        <w:rPr>
          <w:vertAlign w:val="superscript"/>
        </w:rPr>
        <w:t>b</w:t>
      </w:r>
      <w:r w:rsidR="000412A5">
        <w:t xml:space="preserve"> School of Chemical and Process Engineering,</w:t>
      </w:r>
      <w:r w:rsidR="000412A5">
        <w:rPr>
          <w:vertAlign w:val="superscript"/>
        </w:rPr>
        <w:t xml:space="preserve"> </w:t>
      </w:r>
      <w:r w:rsidR="00943FD1">
        <w:t>University of Leeds</w:t>
      </w:r>
      <w:r w:rsidRPr="00B57B36">
        <w:t>,</w:t>
      </w:r>
      <w:r w:rsidR="00943FD1" w:rsidRPr="00943FD1">
        <w:t xml:space="preserve"> Woodhouse</w:t>
      </w:r>
      <w:r w:rsidR="000412A5">
        <w:t xml:space="preserve"> Lane</w:t>
      </w:r>
      <w:r w:rsidR="00943FD1" w:rsidRPr="00943FD1">
        <w:t>, Leeds LS2 9JT</w:t>
      </w:r>
    </w:p>
    <w:p w14:paraId="73F1267A" w14:textId="76889F19" w:rsidR="00B57E6F" w:rsidRPr="00B57B36" w:rsidRDefault="00B57E6F" w:rsidP="00B57E6F">
      <w:pPr>
        <w:pStyle w:val="CETemail"/>
      </w:pPr>
      <w:r>
        <w:t xml:space="preserve"> </w:t>
      </w:r>
      <w:r w:rsidR="00943FD1">
        <w:t>ramon.quinon</w:t>
      </w:r>
      <w:r w:rsidR="00315D78">
        <w:t>e</w:t>
      </w:r>
      <w:r w:rsidR="00943FD1">
        <w:t>z</w:t>
      </w:r>
      <w:r w:rsidRPr="00B57B36">
        <w:t>@</w:t>
      </w:r>
      <w:r w:rsidR="00943FD1">
        <w:t>cleanburnersystems.com</w:t>
      </w:r>
    </w:p>
    <w:p w14:paraId="4AFFCB63" w14:textId="3401DACF" w:rsidR="00DF2DC1" w:rsidRPr="00DF2DC1" w:rsidRDefault="00943FD1" w:rsidP="00943FD1">
      <w:pPr>
        <w:pStyle w:val="CETBodytext"/>
        <w:rPr>
          <w:lang w:val="en-GB"/>
        </w:rPr>
      </w:pPr>
      <w:r w:rsidRPr="00943FD1">
        <w:rPr>
          <w:lang w:val="en-GB"/>
        </w:rPr>
        <w:t>This research is aimed at</w:t>
      </w:r>
      <w:r w:rsidR="0090731F">
        <w:rPr>
          <w:lang w:val="en-GB"/>
        </w:rPr>
        <w:t xml:space="preserve"> using </w:t>
      </w:r>
      <w:proofErr w:type="spellStart"/>
      <w:r w:rsidR="0090731F">
        <w:rPr>
          <w:lang w:val="en-GB"/>
        </w:rPr>
        <w:t>Gas</w:t>
      </w:r>
      <w:r w:rsidR="00EC6859">
        <w:rPr>
          <w:lang w:val="en-GB"/>
        </w:rPr>
        <w:t>e</w:t>
      </w:r>
      <w:r w:rsidR="0090731F">
        <w:rPr>
          <w:lang w:val="en-GB"/>
        </w:rPr>
        <w:t>q</w:t>
      </w:r>
      <w:proofErr w:type="spellEnd"/>
      <w:r w:rsidR="0090731F">
        <w:rPr>
          <w:lang w:val="en-GB"/>
        </w:rPr>
        <w:t xml:space="preserve"> equilibrium flame chemistry modelling</w:t>
      </w:r>
      <w:r w:rsidR="00AD36B8">
        <w:rPr>
          <w:lang w:val="en-GB"/>
        </w:rPr>
        <w:t>,</w:t>
      </w:r>
      <w:r w:rsidR="0090731F">
        <w:rPr>
          <w:lang w:val="en-GB"/>
        </w:rPr>
        <w:t xml:space="preserve"> to</w:t>
      </w:r>
      <w:r w:rsidRPr="00943FD1">
        <w:rPr>
          <w:lang w:val="en-GB"/>
        </w:rPr>
        <w:t xml:space="preserve"> demonst</w:t>
      </w:r>
      <w:r w:rsidR="0090731F">
        <w:rPr>
          <w:lang w:val="en-GB"/>
        </w:rPr>
        <w:t>rate</w:t>
      </w:r>
      <w:r w:rsidRPr="00943FD1">
        <w:rPr>
          <w:lang w:val="en-GB"/>
        </w:rPr>
        <w:t xml:space="preserve"> tha</w:t>
      </w:r>
      <w:r w:rsidR="0090731F">
        <w:rPr>
          <w:lang w:val="en-GB"/>
        </w:rPr>
        <w:t>t</w:t>
      </w:r>
      <w:r w:rsidRPr="00943FD1">
        <w:rPr>
          <w:lang w:val="en-GB"/>
        </w:rPr>
        <w:t xml:space="preserve"> </w:t>
      </w:r>
      <w:r w:rsidR="00F82065">
        <w:rPr>
          <w:lang w:val="en-GB"/>
        </w:rPr>
        <w:t xml:space="preserve">wet </w:t>
      </w:r>
      <w:r w:rsidRPr="00943FD1">
        <w:rPr>
          <w:lang w:val="en-GB"/>
        </w:rPr>
        <w:t xml:space="preserve">waste crude glycerol could be </w:t>
      </w:r>
      <w:r w:rsidR="00BC5107">
        <w:rPr>
          <w:lang w:val="en-GB"/>
        </w:rPr>
        <w:t xml:space="preserve">air </w:t>
      </w:r>
      <w:proofErr w:type="spellStart"/>
      <w:r w:rsidRPr="00943FD1">
        <w:rPr>
          <w:lang w:val="en-GB"/>
        </w:rPr>
        <w:t>gasified</w:t>
      </w:r>
      <w:proofErr w:type="spellEnd"/>
      <w:r w:rsidRPr="00943FD1">
        <w:rPr>
          <w:lang w:val="en-GB"/>
        </w:rPr>
        <w:t xml:space="preserve"> to produce a Biomass Gasification Gas</w:t>
      </w:r>
      <w:r w:rsidR="00D93749">
        <w:rPr>
          <w:lang w:val="en-GB"/>
        </w:rPr>
        <w:t xml:space="preserve"> (</w:t>
      </w:r>
      <w:r w:rsidRPr="00943FD1">
        <w:rPr>
          <w:lang w:val="en-GB"/>
        </w:rPr>
        <w:t>BGG</w:t>
      </w:r>
      <w:r w:rsidR="00D93749">
        <w:rPr>
          <w:lang w:val="en-GB"/>
        </w:rPr>
        <w:t>)</w:t>
      </w:r>
      <w:r w:rsidRPr="00943FD1">
        <w:rPr>
          <w:lang w:val="en-GB"/>
        </w:rPr>
        <w:t xml:space="preserve"> for direct applications as a burner fuel for </w:t>
      </w:r>
      <w:r w:rsidR="00965477">
        <w:rPr>
          <w:lang w:val="en-GB"/>
        </w:rPr>
        <w:t xml:space="preserve">the </w:t>
      </w:r>
      <w:r w:rsidRPr="00943FD1">
        <w:rPr>
          <w:lang w:val="en-GB"/>
        </w:rPr>
        <w:t>decarbonis</w:t>
      </w:r>
      <w:r w:rsidR="00965477">
        <w:rPr>
          <w:lang w:val="en-GB"/>
        </w:rPr>
        <w:t>ation of</w:t>
      </w:r>
      <w:r w:rsidRPr="00943FD1">
        <w:rPr>
          <w:lang w:val="en-GB"/>
        </w:rPr>
        <w:t xml:space="preserve"> industrial heat. </w:t>
      </w:r>
      <w:r w:rsidR="00965477">
        <w:rPr>
          <w:lang w:val="en-GB"/>
        </w:rPr>
        <w:t xml:space="preserve">Glycerol is a typical biomass fuel in its composition and </w:t>
      </w:r>
      <w:r w:rsidR="00561076">
        <w:rPr>
          <w:lang w:val="en-GB"/>
        </w:rPr>
        <w:t xml:space="preserve">it </w:t>
      </w:r>
      <w:r w:rsidR="00965477">
        <w:rPr>
          <w:lang w:val="en-GB"/>
        </w:rPr>
        <w:t>is similar to the distillery waste pot ale</w:t>
      </w:r>
      <w:r w:rsidR="0083015F">
        <w:rPr>
          <w:lang w:val="en-GB"/>
        </w:rPr>
        <w:t xml:space="preserve"> </w:t>
      </w:r>
      <w:r w:rsidR="00601553">
        <w:rPr>
          <w:lang w:val="en-GB"/>
        </w:rPr>
        <w:t xml:space="preserve">(PA), </w:t>
      </w:r>
      <w:r w:rsidR="00965477">
        <w:rPr>
          <w:lang w:val="en-GB"/>
        </w:rPr>
        <w:t>which is about 87% water and 13% pot ale syrup</w:t>
      </w:r>
      <w:r w:rsidR="0083015F">
        <w:rPr>
          <w:lang w:val="en-GB"/>
        </w:rPr>
        <w:t xml:space="preserve"> </w:t>
      </w:r>
      <w:r w:rsidR="00601553">
        <w:rPr>
          <w:lang w:val="en-GB"/>
        </w:rPr>
        <w:t xml:space="preserve">(PAS). </w:t>
      </w:r>
      <w:r w:rsidR="0090731F">
        <w:rPr>
          <w:lang w:val="en-GB"/>
        </w:rPr>
        <w:t xml:space="preserve">Both of these </w:t>
      </w:r>
      <w:r w:rsidR="00DD72C0">
        <w:rPr>
          <w:lang w:val="en-GB"/>
        </w:rPr>
        <w:t>low-</w:t>
      </w:r>
      <w:r w:rsidR="00083EAC">
        <w:rPr>
          <w:lang w:val="en-GB"/>
        </w:rPr>
        <w:t xml:space="preserve">cost </w:t>
      </w:r>
      <w:r w:rsidR="00F82065">
        <w:rPr>
          <w:lang w:val="en-GB"/>
        </w:rPr>
        <w:t xml:space="preserve">waste </w:t>
      </w:r>
      <w:r w:rsidR="0090731F">
        <w:rPr>
          <w:lang w:val="en-GB"/>
        </w:rPr>
        <w:t>bio-fuels are not easy to burn in conventional burners due to their high viscosity, high boiling point and high water content.</w:t>
      </w:r>
      <w:r w:rsidR="00965477">
        <w:rPr>
          <w:lang w:val="en-GB"/>
        </w:rPr>
        <w:t xml:space="preserve"> There </w:t>
      </w:r>
      <w:r w:rsidR="00CC6C70">
        <w:rPr>
          <w:lang w:val="en-GB"/>
        </w:rPr>
        <w:t>is</w:t>
      </w:r>
      <w:r w:rsidR="00965477">
        <w:rPr>
          <w:lang w:val="en-GB"/>
        </w:rPr>
        <w:t xml:space="preserve"> m</w:t>
      </w:r>
      <w:r w:rsidR="00CC6C70">
        <w:rPr>
          <w:lang w:val="en-GB"/>
        </w:rPr>
        <w:t>uch</w:t>
      </w:r>
      <w:r w:rsidR="00965477">
        <w:rPr>
          <w:lang w:val="en-GB"/>
        </w:rPr>
        <w:t xml:space="preserve"> agricultural waste and other industrial bio-liquid waste</w:t>
      </w:r>
      <w:r w:rsidR="00083EAC">
        <w:rPr>
          <w:lang w:val="en-GB"/>
        </w:rPr>
        <w:t>s</w:t>
      </w:r>
      <w:r w:rsidR="00965477">
        <w:rPr>
          <w:lang w:val="en-GB"/>
        </w:rPr>
        <w:t xml:space="preserve"> that are</w:t>
      </w:r>
      <w:r w:rsidR="00B46023">
        <w:rPr>
          <w:lang w:val="en-GB"/>
        </w:rPr>
        <w:t xml:space="preserve"> also</w:t>
      </w:r>
      <w:r w:rsidR="00965477">
        <w:rPr>
          <w:lang w:val="en-GB"/>
        </w:rPr>
        <w:t xml:space="preserve"> high in water content, including distillery waste draff</w:t>
      </w:r>
      <w:r w:rsidR="00B46023">
        <w:rPr>
          <w:lang w:val="en-GB"/>
        </w:rPr>
        <w:t>, spent grains from the barley malting process</w:t>
      </w:r>
      <w:r w:rsidR="0090731F">
        <w:rPr>
          <w:lang w:val="en-GB"/>
        </w:rPr>
        <w:t xml:space="preserve"> and farming manure.</w:t>
      </w:r>
      <w:r w:rsidR="00965477">
        <w:rPr>
          <w:lang w:val="en-GB"/>
        </w:rPr>
        <w:t xml:space="preserve"> </w:t>
      </w:r>
      <w:r w:rsidR="0090731F">
        <w:rPr>
          <w:lang w:val="en-GB"/>
        </w:rPr>
        <w:t>Draff</w:t>
      </w:r>
      <w:r w:rsidR="00965477">
        <w:rPr>
          <w:lang w:val="en-GB"/>
        </w:rPr>
        <w:t xml:space="preserve"> is typically 75% water. Consequently, this work investigated the</w:t>
      </w:r>
      <w:r w:rsidR="0090731F">
        <w:rPr>
          <w:lang w:val="en-GB"/>
        </w:rPr>
        <w:t xml:space="preserve"> influence of water on</w:t>
      </w:r>
      <w:r w:rsidR="00965477">
        <w:rPr>
          <w:lang w:val="en-GB"/>
        </w:rPr>
        <w:t xml:space="preserve"> </w:t>
      </w:r>
      <w:r w:rsidR="0090731F">
        <w:rPr>
          <w:lang w:val="en-GB"/>
        </w:rPr>
        <w:t>BGG composition</w:t>
      </w:r>
      <w:r w:rsidR="00965477">
        <w:rPr>
          <w:lang w:val="en-GB"/>
        </w:rPr>
        <w:t xml:space="preserve"> </w:t>
      </w:r>
      <w:r w:rsidR="0090731F">
        <w:rPr>
          <w:lang w:val="en-GB"/>
        </w:rPr>
        <w:t>for</w:t>
      </w:r>
      <w:r w:rsidR="00965477">
        <w:rPr>
          <w:lang w:val="en-GB"/>
        </w:rPr>
        <w:t xml:space="preserve"> wet bio-waste</w:t>
      </w:r>
      <w:r w:rsidR="0090731F">
        <w:rPr>
          <w:lang w:val="en-GB"/>
        </w:rPr>
        <w:t>,</w:t>
      </w:r>
      <w:r w:rsidR="00965477">
        <w:rPr>
          <w:lang w:val="en-GB"/>
        </w:rPr>
        <w:t xml:space="preserve"> using glycerol/water mixtures</w:t>
      </w:r>
      <w:r w:rsidR="0090731F">
        <w:rPr>
          <w:lang w:val="en-GB"/>
        </w:rPr>
        <w:t xml:space="preserve"> as the demonstration </w:t>
      </w:r>
      <w:r w:rsidR="00DF3190">
        <w:rPr>
          <w:lang w:val="en-GB"/>
        </w:rPr>
        <w:t xml:space="preserve">of </w:t>
      </w:r>
      <w:r w:rsidR="0090731F">
        <w:rPr>
          <w:lang w:val="en-GB"/>
        </w:rPr>
        <w:t>wet bio-</w:t>
      </w:r>
      <w:r w:rsidR="00E3062B">
        <w:rPr>
          <w:lang w:val="en-GB"/>
        </w:rPr>
        <w:t>waste</w:t>
      </w:r>
      <w:r w:rsidR="00965477">
        <w:rPr>
          <w:lang w:val="en-GB"/>
        </w:rPr>
        <w:t>.</w:t>
      </w:r>
      <w:r w:rsidR="00B46023">
        <w:rPr>
          <w:lang w:val="en-GB"/>
        </w:rPr>
        <w:t xml:space="preserve"> Gasification of biomass can be aided by adding steam to the air gasifier</w:t>
      </w:r>
      <w:r w:rsidR="00417DB3">
        <w:rPr>
          <w:lang w:val="en-GB"/>
        </w:rPr>
        <w:t xml:space="preserve">, due </w:t>
      </w:r>
      <w:r w:rsidR="00CC6C70">
        <w:rPr>
          <w:lang w:val="en-GB"/>
        </w:rPr>
        <w:t xml:space="preserve">to </w:t>
      </w:r>
      <w:r w:rsidR="00417DB3">
        <w:rPr>
          <w:lang w:val="en-GB"/>
        </w:rPr>
        <w:t xml:space="preserve">the water gas shift reaction that reacts </w:t>
      </w:r>
      <w:r w:rsidR="00DD72C0">
        <w:rPr>
          <w:lang w:val="en-GB"/>
        </w:rPr>
        <w:t xml:space="preserve">with </w:t>
      </w:r>
      <w:r w:rsidR="00417DB3">
        <w:rPr>
          <w:lang w:val="en-GB"/>
        </w:rPr>
        <w:t>steam and CO to produce more hydrogen.</w:t>
      </w:r>
      <w:r w:rsidR="00B46023">
        <w:rPr>
          <w:lang w:val="en-GB"/>
        </w:rPr>
        <w:t xml:space="preserve"> </w:t>
      </w:r>
      <w:r w:rsidR="00417DB3">
        <w:rPr>
          <w:lang w:val="en-GB"/>
        </w:rPr>
        <w:t>However, if the steam generator is a separate plant there are energy efficiency problems. In the present work</w:t>
      </w:r>
      <w:r w:rsidR="00CC6C70">
        <w:rPr>
          <w:lang w:val="en-GB"/>
        </w:rPr>
        <w:t>,</w:t>
      </w:r>
      <w:r w:rsidR="00417DB3">
        <w:rPr>
          <w:lang w:val="en-GB"/>
        </w:rPr>
        <w:t xml:space="preserve"> the </w:t>
      </w:r>
      <w:r w:rsidR="00994F43">
        <w:rPr>
          <w:lang w:val="en-GB"/>
        </w:rPr>
        <w:t>gasifier</w:t>
      </w:r>
      <w:r w:rsidR="00417DB3">
        <w:rPr>
          <w:lang w:val="en-GB"/>
        </w:rPr>
        <w:t xml:space="preserve"> is heated directly by an inline burner operating very lean and this will vaporise the water in the biomass and produce steam. </w:t>
      </w:r>
      <w:r w:rsidR="00DF2DC1">
        <w:rPr>
          <w:lang w:val="en-GB"/>
        </w:rPr>
        <w:t xml:space="preserve">The burner temperature </w:t>
      </w:r>
      <w:r w:rsidR="00C26D59">
        <w:rPr>
          <w:lang w:val="en-GB"/>
        </w:rPr>
        <w:t>controls</w:t>
      </w:r>
      <w:r w:rsidR="00DF2DC1">
        <w:rPr>
          <w:lang w:val="en-GB"/>
        </w:rPr>
        <w:t xml:space="preserve"> the gasifier operating temperature and the yield of  CO and H</w:t>
      </w:r>
      <w:r w:rsidR="00DF2DC1">
        <w:rPr>
          <w:vertAlign w:val="subscript"/>
          <w:lang w:val="en-GB"/>
        </w:rPr>
        <w:t xml:space="preserve">2, </w:t>
      </w:r>
      <w:r w:rsidR="00DF2DC1">
        <w:rPr>
          <w:lang w:val="en-GB"/>
        </w:rPr>
        <w:t xml:space="preserve">as well as moving the peak energy content of the BGG to richer gasification equivalence ratio. Water in the fuel up to 60% </w:t>
      </w:r>
      <w:r w:rsidR="002C1A3D">
        <w:rPr>
          <w:lang w:val="en-GB"/>
        </w:rPr>
        <w:t xml:space="preserve">was </w:t>
      </w:r>
      <w:r w:rsidR="002A1806">
        <w:rPr>
          <w:lang w:val="en-GB"/>
        </w:rPr>
        <w:t>predicted</w:t>
      </w:r>
      <w:r w:rsidR="002C1A3D">
        <w:rPr>
          <w:lang w:val="en-GB"/>
        </w:rPr>
        <w:t xml:space="preserve"> to still</w:t>
      </w:r>
      <w:r w:rsidR="00DF2DC1">
        <w:rPr>
          <w:lang w:val="en-GB"/>
        </w:rPr>
        <w:t xml:space="preserve"> achieve gasification</w:t>
      </w:r>
      <w:r w:rsidR="00795F45">
        <w:rPr>
          <w:lang w:val="en-GB"/>
        </w:rPr>
        <w:t xml:space="preserve">, but the impact on equilibrium hydrogen was only a small increase with a larger decrease in CO. With BGG gas combustion in a boiler it would be possible to recover the heat of vaporisation of water through flue gas condensation and recovery of the heat </w:t>
      </w:r>
      <w:r w:rsidR="002C1A3D">
        <w:rPr>
          <w:lang w:val="en-GB"/>
        </w:rPr>
        <w:t xml:space="preserve">using </w:t>
      </w:r>
      <w:r w:rsidR="00795F45">
        <w:rPr>
          <w:lang w:val="en-GB"/>
        </w:rPr>
        <w:t>burner inlet air cooling.</w:t>
      </w:r>
    </w:p>
    <w:p w14:paraId="1D629861" w14:textId="646305E3" w:rsidR="005421AE" w:rsidRPr="005421AE" w:rsidRDefault="005421AE" w:rsidP="00F42F21">
      <w:pPr>
        <w:pStyle w:val="CETHeading1"/>
      </w:pPr>
      <w:r w:rsidRPr="005421AE">
        <w:t xml:space="preserve">Introduction </w:t>
      </w:r>
    </w:p>
    <w:p w14:paraId="11E2CDE7" w14:textId="3F6BA503" w:rsidR="00E80896" w:rsidRDefault="005835BB" w:rsidP="00DE3173">
      <w:pPr>
        <w:pStyle w:val="CETBodytext"/>
        <w:rPr>
          <w:rFonts w:cs="Arial"/>
        </w:rPr>
      </w:pPr>
      <w:r w:rsidRPr="004859FD">
        <w:rPr>
          <w:rFonts w:cs="Arial"/>
          <w:lang w:val="en-GB"/>
        </w:rPr>
        <w:t>This work was carried out as part of the UK Green Distilleries programme on the decarbonisation of Scottish Whisky distilleries, where currently about two</w:t>
      </w:r>
      <w:r w:rsidR="00DD72C0">
        <w:rPr>
          <w:rFonts w:cs="Arial"/>
          <w:lang w:val="en-GB"/>
        </w:rPr>
        <w:t>-</w:t>
      </w:r>
      <w:r w:rsidRPr="004859FD">
        <w:rPr>
          <w:rFonts w:cs="Arial"/>
          <w:lang w:val="en-GB"/>
        </w:rPr>
        <w:t>thirds of distilleries are heated by NG burners and one</w:t>
      </w:r>
      <w:r w:rsidR="00DD72C0">
        <w:rPr>
          <w:rFonts w:cs="Arial"/>
          <w:lang w:val="en-GB"/>
        </w:rPr>
        <w:t>-</w:t>
      </w:r>
      <w:r w:rsidRPr="004859FD">
        <w:rPr>
          <w:rFonts w:cs="Arial"/>
          <w:lang w:val="en-GB"/>
        </w:rPr>
        <w:t>third by fuel oil burners. 97% of UK distilleries u</w:t>
      </w:r>
      <w:r w:rsidR="00002097">
        <w:rPr>
          <w:rFonts w:cs="Arial"/>
          <w:lang w:val="en-GB"/>
        </w:rPr>
        <w:t xml:space="preserve">se </w:t>
      </w:r>
      <w:r w:rsidRPr="004859FD">
        <w:rPr>
          <w:rFonts w:cs="Arial"/>
          <w:lang w:val="en-GB"/>
        </w:rPr>
        <w:t>steam boiler</w:t>
      </w:r>
      <w:r w:rsidR="002C1A3D">
        <w:rPr>
          <w:rFonts w:cs="Arial"/>
          <w:lang w:val="en-GB"/>
        </w:rPr>
        <w:t xml:space="preserve"> heating of distillation</w:t>
      </w:r>
      <w:r w:rsidRPr="004859FD">
        <w:rPr>
          <w:rFonts w:cs="Arial"/>
          <w:lang w:val="en-GB"/>
        </w:rPr>
        <w:t xml:space="preserve"> and the rest</w:t>
      </w:r>
      <w:r w:rsidR="00701D0B" w:rsidRPr="004859FD">
        <w:rPr>
          <w:rFonts w:cs="Arial"/>
          <w:lang w:val="en-GB"/>
        </w:rPr>
        <w:t xml:space="preserve"> </w:t>
      </w:r>
      <w:r w:rsidRPr="004859FD">
        <w:rPr>
          <w:rFonts w:cs="Arial"/>
          <w:lang w:val="en-GB"/>
        </w:rPr>
        <w:t xml:space="preserve">use the burner to directly heat the distillation unit. </w:t>
      </w:r>
      <w:r w:rsidR="00BC5107" w:rsidRPr="004859FD">
        <w:rPr>
          <w:rFonts w:cs="Arial"/>
          <w:lang w:val="en-GB"/>
        </w:rPr>
        <w:t xml:space="preserve">Scottish whisky distilleries have three main waste biomass: draff (75% water), </w:t>
      </w:r>
      <w:r w:rsidR="00636525">
        <w:rPr>
          <w:rFonts w:cs="Arial"/>
          <w:lang w:val="en-GB"/>
        </w:rPr>
        <w:t>PA</w:t>
      </w:r>
      <w:r w:rsidR="00BC5107" w:rsidRPr="004859FD">
        <w:rPr>
          <w:rFonts w:cs="Arial"/>
          <w:lang w:val="en-GB"/>
        </w:rPr>
        <w:t xml:space="preserve"> (87% water) and spent lees (99% water). </w:t>
      </w:r>
      <w:r w:rsidR="005A634D" w:rsidRPr="00AF239D">
        <w:rPr>
          <w:rFonts w:cs="Arial"/>
          <w:szCs w:val="18"/>
        </w:rPr>
        <w:t>About 15% of the mass of barley processed in the malthouse is rejected as dark grains and culm with a typical NCV of 10 MJ.kg.</w:t>
      </w:r>
      <w:r w:rsidR="00417DB3" w:rsidRPr="005A634D">
        <w:rPr>
          <w:rFonts w:cs="Arial"/>
          <w:lang w:val="en-GB"/>
        </w:rPr>
        <w:t xml:space="preserve"> </w:t>
      </w:r>
      <w:r w:rsidR="005A634D">
        <w:rPr>
          <w:rFonts w:cs="Arial"/>
          <w:lang w:val="en-GB"/>
        </w:rPr>
        <w:t>A</w:t>
      </w:r>
      <w:r w:rsidR="00417DB3">
        <w:rPr>
          <w:rFonts w:cs="Arial"/>
          <w:lang w:val="en-GB"/>
        </w:rPr>
        <w:t>t the farm the barley straw, which is a waste product for barley farmers</w:t>
      </w:r>
      <w:r w:rsidR="00E06E89">
        <w:rPr>
          <w:rFonts w:cs="Arial"/>
          <w:lang w:val="en-GB"/>
        </w:rPr>
        <w:t>,</w:t>
      </w:r>
      <w:r w:rsidR="005A634D">
        <w:rPr>
          <w:rFonts w:cs="Arial"/>
          <w:lang w:val="en-GB"/>
        </w:rPr>
        <w:t xml:space="preserve"> </w:t>
      </w:r>
      <w:r w:rsidR="002C1A3D">
        <w:rPr>
          <w:rFonts w:cs="Arial"/>
          <w:lang w:val="en-GB"/>
        </w:rPr>
        <w:t>could be increased in production if there was a heat market for the extra straw</w:t>
      </w:r>
      <w:r w:rsidR="004859FD" w:rsidRPr="004859FD">
        <w:rPr>
          <w:rFonts w:cs="Arial"/>
          <w:lang w:val="en-GB"/>
        </w:rPr>
        <w:t>.</w:t>
      </w:r>
      <w:r w:rsidR="002C1A3D">
        <w:rPr>
          <w:rFonts w:cs="Arial"/>
          <w:lang w:val="en-GB"/>
        </w:rPr>
        <w:t xml:space="preserve"> Currently most of the straw is chopped in the field for adding to the soil, where its decay is a source of methane emissions.</w:t>
      </w:r>
      <w:r w:rsidR="004A1619">
        <w:rPr>
          <w:rFonts w:cs="Arial"/>
          <w:lang w:val="en-GB"/>
        </w:rPr>
        <w:t xml:space="preserve"> </w:t>
      </w:r>
      <w:proofErr w:type="spellStart"/>
      <w:r w:rsidR="004859FD">
        <w:rPr>
          <w:rFonts w:cs="Arial"/>
          <w:lang w:val="en-GB"/>
        </w:rPr>
        <w:t>Arnison</w:t>
      </w:r>
      <w:proofErr w:type="spellEnd"/>
      <w:r w:rsidR="004859FD">
        <w:rPr>
          <w:rFonts w:cs="Arial"/>
          <w:lang w:val="en-GB"/>
        </w:rPr>
        <w:t xml:space="preserve"> et al. (2015) reported that </w:t>
      </w:r>
      <w:r w:rsidR="004859FD" w:rsidRPr="004859FD">
        <w:rPr>
          <w:rFonts w:cs="Arial"/>
        </w:rPr>
        <w:t xml:space="preserve">Scotland in 2013 produced 538 </w:t>
      </w:r>
      <w:proofErr w:type="spellStart"/>
      <w:r w:rsidR="004859FD" w:rsidRPr="004859FD">
        <w:rPr>
          <w:rFonts w:cs="Arial"/>
        </w:rPr>
        <w:t>kT</w:t>
      </w:r>
      <w:proofErr w:type="spellEnd"/>
      <w:r w:rsidR="004859FD" w:rsidRPr="004859FD">
        <w:rPr>
          <w:rFonts w:cs="Arial"/>
        </w:rPr>
        <w:t xml:space="preserve"> Draff and 885 </w:t>
      </w:r>
      <w:proofErr w:type="spellStart"/>
      <w:r w:rsidR="004859FD" w:rsidRPr="004859FD">
        <w:rPr>
          <w:rFonts w:cs="Arial"/>
        </w:rPr>
        <w:t>kT</w:t>
      </w:r>
      <w:proofErr w:type="spellEnd"/>
      <w:r w:rsidR="004859FD" w:rsidRPr="004859FD">
        <w:rPr>
          <w:rFonts w:cs="Arial"/>
        </w:rPr>
        <w:t xml:space="preserve"> PA and 32 </w:t>
      </w:r>
      <w:proofErr w:type="spellStart"/>
      <w:r w:rsidR="004859FD" w:rsidRPr="004859FD">
        <w:rPr>
          <w:rFonts w:cs="Arial"/>
        </w:rPr>
        <w:t>kT</w:t>
      </w:r>
      <w:proofErr w:type="spellEnd"/>
      <w:r w:rsidR="004859FD" w:rsidRPr="004859FD">
        <w:rPr>
          <w:rFonts w:cs="Arial"/>
        </w:rPr>
        <w:t xml:space="preserve"> PAS</w:t>
      </w:r>
      <w:r w:rsidR="002C1A3D">
        <w:rPr>
          <w:rFonts w:cs="Arial"/>
        </w:rPr>
        <w:t xml:space="preserve"> (Pot ale with the water evaporated off)</w:t>
      </w:r>
      <w:r w:rsidR="004859FD" w:rsidRPr="004859FD">
        <w:rPr>
          <w:rFonts w:cs="Arial"/>
        </w:rPr>
        <w:t xml:space="preserve"> plus </w:t>
      </w:r>
      <w:r w:rsidR="004859FD">
        <w:rPr>
          <w:rFonts w:cs="Arial"/>
        </w:rPr>
        <w:t xml:space="preserve">254 </w:t>
      </w:r>
      <w:proofErr w:type="spellStart"/>
      <w:r w:rsidR="004859FD">
        <w:rPr>
          <w:rFonts w:cs="Arial"/>
        </w:rPr>
        <w:t>kT</w:t>
      </w:r>
      <w:proofErr w:type="spellEnd"/>
      <w:r w:rsidR="004859FD">
        <w:rPr>
          <w:rFonts w:cs="Arial"/>
        </w:rPr>
        <w:t xml:space="preserve"> of </w:t>
      </w:r>
      <w:r w:rsidR="004859FD" w:rsidRPr="004859FD">
        <w:rPr>
          <w:rFonts w:cs="Arial"/>
        </w:rPr>
        <w:t xml:space="preserve">distillery dark grains. As the solid </w:t>
      </w:r>
      <w:r w:rsidR="00636525">
        <w:rPr>
          <w:rFonts w:cs="Arial"/>
        </w:rPr>
        <w:t>d</w:t>
      </w:r>
      <w:r w:rsidR="004859FD" w:rsidRPr="004859FD">
        <w:rPr>
          <w:rFonts w:cs="Arial"/>
        </w:rPr>
        <w:t xml:space="preserve">raff is only 107.6 </w:t>
      </w:r>
      <w:proofErr w:type="spellStart"/>
      <w:r w:rsidR="004859FD" w:rsidRPr="004859FD">
        <w:rPr>
          <w:rFonts w:cs="Arial"/>
        </w:rPr>
        <w:t>kT</w:t>
      </w:r>
      <w:proofErr w:type="spellEnd"/>
      <w:r w:rsidR="004859FD" w:rsidRPr="004859FD">
        <w:rPr>
          <w:rFonts w:cs="Arial"/>
        </w:rPr>
        <w:t xml:space="preserve"> dry the dark grains could be more important than draff as an energy source</w:t>
      </w:r>
      <w:r w:rsidR="005F26C7">
        <w:rPr>
          <w:rFonts w:cs="Arial"/>
        </w:rPr>
        <w:t>, especially as they are low in moisture (3-6% typically)</w:t>
      </w:r>
      <w:r w:rsidR="004859FD">
        <w:rPr>
          <w:rFonts w:cs="Arial"/>
        </w:rPr>
        <w:t>.</w:t>
      </w:r>
      <w:r w:rsidR="005F26C7">
        <w:rPr>
          <w:rFonts w:cs="Arial"/>
        </w:rPr>
        <w:t xml:space="preserve"> In total there are 462 </w:t>
      </w:r>
      <w:proofErr w:type="spellStart"/>
      <w:r w:rsidR="005F26C7">
        <w:rPr>
          <w:rFonts w:cs="Arial"/>
        </w:rPr>
        <w:t>kT</w:t>
      </w:r>
      <w:proofErr w:type="spellEnd"/>
      <w:r w:rsidR="005F26C7">
        <w:rPr>
          <w:rFonts w:cs="Arial"/>
        </w:rPr>
        <w:t xml:space="preserve"> of dry biomass produced each year</w:t>
      </w:r>
      <w:r w:rsidR="00417DB3">
        <w:rPr>
          <w:rFonts w:cs="Arial"/>
        </w:rPr>
        <w:t xml:space="preserve"> by Scottish Whisky distilleries</w:t>
      </w:r>
      <w:r w:rsidR="005F26C7">
        <w:rPr>
          <w:rFonts w:cs="Arial"/>
        </w:rPr>
        <w:t xml:space="preserve"> and very little of this is used to produce heat or electricity. The potential energy content using 15 MJ/kg GCV is </w:t>
      </w:r>
      <w:r w:rsidR="00FA2CAC">
        <w:rPr>
          <w:rFonts w:cs="Arial"/>
        </w:rPr>
        <w:t>6.93 PJ</w:t>
      </w:r>
      <w:r w:rsidR="00761FB6">
        <w:rPr>
          <w:rFonts w:cs="Arial"/>
        </w:rPr>
        <w:t xml:space="preserve"> which is</w:t>
      </w:r>
      <w:r w:rsidR="00E15D39">
        <w:rPr>
          <w:rFonts w:cs="Arial"/>
        </w:rPr>
        <w:t xml:space="preserve"> about 2 </w:t>
      </w:r>
      <w:proofErr w:type="spellStart"/>
      <w:r w:rsidR="00E15D39">
        <w:rPr>
          <w:rFonts w:cs="Arial"/>
        </w:rPr>
        <w:t>TWh</w:t>
      </w:r>
      <w:proofErr w:type="spellEnd"/>
      <w:r w:rsidR="00E15D39">
        <w:rPr>
          <w:rFonts w:cs="Arial"/>
        </w:rPr>
        <w:t xml:space="preserve">. </w:t>
      </w:r>
      <w:r w:rsidR="004A1619">
        <w:rPr>
          <w:rFonts w:cs="Arial"/>
          <w:lang w:val="en-GB"/>
        </w:rPr>
        <w:t xml:space="preserve">In 2021 there </w:t>
      </w:r>
      <w:r w:rsidR="00785B65">
        <w:rPr>
          <w:rFonts w:cs="Arial"/>
          <w:lang w:val="en-GB"/>
        </w:rPr>
        <w:t xml:space="preserve">were </w:t>
      </w:r>
      <w:r w:rsidR="004A1619">
        <w:rPr>
          <w:rFonts w:cs="Arial"/>
          <w:lang w:val="en-GB"/>
        </w:rPr>
        <w:t xml:space="preserve">1.79 </w:t>
      </w:r>
      <w:r w:rsidR="00636525">
        <w:rPr>
          <w:rFonts w:cs="Arial"/>
          <w:lang w:val="en-GB"/>
        </w:rPr>
        <w:t>MT</w:t>
      </w:r>
      <w:r w:rsidR="004A1619">
        <w:rPr>
          <w:rFonts w:cs="Arial"/>
          <w:lang w:val="en-GB"/>
        </w:rPr>
        <w:t xml:space="preserve"> of baled barley straw produced per year in the UK, which has an energy of 27 PJ, using a GCV of 15 MJ/kg of barley straw.</w:t>
      </w:r>
      <w:r w:rsidR="004A1619" w:rsidRPr="004859FD">
        <w:rPr>
          <w:rFonts w:cs="Arial"/>
          <w:lang w:val="en-GB"/>
        </w:rPr>
        <w:t xml:space="preserve"> </w:t>
      </w:r>
      <w:r w:rsidR="00E15D39">
        <w:rPr>
          <w:rFonts w:cs="Arial"/>
        </w:rPr>
        <w:t xml:space="preserve">The energy from the barley straw </w:t>
      </w:r>
      <w:r w:rsidR="004A1619">
        <w:rPr>
          <w:rFonts w:cs="Arial"/>
        </w:rPr>
        <w:t>is thus 3.9 times that of the other distillery bio-wastes</w:t>
      </w:r>
      <w:r w:rsidR="00E15D39">
        <w:rPr>
          <w:rFonts w:cs="Arial"/>
        </w:rPr>
        <w:t xml:space="preserve"> and co-gasification of distillery bio-waste with </w:t>
      </w:r>
      <w:r w:rsidR="00E15D39">
        <w:rPr>
          <w:rFonts w:cs="Arial"/>
        </w:rPr>
        <w:lastRenderedPageBreak/>
        <w:t xml:space="preserve">barley straw is envisaged. </w:t>
      </w:r>
      <w:r w:rsidR="00B65C95">
        <w:rPr>
          <w:rFonts w:cs="Arial"/>
        </w:rPr>
        <w:t xml:space="preserve">The total energy use in the Scottish Whisky industry is about 6.3 PJ per year, based on a production of 211 ML of alcohol and an energy use per L of alcohol of 30 MJ/L. The above figures show that the use of waste biomass from distilleries and waste barley straw could easily achieve net zero in all distilleries, if the bio-waste can be used effectively for heat and the gasification method is considered to be the best technology to do this. </w:t>
      </w:r>
    </w:p>
    <w:p w14:paraId="7234058C" w14:textId="77777777" w:rsidR="00E80896" w:rsidRDefault="00E80896" w:rsidP="00DE3173">
      <w:pPr>
        <w:pStyle w:val="CETBodytext"/>
        <w:rPr>
          <w:rFonts w:cs="Arial"/>
        </w:rPr>
      </w:pPr>
    </w:p>
    <w:p w14:paraId="35E000C4" w14:textId="79CDE539" w:rsidR="004859FD" w:rsidRPr="00E8199C" w:rsidRDefault="00E15D39" w:rsidP="00DE3173">
      <w:pPr>
        <w:pStyle w:val="CETBodytext"/>
        <w:rPr>
          <w:rFonts w:cs="Arial"/>
        </w:rPr>
      </w:pPr>
      <w:r>
        <w:rPr>
          <w:rFonts w:cs="Arial"/>
        </w:rPr>
        <w:t xml:space="preserve">Crude glycerol is an external </w:t>
      </w:r>
      <w:r w:rsidR="00785B65">
        <w:rPr>
          <w:rFonts w:cs="Arial"/>
        </w:rPr>
        <w:t>low-</w:t>
      </w:r>
      <w:r>
        <w:rPr>
          <w:rFonts w:cs="Arial"/>
        </w:rPr>
        <w:t>cost source of waste bio-oil</w:t>
      </w:r>
      <w:r w:rsidR="00CD660A">
        <w:rPr>
          <w:rFonts w:cs="Arial"/>
        </w:rPr>
        <w:t xml:space="preserve"> mainly suppl</w:t>
      </w:r>
      <w:r w:rsidR="00E8199C">
        <w:rPr>
          <w:rFonts w:cs="Arial"/>
        </w:rPr>
        <w:t>ied</w:t>
      </w:r>
      <w:r w:rsidR="00CD660A">
        <w:rPr>
          <w:rFonts w:cs="Arial"/>
        </w:rPr>
        <w:t xml:space="preserve"> from bio-diesel manufacture, which rejects 11% of the original seed oil as glycerol in the transesterification process used to manufacture bio-diesel.</w:t>
      </w:r>
      <w:r w:rsidR="00E8199C">
        <w:rPr>
          <w:rFonts w:cs="Arial"/>
        </w:rPr>
        <w:t xml:space="preserve"> Crude glycerol could be used in the gasifier, mixed with distillery waste biomass.</w:t>
      </w:r>
      <w:r w:rsidR="00E8199C" w:rsidRPr="00E8199C">
        <w:rPr>
          <w:rFonts w:cs="Arial"/>
        </w:rPr>
        <w:t xml:space="preserve"> </w:t>
      </w:r>
      <w:r w:rsidR="00E8199C">
        <w:rPr>
          <w:rFonts w:cs="Arial"/>
        </w:rPr>
        <w:t>This paper models the gasification of glycerol as a bio-oil as its CH</w:t>
      </w:r>
      <w:r w:rsidR="00E8199C">
        <w:rPr>
          <w:rFonts w:cs="Arial"/>
          <w:vertAlign w:val="subscript"/>
        </w:rPr>
        <w:t>2.7</w:t>
      </w:r>
      <w:r w:rsidR="00E8199C">
        <w:rPr>
          <w:rFonts w:cs="Arial"/>
        </w:rPr>
        <w:t>O composition is similar to other biomass such as miscanthus (CH</w:t>
      </w:r>
      <w:r w:rsidR="00E8199C">
        <w:rPr>
          <w:rFonts w:cs="Arial"/>
          <w:vertAlign w:val="subscript"/>
        </w:rPr>
        <w:t>1.6</w:t>
      </w:r>
      <w:r w:rsidR="00E8199C">
        <w:rPr>
          <w:rFonts w:cs="Arial"/>
        </w:rPr>
        <w:t>O</w:t>
      </w:r>
      <w:r w:rsidR="00E8199C">
        <w:rPr>
          <w:rFonts w:cs="Arial"/>
          <w:vertAlign w:val="subscript"/>
        </w:rPr>
        <w:t>0.77</w:t>
      </w:r>
      <w:r w:rsidR="00E8199C">
        <w:rPr>
          <w:rFonts w:cs="Arial"/>
        </w:rPr>
        <w:t xml:space="preserve">), </w:t>
      </w:r>
      <w:r w:rsidR="00785B65">
        <w:rPr>
          <w:rFonts w:cs="Arial"/>
        </w:rPr>
        <w:t xml:space="preserve">and </w:t>
      </w:r>
      <w:r w:rsidR="00E8199C">
        <w:rPr>
          <w:rFonts w:cs="Arial"/>
        </w:rPr>
        <w:t>rapeseed straw (CH</w:t>
      </w:r>
      <w:r w:rsidR="00E8199C">
        <w:rPr>
          <w:rFonts w:cs="Arial"/>
          <w:vertAlign w:val="subscript"/>
        </w:rPr>
        <w:t>1.9</w:t>
      </w:r>
      <w:r w:rsidR="00E8199C">
        <w:rPr>
          <w:rFonts w:cs="Arial"/>
        </w:rPr>
        <w:t xml:space="preserve">O). </w:t>
      </w:r>
      <w:r w:rsidR="00CD660A">
        <w:rPr>
          <w:lang w:val="en-GB"/>
        </w:rPr>
        <w:t>T</w:t>
      </w:r>
      <w:r w:rsidR="00CD660A">
        <w:rPr>
          <w:rFonts w:cs="Arial"/>
        </w:rPr>
        <w:t>he global supply of crude glycerol in 2019/20 was 3,322MT which using the authors</w:t>
      </w:r>
      <w:r w:rsidR="00785B65">
        <w:rPr>
          <w:rFonts w:cs="Arial"/>
        </w:rPr>
        <w:t>'</w:t>
      </w:r>
      <w:r w:rsidR="00CD660A">
        <w:rPr>
          <w:rFonts w:cs="Arial"/>
        </w:rPr>
        <w:t xml:space="preserve"> measured GCV of crude glycerol of 13.1 MJ/kg is a 43.5PJ energy resource per year. The demand for glycerol is low and there is a surplus of supply over demand which leads to a low price in Europe of 0.07p/MJ</w:t>
      </w:r>
      <w:r w:rsidR="00B65C95">
        <w:rPr>
          <w:rFonts w:cs="Arial"/>
        </w:rPr>
        <w:t>,</w:t>
      </w:r>
      <w:r w:rsidR="00CD660A">
        <w:rPr>
          <w:rFonts w:cs="Arial"/>
        </w:rPr>
        <w:t xml:space="preserve"> which is an order of magnitude lower cost energy source than the cheapest fossil fuel. </w:t>
      </w:r>
    </w:p>
    <w:p w14:paraId="028BB70F" w14:textId="77777777" w:rsidR="00B65C95" w:rsidRDefault="00B65C95" w:rsidP="00DE3173">
      <w:pPr>
        <w:pStyle w:val="CETBodytext"/>
        <w:rPr>
          <w:lang w:val="en-GB"/>
        </w:rPr>
      </w:pPr>
    </w:p>
    <w:p w14:paraId="6F02F321" w14:textId="7FA4D44E" w:rsidR="00D871D5" w:rsidRDefault="009D1637" w:rsidP="00DE3173">
      <w:pPr>
        <w:pStyle w:val="CETBodytext"/>
        <w:rPr>
          <w:lang w:val="en-GB"/>
        </w:rPr>
      </w:pPr>
      <w:proofErr w:type="spellStart"/>
      <w:r>
        <w:rPr>
          <w:lang w:val="en-GB"/>
        </w:rPr>
        <w:t>Vadenboa</w:t>
      </w:r>
      <w:proofErr w:type="spellEnd"/>
      <w:r>
        <w:rPr>
          <w:lang w:val="en-GB"/>
        </w:rPr>
        <w:t xml:space="preserve"> et al. (2018) have shown for Switzerland that spent barley grains alone have</w:t>
      </w:r>
      <w:r w:rsidR="00620E83">
        <w:rPr>
          <w:lang w:val="en-GB"/>
        </w:rPr>
        <w:t xml:space="preserve"> </w:t>
      </w:r>
      <w:r w:rsidR="00682222">
        <w:rPr>
          <w:lang w:val="en-GB"/>
        </w:rPr>
        <w:t xml:space="preserve">73% of the energy of all the wood used for energy generation and all the above agricultural and </w:t>
      </w:r>
      <w:r w:rsidR="00785B65">
        <w:rPr>
          <w:lang w:val="en-GB"/>
        </w:rPr>
        <w:t>distillery-</w:t>
      </w:r>
      <w:r w:rsidR="00682222">
        <w:rPr>
          <w:lang w:val="en-GB"/>
        </w:rPr>
        <w:t xml:space="preserve">related wastes have an energy content </w:t>
      </w:r>
      <w:r w:rsidR="00064618">
        <w:rPr>
          <w:lang w:val="en-GB"/>
        </w:rPr>
        <w:t xml:space="preserve">of </w:t>
      </w:r>
      <w:r w:rsidR="00682222">
        <w:rPr>
          <w:lang w:val="en-GB"/>
        </w:rPr>
        <w:t>3.5 times that of the energy in all the wood used for heat and bio-electricity</w:t>
      </w:r>
      <w:r w:rsidR="003E215B">
        <w:rPr>
          <w:lang w:val="en-GB"/>
        </w:rPr>
        <w:t xml:space="preserve"> in Switzerland</w:t>
      </w:r>
      <w:r w:rsidR="00682222">
        <w:rPr>
          <w:lang w:val="en-GB"/>
        </w:rPr>
        <w:t>. Most of the farm and distillery bio-wastes have no current use in energy production and all are renewable and produced annually. Gasification of these bio-wa</w:t>
      </w:r>
      <w:r w:rsidR="00B65C95">
        <w:rPr>
          <w:lang w:val="en-GB"/>
        </w:rPr>
        <w:t>s</w:t>
      </w:r>
      <w:r w:rsidR="00682222">
        <w:rPr>
          <w:lang w:val="en-GB"/>
        </w:rPr>
        <w:t xml:space="preserve">tes for heat generation from BGG offers a significant route to decarbonisation for industrial plants with a high demand for heat. In the UK NG used for </w:t>
      </w:r>
      <w:r w:rsidR="00D871D5">
        <w:rPr>
          <w:lang w:val="en-GB"/>
        </w:rPr>
        <w:t xml:space="preserve">industrial </w:t>
      </w:r>
      <w:r w:rsidR="00682222">
        <w:rPr>
          <w:lang w:val="en-GB"/>
        </w:rPr>
        <w:t xml:space="preserve">heat is </w:t>
      </w:r>
      <w:r w:rsidR="00D871D5">
        <w:rPr>
          <w:lang w:val="en-GB"/>
        </w:rPr>
        <w:t xml:space="preserve">200 </w:t>
      </w:r>
      <w:proofErr w:type="spellStart"/>
      <w:r w:rsidR="00D871D5">
        <w:rPr>
          <w:lang w:val="en-GB"/>
        </w:rPr>
        <w:t>TWh</w:t>
      </w:r>
      <w:proofErr w:type="spellEnd"/>
      <w:r w:rsidR="00D871D5">
        <w:rPr>
          <w:lang w:val="en-GB"/>
        </w:rPr>
        <w:t xml:space="preserve"> (55 PJ) and </w:t>
      </w:r>
      <w:proofErr w:type="spellStart"/>
      <w:r w:rsidR="00D871D5">
        <w:rPr>
          <w:lang w:val="en-GB"/>
        </w:rPr>
        <w:t>Vadenboa</w:t>
      </w:r>
      <w:proofErr w:type="spellEnd"/>
      <w:r w:rsidR="00D871D5">
        <w:rPr>
          <w:lang w:val="en-GB"/>
        </w:rPr>
        <w:t xml:space="preserve"> et al. (2018) showed that waste agricultural biomass (excluding distillery wastes) could provide 51PJ from gasification</w:t>
      </w:r>
      <w:r w:rsidR="00460B46">
        <w:rPr>
          <w:lang w:val="en-GB"/>
        </w:rPr>
        <w:t xml:space="preserve"> for Switzerland</w:t>
      </w:r>
      <w:r w:rsidR="00D871D5">
        <w:rPr>
          <w:lang w:val="en-GB"/>
        </w:rPr>
        <w:t>.</w:t>
      </w:r>
      <w:r w:rsidR="00215186">
        <w:rPr>
          <w:lang w:val="en-GB"/>
        </w:rPr>
        <w:t xml:space="preserve"> This is similar to the total of distillery bio-waste, dark grains from the malt house and barley straw total </w:t>
      </w:r>
      <w:r w:rsidR="00EE661B">
        <w:rPr>
          <w:lang w:val="en-GB"/>
        </w:rPr>
        <w:t xml:space="preserve">of </w:t>
      </w:r>
      <w:r w:rsidR="00215186">
        <w:rPr>
          <w:lang w:val="en-GB"/>
        </w:rPr>
        <w:t>34 PJ which could increase to 40 PJ if 14% of the global crude glycerol was used for bioenergy.</w:t>
      </w:r>
      <w:r w:rsidR="00745868">
        <w:rPr>
          <w:lang w:val="en-GB"/>
        </w:rPr>
        <w:t xml:space="preserve"> Olanrewaju et al. (2019) and Saeed et al. (2015)</w:t>
      </w:r>
      <w:r w:rsidR="008C271D">
        <w:rPr>
          <w:lang w:val="en-GB"/>
        </w:rPr>
        <w:t>,</w:t>
      </w:r>
      <w:r w:rsidR="00745868">
        <w:rPr>
          <w:lang w:val="en-GB"/>
        </w:rPr>
        <w:t xml:space="preserve"> for Nigeria and Pakistan respectively</w:t>
      </w:r>
      <w:r w:rsidR="008C271D">
        <w:rPr>
          <w:lang w:val="en-GB"/>
        </w:rPr>
        <w:t>,</w:t>
      </w:r>
      <w:r w:rsidR="00745868">
        <w:rPr>
          <w:lang w:val="en-GB"/>
        </w:rPr>
        <w:t xml:space="preserve"> have show</w:t>
      </w:r>
      <w:r w:rsidR="003E215B">
        <w:rPr>
          <w:lang w:val="en-GB"/>
        </w:rPr>
        <w:t>n</w:t>
      </w:r>
      <w:r w:rsidR="00745868">
        <w:rPr>
          <w:lang w:val="en-GB"/>
        </w:rPr>
        <w:t xml:space="preserve"> that waste </w:t>
      </w:r>
      <w:r w:rsidR="008C271D">
        <w:rPr>
          <w:lang w:val="en-GB"/>
        </w:rPr>
        <w:t>agricultural</w:t>
      </w:r>
      <w:r w:rsidR="00745868">
        <w:rPr>
          <w:lang w:val="en-GB"/>
        </w:rPr>
        <w:t xml:space="preserve"> biomass </w:t>
      </w:r>
      <w:r w:rsidR="00EE661B">
        <w:rPr>
          <w:lang w:val="en-GB"/>
        </w:rPr>
        <w:t xml:space="preserve">is </w:t>
      </w:r>
      <w:r w:rsidR="00745868">
        <w:rPr>
          <w:lang w:val="en-GB"/>
        </w:rPr>
        <w:t xml:space="preserve">a major potential energy resource for these countries, that is not exploited at </w:t>
      </w:r>
      <w:r w:rsidR="00EE661B">
        <w:rPr>
          <w:lang w:val="en-GB"/>
        </w:rPr>
        <w:t>present</w:t>
      </w:r>
      <w:r w:rsidR="00745868">
        <w:rPr>
          <w:lang w:val="en-GB"/>
        </w:rPr>
        <w:t xml:space="preserve"> and both countries continue to burn waste biomass in the fields.</w:t>
      </w:r>
      <w:r w:rsidR="00215186">
        <w:rPr>
          <w:lang w:val="en-GB"/>
        </w:rPr>
        <w:t xml:space="preserve"> This bio-waste energy route to decarbonisation features in no UK scenarios of industrial decarbonisation and the present work shows that using gasification of difficult</w:t>
      </w:r>
      <w:r w:rsidR="00EE661B">
        <w:rPr>
          <w:lang w:val="en-GB"/>
        </w:rPr>
        <w:t>-to-</w:t>
      </w:r>
      <w:r w:rsidR="00215186">
        <w:rPr>
          <w:lang w:val="en-GB"/>
        </w:rPr>
        <w:t xml:space="preserve">burn bio-waste is a </w:t>
      </w:r>
      <w:r w:rsidR="002C61F1">
        <w:rPr>
          <w:lang w:val="en-GB"/>
        </w:rPr>
        <w:t>viable</w:t>
      </w:r>
      <w:r w:rsidR="00215186">
        <w:rPr>
          <w:lang w:val="en-GB"/>
        </w:rPr>
        <w:t xml:space="preserve"> route to decarbonisation.</w:t>
      </w:r>
    </w:p>
    <w:p w14:paraId="3BD257B9" w14:textId="15848744" w:rsidR="00460B46" w:rsidRDefault="00460B46" w:rsidP="00DE3173">
      <w:pPr>
        <w:pStyle w:val="CETBodytext"/>
        <w:rPr>
          <w:lang w:val="en-GB"/>
        </w:rPr>
      </w:pPr>
    </w:p>
    <w:p w14:paraId="7786C591" w14:textId="2BF66B4E" w:rsidR="00460B46" w:rsidRDefault="00215186" w:rsidP="00460B46">
      <w:r>
        <w:t>In addition to the above bio-waste industrial sources of energy</w:t>
      </w:r>
      <w:r w:rsidR="00EE661B">
        <w:t>,</w:t>
      </w:r>
      <w:r>
        <w:t xml:space="preserve"> there are further opportunities to use farming bio-waste for energy decarbonisation. </w:t>
      </w:r>
      <w:r w:rsidR="00460B46">
        <w:t xml:space="preserve">According to the </w:t>
      </w:r>
      <w:r w:rsidR="00FC4E18">
        <w:t>U</w:t>
      </w:r>
      <w:r w:rsidR="00460B46">
        <w:t>K 2010 farm census, 31.3 million tonnes of dairy and beef cattle manure as undiluted slurry, and 35.7 million tonnes of dairy and beef cattle manure handled as solids were produced in the UK.</w:t>
      </w:r>
      <w:r w:rsidR="00BC2B2E">
        <w:t xml:space="preserve"> Taking a GCV for the dry manure of 10 MJ/kg gives a total energy content of 186 </w:t>
      </w:r>
      <w:proofErr w:type="spellStart"/>
      <w:r w:rsidR="00BC2B2E">
        <w:t>TWh</w:t>
      </w:r>
      <w:proofErr w:type="spellEnd"/>
      <w:r w:rsidR="00BC2B2E">
        <w:t xml:space="preserve"> which could result in 112 </w:t>
      </w:r>
      <w:proofErr w:type="spellStart"/>
      <w:r w:rsidR="00BC2B2E">
        <w:t>TWh</w:t>
      </w:r>
      <w:proofErr w:type="spellEnd"/>
      <w:r w:rsidR="00BC2B2E">
        <w:t xml:space="preserve"> of heat with 60% gasification thermal efficiency.</w:t>
      </w:r>
      <w:r w:rsidR="00E15D39">
        <w:t xml:space="preserve"> This is a much larger bio-energy resource than the total bio-waste from the distillery industry of 2 </w:t>
      </w:r>
      <w:proofErr w:type="spellStart"/>
      <w:r w:rsidR="00E15D39">
        <w:t>TWh</w:t>
      </w:r>
      <w:proofErr w:type="spellEnd"/>
      <w:r w:rsidR="00E15D39">
        <w:t>.</w:t>
      </w:r>
      <w:r w:rsidR="003E215B">
        <w:t xml:space="preserve"> If the chicken and pig manure </w:t>
      </w:r>
      <w:r w:rsidR="00522A7B">
        <w:t>are</w:t>
      </w:r>
      <w:r w:rsidR="003E215B">
        <w:t xml:space="preserve"> added</w:t>
      </w:r>
      <w:r w:rsidR="00495BBF">
        <w:t>,</w:t>
      </w:r>
      <w:r w:rsidR="003E215B">
        <w:t xml:space="preserve"> around 300TWh of heat could be available, little of which is used today.</w:t>
      </w:r>
      <w:r w:rsidR="00BC2B2E">
        <w:t xml:space="preserve"> The UK industrial heat demand is 100 </w:t>
      </w:r>
      <w:proofErr w:type="spellStart"/>
      <w:r w:rsidR="00BC2B2E">
        <w:t>TWh</w:t>
      </w:r>
      <w:proofErr w:type="spellEnd"/>
      <w:r w:rsidR="00BC2B2E">
        <w:t xml:space="preserve"> per year and hence manure could be a major route to decarbonise heat for industry. However, manure is always wet and gasifiers that can cope with a high water content are required.</w:t>
      </w:r>
      <w:r w:rsidR="00460B46">
        <w:t xml:space="preserve"> </w:t>
      </w:r>
      <w:r w:rsidR="00BC2B2E">
        <w:t xml:space="preserve">This work shows that </w:t>
      </w:r>
      <w:r w:rsidR="00EE661B">
        <w:t xml:space="preserve">the </w:t>
      </w:r>
      <w:r w:rsidR="00BC2B2E">
        <w:t>gasification of biomass with high water content is possible.</w:t>
      </w:r>
    </w:p>
    <w:p w14:paraId="6A4305F8" w14:textId="77777777" w:rsidR="00BC5107" w:rsidRDefault="00BC5107" w:rsidP="00DE3173">
      <w:pPr>
        <w:pStyle w:val="CETBodytext"/>
        <w:rPr>
          <w:lang w:val="en-GB"/>
        </w:rPr>
      </w:pPr>
    </w:p>
    <w:p w14:paraId="15D2A4A0" w14:textId="277F5060" w:rsidR="008D75B7" w:rsidRDefault="005835BB" w:rsidP="00DE3173">
      <w:pPr>
        <w:pStyle w:val="CETBodytext"/>
        <w:rPr>
          <w:lang w:val="en-GB"/>
        </w:rPr>
      </w:pPr>
      <w:r w:rsidRPr="00943FD1">
        <w:rPr>
          <w:lang w:val="en-GB"/>
        </w:rPr>
        <w:t xml:space="preserve">This project </w:t>
      </w:r>
      <w:r>
        <w:rPr>
          <w:lang w:val="en-GB"/>
        </w:rPr>
        <w:t>aims to</w:t>
      </w:r>
      <w:r w:rsidR="00701D0B">
        <w:rPr>
          <w:lang w:val="en-GB"/>
        </w:rPr>
        <w:t xml:space="preserve"> decarbonise the whisky distillery industry by</w:t>
      </w:r>
      <w:r>
        <w:rPr>
          <w:lang w:val="en-GB"/>
        </w:rPr>
        <w:t xml:space="preserve"> </w:t>
      </w:r>
      <w:r w:rsidR="00701D0B">
        <w:rPr>
          <w:lang w:val="en-GB"/>
        </w:rPr>
        <w:t xml:space="preserve">fuel </w:t>
      </w:r>
      <w:r w:rsidRPr="00943FD1">
        <w:rPr>
          <w:lang w:val="en-GB"/>
        </w:rPr>
        <w:t>switch</w:t>
      </w:r>
      <w:r w:rsidR="00701D0B">
        <w:rPr>
          <w:lang w:val="en-GB"/>
        </w:rPr>
        <w:t>ing</w:t>
      </w:r>
      <w:r>
        <w:rPr>
          <w:lang w:val="en-GB"/>
        </w:rPr>
        <w:t xml:space="preserve"> from fossil fuels to </w:t>
      </w:r>
      <w:r w:rsidR="003E215B">
        <w:rPr>
          <w:lang w:val="en-GB"/>
        </w:rPr>
        <w:t xml:space="preserve">wet </w:t>
      </w:r>
      <w:r>
        <w:rPr>
          <w:lang w:val="en-GB"/>
        </w:rPr>
        <w:t>bio-fuels for decarbonisation and to use bio-waste from the distillery process as part of the bio-energy source</w:t>
      </w:r>
      <w:r w:rsidR="008D75B7">
        <w:rPr>
          <w:lang w:val="en-GB"/>
        </w:rPr>
        <w:t xml:space="preserve"> with the rest of the energy requirements provided by spent barley grains</w:t>
      </w:r>
      <w:r w:rsidR="00D871D5">
        <w:rPr>
          <w:lang w:val="en-GB"/>
        </w:rPr>
        <w:t xml:space="preserve">, </w:t>
      </w:r>
      <w:r w:rsidR="008D75B7">
        <w:rPr>
          <w:lang w:val="en-GB"/>
        </w:rPr>
        <w:t xml:space="preserve">waste barley straw </w:t>
      </w:r>
      <w:r w:rsidR="00D871D5">
        <w:rPr>
          <w:lang w:val="en-GB"/>
        </w:rPr>
        <w:t>and</w:t>
      </w:r>
      <w:r w:rsidR="008D75B7">
        <w:rPr>
          <w:lang w:val="en-GB"/>
        </w:rPr>
        <w:t xml:space="preserve"> </w:t>
      </w:r>
      <w:r w:rsidR="00D871D5">
        <w:rPr>
          <w:lang w:val="en-GB"/>
        </w:rPr>
        <w:t xml:space="preserve">crude </w:t>
      </w:r>
      <w:r w:rsidR="008D75B7">
        <w:rPr>
          <w:lang w:val="en-GB"/>
        </w:rPr>
        <w:t>glycerol</w:t>
      </w:r>
      <w:r w:rsidR="00D871D5">
        <w:rPr>
          <w:lang w:val="en-GB"/>
        </w:rPr>
        <w:t>.</w:t>
      </w:r>
      <w:r w:rsidR="003E215B">
        <w:rPr>
          <w:lang w:val="en-GB"/>
        </w:rPr>
        <w:t xml:space="preserve"> The water in wet biomass consumes</w:t>
      </w:r>
      <w:r w:rsidR="004859FD">
        <w:rPr>
          <w:lang w:val="en-GB"/>
        </w:rPr>
        <w:t xml:space="preserve"> 2.58 MJ/kg of absorbed water in the evaporation process.</w:t>
      </w:r>
      <w:r w:rsidR="008D75B7">
        <w:rPr>
          <w:lang w:val="en-GB"/>
        </w:rPr>
        <w:t xml:space="preserve"> </w:t>
      </w:r>
      <w:r w:rsidR="00576249">
        <w:rPr>
          <w:lang w:val="en-GB"/>
        </w:rPr>
        <w:t xml:space="preserve">It may be shown that 10% of the distillery energy requirements can be met from the gasification of wet draff, pot ale and spent lees, after evaporation of all the water. To meet all the distillery energy requirements dark grains from the malting process, barley straw and crude glycerol could be used in the gasifier, to achieve all the required energy for the distillery in the BGG burner. However, if the boiler flue output was condensing then the energy to evaporate the water in draff, pot ale and spent lees could be recovered with a major energy saving. This is being developed in </w:t>
      </w:r>
      <w:r w:rsidR="00C61221">
        <w:rPr>
          <w:lang w:val="en-GB"/>
        </w:rPr>
        <w:t>t</w:t>
      </w:r>
      <w:r w:rsidR="00576249">
        <w:rPr>
          <w:lang w:val="en-GB"/>
        </w:rPr>
        <w:t>he gasifier</w:t>
      </w:r>
      <w:r w:rsidR="00C61221">
        <w:rPr>
          <w:lang w:val="en-GB"/>
        </w:rPr>
        <w:t xml:space="preserve">/ steam boiler system that </w:t>
      </w:r>
      <w:r w:rsidR="001364E2">
        <w:rPr>
          <w:lang w:val="en-GB"/>
        </w:rPr>
        <w:t xml:space="preserve">is currently </w:t>
      </w:r>
      <w:r w:rsidR="00EE661B">
        <w:rPr>
          <w:lang w:val="en-GB"/>
        </w:rPr>
        <w:t>i</w:t>
      </w:r>
      <w:r w:rsidR="001364E2">
        <w:rPr>
          <w:lang w:val="en-GB"/>
        </w:rPr>
        <w:t>n development</w:t>
      </w:r>
      <w:r w:rsidR="00C61221">
        <w:rPr>
          <w:lang w:val="en-GB"/>
        </w:rPr>
        <w:t>.</w:t>
      </w:r>
    </w:p>
    <w:p w14:paraId="1FFF6994" w14:textId="77777777" w:rsidR="00460B46" w:rsidRDefault="00460B46" w:rsidP="00460B46">
      <w:pPr>
        <w:pStyle w:val="CETHeading1"/>
      </w:pPr>
      <w:r>
        <w:t>Methodology</w:t>
      </w:r>
    </w:p>
    <w:p w14:paraId="40E41C95" w14:textId="5A3B3FD3" w:rsidR="00BC2B2E" w:rsidRDefault="00BC2B2E" w:rsidP="00FC0A5C">
      <w:pPr>
        <w:pStyle w:val="CETBodytext"/>
        <w:rPr>
          <w:lang w:val="en-GB"/>
        </w:rPr>
      </w:pPr>
      <w:r>
        <w:rPr>
          <w:lang w:val="en-GB"/>
        </w:rPr>
        <w:t>This research investigates air gasification of wet biomass using chemical equilibrium modelling. An air gasifier to generate BGG</w:t>
      </w:r>
      <w:r w:rsidR="00FC0A5C">
        <w:rPr>
          <w:lang w:val="en-GB"/>
        </w:rPr>
        <w:t xml:space="preserve"> </w:t>
      </w:r>
      <w:r w:rsidR="00345B21">
        <w:rPr>
          <w:lang w:val="en-GB"/>
        </w:rPr>
        <w:t xml:space="preserve">as fuel for </w:t>
      </w:r>
      <w:r>
        <w:rPr>
          <w:lang w:val="en-GB"/>
        </w:rPr>
        <w:t xml:space="preserve">a burner </w:t>
      </w:r>
      <w:r w:rsidR="00345B21">
        <w:rPr>
          <w:lang w:val="en-GB"/>
        </w:rPr>
        <w:t>in a steam boiler</w:t>
      </w:r>
      <w:r>
        <w:rPr>
          <w:lang w:val="en-GB"/>
        </w:rPr>
        <w:t xml:space="preserve"> would be the overall heat generation system. Part of the overall air supply would be used in the gasifier</w:t>
      </w:r>
      <w:r w:rsidR="00345B21">
        <w:rPr>
          <w:lang w:val="en-GB"/>
        </w:rPr>
        <w:t xml:space="preserve"> and the rest in the steam boiler burner.</w:t>
      </w:r>
      <w:r>
        <w:rPr>
          <w:lang w:val="en-GB"/>
        </w:rPr>
        <w:t xml:space="preserve"> </w:t>
      </w:r>
      <w:r w:rsidR="00345B21">
        <w:rPr>
          <w:lang w:val="en-GB"/>
        </w:rPr>
        <w:t>B</w:t>
      </w:r>
      <w:r>
        <w:rPr>
          <w:lang w:val="en-GB"/>
        </w:rPr>
        <w:t>y controlling this air flow</w:t>
      </w:r>
      <w:r w:rsidR="00345B21">
        <w:rPr>
          <w:lang w:val="en-GB"/>
        </w:rPr>
        <w:t xml:space="preserve"> split</w:t>
      </w:r>
      <w:r>
        <w:rPr>
          <w:lang w:val="en-GB"/>
        </w:rPr>
        <w:t xml:space="preserve"> the equivalence ratio of the gasifier could be optimised for maximum BGG generation. </w:t>
      </w:r>
    </w:p>
    <w:p w14:paraId="5549F301" w14:textId="77777777" w:rsidR="00460B46" w:rsidRDefault="00460B46" w:rsidP="005835BB">
      <w:pPr>
        <w:pStyle w:val="CETBodytext"/>
        <w:rPr>
          <w:lang w:val="en-GB"/>
        </w:rPr>
      </w:pPr>
    </w:p>
    <w:p w14:paraId="6AEFC922" w14:textId="2E0C7066" w:rsidR="009C1C12" w:rsidRDefault="00701D0B" w:rsidP="005835BB">
      <w:pPr>
        <w:pStyle w:val="CETBodytext"/>
        <w:rPr>
          <w:lang w:val="en-GB"/>
        </w:rPr>
      </w:pPr>
      <w:r>
        <w:rPr>
          <w:lang w:val="en-GB"/>
        </w:rPr>
        <w:lastRenderedPageBreak/>
        <w:t>The gasifier needs to be heated</w:t>
      </w:r>
      <w:r w:rsidR="00083EAC">
        <w:rPr>
          <w:lang w:val="en-GB"/>
        </w:rPr>
        <w:t xml:space="preserve"> to optimum operating conditions</w:t>
      </w:r>
      <w:r>
        <w:rPr>
          <w:lang w:val="en-GB"/>
        </w:rPr>
        <w:t xml:space="preserve">, especially during </w:t>
      </w:r>
      <w:r w:rsidR="00EE661B">
        <w:rPr>
          <w:lang w:val="en-GB"/>
        </w:rPr>
        <w:t xml:space="preserve">a </w:t>
      </w:r>
      <w:r>
        <w:rPr>
          <w:lang w:val="en-GB"/>
        </w:rPr>
        <w:t>cold start</w:t>
      </w:r>
      <w:r w:rsidR="00083EAC">
        <w:rPr>
          <w:lang w:val="en-GB"/>
        </w:rPr>
        <w:t>.</w:t>
      </w:r>
      <w:r>
        <w:rPr>
          <w:lang w:val="en-GB"/>
        </w:rPr>
        <w:t xml:space="preserve"> </w:t>
      </w:r>
      <w:r w:rsidR="00083EAC">
        <w:rPr>
          <w:lang w:val="en-GB"/>
        </w:rPr>
        <w:t>F</w:t>
      </w:r>
      <w:r>
        <w:rPr>
          <w:lang w:val="en-GB"/>
        </w:rPr>
        <w:t>or complete decarbonisation</w:t>
      </w:r>
      <w:r w:rsidR="00083EAC">
        <w:rPr>
          <w:lang w:val="en-GB"/>
        </w:rPr>
        <w:t>,</w:t>
      </w:r>
      <w:r>
        <w:rPr>
          <w:lang w:val="en-GB"/>
        </w:rPr>
        <w:t xml:space="preserve"> this will be done using a </w:t>
      </w:r>
      <w:r w:rsidR="00083EAC">
        <w:rPr>
          <w:lang w:val="en-GB"/>
        </w:rPr>
        <w:t xml:space="preserve">green </w:t>
      </w:r>
      <w:r>
        <w:rPr>
          <w:lang w:val="en-GB"/>
        </w:rPr>
        <w:t>hydrogen preheater burner.</w:t>
      </w:r>
      <w:r w:rsidR="00DE3173">
        <w:rPr>
          <w:lang w:val="en-GB"/>
        </w:rPr>
        <w:t xml:space="preserve"> Chemical equilibrium</w:t>
      </w:r>
      <w:r>
        <w:rPr>
          <w:lang w:val="en-GB"/>
        </w:rPr>
        <w:t xml:space="preserve"> model</w:t>
      </w:r>
      <w:r w:rsidR="00DE3173">
        <w:rPr>
          <w:lang w:val="en-GB"/>
        </w:rPr>
        <w:t>ling is used</w:t>
      </w:r>
      <w:r>
        <w:rPr>
          <w:lang w:val="en-GB"/>
        </w:rPr>
        <w:t xml:space="preserve"> in th</w:t>
      </w:r>
      <w:r w:rsidR="00DE3173">
        <w:rPr>
          <w:lang w:val="en-GB"/>
        </w:rPr>
        <w:t>is</w:t>
      </w:r>
      <w:r>
        <w:rPr>
          <w:lang w:val="en-GB"/>
        </w:rPr>
        <w:t xml:space="preserve"> work</w:t>
      </w:r>
      <w:r w:rsidR="00DE3173">
        <w:rPr>
          <w:lang w:val="en-GB"/>
        </w:rPr>
        <w:t xml:space="preserve"> to investigate the gasifier heating,</w:t>
      </w:r>
      <w:r>
        <w:rPr>
          <w:lang w:val="en-GB"/>
        </w:rPr>
        <w:t xml:space="preserve"> by treating the preheater as </w:t>
      </w:r>
      <w:r w:rsidR="00EE661B">
        <w:rPr>
          <w:lang w:val="en-GB"/>
        </w:rPr>
        <w:t>high-</w:t>
      </w:r>
      <w:r w:rsidR="00DE3173">
        <w:rPr>
          <w:lang w:val="en-GB"/>
        </w:rPr>
        <w:t>temperature</w:t>
      </w:r>
      <w:r>
        <w:rPr>
          <w:lang w:val="en-GB"/>
        </w:rPr>
        <w:t xml:space="preserve"> air.</w:t>
      </w:r>
      <w:r w:rsidR="00DE3173">
        <w:rPr>
          <w:lang w:val="en-GB"/>
        </w:rPr>
        <w:t xml:space="preserve"> Future work will use the products of lean combustion to generate the preheater temperature and this will reduce the oxygen content of the gasifier.</w:t>
      </w:r>
      <w:r>
        <w:rPr>
          <w:lang w:val="en-GB"/>
        </w:rPr>
        <w:t xml:space="preserve"> </w:t>
      </w:r>
    </w:p>
    <w:p w14:paraId="29202C7F" w14:textId="77777777" w:rsidR="00DE3173" w:rsidRDefault="00DE3173" w:rsidP="00083EAC">
      <w:pPr>
        <w:pStyle w:val="CETBodytext"/>
        <w:rPr>
          <w:lang w:val="en-GB"/>
        </w:rPr>
      </w:pPr>
    </w:p>
    <w:p w14:paraId="12D3AE24" w14:textId="1FA62DBF" w:rsidR="008F1CAA" w:rsidRDefault="00460B46" w:rsidP="005835BB">
      <w:pPr>
        <w:pStyle w:val="CETBodytext"/>
        <w:rPr>
          <w:lang w:val="en-GB"/>
        </w:rPr>
      </w:pPr>
      <w:r>
        <w:rPr>
          <w:lang w:val="en-GB"/>
        </w:rPr>
        <w:t>As discussed above many of the waste biomass</w:t>
      </w:r>
      <w:r w:rsidR="002A399B">
        <w:rPr>
          <w:lang w:val="en-GB"/>
        </w:rPr>
        <w:t xml:space="preserve"> </w:t>
      </w:r>
      <w:r w:rsidR="00540B9F">
        <w:rPr>
          <w:lang w:val="en-GB"/>
        </w:rPr>
        <w:t>re</w:t>
      </w:r>
      <w:r w:rsidR="002A399B">
        <w:rPr>
          <w:lang w:val="en-GB"/>
        </w:rPr>
        <w:t>sources</w:t>
      </w:r>
      <w:r>
        <w:rPr>
          <w:lang w:val="en-GB"/>
        </w:rPr>
        <w:t>, including draff, pot ale and crude glycerol have high water content. T</w:t>
      </w:r>
      <w:r w:rsidR="00083EAC">
        <w:rPr>
          <w:lang w:val="en-GB"/>
        </w:rPr>
        <w:t>his work investigate</w:t>
      </w:r>
      <w:r w:rsidR="00FC0A5C">
        <w:rPr>
          <w:lang w:val="en-GB"/>
        </w:rPr>
        <w:t>s</w:t>
      </w:r>
      <w:r w:rsidR="00083EAC">
        <w:rPr>
          <w:lang w:val="en-GB"/>
        </w:rPr>
        <w:t xml:space="preserve"> the influence of water on BGG composition for wet bio-waste, using glycerol/water mixtures as the demonstration </w:t>
      </w:r>
      <w:r w:rsidR="00EE661B">
        <w:rPr>
          <w:lang w:val="en-GB"/>
        </w:rPr>
        <w:t xml:space="preserve">of </w:t>
      </w:r>
      <w:r w:rsidR="00083EAC">
        <w:rPr>
          <w:lang w:val="en-GB"/>
        </w:rPr>
        <w:t>wet bio-</w:t>
      </w:r>
      <w:r w:rsidR="00540B9F">
        <w:rPr>
          <w:lang w:val="en-GB"/>
        </w:rPr>
        <w:t>mass</w:t>
      </w:r>
      <w:r w:rsidR="00083EAC">
        <w:rPr>
          <w:lang w:val="en-GB"/>
        </w:rPr>
        <w:t xml:space="preserve">. </w:t>
      </w:r>
    </w:p>
    <w:p w14:paraId="1D203955" w14:textId="77777777" w:rsidR="00FC0A5C" w:rsidRDefault="00FC0A5C" w:rsidP="005835BB">
      <w:pPr>
        <w:pStyle w:val="CETBodytext"/>
        <w:rPr>
          <w:lang w:val="en-GB"/>
        </w:rPr>
      </w:pPr>
    </w:p>
    <w:p w14:paraId="25217FDF" w14:textId="21C6F3E7" w:rsidR="00701D0B" w:rsidRDefault="009C1C12" w:rsidP="005835BB">
      <w:pPr>
        <w:pStyle w:val="CETBodytext"/>
        <w:rPr>
          <w:lang w:val="en-GB"/>
        </w:rPr>
      </w:pPr>
      <w:r>
        <w:rPr>
          <w:lang w:val="en-GB"/>
        </w:rPr>
        <w:t>Equilibrium modelling is used to help identify the optimum operating conditions of the gasifier for maximum yield of energy in the BGG, which then optimises the gasification efficiency</w:t>
      </w:r>
      <w:r w:rsidR="00345B21">
        <w:rPr>
          <w:lang w:val="en-GB"/>
        </w:rPr>
        <w:t>,</w:t>
      </w:r>
      <w:r>
        <w:rPr>
          <w:lang w:val="en-GB"/>
        </w:rPr>
        <w:t xml:space="preserve"> as energy in the BGG as a ratio of energy in the biomass.</w:t>
      </w:r>
      <w:r w:rsidR="00083EAC">
        <w:rPr>
          <w:lang w:val="en-GB"/>
        </w:rPr>
        <w:t xml:space="preserve"> This work uses equilibrium modelling to investigate the influence of gasifier air preheating</w:t>
      </w:r>
      <w:r w:rsidR="00540B9F">
        <w:rPr>
          <w:lang w:val="en-GB"/>
        </w:rPr>
        <w:t xml:space="preserve"> (simulating the gasifier heating burner)</w:t>
      </w:r>
      <w:r w:rsidR="00083EAC">
        <w:rPr>
          <w:lang w:val="en-GB"/>
        </w:rPr>
        <w:t xml:space="preserve"> and the addition of water to the biomass gasification feed material.</w:t>
      </w:r>
    </w:p>
    <w:p w14:paraId="7E798125" w14:textId="2F555B46" w:rsidR="005E5282" w:rsidRPr="00FC0A5C" w:rsidRDefault="00F42F21" w:rsidP="00B8535F">
      <w:pPr>
        <w:pStyle w:val="CETBodytext"/>
        <w:rPr>
          <w:lang w:val="en-GB"/>
        </w:rPr>
      </w:pPr>
      <w:r>
        <w:rPr>
          <w:lang w:val="en-GB"/>
        </w:rPr>
        <w:t xml:space="preserve">Various </w:t>
      </w:r>
      <w:r w:rsidR="00FC0A5C">
        <w:rPr>
          <w:lang w:val="en-GB"/>
        </w:rPr>
        <w:t>chemical</w:t>
      </w:r>
      <w:r>
        <w:rPr>
          <w:lang w:val="en-GB"/>
        </w:rPr>
        <w:t xml:space="preserve"> e</w:t>
      </w:r>
      <w:r w:rsidR="000067B1">
        <w:rPr>
          <w:lang w:val="en-GB"/>
        </w:rPr>
        <w:t xml:space="preserve">quilibrium </w:t>
      </w:r>
      <w:r w:rsidR="00FC0A5C">
        <w:rPr>
          <w:lang w:val="en-GB"/>
        </w:rPr>
        <w:t>codes</w:t>
      </w:r>
      <w:r w:rsidR="000067B1">
        <w:rPr>
          <w:lang w:val="en-GB"/>
        </w:rPr>
        <w:t xml:space="preserve"> have been developed for combustion purpose</w:t>
      </w:r>
      <w:r w:rsidR="00FC0A5C">
        <w:rPr>
          <w:lang w:val="en-GB"/>
        </w:rPr>
        <w:t>s</w:t>
      </w:r>
      <w:r>
        <w:rPr>
          <w:lang w:val="en-GB"/>
        </w:rPr>
        <w:t xml:space="preserve">. </w:t>
      </w:r>
      <w:r w:rsidR="00345B21">
        <w:rPr>
          <w:lang w:val="en-GB"/>
        </w:rPr>
        <w:t>Two</w:t>
      </w:r>
      <w:r>
        <w:rPr>
          <w:lang w:val="en-GB"/>
        </w:rPr>
        <w:t xml:space="preserve"> of the most </w:t>
      </w:r>
      <w:r w:rsidR="00F46E0C">
        <w:rPr>
          <w:lang w:val="en-GB"/>
        </w:rPr>
        <w:t>well-known</w:t>
      </w:r>
      <w:r>
        <w:rPr>
          <w:lang w:val="en-GB"/>
        </w:rPr>
        <w:t xml:space="preserve"> are the NASA CEA</w:t>
      </w:r>
      <w:r w:rsidR="000A112A">
        <w:rPr>
          <w:lang w:val="en-GB"/>
        </w:rPr>
        <w:t xml:space="preserve"> </w:t>
      </w:r>
      <w:r w:rsidR="000A112A">
        <w:rPr>
          <w:lang w:val="en-GB"/>
        </w:rPr>
        <w:fldChar w:fldCharType="begin"/>
      </w:r>
      <w:r w:rsidR="009A1EFF">
        <w:rPr>
          <w:lang w:val="en-GB"/>
        </w:rPr>
        <w:instrText xml:space="preserve"> ADDIN ZOTERO_ITEM CSL_CITATION {"citationID":"Rj4gB3MW","properties":{"formattedCitation":"(McBride &amp; Gordon, 1996)","plainCitation":"(McBride &amp; Gordon, 1996)","noteIndex":0},"citationItems":[{"id":141,"uris":["http://zotero.org/users/local/2X456veZ/items/LLJ5DDKY"],"itemData":{"id":141,"type":"report","abstract":"This users manual is the second part of a two-part report describing the NASA Lewis CEA (Chemical Equilibrium with Applications) program. The program obtains chemical equilibrium compositions of complex mixtures with applications to several types of problems. The topics presented is this manual are (1) details for preparing input data sets; (2) a descriptions of output tables for various types of problems; (3) the overall modular organization of the program with information on how to make modifications; (4) a description of the function of each subroutine; (5) error messages and their significance; and (6) a number of examples that illustrate various types of problems handled by CEA and that cover many of the options available in both input and output. Seven appendixes give information on the thermodynamic and thermal transport data used in CEA; some information on common variables used in or generated by the equilibrium module; and output tables for 14 example problems. The CEA program was written in ANSI standard FORTRAN 77. CEA should work on any system with sufficient storage. There are about 6300 lines in the source code, which uses about 225 kilobytes of memory. The compiled program takes about 975 kilobytes.","event-place":"Ohio","publisher-place":"Ohio","title":"Computer Program for Calculation of Complex Chemical Equilibrium Compositions and Applications II.","URL":"https://www.grc.nasa.gov/www/CEAWeb/RP-1311-P2.pdf","author":[{"family":"McBride","given":"Bonnie J."},{"family":"Gordon","given":"Gordon."}],"issued":{"date-parts":[["1996"]]}}}],"schema":"https://github.com/citation-style-language/schema/raw/master/csl-citation.json"} </w:instrText>
      </w:r>
      <w:r w:rsidR="000A112A">
        <w:rPr>
          <w:lang w:val="en-GB"/>
        </w:rPr>
        <w:fldChar w:fldCharType="separate"/>
      </w:r>
      <w:r w:rsidR="009A1EFF" w:rsidRPr="009A1EFF">
        <w:rPr>
          <w:rFonts w:cs="Arial"/>
        </w:rPr>
        <w:t>(McBride &amp; Gordon, 1996)</w:t>
      </w:r>
      <w:r w:rsidR="000A112A">
        <w:rPr>
          <w:lang w:val="en-GB"/>
        </w:rPr>
        <w:fldChar w:fldCharType="end"/>
      </w:r>
      <w:r>
        <w:rPr>
          <w:lang w:val="en-GB"/>
        </w:rPr>
        <w:t xml:space="preserve"> and </w:t>
      </w:r>
      <w:proofErr w:type="spellStart"/>
      <w:r>
        <w:rPr>
          <w:lang w:val="en-GB"/>
        </w:rPr>
        <w:t>Gaseq</w:t>
      </w:r>
      <w:proofErr w:type="spellEnd"/>
      <w:r w:rsidR="009A1EFF">
        <w:rPr>
          <w:lang w:val="en-GB"/>
        </w:rPr>
        <w:t xml:space="preserve"> </w:t>
      </w:r>
      <w:r w:rsidR="009A1EFF">
        <w:rPr>
          <w:lang w:val="en-GB"/>
        </w:rPr>
        <w:fldChar w:fldCharType="begin"/>
      </w:r>
      <w:r w:rsidR="009A1EFF">
        <w:rPr>
          <w:lang w:val="en-GB"/>
        </w:rPr>
        <w:instrText xml:space="preserve"> ADDIN ZOTERO_ITEM CSL_CITATION {"citationID":"UBW8q7RZ","properties":{"formattedCitation":"(Morley, 2005)","plainCitation":"(Morley, 2005)","noteIndex":0},"citationItems":[{"id":209,"uris":["http://zotero.org/users/local/2X456veZ/items/4SQ28S63"],"itemData":{"id":209,"type":"article-journal","title":"Gaseq","URL":"http://www.gaseq.co.uk/","author":[{"family":"Morley","given":"Chris"}],"issued":{"date-parts":[["2005"]]}}}],"schema":"https://github.com/citation-style-language/schema/raw/master/csl-citation.json"} </w:instrText>
      </w:r>
      <w:r w:rsidR="009A1EFF">
        <w:rPr>
          <w:lang w:val="en-GB"/>
        </w:rPr>
        <w:fldChar w:fldCharType="separate"/>
      </w:r>
      <w:r w:rsidR="009A1EFF" w:rsidRPr="009A1EFF">
        <w:rPr>
          <w:rFonts w:cs="Arial"/>
        </w:rPr>
        <w:t>(Morley, 2005)</w:t>
      </w:r>
      <w:r w:rsidR="009A1EFF">
        <w:rPr>
          <w:lang w:val="en-GB"/>
        </w:rPr>
        <w:fldChar w:fldCharType="end"/>
      </w:r>
      <w:r>
        <w:rPr>
          <w:lang w:val="en-GB"/>
        </w:rPr>
        <w:t xml:space="preserve">. </w:t>
      </w:r>
      <w:r w:rsidR="000A112A">
        <w:rPr>
          <w:lang w:val="en-GB"/>
        </w:rPr>
        <w:t xml:space="preserve">These can predict </w:t>
      </w:r>
      <w:r w:rsidR="00460B46">
        <w:rPr>
          <w:lang w:val="en-GB"/>
        </w:rPr>
        <w:t xml:space="preserve">chemical equilibrium </w:t>
      </w:r>
      <w:r w:rsidR="000A112A">
        <w:rPr>
          <w:lang w:val="en-GB"/>
        </w:rPr>
        <w:t xml:space="preserve">properties such as </w:t>
      </w:r>
      <w:r w:rsidR="00460B46">
        <w:rPr>
          <w:lang w:val="en-GB"/>
        </w:rPr>
        <w:t xml:space="preserve">the </w:t>
      </w:r>
      <w:r w:rsidR="000A112A">
        <w:rPr>
          <w:lang w:val="en-GB"/>
        </w:rPr>
        <w:t>adiabatic flame temperature</w:t>
      </w:r>
      <w:r w:rsidR="00460B46">
        <w:rPr>
          <w:lang w:val="en-GB"/>
        </w:rPr>
        <w:t xml:space="preserve"> and the</w:t>
      </w:r>
      <w:r w:rsidR="000A112A">
        <w:rPr>
          <w:lang w:val="en-GB"/>
        </w:rPr>
        <w:t xml:space="preserve"> product composition</w:t>
      </w:r>
      <w:r w:rsidR="00460B46">
        <w:rPr>
          <w:lang w:val="en-GB"/>
        </w:rPr>
        <w:t>. The addition of water was computed by adding the water to the fuel composition input to the equilibrium model.</w:t>
      </w:r>
      <w:r w:rsidR="000A112A">
        <w:rPr>
          <w:lang w:val="en-GB"/>
        </w:rPr>
        <w:t xml:space="preserve"> </w:t>
      </w:r>
      <w:r w:rsidR="006E3670">
        <w:t xml:space="preserve">The software </w:t>
      </w:r>
      <w:proofErr w:type="spellStart"/>
      <w:r w:rsidR="006E3670">
        <w:t>Gaseq</w:t>
      </w:r>
      <w:proofErr w:type="spellEnd"/>
      <w:r w:rsidR="006E3670">
        <w:t xml:space="preserve"> was used for </w:t>
      </w:r>
      <w:r w:rsidR="00D06D02">
        <w:t>undertaking the equilibrium</w:t>
      </w:r>
      <w:r w:rsidR="006E3670">
        <w:t xml:space="preserve"> predictions of the blends of glycerol</w:t>
      </w:r>
      <w:r w:rsidR="002D0773">
        <w:t xml:space="preserve"> (C</w:t>
      </w:r>
      <w:r w:rsidR="002D0773">
        <w:rPr>
          <w:vertAlign w:val="subscript"/>
        </w:rPr>
        <w:t>3</w:t>
      </w:r>
      <w:r w:rsidR="002D0773">
        <w:t>H</w:t>
      </w:r>
      <w:r w:rsidR="002D0773">
        <w:rPr>
          <w:vertAlign w:val="subscript"/>
        </w:rPr>
        <w:t>8</w:t>
      </w:r>
      <w:r w:rsidR="00FC0A5C">
        <w:t>O</w:t>
      </w:r>
      <w:r w:rsidR="00FC0A5C">
        <w:rPr>
          <w:vertAlign w:val="subscript"/>
        </w:rPr>
        <w:t>3</w:t>
      </w:r>
      <w:r w:rsidR="00FC0A5C">
        <w:t xml:space="preserve"> or CH</w:t>
      </w:r>
      <w:r w:rsidR="00FC0A5C">
        <w:rPr>
          <w:vertAlign w:val="subscript"/>
        </w:rPr>
        <w:t>2.7</w:t>
      </w:r>
      <w:r w:rsidR="00FC0A5C">
        <w:t>O</w:t>
      </w:r>
      <w:r w:rsidR="002D0773">
        <w:t>)</w:t>
      </w:r>
      <w:r w:rsidR="00FC0A5C">
        <w:t xml:space="preserve"> and water</w:t>
      </w:r>
      <w:r w:rsidR="002D0773" w:rsidRPr="00891DCE">
        <w:t>.</w:t>
      </w:r>
      <w:r w:rsidR="00601553" w:rsidRPr="00AF239D">
        <w:t xml:space="preserve"> The software calculates equilibrium</w:t>
      </w:r>
      <w:r w:rsidR="007956F6" w:rsidRPr="00AF239D">
        <w:t xml:space="preserve"> using a method</w:t>
      </w:r>
      <w:r w:rsidR="00601553" w:rsidRPr="00AF239D">
        <w:t xml:space="preserve"> based on the minimization of the Gibbs free energy, following the NASA </w:t>
      </w:r>
      <w:r w:rsidR="007956F6" w:rsidRPr="00AF239D">
        <w:t xml:space="preserve">approach </w:t>
      </w:r>
      <w:r w:rsidR="007956F6" w:rsidRPr="00891DCE">
        <w:rPr>
          <w:lang w:val="en-GB"/>
        </w:rPr>
        <w:fldChar w:fldCharType="begin"/>
      </w:r>
      <w:r w:rsidR="007956F6" w:rsidRPr="00891DCE">
        <w:rPr>
          <w:lang w:val="en-GB"/>
        </w:rPr>
        <w:instrText xml:space="preserve"> ADDIN ZOTERO_ITEM CSL_CITATION {"citationID":"Rj4gB3MW","properties":{"formattedCitation":"(McBride &amp; Gordon, 1996)","plainCitation":"(McBride &amp; Gordon, 1996)","noteIndex":0},"citationItems":[{"id":141,"uris":["http://zotero.org/users/local/2X456veZ/items/LLJ5DDKY"],"itemData":{"id":141,"type":"report","abstract":"This users manual is the second part of a two-part report describing the NASA Lewis CEA (Chemical Equilibrium with Applications) program. The program obtains chemical equilibrium compositions of complex mixtures with applications to several types of problems. The topics presented is this manual are (1) details for preparing input data sets; (2) a descriptions of output tables for various types of problems; (3) the overall modular organization of the program with information on how to make modifications; (4) a description of the function of each subroutine; (5) error messages and their significance; and (6) a number of examples that illustrate various types of problems handled by CEA and that cover many of the options available in both input and output. Seven appendixes give information on the thermodynamic and thermal transport data used in CEA; some information on common variables used in or generated by the equilibrium module; and output tables for 14 example problems. The CEA program was written in ANSI standard FORTRAN 77. CEA should work on any system with sufficient storage. There are about 6300 lines in the source code, which uses about 225 kilobytes of memory. The compiled program takes about 975 kilobytes.","event-place":"Ohio","publisher-place":"Ohio","title":"Computer Program for Calculation of Complex Chemical Equilibrium Compositions and Applications II.","URL":"https://www.grc.nasa.gov/www/CEAWeb/RP-1311-P2.pdf","author":[{"family":"McBride","given":"Bonnie J."},{"family":"Gordon","given":"Gordon."}],"issued":{"date-parts":[["1996"]]}}}],"schema":"https://github.com/citation-style-language/schema/raw/master/csl-citation.json"} </w:instrText>
      </w:r>
      <w:r w:rsidR="007956F6" w:rsidRPr="00891DCE">
        <w:rPr>
          <w:lang w:val="en-GB"/>
        </w:rPr>
        <w:fldChar w:fldCharType="separate"/>
      </w:r>
      <w:r w:rsidR="007956F6" w:rsidRPr="00891DCE">
        <w:rPr>
          <w:rFonts w:cs="Arial"/>
        </w:rPr>
        <w:t>(McBride &amp; Gordon, 1996)</w:t>
      </w:r>
      <w:r w:rsidR="007956F6" w:rsidRPr="00891DCE">
        <w:rPr>
          <w:lang w:val="en-GB"/>
        </w:rPr>
        <w:fldChar w:fldCharType="end"/>
      </w:r>
      <w:r w:rsidR="00601553" w:rsidRPr="00AF239D">
        <w:t xml:space="preserve"> Due to space limitations it’s not possible to include the model calculation in this manuscript, however this procedure can be found in Chris Morley website </w:t>
      </w:r>
      <w:r w:rsidR="00601553" w:rsidRPr="00AF239D">
        <w:rPr>
          <w:lang w:val="en-GB"/>
        </w:rPr>
        <w:fldChar w:fldCharType="begin"/>
      </w:r>
      <w:r w:rsidR="00601553" w:rsidRPr="00AF239D">
        <w:rPr>
          <w:lang w:val="en-GB"/>
        </w:rPr>
        <w:instrText xml:space="preserve"> ADDIN ZOTERO_ITEM CSL_CITATION {"citationID":"UBW8q7RZ","properties":{"formattedCitation":"(Morley, 2005)","plainCitation":"(Morley, 2005)","noteIndex":0},"citationItems":[{"id":209,"uris":["http://zotero.org/users/local/2X456veZ/items/4SQ28S63"],"itemData":{"id":209,"type":"article-journal","title":"Gaseq","URL":"http://www.gaseq.co.uk/","author":[{"family":"Morley","given":"Chris"}],"issued":{"date-parts":[["2005"]]}}}],"schema":"https://github.com/citation-style-language/schema/raw/master/csl-citation.json"} </w:instrText>
      </w:r>
      <w:r w:rsidR="00601553" w:rsidRPr="00AF239D">
        <w:rPr>
          <w:lang w:val="en-GB"/>
        </w:rPr>
        <w:fldChar w:fldCharType="separate"/>
      </w:r>
      <w:r w:rsidR="00601553" w:rsidRPr="00AF239D">
        <w:rPr>
          <w:rFonts w:cs="Arial"/>
        </w:rPr>
        <w:t>(Morley, 2005)</w:t>
      </w:r>
      <w:r w:rsidR="00601553" w:rsidRPr="00AF239D">
        <w:rPr>
          <w:lang w:val="en-GB"/>
        </w:rPr>
        <w:fldChar w:fldCharType="end"/>
      </w:r>
      <w:r w:rsidR="00601553" w:rsidRPr="00AF239D">
        <w:rPr>
          <w:lang w:val="en-GB"/>
        </w:rPr>
        <w:t>.</w:t>
      </w:r>
      <w:r w:rsidR="007956F6">
        <w:t xml:space="preserve"> </w:t>
      </w:r>
      <w:r w:rsidR="005E5282">
        <w:t xml:space="preserve">The software requires a thermodynamic dataset containing the species to be studied. </w:t>
      </w:r>
      <w:r w:rsidR="002D0773">
        <w:t xml:space="preserve">The thermodynamics table developed by </w:t>
      </w:r>
      <w:proofErr w:type="spellStart"/>
      <w:r w:rsidR="002D0773">
        <w:t>Burcat</w:t>
      </w:r>
      <w:proofErr w:type="spellEnd"/>
      <w:r w:rsidR="002D0773">
        <w:t xml:space="preserve"> </w:t>
      </w:r>
      <w:r w:rsidR="005E5282">
        <w:t xml:space="preserve">containing 3746 species in their polynomial form </w:t>
      </w:r>
      <w:r w:rsidR="002D0773">
        <w:t>was</w:t>
      </w:r>
      <w:r w:rsidR="005E5282">
        <w:t xml:space="preserve"> used for the calculations </w:t>
      </w:r>
      <w:r w:rsidR="005E5282">
        <w:fldChar w:fldCharType="begin"/>
      </w:r>
      <w:r w:rsidR="005E5282">
        <w:instrText xml:space="preserve"> ADDIN ZOTERO_ITEM CSL_CITATION {"citationID":"nIJXGomw","properties":{"formattedCitation":"(Burcat &amp; Ruscic, 2005)","plainCitation":"(Burcat &amp; Ruscic, 2005)","noteIndex":0},"citationItems":[{"id":148,"uris":["http://zotero.org/users/local/2X456veZ/items/S89W6IUB"],"itemData":{"id":148,"type":"report","title":"Third Millennium Ideal Gas and Condensed Phase Thermochemical Database for Combustion with Updates from Active Thermochemical Tables","author":[{"family":"Burcat","given":"A."},{"family":"Ruscic","given":"B."}],"issued":{"date-parts":[["2005"]]}}}],"schema":"https://github.com/citation-style-language/schema/raw/master/csl-citation.json"} </w:instrText>
      </w:r>
      <w:r w:rsidR="005E5282">
        <w:fldChar w:fldCharType="separate"/>
      </w:r>
      <w:r w:rsidR="005E5282" w:rsidRPr="005E5282">
        <w:rPr>
          <w:rFonts w:cs="Arial"/>
        </w:rPr>
        <w:t>(Burcat &amp; Ruscic, 2005)</w:t>
      </w:r>
      <w:r w:rsidR="005E5282">
        <w:fldChar w:fldCharType="end"/>
      </w:r>
      <w:r w:rsidR="006E3670">
        <w:t>.</w:t>
      </w:r>
      <w:r w:rsidR="005E5282">
        <w:t xml:space="preserve"> All ions were removed from the original table as they were causing issues </w:t>
      </w:r>
      <w:r w:rsidR="00EE661B">
        <w:t xml:space="preserve">with </w:t>
      </w:r>
      <w:r w:rsidR="005E5282">
        <w:t>the development of the computations.</w:t>
      </w:r>
    </w:p>
    <w:p w14:paraId="72F94B11" w14:textId="30A1179E" w:rsidR="00345B21" w:rsidRDefault="005E5282" w:rsidP="00345B21">
      <w:pPr>
        <w:pStyle w:val="CETBodytext"/>
      </w:pPr>
      <w:r>
        <w:t>The fir</w:t>
      </w:r>
      <w:r w:rsidR="006E3670">
        <w:t>st</w:t>
      </w:r>
      <w:r>
        <w:t xml:space="preserve"> study consisted in investigating </w:t>
      </w:r>
      <w:r w:rsidR="006E3670">
        <w:t>a mixture of pure glycerol</w:t>
      </w:r>
      <w:r>
        <w:t xml:space="preserve"> </w:t>
      </w:r>
      <w:r w:rsidR="00345B21">
        <w:t>gasified in</w:t>
      </w:r>
      <w:r>
        <w:t xml:space="preserve"> ambient </w:t>
      </w:r>
      <w:r w:rsidR="006E3670">
        <w:t>air</w:t>
      </w:r>
      <w:r w:rsidR="00345B21">
        <w:t>, using air preheating to generate</w:t>
      </w:r>
      <w:r w:rsidR="006E3670">
        <w:t xml:space="preserve"> temperatures</w:t>
      </w:r>
      <w:r w:rsidR="00345B21">
        <w:t xml:space="preserve"> </w:t>
      </w:r>
      <w:r w:rsidR="006E3670">
        <w:t>from 300 to 1</w:t>
      </w:r>
      <w:r w:rsidR="00345B21">
        <w:t>3</w:t>
      </w:r>
      <w:r w:rsidR="006E3670">
        <w:t>00K</w:t>
      </w:r>
      <w:r w:rsidR="0049043A">
        <w:t xml:space="preserve"> </w:t>
      </w:r>
      <w:r w:rsidR="00345B21">
        <w:t>in</w:t>
      </w:r>
      <w:r w:rsidR="0049043A">
        <w:t xml:space="preserve"> </w:t>
      </w:r>
      <w:r w:rsidR="00345B21">
        <w:t>2</w:t>
      </w:r>
      <w:r w:rsidR="0049043A">
        <w:t>00K increments</w:t>
      </w:r>
      <w:r w:rsidR="006E3670">
        <w:t xml:space="preserve">, for a span of </w:t>
      </w:r>
      <w:r w:rsidR="00345B21">
        <w:t xml:space="preserve">Equivalence </w:t>
      </w:r>
      <w:r w:rsidR="006D29E8">
        <w:t>r</w:t>
      </w:r>
      <w:r w:rsidR="00345B21">
        <w:t xml:space="preserve">atio, </w:t>
      </w:r>
      <w:r w:rsidR="0049043A">
        <w:t>Ø</w:t>
      </w:r>
      <w:r w:rsidR="00166E2C">
        <w:rPr>
          <w:rStyle w:val="FootnoteReference"/>
        </w:rPr>
        <w:footnoteReference w:id="1"/>
      </w:r>
      <w:r w:rsidR="00345B21">
        <w:t>,</w:t>
      </w:r>
      <w:r w:rsidR="006E3670">
        <w:t xml:space="preserve"> from 0.</w:t>
      </w:r>
      <w:r w:rsidR="0049043A">
        <w:t>1</w:t>
      </w:r>
      <w:r w:rsidR="006E3670">
        <w:t xml:space="preserve"> to 5.0</w:t>
      </w:r>
      <w:r>
        <w:t xml:space="preserve">. </w:t>
      </w:r>
      <w:r w:rsidR="009D7DD5">
        <w:t>For the second study</w:t>
      </w:r>
      <w:r w:rsidR="00EE661B">
        <w:t>,</w:t>
      </w:r>
      <w:r w:rsidR="009D7DD5">
        <w:t xml:space="preserve"> glycerol was investigated as </w:t>
      </w:r>
      <w:r w:rsidR="0096177F">
        <w:t>a mixture containing</w:t>
      </w:r>
      <w:r w:rsidR="00345B21">
        <w:t xml:space="preserve"> </w:t>
      </w:r>
      <w:r w:rsidR="001C7949">
        <w:t xml:space="preserve">50% </w:t>
      </w:r>
      <w:r w:rsidR="00345B21">
        <w:t xml:space="preserve">water and </w:t>
      </w:r>
      <w:r w:rsidR="001C7949">
        <w:t xml:space="preserve">50% </w:t>
      </w:r>
      <w:r w:rsidR="00345B21">
        <w:t>glycerol</w:t>
      </w:r>
      <w:r w:rsidR="005D22D2">
        <w:t>;</w:t>
      </w:r>
      <w:r w:rsidR="00D80D8B">
        <w:t xml:space="preserve"> and finally the water content was varied from 0-60% at 800K</w:t>
      </w:r>
      <w:r w:rsidR="009C5E74">
        <w:t>.</w:t>
      </w:r>
    </w:p>
    <w:p w14:paraId="51C5CE18" w14:textId="42FF5CB5" w:rsidR="00C713A3" w:rsidRDefault="00C713A3" w:rsidP="00345B21">
      <w:pPr>
        <w:pStyle w:val="CETHeading1"/>
      </w:pPr>
      <w:r>
        <w:t>Results and discussion</w:t>
      </w:r>
    </w:p>
    <w:p w14:paraId="59945CA3" w14:textId="28BD87E0" w:rsidR="001C7949" w:rsidRPr="001C7949" w:rsidRDefault="001C7949" w:rsidP="001C7949">
      <w:pPr>
        <w:pStyle w:val="CETBodytext"/>
      </w:pPr>
      <w:r>
        <w:t xml:space="preserve">Fig. 1a shows the equilibrium hydrogen composition of the rich burn gasified gas for 100% glycerol and Fig. </w:t>
      </w:r>
      <w:r w:rsidR="000E4617">
        <w:t>2a</w:t>
      </w:r>
      <w:r>
        <w:t xml:space="preserve"> shows the results for a 50% glycerol and 50% water </w:t>
      </w:r>
      <w:r w:rsidR="008B0643">
        <w:t xml:space="preserve">gasifier load, for air </w:t>
      </w:r>
      <w:r w:rsidR="000E4617">
        <w:t>temperatures</w:t>
      </w:r>
      <w:r w:rsidR="008B0643">
        <w:t xml:space="preserve"> from 300K to 1300K. This shows that for peak hydrogen richer mixtures are required as the air preheat temperature increases. Fig. 2a shows the equilibrium hydrogen for a 50/50 mixture of glycerol and water in the gasifier. For the highest hydrogen</w:t>
      </w:r>
      <w:r w:rsidR="00EE661B">
        <w:t>,</w:t>
      </w:r>
      <w:r w:rsidR="008B0643">
        <w:t xml:space="preserve"> there is little increase in hydrogen production, but there is a small increase in the rich </w:t>
      </w:r>
      <w:r w:rsidR="008B0643">
        <w:rPr>
          <w:rFonts w:cs="Arial"/>
        </w:rPr>
        <w:t>Ø</w:t>
      </w:r>
      <w:r w:rsidR="008B0643">
        <w:t xml:space="preserve"> for maximum hydrogen.</w:t>
      </w:r>
    </w:p>
    <w:p w14:paraId="5C8C5D70" w14:textId="4971C2A5" w:rsidR="000E4617" w:rsidRDefault="008B0643" w:rsidP="000E4617">
      <w:pPr>
        <w:tabs>
          <w:tab w:val="clear" w:pos="7100"/>
        </w:tabs>
        <w:spacing w:line="240" w:lineRule="auto"/>
        <w:jc w:val="left"/>
        <w:rPr>
          <w:rFonts w:cs="Arial"/>
        </w:rPr>
      </w:pPr>
      <w:r>
        <w:t xml:space="preserve">Fig. </w:t>
      </w:r>
      <w:r w:rsidR="000E4617">
        <w:t>1b</w:t>
      </w:r>
      <w:r>
        <w:t xml:space="preserve"> show</w:t>
      </w:r>
      <w:r w:rsidR="000E4617">
        <w:t>s</w:t>
      </w:r>
      <w:r>
        <w:t xml:space="preserve"> peak CO for rich mixtures</w:t>
      </w:r>
      <w:r w:rsidR="000E4617">
        <w:t xml:space="preserve"> with a significant increase in the </w:t>
      </w:r>
      <w:r w:rsidR="000E4617">
        <w:rPr>
          <w:rFonts w:cs="Arial"/>
        </w:rPr>
        <w:t>Ø</w:t>
      </w:r>
      <w:r w:rsidR="000E4617">
        <w:t xml:space="preserve"> for the peak CO as the air temperature is increased. At all air temperatures</w:t>
      </w:r>
      <w:r w:rsidR="00EE661B">
        <w:t>,</w:t>
      </w:r>
      <w:r w:rsidR="000E4617">
        <w:t xml:space="preserve"> the 50/50 water/glycerol mixture had </w:t>
      </w:r>
      <w:r w:rsidR="00EE661B">
        <w:t xml:space="preserve">a </w:t>
      </w:r>
      <w:r w:rsidR="000E4617">
        <w:t xml:space="preserve">lower equilibrium CO </w:t>
      </w:r>
      <w:r w:rsidR="00C77E2C">
        <w:t>of</w:t>
      </w:r>
      <w:r w:rsidR="000E4617">
        <w:t xml:space="preserve"> about 5%. There was no evidence in Fig. 2a of the hydrogen increasing, which would occur if the water gas shift reaction was effective. The equilibrium CO and hydrogen show that the peak BGG energy will occur at 4&lt;</w:t>
      </w:r>
      <w:r w:rsidR="000E4617">
        <w:rPr>
          <w:rFonts w:cs="Arial"/>
        </w:rPr>
        <w:t xml:space="preserve">Ø&lt;9 increasing as the air temperature </w:t>
      </w:r>
      <w:r w:rsidR="00C77E2C">
        <w:rPr>
          <w:rFonts w:cs="Arial"/>
        </w:rPr>
        <w:t>increases</w:t>
      </w:r>
      <w:r w:rsidR="000E4617">
        <w:rPr>
          <w:rFonts w:cs="Arial"/>
        </w:rPr>
        <w:t>.</w:t>
      </w:r>
    </w:p>
    <w:p w14:paraId="1C3CF3F1" w14:textId="2C45064A" w:rsidR="005C0651" w:rsidRDefault="000E4617" w:rsidP="000E4617">
      <w:pPr>
        <w:tabs>
          <w:tab w:val="clear" w:pos="7100"/>
        </w:tabs>
        <w:spacing w:line="240" w:lineRule="auto"/>
        <w:jc w:val="left"/>
        <w:rPr>
          <w:rFonts w:cs="Arial"/>
        </w:rPr>
      </w:pPr>
      <w:r>
        <w:rPr>
          <w:rFonts w:cs="Arial"/>
        </w:rPr>
        <w:t>Fig. 1c and 2c show the adiabatic flame temperatures</w:t>
      </w:r>
      <w:r w:rsidR="005C0651">
        <w:rPr>
          <w:rFonts w:cs="Arial"/>
        </w:rPr>
        <w:t xml:space="preserve"> for glycerol and 50/50 water/glycerol. This shows that at all conditions the 50% water addition does, as expected reduce the flame temperature, but the richer the mixture the greater the influence of the air temperature.</w:t>
      </w:r>
    </w:p>
    <w:p w14:paraId="493D774D" w14:textId="272D2A00" w:rsidR="000E4617" w:rsidRDefault="005C0651" w:rsidP="000E4617">
      <w:pPr>
        <w:tabs>
          <w:tab w:val="clear" w:pos="7100"/>
        </w:tabs>
        <w:spacing w:line="240" w:lineRule="auto"/>
        <w:jc w:val="left"/>
        <w:rPr>
          <w:rFonts w:cs="Arial"/>
        </w:rPr>
      </w:pPr>
      <w:r>
        <w:rPr>
          <w:rFonts w:cs="Arial"/>
        </w:rPr>
        <w:t xml:space="preserve">Figs. 3a and 3b compare the equilibrium CO and hydrogen for glycerol and 50% water with 50% glycerol at 800K air temperature. This shows that the main effect of the water addition was to reduce the CO emissions with little change in hydrogen. </w:t>
      </w:r>
    </w:p>
    <w:p w14:paraId="17CF0EA5" w14:textId="2FEFA9D7" w:rsidR="000E4617" w:rsidRDefault="006D60F7" w:rsidP="000E4617">
      <w:pPr>
        <w:tabs>
          <w:tab w:val="clear" w:pos="7100"/>
        </w:tabs>
        <w:spacing w:line="240" w:lineRule="auto"/>
        <w:jc w:val="left"/>
        <w:rPr>
          <w:rFonts w:cs="Arial"/>
        </w:rPr>
      </w:pPr>
      <w:r>
        <w:rPr>
          <w:rFonts w:cs="Arial"/>
        </w:rPr>
        <w:t xml:space="preserve">Figs. 4a and 4b show the impact of increased water in the water/glycerol mixture for the </w:t>
      </w:r>
      <w:r w:rsidR="009E7089">
        <w:rPr>
          <w:rFonts w:cs="Arial"/>
        </w:rPr>
        <w:t>equivalence</w:t>
      </w:r>
      <w:r>
        <w:rPr>
          <w:rFonts w:cs="Arial"/>
        </w:rPr>
        <w:t xml:space="preserve"> ratio for peak CO and hydrogen respectively. The effect of increasing water is to increase the CO slightly and to move the Ø for peak CO to leaner mixtures. For hydrogen</w:t>
      </w:r>
      <w:r w:rsidR="00C77E2C">
        <w:rPr>
          <w:rFonts w:cs="Arial"/>
        </w:rPr>
        <w:t>,</w:t>
      </w:r>
      <w:r>
        <w:rPr>
          <w:rFonts w:cs="Arial"/>
        </w:rPr>
        <w:t xml:space="preserve"> the effect is to increase the maximum hydrogen at richer mixtures. This is the trend that would occur if the water gas shift reaction was effective.</w:t>
      </w:r>
    </w:p>
    <w:p w14:paraId="10F20154" w14:textId="5E0DFDF6" w:rsidR="00FE11D5" w:rsidRDefault="00FE11D5" w:rsidP="000E4617">
      <w:pPr>
        <w:tabs>
          <w:tab w:val="clear" w:pos="7100"/>
        </w:tabs>
        <w:spacing w:line="240" w:lineRule="auto"/>
        <w:jc w:val="left"/>
        <w:rPr>
          <w:rFonts w:cs="Arial"/>
        </w:rPr>
      </w:pPr>
      <w:r>
        <w:rPr>
          <w:rFonts w:cs="Arial"/>
        </w:rPr>
        <w:t xml:space="preserve">Figs 5a and 5b show the </w:t>
      </w:r>
      <w:r w:rsidR="00346AED">
        <w:rPr>
          <w:rFonts w:cs="Arial"/>
        </w:rPr>
        <w:t>impact</w:t>
      </w:r>
      <w:r>
        <w:rPr>
          <w:rFonts w:cs="Arial"/>
        </w:rPr>
        <w:t xml:space="preserve"> in </w:t>
      </w:r>
      <w:r w:rsidR="00DB797B">
        <w:rPr>
          <w:rFonts w:cs="Arial"/>
        </w:rPr>
        <w:t xml:space="preserve">water vapour </w:t>
      </w:r>
      <w:r>
        <w:rPr>
          <w:rFonts w:cs="Arial"/>
        </w:rPr>
        <w:t xml:space="preserve">in the products </w:t>
      </w:r>
      <w:r w:rsidR="00346AED">
        <w:rPr>
          <w:rFonts w:cs="Arial"/>
        </w:rPr>
        <w:t xml:space="preserve">for a wet mixture compared to </w:t>
      </w:r>
      <w:r w:rsidR="00B1062B">
        <w:rPr>
          <w:rFonts w:cs="Arial"/>
        </w:rPr>
        <w:t>pure glycerol</w:t>
      </w:r>
      <w:r w:rsidR="00DB797B">
        <w:rPr>
          <w:rFonts w:cs="Arial"/>
        </w:rPr>
        <w:t>.</w:t>
      </w:r>
    </w:p>
    <w:p w14:paraId="290D27F0" w14:textId="35E6175A" w:rsidR="00FF774F" w:rsidRDefault="00FF774F" w:rsidP="00FF774F">
      <w:pPr>
        <w:tabs>
          <w:tab w:val="clear" w:pos="7100"/>
        </w:tabs>
        <w:spacing w:line="240" w:lineRule="auto"/>
        <w:jc w:val="left"/>
        <w:rPr>
          <w:rFonts w:cs="Arial"/>
        </w:rPr>
      </w:pPr>
      <w:r>
        <w:rPr>
          <w:rFonts w:cs="Arial"/>
        </w:rPr>
        <w:t xml:space="preserve">Figs. </w:t>
      </w:r>
      <w:r w:rsidR="004F5EED">
        <w:rPr>
          <w:rFonts w:cs="Arial"/>
        </w:rPr>
        <w:t>6</w:t>
      </w:r>
      <w:r>
        <w:rPr>
          <w:rFonts w:cs="Arial"/>
        </w:rPr>
        <w:t xml:space="preserve">a and </w:t>
      </w:r>
      <w:r w:rsidR="004F5EED">
        <w:rPr>
          <w:rFonts w:cs="Arial"/>
        </w:rPr>
        <w:t>6</w:t>
      </w:r>
      <w:r>
        <w:rPr>
          <w:rFonts w:cs="Arial"/>
        </w:rPr>
        <w:t>b show the composition of CO</w:t>
      </w:r>
      <w:r>
        <w:rPr>
          <w:rFonts w:cs="Arial"/>
          <w:vertAlign w:val="subscript"/>
        </w:rPr>
        <w:t>2</w:t>
      </w:r>
      <w:r>
        <w:rPr>
          <w:rFonts w:cs="Arial"/>
        </w:rPr>
        <w:t xml:space="preserve"> as a function of Ø. There was reduced CO</w:t>
      </w:r>
      <w:r>
        <w:rPr>
          <w:rFonts w:cs="Arial"/>
          <w:vertAlign w:val="subscript"/>
        </w:rPr>
        <w:t>2</w:t>
      </w:r>
      <w:r>
        <w:rPr>
          <w:rFonts w:cs="Arial"/>
        </w:rPr>
        <w:t xml:space="preserve"> for rich mixtures, but at high air temperatures, the CO</w:t>
      </w:r>
      <w:r>
        <w:rPr>
          <w:rFonts w:cs="Arial"/>
          <w:vertAlign w:val="subscript"/>
        </w:rPr>
        <w:t>2</w:t>
      </w:r>
      <w:r>
        <w:rPr>
          <w:rFonts w:cs="Arial"/>
        </w:rPr>
        <w:t xml:space="preserve"> increased substantially. The effect of water in the mixture was to increase </w:t>
      </w:r>
      <w:r>
        <w:rPr>
          <w:rFonts w:cs="Arial"/>
        </w:rPr>
        <w:lastRenderedPageBreak/>
        <w:t>the CO</w:t>
      </w:r>
      <w:r>
        <w:rPr>
          <w:rFonts w:cs="Arial"/>
          <w:vertAlign w:val="subscript"/>
        </w:rPr>
        <w:t>2</w:t>
      </w:r>
      <w:r>
        <w:rPr>
          <w:rFonts w:cs="Arial"/>
        </w:rPr>
        <w:t xml:space="preserve"> slightly. Figs. </w:t>
      </w:r>
      <w:r w:rsidR="004F5EED">
        <w:rPr>
          <w:rFonts w:cs="Arial"/>
        </w:rPr>
        <w:t>7</w:t>
      </w:r>
      <w:r>
        <w:rPr>
          <w:rFonts w:cs="Arial"/>
        </w:rPr>
        <w:t xml:space="preserve">a and </w:t>
      </w:r>
      <w:r w:rsidR="004F5EED">
        <w:rPr>
          <w:rFonts w:cs="Arial"/>
        </w:rPr>
        <w:t>7</w:t>
      </w:r>
      <w:r>
        <w:rPr>
          <w:rFonts w:cs="Arial"/>
        </w:rPr>
        <w:t xml:space="preserve">b show the equilibrium nitrogen from the air. This decreased nitrogen for richer mixtures </w:t>
      </w:r>
      <w:r w:rsidR="00C05E5C">
        <w:rPr>
          <w:rFonts w:cs="Arial"/>
        </w:rPr>
        <w:t xml:space="preserve">was </w:t>
      </w:r>
      <w:r>
        <w:rPr>
          <w:rFonts w:cs="Arial"/>
        </w:rPr>
        <w:t>due to the higher hydrogen occupying a greater proportion of the volume.</w:t>
      </w:r>
    </w:p>
    <w:p w14:paraId="5CB0B178" w14:textId="77777777" w:rsidR="000D145E" w:rsidRDefault="000D145E" w:rsidP="00FF774F">
      <w:pPr>
        <w:tabs>
          <w:tab w:val="clear" w:pos="7100"/>
        </w:tabs>
        <w:spacing w:line="240" w:lineRule="auto"/>
        <w:jc w:val="left"/>
        <w:rPr>
          <w:rFonts w:cs="Arial"/>
        </w:rPr>
      </w:pPr>
    </w:p>
    <w:tbl>
      <w:tblPr>
        <w:tblStyle w:val="TableGrid"/>
        <w:tblW w:w="87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256"/>
      </w:tblGrid>
      <w:tr w:rsidR="00FF774F" w:rsidRPr="008A395C" w14:paraId="1A69E514" w14:textId="77777777" w:rsidTr="000717B7">
        <w:tc>
          <w:tcPr>
            <w:tcW w:w="4531" w:type="dxa"/>
          </w:tcPr>
          <w:p w14:paraId="6D4A0150" w14:textId="4206A8CF" w:rsidR="00FF774F" w:rsidRDefault="00FF213D" w:rsidP="000717B7">
            <w:pPr>
              <w:pStyle w:val="CETBodytext"/>
            </w:pPr>
            <w:r>
              <w:rPr>
                <w:noProof/>
              </w:rPr>
              <w:drawing>
                <wp:inline distT="0" distB="0" distL="0" distR="0" wp14:anchorId="5D1F06E2" wp14:editId="4F3317BD">
                  <wp:extent cx="2115047" cy="1407102"/>
                  <wp:effectExtent l="0" t="0" r="0" b="3175"/>
                  <wp:docPr id="855388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047" cy="1407102"/>
                          </a:xfrm>
                          <a:prstGeom prst="rect">
                            <a:avLst/>
                          </a:prstGeom>
                          <a:noFill/>
                        </pic:spPr>
                      </pic:pic>
                    </a:graphicData>
                  </a:graphic>
                </wp:inline>
              </w:drawing>
            </w:r>
          </w:p>
          <w:p w14:paraId="4B214177" w14:textId="77777777" w:rsidR="00FF774F" w:rsidRPr="008A395C" w:rsidRDefault="00FF774F" w:rsidP="000717B7">
            <w:pPr>
              <w:pStyle w:val="CETCaption"/>
            </w:pPr>
            <w:r w:rsidRPr="00954C00">
              <w:t xml:space="preserve">Fig. 1a) </w:t>
            </w:r>
            <w:r>
              <w:t>Products H</w:t>
            </w:r>
            <w:r>
              <w:rPr>
                <w:vertAlign w:val="subscript"/>
              </w:rPr>
              <w:t>2</w:t>
            </w:r>
            <w:r w:rsidRPr="00954C00">
              <w:t xml:space="preserve"> v ER for 300K – 1300K C</w:t>
            </w:r>
            <w:r w:rsidRPr="00954C00">
              <w:rPr>
                <w:vertAlign w:val="subscript"/>
              </w:rPr>
              <w:t>3</w:t>
            </w:r>
            <w:r w:rsidRPr="00954C00">
              <w:t>H</w:t>
            </w:r>
            <w:r w:rsidRPr="00954C00">
              <w:rPr>
                <w:vertAlign w:val="subscript"/>
              </w:rPr>
              <w:t>8</w:t>
            </w:r>
            <w:r w:rsidRPr="00954C00">
              <w:t>O</w:t>
            </w:r>
            <w:r w:rsidRPr="00954C00">
              <w:rPr>
                <w:vertAlign w:val="subscript"/>
              </w:rPr>
              <w:t>3</w:t>
            </w:r>
          </w:p>
        </w:tc>
        <w:tc>
          <w:tcPr>
            <w:tcW w:w="4256" w:type="dxa"/>
          </w:tcPr>
          <w:p w14:paraId="0A59B675" w14:textId="3C647C99" w:rsidR="00FF774F" w:rsidRDefault="0017063C" w:rsidP="000717B7">
            <w:pPr>
              <w:pStyle w:val="CETBodytext"/>
            </w:pPr>
            <w:r>
              <w:rPr>
                <w:noProof/>
              </w:rPr>
              <w:drawing>
                <wp:inline distT="0" distB="0" distL="0" distR="0" wp14:anchorId="69E4DE29" wp14:editId="006D9623">
                  <wp:extent cx="2093595" cy="1411719"/>
                  <wp:effectExtent l="0" t="0" r="1905" b="0"/>
                  <wp:docPr id="1322557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2979" cy="1431533"/>
                          </a:xfrm>
                          <a:prstGeom prst="rect">
                            <a:avLst/>
                          </a:prstGeom>
                          <a:noFill/>
                        </pic:spPr>
                      </pic:pic>
                    </a:graphicData>
                  </a:graphic>
                </wp:inline>
              </w:drawing>
            </w:r>
          </w:p>
          <w:p w14:paraId="2EB96BD0" w14:textId="77777777" w:rsidR="00FF774F" w:rsidRPr="008A395C" w:rsidRDefault="00FF774F" w:rsidP="00AF239D">
            <w:pPr>
              <w:spacing w:before="240"/>
            </w:pPr>
            <w:r w:rsidRPr="000717B7">
              <w:rPr>
                <w:i/>
                <w:iCs/>
              </w:rPr>
              <w:t>Fig. 1b) Products CO v ER for 300K – 1300K C</w:t>
            </w:r>
            <w:r w:rsidRPr="000717B7">
              <w:rPr>
                <w:i/>
                <w:iCs/>
                <w:vertAlign w:val="subscript"/>
              </w:rPr>
              <w:t>3</w:t>
            </w:r>
            <w:r w:rsidRPr="000717B7">
              <w:rPr>
                <w:i/>
                <w:iCs/>
              </w:rPr>
              <w:t>H</w:t>
            </w:r>
            <w:r w:rsidRPr="000717B7">
              <w:rPr>
                <w:i/>
                <w:iCs/>
                <w:vertAlign w:val="subscript"/>
              </w:rPr>
              <w:t>8</w:t>
            </w:r>
            <w:r w:rsidRPr="000717B7">
              <w:rPr>
                <w:i/>
                <w:iCs/>
              </w:rPr>
              <w:t>O</w:t>
            </w:r>
            <w:r w:rsidRPr="000717B7">
              <w:rPr>
                <w:i/>
                <w:iCs/>
                <w:vertAlign w:val="subscript"/>
              </w:rPr>
              <w:t>3</w:t>
            </w:r>
            <w:r w:rsidRPr="000717B7">
              <w:rPr>
                <w:i/>
                <w:iCs/>
              </w:rPr>
              <w:t xml:space="preserve">                                  </w:t>
            </w:r>
          </w:p>
        </w:tc>
      </w:tr>
      <w:tr w:rsidR="00FF774F" w:rsidRPr="008A395C" w14:paraId="6194682C" w14:textId="77777777" w:rsidTr="000717B7">
        <w:trPr>
          <w:trHeight w:val="3109"/>
        </w:trPr>
        <w:tc>
          <w:tcPr>
            <w:tcW w:w="4531" w:type="dxa"/>
          </w:tcPr>
          <w:p w14:paraId="6B85F3EC" w14:textId="77777777" w:rsidR="00FF774F" w:rsidRDefault="00304A92" w:rsidP="00AF239D">
            <w:pPr>
              <w:pStyle w:val="CETBodytext"/>
              <w:spacing w:before="240"/>
            </w:pPr>
            <w:r>
              <w:rPr>
                <w:noProof/>
              </w:rPr>
              <w:drawing>
                <wp:inline distT="0" distB="0" distL="0" distR="0" wp14:anchorId="2DFC41E9" wp14:editId="17271C64">
                  <wp:extent cx="2138901" cy="1463117"/>
                  <wp:effectExtent l="0" t="0" r="0" b="3810"/>
                  <wp:docPr id="1531132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4346" cy="1480522"/>
                          </a:xfrm>
                          <a:prstGeom prst="rect">
                            <a:avLst/>
                          </a:prstGeom>
                          <a:noFill/>
                        </pic:spPr>
                      </pic:pic>
                    </a:graphicData>
                  </a:graphic>
                </wp:inline>
              </w:drawing>
            </w:r>
          </w:p>
          <w:p w14:paraId="0CEBA5C4" w14:textId="77777777" w:rsidR="00FF774F" w:rsidRDefault="00FF774F" w:rsidP="00AF239D">
            <w:pPr>
              <w:pStyle w:val="CETBodytext"/>
              <w:spacing w:before="240"/>
            </w:pPr>
            <w:r w:rsidRPr="00AF239D">
              <w:rPr>
                <w:i/>
                <w:iCs/>
              </w:rPr>
              <w:t xml:space="preserve">Fig. 1c) </w:t>
            </w:r>
            <w:proofErr w:type="spellStart"/>
            <w:r w:rsidRPr="00AF239D">
              <w:rPr>
                <w:i/>
                <w:iCs/>
              </w:rPr>
              <w:t>Adiab</w:t>
            </w:r>
            <w:proofErr w:type="spellEnd"/>
            <w:r w:rsidRPr="00AF239D">
              <w:rPr>
                <w:i/>
                <w:iCs/>
              </w:rPr>
              <w:t xml:space="preserve"> temp v ER for 300K – 1300K</w:t>
            </w:r>
            <w:r w:rsidRPr="00954C00">
              <w:t xml:space="preserve"> C</w:t>
            </w:r>
            <w:r w:rsidRPr="00954C00">
              <w:rPr>
                <w:vertAlign w:val="subscript"/>
              </w:rPr>
              <w:t>3</w:t>
            </w:r>
            <w:r w:rsidRPr="00954C00">
              <w:t>H</w:t>
            </w:r>
            <w:r w:rsidRPr="00954C00">
              <w:rPr>
                <w:vertAlign w:val="subscript"/>
              </w:rPr>
              <w:t>8</w:t>
            </w:r>
            <w:r w:rsidRPr="00954C00">
              <w:t>O</w:t>
            </w:r>
            <w:r w:rsidRPr="00954C00">
              <w:rPr>
                <w:vertAlign w:val="subscript"/>
              </w:rPr>
              <w:t>3</w:t>
            </w:r>
            <w:r w:rsidRPr="00846D76">
              <w:rPr>
                <w:vertAlign w:val="subscript"/>
              </w:rPr>
              <w:t xml:space="preserve"> </w:t>
            </w:r>
            <w:r>
              <w:t xml:space="preserve">   </w:t>
            </w:r>
          </w:p>
          <w:p w14:paraId="4742FB96" w14:textId="77777777" w:rsidR="00FF774F" w:rsidRPr="008A395C" w:rsidRDefault="00FF774F" w:rsidP="000717B7">
            <w:pPr>
              <w:pStyle w:val="CETBodytext"/>
            </w:pPr>
          </w:p>
        </w:tc>
        <w:tc>
          <w:tcPr>
            <w:tcW w:w="4256" w:type="dxa"/>
          </w:tcPr>
          <w:p w14:paraId="6FBA89D9" w14:textId="3898D3C5" w:rsidR="00FF774F" w:rsidRDefault="00891DCE" w:rsidP="00AF239D">
            <w:pPr>
              <w:pStyle w:val="CETBodytext"/>
              <w:spacing w:before="240"/>
            </w:pPr>
            <w:r>
              <w:rPr>
                <w:noProof/>
              </w:rPr>
              <w:drawing>
                <wp:inline distT="0" distB="0" distL="0" distR="0" wp14:anchorId="5A00F878" wp14:editId="6ED86C61">
                  <wp:extent cx="2093906" cy="1415332"/>
                  <wp:effectExtent l="0" t="0" r="1905" b="0"/>
                  <wp:docPr id="5662792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1178" cy="1433766"/>
                          </a:xfrm>
                          <a:prstGeom prst="rect">
                            <a:avLst/>
                          </a:prstGeom>
                          <a:noFill/>
                        </pic:spPr>
                      </pic:pic>
                    </a:graphicData>
                  </a:graphic>
                </wp:inline>
              </w:drawing>
            </w:r>
          </w:p>
          <w:p w14:paraId="62473A4C" w14:textId="77777777" w:rsidR="00FF774F" w:rsidRPr="008A395C" w:rsidRDefault="00FF774F" w:rsidP="000717B7">
            <w:pPr>
              <w:pStyle w:val="CETCaption"/>
            </w:pPr>
            <w:r w:rsidRPr="00954C00">
              <w:t xml:space="preserve">Fig. 2a) </w:t>
            </w:r>
            <w:r>
              <w:t>Products H</w:t>
            </w:r>
            <w:r>
              <w:rPr>
                <w:vertAlign w:val="subscript"/>
              </w:rPr>
              <w:t>2</w:t>
            </w:r>
            <w:r w:rsidRPr="00954C00">
              <w:t xml:space="preserve"> v ER for 300K – 1300K water</w:t>
            </w:r>
            <w:r>
              <w:t xml:space="preserve"> / </w:t>
            </w:r>
            <w:r w:rsidRPr="00954C00">
              <w:t>C</w:t>
            </w:r>
            <w:r w:rsidRPr="00954C00">
              <w:rPr>
                <w:vertAlign w:val="subscript"/>
              </w:rPr>
              <w:t>3</w:t>
            </w:r>
            <w:r w:rsidRPr="00954C00">
              <w:t>H</w:t>
            </w:r>
            <w:r w:rsidRPr="00954C00">
              <w:rPr>
                <w:vertAlign w:val="subscript"/>
              </w:rPr>
              <w:t>8</w:t>
            </w:r>
            <w:r w:rsidRPr="00954C00">
              <w:t>O</w:t>
            </w:r>
            <w:r w:rsidRPr="00954C00">
              <w:rPr>
                <w:vertAlign w:val="subscript"/>
              </w:rPr>
              <w:t>3</w:t>
            </w:r>
            <w:r w:rsidRPr="00954C00">
              <w:t xml:space="preserve"> 50/50 </w:t>
            </w:r>
          </w:p>
        </w:tc>
      </w:tr>
      <w:tr w:rsidR="00FF774F" w:rsidRPr="00932255" w14:paraId="475AED72" w14:textId="77777777" w:rsidTr="000717B7">
        <w:tc>
          <w:tcPr>
            <w:tcW w:w="4531" w:type="dxa"/>
          </w:tcPr>
          <w:p w14:paraId="156D55C6" w14:textId="03E048E8" w:rsidR="00FF774F" w:rsidRDefault="008D5CD5" w:rsidP="000717B7">
            <w:pPr>
              <w:pStyle w:val="CETBodytext"/>
            </w:pPr>
            <w:r>
              <w:rPr>
                <w:noProof/>
              </w:rPr>
              <w:drawing>
                <wp:inline distT="0" distB="0" distL="0" distR="0" wp14:anchorId="7CA4A201" wp14:editId="1FBCB925">
                  <wp:extent cx="2162755" cy="1432375"/>
                  <wp:effectExtent l="0" t="0" r="0" b="0"/>
                  <wp:docPr id="5459725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0839" cy="1437729"/>
                          </a:xfrm>
                          <a:prstGeom prst="rect">
                            <a:avLst/>
                          </a:prstGeom>
                          <a:noFill/>
                        </pic:spPr>
                      </pic:pic>
                    </a:graphicData>
                  </a:graphic>
                </wp:inline>
              </w:drawing>
            </w:r>
          </w:p>
          <w:p w14:paraId="3C4D03C2" w14:textId="054D556F" w:rsidR="00FF774F" w:rsidRPr="00AF239D" w:rsidRDefault="00FF774F" w:rsidP="00AF239D">
            <w:pPr>
              <w:pStyle w:val="CETBodytext"/>
              <w:spacing w:before="240"/>
              <w:rPr>
                <w:i/>
                <w:iCs/>
              </w:rPr>
            </w:pPr>
            <w:r w:rsidRPr="00AF239D">
              <w:rPr>
                <w:i/>
                <w:iCs/>
              </w:rPr>
              <w:t>Fig. 2b) Products CO v ER for 300K – 1300K water / C</w:t>
            </w:r>
            <w:r w:rsidRPr="00AF239D">
              <w:rPr>
                <w:i/>
                <w:iCs/>
                <w:vertAlign w:val="subscript"/>
              </w:rPr>
              <w:t>3</w:t>
            </w:r>
            <w:r w:rsidRPr="00AF239D">
              <w:rPr>
                <w:i/>
                <w:iCs/>
              </w:rPr>
              <w:t>H</w:t>
            </w:r>
            <w:r w:rsidRPr="00AF239D">
              <w:rPr>
                <w:i/>
                <w:iCs/>
                <w:vertAlign w:val="subscript"/>
              </w:rPr>
              <w:t>8</w:t>
            </w:r>
            <w:r w:rsidRPr="00AF239D">
              <w:rPr>
                <w:i/>
                <w:iCs/>
              </w:rPr>
              <w:t>O</w:t>
            </w:r>
            <w:r w:rsidRPr="00AF239D">
              <w:rPr>
                <w:i/>
                <w:iCs/>
                <w:vertAlign w:val="subscript"/>
              </w:rPr>
              <w:t>3</w:t>
            </w:r>
            <w:r w:rsidRPr="00AF239D">
              <w:rPr>
                <w:i/>
                <w:iCs/>
              </w:rPr>
              <w:t xml:space="preserve"> 50/50</w:t>
            </w:r>
          </w:p>
        </w:tc>
        <w:tc>
          <w:tcPr>
            <w:tcW w:w="4256" w:type="dxa"/>
          </w:tcPr>
          <w:p w14:paraId="7196105A" w14:textId="45812EE3" w:rsidR="00FF774F" w:rsidRDefault="006C4526" w:rsidP="000717B7">
            <w:pPr>
              <w:pStyle w:val="CETBodytext"/>
            </w:pPr>
            <w:r>
              <w:rPr>
                <w:noProof/>
              </w:rPr>
              <w:drawing>
                <wp:inline distT="0" distB="0" distL="0" distR="0" wp14:anchorId="1531F411" wp14:editId="7440482D">
                  <wp:extent cx="2073910" cy="1399430"/>
                  <wp:effectExtent l="0" t="0" r="2540" b="0"/>
                  <wp:docPr id="11103770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8094" cy="1422497"/>
                          </a:xfrm>
                          <a:prstGeom prst="rect">
                            <a:avLst/>
                          </a:prstGeom>
                          <a:noFill/>
                        </pic:spPr>
                      </pic:pic>
                    </a:graphicData>
                  </a:graphic>
                </wp:inline>
              </w:drawing>
            </w:r>
          </w:p>
          <w:p w14:paraId="24FE3599" w14:textId="77777777" w:rsidR="00FF774F" w:rsidRPr="00AF239D" w:rsidRDefault="00FF774F" w:rsidP="00AF239D">
            <w:pPr>
              <w:pStyle w:val="CETBodytext"/>
              <w:spacing w:before="240"/>
              <w:rPr>
                <w:i/>
                <w:iCs/>
                <w:sz w:val="22"/>
              </w:rPr>
            </w:pPr>
            <w:r w:rsidRPr="00AF239D">
              <w:rPr>
                <w:i/>
                <w:iCs/>
              </w:rPr>
              <w:t xml:space="preserve">Fig. 2c) </w:t>
            </w:r>
            <w:proofErr w:type="spellStart"/>
            <w:r w:rsidRPr="00AF239D">
              <w:rPr>
                <w:i/>
                <w:iCs/>
              </w:rPr>
              <w:t>Adiab</w:t>
            </w:r>
            <w:proofErr w:type="spellEnd"/>
            <w:r w:rsidRPr="00AF239D">
              <w:rPr>
                <w:i/>
                <w:iCs/>
              </w:rPr>
              <w:t xml:space="preserve"> temp v ER for 300K – 1300K  water / C</w:t>
            </w:r>
            <w:r w:rsidRPr="00AF239D">
              <w:rPr>
                <w:i/>
                <w:iCs/>
                <w:vertAlign w:val="subscript"/>
              </w:rPr>
              <w:t>3</w:t>
            </w:r>
            <w:r w:rsidRPr="00AF239D">
              <w:rPr>
                <w:i/>
                <w:iCs/>
              </w:rPr>
              <w:t>H</w:t>
            </w:r>
            <w:r w:rsidRPr="00AF239D">
              <w:rPr>
                <w:i/>
                <w:iCs/>
                <w:vertAlign w:val="subscript"/>
              </w:rPr>
              <w:t>8</w:t>
            </w:r>
            <w:r w:rsidRPr="00AF239D">
              <w:rPr>
                <w:i/>
                <w:iCs/>
              </w:rPr>
              <w:t>O</w:t>
            </w:r>
            <w:r w:rsidRPr="00AF239D">
              <w:rPr>
                <w:i/>
                <w:iCs/>
                <w:vertAlign w:val="subscript"/>
              </w:rPr>
              <w:t xml:space="preserve">3 </w:t>
            </w:r>
            <w:r w:rsidRPr="00AF239D">
              <w:rPr>
                <w:i/>
                <w:iCs/>
              </w:rPr>
              <w:t>50/50</w:t>
            </w:r>
          </w:p>
        </w:tc>
      </w:tr>
      <w:tr w:rsidR="00FF774F" w14:paraId="1C6BFAAC" w14:textId="77777777" w:rsidTr="000717B7">
        <w:tc>
          <w:tcPr>
            <w:tcW w:w="4531" w:type="dxa"/>
          </w:tcPr>
          <w:p w14:paraId="0BC4C755" w14:textId="2B165A17" w:rsidR="00535816" w:rsidRDefault="00535816" w:rsidP="000717B7">
            <w:pPr>
              <w:pStyle w:val="CETCaption"/>
            </w:pPr>
            <w:r>
              <w:rPr>
                <w:noProof/>
              </w:rPr>
              <w:drawing>
                <wp:inline distT="0" distB="0" distL="0" distR="0" wp14:anchorId="138AE732" wp14:editId="140485E2">
                  <wp:extent cx="2278696" cy="1433074"/>
                  <wp:effectExtent l="0" t="0" r="7620" b="0"/>
                  <wp:docPr id="25086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7304" cy="1451065"/>
                          </a:xfrm>
                          <a:prstGeom prst="rect">
                            <a:avLst/>
                          </a:prstGeom>
                          <a:noFill/>
                        </pic:spPr>
                      </pic:pic>
                    </a:graphicData>
                  </a:graphic>
                </wp:inline>
              </w:drawing>
            </w:r>
          </w:p>
          <w:p w14:paraId="6314FD08" w14:textId="644D7D17" w:rsidR="00FF774F" w:rsidRDefault="00FF774F" w:rsidP="000717B7">
            <w:pPr>
              <w:pStyle w:val="CETCaption"/>
            </w:pPr>
            <w:r w:rsidRPr="00954C00">
              <w:t>Fig</w:t>
            </w:r>
            <w:r>
              <w:t>.</w:t>
            </w:r>
            <w:r w:rsidRPr="00954C00">
              <w:t xml:space="preserve"> 3a) At 800K, Peak CO v ER for C</w:t>
            </w:r>
            <w:r w:rsidRPr="00954C00">
              <w:rPr>
                <w:vertAlign w:val="subscript"/>
              </w:rPr>
              <w:t>3</w:t>
            </w:r>
            <w:r w:rsidRPr="00954C00">
              <w:t>H</w:t>
            </w:r>
            <w:r w:rsidRPr="00954C00">
              <w:rPr>
                <w:vertAlign w:val="subscript"/>
              </w:rPr>
              <w:t>8</w:t>
            </w:r>
            <w:r w:rsidRPr="00954C00">
              <w:t>O</w:t>
            </w:r>
            <w:r w:rsidRPr="00954C00">
              <w:rPr>
                <w:vertAlign w:val="subscript"/>
              </w:rPr>
              <w:t>3</w:t>
            </w:r>
            <w:r>
              <w:t xml:space="preserve">  </w:t>
            </w:r>
            <w:r w:rsidRPr="00954C00">
              <w:t>and 50/50 water/ C</w:t>
            </w:r>
            <w:r w:rsidRPr="00954C00">
              <w:rPr>
                <w:vertAlign w:val="subscript"/>
              </w:rPr>
              <w:t>3</w:t>
            </w:r>
            <w:r w:rsidRPr="00954C00">
              <w:t>H</w:t>
            </w:r>
            <w:r w:rsidRPr="00954C00">
              <w:rPr>
                <w:vertAlign w:val="subscript"/>
              </w:rPr>
              <w:t>8</w:t>
            </w:r>
            <w:r w:rsidRPr="00954C00">
              <w:t>O</w:t>
            </w:r>
            <w:r w:rsidRPr="00954C00">
              <w:rPr>
                <w:vertAlign w:val="subscript"/>
              </w:rPr>
              <w:t>3</w:t>
            </w:r>
          </w:p>
        </w:tc>
        <w:tc>
          <w:tcPr>
            <w:tcW w:w="4256" w:type="dxa"/>
          </w:tcPr>
          <w:p w14:paraId="3775E4A3" w14:textId="33CB336F" w:rsidR="00535816" w:rsidRDefault="00535816" w:rsidP="000717B7">
            <w:pPr>
              <w:pStyle w:val="CETCaption"/>
            </w:pPr>
            <w:r>
              <w:rPr>
                <w:noProof/>
              </w:rPr>
              <w:drawing>
                <wp:inline distT="0" distB="0" distL="0" distR="0" wp14:anchorId="1580F322" wp14:editId="4405F543">
                  <wp:extent cx="2142495" cy="1403498"/>
                  <wp:effectExtent l="0" t="0" r="0" b="6350"/>
                  <wp:docPr id="1320304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9666" cy="1427848"/>
                          </a:xfrm>
                          <a:prstGeom prst="rect">
                            <a:avLst/>
                          </a:prstGeom>
                          <a:noFill/>
                        </pic:spPr>
                      </pic:pic>
                    </a:graphicData>
                  </a:graphic>
                </wp:inline>
              </w:drawing>
            </w:r>
          </w:p>
          <w:p w14:paraId="135AC609" w14:textId="2E6D7031" w:rsidR="00FF774F" w:rsidRDefault="00FF774F" w:rsidP="000717B7">
            <w:pPr>
              <w:pStyle w:val="CETCaption"/>
            </w:pPr>
            <w:r w:rsidRPr="00954C00">
              <w:t>Fig.3b) At 800K, peak hydrogen for C</w:t>
            </w:r>
            <w:r w:rsidRPr="00954C00">
              <w:rPr>
                <w:vertAlign w:val="subscript"/>
              </w:rPr>
              <w:t>3</w:t>
            </w:r>
            <w:r w:rsidRPr="00954C00">
              <w:t>H</w:t>
            </w:r>
            <w:r w:rsidRPr="00954C00">
              <w:rPr>
                <w:vertAlign w:val="subscript"/>
              </w:rPr>
              <w:t>8</w:t>
            </w:r>
            <w:r w:rsidRPr="00954C00">
              <w:t>O</w:t>
            </w:r>
            <w:r w:rsidRPr="00954C00">
              <w:rPr>
                <w:vertAlign w:val="subscript"/>
              </w:rPr>
              <w:t>3</w:t>
            </w:r>
            <w:r>
              <w:t xml:space="preserve"> </w:t>
            </w:r>
            <w:r w:rsidRPr="00954C00">
              <w:t>and 50/50 water/ C</w:t>
            </w:r>
            <w:r w:rsidRPr="00954C00">
              <w:rPr>
                <w:vertAlign w:val="subscript"/>
              </w:rPr>
              <w:t>3</w:t>
            </w:r>
            <w:r w:rsidRPr="00954C00">
              <w:t>H</w:t>
            </w:r>
            <w:r w:rsidRPr="00954C00">
              <w:rPr>
                <w:vertAlign w:val="subscript"/>
              </w:rPr>
              <w:t>8</w:t>
            </w:r>
            <w:r w:rsidRPr="00954C00">
              <w:t>O</w:t>
            </w:r>
            <w:r w:rsidRPr="00954C00">
              <w:rPr>
                <w:vertAlign w:val="subscript"/>
              </w:rPr>
              <w:t>3</w:t>
            </w:r>
          </w:p>
        </w:tc>
      </w:tr>
      <w:tr w:rsidR="00FF774F" w:rsidRPr="00954C00" w14:paraId="1DE318ED" w14:textId="77777777" w:rsidTr="000717B7">
        <w:tc>
          <w:tcPr>
            <w:tcW w:w="4531" w:type="dxa"/>
          </w:tcPr>
          <w:p w14:paraId="757C632F" w14:textId="605AAD21" w:rsidR="00FF774F" w:rsidRDefault="00BB19D9" w:rsidP="000717B7">
            <w:pPr>
              <w:pStyle w:val="CETBodytext"/>
            </w:pPr>
            <w:r>
              <w:rPr>
                <w:noProof/>
              </w:rPr>
              <w:lastRenderedPageBreak/>
              <w:drawing>
                <wp:inline distT="0" distB="0" distL="0" distR="0" wp14:anchorId="0196557E" wp14:editId="1B15F0ED">
                  <wp:extent cx="2128073" cy="1451610"/>
                  <wp:effectExtent l="0" t="0" r="5715" b="0"/>
                  <wp:docPr id="6449722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9371" cy="1452495"/>
                          </a:xfrm>
                          <a:prstGeom prst="rect">
                            <a:avLst/>
                          </a:prstGeom>
                          <a:noFill/>
                        </pic:spPr>
                      </pic:pic>
                    </a:graphicData>
                  </a:graphic>
                </wp:inline>
              </w:drawing>
            </w:r>
          </w:p>
          <w:p w14:paraId="3FF605F3" w14:textId="77777777" w:rsidR="00FF774F" w:rsidRPr="008A395C" w:rsidRDefault="00FF774F" w:rsidP="000717B7">
            <w:pPr>
              <w:pStyle w:val="CETCaption"/>
            </w:pPr>
            <w:r w:rsidRPr="00954C00">
              <w:t>Fig</w:t>
            </w:r>
            <w:r>
              <w:t>.</w:t>
            </w:r>
            <w:r w:rsidRPr="00954C00">
              <w:t xml:space="preserve"> 4a)  Ø for peak CO v % water content in mixture</w:t>
            </w:r>
            <w:r>
              <w:t xml:space="preserve"> </w:t>
            </w:r>
            <w:r w:rsidRPr="00954C00">
              <w:t xml:space="preserve">for 800K air temperature       </w:t>
            </w:r>
          </w:p>
        </w:tc>
        <w:tc>
          <w:tcPr>
            <w:tcW w:w="4256" w:type="dxa"/>
          </w:tcPr>
          <w:p w14:paraId="5C4F0920" w14:textId="73B0A253" w:rsidR="00FF774F" w:rsidRDefault="00D32C1E" w:rsidP="000717B7">
            <w:pPr>
              <w:pStyle w:val="CETBodytext"/>
            </w:pPr>
            <w:r>
              <w:rPr>
                <w:noProof/>
              </w:rPr>
              <w:drawing>
                <wp:inline distT="0" distB="0" distL="0" distR="0" wp14:anchorId="561EFD27" wp14:editId="62223110">
                  <wp:extent cx="2111654" cy="1451762"/>
                  <wp:effectExtent l="0" t="0" r="3175" b="0"/>
                  <wp:docPr id="201928944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1654" cy="1451762"/>
                          </a:xfrm>
                          <a:prstGeom prst="rect">
                            <a:avLst/>
                          </a:prstGeom>
                          <a:noFill/>
                        </pic:spPr>
                      </pic:pic>
                    </a:graphicData>
                  </a:graphic>
                </wp:inline>
              </w:drawing>
            </w:r>
          </w:p>
          <w:p w14:paraId="5F1E0643" w14:textId="77777777" w:rsidR="00FF774F" w:rsidRPr="00954C00" w:rsidRDefault="00FF774F" w:rsidP="000717B7">
            <w:pPr>
              <w:pStyle w:val="CETCaption"/>
              <w:rPr>
                <w:sz w:val="22"/>
              </w:rPr>
            </w:pPr>
            <w:r w:rsidRPr="00954C00">
              <w:t>Fig</w:t>
            </w:r>
            <w:r>
              <w:t>.</w:t>
            </w:r>
            <w:r w:rsidRPr="00954C00">
              <w:t xml:space="preserve"> 4b) Ø for peak H2 v % water content in mixture for 800K air temperature.</w:t>
            </w:r>
          </w:p>
        </w:tc>
      </w:tr>
      <w:tr w:rsidR="00FF774F" w:rsidRPr="00954C00" w14:paraId="4725172C" w14:textId="77777777" w:rsidTr="000717B7">
        <w:tc>
          <w:tcPr>
            <w:tcW w:w="4531" w:type="dxa"/>
          </w:tcPr>
          <w:p w14:paraId="2C3FF4BF" w14:textId="77777777" w:rsidR="00FF774F" w:rsidRDefault="00FF774F" w:rsidP="000717B7">
            <w:pPr>
              <w:pStyle w:val="CETBodytext"/>
            </w:pPr>
            <w:r>
              <w:rPr>
                <w:noProof/>
              </w:rPr>
              <w:drawing>
                <wp:inline distT="0" distB="0" distL="0" distR="0" wp14:anchorId="6F1B45A1" wp14:editId="633DBE8F">
                  <wp:extent cx="2194560" cy="1459176"/>
                  <wp:effectExtent l="0" t="0" r="0" b="8255"/>
                  <wp:docPr id="948659378" name="Picture 6" descr="A picture containing text, screensho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59378" name="Picture 6" descr="A picture containing text, screenshot, plo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2024" cy="1477437"/>
                          </a:xfrm>
                          <a:prstGeom prst="rect">
                            <a:avLst/>
                          </a:prstGeom>
                          <a:noFill/>
                        </pic:spPr>
                      </pic:pic>
                    </a:graphicData>
                  </a:graphic>
                </wp:inline>
              </w:drawing>
            </w:r>
          </w:p>
          <w:p w14:paraId="2C9D0327" w14:textId="77777777" w:rsidR="00FF774F" w:rsidRPr="008A395C" w:rsidRDefault="00FF774F" w:rsidP="000717B7">
            <w:pPr>
              <w:pStyle w:val="CETCaption"/>
            </w:pPr>
            <w:r w:rsidRPr="00954C00">
              <w:t>Fig</w:t>
            </w:r>
            <w:r>
              <w:t>.</w:t>
            </w:r>
            <w:r w:rsidRPr="00954C00">
              <w:t xml:space="preserve"> 5a) </w:t>
            </w:r>
            <w:r>
              <w:t>Products w</w:t>
            </w:r>
            <w:r w:rsidRPr="00954C00">
              <w:t>ater</w:t>
            </w:r>
            <w:r>
              <w:t xml:space="preserve"> vapour </w:t>
            </w:r>
            <w:r w:rsidRPr="00954C00">
              <w:t xml:space="preserve"> v ER for 300K – 1300K C</w:t>
            </w:r>
            <w:r w:rsidRPr="00954C00">
              <w:rPr>
                <w:vertAlign w:val="subscript"/>
              </w:rPr>
              <w:t>3</w:t>
            </w:r>
            <w:r w:rsidRPr="00954C00">
              <w:t>H</w:t>
            </w:r>
            <w:r w:rsidRPr="00954C00">
              <w:rPr>
                <w:vertAlign w:val="subscript"/>
              </w:rPr>
              <w:t>8</w:t>
            </w:r>
            <w:r w:rsidRPr="00954C00">
              <w:t>O</w:t>
            </w:r>
            <w:r w:rsidRPr="00954C00">
              <w:rPr>
                <w:vertAlign w:val="subscript"/>
              </w:rPr>
              <w:t>3</w:t>
            </w:r>
            <w:r w:rsidRPr="00954C00">
              <w:t xml:space="preserve">                                 </w:t>
            </w:r>
          </w:p>
        </w:tc>
        <w:tc>
          <w:tcPr>
            <w:tcW w:w="4256" w:type="dxa"/>
          </w:tcPr>
          <w:p w14:paraId="1E8EB8C0" w14:textId="77777777" w:rsidR="00FF774F" w:rsidRDefault="00FF774F" w:rsidP="000717B7">
            <w:pPr>
              <w:pStyle w:val="CETBodytext"/>
            </w:pPr>
            <w:r>
              <w:rPr>
                <w:noProof/>
              </w:rPr>
              <w:drawing>
                <wp:inline distT="0" distB="0" distL="0" distR="0" wp14:anchorId="54595E10" wp14:editId="1F530EEE">
                  <wp:extent cx="2067339" cy="1462986"/>
                  <wp:effectExtent l="0" t="0" r="0" b="4445"/>
                  <wp:docPr id="750639300" name="Picture 4" descr="A picture containing screenshot, tex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39300" name="Picture 4" descr="A picture containing screenshot, text, plo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8803" cy="1506482"/>
                          </a:xfrm>
                          <a:prstGeom prst="rect">
                            <a:avLst/>
                          </a:prstGeom>
                          <a:noFill/>
                        </pic:spPr>
                      </pic:pic>
                    </a:graphicData>
                  </a:graphic>
                </wp:inline>
              </w:drawing>
            </w:r>
          </w:p>
          <w:p w14:paraId="64525F76" w14:textId="77777777" w:rsidR="00FF774F" w:rsidRPr="00954C00" w:rsidRDefault="00FF774F" w:rsidP="000717B7">
            <w:pPr>
              <w:pStyle w:val="CETCaption"/>
              <w:rPr>
                <w:sz w:val="22"/>
              </w:rPr>
            </w:pPr>
            <w:r w:rsidRPr="00954C00">
              <w:t>Fig.</w:t>
            </w:r>
            <w:r>
              <w:t xml:space="preserve"> </w:t>
            </w:r>
            <w:r w:rsidRPr="00954C00">
              <w:t xml:space="preserve">5b) </w:t>
            </w:r>
            <w:r>
              <w:t>Products w</w:t>
            </w:r>
            <w:r w:rsidRPr="00954C00">
              <w:t>ater vapour  Ø for 300K – 1300K</w:t>
            </w:r>
            <w:r>
              <w:t xml:space="preserve"> for </w:t>
            </w:r>
            <w:r w:rsidRPr="00954C00">
              <w:t>50% C</w:t>
            </w:r>
            <w:r w:rsidRPr="00954C00">
              <w:rPr>
                <w:vertAlign w:val="subscript"/>
              </w:rPr>
              <w:t>3</w:t>
            </w:r>
            <w:r w:rsidRPr="00954C00">
              <w:t>H</w:t>
            </w:r>
            <w:r w:rsidRPr="00954C00">
              <w:rPr>
                <w:vertAlign w:val="subscript"/>
              </w:rPr>
              <w:t>8</w:t>
            </w:r>
            <w:r w:rsidRPr="00954C00">
              <w:t>O</w:t>
            </w:r>
            <w:r w:rsidRPr="00954C00">
              <w:rPr>
                <w:vertAlign w:val="subscript"/>
              </w:rPr>
              <w:t>3</w:t>
            </w:r>
            <w:r w:rsidRPr="00954C00">
              <w:t>/ 50% H</w:t>
            </w:r>
            <w:r w:rsidRPr="00954C00">
              <w:rPr>
                <w:vertAlign w:val="subscript"/>
              </w:rPr>
              <w:t>2</w:t>
            </w:r>
            <w:r w:rsidRPr="00954C00">
              <w:t xml:space="preserve">O                                                                                                           </w:t>
            </w:r>
          </w:p>
        </w:tc>
      </w:tr>
      <w:tr w:rsidR="00FF774F" w:rsidRPr="00954C00" w14:paraId="7AF18809" w14:textId="77777777" w:rsidTr="000717B7">
        <w:tc>
          <w:tcPr>
            <w:tcW w:w="4531" w:type="dxa"/>
          </w:tcPr>
          <w:p w14:paraId="74F6BCA3" w14:textId="77777777" w:rsidR="00FF774F" w:rsidRDefault="00FF774F" w:rsidP="000717B7">
            <w:pPr>
              <w:pStyle w:val="CETBodytext"/>
            </w:pPr>
            <w:r>
              <w:rPr>
                <w:noProof/>
              </w:rPr>
              <w:drawing>
                <wp:inline distT="0" distB="0" distL="0" distR="0" wp14:anchorId="0BB9D0E7" wp14:editId="47752B2E">
                  <wp:extent cx="2226365" cy="1529385"/>
                  <wp:effectExtent l="0" t="0" r="2540" b="0"/>
                  <wp:docPr id="1896365906" name="Picture 7" descr="A picture containing text, screenshot, pl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65906" name="Picture 7" descr="A picture containing text, screenshot, plot, lin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2754" cy="1540643"/>
                          </a:xfrm>
                          <a:prstGeom prst="rect">
                            <a:avLst/>
                          </a:prstGeom>
                          <a:noFill/>
                        </pic:spPr>
                      </pic:pic>
                    </a:graphicData>
                  </a:graphic>
                </wp:inline>
              </w:drawing>
            </w:r>
          </w:p>
          <w:p w14:paraId="38AFA842" w14:textId="77777777" w:rsidR="00FF774F" w:rsidRPr="008A395C" w:rsidRDefault="00FF774F" w:rsidP="000717B7">
            <w:pPr>
              <w:pStyle w:val="CETCaption"/>
            </w:pPr>
            <w:r w:rsidRPr="00954C00">
              <w:t xml:space="preserve">Fig. 6a) </w:t>
            </w:r>
            <w:r>
              <w:t xml:space="preserve">Products </w:t>
            </w:r>
            <w:r w:rsidRPr="00954C00">
              <w:t>CO</w:t>
            </w:r>
            <w:r w:rsidRPr="00954C00">
              <w:rPr>
                <w:vertAlign w:val="subscript"/>
              </w:rPr>
              <w:t>2</w:t>
            </w:r>
            <w:r w:rsidRPr="00954C00">
              <w:t xml:space="preserve"> v Ø for 300K – 1300K C</w:t>
            </w:r>
            <w:r w:rsidRPr="00954C00">
              <w:rPr>
                <w:vertAlign w:val="subscript"/>
              </w:rPr>
              <w:t>3</w:t>
            </w:r>
            <w:r w:rsidRPr="00954C00">
              <w:t>H</w:t>
            </w:r>
            <w:r w:rsidRPr="00954C00">
              <w:rPr>
                <w:vertAlign w:val="subscript"/>
              </w:rPr>
              <w:t>8</w:t>
            </w:r>
            <w:r w:rsidRPr="00954C00">
              <w:t>O</w:t>
            </w:r>
            <w:r w:rsidRPr="00954C00">
              <w:rPr>
                <w:vertAlign w:val="subscript"/>
              </w:rPr>
              <w:t>3</w:t>
            </w:r>
            <w:r w:rsidRPr="00954C00">
              <w:t xml:space="preserve">   </w:t>
            </w:r>
          </w:p>
        </w:tc>
        <w:tc>
          <w:tcPr>
            <w:tcW w:w="4256" w:type="dxa"/>
          </w:tcPr>
          <w:p w14:paraId="45D6CD4F" w14:textId="77777777" w:rsidR="00FF774F" w:rsidRDefault="00FF774F" w:rsidP="000717B7">
            <w:pPr>
              <w:pStyle w:val="CETBodytext"/>
            </w:pPr>
            <w:r>
              <w:rPr>
                <w:noProof/>
              </w:rPr>
              <w:drawing>
                <wp:inline distT="0" distB="0" distL="0" distR="0" wp14:anchorId="12F7E630" wp14:editId="027A97A8">
                  <wp:extent cx="2111375" cy="1496183"/>
                  <wp:effectExtent l="0" t="0" r="3175" b="8890"/>
                  <wp:docPr id="699461889" name="Picture 8" descr="A picture containing text, screensho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61889" name="Picture 8" descr="A picture containing text, screenshot, plo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0296" cy="1523763"/>
                          </a:xfrm>
                          <a:prstGeom prst="rect">
                            <a:avLst/>
                          </a:prstGeom>
                          <a:noFill/>
                        </pic:spPr>
                      </pic:pic>
                    </a:graphicData>
                  </a:graphic>
                </wp:inline>
              </w:drawing>
            </w:r>
          </w:p>
          <w:p w14:paraId="5C8F27AA" w14:textId="77777777" w:rsidR="00FF774F" w:rsidRPr="00954C00" w:rsidRDefault="00FF774F" w:rsidP="000717B7">
            <w:pPr>
              <w:pStyle w:val="CETCaption"/>
              <w:rPr>
                <w:sz w:val="22"/>
              </w:rPr>
            </w:pPr>
            <w:r w:rsidRPr="00954C00">
              <w:t>Fig. 6b</w:t>
            </w:r>
            <w:r>
              <w:t>) Products</w:t>
            </w:r>
            <w:r w:rsidRPr="00954C00">
              <w:t xml:space="preserve"> CO</w:t>
            </w:r>
            <w:r w:rsidRPr="00954C00">
              <w:rPr>
                <w:vertAlign w:val="subscript"/>
              </w:rPr>
              <w:t>2</w:t>
            </w:r>
            <w:r w:rsidRPr="00954C00">
              <w:t xml:space="preserve"> v Ø for 300K – 1300K</w:t>
            </w:r>
            <w:r>
              <w:t xml:space="preserve"> for </w:t>
            </w:r>
            <w:r w:rsidRPr="00954C00">
              <w:t>50% C</w:t>
            </w:r>
            <w:r w:rsidRPr="00954C00">
              <w:rPr>
                <w:vertAlign w:val="subscript"/>
              </w:rPr>
              <w:t>3</w:t>
            </w:r>
            <w:r w:rsidRPr="00954C00">
              <w:t>H</w:t>
            </w:r>
            <w:r w:rsidRPr="00954C00">
              <w:rPr>
                <w:vertAlign w:val="subscript"/>
              </w:rPr>
              <w:t>8</w:t>
            </w:r>
            <w:r w:rsidRPr="00954C00">
              <w:t>O</w:t>
            </w:r>
            <w:r w:rsidRPr="00954C00">
              <w:rPr>
                <w:vertAlign w:val="subscript"/>
              </w:rPr>
              <w:t>3</w:t>
            </w:r>
            <w:r w:rsidRPr="00954C00">
              <w:t xml:space="preserve"> / 50% water</w:t>
            </w:r>
            <w:r>
              <w:t xml:space="preserve"> </w:t>
            </w:r>
            <w:r w:rsidRPr="00954C00">
              <w:t xml:space="preserve">                                                                                                     </w:t>
            </w:r>
          </w:p>
        </w:tc>
      </w:tr>
      <w:tr w:rsidR="00FF774F" w14:paraId="0F3972DD" w14:textId="77777777" w:rsidTr="000717B7">
        <w:tc>
          <w:tcPr>
            <w:tcW w:w="4531" w:type="dxa"/>
          </w:tcPr>
          <w:p w14:paraId="1EFCB4F6" w14:textId="2E0F1655" w:rsidR="00FF774F" w:rsidRDefault="002B5F13" w:rsidP="000717B7">
            <w:pPr>
              <w:pStyle w:val="CETBodytext"/>
            </w:pPr>
            <w:r>
              <w:rPr>
                <w:noProof/>
              </w:rPr>
              <w:drawing>
                <wp:inline distT="0" distB="0" distL="0" distR="0" wp14:anchorId="19142A25" wp14:editId="6B4A8A3F">
                  <wp:extent cx="2247900" cy="1493026"/>
                  <wp:effectExtent l="0" t="0" r="0" b="0"/>
                  <wp:docPr id="17164130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58600" cy="1500133"/>
                          </a:xfrm>
                          <a:prstGeom prst="rect">
                            <a:avLst/>
                          </a:prstGeom>
                          <a:noFill/>
                        </pic:spPr>
                      </pic:pic>
                    </a:graphicData>
                  </a:graphic>
                </wp:inline>
              </w:drawing>
            </w:r>
          </w:p>
          <w:p w14:paraId="5FB7063A" w14:textId="77777777" w:rsidR="00FF774F" w:rsidRDefault="00FF774F" w:rsidP="000717B7">
            <w:pPr>
              <w:pStyle w:val="CETCaption"/>
            </w:pPr>
            <w:r w:rsidRPr="00954C00">
              <w:t xml:space="preserve">Fig. 7a) </w:t>
            </w:r>
            <w:r>
              <w:t>Products N</w:t>
            </w:r>
            <w:r>
              <w:rPr>
                <w:vertAlign w:val="subscript"/>
              </w:rPr>
              <w:t>2</w:t>
            </w:r>
            <w:r w:rsidRPr="00954C00">
              <w:t xml:space="preserve"> v Ø for 300K – 1300K C</w:t>
            </w:r>
            <w:r w:rsidRPr="00954C00">
              <w:rPr>
                <w:vertAlign w:val="subscript"/>
              </w:rPr>
              <w:t>3</w:t>
            </w:r>
            <w:r w:rsidRPr="00954C00">
              <w:t>H</w:t>
            </w:r>
            <w:r w:rsidRPr="00954C00">
              <w:rPr>
                <w:vertAlign w:val="subscript"/>
              </w:rPr>
              <w:t>8</w:t>
            </w:r>
            <w:r w:rsidRPr="00954C00">
              <w:t>O</w:t>
            </w:r>
            <w:r w:rsidRPr="00954C00">
              <w:rPr>
                <w:vertAlign w:val="subscript"/>
              </w:rPr>
              <w:t>3</w:t>
            </w:r>
            <w:r w:rsidRPr="00954C00">
              <w:t xml:space="preserve"> </w:t>
            </w:r>
          </w:p>
        </w:tc>
        <w:tc>
          <w:tcPr>
            <w:tcW w:w="4256" w:type="dxa"/>
          </w:tcPr>
          <w:p w14:paraId="0B76B624" w14:textId="0D6DBB84" w:rsidR="00FF774F" w:rsidRDefault="00AC4C93" w:rsidP="000717B7">
            <w:pPr>
              <w:pStyle w:val="CETBodytext"/>
            </w:pPr>
            <w:r>
              <w:rPr>
                <w:noProof/>
              </w:rPr>
              <w:drawing>
                <wp:inline distT="0" distB="0" distL="0" distR="0" wp14:anchorId="75D91153" wp14:editId="2FB5D1CE">
                  <wp:extent cx="2186609" cy="1443927"/>
                  <wp:effectExtent l="0" t="0" r="4445" b="4445"/>
                  <wp:docPr id="6060652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05975" cy="1456715"/>
                          </a:xfrm>
                          <a:prstGeom prst="rect">
                            <a:avLst/>
                          </a:prstGeom>
                          <a:noFill/>
                        </pic:spPr>
                      </pic:pic>
                    </a:graphicData>
                  </a:graphic>
                </wp:inline>
              </w:drawing>
            </w:r>
          </w:p>
          <w:p w14:paraId="64363919" w14:textId="77777777" w:rsidR="00FF774F" w:rsidRDefault="00FF774F" w:rsidP="000717B7">
            <w:pPr>
              <w:pStyle w:val="CETCaption"/>
            </w:pPr>
            <w:r w:rsidRPr="00954C00">
              <w:t xml:space="preserve">Fig. 7b) </w:t>
            </w:r>
            <w:r>
              <w:t>Products N</w:t>
            </w:r>
            <w:r>
              <w:rPr>
                <w:vertAlign w:val="subscript"/>
              </w:rPr>
              <w:t>2</w:t>
            </w:r>
            <w:r w:rsidRPr="00954C00">
              <w:t xml:space="preserve"> v Ø for 300K – 1300K</w:t>
            </w:r>
            <w:r>
              <w:t xml:space="preserve"> for</w:t>
            </w:r>
            <w:r w:rsidRPr="00954C00">
              <w:t xml:space="preserve"> 50% C</w:t>
            </w:r>
            <w:r w:rsidRPr="00954C00">
              <w:rPr>
                <w:vertAlign w:val="subscript"/>
              </w:rPr>
              <w:t>3</w:t>
            </w:r>
            <w:r w:rsidRPr="00954C00">
              <w:t>H</w:t>
            </w:r>
            <w:r w:rsidRPr="00954C00">
              <w:rPr>
                <w:vertAlign w:val="subscript"/>
              </w:rPr>
              <w:t>8</w:t>
            </w:r>
            <w:r w:rsidRPr="00954C00">
              <w:t>O</w:t>
            </w:r>
            <w:r w:rsidRPr="00954C00">
              <w:rPr>
                <w:vertAlign w:val="subscript"/>
              </w:rPr>
              <w:t>3</w:t>
            </w:r>
            <w:r>
              <w:t xml:space="preserve"> </w:t>
            </w:r>
            <w:r w:rsidRPr="00954C00">
              <w:t>/ 50% water</w:t>
            </w:r>
            <w:r>
              <w:t xml:space="preserve"> </w:t>
            </w:r>
            <w:r w:rsidRPr="00954C00">
              <w:t xml:space="preserve">                                                                                                     </w:t>
            </w:r>
          </w:p>
        </w:tc>
      </w:tr>
    </w:tbl>
    <w:p w14:paraId="5130C3B1" w14:textId="1FF0A5A0" w:rsidR="000D145E" w:rsidRPr="000D145E" w:rsidRDefault="000D145E" w:rsidP="00AF239D">
      <w:pPr>
        <w:tabs>
          <w:tab w:val="clear" w:pos="7100"/>
        </w:tabs>
        <w:spacing w:line="240" w:lineRule="auto"/>
        <w:jc w:val="left"/>
        <w:rPr>
          <w:rFonts w:cs="Arial"/>
        </w:rPr>
      </w:pPr>
      <w:r>
        <w:rPr>
          <w:rFonts w:cs="Arial"/>
        </w:rPr>
        <w:lastRenderedPageBreak/>
        <w:t>These equilibrium predictions enable the composition of the BGG for particular operating conditions and one example is shown in Table 1 for glycerol and 50/50 water/glycerol mixtures at Ø=6 and 700K air temperature.</w:t>
      </w:r>
    </w:p>
    <w:p w14:paraId="4E6AEC9D" w14:textId="7F2BDFAC" w:rsidR="006B2EF5" w:rsidRDefault="006B2EF5" w:rsidP="006B2EF5">
      <w:pPr>
        <w:pStyle w:val="CETTabletitle"/>
      </w:pPr>
      <w:r>
        <w:t>Table 1 Glycerol and 50/50 water/glycerol mixtures at Ø=6 and 700K air temperature.</w:t>
      </w:r>
    </w:p>
    <w:tbl>
      <w:tblPr>
        <w:tblStyle w:val="TableGrid"/>
        <w:tblW w:w="8647" w:type="dxa"/>
        <w:tblLayout w:type="fixed"/>
        <w:tblLook w:val="04A0" w:firstRow="1" w:lastRow="0" w:firstColumn="1" w:lastColumn="0" w:noHBand="0" w:noVBand="1"/>
      </w:tblPr>
      <w:tblGrid>
        <w:gridCol w:w="2263"/>
        <w:gridCol w:w="993"/>
        <w:gridCol w:w="708"/>
        <w:gridCol w:w="851"/>
        <w:gridCol w:w="850"/>
        <w:gridCol w:w="1134"/>
        <w:gridCol w:w="1848"/>
      </w:tblGrid>
      <w:tr w:rsidR="006B2EF5" w14:paraId="423426D9" w14:textId="77777777" w:rsidTr="000717B7">
        <w:tc>
          <w:tcPr>
            <w:tcW w:w="2263" w:type="dxa"/>
          </w:tcPr>
          <w:p w14:paraId="77042ACF" w14:textId="2A0956FC" w:rsidR="006B2EF5" w:rsidRDefault="00934DCE" w:rsidP="000717B7">
            <w:pPr>
              <w:tabs>
                <w:tab w:val="clear" w:pos="7100"/>
              </w:tabs>
              <w:spacing w:line="240" w:lineRule="auto"/>
              <w:jc w:val="left"/>
              <w:rPr>
                <w:rFonts w:cs="Arial"/>
              </w:rPr>
            </w:pPr>
            <w:r>
              <w:rPr>
                <w:rFonts w:cs="Arial"/>
              </w:rPr>
              <w:t>Mixture</w:t>
            </w:r>
          </w:p>
        </w:tc>
        <w:tc>
          <w:tcPr>
            <w:tcW w:w="993" w:type="dxa"/>
          </w:tcPr>
          <w:p w14:paraId="75EB36FD" w14:textId="77777777" w:rsidR="006B2EF5" w:rsidRDefault="006B2EF5" w:rsidP="000717B7">
            <w:pPr>
              <w:tabs>
                <w:tab w:val="clear" w:pos="7100"/>
              </w:tabs>
              <w:spacing w:line="240" w:lineRule="auto"/>
              <w:jc w:val="left"/>
              <w:rPr>
                <w:rFonts w:cs="Arial"/>
              </w:rPr>
            </w:pPr>
            <w:r>
              <w:rPr>
                <w:rFonts w:cs="Arial"/>
              </w:rPr>
              <w:t>H</w:t>
            </w:r>
            <w:r>
              <w:rPr>
                <w:rFonts w:cs="Arial"/>
                <w:vertAlign w:val="subscript"/>
              </w:rPr>
              <w:t>2</w:t>
            </w:r>
            <w:r>
              <w:rPr>
                <w:rFonts w:cs="Arial"/>
              </w:rPr>
              <w:t>%</w:t>
            </w:r>
          </w:p>
        </w:tc>
        <w:tc>
          <w:tcPr>
            <w:tcW w:w="708" w:type="dxa"/>
          </w:tcPr>
          <w:p w14:paraId="5BA98869" w14:textId="77777777" w:rsidR="006B2EF5" w:rsidRDefault="006B2EF5" w:rsidP="000717B7">
            <w:pPr>
              <w:tabs>
                <w:tab w:val="clear" w:pos="7100"/>
              </w:tabs>
              <w:spacing w:line="240" w:lineRule="auto"/>
              <w:jc w:val="left"/>
              <w:rPr>
                <w:rFonts w:cs="Arial"/>
              </w:rPr>
            </w:pPr>
            <w:r>
              <w:rPr>
                <w:rFonts w:cs="Arial"/>
              </w:rPr>
              <w:t>CO%</w:t>
            </w:r>
          </w:p>
        </w:tc>
        <w:tc>
          <w:tcPr>
            <w:tcW w:w="851" w:type="dxa"/>
          </w:tcPr>
          <w:p w14:paraId="11E311C5" w14:textId="77777777" w:rsidR="006B2EF5" w:rsidRPr="00151820" w:rsidRDefault="006B2EF5" w:rsidP="000717B7">
            <w:pPr>
              <w:tabs>
                <w:tab w:val="clear" w:pos="7100"/>
              </w:tabs>
              <w:spacing w:line="240" w:lineRule="auto"/>
              <w:jc w:val="left"/>
              <w:rPr>
                <w:rFonts w:cs="Arial"/>
              </w:rPr>
            </w:pPr>
            <w:r>
              <w:rPr>
                <w:rFonts w:cs="Arial"/>
              </w:rPr>
              <w:t>CO</w:t>
            </w:r>
            <w:r>
              <w:rPr>
                <w:rFonts w:cs="Arial"/>
                <w:vertAlign w:val="subscript"/>
              </w:rPr>
              <w:t>2</w:t>
            </w:r>
            <w:r>
              <w:rPr>
                <w:rFonts w:cs="Arial"/>
              </w:rPr>
              <w:t>%</w:t>
            </w:r>
          </w:p>
        </w:tc>
        <w:tc>
          <w:tcPr>
            <w:tcW w:w="850" w:type="dxa"/>
          </w:tcPr>
          <w:p w14:paraId="4F2D5C13" w14:textId="77777777" w:rsidR="006B2EF5" w:rsidRPr="00151820" w:rsidRDefault="006B2EF5" w:rsidP="000717B7">
            <w:pPr>
              <w:tabs>
                <w:tab w:val="clear" w:pos="7100"/>
              </w:tabs>
              <w:spacing w:line="240" w:lineRule="auto"/>
              <w:jc w:val="left"/>
              <w:rPr>
                <w:rFonts w:cs="Arial"/>
              </w:rPr>
            </w:pPr>
            <w:r>
              <w:rPr>
                <w:rFonts w:cs="Arial"/>
              </w:rPr>
              <w:t>H</w:t>
            </w:r>
            <w:r>
              <w:rPr>
                <w:rFonts w:cs="Arial"/>
                <w:vertAlign w:val="subscript"/>
              </w:rPr>
              <w:t>2</w:t>
            </w:r>
            <w:r>
              <w:rPr>
                <w:rFonts w:cs="Arial"/>
              </w:rPr>
              <w:t>O%</w:t>
            </w:r>
          </w:p>
        </w:tc>
        <w:tc>
          <w:tcPr>
            <w:tcW w:w="1134" w:type="dxa"/>
          </w:tcPr>
          <w:p w14:paraId="1A3236DF" w14:textId="77777777" w:rsidR="006B2EF5" w:rsidRPr="00151820" w:rsidRDefault="006B2EF5" w:rsidP="000717B7">
            <w:pPr>
              <w:tabs>
                <w:tab w:val="clear" w:pos="7100"/>
              </w:tabs>
              <w:spacing w:line="240" w:lineRule="auto"/>
              <w:jc w:val="left"/>
              <w:rPr>
                <w:rFonts w:cs="Arial"/>
              </w:rPr>
            </w:pPr>
            <w:r>
              <w:rPr>
                <w:rFonts w:cs="Arial"/>
              </w:rPr>
              <w:t>N</w:t>
            </w:r>
            <w:r>
              <w:rPr>
                <w:rFonts w:cs="Arial"/>
                <w:vertAlign w:val="subscript"/>
              </w:rPr>
              <w:t>2</w:t>
            </w:r>
            <w:r>
              <w:rPr>
                <w:rFonts w:cs="Arial"/>
              </w:rPr>
              <w:t>%</w:t>
            </w:r>
          </w:p>
        </w:tc>
        <w:tc>
          <w:tcPr>
            <w:tcW w:w="1848" w:type="dxa"/>
          </w:tcPr>
          <w:p w14:paraId="136FC70E" w14:textId="77777777" w:rsidR="006B2EF5" w:rsidRDefault="006B2EF5" w:rsidP="000717B7">
            <w:pPr>
              <w:tabs>
                <w:tab w:val="clear" w:pos="7100"/>
              </w:tabs>
              <w:spacing w:line="240" w:lineRule="auto"/>
              <w:jc w:val="left"/>
              <w:rPr>
                <w:rFonts w:cs="Arial"/>
              </w:rPr>
            </w:pPr>
            <w:r>
              <w:rPr>
                <w:rFonts w:cs="Arial"/>
              </w:rPr>
              <w:t>Flame Temp (K)</w:t>
            </w:r>
          </w:p>
        </w:tc>
      </w:tr>
      <w:tr w:rsidR="006B2EF5" w14:paraId="0FC634BF" w14:textId="77777777" w:rsidTr="000717B7">
        <w:tc>
          <w:tcPr>
            <w:tcW w:w="2263" w:type="dxa"/>
          </w:tcPr>
          <w:p w14:paraId="65C3269A" w14:textId="7C3BD236" w:rsidR="006B2EF5" w:rsidRDefault="00934DCE" w:rsidP="000717B7">
            <w:pPr>
              <w:tabs>
                <w:tab w:val="clear" w:pos="7100"/>
              </w:tabs>
              <w:spacing w:line="240" w:lineRule="auto"/>
              <w:jc w:val="left"/>
              <w:rPr>
                <w:rFonts w:cs="Arial"/>
              </w:rPr>
            </w:pPr>
            <w:r>
              <w:rPr>
                <w:rFonts w:cs="Arial"/>
              </w:rPr>
              <w:t>Pure g</w:t>
            </w:r>
            <w:r w:rsidR="006B2EF5">
              <w:rPr>
                <w:rFonts w:cs="Arial"/>
              </w:rPr>
              <w:t>lycerol</w:t>
            </w:r>
          </w:p>
        </w:tc>
        <w:tc>
          <w:tcPr>
            <w:tcW w:w="993" w:type="dxa"/>
          </w:tcPr>
          <w:p w14:paraId="0AACBEA3" w14:textId="77777777" w:rsidR="006B2EF5" w:rsidRDefault="006B2EF5" w:rsidP="000717B7">
            <w:pPr>
              <w:tabs>
                <w:tab w:val="clear" w:pos="7100"/>
              </w:tabs>
              <w:spacing w:line="240" w:lineRule="auto"/>
              <w:jc w:val="left"/>
              <w:rPr>
                <w:rFonts w:cs="Arial"/>
              </w:rPr>
            </w:pPr>
            <w:r>
              <w:rPr>
                <w:rFonts w:cs="Arial"/>
              </w:rPr>
              <w:t>37</w:t>
            </w:r>
          </w:p>
        </w:tc>
        <w:tc>
          <w:tcPr>
            <w:tcW w:w="708" w:type="dxa"/>
          </w:tcPr>
          <w:p w14:paraId="201A1AC7" w14:textId="77777777" w:rsidR="006B2EF5" w:rsidRDefault="006B2EF5" w:rsidP="000717B7">
            <w:pPr>
              <w:tabs>
                <w:tab w:val="clear" w:pos="7100"/>
              </w:tabs>
              <w:spacing w:line="240" w:lineRule="auto"/>
              <w:jc w:val="left"/>
              <w:rPr>
                <w:rFonts w:cs="Arial"/>
              </w:rPr>
            </w:pPr>
            <w:r>
              <w:rPr>
                <w:rFonts w:cs="Arial"/>
              </w:rPr>
              <w:t>24</w:t>
            </w:r>
          </w:p>
        </w:tc>
        <w:tc>
          <w:tcPr>
            <w:tcW w:w="851" w:type="dxa"/>
          </w:tcPr>
          <w:p w14:paraId="24821A8A" w14:textId="77777777" w:rsidR="006B2EF5" w:rsidRDefault="006B2EF5" w:rsidP="000717B7">
            <w:pPr>
              <w:tabs>
                <w:tab w:val="clear" w:pos="7100"/>
              </w:tabs>
              <w:spacing w:line="240" w:lineRule="auto"/>
              <w:jc w:val="left"/>
              <w:rPr>
                <w:rFonts w:cs="Arial"/>
              </w:rPr>
            </w:pPr>
            <w:r>
              <w:rPr>
                <w:rFonts w:cs="Arial"/>
              </w:rPr>
              <w:t>8</w:t>
            </w:r>
          </w:p>
        </w:tc>
        <w:tc>
          <w:tcPr>
            <w:tcW w:w="850" w:type="dxa"/>
          </w:tcPr>
          <w:p w14:paraId="2E40D63C" w14:textId="77777777" w:rsidR="006B2EF5" w:rsidRDefault="006B2EF5" w:rsidP="000717B7">
            <w:pPr>
              <w:tabs>
                <w:tab w:val="clear" w:pos="7100"/>
              </w:tabs>
              <w:spacing w:line="240" w:lineRule="auto"/>
              <w:jc w:val="left"/>
              <w:rPr>
                <w:rFonts w:cs="Arial"/>
              </w:rPr>
            </w:pPr>
            <w:r>
              <w:rPr>
                <w:rFonts w:cs="Arial"/>
              </w:rPr>
              <w:t>7</w:t>
            </w:r>
          </w:p>
        </w:tc>
        <w:tc>
          <w:tcPr>
            <w:tcW w:w="1134" w:type="dxa"/>
          </w:tcPr>
          <w:p w14:paraId="086774D2" w14:textId="77777777" w:rsidR="006B2EF5" w:rsidRDefault="006B2EF5" w:rsidP="000717B7">
            <w:pPr>
              <w:tabs>
                <w:tab w:val="clear" w:pos="7100"/>
              </w:tabs>
              <w:spacing w:line="240" w:lineRule="auto"/>
              <w:jc w:val="left"/>
              <w:rPr>
                <w:rFonts w:cs="Arial"/>
              </w:rPr>
            </w:pPr>
            <w:r>
              <w:rPr>
                <w:rFonts w:cs="Arial"/>
              </w:rPr>
              <w:t>25</w:t>
            </w:r>
          </w:p>
        </w:tc>
        <w:tc>
          <w:tcPr>
            <w:tcW w:w="1848" w:type="dxa"/>
          </w:tcPr>
          <w:p w14:paraId="03F95889" w14:textId="77777777" w:rsidR="006B2EF5" w:rsidRDefault="006B2EF5" w:rsidP="000717B7">
            <w:pPr>
              <w:tabs>
                <w:tab w:val="clear" w:pos="7100"/>
              </w:tabs>
              <w:spacing w:line="240" w:lineRule="auto"/>
              <w:jc w:val="left"/>
              <w:rPr>
                <w:rFonts w:cs="Arial"/>
              </w:rPr>
            </w:pPr>
            <w:r>
              <w:rPr>
                <w:rFonts w:cs="Arial"/>
              </w:rPr>
              <w:t>1000</w:t>
            </w:r>
          </w:p>
        </w:tc>
      </w:tr>
      <w:tr w:rsidR="006B2EF5" w14:paraId="716376B4" w14:textId="77777777" w:rsidTr="000717B7">
        <w:tc>
          <w:tcPr>
            <w:tcW w:w="2263" w:type="dxa"/>
          </w:tcPr>
          <w:p w14:paraId="41E246F9" w14:textId="77777777" w:rsidR="006B2EF5" w:rsidRDefault="006B2EF5" w:rsidP="000717B7">
            <w:pPr>
              <w:tabs>
                <w:tab w:val="clear" w:pos="7100"/>
              </w:tabs>
              <w:spacing w:line="240" w:lineRule="auto"/>
              <w:jc w:val="left"/>
              <w:rPr>
                <w:rFonts w:cs="Arial"/>
              </w:rPr>
            </w:pPr>
            <w:r>
              <w:rPr>
                <w:rFonts w:cs="Arial"/>
              </w:rPr>
              <w:t>50/50 water/glycerol</w:t>
            </w:r>
          </w:p>
        </w:tc>
        <w:tc>
          <w:tcPr>
            <w:tcW w:w="993" w:type="dxa"/>
          </w:tcPr>
          <w:p w14:paraId="20C99227" w14:textId="77777777" w:rsidR="006B2EF5" w:rsidRDefault="006B2EF5" w:rsidP="000717B7">
            <w:pPr>
              <w:tabs>
                <w:tab w:val="clear" w:pos="7100"/>
              </w:tabs>
              <w:spacing w:line="240" w:lineRule="auto"/>
              <w:jc w:val="left"/>
              <w:rPr>
                <w:rFonts w:cs="Arial"/>
              </w:rPr>
            </w:pPr>
            <w:r>
              <w:rPr>
                <w:rFonts w:cs="Arial"/>
              </w:rPr>
              <w:t>36</w:t>
            </w:r>
          </w:p>
        </w:tc>
        <w:tc>
          <w:tcPr>
            <w:tcW w:w="708" w:type="dxa"/>
          </w:tcPr>
          <w:p w14:paraId="6FF8B7E2" w14:textId="77777777" w:rsidR="006B2EF5" w:rsidRDefault="006B2EF5" w:rsidP="000717B7">
            <w:pPr>
              <w:tabs>
                <w:tab w:val="clear" w:pos="7100"/>
              </w:tabs>
              <w:spacing w:line="240" w:lineRule="auto"/>
              <w:jc w:val="left"/>
              <w:rPr>
                <w:rFonts w:cs="Arial"/>
              </w:rPr>
            </w:pPr>
            <w:r>
              <w:rPr>
                <w:rFonts w:cs="Arial"/>
              </w:rPr>
              <w:t>19</w:t>
            </w:r>
          </w:p>
        </w:tc>
        <w:tc>
          <w:tcPr>
            <w:tcW w:w="851" w:type="dxa"/>
          </w:tcPr>
          <w:p w14:paraId="33B35183" w14:textId="77777777" w:rsidR="006B2EF5" w:rsidRDefault="006B2EF5" w:rsidP="000717B7">
            <w:pPr>
              <w:tabs>
                <w:tab w:val="clear" w:pos="7100"/>
              </w:tabs>
              <w:spacing w:line="240" w:lineRule="auto"/>
              <w:jc w:val="left"/>
              <w:rPr>
                <w:rFonts w:cs="Arial"/>
              </w:rPr>
            </w:pPr>
            <w:r>
              <w:rPr>
                <w:rFonts w:cs="Arial"/>
              </w:rPr>
              <w:t>10</w:t>
            </w:r>
          </w:p>
        </w:tc>
        <w:tc>
          <w:tcPr>
            <w:tcW w:w="850" w:type="dxa"/>
          </w:tcPr>
          <w:p w14:paraId="014AE489" w14:textId="77777777" w:rsidR="006B2EF5" w:rsidRDefault="006B2EF5" w:rsidP="000717B7">
            <w:pPr>
              <w:tabs>
                <w:tab w:val="clear" w:pos="7100"/>
              </w:tabs>
              <w:spacing w:line="240" w:lineRule="auto"/>
              <w:jc w:val="left"/>
              <w:rPr>
                <w:rFonts w:cs="Arial"/>
              </w:rPr>
            </w:pPr>
            <w:r>
              <w:rPr>
                <w:rFonts w:cs="Arial"/>
              </w:rPr>
              <w:t>12</w:t>
            </w:r>
          </w:p>
        </w:tc>
        <w:tc>
          <w:tcPr>
            <w:tcW w:w="1134" w:type="dxa"/>
          </w:tcPr>
          <w:p w14:paraId="312E1C5C" w14:textId="77777777" w:rsidR="006B2EF5" w:rsidRDefault="006B2EF5" w:rsidP="000717B7">
            <w:pPr>
              <w:tabs>
                <w:tab w:val="clear" w:pos="7100"/>
              </w:tabs>
              <w:spacing w:line="240" w:lineRule="auto"/>
              <w:jc w:val="left"/>
              <w:rPr>
                <w:rFonts w:cs="Arial"/>
              </w:rPr>
            </w:pPr>
            <w:r>
              <w:rPr>
                <w:rFonts w:cs="Arial"/>
              </w:rPr>
              <w:t>23</w:t>
            </w:r>
          </w:p>
        </w:tc>
        <w:tc>
          <w:tcPr>
            <w:tcW w:w="1848" w:type="dxa"/>
          </w:tcPr>
          <w:p w14:paraId="5102BEED" w14:textId="77777777" w:rsidR="006B2EF5" w:rsidRDefault="006B2EF5" w:rsidP="000717B7">
            <w:pPr>
              <w:tabs>
                <w:tab w:val="clear" w:pos="7100"/>
              </w:tabs>
              <w:spacing w:line="240" w:lineRule="auto"/>
              <w:jc w:val="left"/>
              <w:rPr>
                <w:rFonts w:cs="Arial"/>
              </w:rPr>
            </w:pPr>
            <w:r>
              <w:rPr>
                <w:rFonts w:cs="Arial"/>
              </w:rPr>
              <w:t>1000</w:t>
            </w:r>
          </w:p>
        </w:tc>
      </w:tr>
    </w:tbl>
    <w:p w14:paraId="54518FEF" w14:textId="5999DADC" w:rsidR="00C713A3" w:rsidRPr="00C713A3" w:rsidRDefault="00C713A3" w:rsidP="007729D1">
      <w:pPr>
        <w:pStyle w:val="CETHeading1"/>
      </w:pPr>
      <w:r>
        <w:t>Conclusions</w:t>
      </w:r>
    </w:p>
    <w:p w14:paraId="194879AD" w14:textId="368C31D4" w:rsidR="00790D1B" w:rsidRDefault="00790D1B" w:rsidP="00C713A3">
      <w:pPr>
        <w:pStyle w:val="CETBodytext"/>
      </w:pPr>
      <w:r>
        <w:t xml:space="preserve">There are sufficient bio-waste products in whisky distilleries, from the farm to the distillery to satisfy all the energy requirements of the distillery. There </w:t>
      </w:r>
      <w:r w:rsidR="00C05E5C">
        <w:t>is</w:t>
      </w:r>
      <w:r w:rsidR="000552BE">
        <w:t xml:space="preserve"> </w:t>
      </w:r>
      <w:r>
        <w:t>more</w:t>
      </w:r>
      <w:r w:rsidR="00C05E5C">
        <w:t xml:space="preserve"> energy in</w:t>
      </w:r>
      <w:r>
        <w:t xml:space="preserve"> bio-wastes in glycerol and farm manures and straw to </w:t>
      </w:r>
      <w:proofErr w:type="spellStart"/>
      <w:r w:rsidR="00652826">
        <w:t>decarbonise</w:t>
      </w:r>
      <w:proofErr w:type="spellEnd"/>
      <w:r>
        <w:t xml:space="preserve"> the whole of process heat in the UK.</w:t>
      </w:r>
      <w:r w:rsidR="00992530">
        <w:t xml:space="preserve"> </w:t>
      </w:r>
      <w:r>
        <w:t>The bio-wastes have a high water content and gasification can cope with this, as the BGG gas composition is similar for glycerol and 50/50 water/glycerol.</w:t>
      </w:r>
    </w:p>
    <w:p w14:paraId="55399491" w14:textId="43C881C4" w:rsidR="000552BE" w:rsidRDefault="000552BE" w:rsidP="00C713A3">
      <w:pPr>
        <w:pStyle w:val="CETBodytext"/>
      </w:pPr>
      <w:r>
        <w:t xml:space="preserve">One of the main </w:t>
      </w:r>
      <w:r w:rsidR="00C34DAB">
        <w:t xml:space="preserve">findings of this paper is </w:t>
      </w:r>
      <w:r w:rsidR="001C17B9">
        <w:t xml:space="preserve">the prediction that </w:t>
      </w:r>
      <w:r w:rsidR="00C34DAB">
        <w:t xml:space="preserve">a wet </w:t>
      </w:r>
      <w:r w:rsidR="005B234F">
        <w:t>biomass mixture</w:t>
      </w:r>
      <w:r w:rsidR="002257F6">
        <w:t xml:space="preserve"> </w:t>
      </w:r>
      <w:r w:rsidR="001C17B9">
        <w:t>can be</w:t>
      </w:r>
      <w:r w:rsidR="005B234F">
        <w:t xml:space="preserve"> </w:t>
      </w:r>
      <w:r w:rsidR="00992530">
        <w:t xml:space="preserve">successfully </w:t>
      </w:r>
      <w:r w:rsidR="005B234F">
        <w:t xml:space="preserve">gasified, and even though it does not show a major </w:t>
      </w:r>
      <w:r w:rsidR="00353620">
        <w:t>increase in H</w:t>
      </w:r>
      <w:r w:rsidR="00992530">
        <w:rPr>
          <w:vertAlign w:val="subscript"/>
        </w:rPr>
        <w:t>2</w:t>
      </w:r>
      <w:r w:rsidR="00353620">
        <w:t xml:space="preserve"> production, the</w:t>
      </w:r>
      <w:r w:rsidR="00992530">
        <w:t xml:space="preserve"> carbon</w:t>
      </w:r>
      <w:r w:rsidR="00353620">
        <w:t xml:space="preserve"> savings are </w:t>
      </w:r>
      <w:r w:rsidR="00992530">
        <w:t xml:space="preserve">rather </w:t>
      </w:r>
      <w:r w:rsidR="00353620">
        <w:t>important</w:t>
      </w:r>
      <w:r w:rsidR="00992530">
        <w:t>.</w:t>
      </w:r>
    </w:p>
    <w:p w14:paraId="4E47885C" w14:textId="3B606290" w:rsidR="00790D1B" w:rsidRDefault="00790D1B" w:rsidP="00C713A3">
      <w:pPr>
        <w:pStyle w:val="CETBodytext"/>
      </w:pPr>
      <w:r>
        <w:t xml:space="preserve">Heating the gasifier air is a significant influence on the BGG composition and the </w:t>
      </w:r>
      <w:r>
        <w:rPr>
          <w:rFonts w:cs="Arial"/>
        </w:rPr>
        <w:t>Ø</w:t>
      </w:r>
      <w:r w:rsidR="00C05E5C">
        <w:rPr>
          <w:rFonts w:cs="Arial"/>
        </w:rPr>
        <w:t xml:space="preserve"> that the maximum energy in BGG occurs.</w:t>
      </w:r>
    </w:p>
    <w:p w14:paraId="29613010" w14:textId="206C07AF" w:rsidR="00790D1B" w:rsidRPr="00C713A3" w:rsidRDefault="00790D1B" w:rsidP="00C713A3">
      <w:pPr>
        <w:pStyle w:val="CETBodytext"/>
      </w:pPr>
      <w:r>
        <w:t xml:space="preserve">Gasification of </w:t>
      </w:r>
      <w:r w:rsidR="00C05E5C">
        <w:t xml:space="preserve">industrial and farm </w:t>
      </w:r>
      <w:r>
        <w:t xml:space="preserve">bio-waste should be recognized as an important route to </w:t>
      </w:r>
      <w:proofErr w:type="spellStart"/>
      <w:r w:rsidR="00652826">
        <w:t>decarbonisation</w:t>
      </w:r>
      <w:proofErr w:type="spellEnd"/>
      <w:r>
        <w:t>, that also has low operating cost</w:t>
      </w:r>
      <w:r w:rsidR="00992530">
        <w:t>s</w:t>
      </w:r>
      <w:r w:rsidR="002E0015">
        <w:t>, as much of the bio waste is free at distilleries or farms</w:t>
      </w:r>
      <w:r w:rsidR="00EB3CA3">
        <w:t>.</w:t>
      </w:r>
    </w:p>
    <w:p w14:paraId="4B38009C" w14:textId="777D69B8" w:rsidR="0049043A" w:rsidRDefault="0049043A" w:rsidP="00C713A3">
      <w:pPr>
        <w:pStyle w:val="CETHeadingxx"/>
      </w:pPr>
      <w:r>
        <w:t xml:space="preserve">Nomenclature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2581"/>
        <w:gridCol w:w="2567"/>
      </w:tblGrid>
      <w:tr w:rsidR="00F54649" w:rsidRPr="00D17FB7" w14:paraId="2CAC0186" w14:textId="48EFCCA0" w:rsidTr="00F54649">
        <w:tc>
          <w:tcPr>
            <w:tcW w:w="0" w:type="auto"/>
          </w:tcPr>
          <w:p w14:paraId="5A98A2D7" w14:textId="29754BA8" w:rsidR="00F54649" w:rsidRPr="00D17FB7" w:rsidRDefault="00F54649" w:rsidP="00F54649">
            <w:pPr>
              <w:pStyle w:val="CETBodytext"/>
            </w:pPr>
            <w:r w:rsidRPr="00D17FB7">
              <w:t xml:space="preserve">BGG </w:t>
            </w:r>
            <w:r w:rsidRPr="00D17FB7">
              <w:rPr>
                <w:rFonts w:eastAsia="SimSun"/>
              </w:rPr>
              <w:t xml:space="preserve">– </w:t>
            </w:r>
            <w:r w:rsidRPr="00D17FB7">
              <w:t xml:space="preserve">Biomass </w:t>
            </w:r>
            <w:r>
              <w:t>g</w:t>
            </w:r>
            <w:r w:rsidRPr="00D17FB7">
              <w:t xml:space="preserve">asification </w:t>
            </w:r>
            <w:r>
              <w:t>g</w:t>
            </w:r>
            <w:r w:rsidRPr="00D17FB7">
              <w:t>as</w:t>
            </w:r>
          </w:p>
        </w:tc>
        <w:tc>
          <w:tcPr>
            <w:tcW w:w="2581" w:type="dxa"/>
          </w:tcPr>
          <w:p w14:paraId="34C3A16E" w14:textId="6A09F0DA" w:rsidR="00F54649" w:rsidRPr="00D17FB7" w:rsidRDefault="00F54649" w:rsidP="00F54649">
            <w:pPr>
              <w:pStyle w:val="CETBodytext"/>
            </w:pPr>
            <w:r w:rsidRPr="00D17FB7">
              <w:t xml:space="preserve">Ø </w:t>
            </w:r>
            <w:r w:rsidRPr="00D17FB7">
              <w:rPr>
                <w:rFonts w:eastAsia="SimSun"/>
              </w:rPr>
              <w:t>–</w:t>
            </w:r>
            <w:r w:rsidRPr="00D17FB7">
              <w:t xml:space="preserve"> Equivalence ratio</w:t>
            </w:r>
          </w:p>
        </w:tc>
        <w:tc>
          <w:tcPr>
            <w:tcW w:w="2567" w:type="dxa"/>
          </w:tcPr>
          <w:p w14:paraId="3289E45A" w14:textId="55CFD2AD" w:rsidR="00F54649" w:rsidRPr="00D17FB7" w:rsidRDefault="00F54649" w:rsidP="00F54649">
            <w:pPr>
              <w:pStyle w:val="CETBodytext"/>
            </w:pPr>
            <w:r>
              <w:t>PA- Pot ale</w:t>
            </w:r>
          </w:p>
        </w:tc>
      </w:tr>
      <w:tr w:rsidR="00F54649" w:rsidRPr="00D17FB7" w14:paraId="28C79865" w14:textId="4B546DB3" w:rsidTr="00F54649">
        <w:tc>
          <w:tcPr>
            <w:tcW w:w="0" w:type="auto"/>
          </w:tcPr>
          <w:p w14:paraId="5DC34F57" w14:textId="77777777" w:rsidR="00F54649" w:rsidRPr="00D17FB7" w:rsidRDefault="00F54649" w:rsidP="00F54649">
            <w:pPr>
              <w:pStyle w:val="CETBodytext"/>
            </w:pPr>
            <w:r w:rsidRPr="00D17FB7">
              <w:t xml:space="preserve">GCV </w:t>
            </w:r>
            <w:r w:rsidRPr="00D17FB7">
              <w:rPr>
                <w:rFonts w:eastAsia="SimSun"/>
              </w:rPr>
              <w:t>–</w:t>
            </w:r>
            <w:r w:rsidRPr="00D17FB7">
              <w:t xml:space="preserve"> Gross calorific value</w:t>
            </w:r>
          </w:p>
        </w:tc>
        <w:tc>
          <w:tcPr>
            <w:tcW w:w="0" w:type="auto"/>
          </w:tcPr>
          <w:p w14:paraId="69F95842" w14:textId="340776AF" w:rsidR="00F54649" w:rsidRDefault="00F54649" w:rsidP="00F54649">
            <w:pPr>
              <w:pStyle w:val="CETBodytext"/>
            </w:pPr>
            <w:proofErr w:type="spellStart"/>
            <w:r w:rsidRPr="00D17FB7">
              <w:t>T</w:t>
            </w:r>
            <w:r w:rsidRPr="00D17FB7">
              <w:rPr>
                <w:vertAlign w:val="subscript"/>
              </w:rPr>
              <w:t>adiab</w:t>
            </w:r>
            <w:proofErr w:type="spellEnd"/>
            <w:r w:rsidRPr="00D17FB7">
              <w:t xml:space="preserve"> </w:t>
            </w:r>
            <w:r w:rsidRPr="00D17FB7">
              <w:rPr>
                <w:rFonts w:eastAsia="SimSun"/>
              </w:rPr>
              <w:t xml:space="preserve">– </w:t>
            </w:r>
            <w:r w:rsidRPr="00D17FB7">
              <w:t>Adiabatic temperature</w:t>
            </w:r>
          </w:p>
        </w:tc>
        <w:tc>
          <w:tcPr>
            <w:tcW w:w="0" w:type="auto"/>
          </w:tcPr>
          <w:p w14:paraId="01013E74" w14:textId="20D2090C" w:rsidR="00F54649" w:rsidRPr="00D17FB7" w:rsidRDefault="00F54649" w:rsidP="00F54649">
            <w:pPr>
              <w:pStyle w:val="CETBodytext"/>
            </w:pPr>
            <w:r>
              <w:t>PAS- Pot ale syrup</w:t>
            </w:r>
          </w:p>
        </w:tc>
      </w:tr>
    </w:tbl>
    <w:p w14:paraId="2F44D867" w14:textId="158B9E4B" w:rsidR="00C713A3" w:rsidRDefault="00C713A3" w:rsidP="00C713A3">
      <w:pPr>
        <w:pStyle w:val="CETHeadingxx"/>
      </w:pPr>
      <w:r>
        <w:t>Acknowledgments</w:t>
      </w:r>
    </w:p>
    <w:p w14:paraId="284453E0" w14:textId="7D6FBC78" w:rsidR="00C713A3" w:rsidRPr="00C713A3" w:rsidRDefault="005835BB" w:rsidP="00C713A3">
      <w:pPr>
        <w:pStyle w:val="CETBodytext"/>
      </w:pPr>
      <w:r>
        <w:t xml:space="preserve">We thank the UK Government. </w:t>
      </w:r>
      <w:r w:rsidRPr="00011208">
        <w:t>Department of Business, Energy and Industrial Strategy (BEIS)</w:t>
      </w:r>
      <w:r>
        <w:t xml:space="preserve"> for the award of a contract to undertake this work: </w:t>
      </w:r>
      <w:proofErr w:type="spellStart"/>
      <w:r>
        <w:t>BatGasD</w:t>
      </w:r>
      <w:r w:rsidR="00CE6843">
        <w:t>W</w:t>
      </w:r>
      <w:proofErr w:type="spellEnd"/>
      <w:r>
        <w:t>:</w:t>
      </w:r>
      <w:r w:rsidR="00CE6843">
        <w:t xml:space="preserve"> Batch Gasification of Distillery Waste</w:t>
      </w:r>
      <w:r w:rsidR="007729D1">
        <w:t>.</w:t>
      </w:r>
      <w:r w:rsidR="00011208" w:rsidRPr="00011208">
        <w:t xml:space="preserve"> </w:t>
      </w:r>
    </w:p>
    <w:p w14:paraId="5A168148" w14:textId="1040A648" w:rsidR="00C713A3" w:rsidRDefault="00C713A3" w:rsidP="00C713A3">
      <w:pPr>
        <w:pStyle w:val="CETHeadingxx"/>
      </w:pPr>
      <w:r>
        <w:t>References</w:t>
      </w:r>
    </w:p>
    <w:p w14:paraId="0ABBE6E9" w14:textId="77777777" w:rsidR="004859FD" w:rsidRPr="00F54649" w:rsidRDefault="004859FD" w:rsidP="00F54649">
      <w:pPr>
        <w:pStyle w:val="CETReferencetext"/>
      </w:pPr>
      <w:proofErr w:type="spellStart"/>
      <w:r w:rsidRPr="00F54649">
        <w:t>Arnison</w:t>
      </w:r>
      <w:proofErr w:type="spellEnd"/>
      <w:r w:rsidRPr="00F54649">
        <w:t>, R and Carrick, R. 2015 – Ricardo -AEA, Circular Economy June 2015 Sector Study on Beer, Whisky and Fish Final Report. ZerowasteScotland.org.uk</w:t>
      </w:r>
    </w:p>
    <w:p w14:paraId="471B36F6" w14:textId="77777777" w:rsidR="00C713A3" w:rsidRPr="00C713A3" w:rsidRDefault="00C713A3" w:rsidP="00C713A3">
      <w:pPr>
        <w:pStyle w:val="CETReferencetext"/>
      </w:pPr>
      <w:r>
        <w:fldChar w:fldCharType="begin"/>
      </w:r>
      <w:r>
        <w:instrText xml:space="preserve"> ADDIN ZOTERO_BIBL {"uncited":[],"omitted":[],"custom":[]} CSL_BIBLIOGRAPHY </w:instrText>
      </w:r>
      <w:r>
        <w:fldChar w:fldCharType="separate"/>
      </w:r>
      <w:r w:rsidRPr="00C713A3">
        <w:t>Burcat, A., &amp; Ruscic, B. (2005). Third Millennium Ideal Gas and Condensed Phase Thermochemical Database for Combustion with Updates from Active Thermochemical Tables.</w:t>
      </w:r>
    </w:p>
    <w:p w14:paraId="7A184CBC" w14:textId="77777777" w:rsidR="00C713A3" w:rsidRPr="00C713A3" w:rsidRDefault="00C713A3" w:rsidP="00C713A3">
      <w:pPr>
        <w:pStyle w:val="CETReferencetext"/>
      </w:pPr>
      <w:r w:rsidRPr="00C713A3">
        <w:t>Kaushal, M., Ahlawat, S., Makut, B. B., Goswami, G., &amp; Das, D. (2019). Dual substrate fermentation strategy utilizing rice straw hydrolysate and crude glycerol for liquid biofuel production by Clostridium sporogenes NCIM 2918. Biomass and Bioenergy, 127, 105257–105257. https://doi.org/10.1016/j.biombioe.2019.105257</w:t>
      </w:r>
    </w:p>
    <w:p w14:paraId="1144D28B" w14:textId="77777777" w:rsidR="00C713A3" w:rsidRPr="00C713A3" w:rsidRDefault="00C713A3" w:rsidP="00C713A3">
      <w:pPr>
        <w:pStyle w:val="CETReferencetext"/>
      </w:pPr>
      <w:r w:rsidRPr="00C713A3">
        <w:t>Marahrens, M. (2022). Billions wasted on biofuels Biofuels are a harmful and expensive distraction to road transport decarbonisation. Biofuels &amp; Energy Transport &amp; Environment. chrome-extension://efaidnbmnnnibpcajpcglclefindmkaj/https://www.transportenvironment.org/wp-content/uploads/2022/06/202206_Billions_wasted_on_biofuels_TE.pdf</w:t>
      </w:r>
    </w:p>
    <w:p w14:paraId="184DD6EB" w14:textId="77777777" w:rsidR="00C713A3" w:rsidRPr="00C713A3" w:rsidRDefault="00C713A3" w:rsidP="00C713A3">
      <w:pPr>
        <w:pStyle w:val="CETReferencetext"/>
      </w:pPr>
      <w:r w:rsidRPr="00C713A3">
        <w:t>McBride, B. J., &amp; Gordon, Gordon. (1996). Computer Program for Calculation of Complex Chemical Equilibrium Compositions and Applications II. https://www.grc.nasa.gov/www/CEAWeb/RP-1311-P2.pdf</w:t>
      </w:r>
    </w:p>
    <w:p w14:paraId="7D3AC697" w14:textId="6817503E" w:rsidR="00C713A3" w:rsidRDefault="00C713A3" w:rsidP="00C713A3">
      <w:pPr>
        <w:pStyle w:val="CETReferencetext"/>
      </w:pPr>
      <w:r w:rsidRPr="00C713A3">
        <w:t>Morley, C. (2005). Gaseq. http://www.gaseq.co.uk/</w:t>
      </w:r>
    </w:p>
    <w:p w14:paraId="22B3CAC3" w14:textId="77777777" w:rsidR="00745868" w:rsidRPr="00F54649" w:rsidRDefault="00745868" w:rsidP="00F54649">
      <w:pPr>
        <w:pStyle w:val="CETReferencetext"/>
      </w:pPr>
      <w:r w:rsidRPr="00F54649">
        <w:t xml:space="preserve">Olanrewaju F., Andrews G., Li H., Phylaktou N. (2019). Bioenergy Potential in Nigeria. Chemical Engineering    </w:t>
      </w:r>
    </w:p>
    <w:p w14:paraId="5E682819" w14:textId="43B89504" w:rsidR="00745868" w:rsidRPr="00F54649" w:rsidRDefault="00745868" w:rsidP="00F54649">
      <w:pPr>
        <w:pStyle w:val="CETReferencetext"/>
      </w:pPr>
      <w:r w:rsidRPr="00F54649">
        <w:t xml:space="preserve">     Transactions, Vol. 74.</w:t>
      </w:r>
    </w:p>
    <w:p w14:paraId="094E8631" w14:textId="77777777" w:rsidR="00745868" w:rsidRPr="00F54649" w:rsidRDefault="00745868" w:rsidP="00F54649">
      <w:pPr>
        <w:pStyle w:val="CETReferencetext"/>
      </w:pPr>
      <w:r w:rsidRPr="00F54649">
        <w:t xml:space="preserve">Saeed M.A., Irshad A., Satter, H., Andrews G.E., Phylaktou H.N. &amp; Gibbs B.M. (2015).  “Agricultural waste </w:t>
      </w:r>
    </w:p>
    <w:p w14:paraId="14D34277" w14:textId="77777777" w:rsidR="00745868" w:rsidRPr="00F54649" w:rsidRDefault="00745868" w:rsidP="00F54649">
      <w:pPr>
        <w:pStyle w:val="CETReferencetext"/>
      </w:pPr>
      <w:r w:rsidRPr="00F54649">
        <w:t xml:space="preserve">      biomass energy potential in Pakistan”. Proceedings of the Bioenergy Exhibition and Asian Bioenergy </w:t>
      </w:r>
    </w:p>
    <w:p w14:paraId="616E455F" w14:textId="1A86B3F8" w:rsidR="00745868" w:rsidRPr="00F54649" w:rsidRDefault="00745868" w:rsidP="00F54649">
      <w:pPr>
        <w:pStyle w:val="CETReferencetext"/>
      </w:pPr>
      <w:r w:rsidRPr="00F54649">
        <w:t xml:space="preserve">      Conference, ibsce, Shanghai, China.</w:t>
      </w:r>
    </w:p>
    <w:p w14:paraId="52E18B29" w14:textId="66B54E43" w:rsidR="00C713A3" w:rsidRDefault="00C713A3" w:rsidP="00C713A3">
      <w:pPr>
        <w:pStyle w:val="CETReferencetext"/>
      </w:pPr>
      <w:r w:rsidRPr="00C713A3">
        <w:t>Shams Yazdani, S., Mattam, A. J., &amp; Gonzalez, R. (2010). Fuel and Chemical Production from Glycerol, a Biodiesel Waste Product. In Biofuels from Agricultural Wastes and Byproducts (pp. 97–116). https://doi.org/10.1002/9780813822716.ch6</w:t>
      </w:r>
    </w:p>
    <w:p w14:paraId="54884A83" w14:textId="71971E5A" w:rsidR="009D1637" w:rsidRPr="00C713A3" w:rsidRDefault="009D1637" w:rsidP="009D1637">
      <w:pPr>
        <w:pStyle w:val="CETReferencetext"/>
      </w:pPr>
      <w:r>
        <w:t>Vadenboa, C., Toninib, D., Burgc, V., Fruergaard Astrupb, T., Theesc, O., Hellweg, S., Environmental optimization of biomass use for energy under alternative future energy scenarios for Switzerland. Biomass and Bioenergy 119 (2018) 462-472.</w:t>
      </w:r>
    </w:p>
    <w:p w14:paraId="35A231F8" w14:textId="0E975025" w:rsidR="00EB17B8" w:rsidRDefault="00C713A3" w:rsidP="00F54649">
      <w:pPr>
        <w:pStyle w:val="CETReferencetext"/>
      </w:pPr>
      <w:r w:rsidRPr="00C713A3">
        <w:t>Wongjaikham, W., Wongsawaeng, D., Ratnitsai, V., Kamjam, M., Ngaosuwan, K., Kiatkittipong, W., Hosemann, P., &amp; Assabumrungrat, S. (2021). Low-cost alternative biodiesel production apparatus based on household food blender for continuous biodiesel production for small communities. Scientific Reports, 11(1), 13827. https://doi.org/10.1038/s41598-021-93225-5</w:t>
      </w:r>
      <w:r>
        <w:fldChar w:fldCharType="end"/>
      </w:r>
    </w:p>
    <w:sectPr w:rsidR="00EB17B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B03C" w14:textId="77777777" w:rsidR="00DC6C02" w:rsidRDefault="00DC6C02" w:rsidP="004F5E36">
      <w:r>
        <w:separator/>
      </w:r>
    </w:p>
  </w:endnote>
  <w:endnote w:type="continuationSeparator" w:id="0">
    <w:p w14:paraId="214F32C1" w14:textId="77777777" w:rsidR="00DC6C02" w:rsidRDefault="00DC6C0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A7A1" w14:textId="77777777" w:rsidR="00DC6C02" w:rsidRDefault="00DC6C02" w:rsidP="004F5E36">
      <w:r>
        <w:separator/>
      </w:r>
    </w:p>
  </w:footnote>
  <w:footnote w:type="continuationSeparator" w:id="0">
    <w:p w14:paraId="1B5D7434" w14:textId="77777777" w:rsidR="00DC6C02" w:rsidRDefault="00DC6C02" w:rsidP="004F5E36">
      <w:r>
        <w:continuationSeparator/>
      </w:r>
    </w:p>
  </w:footnote>
  <w:footnote w:id="1">
    <w:p w14:paraId="2D995C5C" w14:textId="03A7CA01" w:rsidR="00166E2C" w:rsidRPr="00AF239D" w:rsidRDefault="00166E2C">
      <w:pPr>
        <w:pStyle w:val="FootnoteText"/>
        <w:rPr>
          <w:lang w:val="en-US"/>
        </w:rPr>
      </w:pPr>
      <w:r>
        <w:rPr>
          <w:rStyle w:val="FootnoteReference"/>
        </w:rPr>
        <w:footnoteRef/>
      </w:r>
      <w:r>
        <w:t xml:space="preserve"> </w:t>
      </w:r>
      <w:r>
        <w:rPr>
          <w:lang w:val="en-US"/>
        </w:rPr>
        <w:t>Equivalence ratio</w:t>
      </w:r>
      <w:r w:rsidR="002F13EC">
        <w:rPr>
          <w:lang w:val="en-US"/>
        </w:rPr>
        <w:t xml:space="preserve"> (</w:t>
      </w:r>
      <w:r w:rsidR="002F13EC">
        <w:rPr>
          <w:rFonts w:cs="Arial"/>
        </w:rPr>
        <w:t>Ø</w:t>
      </w:r>
      <w:r w:rsidR="002F13EC">
        <w:rPr>
          <w:lang w:val="en-US"/>
        </w:rPr>
        <w:t>)</w:t>
      </w:r>
      <w:r>
        <w:rPr>
          <w:lang w:val="en-US"/>
        </w:rPr>
        <w:t xml:space="preserve"> is </w:t>
      </w:r>
      <w:r w:rsidR="008D04E3">
        <w:rPr>
          <w:lang w:val="en-US"/>
        </w:rPr>
        <w:t>the</w:t>
      </w:r>
      <w:r w:rsidR="00161FA6">
        <w:rPr>
          <w:lang w:val="en-US"/>
        </w:rPr>
        <w:t xml:space="preserve"> stoichiometric</w:t>
      </w:r>
      <w:r w:rsidR="008D04E3">
        <w:rPr>
          <w:lang w:val="en-US"/>
        </w:rPr>
        <w:t xml:space="preserve"> </w:t>
      </w:r>
      <w:r w:rsidR="00C707BC">
        <w:rPr>
          <w:lang w:val="en-US"/>
        </w:rPr>
        <w:t>ratio of the air</w:t>
      </w:r>
      <w:r w:rsidR="003D3B31">
        <w:rPr>
          <w:lang w:val="en-US"/>
        </w:rPr>
        <w:t xml:space="preserve">/fuel </w:t>
      </w:r>
      <w:r w:rsidR="00C707BC">
        <w:rPr>
          <w:lang w:val="en-US"/>
        </w:rPr>
        <w:t xml:space="preserve">to the </w:t>
      </w:r>
      <w:r w:rsidR="00161FA6">
        <w:rPr>
          <w:lang w:val="en-US"/>
        </w:rPr>
        <w:t xml:space="preserve">actual </w:t>
      </w:r>
      <w:r w:rsidR="00C707BC">
        <w:rPr>
          <w:lang w:val="en-US"/>
        </w:rPr>
        <w:t>air</w:t>
      </w:r>
      <w:r w:rsidR="003D3B31">
        <w:rPr>
          <w:lang w:val="en-US"/>
        </w:rPr>
        <w:t>/</w:t>
      </w:r>
      <w:r w:rsidR="00C707BC">
        <w:rPr>
          <w:lang w:val="en-US"/>
        </w:rPr>
        <w:t xml:space="preserve"> fuel</w:t>
      </w:r>
      <w:r w:rsidR="00815D84">
        <w:rPr>
          <w:lang w:val="en-US"/>
        </w:rPr>
        <w:t>,</w:t>
      </w:r>
      <w:r w:rsidR="00161FA6">
        <w:rPr>
          <w:lang w:val="en-US"/>
        </w:rPr>
        <w:t xml:space="preserve"> where </w:t>
      </w:r>
      <w:r w:rsidR="002F13EC">
        <w:rPr>
          <w:rFonts w:cs="Arial"/>
        </w:rPr>
        <w:t>Ø&gt;1 is</w:t>
      </w:r>
      <w:r w:rsidR="00815D84">
        <w:rPr>
          <w:rFonts w:cs="Arial"/>
        </w:rPr>
        <w:t xml:space="preserve"> </w:t>
      </w:r>
      <w:r w:rsidR="006B2EF5">
        <w:rPr>
          <w:rFonts w:cs="Arial"/>
        </w:rPr>
        <w:t xml:space="preserve">fuel </w:t>
      </w:r>
      <w:r w:rsidR="00815D84">
        <w:rPr>
          <w:rFonts w:cs="Arial"/>
        </w:rPr>
        <w:t xml:space="preserve"> </w:t>
      </w:r>
      <w:r w:rsidR="003D3B31">
        <w:rPr>
          <w:rFonts w:cs="Arial"/>
        </w:rPr>
        <w:t>rich and Ø&lt;1 is</w:t>
      </w:r>
      <w:r w:rsidR="006B2EF5">
        <w:rPr>
          <w:rFonts w:cs="Arial"/>
        </w:rPr>
        <w:t xml:space="preserve"> fuel</w:t>
      </w:r>
      <w:r w:rsidR="00815D84">
        <w:rPr>
          <w:rFonts w:cs="Arial"/>
        </w:rPr>
        <w:t xml:space="preserve"> </w:t>
      </w:r>
      <w:r w:rsidR="003D3B31">
        <w:rPr>
          <w:rFonts w:cs="Arial"/>
        </w:rPr>
        <w:t xml:space="preserve">lean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D4AC9"/>
    <w:multiLevelType w:val="hybridMultilevel"/>
    <w:tmpl w:val="73ACF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F175BD1"/>
    <w:multiLevelType w:val="hybridMultilevel"/>
    <w:tmpl w:val="D0D4D002"/>
    <w:lvl w:ilvl="0" w:tplc="74D8E528">
      <w:start w:val="1"/>
      <w:numFmt w:val="decimal"/>
      <w:lvlText w:val="%1."/>
      <w:lvlJc w:val="left"/>
      <w:pPr>
        <w:ind w:left="360" w:hanging="360"/>
      </w:pPr>
      <w:rPr>
        <w:rFonts w:asciiTheme="minorHAnsi" w:eastAsiaTheme="minorHAnsi" w:hAnsiTheme="minorHAnsi" w:cstheme="minorBidi"/>
        <w:color w:val="auto"/>
        <w:vertAlign w:val="baseline"/>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F63236"/>
    <w:multiLevelType w:val="hybridMultilevel"/>
    <w:tmpl w:val="0BBA1CC8"/>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3655684"/>
    <w:multiLevelType w:val="hybridMultilevel"/>
    <w:tmpl w:val="F4AE7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4"/>
  </w:num>
  <w:num w:numId="16" w16cid:durableId="1977102699">
    <w:abstractNumId w:val="23"/>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5"/>
  </w:num>
  <w:num w:numId="22" w16cid:durableId="2099861471">
    <w:abstractNumId w:val="14"/>
  </w:num>
  <w:num w:numId="23" w16cid:durableId="557325453">
    <w:abstractNumId w:val="22"/>
  </w:num>
  <w:num w:numId="24" w16cid:durableId="807746932">
    <w:abstractNumId w:val="10"/>
  </w:num>
  <w:num w:numId="25" w16cid:durableId="495345209">
    <w:abstractNumId w:val="16"/>
  </w:num>
  <w:num w:numId="26" w16cid:durableId="1681739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097"/>
    <w:rsid w:val="000027C0"/>
    <w:rsid w:val="000037F0"/>
    <w:rsid w:val="000052FB"/>
    <w:rsid w:val="000067B1"/>
    <w:rsid w:val="00011208"/>
    <w:rsid w:val="000117CB"/>
    <w:rsid w:val="00017A64"/>
    <w:rsid w:val="0003148D"/>
    <w:rsid w:val="00031EEC"/>
    <w:rsid w:val="000412A5"/>
    <w:rsid w:val="00051566"/>
    <w:rsid w:val="00051DDE"/>
    <w:rsid w:val="000552BE"/>
    <w:rsid w:val="000562A9"/>
    <w:rsid w:val="00062A9A"/>
    <w:rsid w:val="00064618"/>
    <w:rsid w:val="00065058"/>
    <w:rsid w:val="000820FF"/>
    <w:rsid w:val="00082433"/>
    <w:rsid w:val="00083EAC"/>
    <w:rsid w:val="00086C39"/>
    <w:rsid w:val="000A03B2"/>
    <w:rsid w:val="000A112A"/>
    <w:rsid w:val="000C0BDE"/>
    <w:rsid w:val="000D0268"/>
    <w:rsid w:val="000D145E"/>
    <w:rsid w:val="000D2053"/>
    <w:rsid w:val="000D34BE"/>
    <w:rsid w:val="000E102F"/>
    <w:rsid w:val="000E36F1"/>
    <w:rsid w:val="000E3A73"/>
    <w:rsid w:val="000E414A"/>
    <w:rsid w:val="000E4617"/>
    <w:rsid w:val="000F093C"/>
    <w:rsid w:val="000F787B"/>
    <w:rsid w:val="001107CB"/>
    <w:rsid w:val="0012091F"/>
    <w:rsid w:val="00126BC2"/>
    <w:rsid w:val="00127B21"/>
    <w:rsid w:val="001308B6"/>
    <w:rsid w:val="0013121F"/>
    <w:rsid w:val="00131FE6"/>
    <w:rsid w:val="0013263F"/>
    <w:rsid w:val="001331DF"/>
    <w:rsid w:val="00134DE4"/>
    <w:rsid w:val="001364E2"/>
    <w:rsid w:val="0014034D"/>
    <w:rsid w:val="00144D16"/>
    <w:rsid w:val="00150E59"/>
    <w:rsid w:val="00151820"/>
    <w:rsid w:val="00152DE3"/>
    <w:rsid w:val="00161FA6"/>
    <w:rsid w:val="00164CF9"/>
    <w:rsid w:val="001667A6"/>
    <w:rsid w:val="00166E2C"/>
    <w:rsid w:val="0017063C"/>
    <w:rsid w:val="001751B8"/>
    <w:rsid w:val="00184AD6"/>
    <w:rsid w:val="0018733B"/>
    <w:rsid w:val="001A4AF7"/>
    <w:rsid w:val="001A4C07"/>
    <w:rsid w:val="001B0349"/>
    <w:rsid w:val="001B1E93"/>
    <w:rsid w:val="001B65C1"/>
    <w:rsid w:val="001C1575"/>
    <w:rsid w:val="001C17B9"/>
    <w:rsid w:val="001C6419"/>
    <w:rsid w:val="001C684B"/>
    <w:rsid w:val="001C7949"/>
    <w:rsid w:val="001D0CFB"/>
    <w:rsid w:val="001D21AF"/>
    <w:rsid w:val="001D53FC"/>
    <w:rsid w:val="001F42A5"/>
    <w:rsid w:val="001F7B9D"/>
    <w:rsid w:val="00201C93"/>
    <w:rsid w:val="0020343F"/>
    <w:rsid w:val="00215186"/>
    <w:rsid w:val="002224B4"/>
    <w:rsid w:val="002257F6"/>
    <w:rsid w:val="002447EF"/>
    <w:rsid w:val="002502C5"/>
    <w:rsid w:val="00251550"/>
    <w:rsid w:val="00263B05"/>
    <w:rsid w:val="0027221A"/>
    <w:rsid w:val="00273424"/>
    <w:rsid w:val="00275B61"/>
    <w:rsid w:val="00280FAF"/>
    <w:rsid w:val="00282656"/>
    <w:rsid w:val="00296B83"/>
    <w:rsid w:val="002A1806"/>
    <w:rsid w:val="002A399B"/>
    <w:rsid w:val="002B4015"/>
    <w:rsid w:val="002B5F13"/>
    <w:rsid w:val="002B78CE"/>
    <w:rsid w:val="002C1A3D"/>
    <w:rsid w:val="002C2FB6"/>
    <w:rsid w:val="002C61F1"/>
    <w:rsid w:val="002D0773"/>
    <w:rsid w:val="002D12D9"/>
    <w:rsid w:val="002E0015"/>
    <w:rsid w:val="002E5FA7"/>
    <w:rsid w:val="002F13EC"/>
    <w:rsid w:val="002F3309"/>
    <w:rsid w:val="003008CE"/>
    <w:rsid w:val="003009B7"/>
    <w:rsid w:val="00300E56"/>
    <w:rsid w:val="0030152C"/>
    <w:rsid w:val="003020F1"/>
    <w:rsid w:val="0030469C"/>
    <w:rsid w:val="00304A92"/>
    <w:rsid w:val="00307CD1"/>
    <w:rsid w:val="00315D78"/>
    <w:rsid w:val="00321CA6"/>
    <w:rsid w:val="00323763"/>
    <w:rsid w:val="00323C5F"/>
    <w:rsid w:val="00334578"/>
    <w:rsid w:val="00334C09"/>
    <w:rsid w:val="00335767"/>
    <w:rsid w:val="00345B21"/>
    <w:rsid w:val="00346AED"/>
    <w:rsid w:val="00353620"/>
    <w:rsid w:val="003604A4"/>
    <w:rsid w:val="0036259D"/>
    <w:rsid w:val="003714FB"/>
    <w:rsid w:val="003723D4"/>
    <w:rsid w:val="00381905"/>
    <w:rsid w:val="00384CC8"/>
    <w:rsid w:val="003871FD"/>
    <w:rsid w:val="00387AC7"/>
    <w:rsid w:val="00391AC0"/>
    <w:rsid w:val="003A1E30"/>
    <w:rsid w:val="003A2829"/>
    <w:rsid w:val="003A6FC6"/>
    <w:rsid w:val="003A7D1C"/>
    <w:rsid w:val="003B304B"/>
    <w:rsid w:val="003B3146"/>
    <w:rsid w:val="003D3B31"/>
    <w:rsid w:val="003D6867"/>
    <w:rsid w:val="003E215B"/>
    <w:rsid w:val="003F015E"/>
    <w:rsid w:val="00400414"/>
    <w:rsid w:val="0041446B"/>
    <w:rsid w:val="00417DB3"/>
    <w:rsid w:val="00422960"/>
    <w:rsid w:val="0043532C"/>
    <w:rsid w:val="0044071E"/>
    <w:rsid w:val="0044329C"/>
    <w:rsid w:val="00450D71"/>
    <w:rsid w:val="00453E24"/>
    <w:rsid w:val="00457456"/>
    <w:rsid w:val="004577FE"/>
    <w:rsid w:val="00457B9C"/>
    <w:rsid w:val="00460B46"/>
    <w:rsid w:val="0046164A"/>
    <w:rsid w:val="004628D2"/>
    <w:rsid w:val="00462DCD"/>
    <w:rsid w:val="004648AD"/>
    <w:rsid w:val="004703A9"/>
    <w:rsid w:val="004760DE"/>
    <w:rsid w:val="004763D7"/>
    <w:rsid w:val="004859FD"/>
    <w:rsid w:val="0049043A"/>
    <w:rsid w:val="00495BBF"/>
    <w:rsid w:val="004A004E"/>
    <w:rsid w:val="004A1619"/>
    <w:rsid w:val="004A24CF"/>
    <w:rsid w:val="004A6FDA"/>
    <w:rsid w:val="004C1869"/>
    <w:rsid w:val="004C3319"/>
    <w:rsid w:val="004C3D1D"/>
    <w:rsid w:val="004C3D84"/>
    <w:rsid w:val="004C7913"/>
    <w:rsid w:val="004E2FD2"/>
    <w:rsid w:val="004E4DD6"/>
    <w:rsid w:val="004F1F37"/>
    <w:rsid w:val="004F5A9E"/>
    <w:rsid w:val="004F5E36"/>
    <w:rsid w:val="004F5EED"/>
    <w:rsid w:val="00507B47"/>
    <w:rsid w:val="00507BEF"/>
    <w:rsid w:val="00507CC9"/>
    <w:rsid w:val="005119A5"/>
    <w:rsid w:val="00516AAC"/>
    <w:rsid w:val="00522A7B"/>
    <w:rsid w:val="005246C4"/>
    <w:rsid w:val="005278B7"/>
    <w:rsid w:val="00532016"/>
    <w:rsid w:val="005346C8"/>
    <w:rsid w:val="00535816"/>
    <w:rsid w:val="00535DF1"/>
    <w:rsid w:val="00540B9F"/>
    <w:rsid w:val="005421AE"/>
    <w:rsid w:val="00543E7D"/>
    <w:rsid w:val="00546AF6"/>
    <w:rsid w:val="00547A68"/>
    <w:rsid w:val="005531C9"/>
    <w:rsid w:val="005555DC"/>
    <w:rsid w:val="00561076"/>
    <w:rsid w:val="00570C43"/>
    <w:rsid w:val="00576249"/>
    <w:rsid w:val="005835BB"/>
    <w:rsid w:val="005850A4"/>
    <w:rsid w:val="005A39C9"/>
    <w:rsid w:val="005A634D"/>
    <w:rsid w:val="005B2110"/>
    <w:rsid w:val="005B234F"/>
    <w:rsid w:val="005B61E6"/>
    <w:rsid w:val="005C0651"/>
    <w:rsid w:val="005C4CE9"/>
    <w:rsid w:val="005C77E1"/>
    <w:rsid w:val="005D22D2"/>
    <w:rsid w:val="005D668A"/>
    <w:rsid w:val="005D6A2F"/>
    <w:rsid w:val="005E1A82"/>
    <w:rsid w:val="005E5282"/>
    <w:rsid w:val="005E77EE"/>
    <w:rsid w:val="005E794C"/>
    <w:rsid w:val="005E7A66"/>
    <w:rsid w:val="005E7C48"/>
    <w:rsid w:val="005F0587"/>
    <w:rsid w:val="005F0A28"/>
    <w:rsid w:val="005F0E5E"/>
    <w:rsid w:val="005F26C7"/>
    <w:rsid w:val="005F62BA"/>
    <w:rsid w:val="005F6D9C"/>
    <w:rsid w:val="00600505"/>
    <w:rsid w:val="00600535"/>
    <w:rsid w:val="00601553"/>
    <w:rsid w:val="00610CD6"/>
    <w:rsid w:val="006177F7"/>
    <w:rsid w:val="00620DEE"/>
    <w:rsid w:val="00620E83"/>
    <w:rsid w:val="00621F92"/>
    <w:rsid w:val="0062280A"/>
    <w:rsid w:val="00625639"/>
    <w:rsid w:val="00631B33"/>
    <w:rsid w:val="00636525"/>
    <w:rsid w:val="0064184D"/>
    <w:rsid w:val="006422CC"/>
    <w:rsid w:val="00645500"/>
    <w:rsid w:val="00652826"/>
    <w:rsid w:val="00660E3E"/>
    <w:rsid w:val="00662E74"/>
    <w:rsid w:val="0067002D"/>
    <w:rsid w:val="00675D15"/>
    <w:rsid w:val="00680C23"/>
    <w:rsid w:val="00682222"/>
    <w:rsid w:val="00693766"/>
    <w:rsid w:val="00695893"/>
    <w:rsid w:val="006A3281"/>
    <w:rsid w:val="006B2EF5"/>
    <w:rsid w:val="006B4888"/>
    <w:rsid w:val="006C0F0D"/>
    <w:rsid w:val="006C2E45"/>
    <w:rsid w:val="006C359C"/>
    <w:rsid w:val="006C4526"/>
    <w:rsid w:val="006C5579"/>
    <w:rsid w:val="006C7490"/>
    <w:rsid w:val="006D29E8"/>
    <w:rsid w:val="006D60F7"/>
    <w:rsid w:val="006D6E8B"/>
    <w:rsid w:val="006E1236"/>
    <w:rsid w:val="006E143E"/>
    <w:rsid w:val="006E3670"/>
    <w:rsid w:val="006E737D"/>
    <w:rsid w:val="00701D0B"/>
    <w:rsid w:val="00713973"/>
    <w:rsid w:val="00720A24"/>
    <w:rsid w:val="00726B0F"/>
    <w:rsid w:val="00730DFC"/>
    <w:rsid w:val="00732386"/>
    <w:rsid w:val="0073514D"/>
    <w:rsid w:val="007447F3"/>
    <w:rsid w:val="00745868"/>
    <w:rsid w:val="0074782A"/>
    <w:rsid w:val="0075499F"/>
    <w:rsid w:val="00761FB6"/>
    <w:rsid w:val="007661C8"/>
    <w:rsid w:val="0077098D"/>
    <w:rsid w:val="007729D1"/>
    <w:rsid w:val="00782FAF"/>
    <w:rsid w:val="00785B65"/>
    <w:rsid w:val="00790D1B"/>
    <w:rsid w:val="007931FA"/>
    <w:rsid w:val="007956F6"/>
    <w:rsid w:val="00795F45"/>
    <w:rsid w:val="007A0D2D"/>
    <w:rsid w:val="007A4861"/>
    <w:rsid w:val="007A7BBA"/>
    <w:rsid w:val="007B0C50"/>
    <w:rsid w:val="007B48F9"/>
    <w:rsid w:val="007C143B"/>
    <w:rsid w:val="007C1A43"/>
    <w:rsid w:val="007D0951"/>
    <w:rsid w:val="007F0CCB"/>
    <w:rsid w:val="007F79BC"/>
    <w:rsid w:val="0080013E"/>
    <w:rsid w:val="008040BF"/>
    <w:rsid w:val="008054F4"/>
    <w:rsid w:val="00813288"/>
    <w:rsid w:val="00815D84"/>
    <w:rsid w:val="008168FC"/>
    <w:rsid w:val="0083015F"/>
    <w:rsid w:val="00830996"/>
    <w:rsid w:val="008345F1"/>
    <w:rsid w:val="00836C53"/>
    <w:rsid w:val="00845ED0"/>
    <w:rsid w:val="00846D76"/>
    <w:rsid w:val="00856E9A"/>
    <w:rsid w:val="00864B96"/>
    <w:rsid w:val="00865B07"/>
    <w:rsid w:val="00865C59"/>
    <w:rsid w:val="008667EA"/>
    <w:rsid w:val="00874DC6"/>
    <w:rsid w:val="0087637F"/>
    <w:rsid w:val="00891DCE"/>
    <w:rsid w:val="00892AD5"/>
    <w:rsid w:val="008A1512"/>
    <w:rsid w:val="008A395C"/>
    <w:rsid w:val="008B0643"/>
    <w:rsid w:val="008B7C03"/>
    <w:rsid w:val="008C271D"/>
    <w:rsid w:val="008C5D2C"/>
    <w:rsid w:val="008D04E3"/>
    <w:rsid w:val="008D32B9"/>
    <w:rsid w:val="008D433B"/>
    <w:rsid w:val="008D4A16"/>
    <w:rsid w:val="008D5CD5"/>
    <w:rsid w:val="008D71D9"/>
    <w:rsid w:val="008D75B7"/>
    <w:rsid w:val="008E566E"/>
    <w:rsid w:val="008F1CAA"/>
    <w:rsid w:val="00900539"/>
    <w:rsid w:val="00900842"/>
    <w:rsid w:val="0090161A"/>
    <w:rsid w:val="00901EB6"/>
    <w:rsid w:val="00902790"/>
    <w:rsid w:val="00904C62"/>
    <w:rsid w:val="0090731F"/>
    <w:rsid w:val="00915DF2"/>
    <w:rsid w:val="00922BA8"/>
    <w:rsid w:val="00924DAC"/>
    <w:rsid w:val="00927058"/>
    <w:rsid w:val="00932255"/>
    <w:rsid w:val="00934DCE"/>
    <w:rsid w:val="00936908"/>
    <w:rsid w:val="00942750"/>
    <w:rsid w:val="00943EEB"/>
    <w:rsid w:val="00943FD1"/>
    <w:rsid w:val="009450CE"/>
    <w:rsid w:val="00945664"/>
    <w:rsid w:val="009459BB"/>
    <w:rsid w:val="00947179"/>
    <w:rsid w:val="0095164B"/>
    <w:rsid w:val="00954090"/>
    <w:rsid w:val="009573E7"/>
    <w:rsid w:val="009611D0"/>
    <w:rsid w:val="0096177F"/>
    <w:rsid w:val="009626C5"/>
    <w:rsid w:val="00963E05"/>
    <w:rsid w:val="00964A45"/>
    <w:rsid w:val="00965477"/>
    <w:rsid w:val="00967843"/>
    <w:rsid w:val="00967D54"/>
    <w:rsid w:val="00971028"/>
    <w:rsid w:val="0097772F"/>
    <w:rsid w:val="00992530"/>
    <w:rsid w:val="00993B84"/>
    <w:rsid w:val="00994F43"/>
    <w:rsid w:val="00996483"/>
    <w:rsid w:val="00996F5A"/>
    <w:rsid w:val="009A1EFF"/>
    <w:rsid w:val="009B041A"/>
    <w:rsid w:val="009C0BB9"/>
    <w:rsid w:val="009C1C12"/>
    <w:rsid w:val="009C37C3"/>
    <w:rsid w:val="009C5E74"/>
    <w:rsid w:val="009C7C86"/>
    <w:rsid w:val="009D1637"/>
    <w:rsid w:val="009D2FF7"/>
    <w:rsid w:val="009D7DD5"/>
    <w:rsid w:val="009E2D39"/>
    <w:rsid w:val="009E7089"/>
    <w:rsid w:val="009E7884"/>
    <w:rsid w:val="009E788A"/>
    <w:rsid w:val="009F0E08"/>
    <w:rsid w:val="009F6913"/>
    <w:rsid w:val="00A1320F"/>
    <w:rsid w:val="00A1763D"/>
    <w:rsid w:val="00A17CEC"/>
    <w:rsid w:val="00A27EF0"/>
    <w:rsid w:val="00A4225F"/>
    <w:rsid w:val="00A42361"/>
    <w:rsid w:val="00A50B20"/>
    <w:rsid w:val="00A51390"/>
    <w:rsid w:val="00A60D13"/>
    <w:rsid w:val="00A64256"/>
    <w:rsid w:val="00A7223D"/>
    <w:rsid w:val="00A72745"/>
    <w:rsid w:val="00A76EFC"/>
    <w:rsid w:val="00A87D50"/>
    <w:rsid w:val="00A91010"/>
    <w:rsid w:val="00A91EED"/>
    <w:rsid w:val="00A97F29"/>
    <w:rsid w:val="00AA702E"/>
    <w:rsid w:val="00AA7D26"/>
    <w:rsid w:val="00AB0964"/>
    <w:rsid w:val="00AB5011"/>
    <w:rsid w:val="00AC4C93"/>
    <w:rsid w:val="00AC7368"/>
    <w:rsid w:val="00AD16B9"/>
    <w:rsid w:val="00AD36B8"/>
    <w:rsid w:val="00AE377D"/>
    <w:rsid w:val="00AE535E"/>
    <w:rsid w:val="00AE6764"/>
    <w:rsid w:val="00AF0EBA"/>
    <w:rsid w:val="00AF239D"/>
    <w:rsid w:val="00B02C8A"/>
    <w:rsid w:val="00B075A4"/>
    <w:rsid w:val="00B1062B"/>
    <w:rsid w:val="00B1287E"/>
    <w:rsid w:val="00B17FBD"/>
    <w:rsid w:val="00B315A6"/>
    <w:rsid w:val="00B31813"/>
    <w:rsid w:val="00B33365"/>
    <w:rsid w:val="00B45965"/>
    <w:rsid w:val="00B46023"/>
    <w:rsid w:val="00B57B36"/>
    <w:rsid w:val="00B57E6F"/>
    <w:rsid w:val="00B6064C"/>
    <w:rsid w:val="00B65C95"/>
    <w:rsid w:val="00B8535F"/>
    <w:rsid w:val="00B8686D"/>
    <w:rsid w:val="00B93F69"/>
    <w:rsid w:val="00B95179"/>
    <w:rsid w:val="00BB06DF"/>
    <w:rsid w:val="00BB19D9"/>
    <w:rsid w:val="00BB1DDC"/>
    <w:rsid w:val="00BC2B2E"/>
    <w:rsid w:val="00BC30C9"/>
    <w:rsid w:val="00BC5107"/>
    <w:rsid w:val="00BD077D"/>
    <w:rsid w:val="00BE3E58"/>
    <w:rsid w:val="00C01616"/>
    <w:rsid w:val="00C0162B"/>
    <w:rsid w:val="00C03C4A"/>
    <w:rsid w:val="00C05E5C"/>
    <w:rsid w:val="00C068ED"/>
    <w:rsid w:val="00C22E0C"/>
    <w:rsid w:val="00C26D59"/>
    <w:rsid w:val="00C345B1"/>
    <w:rsid w:val="00C34DAB"/>
    <w:rsid w:val="00C40142"/>
    <w:rsid w:val="00C44E0A"/>
    <w:rsid w:val="00C52C3C"/>
    <w:rsid w:val="00C57182"/>
    <w:rsid w:val="00C57863"/>
    <w:rsid w:val="00C61221"/>
    <w:rsid w:val="00C61CC6"/>
    <w:rsid w:val="00C640AF"/>
    <w:rsid w:val="00C64B28"/>
    <w:rsid w:val="00C655FD"/>
    <w:rsid w:val="00C707BC"/>
    <w:rsid w:val="00C713A3"/>
    <w:rsid w:val="00C75407"/>
    <w:rsid w:val="00C77E2C"/>
    <w:rsid w:val="00C84778"/>
    <w:rsid w:val="00C870A8"/>
    <w:rsid w:val="00C94434"/>
    <w:rsid w:val="00CA0D4A"/>
    <w:rsid w:val="00CA0D75"/>
    <w:rsid w:val="00CA1C95"/>
    <w:rsid w:val="00CA53C4"/>
    <w:rsid w:val="00CA5A9C"/>
    <w:rsid w:val="00CC4C20"/>
    <w:rsid w:val="00CC657E"/>
    <w:rsid w:val="00CC6682"/>
    <w:rsid w:val="00CC6C70"/>
    <w:rsid w:val="00CD3517"/>
    <w:rsid w:val="00CD52BD"/>
    <w:rsid w:val="00CD5FE2"/>
    <w:rsid w:val="00CD660A"/>
    <w:rsid w:val="00CE0CAC"/>
    <w:rsid w:val="00CE6843"/>
    <w:rsid w:val="00CE7C68"/>
    <w:rsid w:val="00D02B4C"/>
    <w:rsid w:val="00D040C4"/>
    <w:rsid w:val="00D06D02"/>
    <w:rsid w:val="00D20AD1"/>
    <w:rsid w:val="00D32C1E"/>
    <w:rsid w:val="00D46B7E"/>
    <w:rsid w:val="00D51603"/>
    <w:rsid w:val="00D57C84"/>
    <w:rsid w:val="00D6057D"/>
    <w:rsid w:val="00D648EC"/>
    <w:rsid w:val="00D71640"/>
    <w:rsid w:val="00D80D8B"/>
    <w:rsid w:val="00D836C5"/>
    <w:rsid w:val="00D84576"/>
    <w:rsid w:val="00D84F80"/>
    <w:rsid w:val="00D871D5"/>
    <w:rsid w:val="00D93749"/>
    <w:rsid w:val="00DA1399"/>
    <w:rsid w:val="00DA24C6"/>
    <w:rsid w:val="00DA4D7B"/>
    <w:rsid w:val="00DB55B1"/>
    <w:rsid w:val="00DB797B"/>
    <w:rsid w:val="00DC48E5"/>
    <w:rsid w:val="00DC6C02"/>
    <w:rsid w:val="00DC7B3C"/>
    <w:rsid w:val="00DD271C"/>
    <w:rsid w:val="00DD2F62"/>
    <w:rsid w:val="00DD72C0"/>
    <w:rsid w:val="00DE264A"/>
    <w:rsid w:val="00DE3173"/>
    <w:rsid w:val="00DF2DC1"/>
    <w:rsid w:val="00DF3190"/>
    <w:rsid w:val="00DF5072"/>
    <w:rsid w:val="00E02D18"/>
    <w:rsid w:val="00E03D3F"/>
    <w:rsid w:val="00E041E7"/>
    <w:rsid w:val="00E06E89"/>
    <w:rsid w:val="00E15D39"/>
    <w:rsid w:val="00E23CA1"/>
    <w:rsid w:val="00E26F19"/>
    <w:rsid w:val="00E3062B"/>
    <w:rsid w:val="00E33DD7"/>
    <w:rsid w:val="00E35D39"/>
    <w:rsid w:val="00E409A8"/>
    <w:rsid w:val="00E50C12"/>
    <w:rsid w:val="00E65B91"/>
    <w:rsid w:val="00E705B3"/>
    <w:rsid w:val="00E7209D"/>
    <w:rsid w:val="00E72EAD"/>
    <w:rsid w:val="00E77223"/>
    <w:rsid w:val="00E80896"/>
    <w:rsid w:val="00E8199C"/>
    <w:rsid w:val="00E8528B"/>
    <w:rsid w:val="00E85B94"/>
    <w:rsid w:val="00E9455A"/>
    <w:rsid w:val="00E978D0"/>
    <w:rsid w:val="00EA4613"/>
    <w:rsid w:val="00EA7F91"/>
    <w:rsid w:val="00EB1523"/>
    <w:rsid w:val="00EB17B8"/>
    <w:rsid w:val="00EB3CA3"/>
    <w:rsid w:val="00EB544A"/>
    <w:rsid w:val="00EC0E49"/>
    <w:rsid w:val="00EC101F"/>
    <w:rsid w:val="00EC1D9F"/>
    <w:rsid w:val="00EC6859"/>
    <w:rsid w:val="00EE0131"/>
    <w:rsid w:val="00EE17B0"/>
    <w:rsid w:val="00EE661B"/>
    <w:rsid w:val="00EF06D9"/>
    <w:rsid w:val="00EF1243"/>
    <w:rsid w:val="00F3049E"/>
    <w:rsid w:val="00F30C64"/>
    <w:rsid w:val="00F32BA2"/>
    <w:rsid w:val="00F32CDB"/>
    <w:rsid w:val="00F42F21"/>
    <w:rsid w:val="00F46E0C"/>
    <w:rsid w:val="00F54649"/>
    <w:rsid w:val="00F565FE"/>
    <w:rsid w:val="00F63A70"/>
    <w:rsid w:val="00F63D8C"/>
    <w:rsid w:val="00F7534E"/>
    <w:rsid w:val="00F82065"/>
    <w:rsid w:val="00F93EDF"/>
    <w:rsid w:val="00FA1802"/>
    <w:rsid w:val="00FA21D0"/>
    <w:rsid w:val="00FA2CAC"/>
    <w:rsid w:val="00FA5F5F"/>
    <w:rsid w:val="00FB730C"/>
    <w:rsid w:val="00FC0A5C"/>
    <w:rsid w:val="00FC2695"/>
    <w:rsid w:val="00FC3E03"/>
    <w:rsid w:val="00FC3FC1"/>
    <w:rsid w:val="00FC4508"/>
    <w:rsid w:val="00FC4E18"/>
    <w:rsid w:val="00FE11D5"/>
    <w:rsid w:val="00FF213D"/>
    <w:rsid w:val="00FF4D7C"/>
    <w:rsid w:val="00FF774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8A395C"/>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48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paragraph" w:styleId="Revision">
    <w:name w:val="Revision"/>
    <w:hidden/>
    <w:uiPriority w:val="99"/>
    <w:semiHidden/>
    <w:rsid w:val="00965477"/>
    <w:pPr>
      <w:spacing w:after="0" w:line="240" w:lineRule="auto"/>
    </w:pPr>
    <w:rPr>
      <w:rFonts w:ascii="Arial" w:eastAsia="Times New Roman" w:hAnsi="Arial" w:cs="Times New Roman"/>
      <w:sz w:val="18"/>
      <w:szCs w:val="20"/>
      <w:lang w:val="en-GB"/>
    </w:rPr>
  </w:style>
  <w:style w:type="paragraph" w:customStyle="1" w:styleId="Objective">
    <w:name w:val="Objective"/>
    <w:basedOn w:val="Normal"/>
    <w:next w:val="BodyText"/>
    <w:rsid w:val="00745868"/>
    <w:pPr>
      <w:tabs>
        <w:tab w:val="clear" w:pos="7100"/>
      </w:tabs>
      <w:spacing w:before="240" w:after="220" w:line="220" w:lineRule="atLeast"/>
      <w:jc w:val="left"/>
    </w:pPr>
    <w:rPr>
      <w:rFonts w:eastAsia="Batang"/>
      <w:sz w:val="20"/>
    </w:rPr>
  </w:style>
  <w:style w:type="character" w:styleId="FootnoteReference">
    <w:name w:val="footnote reference"/>
    <w:basedOn w:val="DefaultParagraphFont"/>
    <w:uiPriority w:val="99"/>
    <w:semiHidden/>
    <w:unhideWhenUsed/>
    <w:rsid w:val="00166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45">
      <w:bodyDiv w:val="1"/>
      <w:marLeft w:val="0"/>
      <w:marRight w:val="0"/>
      <w:marTop w:val="0"/>
      <w:marBottom w:val="0"/>
      <w:divBdr>
        <w:top w:val="none" w:sz="0" w:space="0" w:color="auto"/>
        <w:left w:val="none" w:sz="0" w:space="0" w:color="auto"/>
        <w:bottom w:val="none" w:sz="0" w:space="0" w:color="auto"/>
        <w:right w:val="none" w:sz="0" w:space="0" w:color="auto"/>
      </w:divBdr>
    </w:div>
    <w:div w:id="64955337">
      <w:bodyDiv w:val="1"/>
      <w:marLeft w:val="0"/>
      <w:marRight w:val="0"/>
      <w:marTop w:val="0"/>
      <w:marBottom w:val="0"/>
      <w:divBdr>
        <w:top w:val="none" w:sz="0" w:space="0" w:color="auto"/>
        <w:left w:val="none" w:sz="0" w:space="0" w:color="auto"/>
        <w:bottom w:val="none" w:sz="0" w:space="0" w:color="auto"/>
        <w:right w:val="none" w:sz="0" w:space="0" w:color="auto"/>
      </w:divBdr>
    </w:div>
    <w:div w:id="348683526">
      <w:bodyDiv w:val="1"/>
      <w:marLeft w:val="0"/>
      <w:marRight w:val="0"/>
      <w:marTop w:val="0"/>
      <w:marBottom w:val="0"/>
      <w:divBdr>
        <w:top w:val="none" w:sz="0" w:space="0" w:color="auto"/>
        <w:left w:val="none" w:sz="0" w:space="0" w:color="auto"/>
        <w:bottom w:val="none" w:sz="0" w:space="0" w:color="auto"/>
        <w:right w:val="none" w:sz="0" w:space="0" w:color="auto"/>
      </w:divBdr>
    </w:div>
    <w:div w:id="414133733">
      <w:bodyDiv w:val="1"/>
      <w:marLeft w:val="0"/>
      <w:marRight w:val="0"/>
      <w:marTop w:val="0"/>
      <w:marBottom w:val="0"/>
      <w:divBdr>
        <w:top w:val="none" w:sz="0" w:space="0" w:color="auto"/>
        <w:left w:val="none" w:sz="0" w:space="0" w:color="auto"/>
        <w:bottom w:val="none" w:sz="0" w:space="0" w:color="auto"/>
        <w:right w:val="none" w:sz="0" w:space="0" w:color="auto"/>
      </w:divBdr>
    </w:div>
    <w:div w:id="573510735">
      <w:bodyDiv w:val="1"/>
      <w:marLeft w:val="0"/>
      <w:marRight w:val="0"/>
      <w:marTop w:val="0"/>
      <w:marBottom w:val="0"/>
      <w:divBdr>
        <w:top w:val="none" w:sz="0" w:space="0" w:color="auto"/>
        <w:left w:val="none" w:sz="0" w:space="0" w:color="auto"/>
        <w:bottom w:val="none" w:sz="0" w:space="0" w:color="auto"/>
        <w:right w:val="none" w:sz="0" w:space="0" w:color="auto"/>
      </w:divBdr>
    </w:div>
    <w:div w:id="73008418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889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7713869">
      <w:bodyDiv w:val="1"/>
      <w:marLeft w:val="0"/>
      <w:marRight w:val="0"/>
      <w:marTop w:val="0"/>
      <w:marBottom w:val="0"/>
      <w:divBdr>
        <w:top w:val="none" w:sz="0" w:space="0" w:color="auto"/>
        <w:left w:val="none" w:sz="0" w:space="0" w:color="auto"/>
        <w:bottom w:val="none" w:sz="0" w:space="0" w:color="auto"/>
        <w:right w:val="none" w:sz="0" w:space="0" w:color="auto"/>
      </w:divBdr>
    </w:div>
    <w:div w:id="167071888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95838">
      <w:bodyDiv w:val="1"/>
      <w:marLeft w:val="0"/>
      <w:marRight w:val="0"/>
      <w:marTop w:val="0"/>
      <w:marBottom w:val="0"/>
      <w:divBdr>
        <w:top w:val="none" w:sz="0" w:space="0" w:color="auto"/>
        <w:left w:val="none" w:sz="0" w:space="0" w:color="auto"/>
        <w:bottom w:val="none" w:sz="0" w:space="0" w:color="auto"/>
        <w:right w:val="none" w:sz="0" w:space="0" w:color="auto"/>
      </w:divBdr>
    </w:div>
    <w:div w:id="1810395212">
      <w:bodyDiv w:val="1"/>
      <w:marLeft w:val="0"/>
      <w:marRight w:val="0"/>
      <w:marTop w:val="0"/>
      <w:marBottom w:val="0"/>
      <w:divBdr>
        <w:top w:val="none" w:sz="0" w:space="0" w:color="auto"/>
        <w:left w:val="none" w:sz="0" w:space="0" w:color="auto"/>
        <w:bottom w:val="none" w:sz="0" w:space="0" w:color="auto"/>
        <w:right w:val="none" w:sz="0" w:space="0" w:color="auto"/>
      </w:divBdr>
    </w:div>
    <w:div w:id="1890653544">
      <w:bodyDiv w:val="1"/>
      <w:marLeft w:val="0"/>
      <w:marRight w:val="0"/>
      <w:marTop w:val="0"/>
      <w:marBottom w:val="0"/>
      <w:divBdr>
        <w:top w:val="none" w:sz="0" w:space="0" w:color="auto"/>
        <w:left w:val="none" w:sz="0" w:space="0" w:color="auto"/>
        <w:bottom w:val="none" w:sz="0" w:space="0" w:color="auto"/>
        <w:right w:val="none" w:sz="0" w:space="0" w:color="auto"/>
      </w:divBdr>
    </w:div>
    <w:div w:id="1967003314">
      <w:bodyDiv w:val="1"/>
      <w:marLeft w:val="0"/>
      <w:marRight w:val="0"/>
      <w:marTop w:val="0"/>
      <w:marBottom w:val="0"/>
      <w:divBdr>
        <w:top w:val="none" w:sz="0" w:space="0" w:color="auto"/>
        <w:left w:val="none" w:sz="0" w:space="0" w:color="auto"/>
        <w:bottom w:val="none" w:sz="0" w:space="0" w:color="auto"/>
        <w:right w:val="none" w:sz="0" w:space="0" w:color="auto"/>
      </w:divBdr>
    </w:div>
    <w:div w:id="1980959727">
      <w:bodyDiv w:val="1"/>
      <w:marLeft w:val="0"/>
      <w:marRight w:val="0"/>
      <w:marTop w:val="0"/>
      <w:marBottom w:val="0"/>
      <w:divBdr>
        <w:top w:val="none" w:sz="0" w:space="0" w:color="auto"/>
        <w:left w:val="none" w:sz="0" w:space="0" w:color="auto"/>
        <w:bottom w:val="none" w:sz="0" w:space="0" w:color="auto"/>
        <w:right w:val="none" w:sz="0" w:space="0" w:color="auto"/>
      </w:divBdr>
    </w:div>
    <w:div w:id="1985348000">
      <w:bodyDiv w:val="1"/>
      <w:marLeft w:val="0"/>
      <w:marRight w:val="0"/>
      <w:marTop w:val="0"/>
      <w:marBottom w:val="0"/>
      <w:divBdr>
        <w:top w:val="none" w:sz="0" w:space="0" w:color="auto"/>
        <w:left w:val="none" w:sz="0" w:space="0" w:color="auto"/>
        <w:bottom w:val="none" w:sz="0" w:space="0" w:color="auto"/>
        <w:right w:val="none" w:sz="0" w:space="0" w:color="auto"/>
      </w:divBdr>
    </w:div>
    <w:div w:id="2025747141">
      <w:bodyDiv w:val="1"/>
      <w:marLeft w:val="0"/>
      <w:marRight w:val="0"/>
      <w:marTop w:val="0"/>
      <w:marBottom w:val="0"/>
      <w:divBdr>
        <w:top w:val="none" w:sz="0" w:space="0" w:color="auto"/>
        <w:left w:val="none" w:sz="0" w:space="0" w:color="auto"/>
        <w:bottom w:val="none" w:sz="0" w:space="0" w:color="auto"/>
        <w:right w:val="none" w:sz="0" w:space="0" w:color="auto"/>
      </w:divBdr>
    </w:div>
    <w:div w:id="203006077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908478">
      <w:bodyDiv w:val="1"/>
      <w:marLeft w:val="0"/>
      <w:marRight w:val="0"/>
      <w:marTop w:val="0"/>
      <w:marBottom w:val="0"/>
      <w:divBdr>
        <w:top w:val="none" w:sz="0" w:space="0" w:color="auto"/>
        <w:left w:val="none" w:sz="0" w:space="0" w:color="auto"/>
        <w:bottom w:val="none" w:sz="0" w:space="0" w:color="auto"/>
        <w:right w:val="none" w:sz="0" w:space="0" w:color="auto"/>
      </w:divBdr>
      <w:divsChild>
        <w:div w:id="1639068285">
          <w:marLeft w:val="480"/>
          <w:marRight w:val="0"/>
          <w:marTop w:val="0"/>
          <w:marBottom w:val="0"/>
          <w:divBdr>
            <w:top w:val="none" w:sz="0" w:space="0" w:color="auto"/>
            <w:left w:val="none" w:sz="0" w:space="0" w:color="auto"/>
            <w:bottom w:val="none" w:sz="0" w:space="0" w:color="auto"/>
            <w:right w:val="none" w:sz="0" w:space="0" w:color="auto"/>
          </w:divBdr>
          <w:divsChild>
            <w:div w:id="1126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3988</Words>
  <Characters>22735</Characters>
  <Application>Microsoft Office Word</Application>
  <DocSecurity>0</DocSecurity>
  <Lines>189</Lines>
  <Paragraphs>53</Paragraphs>
  <ScaleCrop>false</ScaleCrop>
  <HeadingPairs>
    <vt:vector size="6" baseType="variant">
      <vt:variant>
        <vt:lpstr>Title</vt:lpstr>
      </vt:variant>
      <vt:variant>
        <vt:i4>1</vt:i4>
      </vt:variant>
      <vt:variant>
        <vt:lpstr>Headings</vt:lpstr>
      </vt:variant>
      <vt:variant>
        <vt:i4>1</vt:i4>
      </vt:variant>
      <vt:variant>
        <vt:lpstr>Titolo</vt:lpstr>
      </vt:variant>
      <vt:variant>
        <vt:i4>1</vt:i4>
      </vt:variant>
    </vt:vector>
  </HeadingPairs>
  <TitlesOfParts>
    <vt:vector size="3" baseType="lpstr">
      <vt:lpstr/>
      <vt:lpstr>Glycerol and glycerol/water gasification for the decarbonisation of industrial h</vt:lpstr>
      <vt:lpstr/>
    </vt:vector>
  </TitlesOfParts>
  <Company>Dipartimento CMIC - Politecnico di Milano</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Ramon Quinonez</cp:lastModifiedBy>
  <cp:revision>3</cp:revision>
  <cp:lastPrinted>2015-05-12T18:31:00Z</cp:lastPrinted>
  <dcterms:created xsi:type="dcterms:W3CDTF">2023-06-14T11:04:00Z</dcterms:created>
  <dcterms:modified xsi:type="dcterms:W3CDTF">2023-06-14T11:20:00Z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id="AlbYXCL1"/&gt;&lt;style id="http://www.zotero.org/styles/apa" locale="en-GB" hasBibliography="1" bibliographyStyleHasBeenSet="1"/&gt;&lt;prefs&gt;&lt;pref name="fieldType" value="Field"/&gt;&lt;pref name="storeReference</vt:lpwstr>
  </property>
  <property fmtid="{D5CDD505-2E9C-101B-9397-08002B2CF9AE}" pid="3" name="ZOTERO_PREF_2">
    <vt:lpwstr>s" value="true"/&gt;&lt;/prefs&gt;&lt;/data&gt;</vt:lpwstr>
  </property>
</Properties>
</file>