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60412F"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275CBB"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331C4CC0" wp14:editId="5FB91E84">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p>
          <w:p w14:paraId="103CF3C3" w14:textId="77777777" w:rsidR="000A03B2" w:rsidRPr="00B57B36" w:rsidRDefault="000A03B2" w:rsidP="00DE264A">
            <w:pPr>
              <w:tabs>
                <w:tab w:val="left" w:pos="-108"/>
              </w:tabs>
              <w:ind w:left="-108"/>
              <w:jc w:val="left"/>
              <w:rPr>
                <w:rFonts w:cs="Arial"/>
                <w:b/>
                <w:bCs/>
                <w:i/>
                <w:iCs/>
                <w:color w:val="000066"/>
                <w:sz w:val="12"/>
                <w:szCs w:val="12"/>
                <w:lang w:eastAsia="it-IT"/>
              </w:rPr>
            </w:pPr>
          </w:p>
          <w:p w14:paraId="4B780582" w14:textId="530285EB" w:rsidR="000A03B2" w:rsidRPr="00B57B36" w:rsidRDefault="00275CBB"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275CBB"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275CBB" w:rsidP="00CD5FE2">
            <w:pPr>
              <w:jc w:val="right"/>
            </w:pPr>
            <w:r w:rsidRPr="00B57B36">
              <w:rPr>
                <w:noProof/>
                <w:lang w:eastAsia="en-GB"/>
              </w:rPr>
              <w:drawing>
                <wp:inline distT="0" distB="0" distL="0" distR="0" wp14:anchorId="5BD493B4" wp14:editId="053353DC">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70560" cy="358140"/>
                          </a:xfrm>
                          <a:prstGeom prst="rect">
                            <a:avLst/>
                          </a:prstGeom>
                          <a:noFill/>
                          <a:ln>
                            <a:noFill/>
                          </a:ln>
                        </pic:spPr>
                      </pic:pic>
                    </a:graphicData>
                  </a:graphic>
                </wp:inline>
              </w:drawing>
            </w:r>
          </w:p>
        </w:tc>
      </w:tr>
      <w:tr w:rsidR="0060412F"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275CBB"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275CBB"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275CBB" w:rsidP="00CD5FE2">
            <w:pPr>
              <w:spacing w:line="140" w:lineRule="atLeast"/>
              <w:jc w:val="right"/>
              <w:rPr>
                <w:rFonts w:cs="Arial"/>
                <w:sz w:val="13"/>
                <w:szCs w:val="13"/>
              </w:rPr>
            </w:pPr>
            <w:r w:rsidRPr="000D0268">
              <w:rPr>
                <w:rFonts w:cs="Arial"/>
                <w:sz w:val="13"/>
                <w:szCs w:val="13"/>
              </w:rPr>
              <w:t>Online at www.cetjournal.it</w:t>
            </w:r>
          </w:p>
        </w:tc>
      </w:tr>
      <w:tr w:rsidR="0060412F" w14:paraId="2D1B7169" w14:textId="77777777" w:rsidTr="00DE264A">
        <w:trPr>
          <w:trHeight w:val="68"/>
          <w:jc w:val="center"/>
        </w:trPr>
        <w:tc>
          <w:tcPr>
            <w:tcW w:w="8789" w:type="dxa"/>
            <w:gridSpan w:val="2"/>
          </w:tcPr>
          <w:p w14:paraId="1D8DD3C9" w14:textId="10669D10" w:rsidR="00AA7D26" w:rsidRPr="005E7C48" w:rsidRDefault="00275CBB"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275CBB"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p>
          <w:p w14:paraId="5FAB5D6F" w14:textId="77777777" w:rsidR="000A03B2" w:rsidRPr="00B57B36" w:rsidRDefault="00275CBB" w:rsidP="00AA7D26">
            <w:pPr>
              <w:tabs>
                <w:tab w:val="left" w:pos="-108"/>
              </w:tabs>
              <w:spacing w:line="140" w:lineRule="atLeast"/>
              <w:ind w:left="-107"/>
              <w:jc w:val="left"/>
            </w:pP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219D587" w14:textId="24C62E9F" w:rsidR="00C33C5A" w:rsidRPr="00127768" w:rsidRDefault="00275CBB" w:rsidP="00E978D0">
      <w:pPr>
        <w:pStyle w:val="CETTitle"/>
      </w:pPr>
      <w:r w:rsidRPr="00127768">
        <w:t xml:space="preserve">An experimental investigation of Electrodialysis with </w:t>
      </w:r>
      <w:r w:rsidR="001302F3" w:rsidRPr="00127768">
        <w:t>B</w:t>
      </w:r>
      <w:r w:rsidRPr="00127768">
        <w:t xml:space="preserve">ipolar </w:t>
      </w:r>
      <w:r w:rsidR="001302F3" w:rsidRPr="00127768">
        <w:t>M</w:t>
      </w:r>
      <w:r w:rsidRPr="00127768">
        <w:t>embranes long-run performances with real solutions from saltworks</w:t>
      </w:r>
    </w:p>
    <w:p w14:paraId="75592A95" w14:textId="550F29A2" w:rsidR="00C33C5A" w:rsidRPr="00127768" w:rsidRDefault="00275CBB" w:rsidP="00C33C5A">
      <w:pPr>
        <w:pStyle w:val="Paragrafoelenco"/>
        <w:ind w:left="142"/>
        <w:rPr>
          <w:rFonts w:cs="Arial"/>
          <w:sz w:val="28"/>
          <w:szCs w:val="28"/>
          <w:lang w:val="it-IT"/>
        </w:rPr>
      </w:pPr>
      <w:r w:rsidRPr="00127768">
        <w:rPr>
          <w:rFonts w:cs="Arial"/>
          <w:sz w:val="24"/>
          <w:szCs w:val="24"/>
          <w:lang w:val="it-IT"/>
        </w:rPr>
        <w:t xml:space="preserve">Antonia </w:t>
      </w:r>
      <w:proofErr w:type="spellStart"/>
      <w:r w:rsidRPr="00127768">
        <w:rPr>
          <w:rFonts w:cs="Arial"/>
          <w:sz w:val="24"/>
          <w:szCs w:val="24"/>
          <w:lang w:val="it-IT"/>
        </w:rPr>
        <w:t>Filingeri</w:t>
      </w:r>
      <w:r w:rsidRPr="00127768">
        <w:rPr>
          <w:rFonts w:cs="Arial"/>
          <w:sz w:val="24"/>
          <w:szCs w:val="24"/>
          <w:vertAlign w:val="superscript"/>
          <w:lang w:val="it-IT"/>
        </w:rPr>
        <w:t>a</w:t>
      </w:r>
      <w:proofErr w:type="spellEnd"/>
      <w:r w:rsidRPr="00127768">
        <w:rPr>
          <w:rFonts w:cs="Arial"/>
          <w:sz w:val="24"/>
          <w:szCs w:val="24"/>
          <w:lang w:val="it-IT"/>
        </w:rPr>
        <w:t xml:space="preserve">, Andrea </w:t>
      </w:r>
      <w:proofErr w:type="spellStart"/>
      <w:r w:rsidRPr="00127768">
        <w:rPr>
          <w:rFonts w:cs="Arial"/>
          <w:sz w:val="24"/>
          <w:szCs w:val="24"/>
          <w:lang w:val="it-IT"/>
        </w:rPr>
        <w:t>Culcasi</w:t>
      </w:r>
      <w:r w:rsidRPr="00127768">
        <w:rPr>
          <w:rFonts w:cs="Arial"/>
          <w:sz w:val="24"/>
          <w:szCs w:val="24"/>
          <w:vertAlign w:val="superscript"/>
          <w:lang w:val="it-IT"/>
        </w:rPr>
        <w:t>a</w:t>
      </w:r>
      <w:proofErr w:type="spellEnd"/>
      <w:r w:rsidRPr="00127768">
        <w:rPr>
          <w:rFonts w:cs="Arial"/>
          <w:sz w:val="24"/>
          <w:szCs w:val="24"/>
          <w:lang w:val="it-IT"/>
        </w:rPr>
        <w:t xml:space="preserve">, Sarah </w:t>
      </w:r>
      <w:proofErr w:type="spellStart"/>
      <w:r w:rsidRPr="00127768">
        <w:rPr>
          <w:rFonts w:cs="Arial"/>
          <w:sz w:val="24"/>
          <w:szCs w:val="24"/>
          <w:lang w:val="it-IT"/>
        </w:rPr>
        <w:t>Mueller</w:t>
      </w:r>
      <w:r w:rsidRPr="00127768">
        <w:rPr>
          <w:rFonts w:cs="Arial"/>
          <w:sz w:val="24"/>
          <w:szCs w:val="24"/>
          <w:vertAlign w:val="superscript"/>
          <w:lang w:val="it-IT"/>
        </w:rPr>
        <w:t>b</w:t>
      </w:r>
      <w:proofErr w:type="spellEnd"/>
      <w:r w:rsidRPr="00127768">
        <w:rPr>
          <w:rFonts w:cs="Arial"/>
          <w:sz w:val="24"/>
          <w:szCs w:val="24"/>
          <w:lang w:val="it-IT"/>
        </w:rPr>
        <w:t xml:space="preserve">, Julio </w:t>
      </w:r>
      <w:proofErr w:type="spellStart"/>
      <w:r w:rsidRPr="00127768">
        <w:rPr>
          <w:rFonts w:cs="Arial"/>
          <w:sz w:val="24"/>
          <w:szCs w:val="24"/>
          <w:lang w:val="it-IT"/>
        </w:rPr>
        <w:t>Lopez</w:t>
      </w:r>
      <w:r w:rsidRPr="00127768">
        <w:rPr>
          <w:rFonts w:cs="Arial"/>
          <w:sz w:val="24"/>
          <w:szCs w:val="24"/>
          <w:vertAlign w:val="superscript"/>
          <w:lang w:val="it-IT"/>
        </w:rPr>
        <w:t>c</w:t>
      </w:r>
      <w:proofErr w:type="spellEnd"/>
      <w:r w:rsidRPr="00127768">
        <w:rPr>
          <w:rFonts w:cs="Arial"/>
          <w:sz w:val="24"/>
          <w:szCs w:val="24"/>
          <w:lang w:val="it-IT"/>
        </w:rPr>
        <w:t xml:space="preserve">, Alessandro </w:t>
      </w:r>
      <w:proofErr w:type="spellStart"/>
      <w:r w:rsidRPr="00127768">
        <w:rPr>
          <w:rFonts w:cs="Arial"/>
          <w:sz w:val="24"/>
          <w:szCs w:val="24"/>
          <w:lang w:val="it-IT"/>
        </w:rPr>
        <w:t>Tamburini</w:t>
      </w:r>
      <w:r w:rsidRPr="00127768">
        <w:rPr>
          <w:rFonts w:cs="Arial"/>
          <w:sz w:val="24"/>
          <w:szCs w:val="24"/>
          <w:vertAlign w:val="superscript"/>
          <w:lang w:val="it-IT"/>
        </w:rPr>
        <w:t>a</w:t>
      </w:r>
      <w:proofErr w:type="spellEnd"/>
      <w:r w:rsidRPr="00127768">
        <w:rPr>
          <w:rFonts w:cs="Arial"/>
          <w:sz w:val="24"/>
          <w:szCs w:val="24"/>
          <w:lang w:val="it-IT"/>
        </w:rPr>
        <w:t xml:space="preserve">, Christian </w:t>
      </w:r>
      <w:proofErr w:type="spellStart"/>
      <w:r w:rsidRPr="00127768">
        <w:rPr>
          <w:rFonts w:cs="Arial"/>
          <w:sz w:val="24"/>
          <w:szCs w:val="24"/>
          <w:lang w:val="it-IT"/>
        </w:rPr>
        <w:t>Linnartz</w:t>
      </w:r>
      <w:r w:rsidRPr="00127768">
        <w:rPr>
          <w:rFonts w:cs="Arial"/>
          <w:sz w:val="24"/>
          <w:szCs w:val="24"/>
          <w:vertAlign w:val="superscript"/>
          <w:lang w:val="it-IT"/>
        </w:rPr>
        <w:t>b</w:t>
      </w:r>
      <w:proofErr w:type="spellEnd"/>
      <w:r w:rsidRPr="00127768">
        <w:rPr>
          <w:rFonts w:cs="Arial"/>
          <w:sz w:val="24"/>
          <w:szCs w:val="24"/>
          <w:lang w:val="it-IT"/>
        </w:rPr>
        <w:t xml:space="preserve">, José Luis </w:t>
      </w:r>
      <w:proofErr w:type="spellStart"/>
      <w:r w:rsidRPr="00127768">
        <w:rPr>
          <w:rFonts w:cs="Arial"/>
          <w:sz w:val="24"/>
          <w:szCs w:val="24"/>
          <w:lang w:val="it-IT"/>
        </w:rPr>
        <w:t>Cortina</w:t>
      </w:r>
      <w:r w:rsidRPr="00127768">
        <w:rPr>
          <w:rFonts w:cs="Arial"/>
          <w:sz w:val="24"/>
          <w:szCs w:val="24"/>
          <w:vertAlign w:val="superscript"/>
          <w:lang w:val="it-IT"/>
        </w:rPr>
        <w:t>c</w:t>
      </w:r>
      <w:proofErr w:type="spellEnd"/>
      <w:r w:rsidRPr="00127768">
        <w:rPr>
          <w:rFonts w:cs="Arial"/>
          <w:sz w:val="24"/>
          <w:szCs w:val="24"/>
          <w:lang w:val="it-IT"/>
        </w:rPr>
        <w:t xml:space="preserve">, Andrea </w:t>
      </w:r>
      <w:proofErr w:type="spellStart"/>
      <w:r w:rsidRPr="00127768">
        <w:rPr>
          <w:rFonts w:cs="Arial"/>
          <w:sz w:val="24"/>
          <w:szCs w:val="24"/>
          <w:lang w:val="it-IT"/>
        </w:rPr>
        <w:t>Cipollina</w:t>
      </w:r>
      <w:r w:rsidRPr="00127768">
        <w:rPr>
          <w:rFonts w:cs="Arial"/>
          <w:sz w:val="24"/>
          <w:szCs w:val="24"/>
          <w:vertAlign w:val="superscript"/>
          <w:lang w:val="it-IT"/>
        </w:rPr>
        <w:t>a</w:t>
      </w:r>
      <w:proofErr w:type="spellEnd"/>
      <w:r w:rsidRPr="00127768">
        <w:rPr>
          <w:rFonts w:cs="Arial"/>
          <w:sz w:val="24"/>
          <w:szCs w:val="24"/>
          <w:lang w:val="it-IT"/>
        </w:rPr>
        <w:t xml:space="preserve">, Giorgio </w:t>
      </w:r>
      <w:proofErr w:type="spellStart"/>
      <w:r w:rsidRPr="00127768">
        <w:rPr>
          <w:rFonts w:cs="Arial"/>
          <w:sz w:val="24"/>
          <w:szCs w:val="24"/>
          <w:lang w:val="it-IT"/>
        </w:rPr>
        <w:t>Micale</w:t>
      </w:r>
      <w:r w:rsidRPr="00127768">
        <w:rPr>
          <w:rFonts w:cs="Arial"/>
          <w:sz w:val="24"/>
          <w:szCs w:val="24"/>
          <w:vertAlign w:val="superscript"/>
          <w:lang w:val="it-IT"/>
        </w:rPr>
        <w:t>a</w:t>
      </w:r>
      <w:proofErr w:type="spellEnd"/>
    </w:p>
    <w:p w14:paraId="5BB1989F" w14:textId="426F7D5A" w:rsidR="00C33C5A" w:rsidRPr="00127768" w:rsidRDefault="00275CBB" w:rsidP="00B57E6F">
      <w:pPr>
        <w:pStyle w:val="CETAddress"/>
        <w:rPr>
          <w:rFonts w:cs="Arial"/>
          <w:szCs w:val="16"/>
          <w:vertAlign w:val="superscript"/>
          <w:lang w:val="it-IT"/>
        </w:rPr>
      </w:pPr>
      <w:r w:rsidRPr="00127768">
        <w:rPr>
          <w:rFonts w:cs="Arial"/>
          <w:szCs w:val="16"/>
          <w:vertAlign w:val="superscript"/>
          <w:lang w:val="it-IT"/>
        </w:rPr>
        <w:t>a</w:t>
      </w:r>
      <w:r w:rsidRPr="00127768">
        <w:rPr>
          <w:rFonts w:eastAsia="MS PGothic" w:cs="Arial"/>
          <w:i/>
          <w:iCs/>
          <w:color w:val="000000"/>
          <w:szCs w:val="16"/>
          <w:lang w:val="it-IT"/>
        </w:rPr>
        <w:t>Dipartimento di Ingegneria, Università degli Studi di Palermo, Viale delle Scienze Ed. 6, 90128 Palermo, Italy</w:t>
      </w:r>
    </w:p>
    <w:p w14:paraId="3D72B0B0" w14:textId="67C4B76D" w:rsidR="00B57E6F" w:rsidRPr="00127768" w:rsidRDefault="00275CBB" w:rsidP="00B57E6F">
      <w:pPr>
        <w:pStyle w:val="CETAddress"/>
        <w:rPr>
          <w:rFonts w:cs="Arial"/>
          <w:szCs w:val="16"/>
          <w:lang w:val="en-US"/>
        </w:rPr>
      </w:pPr>
      <w:r w:rsidRPr="00127768">
        <w:rPr>
          <w:rFonts w:cs="Arial"/>
          <w:szCs w:val="16"/>
          <w:vertAlign w:val="superscript"/>
          <w:lang w:val="en-US"/>
        </w:rPr>
        <w:t>b</w:t>
      </w:r>
      <w:r w:rsidR="00C33C5A" w:rsidRPr="00127768">
        <w:rPr>
          <w:rFonts w:eastAsia="MS PGothic" w:cs="Arial"/>
          <w:i/>
          <w:iCs/>
          <w:color w:val="000000"/>
          <w:szCs w:val="16"/>
        </w:rPr>
        <w:t>Department of Chemical Engineering, RWTH Aachen University</w:t>
      </w:r>
      <w:r w:rsidRPr="00127768">
        <w:rPr>
          <w:rFonts w:cs="Arial"/>
          <w:szCs w:val="16"/>
          <w:lang w:val="en-US"/>
        </w:rPr>
        <w:t xml:space="preserve"> </w:t>
      </w:r>
    </w:p>
    <w:p w14:paraId="65E68036" w14:textId="77777777" w:rsidR="008A5F23" w:rsidRPr="00127768" w:rsidRDefault="00275CBB" w:rsidP="008A5F23">
      <w:pPr>
        <w:pStyle w:val="CETemail"/>
        <w:spacing w:after="0"/>
        <w:rPr>
          <w:rFonts w:cs="Arial"/>
          <w:i/>
          <w:iCs/>
          <w:szCs w:val="16"/>
          <w:lang w:val="en-US"/>
        </w:rPr>
      </w:pPr>
      <w:r w:rsidRPr="00127768">
        <w:rPr>
          <w:rFonts w:cs="Arial"/>
          <w:szCs w:val="16"/>
          <w:vertAlign w:val="superscript"/>
          <w:lang w:val="en-US"/>
        </w:rPr>
        <w:t>c</w:t>
      </w:r>
      <w:r w:rsidRPr="00127768">
        <w:rPr>
          <w:rFonts w:cs="Arial"/>
          <w:i/>
          <w:iCs/>
          <w:szCs w:val="16"/>
          <w:lang w:val="en-US"/>
        </w:rPr>
        <w:t>Chemical Engineering Department, UPC-BarcelonaTECH, Barcelona, Spain</w:t>
      </w:r>
    </w:p>
    <w:p w14:paraId="26382753" w14:textId="3CDF8462" w:rsidR="00906D08" w:rsidRPr="00127768" w:rsidRDefault="00275CBB" w:rsidP="008A5F23">
      <w:pPr>
        <w:pStyle w:val="CETemail"/>
        <w:spacing w:after="120"/>
        <w:rPr>
          <w:lang w:val="en-US"/>
        </w:rPr>
      </w:pPr>
      <w:r w:rsidRPr="00127768">
        <w:rPr>
          <w:lang w:val="en-US"/>
        </w:rPr>
        <w:t>corresponding</w:t>
      </w:r>
      <w:r w:rsidR="005B4DE6" w:rsidRPr="00127768">
        <w:rPr>
          <w:lang w:val="en-US"/>
        </w:rPr>
        <w:t xml:space="preserve"> </w:t>
      </w:r>
      <w:r w:rsidRPr="00127768">
        <w:rPr>
          <w:lang w:val="en-US"/>
        </w:rPr>
        <w:t>author</w:t>
      </w:r>
      <w:r w:rsidR="005B4DE6" w:rsidRPr="00127768">
        <w:rPr>
          <w:lang w:val="en-US"/>
        </w:rPr>
        <w:t xml:space="preserve"> : </w:t>
      </w:r>
      <w:hyperlink r:id="rId8" w:history="1">
        <w:r w:rsidR="005B4DE6" w:rsidRPr="00127768">
          <w:rPr>
            <w:rStyle w:val="Collegamentoipertestuale"/>
            <w:lang w:val="en-US"/>
          </w:rPr>
          <w:t>andrea.cipollina@unipa.it</w:t>
        </w:r>
      </w:hyperlink>
      <w:r w:rsidR="005B4DE6" w:rsidRPr="00127768">
        <w:rPr>
          <w:lang w:val="en-US"/>
        </w:rPr>
        <w:t xml:space="preserve"> </w:t>
      </w:r>
    </w:p>
    <w:p w14:paraId="37C362D7" w14:textId="2C899C55" w:rsidR="00906D08" w:rsidRPr="00127768" w:rsidRDefault="00275CBB" w:rsidP="008A5F23">
      <w:pPr>
        <w:spacing w:after="120"/>
      </w:pPr>
      <w:r w:rsidRPr="00127768">
        <w:t xml:space="preserve">Electrodialysis with Bipolar Membranes (EDBM) is a promising process </w:t>
      </w:r>
      <w:r w:rsidR="00051569" w:rsidRPr="00127768">
        <w:t>to produce</w:t>
      </w:r>
      <w:r w:rsidRPr="00127768">
        <w:t xml:space="preserve"> acidic and basic solutions that are important in circular treatment chains. However, there</w:t>
      </w:r>
      <w:r w:rsidR="005E40EA" w:rsidRPr="00127768">
        <w:t xml:space="preserve"> is</w:t>
      </w:r>
      <w:r w:rsidRPr="00127768">
        <w:t xml:space="preserve"> </w:t>
      </w:r>
      <w:r w:rsidR="006225A6" w:rsidRPr="00127768">
        <w:t>a lack of knowledge</w:t>
      </w:r>
      <w:r w:rsidRPr="00127768">
        <w:t xml:space="preserve"> regarding the </w:t>
      </w:r>
      <w:r w:rsidR="00051569" w:rsidRPr="00127768">
        <w:t xml:space="preserve">long-run performance of EDBM units fed </w:t>
      </w:r>
      <w:r w:rsidRPr="00127768">
        <w:t>multi-ion</w:t>
      </w:r>
      <w:r w:rsidR="005E40EA" w:rsidRPr="00127768">
        <w:t>ic</w:t>
      </w:r>
      <w:r w:rsidRPr="00127768">
        <w:t xml:space="preserve"> solutions. This study aims to fill this gap by performing a long-run test</w:t>
      </w:r>
      <w:r w:rsidR="00051569" w:rsidRPr="00127768">
        <w:t>,</w:t>
      </w:r>
      <w:r w:rsidRPr="00127768">
        <w:t xml:space="preserve"> </w:t>
      </w:r>
      <w:r w:rsidR="00051569" w:rsidRPr="00127768">
        <w:t xml:space="preserve">via an innovative feed and bleed configuration, </w:t>
      </w:r>
      <w:r w:rsidRPr="00127768">
        <w:t>with real brine</w:t>
      </w:r>
      <w:r w:rsidR="00051569" w:rsidRPr="00127768">
        <w:t>s</w:t>
      </w:r>
      <w:r w:rsidRPr="00127768">
        <w:t xml:space="preserve"> </w:t>
      </w:r>
      <w:r w:rsidR="00051569" w:rsidRPr="00127768">
        <w:t xml:space="preserve">coming </w:t>
      </w:r>
      <w:r w:rsidRPr="00127768">
        <w:t xml:space="preserve">from Trapani </w:t>
      </w:r>
      <w:r w:rsidR="00051569" w:rsidRPr="00127768">
        <w:t xml:space="preserve">(Italy) </w:t>
      </w:r>
      <w:r w:rsidRPr="00127768">
        <w:t>saltworks</w:t>
      </w:r>
      <w:r w:rsidR="00051569" w:rsidRPr="00127768">
        <w:t xml:space="preserve"> and</w:t>
      </w:r>
      <w:r w:rsidRPr="00127768">
        <w:t xml:space="preserve"> pre-treated to remove Mg</w:t>
      </w:r>
      <w:r w:rsidR="005E40EA" w:rsidRPr="00127768">
        <w:t xml:space="preserve"> and Ca</w:t>
      </w:r>
      <w:r w:rsidRPr="00127768">
        <w:t xml:space="preserve">. A laboratory EDBM unit with 5 triplets </w:t>
      </w:r>
      <w:r w:rsidR="0019059F" w:rsidRPr="00127768">
        <w:t xml:space="preserve">with an </w:t>
      </w:r>
      <w:r w:rsidRPr="00127768">
        <w:t>active membrane area of 100 cm</w:t>
      </w:r>
      <w:r w:rsidRPr="00127768">
        <w:rPr>
          <w:vertAlign w:val="superscript"/>
        </w:rPr>
        <w:t>2</w:t>
      </w:r>
      <w:r w:rsidRPr="00127768">
        <w:t xml:space="preserve"> was used. The results show that a steady</w:t>
      </w:r>
      <w:r w:rsidR="00D2008E" w:rsidRPr="00127768">
        <w:rPr>
          <w:lang w:val="en-US"/>
        </w:rPr>
        <w:t>-</w:t>
      </w:r>
      <w:r w:rsidRPr="00127768">
        <w:t>state concentration of 0.44 mol/L on average of OH</w:t>
      </w:r>
      <w:r w:rsidRPr="00127768">
        <w:rPr>
          <w:vertAlign w:val="superscript"/>
        </w:rPr>
        <w:t>-</w:t>
      </w:r>
      <w:r w:rsidRPr="00127768">
        <w:t xml:space="preserve"> and H</w:t>
      </w:r>
      <w:r w:rsidRPr="00127768">
        <w:rPr>
          <w:vertAlign w:val="superscript"/>
        </w:rPr>
        <w:t>+</w:t>
      </w:r>
      <w:r w:rsidRPr="00127768">
        <w:t xml:space="preserve"> </w:t>
      </w:r>
      <w:r w:rsidR="00D72571" w:rsidRPr="00127768">
        <w:t xml:space="preserve">(in the form of </w:t>
      </w:r>
      <w:r w:rsidR="005F164A" w:rsidRPr="00127768">
        <w:t xml:space="preserve">NaOH and HCl) </w:t>
      </w:r>
      <w:r w:rsidRPr="00127768">
        <w:t>was reached in both acid and base outlet solutions, respectively, with a maximum deviation of 2</w:t>
      </w:r>
      <w:r w:rsidR="00E217EF" w:rsidRPr="00127768">
        <w:t xml:space="preserve"> </w:t>
      </w:r>
      <w:r w:rsidRPr="00127768">
        <w:t>%. Stable performances were observed with a current efficiency of 69</w:t>
      </w:r>
      <w:r w:rsidR="00E217EF" w:rsidRPr="00127768">
        <w:t xml:space="preserve"> </w:t>
      </w:r>
      <w:r w:rsidRPr="00127768">
        <w:t>% and 56</w:t>
      </w:r>
      <w:r w:rsidR="00E217EF" w:rsidRPr="00127768">
        <w:t xml:space="preserve"> </w:t>
      </w:r>
      <w:r w:rsidRPr="00127768">
        <w:t>% and specific energy consumption of 1.78 kWh/kg and 2.19 kWh/kg on average for base and acid, respectively. These results demonstrate the potential of EDBM processes to maintain competitive and efficient performance.</w:t>
      </w:r>
    </w:p>
    <w:p w14:paraId="476B2F2E" w14:textId="77777777" w:rsidR="00600535" w:rsidRPr="00127768" w:rsidRDefault="00275CBB" w:rsidP="00600535">
      <w:pPr>
        <w:pStyle w:val="CETHeading1"/>
        <w:rPr>
          <w:lang w:val="en-GB"/>
        </w:rPr>
      </w:pPr>
      <w:r w:rsidRPr="00127768">
        <w:rPr>
          <w:lang w:val="en-GB"/>
        </w:rPr>
        <w:t>Introduction</w:t>
      </w:r>
    </w:p>
    <w:p w14:paraId="0558098E" w14:textId="76410CC3" w:rsidR="0054197B" w:rsidRPr="00127768" w:rsidRDefault="00275CBB" w:rsidP="0054197B">
      <w:r w:rsidRPr="00127768">
        <w:t xml:space="preserve">Electrodialysis with Bipolar Membranes (EDBM) has emerged as a promising technology for circular treatment </w:t>
      </w:r>
      <w:r w:rsidR="005E40EA" w:rsidRPr="00127768">
        <w:t xml:space="preserve">schemes </w:t>
      </w:r>
      <w:r w:rsidRPr="00127768">
        <w:t>due to its ability to convert salty streams into acid</w:t>
      </w:r>
      <w:r w:rsidR="005E40EA" w:rsidRPr="00127768">
        <w:t>ic</w:t>
      </w:r>
      <w:r w:rsidRPr="00127768">
        <w:t xml:space="preserve"> and bas</w:t>
      </w:r>
      <w:r w:rsidR="005E40EA" w:rsidRPr="00127768">
        <w:t>ic</w:t>
      </w:r>
      <w:r w:rsidRPr="00127768">
        <w:t xml:space="preserve"> streams</w:t>
      </w:r>
      <w:r w:rsidR="00415450" w:rsidRPr="00127768">
        <w:t xml:space="preserve"> [1]</w:t>
      </w:r>
      <w:r w:rsidRPr="00127768">
        <w:t>. The EDBM stack consists of repeating units of anion exchange, cation exchange, and bipolar membranes (AEM, CEM, and BPM) arranged in triplets and placed between an anode and a cathode</w:t>
      </w:r>
      <w:r w:rsidR="00AD3D81" w:rsidRPr="00127768">
        <w:t xml:space="preserve"> [2]</w:t>
      </w:r>
      <w:r w:rsidRPr="00127768">
        <w:t>. When an electric field is applied, anions move toward the positive anode, while cations move toward the negative cathode. The selectively charged membranes control the transport of ions through them</w:t>
      </w:r>
      <w:r w:rsidR="00AD3D81" w:rsidRPr="00127768">
        <w:t xml:space="preserve"> [3]</w:t>
      </w:r>
      <w:r w:rsidRPr="00127768">
        <w:t xml:space="preserve">. The </w:t>
      </w:r>
      <w:r w:rsidR="005E40EA" w:rsidRPr="00127768">
        <w:t>BPM</w:t>
      </w:r>
      <w:r w:rsidRPr="00127768">
        <w:t xml:space="preserve"> generates H</w:t>
      </w:r>
      <w:r w:rsidRPr="00127768">
        <w:rPr>
          <w:vertAlign w:val="superscript"/>
        </w:rPr>
        <w:t>+</w:t>
      </w:r>
      <w:r w:rsidRPr="00127768">
        <w:t xml:space="preserve"> and OH</w:t>
      </w:r>
      <w:r w:rsidRPr="00127768">
        <w:rPr>
          <w:vertAlign w:val="superscript"/>
        </w:rPr>
        <w:t>-</w:t>
      </w:r>
      <w:r w:rsidRPr="00127768">
        <w:t xml:space="preserve"> ions by allowing the water-dissociation reaction to occur at the junction of its cation</w:t>
      </w:r>
      <w:r w:rsidR="007C272C" w:rsidRPr="00127768">
        <w:t>ic</w:t>
      </w:r>
      <w:r w:rsidRPr="00127768">
        <w:t xml:space="preserve"> and anion</w:t>
      </w:r>
      <w:r w:rsidR="007C272C" w:rsidRPr="00127768">
        <w:t>ic</w:t>
      </w:r>
      <w:r w:rsidRPr="00127768">
        <w:t xml:space="preserve"> layers </w:t>
      </w:r>
      <w:r w:rsidR="00415450" w:rsidRPr="00127768">
        <w:t>[</w:t>
      </w:r>
      <w:r w:rsidR="00AD3D81" w:rsidRPr="00127768">
        <w:t>4</w:t>
      </w:r>
      <w:r w:rsidR="00415450" w:rsidRPr="00127768">
        <w:t>]</w:t>
      </w:r>
      <w:r w:rsidRPr="00127768">
        <w:fldChar w:fldCharType="begin" w:fldLock="1"/>
      </w:r>
      <w:r w:rsidRPr="00127768">
        <w:instrText>ADDIN CSL_CITATION {"citationItems":[{"id":"ITEM-1","itemData":{"DOI":"10.1016/j.memsci.2020.118010","ISSN":"18733123","abstract":"Bipolar ion-exchange membranes (BPM) have a long history and many uses. Still, the number of applications continues to grow every year, as does the interest in a better understanding of the mechanisms of ion transport and water splitting. We reconsider the existing theoretical background for the BPMs and propose a one-dimensional stationary model. For the first time, the Nernst-Planck-Poisson equations are coupled with the equations, which locally describe the water splitting kinetics. The catalytic effects exerted by the functional groups and the catalyst (if present), the protonation-deprotonation reactions of these groups as well as the effect of strong electric field (the second Wien effect) are taken into account when describing the reverse-bias mode. The effective rate constant of water splitting occurring in the absence of electric field is determined from the acid dissociation constants (Ka). The concentration profiles, the thickness of the reaction zone and space charge region (SCR) are simulated and analyzed. The results of numerical computation are compared with the known analytical estimations. Thus, the basic assumptions of the theory of BPMs are examined, and the conditions under which these assumptions are valid or not are found. Current-voltage curves and partial currents are calculated and compared with experimental data. The occurrence of two limiting currents at pKa close to 7 is predicted due to current-induced membrane discharge. According to simulations, any increase in the SCR thickness leads to a decrease of the water spitting rate at a fixed voltage due to a decrease in the second Wien effect. A very thin (about 4 nm) catalytic layer within the bipolar junction is sufficient to obtain 100 mA cm−2 current density at 1 V even when the anion-exchange and cation-exchange membrane layers do not contain catalytically active functional groups.","author":[{"dropping-particle":"","family":"Mareev","given":"S. A.","non-dropping-particle":"","parse-names":false,"suffix":""},{"dropping-particle":"","family":"Evdochenko","given":"E.","non-dropping-particle":"","parse-names":false,"suffix":""},{"dropping-particle":"","family":"Wessling","given":"M.","non-dropping-particle":"","parse-names":false,"suffix":""},{"dropping-particle":"","family":"Kozaderova","given":"O. A.","non-dropping-particle":"","parse-names":false,"suffix":""},{"dropping-particle":"","family":"Niftaliev","given":"S. I.","non-dropping-particle":"","parse-names":false,"suffix":""},{"dropping-particle":"","family":"Pismenskaya","given":"N. D.","non-dropping-particle":"","parse-names":false,"suffix":""},{"dropping-particle":"V.","family":"Nikonenko","given":"V.","non-dropping-particle":"","parse-names":false,"suffix":""}],"container-title":"Journal of Membrane Science","id":"ITEM-1","issue":"February","issued":{"date-parts":[["2020"]]},"page":"118010","publisher":"Elsevier B.V.","title":"A comprehensive mathematical model of water splitting in bipolar membranes: Impact of the spatial distribution of fixed charges and catalyst at bipolar junction","type":"article-journal","volume":"603"},"uris":["http://www.mendeley.com/documents/?uuid=8d569dd2-5ed1-4b80-bf5e-1f2af64943a9"]},{"id":"ITEM-2","itemData":{"DOI":"10.1016/j.memsci.2022.120835","ISSN":"03767388","author":[{"dropping-particle":"","family":"León","given":"T.","non-dropping-particle":"","parse-names":false,"suffix":""},{"dropping-particle":"","family":"López","given":"J.","non-dropping-particle":"","parse-names":false,"suffix":""},{"dropping-particle":"","family":"Torres","given":"R.","non-dropping-particle":"","parse-names":false,"suffix":""},{"dropping-particle":"","family":"Grau","given":"J.","non-dropping-particle":"","parse-names":false,"suffix":""},{"dropping-particle":"","family":"Jofre","given":"L.","non-dropping-particle":"","parse-names":false,"suffix":""},{"dropping-particle":"","family":"Cortina","given":"J.-L.","non-dropping-particle":"","parse-names":false,"suffix":""}],"container-title":"Journal of Membrane Science","id":"ITEM-2","issued":{"date-parts":[["2022","10"]]},"page":"120835","title":"Describing ion transport and water splitting in an electrodialysis stack with bipolar membranes by a 2-D model: Experimental validation","type":"article-journal","volume":"660"},"uris":["http://www.mendeley.com/documents/?uuid=928132f8-2e77-3f1f-883a-ad725052431a"]}],"mendeley":{"formattedCitation":"[2,3]","plainTextFormattedCitation":"[2,3]","previouslyFormattedCitation":"[2,3]"},"properties":{"noteIndex":0},"schema":"https://github.com/citation-style-language/schema/raw/master/csl-citation.json"}</w:instrText>
      </w:r>
      <w:r w:rsidR="00127768" w:rsidRPr="00127768">
        <w:fldChar w:fldCharType="separate"/>
      </w:r>
      <w:r w:rsidRPr="00127768">
        <w:fldChar w:fldCharType="end"/>
      </w:r>
      <w:r w:rsidRPr="00127768">
        <w:t>.</w:t>
      </w:r>
    </w:p>
    <w:p w14:paraId="1D7352F2" w14:textId="1E121E88" w:rsidR="0054197B" w:rsidRPr="00127768" w:rsidRDefault="00275CBB" w:rsidP="0054197B">
      <w:r w:rsidRPr="00127768">
        <w:t xml:space="preserve">EDBM has been proposed for integration into seawater reverse osmosis (SWRO) desalination plants to convert brine into valuable chemicals, including HCl, NaOH, and </w:t>
      </w:r>
      <w:r w:rsidR="007D46C7" w:rsidRPr="00127768">
        <w:t xml:space="preserve">a </w:t>
      </w:r>
      <w:r w:rsidR="007B187B" w:rsidRPr="00127768">
        <w:t xml:space="preserve">diluted </w:t>
      </w:r>
      <w:r w:rsidRPr="00127768">
        <w:t>brine. Chen et al.</w:t>
      </w:r>
      <w:r w:rsidR="00415450" w:rsidRPr="00127768">
        <w:t xml:space="preserve"> [</w:t>
      </w:r>
      <w:r w:rsidR="00AD3D81" w:rsidRPr="00127768">
        <w:t>5</w:t>
      </w:r>
      <w:r w:rsidR="00415450" w:rsidRPr="00127768">
        <w:t>]</w:t>
      </w:r>
      <w:r w:rsidRPr="00127768">
        <w:t xml:space="preserve"> </w:t>
      </w:r>
      <w:r w:rsidRPr="00127768">
        <w:rPr>
          <w:color w:val="000000"/>
        </w:rPr>
        <w:fldChar w:fldCharType="begin" w:fldLock="1"/>
      </w:r>
      <w:r w:rsidRPr="00127768">
        <w:rPr>
          <w:color w:val="000000"/>
          <w:lang w:val="en-US"/>
        </w:rPr>
        <w:instrText>ADDIN CSL_CITATION {"citationItems":[{"id":"ITEM-1","itemData":{"DOI":"10.1016/j.desal.2018.04.031","ISSN":"00119164","abstract":"Reverse osmosis (RO) is increasingly becoming the dominant strategy for seawater desalination owing to its excellent desalination performance over the past few decades. It produces a considerable amount of concentrated brine, which is a threat to marine ecosystems accompanying freshwater production. Electrodialysis has been demonstrated to be a feasible process for brine treatment. In this work, a novel process called Selectrodialysis with Bipolar Membranes (BMSED) was firstly proposed for treating concentrated brine. BMSED uses bipolar membranes and monovalent selective ion exchange membranes inside the ED stack and thus combines the selectrodialysis (SED) and bipolar membrane electrodialysis (BMED) processes into a single step. BMSED can desalinate concentrated brine, selectively regenerate monovalent ions and produce acids/bases in a single route. The feasibility of the process was investigated by using different commercial membranes. The factors, including the current density and brine concentrations, were investigated. The results indicated that brine was successfully treated by using BMSED and that a HCl and NaOH solution (up to an approximate 2 mol/L concentration) with high purity was eventually produced. Therefore, BMSED is a pertinent environmentally and economically friendly process for RO concentrated brine management.","author":[{"dropping-particle":"","family":"Chen","given":"Binglun","non-dropping-particle":"","parse-names":false,"suffix":""},{"dropping-particle":"","family":"Jiang","given":"Chenxiao","non-dropping-particle":"","parse-names":false,"suffix":""},{"dropping-particle":"","family":"Wang","given":"Yaoming","non-dropping-particle":"","parse-names":false,"suffix":""},{"dropping-particle":"","family":"Fu","given":"Rongqiang","non-dropping-particle":"","parse-names":false,"suffix":""},{"dropping-particle":"","family":"Liu","given":"Zhaoming","non-dropping-particle":"","parse-names":false,"suffix":""},{"dropping-particle":"","family":"Xu","given":"Tongwen","non-dropping-particle":"","parse-names":false,"suffix":""}],"container-title":"Desalination","id":"ITEM-1","issued":{"date-parts":[["2018","9","15"]]},"page":"8-15","publisher":"Elsevier B.V.","title":"Selectrodialysis with bipolar membrane for the reclamation of concentrated brine from RO plant","type":"article-journal","volume":"442"},"uris":["http://www.mendeley.com/documents/?uuid=afa567a9-c328-3387-b0e3-69fd03234dee"]}],"mendeley":{"formattedCitation":"[4]","plainTextFormattedCitation":"[4]","previouslyFormattedCitation":"[4]"},"properties":{"noteIndex":0},"schema":"https://github.com/citation-style-language/schema/raw/master/csl-citation.json"}</w:instrText>
      </w:r>
      <w:r w:rsidR="00127768" w:rsidRPr="00127768">
        <w:rPr>
          <w:color w:val="000000"/>
        </w:rPr>
        <w:fldChar w:fldCharType="separate"/>
      </w:r>
      <w:r w:rsidRPr="00127768">
        <w:rPr>
          <w:color w:val="000000"/>
        </w:rPr>
        <w:fldChar w:fldCharType="end"/>
      </w:r>
      <w:r w:rsidRPr="00127768">
        <w:t xml:space="preserve">investigated the use of mono-selective membranes (ACS and CIMS) </w:t>
      </w:r>
      <w:r w:rsidR="007C272C" w:rsidRPr="00127768">
        <w:t>by</w:t>
      </w:r>
      <w:r w:rsidRPr="00127768">
        <w:t xml:space="preserve"> </w:t>
      </w:r>
      <w:proofErr w:type="spellStart"/>
      <w:r w:rsidRPr="00127768">
        <w:t>Astom</w:t>
      </w:r>
      <w:proofErr w:type="spellEnd"/>
      <w:r w:rsidRPr="00127768">
        <w:t xml:space="preserve"> </w:t>
      </w:r>
      <w:r w:rsidR="007C272C" w:rsidRPr="00127768">
        <w:t xml:space="preserve">to </w:t>
      </w:r>
      <w:proofErr w:type="spellStart"/>
      <w:r w:rsidR="007C272C" w:rsidRPr="00127768">
        <w:t>valorize</w:t>
      </w:r>
      <w:proofErr w:type="spellEnd"/>
      <w:r w:rsidRPr="00127768">
        <w:t xml:space="preserve"> NaCl solutions (105 g/L) in a lab-scale unit (189 cm</w:t>
      </w:r>
      <w:r w:rsidRPr="00127768">
        <w:rPr>
          <w:vertAlign w:val="superscript"/>
        </w:rPr>
        <w:t>2</w:t>
      </w:r>
      <w:r w:rsidRPr="00127768">
        <w:t xml:space="preserve">). </w:t>
      </w:r>
      <w:r w:rsidR="007C272C" w:rsidRPr="00127768">
        <w:t>A</w:t>
      </w:r>
      <w:r w:rsidRPr="00127768">
        <w:t xml:space="preserve">uthors achieved concentrations of 1.9 mol/L HCl and 2.2 mol/L NaOH and evaluated the impact of competing ions, including calcium, magnesium, and </w:t>
      </w:r>
      <w:r w:rsidR="007C272C" w:rsidRPr="00127768">
        <w:t>sulphate</w:t>
      </w:r>
      <w:r w:rsidRPr="00127768">
        <w:t>, on the products</w:t>
      </w:r>
      <w:r w:rsidR="007C272C" w:rsidRPr="00127768">
        <w:t xml:space="preserve"> purity</w:t>
      </w:r>
      <w:r w:rsidRPr="00127768">
        <w:t xml:space="preserve">. The base compartment had concentrations below 2 mg/L of calcium and magnesium, while the acidic compartment had 14 mg/L of </w:t>
      </w:r>
      <w:r w:rsidR="007C272C" w:rsidRPr="00127768">
        <w:t>sulphate</w:t>
      </w:r>
      <w:r w:rsidRPr="00127768">
        <w:t>, resulting in purities higher than 99.9% for both solutions.</w:t>
      </w:r>
    </w:p>
    <w:p w14:paraId="6C41D6E4" w14:textId="747D1B5F" w:rsidR="0054197B" w:rsidRPr="00127768" w:rsidRDefault="00275CBB" w:rsidP="0054197B">
      <w:pPr>
        <w:rPr>
          <w:lang w:val="en-US"/>
        </w:rPr>
      </w:pPr>
      <w:r w:rsidRPr="00127768">
        <w:rPr>
          <w:lang w:val="en-US"/>
        </w:rPr>
        <w:t>Herrero-González et al.</w:t>
      </w:r>
      <w:r w:rsidR="00415450" w:rsidRPr="00127768">
        <w:rPr>
          <w:lang w:val="en-US"/>
        </w:rPr>
        <w:t xml:space="preserve"> [</w:t>
      </w:r>
      <w:r w:rsidR="00AD3D81" w:rsidRPr="00127768">
        <w:rPr>
          <w:lang w:val="en-US"/>
        </w:rPr>
        <w:t>6</w:t>
      </w:r>
      <w:r w:rsidR="00415450" w:rsidRPr="00127768">
        <w:rPr>
          <w:lang w:val="en-US"/>
        </w:rPr>
        <w:t>]</w:t>
      </w:r>
      <w:r w:rsidRPr="00127768">
        <w:rPr>
          <w:lang w:val="en-US"/>
        </w:rPr>
        <w:t xml:space="preserve"> utilized Ralex (CM-PP and AM-PP) and </w:t>
      </w:r>
      <w:proofErr w:type="spellStart"/>
      <w:r w:rsidRPr="00127768">
        <w:rPr>
          <w:lang w:val="en-US"/>
        </w:rPr>
        <w:t>Fumatech</w:t>
      </w:r>
      <w:proofErr w:type="spellEnd"/>
      <w:r w:rsidRPr="00127768">
        <w:rPr>
          <w:lang w:val="en-US"/>
        </w:rPr>
        <w:t xml:space="preserve"> (</w:t>
      </w:r>
      <w:proofErr w:type="spellStart"/>
      <w:r w:rsidRPr="00127768">
        <w:rPr>
          <w:lang w:val="en-US"/>
        </w:rPr>
        <w:t>Fumasep</w:t>
      </w:r>
      <w:proofErr w:type="spellEnd"/>
      <w:r w:rsidRPr="00127768">
        <w:rPr>
          <w:lang w:val="en-US"/>
        </w:rPr>
        <w:t xml:space="preserve"> FBM) membranes in a lab-scale unit (100 cm</w:t>
      </w:r>
      <w:r w:rsidRPr="00127768">
        <w:rPr>
          <w:vertAlign w:val="superscript"/>
          <w:lang w:val="en-US"/>
        </w:rPr>
        <w:t>2</w:t>
      </w:r>
      <w:r w:rsidRPr="00127768">
        <w:rPr>
          <w:lang w:val="en-US"/>
        </w:rPr>
        <w:t xml:space="preserve">) to generate NaOH and HCl from NaCl solutions. </w:t>
      </w:r>
      <w:r w:rsidRPr="00127768">
        <w:t>The authors tested different constant and variable current densities ranging from 500 A/m</w:t>
      </w:r>
      <w:r w:rsidRPr="00127768">
        <w:rPr>
          <w:vertAlign w:val="superscript"/>
        </w:rPr>
        <w:t>2</w:t>
      </w:r>
      <w:r w:rsidRPr="00127768">
        <w:t xml:space="preserve"> to 1</w:t>
      </w:r>
      <w:r w:rsidR="0059190F" w:rsidRPr="00127768">
        <w:t>,</w:t>
      </w:r>
      <w:r w:rsidRPr="00127768">
        <w:t>000 A/m</w:t>
      </w:r>
      <w:r w:rsidRPr="00127768">
        <w:rPr>
          <w:vertAlign w:val="superscript"/>
        </w:rPr>
        <w:t>2</w:t>
      </w:r>
      <w:r w:rsidRPr="00127768">
        <w:t>, with a fixed volume ratio of salt to acid/base of 20. They were able to achieve solutions containing 10.2 wt.</w:t>
      </w:r>
      <w:r w:rsidR="0059190F" w:rsidRPr="00127768">
        <w:t xml:space="preserve"> </w:t>
      </w:r>
      <w:r w:rsidRPr="00127768">
        <w:t>% HCl (~3 mol/L) and 9.7 wt. % NaOH (~2.5 mol/L), with a Specific Energy Consumption (SEC) of 43.5 kWh/kg HCl.</w:t>
      </w:r>
    </w:p>
    <w:p w14:paraId="5183D2ED" w14:textId="64F64DFD" w:rsidR="00ED6E1C" w:rsidRPr="00127768" w:rsidRDefault="00275CBB" w:rsidP="00ED6E1C">
      <w:r w:rsidRPr="00127768">
        <w:t>Song et al.</w:t>
      </w:r>
      <w:r w:rsidR="00415450" w:rsidRPr="00127768">
        <w:t xml:space="preserve"> [</w:t>
      </w:r>
      <w:r w:rsidR="00AD3D81" w:rsidRPr="00127768">
        <w:t>7</w:t>
      </w:r>
      <w:r w:rsidR="00415450" w:rsidRPr="00127768">
        <w:t>]</w:t>
      </w:r>
      <w:r w:rsidRPr="00127768">
        <w:t xml:space="preserve"> </w:t>
      </w:r>
      <w:r w:rsidR="007C272C" w:rsidRPr="00127768">
        <w:t>carried out</w:t>
      </w:r>
      <w:r w:rsidRPr="00127768">
        <w:t xml:space="preserve"> tests </w:t>
      </w:r>
      <w:r w:rsidR="007C272C" w:rsidRPr="00127768">
        <w:t>via</w:t>
      </w:r>
      <w:r w:rsidRPr="00127768">
        <w:t xml:space="preserve"> EDBM with a post-carbonated brine (0.9</w:t>
      </w:r>
      <w:r w:rsidR="0059190F" w:rsidRPr="00127768">
        <w:t>–</w:t>
      </w:r>
      <w:r w:rsidRPr="00127768">
        <w:t xml:space="preserve">1.2 mol/L NaCl, 74 mg/L Mg) using </w:t>
      </w:r>
      <w:proofErr w:type="spellStart"/>
      <w:r w:rsidRPr="00127768">
        <w:t>Neosepta</w:t>
      </w:r>
      <w:proofErr w:type="spellEnd"/>
      <w:r w:rsidRPr="00127768">
        <w:t xml:space="preserve"> membranes (CMB, AHA, and BP1). The tests were performed at volume ratios of 5:10:2 </w:t>
      </w:r>
      <w:r w:rsidRPr="00127768">
        <w:lastRenderedPageBreak/>
        <w:t xml:space="preserve">(salt/acid/base), producing 1.8 mol/L NaOH. The authors reported a Current Efficiency (CE) of 48% and a SEC of 4.85 kWh/kg NaOH. </w:t>
      </w:r>
    </w:p>
    <w:p w14:paraId="493FB13A" w14:textId="2C7CCC54" w:rsidR="00ED6E1C" w:rsidRPr="00127768" w:rsidRDefault="00275CBB" w:rsidP="00ED6E1C">
      <w:r w:rsidRPr="00127768">
        <w:t xml:space="preserve">Despite the possibility of </w:t>
      </w:r>
      <w:proofErr w:type="spellStart"/>
      <w:r w:rsidRPr="00127768">
        <w:t>valorizing</w:t>
      </w:r>
      <w:proofErr w:type="spellEnd"/>
      <w:r w:rsidRPr="00127768">
        <w:t xml:space="preserve"> brines, there are still significant knowledge gaps that hinder the large-scale application of EDBM, such as (</w:t>
      </w:r>
      <w:proofErr w:type="spellStart"/>
      <w:r w:rsidRPr="00127768">
        <w:t>i</w:t>
      </w:r>
      <w:proofErr w:type="spellEnd"/>
      <w:r w:rsidRPr="00127768">
        <w:t xml:space="preserve">) the influence of multi-ionic feed solution on membrane performance, (ii) the lack of data on long-term operation </w:t>
      </w:r>
      <w:r w:rsidR="00415450" w:rsidRPr="00127768">
        <w:t>[</w:t>
      </w:r>
      <w:r w:rsidR="00AD3D81" w:rsidRPr="00127768">
        <w:t>8</w:t>
      </w:r>
      <w:r w:rsidR="00415450" w:rsidRPr="00127768">
        <w:t>]</w:t>
      </w:r>
      <w:r w:rsidRPr="00127768">
        <w:t xml:space="preserve">, (iii) the study of scaling forming agents in terms of operational issues, and (iv) the need </w:t>
      </w:r>
      <w:r w:rsidR="003E2305" w:rsidRPr="00127768">
        <w:t>for</w:t>
      </w:r>
      <w:r w:rsidRPr="00127768">
        <w:t xml:space="preserve"> develop</w:t>
      </w:r>
      <w:r w:rsidR="003E2305" w:rsidRPr="00127768">
        <w:t>ing</w:t>
      </w:r>
      <w:r w:rsidRPr="00127768">
        <w:t xml:space="preserve"> new membranes with enhanced separation properties, lower costs, and reduced electrical resistance. Long-term tests have been conducted using </w:t>
      </w:r>
      <w:r w:rsidR="007E2A63" w:rsidRPr="00127768">
        <w:t>R</w:t>
      </w:r>
      <w:r w:rsidRPr="00127768">
        <w:t xml:space="preserve">everse </w:t>
      </w:r>
      <w:r w:rsidR="00415450" w:rsidRPr="00127768">
        <w:t>Electrodialysis</w:t>
      </w:r>
      <w:r w:rsidRPr="00127768">
        <w:t xml:space="preserve"> (RED) to produce energy from the salinity gradient</w:t>
      </w:r>
      <w:r w:rsidR="00415450" w:rsidRPr="00127768">
        <w:t xml:space="preserve"> [</w:t>
      </w:r>
      <w:r w:rsidR="00AD3D81" w:rsidRPr="00127768">
        <w:t>9,10</w:t>
      </w:r>
      <w:r w:rsidR="00415450" w:rsidRPr="00127768">
        <w:t>]</w:t>
      </w:r>
      <w:r w:rsidRPr="00127768">
        <w:t>. However, a proper strategy is needed to avoid channel clogging and membrane fouling. The authors recommended daily flushing in short consecutive pulses at very high flow rates to prevent the accumulation of matter inside the channels, alkaline backwashing to remove membrane fouling, and water acidification to avoid scaling. No side effects of the chemical treatments were reported.</w:t>
      </w:r>
    </w:p>
    <w:p w14:paraId="57F5A342" w14:textId="060C3E6D" w:rsidR="00ED6E1C" w:rsidRPr="00127768" w:rsidRDefault="00275CBB" w:rsidP="0023100F">
      <w:r w:rsidRPr="00127768">
        <w:t>This study aimed to investigate the performance of EDBM in a long-</w:t>
      </w:r>
      <w:r w:rsidR="007E2A63" w:rsidRPr="00127768">
        <w:t>run</w:t>
      </w:r>
      <w:r w:rsidRPr="00127768">
        <w:t xml:space="preserve"> test using </w:t>
      </w:r>
      <w:r w:rsidR="004732FB" w:rsidRPr="00127768">
        <w:t xml:space="preserve">a </w:t>
      </w:r>
      <w:r w:rsidRPr="00127768">
        <w:t xml:space="preserve">real </w:t>
      </w:r>
      <w:r w:rsidR="004732FB" w:rsidRPr="00127768">
        <w:t xml:space="preserve">saltwork </w:t>
      </w:r>
      <w:r w:rsidRPr="00127768">
        <w:t xml:space="preserve">brine previously treated to remove magnesium and calcium. An innovative feed </w:t>
      </w:r>
      <w:r w:rsidR="00EC2444" w:rsidRPr="00127768">
        <w:t>and</w:t>
      </w:r>
      <w:r w:rsidRPr="00127768">
        <w:t xml:space="preserve"> bleed mode configuration with brine fed to both salt and base compartments was tested. Both dynamic and steady-state phases were investigated, focusing on the concentration profiles, </w:t>
      </w:r>
      <w:r w:rsidR="004732FB" w:rsidRPr="00127768">
        <w:t>SEC and CE</w:t>
      </w:r>
      <w:r w:rsidRPr="00127768">
        <w:t>.</w:t>
      </w:r>
    </w:p>
    <w:p w14:paraId="61A9B77A" w14:textId="42CEBC16" w:rsidR="00600535" w:rsidRPr="00127768" w:rsidRDefault="00275CBB" w:rsidP="00FA5F5F">
      <w:pPr>
        <w:pStyle w:val="CETheadingx"/>
      </w:pPr>
      <w:proofErr w:type="spellStart"/>
      <w:r w:rsidRPr="00127768">
        <w:t>SEArcularMINE</w:t>
      </w:r>
      <w:proofErr w:type="spellEnd"/>
      <w:r w:rsidRPr="00127768">
        <w:t xml:space="preserve"> project</w:t>
      </w:r>
    </w:p>
    <w:p w14:paraId="6BE149FE" w14:textId="218FEA1C" w:rsidR="0023100F" w:rsidRPr="00127768" w:rsidRDefault="00275CBB" w:rsidP="00B6499D">
      <w:r w:rsidRPr="00127768">
        <w:t xml:space="preserve">This study was </w:t>
      </w:r>
      <w:r w:rsidR="004732FB" w:rsidRPr="00127768">
        <w:t>performed within</w:t>
      </w:r>
      <w:r w:rsidRPr="00127768">
        <w:t xml:space="preserve"> the framework of the </w:t>
      </w:r>
      <w:proofErr w:type="spellStart"/>
      <w:r w:rsidRPr="00127768">
        <w:t>SEA</w:t>
      </w:r>
      <w:r w:rsidR="004732FB" w:rsidRPr="00127768">
        <w:t>r</w:t>
      </w:r>
      <w:r w:rsidRPr="00127768">
        <w:t>cularMINE</w:t>
      </w:r>
      <w:proofErr w:type="spellEnd"/>
      <w:r w:rsidRPr="00127768">
        <w:t xml:space="preserve"> project, which is funded by the European Union</w:t>
      </w:r>
      <w:r w:rsidR="00415450" w:rsidRPr="00127768">
        <w:t xml:space="preserve"> </w:t>
      </w:r>
      <w:r w:rsidR="00357DD2" w:rsidRPr="00127768">
        <w:t>[11].</w:t>
      </w:r>
      <w:r w:rsidRPr="00127768">
        <w:t xml:space="preserve"> The aim of this project is to develop innovative technologies that can be used to recover valuable minerals from the bitterns produced by traditional saltworks in the Mediterranean basin. The project specifically aims to recover critical raw materials (CRMs), such as Mg(II), Li(I), B(III), and trace elements (TEs). To achieve this goal, a circular scheme will be implemented to maximize resource efficiency, recovery efficiency, and economic viability. Additionally, one of the main objectives of the project is to produce the necessary chemicals (HCl and NaOH) on-site from exhausted brines using EDBM.</w:t>
      </w:r>
    </w:p>
    <w:p w14:paraId="687A7850" w14:textId="05328DB4" w:rsidR="00906D08" w:rsidRPr="00127768" w:rsidRDefault="00275CBB" w:rsidP="000B5A41">
      <w:pPr>
        <w:pStyle w:val="CETHeading1"/>
        <w:numPr>
          <w:ilvl w:val="0"/>
          <w:numId w:val="0"/>
        </w:numPr>
      </w:pPr>
      <w:r w:rsidRPr="00127768">
        <w:t>2. Material and methodology</w:t>
      </w:r>
    </w:p>
    <w:p w14:paraId="26DB5856" w14:textId="44019D84" w:rsidR="00B6499D" w:rsidRPr="00127768" w:rsidRDefault="00275CBB" w:rsidP="00B6499D">
      <w:pPr>
        <w:pStyle w:val="CETBodytext"/>
        <w:rPr>
          <w:lang w:eastAsia="ja-JP"/>
        </w:rPr>
      </w:pPr>
      <w:r w:rsidRPr="00127768">
        <w:rPr>
          <w:lang w:eastAsia="ja-JP"/>
        </w:rPr>
        <w:t xml:space="preserve">A long-run experimental campaign was </w:t>
      </w:r>
      <w:r w:rsidR="004732FB" w:rsidRPr="00127768">
        <w:rPr>
          <w:lang w:eastAsia="ja-JP"/>
        </w:rPr>
        <w:t>carried out</w:t>
      </w:r>
      <w:r w:rsidRPr="00127768">
        <w:rPr>
          <w:lang w:eastAsia="ja-JP"/>
        </w:rPr>
        <w:t xml:space="preserve"> with an EDBM unit </w:t>
      </w:r>
      <w:r w:rsidR="004732FB" w:rsidRPr="00127768">
        <w:rPr>
          <w:lang w:eastAsia="ja-JP"/>
        </w:rPr>
        <w:t>fed by</w:t>
      </w:r>
      <w:r w:rsidRPr="00127768">
        <w:rPr>
          <w:lang w:eastAsia="ja-JP"/>
        </w:rPr>
        <w:t xml:space="preserve"> real </w:t>
      </w:r>
      <w:r w:rsidR="004732FB" w:rsidRPr="00127768">
        <w:rPr>
          <w:lang w:eastAsia="ja-JP"/>
        </w:rPr>
        <w:t xml:space="preserve">saltwork </w:t>
      </w:r>
      <w:r w:rsidRPr="00127768">
        <w:rPr>
          <w:lang w:eastAsia="ja-JP"/>
        </w:rPr>
        <w:t>brine to produce acidic and alkaline solutions at a desired target concentration.</w:t>
      </w:r>
    </w:p>
    <w:p w14:paraId="0E64C312" w14:textId="77777777" w:rsidR="00B6499D" w:rsidRPr="00127768" w:rsidRDefault="00B6499D" w:rsidP="00B6499D">
      <w:pPr>
        <w:pStyle w:val="CETBodytext"/>
        <w:rPr>
          <w:lang w:eastAsia="ja-JP"/>
        </w:rPr>
      </w:pPr>
    </w:p>
    <w:p w14:paraId="673A3C50" w14:textId="1C0ACCCD" w:rsidR="00B6499D" w:rsidRPr="00127768" w:rsidRDefault="00275CBB" w:rsidP="00B6499D">
      <w:pPr>
        <w:pStyle w:val="CETBodytext"/>
        <w:rPr>
          <w:b/>
          <w:bCs/>
          <w:lang w:eastAsia="ja-JP"/>
        </w:rPr>
      </w:pPr>
      <w:r w:rsidRPr="00127768">
        <w:rPr>
          <w:b/>
          <w:bCs/>
          <w:lang w:eastAsia="ja-JP"/>
        </w:rPr>
        <w:t>2.1 Material and experimental setup</w:t>
      </w:r>
    </w:p>
    <w:p w14:paraId="1E5FDDCD" w14:textId="3E00FF38" w:rsidR="0026692A" w:rsidRPr="00127768" w:rsidRDefault="00275CBB" w:rsidP="0026692A">
      <w:r w:rsidRPr="00127768">
        <w:t>An ED-100-3-10 EDBM unit (</w:t>
      </w:r>
      <w:proofErr w:type="spellStart"/>
      <w:r w:rsidRPr="00127768">
        <w:t>Fumatech</w:t>
      </w:r>
      <w:proofErr w:type="spellEnd"/>
      <w:r w:rsidRPr="00127768">
        <w:t xml:space="preserve">, Germany) was </w:t>
      </w:r>
      <w:r w:rsidR="003703BC" w:rsidRPr="00127768">
        <w:t>assembled</w:t>
      </w:r>
      <w:r w:rsidRPr="00127768">
        <w:t xml:space="preserve"> using five </w:t>
      </w:r>
      <w:r w:rsidR="007E2A63" w:rsidRPr="00127768">
        <w:t>repeating units</w:t>
      </w:r>
      <w:r w:rsidRPr="00127768">
        <w:t xml:space="preserve">, </w:t>
      </w:r>
      <w:r w:rsidR="007E2A63" w:rsidRPr="00127768">
        <w:t xml:space="preserve">including </w:t>
      </w:r>
      <w:proofErr w:type="spellStart"/>
      <w:r w:rsidRPr="00127768">
        <w:t>Fumatech</w:t>
      </w:r>
      <w:proofErr w:type="spellEnd"/>
      <w:r w:rsidRPr="00127768">
        <w:t xml:space="preserve"> membranes</w:t>
      </w:r>
      <w:r w:rsidR="003703BC" w:rsidRPr="00127768">
        <w:t>:</w:t>
      </w:r>
      <w:r w:rsidRPr="00127768">
        <w:t xml:space="preserve"> each </w:t>
      </w:r>
      <w:r w:rsidR="007E2A63" w:rsidRPr="00127768">
        <w:t xml:space="preserve">repeating unit </w:t>
      </w:r>
      <w:r w:rsidRPr="00127768">
        <w:t>compris</w:t>
      </w:r>
      <w:r w:rsidR="003703BC" w:rsidRPr="00127768">
        <w:t>es</w:t>
      </w:r>
      <w:r w:rsidRPr="00127768">
        <w:t xml:space="preserve"> three membranes </w:t>
      </w:r>
      <w:r w:rsidR="00B51488" w:rsidRPr="00127768">
        <w:t xml:space="preserve">(FKB-PK-130 CEMs, FAB-PK-130 AEMs, and FBM-PK BPMs) </w:t>
      </w:r>
      <w:r w:rsidRPr="00127768">
        <w:t>with an active area of 0.01 m</w:t>
      </w:r>
      <w:r w:rsidRPr="00127768">
        <w:rPr>
          <w:vertAlign w:val="superscript"/>
        </w:rPr>
        <w:t>2</w:t>
      </w:r>
      <w:r w:rsidR="003703BC" w:rsidRPr="00127768">
        <w:t xml:space="preserve"> and three spacer-filled channels</w:t>
      </w:r>
      <w:r w:rsidRPr="00127768">
        <w:t xml:space="preserve">. The same type of AEM </w:t>
      </w:r>
      <w:r w:rsidR="00B51488" w:rsidRPr="00127768">
        <w:t xml:space="preserve">(i.e. FAB-PK-130 AEMs) </w:t>
      </w:r>
      <w:r w:rsidRPr="00127768">
        <w:t>was used as end membrane to separate the last compartment</w:t>
      </w:r>
      <w:r w:rsidR="00B51488" w:rsidRPr="00127768">
        <w:t>s</w:t>
      </w:r>
      <w:r w:rsidRPr="00127768">
        <w:t xml:space="preserve"> from the electrode</w:t>
      </w:r>
      <w:r w:rsidR="00B51488" w:rsidRPr="00127768">
        <w:t>s</w:t>
      </w:r>
      <w:r w:rsidRPr="00127768">
        <w:t xml:space="preserve">. PVC/ECTFE spacers (500 µm thick) were used to separate the membranes and create the solution compartments. Titanium-DSA electrodes were used as both the cathode and anode. To measure the voltage, platinum wires (99.9% metal basis, Alfa </w:t>
      </w:r>
      <w:proofErr w:type="spellStart"/>
      <w:r w:rsidRPr="00127768">
        <w:t>Aesar</w:t>
      </w:r>
      <w:proofErr w:type="spellEnd"/>
      <w:r w:rsidRPr="00127768">
        <w:t xml:space="preserve">, 127 µm diameter) were </w:t>
      </w:r>
      <w:r w:rsidR="005E40EA" w:rsidRPr="00127768">
        <w:t xml:space="preserve">assembled </w:t>
      </w:r>
      <w:r w:rsidRPr="00127768">
        <w:t xml:space="preserve">in the EDBM stack, excluding the fraction of the total voltage </w:t>
      </w:r>
      <w:r w:rsidR="00B51488" w:rsidRPr="00127768">
        <w:t>consumed</w:t>
      </w:r>
      <w:r w:rsidRPr="00127768">
        <w:t xml:space="preserve"> at the </w:t>
      </w:r>
      <w:proofErr w:type="spellStart"/>
      <w:r w:rsidRPr="00127768">
        <w:t>electrodic</w:t>
      </w:r>
      <w:proofErr w:type="spellEnd"/>
      <w:r w:rsidRPr="00127768">
        <w:t xml:space="preserve"> compartment</w:t>
      </w:r>
      <w:r w:rsidR="007E2A63" w:rsidRPr="00127768">
        <w:t>s</w:t>
      </w:r>
      <w:r w:rsidRPr="00127768">
        <w:t>.</w:t>
      </w:r>
    </w:p>
    <w:p w14:paraId="6762B8D4" w14:textId="78C1BA8D" w:rsidR="0026692A" w:rsidRPr="00127768" w:rsidRDefault="00275CBB" w:rsidP="0026692A">
      <w:r w:rsidRPr="00127768">
        <w:t xml:space="preserve">The experimental campaign was conducted using real brines from Trapani saltwork, which had been pre-treated to remove magnesium and calcium. The pre-treatment step involved mixing the saltwork bittern with a spiked alkaline solution comprising NaOH micro-pearls (technical grade, </w:t>
      </w:r>
      <w:proofErr w:type="spellStart"/>
      <w:r w:rsidRPr="00127768">
        <w:t>Inovyn</w:t>
      </w:r>
      <w:proofErr w:type="spellEnd"/>
      <w:r w:rsidRPr="00127768">
        <w:t xml:space="preserve">), NaCl (&gt;99.5% purity, Saline di Volterra </w:t>
      </w:r>
      <w:proofErr w:type="spellStart"/>
      <w:r w:rsidRPr="00127768">
        <w:t>s.r.l</w:t>
      </w:r>
      <w:proofErr w:type="spellEnd"/>
      <w:r w:rsidRPr="00127768">
        <w:t>., Italy), Na</w:t>
      </w:r>
      <w:r w:rsidRPr="00127768">
        <w:rPr>
          <w:vertAlign w:val="subscript"/>
        </w:rPr>
        <w:t>2</w:t>
      </w:r>
      <w:r w:rsidRPr="00127768">
        <w:t>SO</w:t>
      </w:r>
      <w:r w:rsidRPr="00127768">
        <w:rPr>
          <w:vertAlign w:val="subscript"/>
        </w:rPr>
        <w:t>4</w:t>
      </w:r>
      <w:r w:rsidRPr="00127768">
        <w:t xml:space="preserve"> (technical grade, CR GRUPO CRIMIDESA), and </w:t>
      </w:r>
      <w:proofErr w:type="spellStart"/>
      <w:r w:rsidRPr="00127768">
        <w:t>KCl</w:t>
      </w:r>
      <w:proofErr w:type="spellEnd"/>
      <w:r w:rsidR="006D6809" w:rsidRPr="00127768">
        <w:t xml:space="preserve"> (technical grade, Tor)</w:t>
      </w:r>
      <w:r w:rsidRPr="00127768">
        <w:t>. The pre-treatment step resulted in the precipitation of Mg and Ca as Mg(OH)</w:t>
      </w:r>
      <w:r w:rsidRPr="00127768">
        <w:rPr>
          <w:vertAlign w:val="subscript"/>
        </w:rPr>
        <w:t>2</w:t>
      </w:r>
      <w:r w:rsidRPr="00127768">
        <w:t xml:space="preserve"> and Ca(OH)</w:t>
      </w:r>
      <w:r w:rsidRPr="00127768">
        <w:rPr>
          <w:vertAlign w:val="subscript"/>
        </w:rPr>
        <w:t>2</w:t>
      </w:r>
      <w:r w:rsidRPr="00127768">
        <w:t>, separated by sedimentation. The clarified solution</w:t>
      </w:r>
      <w:r w:rsidR="002A1F5E" w:rsidRPr="00127768">
        <w:t xml:space="preserve"> was a 0.1 mol/L OH</w:t>
      </w:r>
      <w:r w:rsidR="002A1F5E" w:rsidRPr="00127768">
        <w:rPr>
          <w:vertAlign w:val="superscript"/>
        </w:rPr>
        <w:t>-</w:t>
      </w:r>
      <w:r w:rsidR="002A1F5E" w:rsidRPr="00127768">
        <w:t xml:space="preserve"> solution, </w:t>
      </w:r>
      <w:r w:rsidRPr="00127768">
        <w:t>used as the brine</w:t>
      </w:r>
      <w:r w:rsidR="007E2A63" w:rsidRPr="00127768">
        <w:t xml:space="preserve"> feed</w:t>
      </w:r>
      <w:r w:rsidRPr="00127768">
        <w:t xml:space="preserve"> for the EDBM unit. </w:t>
      </w:r>
      <w:r w:rsidRPr="00127768">
        <w:rPr>
          <w:rFonts w:cs="Arial"/>
          <w:szCs w:val="18"/>
        </w:rPr>
        <w:fldChar w:fldCharType="begin"/>
      </w:r>
      <w:r w:rsidRPr="00127768">
        <w:rPr>
          <w:rFonts w:cs="Arial"/>
          <w:szCs w:val="18"/>
        </w:rPr>
        <w:instrText xml:space="preserve"> REF _Ref129450789 \h  \* MERGEFORMAT </w:instrText>
      </w:r>
      <w:r w:rsidRPr="00127768">
        <w:rPr>
          <w:rFonts w:cs="Arial"/>
          <w:szCs w:val="18"/>
        </w:rPr>
      </w:r>
      <w:r w:rsidRPr="00127768">
        <w:rPr>
          <w:rFonts w:cs="Arial"/>
          <w:szCs w:val="18"/>
        </w:rPr>
        <w:fldChar w:fldCharType="separate"/>
      </w:r>
      <w:r w:rsidRPr="00127768">
        <w:rPr>
          <w:rFonts w:cs="Arial"/>
          <w:szCs w:val="18"/>
        </w:rPr>
        <w:t xml:space="preserve">Table </w:t>
      </w:r>
      <w:r w:rsidRPr="00127768">
        <w:rPr>
          <w:rFonts w:cs="Arial"/>
          <w:noProof/>
          <w:szCs w:val="18"/>
        </w:rPr>
        <w:t>1</w:t>
      </w:r>
      <w:r w:rsidRPr="00127768">
        <w:rPr>
          <w:rFonts w:cs="Arial"/>
          <w:szCs w:val="18"/>
        </w:rPr>
        <w:fldChar w:fldCharType="end"/>
      </w:r>
      <w:r w:rsidRPr="00127768">
        <w:rPr>
          <w:rFonts w:cs="Arial"/>
          <w:szCs w:val="18"/>
        </w:rPr>
        <w:t xml:space="preserve"> </w:t>
      </w:r>
      <w:r w:rsidRPr="00127768">
        <w:t>shows the compositions of the saltwork bittern, the spiked alkaline solution, and the clarified brine. For electrode rinse</w:t>
      </w:r>
      <w:r w:rsidR="005E40EA" w:rsidRPr="00127768">
        <w:t xml:space="preserve"> solution (ERS)</w:t>
      </w:r>
      <w:r w:rsidRPr="00127768">
        <w:t>, a 0.5 mol</w:t>
      </w:r>
      <w:r w:rsidR="007E2A63" w:rsidRPr="00127768">
        <w:t>/</w:t>
      </w:r>
      <w:r w:rsidRPr="00127768">
        <w:t>L FeCl</w:t>
      </w:r>
      <w:r w:rsidRPr="00127768">
        <w:rPr>
          <w:vertAlign w:val="subscript"/>
        </w:rPr>
        <w:t>2</w:t>
      </w:r>
      <w:r w:rsidRPr="00127768">
        <w:t>/FeCl</w:t>
      </w:r>
      <w:r w:rsidRPr="00127768">
        <w:rPr>
          <w:vertAlign w:val="subscript"/>
        </w:rPr>
        <w:t>3</w:t>
      </w:r>
      <w:r w:rsidRPr="00127768">
        <w:t xml:space="preserve"> (ACS grade, </w:t>
      </w:r>
      <w:proofErr w:type="spellStart"/>
      <w:r w:rsidRPr="00127768">
        <w:t>Chemsolute</w:t>
      </w:r>
      <w:proofErr w:type="spellEnd"/>
      <w:r w:rsidRPr="00127768">
        <w:t xml:space="preserve">, Germany) </w:t>
      </w:r>
      <w:r w:rsidR="00170634" w:rsidRPr="00127768">
        <w:t>and</w:t>
      </w:r>
      <w:r w:rsidRPr="00127768">
        <w:t xml:space="preserve"> 0.6 mol</w:t>
      </w:r>
      <w:r w:rsidR="00170634" w:rsidRPr="00127768">
        <w:t>/</w:t>
      </w:r>
      <w:r w:rsidRPr="00127768">
        <w:t xml:space="preserve">L HCl (ACS Reagent 37%, Honeywell, </w:t>
      </w:r>
      <w:proofErr w:type="spellStart"/>
      <w:r w:rsidRPr="00127768">
        <w:t>Fluka</w:t>
      </w:r>
      <w:proofErr w:type="spellEnd"/>
      <w:r w:rsidRPr="00127768">
        <w:t>) was used.</w:t>
      </w:r>
    </w:p>
    <w:p w14:paraId="6D2B238C" w14:textId="6E6BF26D" w:rsidR="006722B7" w:rsidRPr="00127768" w:rsidRDefault="00275CBB" w:rsidP="006722B7">
      <w:pPr>
        <w:pStyle w:val="CETTabletitle"/>
      </w:pPr>
      <w:bookmarkStart w:id="0" w:name="_Ref129450789"/>
      <w:r w:rsidRPr="00127768">
        <w:t xml:space="preserve">Table </w:t>
      </w:r>
      <w:r w:rsidRPr="00127768">
        <w:fldChar w:fldCharType="begin"/>
      </w:r>
      <w:r w:rsidRPr="00127768">
        <w:instrText xml:space="preserve"> SEQ Table \* ARABIC </w:instrText>
      </w:r>
      <w:r w:rsidRPr="00127768">
        <w:fldChar w:fldCharType="separate"/>
      </w:r>
      <w:r w:rsidR="00A70160" w:rsidRPr="00127768">
        <w:rPr>
          <w:noProof/>
        </w:rPr>
        <w:t>1</w:t>
      </w:r>
      <w:r w:rsidRPr="00127768">
        <w:fldChar w:fldCharType="end"/>
      </w:r>
      <w:bookmarkEnd w:id="0"/>
      <w:r w:rsidRPr="00127768">
        <w:t xml:space="preserve">. </w:t>
      </w:r>
      <w:r w:rsidR="005F5535" w:rsidRPr="00127768">
        <w:t>Composition of the main elements constituting the solution involved in the pre-treatment step</w:t>
      </w:r>
      <w:r w:rsidRPr="00127768">
        <w:t>.</w:t>
      </w:r>
    </w:p>
    <w:tbl>
      <w:tblPr>
        <w:tblW w:w="0" w:type="auto"/>
        <w:tblBorders>
          <w:top w:val="single" w:sz="12" w:space="0" w:color="008000"/>
          <w:bottom w:val="single" w:sz="12" w:space="0" w:color="008000"/>
          <w:insideH w:val="single" w:sz="4" w:space="0" w:color="auto"/>
          <w:insideV w:val="single" w:sz="4" w:space="0" w:color="auto"/>
        </w:tblBorders>
        <w:shd w:val="clear" w:color="auto" w:fill="FFFFFF"/>
        <w:tblCellMar>
          <w:left w:w="0" w:type="dxa"/>
          <w:right w:w="0" w:type="dxa"/>
        </w:tblCellMar>
        <w:tblLook w:val="00A0" w:firstRow="1" w:lastRow="0" w:firstColumn="1" w:lastColumn="0" w:noHBand="0" w:noVBand="0"/>
      </w:tblPr>
      <w:tblGrid>
        <w:gridCol w:w="1985"/>
        <w:gridCol w:w="840"/>
        <w:gridCol w:w="840"/>
        <w:gridCol w:w="840"/>
        <w:gridCol w:w="840"/>
        <w:gridCol w:w="840"/>
        <w:gridCol w:w="840"/>
        <w:gridCol w:w="840"/>
      </w:tblGrid>
      <w:tr w:rsidR="0060412F" w:rsidRPr="00127768" w14:paraId="153D0A17" w14:textId="45CDF530" w:rsidTr="003C0E8E">
        <w:tc>
          <w:tcPr>
            <w:tcW w:w="1985" w:type="dxa"/>
            <w:shd w:val="clear" w:color="auto" w:fill="FFFFFF"/>
            <w:vAlign w:val="center"/>
          </w:tcPr>
          <w:p w14:paraId="51886008" w14:textId="353DA042" w:rsidR="005F5535" w:rsidRPr="00127768" w:rsidRDefault="00275CBB" w:rsidP="003C0E8E">
            <w:pPr>
              <w:pStyle w:val="CETBodytext"/>
              <w:jc w:val="center"/>
              <w:rPr>
                <w:lang w:val="en-GB"/>
              </w:rPr>
            </w:pPr>
            <w:r w:rsidRPr="00127768">
              <w:rPr>
                <w:lang w:val="en-GB"/>
              </w:rPr>
              <w:t>Solution</w:t>
            </w:r>
          </w:p>
        </w:tc>
        <w:tc>
          <w:tcPr>
            <w:tcW w:w="840" w:type="dxa"/>
            <w:shd w:val="clear" w:color="auto" w:fill="FFFFFF"/>
            <w:vAlign w:val="center"/>
          </w:tcPr>
          <w:p w14:paraId="77D8E45A" w14:textId="17ED2B03" w:rsidR="005F5535" w:rsidRPr="00127768" w:rsidRDefault="00275CBB" w:rsidP="003C0E8E">
            <w:pPr>
              <w:pStyle w:val="CETBodytext"/>
              <w:jc w:val="center"/>
              <w:rPr>
                <w:lang w:val="en-GB"/>
              </w:rPr>
            </w:pPr>
            <w:r w:rsidRPr="00127768">
              <w:rPr>
                <w:lang w:val="en-GB"/>
              </w:rPr>
              <w:t>Na</w:t>
            </w:r>
            <w:r w:rsidRPr="00127768">
              <w:rPr>
                <w:vertAlign w:val="superscript"/>
                <w:lang w:val="en-GB"/>
              </w:rPr>
              <w:t>+</w:t>
            </w:r>
            <w:r w:rsidR="009528CE" w:rsidRPr="00127768">
              <w:rPr>
                <w:lang w:val="en-GB"/>
              </w:rPr>
              <w:t xml:space="preserve"> [mol/L]</w:t>
            </w:r>
          </w:p>
        </w:tc>
        <w:tc>
          <w:tcPr>
            <w:tcW w:w="840" w:type="dxa"/>
            <w:shd w:val="clear" w:color="auto" w:fill="FFFFFF"/>
            <w:vAlign w:val="center"/>
          </w:tcPr>
          <w:p w14:paraId="592A6E32" w14:textId="77777777" w:rsidR="009528CE" w:rsidRPr="00127768" w:rsidRDefault="00275CBB" w:rsidP="003C0E8E">
            <w:pPr>
              <w:pStyle w:val="CETBodytext"/>
              <w:jc w:val="center"/>
              <w:rPr>
                <w:vertAlign w:val="superscript"/>
                <w:lang w:val="en-GB"/>
              </w:rPr>
            </w:pPr>
            <w:r w:rsidRPr="00127768">
              <w:rPr>
                <w:lang w:val="en-GB"/>
              </w:rPr>
              <w:t>K</w:t>
            </w:r>
            <w:r w:rsidRPr="00127768">
              <w:rPr>
                <w:vertAlign w:val="superscript"/>
                <w:lang w:val="en-GB"/>
              </w:rPr>
              <w:t>+</w:t>
            </w:r>
          </w:p>
          <w:p w14:paraId="56BD3B8B" w14:textId="35B0C2B5" w:rsidR="005F5535" w:rsidRPr="00127768" w:rsidRDefault="009528CE" w:rsidP="003C0E8E">
            <w:pPr>
              <w:pStyle w:val="CETBodytext"/>
              <w:jc w:val="center"/>
              <w:rPr>
                <w:lang w:val="en-GB"/>
              </w:rPr>
            </w:pPr>
            <w:r w:rsidRPr="00127768">
              <w:rPr>
                <w:lang w:val="en-GB"/>
              </w:rPr>
              <w:t>[mol/L]</w:t>
            </w:r>
          </w:p>
        </w:tc>
        <w:tc>
          <w:tcPr>
            <w:tcW w:w="840" w:type="dxa"/>
            <w:shd w:val="clear" w:color="auto" w:fill="FFFFFF"/>
            <w:vAlign w:val="center"/>
          </w:tcPr>
          <w:p w14:paraId="621ABF17" w14:textId="77777777" w:rsidR="005F5535" w:rsidRPr="00127768" w:rsidRDefault="00275CBB" w:rsidP="003C0E8E">
            <w:pPr>
              <w:pStyle w:val="CETBodytext"/>
              <w:ind w:right="-1"/>
              <w:jc w:val="center"/>
              <w:rPr>
                <w:rFonts w:cs="Arial"/>
                <w:szCs w:val="18"/>
                <w:vertAlign w:val="superscript"/>
                <w:lang w:val="en-GB"/>
              </w:rPr>
            </w:pPr>
            <w:r w:rsidRPr="00127768">
              <w:rPr>
                <w:rFonts w:cs="Arial"/>
                <w:szCs w:val="18"/>
                <w:lang w:val="en-GB"/>
              </w:rPr>
              <w:t>Mg</w:t>
            </w:r>
            <w:r w:rsidRPr="00127768">
              <w:rPr>
                <w:rFonts w:cs="Arial"/>
                <w:szCs w:val="18"/>
                <w:vertAlign w:val="superscript"/>
                <w:lang w:val="en-GB"/>
              </w:rPr>
              <w:t>2+</w:t>
            </w:r>
          </w:p>
          <w:p w14:paraId="1C2BBBDB" w14:textId="3721AEF8" w:rsidR="009528CE" w:rsidRPr="00127768" w:rsidRDefault="009528CE" w:rsidP="003C0E8E">
            <w:pPr>
              <w:pStyle w:val="CETBodytext"/>
              <w:ind w:right="-1"/>
              <w:jc w:val="center"/>
              <w:rPr>
                <w:rFonts w:cs="Arial"/>
                <w:szCs w:val="18"/>
                <w:lang w:val="en-GB"/>
              </w:rPr>
            </w:pPr>
            <w:r w:rsidRPr="00127768">
              <w:rPr>
                <w:lang w:val="en-GB"/>
              </w:rPr>
              <w:t>[mol/L]</w:t>
            </w:r>
          </w:p>
        </w:tc>
        <w:tc>
          <w:tcPr>
            <w:tcW w:w="840" w:type="dxa"/>
            <w:shd w:val="clear" w:color="auto" w:fill="FFFFFF"/>
            <w:vAlign w:val="center"/>
          </w:tcPr>
          <w:p w14:paraId="6319C775" w14:textId="77777777" w:rsidR="005F5535" w:rsidRPr="00127768" w:rsidRDefault="00275CBB" w:rsidP="003C0E8E">
            <w:pPr>
              <w:pStyle w:val="CETBodytext"/>
              <w:ind w:right="-1"/>
              <w:jc w:val="center"/>
              <w:rPr>
                <w:rFonts w:cs="Arial"/>
                <w:szCs w:val="18"/>
                <w:vertAlign w:val="superscript"/>
                <w:lang w:val="en-GB"/>
              </w:rPr>
            </w:pPr>
            <w:r w:rsidRPr="00127768">
              <w:rPr>
                <w:rFonts w:cs="Arial"/>
                <w:szCs w:val="18"/>
                <w:lang w:val="en-GB"/>
              </w:rPr>
              <w:t>Ca</w:t>
            </w:r>
            <w:r w:rsidRPr="00127768">
              <w:rPr>
                <w:rFonts w:cs="Arial"/>
                <w:szCs w:val="18"/>
                <w:vertAlign w:val="superscript"/>
                <w:lang w:val="en-GB"/>
              </w:rPr>
              <w:t>2+</w:t>
            </w:r>
          </w:p>
          <w:p w14:paraId="34A21E3C" w14:textId="6F05C6F7" w:rsidR="009528CE" w:rsidRPr="00127768" w:rsidRDefault="009528CE" w:rsidP="003C0E8E">
            <w:pPr>
              <w:pStyle w:val="CETBodytext"/>
              <w:ind w:right="-1"/>
              <w:jc w:val="center"/>
              <w:rPr>
                <w:rFonts w:cs="Arial"/>
                <w:szCs w:val="18"/>
                <w:lang w:val="en-GB"/>
              </w:rPr>
            </w:pPr>
            <w:r w:rsidRPr="00127768">
              <w:rPr>
                <w:lang w:val="en-GB"/>
              </w:rPr>
              <w:t>[mol/L]</w:t>
            </w:r>
          </w:p>
        </w:tc>
        <w:tc>
          <w:tcPr>
            <w:tcW w:w="840" w:type="dxa"/>
            <w:shd w:val="clear" w:color="auto" w:fill="FFFFFF"/>
            <w:vAlign w:val="center"/>
          </w:tcPr>
          <w:p w14:paraId="10FD1594" w14:textId="77777777" w:rsidR="005F5535" w:rsidRPr="00127768" w:rsidRDefault="00275CBB" w:rsidP="003C0E8E">
            <w:pPr>
              <w:pStyle w:val="CETBodytext"/>
              <w:ind w:right="-1"/>
              <w:jc w:val="center"/>
              <w:rPr>
                <w:rFonts w:cs="Arial"/>
                <w:szCs w:val="18"/>
                <w:vertAlign w:val="superscript"/>
                <w:lang w:val="en-GB"/>
              </w:rPr>
            </w:pPr>
            <w:r w:rsidRPr="00127768">
              <w:rPr>
                <w:rFonts w:cs="Arial"/>
                <w:szCs w:val="18"/>
                <w:lang w:val="en-GB"/>
              </w:rPr>
              <w:t>Cl</w:t>
            </w:r>
            <w:r w:rsidRPr="00127768">
              <w:rPr>
                <w:rFonts w:cs="Arial"/>
                <w:szCs w:val="18"/>
                <w:vertAlign w:val="superscript"/>
                <w:lang w:val="en-GB"/>
              </w:rPr>
              <w:t>-</w:t>
            </w:r>
          </w:p>
          <w:p w14:paraId="4A6EBC5D" w14:textId="583183AA" w:rsidR="009528CE" w:rsidRPr="00127768" w:rsidRDefault="009528CE" w:rsidP="003C0E8E">
            <w:pPr>
              <w:pStyle w:val="CETBodytext"/>
              <w:ind w:right="-1"/>
              <w:jc w:val="center"/>
              <w:rPr>
                <w:rFonts w:cs="Arial"/>
                <w:szCs w:val="18"/>
                <w:lang w:val="en-GB"/>
              </w:rPr>
            </w:pPr>
            <w:r w:rsidRPr="00127768">
              <w:rPr>
                <w:lang w:val="en-GB"/>
              </w:rPr>
              <w:t>[mol/L]</w:t>
            </w:r>
          </w:p>
        </w:tc>
        <w:tc>
          <w:tcPr>
            <w:tcW w:w="840" w:type="dxa"/>
            <w:shd w:val="clear" w:color="auto" w:fill="FFFFFF"/>
            <w:vAlign w:val="center"/>
          </w:tcPr>
          <w:p w14:paraId="3357717A" w14:textId="77777777" w:rsidR="005F5535" w:rsidRPr="00127768" w:rsidRDefault="00275CBB" w:rsidP="003C0E8E">
            <w:pPr>
              <w:pStyle w:val="CETBodytext"/>
              <w:ind w:right="-1"/>
              <w:jc w:val="center"/>
              <w:rPr>
                <w:rFonts w:cs="Arial"/>
                <w:szCs w:val="18"/>
                <w:vertAlign w:val="superscript"/>
                <w:lang w:val="en-GB"/>
              </w:rPr>
            </w:pPr>
            <w:r w:rsidRPr="00127768">
              <w:rPr>
                <w:rFonts w:cs="Arial"/>
                <w:szCs w:val="18"/>
                <w:lang w:val="en-GB"/>
              </w:rPr>
              <w:t>SO</w:t>
            </w:r>
            <w:r w:rsidRPr="00127768">
              <w:rPr>
                <w:rFonts w:cs="Arial"/>
                <w:szCs w:val="18"/>
                <w:vertAlign w:val="subscript"/>
                <w:lang w:val="en-GB"/>
              </w:rPr>
              <w:t>4</w:t>
            </w:r>
            <w:r w:rsidRPr="00127768">
              <w:rPr>
                <w:rFonts w:cs="Arial"/>
                <w:szCs w:val="18"/>
                <w:vertAlign w:val="superscript"/>
                <w:lang w:val="en-GB"/>
              </w:rPr>
              <w:t>2-</w:t>
            </w:r>
          </w:p>
          <w:p w14:paraId="65A653B8" w14:textId="3CA92AAA" w:rsidR="009528CE" w:rsidRPr="00127768" w:rsidRDefault="009528CE" w:rsidP="003C0E8E">
            <w:pPr>
              <w:pStyle w:val="CETBodytext"/>
              <w:ind w:right="-1"/>
              <w:jc w:val="center"/>
              <w:rPr>
                <w:rFonts w:cs="Arial"/>
                <w:szCs w:val="18"/>
                <w:lang w:val="en-GB"/>
              </w:rPr>
            </w:pPr>
            <w:r w:rsidRPr="00127768">
              <w:rPr>
                <w:lang w:val="en-GB"/>
              </w:rPr>
              <w:t>[mol/L]</w:t>
            </w:r>
          </w:p>
        </w:tc>
        <w:tc>
          <w:tcPr>
            <w:tcW w:w="840" w:type="dxa"/>
            <w:shd w:val="clear" w:color="auto" w:fill="FFFFFF"/>
            <w:vAlign w:val="center"/>
          </w:tcPr>
          <w:p w14:paraId="7E58C290" w14:textId="275ECEBC" w:rsidR="005F5535" w:rsidRPr="00127768" w:rsidRDefault="00275CBB" w:rsidP="003C0E8E">
            <w:pPr>
              <w:pStyle w:val="CETBodytext"/>
              <w:ind w:right="-1"/>
              <w:jc w:val="center"/>
              <w:rPr>
                <w:vertAlign w:val="superscript"/>
                <w:lang w:val="en-GB"/>
              </w:rPr>
            </w:pPr>
            <w:r w:rsidRPr="00127768">
              <w:rPr>
                <w:rFonts w:cs="Arial"/>
                <w:szCs w:val="18"/>
                <w:lang w:val="en-GB"/>
              </w:rPr>
              <w:t>OH</w:t>
            </w:r>
            <w:r w:rsidRPr="00127768">
              <w:rPr>
                <w:rFonts w:cs="Arial"/>
                <w:szCs w:val="18"/>
                <w:vertAlign w:val="superscript"/>
                <w:lang w:val="en-GB"/>
              </w:rPr>
              <w:t>-</w:t>
            </w:r>
          </w:p>
          <w:p w14:paraId="34346368" w14:textId="2E2D01EE" w:rsidR="009528CE" w:rsidRPr="00127768" w:rsidRDefault="009528CE" w:rsidP="003C0E8E">
            <w:pPr>
              <w:pStyle w:val="CETBodytext"/>
              <w:ind w:right="-1"/>
              <w:jc w:val="center"/>
              <w:rPr>
                <w:rFonts w:cs="Arial"/>
                <w:szCs w:val="18"/>
                <w:lang w:val="en-GB"/>
              </w:rPr>
            </w:pPr>
            <w:r w:rsidRPr="00127768">
              <w:rPr>
                <w:lang w:val="en-GB"/>
              </w:rPr>
              <w:t>[mol/L]</w:t>
            </w:r>
          </w:p>
        </w:tc>
      </w:tr>
      <w:tr w:rsidR="0060412F" w:rsidRPr="00127768" w14:paraId="12008D16" w14:textId="111982AB" w:rsidTr="003C0E8E">
        <w:tc>
          <w:tcPr>
            <w:tcW w:w="1985" w:type="dxa"/>
            <w:shd w:val="clear" w:color="auto" w:fill="FFFFFF"/>
            <w:vAlign w:val="center"/>
          </w:tcPr>
          <w:p w14:paraId="61B8C0B6" w14:textId="6CFCA015" w:rsidR="005F5535" w:rsidRPr="00127768" w:rsidRDefault="00275CBB" w:rsidP="003C0E8E">
            <w:pPr>
              <w:pStyle w:val="CETBodytext"/>
              <w:jc w:val="center"/>
              <w:rPr>
                <w:lang w:val="en-GB"/>
              </w:rPr>
            </w:pPr>
            <w:r w:rsidRPr="00127768">
              <w:rPr>
                <w:lang w:val="en-GB"/>
              </w:rPr>
              <w:t>Saltwork bittern</w:t>
            </w:r>
          </w:p>
        </w:tc>
        <w:tc>
          <w:tcPr>
            <w:tcW w:w="840" w:type="dxa"/>
            <w:shd w:val="clear" w:color="auto" w:fill="FFFFFF"/>
            <w:vAlign w:val="center"/>
          </w:tcPr>
          <w:p w14:paraId="07C5F457" w14:textId="7B495BBA" w:rsidR="005F5535" w:rsidRPr="00127768" w:rsidRDefault="0058366F" w:rsidP="003C0E8E">
            <w:pPr>
              <w:pStyle w:val="CETBodytext"/>
              <w:jc w:val="center"/>
              <w:rPr>
                <w:lang w:val="en-GB"/>
              </w:rPr>
            </w:pPr>
            <w:r w:rsidRPr="00127768">
              <w:rPr>
                <w:lang w:val="en-GB"/>
              </w:rPr>
              <w:t>2.99</w:t>
            </w:r>
          </w:p>
        </w:tc>
        <w:tc>
          <w:tcPr>
            <w:tcW w:w="840" w:type="dxa"/>
            <w:shd w:val="clear" w:color="auto" w:fill="FFFFFF"/>
            <w:vAlign w:val="center"/>
          </w:tcPr>
          <w:p w14:paraId="503B6880" w14:textId="68E5E6FD" w:rsidR="005F5535" w:rsidRPr="00127768" w:rsidRDefault="0058366F" w:rsidP="003C0E8E">
            <w:pPr>
              <w:pStyle w:val="CETBodytext"/>
              <w:jc w:val="center"/>
              <w:rPr>
                <w:lang w:val="en-GB"/>
              </w:rPr>
            </w:pPr>
            <w:r w:rsidRPr="00127768">
              <w:rPr>
                <w:lang w:val="en-GB"/>
              </w:rPr>
              <w:t>0.27</w:t>
            </w:r>
          </w:p>
        </w:tc>
        <w:tc>
          <w:tcPr>
            <w:tcW w:w="840" w:type="dxa"/>
            <w:shd w:val="clear" w:color="auto" w:fill="FFFFFF"/>
            <w:vAlign w:val="center"/>
          </w:tcPr>
          <w:p w14:paraId="2AF09577" w14:textId="5351D52E" w:rsidR="005F5535" w:rsidRPr="00127768" w:rsidRDefault="0058366F" w:rsidP="003C0E8E">
            <w:pPr>
              <w:pStyle w:val="CETBodytext"/>
              <w:ind w:right="-1"/>
              <w:jc w:val="center"/>
              <w:rPr>
                <w:rFonts w:cs="Arial"/>
                <w:szCs w:val="18"/>
                <w:lang w:val="en-GB"/>
              </w:rPr>
            </w:pPr>
            <w:r w:rsidRPr="00127768">
              <w:rPr>
                <w:rFonts w:cs="Arial"/>
                <w:szCs w:val="18"/>
                <w:lang w:val="en-GB"/>
              </w:rPr>
              <w:t>1.60</w:t>
            </w:r>
          </w:p>
        </w:tc>
        <w:tc>
          <w:tcPr>
            <w:tcW w:w="840" w:type="dxa"/>
            <w:shd w:val="clear" w:color="auto" w:fill="FFFFFF"/>
            <w:vAlign w:val="center"/>
          </w:tcPr>
          <w:p w14:paraId="1224C780" w14:textId="63C391E9" w:rsidR="005F5535" w:rsidRPr="00127768" w:rsidRDefault="0058366F" w:rsidP="003C0E8E">
            <w:pPr>
              <w:pStyle w:val="CETBodytext"/>
              <w:ind w:right="-1"/>
              <w:jc w:val="center"/>
              <w:rPr>
                <w:rFonts w:cs="Arial"/>
                <w:szCs w:val="18"/>
                <w:lang w:val="en-GB"/>
              </w:rPr>
            </w:pPr>
            <w:r w:rsidRPr="00127768">
              <w:rPr>
                <w:rFonts w:cs="Arial"/>
                <w:szCs w:val="18"/>
                <w:lang w:val="en-GB"/>
              </w:rPr>
              <w:t>4.65 10</w:t>
            </w:r>
            <w:r w:rsidRPr="00127768">
              <w:rPr>
                <w:rFonts w:cs="Arial"/>
                <w:szCs w:val="18"/>
                <w:vertAlign w:val="superscript"/>
                <w:lang w:val="en-GB"/>
              </w:rPr>
              <w:t>-3</w:t>
            </w:r>
          </w:p>
        </w:tc>
        <w:tc>
          <w:tcPr>
            <w:tcW w:w="840" w:type="dxa"/>
            <w:shd w:val="clear" w:color="auto" w:fill="FFFFFF"/>
            <w:vAlign w:val="center"/>
          </w:tcPr>
          <w:p w14:paraId="28063A8A" w14:textId="13C02F90" w:rsidR="005F5535" w:rsidRPr="00127768" w:rsidRDefault="0058366F" w:rsidP="003C0E8E">
            <w:pPr>
              <w:pStyle w:val="CETBodytext"/>
              <w:ind w:right="-1"/>
              <w:jc w:val="center"/>
              <w:rPr>
                <w:rFonts w:cs="Arial"/>
                <w:szCs w:val="18"/>
                <w:lang w:val="en-GB"/>
              </w:rPr>
            </w:pPr>
            <w:r w:rsidRPr="00127768">
              <w:rPr>
                <w:rFonts w:cs="Arial"/>
                <w:szCs w:val="18"/>
                <w:lang w:val="en-GB"/>
              </w:rPr>
              <w:t>5.60</w:t>
            </w:r>
          </w:p>
        </w:tc>
        <w:tc>
          <w:tcPr>
            <w:tcW w:w="840" w:type="dxa"/>
            <w:shd w:val="clear" w:color="auto" w:fill="FFFFFF"/>
            <w:vAlign w:val="center"/>
          </w:tcPr>
          <w:p w14:paraId="05541D5B" w14:textId="3F53CF76" w:rsidR="005F5535" w:rsidRPr="00127768" w:rsidRDefault="0058366F" w:rsidP="003C0E8E">
            <w:pPr>
              <w:pStyle w:val="CETBodytext"/>
              <w:ind w:right="-1"/>
              <w:jc w:val="center"/>
              <w:rPr>
                <w:rFonts w:cs="Arial"/>
                <w:szCs w:val="18"/>
                <w:lang w:val="en-GB"/>
              </w:rPr>
            </w:pPr>
            <w:r w:rsidRPr="00127768">
              <w:rPr>
                <w:rFonts w:cs="Arial"/>
                <w:szCs w:val="18"/>
                <w:lang w:val="en-GB"/>
              </w:rPr>
              <w:t>0.45</w:t>
            </w:r>
          </w:p>
        </w:tc>
        <w:tc>
          <w:tcPr>
            <w:tcW w:w="840" w:type="dxa"/>
            <w:shd w:val="clear" w:color="auto" w:fill="FFFFFF"/>
            <w:vAlign w:val="center"/>
          </w:tcPr>
          <w:p w14:paraId="346AF097" w14:textId="04991CA4" w:rsidR="005F5535" w:rsidRPr="00127768" w:rsidRDefault="0058366F" w:rsidP="003C0E8E">
            <w:pPr>
              <w:pStyle w:val="CETBodytext"/>
              <w:ind w:right="-1"/>
              <w:jc w:val="center"/>
              <w:rPr>
                <w:rFonts w:cs="Arial"/>
                <w:szCs w:val="18"/>
                <w:lang w:val="en-GB"/>
              </w:rPr>
            </w:pPr>
            <w:r w:rsidRPr="00127768">
              <w:rPr>
                <w:rFonts w:cs="Arial"/>
                <w:szCs w:val="18"/>
                <w:lang w:val="en-GB"/>
              </w:rPr>
              <w:t>-</w:t>
            </w:r>
          </w:p>
        </w:tc>
      </w:tr>
      <w:tr w:rsidR="0058366F" w:rsidRPr="00127768" w14:paraId="6A3F3AAB" w14:textId="69F84604" w:rsidTr="003C0E8E">
        <w:tc>
          <w:tcPr>
            <w:tcW w:w="1985" w:type="dxa"/>
            <w:shd w:val="clear" w:color="auto" w:fill="FFFFFF"/>
            <w:vAlign w:val="center"/>
          </w:tcPr>
          <w:p w14:paraId="78A87A6C" w14:textId="5F1F299B" w:rsidR="0058366F" w:rsidRPr="00127768" w:rsidRDefault="0058366F" w:rsidP="003C0E8E">
            <w:pPr>
              <w:pStyle w:val="CETBodytext"/>
              <w:jc w:val="center"/>
              <w:rPr>
                <w:lang w:val="en-GB"/>
              </w:rPr>
            </w:pPr>
            <w:r w:rsidRPr="00127768">
              <w:rPr>
                <w:lang w:val="en-GB"/>
              </w:rPr>
              <w:t>Alkaline spiked solution</w:t>
            </w:r>
          </w:p>
        </w:tc>
        <w:tc>
          <w:tcPr>
            <w:tcW w:w="840" w:type="dxa"/>
            <w:shd w:val="clear" w:color="auto" w:fill="FFFFFF"/>
            <w:vAlign w:val="center"/>
          </w:tcPr>
          <w:p w14:paraId="726D6962" w14:textId="51B9A743" w:rsidR="0058366F" w:rsidRPr="00127768" w:rsidRDefault="003C0E8E" w:rsidP="003C0E8E">
            <w:pPr>
              <w:pStyle w:val="CETBodytext"/>
              <w:jc w:val="center"/>
              <w:rPr>
                <w:lang w:val="en-GB"/>
              </w:rPr>
            </w:pPr>
            <w:r w:rsidRPr="00127768">
              <w:rPr>
                <w:lang w:val="en-GB"/>
              </w:rPr>
              <w:t>3.38</w:t>
            </w:r>
          </w:p>
        </w:tc>
        <w:tc>
          <w:tcPr>
            <w:tcW w:w="840" w:type="dxa"/>
            <w:shd w:val="clear" w:color="auto" w:fill="FFFFFF"/>
            <w:vAlign w:val="center"/>
          </w:tcPr>
          <w:p w14:paraId="6A70C105" w14:textId="7A40BF98" w:rsidR="0058366F" w:rsidRPr="00127768" w:rsidRDefault="003C0E8E" w:rsidP="003C0E8E">
            <w:pPr>
              <w:pStyle w:val="CETBodytext"/>
              <w:jc w:val="center"/>
              <w:rPr>
                <w:lang w:val="en-GB"/>
              </w:rPr>
            </w:pPr>
            <w:r w:rsidRPr="00127768">
              <w:rPr>
                <w:lang w:val="en-GB"/>
              </w:rPr>
              <w:t>0.53</w:t>
            </w:r>
          </w:p>
        </w:tc>
        <w:tc>
          <w:tcPr>
            <w:tcW w:w="840" w:type="dxa"/>
            <w:shd w:val="clear" w:color="auto" w:fill="FFFFFF"/>
            <w:vAlign w:val="center"/>
          </w:tcPr>
          <w:p w14:paraId="02A9D6BB" w14:textId="1AB86E72" w:rsidR="0058366F" w:rsidRPr="00127768" w:rsidRDefault="00E50A8B" w:rsidP="003C0E8E">
            <w:pPr>
              <w:pStyle w:val="CETBodytext"/>
              <w:ind w:right="-1"/>
              <w:jc w:val="center"/>
              <w:rPr>
                <w:rFonts w:cs="Arial"/>
                <w:szCs w:val="18"/>
                <w:lang w:val="en-GB"/>
              </w:rPr>
            </w:pPr>
            <w:r w:rsidRPr="00127768">
              <w:rPr>
                <w:rFonts w:cs="Arial"/>
                <w:szCs w:val="18"/>
                <w:lang w:val="en-GB"/>
              </w:rPr>
              <w:t>&lt;</w:t>
            </w:r>
            <w:proofErr w:type="spellStart"/>
            <w:r w:rsidRPr="00127768">
              <w:rPr>
                <w:rFonts w:cs="Arial"/>
                <w:szCs w:val="18"/>
                <w:lang w:val="en-GB"/>
              </w:rPr>
              <w:t>lq</w:t>
            </w:r>
            <w:proofErr w:type="spellEnd"/>
            <w:r w:rsidRPr="00127768">
              <w:rPr>
                <w:rFonts w:cs="Arial"/>
                <w:szCs w:val="18"/>
                <w:lang w:val="en-GB"/>
              </w:rPr>
              <w:t>*</w:t>
            </w:r>
          </w:p>
        </w:tc>
        <w:tc>
          <w:tcPr>
            <w:tcW w:w="840" w:type="dxa"/>
            <w:shd w:val="clear" w:color="auto" w:fill="FFFFFF"/>
            <w:vAlign w:val="center"/>
          </w:tcPr>
          <w:p w14:paraId="489F655A" w14:textId="7C239D25" w:rsidR="0058366F" w:rsidRPr="00127768" w:rsidRDefault="00E50A8B" w:rsidP="003C0E8E">
            <w:pPr>
              <w:pStyle w:val="CETBodytext"/>
              <w:ind w:right="-1"/>
              <w:jc w:val="center"/>
              <w:rPr>
                <w:rFonts w:cs="Arial"/>
                <w:szCs w:val="18"/>
                <w:lang w:val="en-GB"/>
              </w:rPr>
            </w:pPr>
            <w:r w:rsidRPr="00127768">
              <w:rPr>
                <w:rFonts w:cs="Arial"/>
                <w:szCs w:val="18"/>
                <w:lang w:val="en-GB"/>
              </w:rPr>
              <w:t>&lt;</w:t>
            </w:r>
            <w:proofErr w:type="spellStart"/>
            <w:r w:rsidRPr="00127768">
              <w:rPr>
                <w:rFonts w:cs="Arial"/>
                <w:szCs w:val="18"/>
                <w:lang w:val="en-GB"/>
              </w:rPr>
              <w:t>lq</w:t>
            </w:r>
            <w:proofErr w:type="spellEnd"/>
            <w:r w:rsidRPr="00127768">
              <w:rPr>
                <w:rFonts w:cs="Arial"/>
                <w:szCs w:val="18"/>
                <w:lang w:val="en-GB"/>
              </w:rPr>
              <w:t>*</w:t>
            </w:r>
          </w:p>
        </w:tc>
        <w:tc>
          <w:tcPr>
            <w:tcW w:w="840" w:type="dxa"/>
            <w:shd w:val="clear" w:color="auto" w:fill="FFFFFF"/>
            <w:vAlign w:val="center"/>
          </w:tcPr>
          <w:p w14:paraId="260007FD" w14:textId="429DF74D" w:rsidR="0058366F" w:rsidRPr="00127768" w:rsidRDefault="003C0E8E" w:rsidP="003C0E8E">
            <w:pPr>
              <w:pStyle w:val="CETBodytext"/>
              <w:ind w:right="-1"/>
              <w:jc w:val="center"/>
              <w:rPr>
                <w:rFonts w:cs="Arial"/>
                <w:szCs w:val="18"/>
                <w:lang w:val="en-GB"/>
              </w:rPr>
            </w:pPr>
            <w:r w:rsidRPr="00127768">
              <w:rPr>
                <w:rFonts w:cs="Arial"/>
                <w:szCs w:val="18"/>
                <w:lang w:val="en-GB"/>
              </w:rPr>
              <w:t>3.09</w:t>
            </w:r>
          </w:p>
        </w:tc>
        <w:tc>
          <w:tcPr>
            <w:tcW w:w="840" w:type="dxa"/>
            <w:shd w:val="clear" w:color="auto" w:fill="FFFFFF"/>
            <w:vAlign w:val="center"/>
          </w:tcPr>
          <w:p w14:paraId="4837F8F3" w14:textId="7635F3D2" w:rsidR="0058366F" w:rsidRPr="00127768" w:rsidRDefault="003C0E8E" w:rsidP="003C0E8E">
            <w:pPr>
              <w:pStyle w:val="CETBodytext"/>
              <w:ind w:right="-1"/>
              <w:jc w:val="center"/>
              <w:rPr>
                <w:rFonts w:cs="Arial"/>
                <w:szCs w:val="18"/>
                <w:lang w:val="en-GB"/>
              </w:rPr>
            </w:pPr>
            <w:r w:rsidRPr="00127768">
              <w:rPr>
                <w:rFonts w:cs="Arial"/>
                <w:szCs w:val="18"/>
                <w:lang w:val="en-GB"/>
              </w:rPr>
              <w:t>0.32</w:t>
            </w:r>
          </w:p>
        </w:tc>
        <w:tc>
          <w:tcPr>
            <w:tcW w:w="840" w:type="dxa"/>
            <w:shd w:val="clear" w:color="auto" w:fill="FFFFFF"/>
            <w:vAlign w:val="center"/>
          </w:tcPr>
          <w:p w14:paraId="6425592A" w14:textId="4300DB33" w:rsidR="0058366F" w:rsidRPr="00127768" w:rsidRDefault="003C0E8E" w:rsidP="003C0E8E">
            <w:pPr>
              <w:pStyle w:val="CETBodytext"/>
              <w:ind w:right="-1"/>
              <w:jc w:val="center"/>
              <w:rPr>
                <w:rFonts w:cs="Arial"/>
                <w:szCs w:val="18"/>
                <w:lang w:val="en-GB"/>
              </w:rPr>
            </w:pPr>
            <w:r w:rsidRPr="00127768">
              <w:rPr>
                <w:rFonts w:cs="Arial"/>
                <w:szCs w:val="18"/>
                <w:lang w:val="en-GB"/>
              </w:rPr>
              <w:t>0.5</w:t>
            </w:r>
          </w:p>
        </w:tc>
      </w:tr>
      <w:tr w:rsidR="0058366F" w:rsidRPr="00127768" w14:paraId="67080D06" w14:textId="2C80B42E" w:rsidTr="003C0E8E">
        <w:tc>
          <w:tcPr>
            <w:tcW w:w="1985" w:type="dxa"/>
            <w:shd w:val="clear" w:color="auto" w:fill="FFFFFF"/>
            <w:vAlign w:val="center"/>
          </w:tcPr>
          <w:p w14:paraId="2605DBC4" w14:textId="1A7F5916" w:rsidR="0058366F" w:rsidRPr="00127768" w:rsidRDefault="0058366F" w:rsidP="003C0E8E">
            <w:pPr>
              <w:pStyle w:val="CETBodytext"/>
              <w:jc w:val="center"/>
              <w:rPr>
                <w:lang w:val="en-GB"/>
              </w:rPr>
            </w:pPr>
            <w:r w:rsidRPr="00127768">
              <w:rPr>
                <w:lang w:val="en-GB"/>
              </w:rPr>
              <w:t>Clarified brine</w:t>
            </w:r>
          </w:p>
        </w:tc>
        <w:tc>
          <w:tcPr>
            <w:tcW w:w="840" w:type="dxa"/>
            <w:shd w:val="clear" w:color="auto" w:fill="FFFFFF"/>
            <w:vAlign w:val="center"/>
          </w:tcPr>
          <w:p w14:paraId="49CCB95B" w14:textId="7EDA3DA2" w:rsidR="0058366F" w:rsidRPr="00127768" w:rsidRDefault="0058366F" w:rsidP="003C0E8E">
            <w:pPr>
              <w:pStyle w:val="CETBodytext"/>
              <w:jc w:val="center"/>
              <w:rPr>
                <w:lang w:val="en-GB"/>
              </w:rPr>
            </w:pPr>
            <w:r w:rsidRPr="00127768">
              <w:rPr>
                <w:lang w:val="en-GB"/>
              </w:rPr>
              <w:t>3.74</w:t>
            </w:r>
          </w:p>
        </w:tc>
        <w:tc>
          <w:tcPr>
            <w:tcW w:w="840" w:type="dxa"/>
            <w:shd w:val="clear" w:color="auto" w:fill="FFFFFF"/>
            <w:vAlign w:val="center"/>
          </w:tcPr>
          <w:p w14:paraId="4DEFB904" w14:textId="033948EB" w:rsidR="0058366F" w:rsidRPr="00127768" w:rsidRDefault="0058366F" w:rsidP="003C0E8E">
            <w:pPr>
              <w:pStyle w:val="CETBodytext"/>
              <w:jc w:val="center"/>
              <w:rPr>
                <w:lang w:val="en-GB"/>
              </w:rPr>
            </w:pPr>
            <w:r w:rsidRPr="00127768">
              <w:rPr>
                <w:lang w:val="en-GB"/>
              </w:rPr>
              <w:t>0.51</w:t>
            </w:r>
          </w:p>
        </w:tc>
        <w:tc>
          <w:tcPr>
            <w:tcW w:w="840" w:type="dxa"/>
            <w:shd w:val="clear" w:color="auto" w:fill="FFFFFF"/>
            <w:vAlign w:val="center"/>
          </w:tcPr>
          <w:p w14:paraId="0099A9F2" w14:textId="1750459D" w:rsidR="0058366F" w:rsidRPr="00127768" w:rsidRDefault="00E50A8B" w:rsidP="003C0E8E">
            <w:pPr>
              <w:pStyle w:val="CETBodytext"/>
              <w:ind w:right="-1"/>
              <w:jc w:val="center"/>
              <w:rPr>
                <w:rFonts w:cs="Arial"/>
                <w:szCs w:val="18"/>
                <w:lang w:val="en-GB"/>
              </w:rPr>
            </w:pPr>
            <w:r w:rsidRPr="00127768">
              <w:rPr>
                <w:rFonts w:cs="Arial"/>
                <w:szCs w:val="18"/>
                <w:lang w:val="en-GB"/>
              </w:rPr>
              <w:t>&lt;</w:t>
            </w:r>
            <w:proofErr w:type="spellStart"/>
            <w:r w:rsidRPr="00127768">
              <w:rPr>
                <w:rFonts w:cs="Arial"/>
                <w:szCs w:val="18"/>
                <w:lang w:val="en-GB"/>
              </w:rPr>
              <w:t>lq</w:t>
            </w:r>
            <w:proofErr w:type="spellEnd"/>
            <w:r w:rsidRPr="00127768">
              <w:rPr>
                <w:rFonts w:cs="Arial"/>
                <w:szCs w:val="18"/>
                <w:lang w:val="en-GB"/>
              </w:rPr>
              <w:t>*</w:t>
            </w:r>
          </w:p>
        </w:tc>
        <w:tc>
          <w:tcPr>
            <w:tcW w:w="840" w:type="dxa"/>
            <w:shd w:val="clear" w:color="auto" w:fill="FFFFFF"/>
            <w:vAlign w:val="center"/>
          </w:tcPr>
          <w:p w14:paraId="22195413" w14:textId="539021A4" w:rsidR="0058366F" w:rsidRPr="00127768" w:rsidRDefault="00E50A8B" w:rsidP="003C0E8E">
            <w:pPr>
              <w:pStyle w:val="CETBodytext"/>
              <w:ind w:right="-1"/>
              <w:jc w:val="center"/>
              <w:rPr>
                <w:rFonts w:cs="Arial"/>
                <w:szCs w:val="18"/>
                <w:lang w:val="en-GB"/>
              </w:rPr>
            </w:pPr>
            <w:r w:rsidRPr="00127768">
              <w:rPr>
                <w:rFonts w:cs="Arial"/>
                <w:szCs w:val="18"/>
                <w:lang w:val="en-GB"/>
              </w:rPr>
              <w:t>&lt;</w:t>
            </w:r>
            <w:proofErr w:type="spellStart"/>
            <w:r w:rsidRPr="00127768">
              <w:rPr>
                <w:rFonts w:cs="Arial"/>
                <w:szCs w:val="18"/>
                <w:lang w:val="en-GB"/>
              </w:rPr>
              <w:t>lq</w:t>
            </w:r>
            <w:proofErr w:type="spellEnd"/>
            <w:r w:rsidRPr="00127768">
              <w:rPr>
                <w:rFonts w:cs="Arial"/>
                <w:szCs w:val="18"/>
                <w:lang w:val="en-GB"/>
              </w:rPr>
              <w:t>*</w:t>
            </w:r>
          </w:p>
        </w:tc>
        <w:tc>
          <w:tcPr>
            <w:tcW w:w="840" w:type="dxa"/>
            <w:shd w:val="clear" w:color="auto" w:fill="FFFFFF"/>
            <w:vAlign w:val="center"/>
          </w:tcPr>
          <w:p w14:paraId="40BB285B" w14:textId="3CCE49AD" w:rsidR="0058366F" w:rsidRPr="00127768" w:rsidRDefault="0058366F" w:rsidP="003C0E8E">
            <w:pPr>
              <w:pStyle w:val="CETBodytext"/>
              <w:ind w:right="-1"/>
              <w:jc w:val="center"/>
              <w:rPr>
                <w:rFonts w:cs="Arial"/>
                <w:szCs w:val="18"/>
                <w:lang w:val="en-GB"/>
              </w:rPr>
            </w:pPr>
            <w:r w:rsidRPr="00127768">
              <w:rPr>
                <w:rFonts w:cs="Arial"/>
                <w:szCs w:val="18"/>
                <w:lang w:val="en-GB"/>
              </w:rPr>
              <w:t>3.06</w:t>
            </w:r>
          </w:p>
        </w:tc>
        <w:tc>
          <w:tcPr>
            <w:tcW w:w="840" w:type="dxa"/>
            <w:shd w:val="clear" w:color="auto" w:fill="FFFFFF"/>
            <w:vAlign w:val="center"/>
          </w:tcPr>
          <w:p w14:paraId="5A9A16C0" w14:textId="6023DCEE" w:rsidR="0058366F" w:rsidRPr="00127768" w:rsidRDefault="0058366F" w:rsidP="003C0E8E">
            <w:pPr>
              <w:pStyle w:val="CETBodytext"/>
              <w:ind w:right="-1"/>
              <w:jc w:val="center"/>
              <w:rPr>
                <w:rFonts w:cs="Arial"/>
                <w:szCs w:val="18"/>
                <w:lang w:val="en-GB"/>
              </w:rPr>
            </w:pPr>
            <w:r w:rsidRPr="00127768">
              <w:rPr>
                <w:rFonts w:cs="Arial"/>
                <w:szCs w:val="18"/>
                <w:lang w:val="en-GB"/>
              </w:rPr>
              <w:t>0.35</w:t>
            </w:r>
          </w:p>
        </w:tc>
        <w:tc>
          <w:tcPr>
            <w:tcW w:w="840" w:type="dxa"/>
            <w:shd w:val="clear" w:color="auto" w:fill="FFFFFF"/>
            <w:vAlign w:val="center"/>
          </w:tcPr>
          <w:p w14:paraId="67117A25" w14:textId="0E63AE9B" w:rsidR="0058366F" w:rsidRPr="00127768" w:rsidRDefault="0058366F" w:rsidP="003C0E8E">
            <w:pPr>
              <w:pStyle w:val="CETBodytext"/>
              <w:ind w:right="-1"/>
              <w:jc w:val="center"/>
              <w:rPr>
                <w:rFonts w:cs="Arial"/>
                <w:szCs w:val="18"/>
                <w:lang w:val="en-GB"/>
              </w:rPr>
            </w:pPr>
            <w:r w:rsidRPr="00127768">
              <w:rPr>
                <w:rFonts w:cs="Arial"/>
                <w:szCs w:val="18"/>
                <w:lang w:val="en-GB"/>
              </w:rPr>
              <w:t>0.10</w:t>
            </w:r>
          </w:p>
        </w:tc>
      </w:tr>
    </w:tbl>
    <w:p w14:paraId="547BDD57" w14:textId="51EA12FD" w:rsidR="00E60BDE" w:rsidRPr="00127768" w:rsidRDefault="00E50A8B" w:rsidP="00E50A8B">
      <w:pPr>
        <w:pStyle w:val="CETListbullets"/>
        <w:ind w:left="0" w:firstLine="0"/>
        <w:jc w:val="left"/>
      </w:pPr>
      <w:r w:rsidRPr="00127768">
        <w:t>*</w:t>
      </w:r>
      <w:r w:rsidRPr="00127768">
        <w:rPr>
          <w:sz w:val="16"/>
          <w:szCs w:val="18"/>
        </w:rPr>
        <w:t>below quantification limit (</w:t>
      </w:r>
      <w:proofErr w:type="spellStart"/>
      <w:r w:rsidRPr="00127768">
        <w:rPr>
          <w:sz w:val="16"/>
          <w:szCs w:val="18"/>
        </w:rPr>
        <w:t>lq</w:t>
      </w:r>
      <w:proofErr w:type="spellEnd"/>
      <w:r w:rsidRPr="00127768">
        <w:rPr>
          <w:sz w:val="16"/>
          <w:szCs w:val="18"/>
        </w:rPr>
        <w:t>)</w:t>
      </w:r>
    </w:p>
    <w:p w14:paraId="43DC2EFB" w14:textId="3706BF38" w:rsidR="00E60BDE" w:rsidRPr="00127768" w:rsidRDefault="00275CBB" w:rsidP="00E60BDE">
      <w:r w:rsidRPr="00127768">
        <w:fldChar w:fldCharType="begin"/>
      </w:r>
      <w:r w:rsidRPr="00127768">
        <w:instrText xml:space="preserve"> REF _Ref129453909 \h </w:instrText>
      </w:r>
      <w:r w:rsidR="00127768">
        <w:instrText xml:space="preserve"> \* MERGEFORMAT </w:instrText>
      </w:r>
      <w:r w:rsidRPr="00127768">
        <w:fldChar w:fldCharType="separate"/>
      </w:r>
      <w:r w:rsidRPr="00127768">
        <w:t xml:space="preserve">Figure </w:t>
      </w:r>
      <w:r w:rsidRPr="00127768">
        <w:rPr>
          <w:noProof/>
        </w:rPr>
        <w:t>1</w:t>
      </w:r>
      <w:r w:rsidRPr="00127768">
        <w:fldChar w:fldCharType="end"/>
      </w:r>
      <w:r w:rsidRPr="00127768">
        <w:t xml:space="preserve"> illustrates the experimental setup featuring a feed and bleed configuration for the acid, base, and salt compartments and a closed-loop configuration for the ERS. SEKO Kronos 50 FF10 peristaltic pumps were used </w:t>
      </w:r>
      <w:r w:rsidRPr="00127768">
        <w:lastRenderedPageBreak/>
        <w:t xml:space="preserve">to introduce the inlet solution in the feed and bleed configuration. In contrast, YT15 and BT601S </w:t>
      </w:r>
      <w:r w:rsidR="005E40EA" w:rsidRPr="00127768">
        <w:t>(</w:t>
      </w:r>
      <w:r w:rsidRPr="00127768">
        <w:t>Lead Fluid, CO LTD, China</w:t>
      </w:r>
      <w:r w:rsidR="005E40EA" w:rsidRPr="00127768">
        <w:t>)</w:t>
      </w:r>
      <w:r w:rsidRPr="00127768">
        <w:t xml:space="preserve"> recirculation pumps were utilized to ensure an inlet flow rate of 75 mL/min for the salt, base, and acid compartments to feed the ERS solution in a closed loop. A higher ERS flow rate of 600 mL/min was established to </w:t>
      </w:r>
      <w:r w:rsidR="00FE5000" w:rsidRPr="00127768">
        <w:t>promote</w:t>
      </w:r>
      <w:r w:rsidRPr="00127768">
        <w:t xml:space="preserve"> the iron redox reactions at the electrodes.</w:t>
      </w:r>
    </w:p>
    <w:p w14:paraId="71413C7A" w14:textId="68C962FB" w:rsidR="001A2F4F" w:rsidRPr="00127768" w:rsidRDefault="00275CBB" w:rsidP="00E60BDE">
      <w:r w:rsidRPr="00127768">
        <w:t>The clarified brine was employed as the inlet for both the base and salt compartments</w:t>
      </w:r>
      <w:r w:rsidR="00FE5000" w:rsidRPr="00127768">
        <w:t>. Indeed, i</w:t>
      </w:r>
      <w:r w:rsidRPr="00127768">
        <w:t>n th</w:t>
      </w:r>
      <w:r w:rsidR="00FE5000" w:rsidRPr="00127768">
        <w:t xml:space="preserve">e </w:t>
      </w:r>
      <w:proofErr w:type="spellStart"/>
      <w:r w:rsidR="00FE5000" w:rsidRPr="00127768">
        <w:t>SEArcularMINE</w:t>
      </w:r>
      <w:proofErr w:type="spellEnd"/>
      <w:r w:rsidRPr="00127768">
        <w:t xml:space="preserve"> </w:t>
      </w:r>
      <w:r w:rsidR="00FE5000" w:rsidRPr="00127768">
        <w:t>treatment chain</w:t>
      </w:r>
      <w:r w:rsidRPr="00127768">
        <w:t xml:space="preserve">, no pure NaOH solution is </w:t>
      </w:r>
      <w:r w:rsidR="00FE5000" w:rsidRPr="00127768">
        <w:t>required</w:t>
      </w:r>
      <w:r w:rsidRPr="00127768">
        <w:t xml:space="preserve">. Softened tap water </w:t>
      </w:r>
      <w:r w:rsidR="00FE5000" w:rsidRPr="00127768">
        <w:t>was used</w:t>
      </w:r>
      <w:r w:rsidRPr="00127768">
        <w:t xml:space="preserve"> as the inlet solution for the acid compartment. Cartridge filters with a 5 µm rating were installed in all lines, </w:t>
      </w:r>
      <w:r w:rsidR="00102E1E" w:rsidRPr="00127768">
        <w:t>downstream</w:t>
      </w:r>
      <w:r w:rsidRPr="00127768">
        <w:t xml:space="preserve"> the recirculation pumps. </w:t>
      </w:r>
      <w:proofErr w:type="spellStart"/>
      <w:r w:rsidRPr="00127768">
        <w:t>Cewal</w:t>
      </w:r>
      <w:proofErr w:type="spellEnd"/>
      <w:r w:rsidRPr="00127768">
        <w:t xml:space="preserve"> pressure gauges were incorporated </w:t>
      </w:r>
      <w:r w:rsidR="00102E1E" w:rsidRPr="00127768">
        <w:t>upstream</w:t>
      </w:r>
      <w:r w:rsidRPr="00127768">
        <w:t xml:space="preserve"> the stack inlet to monitor the system pressure drop.</w:t>
      </w:r>
    </w:p>
    <w:p w14:paraId="280D77F6" w14:textId="15E3ABB4" w:rsidR="00F42D1E" w:rsidRPr="00127768" w:rsidRDefault="005F73D5" w:rsidP="001A2F4F">
      <w:pPr>
        <w:pStyle w:val="CETListbullets"/>
        <w:ind w:left="0" w:firstLine="0"/>
      </w:pPr>
      <w:r w:rsidRPr="00127768">
        <w:rPr>
          <w:noProof/>
        </w:rPr>
        <w:drawing>
          <wp:inline distT="0" distB="0" distL="0" distR="0" wp14:anchorId="465FAD6C" wp14:editId="48DC87A3">
            <wp:extent cx="5579745" cy="284670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9745" cy="2846705"/>
                    </a:xfrm>
                    <a:prstGeom prst="rect">
                      <a:avLst/>
                    </a:prstGeom>
                    <a:noFill/>
                    <a:ln>
                      <a:noFill/>
                    </a:ln>
                  </pic:spPr>
                </pic:pic>
              </a:graphicData>
            </a:graphic>
          </wp:inline>
        </w:drawing>
      </w:r>
    </w:p>
    <w:p w14:paraId="5B940A49" w14:textId="0C476335" w:rsidR="00E60BDE" w:rsidRPr="00127768" w:rsidRDefault="00275CBB" w:rsidP="00E50A8B">
      <w:pPr>
        <w:pStyle w:val="CETCaption"/>
        <w:spacing w:before="0"/>
      </w:pPr>
      <w:bookmarkStart w:id="1" w:name="_Ref129453909"/>
      <w:r w:rsidRPr="00127768">
        <w:t xml:space="preserve">Figure </w:t>
      </w:r>
      <w:r w:rsidRPr="00127768">
        <w:fldChar w:fldCharType="begin"/>
      </w:r>
      <w:r w:rsidRPr="00127768">
        <w:instrText xml:space="preserve"> SEQ Figure \* ARABIC </w:instrText>
      </w:r>
      <w:r w:rsidRPr="00127768">
        <w:fldChar w:fldCharType="separate"/>
      </w:r>
      <w:r w:rsidR="00A70160" w:rsidRPr="00127768">
        <w:rPr>
          <w:noProof/>
        </w:rPr>
        <w:t>1</w:t>
      </w:r>
      <w:r w:rsidRPr="00127768">
        <w:fldChar w:fldCharType="end"/>
      </w:r>
      <w:bookmarkEnd w:id="1"/>
      <w:r w:rsidRPr="00127768">
        <w:t>. Schematic representation of the experimental setup, including the laboratory EDBM unit and primary auxiliaries.</w:t>
      </w:r>
    </w:p>
    <w:p w14:paraId="2F5B5478" w14:textId="1C1EBA77" w:rsidR="006E670F" w:rsidRPr="00127768" w:rsidRDefault="00275CBB" w:rsidP="00E60BDE">
      <w:r w:rsidRPr="00127768">
        <w:t>The long-term experiment was conducted at a current density of 300 A/m</w:t>
      </w:r>
      <w:r w:rsidRPr="00127768">
        <w:rPr>
          <w:vertAlign w:val="superscript"/>
        </w:rPr>
        <w:t>2</w:t>
      </w:r>
      <w:r w:rsidRPr="00127768">
        <w:t xml:space="preserve"> using a DC power supply (1902B, B&amp;K precision). Two </w:t>
      </w:r>
      <w:proofErr w:type="spellStart"/>
      <w:r w:rsidRPr="00127768">
        <w:t>multimeters</w:t>
      </w:r>
      <w:proofErr w:type="spellEnd"/>
      <w:r w:rsidRPr="00127768">
        <w:t xml:space="preserve"> (Fluke 175) were connected in series and parallel to the electric circuit to measure the electric </w:t>
      </w:r>
      <w:r w:rsidR="001302F3" w:rsidRPr="00127768">
        <w:t>c</w:t>
      </w:r>
      <w:r w:rsidRPr="00127768">
        <w:t>urrent and the corresponding voltages at both platinum wires and electrodes. The sampling point</w:t>
      </w:r>
      <w:r w:rsidR="00FE5000" w:rsidRPr="00127768">
        <w:t>s</w:t>
      </w:r>
      <w:r w:rsidRPr="00127768">
        <w:t xml:space="preserve"> at the outlet of the base and acid solutions w</w:t>
      </w:r>
      <w:r w:rsidR="00FE5000" w:rsidRPr="00127768">
        <w:t>ere</w:t>
      </w:r>
      <w:r w:rsidRPr="00127768">
        <w:t xml:space="preserve"> equipped with a T-connection and manual valves. A WTW 314i portable pH and conductivity meter was employed to monitor the evolution of the solutions pH and conductivity. Samples of 40 mL were collected from the outlet sampling point. </w:t>
      </w:r>
    </w:p>
    <w:p w14:paraId="2FADF6DC" w14:textId="77777777" w:rsidR="002675AB" w:rsidRPr="00127768" w:rsidRDefault="002675AB" w:rsidP="00E60BDE"/>
    <w:p w14:paraId="4254E385" w14:textId="492B9D16" w:rsidR="00E60BDE" w:rsidRPr="00127768" w:rsidRDefault="00275CBB" w:rsidP="00E60BDE">
      <w:pPr>
        <w:pStyle w:val="CETBodytext"/>
        <w:rPr>
          <w:b/>
          <w:bCs/>
          <w:lang w:eastAsia="ja-JP"/>
        </w:rPr>
      </w:pPr>
      <w:r w:rsidRPr="00127768">
        <w:rPr>
          <w:b/>
          <w:bCs/>
          <w:lang w:eastAsia="ja-JP"/>
        </w:rPr>
        <w:t xml:space="preserve">2.2 </w:t>
      </w:r>
      <w:r w:rsidR="00F42D1E" w:rsidRPr="00127768">
        <w:rPr>
          <w:b/>
          <w:bCs/>
          <w:lang w:eastAsia="ja-JP"/>
        </w:rPr>
        <w:t>Experimental procedure and analytical techniques</w:t>
      </w:r>
    </w:p>
    <w:p w14:paraId="3DD02574" w14:textId="014C03ED" w:rsidR="00E60BDE" w:rsidRPr="00127768" w:rsidRDefault="00275CBB" w:rsidP="00E60BDE">
      <w:r w:rsidRPr="00127768">
        <w:t xml:space="preserve">External and internal leakage tests were performed using demineralized water in all </w:t>
      </w:r>
      <w:r w:rsidR="00CC3C2F" w:rsidRPr="00127768">
        <w:t xml:space="preserve">the </w:t>
      </w:r>
      <w:r w:rsidRPr="00127768">
        <w:t xml:space="preserve">four compartments </w:t>
      </w:r>
      <w:r w:rsidR="00CC3C2F" w:rsidRPr="00127768">
        <w:t xml:space="preserve">operated </w:t>
      </w:r>
      <w:r w:rsidR="001302F3" w:rsidRPr="00127768">
        <w:t>in</w:t>
      </w:r>
      <w:r w:rsidRPr="00127768">
        <w:t xml:space="preserve"> closed-loop </w:t>
      </w:r>
      <w:r w:rsidR="00CC3C2F" w:rsidRPr="00127768">
        <w:t xml:space="preserve">mode </w:t>
      </w:r>
      <w:r w:rsidRPr="00127768">
        <w:t xml:space="preserve">at the operating feed flow rates for at least one hour. The mass variation was monitored using precision scales (KERN KB, Max 10,000 g, d=0.1 g), and leakage was considered </w:t>
      </w:r>
      <w:r w:rsidR="00CC3C2F" w:rsidRPr="00127768">
        <w:t>acceptable</w:t>
      </w:r>
      <w:r w:rsidRPr="00127768">
        <w:t xml:space="preserve"> </w:t>
      </w:r>
      <w:r w:rsidR="00BA0A32" w:rsidRPr="00127768">
        <w:t>due to its value below</w:t>
      </w:r>
      <w:r w:rsidRPr="00127768">
        <w:t xml:space="preserve"> 5% of the relative mass (1</w:t>
      </w:r>
      <w:r w:rsidR="00F6116C" w:rsidRPr="00127768">
        <w:t>,</w:t>
      </w:r>
      <w:r w:rsidRPr="00127768">
        <w:t>000 g) over one hour.</w:t>
      </w:r>
    </w:p>
    <w:p w14:paraId="7539AE7A" w14:textId="18E29054" w:rsidR="00E60BDE" w:rsidRPr="00127768" w:rsidRDefault="00275CBB" w:rsidP="00E60BDE">
      <w:r w:rsidRPr="00127768">
        <w:t>To evaluate the system long-term performance, a 75-hour feed and bleed experiment was conducted at a current density of 300 A/m</w:t>
      </w:r>
      <w:r w:rsidRPr="00127768">
        <w:rPr>
          <w:vertAlign w:val="superscript"/>
        </w:rPr>
        <w:t>2</w:t>
      </w:r>
      <w:r w:rsidRPr="00127768">
        <w:t>, aiming to achieve a steady-state OH</w:t>
      </w:r>
      <w:r w:rsidRPr="00127768">
        <w:rPr>
          <w:vertAlign w:val="superscript"/>
        </w:rPr>
        <w:t>-</w:t>
      </w:r>
      <w:r w:rsidRPr="00127768">
        <w:t xml:space="preserve"> concentration of 0.5 mol/L. Initially, all compartments were filled with the appropriate inlet solution (the brine for the salt and base compartments and softened tap water for the acid compartment). After purging the system </w:t>
      </w:r>
      <w:r w:rsidR="00825A8B" w:rsidRPr="00127768">
        <w:t>from</w:t>
      </w:r>
      <w:r w:rsidRPr="00127768">
        <w:t xml:space="preserve"> bubbles, the </w:t>
      </w:r>
      <w:r w:rsidR="00F6116C" w:rsidRPr="00127768">
        <w:t xml:space="preserve">electric </w:t>
      </w:r>
      <w:r w:rsidRPr="00127768">
        <w:t xml:space="preserve">current </w:t>
      </w:r>
      <w:r w:rsidR="00F6116C" w:rsidRPr="00127768">
        <w:t xml:space="preserve">and inlet flow rates </w:t>
      </w:r>
      <w:r w:rsidRPr="00127768">
        <w:t>w</w:t>
      </w:r>
      <w:r w:rsidR="00F6116C" w:rsidRPr="00127768">
        <w:t>ere</w:t>
      </w:r>
      <w:r w:rsidRPr="00127768">
        <w:t xml:space="preserve"> set (as shown in </w:t>
      </w:r>
      <w:r w:rsidRPr="00127768">
        <w:fldChar w:fldCharType="begin"/>
      </w:r>
      <w:r w:rsidRPr="00127768">
        <w:instrText xml:space="preserve"> REF _Ref129525790 \h </w:instrText>
      </w:r>
      <w:r w:rsidR="00127768">
        <w:instrText xml:space="preserve"> \* MERGEFORMAT </w:instrText>
      </w:r>
      <w:r w:rsidRPr="00127768">
        <w:fldChar w:fldCharType="separate"/>
      </w:r>
      <w:r w:rsidRPr="00127768">
        <w:t xml:space="preserve">Table </w:t>
      </w:r>
      <w:r w:rsidRPr="00127768">
        <w:rPr>
          <w:noProof/>
        </w:rPr>
        <w:t>2</w:t>
      </w:r>
      <w:r w:rsidRPr="00127768">
        <w:fldChar w:fldCharType="end"/>
      </w:r>
      <w:r w:rsidRPr="00127768">
        <w:t>)</w:t>
      </w:r>
      <w:r w:rsidR="00F6116C" w:rsidRPr="00127768">
        <w:t xml:space="preserve">. The latter flow rates were </w:t>
      </w:r>
      <w:r w:rsidRPr="00127768">
        <w:t xml:space="preserve">estimated using simplified mass balances, assuming a current efficiency of 70%. </w:t>
      </w:r>
      <w:r w:rsidR="006D6809" w:rsidRPr="00127768">
        <w:t xml:space="preserve">Specifically, a ~30% lower value of acid flow rate (13 mL/min) compared to the base flow rate (18 mL/min) </w:t>
      </w:r>
      <w:r w:rsidR="00191BE1" w:rsidRPr="00127768">
        <w:t xml:space="preserve">was set </w:t>
      </w:r>
      <w:r w:rsidR="006D6809" w:rsidRPr="00127768">
        <w:t xml:space="preserve">to account for the different inlet concentrations of the </w:t>
      </w:r>
      <w:r w:rsidR="00191BE1" w:rsidRPr="00127768">
        <w:t>acid and base streams</w:t>
      </w:r>
      <w:r w:rsidR="006D6809" w:rsidRPr="00127768">
        <w:t xml:space="preserve">. </w:t>
      </w:r>
      <w:r w:rsidR="00625BC2" w:rsidRPr="00127768">
        <w:t>Indeed</w:t>
      </w:r>
      <w:r w:rsidR="006D6809" w:rsidRPr="00127768">
        <w:t xml:space="preserve">, the acid </w:t>
      </w:r>
      <w:r w:rsidR="00B250CF" w:rsidRPr="00127768">
        <w:t xml:space="preserve">and base concentrations were </w:t>
      </w:r>
      <w:r w:rsidR="006D6809" w:rsidRPr="00127768">
        <w:t>supposed to increase from 0 mol/L to 0.5 mol/L</w:t>
      </w:r>
      <w:r w:rsidR="00B250CF" w:rsidRPr="00127768">
        <w:t xml:space="preserve"> and from </w:t>
      </w:r>
      <w:r w:rsidR="006D6809" w:rsidRPr="00127768">
        <w:t>0.1 mol/L to 0.5 mol/L</w:t>
      </w:r>
      <w:r w:rsidR="00B250CF" w:rsidRPr="00127768">
        <w:t>, respectively</w:t>
      </w:r>
      <w:r w:rsidR="006D6809" w:rsidRPr="00127768">
        <w:t xml:space="preserve">. </w:t>
      </w:r>
      <w:r w:rsidR="00B250CF" w:rsidRPr="00127768">
        <w:t>Therefore</w:t>
      </w:r>
      <w:r w:rsidR="006D6809" w:rsidRPr="00127768">
        <w:t>, a lower flow</w:t>
      </w:r>
      <w:r w:rsidR="00825A8B" w:rsidRPr="00127768">
        <w:t xml:space="preserve"> </w:t>
      </w:r>
      <w:r w:rsidR="006D6809" w:rsidRPr="00127768">
        <w:t xml:space="preserve">rate of acid was required to </w:t>
      </w:r>
      <w:r w:rsidR="00B250CF" w:rsidRPr="00127768">
        <w:t>ensure</w:t>
      </w:r>
      <w:r w:rsidR="006D6809" w:rsidRPr="00127768">
        <w:t xml:space="preserve"> a higher </w:t>
      </w:r>
      <w:r w:rsidR="00B250CF" w:rsidRPr="00127768">
        <w:t>concentration difference between the inlet and the outlet streams</w:t>
      </w:r>
      <w:r w:rsidR="006D6809" w:rsidRPr="00127768">
        <w:t xml:space="preserve">.  </w:t>
      </w:r>
    </w:p>
    <w:p w14:paraId="3854740F" w14:textId="77777777" w:rsidR="00C62F60" w:rsidRPr="00127768" w:rsidRDefault="00275CBB" w:rsidP="001302F3">
      <w:pPr>
        <w:pStyle w:val="CETCaption"/>
        <w:spacing w:before="120" w:after="0"/>
      </w:pPr>
      <w:bookmarkStart w:id="2" w:name="_Ref129525790"/>
      <w:r w:rsidRPr="00127768">
        <w:t xml:space="preserve">Table </w:t>
      </w:r>
      <w:r w:rsidRPr="00127768">
        <w:fldChar w:fldCharType="begin"/>
      </w:r>
      <w:r w:rsidRPr="00127768">
        <w:instrText xml:space="preserve"> SEQ Table \* ARABIC </w:instrText>
      </w:r>
      <w:r w:rsidRPr="00127768">
        <w:fldChar w:fldCharType="separate"/>
      </w:r>
      <w:r w:rsidRPr="00127768">
        <w:rPr>
          <w:noProof/>
        </w:rPr>
        <w:t>2</w:t>
      </w:r>
      <w:r w:rsidRPr="00127768">
        <w:fldChar w:fldCharType="end"/>
      </w:r>
      <w:bookmarkEnd w:id="2"/>
      <w:r w:rsidRPr="00127768">
        <w:t>. Flow rates for acid, base, salt and ERS solutions.</w:t>
      </w:r>
    </w:p>
    <w:tbl>
      <w:tblPr>
        <w:tblW w:w="0" w:type="auto"/>
        <w:tblBorders>
          <w:top w:val="single" w:sz="12" w:space="0" w:color="008000"/>
          <w:bottom w:val="single" w:sz="12" w:space="0" w:color="008000"/>
          <w:insideH w:val="single" w:sz="4" w:space="0" w:color="auto"/>
          <w:insideV w:val="single" w:sz="4" w:space="0" w:color="auto"/>
        </w:tblBorders>
        <w:shd w:val="clear" w:color="auto" w:fill="FFFFFF"/>
        <w:tblCellMar>
          <w:left w:w="0" w:type="dxa"/>
          <w:right w:w="0" w:type="dxa"/>
        </w:tblCellMar>
        <w:tblLook w:val="00A0" w:firstRow="1" w:lastRow="0" w:firstColumn="1" w:lastColumn="0" w:noHBand="0" w:noVBand="0"/>
      </w:tblPr>
      <w:tblGrid>
        <w:gridCol w:w="2127"/>
        <w:gridCol w:w="724"/>
        <w:gridCol w:w="725"/>
        <w:gridCol w:w="724"/>
        <w:gridCol w:w="725"/>
      </w:tblGrid>
      <w:tr w:rsidR="0060412F" w:rsidRPr="00127768" w14:paraId="32E58A4C" w14:textId="77777777" w:rsidTr="003C0E8E">
        <w:tc>
          <w:tcPr>
            <w:tcW w:w="2127" w:type="dxa"/>
            <w:shd w:val="clear" w:color="auto" w:fill="FFFFFF"/>
            <w:vAlign w:val="center"/>
          </w:tcPr>
          <w:p w14:paraId="1AF53FC3" w14:textId="77777777" w:rsidR="00C62F60" w:rsidRPr="00127768" w:rsidRDefault="00275CBB" w:rsidP="001302F3">
            <w:pPr>
              <w:pStyle w:val="CETBodytext"/>
              <w:spacing w:before="120"/>
              <w:jc w:val="center"/>
              <w:rPr>
                <w:lang w:val="en-GB"/>
              </w:rPr>
            </w:pPr>
            <w:r w:rsidRPr="00127768">
              <w:rPr>
                <w:lang w:val="en-GB"/>
              </w:rPr>
              <w:t>Solution</w:t>
            </w:r>
          </w:p>
        </w:tc>
        <w:tc>
          <w:tcPr>
            <w:tcW w:w="724" w:type="dxa"/>
            <w:shd w:val="clear" w:color="auto" w:fill="FFFFFF"/>
            <w:vAlign w:val="center"/>
          </w:tcPr>
          <w:p w14:paraId="4D9BED49" w14:textId="77777777" w:rsidR="00C62F60" w:rsidRPr="00127768" w:rsidRDefault="00275CBB" w:rsidP="001302F3">
            <w:pPr>
              <w:pStyle w:val="CETBodytext"/>
              <w:spacing w:before="120"/>
              <w:jc w:val="center"/>
              <w:rPr>
                <w:lang w:val="en-GB"/>
              </w:rPr>
            </w:pPr>
            <w:r w:rsidRPr="00127768">
              <w:rPr>
                <w:lang w:val="en-GB"/>
              </w:rPr>
              <w:t>Acid</w:t>
            </w:r>
          </w:p>
        </w:tc>
        <w:tc>
          <w:tcPr>
            <w:tcW w:w="725" w:type="dxa"/>
            <w:shd w:val="clear" w:color="auto" w:fill="FFFFFF"/>
            <w:vAlign w:val="center"/>
          </w:tcPr>
          <w:p w14:paraId="71EAF45D" w14:textId="77777777" w:rsidR="00C62F60" w:rsidRPr="00127768" w:rsidRDefault="00275CBB" w:rsidP="001302F3">
            <w:pPr>
              <w:pStyle w:val="CETBodytext"/>
              <w:spacing w:before="120"/>
              <w:jc w:val="center"/>
              <w:rPr>
                <w:lang w:val="en-GB"/>
              </w:rPr>
            </w:pPr>
            <w:r w:rsidRPr="00127768">
              <w:rPr>
                <w:lang w:val="en-GB"/>
              </w:rPr>
              <w:t>Base</w:t>
            </w:r>
          </w:p>
        </w:tc>
        <w:tc>
          <w:tcPr>
            <w:tcW w:w="724" w:type="dxa"/>
            <w:shd w:val="clear" w:color="auto" w:fill="FFFFFF"/>
            <w:vAlign w:val="center"/>
          </w:tcPr>
          <w:p w14:paraId="5DAD94BC" w14:textId="77777777" w:rsidR="00C62F60" w:rsidRPr="00127768" w:rsidRDefault="00275CBB" w:rsidP="001302F3">
            <w:pPr>
              <w:pStyle w:val="CETBodytext"/>
              <w:spacing w:before="120"/>
              <w:ind w:right="-1"/>
              <w:jc w:val="center"/>
              <w:rPr>
                <w:rFonts w:cs="Arial"/>
                <w:szCs w:val="18"/>
                <w:lang w:val="en-GB"/>
              </w:rPr>
            </w:pPr>
            <w:r w:rsidRPr="00127768">
              <w:rPr>
                <w:rFonts w:cs="Arial"/>
                <w:szCs w:val="18"/>
                <w:lang w:val="en-GB"/>
              </w:rPr>
              <w:t>Salt</w:t>
            </w:r>
          </w:p>
        </w:tc>
        <w:tc>
          <w:tcPr>
            <w:tcW w:w="725" w:type="dxa"/>
            <w:shd w:val="clear" w:color="auto" w:fill="FFFFFF"/>
            <w:vAlign w:val="center"/>
          </w:tcPr>
          <w:p w14:paraId="672FE15D" w14:textId="77777777" w:rsidR="00C62F60" w:rsidRPr="00127768" w:rsidRDefault="00275CBB" w:rsidP="001302F3">
            <w:pPr>
              <w:pStyle w:val="CETBodytext"/>
              <w:spacing w:before="120"/>
              <w:ind w:right="-1"/>
              <w:jc w:val="center"/>
              <w:rPr>
                <w:rFonts w:cs="Arial"/>
                <w:szCs w:val="18"/>
                <w:lang w:val="en-GB"/>
              </w:rPr>
            </w:pPr>
            <w:r w:rsidRPr="00127768">
              <w:rPr>
                <w:rFonts w:cs="Arial"/>
                <w:szCs w:val="18"/>
                <w:lang w:val="en-GB"/>
              </w:rPr>
              <w:t>ERS</w:t>
            </w:r>
          </w:p>
        </w:tc>
      </w:tr>
      <w:tr w:rsidR="0060412F" w:rsidRPr="00127768" w14:paraId="0FFE5F55" w14:textId="77777777" w:rsidTr="003C0E8E">
        <w:tc>
          <w:tcPr>
            <w:tcW w:w="2127" w:type="dxa"/>
            <w:shd w:val="clear" w:color="auto" w:fill="FFFFFF"/>
            <w:vAlign w:val="center"/>
          </w:tcPr>
          <w:p w14:paraId="2AF75376" w14:textId="66091CED" w:rsidR="00C62F60" w:rsidRPr="00127768" w:rsidRDefault="00275CBB" w:rsidP="003C0E8E">
            <w:pPr>
              <w:pStyle w:val="CETBodytext"/>
              <w:jc w:val="center"/>
              <w:rPr>
                <w:lang w:val="en-GB"/>
              </w:rPr>
            </w:pPr>
            <w:r w:rsidRPr="00127768">
              <w:rPr>
                <w:lang w:val="en-GB"/>
              </w:rPr>
              <w:t xml:space="preserve">Feed </w:t>
            </w:r>
            <w:r w:rsidR="00EC2444" w:rsidRPr="00127768">
              <w:rPr>
                <w:lang w:val="en-GB"/>
              </w:rPr>
              <w:t>and</w:t>
            </w:r>
            <w:r w:rsidRPr="00127768">
              <w:rPr>
                <w:lang w:val="en-GB"/>
              </w:rPr>
              <w:t xml:space="preserve"> bleed [mL/min]</w:t>
            </w:r>
          </w:p>
        </w:tc>
        <w:tc>
          <w:tcPr>
            <w:tcW w:w="724" w:type="dxa"/>
            <w:shd w:val="clear" w:color="auto" w:fill="FFFFFF"/>
            <w:vAlign w:val="center"/>
          </w:tcPr>
          <w:p w14:paraId="6D49A524" w14:textId="77777777" w:rsidR="00C62F60" w:rsidRPr="00127768" w:rsidRDefault="00275CBB" w:rsidP="003C0E8E">
            <w:pPr>
              <w:pStyle w:val="CETBodytext"/>
              <w:jc w:val="center"/>
              <w:rPr>
                <w:lang w:val="en-GB"/>
              </w:rPr>
            </w:pPr>
            <w:r w:rsidRPr="00127768">
              <w:rPr>
                <w:lang w:val="en-GB"/>
              </w:rPr>
              <w:t>13</w:t>
            </w:r>
          </w:p>
        </w:tc>
        <w:tc>
          <w:tcPr>
            <w:tcW w:w="725" w:type="dxa"/>
            <w:shd w:val="clear" w:color="auto" w:fill="FFFFFF"/>
            <w:vAlign w:val="center"/>
          </w:tcPr>
          <w:p w14:paraId="3D5136A9" w14:textId="77777777" w:rsidR="00C62F60" w:rsidRPr="00127768" w:rsidRDefault="00275CBB" w:rsidP="003C0E8E">
            <w:pPr>
              <w:pStyle w:val="CETBodytext"/>
              <w:jc w:val="center"/>
              <w:rPr>
                <w:lang w:val="en-GB"/>
              </w:rPr>
            </w:pPr>
            <w:r w:rsidRPr="00127768">
              <w:rPr>
                <w:lang w:val="en-GB"/>
              </w:rPr>
              <w:t>18</w:t>
            </w:r>
          </w:p>
        </w:tc>
        <w:tc>
          <w:tcPr>
            <w:tcW w:w="724" w:type="dxa"/>
            <w:shd w:val="clear" w:color="auto" w:fill="FFFFFF"/>
            <w:vAlign w:val="center"/>
          </w:tcPr>
          <w:p w14:paraId="6FAAD07A" w14:textId="77777777" w:rsidR="00C62F60" w:rsidRPr="00127768" w:rsidRDefault="00275CBB" w:rsidP="003C0E8E">
            <w:pPr>
              <w:pStyle w:val="CETBodytext"/>
              <w:ind w:right="-1"/>
              <w:jc w:val="center"/>
              <w:rPr>
                <w:rFonts w:cs="Arial"/>
                <w:szCs w:val="18"/>
                <w:lang w:val="en-GB"/>
              </w:rPr>
            </w:pPr>
            <w:r w:rsidRPr="00127768">
              <w:rPr>
                <w:rFonts w:cs="Arial"/>
                <w:szCs w:val="18"/>
                <w:lang w:val="en-GB"/>
              </w:rPr>
              <w:t>6</w:t>
            </w:r>
          </w:p>
        </w:tc>
        <w:tc>
          <w:tcPr>
            <w:tcW w:w="725" w:type="dxa"/>
            <w:shd w:val="clear" w:color="auto" w:fill="FFFFFF"/>
            <w:vAlign w:val="center"/>
          </w:tcPr>
          <w:p w14:paraId="070CC56B" w14:textId="77777777" w:rsidR="00C62F60" w:rsidRPr="00127768" w:rsidRDefault="00275CBB" w:rsidP="003C0E8E">
            <w:pPr>
              <w:pStyle w:val="CETBodytext"/>
              <w:ind w:right="-1"/>
              <w:jc w:val="center"/>
              <w:rPr>
                <w:rFonts w:cs="Arial"/>
                <w:szCs w:val="18"/>
                <w:lang w:val="en-GB"/>
              </w:rPr>
            </w:pPr>
            <w:r w:rsidRPr="00127768">
              <w:rPr>
                <w:rFonts w:cs="Arial"/>
                <w:szCs w:val="18"/>
                <w:lang w:val="en-GB"/>
              </w:rPr>
              <w:t>-</w:t>
            </w:r>
          </w:p>
        </w:tc>
      </w:tr>
      <w:tr w:rsidR="0060412F" w:rsidRPr="00127768" w14:paraId="59320B01" w14:textId="77777777" w:rsidTr="003C0E8E">
        <w:tc>
          <w:tcPr>
            <w:tcW w:w="2127" w:type="dxa"/>
            <w:shd w:val="clear" w:color="auto" w:fill="FFFFFF"/>
            <w:vAlign w:val="center"/>
          </w:tcPr>
          <w:p w14:paraId="2C9C01F8" w14:textId="5BA0657B" w:rsidR="00C62F60" w:rsidRPr="00127768" w:rsidRDefault="00275CBB" w:rsidP="003C0E8E">
            <w:pPr>
              <w:pStyle w:val="CETBodytext"/>
              <w:jc w:val="center"/>
              <w:rPr>
                <w:lang w:val="en-GB"/>
              </w:rPr>
            </w:pPr>
            <w:r w:rsidRPr="00127768">
              <w:rPr>
                <w:lang w:val="en-GB"/>
              </w:rPr>
              <w:lastRenderedPageBreak/>
              <w:t>Inlet to the stack</w:t>
            </w:r>
            <w:r w:rsidR="00F10FE5" w:rsidRPr="00127768">
              <w:rPr>
                <w:lang w:val="en-GB"/>
              </w:rPr>
              <w:t>[mL/min]</w:t>
            </w:r>
          </w:p>
        </w:tc>
        <w:tc>
          <w:tcPr>
            <w:tcW w:w="724" w:type="dxa"/>
            <w:shd w:val="clear" w:color="auto" w:fill="FFFFFF"/>
            <w:vAlign w:val="center"/>
          </w:tcPr>
          <w:p w14:paraId="78044282" w14:textId="77777777" w:rsidR="00C62F60" w:rsidRPr="00127768" w:rsidRDefault="00275CBB" w:rsidP="003C0E8E">
            <w:pPr>
              <w:pStyle w:val="CETBodytext"/>
              <w:jc w:val="center"/>
              <w:rPr>
                <w:lang w:val="en-GB"/>
              </w:rPr>
            </w:pPr>
            <w:r w:rsidRPr="00127768">
              <w:rPr>
                <w:lang w:val="en-GB"/>
              </w:rPr>
              <w:t>75</w:t>
            </w:r>
          </w:p>
        </w:tc>
        <w:tc>
          <w:tcPr>
            <w:tcW w:w="725" w:type="dxa"/>
            <w:shd w:val="clear" w:color="auto" w:fill="FFFFFF"/>
            <w:vAlign w:val="center"/>
          </w:tcPr>
          <w:p w14:paraId="56787700" w14:textId="77777777" w:rsidR="00C62F60" w:rsidRPr="00127768" w:rsidRDefault="00275CBB" w:rsidP="003C0E8E">
            <w:pPr>
              <w:pStyle w:val="CETBodytext"/>
              <w:jc w:val="center"/>
              <w:rPr>
                <w:lang w:val="en-GB"/>
              </w:rPr>
            </w:pPr>
            <w:r w:rsidRPr="00127768">
              <w:rPr>
                <w:lang w:val="en-GB"/>
              </w:rPr>
              <w:t>75</w:t>
            </w:r>
          </w:p>
        </w:tc>
        <w:tc>
          <w:tcPr>
            <w:tcW w:w="724" w:type="dxa"/>
            <w:shd w:val="clear" w:color="auto" w:fill="FFFFFF"/>
            <w:vAlign w:val="center"/>
          </w:tcPr>
          <w:p w14:paraId="667A2BEA" w14:textId="77777777" w:rsidR="00C62F60" w:rsidRPr="00127768" w:rsidRDefault="00275CBB" w:rsidP="003C0E8E">
            <w:pPr>
              <w:pStyle w:val="CETBodytext"/>
              <w:ind w:right="-1"/>
              <w:jc w:val="center"/>
              <w:rPr>
                <w:rFonts w:cs="Arial"/>
                <w:szCs w:val="18"/>
                <w:lang w:val="en-GB"/>
              </w:rPr>
            </w:pPr>
            <w:r w:rsidRPr="00127768">
              <w:rPr>
                <w:rFonts w:cs="Arial"/>
                <w:szCs w:val="18"/>
                <w:lang w:val="en-GB"/>
              </w:rPr>
              <w:t>75</w:t>
            </w:r>
          </w:p>
        </w:tc>
        <w:tc>
          <w:tcPr>
            <w:tcW w:w="725" w:type="dxa"/>
            <w:shd w:val="clear" w:color="auto" w:fill="FFFFFF"/>
            <w:vAlign w:val="center"/>
          </w:tcPr>
          <w:p w14:paraId="77F3A5F1" w14:textId="77777777" w:rsidR="00C62F60" w:rsidRPr="00127768" w:rsidRDefault="00275CBB" w:rsidP="003C0E8E">
            <w:pPr>
              <w:pStyle w:val="CETBodytext"/>
              <w:ind w:right="-1"/>
              <w:jc w:val="center"/>
              <w:rPr>
                <w:rFonts w:cs="Arial"/>
                <w:szCs w:val="18"/>
                <w:lang w:val="en-GB"/>
              </w:rPr>
            </w:pPr>
            <w:r w:rsidRPr="00127768">
              <w:rPr>
                <w:rFonts w:cs="Arial"/>
                <w:szCs w:val="18"/>
                <w:lang w:val="en-GB"/>
              </w:rPr>
              <w:t>500</w:t>
            </w:r>
          </w:p>
        </w:tc>
      </w:tr>
    </w:tbl>
    <w:p w14:paraId="0A249428" w14:textId="77777777" w:rsidR="00C62F60" w:rsidRPr="00127768" w:rsidRDefault="00C62F60" w:rsidP="001A2F4F">
      <w:pPr>
        <w:pStyle w:val="CETListbullets"/>
        <w:ind w:left="0" w:firstLine="0"/>
      </w:pPr>
    </w:p>
    <w:p w14:paraId="6256B1C6" w14:textId="09D579B2" w:rsidR="007979FA" w:rsidRPr="00127768" w:rsidRDefault="00275CBB" w:rsidP="001A2F4F">
      <w:pPr>
        <w:pStyle w:val="CETListbullets"/>
        <w:ind w:left="0" w:firstLine="0"/>
      </w:pPr>
      <w:r w:rsidRPr="00127768">
        <w:t>Samples were collected every 30 minutes in the first two hours and then every hour for the first dynamic part</w:t>
      </w:r>
      <w:r w:rsidR="00292E41" w:rsidRPr="00127768">
        <w:t xml:space="preserve"> of the test</w:t>
      </w:r>
      <w:r w:rsidRPr="00127768">
        <w:t xml:space="preserve"> in which the OH</w:t>
      </w:r>
      <w:r w:rsidRPr="00127768">
        <w:rPr>
          <w:vertAlign w:val="superscript"/>
        </w:rPr>
        <w:t>-</w:t>
      </w:r>
      <w:r w:rsidRPr="00127768">
        <w:t xml:space="preserve"> and H</w:t>
      </w:r>
      <w:r w:rsidRPr="00127768">
        <w:rPr>
          <w:vertAlign w:val="superscript"/>
        </w:rPr>
        <w:t>+</w:t>
      </w:r>
      <w:r w:rsidRPr="00127768">
        <w:t xml:space="preserve"> concentrations increased.</w:t>
      </w:r>
      <w:r w:rsidR="001A42B2" w:rsidRPr="00127768">
        <w:t xml:space="preserve"> The total dynamic part was </w:t>
      </w:r>
      <w:r w:rsidR="00C26D3A" w:rsidRPr="00127768">
        <w:t xml:space="preserve">completed in 6 hours as it can be observed in </w:t>
      </w:r>
      <w:r w:rsidR="00C26D3A" w:rsidRPr="00127768">
        <w:fldChar w:fldCharType="begin"/>
      </w:r>
      <w:r w:rsidR="00C26D3A" w:rsidRPr="00127768">
        <w:instrText xml:space="preserve"> REF _Ref129506876 \h  \* MERGEFORMAT </w:instrText>
      </w:r>
      <w:r w:rsidR="00C26D3A" w:rsidRPr="00127768">
        <w:fldChar w:fldCharType="separate"/>
      </w:r>
      <w:r w:rsidR="00C26D3A" w:rsidRPr="00127768">
        <w:t xml:space="preserve">Figure </w:t>
      </w:r>
      <w:r w:rsidR="00C26D3A" w:rsidRPr="00127768">
        <w:rPr>
          <w:noProof/>
        </w:rPr>
        <w:t>2</w:t>
      </w:r>
      <w:r w:rsidR="00C26D3A" w:rsidRPr="00127768">
        <w:fldChar w:fldCharType="end"/>
      </w:r>
      <w:r w:rsidR="00C26D3A" w:rsidRPr="00127768">
        <w:t>.</w:t>
      </w:r>
      <w:r w:rsidRPr="00127768">
        <w:t xml:space="preserve"> </w:t>
      </w:r>
      <w:r w:rsidR="00825A8B" w:rsidRPr="00127768">
        <w:t>Then, t</w:t>
      </w:r>
      <w:r w:rsidR="00BA5D93" w:rsidRPr="00127768">
        <w:t>he stability of the steady</w:t>
      </w:r>
      <w:r w:rsidR="00D2008E" w:rsidRPr="00127768">
        <w:t>-</w:t>
      </w:r>
      <w:r w:rsidR="00BA5D93" w:rsidRPr="00127768">
        <w:t xml:space="preserve">state concentration over time was monitored by taking samples twice </w:t>
      </w:r>
      <w:r w:rsidR="00825A8B" w:rsidRPr="00127768">
        <w:t>per day</w:t>
      </w:r>
      <w:r w:rsidR="00BA5D93" w:rsidRPr="00127768">
        <w:t xml:space="preserve">. The stability of inlet/outlet feed </w:t>
      </w:r>
      <w:r w:rsidR="00EC2444" w:rsidRPr="00127768">
        <w:t>and</w:t>
      </w:r>
      <w:r w:rsidR="00BA5D93" w:rsidRPr="00127768">
        <w:t xml:space="preserve"> bleed flow rates were </w:t>
      </w:r>
      <w:r w:rsidR="00292E41" w:rsidRPr="00127768">
        <w:t>checked</w:t>
      </w:r>
      <w:r w:rsidR="00BA5D93" w:rsidRPr="00127768">
        <w:t xml:space="preserve"> twice </w:t>
      </w:r>
      <w:r w:rsidR="00825A8B" w:rsidRPr="00127768">
        <w:t>per day</w:t>
      </w:r>
      <w:r w:rsidR="00B729AC" w:rsidRPr="00127768">
        <w:t xml:space="preserve"> by manual measurement</w:t>
      </w:r>
      <w:r w:rsidR="0044746F" w:rsidRPr="00127768">
        <w:t>s</w:t>
      </w:r>
      <w:r w:rsidR="00B729AC" w:rsidRPr="00127768">
        <w:t xml:space="preserve"> of the outlet volume for 90 minutes</w:t>
      </w:r>
      <w:r w:rsidR="00BA5D93" w:rsidRPr="00127768">
        <w:t>.</w:t>
      </w:r>
      <w:r w:rsidR="00B729AC" w:rsidRPr="00127768">
        <w:t xml:space="preserve"> Voltage values at both stack and plati</w:t>
      </w:r>
      <w:r w:rsidR="0044746F" w:rsidRPr="00127768">
        <w:t>n</w:t>
      </w:r>
      <w:r w:rsidR="00B729AC" w:rsidRPr="00127768">
        <w:t>um wires were measured during the sampling</w:t>
      </w:r>
      <w:r w:rsidR="00B71329" w:rsidRPr="00127768">
        <w:t xml:space="preserve"> procedure</w:t>
      </w:r>
      <w:r w:rsidR="00B729AC" w:rsidRPr="00127768">
        <w:t>.</w:t>
      </w:r>
      <w:r w:rsidR="00BA5D93" w:rsidRPr="00127768">
        <w:t xml:space="preserve"> Manual titration with standard solutions of 0.05 mol/L Na</w:t>
      </w:r>
      <w:r w:rsidR="00BA5D93" w:rsidRPr="00127768">
        <w:rPr>
          <w:vertAlign w:val="subscript"/>
        </w:rPr>
        <w:t>2</w:t>
      </w:r>
      <w:r w:rsidR="00BA5D93" w:rsidRPr="00127768">
        <w:t>CO</w:t>
      </w:r>
      <w:r w:rsidR="00BA5D93" w:rsidRPr="00127768">
        <w:rPr>
          <w:vertAlign w:val="subscript"/>
        </w:rPr>
        <w:t>3</w:t>
      </w:r>
      <w:r w:rsidR="00BA5D93" w:rsidRPr="00127768">
        <w:t xml:space="preserve"> and 0.1 mol/L HCl were used to measure the acid and base concentration.</w:t>
      </w:r>
      <w:r w:rsidRPr="00127768">
        <w:t xml:space="preserve"> </w:t>
      </w:r>
      <w:r w:rsidRPr="00127768">
        <w:rPr>
          <w:rStyle w:val="cf01"/>
          <w:rFonts w:ascii="Arial" w:hAnsi="Arial" w:cs="Arial"/>
        </w:rPr>
        <w:t>Methyl Orange solution (ACS dye content at 85 % w</w:t>
      </w:r>
      <w:r w:rsidR="00B71329" w:rsidRPr="00127768">
        <w:rPr>
          <w:rStyle w:val="cf01"/>
          <w:rFonts w:ascii="Arial" w:hAnsi="Arial" w:cs="Arial"/>
        </w:rPr>
        <w:t>t.</w:t>
      </w:r>
      <w:r w:rsidRPr="00127768">
        <w:rPr>
          <w:rStyle w:val="cf01"/>
          <w:rFonts w:ascii="Arial" w:hAnsi="Arial" w:cs="Arial"/>
        </w:rPr>
        <w:t xml:space="preserve">, SIGMA ALDRICH) at 10 % </w:t>
      </w:r>
      <w:r w:rsidR="00B71329" w:rsidRPr="00127768">
        <w:rPr>
          <w:rStyle w:val="cf01"/>
          <w:rFonts w:ascii="Arial" w:hAnsi="Arial" w:cs="Arial"/>
        </w:rPr>
        <w:t>wt.</w:t>
      </w:r>
      <w:r w:rsidRPr="00127768">
        <w:rPr>
          <w:rStyle w:val="cf01"/>
          <w:rFonts w:ascii="Arial" w:hAnsi="Arial" w:cs="Arial"/>
        </w:rPr>
        <w:t xml:space="preserve"> was used as a pH indicator. </w:t>
      </w:r>
      <w:proofErr w:type="spellStart"/>
      <w:r w:rsidRPr="00127768">
        <w:rPr>
          <w:rStyle w:val="cf01"/>
          <w:rFonts w:ascii="Arial" w:hAnsi="Arial" w:cs="Arial"/>
        </w:rPr>
        <w:t>Metrohm</w:t>
      </w:r>
      <w:proofErr w:type="spellEnd"/>
      <w:r w:rsidRPr="00127768">
        <w:rPr>
          <w:rStyle w:val="cf01"/>
          <w:rFonts w:ascii="Arial" w:hAnsi="Arial" w:cs="Arial"/>
        </w:rPr>
        <w:t xml:space="preserve"> 882 compact IC was used for ion chromatograph analysis. </w:t>
      </w:r>
      <w:proofErr w:type="spellStart"/>
      <w:r w:rsidRPr="00127768">
        <w:rPr>
          <w:rStyle w:val="cf01"/>
          <w:rFonts w:ascii="Arial" w:hAnsi="Arial" w:cs="Arial"/>
        </w:rPr>
        <w:t>Metrosep</w:t>
      </w:r>
      <w:proofErr w:type="spellEnd"/>
      <w:r w:rsidRPr="00127768">
        <w:rPr>
          <w:rStyle w:val="cf01"/>
          <w:rFonts w:ascii="Arial" w:hAnsi="Arial" w:cs="Arial"/>
        </w:rPr>
        <w:t xml:space="preserve"> C 4. 250/4.0 and </w:t>
      </w:r>
      <w:proofErr w:type="spellStart"/>
      <w:r w:rsidRPr="00127768">
        <w:rPr>
          <w:rStyle w:val="cf01"/>
          <w:rFonts w:ascii="Arial" w:hAnsi="Arial" w:cs="Arial"/>
        </w:rPr>
        <w:t>Metrosep</w:t>
      </w:r>
      <w:proofErr w:type="spellEnd"/>
      <w:r w:rsidRPr="00127768">
        <w:rPr>
          <w:rStyle w:val="cf01"/>
          <w:rFonts w:ascii="Arial" w:hAnsi="Arial" w:cs="Arial"/>
        </w:rPr>
        <w:t xml:space="preserve"> A Supp 5 – 250/4.0 were assembled in the IC as cation and anion columns. The mobile eluents of the IC were 5.5 mmol/L H</w:t>
      </w:r>
      <w:r w:rsidRPr="00127768">
        <w:rPr>
          <w:rStyle w:val="cf01"/>
          <w:rFonts w:ascii="Arial" w:hAnsi="Arial" w:cs="Arial"/>
          <w:vertAlign w:val="subscript"/>
        </w:rPr>
        <w:t>3</w:t>
      </w:r>
      <w:r w:rsidRPr="00127768">
        <w:rPr>
          <w:rStyle w:val="cf01"/>
          <w:rFonts w:ascii="Arial" w:hAnsi="Arial" w:cs="Arial"/>
        </w:rPr>
        <w:t>PO</w:t>
      </w:r>
      <w:r w:rsidRPr="00127768">
        <w:rPr>
          <w:rStyle w:val="cf01"/>
          <w:rFonts w:ascii="Arial" w:hAnsi="Arial" w:cs="Arial"/>
          <w:vertAlign w:val="subscript"/>
        </w:rPr>
        <w:t>4</w:t>
      </w:r>
      <w:r w:rsidRPr="00127768">
        <w:rPr>
          <w:rStyle w:val="cf01"/>
          <w:rFonts w:ascii="Arial" w:hAnsi="Arial" w:cs="Arial"/>
        </w:rPr>
        <w:t xml:space="preserve"> for the cation column and a mixture of 1.0 mmol/L NaHCO</w:t>
      </w:r>
      <w:r w:rsidRPr="00127768">
        <w:rPr>
          <w:rStyle w:val="cf01"/>
          <w:rFonts w:ascii="Arial" w:hAnsi="Arial" w:cs="Arial"/>
          <w:vertAlign w:val="subscript"/>
        </w:rPr>
        <w:t>3</w:t>
      </w:r>
      <w:r w:rsidRPr="00127768">
        <w:rPr>
          <w:rStyle w:val="cf01"/>
          <w:rFonts w:ascii="Arial" w:hAnsi="Arial" w:cs="Arial"/>
        </w:rPr>
        <w:t xml:space="preserve"> and 3.2 mmol/L Na</w:t>
      </w:r>
      <w:r w:rsidRPr="00127768">
        <w:rPr>
          <w:rStyle w:val="cf01"/>
          <w:rFonts w:ascii="Arial" w:hAnsi="Arial" w:cs="Arial"/>
          <w:vertAlign w:val="subscript"/>
        </w:rPr>
        <w:t>2</w:t>
      </w:r>
      <w:r w:rsidRPr="00127768">
        <w:rPr>
          <w:rStyle w:val="cf01"/>
          <w:rFonts w:ascii="Arial" w:hAnsi="Arial" w:cs="Arial"/>
        </w:rPr>
        <w:t>CO</w:t>
      </w:r>
      <w:r w:rsidRPr="00127768">
        <w:rPr>
          <w:rStyle w:val="cf01"/>
          <w:rFonts w:ascii="Arial" w:hAnsi="Arial" w:cs="Arial"/>
          <w:vertAlign w:val="subscript"/>
        </w:rPr>
        <w:t>3</w:t>
      </w:r>
      <w:r w:rsidRPr="00127768">
        <w:rPr>
          <w:rStyle w:val="cf01"/>
          <w:rFonts w:ascii="Arial" w:hAnsi="Arial" w:cs="Arial"/>
        </w:rPr>
        <w:t xml:space="preserve"> for the anion column.</w:t>
      </w:r>
    </w:p>
    <w:p w14:paraId="6FCBA2E8" w14:textId="3A3C665C" w:rsidR="0076116E" w:rsidRPr="00127768" w:rsidRDefault="00275CBB" w:rsidP="0076116E">
      <w:pPr>
        <w:pStyle w:val="CETheadingx"/>
        <w:numPr>
          <w:ilvl w:val="0"/>
          <w:numId w:val="0"/>
        </w:numPr>
      </w:pPr>
      <w:r w:rsidRPr="00127768">
        <w:t>2.3 Performance parameters</w:t>
      </w:r>
    </w:p>
    <w:p w14:paraId="512D273B" w14:textId="25441F26" w:rsidR="00C35D97" w:rsidRPr="00127768" w:rsidRDefault="00275CBB" w:rsidP="006C657E">
      <w:r w:rsidRPr="00127768">
        <w:t xml:space="preserve">The Current Efficiency (CE), expressed as a percentage, represents the proportion of applied </w:t>
      </w:r>
      <w:r w:rsidR="001302F3" w:rsidRPr="00127768">
        <w:t>c</w:t>
      </w:r>
      <w:r w:rsidRPr="00127768">
        <w:t>urrent converted into the production of H</w:t>
      </w:r>
      <w:r w:rsidRPr="00127768">
        <w:rPr>
          <w:vertAlign w:val="superscript"/>
        </w:rPr>
        <w:t>+</w:t>
      </w:r>
      <w:r w:rsidRPr="00127768">
        <w:t xml:space="preserve"> and OH</w:t>
      </w:r>
      <w:r w:rsidRPr="00127768">
        <w:rPr>
          <w:vertAlign w:val="superscript"/>
        </w:rPr>
        <w:t>-</w:t>
      </w:r>
      <w:r w:rsidRPr="00127768">
        <w:t xml:space="preserve"> ions in the acid and base compartments, respectively. CE can be calculated using Equation (1):</w:t>
      </w:r>
    </w:p>
    <w:tbl>
      <w:tblPr>
        <w:tblW w:w="5000" w:type="pct"/>
        <w:tblLook w:val="04A0" w:firstRow="1" w:lastRow="0" w:firstColumn="1" w:lastColumn="0" w:noHBand="0" w:noVBand="1"/>
      </w:tblPr>
      <w:tblGrid>
        <w:gridCol w:w="7987"/>
        <w:gridCol w:w="800"/>
      </w:tblGrid>
      <w:tr w:rsidR="0060412F" w:rsidRPr="00127768" w14:paraId="061E16D6" w14:textId="77777777" w:rsidTr="00D835D0">
        <w:tc>
          <w:tcPr>
            <w:tcW w:w="7987" w:type="dxa"/>
            <w:shd w:val="clear" w:color="auto" w:fill="auto"/>
            <w:vAlign w:val="center"/>
          </w:tcPr>
          <w:p w14:paraId="4CFBDE33" w14:textId="55574DCD" w:rsidR="00D835D0" w:rsidRPr="00127768" w:rsidRDefault="00275CBB" w:rsidP="004E7530">
            <w:pPr>
              <w:pStyle w:val="CETEquation"/>
              <w:rPr>
                <w:rFonts w:cs="Arial"/>
                <w:szCs w:val="18"/>
                <w:lang w:val="fr-FR"/>
              </w:rPr>
            </w:pPr>
            <m:oMathPara>
              <m:oMathParaPr>
                <m:jc m:val="left"/>
              </m:oMathParaPr>
              <m:oMath>
                <m:r>
                  <m:rPr>
                    <m:nor/>
                  </m:rPr>
                  <w:rPr>
                    <w:rFonts w:cs="Arial"/>
                    <w:iCs/>
                    <w:szCs w:val="18"/>
                    <w:lang w:val="fr-FR"/>
                  </w:rPr>
                  <m:t>C</m:t>
                </m:r>
                <m:r>
                  <m:rPr>
                    <m:nor/>
                  </m:rPr>
                  <w:rPr>
                    <w:rFonts w:ascii="Cambria Math" w:cs="Arial"/>
                    <w:iCs/>
                    <w:szCs w:val="18"/>
                    <w:lang w:val="fr-FR"/>
                  </w:rPr>
                  <m:t>E</m:t>
                </m:r>
                <m:r>
                  <m:rPr>
                    <m:nor/>
                  </m:rPr>
                  <w:rPr>
                    <w:rFonts w:cs="Arial"/>
                    <w:iCs/>
                    <w:szCs w:val="18"/>
                    <w:lang w:val="fr-FR"/>
                  </w:rPr>
                  <m:t xml:space="preserve"> = </m:t>
                </m:r>
                <m:f>
                  <m:fPr>
                    <m:ctrlPr>
                      <w:rPr>
                        <w:rFonts w:ascii="Cambria Math" w:hAnsi="Cambria Math" w:cs="Arial"/>
                        <w:iCs/>
                        <w:szCs w:val="18"/>
                      </w:rPr>
                    </m:ctrlPr>
                  </m:fPr>
                  <m:num>
                    <m:sSub>
                      <m:sSubPr>
                        <m:ctrlPr>
                          <w:rPr>
                            <w:rFonts w:ascii="Cambria Math" w:hAnsi="Cambria Math" w:cs="Arial"/>
                            <w:i/>
                            <w:iCs/>
                            <w:szCs w:val="18"/>
                            <w:lang w:val="fr-FR"/>
                          </w:rPr>
                        </m:ctrlPr>
                      </m:sSubPr>
                      <m:e>
                        <m:r>
                          <w:rPr>
                            <w:rFonts w:ascii="Cambria Math" w:hAnsi="Cambria Math" w:cs="Arial"/>
                            <w:szCs w:val="18"/>
                            <w:lang w:val="fr-FR"/>
                          </w:rPr>
                          <m:t>z F Q</m:t>
                        </m:r>
                      </m:e>
                      <m:sub>
                        <m:r>
                          <w:rPr>
                            <w:rFonts w:ascii="Cambria Math" w:hAnsi="Cambria Math" w:cs="Arial"/>
                            <w:szCs w:val="18"/>
                            <w:lang w:val="fr-FR"/>
                          </w:rPr>
                          <m:t>sol</m:t>
                        </m:r>
                      </m:sub>
                    </m:sSub>
                    <m:r>
                      <w:rPr>
                        <w:rFonts w:ascii="Cambria Math" w:hAnsi="Cambria Math" w:cs="Arial"/>
                        <w:szCs w:val="18"/>
                        <w:lang w:val="fr-FR"/>
                      </w:rPr>
                      <m:t xml:space="preserve"> </m:t>
                    </m:r>
                    <m:d>
                      <m:dPr>
                        <m:ctrlPr>
                          <w:rPr>
                            <w:rFonts w:ascii="Cambria Math" w:hAnsi="Cambria Math" w:cs="Arial"/>
                            <w:i/>
                            <w:iCs/>
                            <w:szCs w:val="18"/>
                            <w:lang w:val="fr-FR"/>
                          </w:rPr>
                        </m:ctrlPr>
                      </m:dPr>
                      <m:e>
                        <m:sSub>
                          <m:sSubPr>
                            <m:ctrlPr>
                              <w:rPr>
                                <w:rFonts w:ascii="Cambria Math" w:hAnsi="Cambria Math" w:cs="Arial"/>
                                <w:i/>
                                <w:iCs/>
                                <w:szCs w:val="18"/>
                                <w:lang w:val="fr-FR"/>
                              </w:rPr>
                            </m:ctrlPr>
                          </m:sSubPr>
                          <m:e>
                            <m:r>
                              <w:rPr>
                                <w:rFonts w:ascii="Cambria Math" w:hAnsi="Cambria Math" w:cs="Arial"/>
                                <w:szCs w:val="18"/>
                                <w:lang w:val="fr-FR"/>
                              </w:rPr>
                              <m:t>C</m:t>
                            </m:r>
                          </m:e>
                          <m:sub>
                            <m:r>
                              <w:rPr>
                                <w:rFonts w:ascii="Cambria Math" w:hAnsi="Cambria Math" w:cs="Arial"/>
                                <w:szCs w:val="18"/>
                                <w:lang w:val="fr-FR"/>
                              </w:rPr>
                              <m:t>sol,  out</m:t>
                            </m:r>
                          </m:sub>
                        </m:sSub>
                        <m:r>
                          <w:rPr>
                            <w:rFonts w:ascii="Cambria Math" w:hAnsi="Cambria Math" w:cs="Arial"/>
                            <w:szCs w:val="18"/>
                            <w:lang w:val="fr-FR"/>
                          </w:rPr>
                          <m:t>-</m:t>
                        </m:r>
                        <m:sSub>
                          <m:sSubPr>
                            <m:ctrlPr>
                              <w:rPr>
                                <w:rFonts w:ascii="Cambria Math" w:hAnsi="Cambria Math" w:cs="Arial"/>
                                <w:i/>
                                <w:iCs/>
                                <w:szCs w:val="18"/>
                                <w:lang w:val="fr-FR"/>
                              </w:rPr>
                            </m:ctrlPr>
                          </m:sSubPr>
                          <m:e>
                            <m:r>
                              <w:rPr>
                                <w:rFonts w:ascii="Cambria Math" w:hAnsi="Cambria Math" w:cs="Arial"/>
                                <w:szCs w:val="18"/>
                                <w:lang w:val="fr-FR"/>
                              </w:rPr>
                              <m:t>C</m:t>
                            </m:r>
                          </m:e>
                          <m:sub>
                            <m:r>
                              <w:rPr>
                                <w:rFonts w:ascii="Cambria Math" w:hAnsi="Cambria Math" w:cs="Arial"/>
                                <w:szCs w:val="18"/>
                                <w:lang w:val="fr-FR"/>
                              </w:rPr>
                              <m:t>sol, in</m:t>
                            </m:r>
                          </m:sub>
                        </m:sSub>
                      </m:e>
                    </m:d>
                  </m:num>
                  <m:den>
                    <m:r>
                      <w:rPr>
                        <w:rFonts w:ascii="Cambria Math" w:hAnsi="Cambria Math" w:cs="Arial"/>
                        <w:szCs w:val="18"/>
                        <w:lang w:val="fr-FR"/>
                      </w:rPr>
                      <m:t xml:space="preserve">3,600 N I   </m:t>
                    </m:r>
                  </m:den>
                </m:f>
                <m:r>
                  <w:rPr>
                    <w:rFonts w:ascii="Cambria Math" w:hAnsi="Cambria Math" w:cs="Arial"/>
                    <w:szCs w:val="18"/>
                    <w:lang w:val="fr-FR"/>
                  </w:rPr>
                  <m:t xml:space="preserve"> 100</m:t>
                </m:r>
              </m:oMath>
            </m:oMathPara>
          </w:p>
        </w:tc>
        <w:tc>
          <w:tcPr>
            <w:tcW w:w="800" w:type="dxa"/>
            <w:shd w:val="clear" w:color="auto" w:fill="auto"/>
            <w:vAlign w:val="center"/>
          </w:tcPr>
          <w:p w14:paraId="758839CB" w14:textId="77777777" w:rsidR="00D835D0" w:rsidRPr="00127768" w:rsidRDefault="00275CBB" w:rsidP="004E7530">
            <w:pPr>
              <w:pStyle w:val="CETEquation"/>
              <w:jc w:val="right"/>
            </w:pPr>
            <w:r w:rsidRPr="00127768">
              <w:t>(1)</w:t>
            </w:r>
          </w:p>
        </w:tc>
      </w:tr>
    </w:tbl>
    <w:p w14:paraId="5954EC65" w14:textId="72888444" w:rsidR="006C657E" w:rsidRPr="00127768" w:rsidRDefault="00275CBB" w:rsidP="006C657E">
      <w:r w:rsidRPr="00127768">
        <w:t xml:space="preserve">where </w:t>
      </w:r>
      <m:oMath>
        <m:r>
          <w:rPr>
            <w:rFonts w:ascii="Cambria Math" w:hAnsi="Cambria Math" w:cs="Arial"/>
            <w:szCs w:val="18"/>
            <w:lang w:val="fr-FR"/>
          </w:rPr>
          <m:t>z</m:t>
        </m:r>
      </m:oMath>
      <w:r w:rsidRPr="00127768">
        <w:t xml:space="preserve"> (-) is the ion valence, </w:t>
      </w:r>
      <m:oMath>
        <m:r>
          <w:rPr>
            <w:rFonts w:ascii="Cambria Math" w:hAnsi="Cambria Math" w:cs="Arial"/>
            <w:szCs w:val="18"/>
            <w:lang w:val="fr-FR"/>
          </w:rPr>
          <m:t>F</m:t>
        </m:r>
      </m:oMath>
      <w:r w:rsidRPr="00127768">
        <w:t xml:space="preserve"> is the Faraday constant</w:t>
      </w:r>
      <w:r w:rsidR="00013946" w:rsidRPr="00127768">
        <w:t xml:space="preserve"> (equal to 96,485 C/mol)</w:t>
      </w:r>
      <w:r w:rsidRPr="00127768">
        <w:t xml:space="preserve">, </w:t>
      </w:r>
      <m:oMath>
        <m:sSub>
          <m:sSubPr>
            <m:ctrlPr>
              <w:rPr>
                <w:rFonts w:ascii="Cambria Math" w:hAnsi="Cambria Math" w:cs="Arial"/>
                <w:i/>
                <w:iCs/>
                <w:szCs w:val="18"/>
                <w:lang w:val="fr-FR"/>
              </w:rPr>
            </m:ctrlPr>
          </m:sSubPr>
          <m:e>
            <m:r>
              <w:rPr>
                <w:rFonts w:ascii="Cambria Math" w:hAnsi="Cambria Math" w:cs="Arial"/>
                <w:szCs w:val="18"/>
                <w:lang w:val="fr-FR"/>
              </w:rPr>
              <m:t>Q</m:t>
            </m:r>
          </m:e>
          <m:sub>
            <m:r>
              <w:rPr>
                <w:rFonts w:ascii="Cambria Math" w:hAnsi="Cambria Math" w:cs="Arial"/>
                <w:szCs w:val="18"/>
                <w:lang w:val="fr-FR"/>
              </w:rPr>
              <m:t>sol</m:t>
            </m:r>
          </m:sub>
        </m:sSub>
      </m:oMath>
      <w:r w:rsidRPr="00127768">
        <w:t xml:space="preserve"> (L/h) is the volumetric flow rate averaged between the inlet and outlet of the feed </w:t>
      </w:r>
      <w:r w:rsidR="00EC2444" w:rsidRPr="00127768">
        <w:t>and</w:t>
      </w:r>
      <w:r w:rsidRPr="00127768">
        <w:t xml:space="preserve"> bleed system, </w:t>
      </w:r>
      <m:oMath>
        <m:sSub>
          <m:sSubPr>
            <m:ctrlPr>
              <w:rPr>
                <w:rFonts w:ascii="Cambria Math" w:hAnsi="Cambria Math" w:cs="Arial"/>
                <w:i/>
                <w:iCs/>
                <w:szCs w:val="18"/>
                <w:lang w:val="fr-FR"/>
              </w:rPr>
            </m:ctrlPr>
          </m:sSubPr>
          <m:e>
            <m:r>
              <w:rPr>
                <w:rFonts w:ascii="Cambria Math" w:hAnsi="Cambria Math" w:cs="Arial"/>
                <w:szCs w:val="18"/>
                <w:lang w:val="fr-FR"/>
              </w:rPr>
              <m:t>C</m:t>
            </m:r>
          </m:e>
          <m:sub>
            <m:r>
              <w:rPr>
                <w:rFonts w:ascii="Cambria Math" w:hAnsi="Cambria Math" w:cs="Arial"/>
                <w:szCs w:val="18"/>
                <w:lang w:val="fr-FR"/>
              </w:rPr>
              <m:t>sol</m:t>
            </m:r>
            <m:r>
              <w:rPr>
                <w:rFonts w:ascii="Cambria Math" w:hAnsi="Cambria Math" w:cs="Arial"/>
                <w:szCs w:val="18"/>
                <w:lang w:val="en-US"/>
              </w:rPr>
              <m:t xml:space="preserve">, </m:t>
            </m:r>
            <m:r>
              <w:rPr>
                <w:rFonts w:ascii="Cambria Math" w:hAnsi="Cambria Math" w:cs="Arial"/>
                <w:szCs w:val="18"/>
                <w:lang w:val="fr-FR"/>
              </w:rPr>
              <m:t>in</m:t>
            </m:r>
          </m:sub>
        </m:sSub>
      </m:oMath>
      <w:r w:rsidRPr="00127768">
        <w:t xml:space="preserve"> and </w:t>
      </w:r>
      <m:oMath>
        <m:sSub>
          <m:sSubPr>
            <m:ctrlPr>
              <w:rPr>
                <w:rFonts w:ascii="Cambria Math" w:hAnsi="Cambria Math" w:cs="Arial"/>
                <w:i/>
                <w:iCs/>
                <w:szCs w:val="18"/>
                <w:lang w:val="fr-FR"/>
              </w:rPr>
            </m:ctrlPr>
          </m:sSubPr>
          <m:e>
            <m:r>
              <w:rPr>
                <w:rFonts w:ascii="Cambria Math" w:hAnsi="Cambria Math" w:cs="Arial"/>
                <w:szCs w:val="18"/>
                <w:lang w:val="fr-FR"/>
              </w:rPr>
              <m:t>C</m:t>
            </m:r>
          </m:e>
          <m:sub>
            <m:r>
              <w:rPr>
                <w:rFonts w:ascii="Cambria Math" w:hAnsi="Cambria Math" w:cs="Arial"/>
                <w:szCs w:val="18"/>
                <w:lang w:val="fr-FR"/>
              </w:rPr>
              <m:t>sol</m:t>
            </m:r>
            <m:r>
              <w:rPr>
                <w:rFonts w:ascii="Cambria Math" w:hAnsi="Cambria Math" w:cs="Arial"/>
                <w:szCs w:val="18"/>
                <w:lang w:val="en-US"/>
              </w:rPr>
              <m:t xml:space="preserve">,  </m:t>
            </m:r>
            <m:r>
              <w:rPr>
                <w:rFonts w:ascii="Cambria Math" w:hAnsi="Cambria Math" w:cs="Arial"/>
                <w:szCs w:val="18"/>
                <w:lang w:val="fr-FR"/>
              </w:rPr>
              <m:t>out</m:t>
            </m:r>
          </m:sub>
        </m:sSub>
      </m:oMath>
      <w:r w:rsidRPr="00127768">
        <w:t xml:space="preserve"> (mol/L) indicate the solution concentrations of acid or base at the inlet and outlet of the feed </w:t>
      </w:r>
      <w:r w:rsidR="00EC2444" w:rsidRPr="00127768">
        <w:t>and</w:t>
      </w:r>
      <w:r w:rsidRPr="00127768">
        <w:t xml:space="preserve"> bleed system, respectively, </w:t>
      </w:r>
      <m:oMath>
        <m:r>
          <w:rPr>
            <w:rFonts w:ascii="Cambria Math" w:hAnsi="Cambria Math" w:cs="Arial"/>
            <w:szCs w:val="18"/>
            <w:lang w:val="fr-FR"/>
          </w:rPr>
          <m:t>N</m:t>
        </m:r>
      </m:oMath>
      <w:r w:rsidRPr="00127768">
        <w:t xml:space="preserve"> is the number of triplets, and </w:t>
      </w:r>
      <m:oMath>
        <m:r>
          <w:rPr>
            <w:rFonts w:ascii="Cambria Math" w:hAnsi="Cambria Math" w:cs="Arial"/>
            <w:szCs w:val="18"/>
            <w:lang w:val="fr-FR"/>
          </w:rPr>
          <m:t>I</m:t>
        </m:r>
      </m:oMath>
      <w:r w:rsidRPr="00127768">
        <w:t xml:space="preserve"> (A) is the applied </w:t>
      </w:r>
      <w:r w:rsidR="00D82321" w:rsidRPr="00127768">
        <w:t>current</w:t>
      </w:r>
      <w:r w:rsidRPr="00127768">
        <w:t>.</w:t>
      </w:r>
    </w:p>
    <w:p w14:paraId="21241F5D" w14:textId="283759C1" w:rsidR="006F4741" w:rsidRPr="00127768" w:rsidRDefault="00275CBB" w:rsidP="006C657E">
      <w:r w:rsidRPr="00127768">
        <w:t>The Specific Energy Consumption (SEC), expressed in kWh/kg, represents the energy required by the EDBM unit to produce 1 kg of product (HCl or NaOH). SEC can be calculated using Equation (2):</w:t>
      </w:r>
    </w:p>
    <w:tbl>
      <w:tblPr>
        <w:tblW w:w="5000" w:type="pct"/>
        <w:tblLook w:val="04A0" w:firstRow="1" w:lastRow="0" w:firstColumn="1" w:lastColumn="0" w:noHBand="0" w:noVBand="1"/>
      </w:tblPr>
      <w:tblGrid>
        <w:gridCol w:w="7986"/>
        <w:gridCol w:w="801"/>
      </w:tblGrid>
      <w:tr w:rsidR="0060412F" w:rsidRPr="00127768" w14:paraId="17DDF4B9" w14:textId="77777777" w:rsidTr="004E7530">
        <w:tc>
          <w:tcPr>
            <w:tcW w:w="8188" w:type="dxa"/>
            <w:shd w:val="clear" w:color="auto" w:fill="auto"/>
            <w:vAlign w:val="center"/>
          </w:tcPr>
          <w:p w14:paraId="41E2C31C" w14:textId="16CE8290" w:rsidR="006F4741" w:rsidRPr="00127768" w:rsidRDefault="00275CBB" w:rsidP="004E7530">
            <w:pPr>
              <w:pStyle w:val="CETEquation"/>
              <w:rPr>
                <w:rFonts w:cs="Arial"/>
                <w:szCs w:val="18"/>
                <w:lang w:val="it-IT"/>
              </w:rPr>
            </w:pPr>
            <m:oMathPara>
              <m:oMathParaPr>
                <m:jc m:val="left"/>
              </m:oMathParaPr>
              <m:oMath>
                <m:r>
                  <m:rPr>
                    <m:nor/>
                  </m:rPr>
                  <w:rPr>
                    <w:rFonts w:cs="Arial"/>
                    <w:iCs/>
                    <w:szCs w:val="18"/>
                    <w:lang w:val="it-IT"/>
                  </w:rPr>
                  <m:t xml:space="preserve">SEC = </m:t>
                </m:r>
                <m:f>
                  <m:fPr>
                    <m:ctrlPr>
                      <w:rPr>
                        <w:rFonts w:ascii="Cambria Math" w:hAnsi="Cambria Math" w:cs="Arial"/>
                        <w:iCs/>
                        <w:szCs w:val="18"/>
                      </w:rPr>
                    </m:ctrlPr>
                  </m:fPr>
                  <m:num>
                    <m:r>
                      <m:rPr>
                        <m:nor/>
                      </m:rPr>
                      <w:rPr>
                        <w:rFonts w:ascii="Cambria Math" w:hAnsi="Cambria Math" w:cs="Arial"/>
                        <w:iCs/>
                        <w:szCs w:val="18"/>
                        <w:lang w:val="it-IT"/>
                      </w:rPr>
                      <m:t>I U</m:t>
                    </m:r>
                  </m:num>
                  <m:den>
                    <m:sSub>
                      <m:sSubPr>
                        <m:ctrlPr>
                          <w:rPr>
                            <w:rFonts w:ascii="Cambria Math" w:hAnsi="Cambria Math" w:cs="Arial"/>
                            <w:i/>
                            <w:iCs/>
                            <w:szCs w:val="18"/>
                            <w:lang w:val="fr-FR"/>
                          </w:rPr>
                        </m:ctrlPr>
                      </m:sSubPr>
                      <m:e>
                        <m:r>
                          <w:rPr>
                            <w:rFonts w:ascii="Cambria Math" w:hAnsi="Cambria Math" w:cs="Arial"/>
                            <w:szCs w:val="18"/>
                            <w:lang w:val="fr-FR"/>
                          </w:rPr>
                          <m:t>M</m:t>
                        </m:r>
                      </m:e>
                      <m:sub>
                        <m:r>
                          <w:rPr>
                            <w:rFonts w:ascii="Cambria Math" w:hAnsi="Cambria Math" w:cs="Arial"/>
                            <w:szCs w:val="18"/>
                            <w:lang w:val="fr-FR"/>
                          </w:rPr>
                          <m:t>w</m:t>
                        </m:r>
                      </m:sub>
                    </m:sSub>
                    <m:r>
                      <w:rPr>
                        <w:rFonts w:ascii="Cambria Math" w:hAnsi="Cambria Math" w:cs="Arial"/>
                        <w:szCs w:val="18"/>
                        <w:lang w:val="it-IT"/>
                      </w:rPr>
                      <m:t xml:space="preserve"> </m:t>
                    </m:r>
                    <m:sSub>
                      <m:sSubPr>
                        <m:ctrlPr>
                          <w:rPr>
                            <w:rFonts w:ascii="Cambria Math" w:hAnsi="Cambria Math" w:cs="Arial"/>
                            <w:i/>
                            <w:iCs/>
                            <w:szCs w:val="18"/>
                            <w:lang w:val="fr-FR"/>
                          </w:rPr>
                        </m:ctrlPr>
                      </m:sSubPr>
                      <m:e>
                        <m:r>
                          <w:rPr>
                            <w:rFonts w:ascii="Cambria Math" w:hAnsi="Cambria Math" w:cs="Arial"/>
                            <w:szCs w:val="18"/>
                            <w:lang w:val="fr-FR"/>
                          </w:rPr>
                          <m:t>Q</m:t>
                        </m:r>
                      </m:e>
                      <m:sub>
                        <m:r>
                          <w:rPr>
                            <w:rFonts w:ascii="Cambria Math" w:hAnsi="Cambria Math" w:cs="Arial"/>
                            <w:szCs w:val="18"/>
                            <w:lang w:val="fr-FR"/>
                          </w:rPr>
                          <m:t>sol</m:t>
                        </m:r>
                      </m:sub>
                    </m:sSub>
                    <m:r>
                      <w:rPr>
                        <w:rFonts w:ascii="Cambria Math" w:hAnsi="Cambria Math" w:cs="Arial"/>
                        <w:szCs w:val="18"/>
                        <w:lang w:val="it-IT"/>
                      </w:rPr>
                      <m:t xml:space="preserve"> (</m:t>
                    </m:r>
                    <m:sSub>
                      <m:sSubPr>
                        <m:ctrlPr>
                          <w:rPr>
                            <w:rFonts w:ascii="Cambria Math" w:hAnsi="Cambria Math" w:cs="Arial"/>
                            <w:i/>
                            <w:iCs/>
                            <w:szCs w:val="18"/>
                            <w:lang w:val="fr-FR"/>
                          </w:rPr>
                        </m:ctrlPr>
                      </m:sSubPr>
                      <m:e>
                        <m:r>
                          <w:rPr>
                            <w:rFonts w:ascii="Cambria Math" w:hAnsi="Cambria Math" w:cs="Arial"/>
                            <w:szCs w:val="18"/>
                            <w:lang w:val="fr-FR"/>
                          </w:rPr>
                          <m:t>C</m:t>
                        </m:r>
                      </m:e>
                      <m:sub>
                        <m:r>
                          <w:rPr>
                            <w:rFonts w:ascii="Cambria Math" w:hAnsi="Cambria Math" w:cs="Arial"/>
                            <w:szCs w:val="18"/>
                            <w:lang w:val="fr-FR"/>
                          </w:rPr>
                          <m:t>sol</m:t>
                        </m:r>
                        <m:r>
                          <w:rPr>
                            <w:rFonts w:ascii="Cambria Math" w:hAnsi="Cambria Math" w:cs="Arial"/>
                            <w:szCs w:val="18"/>
                            <w:lang w:val="it-IT"/>
                          </w:rPr>
                          <m:t xml:space="preserve">,  </m:t>
                        </m:r>
                        <m:r>
                          <w:rPr>
                            <w:rFonts w:ascii="Cambria Math" w:hAnsi="Cambria Math" w:cs="Arial"/>
                            <w:szCs w:val="18"/>
                            <w:lang w:val="fr-FR"/>
                          </w:rPr>
                          <m:t>out</m:t>
                        </m:r>
                      </m:sub>
                    </m:sSub>
                    <m:r>
                      <w:rPr>
                        <w:rFonts w:ascii="Cambria Math" w:hAnsi="Cambria Math" w:cs="Arial"/>
                        <w:szCs w:val="18"/>
                        <w:lang w:val="it-IT"/>
                      </w:rPr>
                      <m:t>-</m:t>
                    </m:r>
                    <m:sSub>
                      <m:sSubPr>
                        <m:ctrlPr>
                          <w:rPr>
                            <w:rFonts w:ascii="Cambria Math" w:hAnsi="Cambria Math" w:cs="Arial"/>
                            <w:i/>
                            <w:iCs/>
                            <w:szCs w:val="18"/>
                            <w:lang w:val="fr-FR"/>
                          </w:rPr>
                        </m:ctrlPr>
                      </m:sSubPr>
                      <m:e>
                        <m:r>
                          <w:rPr>
                            <w:rFonts w:ascii="Cambria Math" w:hAnsi="Cambria Math" w:cs="Arial"/>
                            <w:szCs w:val="18"/>
                            <w:lang w:val="fr-FR"/>
                          </w:rPr>
                          <m:t>C</m:t>
                        </m:r>
                      </m:e>
                      <m:sub>
                        <m:r>
                          <w:rPr>
                            <w:rFonts w:ascii="Cambria Math" w:hAnsi="Cambria Math" w:cs="Arial"/>
                            <w:szCs w:val="18"/>
                            <w:lang w:val="fr-FR"/>
                          </w:rPr>
                          <m:t>sol</m:t>
                        </m:r>
                        <m:r>
                          <w:rPr>
                            <w:rFonts w:ascii="Cambria Math" w:hAnsi="Cambria Math" w:cs="Arial"/>
                            <w:szCs w:val="18"/>
                            <w:lang w:val="it-IT"/>
                          </w:rPr>
                          <m:t xml:space="preserve">, </m:t>
                        </m:r>
                        <m:r>
                          <w:rPr>
                            <w:rFonts w:ascii="Cambria Math" w:hAnsi="Cambria Math" w:cs="Arial"/>
                            <w:szCs w:val="18"/>
                            <w:lang w:val="fr-FR"/>
                          </w:rPr>
                          <m:t>in</m:t>
                        </m:r>
                      </m:sub>
                    </m:sSub>
                    <m:r>
                      <w:rPr>
                        <w:rFonts w:ascii="Cambria Math" w:hAnsi="Cambria Math" w:cs="Arial"/>
                        <w:szCs w:val="18"/>
                        <w:lang w:val="it-IT"/>
                      </w:rPr>
                      <m:t xml:space="preserve">)  </m:t>
                    </m:r>
                  </m:den>
                </m:f>
              </m:oMath>
            </m:oMathPara>
          </w:p>
        </w:tc>
        <w:tc>
          <w:tcPr>
            <w:tcW w:w="815" w:type="dxa"/>
            <w:shd w:val="clear" w:color="auto" w:fill="auto"/>
            <w:vAlign w:val="center"/>
          </w:tcPr>
          <w:p w14:paraId="3363D48D" w14:textId="6AEC29F5" w:rsidR="006F4741" w:rsidRPr="00127768" w:rsidRDefault="00275CBB" w:rsidP="004E7530">
            <w:pPr>
              <w:pStyle w:val="CETEquation"/>
              <w:jc w:val="right"/>
            </w:pPr>
            <w:r w:rsidRPr="00127768">
              <w:t>(</w:t>
            </w:r>
            <w:r w:rsidR="000B5A41" w:rsidRPr="00127768">
              <w:t>2</w:t>
            </w:r>
            <w:r w:rsidRPr="00127768">
              <w:t>)</w:t>
            </w:r>
          </w:p>
        </w:tc>
      </w:tr>
    </w:tbl>
    <w:p w14:paraId="65D71CEF" w14:textId="34B8F614" w:rsidR="006C657E" w:rsidRPr="00127768" w:rsidRDefault="00275CBB" w:rsidP="006C657E">
      <w:r w:rsidRPr="00127768">
        <w:t xml:space="preserve">where </w:t>
      </w:r>
      <m:oMath>
        <m:r>
          <m:rPr>
            <m:nor/>
          </m:rPr>
          <w:rPr>
            <w:rFonts w:ascii="Cambria Math" w:hAnsi="Cambria Math" w:cs="Arial"/>
            <w:iCs/>
            <w:szCs w:val="18"/>
            <w:lang w:val="en-US"/>
          </w:rPr>
          <m:t>U</m:t>
        </m:r>
      </m:oMath>
      <w:r w:rsidRPr="00127768">
        <w:t xml:space="preserve"> (V) is the voltage at the platinum wires, and </w:t>
      </w:r>
      <m:oMath>
        <m:sSub>
          <m:sSubPr>
            <m:ctrlPr>
              <w:rPr>
                <w:rFonts w:ascii="Cambria Math" w:hAnsi="Cambria Math" w:cs="Arial"/>
                <w:i/>
                <w:iCs/>
                <w:szCs w:val="18"/>
                <w:lang w:val="fr-FR"/>
              </w:rPr>
            </m:ctrlPr>
          </m:sSubPr>
          <m:e>
            <m:r>
              <w:rPr>
                <w:rFonts w:ascii="Cambria Math" w:hAnsi="Cambria Math" w:cs="Arial"/>
                <w:szCs w:val="18"/>
                <w:lang w:val="fr-FR"/>
              </w:rPr>
              <m:t>M</m:t>
            </m:r>
          </m:e>
          <m:sub>
            <m:r>
              <w:rPr>
                <w:rFonts w:ascii="Cambria Math" w:hAnsi="Cambria Math" w:cs="Arial"/>
                <w:szCs w:val="18"/>
                <w:lang w:val="fr-FR"/>
              </w:rPr>
              <m:t>w</m:t>
            </m:r>
          </m:sub>
        </m:sSub>
      </m:oMath>
      <w:r w:rsidRPr="00127768">
        <w:t xml:space="preserve"> (g/mol) is the molecular weight (for HCl or NaOH). The use of the voltage at the platinum wires allows for the exclusion of the contribution of the electric compartments, which can have a high impact on the total voltage of a laboratory-scale unit, as in the present case, while they can be negligible at the pilot or industrial scale.</w:t>
      </w:r>
    </w:p>
    <w:p w14:paraId="5B0BC456" w14:textId="7C29B543" w:rsidR="006C657E" w:rsidRPr="00127768" w:rsidRDefault="00275CBB" w:rsidP="000B5A41">
      <w:pPr>
        <w:pStyle w:val="CETHeading1"/>
        <w:numPr>
          <w:ilvl w:val="1"/>
          <w:numId w:val="31"/>
        </w:numPr>
      </w:pPr>
      <w:r w:rsidRPr="00127768">
        <w:t>Result and discussion</w:t>
      </w:r>
    </w:p>
    <w:p w14:paraId="410058A8" w14:textId="46C796D8" w:rsidR="006C657E" w:rsidRPr="00127768" w:rsidRDefault="00275CBB" w:rsidP="006C657E">
      <w:r w:rsidRPr="00127768">
        <w:fldChar w:fldCharType="begin"/>
      </w:r>
      <w:r w:rsidRPr="00127768">
        <w:instrText xml:space="preserve"> REF _Ref129506876 \h </w:instrText>
      </w:r>
      <w:r w:rsidR="00127768">
        <w:instrText xml:space="preserve"> \* MERGEFORMAT </w:instrText>
      </w:r>
      <w:r w:rsidRPr="00127768">
        <w:fldChar w:fldCharType="separate"/>
      </w:r>
      <w:r w:rsidRPr="00127768">
        <w:t xml:space="preserve">Figure </w:t>
      </w:r>
      <w:r w:rsidRPr="00127768">
        <w:rPr>
          <w:noProof/>
        </w:rPr>
        <w:t>2</w:t>
      </w:r>
      <w:r w:rsidRPr="00127768">
        <w:fldChar w:fldCharType="end"/>
      </w:r>
      <w:r w:rsidRPr="00127768">
        <w:t>a illustrates the concentration profiles of OH</w:t>
      </w:r>
      <w:r w:rsidRPr="00127768">
        <w:rPr>
          <w:vertAlign w:val="superscript"/>
        </w:rPr>
        <w:t>-</w:t>
      </w:r>
      <w:r w:rsidRPr="00127768">
        <w:t xml:space="preserve"> and H</w:t>
      </w:r>
      <w:r w:rsidRPr="00127768">
        <w:rPr>
          <w:vertAlign w:val="superscript"/>
        </w:rPr>
        <w:t>+</w:t>
      </w:r>
      <w:r w:rsidRPr="00127768">
        <w:t xml:space="preserve"> ions as a function of time. At the beginning of the test, the concentration profile increased from 0.1 mol/L and 0 mol/L for OH</w:t>
      </w:r>
      <w:r w:rsidRPr="00127768">
        <w:rPr>
          <w:vertAlign w:val="superscript"/>
        </w:rPr>
        <w:t>-</w:t>
      </w:r>
      <w:r w:rsidRPr="00127768">
        <w:t xml:space="preserve"> and H</w:t>
      </w:r>
      <w:r w:rsidRPr="00127768">
        <w:rPr>
          <w:vertAlign w:val="superscript"/>
        </w:rPr>
        <w:t>+</w:t>
      </w:r>
      <w:r w:rsidRPr="00127768">
        <w:t>, respectively, up to a steady</w:t>
      </w:r>
      <w:r w:rsidR="00D2008E" w:rsidRPr="00127768">
        <w:t>-</w:t>
      </w:r>
      <w:r w:rsidRPr="00127768">
        <w:t>state value. Initially, a large portion of the solution exiting the stack was recirculated and mixed with the low concentrated inlet solution of the feed and bleed system. This caused the concentration of the solution entering the stack to increase, raising the outlet concentration to a steady</w:t>
      </w:r>
      <w:r w:rsidR="00D2008E" w:rsidRPr="00127768">
        <w:t>-</w:t>
      </w:r>
      <w:r w:rsidRPr="00127768">
        <w:t xml:space="preserve">state condition. The dynamic part of the test lasted for </w:t>
      </w:r>
      <w:r w:rsidR="00B937F0" w:rsidRPr="00127768">
        <w:t>about</w:t>
      </w:r>
      <w:r w:rsidRPr="00127768">
        <w:t xml:space="preserve"> three hours. </w:t>
      </w:r>
      <w:r w:rsidR="00EA0F92" w:rsidRPr="00127768">
        <w:t>After that, t</w:t>
      </w:r>
      <w:r w:rsidRPr="00127768">
        <w:t xml:space="preserve">he acid and base streams reached an average concentration of 0.44 mol/L, slightly lower than the expected 0.5 mol/L target. The concentration was kept constant with a maximum deviation of 2% for both solutions. Importantly, these steady-state product concentrations were obtained </w:t>
      </w:r>
      <w:r w:rsidR="00B250CF" w:rsidRPr="00127768">
        <w:t>using</w:t>
      </w:r>
      <w:r w:rsidRPr="00127768">
        <w:t xml:space="preserve"> two different values of the inlet flow rate</w:t>
      </w:r>
      <w:r w:rsidR="00B250CF" w:rsidRPr="00127768">
        <w:t>s</w:t>
      </w:r>
      <w:r w:rsidR="009A4840" w:rsidRPr="00127768">
        <w:t xml:space="preserve"> for the acid and base solutions</w:t>
      </w:r>
      <w:r w:rsidRPr="00127768">
        <w:t xml:space="preserve"> </w:t>
      </w:r>
      <w:r w:rsidR="00B250CF" w:rsidRPr="00127768">
        <w:t>as mentioned in Section 2</w:t>
      </w:r>
      <w:r w:rsidRPr="00127768">
        <w:t xml:space="preserve">. </w:t>
      </w:r>
    </w:p>
    <w:p w14:paraId="4555EB2A" w14:textId="71F2BC60" w:rsidR="006C657E" w:rsidRPr="00127768" w:rsidRDefault="00275CBB" w:rsidP="006C657E">
      <w:r w:rsidRPr="00127768">
        <w:fldChar w:fldCharType="begin"/>
      </w:r>
      <w:r w:rsidRPr="00127768">
        <w:instrText xml:space="preserve"> REF _Ref129506876 \h </w:instrText>
      </w:r>
      <w:r w:rsidR="00127768">
        <w:instrText xml:space="preserve"> \* MERGEFORMAT </w:instrText>
      </w:r>
      <w:r w:rsidRPr="00127768">
        <w:fldChar w:fldCharType="separate"/>
      </w:r>
      <w:r w:rsidRPr="00127768">
        <w:t xml:space="preserve">Figure </w:t>
      </w:r>
      <w:r w:rsidRPr="00127768">
        <w:rPr>
          <w:noProof/>
        </w:rPr>
        <w:t>2</w:t>
      </w:r>
      <w:r w:rsidRPr="00127768">
        <w:fldChar w:fldCharType="end"/>
      </w:r>
      <w:r w:rsidRPr="00127768">
        <w:t xml:space="preserve">b shows the CE profile during time for both the base and acid compartments. </w:t>
      </w:r>
      <w:r w:rsidR="00B937F0" w:rsidRPr="00127768">
        <w:t>Similarly to</w:t>
      </w:r>
      <w:r w:rsidRPr="00127768">
        <w:t xml:space="preserve"> the concentration profile, CE increased during the dynamic part of the test due to the increase in the outlet concentration. In the steady</w:t>
      </w:r>
      <w:r w:rsidR="00D2008E" w:rsidRPr="00127768">
        <w:t>-</w:t>
      </w:r>
      <w:r w:rsidRPr="00127768">
        <w:t xml:space="preserve">state </w:t>
      </w:r>
      <w:r w:rsidR="00B937F0" w:rsidRPr="00127768">
        <w:t>regime</w:t>
      </w:r>
      <w:r w:rsidRPr="00127768">
        <w:t>, CE was 61</w:t>
      </w:r>
      <w:r w:rsidR="009A4840" w:rsidRPr="00127768">
        <w:t>–</w:t>
      </w:r>
      <w:r w:rsidRPr="00127768">
        <w:t>75</w:t>
      </w:r>
      <w:r w:rsidR="00DF79EE" w:rsidRPr="00127768">
        <w:t xml:space="preserve"> </w:t>
      </w:r>
      <w:r w:rsidRPr="00127768">
        <w:t>% and 49</w:t>
      </w:r>
      <w:r w:rsidR="009A4840" w:rsidRPr="00127768">
        <w:t>–</w:t>
      </w:r>
      <w:r w:rsidRPr="00127768">
        <w:t>61</w:t>
      </w:r>
      <w:r w:rsidR="00DF79EE" w:rsidRPr="00127768">
        <w:t xml:space="preserve"> </w:t>
      </w:r>
      <w:r w:rsidRPr="00127768">
        <w:t xml:space="preserve">% for the base and acid compartments, respectively. The relatively low efficiency could be attributed to non-ideal phenomena such as diffusion and partial neutralization of the produced solution. Additionally, the feed and bleed configuration forces the system to constantly operate at the target concentration, favouring non-ideal phenomena that </w:t>
      </w:r>
      <w:r w:rsidR="00B937F0" w:rsidRPr="00127768">
        <w:t xml:space="preserve">are </w:t>
      </w:r>
      <w:r w:rsidRPr="00127768">
        <w:t xml:space="preserve">typically </w:t>
      </w:r>
      <w:r w:rsidR="00B937F0" w:rsidRPr="00127768">
        <w:t>the higher,</w:t>
      </w:r>
      <w:r w:rsidRPr="00127768">
        <w:t xml:space="preserve"> the higher the concentration. The higher CE for the base compared to the acid can be explained by the larger mobility of H</w:t>
      </w:r>
      <w:r w:rsidRPr="00127768">
        <w:rPr>
          <w:vertAlign w:val="superscript"/>
        </w:rPr>
        <w:t>+</w:t>
      </w:r>
      <w:r w:rsidRPr="00127768">
        <w:t xml:space="preserve"> compared to OH</w:t>
      </w:r>
      <w:r w:rsidRPr="00127768">
        <w:rPr>
          <w:vertAlign w:val="superscript"/>
        </w:rPr>
        <w:t>-</w:t>
      </w:r>
      <w:r w:rsidRPr="00127768">
        <w:t>. This observation was supported by the transport of H</w:t>
      </w:r>
      <w:r w:rsidRPr="00127768">
        <w:rPr>
          <w:vertAlign w:val="superscript"/>
        </w:rPr>
        <w:t>+</w:t>
      </w:r>
      <w:r w:rsidRPr="00127768">
        <w:t xml:space="preserve"> towards the salt compartment, which neutralized and acidified the</w:t>
      </w:r>
      <w:r w:rsidR="00E05E40" w:rsidRPr="00127768">
        <w:t xml:space="preserve"> slightly alkaline</w:t>
      </w:r>
      <w:r w:rsidRPr="00127768">
        <w:t xml:space="preserve"> brine</w:t>
      </w:r>
      <w:r w:rsidR="00E05E40" w:rsidRPr="00127768">
        <w:t>,</w:t>
      </w:r>
      <w:r w:rsidRPr="00127768">
        <w:t xml:space="preserve"> used as the inlet solution of the salt compartment</w:t>
      </w:r>
      <w:r w:rsidR="00E05E40" w:rsidRPr="00127768">
        <w:t xml:space="preserve">, </w:t>
      </w:r>
      <w:r w:rsidRPr="00127768">
        <w:t xml:space="preserve">from pH 13 </w:t>
      </w:r>
      <w:r w:rsidR="00DE039B" w:rsidRPr="00127768">
        <w:t>(0.1 mol/L OH</w:t>
      </w:r>
      <w:r w:rsidR="00DE039B" w:rsidRPr="00127768">
        <w:rPr>
          <w:vertAlign w:val="superscript"/>
        </w:rPr>
        <w:t>-</w:t>
      </w:r>
      <w:r w:rsidR="00DE039B" w:rsidRPr="00127768">
        <w:t xml:space="preserve"> concentration as reported in </w:t>
      </w:r>
      <w:r w:rsidR="00DE039B" w:rsidRPr="00127768">
        <w:fldChar w:fldCharType="begin"/>
      </w:r>
      <w:r w:rsidR="00DE039B" w:rsidRPr="00127768">
        <w:instrText xml:space="preserve"> REF _Ref129450789 \h  \* MERGEFORMAT </w:instrText>
      </w:r>
      <w:r w:rsidR="00DE039B" w:rsidRPr="00127768">
        <w:fldChar w:fldCharType="separate"/>
      </w:r>
      <w:r w:rsidR="00DE039B" w:rsidRPr="00127768">
        <w:t xml:space="preserve">Table </w:t>
      </w:r>
      <w:r w:rsidR="00DE039B" w:rsidRPr="00127768">
        <w:rPr>
          <w:noProof/>
        </w:rPr>
        <w:t>1</w:t>
      </w:r>
      <w:r w:rsidR="00DE039B" w:rsidRPr="00127768">
        <w:fldChar w:fldCharType="end"/>
      </w:r>
      <w:r w:rsidR="00DE039B" w:rsidRPr="00127768">
        <w:t xml:space="preserve">) </w:t>
      </w:r>
      <w:r w:rsidRPr="00127768">
        <w:t xml:space="preserve">to </w:t>
      </w:r>
      <w:r w:rsidR="00A23BAD" w:rsidRPr="00127768">
        <w:t xml:space="preserve">pH </w:t>
      </w:r>
      <w:r w:rsidR="00DF79EE" w:rsidRPr="00127768">
        <w:t>1.1</w:t>
      </w:r>
      <w:r w:rsidR="00A23BAD" w:rsidRPr="00127768">
        <w:t xml:space="preserve"> (i.e., </w:t>
      </w:r>
      <w:r w:rsidRPr="00127768">
        <w:t>H</w:t>
      </w:r>
      <w:r w:rsidRPr="00127768">
        <w:rPr>
          <w:vertAlign w:val="superscript"/>
        </w:rPr>
        <w:t>+</w:t>
      </w:r>
      <w:r w:rsidRPr="00127768">
        <w:t xml:space="preserve"> concentration of 0.08 mol/L</w:t>
      </w:r>
      <w:r w:rsidR="00A23BAD" w:rsidRPr="00127768">
        <w:t>)</w:t>
      </w:r>
      <w:r w:rsidRPr="00127768">
        <w:t>.</w:t>
      </w:r>
    </w:p>
    <w:p w14:paraId="0C2B84B3" w14:textId="08319BE6" w:rsidR="006C657E" w:rsidRPr="00127768" w:rsidRDefault="00275CBB" w:rsidP="006C657E">
      <w:r w:rsidRPr="00127768">
        <w:lastRenderedPageBreak/>
        <w:fldChar w:fldCharType="begin"/>
      </w:r>
      <w:r w:rsidRPr="00127768">
        <w:instrText xml:space="preserve"> REF _Ref129506876 \h </w:instrText>
      </w:r>
      <w:r w:rsidR="00127768">
        <w:instrText xml:space="preserve"> \* MERGEFORMAT </w:instrText>
      </w:r>
      <w:r w:rsidRPr="00127768">
        <w:fldChar w:fldCharType="separate"/>
      </w:r>
      <w:r w:rsidRPr="00127768">
        <w:t xml:space="preserve">Figure </w:t>
      </w:r>
      <w:r w:rsidRPr="00127768">
        <w:rPr>
          <w:noProof/>
        </w:rPr>
        <w:t>2</w:t>
      </w:r>
      <w:r w:rsidRPr="00127768">
        <w:fldChar w:fldCharType="end"/>
      </w:r>
      <w:r w:rsidRPr="00127768">
        <w:t xml:space="preserve">c reports the SEC trend during the time referred to NaOH or HCl products. In the dynamic part of the test, a significant reduction of SEC was observed, which could be attributed to a reduction of the voltage </w:t>
      </w:r>
      <w:r w:rsidR="00214EE2" w:rsidRPr="00127768">
        <w:t xml:space="preserve">measured at the platinum wires, referred to the 5 triplets, </w:t>
      </w:r>
      <w:r w:rsidRPr="00127768">
        <w:t>from 13.2 V up to 8.5 V</w:t>
      </w:r>
      <w:r w:rsidR="00214EE2" w:rsidRPr="00127768">
        <w:t>, due to the initial increase in acid conductivity,</w:t>
      </w:r>
      <w:r w:rsidRPr="00127768">
        <w:t xml:space="preserve"> and an increase in the efficiency with which NaOH or HCl </w:t>
      </w:r>
      <w:r w:rsidR="00B937F0" w:rsidRPr="00127768">
        <w:t>were</w:t>
      </w:r>
      <w:r w:rsidRPr="00127768">
        <w:t xml:space="preserve"> produced. The SEC trend </w:t>
      </w:r>
      <w:r w:rsidR="00A23BAD" w:rsidRPr="00127768">
        <w:t>mirrored</w:t>
      </w:r>
      <w:r w:rsidRPr="00127768">
        <w:t xml:space="preserve"> the CE behaviour, and higher values</w:t>
      </w:r>
      <w:r w:rsidR="00A23BAD" w:rsidRPr="00127768">
        <w:t xml:space="preserve"> of SEC</w:t>
      </w:r>
      <w:r w:rsidRPr="00127768">
        <w:t xml:space="preserve"> were always observed for the acid, which showed lower CE than the base. In the second part of the test, SEC was 1.56</w:t>
      </w:r>
      <w:r w:rsidR="00A23BAD" w:rsidRPr="00127768">
        <w:t>–</w:t>
      </w:r>
      <w:r w:rsidRPr="00127768">
        <w:t>1.84 kWh/kg and 1.94</w:t>
      </w:r>
      <w:r w:rsidR="00A23BAD" w:rsidRPr="00127768">
        <w:t>–</w:t>
      </w:r>
      <w:r w:rsidRPr="00127768">
        <w:t>2.35 kWh/kg for NaOH and HCl products, respectively.</w:t>
      </w:r>
    </w:p>
    <w:p w14:paraId="636CE54C" w14:textId="0E776E1E" w:rsidR="00EE26C2" w:rsidRPr="00127768" w:rsidRDefault="00EE26C2" w:rsidP="006C657E">
      <w:r w:rsidRPr="00127768">
        <w:t>It is worth noting that in the acid solution, Cl</w:t>
      </w:r>
      <w:r w:rsidRPr="00127768">
        <w:rPr>
          <w:vertAlign w:val="superscript"/>
        </w:rPr>
        <w:t>-</w:t>
      </w:r>
      <w:r w:rsidRPr="00127768">
        <w:t xml:space="preserve"> was the major anion present as it represented ~99</w:t>
      </w:r>
      <w:r w:rsidR="00DF79EE" w:rsidRPr="00127768">
        <w:t xml:space="preserve"> </w:t>
      </w:r>
      <w:r w:rsidRPr="00127768">
        <w:t>% of the total anions in the solution, while SO</w:t>
      </w:r>
      <w:r w:rsidRPr="00127768">
        <w:rPr>
          <w:vertAlign w:val="subscript"/>
        </w:rPr>
        <w:t>4</w:t>
      </w:r>
      <w:r w:rsidRPr="00127768">
        <w:rPr>
          <w:vertAlign w:val="superscript"/>
        </w:rPr>
        <w:t>2-</w:t>
      </w:r>
      <w:r w:rsidRPr="00127768">
        <w:t xml:space="preserve"> reached a maximum concentration of 0.01 mol/L. Conversely, </w:t>
      </w:r>
      <w:r w:rsidR="00912F4C" w:rsidRPr="00127768">
        <w:t>apart from the H</w:t>
      </w:r>
      <w:r w:rsidR="00912F4C" w:rsidRPr="00127768">
        <w:rPr>
          <w:vertAlign w:val="superscript"/>
        </w:rPr>
        <w:t>+</w:t>
      </w:r>
      <w:r w:rsidR="00912F4C" w:rsidRPr="00127768">
        <w:t xml:space="preserve"> produced via water dissociation in the BPM, </w:t>
      </w:r>
      <w:r w:rsidRPr="00127768">
        <w:t>Na</w:t>
      </w:r>
      <w:r w:rsidRPr="00127768">
        <w:rPr>
          <w:vertAlign w:val="superscript"/>
        </w:rPr>
        <w:t>+</w:t>
      </w:r>
      <w:r w:rsidRPr="00127768">
        <w:t xml:space="preserve"> and K</w:t>
      </w:r>
      <w:r w:rsidRPr="00127768">
        <w:rPr>
          <w:vertAlign w:val="superscript"/>
        </w:rPr>
        <w:t>+</w:t>
      </w:r>
      <w:r w:rsidRPr="00127768">
        <w:t xml:space="preserve"> </w:t>
      </w:r>
      <w:r w:rsidR="00912F4C" w:rsidRPr="00127768">
        <w:t>were present at 0.09 mol/L and 0.01 mol/L, respectively, as they diffused from both the saline and alkaline channels.</w:t>
      </w:r>
    </w:p>
    <w:p w14:paraId="17F8DB43" w14:textId="7236851E" w:rsidR="006C657E" w:rsidRPr="00127768" w:rsidRDefault="00275CBB" w:rsidP="006C657E">
      <w:r w:rsidRPr="00127768">
        <w:t xml:space="preserve">Overall, </w:t>
      </w:r>
      <w:r w:rsidRPr="00127768">
        <w:fldChar w:fldCharType="begin"/>
      </w:r>
      <w:r w:rsidRPr="00127768">
        <w:instrText xml:space="preserve"> REF _Ref129506876 \h </w:instrText>
      </w:r>
      <w:r w:rsidR="00127768">
        <w:instrText xml:space="preserve"> \* MERGEFORMAT </w:instrText>
      </w:r>
      <w:r w:rsidRPr="00127768">
        <w:fldChar w:fldCharType="separate"/>
      </w:r>
      <w:r w:rsidRPr="00127768">
        <w:t xml:space="preserve">Figure </w:t>
      </w:r>
      <w:r w:rsidRPr="00127768">
        <w:rPr>
          <w:noProof/>
        </w:rPr>
        <w:t>2</w:t>
      </w:r>
      <w:r w:rsidRPr="00127768">
        <w:fldChar w:fldCharType="end"/>
      </w:r>
      <w:r w:rsidRPr="00127768">
        <w:t xml:space="preserve"> shows stable performances for all investigated parameters. No scaling or fouling effects were observed,</w:t>
      </w:r>
      <w:r w:rsidR="00AC1DE3" w:rsidRPr="00127768">
        <w:t xml:space="preserve"> when the stack was inspec</w:t>
      </w:r>
      <w:r w:rsidR="00B250CF" w:rsidRPr="00127768">
        <w:t>ted</w:t>
      </w:r>
      <w:r w:rsidR="00AC1DE3" w:rsidRPr="00127768">
        <w:t>,</w:t>
      </w:r>
      <w:r w:rsidRPr="00127768">
        <w:t xml:space="preserve"> and the pressure drop remained stable.</w:t>
      </w:r>
    </w:p>
    <w:p w14:paraId="5D94B1F6" w14:textId="20AC7BEA" w:rsidR="000B5A41" w:rsidRPr="00127768" w:rsidRDefault="00345524" w:rsidP="00B250CF">
      <w:pPr>
        <w:pStyle w:val="CETListbullets"/>
        <w:ind w:left="0" w:firstLine="0"/>
        <w:jc w:val="center"/>
      </w:pPr>
      <w:r w:rsidRPr="00127768">
        <w:rPr>
          <w:noProof/>
        </w:rPr>
        <w:drawing>
          <wp:inline distT="0" distB="0" distL="0" distR="0" wp14:anchorId="141A86AB" wp14:editId="457C118E">
            <wp:extent cx="5579745" cy="4022090"/>
            <wp:effectExtent l="0" t="0" r="1905" b="0"/>
            <wp:docPr id="27" name="Immagine 26">
              <a:extLst xmlns:a="http://schemas.openxmlformats.org/drawingml/2006/main">
                <a:ext uri="{FF2B5EF4-FFF2-40B4-BE49-F238E27FC236}">
                  <a16:creationId xmlns:a16="http://schemas.microsoft.com/office/drawing/2014/main" id="{216D5990-8571-78A6-B444-8C9660CA76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 26">
                      <a:extLst>
                        <a:ext uri="{FF2B5EF4-FFF2-40B4-BE49-F238E27FC236}">
                          <a16:creationId xmlns:a16="http://schemas.microsoft.com/office/drawing/2014/main" id="{216D5990-8571-78A6-B444-8C9660CA7646}"/>
                        </a:ext>
                      </a:extLst>
                    </pic:cNvPr>
                    <pic:cNvPicPr>
                      <a:picLocks noChangeAspect="1"/>
                    </pic:cNvPicPr>
                  </pic:nvPicPr>
                  <pic:blipFill>
                    <a:blip r:embed="rId10"/>
                    <a:stretch>
                      <a:fillRect/>
                    </a:stretch>
                  </pic:blipFill>
                  <pic:spPr>
                    <a:xfrm>
                      <a:off x="0" y="0"/>
                      <a:ext cx="5579745" cy="4022090"/>
                    </a:xfrm>
                    <a:prstGeom prst="rect">
                      <a:avLst/>
                    </a:prstGeom>
                  </pic:spPr>
                </pic:pic>
              </a:graphicData>
            </a:graphic>
          </wp:inline>
        </w:drawing>
      </w:r>
    </w:p>
    <w:p w14:paraId="298237EB" w14:textId="7C4BA38D" w:rsidR="00A55271" w:rsidRPr="00127768" w:rsidRDefault="00275CBB" w:rsidP="00A55271">
      <w:pPr>
        <w:pStyle w:val="CETCaption"/>
      </w:pPr>
      <w:bookmarkStart w:id="3" w:name="_Ref129506876"/>
      <w:r w:rsidRPr="00127768">
        <w:t xml:space="preserve">Figure </w:t>
      </w:r>
      <w:r w:rsidRPr="00127768">
        <w:fldChar w:fldCharType="begin"/>
      </w:r>
      <w:r w:rsidRPr="00127768">
        <w:instrText xml:space="preserve"> SEQ Figure \* ARABIC </w:instrText>
      </w:r>
      <w:r w:rsidRPr="00127768">
        <w:fldChar w:fldCharType="separate"/>
      </w:r>
      <w:r w:rsidR="00A70160" w:rsidRPr="00127768">
        <w:rPr>
          <w:noProof/>
        </w:rPr>
        <w:t>2</w:t>
      </w:r>
      <w:r w:rsidRPr="00127768">
        <w:fldChar w:fldCharType="end"/>
      </w:r>
      <w:bookmarkEnd w:id="3"/>
      <w:r w:rsidRPr="00127768">
        <w:t xml:space="preserve">. a) Concentration, b) </w:t>
      </w:r>
      <w:r w:rsidR="0061270F" w:rsidRPr="00127768">
        <w:t>C</w:t>
      </w:r>
      <w:r w:rsidRPr="00127768">
        <w:t xml:space="preserve">urrent </w:t>
      </w:r>
      <w:r w:rsidR="0061270F" w:rsidRPr="00127768">
        <w:t>E</w:t>
      </w:r>
      <w:r w:rsidRPr="00127768">
        <w:t xml:space="preserve">fficiency and c) </w:t>
      </w:r>
      <w:r w:rsidR="0061270F" w:rsidRPr="00127768">
        <w:t>S</w:t>
      </w:r>
      <w:r w:rsidRPr="00127768">
        <w:t xml:space="preserve">pecific </w:t>
      </w:r>
      <w:r w:rsidR="0061270F" w:rsidRPr="00127768">
        <w:t>E</w:t>
      </w:r>
      <w:r w:rsidRPr="00127768">
        <w:t xml:space="preserve">nergy </w:t>
      </w:r>
      <w:r w:rsidR="0061270F" w:rsidRPr="00127768">
        <w:t>C</w:t>
      </w:r>
      <w:r w:rsidRPr="00127768">
        <w:t>onsumption as function</w:t>
      </w:r>
      <w:r w:rsidR="005060B9" w:rsidRPr="00127768">
        <w:t>s</w:t>
      </w:r>
      <w:r w:rsidRPr="00127768">
        <w:t xml:space="preserve"> of time for both acid and base solutions. </w:t>
      </w:r>
      <w:r w:rsidR="005060B9" w:rsidRPr="00127768">
        <w:t>A different abscissa was used to magnify the long-run test first hours, where the system dynamic behaviour was observed.</w:t>
      </w:r>
    </w:p>
    <w:p w14:paraId="68D26B83" w14:textId="2085CA97" w:rsidR="00600535" w:rsidRPr="00127768" w:rsidRDefault="00275CBB" w:rsidP="000B5A41">
      <w:pPr>
        <w:pStyle w:val="CETHeading1"/>
        <w:numPr>
          <w:ilvl w:val="1"/>
          <w:numId w:val="30"/>
        </w:numPr>
        <w:rPr>
          <w:lang w:val="en-GB"/>
        </w:rPr>
      </w:pPr>
      <w:r w:rsidRPr="00127768">
        <w:rPr>
          <w:lang w:val="en-GB"/>
        </w:rPr>
        <w:t>Conclusions</w:t>
      </w:r>
    </w:p>
    <w:p w14:paraId="121FC1CA" w14:textId="3D40C14D" w:rsidR="006C657E" w:rsidRPr="00127768" w:rsidRDefault="00275CBB" w:rsidP="006C657E">
      <w:pPr>
        <w:pStyle w:val="CETBodytext"/>
      </w:pPr>
      <w:r w:rsidRPr="00127768">
        <w:t xml:space="preserve">In this study, a laboratory-scale EDBM unit was tested in feed </w:t>
      </w:r>
      <w:r w:rsidR="00EC2444" w:rsidRPr="00127768">
        <w:t>and</w:t>
      </w:r>
      <w:r w:rsidRPr="00127768">
        <w:t xml:space="preserve"> bleed </w:t>
      </w:r>
      <w:r w:rsidR="009E2821" w:rsidRPr="00127768">
        <w:t xml:space="preserve">operation </w:t>
      </w:r>
      <w:r w:rsidRPr="00127768">
        <w:t>mode for 75 hours using pre-treated real brine from a saltwork. A new configuration</w:t>
      </w:r>
      <w:r w:rsidR="00A23BAD" w:rsidRPr="00127768">
        <w:t xml:space="preserve"> for the EDBM</w:t>
      </w:r>
      <w:r w:rsidRPr="00127768">
        <w:t xml:space="preserve"> was presented that utilized the concentrated </w:t>
      </w:r>
      <w:r w:rsidR="009E2821" w:rsidRPr="00127768">
        <w:t xml:space="preserve">pre-treated </w:t>
      </w:r>
      <w:r w:rsidRPr="00127768">
        <w:t>brine as feed for both salt and base compartments.</w:t>
      </w:r>
    </w:p>
    <w:p w14:paraId="675A2704" w14:textId="271F4151" w:rsidR="006C657E" w:rsidRPr="00127768" w:rsidRDefault="00275CBB" w:rsidP="006C657E">
      <w:r w:rsidRPr="00127768">
        <w:t xml:space="preserve">During the </w:t>
      </w:r>
      <w:r w:rsidR="009E2821" w:rsidRPr="00127768">
        <w:t>transient start-up</w:t>
      </w:r>
      <w:r w:rsidRPr="00127768">
        <w:t>, which lasted approximately three hours, the acid and base concentrations increased to a steady-state value of 0.44 mol/L on average, with a maximum deviation of 2</w:t>
      </w:r>
      <w:r w:rsidR="00E217EF" w:rsidRPr="00127768">
        <w:t xml:space="preserve"> </w:t>
      </w:r>
      <w:r w:rsidRPr="00127768">
        <w:t xml:space="preserve">%. CE </w:t>
      </w:r>
      <w:r w:rsidR="00A23BAD" w:rsidRPr="00127768">
        <w:t>reflected</w:t>
      </w:r>
      <w:r w:rsidRPr="00127768">
        <w:t xml:space="preserve"> the </w:t>
      </w:r>
      <w:r w:rsidR="00A23BAD" w:rsidRPr="00127768">
        <w:t xml:space="preserve">ion </w:t>
      </w:r>
      <w:r w:rsidRPr="00127768">
        <w:t xml:space="preserve">concentration trend, with an initial increase </w:t>
      </w:r>
      <w:r w:rsidR="00A23BAD" w:rsidRPr="00127768">
        <w:t>up to</w:t>
      </w:r>
      <w:r w:rsidRPr="00127768">
        <w:t xml:space="preserve"> 61</w:t>
      </w:r>
      <w:r w:rsidR="00A23BAD" w:rsidRPr="00127768">
        <w:t>–</w:t>
      </w:r>
      <w:r w:rsidRPr="00127768">
        <w:t>75</w:t>
      </w:r>
      <w:r w:rsidR="00E217EF" w:rsidRPr="00127768">
        <w:t xml:space="preserve"> </w:t>
      </w:r>
      <w:r w:rsidRPr="00127768">
        <w:t>% and 49</w:t>
      </w:r>
      <w:r w:rsidR="00A23BAD" w:rsidRPr="00127768">
        <w:t>–</w:t>
      </w:r>
      <w:r w:rsidRPr="00127768">
        <w:t>61</w:t>
      </w:r>
      <w:r w:rsidR="00E217EF" w:rsidRPr="00127768">
        <w:t xml:space="preserve"> </w:t>
      </w:r>
      <w:r w:rsidRPr="00127768">
        <w:t>% for base and acid, respectively. The lower CE of the acid compartment can be attributed to the high mobility of H</w:t>
      </w:r>
      <w:r w:rsidRPr="00127768">
        <w:rPr>
          <w:vertAlign w:val="superscript"/>
        </w:rPr>
        <w:t>+</w:t>
      </w:r>
      <w:r w:rsidRPr="00127768">
        <w:t xml:space="preserve"> ions, which partially diffused towards the salt compartment, resulting in </w:t>
      </w:r>
      <w:r w:rsidR="00A23BAD" w:rsidRPr="00127768">
        <w:t>the</w:t>
      </w:r>
      <w:r w:rsidRPr="00127768">
        <w:t xml:space="preserve"> acidifi</w:t>
      </w:r>
      <w:r w:rsidR="00A23BAD" w:rsidRPr="00127768">
        <w:t>cation</w:t>
      </w:r>
      <w:r w:rsidRPr="00127768">
        <w:t xml:space="preserve"> </w:t>
      </w:r>
      <w:r w:rsidR="00A23BAD" w:rsidRPr="00127768">
        <w:t xml:space="preserve">of the </w:t>
      </w:r>
      <w:r w:rsidRPr="00127768">
        <w:t>salt</w:t>
      </w:r>
      <w:r w:rsidR="00A23BAD" w:rsidRPr="00127768">
        <w:t>y stream</w:t>
      </w:r>
      <w:r w:rsidRPr="00127768">
        <w:t xml:space="preserve"> from </w:t>
      </w:r>
      <w:r w:rsidR="00A23BAD" w:rsidRPr="00127768">
        <w:t xml:space="preserve">pH </w:t>
      </w:r>
      <w:r w:rsidR="00DF79EE" w:rsidRPr="00127768">
        <w:t>13</w:t>
      </w:r>
      <w:r w:rsidR="00A23BAD" w:rsidRPr="00127768">
        <w:t xml:space="preserve"> to pH </w:t>
      </w:r>
      <w:r w:rsidR="00DF79EE" w:rsidRPr="00127768">
        <w:t>1.1</w:t>
      </w:r>
      <w:r w:rsidR="00A23BAD" w:rsidRPr="00127768">
        <w:t xml:space="preserve"> (i.e., </w:t>
      </w:r>
      <w:r w:rsidRPr="00127768">
        <w:t>0.08 mol/L H</w:t>
      </w:r>
      <w:r w:rsidRPr="00127768">
        <w:rPr>
          <w:vertAlign w:val="superscript"/>
        </w:rPr>
        <w:t>+</w:t>
      </w:r>
      <w:r w:rsidR="00A23BAD" w:rsidRPr="00127768">
        <w:t>)</w:t>
      </w:r>
      <w:r w:rsidRPr="00127768">
        <w:t>.</w:t>
      </w:r>
    </w:p>
    <w:p w14:paraId="0897ACFB" w14:textId="7CA25686" w:rsidR="006C657E" w:rsidRPr="00127768" w:rsidRDefault="00275CBB" w:rsidP="006C657E">
      <w:r w:rsidRPr="00127768">
        <w:lastRenderedPageBreak/>
        <w:t xml:space="preserve">SEC reduced during the </w:t>
      </w:r>
      <w:r w:rsidR="009E2821" w:rsidRPr="00127768">
        <w:t xml:space="preserve">transient start-up </w:t>
      </w:r>
      <w:r w:rsidR="00A23BAD" w:rsidRPr="00127768">
        <w:t>of the test</w:t>
      </w:r>
      <w:r w:rsidRPr="00127768">
        <w:t xml:space="preserve"> due to increased production and lower voltage, resulting in</w:t>
      </w:r>
      <w:r w:rsidR="009E2821" w:rsidRPr="00127768">
        <w:t>to</w:t>
      </w:r>
      <w:r w:rsidRPr="00127768">
        <w:t xml:space="preserve"> steady-state values of 1.56</w:t>
      </w:r>
      <w:r w:rsidR="00A23BAD" w:rsidRPr="00127768">
        <w:t>–</w:t>
      </w:r>
      <w:r w:rsidRPr="00127768">
        <w:t>1.84 kWh/kg and 1.94</w:t>
      </w:r>
      <w:r w:rsidR="00A23BAD" w:rsidRPr="00127768">
        <w:t>–</w:t>
      </w:r>
      <w:r w:rsidRPr="00127768">
        <w:t>2.35 kWh/kg for NaOH and HCl products, respectively.</w:t>
      </w:r>
      <w:r w:rsidR="009E2821" w:rsidRPr="00127768">
        <w:t xml:space="preserve"> Importantly, no performance loss (e.g. pressure drop increases) were recognized during the long-run.</w:t>
      </w:r>
    </w:p>
    <w:p w14:paraId="06660022" w14:textId="283E2708" w:rsidR="006C657E" w:rsidRPr="00127768" w:rsidRDefault="00275CBB" w:rsidP="006C657E">
      <w:pPr>
        <w:pStyle w:val="CETBodytext"/>
      </w:pPr>
      <w:r w:rsidRPr="00127768">
        <w:t>Overall, this study demonstrates the potential of EDBM units to be integrated into circular treatment chains, producing continuous acidic and alkaline solutions while maintaining stable performance.</w:t>
      </w:r>
    </w:p>
    <w:p w14:paraId="07A6D20F" w14:textId="50EF2948" w:rsidR="00280FAF" w:rsidRPr="00127768" w:rsidRDefault="00275CBB" w:rsidP="00280FAF">
      <w:pPr>
        <w:pStyle w:val="CETHeadingxx"/>
        <w:rPr>
          <w:lang w:val="en-GB"/>
        </w:rPr>
        <w:sectPr w:rsidR="00280FAF" w:rsidRPr="00127768" w:rsidSect="007D0951">
          <w:type w:val="continuous"/>
          <w:pgSz w:w="11906" w:h="16838" w:code="9"/>
          <w:pgMar w:top="1701" w:right="1418" w:bottom="1701" w:left="1701" w:header="1701" w:footer="0" w:gutter="0"/>
          <w:cols w:space="708"/>
          <w:formProt w:val="0"/>
          <w:titlePg/>
          <w:docGrid w:linePitch="360"/>
        </w:sectPr>
      </w:pPr>
      <w:r w:rsidRPr="00127768">
        <w:t>Nomenclatur</w:t>
      </w:r>
      <w:r w:rsidR="000B5A41" w:rsidRPr="00127768">
        <w:t>e</w:t>
      </w:r>
    </w:p>
    <w:p w14:paraId="020F852E" w14:textId="77777777" w:rsidR="000B5A41" w:rsidRPr="00127768" w:rsidRDefault="00275CBB" w:rsidP="000B5A41">
      <w:pPr>
        <w:pStyle w:val="CETBodytext"/>
        <w:jc w:val="left"/>
        <w:rPr>
          <w:rFonts w:eastAsia="SimSun"/>
        </w:rPr>
      </w:pPr>
      <w:r w:rsidRPr="00127768">
        <w:rPr>
          <w:rFonts w:eastAsia="SimSun"/>
        </w:rPr>
        <w:t>AEM – anion exchange membrane</w:t>
      </w:r>
    </w:p>
    <w:p w14:paraId="2874D6E8" w14:textId="77777777" w:rsidR="000B5A41" w:rsidRPr="00127768" w:rsidRDefault="00275CBB" w:rsidP="000B5A41">
      <w:pPr>
        <w:pStyle w:val="CETBodytext"/>
        <w:jc w:val="left"/>
        <w:rPr>
          <w:rFonts w:eastAsia="SimSun"/>
        </w:rPr>
      </w:pPr>
      <w:r w:rsidRPr="00127768">
        <w:rPr>
          <w:rFonts w:eastAsia="SimSun"/>
        </w:rPr>
        <w:t>BPM – bipolar membrane</w:t>
      </w:r>
    </w:p>
    <w:p w14:paraId="256547AB" w14:textId="77777777" w:rsidR="000B5A41" w:rsidRPr="00127768" w:rsidRDefault="00275CBB" w:rsidP="000B5A41">
      <w:pPr>
        <w:pStyle w:val="CETBodytext"/>
        <w:jc w:val="left"/>
        <w:rPr>
          <w:rFonts w:eastAsia="SimSun"/>
        </w:rPr>
      </w:pPr>
      <w:r w:rsidRPr="00127768">
        <w:rPr>
          <w:rFonts w:eastAsia="SimSun"/>
        </w:rPr>
        <w:t>CEM – cation exchange membrane</w:t>
      </w:r>
    </w:p>
    <w:p w14:paraId="397B3D3E" w14:textId="77777777" w:rsidR="000B5A41" w:rsidRPr="00127768" w:rsidRDefault="00275CBB" w:rsidP="000B5A41">
      <w:pPr>
        <w:pStyle w:val="CETBodytext"/>
        <w:jc w:val="left"/>
        <w:rPr>
          <w:rFonts w:eastAsia="SimSun"/>
        </w:rPr>
      </w:pPr>
      <w:r w:rsidRPr="00127768">
        <w:rPr>
          <w:rFonts w:eastAsia="SimSun"/>
        </w:rPr>
        <w:t>EDBM – Electrodialysis with bipolar membrane</w:t>
      </w:r>
    </w:p>
    <w:p w14:paraId="47E9505C" w14:textId="77777777" w:rsidR="000B5A41" w:rsidRPr="00127768" w:rsidRDefault="00275CBB" w:rsidP="000B5A41">
      <w:pPr>
        <w:pStyle w:val="CETBodytext"/>
        <w:jc w:val="left"/>
        <w:rPr>
          <w:rFonts w:eastAsia="SimSun"/>
        </w:rPr>
      </w:pPr>
      <w:r w:rsidRPr="00127768">
        <w:rPr>
          <w:rFonts w:eastAsia="SimSun"/>
        </w:rPr>
        <w:t>RED – reverse Electrodialysis</w:t>
      </w:r>
    </w:p>
    <w:p w14:paraId="5CBCB548" w14:textId="0CE63DF6" w:rsidR="000B5A41" w:rsidRPr="00127768" w:rsidRDefault="00275CBB" w:rsidP="000B5A41">
      <w:pPr>
        <w:pStyle w:val="CETBodytext"/>
        <w:jc w:val="left"/>
        <w:rPr>
          <w:rFonts w:eastAsia="SimSun"/>
        </w:rPr>
      </w:pPr>
      <w:r w:rsidRPr="00127768">
        <w:rPr>
          <w:rFonts w:eastAsia="SimSun"/>
        </w:rPr>
        <w:t>SWRO – seawater reverse osmosis</w:t>
      </w:r>
    </w:p>
    <w:p w14:paraId="7B698D4C" w14:textId="77777777" w:rsidR="000B5A41" w:rsidRPr="00127768" w:rsidRDefault="00275CBB" w:rsidP="000B5A41">
      <w:pPr>
        <w:pStyle w:val="CETBodytext"/>
        <w:jc w:val="left"/>
        <w:rPr>
          <w:rFonts w:eastAsia="SimSun"/>
        </w:rPr>
      </w:pPr>
      <w:r w:rsidRPr="00127768">
        <w:rPr>
          <w:rFonts w:eastAsia="SimSun"/>
        </w:rPr>
        <w:t>sol - solution</w:t>
      </w:r>
    </w:p>
    <w:p w14:paraId="1B5E8C41" w14:textId="2BCDDB2F" w:rsidR="000B5A41" w:rsidRPr="00127768" w:rsidRDefault="00275CBB" w:rsidP="000B5A41">
      <w:pPr>
        <w:pStyle w:val="CETBodytext"/>
        <w:jc w:val="left"/>
        <w:rPr>
          <w:rFonts w:eastAsia="SimSun"/>
        </w:rPr>
      </w:pPr>
      <w:r w:rsidRPr="00127768">
        <w:rPr>
          <w:rFonts w:eastAsia="SimSun"/>
        </w:rPr>
        <w:t xml:space="preserve">in – inlet of the feed </w:t>
      </w:r>
      <w:r w:rsidR="00EC2444" w:rsidRPr="00127768">
        <w:rPr>
          <w:rFonts w:eastAsia="SimSun"/>
        </w:rPr>
        <w:t>and</w:t>
      </w:r>
      <w:r w:rsidRPr="00127768">
        <w:rPr>
          <w:rFonts w:eastAsia="SimSun"/>
        </w:rPr>
        <w:t xml:space="preserve"> bleed system</w:t>
      </w:r>
    </w:p>
    <w:p w14:paraId="25BFEE87" w14:textId="2E196A64" w:rsidR="000B5A41" w:rsidRPr="00127768" w:rsidRDefault="00275CBB" w:rsidP="000B5A41">
      <w:pPr>
        <w:pStyle w:val="CETBodytext"/>
        <w:jc w:val="left"/>
        <w:rPr>
          <w:rFonts w:eastAsia="SimSun"/>
        </w:rPr>
      </w:pPr>
      <w:r w:rsidRPr="00127768">
        <w:rPr>
          <w:rFonts w:eastAsia="SimSun"/>
        </w:rPr>
        <w:t xml:space="preserve">out – outlet of the feed </w:t>
      </w:r>
      <w:r w:rsidR="00EC2444" w:rsidRPr="00127768">
        <w:rPr>
          <w:rFonts w:eastAsia="SimSun"/>
        </w:rPr>
        <w:t>and</w:t>
      </w:r>
      <w:r w:rsidRPr="00127768">
        <w:rPr>
          <w:rFonts w:eastAsia="SimSun"/>
        </w:rPr>
        <w:t xml:space="preserve"> bleed system</w:t>
      </w:r>
    </w:p>
    <w:p w14:paraId="052692C4" w14:textId="77777777" w:rsidR="00B729AC" w:rsidRPr="00127768" w:rsidRDefault="00275CBB" w:rsidP="00B729AC">
      <w:pPr>
        <w:pStyle w:val="CETBodytext"/>
        <w:jc w:val="left"/>
        <w:rPr>
          <w:rFonts w:eastAsia="SimSun"/>
          <w:lang w:val="fr-FR"/>
        </w:rPr>
      </w:pPr>
      <w:r w:rsidRPr="00127768">
        <w:rPr>
          <w:rFonts w:eastAsia="SimSun"/>
          <w:lang w:val="fr-FR"/>
        </w:rPr>
        <w:t xml:space="preserve">C – </w:t>
      </w:r>
      <w:proofErr w:type="spellStart"/>
      <w:r w:rsidRPr="00127768">
        <w:rPr>
          <w:rFonts w:eastAsia="SimSun"/>
          <w:lang w:val="fr-FR"/>
        </w:rPr>
        <w:t>molar</w:t>
      </w:r>
      <w:proofErr w:type="spellEnd"/>
      <w:r w:rsidRPr="00127768">
        <w:rPr>
          <w:rFonts w:eastAsia="SimSun"/>
          <w:lang w:val="fr-FR"/>
        </w:rPr>
        <w:t xml:space="preserve"> concentration, mol/L</w:t>
      </w:r>
    </w:p>
    <w:p w14:paraId="2118D32F" w14:textId="77777777" w:rsidR="000B5A41" w:rsidRPr="00127768" w:rsidRDefault="00275CBB" w:rsidP="000B5A41">
      <w:pPr>
        <w:pStyle w:val="CETBodytext"/>
        <w:jc w:val="left"/>
        <w:rPr>
          <w:rFonts w:eastAsia="SimSun"/>
          <w:lang w:val="fr-FR"/>
        </w:rPr>
      </w:pPr>
      <w:r w:rsidRPr="00127768">
        <w:rPr>
          <w:rFonts w:eastAsia="SimSun"/>
          <w:lang w:val="fr-FR"/>
        </w:rPr>
        <w:t xml:space="preserve">CE – </w:t>
      </w:r>
      <w:proofErr w:type="spellStart"/>
      <w:r w:rsidRPr="00127768">
        <w:rPr>
          <w:rFonts w:eastAsia="SimSun"/>
          <w:lang w:val="fr-FR"/>
        </w:rPr>
        <w:t>current</w:t>
      </w:r>
      <w:proofErr w:type="spellEnd"/>
      <w:r w:rsidRPr="00127768">
        <w:rPr>
          <w:rFonts w:eastAsia="SimSun"/>
          <w:lang w:val="fr-FR"/>
        </w:rPr>
        <w:t xml:space="preserve"> </w:t>
      </w:r>
      <w:proofErr w:type="spellStart"/>
      <w:r w:rsidRPr="00127768">
        <w:rPr>
          <w:rFonts w:eastAsia="SimSun"/>
          <w:lang w:val="fr-FR"/>
        </w:rPr>
        <w:t>efficiency</w:t>
      </w:r>
      <w:proofErr w:type="spellEnd"/>
      <w:r w:rsidRPr="00127768">
        <w:rPr>
          <w:rFonts w:eastAsia="SimSun"/>
          <w:lang w:val="fr-FR"/>
        </w:rPr>
        <w:t>, %</w:t>
      </w:r>
    </w:p>
    <w:p w14:paraId="506A7210" w14:textId="77777777" w:rsidR="000B5A41" w:rsidRPr="00127768" w:rsidRDefault="00275CBB" w:rsidP="000B5A41">
      <w:pPr>
        <w:pStyle w:val="CETBodytext"/>
        <w:jc w:val="left"/>
        <w:rPr>
          <w:rFonts w:eastAsia="SimSun"/>
        </w:rPr>
      </w:pPr>
      <w:r w:rsidRPr="00127768">
        <w:rPr>
          <w:rFonts w:eastAsia="SimSun"/>
        </w:rPr>
        <w:t>F – Faraday constant, C/mol</w:t>
      </w:r>
    </w:p>
    <w:p w14:paraId="1EA6AE4D" w14:textId="77777777" w:rsidR="000B5A41" w:rsidRPr="00127768" w:rsidRDefault="00275CBB" w:rsidP="000B5A41">
      <w:pPr>
        <w:pStyle w:val="CETBodytext"/>
        <w:jc w:val="left"/>
        <w:rPr>
          <w:rFonts w:eastAsia="SimSun"/>
        </w:rPr>
      </w:pPr>
      <w:r w:rsidRPr="00127768">
        <w:rPr>
          <w:rFonts w:eastAsia="SimSun"/>
        </w:rPr>
        <w:t>I – current intensity, A</w:t>
      </w:r>
    </w:p>
    <w:p w14:paraId="7B797551" w14:textId="183C5742" w:rsidR="000B5A41" w:rsidRPr="00127768" w:rsidRDefault="00275CBB" w:rsidP="000B5A41">
      <w:pPr>
        <w:pStyle w:val="CETBodytext"/>
        <w:jc w:val="left"/>
        <w:rPr>
          <w:rFonts w:eastAsia="SimSun"/>
        </w:rPr>
      </w:pPr>
      <w:r w:rsidRPr="00127768">
        <w:rPr>
          <w:rFonts w:eastAsia="SimSun"/>
        </w:rPr>
        <w:t>N, number of triplet, -</w:t>
      </w:r>
    </w:p>
    <w:p w14:paraId="4D5A8FA5" w14:textId="77777777" w:rsidR="000B5A41" w:rsidRPr="00127768" w:rsidRDefault="00275CBB" w:rsidP="000B5A41">
      <w:pPr>
        <w:pStyle w:val="CETBodytext"/>
        <w:jc w:val="left"/>
        <w:rPr>
          <w:rFonts w:eastAsia="SimSun"/>
        </w:rPr>
      </w:pPr>
      <w:r w:rsidRPr="00127768">
        <w:rPr>
          <w:rFonts w:eastAsia="SimSun"/>
        </w:rPr>
        <w:t>M</w:t>
      </w:r>
      <w:r w:rsidRPr="00127768">
        <w:rPr>
          <w:rFonts w:eastAsia="SimSun"/>
          <w:vertAlign w:val="subscript"/>
        </w:rPr>
        <w:t>w</w:t>
      </w:r>
      <w:r w:rsidRPr="00127768">
        <w:rPr>
          <w:rFonts w:eastAsia="SimSun"/>
        </w:rPr>
        <w:t xml:space="preserve"> – </w:t>
      </w:r>
      <w:proofErr w:type="spellStart"/>
      <w:r w:rsidRPr="00127768">
        <w:rPr>
          <w:rFonts w:eastAsia="SimSun"/>
        </w:rPr>
        <w:t>molecural</w:t>
      </w:r>
      <w:proofErr w:type="spellEnd"/>
      <w:r w:rsidRPr="00127768">
        <w:rPr>
          <w:rFonts w:eastAsia="SimSun"/>
        </w:rPr>
        <w:t xml:space="preserve"> weight, g/mol</w:t>
      </w:r>
    </w:p>
    <w:p w14:paraId="264578EC" w14:textId="77777777" w:rsidR="000B5A41" w:rsidRPr="00127768" w:rsidRDefault="00275CBB" w:rsidP="00B729AC">
      <w:pPr>
        <w:pStyle w:val="CETBodytext"/>
        <w:jc w:val="left"/>
        <w:rPr>
          <w:rFonts w:eastAsia="SimSun"/>
        </w:rPr>
      </w:pPr>
      <w:r w:rsidRPr="00127768">
        <w:rPr>
          <w:rFonts w:eastAsia="SimSun"/>
        </w:rPr>
        <w:t>Q – volumetric flow rate, L/h</w:t>
      </w:r>
    </w:p>
    <w:p w14:paraId="523CB041" w14:textId="77777777" w:rsidR="000B5A41" w:rsidRPr="00127768" w:rsidRDefault="00275CBB" w:rsidP="00B729AC">
      <w:pPr>
        <w:pStyle w:val="CETBodytext"/>
        <w:jc w:val="left"/>
        <w:rPr>
          <w:rFonts w:eastAsia="SimSun"/>
        </w:rPr>
      </w:pPr>
      <w:r w:rsidRPr="00127768">
        <w:rPr>
          <w:rFonts w:eastAsia="SimSun"/>
        </w:rPr>
        <w:t>SEC – specific energy consumption, kWh/kg</w:t>
      </w:r>
    </w:p>
    <w:p w14:paraId="2BD61EEC" w14:textId="77777777" w:rsidR="000B5A41" w:rsidRPr="00127768" w:rsidRDefault="00275CBB" w:rsidP="00B729AC">
      <w:pPr>
        <w:pStyle w:val="CETBodytext"/>
        <w:jc w:val="left"/>
        <w:rPr>
          <w:rFonts w:eastAsia="SimSun"/>
          <w:lang w:val="it-IT"/>
        </w:rPr>
      </w:pPr>
      <w:r w:rsidRPr="00127768">
        <w:rPr>
          <w:rFonts w:eastAsia="SimSun"/>
          <w:lang w:val="it-IT"/>
        </w:rPr>
        <w:t xml:space="preserve">U – </w:t>
      </w:r>
      <w:proofErr w:type="spellStart"/>
      <w:r w:rsidRPr="00127768">
        <w:rPr>
          <w:rFonts w:eastAsia="SimSun"/>
          <w:lang w:val="it-IT"/>
        </w:rPr>
        <w:t>voltage</w:t>
      </w:r>
      <w:proofErr w:type="spellEnd"/>
      <w:r w:rsidRPr="00127768">
        <w:rPr>
          <w:rFonts w:eastAsia="SimSun"/>
          <w:lang w:val="it-IT"/>
        </w:rPr>
        <w:t>, V</w:t>
      </w:r>
    </w:p>
    <w:p w14:paraId="506D0E70" w14:textId="77777777" w:rsidR="000B5A41" w:rsidRPr="00127768" w:rsidRDefault="00275CBB" w:rsidP="00B729AC">
      <w:pPr>
        <w:pStyle w:val="CETBodytext"/>
        <w:jc w:val="left"/>
        <w:rPr>
          <w:rFonts w:eastAsia="SimSun"/>
          <w:lang w:val="it-IT"/>
        </w:rPr>
      </w:pPr>
      <w:r w:rsidRPr="00127768">
        <w:rPr>
          <w:rFonts w:eastAsia="SimSun"/>
          <w:lang w:val="it-IT"/>
        </w:rPr>
        <w:t xml:space="preserve">z – </w:t>
      </w:r>
      <w:proofErr w:type="spellStart"/>
      <w:r w:rsidRPr="00127768">
        <w:rPr>
          <w:rFonts w:eastAsia="SimSun"/>
          <w:lang w:val="it-IT"/>
        </w:rPr>
        <w:t>ion</w:t>
      </w:r>
      <w:proofErr w:type="spellEnd"/>
      <w:r w:rsidRPr="00127768">
        <w:rPr>
          <w:rFonts w:eastAsia="SimSun"/>
          <w:lang w:val="it-IT"/>
        </w:rPr>
        <w:t xml:space="preserve"> </w:t>
      </w:r>
      <w:proofErr w:type="spellStart"/>
      <w:r w:rsidRPr="00127768">
        <w:rPr>
          <w:rFonts w:eastAsia="SimSun"/>
          <w:lang w:val="it-IT"/>
        </w:rPr>
        <w:t>valence</w:t>
      </w:r>
      <w:proofErr w:type="spellEnd"/>
      <w:r w:rsidRPr="00127768">
        <w:rPr>
          <w:rFonts w:eastAsia="SimSun"/>
          <w:lang w:val="it-IT"/>
        </w:rPr>
        <w:t>, -</w:t>
      </w:r>
    </w:p>
    <w:p w14:paraId="02CFBC34" w14:textId="77777777" w:rsidR="000B5A41" w:rsidRPr="00127768" w:rsidRDefault="000B5A41" w:rsidP="00A55271">
      <w:pPr>
        <w:pStyle w:val="CETBodytext"/>
        <w:spacing w:before="120"/>
        <w:rPr>
          <w:lang w:val="it-IT"/>
        </w:rPr>
      </w:pPr>
    </w:p>
    <w:p w14:paraId="38BFE636" w14:textId="5310DFC8" w:rsidR="00280FAF" w:rsidRPr="00127768" w:rsidRDefault="00280FAF" w:rsidP="00A55271">
      <w:pPr>
        <w:pStyle w:val="CETBodytext"/>
        <w:spacing w:before="120"/>
        <w:jc w:val="left"/>
        <w:rPr>
          <w:rFonts w:eastAsia="SimSun"/>
          <w:lang w:val="it-IT"/>
        </w:rPr>
        <w:sectPr w:rsidR="00280FAF" w:rsidRPr="00127768" w:rsidSect="00200ECB">
          <w:type w:val="continuous"/>
          <w:pgSz w:w="11906" w:h="16838" w:code="9"/>
          <w:pgMar w:top="1701" w:right="1418" w:bottom="1701" w:left="1701" w:header="1701" w:footer="0" w:gutter="0"/>
          <w:cols w:num="2" w:space="708"/>
          <w:formProt w:val="0"/>
          <w:titlePg/>
          <w:docGrid w:linePitch="360"/>
        </w:sectPr>
      </w:pPr>
    </w:p>
    <w:p w14:paraId="459D05E6" w14:textId="2084C274" w:rsidR="00600535" w:rsidRPr="00127768" w:rsidRDefault="00275CBB" w:rsidP="00A55271">
      <w:pPr>
        <w:pStyle w:val="CETAcknowledgementstitle"/>
        <w:spacing w:before="120" w:after="0"/>
      </w:pPr>
      <w:r w:rsidRPr="00127768">
        <w:t>Acknowledgments</w:t>
      </w:r>
    </w:p>
    <w:p w14:paraId="4FFBB835" w14:textId="77777777" w:rsidR="00E809F7" w:rsidRPr="00127768" w:rsidRDefault="00275CBB" w:rsidP="00E809F7">
      <w:pPr>
        <w:pStyle w:val="CETBodytext"/>
      </w:pPr>
      <w:r w:rsidRPr="00127768">
        <w:t>This project has received funding from the European Union’s Horizon 2020 research and innovation program under grant agreement no. 869467 (</w:t>
      </w:r>
      <w:proofErr w:type="spellStart"/>
      <w:r w:rsidRPr="00127768">
        <w:t>SEArcularMINE</w:t>
      </w:r>
      <w:proofErr w:type="spellEnd"/>
      <w:r w:rsidRPr="00127768">
        <w:t>). This output reflects only the author’s view. The European Health and Digital Executive Agency (</w:t>
      </w:r>
      <w:proofErr w:type="spellStart"/>
      <w:r w:rsidRPr="00127768">
        <w:t>HaDEA</w:t>
      </w:r>
      <w:proofErr w:type="spellEnd"/>
      <w:r w:rsidRPr="00127768">
        <w:t xml:space="preserve">) and the European Commission cannot be held responsible for any use that may be made of the information contained therein. </w:t>
      </w:r>
    </w:p>
    <w:p w14:paraId="06D6AF63" w14:textId="77777777" w:rsidR="00E809F7" w:rsidRPr="00127768" w:rsidRDefault="00275CBB" w:rsidP="00A55271">
      <w:pPr>
        <w:pStyle w:val="CETBodytext"/>
      </w:pPr>
      <w:r w:rsidRPr="00127768">
        <w:t xml:space="preserve">The work of J. López was supported within the scope of Margarita Salas fellowship, financed by the </w:t>
      </w:r>
      <w:proofErr w:type="spellStart"/>
      <w:r w:rsidRPr="00127768">
        <w:t>Ministerio</w:t>
      </w:r>
      <w:proofErr w:type="spellEnd"/>
      <w:r w:rsidRPr="00127768">
        <w:t xml:space="preserve"> de </w:t>
      </w:r>
      <w:proofErr w:type="spellStart"/>
      <w:r w:rsidRPr="00127768">
        <w:t>Universidades</w:t>
      </w:r>
      <w:proofErr w:type="spellEnd"/>
      <w:r w:rsidRPr="00127768">
        <w:t xml:space="preserve"> (Spain) and European Union – </w:t>
      </w:r>
      <w:proofErr w:type="spellStart"/>
      <w:r w:rsidRPr="00127768">
        <w:t>NextGenerationEU</w:t>
      </w:r>
      <w:proofErr w:type="spellEnd"/>
      <w:r w:rsidRPr="00127768">
        <w:t>.</w:t>
      </w:r>
    </w:p>
    <w:p w14:paraId="57002343" w14:textId="78882450" w:rsidR="00D256A4" w:rsidRPr="00127768" w:rsidRDefault="00D256A4" w:rsidP="00D256A4">
      <w:pPr>
        <w:pStyle w:val="CETAcknowledgementstitle"/>
        <w:rPr>
          <w:lang w:val="en-US"/>
        </w:rPr>
      </w:pPr>
      <w:r w:rsidRPr="00127768">
        <w:rPr>
          <w:lang w:val="en-US"/>
        </w:rPr>
        <w:t>References</w:t>
      </w:r>
    </w:p>
    <w:p w14:paraId="6353C738" w14:textId="033D5BC3" w:rsidR="00AD3D81" w:rsidRPr="00127768" w:rsidRDefault="00AD3D81" w:rsidP="00AD3D81">
      <w:pPr>
        <w:pStyle w:val="CETReferencetext"/>
        <w:rPr>
          <w:lang w:val="it-IT"/>
        </w:rPr>
      </w:pPr>
      <w:r w:rsidRPr="00127768">
        <w:rPr>
          <w:lang w:val="en-US"/>
        </w:rPr>
        <w:t>[1] T. Xu, Electrodialysis processes with bipolar membranes (EDBM) in environmental</w:t>
      </w:r>
      <w:r w:rsidRPr="00127768">
        <w:t xml:space="preserve"> </w:t>
      </w:r>
      <w:r w:rsidRPr="00127768">
        <w:rPr>
          <w:lang w:val="en-US"/>
        </w:rPr>
        <w:t xml:space="preserve">protection—a review, </w:t>
      </w:r>
      <w:proofErr w:type="spellStart"/>
      <w:r w:rsidRPr="00127768">
        <w:rPr>
          <w:lang w:val="en-US"/>
        </w:rPr>
        <w:t>Resour</w:t>
      </w:r>
      <w:proofErr w:type="spellEnd"/>
      <w:r w:rsidRPr="00127768">
        <w:rPr>
          <w:lang w:val="en-US"/>
        </w:rPr>
        <w:t xml:space="preserve">. </w:t>
      </w:r>
      <w:proofErr w:type="spellStart"/>
      <w:r w:rsidRPr="00127768">
        <w:rPr>
          <w:lang w:val="it-IT"/>
        </w:rPr>
        <w:t>Conserv</w:t>
      </w:r>
      <w:proofErr w:type="spellEnd"/>
      <w:r w:rsidRPr="00127768">
        <w:rPr>
          <w:lang w:val="it-IT"/>
        </w:rPr>
        <w:t xml:space="preserve">. </w:t>
      </w:r>
      <w:proofErr w:type="spellStart"/>
      <w:r w:rsidRPr="00127768">
        <w:rPr>
          <w:lang w:val="it-IT"/>
        </w:rPr>
        <w:t>Recycl</w:t>
      </w:r>
      <w:proofErr w:type="spellEnd"/>
      <w:r w:rsidRPr="00127768">
        <w:rPr>
          <w:lang w:val="it-IT"/>
        </w:rPr>
        <w:t xml:space="preserve">. 37 (1) (2002) 1–22, </w:t>
      </w:r>
      <w:r w:rsidR="00127768" w:rsidRPr="00127768">
        <w:fldChar w:fldCharType="begin"/>
      </w:r>
      <w:r w:rsidR="00127768" w:rsidRPr="00127768">
        <w:rPr>
          <w:lang w:val="it-IT"/>
        </w:rPr>
        <w:instrText>HYPERLINK "https://doi.org/10.1016/S0921-3449(02)00032-0"</w:instrText>
      </w:r>
      <w:r w:rsidR="00127768" w:rsidRPr="00127768">
        <w:fldChar w:fldCharType="separate"/>
      </w:r>
      <w:r w:rsidRPr="00127768">
        <w:rPr>
          <w:lang w:val="it-IT"/>
        </w:rPr>
        <w:t>https://doi.org/10.1016/S0921-3449(02)00032-0</w:t>
      </w:r>
      <w:r w:rsidR="00127768" w:rsidRPr="00127768">
        <w:rPr>
          <w:lang w:val="it-IT"/>
        </w:rPr>
        <w:fldChar w:fldCharType="end"/>
      </w:r>
      <w:r w:rsidRPr="00127768">
        <w:rPr>
          <w:lang w:val="it-IT"/>
        </w:rPr>
        <w:t xml:space="preserve">. </w:t>
      </w:r>
    </w:p>
    <w:p w14:paraId="2E1F074B" w14:textId="42E5BE70" w:rsidR="00415450" w:rsidRPr="00127768" w:rsidRDefault="00415450" w:rsidP="00415450">
      <w:pPr>
        <w:pStyle w:val="CETReferencetext"/>
        <w:rPr>
          <w:lang w:val="en-US"/>
        </w:rPr>
      </w:pPr>
      <w:r w:rsidRPr="00127768">
        <w:rPr>
          <w:lang w:val="it-IT"/>
        </w:rPr>
        <w:t>[</w:t>
      </w:r>
      <w:r w:rsidR="00AD3D81" w:rsidRPr="00127768">
        <w:rPr>
          <w:lang w:val="it-IT"/>
        </w:rPr>
        <w:t>2</w:t>
      </w:r>
      <w:r w:rsidRPr="00127768">
        <w:rPr>
          <w:lang w:val="it-IT"/>
        </w:rPr>
        <w:t>]</w:t>
      </w:r>
      <w:r w:rsidRPr="00127768">
        <w:rPr>
          <w:lang w:val="it-IT"/>
        </w:rPr>
        <w:tab/>
        <w:t xml:space="preserve">A. Culcasi, L. Gurreri, A. Cipollina, A. Tamburini, G. Micale, A </w:t>
      </w:r>
      <w:proofErr w:type="spellStart"/>
      <w:r w:rsidRPr="00127768">
        <w:rPr>
          <w:lang w:val="it-IT"/>
        </w:rPr>
        <w:t>comprehensive</w:t>
      </w:r>
      <w:proofErr w:type="spellEnd"/>
      <w:r w:rsidRPr="00127768">
        <w:rPr>
          <w:lang w:val="it-IT"/>
        </w:rPr>
        <w:t xml:space="preserve"> multi-scale model for </w:t>
      </w:r>
      <w:proofErr w:type="spellStart"/>
      <w:r w:rsidRPr="00127768">
        <w:rPr>
          <w:lang w:val="it-IT"/>
        </w:rPr>
        <w:t>bipolar</w:t>
      </w:r>
      <w:proofErr w:type="spellEnd"/>
      <w:r w:rsidRPr="00127768">
        <w:rPr>
          <w:lang w:val="it-IT"/>
        </w:rPr>
        <w:t xml:space="preserve"> membrane </w:t>
      </w:r>
      <w:proofErr w:type="spellStart"/>
      <w:r w:rsidRPr="00127768">
        <w:rPr>
          <w:lang w:val="it-IT"/>
        </w:rPr>
        <w:t>electrodialysis</w:t>
      </w:r>
      <w:proofErr w:type="spellEnd"/>
      <w:r w:rsidRPr="00127768">
        <w:rPr>
          <w:lang w:val="it-IT"/>
        </w:rPr>
        <w:t xml:space="preserve"> (BMED), </w:t>
      </w:r>
      <w:proofErr w:type="spellStart"/>
      <w:r w:rsidRPr="00127768">
        <w:rPr>
          <w:lang w:val="it-IT"/>
        </w:rPr>
        <w:t>Chem</w:t>
      </w:r>
      <w:proofErr w:type="spellEnd"/>
      <w:r w:rsidRPr="00127768">
        <w:rPr>
          <w:lang w:val="it-IT"/>
        </w:rPr>
        <w:t xml:space="preserve">. Eng. J. 437 (2022) 135317. </w:t>
      </w:r>
      <w:r w:rsidR="00127768" w:rsidRPr="00127768">
        <w:fldChar w:fldCharType="begin"/>
      </w:r>
      <w:r w:rsidR="00127768" w:rsidRPr="00127768">
        <w:rPr>
          <w:lang w:val="it-IT"/>
        </w:rPr>
        <w:instrText>HYPERLINK "https://doi.org/10.1016/j.cej.2022.135317"</w:instrText>
      </w:r>
      <w:r w:rsidR="00127768" w:rsidRPr="00127768">
        <w:fldChar w:fldCharType="separate"/>
      </w:r>
      <w:r w:rsidR="00AD3D81" w:rsidRPr="00127768">
        <w:rPr>
          <w:rStyle w:val="Collegamentoipertestuale"/>
          <w:lang w:val="en-US"/>
        </w:rPr>
        <w:t>https://doi.org/10.1016/j.cej.2022.135317</w:t>
      </w:r>
      <w:r w:rsidR="00127768" w:rsidRPr="00127768">
        <w:rPr>
          <w:rStyle w:val="Collegamentoipertestuale"/>
          <w:lang w:val="en-US"/>
        </w:rPr>
        <w:fldChar w:fldCharType="end"/>
      </w:r>
      <w:r w:rsidRPr="00127768">
        <w:rPr>
          <w:lang w:val="en-US"/>
        </w:rPr>
        <w:t>.</w:t>
      </w:r>
    </w:p>
    <w:p w14:paraId="7E1DDA1A" w14:textId="3B1E1A79" w:rsidR="00AD3D81" w:rsidRPr="00127768" w:rsidRDefault="002A678A" w:rsidP="002A678A">
      <w:pPr>
        <w:pStyle w:val="CETReferencetext"/>
        <w:rPr>
          <w:lang w:val="en-US"/>
        </w:rPr>
      </w:pPr>
      <w:r w:rsidRPr="00127768">
        <w:rPr>
          <w:lang w:val="en-US"/>
        </w:rPr>
        <w:t xml:space="preserve">[3] R. </w:t>
      </w:r>
      <w:proofErr w:type="spellStart"/>
      <w:r w:rsidRPr="00127768">
        <w:rPr>
          <w:lang w:val="en-US"/>
        </w:rPr>
        <w:t>Pärnamäe</w:t>
      </w:r>
      <w:proofErr w:type="spellEnd"/>
      <w:r w:rsidRPr="00127768">
        <w:rPr>
          <w:lang w:val="en-US"/>
        </w:rPr>
        <w:t xml:space="preserve">, S. </w:t>
      </w:r>
      <w:proofErr w:type="spellStart"/>
      <w:r w:rsidRPr="00127768">
        <w:rPr>
          <w:lang w:val="en-US"/>
        </w:rPr>
        <w:t>Mareev</w:t>
      </w:r>
      <w:proofErr w:type="spellEnd"/>
      <w:r w:rsidRPr="00127768">
        <w:rPr>
          <w:lang w:val="en-US"/>
        </w:rPr>
        <w:t xml:space="preserve">, V. </w:t>
      </w:r>
      <w:proofErr w:type="spellStart"/>
      <w:r w:rsidRPr="00127768">
        <w:rPr>
          <w:lang w:val="en-US"/>
        </w:rPr>
        <w:t>Nikonenko</w:t>
      </w:r>
      <w:proofErr w:type="spellEnd"/>
      <w:r w:rsidRPr="00127768">
        <w:rPr>
          <w:lang w:val="en-US"/>
        </w:rPr>
        <w:t xml:space="preserve">, S. Melnikov, N. </w:t>
      </w:r>
      <w:proofErr w:type="spellStart"/>
      <w:r w:rsidRPr="00127768">
        <w:rPr>
          <w:lang w:val="en-US"/>
        </w:rPr>
        <w:t>Sheldeshov</w:t>
      </w:r>
      <w:proofErr w:type="spellEnd"/>
      <w:r w:rsidRPr="00127768">
        <w:rPr>
          <w:lang w:val="en-US"/>
        </w:rPr>
        <w:t xml:space="preserve">, V. </w:t>
      </w:r>
      <w:proofErr w:type="spellStart"/>
      <w:r w:rsidRPr="00127768">
        <w:rPr>
          <w:lang w:val="en-US"/>
        </w:rPr>
        <w:t>Zabolotskii</w:t>
      </w:r>
      <w:proofErr w:type="spellEnd"/>
      <w:r w:rsidRPr="00127768">
        <w:rPr>
          <w:lang w:val="en-US"/>
        </w:rPr>
        <w:t xml:space="preserve">, H.V.M. </w:t>
      </w:r>
      <w:proofErr w:type="spellStart"/>
      <w:r w:rsidRPr="00127768">
        <w:rPr>
          <w:lang w:val="en-US"/>
        </w:rPr>
        <w:t>Hamelers</w:t>
      </w:r>
      <w:proofErr w:type="spellEnd"/>
      <w:r w:rsidRPr="00127768">
        <w:rPr>
          <w:lang w:val="en-US"/>
        </w:rPr>
        <w:t xml:space="preserve">, M. Tedesco, Bipolar membranes: A review on principles, latest developments, and applications, J. </w:t>
      </w:r>
      <w:proofErr w:type="spellStart"/>
      <w:r w:rsidRPr="00127768">
        <w:rPr>
          <w:lang w:val="en-US"/>
        </w:rPr>
        <w:t>Membr</w:t>
      </w:r>
      <w:proofErr w:type="spellEnd"/>
      <w:r w:rsidRPr="00127768">
        <w:rPr>
          <w:lang w:val="en-US"/>
        </w:rPr>
        <w:t>. Sci., 617 (2021) 118538, https://doi.org/10.1016/j.memsci.2020.118538.</w:t>
      </w:r>
    </w:p>
    <w:p w14:paraId="7767A6E1" w14:textId="5DB67A12" w:rsidR="00415450" w:rsidRPr="00127768" w:rsidRDefault="00415450" w:rsidP="00415450">
      <w:pPr>
        <w:pStyle w:val="CETReferencetext"/>
        <w:rPr>
          <w:lang w:val="en-US"/>
        </w:rPr>
      </w:pPr>
      <w:r w:rsidRPr="00127768">
        <w:rPr>
          <w:lang w:val="en-US"/>
        </w:rPr>
        <w:t>[</w:t>
      </w:r>
      <w:r w:rsidR="00AD3D81" w:rsidRPr="00127768">
        <w:rPr>
          <w:lang w:val="en-US"/>
        </w:rPr>
        <w:t>4</w:t>
      </w:r>
      <w:r w:rsidRPr="00127768">
        <w:rPr>
          <w:lang w:val="en-US"/>
        </w:rPr>
        <w:t>]</w:t>
      </w:r>
      <w:r w:rsidRPr="00127768">
        <w:rPr>
          <w:lang w:val="en-US"/>
        </w:rPr>
        <w:tab/>
        <w:t xml:space="preserve">S.A. </w:t>
      </w:r>
      <w:proofErr w:type="spellStart"/>
      <w:r w:rsidRPr="00127768">
        <w:rPr>
          <w:lang w:val="en-US"/>
        </w:rPr>
        <w:t>Mareev</w:t>
      </w:r>
      <w:proofErr w:type="spellEnd"/>
      <w:r w:rsidRPr="00127768">
        <w:rPr>
          <w:lang w:val="en-US"/>
        </w:rPr>
        <w:t xml:space="preserve">, E. </w:t>
      </w:r>
      <w:proofErr w:type="spellStart"/>
      <w:r w:rsidRPr="00127768">
        <w:rPr>
          <w:lang w:val="en-US"/>
        </w:rPr>
        <w:t>Evdochenko</w:t>
      </w:r>
      <w:proofErr w:type="spellEnd"/>
      <w:r w:rsidRPr="00127768">
        <w:rPr>
          <w:lang w:val="en-US"/>
        </w:rPr>
        <w:t xml:space="preserve">, M. Wessling, O.A. </w:t>
      </w:r>
      <w:proofErr w:type="spellStart"/>
      <w:r w:rsidRPr="00127768">
        <w:rPr>
          <w:lang w:val="en-US"/>
        </w:rPr>
        <w:t>Kozaderova</w:t>
      </w:r>
      <w:proofErr w:type="spellEnd"/>
      <w:r w:rsidRPr="00127768">
        <w:rPr>
          <w:lang w:val="en-US"/>
        </w:rPr>
        <w:t xml:space="preserve">, S.I. </w:t>
      </w:r>
      <w:proofErr w:type="spellStart"/>
      <w:r w:rsidRPr="00127768">
        <w:rPr>
          <w:lang w:val="en-US"/>
        </w:rPr>
        <w:t>Niftaliev</w:t>
      </w:r>
      <w:proofErr w:type="spellEnd"/>
      <w:r w:rsidRPr="00127768">
        <w:rPr>
          <w:lang w:val="en-US"/>
        </w:rPr>
        <w:t xml:space="preserve">, N.D. </w:t>
      </w:r>
      <w:proofErr w:type="spellStart"/>
      <w:r w:rsidRPr="00127768">
        <w:rPr>
          <w:lang w:val="en-US"/>
        </w:rPr>
        <w:t>Pismenskaya</w:t>
      </w:r>
      <w:proofErr w:type="spellEnd"/>
      <w:r w:rsidRPr="00127768">
        <w:rPr>
          <w:lang w:val="en-US"/>
        </w:rPr>
        <w:t xml:space="preserve">, V. V. </w:t>
      </w:r>
      <w:proofErr w:type="spellStart"/>
      <w:r w:rsidRPr="00127768">
        <w:rPr>
          <w:lang w:val="en-US"/>
        </w:rPr>
        <w:t>Nikonenko</w:t>
      </w:r>
      <w:proofErr w:type="spellEnd"/>
      <w:r w:rsidRPr="00127768">
        <w:rPr>
          <w:lang w:val="en-US"/>
        </w:rPr>
        <w:t xml:space="preserve">, A comprehensive mathematical model of water splitting in bipolar membranes: Impact of the spatial distribution of fixed charges and catalyst at bipolar junction, J. </w:t>
      </w:r>
      <w:proofErr w:type="spellStart"/>
      <w:r w:rsidRPr="00127768">
        <w:rPr>
          <w:lang w:val="en-US"/>
        </w:rPr>
        <w:t>Memb</w:t>
      </w:r>
      <w:proofErr w:type="spellEnd"/>
      <w:r w:rsidRPr="00127768">
        <w:rPr>
          <w:lang w:val="en-US"/>
        </w:rPr>
        <w:t>. Sci. 603 (2020) 118010. https://doi.org/10.1016/j.memsci.2020.118010.</w:t>
      </w:r>
    </w:p>
    <w:p w14:paraId="06E1874E" w14:textId="124570E0" w:rsidR="00415450" w:rsidRPr="00127768" w:rsidRDefault="00415450" w:rsidP="00415450">
      <w:pPr>
        <w:pStyle w:val="CETReferencetext"/>
      </w:pPr>
      <w:r w:rsidRPr="00127768">
        <w:t>[</w:t>
      </w:r>
      <w:r w:rsidR="00AD3D81" w:rsidRPr="00127768">
        <w:t>5</w:t>
      </w:r>
      <w:r w:rsidRPr="00127768">
        <w:t>]</w:t>
      </w:r>
      <w:r w:rsidRPr="00127768">
        <w:tab/>
        <w:t xml:space="preserve">B. Chen, C. Jiang, Y. Wang, R. Fu, Z. Liu, T. Xu, </w:t>
      </w:r>
      <w:proofErr w:type="spellStart"/>
      <w:r w:rsidRPr="00127768">
        <w:t>Selectrodialysis</w:t>
      </w:r>
      <w:proofErr w:type="spellEnd"/>
      <w:r w:rsidRPr="00127768">
        <w:t xml:space="preserve"> with bipolar membrane for the reclamation of concentrated brine from RO plant, Desalination. 442 (2018) 8–15. https://doi.org/10.1016/j.desal.2018.04.031.</w:t>
      </w:r>
    </w:p>
    <w:p w14:paraId="151062C0" w14:textId="092034A4" w:rsidR="00415450" w:rsidRPr="00127768" w:rsidRDefault="00415450" w:rsidP="00415450">
      <w:pPr>
        <w:pStyle w:val="CETReferencetext"/>
      </w:pPr>
      <w:r w:rsidRPr="00127768">
        <w:t>[</w:t>
      </w:r>
      <w:r w:rsidR="00AD3D81" w:rsidRPr="00127768">
        <w:t>6</w:t>
      </w:r>
      <w:r w:rsidRPr="00127768">
        <w:t>]</w:t>
      </w:r>
      <w:r w:rsidRPr="00127768">
        <w:tab/>
        <w:t xml:space="preserve">M. Herrero-Gonzalez, P. Diaz-Guridi, A. Dominguez-Ramos, A. </w:t>
      </w:r>
      <w:proofErr w:type="spellStart"/>
      <w:r w:rsidRPr="00127768">
        <w:t>Irabien</w:t>
      </w:r>
      <w:proofErr w:type="spellEnd"/>
      <w:r w:rsidRPr="00127768">
        <w:t xml:space="preserve">, R. Ibañez, Highly concentrated HCl and NaOH from brines using Electrodialysis with bipolar membranes, Sep. </w:t>
      </w:r>
      <w:proofErr w:type="spellStart"/>
      <w:r w:rsidRPr="00127768">
        <w:t>Purif</w:t>
      </w:r>
      <w:proofErr w:type="spellEnd"/>
      <w:r w:rsidRPr="00127768">
        <w:t>. Technol. 242 (2020). https://doi.org/10.1016/j.seppur.2020.116785.</w:t>
      </w:r>
    </w:p>
    <w:p w14:paraId="30A9280F" w14:textId="44531CD4" w:rsidR="00415450" w:rsidRPr="00127768" w:rsidRDefault="00415450" w:rsidP="00415450">
      <w:pPr>
        <w:pStyle w:val="CETReferencetext"/>
      </w:pPr>
      <w:r w:rsidRPr="00127768">
        <w:t>[</w:t>
      </w:r>
      <w:r w:rsidR="00AD3D81" w:rsidRPr="00127768">
        <w:t>7</w:t>
      </w:r>
      <w:r w:rsidRPr="00127768">
        <w:t>]</w:t>
      </w:r>
      <w:r w:rsidRPr="00127768">
        <w:tab/>
        <w:t>K. Song, S.C. Chae, J.H. Bang, Separation of sodium hydroxide from post-carbonation brines by bipolar membrane electrodialysis (BMED), Chem. Eng. J. 423 (2021). https://doi.org/10.1016/j.cej.2021.130179.</w:t>
      </w:r>
    </w:p>
    <w:p w14:paraId="18837505" w14:textId="7E178CFD" w:rsidR="00415450" w:rsidRPr="00127768" w:rsidRDefault="00415450" w:rsidP="00415450">
      <w:pPr>
        <w:pStyle w:val="CETReferencetext"/>
      </w:pPr>
      <w:r w:rsidRPr="00127768">
        <w:t>[</w:t>
      </w:r>
      <w:r w:rsidR="00AD3D81" w:rsidRPr="00127768">
        <w:t>8</w:t>
      </w:r>
      <w:r w:rsidRPr="00127768">
        <w:t>]</w:t>
      </w:r>
      <w:r w:rsidRPr="00127768">
        <w:tab/>
        <w:t>M.A. Blommaert, D. Aili, R.A. Tufa, Q. Li, W.A. Smith, D.A. Vermaas, Insights and Challenges for Applying Bipolar Membranes in Advanced Electrochemical Energy Systems, ACS Energy Lett. 6 (2021) 2539–2548. https://doi.org/10.1021/acsenergylett.1c00618.</w:t>
      </w:r>
    </w:p>
    <w:p w14:paraId="080337A2" w14:textId="5EE37DC9" w:rsidR="00415450" w:rsidRPr="00127768" w:rsidRDefault="00415450" w:rsidP="00415450">
      <w:pPr>
        <w:pStyle w:val="CETReferencetext"/>
      </w:pPr>
      <w:r w:rsidRPr="00127768">
        <w:t>[</w:t>
      </w:r>
      <w:r w:rsidR="00AD3D81" w:rsidRPr="00127768">
        <w:t>9</w:t>
      </w:r>
      <w:r w:rsidRPr="00127768">
        <w:t>]</w:t>
      </w:r>
      <w:r w:rsidRPr="00127768">
        <w:tab/>
        <w:t>J. Luque Di Salvo, A. Cosenza, A. Tamburini, G. Micale, A. Cipollina, Long-run operation of a reverse electrodialysis system fed with wastewaters, J. Environ. Manage. 217 (2018) 871–887. https://doi.org/10.1016/j.jenvman.2018.03.110.</w:t>
      </w:r>
    </w:p>
    <w:p w14:paraId="7E7A01B0" w14:textId="69A8E78C" w:rsidR="00415450" w:rsidRPr="00127768" w:rsidRDefault="00415450" w:rsidP="00415450">
      <w:pPr>
        <w:pStyle w:val="CETReferencetext"/>
      </w:pPr>
      <w:r w:rsidRPr="00127768">
        <w:t>[</w:t>
      </w:r>
      <w:r w:rsidR="00AD3D81" w:rsidRPr="00127768">
        <w:t>10</w:t>
      </w:r>
      <w:r w:rsidRPr="00127768">
        <w:t>]</w:t>
      </w:r>
      <w:r w:rsidR="001941B2" w:rsidRPr="00127768">
        <w:t xml:space="preserve"> </w:t>
      </w:r>
      <w:r w:rsidRPr="00127768">
        <w:t>A. Cosenza, G. Campisi, F. Giacalone, S. Randazzo, A. Cipollina, A. Tamburini, G. Micale, Power Production from Produced Waters via Reverse Electrodialysis: A Preliminary Assessment, Energies. 15 (2022) 4177. https://doi.org/10.3390/en15114177.</w:t>
      </w:r>
    </w:p>
    <w:p w14:paraId="09E739B1" w14:textId="41557864" w:rsidR="00415450" w:rsidRDefault="00357DD2" w:rsidP="00E809F7">
      <w:pPr>
        <w:pStyle w:val="CETReferencetext"/>
        <w:ind w:left="0" w:firstLine="0"/>
      </w:pPr>
      <w:r w:rsidRPr="00127768">
        <w:t xml:space="preserve">[11] </w:t>
      </w:r>
      <w:hyperlink r:id="rId11" w:history="1">
        <w:r w:rsidR="00733678" w:rsidRPr="00127768">
          <w:rPr>
            <w:rStyle w:val="Collegamentoipertestuale"/>
          </w:rPr>
          <w:t>https://searcularmine.eu/</w:t>
        </w:r>
      </w:hyperlink>
      <w:r w:rsidR="00733678" w:rsidRPr="00127768">
        <w:t xml:space="preserve">, </w:t>
      </w:r>
      <w:r w:rsidR="00B86599" w:rsidRPr="00127768">
        <w:t>accessed in June 2023.</w:t>
      </w:r>
      <w:r w:rsidR="00B86599">
        <w:t xml:space="preserve"> </w:t>
      </w:r>
    </w:p>
    <w:sectPr w:rsidR="00415450" w:rsidSect="00EF06D9">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2DC53A2"/>
    <w:multiLevelType w:val="hybridMultilevel"/>
    <w:tmpl w:val="7E84F1B8"/>
    <w:lvl w:ilvl="0" w:tplc="4D447A7A">
      <w:start w:val="1"/>
      <w:numFmt w:val="bullet"/>
      <w:lvlText w:val=""/>
      <w:lvlJc w:val="left"/>
      <w:pPr>
        <w:ind w:left="720" w:hanging="360"/>
      </w:pPr>
      <w:rPr>
        <w:rFonts w:ascii="Symbol" w:hAnsi="Symbol"/>
      </w:rPr>
    </w:lvl>
    <w:lvl w:ilvl="1" w:tplc="22907830">
      <w:start w:val="1"/>
      <w:numFmt w:val="bullet"/>
      <w:lvlText w:val=""/>
      <w:lvlJc w:val="left"/>
      <w:pPr>
        <w:ind w:left="720" w:hanging="360"/>
      </w:pPr>
      <w:rPr>
        <w:rFonts w:ascii="Symbol" w:hAnsi="Symbol"/>
      </w:rPr>
    </w:lvl>
    <w:lvl w:ilvl="2" w:tplc="2E9C662E">
      <w:start w:val="1"/>
      <w:numFmt w:val="bullet"/>
      <w:lvlText w:val=""/>
      <w:lvlJc w:val="left"/>
      <w:pPr>
        <w:ind w:left="720" w:hanging="360"/>
      </w:pPr>
      <w:rPr>
        <w:rFonts w:ascii="Symbol" w:hAnsi="Symbol"/>
      </w:rPr>
    </w:lvl>
    <w:lvl w:ilvl="3" w:tplc="5C2C7ECC">
      <w:start w:val="1"/>
      <w:numFmt w:val="bullet"/>
      <w:lvlText w:val=""/>
      <w:lvlJc w:val="left"/>
      <w:pPr>
        <w:ind w:left="720" w:hanging="360"/>
      </w:pPr>
      <w:rPr>
        <w:rFonts w:ascii="Symbol" w:hAnsi="Symbol"/>
      </w:rPr>
    </w:lvl>
    <w:lvl w:ilvl="4" w:tplc="D1400ED0">
      <w:start w:val="1"/>
      <w:numFmt w:val="bullet"/>
      <w:lvlText w:val=""/>
      <w:lvlJc w:val="left"/>
      <w:pPr>
        <w:ind w:left="720" w:hanging="360"/>
      </w:pPr>
      <w:rPr>
        <w:rFonts w:ascii="Symbol" w:hAnsi="Symbol"/>
      </w:rPr>
    </w:lvl>
    <w:lvl w:ilvl="5" w:tplc="86C6FC64">
      <w:start w:val="1"/>
      <w:numFmt w:val="bullet"/>
      <w:lvlText w:val=""/>
      <w:lvlJc w:val="left"/>
      <w:pPr>
        <w:ind w:left="720" w:hanging="360"/>
      </w:pPr>
      <w:rPr>
        <w:rFonts w:ascii="Symbol" w:hAnsi="Symbol"/>
      </w:rPr>
    </w:lvl>
    <w:lvl w:ilvl="6" w:tplc="12D60DFE">
      <w:start w:val="1"/>
      <w:numFmt w:val="bullet"/>
      <w:lvlText w:val=""/>
      <w:lvlJc w:val="left"/>
      <w:pPr>
        <w:ind w:left="720" w:hanging="360"/>
      </w:pPr>
      <w:rPr>
        <w:rFonts w:ascii="Symbol" w:hAnsi="Symbol"/>
      </w:rPr>
    </w:lvl>
    <w:lvl w:ilvl="7" w:tplc="1ABC127E">
      <w:start w:val="1"/>
      <w:numFmt w:val="bullet"/>
      <w:lvlText w:val=""/>
      <w:lvlJc w:val="left"/>
      <w:pPr>
        <w:ind w:left="720" w:hanging="360"/>
      </w:pPr>
      <w:rPr>
        <w:rFonts w:ascii="Symbol" w:hAnsi="Symbol"/>
      </w:rPr>
    </w:lvl>
    <w:lvl w:ilvl="8" w:tplc="D4264D6A">
      <w:start w:val="1"/>
      <w:numFmt w:val="bullet"/>
      <w:lvlText w:val=""/>
      <w:lvlJc w:val="left"/>
      <w:pPr>
        <w:ind w:left="720" w:hanging="360"/>
      </w:pPr>
      <w:rPr>
        <w:rFonts w:ascii="Symbol" w:hAnsi="Symbol"/>
      </w:rPr>
    </w:lvl>
  </w:abstractNum>
  <w:abstractNum w:abstractNumId="11" w15:restartNumberingAfterBreak="0">
    <w:nsid w:val="0BE454C2"/>
    <w:multiLevelType w:val="hybridMultilevel"/>
    <w:tmpl w:val="9C68D03A"/>
    <w:lvl w:ilvl="0" w:tplc="F21CB3FA">
      <w:start w:val="1"/>
      <w:numFmt w:val="bullet"/>
      <w:lvlText w:val=""/>
      <w:lvlJc w:val="left"/>
      <w:pPr>
        <w:ind w:left="720" w:hanging="360"/>
      </w:pPr>
      <w:rPr>
        <w:rFonts w:ascii="Symbol" w:hAnsi="Symbol"/>
      </w:rPr>
    </w:lvl>
    <w:lvl w:ilvl="1" w:tplc="2EE2111E">
      <w:start w:val="1"/>
      <w:numFmt w:val="bullet"/>
      <w:lvlText w:val=""/>
      <w:lvlJc w:val="left"/>
      <w:pPr>
        <w:ind w:left="720" w:hanging="360"/>
      </w:pPr>
      <w:rPr>
        <w:rFonts w:ascii="Symbol" w:hAnsi="Symbol"/>
      </w:rPr>
    </w:lvl>
    <w:lvl w:ilvl="2" w:tplc="E7EC04B6">
      <w:start w:val="1"/>
      <w:numFmt w:val="bullet"/>
      <w:lvlText w:val=""/>
      <w:lvlJc w:val="left"/>
      <w:pPr>
        <w:ind w:left="720" w:hanging="360"/>
      </w:pPr>
      <w:rPr>
        <w:rFonts w:ascii="Symbol" w:hAnsi="Symbol"/>
      </w:rPr>
    </w:lvl>
    <w:lvl w:ilvl="3" w:tplc="1A2A3784">
      <w:start w:val="1"/>
      <w:numFmt w:val="bullet"/>
      <w:lvlText w:val=""/>
      <w:lvlJc w:val="left"/>
      <w:pPr>
        <w:ind w:left="720" w:hanging="360"/>
      </w:pPr>
      <w:rPr>
        <w:rFonts w:ascii="Symbol" w:hAnsi="Symbol"/>
      </w:rPr>
    </w:lvl>
    <w:lvl w:ilvl="4" w:tplc="55F0408A">
      <w:start w:val="1"/>
      <w:numFmt w:val="bullet"/>
      <w:lvlText w:val=""/>
      <w:lvlJc w:val="left"/>
      <w:pPr>
        <w:ind w:left="720" w:hanging="360"/>
      </w:pPr>
      <w:rPr>
        <w:rFonts w:ascii="Symbol" w:hAnsi="Symbol"/>
      </w:rPr>
    </w:lvl>
    <w:lvl w:ilvl="5" w:tplc="7BAAD084">
      <w:start w:val="1"/>
      <w:numFmt w:val="bullet"/>
      <w:lvlText w:val=""/>
      <w:lvlJc w:val="left"/>
      <w:pPr>
        <w:ind w:left="720" w:hanging="360"/>
      </w:pPr>
      <w:rPr>
        <w:rFonts w:ascii="Symbol" w:hAnsi="Symbol"/>
      </w:rPr>
    </w:lvl>
    <w:lvl w:ilvl="6" w:tplc="14B0FFC0">
      <w:start w:val="1"/>
      <w:numFmt w:val="bullet"/>
      <w:lvlText w:val=""/>
      <w:lvlJc w:val="left"/>
      <w:pPr>
        <w:ind w:left="720" w:hanging="360"/>
      </w:pPr>
      <w:rPr>
        <w:rFonts w:ascii="Symbol" w:hAnsi="Symbol"/>
      </w:rPr>
    </w:lvl>
    <w:lvl w:ilvl="7" w:tplc="29E0C7CA">
      <w:start w:val="1"/>
      <w:numFmt w:val="bullet"/>
      <w:lvlText w:val=""/>
      <w:lvlJc w:val="left"/>
      <w:pPr>
        <w:ind w:left="720" w:hanging="360"/>
      </w:pPr>
      <w:rPr>
        <w:rFonts w:ascii="Symbol" w:hAnsi="Symbol"/>
      </w:rPr>
    </w:lvl>
    <w:lvl w:ilvl="8" w:tplc="02D85C06">
      <w:start w:val="1"/>
      <w:numFmt w:val="bullet"/>
      <w:lvlText w:val=""/>
      <w:lvlJc w:val="left"/>
      <w:pPr>
        <w:ind w:left="720" w:hanging="360"/>
      </w:pPr>
      <w:rPr>
        <w:rFonts w:ascii="Symbol" w:hAnsi="Symbol"/>
      </w:rPr>
    </w:lvl>
  </w:abstractNum>
  <w:abstractNum w:abstractNumId="12" w15:restartNumberingAfterBreak="0">
    <w:nsid w:val="1B596755"/>
    <w:multiLevelType w:val="hybridMultilevel"/>
    <w:tmpl w:val="DD28C0BC"/>
    <w:lvl w:ilvl="0" w:tplc="1B32AFA4">
      <w:start w:val="1"/>
      <w:numFmt w:val="bullet"/>
      <w:lvlText w:val=""/>
      <w:lvlJc w:val="left"/>
      <w:pPr>
        <w:ind w:left="720" w:hanging="360"/>
      </w:pPr>
      <w:rPr>
        <w:rFonts w:ascii="Symbol" w:hAnsi="Symbol"/>
      </w:rPr>
    </w:lvl>
    <w:lvl w:ilvl="1" w:tplc="D320F8E2">
      <w:start w:val="1"/>
      <w:numFmt w:val="bullet"/>
      <w:lvlText w:val=""/>
      <w:lvlJc w:val="left"/>
      <w:pPr>
        <w:ind w:left="720" w:hanging="360"/>
      </w:pPr>
      <w:rPr>
        <w:rFonts w:ascii="Symbol" w:hAnsi="Symbol"/>
      </w:rPr>
    </w:lvl>
    <w:lvl w:ilvl="2" w:tplc="9546241A">
      <w:start w:val="1"/>
      <w:numFmt w:val="bullet"/>
      <w:lvlText w:val=""/>
      <w:lvlJc w:val="left"/>
      <w:pPr>
        <w:ind w:left="720" w:hanging="360"/>
      </w:pPr>
      <w:rPr>
        <w:rFonts w:ascii="Symbol" w:hAnsi="Symbol"/>
      </w:rPr>
    </w:lvl>
    <w:lvl w:ilvl="3" w:tplc="7F229C6C">
      <w:start w:val="1"/>
      <w:numFmt w:val="bullet"/>
      <w:lvlText w:val=""/>
      <w:lvlJc w:val="left"/>
      <w:pPr>
        <w:ind w:left="720" w:hanging="360"/>
      </w:pPr>
      <w:rPr>
        <w:rFonts w:ascii="Symbol" w:hAnsi="Symbol"/>
      </w:rPr>
    </w:lvl>
    <w:lvl w:ilvl="4" w:tplc="88C67FDE">
      <w:start w:val="1"/>
      <w:numFmt w:val="bullet"/>
      <w:lvlText w:val=""/>
      <w:lvlJc w:val="left"/>
      <w:pPr>
        <w:ind w:left="720" w:hanging="360"/>
      </w:pPr>
      <w:rPr>
        <w:rFonts w:ascii="Symbol" w:hAnsi="Symbol"/>
      </w:rPr>
    </w:lvl>
    <w:lvl w:ilvl="5" w:tplc="D814F78A">
      <w:start w:val="1"/>
      <w:numFmt w:val="bullet"/>
      <w:lvlText w:val=""/>
      <w:lvlJc w:val="left"/>
      <w:pPr>
        <w:ind w:left="720" w:hanging="360"/>
      </w:pPr>
      <w:rPr>
        <w:rFonts w:ascii="Symbol" w:hAnsi="Symbol"/>
      </w:rPr>
    </w:lvl>
    <w:lvl w:ilvl="6" w:tplc="286CFAF2">
      <w:start w:val="1"/>
      <w:numFmt w:val="bullet"/>
      <w:lvlText w:val=""/>
      <w:lvlJc w:val="left"/>
      <w:pPr>
        <w:ind w:left="720" w:hanging="360"/>
      </w:pPr>
      <w:rPr>
        <w:rFonts w:ascii="Symbol" w:hAnsi="Symbol"/>
      </w:rPr>
    </w:lvl>
    <w:lvl w:ilvl="7" w:tplc="C528352A">
      <w:start w:val="1"/>
      <w:numFmt w:val="bullet"/>
      <w:lvlText w:val=""/>
      <w:lvlJc w:val="left"/>
      <w:pPr>
        <w:ind w:left="720" w:hanging="360"/>
      </w:pPr>
      <w:rPr>
        <w:rFonts w:ascii="Symbol" w:hAnsi="Symbol"/>
      </w:rPr>
    </w:lvl>
    <w:lvl w:ilvl="8" w:tplc="F7B68BDE">
      <w:start w:val="1"/>
      <w:numFmt w:val="bullet"/>
      <w:lvlText w:val=""/>
      <w:lvlJc w:val="left"/>
      <w:pPr>
        <w:ind w:left="720" w:hanging="360"/>
      </w:pPr>
      <w:rPr>
        <w:rFonts w:ascii="Symbol" w:hAnsi="Symbol"/>
      </w:r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2F9227EE"/>
    <w:multiLevelType w:val="hybridMultilevel"/>
    <w:tmpl w:val="FC9CB39C"/>
    <w:lvl w:ilvl="0" w:tplc="E9BC4E86">
      <w:start w:val="1"/>
      <w:numFmt w:val="bullet"/>
      <w:lvlText w:val=""/>
      <w:lvlJc w:val="left"/>
      <w:pPr>
        <w:ind w:left="720" w:hanging="360"/>
      </w:pPr>
      <w:rPr>
        <w:rFonts w:ascii="Symbol" w:hAnsi="Symbol"/>
      </w:rPr>
    </w:lvl>
    <w:lvl w:ilvl="1" w:tplc="E69EBACC">
      <w:start w:val="1"/>
      <w:numFmt w:val="bullet"/>
      <w:lvlText w:val=""/>
      <w:lvlJc w:val="left"/>
      <w:pPr>
        <w:ind w:left="720" w:hanging="360"/>
      </w:pPr>
      <w:rPr>
        <w:rFonts w:ascii="Symbol" w:hAnsi="Symbol"/>
      </w:rPr>
    </w:lvl>
    <w:lvl w:ilvl="2" w:tplc="96F497E4">
      <w:start w:val="1"/>
      <w:numFmt w:val="bullet"/>
      <w:lvlText w:val=""/>
      <w:lvlJc w:val="left"/>
      <w:pPr>
        <w:ind w:left="720" w:hanging="360"/>
      </w:pPr>
      <w:rPr>
        <w:rFonts w:ascii="Symbol" w:hAnsi="Symbol"/>
      </w:rPr>
    </w:lvl>
    <w:lvl w:ilvl="3" w:tplc="92847CCE">
      <w:start w:val="1"/>
      <w:numFmt w:val="bullet"/>
      <w:lvlText w:val=""/>
      <w:lvlJc w:val="left"/>
      <w:pPr>
        <w:ind w:left="720" w:hanging="360"/>
      </w:pPr>
      <w:rPr>
        <w:rFonts w:ascii="Symbol" w:hAnsi="Symbol"/>
      </w:rPr>
    </w:lvl>
    <w:lvl w:ilvl="4" w:tplc="49A0F27A">
      <w:start w:val="1"/>
      <w:numFmt w:val="bullet"/>
      <w:lvlText w:val=""/>
      <w:lvlJc w:val="left"/>
      <w:pPr>
        <w:ind w:left="720" w:hanging="360"/>
      </w:pPr>
      <w:rPr>
        <w:rFonts w:ascii="Symbol" w:hAnsi="Symbol"/>
      </w:rPr>
    </w:lvl>
    <w:lvl w:ilvl="5" w:tplc="EEC49E02">
      <w:start w:val="1"/>
      <w:numFmt w:val="bullet"/>
      <w:lvlText w:val=""/>
      <w:lvlJc w:val="left"/>
      <w:pPr>
        <w:ind w:left="720" w:hanging="360"/>
      </w:pPr>
      <w:rPr>
        <w:rFonts w:ascii="Symbol" w:hAnsi="Symbol"/>
      </w:rPr>
    </w:lvl>
    <w:lvl w:ilvl="6" w:tplc="503227D2">
      <w:start w:val="1"/>
      <w:numFmt w:val="bullet"/>
      <w:lvlText w:val=""/>
      <w:lvlJc w:val="left"/>
      <w:pPr>
        <w:ind w:left="720" w:hanging="360"/>
      </w:pPr>
      <w:rPr>
        <w:rFonts w:ascii="Symbol" w:hAnsi="Symbol"/>
      </w:rPr>
    </w:lvl>
    <w:lvl w:ilvl="7" w:tplc="248433C6">
      <w:start w:val="1"/>
      <w:numFmt w:val="bullet"/>
      <w:lvlText w:val=""/>
      <w:lvlJc w:val="left"/>
      <w:pPr>
        <w:ind w:left="720" w:hanging="360"/>
      </w:pPr>
      <w:rPr>
        <w:rFonts w:ascii="Symbol" w:hAnsi="Symbol"/>
      </w:rPr>
    </w:lvl>
    <w:lvl w:ilvl="8" w:tplc="9D74D414">
      <w:start w:val="1"/>
      <w:numFmt w:val="bullet"/>
      <w:lvlText w:val=""/>
      <w:lvlJc w:val="left"/>
      <w:pPr>
        <w:ind w:left="720" w:hanging="360"/>
      </w:pPr>
      <w:rPr>
        <w:rFonts w:ascii="Symbol" w:hAnsi="Symbol"/>
      </w:rPr>
    </w:lvl>
  </w:abstractNum>
  <w:abstractNum w:abstractNumId="15" w15:restartNumberingAfterBreak="0">
    <w:nsid w:val="330B7370"/>
    <w:multiLevelType w:val="hybridMultilevel"/>
    <w:tmpl w:val="12E2AD3A"/>
    <w:lvl w:ilvl="0" w:tplc="55E83808">
      <w:start w:val="1"/>
      <w:numFmt w:val="bullet"/>
      <w:lvlText w:val=""/>
      <w:lvlJc w:val="left"/>
      <w:pPr>
        <w:ind w:left="720" w:hanging="360"/>
      </w:pPr>
      <w:rPr>
        <w:rFonts w:ascii="Symbol" w:hAnsi="Symbol" w:hint="default"/>
      </w:rPr>
    </w:lvl>
    <w:lvl w:ilvl="1" w:tplc="FF40E420" w:tentative="1">
      <w:start w:val="1"/>
      <w:numFmt w:val="bullet"/>
      <w:lvlText w:val="o"/>
      <w:lvlJc w:val="left"/>
      <w:pPr>
        <w:ind w:left="1440" w:hanging="360"/>
      </w:pPr>
      <w:rPr>
        <w:rFonts w:ascii="Courier New" w:hAnsi="Courier New" w:cs="Courier New" w:hint="default"/>
      </w:rPr>
    </w:lvl>
    <w:lvl w:ilvl="2" w:tplc="22BABAFA" w:tentative="1">
      <w:start w:val="1"/>
      <w:numFmt w:val="bullet"/>
      <w:lvlText w:val=""/>
      <w:lvlJc w:val="left"/>
      <w:pPr>
        <w:ind w:left="2160" w:hanging="360"/>
      </w:pPr>
      <w:rPr>
        <w:rFonts w:ascii="Wingdings" w:hAnsi="Wingdings" w:hint="default"/>
      </w:rPr>
    </w:lvl>
    <w:lvl w:ilvl="3" w:tplc="8C588EF6" w:tentative="1">
      <w:start w:val="1"/>
      <w:numFmt w:val="bullet"/>
      <w:lvlText w:val=""/>
      <w:lvlJc w:val="left"/>
      <w:pPr>
        <w:ind w:left="2880" w:hanging="360"/>
      </w:pPr>
      <w:rPr>
        <w:rFonts w:ascii="Symbol" w:hAnsi="Symbol" w:hint="default"/>
      </w:rPr>
    </w:lvl>
    <w:lvl w:ilvl="4" w:tplc="EE1670CA" w:tentative="1">
      <w:start w:val="1"/>
      <w:numFmt w:val="bullet"/>
      <w:lvlText w:val="o"/>
      <w:lvlJc w:val="left"/>
      <w:pPr>
        <w:ind w:left="3600" w:hanging="360"/>
      </w:pPr>
      <w:rPr>
        <w:rFonts w:ascii="Courier New" w:hAnsi="Courier New" w:cs="Courier New" w:hint="default"/>
      </w:rPr>
    </w:lvl>
    <w:lvl w:ilvl="5" w:tplc="6D246C86" w:tentative="1">
      <w:start w:val="1"/>
      <w:numFmt w:val="bullet"/>
      <w:lvlText w:val=""/>
      <w:lvlJc w:val="left"/>
      <w:pPr>
        <w:ind w:left="4320" w:hanging="360"/>
      </w:pPr>
      <w:rPr>
        <w:rFonts w:ascii="Wingdings" w:hAnsi="Wingdings" w:hint="default"/>
      </w:rPr>
    </w:lvl>
    <w:lvl w:ilvl="6" w:tplc="D9AE90FA" w:tentative="1">
      <w:start w:val="1"/>
      <w:numFmt w:val="bullet"/>
      <w:lvlText w:val=""/>
      <w:lvlJc w:val="left"/>
      <w:pPr>
        <w:ind w:left="5040" w:hanging="360"/>
      </w:pPr>
      <w:rPr>
        <w:rFonts w:ascii="Symbol" w:hAnsi="Symbol" w:hint="default"/>
      </w:rPr>
    </w:lvl>
    <w:lvl w:ilvl="7" w:tplc="5C988830" w:tentative="1">
      <w:start w:val="1"/>
      <w:numFmt w:val="bullet"/>
      <w:lvlText w:val="o"/>
      <w:lvlJc w:val="left"/>
      <w:pPr>
        <w:ind w:left="5760" w:hanging="360"/>
      </w:pPr>
      <w:rPr>
        <w:rFonts w:ascii="Courier New" w:hAnsi="Courier New" w:cs="Courier New" w:hint="default"/>
      </w:rPr>
    </w:lvl>
    <w:lvl w:ilvl="8" w:tplc="13088E4E"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806658E2"/>
    <w:lvl w:ilvl="0" w:tplc="68ECA0EE">
      <w:start w:val="1"/>
      <w:numFmt w:val="bullet"/>
      <w:pStyle w:val="CETnumberingbullets"/>
      <w:lvlText w:val=""/>
      <w:lvlJc w:val="left"/>
      <w:pPr>
        <w:ind w:left="340" w:hanging="227"/>
      </w:pPr>
      <w:rPr>
        <w:rFonts w:ascii="Symbol" w:hAnsi="Symbol" w:hint="default"/>
      </w:rPr>
    </w:lvl>
    <w:lvl w:ilvl="1" w:tplc="4268F062" w:tentative="1">
      <w:start w:val="1"/>
      <w:numFmt w:val="bullet"/>
      <w:lvlText w:val="o"/>
      <w:lvlJc w:val="left"/>
      <w:pPr>
        <w:ind w:left="1440" w:hanging="360"/>
      </w:pPr>
      <w:rPr>
        <w:rFonts w:ascii="Courier New" w:hAnsi="Courier New" w:cs="Courier New" w:hint="default"/>
      </w:rPr>
    </w:lvl>
    <w:lvl w:ilvl="2" w:tplc="73284620" w:tentative="1">
      <w:start w:val="1"/>
      <w:numFmt w:val="bullet"/>
      <w:lvlText w:val=""/>
      <w:lvlJc w:val="left"/>
      <w:pPr>
        <w:ind w:left="2160" w:hanging="360"/>
      </w:pPr>
      <w:rPr>
        <w:rFonts w:ascii="Wingdings" w:hAnsi="Wingdings" w:hint="default"/>
      </w:rPr>
    </w:lvl>
    <w:lvl w:ilvl="3" w:tplc="9C54B1B4" w:tentative="1">
      <w:start w:val="1"/>
      <w:numFmt w:val="bullet"/>
      <w:lvlText w:val=""/>
      <w:lvlJc w:val="left"/>
      <w:pPr>
        <w:ind w:left="2880" w:hanging="360"/>
      </w:pPr>
      <w:rPr>
        <w:rFonts w:ascii="Symbol" w:hAnsi="Symbol" w:hint="default"/>
      </w:rPr>
    </w:lvl>
    <w:lvl w:ilvl="4" w:tplc="B5C0F49E" w:tentative="1">
      <w:start w:val="1"/>
      <w:numFmt w:val="bullet"/>
      <w:lvlText w:val="o"/>
      <w:lvlJc w:val="left"/>
      <w:pPr>
        <w:ind w:left="3600" w:hanging="360"/>
      </w:pPr>
      <w:rPr>
        <w:rFonts w:ascii="Courier New" w:hAnsi="Courier New" w:cs="Courier New" w:hint="default"/>
      </w:rPr>
    </w:lvl>
    <w:lvl w:ilvl="5" w:tplc="F3F20F2A" w:tentative="1">
      <w:start w:val="1"/>
      <w:numFmt w:val="bullet"/>
      <w:lvlText w:val=""/>
      <w:lvlJc w:val="left"/>
      <w:pPr>
        <w:ind w:left="4320" w:hanging="360"/>
      </w:pPr>
      <w:rPr>
        <w:rFonts w:ascii="Wingdings" w:hAnsi="Wingdings" w:hint="default"/>
      </w:rPr>
    </w:lvl>
    <w:lvl w:ilvl="6" w:tplc="3C6E99BC" w:tentative="1">
      <w:start w:val="1"/>
      <w:numFmt w:val="bullet"/>
      <w:lvlText w:val=""/>
      <w:lvlJc w:val="left"/>
      <w:pPr>
        <w:ind w:left="5040" w:hanging="360"/>
      </w:pPr>
      <w:rPr>
        <w:rFonts w:ascii="Symbol" w:hAnsi="Symbol" w:hint="default"/>
      </w:rPr>
    </w:lvl>
    <w:lvl w:ilvl="7" w:tplc="2BD6138E" w:tentative="1">
      <w:start w:val="1"/>
      <w:numFmt w:val="bullet"/>
      <w:lvlText w:val="o"/>
      <w:lvlJc w:val="left"/>
      <w:pPr>
        <w:ind w:left="5760" w:hanging="360"/>
      </w:pPr>
      <w:rPr>
        <w:rFonts w:ascii="Courier New" w:hAnsi="Courier New" w:cs="Courier New" w:hint="default"/>
      </w:rPr>
    </w:lvl>
    <w:lvl w:ilvl="8" w:tplc="893C5C34" w:tentative="1">
      <w:start w:val="1"/>
      <w:numFmt w:val="bullet"/>
      <w:lvlText w:val=""/>
      <w:lvlJc w:val="left"/>
      <w:pPr>
        <w:ind w:left="6480" w:hanging="360"/>
      </w:pPr>
      <w:rPr>
        <w:rFonts w:ascii="Wingdings" w:hAnsi="Wingdings" w:hint="default"/>
      </w:rPr>
    </w:lvl>
  </w:abstractNum>
  <w:abstractNum w:abstractNumId="17" w15:restartNumberingAfterBreak="0">
    <w:nsid w:val="39C329B9"/>
    <w:multiLevelType w:val="hybridMultilevel"/>
    <w:tmpl w:val="A2E6C3C8"/>
    <w:lvl w:ilvl="0" w:tplc="5DE47BDA">
      <w:start w:val="1"/>
      <w:numFmt w:val="bullet"/>
      <w:lvlText w:val=""/>
      <w:lvlJc w:val="left"/>
      <w:pPr>
        <w:ind w:left="720" w:hanging="360"/>
      </w:pPr>
      <w:rPr>
        <w:rFonts w:ascii="Symbol" w:hAnsi="Symbol" w:hint="default"/>
      </w:rPr>
    </w:lvl>
    <w:lvl w:ilvl="1" w:tplc="CD389646" w:tentative="1">
      <w:start w:val="1"/>
      <w:numFmt w:val="bullet"/>
      <w:lvlText w:val="o"/>
      <w:lvlJc w:val="left"/>
      <w:pPr>
        <w:ind w:left="1440" w:hanging="360"/>
      </w:pPr>
      <w:rPr>
        <w:rFonts w:ascii="Courier New" w:hAnsi="Courier New" w:cs="Courier New" w:hint="default"/>
      </w:rPr>
    </w:lvl>
    <w:lvl w:ilvl="2" w:tplc="9024355C" w:tentative="1">
      <w:start w:val="1"/>
      <w:numFmt w:val="bullet"/>
      <w:lvlText w:val=""/>
      <w:lvlJc w:val="left"/>
      <w:pPr>
        <w:ind w:left="2160" w:hanging="360"/>
      </w:pPr>
      <w:rPr>
        <w:rFonts w:ascii="Wingdings" w:hAnsi="Wingdings" w:hint="default"/>
      </w:rPr>
    </w:lvl>
    <w:lvl w:ilvl="3" w:tplc="7B46996E" w:tentative="1">
      <w:start w:val="1"/>
      <w:numFmt w:val="bullet"/>
      <w:lvlText w:val=""/>
      <w:lvlJc w:val="left"/>
      <w:pPr>
        <w:ind w:left="2880" w:hanging="360"/>
      </w:pPr>
      <w:rPr>
        <w:rFonts w:ascii="Symbol" w:hAnsi="Symbol" w:hint="default"/>
      </w:rPr>
    </w:lvl>
    <w:lvl w:ilvl="4" w:tplc="A8568954" w:tentative="1">
      <w:start w:val="1"/>
      <w:numFmt w:val="bullet"/>
      <w:lvlText w:val="o"/>
      <w:lvlJc w:val="left"/>
      <w:pPr>
        <w:ind w:left="3600" w:hanging="360"/>
      </w:pPr>
      <w:rPr>
        <w:rFonts w:ascii="Courier New" w:hAnsi="Courier New" w:cs="Courier New" w:hint="default"/>
      </w:rPr>
    </w:lvl>
    <w:lvl w:ilvl="5" w:tplc="E0B4E2CE" w:tentative="1">
      <w:start w:val="1"/>
      <w:numFmt w:val="bullet"/>
      <w:lvlText w:val=""/>
      <w:lvlJc w:val="left"/>
      <w:pPr>
        <w:ind w:left="4320" w:hanging="360"/>
      </w:pPr>
      <w:rPr>
        <w:rFonts w:ascii="Wingdings" w:hAnsi="Wingdings" w:hint="default"/>
      </w:rPr>
    </w:lvl>
    <w:lvl w:ilvl="6" w:tplc="97809F40" w:tentative="1">
      <w:start w:val="1"/>
      <w:numFmt w:val="bullet"/>
      <w:lvlText w:val=""/>
      <w:lvlJc w:val="left"/>
      <w:pPr>
        <w:ind w:left="5040" w:hanging="360"/>
      </w:pPr>
      <w:rPr>
        <w:rFonts w:ascii="Symbol" w:hAnsi="Symbol" w:hint="default"/>
      </w:rPr>
    </w:lvl>
    <w:lvl w:ilvl="7" w:tplc="EF7CF374" w:tentative="1">
      <w:start w:val="1"/>
      <w:numFmt w:val="bullet"/>
      <w:lvlText w:val="o"/>
      <w:lvlJc w:val="left"/>
      <w:pPr>
        <w:ind w:left="5760" w:hanging="360"/>
      </w:pPr>
      <w:rPr>
        <w:rFonts w:ascii="Courier New" w:hAnsi="Courier New" w:cs="Courier New" w:hint="default"/>
      </w:rPr>
    </w:lvl>
    <w:lvl w:ilvl="8" w:tplc="6EFE880E"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2CE6BCF8">
      <w:start w:val="1"/>
      <w:numFmt w:val="decimal"/>
      <w:lvlText w:val="%1)"/>
      <w:lvlJc w:val="left"/>
      <w:pPr>
        <w:ind w:left="720" w:hanging="360"/>
      </w:pPr>
      <w:rPr>
        <w:rFonts w:hint="default"/>
      </w:rPr>
    </w:lvl>
    <w:lvl w:ilvl="1" w:tplc="162281B6" w:tentative="1">
      <w:start w:val="1"/>
      <w:numFmt w:val="lowerLetter"/>
      <w:lvlText w:val="%2."/>
      <w:lvlJc w:val="left"/>
      <w:pPr>
        <w:ind w:left="1440" w:hanging="360"/>
      </w:pPr>
    </w:lvl>
    <w:lvl w:ilvl="2" w:tplc="B2D65A50" w:tentative="1">
      <w:start w:val="1"/>
      <w:numFmt w:val="lowerRoman"/>
      <w:lvlText w:val="%3."/>
      <w:lvlJc w:val="right"/>
      <w:pPr>
        <w:ind w:left="2160" w:hanging="180"/>
      </w:pPr>
    </w:lvl>
    <w:lvl w:ilvl="3" w:tplc="01963AC8" w:tentative="1">
      <w:start w:val="1"/>
      <w:numFmt w:val="decimal"/>
      <w:lvlText w:val="%4."/>
      <w:lvlJc w:val="left"/>
      <w:pPr>
        <w:ind w:left="2880" w:hanging="360"/>
      </w:pPr>
    </w:lvl>
    <w:lvl w:ilvl="4" w:tplc="9AECC368" w:tentative="1">
      <w:start w:val="1"/>
      <w:numFmt w:val="lowerLetter"/>
      <w:lvlText w:val="%5."/>
      <w:lvlJc w:val="left"/>
      <w:pPr>
        <w:ind w:left="3600" w:hanging="360"/>
      </w:pPr>
    </w:lvl>
    <w:lvl w:ilvl="5" w:tplc="F440EFFA" w:tentative="1">
      <w:start w:val="1"/>
      <w:numFmt w:val="lowerRoman"/>
      <w:lvlText w:val="%6."/>
      <w:lvlJc w:val="right"/>
      <w:pPr>
        <w:ind w:left="4320" w:hanging="180"/>
      </w:pPr>
    </w:lvl>
    <w:lvl w:ilvl="6" w:tplc="EB2C8E62" w:tentative="1">
      <w:start w:val="1"/>
      <w:numFmt w:val="decimal"/>
      <w:lvlText w:val="%7."/>
      <w:lvlJc w:val="left"/>
      <w:pPr>
        <w:ind w:left="5040" w:hanging="360"/>
      </w:pPr>
    </w:lvl>
    <w:lvl w:ilvl="7" w:tplc="EBC0D184" w:tentative="1">
      <w:start w:val="1"/>
      <w:numFmt w:val="lowerLetter"/>
      <w:lvlText w:val="%8."/>
      <w:lvlJc w:val="left"/>
      <w:pPr>
        <w:ind w:left="5760" w:hanging="360"/>
      </w:pPr>
    </w:lvl>
    <w:lvl w:ilvl="8" w:tplc="488A3206" w:tentative="1">
      <w:start w:val="1"/>
      <w:numFmt w:val="lowerRoman"/>
      <w:lvlText w:val="%9."/>
      <w:lvlJc w:val="right"/>
      <w:pPr>
        <w:ind w:left="6480" w:hanging="180"/>
      </w:pPr>
    </w:lvl>
  </w:abstractNum>
  <w:abstractNum w:abstractNumId="19" w15:restartNumberingAfterBreak="0">
    <w:nsid w:val="44CB518E"/>
    <w:multiLevelType w:val="hybridMultilevel"/>
    <w:tmpl w:val="095C5412"/>
    <w:lvl w:ilvl="0" w:tplc="F77E20E2">
      <w:start w:val="1"/>
      <w:numFmt w:val="bullet"/>
      <w:lvlText w:val=""/>
      <w:lvlJc w:val="left"/>
      <w:pPr>
        <w:ind w:left="720" w:hanging="360"/>
      </w:pPr>
      <w:rPr>
        <w:rFonts w:ascii="Symbol" w:hAnsi="Symbol"/>
      </w:rPr>
    </w:lvl>
    <w:lvl w:ilvl="1" w:tplc="E03C01EA">
      <w:start w:val="1"/>
      <w:numFmt w:val="bullet"/>
      <w:lvlText w:val=""/>
      <w:lvlJc w:val="left"/>
      <w:pPr>
        <w:ind w:left="720" w:hanging="360"/>
      </w:pPr>
      <w:rPr>
        <w:rFonts w:ascii="Symbol" w:hAnsi="Symbol"/>
      </w:rPr>
    </w:lvl>
    <w:lvl w:ilvl="2" w:tplc="C4F8E372">
      <w:start w:val="1"/>
      <w:numFmt w:val="bullet"/>
      <w:lvlText w:val=""/>
      <w:lvlJc w:val="left"/>
      <w:pPr>
        <w:ind w:left="720" w:hanging="360"/>
      </w:pPr>
      <w:rPr>
        <w:rFonts w:ascii="Symbol" w:hAnsi="Symbol"/>
      </w:rPr>
    </w:lvl>
    <w:lvl w:ilvl="3" w:tplc="4C1EAC58">
      <w:start w:val="1"/>
      <w:numFmt w:val="bullet"/>
      <w:lvlText w:val=""/>
      <w:lvlJc w:val="left"/>
      <w:pPr>
        <w:ind w:left="720" w:hanging="360"/>
      </w:pPr>
      <w:rPr>
        <w:rFonts w:ascii="Symbol" w:hAnsi="Symbol"/>
      </w:rPr>
    </w:lvl>
    <w:lvl w:ilvl="4" w:tplc="19ECF704">
      <w:start w:val="1"/>
      <w:numFmt w:val="bullet"/>
      <w:lvlText w:val=""/>
      <w:lvlJc w:val="left"/>
      <w:pPr>
        <w:ind w:left="720" w:hanging="360"/>
      </w:pPr>
      <w:rPr>
        <w:rFonts w:ascii="Symbol" w:hAnsi="Symbol"/>
      </w:rPr>
    </w:lvl>
    <w:lvl w:ilvl="5" w:tplc="F13E5BB2">
      <w:start w:val="1"/>
      <w:numFmt w:val="bullet"/>
      <w:lvlText w:val=""/>
      <w:lvlJc w:val="left"/>
      <w:pPr>
        <w:ind w:left="720" w:hanging="360"/>
      </w:pPr>
      <w:rPr>
        <w:rFonts w:ascii="Symbol" w:hAnsi="Symbol"/>
      </w:rPr>
    </w:lvl>
    <w:lvl w:ilvl="6" w:tplc="2B3C1BB6">
      <w:start w:val="1"/>
      <w:numFmt w:val="bullet"/>
      <w:lvlText w:val=""/>
      <w:lvlJc w:val="left"/>
      <w:pPr>
        <w:ind w:left="720" w:hanging="360"/>
      </w:pPr>
      <w:rPr>
        <w:rFonts w:ascii="Symbol" w:hAnsi="Symbol"/>
      </w:rPr>
    </w:lvl>
    <w:lvl w:ilvl="7" w:tplc="75AA7E14">
      <w:start w:val="1"/>
      <w:numFmt w:val="bullet"/>
      <w:lvlText w:val=""/>
      <w:lvlJc w:val="left"/>
      <w:pPr>
        <w:ind w:left="720" w:hanging="360"/>
      </w:pPr>
      <w:rPr>
        <w:rFonts w:ascii="Symbol" w:hAnsi="Symbol"/>
      </w:rPr>
    </w:lvl>
    <w:lvl w:ilvl="8" w:tplc="5E928B46">
      <w:start w:val="1"/>
      <w:numFmt w:val="bullet"/>
      <w:lvlText w:val=""/>
      <w:lvlJc w:val="left"/>
      <w:pPr>
        <w:ind w:left="720" w:hanging="360"/>
      </w:pPr>
      <w:rPr>
        <w:rFonts w:ascii="Symbol" w:hAnsi="Symbol"/>
      </w:rPr>
    </w:lvl>
  </w:abstractNum>
  <w:abstractNum w:abstractNumId="20" w15:restartNumberingAfterBreak="0">
    <w:nsid w:val="50A87BA7"/>
    <w:multiLevelType w:val="hybridMultilevel"/>
    <w:tmpl w:val="1F6A8AD4"/>
    <w:lvl w:ilvl="0" w:tplc="DA0A2E44">
      <w:start w:val="1"/>
      <w:numFmt w:val="bullet"/>
      <w:lvlText w:val=""/>
      <w:lvlJc w:val="left"/>
      <w:pPr>
        <w:ind w:left="340" w:hanging="227"/>
      </w:pPr>
      <w:rPr>
        <w:rFonts w:ascii="Symbol" w:hAnsi="Symbol" w:hint="default"/>
      </w:rPr>
    </w:lvl>
    <w:lvl w:ilvl="1" w:tplc="3ABA6D0A" w:tentative="1">
      <w:start w:val="1"/>
      <w:numFmt w:val="bullet"/>
      <w:lvlText w:val="o"/>
      <w:lvlJc w:val="left"/>
      <w:pPr>
        <w:ind w:left="1440" w:hanging="360"/>
      </w:pPr>
      <w:rPr>
        <w:rFonts w:ascii="Courier New" w:hAnsi="Courier New" w:cs="Courier New" w:hint="default"/>
      </w:rPr>
    </w:lvl>
    <w:lvl w:ilvl="2" w:tplc="ADE22596" w:tentative="1">
      <w:start w:val="1"/>
      <w:numFmt w:val="bullet"/>
      <w:lvlText w:val=""/>
      <w:lvlJc w:val="left"/>
      <w:pPr>
        <w:ind w:left="2160" w:hanging="360"/>
      </w:pPr>
      <w:rPr>
        <w:rFonts w:ascii="Wingdings" w:hAnsi="Wingdings" w:hint="default"/>
      </w:rPr>
    </w:lvl>
    <w:lvl w:ilvl="3" w:tplc="6A48AFDC" w:tentative="1">
      <w:start w:val="1"/>
      <w:numFmt w:val="bullet"/>
      <w:lvlText w:val=""/>
      <w:lvlJc w:val="left"/>
      <w:pPr>
        <w:ind w:left="2880" w:hanging="360"/>
      </w:pPr>
      <w:rPr>
        <w:rFonts w:ascii="Symbol" w:hAnsi="Symbol" w:hint="default"/>
      </w:rPr>
    </w:lvl>
    <w:lvl w:ilvl="4" w:tplc="1B480E60" w:tentative="1">
      <w:start w:val="1"/>
      <w:numFmt w:val="bullet"/>
      <w:lvlText w:val="o"/>
      <w:lvlJc w:val="left"/>
      <w:pPr>
        <w:ind w:left="3600" w:hanging="360"/>
      </w:pPr>
      <w:rPr>
        <w:rFonts w:ascii="Courier New" w:hAnsi="Courier New" w:cs="Courier New" w:hint="default"/>
      </w:rPr>
    </w:lvl>
    <w:lvl w:ilvl="5" w:tplc="E9F87F86" w:tentative="1">
      <w:start w:val="1"/>
      <w:numFmt w:val="bullet"/>
      <w:lvlText w:val=""/>
      <w:lvlJc w:val="left"/>
      <w:pPr>
        <w:ind w:left="4320" w:hanging="360"/>
      </w:pPr>
      <w:rPr>
        <w:rFonts w:ascii="Wingdings" w:hAnsi="Wingdings" w:hint="default"/>
      </w:rPr>
    </w:lvl>
    <w:lvl w:ilvl="6" w:tplc="9D5EB7A6" w:tentative="1">
      <w:start w:val="1"/>
      <w:numFmt w:val="bullet"/>
      <w:lvlText w:val=""/>
      <w:lvlJc w:val="left"/>
      <w:pPr>
        <w:ind w:left="5040" w:hanging="360"/>
      </w:pPr>
      <w:rPr>
        <w:rFonts w:ascii="Symbol" w:hAnsi="Symbol" w:hint="default"/>
      </w:rPr>
    </w:lvl>
    <w:lvl w:ilvl="7" w:tplc="D3840BD4" w:tentative="1">
      <w:start w:val="1"/>
      <w:numFmt w:val="bullet"/>
      <w:lvlText w:val="o"/>
      <w:lvlJc w:val="left"/>
      <w:pPr>
        <w:ind w:left="5760" w:hanging="360"/>
      </w:pPr>
      <w:rPr>
        <w:rFonts w:ascii="Courier New" w:hAnsi="Courier New" w:cs="Courier New" w:hint="default"/>
      </w:rPr>
    </w:lvl>
    <w:lvl w:ilvl="8" w:tplc="07D0233C" w:tentative="1">
      <w:start w:val="1"/>
      <w:numFmt w:val="bullet"/>
      <w:lvlText w:val=""/>
      <w:lvlJc w:val="left"/>
      <w:pPr>
        <w:ind w:left="6480" w:hanging="360"/>
      </w:pPr>
      <w:rPr>
        <w:rFonts w:ascii="Wingdings" w:hAnsi="Wingdings" w:hint="default"/>
      </w:rPr>
    </w:lvl>
  </w:abstractNum>
  <w:abstractNum w:abstractNumId="21" w15:restartNumberingAfterBreak="0">
    <w:nsid w:val="52217387"/>
    <w:multiLevelType w:val="hybridMultilevel"/>
    <w:tmpl w:val="C2AE185A"/>
    <w:lvl w:ilvl="0" w:tplc="AA74C598">
      <w:start w:val="1"/>
      <w:numFmt w:val="decimal"/>
      <w:lvlText w:val="%1)"/>
      <w:lvlJc w:val="left"/>
      <w:pPr>
        <w:ind w:left="340" w:hanging="227"/>
      </w:pPr>
      <w:rPr>
        <w:rFonts w:hint="default"/>
      </w:rPr>
    </w:lvl>
    <w:lvl w:ilvl="1" w:tplc="D32CC4A8" w:tentative="1">
      <w:start w:val="1"/>
      <w:numFmt w:val="bullet"/>
      <w:lvlText w:val="o"/>
      <w:lvlJc w:val="left"/>
      <w:pPr>
        <w:ind w:left="1440" w:hanging="360"/>
      </w:pPr>
      <w:rPr>
        <w:rFonts w:ascii="Courier New" w:hAnsi="Courier New" w:cs="Courier New" w:hint="default"/>
      </w:rPr>
    </w:lvl>
    <w:lvl w:ilvl="2" w:tplc="13E20830" w:tentative="1">
      <w:start w:val="1"/>
      <w:numFmt w:val="bullet"/>
      <w:lvlText w:val=""/>
      <w:lvlJc w:val="left"/>
      <w:pPr>
        <w:ind w:left="2160" w:hanging="360"/>
      </w:pPr>
      <w:rPr>
        <w:rFonts w:ascii="Wingdings" w:hAnsi="Wingdings" w:hint="default"/>
      </w:rPr>
    </w:lvl>
    <w:lvl w:ilvl="3" w:tplc="6C80D8C2" w:tentative="1">
      <w:start w:val="1"/>
      <w:numFmt w:val="bullet"/>
      <w:lvlText w:val=""/>
      <w:lvlJc w:val="left"/>
      <w:pPr>
        <w:ind w:left="2880" w:hanging="360"/>
      </w:pPr>
      <w:rPr>
        <w:rFonts w:ascii="Symbol" w:hAnsi="Symbol" w:hint="default"/>
      </w:rPr>
    </w:lvl>
    <w:lvl w:ilvl="4" w:tplc="3A2ABD6C" w:tentative="1">
      <w:start w:val="1"/>
      <w:numFmt w:val="bullet"/>
      <w:lvlText w:val="o"/>
      <w:lvlJc w:val="left"/>
      <w:pPr>
        <w:ind w:left="3600" w:hanging="360"/>
      </w:pPr>
      <w:rPr>
        <w:rFonts w:ascii="Courier New" w:hAnsi="Courier New" w:cs="Courier New" w:hint="default"/>
      </w:rPr>
    </w:lvl>
    <w:lvl w:ilvl="5" w:tplc="6E5E644A" w:tentative="1">
      <w:start w:val="1"/>
      <w:numFmt w:val="bullet"/>
      <w:lvlText w:val=""/>
      <w:lvlJc w:val="left"/>
      <w:pPr>
        <w:ind w:left="4320" w:hanging="360"/>
      </w:pPr>
      <w:rPr>
        <w:rFonts w:ascii="Wingdings" w:hAnsi="Wingdings" w:hint="default"/>
      </w:rPr>
    </w:lvl>
    <w:lvl w:ilvl="6" w:tplc="03C4E43C" w:tentative="1">
      <w:start w:val="1"/>
      <w:numFmt w:val="bullet"/>
      <w:lvlText w:val=""/>
      <w:lvlJc w:val="left"/>
      <w:pPr>
        <w:ind w:left="5040" w:hanging="360"/>
      </w:pPr>
      <w:rPr>
        <w:rFonts w:ascii="Symbol" w:hAnsi="Symbol" w:hint="default"/>
      </w:rPr>
    </w:lvl>
    <w:lvl w:ilvl="7" w:tplc="543857A2" w:tentative="1">
      <w:start w:val="1"/>
      <w:numFmt w:val="bullet"/>
      <w:lvlText w:val="o"/>
      <w:lvlJc w:val="left"/>
      <w:pPr>
        <w:ind w:left="5760" w:hanging="360"/>
      </w:pPr>
      <w:rPr>
        <w:rFonts w:ascii="Courier New" w:hAnsi="Courier New" w:cs="Courier New" w:hint="default"/>
      </w:rPr>
    </w:lvl>
    <w:lvl w:ilvl="8" w:tplc="67FCB36A" w:tentative="1">
      <w:start w:val="1"/>
      <w:numFmt w:val="bullet"/>
      <w:lvlText w:val=""/>
      <w:lvlJc w:val="left"/>
      <w:pPr>
        <w:ind w:left="6480" w:hanging="360"/>
      </w:pPr>
      <w:rPr>
        <w:rFonts w:ascii="Wingdings" w:hAnsi="Wingdings" w:hint="default"/>
      </w:r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AD311D0"/>
    <w:multiLevelType w:val="hybridMultilevel"/>
    <w:tmpl w:val="F198FF08"/>
    <w:lvl w:ilvl="0" w:tplc="F10AB4D8">
      <w:start w:val="1"/>
      <w:numFmt w:val="decimal"/>
      <w:pStyle w:val="CETnumbering1"/>
      <w:lvlText w:val="%1."/>
      <w:lvlJc w:val="left"/>
      <w:pPr>
        <w:ind w:left="720" w:hanging="360"/>
      </w:pPr>
    </w:lvl>
    <w:lvl w:ilvl="1" w:tplc="40D48F80" w:tentative="1">
      <w:start w:val="1"/>
      <w:numFmt w:val="lowerLetter"/>
      <w:lvlText w:val="%2."/>
      <w:lvlJc w:val="left"/>
      <w:pPr>
        <w:ind w:left="1440" w:hanging="360"/>
      </w:pPr>
    </w:lvl>
    <w:lvl w:ilvl="2" w:tplc="C96E399C" w:tentative="1">
      <w:start w:val="1"/>
      <w:numFmt w:val="lowerRoman"/>
      <w:lvlText w:val="%3."/>
      <w:lvlJc w:val="right"/>
      <w:pPr>
        <w:ind w:left="2160" w:hanging="180"/>
      </w:pPr>
    </w:lvl>
    <w:lvl w:ilvl="3" w:tplc="A5DC71D6" w:tentative="1">
      <w:start w:val="1"/>
      <w:numFmt w:val="decimal"/>
      <w:lvlText w:val="%4."/>
      <w:lvlJc w:val="left"/>
      <w:pPr>
        <w:ind w:left="2880" w:hanging="360"/>
      </w:pPr>
    </w:lvl>
    <w:lvl w:ilvl="4" w:tplc="B86812F2" w:tentative="1">
      <w:start w:val="1"/>
      <w:numFmt w:val="lowerLetter"/>
      <w:lvlText w:val="%5."/>
      <w:lvlJc w:val="left"/>
      <w:pPr>
        <w:ind w:left="3600" w:hanging="360"/>
      </w:pPr>
    </w:lvl>
    <w:lvl w:ilvl="5" w:tplc="3FDC5578" w:tentative="1">
      <w:start w:val="1"/>
      <w:numFmt w:val="lowerRoman"/>
      <w:lvlText w:val="%6."/>
      <w:lvlJc w:val="right"/>
      <w:pPr>
        <w:ind w:left="4320" w:hanging="180"/>
      </w:pPr>
    </w:lvl>
    <w:lvl w:ilvl="6" w:tplc="352403EC" w:tentative="1">
      <w:start w:val="1"/>
      <w:numFmt w:val="decimal"/>
      <w:lvlText w:val="%7."/>
      <w:lvlJc w:val="left"/>
      <w:pPr>
        <w:ind w:left="5040" w:hanging="360"/>
      </w:pPr>
    </w:lvl>
    <w:lvl w:ilvl="7" w:tplc="AF16754C" w:tentative="1">
      <w:start w:val="1"/>
      <w:numFmt w:val="lowerLetter"/>
      <w:lvlText w:val="%8."/>
      <w:lvlJc w:val="left"/>
      <w:pPr>
        <w:ind w:left="5760" w:hanging="360"/>
      </w:pPr>
    </w:lvl>
    <w:lvl w:ilvl="8" w:tplc="41A0F71A" w:tentative="1">
      <w:start w:val="1"/>
      <w:numFmt w:val="lowerRoman"/>
      <w:lvlText w:val="%9."/>
      <w:lvlJc w:val="right"/>
      <w:pPr>
        <w:ind w:left="6480" w:hanging="180"/>
      </w:pPr>
    </w:lvl>
  </w:abstractNum>
  <w:abstractNum w:abstractNumId="24" w15:restartNumberingAfterBreak="0">
    <w:nsid w:val="662015B5"/>
    <w:multiLevelType w:val="hybridMultilevel"/>
    <w:tmpl w:val="CCDE094E"/>
    <w:lvl w:ilvl="0" w:tplc="3A7E5A4A">
      <w:start w:val="1"/>
      <w:numFmt w:val="bullet"/>
      <w:lvlText w:val=""/>
      <w:lvlJc w:val="left"/>
      <w:pPr>
        <w:ind w:left="720" w:hanging="360"/>
      </w:pPr>
      <w:rPr>
        <w:rFonts w:ascii="Symbol" w:hAnsi="Symbol" w:hint="default"/>
      </w:rPr>
    </w:lvl>
    <w:lvl w:ilvl="1" w:tplc="45BA4F36" w:tentative="1">
      <w:start w:val="1"/>
      <w:numFmt w:val="bullet"/>
      <w:lvlText w:val="o"/>
      <w:lvlJc w:val="left"/>
      <w:pPr>
        <w:ind w:left="1440" w:hanging="360"/>
      </w:pPr>
      <w:rPr>
        <w:rFonts w:ascii="Courier New" w:hAnsi="Courier New" w:cs="Courier New" w:hint="default"/>
      </w:rPr>
    </w:lvl>
    <w:lvl w:ilvl="2" w:tplc="48B25B9E" w:tentative="1">
      <w:start w:val="1"/>
      <w:numFmt w:val="bullet"/>
      <w:lvlText w:val=""/>
      <w:lvlJc w:val="left"/>
      <w:pPr>
        <w:ind w:left="2160" w:hanging="360"/>
      </w:pPr>
      <w:rPr>
        <w:rFonts w:ascii="Wingdings" w:hAnsi="Wingdings" w:hint="default"/>
      </w:rPr>
    </w:lvl>
    <w:lvl w:ilvl="3" w:tplc="44E8CFA2" w:tentative="1">
      <w:start w:val="1"/>
      <w:numFmt w:val="bullet"/>
      <w:lvlText w:val=""/>
      <w:lvlJc w:val="left"/>
      <w:pPr>
        <w:ind w:left="2880" w:hanging="360"/>
      </w:pPr>
      <w:rPr>
        <w:rFonts w:ascii="Symbol" w:hAnsi="Symbol" w:hint="default"/>
      </w:rPr>
    </w:lvl>
    <w:lvl w:ilvl="4" w:tplc="31B2DE6A" w:tentative="1">
      <w:start w:val="1"/>
      <w:numFmt w:val="bullet"/>
      <w:lvlText w:val="o"/>
      <w:lvlJc w:val="left"/>
      <w:pPr>
        <w:ind w:left="3600" w:hanging="360"/>
      </w:pPr>
      <w:rPr>
        <w:rFonts w:ascii="Courier New" w:hAnsi="Courier New" w:cs="Courier New" w:hint="default"/>
      </w:rPr>
    </w:lvl>
    <w:lvl w:ilvl="5" w:tplc="24F66BEC" w:tentative="1">
      <w:start w:val="1"/>
      <w:numFmt w:val="bullet"/>
      <w:lvlText w:val=""/>
      <w:lvlJc w:val="left"/>
      <w:pPr>
        <w:ind w:left="4320" w:hanging="360"/>
      </w:pPr>
      <w:rPr>
        <w:rFonts w:ascii="Wingdings" w:hAnsi="Wingdings" w:hint="default"/>
      </w:rPr>
    </w:lvl>
    <w:lvl w:ilvl="6" w:tplc="BA7A501E" w:tentative="1">
      <w:start w:val="1"/>
      <w:numFmt w:val="bullet"/>
      <w:lvlText w:val=""/>
      <w:lvlJc w:val="left"/>
      <w:pPr>
        <w:ind w:left="5040" w:hanging="360"/>
      </w:pPr>
      <w:rPr>
        <w:rFonts w:ascii="Symbol" w:hAnsi="Symbol" w:hint="default"/>
      </w:rPr>
    </w:lvl>
    <w:lvl w:ilvl="7" w:tplc="E5D258F4" w:tentative="1">
      <w:start w:val="1"/>
      <w:numFmt w:val="bullet"/>
      <w:lvlText w:val="o"/>
      <w:lvlJc w:val="left"/>
      <w:pPr>
        <w:ind w:left="5760" w:hanging="360"/>
      </w:pPr>
      <w:rPr>
        <w:rFonts w:ascii="Courier New" w:hAnsi="Courier New" w:cs="Courier New" w:hint="default"/>
      </w:rPr>
    </w:lvl>
    <w:lvl w:ilvl="8" w:tplc="2612CDC6"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09848EB2">
      <w:start w:val="1"/>
      <w:numFmt w:val="lowerLetter"/>
      <w:pStyle w:val="CETnumberinga"/>
      <w:lvlText w:val="%1."/>
      <w:lvlJc w:val="left"/>
      <w:pPr>
        <w:ind w:left="340" w:hanging="227"/>
      </w:pPr>
      <w:rPr>
        <w:rFonts w:hint="default"/>
      </w:rPr>
    </w:lvl>
    <w:lvl w:ilvl="1" w:tplc="A4EEE08C" w:tentative="1">
      <w:start w:val="1"/>
      <w:numFmt w:val="bullet"/>
      <w:lvlText w:val="o"/>
      <w:lvlJc w:val="left"/>
      <w:pPr>
        <w:ind w:left="1440" w:hanging="360"/>
      </w:pPr>
      <w:rPr>
        <w:rFonts w:ascii="Courier New" w:hAnsi="Courier New" w:cs="Courier New" w:hint="default"/>
      </w:rPr>
    </w:lvl>
    <w:lvl w:ilvl="2" w:tplc="E7CE78EA" w:tentative="1">
      <w:start w:val="1"/>
      <w:numFmt w:val="bullet"/>
      <w:lvlText w:val=""/>
      <w:lvlJc w:val="left"/>
      <w:pPr>
        <w:ind w:left="2160" w:hanging="360"/>
      </w:pPr>
      <w:rPr>
        <w:rFonts w:ascii="Wingdings" w:hAnsi="Wingdings" w:hint="default"/>
      </w:rPr>
    </w:lvl>
    <w:lvl w:ilvl="3" w:tplc="03C2AC62" w:tentative="1">
      <w:start w:val="1"/>
      <w:numFmt w:val="bullet"/>
      <w:lvlText w:val=""/>
      <w:lvlJc w:val="left"/>
      <w:pPr>
        <w:ind w:left="2880" w:hanging="360"/>
      </w:pPr>
      <w:rPr>
        <w:rFonts w:ascii="Symbol" w:hAnsi="Symbol" w:hint="default"/>
      </w:rPr>
    </w:lvl>
    <w:lvl w:ilvl="4" w:tplc="ADBA3CBE" w:tentative="1">
      <w:start w:val="1"/>
      <w:numFmt w:val="bullet"/>
      <w:lvlText w:val="o"/>
      <w:lvlJc w:val="left"/>
      <w:pPr>
        <w:ind w:left="3600" w:hanging="360"/>
      </w:pPr>
      <w:rPr>
        <w:rFonts w:ascii="Courier New" w:hAnsi="Courier New" w:cs="Courier New" w:hint="default"/>
      </w:rPr>
    </w:lvl>
    <w:lvl w:ilvl="5" w:tplc="B76C376C" w:tentative="1">
      <w:start w:val="1"/>
      <w:numFmt w:val="bullet"/>
      <w:lvlText w:val=""/>
      <w:lvlJc w:val="left"/>
      <w:pPr>
        <w:ind w:left="4320" w:hanging="360"/>
      </w:pPr>
      <w:rPr>
        <w:rFonts w:ascii="Wingdings" w:hAnsi="Wingdings" w:hint="default"/>
      </w:rPr>
    </w:lvl>
    <w:lvl w:ilvl="6" w:tplc="9D788C9C" w:tentative="1">
      <w:start w:val="1"/>
      <w:numFmt w:val="bullet"/>
      <w:lvlText w:val=""/>
      <w:lvlJc w:val="left"/>
      <w:pPr>
        <w:ind w:left="5040" w:hanging="360"/>
      </w:pPr>
      <w:rPr>
        <w:rFonts w:ascii="Symbol" w:hAnsi="Symbol" w:hint="default"/>
      </w:rPr>
    </w:lvl>
    <w:lvl w:ilvl="7" w:tplc="BE16DD12" w:tentative="1">
      <w:start w:val="1"/>
      <w:numFmt w:val="bullet"/>
      <w:lvlText w:val="o"/>
      <w:lvlJc w:val="left"/>
      <w:pPr>
        <w:ind w:left="5760" w:hanging="360"/>
      </w:pPr>
      <w:rPr>
        <w:rFonts w:ascii="Courier New" w:hAnsi="Courier New" w:cs="Courier New" w:hint="default"/>
      </w:rPr>
    </w:lvl>
    <w:lvl w:ilvl="8" w:tplc="7CEC0122" w:tentative="1">
      <w:start w:val="1"/>
      <w:numFmt w:val="bullet"/>
      <w:lvlText w:val=""/>
      <w:lvlJc w:val="left"/>
      <w:pPr>
        <w:ind w:left="6480" w:hanging="360"/>
      </w:pPr>
      <w:rPr>
        <w:rFonts w:ascii="Wingdings" w:hAnsi="Wingdings" w:hint="default"/>
      </w:rPr>
    </w:lvl>
  </w:abstractNum>
  <w:abstractNum w:abstractNumId="26" w15:restartNumberingAfterBreak="0">
    <w:nsid w:val="77085064"/>
    <w:multiLevelType w:val="hybridMultilevel"/>
    <w:tmpl w:val="8FF895EC"/>
    <w:lvl w:ilvl="0" w:tplc="B34E5FB0">
      <w:start w:val="1"/>
      <w:numFmt w:val="bullet"/>
      <w:lvlText w:val=""/>
      <w:lvlJc w:val="left"/>
      <w:pPr>
        <w:ind w:left="720" w:hanging="360"/>
      </w:pPr>
      <w:rPr>
        <w:rFonts w:ascii="Symbol" w:hAnsi="Symbol"/>
      </w:rPr>
    </w:lvl>
    <w:lvl w:ilvl="1" w:tplc="69AEAF00">
      <w:start w:val="1"/>
      <w:numFmt w:val="bullet"/>
      <w:lvlText w:val=""/>
      <w:lvlJc w:val="left"/>
      <w:pPr>
        <w:ind w:left="720" w:hanging="360"/>
      </w:pPr>
      <w:rPr>
        <w:rFonts w:ascii="Symbol" w:hAnsi="Symbol"/>
      </w:rPr>
    </w:lvl>
    <w:lvl w:ilvl="2" w:tplc="1A58EE9E">
      <w:start w:val="1"/>
      <w:numFmt w:val="bullet"/>
      <w:lvlText w:val=""/>
      <w:lvlJc w:val="left"/>
      <w:pPr>
        <w:ind w:left="720" w:hanging="360"/>
      </w:pPr>
      <w:rPr>
        <w:rFonts w:ascii="Symbol" w:hAnsi="Symbol"/>
      </w:rPr>
    </w:lvl>
    <w:lvl w:ilvl="3" w:tplc="E7D21AF2">
      <w:start w:val="1"/>
      <w:numFmt w:val="bullet"/>
      <w:lvlText w:val=""/>
      <w:lvlJc w:val="left"/>
      <w:pPr>
        <w:ind w:left="720" w:hanging="360"/>
      </w:pPr>
      <w:rPr>
        <w:rFonts w:ascii="Symbol" w:hAnsi="Symbol"/>
      </w:rPr>
    </w:lvl>
    <w:lvl w:ilvl="4" w:tplc="0832D98C">
      <w:start w:val="1"/>
      <w:numFmt w:val="bullet"/>
      <w:lvlText w:val=""/>
      <w:lvlJc w:val="left"/>
      <w:pPr>
        <w:ind w:left="720" w:hanging="360"/>
      </w:pPr>
      <w:rPr>
        <w:rFonts w:ascii="Symbol" w:hAnsi="Symbol"/>
      </w:rPr>
    </w:lvl>
    <w:lvl w:ilvl="5" w:tplc="57FAA2DE">
      <w:start w:val="1"/>
      <w:numFmt w:val="bullet"/>
      <w:lvlText w:val=""/>
      <w:lvlJc w:val="left"/>
      <w:pPr>
        <w:ind w:left="720" w:hanging="360"/>
      </w:pPr>
      <w:rPr>
        <w:rFonts w:ascii="Symbol" w:hAnsi="Symbol"/>
      </w:rPr>
    </w:lvl>
    <w:lvl w:ilvl="6" w:tplc="B9E4D178">
      <w:start w:val="1"/>
      <w:numFmt w:val="bullet"/>
      <w:lvlText w:val=""/>
      <w:lvlJc w:val="left"/>
      <w:pPr>
        <w:ind w:left="720" w:hanging="360"/>
      </w:pPr>
      <w:rPr>
        <w:rFonts w:ascii="Symbol" w:hAnsi="Symbol"/>
      </w:rPr>
    </w:lvl>
    <w:lvl w:ilvl="7" w:tplc="64BE3AE0">
      <w:start w:val="1"/>
      <w:numFmt w:val="bullet"/>
      <w:lvlText w:val=""/>
      <w:lvlJc w:val="left"/>
      <w:pPr>
        <w:ind w:left="720" w:hanging="360"/>
      </w:pPr>
      <w:rPr>
        <w:rFonts w:ascii="Symbol" w:hAnsi="Symbol"/>
      </w:rPr>
    </w:lvl>
    <w:lvl w:ilvl="8" w:tplc="3646A3D2">
      <w:start w:val="1"/>
      <w:numFmt w:val="bullet"/>
      <w:lvlText w:val=""/>
      <w:lvlJc w:val="left"/>
      <w:pPr>
        <w:ind w:left="720" w:hanging="360"/>
      </w:pPr>
      <w:rPr>
        <w:rFonts w:ascii="Symbol" w:hAnsi="Symbol"/>
      </w:rPr>
    </w:lvl>
  </w:abstractNum>
  <w:num w:numId="1" w16cid:durableId="435829263">
    <w:abstractNumId w:val="13"/>
  </w:num>
  <w:num w:numId="2" w16cid:durableId="572812140">
    <w:abstractNumId w:val="8"/>
  </w:num>
  <w:num w:numId="3" w16cid:durableId="279924553">
    <w:abstractNumId w:val="3"/>
  </w:num>
  <w:num w:numId="4" w16cid:durableId="2079010449">
    <w:abstractNumId w:val="2"/>
  </w:num>
  <w:num w:numId="5" w16cid:durableId="501163428">
    <w:abstractNumId w:val="1"/>
  </w:num>
  <w:num w:numId="6" w16cid:durableId="760760889">
    <w:abstractNumId w:val="0"/>
  </w:num>
  <w:num w:numId="7" w16cid:durableId="598873228">
    <w:abstractNumId w:val="9"/>
  </w:num>
  <w:num w:numId="8" w16cid:durableId="943996066">
    <w:abstractNumId w:val="7"/>
  </w:num>
  <w:num w:numId="9" w16cid:durableId="2115897903">
    <w:abstractNumId w:val="6"/>
  </w:num>
  <w:num w:numId="10" w16cid:durableId="1967612697">
    <w:abstractNumId w:val="5"/>
  </w:num>
  <w:num w:numId="11" w16cid:durableId="1950039502">
    <w:abstractNumId w:val="4"/>
  </w:num>
  <w:num w:numId="12" w16cid:durableId="193662585">
    <w:abstractNumId w:val="22"/>
  </w:num>
  <w:num w:numId="13" w16cid:durableId="426733085">
    <w:abstractNumId w:val="16"/>
  </w:num>
  <w:num w:numId="14" w16cid:durableId="1913537838">
    <w:abstractNumId w:val="23"/>
  </w:num>
  <w:num w:numId="15" w16cid:durableId="335303612">
    <w:abstractNumId w:val="25"/>
  </w:num>
  <w:num w:numId="16" w16cid:durableId="1825514026">
    <w:abstractNumId w:val="24"/>
  </w:num>
  <w:num w:numId="17" w16cid:durableId="238059330">
    <w:abstractNumId w:val="15"/>
  </w:num>
  <w:num w:numId="18" w16cid:durableId="412238678">
    <w:abstractNumId w:val="16"/>
    <w:lvlOverride w:ilvl="0">
      <w:startOverride w:val="1"/>
    </w:lvlOverride>
  </w:num>
  <w:num w:numId="19" w16cid:durableId="503783674">
    <w:abstractNumId w:val="21"/>
  </w:num>
  <w:num w:numId="20" w16cid:durableId="1723362750">
    <w:abstractNumId w:val="20"/>
  </w:num>
  <w:num w:numId="21" w16cid:durableId="1497578286">
    <w:abstractNumId w:val="18"/>
  </w:num>
  <w:num w:numId="22" w16cid:durableId="1055812108">
    <w:abstractNumId w:val="17"/>
  </w:num>
  <w:num w:numId="23" w16cid:durableId="948775251">
    <w:abstractNumId w:val="10"/>
  </w:num>
  <w:num w:numId="24" w16cid:durableId="1801922479">
    <w:abstractNumId w:val="12"/>
  </w:num>
  <w:num w:numId="25" w16cid:durableId="1130325674">
    <w:abstractNumId w:val="26"/>
  </w:num>
  <w:num w:numId="26" w16cid:durableId="1218053796">
    <w:abstractNumId w:val="19"/>
  </w:num>
  <w:num w:numId="27" w16cid:durableId="730076544">
    <w:abstractNumId w:val="11"/>
  </w:num>
  <w:num w:numId="28" w16cid:durableId="1187595800">
    <w:abstractNumId w:val="13"/>
    <w:lvlOverride w:ilvl="0">
      <w:startOverride w:val="1"/>
    </w:lvlOverride>
    <w:lvlOverride w:ilvl="1">
      <w:startOverride w:val="2"/>
    </w:lvlOverride>
    <w:lvlOverride w:ilvl="2">
      <w:startOverride w:val="1"/>
    </w:lvlOverride>
  </w:num>
  <w:num w:numId="29" w16cid:durableId="864949956">
    <w:abstractNumId w:val="13"/>
    <w:lvlOverride w:ilvl="0">
      <w:startOverride w:val="1"/>
    </w:lvlOverride>
    <w:lvlOverride w:ilvl="1">
      <w:startOverride w:val="2"/>
    </w:lvlOverride>
    <w:lvlOverride w:ilvl="2">
      <w:startOverride w:val="2"/>
    </w:lvlOverride>
  </w:num>
  <w:num w:numId="30" w16cid:durableId="273371532">
    <w:abstractNumId w:val="13"/>
    <w:lvlOverride w:ilvl="0">
      <w:startOverride w:val="1"/>
    </w:lvlOverride>
    <w:lvlOverride w:ilvl="1">
      <w:startOverride w:val="4"/>
    </w:lvlOverride>
  </w:num>
  <w:num w:numId="31" w16cid:durableId="1801996126">
    <w:abstractNumId w:val="13"/>
    <w:lvlOverride w:ilvl="0">
      <w:startOverride w:val="1"/>
    </w:lvlOverride>
    <w:lvlOverride w:ilvl="1">
      <w:startOverride w:val="3"/>
    </w:lvlOverride>
  </w:num>
  <w:num w:numId="32" w16cid:durableId="11715326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3946"/>
    <w:rsid w:val="0003148D"/>
    <w:rsid w:val="00031EEC"/>
    <w:rsid w:val="00042267"/>
    <w:rsid w:val="00050EA5"/>
    <w:rsid w:val="00051566"/>
    <w:rsid w:val="00051569"/>
    <w:rsid w:val="000562A9"/>
    <w:rsid w:val="00062A9A"/>
    <w:rsid w:val="000647CB"/>
    <w:rsid w:val="00065058"/>
    <w:rsid w:val="00086C39"/>
    <w:rsid w:val="00087D4F"/>
    <w:rsid w:val="000A03B2"/>
    <w:rsid w:val="000A24FC"/>
    <w:rsid w:val="000B5A41"/>
    <w:rsid w:val="000B6F34"/>
    <w:rsid w:val="000D0268"/>
    <w:rsid w:val="000D34BE"/>
    <w:rsid w:val="000E102F"/>
    <w:rsid w:val="000E36F1"/>
    <w:rsid w:val="000E3A73"/>
    <w:rsid w:val="000E414A"/>
    <w:rsid w:val="000E5EBB"/>
    <w:rsid w:val="000F093C"/>
    <w:rsid w:val="000F787B"/>
    <w:rsid w:val="00102E1E"/>
    <w:rsid w:val="001151F2"/>
    <w:rsid w:val="0012091F"/>
    <w:rsid w:val="00126BC2"/>
    <w:rsid w:val="00127768"/>
    <w:rsid w:val="001302F3"/>
    <w:rsid w:val="001308B6"/>
    <w:rsid w:val="0013121F"/>
    <w:rsid w:val="00131FE6"/>
    <w:rsid w:val="0013263F"/>
    <w:rsid w:val="001331DF"/>
    <w:rsid w:val="00134DE4"/>
    <w:rsid w:val="0014034D"/>
    <w:rsid w:val="00144D16"/>
    <w:rsid w:val="00150E59"/>
    <w:rsid w:val="00152DE3"/>
    <w:rsid w:val="00164CF9"/>
    <w:rsid w:val="001667A6"/>
    <w:rsid w:val="00170634"/>
    <w:rsid w:val="00183818"/>
    <w:rsid w:val="00184AD6"/>
    <w:rsid w:val="0019059F"/>
    <w:rsid w:val="00191BE1"/>
    <w:rsid w:val="001941B2"/>
    <w:rsid w:val="001A2F4F"/>
    <w:rsid w:val="001A42B2"/>
    <w:rsid w:val="001A4AF7"/>
    <w:rsid w:val="001B0349"/>
    <w:rsid w:val="001B1E93"/>
    <w:rsid w:val="001B65C1"/>
    <w:rsid w:val="001C684B"/>
    <w:rsid w:val="001D0CFB"/>
    <w:rsid w:val="001D21AF"/>
    <w:rsid w:val="001D2EE5"/>
    <w:rsid w:val="001D53FC"/>
    <w:rsid w:val="001E1EDF"/>
    <w:rsid w:val="001F42A5"/>
    <w:rsid w:val="001F7B9D"/>
    <w:rsid w:val="00201C93"/>
    <w:rsid w:val="00214EE2"/>
    <w:rsid w:val="00215308"/>
    <w:rsid w:val="002224B4"/>
    <w:rsid w:val="0023100F"/>
    <w:rsid w:val="002447EF"/>
    <w:rsid w:val="00251550"/>
    <w:rsid w:val="00263B05"/>
    <w:rsid w:val="00266307"/>
    <w:rsid w:val="0026692A"/>
    <w:rsid w:val="002675AB"/>
    <w:rsid w:val="0027221A"/>
    <w:rsid w:val="00275B61"/>
    <w:rsid w:val="00275CBB"/>
    <w:rsid w:val="00276742"/>
    <w:rsid w:val="00280FAF"/>
    <w:rsid w:val="00282656"/>
    <w:rsid w:val="002876B6"/>
    <w:rsid w:val="00292E41"/>
    <w:rsid w:val="00296B83"/>
    <w:rsid w:val="00296C13"/>
    <w:rsid w:val="002A1F5E"/>
    <w:rsid w:val="002A678A"/>
    <w:rsid w:val="002B14B1"/>
    <w:rsid w:val="002B4015"/>
    <w:rsid w:val="002B78CE"/>
    <w:rsid w:val="002C2FB6"/>
    <w:rsid w:val="002E5FA7"/>
    <w:rsid w:val="002F3309"/>
    <w:rsid w:val="003008CE"/>
    <w:rsid w:val="003009B7"/>
    <w:rsid w:val="00300E56"/>
    <w:rsid w:val="0030152C"/>
    <w:rsid w:val="0030469C"/>
    <w:rsid w:val="00306E64"/>
    <w:rsid w:val="00313674"/>
    <w:rsid w:val="00321CA6"/>
    <w:rsid w:val="00323763"/>
    <w:rsid w:val="00323C5F"/>
    <w:rsid w:val="00334C09"/>
    <w:rsid w:val="00345524"/>
    <w:rsid w:val="0034610F"/>
    <w:rsid w:val="00357DD2"/>
    <w:rsid w:val="003703BC"/>
    <w:rsid w:val="003723D4"/>
    <w:rsid w:val="00381905"/>
    <w:rsid w:val="00382775"/>
    <w:rsid w:val="00384CC8"/>
    <w:rsid w:val="003871FD"/>
    <w:rsid w:val="003A1E30"/>
    <w:rsid w:val="003A2829"/>
    <w:rsid w:val="003A6FC6"/>
    <w:rsid w:val="003A7D1C"/>
    <w:rsid w:val="003B304B"/>
    <w:rsid w:val="003B3146"/>
    <w:rsid w:val="003C0E8E"/>
    <w:rsid w:val="003E2305"/>
    <w:rsid w:val="003F015E"/>
    <w:rsid w:val="00400414"/>
    <w:rsid w:val="0041446B"/>
    <w:rsid w:val="00415450"/>
    <w:rsid w:val="00426520"/>
    <w:rsid w:val="0044071E"/>
    <w:rsid w:val="00440E7F"/>
    <w:rsid w:val="0044329C"/>
    <w:rsid w:val="0044746F"/>
    <w:rsid w:val="00453E24"/>
    <w:rsid w:val="00457456"/>
    <w:rsid w:val="004577FE"/>
    <w:rsid w:val="00457B9C"/>
    <w:rsid w:val="0046164A"/>
    <w:rsid w:val="004628D2"/>
    <w:rsid w:val="00462DCD"/>
    <w:rsid w:val="004648AD"/>
    <w:rsid w:val="0046726A"/>
    <w:rsid w:val="004703A9"/>
    <w:rsid w:val="004732FB"/>
    <w:rsid w:val="004760DE"/>
    <w:rsid w:val="004763D7"/>
    <w:rsid w:val="004A004E"/>
    <w:rsid w:val="004A24CF"/>
    <w:rsid w:val="004B0FB6"/>
    <w:rsid w:val="004B7A91"/>
    <w:rsid w:val="004C3D1D"/>
    <w:rsid w:val="004C3D84"/>
    <w:rsid w:val="004C7913"/>
    <w:rsid w:val="004D19EC"/>
    <w:rsid w:val="004E4DD6"/>
    <w:rsid w:val="004E7530"/>
    <w:rsid w:val="004F43A0"/>
    <w:rsid w:val="004F5E36"/>
    <w:rsid w:val="00502D6A"/>
    <w:rsid w:val="005060B9"/>
    <w:rsid w:val="00507B47"/>
    <w:rsid w:val="00507BEF"/>
    <w:rsid w:val="00507CC9"/>
    <w:rsid w:val="005119A5"/>
    <w:rsid w:val="005166D7"/>
    <w:rsid w:val="00516AAC"/>
    <w:rsid w:val="005278B7"/>
    <w:rsid w:val="00527E1F"/>
    <w:rsid w:val="00532016"/>
    <w:rsid w:val="005346C8"/>
    <w:rsid w:val="0054197B"/>
    <w:rsid w:val="00543E7D"/>
    <w:rsid w:val="00547A68"/>
    <w:rsid w:val="005531C9"/>
    <w:rsid w:val="005709DA"/>
    <w:rsid w:val="00570C43"/>
    <w:rsid w:val="00582061"/>
    <w:rsid w:val="0058366F"/>
    <w:rsid w:val="0059190F"/>
    <w:rsid w:val="005B2110"/>
    <w:rsid w:val="005B4DE6"/>
    <w:rsid w:val="005B61E6"/>
    <w:rsid w:val="005C3364"/>
    <w:rsid w:val="005C77E1"/>
    <w:rsid w:val="005D1E48"/>
    <w:rsid w:val="005D5CF4"/>
    <w:rsid w:val="005D668A"/>
    <w:rsid w:val="005D6A2F"/>
    <w:rsid w:val="005E1A82"/>
    <w:rsid w:val="005E40EA"/>
    <w:rsid w:val="005E691A"/>
    <w:rsid w:val="005E794C"/>
    <w:rsid w:val="005E7C48"/>
    <w:rsid w:val="005F0A28"/>
    <w:rsid w:val="005F0E5E"/>
    <w:rsid w:val="005F164A"/>
    <w:rsid w:val="005F5535"/>
    <w:rsid w:val="005F73D5"/>
    <w:rsid w:val="00600535"/>
    <w:rsid w:val="0060412F"/>
    <w:rsid w:val="00610CD6"/>
    <w:rsid w:val="0061270F"/>
    <w:rsid w:val="00620DEE"/>
    <w:rsid w:val="00621F92"/>
    <w:rsid w:val="0062245E"/>
    <w:rsid w:val="006225A6"/>
    <w:rsid w:val="0062280A"/>
    <w:rsid w:val="00625639"/>
    <w:rsid w:val="00625BC2"/>
    <w:rsid w:val="00631B33"/>
    <w:rsid w:val="0064184D"/>
    <w:rsid w:val="006422CC"/>
    <w:rsid w:val="00660E3E"/>
    <w:rsid w:val="00661A27"/>
    <w:rsid w:val="00662E74"/>
    <w:rsid w:val="006722B7"/>
    <w:rsid w:val="00677B8F"/>
    <w:rsid w:val="00680C23"/>
    <w:rsid w:val="00693766"/>
    <w:rsid w:val="006A3281"/>
    <w:rsid w:val="006B3763"/>
    <w:rsid w:val="006B4888"/>
    <w:rsid w:val="006C2E45"/>
    <w:rsid w:val="006C359C"/>
    <w:rsid w:val="006C5579"/>
    <w:rsid w:val="006C657E"/>
    <w:rsid w:val="006D309E"/>
    <w:rsid w:val="006D6809"/>
    <w:rsid w:val="006D6E8B"/>
    <w:rsid w:val="006E670F"/>
    <w:rsid w:val="006E737D"/>
    <w:rsid w:val="006F4741"/>
    <w:rsid w:val="00713973"/>
    <w:rsid w:val="00720A24"/>
    <w:rsid w:val="00731487"/>
    <w:rsid w:val="00732386"/>
    <w:rsid w:val="00733678"/>
    <w:rsid w:val="0073514D"/>
    <w:rsid w:val="007447F3"/>
    <w:rsid w:val="00746FCA"/>
    <w:rsid w:val="007530B4"/>
    <w:rsid w:val="0075499F"/>
    <w:rsid w:val="007564A7"/>
    <w:rsid w:val="0076116E"/>
    <w:rsid w:val="007661C8"/>
    <w:rsid w:val="0077098D"/>
    <w:rsid w:val="007931FA"/>
    <w:rsid w:val="007979FA"/>
    <w:rsid w:val="007A4861"/>
    <w:rsid w:val="007A7BBA"/>
    <w:rsid w:val="007B0C50"/>
    <w:rsid w:val="007B187B"/>
    <w:rsid w:val="007B48F9"/>
    <w:rsid w:val="007B52C2"/>
    <w:rsid w:val="007B6023"/>
    <w:rsid w:val="007C1A43"/>
    <w:rsid w:val="007C272C"/>
    <w:rsid w:val="007D0951"/>
    <w:rsid w:val="007D46C7"/>
    <w:rsid w:val="007E2A63"/>
    <w:rsid w:val="007E3680"/>
    <w:rsid w:val="0080013E"/>
    <w:rsid w:val="00813288"/>
    <w:rsid w:val="008168FC"/>
    <w:rsid w:val="00825A8B"/>
    <w:rsid w:val="00830996"/>
    <w:rsid w:val="008345F1"/>
    <w:rsid w:val="00835175"/>
    <w:rsid w:val="008526D3"/>
    <w:rsid w:val="00860978"/>
    <w:rsid w:val="00865B07"/>
    <w:rsid w:val="008667EA"/>
    <w:rsid w:val="00873933"/>
    <w:rsid w:val="00875536"/>
    <w:rsid w:val="0087637F"/>
    <w:rsid w:val="00886E13"/>
    <w:rsid w:val="00892AD5"/>
    <w:rsid w:val="008A0F85"/>
    <w:rsid w:val="008A1512"/>
    <w:rsid w:val="008A5F23"/>
    <w:rsid w:val="008B295D"/>
    <w:rsid w:val="008B7C03"/>
    <w:rsid w:val="008D32B9"/>
    <w:rsid w:val="008D433B"/>
    <w:rsid w:val="008D4A16"/>
    <w:rsid w:val="008E3851"/>
    <w:rsid w:val="008E566E"/>
    <w:rsid w:val="0090161A"/>
    <w:rsid w:val="00901EB6"/>
    <w:rsid w:val="00904C62"/>
    <w:rsid w:val="00906D08"/>
    <w:rsid w:val="00912F4C"/>
    <w:rsid w:val="00920B5B"/>
    <w:rsid w:val="00922BA8"/>
    <w:rsid w:val="00924D0A"/>
    <w:rsid w:val="00924DAC"/>
    <w:rsid w:val="00927058"/>
    <w:rsid w:val="00942750"/>
    <w:rsid w:val="009450CE"/>
    <w:rsid w:val="009459BB"/>
    <w:rsid w:val="00947179"/>
    <w:rsid w:val="0095164B"/>
    <w:rsid w:val="009528CE"/>
    <w:rsid w:val="00954090"/>
    <w:rsid w:val="009573E7"/>
    <w:rsid w:val="00963E05"/>
    <w:rsid w:val="00964A45"/>
    <w:rsid w:val="00967843"/>
    <w:rsid w:val="00967D54"/>
    <w:rsid w:val="00971028"/>
    <w:rsid w:val="00977308"/>
    <w:rsid w:val="00980A46"/>
    <w:rsid w:val="00986754"/>
    <w:rsid w:val="00987495"/>
    <w:rsid w:val="00993B84"/>
    <w:rsid w:val="00996483"/>
    <w:rsid w:val="00996F5A"/>
    <w:rsid w:val="009A4840"/>
    <w:rsid w:val="009B041A"/>
    <w:rsid w:val="009C37C3"/>
    <w:rsid w:val="009C7C86"/>
    <w:rsid w:val="009D2FF7"/>
    <w:rsid w:val="009E2821"/>
    <w:rsid w:val="009E72F0"/>
    <w:rsid w:val="009E7884"/>
    <w:rsid w:val="009E788A"/>
    <w:rsid w:val="009F0E08"/>
    <w:rsid w:val="009F679B"/>
    <w:rsid w:val="00A01902"/>
    <w:rsid w:val="00A1763D"/>
    <w:rsid w:val="00A17CEC"/>
    <w:rsid w:val="00A23BAD"/>
    <w:rsid w:val="00A27EF0"/>
    <w:rsid w:val="00A42361"/>
    <w:rsid w:val="00A50B20"/>
    <w:rsid w:val="00A51390"/>
    <w:rsid w:val="00A5170D"/>
    <w:rsid w:val="00A55271"/>
    <w:rsid w:val="00A567F3"/>
    <w:rsid w:val="00A57D19"/>
    <w:rsid w:val="00A60D13"/>
    <w:rsid w:val="00A641FE"/>
    <w:rsid w:val="00A70160"/>
    <w:rsid w:val="00A7223D"/>
    <w:rsid w:val="00A72745"/>
    <w:rsid w:val="00A76EFC"/>
    <w:rsid w:val="00A83B12"/>
    <w:rsid w:val="00A87D50"/>
    <w:rsid w:val="00A91010"/>
    <w:rsid w:val="00A953F4"/>
    <w:rsid w:val="00A97F29"/>
    <w:rsid w:val="00AA702E"/>
    <w:rsid w:val="00AA7D26"/>
    <w:rsid w:val="00AB0964"/>
    <w:rsid w:val="00AB2EC6"/>
    <w:rsid w:val="00AB5011"/>
    <w:rsid w:val="00AB6151"/>
    <w:rsid w:val="00AC1DE3"/>
    <w:rsid w:val="00AC583E"/>
    <w:rsid w:val="00AC7368"/>
    <w:rsid w:val="00AD16B9"/>
    <w:rsid w:val="00AD3D81"/>
    <w:rsid w:val="00AE1167"/>
    <w:rsid w:val="00AE377D"/>
    <w:rsid w:val="00AF0EBA"/>
    <w:rsid w:val="00B02C8A"/>
    <w:rsid w:val="00B17B4F"/>
    <w:rsid w:val="00B17FBD"/>
    <w:rsid w:val="00B250CF"/>
    <w:rsid w:val="00B26159"/>
    <w:rsid w:val="00B315A6"/>
    <w:rsid w:val="00B31813"/>
    <w:rsid w:val="00B33365"/>
    <w:rsid w:val="00B37080"/>
    <w:rsid w:val="00B51488"/>
    <w:rsid w:val="00B57B36"/>
    <w:rsid w:val="00B57E6F"/>
    <w:rsid w:val="00B6499D"/>
    <w:rsid w:val="00B71329"/>
    <w:rsid w:val="00B729AC"/>
    <w:rsid w:val="00B86599"/>
    <w:rsid w:val="00B8686D"/>
    <w:rsid w:val="00B937F0"/>
    <w:rsid w:val="00B93F69"/>
    <w:rsid w:val="00BA0A32"/>
    <w:rsid w:val="00BA5D93"/>
    <w:rsid w:val="00BB0D58"/>
    <w:rsid w:val="00BB1DDC"/>
    <w:rsid w:val="00BB265D"/>
    <w:rsid w:val="00BC30C9"/>
    <w:rsid w:val="00BD077D"/>
    <w:rsid w:val="00BD29A4"/>
    <w:rsid w:val="00BE3E58"/>
    <w:rsid w:val="00BE5D15"/>
    <w:rsid w:val="00C01616"/>
    <w:rsid w:val="00C0162B"/>
    <w:rsid w:val="00C02676"/>
    <w:rsid w:val="00C068ED"/>
    <w:rsid w:val="00C22E0C"/>
    <w:rsid w:val="00C26D3A"/>
    <w:rsid w:val="00C30AFC"/>
    <w:rsid w:val="00C32EEA"/>
    <w:rsid w:val="00C33C5A"/>
    <w:rsid w:val="00C345B1"/>
    <w:rsid w:val="00C35D97"/>
    <w:rsid w:val="00C40142"/>
    <w:rsid w:val="00C52C3C"/>
    <w:rsid w:val="00C5477E"/>
    <w:rsid w:val="00C56D66"/>
    <w:rsid w:val="00C57182"/>
    <w:rsid w:val="00C57863"/>
    <w:rsid w:val="00C62F60"/>
    <w:rsid w:val="00C640AF"/>
    <w:rsid w:val="00C655FD"/>
    <w:rsid w:val="00C65CA6"/>
    <w:rsid w:val="00C66110"/>
    <w:rsid w:val="00C667D5"/>
    <w:rsid w:val="00C75407"/>
    <w:rsid w:val="00C870A8"/>
    <w:rsid w:val="00C94434"/>
    <w:rsid w:val="00CA0D4A"/>
    <w:rsid w:val="00CA0D75"/>
    <w:rsid w:val="00CA1C95"/>
    <w:rsid w:val="00CA24EE"/>
    <w:rsid w:val="00CA5A9C"/>
    <w:rsid w:val="00CC3C2F"/>
    <w:rsid w:val="00CC4C20"/>
    <w:rsid w:val="00CC4FEC"/>
    <w:rsid w:val="00CD3517"/>
    <w:rsid w:val="00CD5FE2"/>
    <w:rsid w:val="00CE7C68"/>
    <w:rsid w:val="00D02B4C"/>
    <w:rsid w:val="00D040C4"/>
    <w:rsid w:val="00D04C72"/>
    <w:rsid w:val="00D2008E"/>
    <w:rsid w:val="00D20972"/>
    <w:rsid w:val="00D20AD1"/>
    <w:rsid w:val="00D22A67"/>
    <w:rsid w:val="00D256A4"/>
    <w:rsid w:val="00D46B7E"/>
    <w:rsid w:val="00D46BA5"/>
    <w:rsid w:val="00D57C84"/>
    <w:rsid w:val="00D6057D"/>
    <w:rsid w:val="00D648EC"/>
    <w:rsid w:val="00D64E1A"/>
    <w:rsid w:val="00D71640"/>
    <w:rsid w:val="00D72389"/>
    <w:rsid w:val="00D72571"/>
    <w:rsid w:val="00D81E1B"/>
    <w:rsid w:val="00D82321"/>
    <w:rsid w:val="00D835D0"/>
    <w:rsid w:val="00D836C5"/>
    <w:rsid w:val="00D84576"/>
    <w:rsid w:val="00D9484D"/>
    <w:rsid w:val="00DA094C"/>
    <w:rsid w:val="00DA1399"/>
    <w:rsid w:val="00DA2067"/>
    <w:rsid w:val="00DA24C6"/>
    <w:rsid w:val="00DA4D7B"/>
    <w:rsid w:val="00DD271C"/>
    <w:rsid w:val="00DE039B"/>
    <w:rsid w:val="00DE264A"/>
    <w:rsid w:val="00DE66EA"/>
    <w:rsid w:val="00DE734A"/>
    <w:rsid w:val="00DF5072"/>
    <w:rsid w:val="00DF79EE"/>
    <w:rsid w:val="00E00D79"/>
    <w:rsid w:val="00E02D18"/>
    <w:rsid w:val="00E03D3F"/>
    <w:rsid w:val="00E041E7"/>
    <w:rsid w:val="00E05E40"/>
    <w:rsid w:val="00E17724"/>
    <w:rsid w:val="00E217EF"/>
    <w:rsid w:val="00E23CA1"/>
    <w:rsid w:val="00E33DD7"/>
    <w:rsid w:val="00E409A8"/>
    <w:rsid w:val="00E50A8B"/>
    <w:rsid w:val="00E50C12"/>
    <w:rsid w:val="00E523F0"/>
    <w:rsid w:val="00E60BDE"/>
    <w:rsid w:val="00E65B91"/>
    <w:rsid w:val="00E7209D"/>
    <w:rsid w:val="00E72EAD"/>
    <w:rsid w:val="00E77223"/>
    <w:rsid w:val="00E77F33"/>
    <w:rsid w:val="00E809F7"/>
    <w:rsid w:val="00E8528B"/>
    <w:rsid w:val="00E85B94"/>
    <w:rsid w:val="00E86A7C"/>
    <w:rsid w:val="00E978D0"/>
    <w:rsid w:val="00EA0F92"/>
    <w:rsid w:val="00EA4613"/>
    <w:rsid w:val="00EA6474"/>
    <w:rsid w:val="00EA7DE6"/>
    <w:rsid w:val="00EA7F91"/>
    <w:rsid w:val="00EB1523"/>
    <w:rsid w:val="00EC0E49"/>
    <w:rsid w:val="00EC101F"/>
    <w:rsid w:val="00EC1D9F"/>
    <w:rsid w:val="00EC2444"/>
    <w:rsid w:val="00ED6E1C"/>
    <w:rsid w:val="00EE0131"/>
    <w:rsid w:val="00EE17B0"/>
    <w:rsid w:val="00EE26C2"/>
    <w:rsid w:val="00EE74E7"/>
    <w:rsid w:val="00EF06D9"/>
    <w:rsid w:val="00EF2C50"/>
    <w:rsid w:val="00F01DA8"/>
    <w:rsid w:val="00F05D92"/>
    <w:rsid w:val="00F10FE5"/>
    <w:rsid w:val="00F3049E"/>
    <w:rsid w:val="00F30C64"/>
    <w:rsid w:val="00F32BA2"/>
    <w:rsid w:val="00F32CDB"/>
    <w:rsid w:val="00F42D1E"/>
    <w:rsid w:val="00F565FE"/>
    <w:rsid w:val="00F6116C"/>
    <w:rsid w:val="00F63A70"/>
    <w:rsid w:val="00F63D8C"/>
    <w:rsid w:val="00F7534E"/>
    <w:rsid w:val="00F816FC"/>
    <w:rsid w:val="00F93EDF"/>
    <w:rsid w:val="00FA153E"/>
    <w:rsid w:val="00FA1802"/>
    <w:rsid w:val="00FA21D0"/>
    <w:rsid w:val="00FA5EA6"/>
    <w:rsid w:val="00FA5F5F"/>
    <w:rsid w:val="00FB730C"/>
    <w:rsid w:val="00FC2695"/>
    <w:rsid w:val="00FC3E03"/>
    <w:rsid w:val="00FC3FC1"/>
    <w:rsid w:val="00FD6D35"/>
    <w:rsid w:val="00FE500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cf01">
    <w:name w:val="cf01"/>
    <w:basedOn w:val="Carpredefinitoparagrafo"/>
    <w:rsid w:val="00C62F60"/>
    <w:rPr>
      <w:rFonts w:ascii="Segoe UI" w:hAnsi="Segoe UI" w:cs="Segoe UI" w:hint="default"/>
      <w:sz w:val="18"/>
      <w:szCs w:val="18"/>
    </w:rPr>
  </w:style>
  <w:style w:type="character" w:customStyle="1" w:styleId="Menzionenonrisolta1">
    <w:name w:val="Menzione non risolta1"/>
    <w:basedOn w:val="Carpredefinitoparagrafo"/>
    <w:uiPriority w:val="99"/>
    <w:semiHidden/>
    <w:unhideWhenUsed/>
    <w:rsid w:val="005B4DE6"/>
    <w:rPr>
      <w:color w:val="605E5C"/>
      <w:shd w:val="clear" w:color="auto" w:fill="E1DFDD"/>
    </w:rPr>
  </w:style>
  <w:style w:type="paragraph" w:styleId="Revisione">
    <w:name w:val="Revision"/>
    <w:hidden/>
    <w:uiPriority w:val="99"/>
    <w:semiHidden/>
    <w:rsid w:val="00A953F4"/>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AD3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cipollina@unip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earcularmine.eu/" TargetMode="Externa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6AEAE-2D97-46E2-BA0A-08A53D1C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4737</Words>
  <Characters>27007</Characters>
  <Application>Microsoft Office Word</Application>
  <DocSecurity>0</DocSecurity>
  <Lines>225</Lines>
  <Paragraphs>63</Paragraphs>
  <ScaleCrop>false</ScaleCrop>
  <HeadingPairs>
    <vt:vector size="6" baseType="variant">
      <vt:variant>
        <vt:lpstr>Titolo</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Dipartimento CMIC - Politecnico di Milano</Company>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ANTONIA FILINGERI</cp:lastModifiedBy>
  <cp:revision>31</cp:revision>
  <cp:lastPrinted>2015-05-12T18:31:00Z</cp:lastPrinted>
  <dcterms:created xsi:type="dcterms:W3CDTF">2023-06-08T10:08:00Z</dcterms:created>
  <dcterms:modified xsi:type="dcterms:W3CDTF">2023-09-16T13:04:00Z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http://www.zotero.org/styles/desalination</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http://www.zotero.org/styles/desalination</vt:lpwstr>
  </property>
  <property fmtid="{D5CDD505-2E9C-101B-9397-08002B2CF9AE}" pid="11" name="Mendeley Recent Style Id 7_1">
    <vt:lpwstr>http://www.zotero.org/styles/ieee</vt:lpwstr>
  </property>
  <property fmtid="{D5CDD505-2E9C-101B-9397-08002B2CF9AE}" pid="12" name="Mendeley Recent Style Id 8_1">
    <vt:lpwstr>http://www.zotero.org/styles/modern-humanities-research-association</vt:lpwstr>
  </property>
  <property fmtid="{D5CDD505-2E9C-101B-9397-08002B2CF9AE}" pid="13" name="Mendeley Recent Style Id 9_1">
    <vt:lpwstr>http://www.zotero.org/styles/modern-language-association</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Desalination</vt:lpwstr>
  </property>
  <property fmtid="{D5CDD505-2E9C-101B-9397-08002B2CF9AE}" pid="21" name="Mendeley Recent Style Name 7_1">
    <vt:lpwstr>IEEE</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Name 9_1">
    <vt:lpwstr>Modern Language Association 8th edition</vt:lpwstr>
  </property>
  <property fmtid="{D5CDD505-2E9C-101B-9397-08002B2CF9AE}" pid="24" name="Mendeley Unique User Id_1">
    <vt:lpwstr>ca9837c8-16ca-3eea-8c11-6d928050f2d5</vt:lpwstr>
  </property>
  <property fmtid="{D5CDD505-2E9C-101B-9397-08002B2CF9AE}" pid="25"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26" name="ZOTERO_PREF_2">
    <vt:lpwstr>me="storeReferences" value="true"/&gt;&lt;pref name="automaticJournalAbbreviations" value=""/&gt;&lt;pref name="noteType" value=""/&gt;&lt;/prefs&gt;&lt;/data&gt;</vt:lpwstr>
  </property>
</Properties>
</file>