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478B79"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9A6758">
              <w:rPr>
                <w:rFonts w:cs="Arial"/>
                <w:b/>
                <w:bCs/>
                <w:i/>
                <w:iCs/>
                <w:color w:val="000066"/>
                <w:sz w:val="22"/>
                <w:szCs w:val="22"/>
                <w:lang w:eastAsia="it-IT"/>
              </w:rPr>
              <w:t>99</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A72437">
              <w:rPr>
                <w:rFonts w:cs="Arial"/>
                <w:b/>
                <w:bCs/>
                <w:i/>
                <w:iCs/>
                <w:color w:val="000066"/>
                <w:sz w:val="22"/>
                <w:szCs w:val="22"/>
                <w:lang w:eastAsia="it-IT"/>
              </w:rPr>
              <w:t>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David Bogle, Flavio Manenti, Piero Salatino</w:t>
            </w:r>
          </w:p>
          <w:p w14:paraId="1B0F1814" w14:textId="36CEE4D5"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BB4DC4">
              <w:rPr>
                <w:rFonts w:ascii="Tahoma" w:hAnsi="Tahoma" w:cs="Tahoma"/>
                <w:iCs/>
                <w:color w:val="333333"/>
                <w:sz w:val="14"/>
                <w:szCs w:val="14"/>
                <w:lang w:eastAsia="it-IT"/>
              </w:rPr>
              <w:t>3</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A72437" w:rsidRPr="000562A9">
              <w:rPr>
                <w:rFonts w:ascii="Tahoma" w:hAnsi="Tahoma" w:cs="Tahoma"/>
                <w:sz w:val="14"/>
                <w:szCs w:val="14"/>
              </w:rPr>
              <w:t>97</w:t>
            </w:r>
            <w:r w:rsidR="00A72437">
              <w:rPr>
                <w:rFonts w:ascii="Tahoma" w:hAnsi="Tahoma" w:cs="Tahoma"/>
                <w:sz w:val="14"/>
                <w:szCs w:val="14"/>
              </w:rPr>
              <w:t>9</w:t>
            </w:r>
            <w:r w:rsidR="00A72437" w:rsidRPr="000562A9">
              <w:rPr>
                <w:rFonts w:ascii="Tahoma" w:hAnsi="Tahoma" w:cs="Tahoma"/>
                <w:sz w:val="14"/>
                <w:szCs w:val="14"/>
              </w:rPr>
              <w:t>-</w:t>
            </w:r>
            <w:r w:rsidR="00A72437">
              <w:rPr>
                <w:rFonts w:ascii="Tahoma" w:hAnsi="Tahoma" w:cs="Tahoma"/>
                <w:sz w:val="14"/>
                <w:szCs w:val="14"/>
              </w:rPr>
              <w:t>12</w:t>
            </w:r>
            <w:r w:rsidR="00A72437" w:rsidRPr="000562A9">
              <w:rPr>
                <w:rFonts w:ascii="Tahoma" w:hAnsi="Tahoma" w:cs="Tahoma"/>
                <w:sz w:val="14"/>
                <w:szCs w:val="14"/>
              </w:rPr>
              <w:t>-</w:t>
            </w:r>
            <w:r w:rsidR="00A72437">
              <w:rPr>
                <w:rFonts w:ascii="Tahoma" w:hAnsi="Tahoma" w:cs="Tahoma"/>
                <w:sz w:val="14"/>
                <w:szCs w:val="14"/>
              </w:rPr>
              <w:t>81206-04-5</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384BBE16" w:rsidR="00E978D0" w:rsidRPr="006950BB" w:rsidRDefault="00014774" w:rsidP="00CF3584">
      <w:pPr>
        <w:pStyle w:val="CETTitle"/>
        <w:rPr>
          <w:lang w:val="en-US"/>
        </w:rPr>
      </w:pPr>
      <w:r>
        <w:rPr>
          <w:lang w:val="en-US"/>
        </w:rPr>
        <w:t>Canonical Correlation Analysis</w:t>
      </w:r>
      <w:r w:rsidR="00036914" w:rsidRPr="006950BB">
        <w:rPr>
          <w:lang w:val="en-US"/>
        </w:rPr>
        <w:t xml:space="preserve"> </w:t>
      </w:r>
      <w:r w:rsidR="00036914" w:rsidRPr="002460A7">
        <w:rPr>
          <w:lang w:val="en-US"/>
        </w:rPr>
        <w:t>to</w:t>
      </w:r>
      <w:r w:rsidR="00036914" w:rsidRPr="006950BB">
        <w:rPr>
          <w:lang w:val="en-US"/>
        </w:rPr>
        <w:t xml:space="preserve"> biomass</w:t>
      </w:r>
      <w:r w:rsidR="00036914">
        <w:rPr>
          <w:lang w:val="en-US"/>
        </w:rPr>
        <w:t xml:space="preserve"> CHONS prediction</w:t>
      </w:r>
    </w:p>
    <w:p w14:paraId="0488FED2" w14:textId="5A89FE8A" w:rsidR="00B57E6F" w:rsidRPr="000D0FFD" w:rsidRDefault="00FF3B35" w:rsidP="00B57E6F">
      <w:pPr>
        <w:pStyle w:val="CETAuthors"/>
        <w:rPr>
          <w:lang w:val="it-IT"/>
        </w:rPr>
      </w:pPr>
      <w:r>
        <w:rPr>
          <w:lang w:val="it-IT"/>
        </w:rPr>
        <w:t>Federico Moretta</w:t>
      </w:r>
      <w:r w:rsidRPr="000D0FFD">
        <w:rPr>
          <w:vertAlign w:val="superscript"/>
          <w:lang w:val="it-IT"/>
        </w:rPr>
        <w:t>a</w:t>
      </w:r>
      <w:r>
        <w:rPr>
          <w:lang w:val="it-IT"/>
        </w:rPr>
        <w:t xml:space="preserve">, </w:t>
      </w:r>
      <w:r w:rsidR="00CF3584" w:rsidRPr="000D0FFD">
        <w:rPr>
          <w:lang w:val="it-IT"/>
        </w:rPr>
        <w:t>Vincenzo Del Duca</w:t>
      </w:r>
      <w:r w:rsidRPr="000D0FFD">
        <w:rPr>
          <w:vertAlign w:val="superscript"/>
          <w:lang w:val="it-IT"/>
        </w:rPr>
        <w:t>b</w:t>
      </w:r>
      <w:r w:rsidR="00F67AFA">
        <w:rPr>
          <w:vertAlign w:val="superscript"/>
          <w:lang w:val="it-IT"/>
        </w:rPr>
        <w:t>,*</w:t>
      </w:r>
      <w:r w:rsidR="00CF3584" w:rsidRPr="000D0FFD">
        <w:rPr>
          <w:lang w:val="it-IT"/>
        </w:rPr>
        <w:t xml:space="preserve">, </w:t>
      </w:r>
      <w:r>
        <w:rPr>
          <w:lang w:val="it-IT"/>
        </w:rPr>
        <w:t>Giulia Bozzano</w:t>
      </w:r>
      <w:r w:rsidRPr="000D0FFD">
        <w:rPr>
          <w:vertAlign w:val="superscript"/>
          <w:lang w:val="it-IT"/>
        </w:rPr>
        <w:t>a</w:t>
      </w:r>
      <w:r w:rsidR="00CF3584" w:rsidRPr="000D0FFD">
        <w:rPr>
          <w:lang w:val="it-IT"/>
        </w:rPr>
        <w:t>,</w:t>
      </w:r>
      <w:r>
        <w:rPr>
          <w:lang w:val="it-IT"/>
        </w:rPr>
        <w:t xml:space="preserve"> </w:t>
      </w:r>
      <w:r w:rsidR="00D15E7F">
        <w:rPr>
          <w:lang w:val="it-IT"/>
        </w:rPr>
        <w:t>Antonio Coppola</w:t>
      </w:r>
      <w:r w:rsidR="00D15E7F">
        <w:rPr>
          <w:vertAlign w:val="superscript"/>
          <w:lang w:val="it-IT"/>
        </w:rPr>
        <w:t>c</w:t>
      </w:r>
      <w:r w:rsidR="00D15E7F">
        <w:rPr>
          <w:lang w:val="it-IT"/>
        </w:rPr>
        <w:t xml:space="preserve">, </w:t>
      </w:r>
      <w:r w:rsidR="00146709">
        <w:rPr>
          <w:lang w:val="it-IT"/>
        </w:rPr>
        <w:t>Fabrizio Scala</w:t>
      </w:r>
      <w:r w:rsidR="00CF3584" w:rsidRPr="000D0FFD">
        <w:rPr>
          <w:vertAlign w:val="superscript"/>
          <w:lang w:val="it-IT"/>
        </w:rPr>
        <w:t>b</w:t>
      </w:r>
      <w:r w:rsidR="00D15E7F">
        <w:rPr>
          <w:vertAlign w:val="superscript"/>
          <w:lang w:val="it-IT"/>
        </w:rPr>
        <w:t>,c</w:t>
      </w:r>
    </w:p>
    <w:p w14:paraId="6B2D21B3" w14:textId="4C800637" w:rsidR="00B57E6F" w:rsidRPr="00CF3584" w:rsidRDefault="00B57E6F" w:rsidP="006950BB">
      <w:pPr>
        <w:pStyle w:val="CETAddress"/>
        <w:tabs>
          <w:tab w:val="left" w:pos="7100"/>
        </w:tabs>
        <w:rPr>
          <w:lang w:val="it-IT"/>
        </w:rPr>
      </w:pPr>
      <w:r w:rsidRPr="00CF3584">
        <w:rPr>
          <w:vertAlign w:val="superscript"/>
          <w:lang w:val="it-IT"/>
        </w:rPr>
        <w:t>a</w:t>
      </w:r>
      <w:r w:rsidR="00D44F7E">
        <w:rPr>
          <w:lang w:val="it-IT"/>
        </w:rPr>
        <w:t xml:space="preserve">Politecnico di Milano, </w:t>
      </w:r>
      <w:r w:rsidR="000D0FFD" w:rsidRPr="000D0FFD">
        <w:rPr>
          <w:lang w:val="it-IT"/>
        </w:rPr>
        <w:t>Piazza</w:t>
      </w:r>
      <w:r w:rsidR="00D44F7E">
        <w:rPr>
          <w:lang w:val="it-IT"/>
        </w:rPr>
        <w:t xml:space="preserve"> Leonardo da Vinci, 32, </w:t>
      </w:r>
      <w:r w:rsidR="00B119E3">
        <w:rPr>
          <w:lang w:val="it-IT"/>
        </w:rPr>
        <w:t>20133, Milan (MI),</w:t>
      </w:r>
      <w:r w:rsidR="000D0FFD" w:rsidRPr="000D0FFD">
        <w:rPr>
          <w:lang w:val="it-IT"/>
        </w:rPr>
        <w:t xml:space="preserve"> Italy</w:t>
      </w:r>
      <w:r w:rsidR="00B119E3">
        <w:rPr>
          <w:lang w:val="it-IT"/>
        </w:rPr>
        <w:tab/>
      </w:r>
    </w:p>
    <w:p w14:paraId="3D72B0B0" w14:textId="667B4B4A" w:rsidR="00B57E6F" w:rsidRDefault="00B57E6F" w:rsidP="00B57E6F">
      <w:pPr>
        <w:pStyle w:val="CETAddress"/>
        <w:rPr>
          <w:lang w:val="it-IT"/>
        </w:rPr>
      </w:pPr>
      <w:r w:rsidRPr="00CF3584">
        <w:rPr>
          <w:vertAlign w:val="superscript"/>
          <w:lang w:val="it-IT"/>
        </w:rPr>
        <w:t>b</w:t>
      </w:r>
      <w:r w:rsidR="00CF3584" w:rsidRPr="00CF3584">
        <w:rPr>
          <w:lang w:val="it-IT"/>
        </w:rPr>
        <w:t xml:space="preserve">DICMaPI, Università degli Studi di Napoli Federico II, </w:t>
      </w:r>
      <w:r w:rsidR="000D0FFD" w:rsidRPr="000D0FFD">
        <w:rPr>
          <w:lang w:val="it-IT"/>
        </w:rPr>
        <w:t>Piazzale Vincenzo Tecchio 80, 80125 Nap</w:t>
      </w:r>
      <w:r w:rsidR="00B119E3">
        <w:rPr>
          <w:lang w:val="it-IT"/>
        </w:rPr>
        <w:t>les (NA)</w:t>
      </w:r>
      <w:r w:rsidR="000D0FFD" w:rsidRPr="000D0FFD">
        <w:rPr>
          <w:lang w:val="it-IT"/>
        </w:rPr>
        <w:t>, Italy</w:t>
      </w:r>
    </w:p>
    <w:p w14:paraId="042730DE" w14:textId="77857DCB" w:rsidR="00D15E7F" w:rsidRPr="00D15E7F" w:rsidRDefault="00D15E7F" w:rsidP="00B57E6F">
      <w:pPr>
        <w:pStyle w:val="CETAddress"/>
        <w:rPr>
          <w:lang w:val="it-IT"/>
        </w:rPr>
      </w:pPr>
      <w:r w:rsidRPr="00D15E7F">
        <w:rPr>
          <w:vertAlign w:val="superscript"/>
          <w:lang w:val="it-IT"/>
        </w:rPr>
        <w:t>c</w:t>
      </w:r>
      <w:r w:rsidRPr="00D15E7F">
        <w:rPr>
          <w:lang w:val="it-IT"/>
        </w:rPr>
        <w:t>STEMS, Consiglio Nazionale delle Ricerche, piazzale Vincenzo Tecchio 80, 80125, Napoli (NA), Italy</w:t>
      </w:r>
    </w:p>
    <w:p w14:paraId="73F1267A" w14:textId="23A8DEF7" w:rsidR="00B57E6F" w:rsidRPr="005C3ECF" w:rsidRDefault="00000000" w:rsidP="00B57E6F">
      <w:pPr>
        <w:pStyle w:val="CETemail"/>
        <w:rPr>
          <w:lang w:val="en-AU"/>
        </w:rPr>
      </w:pPr>
      <w:hyperlink r:id="rId13" w:history="1">
        <w:r w:rsidR="00146709" w:rsidRPr="005C3ECF">
          <w:rPr>
            <w:rStyle w:val="Collegamentoipertestuale"/>
            <w:lang w:val="en-AU"/>
          </w:rPr>
          <w:t>idelducavincenzo@gmail.com</w:t>
        </w:r>
      </w:hyperlink>
    </w:p>
    <w:p w14:paraId="3BA5E101" w14:textId="59027C38" w:rsidR="0078750C" w:rsidRPr="00684970" w:rsidRDefault="00DC4BCA" w:rsidP="00E706B5">
      <w:pPr>
        <w:pStyle w:val="CETBodytext"/>
        <w:rPr>
          <w:lang w:val="en-GB"/>
        </w:rPr>
      </w:pPr>
      <w:r w:rsidRPr="006A6CBE">
        <w:rPr>
          <w:lang w:val="en-GB"/>
        </w:rPr>
        <w:t xml:space="preserve">Fermentation biomasses </w:t>
      </w:r>
      <w:r w:rsidR="00684970" w:rsidRPr="006A6CBE">
        <w:rPr>
          <w:lang w:val="en-GB"/>
        </w:rPr>
        <w:t>can be defined as a complex mixture of different natural components</w:t>
      </w:r>
      <w:r w:rsidRPr="006A6CBE">
        <w:rPr>
          <w:lang w:val="en-GB"/>
        </w:rPr>
        <w:t xml:space="preserve"> and microbes</w:t>
      </w:r>
      <w:r w:rsidR="00684970" w:rsidRPr="006A6CBE">
        <w:rPr>
          <w:lang w:val="en-GB"/>
        </w:rPr>
        <w:t xml:space="preserve">, having </w:t>
      </w:r>
      <w:r w:rsidRPr="006A6CBE">
        <w:rPr>
          <w:lang w:val="en-GB"/>
        </w:rPr>
        <w:t xml:space="preserve">biodegradable and organic </w:t>
      </w:r>
      <w:r w:rsidR="00684970" w:rsidRPr="006A6CBE">
        <w:rPr>
          <w:lang w:val="en-GB"/>
        </w:rPr>
        <w:t xml:space="preserve">waste as </w:t>
      </w:r>
      <w:r w:rsidR="005175E8" w:rsidRPr="006A6CBE">
        <w:rPr>
          <w:lang w:val="en-GB"/>
        </w:rPr>
        <w:t xml:space="preserve">the </w:t>
      </w:r>
      <w:r w:rsidR="00684970" w:rsidRPr="006A6CBE">
        <w:rPr>
          <w:lang w:val="en-GB"/>
        </w:rPr>
        <w:t xml:space="preserve">primary source. Its </w:t>
      </w:r>
      <w:r w:rsidR="003F355E" w:rsidRPr="006A6CBE">
        <w:rPr>
          <w:lang w:val="en-GB"/>
        </w:rPr>
        <w:t>correct</w:t>
      </w:r>
      <w:r w:rsidR="00684970" w:rsidRPr="006A6CBE">
        <w:rPr>
          <w:lang w:val="en-GB"/>
        </w:rPr>
        <w:t xml:space="preserve"> characterization is crucial to have proper processing in </w:t>
      </w:r>
      <w:r w:rsidRPr="006A6CBE">
        <w:rPr>
          <w:lang w:val="en-GB"/>
        </w:rPr>
        <w:t xml:space="preserve">fermentative </w:t>
      </w:r>
      <w:r w:rsidR="00684970" w:rsidRPr="006A6CBE">
        <w:rPr>
          <w:lang w:val="en-GB"/>
        </w:rPr>
        <w:t xml:space="preserve">units. Firstly, proximate analysis is done to retrieve the content of specific compounds in the mixture, such as fat, proteins, and carbohydrates. However, this is often not enough to achieve the </w:t>
      </w:r>
      <w:r w:rsidR="00730320" w:rsidRPr="006A6CBE">
        <w:rPr>
          <w:lang w:val="en-GB"/>
        </w:rPr>
        <w:t xml:space="preserve">sufficient </w:t>
      </w:r>
      <w:r w:rsidR="00684970" w:rsidRPr="006A6CBE">
        <w:rPr>
          <w:lang w:val="en-GB"/>
        </w:rPr>
        <w:t>precision, since</w:t>
      </w:r>
      <w:r w:rsidR="00684970" w:rsidRPr="00255F61">
        <w:rPr>
          <w:lang w:val="en-GB"/>
        </w:rPr>
        <w:t xml:space="preserve"> some low-concentration species are not easily found through this methodology (i.e., </w:t>
      </w:r>
      <w:proofErr w:type="spellStart"/>
      <w:r w:rsidR="00684970" w:rsidRPr="00255F61">
        <w:rPr>
          <w:lang w:val="en-GB"/>
        </w:rPr>
        <w:t>sulfate</w:t>
      </w:r>
      <w:proofErr w:type="spellEnd"/>
      <w:r w:rsidR="00684970" w:rsidRPr="00255F61">
        <w:rPr>
          <w:lang w:val="en-GB"/>
        </w:rPr>
        <w:t xml:space="preserve"> compounds, ethanol, caproic acid). Consequently, ultimate analysis is performed to evaluate the exact amount of every element in the mixture. For biomass-based compounds, atoms content can be synthe</w:t>
      </w:r>
      <w:r w:rsidR="005175E8">
        <w:rPr>
          <w:lang w:val="en-GB"/>
        </w:rPr>
        <w:t>s</w:t>
      </w:r>
      <w:r w:rsidR="00684970" w:rsidRPr="00255F61">
        <w:rPr>
          <w:lang w:val="en-GB"/>
        </w:rPr>
        <w:t xml:space="preserve">ized in carbon, hydrogen, oxygen, nitrogen, and </w:t>
      </w:r>
      <w:proofErr w:type="spellStart"/>
      <w:r w:rsidR="00684970" w:rsidRPr="00255F61">
        <w:rPr>
          <w:lang w:val="en-GB"/>
        </w:rPr>
        <w:t>sulfur</w:t>
      </w:r>
      <w:proofErr w:type="spellEnd"/>
      <w:r w:rsidR="00684970" w:rsidRPr="00255F61">
        <w:rPr>
          <w:lang w:val="en-GB"/>
        </w:rPr>
        <w:t>. The total content of these elements is also known as CHONS. From this, it is possible to derive the exact amount of the relative species in the biomass. However, the experimental procedure for its determination is rather</w:t>
      </w:r>
      <w:r w:rsidR="005175E8">
        <w:rPr>
          <w:lang w:val="en-GB"/>
        </w:rPr>
        <w:t xml:space="preserve"> </w:t>
      </w:r>
      <w:r w:rsidR="00684970" w:rsidRPr="00255F61">
        <w:rPr>
          <w:lang w:val="en-GB"/>
        </w:rPr>
        <w:t>time and budget</w:t>
      </w:r>
      <w:r w:rsidR="005175E8">
        <w:rPr>
          <w:lang w:val="en-GB"/>
        </w:rPr>
        <w:t>-</w:t>
      </w:r>
      <w:r w:rsidR="00684970" w:rsidRPr="00255F61">
        <w:rPr>
          <w:lang w:val="en-GB"/>
        </w:rPr>
        <w:t xml:space="preserve">consuming. On the other hand, the amount of data collected in the literature, from both experimental and industrial analysis, can be exploited to build a numerical model, based </w:t>
      </w:r>
      <w:r w:rsidR="00684970">
        <w:rPr>
          <w:lang w:val="en-GB"/>
        </w:rPr>
        <w:t xml:space="preserve">on </w:t>
      </w:r>
      <w:r w:rsidR="00684970" w:rsidRPr="00DE1F24">
        <w:rPr>
          <w:lang w:val="en-GB"/>
        </w:rPr>
        <w:t>the multivariate statistical analysis and machine learning principles that predict the CHON</w:t>
      </w:r>
      <w:r w:rsidR="00684970">
        <w:rPr>
          <w:lang w:val="en-GB"/>
        </w:rPr>
        <w:t>S</w:t>
      </w:r>
      <w:r w:rsidR="00684970" w:rsidRPr="00DE1F24">
        <w:rPr>
          <w:lang w:val="en-GB"/>
        </w:rPr>
        <w:t xml:space="preserve"> </w:t>
      </w:r>
      <w:bookmarkStart w:id="0" w:name="_Hlk132295894"/>
      <w:r w:rsidR="00684970" w:rsidRPr="00DE1F24">
        <w:rPr>
          <w:lang w:val="en-GB"/>
        </w:rPr>
        <w:t>content for every type of biomass</w:t>
      </w:r>
      <w:bookmarkEnd w:id="0"/>
      <w:r w:rsidR="00684970" w:rsidRPr="00DE1F24">
        <w:rPr>
          <w:lang w:val="en-GB"/>
        </w:rPr>
        <w:t>.</w:t>
      </w:r>
      <w:r w:rsidR="00684970">
        <w:rPr>
          <w:lang w:val="en-GB"/>
        </w:rPr>
        <w:t xml:space="preserve"> </w:t>
      </w:r>
      <w:r w:rsidR="00684970" w:rsidRPr="00DE1F24">
        <w:rPr>
          <w:lang w:val="en-GB"/>
        </w:rPr>
        <w:t>In this work, a data-driven model has been developed to achieve this aim, having as input a set of relevant variables. Consequently, a dataset has been built to gather all these data. The multivariate statistical technique of Canonical Correlation Analysis (CCA) is used to find 'hidden' correlations and predict CHON content for 27 different biomass types</w:t>
      </w:r>
      <w:bookmarkStart w:id="1" w:name="_Hlk132295826"/>
      <w:r w:rsidR="00684970" w:rsidRPr="00DE1F24">
        <w:rPr>
          <w:lang w:val="en-GB"/>
        </w:rPr>
        <w:t>.</w:t>
      </w:r>
      <w:r w:rsidR="00684970">
        <w:rPr>
          <w:lang w:val="en-GB"/>
        </w:rPr>
        <w:t xml:space="preserve"> </w:t>
      </w:r>
      <w:r w:rsidR="00684970" w:rsidRPr="00DE1F24">
        <w:rPr>
          <w:lang w:val="en-GB"/>
        </w:rPr>
        <w:t>In future research, machine learning techniques will be applied to compare the results obtained</w:t>
      </w:r>
      <w:r w:rsidR="00684970">
        <w:rPr>
          <w:lang w:val="en-GB"/>
        </w:rPr>
        <w:t>.</w:t>
      </w:r>
      <w:bookmarkEnd w:id="1"/>
    </w:p>
    <w:p w14:paraId="476B2F2E" w14:textId="77777777" w:rsidR="00600535" w:rsidRPr="008C0262" w:rsidRDefault="00600535" w:rsidP="008C0262">
      <w:pPr>
        <w:pStyle w:val="CETHeading1"/>
      </w:pPr>
      <w:r w:rsidRPr="008C0262">
        <w:t>Introduction</w:t>
      </w:r>
    </w:p>
    <w:p w14:paraId="19F37B69" w14:textId="216B38E9" w:rsidR="006A795F" w:rsidRPr="003E21D7" w:rsidRDefault="005F3701" w:rsidP="003E21D7">
      <w:pPr>
        <w:tabs>
          <w:tab w:val="left" w:pos="8364"/>
        </w:tabs>
        <w:spacing w:line="276" w:lineRule="auto"/>
        <w:rPr>
          <w:rFonts w:cstheme="minorHAnsi"/>
          <w:color w:val="000000"/>
        </w:rPr>
      </w:pPr>
      <w:r>
        <w:t>Nowadays</w:t>
      </w:r>
      <w:r w:rsidR="001C340B">
        <w:t>,</w:t>
      </w:r>
      <w:r>
        <w:t xml:space="preserve"> the</w:t>
      </w:r>
      <w:r w:rsidR="00033BD7">
        <w:t xml:space="preserve"> scientific world is facing </w:t>
      </w:r>
      <w:r w:rsidR="003F716B" w:rsidRPr="003F716B">
        <w:t>environmental burdens</w:t>
      </w:r>
      <w:r>
        <w:t xml:space="preserve"> </w:t>
      </w:r>
      <w:r w:rsidR="00033BD7">
        <w:t xml:space="preserve">that can </w:t>
      </w:r>
      <w:r w:rsidR="000B30C5">
        <w:t>modify</w:t>
      </w:r>
      <w:r w:rsidR="00033BD7">
        <w:t xml:space="preserve"> consistently</w:t>
      </w:r>
      <w:r w:rsidR="003F716B" w:rsidRPr="003F716B">
        <w:t xml:space="preserve"> </w:t>
      </w:r>
      <w:r w:rsidR="001C47F6">
        <w:t>the</w:t>
      </w:r>
      <w:r w:rsidR="003F716B" w:rsidRPr="003F716B">
        <w:t xml:space="preserve"> energy </w:t>
      </w:r>
      <w:r w:rsidR="001C47F6">
        <w:t xml:space="preserve">production and </w:t>
      </w:r>
      <w:r w:rsidR="003F716B" w:rsidRPr="003F716B">
        <w:t>supply</w:t>
      </w:r>
      <w:r w:rsidR="003F355E">
        <w:t>.</w:t>
      </w:r>
      <w:r w:rsidR="003F716B" w:rsidRPr="003F716B">
        <w:t xml:space="preserve"> </w:t>
      </w:r>
      <w:r w:rsidR="0025179C">
        <w:t>In this scenario,</w:t>
      </w:r>
      <w:r w:rsidR="003F716B" w:rsidRPr="003F716B">
        <w:t xml:space="preserve"> </w:t>
      </w:r>
      <w:r w:rsidR="001C47F6">
        <w:rPr>
          <w:rFonts w:cstheme="minorHAnsi"/>
          <w:color w:val="000000"/>
        </w:rPr>
        <w:t xml:space="preserve">local </w:t>
      </w:r>
      <w:r w:rsidR="003F716B" w:rsidRPr="00E47EDA">
        <w:rPr>
          <w:rFonts w:cstheme="minorHAnsi"/>
          <w:color w:val="000000"/>
        </w:rPr>
        <w:t xml:space="preserve">biomass for </w:t>
      </w:r>
      <w:r w:rsidR="005175E8">
        <w:rPr>
          <w:rFonts w:cstheme="minorHAnsi"/>
          <w:color w:val="000000"/>
        </w:rPr>
        <w:t xml:space="preserve">the </w:t>
      </w:r>
      <w:r w:rsidR="003F716B" w:rsidRPr="00E47EDA">
        <w:rPr>
          <w:rFonts w:cstheme="minorHAnsi"/>
          <w:color w:val="000000"/>
        </w:rPr>
        <w:t xml:space="preserve">production of </w:t>
      </w:r>
      <w:r w:rsidR="001C47F6">
        <w:rPr>
          <w:rFonts w:cstheme="minorHAnsi"/>
          <w:color w:val="000000"/>
        </w:rPr>
        <w:t xml:space="preserve">green energy vectors (e.g., biomethane, </w:t>
      </w:r>
      <w:proofErr w:type="spellStart"/>
      <w:r w:rsidR="001C47F6">
        <w:rPr>
          <w:rFonts w:cstheme="minorHAnsi"/>
          <w:color w:val="000000"/>
        </w:rPr>
        <w:t>biomethanol</w:t>
      </w:r>
      <w:proofErr w:type="spellEnd"/>
      <w:r w:rsidR="001C47F6">
        <w:rPr>
          <w:rFonts w:cstheme="minorHAnsi"/>
          <w:color w:val="000000"/>
        </w:rPr>
        <w:t>)</w:t>
      </w:r>
      <w:r w:rsidR="001C47F6" w:rsidRPr="00E47EDA">
        <w:rPr>
          <w:rFonts w:cstheme="minorHAnsi"/>
          <w:color w:val="000000"/>
        </w:rPr>
        <w:t xml:space="preserve"> </w:t>
      </w:r>
      <w:r w:rsidR="001C47F6">
        <w:rPr>
          <w:rFonts w:cstheme="minorHAnsi"/>
          <w:color w:val="000000"/>
        </w:rPr>
        <w:t>can become</w:t>
      </w:r>
      <w:r w:rsidR="00D80BFF">
        <w:rPr>
          <w:rFonts w:cstheme="minorHAnsi"/>
          <w:color w:val="000000"/>
        </w:rPr>
        <w:t xml:space="preserve"> a significant </w:t>
      </w:r>
      <w:r w:rsidR="0025179C">
        <w:rPr>
          <w:rFonts w:cstheme="minorHAnsi"/>
          <w:color w:val="000000"/>
        </w:rPr>
        <w:t xml:space="preserve">mitigation </w:t>
      </w:r>
      <w:r w:rsidR="00D80BFF">
        <w:rPr>
          <w:rFonts w:cstheme="minorHAnsi"/>
          <w:color w:val="000000"/>
        </w:rPr>
        <w:t>resource</w:t>
      </w:r>
      <w:r w:rsidR="006467AD">
        <w:rPr>
          <w:rFonts w:cstheme="minorHAnsi"/>
          <w:color w:val="000000"/>
        </w:rPr>
        <w:t xml:space="preserve"> </w:t>
      </w:r>
      <w:r w:rsidR="006467AD">
        <w:rPr>
          <w:rFonts w:cstheme="minorHAnsi"/>
          <w:color w:val="000000"/>
        </w:rPr>
        <w:fldChar w:fldCharType="begin"/>
      </w:r>
      <w:r w:rsidR="006F0AB6">
        <w:rPr>
          <w:rFonts w:cstheme="minorHAnsi"/>
          <w:color w:val="000000"/>
        </w:rPr>
        <w:instrText xml:space="preserve"> ADDIN ZOTERO_ITEM CSL_CITATION {"citationID":"aJHfSqXY","properties":{"formattedCitation":"(\\uc0\\u8220{}World Energy Outlook 2022 \\uc0\\u8211{} Analysis,\\uc0\\u8221{} n.d.)","plainCitation":"(“World Energy Outlook 2022 – Analysis,” n.d.)","dontUpdate":true,"noteIndex":0},"citationItems":[{"id":"bHh0JQ5m/Ry4zZixG","uris":["http://zotero.org/users/local/GPcrMwRN/items/ZERX64EJ"],"itemData":{"id":1,"type":"webpage","abstract":"World Energy Outlook 2022 - Analysis and key findings. A report by the International Energy Agency.","container-title":"IEA","language":"en-GB","title":"World Energy Outlook 2022 – Analysis","URL":"https://www.iea.org/reports/world-energy-outlook-2022","accessed":{"date-parts":[["2023",3,31]]}}}],"schema":"https://github.com/citation-style-language/schema/raw/master/csl-citation.json"} </w:instrText>
      </w:r>
      <w:r w:rsidR="006467AD">
        <w:rPr>
          <w:rFonts w:cstheme="minorHAnsi"/>
          <w:color w:val="000000"/>
        </w:rPr>
        <w:fldChar w:fldCharType="separate"/>
      </w:r>
      <w:r w:rsidR="0096728F" w:rsidRPr="0096728F">
        <w:rPr>
          <w:rFonts w:cs="Arial"/>
          <w:color w:val="000000"/>
        </w:rPr>
        <w:t>(World Energy Outlook 2022 – Analysis)</w:t>
      </w:r>
      <w:r w:rsidR="006467AD">
        <w:rPr>
          <w:rFonts w:cstheme="minorHAnsi"/>
          <w:color w:val="000000"/>
        </w:rPr>
        <w:fldChar w:fldCharType="end"/>
      </w:r>
      <w:r w:rsidR="003F716B" w:rsidRPr="00E47EDA">
        <w:rPr>
          <w:rFonts w:cstheme="minorHAnsi"/>
          <w:color w:val="000000"/>
        </w:rPr>
        <w:t xml:space="preserve">. </w:t>
      </w:r>
      <w:r w:rsidR="005B2EDE">
        <w:rPr>
          <w:rFonts w:cstheme="minorHAnsi"/>
          <w:color w:val="000000"/>
        </w:rPr>
        <w:t>Biomasses are very heterogeneous</w:t>
      </w:r>
      <w:r w:rsidR="003F355E">
        <w:rPr>
          <w:rFonts w:cstheme="minorHAnsi"/>
          <w:color w:val="000000"/>
        </w:rPr>
        <w:t>,</w:t>
      </w:r>
      <w:r w:rsidR="00252B87">
        <w:rPr>
          <w:rFonts w:cstheme="minorHAnsi"/>
          <w:color w:val="000000"/>
        </w:rPr>
        <w:t xml:space="preserve"> </w:t>
      </w:r>
      <w:r w:rsidR="00DC04FD">
        <w:rPr>
          <w:rFonts w:cstheme="minorHAnsi"/>
          <w:color w:val="000000"/>
        </w:rPr>
        <w:t>and consequently</w:t>
      </w:r>
      <w:r w:rsidR="00814EF4">
        <w:rPr>
          <w:rFonts w:cstheme="minorHAnsi"/>
          <w:color w:val="000000"/>
        </w:rPr>
        <w:t>, it is important to characterize</w:t>
      </w:r>
      <w:r w:rsidR="000C5AB2">
        <w:rPr>
          <w:rFonts w:cstheme="minorHAnsi"/>
          <w:color w:val="000000"/>
        </w:rPr>
        <w:t xml:space="preserve"> them before use. </w:t>
      </w:r>
      <w:r w:rsidR="00977007">
        <w:rPr>
          <w:rFonts w:cstheme="minorHAnsi"/>
          <w:color w:val="000000"/>
        </w:rPr>
        <w:t xml:space="preserve">Macromolecules concentration, </w:t>
      </w:r>
      <w:r w:rsidR="00B2635D">
        <w:rPr>
          <w:rFonts w:cstheme="minorHAnsi"/>
          <w:color w:val="000000"/>
        </w:rPr>
        <w:t xml:space="preserve">such </w:t>
      </w:r>
      <w:r w:rsidR="00977007">
        <w:rPr>
          <w:rFonts w:cstheme="minorHAnsi"/>
          <w:color w:val="000000"/>
        </w:rPr>
        <w:t xml:space="preserve">as carbohydrates, </w:t>
      </w:r>
      <w:r w:rsidR="00B2635D">
        <w:rPr>
          <w:rFonts w:cstheme="minorHAnsi"/>
          <w:color w:val="000000"/>
        </w:rPr>
        <w:t>protein</w:t>
      </w:r>
      <w:r w:rsidR="005175E8">
        <w:rPr>
          <w:rFonts w:cstheme="minorHAnsi"/>
          <w:color w:val="000000"/>
        </w:rPr>
        <w:t>s</w:t>
      </w:r>
      <w:r w:rsidR="00B2635D">
        <w:rPr>
          <w:rFonts w:cstheme="minorHAnsi"/>
          <w:color w:val="000000"/>
        </w:rPr>
        <w:t xml:space="preserve"> and lipids, are necessary to predict the biodegradability of the system in digestion systems</w:t>
      </w:r>
      <w:r w:rsidR="006F0AB6">
        <w:rPr>
          <w:rFonts w:cstheme="minorHAnsi"/>
          <w:color w:val="000000"/>
        </w:rPr>
        <w:t xml:space="preserve"> </w:t>
      </w:r>
      <w:r w:rsidR="006F0AB6">
        <w:rPr>
          <w:rFonts w:cstheme="minorHAnsi"/>
          <w:color w:val="000000"/>
        </w:rPr>
        <w:fldChar w:fldCharType="begin"/>
      </w:r>
      <w:r w:rsidR="006F0AB6">
        <w:rPr>
          <w:rFonts w:cstheme="minorHAnsi"/>
          <w:color w:val="000000"/>
        </w:rPr>
        <w:instrText xml:space="preserve"> ADDIN ZOTERO_ITEM CSL_CITATION {"citationID":"fISDOpDM","properties":{"formattedCitation":"(Triolo et al., 2011)","plainCitation":"(Triolo et al., 2011)","noteIndex":0},"citationItems":[{"id":1,"uris":["http://zotero.org/users/local/J3pXTtOr/items/G7KFNP24"],"itemData":{"id":1,"type":"article-journal","abstract":"We examined the influence of fibrous fractions of biomass on biochemical methane potential (BMP) with the objective of developing an economical and easy-to-use statistical model to predict BMP, and hence the biodegradability of organic material (BD) for biogas production. The model was developed either for energy crops (grass, maize, and straw) or for animal manures, or as a combined model for these two biomass groups. It was found that lignin concentration in volatile solids (VS) was the strongest predictor of BMP for all the biomass samples. The square of the sample correlation coefficient (R2) from the BMP versus lignin was 0.908 (p&lt;0.0001), 0.763 (p&lt;0.001) and 0.883 (p&lt;0.001) for animal manure, energy crops and the combined model, respectively. Validation of the combined model was carried out using 65 datasets from the literature.","container-title":"Bioresource Technology","DOI":"10.1016/j.biortech.2011.07.026","ISSN":"0960-8524","issue":"20","journalAbbreviation":"Bioresource Technology","language":"en","page":"9395-9402","source":"ScienceDirect","title":"A new algorithm to characterize biodegradability of biomass during anaerobic digestion: Influence of lignin concentration on methane production potential","title-short":"A new algorithm to characterize biodegradability of biomass during anaerobic digestion","volume":"102","author":[{"family":"Triolo","given":"Jin M."},{"family":"Sommer","given":"Sven G."},{"family":"Møller","given":"Henrik B."},{"family":"Weisbjerg","given":"Martin R."},{"family":"Jiang","given":"Xin Y."}],"issued":{"date-parts":[["2011",10,1]]}}}],"schema":"https://github.com/citation-style-language/schema/raw/master/csl-citation.json"} </w:instrText>
      </w:r>
      <w:r w:rsidR="006F0AB6">
        <w:rPr>
          <w:rFonts w:cstheme="minorHAnsi"/>
          <w:color w:val="000000"/>
        </w:rPr>
        <w:fldChar w:fldCharType="separate"/>
      </w:r>
      <w:r w:rsidR="006F0AB6" w:rsidRPr="006F0AB6">
        <w:rPr>
          <w:rFonts w:cs="Arial"/>
        </w:rPr>
        <w:t>(Triolo et al., 2011)</w:t>
      </w:r>
      <w:r w:rsidR="006F0AB6">
        <w:rPr>
          <w:rFonts w:cstheme="minorHAnsi"/>
          <w:color w:val="000000"/>
        </w:rPr>
        <w:fldChar w:fldCharType="end"/>
      </w:r>
      <w:r w:rsidR="00B2635D">
        <w:rPr>
          <w:rFonts w:cstheme="minorHAnsi"/>
          <w:color w:val="000000"/>
        </w:rPr>
        <w:t xml:space="preserve">. On the other hand, the elemental fraction of carbon, nitrogen, hydrogen and oxygen </w:t>
      </w:r>
      <w:r w:rsidR="003B7ACC">
        <w:rPr>
          <w:rFonts w:cstheme="minorHAnsi"/>
          <w:color w:val="000000"/>
        </w:rPr>
        <w:t xml:space="preserve">is </w:t>
      </w:r>
      <w:r w:rsidR="00B2635D">
        <w:rPr>
          <w:rFonts w:cstheme="minorHAnsi"/>
          <w:color w:val="000000"/>
        </w:rPr>
        <w:t xml:space="preserve">necessary </w:t>
      </w:r>
      <w:r w:rsidR="003B7ACC">
        <w:rPr>
          <w:rFonts w:cstheme="minorHAnsi"/>
          <w:color w:val="000000"/>
        </w:rPr>
        <w:t xml:space="preserve">information </w:t>
      </w:r>
      <w:r w:rsidR="00E329C8">
        <w:rPr>
          <w:rFonts w:cstheme="minorHAnsi"/>
          <w:color w:val="000000"/>
        </w:rPr>
        <w:t>to predict the</w:t>
      </w:r>
      <w:r w:rsidR="003B7ACC">
        <w:rPr>
          <w:rFonts w:cstheme="minorHAnsi"/>
          <w:color w:val="000000"/>
        </w:rPr>
        <w:t xml:space="preserve"> theoretical biomethane potential through the </w:t>
      </w:r>
      <w:proofErr w:type="spellStart"/>
      <w:r w:rsidR="00595EF1">
        <w:rPr>
          <w:rFonts w:cstheme="minorHAnsi"/>
          <w:color w:val="000000"/>
        </w:rPr>
        <w:t>B</w:t>
      </w:r>
      <w:r w:rsidR="003B7ACC">
        <w:rPr>
          <w:rFonts w:cstheme="minorHAnsi"/>
          <w:color w:val="000000"/>
        </w:rPr>
        <w:t>uswell</w:t>
      </w:r>
      <w:proofErr w:type="spellEnd"/>
      <w:r w:rsidR="003B7ACC">
        <w:rPr>
          <w:rFonts w:cstheme="minorHAnsi"/>
          <w:color w:val="000000"/>
        </w:rPr>
        <w:t xml:space="preserve"> formula </w:t>
      </w:r>
      <w:r w:rsidR="006F0AB6">
        <w:rPr>
          <w:rFonts w:cstheme="minorHAnsi"/>
          <w:color w:val="000000"/>
        </w:rPr>
        <w:fldChar w:fldCharType="begin"/>
      </w:r>
      <w:r w:rsidR="006F0AB6">
        <w:rPr>
          <w:rFonts w:cstheme="minorHAnsi"/>
          <w:color w:val="000000"/>
        </w:rPr>
        <w:instrText xml:space="preserve"> ADDIN ZOTERO_ITEM CSL_CITATION {"citationID":"j4Pwf25R","properties":{"formattedCitation":"(Achinas and Euverink, 2016)","plainCitation":"(Achinas and Euverink, 2016)","noteIndex":0},"citationItems":[{"id":7,"uris":["http://zotero.org/users/local/J3pXTtOr/items/2PYRSXUN"],"itemData":{"id":7,"type":"article-journal","abstract":"A simplistic theoretical study of anaerobic digestion in order to predict the biogas amount of agricultural waste is proposed. A wide variety of models exist, but most of them rely on algebraic equations instead of biochemical equations and require many input parameters as well as computation time. This work provides a simplified model that predicts the biogas amount produced and could be applied for agricultural energy feasibility studies for instance dimensioning bioreactors digesting animal waste slurries. The method can be used for other feedstock materials and repeated for other similar applications, in an effort to expand anaerobic digestion systems as a clean energy source.","container-title":"Resource-Efficient Technologies","DOI":"10.1016/j.reffit.2016.08.001","ISSN":"2405-6537","issue":"3","journalAbbreviation":"Resource-Efficient Technologies","language":"en","page":"143-147","source":"ScienceDirect","title":"Theoretical analysis of biogas potential prediction from agricultural waste","volume":"2","author":[{"family":"Achinas","given":"Spyridon"},{"family":"Euverink","given":"Gerrit Jan Willem"}],"issued":{"date-parts":[["2016",9,1]]}}}],"schema":"https://github.com/citation-style-language/schema/raw/master/csl-citation.json"} </w:instrText>
      </w:r>
      <w:r w:rsidR="006F0AB6">
        <w:rPr>
          <w:rFonts w:cstheme="minorHAnsi"/>
          <w:color w:val="000000"/>
        </w:rPr>
        <w:fldChar w:fldCharType="separate"/>
      </w:r>
      <w:r w:rsidR="006F0AB6" w:rsidRPr="006F0AB6">
        <w:rPr>
          <w:rFonts w:cs="Arial"/>
        </w:rPr>
        <w:t>(</w:t>
      </w:r>
      <w:proofErr w:type="spellStart"/>
      <w:r w:rsidR="006F0AB6" w:rsidRPr="006F0AB6">
        <w:rPr>
          <w:rFonts w:cs="Arial"/>
        </w:rPr>
        <w:t>Achinas</w:t>
      </w:r>
      <w:proofErr w:type="spellEnd"/>
      <w:r w:rsidR="006F0AB6" w:rsidRPr="006F0AB6">
        <w:rPr>
          <w:rFonts w:cs="Arial"/>
        </w:rPr>
        <w:t xml:space="preserve"> and Euverink, 2016)</w:t>
      </w:r>
      <w:r w:rsidR="006F0AB6">
        <w:rPr>
          <w:rFonts w:cstheme="minorHAnsi"/>
          <w:color w:val="000000"/>
        </w:rPr>
        <w:fldChar w:fldCharType="end"/>
      </w:r>
      <w:r w:rsidR="003B7ACC">
        <w:rPr>
          <w:rFonts w:cstheme="minorHAnsi"/>
          <w:color w:val="000000"/>
        </w:rPr>
        <w:t>.</w:t>
      </w:r>
      <w:r w:rsidR="00117FD8">
        <w:rPr>
          <w:rFonts w:cstheme="minorHAnsi"/>
          <w:color w:val="000000"/>
        </w:rPr>
        <w:t xml:space="preserve"> </w:t>
      </w:r>
      <w:r w:rsidR="00730320" w:rsidRPr="00730320">
        <w:rPr>
          <w:rFonts w:cstheme="minorHAnsi"/>
          <w:color w:val="000000"/>
        </w:rPr>
        <w:t>These characteristics are related to one another</w:t>
      </w:r>
      <w:r w:rsidR="00117FD8">
        <w:rPr>
          <w:rFonts w:cstheme="minorHAnsi"/>
          <w:color w:val="000000"/>
        </w:rPr>
        <w:t>. For example, a</w:t>
      </w:r>
      <w:r w:rsidR="003A73A2">
        <w:rPr>
          <w:rFonts w:cstheme="minorHAnsi"/>
          <w:color w:val="000000"/>
        </w:rPr>
        <w:t xml:space="preserve"> high protein concentration averagely brings a higher nitrogen fraction</w:t>
      </w:r>
      <w:r w:rsidR="005A7328">
        <w:rPr>
          <w:rFonts w:cstheme="minorHAnsi"/>
          <w:color w:val="000000"/>
        </w:rPr>
        <w:t xml:space="preserve"> due to the abundance </w:t>
      </w:r>
      <w:r w:rsidR="001C340B">
        <w:rPr>
          <w:rFonts w:cstheme="minorHAnsi"/>
          <w:color w:val="000000"/>
        </w:rPr>
        <w:t xml:space="preserve">of </w:t>
      </w:r>
      <w:r w:rsidR="005A7328">
        <w:rPr>
          <w:rFonts w:cstheme="minorHAnsi"/>
          <w:color w:val="000000"/>
        </w:rPr>
        <w:t xml:space="preserve">the nitrogen-rich functional group </w:t>
      </w:r>
      <w:r w:rsidR="001C340B">
        <w:rPr>
          <w:rFonts w:cstheme="minorHAnsi"/>
          <w:color w:val="000000"/>
        </w:rPr>
        <w:t xml:space="preserve">of </w:t>
      </w:r>
      <w:r w:rsidR="005A7328">
        <w:rPr>
          <w:rFonts w:cstheme="minorHAnsi"/>
          <w:color w:val="000000"/>
        </w:rPr>
        <w:t>the am</w:t>
      </w:r>
      <w:r w:rsidR="00D51ED7">
        <w:rPr>
          <w:rFonts w:cstheme="minorHAnsi"/>
          <w:color w:val="000000"/>
        </w:rPr>
        <w:t>i</w:t>
      </w:r>
      <w:r w:rsidR="005A7328">
        <w:rPr>
          <w:rFonts w:cstheme="minorHAnsi"/>
          <w:color w:val="000000"/>
        </w:rPr>
        <w:t>n</w:t>
      </w:r>
      <w:r w:rsidR="00D51ED7">
        <w:rPr>
          <w:rFonts w:cstheme="minorHAnsi"/>
          <w:color w:val="000000"/>
        </w:rPr>
        <w:t>o</w:t>
      </w:r>
      <w:r w:rsidR="005A7328">
        <w:rPr>
          <w:rFonts w:cstheme="minorHAnsi"/>
          <w:color w:val="000000"/>
        </w:rPr>
        <w:t xml:space="preserve"> acids. It is of course possible to find an optimum between all these properties when mixing more biomasses, to regulate </w:t>
      </w:r>
      <w:r w:rsidR="003A5468">
        <w:rPr>
          <w:rFonts w:cstheme="minorHAnsi"/>
          <w:color w:val="000000"/>
        </w:rPr>
        <w:t xml:space="preserve">specific properties such as the C/N ratio </w:t>
      </w:r>
      <w:r w:rsidR="006F0AB6">
        <w:rPr>
          <w:rFonts w:cstheme="minorHAnsi"/>
          <w:color w:val="000000"/>
        </w:rPr>
        <w:fldChar w:fldCharType="begin"/>
      </w:r>
      <w:r w:rsidR="006F0AB6">
        <w:rPr>
          <w:rFonts w:cstheme="minorHAnsi"/>
          <w:color w:val="000000"/>
        </w:rPr>
        <w:instrText xml:space="preserve"> ADDIN ZOTERO_ITEM CSL_CITATION {"citationID":"WiEC4xul","properties":{"formattedCitation":"(Guarino et al., 2016)","plainCitation":"(Guarino et al., 2016)","noteIndex":0},"citationItems":[{"id":10,"uris":["http://zotero.org/users/local/J3pXTtOr/items/KNSYKI5A"],"itemData":{"id":10,"type":"article-journal","abstract":"In this paper we study the anaerobic digestion of water buffalo manure collected during a period of three years with the goal of investigating the effect of the substrate C/N ratio on the bio-methane production. The investigated samples show a C/N ratio between 9 and 50, this interval being much wider than that typically considered optimal in the literature for the waste digestion processes.The experimental tests are performed in batch mode, at 37 °C and with a starting pH equal either to 6 or 7, uncontrolled during the digestion process.We observe that, regardless of the C/N ratio of tested samples, the Gompertz productivity, expressed in terms of bio-methane volume fraction, is always larger than 54 %. A slightly larger productivity is recorded for substrates digested starting from an initial pH set to 7. We may then conclude that the C/N ratio of water buffalo manure does not really affect the bio-methane yield.","container-title":"Chemical Engineering Transactions","DOI":"10.3303/CET1649078","ISSN":"2283-9216","language":"en","license":"Copyright (c)","page":"463-468","source":"www.cetjournal.it","title":"Does the C/N ratio really affect the Bio-methane Yield? A three Years Investigation of Buffalo Manure Digestion","title-short":"Does the C/N ratio really affect the Bio-methane Yield?","volume":"49","author":[{"family":"Guarino","given":"G."},{"family":"Carotenuto","given":"C."},{"family":"Cristofaro","given":"F. Di"},{"family":"Papa","given":"S."},{"family":"Morrone","given":"B."},{"family":"Minale","given":"M."}],"issued":{"date-parts":[["2016",5,20]]}}}],"schema":"https://github.com/citation-style-language/schema/raw/master/csl-citation.json"} </w:instrText>
      </w:r>
      <w:r w:rsidR="006F0AB6">
        <w:rPr>
          <w:rFonts w:cstheme="minorHAnsi"/>
          <w:color w:val="000000"/>
        </w:rPr>
        <w:fldChar w:fldCharType="separate"/>
      </w:r>
      <w:r w:rsidR="006F0AB6" w:rsidRPr="006F0AB6">
        <w:rPr>
          <w:rFonts w:cs="Arial"/>
        </w:rPr>
        <w:t>(Guarino et al., 2016)</w:t>
      </w:r>
      <w:r w:rsidR="006F0AB6">
        <w:rPr>
          <w:rFonts w:cstheme="minorHAnsi"/>
          <w:color w:val="000000"/>
        </w:rPr>
        <w:fldChar w:fldCharType="end"/>
      </w:r>
      <w:r w:rsidR="003A5468">
        <w:rPr>
          <w:rFonts w:cstheme="minorHAnsi"/>
          <w:color w:val="000000"/>
        </w:rPr>
        <w:t xml:space="preserve">. However, </w:t>
      </w:r>
      <w:r w:rsidR="00E25BA6">
        <w:rPr>
          <w:rFonts w:cstheme="minorHAnsi"/>
          <w:color w:val="000000"/>
        </w:rPr>
        <w:t>the</w:t>
      </w:r>
      <w:r w:rsidR="003A5468">
        <w:rPr>
          <w:rFonts w:cstheme="minorHAnsi"/>
          <w:color w:val="000000"/>
        </w:rPr>
        <w:t xml:space="preserve"> </w:t>
      </w:r>
      <w:r w:rsidR="00E25BA6">
        <w:rPr>
          <w:rFonts w:cstheme="minorHAnsi"/>
          <w:color w:val="000000"/>
        </w:rPr>
        <w:t>settings of the optimal parameters</w:t>
      </w:r>
      <w:r w:rsidR="008F3F2D">
        <w:rPr>
          <w:rFonts w:cstheme="minorHAnsi"/>
          <w:color w:val="000000"/>
        </w:rPr>
        <w:t>,</w:t>
      </w:r>
      <w:r w:rsidR="00E25BA6">
        <w:rPr>
          <w:rFonts w:cstheme="minorHAnsi"/>
          <w:color w:val="000000"/>
        </w:rPr>
        <w:t xml:space="preserve"> for the desired biomass conversion</w:t>
      </w:r>
      <w:r w:rsidR="008F3F2D">
        <w:rPr>
          <w:rFonts w:cstheme="minorHAnsi"/>
          <w:color w:val="000000"/>
        </w:rPr>
        <w:t xml:space="preserve"> unit,</w:t>
      </w:r>
      <w:r w:rsidR="00A12A2A">
        <w:rPr>
          <w:rFonts w:cstheme="minorHAnsi"/>
          <w:color w:val="000000"/>
        </w:rPr>
        <w:t xml:space="preserve"> need</w:t>
      </w:r>
      <w:r w:rsidR="00E25BA6">
        <w:rPr>
          <w:rFonts w:cstheme="minorHAnsi"/>
          <w:color w:val="000000"/>
        </w:rPr>
        <w:t xml:space="preserve"> </w:t>
      </w:r>
      <w:r w:rsidR="004E31B7">
        <w:rPr>
          <w:rFonts w:cstheme="minorHAnsi"/>
          <w:color w:val="000000"/>
        </w:rPr>
        <w:t xml:space="preserve">a </w:t>
      </w:r>
      <w:r w:rsidR="008F3F2D">
        <w:rPr>
          <w:rFonts w:cstheme="minorHAnsi"/>
          <w:color w:val="000000"/>
        </w:rPr>
        <w:t>relative number</w:t>
      </w:r>
      <w:r w:rsidR="004E31B7">
        <w:rPr>
          <w:rFonts w:cstheme="minorHAnsi"/>
          <w:color w:val="000000"/>
        </w:rPr>
        <w:t xml:space="preserve"> of </w:t>
      </w:r>
      <w:r w:rsidR="008F3F2D">
        <w:rPr>
          <w:rFonts w:cstheme="minorHAnsi"/>
          <w:color w:val="000000"/>
        </w:rPr>
        <w:t xml:space="preserve">experimental </w:t>
      </w:r>
      <w:r w:rsidR="009263E7">
        <w:rPr>
          <w:rFonts w:cstheme="minorHAnsi"/>
          <w:color w:val="000000"/>
        </w:rPr>
        <w:t>analyses</w:t>
      </w:r>
      <w:r w:rsidR="004E31B7">
        <w:rPr>
          <w:rFonts w:cstheme="minorHAnsi"/>
          <w:color w:val="000000"/>
        </w:rPr>
        <w:t xml:space="preserve"> to find</w:t>
      </w:r>
      <w:r w:rsidR="008F3F2D">
        <w:rPr>
          <w:rFonts w:cstheme="minorHAnsi"/>
          <w:color w:val="000000"/>
        </w:rPr>
        <w:t xml:space="preserve"> all the necessary properties. Proximate analysis is done to </w:t>
      </w:r>
      <w:r w:rsidR="00965424">
        <w:rPr>
          <w:rFonts w:cstheme="minorHAnsi"/>
          <w:color w:val="000000"/>
        </w:rPr>
        <w:t xml:space="preserve">find </w:t>
      </w:r>
      <w:r w:rsidR="003F355E">
        <w:rPr>
          <w:rFonts w:cstheme="minorHAnsi"/>
          <w:color w:val="000000"/>
        </w:rPr>
        <w:t>ash</w:t>
      </w:r>
      <w:r w:rsidR="00965424">
        <w:rPr>
          <w:rFonts w:cstheme="minorHAnsi"/>
          <w:color w:val="000000"/>
        </w:rPr>
        <w:t xml:space="preserve">, </w:t>
      </w:r>
      <w:r w:rsidR="009263E7">
        <w:rPr>
          <w:rFonts w:cstheme="minorHAnsi"/>
          <w:color w:val="000000"/>
        </w:rPr>
        <w:t xml:space="preserve">moisture, fixed carbon and volatile components amount of the biomass. </w:t>
      </w:r>
      <w:r w:rsidR="005175E8">
        <w:rPr>
          <w:rFonts w:cstheme="minorHAnsi"/>
          <w:color w:val="000000"/>
        </w:rPr>
        <w:t>The c</w:t>
      </w:r>
      <w:r w:rsidR="00C47F20">
        <w:rPr>
          <w:rFonts w:cstheme="minorHAnsi"/>
          <w:color w:val="000000"/>
        </w:rPr>
        <w:t>ompositional analysis is performed to find the macromolecule</w:t>
      </w:r>
      <w:r w:rsidR="008424E2">
        <w:rPr>
          <w:rFonts w:cstheme="minorHAnsi"/>
          <w:color w:val="000000"/>
        </w:rPr>
        <w:t>s</w:t>
      </w:r>
      <w:r w:rsidR="005518B7">
        <w:rPr>
          <w:rFonts w:cstheme="minorHAnsi"/>
          <w:color w:val="000000"/>
        </w:rPr>
        <w:t xml:space="preserve">, including lignin and cellulose. </w:t>
      </w:r>
      <w:r w:rsidR="00A5788C">
        <w:rPr>
          <w:rFonts w:cstheme="minorHAnsi"/>
          <w:color w:val="000000"/>
        </w:rPr>
        <w:t xml:space="preserve">Elemental analysis instead </w:t>
      </w:r>
      <w:r w:rsidR="000B30C5">
        <w:rPr>
          <w:rFonts w:cstheme="minorHAnsi"/>
          <w:color w:val="000000"/>
        </w:rPr>
        <w:t>evaluates</w:t>
      </w:r>
      <w:r w:rsidR="00A5788C">
        <w:rPr>
          <w:rFonts w:cstheme="minorHAnsi"/>
          <w:color w:val="000000"/>
        </w:rPr>
        <w:t xml:space="preserve"> </w:t>
      </w:r>
      <w:r w:rsidR="000B30C5">
        <w:rPr>
          <w:rFonts w:cstheme="minorHAnsi"/>
          <w:color w:val="000000"/>
        </w:rPr>
        <w:t xml:space="preserve">carbon, hydrogen, oxygen, nitrogen and </w:t>
      </w:r>
      <w:proofErr w:type="spellStart"/>
      <w:r w:rsidR="000B30C5">
        <w:rPr>
          <w:rFonts w:cstheme="minorHAnsi"/>
          <w:color w:val="000000"/>
        </w:rPr>
        <w:t>sul</w:t>
      </w:r>
      <w:r w:rsidR="003F355E">
        <w:rPr>
          <w:rFonts w:cstheme="minorHAnsi"/>
          <w:color w:val="000000"/>
        </w:rPr>
        <w:t>f</w:t>
      </w:r>
      <w:r w:rsidR="000B30C5">
        <w:rPr>
          <w:rFonts w:cstheme="minorHAnsi"/>
          <w:color w:val="000000"/>
        </w:rPr>
        <w:t>ur</w:t>
      </w:r>
      <w:proofErr w:type="spellEnd"/>
      <w:r w:rsidR="000B30C5">
        <w:rPr>
          <w:rFonts w:cstheme="minorHAnsi"/>
          <w:color w:val="000000"/>
        </w:rPr>
        <w:t xml:space="preserve"> percentage (CHONS) </w:t>
      </w:r>
      <w:r w:rsidR="003F355E">
        <w:rPr>
          <w:rFonts w:cstheme="minorHAnsi"/>
          <w:color w:val="000000"/>
        </w:rPr>
        <w:t>in</w:t>
      </w:r>
      <w:r w:rsidR="000B30C5">
        <w:rPr>
          <w:rFonts w:cstheme="minorHAnsi"/>
          <w:color w:val="000000"/>
        </w:rPr>
        <w:t xml:space="preserve"> the biomass. All these procedures can become much time-consuming and budget-consuming when a lot of feedstocks have to be tested. </w:t>
      </w:r>
      <w:r w:rsidR="00DF719C">
        <w:rPr>
          <w:rFonts w:cstheme="minorHAnsi"/>
          <w:color w:val="000000"/>
        </w:rPr>
        <w:t xml:space="preserve">Nowadays, </w:t>
      </w:r>
      <w:r w:rsidR="00DF719C">
        <w:rPr>
          <w:rFonts w:cstheme="minorHAnsi"/>
          <w:color w:val="000000"/>
        </w:rPr>
        <w:lastRenderedPageBreak/>
        <w:t xml:space="preserve">experimental procedures can </w:t>
      </w:r>
      <w:r w:rsidR="005A4A68">
        <w:rPr>
          <w:rFonts w:cstheme="minorHAnsi"/>
          <w:color w:val="000000"/>
        </w:rPr>
        <w:t xml:space="preserve">easily </w:t>
      </w:r>
      <w:r w:rsidR="005175E8">
        <w:rPr>
          <w:rFonts w:cstheme="minorHAnsi"/>
          <w:color w:val="000000"/>
        </w:rPr>
        <w:t>be overridden by</w:t>
      </w:r>
      <w:r w:rsidR="00DF719C" w:rsidDel="006467AD">
        <w:rPr>
          <w:rFonts w:cstheme="minorHAnsi"/>
          <w:color w:val="000000"/>
        </w:rPr>
        <w:t xml:space="preserve"> </w:t>
      </w:r>
      <w:r w:rsidR="00E7178D">
        <w:rPr>
          <w:rFonts w:cstheme="minorHAnsi"/>
          <w:color w:val="000000"/>
        </w:rPr>
        <w:t xml:space="preserve">data-driven models which, exploiting all the </w:t>
      </w:r>
      <w:r w:rsidR="005A4A68">
        <w:rPr>
          <w:rFonts w:cstheme="minorHAnsi"/>
          <w:color w:val="000000"/>
        </w:rPr>
        <w:t xml:space="preserve">data coming from past experiments, elaborate reliable predictions in the </w:t>
      </w:r>
      <w:r w:rsidR="00977007">
        <w:rPr>
          <w:rFonts w:cstheme="minorHAnsi"/>
          <w:color w:val="000000"/>
        </w:rPr>
        <w:t>observed</w:t>
      </w:r>
      <w:r w:rsidR="005A4A68">
        <w:rPr>
          <w:rFonts w:cstheme="minorHAnsi"/>
          <w:color w:val="000000"/>
        </w:rPr>
        <w:t xml:space="preserve"> range</w:t>
      </w:r>
      <w:r w:rsidR="00977007">
        <w:rPr>
          <w:rFonts w:cstheme="minorHAnsi"/>
          <w:color w:val="000000"/>
        </w:rPr>
        <w:t xml:space="preserve"> </w:t>
      </w:r>
      <w:r w:rsidR="006F0AB6">
        <w:rPr>
          <w:rFonts w:cstheme="minorHAnsi"/>
          <w:color w:val="000000"/>
        </w:rPr>
        <w:fldChar w:fldCharType="begin"/>
      </w:r>
      <w:r w:rsidR="006F0AB6">
        <w:rPr>
          <w:rFonts w:cstheme="minorHAnsi"/>
          <w:color w:val="000000"/>
        </w:rPr>
        <w:instrText xml:space="preserve"> ADDIN ZOTERO_ITEM CSL_CITATION {"citationID":"3e1q4hRM","properties":{"formattedCitation":"(Chang et al., 2021)","plainCitation":"(Chang et al., 2021)","noteIndex":0},"citationItems":[{"id":12,"uris":["http://zotero.org/users/local/J3pXTtOr/items/8J4GBTHY"],"itemData":{"id":12,"type":"article-journal","abstract":"Interest in computational modeling of cognition and behavior continues to grow. To be most productive, modelers should be equipped with tools that ensure optimal efficiency in data collection and in the integrity of inference about the phenomenon of interest. Traditionally, models in cognitive science have been parametric, which are particularly susceptible to model misspecification because their strong assumptions (e.g. parameterization, functional form) may introduce unjustified biases in data collection and inference. To address this issue, we propose a data-driven nonparametric framework for model development, one that also includes optimal experimental design as a goal. It combines Gaussian Processes, a stochastic process often used for regression and classification, with active learning, from machine learning, to iteratively fit the model and use it to optimize the design selection throughout the experiment. The approach, dubbed Gaussian process with active learning (GPAL), is an extension of the parametric, adaptive design optimization (ADO) framework (Cavagnaro, Myung, Pitt, &amp; Kujala, 2010). We demonstrate the application and features of GPAL in a delay discounting task and compare its performance to ADO in two experiments. The results show that GPAL is a viable modeling framework that is noteworthy for its high sensitivity to individual differences, identifying novel patterns in the data that were missed by the model-constrained ADO. This investigation represents a first step towards the development of a data-driven cognitive modeling framework that serves as a middle ground between raw data, which can be difficult to interpret, and parametric models, which rely on strong assumptions.","container-title":"Cognitive Psychology","DOI":"10.1016/j.cogpsych.2020.101360","ISSN":"0010-0285","journalAbbreviation":"Cognitive Psychology","language":"en","page":"101360","source":"ScienceDirect","title":"Data-driven experimental design and model development using Gaussian process with active learning","volume":"125","author":[{"family":"Chang","given":"Jorge"},{"family":"Kim","given":"Jiseob"},{"family":"Zhang","given":"Byoung-Tak"},{"family":"Pitt","given":"Mark A."},{"family":"Myung","given":"Jay I."}],"issued":{"date-parts":[["2021",3,1]]}}}],"schema":"https://github.com/citation-style-language/schema/raw/master/csl-citation.json"} </w:instrText>
      </w:r>
      <w:r w:rsidR="006F0AB6">
        <w:rPr>
          <w:rFonts w:cstheme="minorHAnsi"/>
          <w:color w:val="000000"/>
        </w:rPr>
        <w:fldChar w:fldCharType="separate"/>
      </w:r>
      <w:r w:rsidR="006F0AB6" w:rsidRPr="006F0AB6">
        <w:rPr>
          <w:rFonts w:cs="Arial"/>
        </w:rPr>
        <w:t>(Chang et al., 2021)</w:t>
      </w:r>
      <w:r w:rsidR="006F0AB6">
        <w:rPr>
          <w:rFonts w:cstheme="minorHAnsi"/>
          <w:color w:val="000000"/>
        </w:rPr>
        <w:fldChar w:fldCharType="end"/>
      </w:r>
      <w:r w:rsidR="005A4A68">
        <w:rPr>
          <w:rFonts w:cstheme="minorHAnsi"/>
          <w:color w:val="000000"/>
        </w:rPr>
        <w:t>.</w:t>
      </w:r>
      <w:r w:rsidR="00977007">
        <w:rPr>
          <w:rFonts w:cstheme="minorHAnsi"/>
          <w:color w:val="000000"/>
        </w:rPr>
        <w:t xml:space="preserve"> </w:t>
      </w:r>
      <w:r w:rsidR="00125E7E" w:rsidRPr="00690EFE">
        <w:rPr>
          <w:rFonts w:cstheme="minorHAnsi"/>
          <w:color w:val="000000"/>
        </w:rPr>
        <w:t xml:space="preserve">This work </w:t>
      </w:r>
      <w:r w:rsidR="00C42B6D" w:rsidRPr="00690EFE">
        <w:rPr>
          <w:rFonts w:cstheme="minorHAnsi"/>
          <w:color w:val="000000"/>
        </w:rPr>
        <w:t xml:space="preserve">focused attention on the individuation of specific correlations related to the </w:t>
      </w:r>
      <w:r w:rsidR="00D84D95">
        <w:rPr>
          <w:rFonts w:cstheme="minorHAnsi"/>
          <w:color w:val="000000"/>
        </w:rPr>
        <w:t xml:space="preserve">calculation of the CHONS fraction </w:t>
      </w:r>
      <w:r w:rsidR="005B4F1E">
        <w:rPr>
          <w:rFonts w:cstheme="minorHAnsi"/>
          <w:color w:val="000000"/>
        </w:rPr>
        <w:t xml:space="preserve">starting from other biomass </w:t>
      </w:r>
      <w:r w:rsidR="00BD035E">
        <w:rPr>
          <w:rFonts w:cstheme="minorHAnsi"/>
          <w:color w:val="000000"/>
        </w:rPr>
        <w:t>attributes,</w:t>
      </w:r>
      <w:r w:rsidR="00193F5A">
        <w:rPr>
          <w:rFonts w:cstheme="minorHAnsi"/>
          <w:color w:val="000000"/>
        </w:rPr>
        <w:t xml:space="preserve"> r</w:t>
      </w:r>
      <w:r w:rsidR="00CD09A1" w:rsidRPr="00690EFE">
        <w:rPr>
          <w:rFonts w:cstheme="minorHAnsi"/>
          <w:color w:val="000000"/>
        </w:rPr>
        <w:t xml:space="preserve">epresenting the first attempt for building up </w:t>
      </w:r>
      <w:r w:rsidR="00193F5A">
        <w:rPr>
          <w:rFonts w:cstheme="minorHAnsi"/>
          <w:color w:val="000000"/>
        </w:rPr>
        <w:t>a</w:t>
      </w:r>
      <w:r w:rsidR="00CD09A1" w:rsidRPr="00690EFE">
        <w:rPr>
          <w:rFonts w:cstheme="minorHAnsi"/>
          <w:color w:val="000000"/>
        </w:rPr>
        <w:t xml:space="preserve"> decision-support system</w:t>
      </w:r>
      <w:r w:rsidR="00193F5A">
        <w:rPr>
          <w:rFonts w:cstheme="minorHAnsi"/>
          <w:color w:val="000000"/>
        </w:rPr>
        <w:t xml:space="preserve"> seeking the biomass perfect amount and characteristic</w:t>
      </w:r>
      <w:r w:rsidR="006F0AB6">
        <w:rPr>
          <w:rFonts w:cstheme="minorHAnsi"/>
          <w:color w:val="000000"/>
        </w:rPr>
        <w:t xml:space="preserve"> </w:t>
      </w:r>
      <w:r w:rsidR="006F0AB6">
        <w:rPr>
          <w:rFonts w:cstheme="minorHAnsi"/>
          <w:color w:val="000000"/>
        </w:rPr>
        <w:fldChar w:fldCharType="begin"/>
      </w:r>
      <w:r w:rsidR="006F0AB6">
        <w:rPr>
          <w:rFonts w:cstheme="minorHAnsi"/>
          <w:color w:val="000000"/>
        </w:rPr>
        <w:instrText xml:space="preserve"> ADDIN ZOTERO_ITEM CSL_CITATION {"citationID":"nhOlxj4R","properties":{"formattedCitation":"(Duca et al., 2022)","plainCitation":"(Duca et al., 2022)","noteIndex":0},"citationItems":[{"id":15,"uris":["http://zotero.org/users/local/J3pXTtOr/items/NJRNVNLR"],"itemData":{"id":15,"type":"article-journal","abstract":"The identification of the most efficient biomass valorization paths is vital for reaching the target of Renewable Energy Sources consumption by 2030. In this context, within a National project named ‘Biofeedstock’, the applicability of multivariate statistical analysis, i.e. Canonical Correlation Analysis (CCA), is implemented for the definition of specific correlations describing quantitatively and qualitatively the fast pyrolysis process outputs. The database used for the CCA contains 59 observations and it has been built up using literature data specifically on fluidized bed fast pyrolysis without any catalyst, in the temperature range of 450-550°C. The results show that the CCA correctly describes the process analysed with a discrete degree of confidence. However, it shows two main drawbacks, firstly the dataset constitution, and secondly possibility to individuate only linear correlations between inputs and outputs.","container-title":"Chemical Engineering Transactions","DOI":"10.3303/CET2296047","ISSN":"2283-9216","language":"en","license":"Copyright (c) 2022 AIDIC Servizi Srl","page":"277-282","source":"www.cetjournal.it","title":"Application of Multivariate Statistical Analysis for Pyrolysis Process Optimization","volume":"96","author":[{"family":"Duca","given":"Vincenzo Del"},{"family":"Chirone","given":"Roberto"},{"family":"Coppola","given":"Antonio"},{"family":"Scala","given":"Fabrizio"},{"family":"Salatino","given":"Piero"}],"issued":{"date-parts":[["2022",11,30]]}}}],"schema":"https://github.com/citation-style-language/schema/raw/master/csl-citation.json"} </w:instrText>
      </w:r>
      <w:r w:rsidR="006F0AB6">
        <w:rPr>
          <w:rFonts w:cstheme="minorHAnsi"/>
          <w:color w:val="000000"/>
        </w:rPr>
        <w:fldChar w:fldCharType="separate"/>
      </w:r>
      <w:r w:rsidR="006F0AB6" w:rsidRPr="006F0AB6">
        <w:rPr>
          <w:rFonts w:cs="Arial"/>
        </w:rPr>
        <w:t>(D</w:t>
      </w:r>
      <w:r w:rsidR="00B25B9C">
        <w:rPr>
          <w:rFonts w:cs="Arial"/>
        </w:rPr>
        <w:t>el D</w:t>
      </w:r>
      <w:r w:rsidR="006F0AB6" w:rsidRPr="006F0AB6">
        <w:rPr>
          <w:rFonts w:cs="Arial"/>
        </w:rPr>
        <w:t>uca et al., 2022)</w:t>
      </w:r>
      <w:r w:rsidR="006F0AB6">
        <w:rPr>
          <w:rFonts w:cstheme="minorHAnsi"/>
          <w:color w:val="000000"/>
        </w:rPr>
        <w:fldChar w:fldCharType="end"/>
      </w:r>
      <w:r w:rsidR="00CD09A1" w:rsidRPr="00690EFE">
        <w:rPr>
          <w:rFonts w:cstheme="minorHAnsi"/>
          <w:color w:val="000000"/>
        </w:rPr>
        <w:t xml:space="preserve">. </w:t>
      </w:r>
      <w:r w:rsidR="00193F5A">
        <w:rPr>
          <w:rFonts w:cstheme="minorHAnsi"/>
          <w:color w:val="000000"/>
        </w:rPr>
        <w:t xml:space="preserve">For this aim, the dataset from </w:t>
      </w:r>
      <w:r w:rsidR="006F0AB6">
        <w:rPr>
          <w:rFonts w:cstheme="minorHAnsi"/>
          <w:color w:val="000000"/>
        </w:rPr>
        <w:fldChar w:fldCharType="begin"/>
      </w:r>
      <w:r w:rsidR="006F0AB6">
        <w:rPr>
          <w:rFonts w:cstheme="minorHAnsi"/>
          <w:color w:val="000000"/>
        </w:rPr>
        <w:instrText xml:space="preserve"> ADDIN ZOTERO_ITEM CSL_CITATION {"citationID":"TVvXa2Tv","properties":{"formattedCitation":"(Moretta et al., 2022)","plainCitation":"(Moretta et al., 2022)","dontUpdate":true,"noteIndex":0},"citationItems":[{"id":4,"uris":["http://zotero.org/users/local/J3pXTtOr/items/4IKQAQHT"],"itemData":{"id":4,"type":"article-journal","abstract":"Anaerobic Digestion represents an economically and environmentally friendly technology that allows the production of biogas starting from organic substrates. Single substrate digestion often unexploited the total biomass capacity, resulting in low methane yield. On the other hand, it has been proved that biogas production can be significantly improved by combining two or more substrates, performing a co-digestion, which exploits the synergy between different bacteria populations. In the last years, many experimental studies have been conducted to understand how feedstocks interact with each other when mixed, revealing how powerful the blending of substrates could improve its key properties reaching higher methane yield and increasing waste valorization. However, these tests are often time-consuming and rely on the quality of the instruments used to analyze the substrates. Some co-digestion models have been also proposed but are very specific to the co-digestion of a well-defined mix of feedstocks. Unfortunately, ready technologies and models which evaluate an optimal blending ratio, able to estimate the optimal co-digestion configurations, are not discussed so far in the literature. Consequently, this work deals with the development of a tool that can find the optimal blended feedstock composition to produce the highest methane potential. The high number of possible raw materials, and the high variability of their characteristics, reflect the complexity of the problem. So, a database has been created where data about commonly used substrates have been gathered, analyzed, and exploited to build a data-driven model that effectively evaluates the unit's optimal feedstock composition. Furthermore, the model considers supply-chain issues such as substrate availability and storage options to be more trustworthy in a wider range of industrial settings. Principal influencing parameters of the model were found to be the C/N ratio and the biodegradability of the substrates, while other ones as lipids content and total solid concentration were excluded from the optimization algorithm but still present in the database for further studies. Working temperature of the unit was fixed to 35 °C, being the most used condition applied in the literature considered. Finally, the model has been validated by comparing its results to literature experimental tests. from both batch and CSTR (continuous stirred tank) reactors, showing great reliability of the model to the cases analyzed (RMSE &lt;20 mL/gVS for two-substrate mixture, RMSE &lt;30 mL/gVS for three-substrate mixture). Furthermore, the optimization of an industrial case is proposed with data provided by the Thöni company, yielding satisfactory results, such as a total increment of the bio-methane potential up to 70% globally (3-to-5% BMP daily increment) after the diet optimization.","container-title":"Journal of Cleaner Production","DOI":"10.1016/j.jclepro.2022.134140","ISSN":"0959-6526","journalAbbreviation":"Journal of Cleaner Production","language":"en","page":"134140","source":"ScienceDirect","title":"Data-driven model for feedstock blending optimization of anaerobic co-digestion by BMP maximization","volume":"375","author":[{"family":"Moretta","given":"Federico"},{"family":"Goracci","given":"Alessia"},{"family":"Manenti","given":"Flavio"},{"family":"Bozzano","given":"Giulia"}],"issued":{"date-parts":[["2022",11,15]]}}}],"schema":"https://github.com/citation-style-language/schema/raw/master/csl-citation.json"} </w:instrText>
      </w:r>
      <w:r w:rsidR="006F0AB6">
        <w:rPr>
          <w:rFonts w:cstheme="minorHAnsi"/>
          <w:color w:val="000000"/>
        </w:rPr>
        <w:fldChar w:fldCharType="separate"/>
      </w:r>
      <w:r w:rsidR="006F0AB6" w:rsidRPr="006F0AB6">
        <w:rPr>
          <w:rFonts w:cs="Arial"/>
        </w:rPr>
        <w:t xml:space="preserve">Moretta et al. </w:t>
      </w:r>
      <w:r w:rsidR="006F0AB6">
        <w:rPr>
          <w:rFonts w:cs="Arial"/>
        </w:rPr>
        <w:t>(</w:t>
      </w:r>
      <w:r w:rsidR="006F0AB6" w:rsidRPr="006F0AB6">
        <w:rPr>
          <w:rFonts w:cs="Arial"/>
        </w:rPr>
        <w:t>2022)</w:t>
      </w:r>
      <w:r w:rsidR="006F0AB6">
        <w:rPr>
          <w:rFonts w:cstheme="minorHAnsi"/>
          <w:color w:val="000000"/>
        </w:rPr>
        <w:fldChar w:fldCharType="end"/>
      </w:r>
      <w:r w:rsidR="00193F5A">
        <w:rPr>
          <w:rFonts w:cstheme="minorHAnsi"/>
          <w:color w:val="000000"/>
        </w:rPr>
        <w:t xml:space="preserve"> has been used, which gather</w:t>
      </w:r>
      <w:r w:rsidR="00B25B9C">
        <w:rPr>
          <w:rFonts w:cstheme="minorHAnsi"/>
          <w:color w:val="000000"/>
        </w:rPr>
        <w:t>s</w:t>
      </w:r>
      <w:r w:rsidR="00193F5A">
        <w:rPr>
          <w:rFonts w:cstheme="minorHAnsi"/>
          <w:color w:val="000000"/>
        </w:rPr>
        <w:t xml:space="preserve"> </w:t>
      </w:r>
      <w:r w:rsidR="00BD035E">
        <w:rPr>
          <w:rFonts w:cstheme="minorHAnsi"/>
          <w:color w:val="000000"/>
        </w:rPr>
        <w:t xml:space="preserve">enough data </w:t>
      </w:r>
      <w:r w:rsidR="00B334BF">
        <w:rPr>
          <w:rFonts w:cstheme="minorHAnsi"/>
          <w:color w:val="000000"/>
        </w:rPr>
        <w:t xml:space="preserve">to </w:t>
      </w:r>
      <w:r w:rsidR="00FF3F49">
        <w:rPr>
          <w:rFonts w:cstheme="minorHAnsi"/>
          <w:color w:val="000000"/>
        </w:rPr>
        <w:t>perform the</w:t>
      </w:r>
      <w:r w:rsidR="00B334BF">
        <w:rPr>
          <w:rFonts w:cstheme="minorHAnsi"/>
          <w:color w:val="000000"/>
        </w:rPr>
        <w:t xml:space="preserve"> </w:t>
      </w:r>
      <w:r w:rsidR="00FF3F49">
        <w:rPr>
          <w:rFonts w:cstheme="minorHAnsi"/>
          <w:color w:val="000000"/>
        </w:rPr>
        <w:t>s</w:t>
      </w:r>
      <w:r w:rsidR="00B334BF">
        <w:rPr>
          <w:rFonts w:cstheme="minorHAnsi"/>
          <w:color w:val="000000"/>
        </w:rPr>
        <w:t>tudy</w:t>
      </w:r>
      <w:r w:rsidR="00FF3F49">
        <w:rPr>
          <w:rFonts w:cstheme="minorHAnsi"/>
          <w:color w:val="000000"/>
        </w:rPr>
        <w:t xml:space="preserve">. </w:t>
      </w:r>
      <w:r w:rsidR="00CD09A1" w:rsidRPr="00690EFE">
        <w:rPr>
          <w:rFonts w:cstheme="minorHAnsi"/>
          <w:color w:val="000000"/>
        </w:rPr>
        <w:t>The tool adopted for the a</w:t>
      </w:r>
      <w:r w:rsidR="00C42B6D" w:rsidRPr="00690EFE">
        <w:rPr>
          <w:rFonts w:cstheme="minorHAnsi"/>
          <w:color w:val="000000"/>
        </w:rPr>
        <w:t xml:space="preserve">pplication of multivariate statistical </w:t>
      </w:r>
      <w:r w:rsidR="00CD09A1" w:rsidRPr="00690EFE">
        <w:rPr>
          <w:rFonts w:cstheme="minorHAnsi"/>
          <w:color w:val="000000"/>
        </w:rPr>
        <w:t>analysis</w:t>
      </w:r>
      <w:r w:rsidR="00193F5A">
        <w:rPr>
          <w:rFonts w:cstheme="minorHAnsi"/>
          <w:color w:val="000000"/>
        </w:rPr>
        <w:t xml:space="preserve"> is the</w:t>
      </w:r>
      <w:r w:rsidR="00CD09A1" w:rsidRPr="00690EFE">
        <w:rPr>
          <w:rFonts w:cstheme="minorHAnsi"/>
          <w:color w:val="000000"/>
        </w:rPr>
        <w:t xml:space="preserve"> </w:t>
      </w:r>
      <w:r w:rsidR="006F14DB" w:rsidRPr="00125E7E">
        <w:rPr>
          <w:rFonts w:cstheme="minorHAnsi"/>
          <w:color w:val="000000"/>
        </w:rPr>
        <w:t xml:space="preserve">Canonical Correlation Analysis </w:t>
      </w:r>
      <w:r w:rsidR="006F14DB">
        <w:rPr>
          <w:rFonts w:cstheme="minorHAnsi"/>
          <w:color w:val="000000"/>
        </w:rPr>
        <w:t>(</w:t>
      </w:r>
      <w:r w:rsidR="00CD09A1" w:rsidRPr="00690EFE">
        <w:rPr>
          <w:rFonts w:cstheme="minorHAnsi"/>
          <w:color w:val="000000"/>
        </w:rPr>
        <w:t>CCA</w:t>
      </w:r>
      <w:r w:rsidR="006F14DB">
        <w:rPr>
          <w:rFonts w:cstheme="minorHAnsi"/>
          <w:color w:val="000000"/>
        </w:rPr>
        <w:t>)</w:t>
      </w:r>
      <w:r w:rsidR="00C42B6D" w:rsidRPr="00690EFE">
        <w:rPr>
          <w:rFonts w:cstheme="minorHAnsi"/>
          <w:color w:val="000000"/>
        </w:rPr>
        <w:t>.</w:t>
      </w:r>
      <w:r w:rsidR="00193F5A">
        <w:rPr>
          <w:rFonts w:cstheme="minorHAnsi"/>
          <w:color w:val="000000"/>
        </w:rPr>
        <w:t xml:space="preserve"> Moreover, correlation and other statistical indexes were used to find which of these attributes relate better </w:t>
      </w:r>
      <w:r w:rsidR="005175E8">
        <w:rPr>
          <w:rFonts w:cstheme="minorHAnsi"/>
          <w:color w:val="000000"/>
        </w:rPr>
        <w:t>to</w:t>
      </w:r>
      <w:r w:rsidR="00193F5A">
        <w:rPr>
          <w:rFonts w:cstheme="minorHAnsi"/>
          <w:color w:val="000000"/>
        </w:rPr>
        <w:t xml:space="preserve"> the evaluation.</w:t>
      </w:r>
      <w:r w:rsidR="00FF3F49">
        <w:rPr>
          <w:rFonts w:cstheme="minorHAnsi"/>
          <w:color w:val="000000"/>
        </w:rPr>
        <w:t xml:space="preserve"> The database has been pre-processed according to the tool input-output system, generating a new ad-hoc dataset, which directly undergo</w:t>
      </w:r>
      <w:r w:rsidR="005175E8">
        <w:rPr>
          <w:rFonts w:cstheme="minorHAnsi"/>
          <w:color w:val="000000"/>
        </w:rPr>
        <w:t>es</w:t>
      </w:r>
      <w:r w:rsidR="00FF3F49">
        <w:rPr>
          <w:rFonts w:cstheme="minorHAnsi"/>
          <w:color w:val="000000"/>
        </w:rPr>
        <w:t xml:space="preserve"> the mathematical procedure.</w:t>
      </w:r>
    </w:p>
    <w:p w14:paraId="6EF7E292" w14:textId="01C9E667" w:rsidR="00125E7E" w:rsidRDefault="00125E7E" w:rsidP="00125E7E">
      <w:pPr>
        <w:pStyle w:val="CETHeading1"/>
        <w:rPr>
          <w:lang w:val="en-GB"/>
        </w:rPr>
      </w:pPr>
      <w:r>
        <w:rPr>
          <w:lang w:val="en-GB"/>
        </w:rPr>
        <w:t>Methodology</w:t>
      </w:r>
    </w:p>
    <w:p w14:paraId="2261918B" w14:textId="08ACAFE5" w:rsidR="003F0765" w:rsidRDefault="00136382" w:rsidP="00136382">
      <w:pPr>
        <w:pStyle w:val="CETBodytext"/>
        <w:rPr>
          <w:rFonts w:cstheme="minorHAnsi"/>
          <w:color w:val="000000"/>
          <w:lang w:val="en-GB"/>
        </w:rPr>
      </w:pPr>
      <w:r>
        <w:rPr>
          <w:rFonts w:cstheme="minorHAnsi"/>
          <w:color w:val="000000"/>
          <w:lang w:val="en-GB"/>
        </w:rPr>
        <w:tab/>
      </w:r>
      <w:r w:rsidR="00125E7E" w:rsidRPr="00125E7E">
        <w:rPr>
          <w:rFonts w:cstheme="minorHAnsi"/>
          <w:color w:val="000000"/>
          <w:lang w:val="en-GB"/>
        </w:rPr>
        <w:t xml:space="preserve">Canonical Correlation Analysis (CCA) </w:t>
      </w:r>
      <w:r w:rsidR="00D33897" w:rsidRPr="00D33897">
        <w:rPr>
          <w:rFonts w:cstheme="minorHAnsi"/>
          <w:color w:val="000000"/>
          <w:lang w:val="en-GB"/>
        </w:rPr>
        <w:fldChar w:fldCharType="begin" w:fldLock="1"/>
      </w:r>
      <w:r w:rsidR="006F0AB6">
        <w:rPr>
          <w:rFonts w:cstheme="minorHAnsi"/>
          <w:color w:val="000000"/>
          <w:lang w:val="en-GB"/>
        </w:rPr>
        <w:instrText xml:space="preserve"> ADDIN ZOTERO_ITEM CSL_CITATION {"citationID":"Od3RwxbA","properties":{"formattedCitation":"(Wilks, 2019)","plainCitation":"(Wilks, 2019)","noteIndex":0},"citationItems":[{"id":"bHh0JQ5m/kYDkkbfU","uris":["http://www.mendeley.com/documents/?uuid=98656038-0c3e-47c5-8231-675578be938e"],"itemData":{"DOI":"10.1016/b978-0-12-815823-4.00014-6","ISBN":"9780128158234","author":[{"dropping-particle":"","family":"Wilks","given":"Daniel S.","non-dropping-particle":"","parse-names":false,"suffix":""}],"container-title":"Statistical Methods in the Atmospheric Sciences","id":"ITEM-1","issued":{"date-parts":[["2019"]]},"page":"669-694","title":"Multivariate Analysis of Vector Pairs","type":"article-journal"}}],"schema":"https://github.com/citation-style-language/schema/raw/master/csl-citation.json"} </w:instrText>
      </w:r>
      <w:r w:rsidR="00D33897" w:rsidRPr="00D33897">
        <w:rPr>
          <w:rFonts w:cstheme="minorHAnsi"/>
          <w:color w:val="000000"/>
          <w:lang w:val="en-GB"/>
        </w:rPr>
        <w:fldChar w:fldCharType="separate"/>
      </w:r>
      <w:r w:rsidR="00D74FB1">
        <w:rPr>
          <w:rFonts w:cstheme="minorHAnsi"/>
          <w:noProof/>
          <w:color w:val="000000"/>
          <w:lang w:val="en-GB"/>
        </w:rPr>
        <w:t>(Wilks, 2019)</w:t>
      </w:r>
      <w:r w:rsidR="00D33897" w:rsidRPr="00D33897">
        <w:rPr>
          <w:rFonts w:cstheme="minorHAnsi"/>
          <w:color w:val="000000"/>
          <w:lang w:val="en-GB"/>
        </w:rPr>
        <w:fldChar w:fldCharType="end"/>
      </w:r>
      <w:r w:rsidR="00D33897">
        <w:rPr>
          <w:rFonts w:cstheme="minorHAnsi"/>
          <w:color w:val="000000"/>
          <w:lang w:val="en-GB"/>
        </w:rPr>
        <w:t xml:space="preserve"> </w:t>
      </w:r>
      <w:r w:rsidR="00125E7E" w:rsidRPr="00125E7E">
        <w:rPr>
          <w:rFonts w:cstheme="minorHAnsi"/>
          <w:color w:val="000000"/>
          <w:lang w:val="en-GB"/>
        </w:rPr>
        <w:t>is widely used to extract the correlated patterns between two sets of variables</w:t>
      </w:r>
      <w:r w:rsidR="00CD09A1">
        <w:rPr>
          <w:rFonts w:cstheme="minorHAnsi"/>
          <w:color w:val="000000"/>
          <w:lang w:val="en-GB"/>
        </w:rPr>
        <w:t xml:space="preserve">, </w:t>
      </w:r>
      <w:r w:rsidR="00CD09A1" w:rsidRPr="003F0765">
        <w:rPr>
          <w:rFonts w:cstheme="minorHAnsi"/>
          <w:b/>
          <w:i/>
          <w:color w:val="000000"/>
          <w:lang w:val="en-GB"/>
        </w:rPr>
        <w:t>x</w:t>
      </w:r>
      <w:r w:rsidR="00CD09A1">
        <w:rPr>
          <w:rFonts w:cstheme="minorHAnsi"/>
          <w:color w:val="000000"/>
          <w:lang w:val="en-GB"/>
        </w:rPr>
        <w:t xml:space="preserve"> and </w:t>
      </w:r>
      <w:r w:rsidR="00CD09A1" w:rsidRPr="003F0765">
        <w:rPr>
          <w:rFonts w:cstheme="minorHAnsi"/>
          <w:b/>
          <w:i/>
          <w:color w:val="000000"/>
          <w:lang w:val="en-GB"/>
        </w:rPr>
        <w:t>y</w:t>
      </w:r>
      <w:r w:rsidR="003F0765">
        <w:rPr>
          <w:rFonts w:cstheme="minorHAnsi"/>
          <w:color w:val="000000"/>
          <w:lang w:val="en-GB"/>
        </w:rPr>
        <w:t>.</w:t>
      </w:r>
      <w:r w:rsidR="00125E7E" w:rsidRPr="00125E7E">
        <w:rPr>
          <w:rFonts w:cstheme="minorHAnsi"/>
          <w:color w:val="000000"/>
          <w:lang w:val="en-GB"/>
        </w:rPr>
        <w:t xml:space="preserve"> </w:t>
      </w:r>
      <w:r w:rsidR="003F0765" w:rsidRPr="003F0765">
        <w:rPr>
          <w:rFonts w:cstheme="minorHAnsi"/>
          <w:b/>
          <w:i/>
          <w:color w:val="000000"/>
          <w:lang w:val="en-GB"/>
        </w:rPr>
        <w:t>x</w:t>
      </w:r>
      <w:r w:rsidR="003F0765">
        <w:rPr>
          <w:rFonts w:cstheme="minorHAnsi"/>
          <w:color w:val="000000"/>
          <w:lang w:val="en-GB"/>
        </w:rPr>
        <w:t xml:space="preserve"> generally represents the input matrix with size (</w:t>
      </w:r>
      <w:r w:rsidR="003F0765" w:rsidRPr="00603B14">
        <w:rPr>
          <w:rFonts w:cstheme="minorHAnsi"/>
          <w:i/>
          <w:iCs/>
          <w:color w:val="000000"/>
          <w:lang w:val="en-GB"/>
        </w:rPr>
        <w:t xml:space="preserve">n </w:t>
      </w:r>
      <w:r w:rsidR="00434031" w:rsidRPr="00603B14">
        <w:rPr>
          <w:rFonts w:cs="Arial"/>
          <w:i/>
          <w:iCs/>
          <w:color w:val="000000"/>
          <w:lang w:val="en-GB"/>
        </w:rPr>
        <w:t>x</w:t>
      </w:r>
      <w:r w:rsidR="003F0765" w:rsidRPr="00603B14">
        <w:rPr>
          <w:rFonts w:cstheme="minorHAnsi"/>
          <w:i/>
          <w:iCs/>
          <w:color w:val="000000"/>
          <w:lang w:val="en-GB"/>
        </w:rPr>
        <w:t xml:space="preserve"> </w:t>
      </w:r>
      <w:r w:rsidR="00603B14">
        <w:rPr>
          <w:rFonts w:cstheme="minorHAnsi"/>
          <w:i/>
          <w:iCs/>
          <w:color w:val="000000"/>
          <w:lang w:val="en-GB"/>
        </w:rPr>
        <w:t>m</w:t>
      </w:r>
      <w:r w:rsidR="003F0765">
        <w:rPr>
          <w:rFonts w:cstheme="minorHAnsi"/>
          <w:color w:val="000000"/>
          <w:lang w:val="en-GB"/>
        </w:rPr>
        <w:t xml:space="preserve">), where </w:t>
      </w:r>
      <w:r w:rsidR="003F0765" w:rsidRPr="00603B14">
        <w:rPr>
          <w:rFonts w:cstheme="minorHAnsi"/>
          <w:i/>
          <w:iCs/>
          <w:color w:val="000000"/>
          <w:lang w:val="en-GB"/>
        </w:rPr>
        <w:t>n</w:t>
      </w:r>
      <w:r w:rsidR="003F0765">
        <w:rPr>
          <w:rFonts w:cstheme="minorHAnsi"/>
          <w:color w:val="000000"/>
          <w:lang w:val="en-GB"/>
        </w:rPr>
        <w:t xml:space="preserve"> is the number of observations and </w:t>
      </w:r>
      <w:r w:rsidR="00603B14" w:rsidRPr="00603B14">
        <w:rPr>
          <w:rFonts w:cstheme="minorHAnsi"/>
          <w:i/>
          <w:iCs/>
          <w:color w:val="000000"/>
          <w:lang w:val="en-GB"/>
        </w:rPr>
        <w:t>m</w:t>
      </w:r>
      <w:r w:rsidR="003F0765">
        <w:rPr>
          <w:rFonts w:cstheme="minorHAnsi"/>
          <w:color w:val="000000"/>
          <w:lang w:val="en-GB"/>
        </w:rPr>
        <w:t xml:space="preserve"> </w:t>
      </w:r>
      <w:r w:rsidR="005175E8">
        <w:rPr>
          <w:rFonts w:cstheme="minorHAnsi"/>
          <w:color w:val="000000"/>
          <w:lang w:val="en-GB"/>
        </w:rPr>
        <w:t xml:space="preserve">is </w:t>
      </w:r>
      <w:r w:rsidR="003F0765">
        <w:rPr>
          <w:rFonts w:cstheme="minorHAnsi"/>
          <w:color w:val="000000"/>
          <w:lang w:val="en-GB"/>
        </w:rPr>
        <w:t>the number of specific input variables; conversely</w:t>
      </w:r>
      <w:r w:rsidR="003F0765">
        <w:rPr>
          <w:rFonts w:cstheme="minorHAnsi"/>
          <w:b/>
          <w:i/>
          <w:color w:val="000000"/>
          <w:lang w:val="en-GB"/>
        </w:rPr>
        <w:t xml:space="preserve">, y </w:t>
      </w:r>
      <w:r w:rsidR="003F0765">
        <w:rPr>
          <w:rFonts w:cstheme="minorHAnsi"/>
          <w:color w:val="000000"/>
          <w:lang w:val="en-GB"/>
        </w:rPr>
        <w:t>represents the output matrix with size (</w:t>
      </w:r>
      <w:r w:rsidR="003F0765" w:rsidRPr="00333C28">
        <w:rPr>
          <w:rFonts w:cstheme="minorHAnsi"/>
          <w:i/>
          <w:iCs/>
          <w:color w:val="000000"/>
          <w:lang w:val="en-GB"/>
        </w:rPr>
        <w:t xml:space="preserve">n </w:t>
      </w:r>
      <w:r w:rsidR="00333C28" w:rsidRPr="00333C28">
        <w:rPr>
          <w:rFonts w:cs="Arial"/>
          <w:i/>
          <w:iCs/>
          <w:color w:val="000000"/>
          <w:lang w:val="en-GB"/>
        </w:rPr>
        <w:t>x</w:t>
      </w:r>
      <w:r w:rsidR="003F0765" w:rsidRPr="00333C28">
        <w:rPr>
          <w:rFonts w:cstheme="minorHAnsi"/>
          <w:i/>
          <w:iCs/>
          <w:color w:val="000000"/>
          <w:lang w:val="en-GB"/>
        </w:rPr>
        <w:t xml:space="preserve"> </w:t>
      </w:r>
      <w:r w:rsidR="00333C28" w:rsidRPr="00333C28">
        <w:rPr>
          <w:rFonts w:cstheme="minorHAnsi"/>
          <w:i/>
          <w:iCs/>
          <w:color w:val="000000"/>
          <w:lang w:val="en-GB"/>
        </w:rPr>
        <w:t>J</w:t>
      </w:r>
      <w:r w:rsidR="003F0765">
        <w:rPr>
          <w:rFonts w:cstheme="minorHAnsi"/>
          <w:color w:val="000000"/>
          <w:lang w:val="en-GB"/>
        </w:rPr>
        <w:t xml:space="preserve">), where </w:t>
      </w:r>
      <w:r w:rsidR="00333C28" w:rsidRPr="00333C28">
        <w:rPr>
          <w:rFonts w:cstheme="minorHAnsi"/>
          <w:i/>
          <w:iCs/>
          <w:color w:val="000000"/>
          <w:lang w:val="en-GB"/>
        </w:rPr>
        <w:t>J</w:t>
      </w:r>
      <w:r w:rsidR="003F0765">
        <w:rPr>
          <w:rFonts w:cstheme="minorHAnsi"/>
          <w:color w:val="000000"/>
          <w:lang w:val="en-GB"/>
        </w:rPr>
        <w:t xml:space="preserve"> </w:t>
      </w:r>
      <w:r w:rsidR="005175E8">
        <w:rPr>
          <w:rFonts w:cstheme="minorHAnsi"/>
          <w:color w:val="000000"/>
          <w:lang w:val="en-GB"/>
        </w:rPr>
        <w:t xml:space="preserve">is </w:t>
      </w:r>
      <w:r w:rsidR="003F0765">
        <w:rPr>
          <w:rFonts w:cstheme="minorHAnsi"/>
          <w:color w:val="000000"/>
          <w:lang w:val="en-GB"/>
        </w:rPr>
        <w:t>the number of specific output variables.</w:t>
      </w:r>
    </w:p>
    <w:p w14:paraId="6FACEA07" w14:textId="0F8595BB" w:rsidR="00CD09A1" w:rsidRDefault="00136382" w:rsidP="00D51ED7">
      <w:pPr>
        <w:pStyle w:val="CETBodytext"/>
        <w:rPr>
          <w:rFonts w:cstheme="minorHAnsi"/>
          <w:color w:val="000000"/>
          <w:lang w:val="en-GB"/>
        </w:rPr>
      </w:pPr>
      <w:r>
        <w:rPr>
          <w:rFonts w:cstheme="minorHAnsi"/>
          <w:color w:val="000000"/>
          <w:lang w:val="en-GB"/>
        </w:rPr>
        <w:tab/>
      </w:r>
      <w:r w:rsidR="00125E7E" w:rsidRPr="00125E7E">
        <w:rPr>
          <w:rFonts w:cstheme="minorHAnsi"/>
          <w:color w:val="000000"/>
          <w:lang w:val="en-GB"/>
        </w:rPr>
        <w:t xml:space="preserve">CCA looks at two sets of variables for modes of maximum correlation between the two sets. Thus, CCA sits at the top of a hierarchy of regression models where it </w:t>
      </w:r>
      <w:r w:rsidR="005175E8">
        <w:rPr>
          <w:rFonts w:cstheme="minorHAnsi"/>
          <w:color w:val="000000"/>
          <w:lang w:val="en-GB"/>
        </w:rPr>
        <w:t>can</w:t>
      </w:r>
      <w:r w:rsidR="00125E7E" w:rsidRPr="00125E7E">
        <w:rPr>
          <w:rFonts w:cstheme="minorHAnsi"/>
          <w:color w:val="000000"/>
          <w:lang w:val="en-GB"/>
        </w:rPr>
        <w:t xml:space="preserve"> manage multiple predictors (inputs) and multiple predictands (outputs)</w:t>
      </w:r>
      <w:proofErr w:type="gramStart"/>
      <w:r w:rsidR="00125E7E" w:rsidRPr="00125E7E">
        <w:rPr>
          <w:rFonts w:cstheme="minorHAnsi"/>
          <w:color w:val="000000"/>
          <w:lang w:val="en-GB"/>
        </w:rPr>
        <w:t xml:space="preserve">. </w:t>
      </w:r>
      <w:r w:rsidR="00E872FE">
        <w:rPr>
          <w:rFonts w:cstheme="minorHAnsi"/>
          <w:color w:val="000000"/>
          <w:lang w:val="en-GB"/>
        </w:rPr>
        <w:t>.</w:t>
      </w:r>
      <w:proofErr w:type="gramEnd"/>
      <w:r w:rsidR="00E872FE">
        <w:rPr>
          <w:rFonts w:cstheme="minorHAnsi"/>
          <w:color w:val="000000"/>
          <w:lang w:val="en-GB"/>
        </w:rPr>
        <w:t xml:space="preserve"> </w:t>
      </w:r>
      <w:r w:rsidR="00125E7E" w:rsidRPr="00125E7E">
        <w:rPr>
          <w:rFonts w:cstheme="minorHAnsi"/>
          <w:color w:val="000000"/>
          <w:lang w:val="en-GB"/>
        </w:rPr>
        <w:t xml:space="preserve">If </w:t>
      </w:r>
      <w:r w:rsidR="00125E7E" w:rsidRPr="00005B03">
        <w:rPr>
          <w:rFonts w:cstheme="minorHAnsi"/>
          <w:b/>
          <w:i/>
          <w:color w:val="000000"/>
          <w:lang w:val="en-GB"/>
        </w:rPr>
        <w:t>x</w:t>
      </w:r>
      <w:r w:rsidR="00125E7E" w:rsidRPr="00125E7E">
        <w:rPr>
          <w:rFonts w:cstheme="minorHAnsi"/>
          <w:color w:val="000000"/>
          <w:lang w:val="en-GB"/>
        </w:rPr>
        <w:t xml:space="preserve"> is the set of predictors and </w:t>
      </w:r>
      <w:r w:rsidR="00125E7E" w:rsidRPr="00005B03">
        <w:rPr>
          <w:rFonts w:cstheme="minorHAnsi"/>
          <w:b/>
          <w:i/>
          <w:color w:val="000000"/>
          <w:lang w:val="en-GB"/>
        </w:rPr>
        <w:t>y</w:t>
      </w:r>
      <w:r w:rsidR="00125E7E" w:rsidRPr="00125E7E">
        <w:rPr>
          <w:rFonts w:cstheme="minorHAnsi"/>
          <w:color w:val="000000"/>
          <w:lang w:val="en-GB"/>
        </w:rPr>
        <w:t xml:space="preserve"> the predictands, then CCA can be used to predict</w:t>
      </w:r>
      <w:r w:rsidR="00125E7E" w:rsidRPr="00005B03">
        <w:rPr>
          <w:rFonts w:cstheme="minorHAnsi"/>
          <w:color w:val="000000"/>
          <w:lang w:val="en-GB"/>
        </w:rPr>
        <w:t xml:space="preserve"> </w:t>
      </w:r>
      <w:r w:rsidR="00125E7E" w:rsidRPr="00005B03">
        <w:rPr>
          <w:rFonts w:cstheme="minorHAnsi"/>
          <w:b/>
          <w:i/>
          <w:color w:val="000000"/>
          <w:lang w:val="en-GB"/>
        </w:rPr>
        <w:t>y</w:t>
      </w:r>
      <w:r w:rsidR="00125E7E" w:rsidRPr="00125E7E">
        <w:rPr>
          <w:rFonts w:cstheme="minorHAnsi"/>
          <w:color w:val="000000"/>
          <w:lang w:val="en-GB"/>
        </w:rPr>
        <w:t xml:space="preserve"> when new observations of </w:t>
      </w:r>
      <w:r w:rsidR="00125E7E" w:rsidRPr="00005B03">
        <w:rPr>
          <w:rFonts w:cstheme="minorHAnsi"/>
          <w:b/>
          <w:i/>
          <w:color w:val="000000"/>
          <w:lang w:val="en-GB"/>
        </w:rPr>
        <w:t>x</w:t>
      </w:r>
      <w:r w:rsidR="00125E7E" w:rsidRPr="00125E7E">
        <w:rPr>
          <w:rFonts w:cstheme="minorHAnsi"/>
          <w:color w:val="000000"/>
          <w:lang w:val="en-GB"/>
        </w:rPr>
        <w:t xml:space="preserve"> become available </w:t>
      </w:r>
      <w:r w:rsidR="00125E7E" w:rsidRPr="00125E7E">
        <w:rPr>
          <w:rFonts w:cstheme="minorHAnsi"/>
          <w:color w:val="000000"/>
          <w:lang w:val="en-GB"/>
        </w:rPr>
        <w:fldChar w:fldCharType="begin" w:fldLock="1"/>
      </w:r>
      <w:r w:rsidR="006F0AB6">
        <w:rPr>
          <w:rFonts w:cstheme="minorHAnsi"/>
          <w:color w:val="000000"/>
          <w:lang w:val="en-GB"/>
        </w:rPr>
        <w:instrText xml:space="preserve"> ADDIN ZOTERO_ITEM CSL_CITATION {"citationID":"XOJ3Y9gd","properties":{"formattedCitation":"(Hsieh, 2000)","plainCitation":"(Hsieh, 2000)","noteIndex":0},"citationItems":[{"id":"bHh0JQ5m/9WhlbeII","uris":["http://www.mendeley.com/documents/?uuid=46a9171a-cd54-4626-af45-db90597d320e"],"itemData":{"DOI":"10.1016/S0893-6080(00)00067-8","ISSN":"08936080","PMID":"11156190","abstract":"Canonical correlation analysis (CCA) is widely used to extract the correlated patterns between two sets of variables. A nonlinear canonical correlation analysis (NLCCA) method is formulated here using three feedforward neural networks. The first network has a double-barreled architecture, and an unconventional cost function, which maximizes the correlation between the two output neurons (the canonical variates). The remaining two networks map from the canonical variates back to the original two sets of variables. Tested on data sets with correlated nonlinear structures, NLCCA showed that the underlying nonlinear structures could be retrieved accurately under moderately noisy conditions. After a mode had been retrieved, NLCCA was applied to the residual to successfully retrieve the next mode. When tested for prediction skills, the NLCCA outperformed the CCA when the two sets of variables contained correlated nonlinear structures.","author":[{"dropping-particle":"","family":"Hsieh","given":"W. W.","non-dropping-particle":"","parse-names":false,"suffix":""}],"container-title":"Neural Networks","id":"ITEM-1","issue":"10","issued":{"date-parts":[["2000"]]},"page":"1095-1105","title":"Nonlinear canonical correlation analysis by neural networks","type":"article-journal","volume":"13"}}],"schema":"https://github.com/citation-style-language/schema/raw/master/csl-citation.json"} </w:instrText>
      </w:r>
      <w:r w:rsidR="00125E7E" w:rsidRPr="00125E7E">
        <w:rPr>
          <w:rFonts w:cstheme="minorHAnsi"/>
          <w:color w:val="000000"/>
          <w:lang w:val="en-GB"/>
        </w:rPr>
        <w:fldChar w:fldCharType="separate"/>
      </w:r>
      <w:r w:rsidR="00D74FB1">
        <w:rPr>
          <w:rFonts w:cstheme="minorHAnsi"/>
          <w:noProof/>
          <w:color w:val="000000"/>
          <w:lang w:val="en-GB"/>
        </w:rPr>
        <w:t>(Hsieh, 2000)</w:t>
      </w:r>
      <w:r w:rsidR="00125E7E" w:rsidRPr="00125E7E">
        <w:rPr>
          <w:rFonts w:cstheme="minorHAnsi"/>
          <w:color w:val="000000"/>
          <w:lang w:val="en-GB"/>
        </w:rPr>
        <w:fldChar w:fldCharType="end"/>
      </w:r>
      <w:r w:rsidR="00125E7E">
        <w:rPr>
          <w:rFonts w:cstheme="minorHAnsi"/>
          <w:color w:val="000000"/>
          <w:lang w:val="en-GB"/>
        </w:rPr>
        <w:t xml:space="preserve">. </w:t>
      </w:r>
      <w:r w:rsidR="00CD09A1" w:rsidRPr="00CD09A1">
        <w:rPr>
          <w:rFonts w:cstheme="minorHAnsi"/>
          <w:color w:val="000000"/>
          <w:lang w:val="en-GB"/>
        </w:rPr>
        <w:t xml:space="preserve">The </w:t>
      </w:r>
      <w:r w:rsidR="00CD09A1">
        <w:rPr>
          <w:rFonts w:cstheme="minorHAnsi"/>
          <w:color w:val="000000"/>
          <w:lang w:val="en-GB"/>
        </w:rPr>
        <w:t>method</w:t>
      </w:r>
      <w:r w:rsidR="00CD09A1" w:rsidRPr="00CD09A1">
        <w:rPr>
          <w:rFonts w:cstheme="minorHAnsi"/>
          <w:color w:val="000000"/>
          <w:lang w:val="en-GB"/>
        </w:rPr>
        <w:t xml:space="preserve"> find</w:t>
      </w:r>
      <w:r w:rsidR="00CD09A1">
        <w:rPr>
          <w:rFonts w:cstheme="minorHAnsi"/>
          <w:color w:val="000000"/>
          <w:lang w:val="en-GB"/>
        </w:rPr>
        <w:t>s</w:t>
      </w:r>
      <w:r w:rsidR="00CD09A1" w:rsidRPr="00CD09A1">
        <w:rPr>
          <w:rFonts w:cstheme="minorHAnsi"/>
          <w:color w:val="000000"/>
          <w:lang w:val="en-GB"/>
        </w:rPr>
        <w:t xml:space="preserve"> linear combina</w:t>
      </w:r>
      <w:r w:rsidR="00CD09A1">
        <w:rPr>
          <w:rFonts w:cstheme="minorHAnsi"/>
          <w:color w:val="000000"/>
          <w:lang w:val="en-GB"/>
        </w:rPr>
        <w:t>tions of the original variables</w:t>
      </w:r>
      <w:r w:rsidR="00D81EEB">
        <w:rPr>
          <w:rFonts w:cstheme="minorHAnsi"/>
          <w:color w:val="000000"/>
          <w:lang w:val="en-GB"/>
        </w:rPr>
        <w:t xml:space="preserve"> b</w:t>
      </w:r>
      <w:r w:rsidR="00D81EEB" w:rsidRPr="003F0765">
        <w:rPr>
          <w:rFonts w:cstheme="minorHAnsi"/>
          <w:color w:val="000000"/>
          <w:lang w:val="en-GB"/>
        </w:rPr>
        <w:t xml:space="preserve">y projecting them onto coefficient vectors </w:t>
      </w:r>
      <w:r w:rsidR="00D81EEB" w:rsidRPr="00B15ADD">
        <w:rPr>
          <w:rFonts w:cstheme="minorHAnsi"/>
          <w:i/>
          <w:color w:val="000000"/>
          <w:lang w:val="en-GB"/>
        </w:rPr>
        <w:t>a</w:t>
      </w:r>
      <w:r w:rsidR="00D81EEB" w:rsidRPr="00B15ADD">
        <w:rPr>
          <w:rFonts w:cstheme="minorHAnsi"/>
          <w:i/>
          <w:color w:val="000000"/>
          <w:vertAlign w:val="subscript"/>
          <w:lang w:val="en-GB"/>
        </w:rPr>
        <w:t>m</w:t>
      </w:r>
      <w:r w:rsidR="00D81EEB" w:rsidRPr="003F0765">
        <w:rPr>
          <w:rFonts w:cstheme="minorHAnsi"/>
          <w:color w:val="000000"/>
          <w:lang w:val="en-GB"/>
        </w:rPr>
        <w:t xml:space="preserve"> and </w:t>
      </w:r>
      <w:r w:rsidR="00D81EEB" w:rsidRPr="00B15ADD">
        <w:rPr>
          <w:rFonts w:cstheme="minorHAnsi"/>
          <w:i/>
          <w:color w:val="000000"/>
          <w:lang w:val="en-GB"/>
        </w:rPr>
        <w:t>b</w:t>
      </w:r>
      <w:r w:rsidR="00D81EEB" w:rsidRPr="00B15ADD">
        <w:rPr>
          <w:rFonts w:cstheme="minorHAnsi"/>
          <w:i/>
          <w:color w:val="000000"/>
          <w:vertAlign w:val="subscript"/>
          <w:lang w:val="en-GB"/>
        </w:rPr>
        <w:t>m</w:t>
      </w:r>
      <w:r w:rsidR="00D81EEB">
        <w:rPr>
          <w:rFonts w:cstheme="minorHAnsi"/>
          <w:color w:val="000000"/>
          <w:lang w:val="en-GB"/>
        </w:rPr>
        <w:t xml:space="preserve">, which </w:t>
      </w:r>
      <w:r w:rsidR="005175E8">
        <w:rPr>
          <w:rFonts w:cstheme="minorHAnsi"/>
          <w:color w:val="000000"/>
          <w:lang w:val="en-GB"/>
        </w:rPr>
        <w:t>is</w:t>
      </w:r>
      <w:r w:rsidR="00D81EEB">
        <w:rPr>
          <w:rFonts w:cstheme="minorHAnsi"/>
          <w:color w:val="000000"/>
          <w:lang w:val="en-GB"/>
        </w:rPr>
        <w:t xml:space="preserve"> chosen </w:t>
      </w:r>
      <w:r w:rsidR="00D81EEB" w:rsidRPr="005229F9">
        <w:rPr>
          <w:rFonts w:cstheme="minorHAnsi"/>
          <w:color w:val="000000"/>
          <w:lang w:val="en-GB"/>
        </w:rPr>
        <w:t>such that each</w:t>
      </w:r>
      <w:r w:rsidR="00D81EEB">
        <w:rPr>
          <w:rFonts w:cstheme="minorHAnsi"/>
          <w:color w:val="000000"/>
          <w:lang w:val="en-GB"/>
        </w:rPr>
        <w:t xml:space="preserve"> </w:t>
      </w:r>
      <w:r w:rsidR="00D81EEB" w:rsidRPr="005229F9">
        <w:rPr>
          <w:rFonts w:cstheme="minorHAnsi"/>
          <w:color w:val="000000"/>
          <w:lang w:val="en-GB"/>
        </w:rPr>
        <w:t xml:space="preserve">pair of the new variables </w:t>
      </w:r>
      <w:proofErr w:type="spellStart"/>
      <w:r w:rsidR="00D81EEB" w:rsidRPr="00B15ADD">
        <w:rPr>
          <w:rFonts w:cstheme="minorHAnsi"/>
          <w:i/>
          <w:color w:val="000000"/>
          <w:lang w:val="en-GB"/>
        </w:rPr>
        <w:t>v</w:t>
      </w:r>
      <w:r w:rsidR="00D81EEB" w:rsidRPr="00B15ADD">
        <w:rPr>
          <w:rFonts w:cstheme="minorHAnsi"/>
          <w:i/>
          <w:color w:val="000000"/>
          <w:vertAlign w:val="subscript"/>
          <w:lang w:val="en-GB"/>
        </w:rPr>
        <w:t>m</w:t>
      </w:r>
      <w:proofErr w:type="spellEnd"/>
      <w:r w:rsidR="00D81EEB" w:rsidRPr="005229F9">
        <w:rPr>
          <w:rFonts w:cstheme="minorHAnsi"/>
          <w:color w:val="000000"/>
          <w:lang w:val="en-GB"/>
        </w:rPr>
        <w:t xml:space="preserve"> and </w:t>
      </w:r>
      <w:proofErr w:type="spellStart"/>
      <w:r w:rsidR="00D81EEB" w:rsidRPr="00B15ADD">
        <w:rPr>
          <w:rFonts w:cstheme="minorHAnsi"/>
          <w:i/>
          <w:color w:val="000000"/>
          <w:lang w:val="en-GB"/>
        </w:rPr>
        <w:t>w</w:t>
      </w:r>
      <w:r w:rsidR="00D81EEB" w:rsidRPr="00B15ADD">
        <w:rPr>
          <w:rFonts w:cstheme="minorHAnsi"/>
          <w:i/>
          <w:color w:val="000000"/>
          <w:vertAlign w:val="subscript"/>
          <w:lang w:val="en-GB"/>
        </w:rPr>
        <w:t>m</w:t>
      </w:r>
      <w:proofErr w:type="spellEnd"/>
      <w:r w:rsidR="00D81EEB" w:rsidRPr="005229F9">
        <w:rPr>
          <w:rFonts w:cstheme="minorHAnsi"/>
          <w:color w:val="000000"/>
          <w:lang w:val="en-GB"/>
        </w:rPr>
        <w:t xml:space="preserve">, called </w:t>
      </w:r>
      <w:r w:rsidR="00D81EEB" w:rsidRPr="005229F9">
        <w:rPr>
          <w:rFonts w:cstheme="minorHAnsi"/>
          <w:i/>
          <w:color w:val="000000"/>
          <w:lang w:val="en-GB"/>
        </w:rPr>
        <w:t>canonical variates</w:t>
      </w:r>
      <w:r w:rsidR="00D81EEB" w:rsidRPr="005229F9">
        <w:rPr>
          <w:rFonts w:cstheme="minorHAnsi"/>
          <w:color w:val="000000"/>
          <w:lang w:val="en-GB"/>
        </w:rPr>
        <w:t>, exhibit maximum correlation, while being uncorrelated with the projections of the data onto any of the other identified patterns</w:t>
      </w:r>
      <w:r w:rsidR="00D81EEB">
        <w:rPr>
          <w:rFonts w:cstheme="minorHAnsi"/>
          <w:color w:val="000000"/>
          <w:lang w:val="en-GB"/>
        </w:rPr>
        <w:t xml:space="preserve"> (Eq. 1a-1b).</w:t>
      </w:r>
    </w:p>
    <w:tbl>
      <w:tblPr>
        <w:tblW w:w="5000" w:type="pct"/>
        <w:tblLook w:val="04A0" w:firstRow="1" w:lastRow="0" w:firstColumn="1" w:lastColumn="0" w:noHBand="0" w:noVBand="1"/>
      </w:tblPr>
      <w:tblGrid>
        <w:gridCol w:w="8222"/>
        <w:gridCol w:w="565"/>
      </w:tblGrid>
      <w:tr w:rsidR="005229F9" w:rsidRPr="00B57B36" w14:paraId="3E303CC7" w14:textId="77777777" w:rsidTr="007E69B8">
        <w:tc>
          <w:tcPr>
            <w:tcW w:w="8222" w:type="dxa"/>
            <w:shd w:val="clear" w:color="auto" w:fill="auto"/>
            <w:vAlign w:val="center"/>
          </w:tcPr>
          <w:p w14:paraId="782E681E" w14:textId="553018B6" w:rsidR="005229F9" w:rsidRPr="0000270D" w:rsidRDefault="00000000" w:rsidP="005229F9">
            <w:pPr>
              <w:pStyle w:val="CETBodytext"/>
              <w:ind w:firstLine="284"/>
            </w:pPr>
            <m:oMathPara>
              <m:oMathParaPr>
                <m:jc m:val="left"/>
              </m:oMathParaPr>
              <m:oMath>
                <m:sSub>
                  <m:sSubPr>
                    <m:ctrlPr>
                      <w:rPr>
                        <w:rFonts w:ascii="Cambria Math" w:hAnsi="Cambria Math" w:cstheme="minorHAnsi"/>
                        <w:i/>
                        <w:color w:val="000000"/>
                        <w:lang w:val="en-GB"/>
                      </w:rPr>
                    </m:ctrlPr>
                  </m:sSubPr>
                  <m:e>
                    <m:r>
                      <w:rPr>
                        <w:rFonts w:ascii="Cambria Math" w:hAnsi="Cambria Math" w:cstheme="minorHAnsi"/>
                        <w:color w:val="000000"/>
                        <w:lang w:val="en-GB"/>
                      </w:rPr>
                      <m:t>v</m:t>
                    </m:r>
                  </m:e>
                  <m:sub>
                    <m:r>
                      <w:rPr>
                        <w:rFonts w:ascii="Cambria Math" w:hAnsi="Cambria Math" w:cstheme="minorHAnsi"/>
                        <w:color w:val="000000"/>
                        <w:lang w:val="en-GB"/>
                      </w:rPr>
                      <m:t>m</m:t>
                    </m:r>
                  </m:sub>
                </m:sSub>
                <m:r>
                  <w:rPr>
                    <w:rFonts w:ascii="Cambria Math" w:hAnsi="Cambria Math" w:cstheme="minorHAnsi"/>
                    <w:color w:val="000000"/>
                    <w:lang w:val="en-GB"/>
                  </w:rPr>
                  <m:t>=</m:t>
                </m:r>
                <m:sSubSup>
                  <m:sSubSupPr>
                    <m:ctrlPr>
                      <w:rPr>
                        <w:rFonts w:ascii="Cambria Math" w:hAnsi="Cambria Math" w:cstheme="minorHAnsi"/>
                        <w:i/>
                        <w:color w:val="000000"/>
                        <w:lang w:val="en-GB"/>
                      </w:rPr>
                    </m:ctrlPr>
                  </m:sSubSupPr>
                  <m:e>
                    <m:r>
                      <w:rPr>
                        <w:rFonts w:ascii="Cambria Math" w:hAnsi="Cambria Math" w:cstheme="minorHAnsi"/>
                        <w:color w:val="000000"/>
                        <w:lang w:val="en-GB"/>
                      </w:rPr>
                      <m:t>a</m:t>
                    </m:r>
                  </m:e>
                  <m:sub>
                    <m:r>
                      <w:rPr>
                        <w:rFonts w:ascii="Cambria Math" w:hAnsi="Cambria Math" w:cstheme="minorHAnsi"/>
                        <w:color w:val="000000"/>
                        <w:lang w:val="en-GB"/>
                      </w:rPr>
                      <m:t>m</m:t>
                    </m:r>
                  </m:sub>
                  <m:sup>
                    <m:r>
                      <w:rPr>
                        <w:rFonts w:ascii="Cambria Math" w:hAnsi="Cambria Math" w:cstheme="minorHAnsi"/>
                        <w:color w:val="000000"/>
                        <w:lang w:val="en-GB"/>
                      </w:rPr>
                      <m:t>T</m:t>
                    </m:r>
                  </m:sup>
                </m:sSubSup>
                <m:sSup>
                  <m:sSupPr>
                    <m:ctrlPr>
                      <w:rPr>
                        <w:rFonts w:ascii="Cambria Math" w:hAnsi="Cambria Math" w:cstheme="minorHAnsi"/>
                        <w:i/>
                        <w:color w:val="000000"/>
                        <w:lang w:val="en-GB"/>
                      </w:rPr>
                    </m:ctrlPr>
                  </m:sSupPr>
                  <m:e>
                    <m:r>
                      <w:rPr>
                        <w:rFonts w:ascii="Cambria Math" w:hAnsi="Cambria Math" w:cstheme="minorHAnsi"/>
                        <w:color w:val="000000"/>
                        <w:lang w:val="en-GB"/>
                      </w:rPr>
                      <m:t>x</m:t>
                    </m:r>
                  </m:e>
                  <m:sup>
                    <m:r>
                      <w:rPr>
                        <w:rFonts w:ascii="Cambria Math" w:hAnsi="Cambria Math" w:cstheme="minorHAnsi"/>
                        <w:color w:val="000000"/>
                        <w:lang w:val="en-GB"/>
                      </w:rPr>
                      <m:t>'</m:t>
                    </m:r>
                  </m:sup>
                </m:sSup>
                <m:r>
                  <w:rPr>
                    <w:rFonts w:ascii="Cambria Math" w:hAnsi="Cambria Math" w:cstheme="minorHAnsi"/>
                    <w:color w:val="000000"/>
                    <w:lang w:val="en-GB"/>
                  </w:rPr>
                  <m:t>=</m:t>
                </m:r>
                <m:nary>
                  <m:naryPr>
                    <m:chr m:val="∑"/>
                    <m:limLoc m:val="undOvr"/>
                    <m:ctrlPr>
                      <w:rPr>
                        <w:rFonts w:ascii="Cambria Math" w:hAnsi="Cambria Math" w:cstheme="minorHAnsi"/>
                        <w:i/>
                        <w:color w:val="000000"/>
                        <w:lang w:val="en-GB"/>
                      </w:rPr>
                    </m:ctrlPr>
                  </m:naryPr>
                  <m:sub>
                    <m:r>
                      <w:rPr>
                        <w:rFonts w:ascii="Cambria Math" w:hAnsi="Cambria Math" w:cstheme="minorHAnsi"/>
                        <w:color w:val="000000"/>
                        <w:lang w:val="en-GB"/>
                      </w:rPr>
                      <m:t>i=1</m:t>
                    </m:r>
                  </m:sub>
                  <m:sup>
                    <m:r>
                      <w:rPr>
                        <w:rFonts w:ascii="Cambria Math" w:hAnsi="Cambria Math" w:cstheme="minorHAnsi"/>
                        <w:color w:val="000000"/>
                        <w:lang w:val="en-GB"/>
                      </w:rPr>
                      <m:t>I</m:t>
                    </m:r>
                  </m:sup>
                  <m:e>
                    <m:sSub>
                      <m:sSubPr>
                        <m:ctrlPr>
                          <w:rPr>
                            <w:rFonts w:ascii="Cambria Math" w:hAnsi="Cambria Math" w:cstheme="minorHAnsi"/>
                            <w:i/>
                            <w:color w:val="000000"/>
                            <w:lang w:val="en-GB"/>
                          </w:rPr>
                        </m:ctrlPr>
                      </m:sSubPr>
                      <m:e>
                        <m:r>
                          <w:rPr>
                            <w:rFonts w:ascii="Cambria Math" w:hAnsi="Cambria Math" w:cstheme="minorHAnsi"/>
                            <w:color w:val="000000"/>
                            <w:lang w:val="en-GB"/>
                          </w:rPr>
                          <m:t>a</m:t>
                        </m:r>
                      </m:e>
                      <m:sub>
                        <m:r>
                          <w:rPr>
                            <w:rFonts w:ascii="Cambria Math" w:hAnsi="Cambria Math" w:cstheme="minorHAnsi"/>
                            <w:color w:val="000000"/>
                            <w:lang w:val="en-GB"/>
                          </w:rPr>
                          <m:t>m,i</m:t>
                        </m:r>
                      </m:sub>
                    </m:sSub>
                    <m:sSubSup>
                      <m:sSubSupPr>
                        <m:ctrlPr>
                          <w:rPr>
                            <w:rFonts w:ascii="Cambria Math" w:hAnsi="Cambria Math" w:cstheme="minorHAnsi"/>
                            <w:i/>
                            <w:color w:val="000000"/>
                            <w:lang w:val="en-GB"/>
                          </w:rPr>
                        </m:ctrlPr>
                      </m:sSubSupPr>
                      <m:e>
                        <m:r>
                          <w:rPr>
                            <w:rFonts w:ascii="Cambria Math" w:hAnsi="Cambria Math" w:cstheme="minorHAnsi"/>
                            <w:color w:val="000000"/>
                            <w:lang w:val="en-GB"/>
                          </w:rPr>
                          <m:t>x</m:t>
                        </m:r>
                      </m:e>
                      <m:sub>
                        <m:r>
                          <w:rPr>
                            <w:rFonts w:ascii="Cambria Math" w:hAnsi="Cambria Math" w:cstheme="minorHAnsi"/>
                            <w:color w:val="000000"/>
                            <w:lang w:val="en-GB"/>
                          </w:rPr>
                          <m:t>i</m:t>
                        </m:r>
                      </m:sub>
                      <m:sup>
                        <m:r>
                          <w:rPr>
                            <w:rFonts w:ascii="Cambria Math" w:hAnsi="Cambria Math" w:cstheme="minorHAnsi"/>
                            <w:color w:val="000000"/>
                            <w:lang w:val="en-GB"/>
                          </w:rPr>
                          <m:t>'</m:t>
                        </m:r>
                      </m:sup>
                    </m:sSubSup>
                  </m:e>
                </m:nary>
                <m:r>
                  <w:rPr>
                    <w:rFonts w:ascii="Cambria Math" w:hAnsi="Cambria Math" w:cstheme="minorHAnsi"/>
                    <w:color w:val="000000"/>
                    <w:lang w:val="en-GB"/>
                  </w:rPr>
                  <m:t xml:space="preserve">,     m=1,…, </m:t>
                </m:r>
                <m:r>
                  <m:rPr>
                    <m:sty m:val="p"/>
                  </m:rPr>
                  <w:rPr>
                    <w:rFonts w:ascii="Cambria Math" w:hAnsi="Cambria Math" w:cstheme="minorHAnsi"/>
                    <w:color w:val="000000"/>
                    <w:lang w:val="en-GB"/>
                  </w:rPr>
                  <m:t>min⁡</m:t>
                </m:r>
                <m:r>
                  <w:rPr>
                    <w:rFonts w:ascii="Cambria Math" w:hAnsi="Cambria Math" w:cstheme="minorHAnsi"/>
                    <w:color w:val="000000"/>
                    <w:lang w:val="en-GB"/>
                  </w:rPr>
                  <m:t>(I,J)</m:t>
                </m:r>
              </m:oMath>
            </m:oMathPara>
          </w:p>
        </w:tc>
        <w:tc>
          <w:tcPr>
            <w:tcW w:w="565" w:type="dxa"/>
            <w:shd w:val="clear" w:color="auto" w:fill="auto"/>
            <w:vAlign w:val="center"/>
          </w:tcPr>
          <w:p w14:paraId="275D37BE" w14:textId="255C81B4" w:rsidR="005229F9" w:rsidRPr="00B57B36" w:rsidRDefault="005229F9" w:rsidP="00537DBA">
            <w:pPr>
              <w:pStyle w:val="CETEquation"/>
              <w:jc w:val="right"/>
            </w:pPr>
            <w:r w:rsidRPr="00B57B36">
              <w:t>(1</w:t>
            </w:r>
            <w:r>
              <w:t>a</w:t>
            </w:r>
            <w:r w:rsidRPr="00B57B36">
              <w:t>)</w:t>
            </w:r>
          </w:p>
        </w:tc>
      </w:tr>
      <w:tr w:rsidR="005229F9" w:rsidRPr="00B57B36" w14:paraId="52DCD6BB" w14:textId="77777777" w:rsidTr="007E69B8">
        <w:tc>
          <w:tcPr>
            <w:tcW w:w="8222" w:type="dxa"/>
            <w:shd w:val="clear" w:color="auto" w:fill="auto"/>
            <w:vAlign w:val="center"/>
          </w:tcPr>
          <w:p w14:paraId="0CE952AF" w14:textId="23819649" w:rsidR="005229F9" w:rsidRPr="0000270D" w:rsidRDefault="00000000" w:rsidP="005229F9">
            <w:pPr>
              <w:pStyle w:val="CETBodytext"/>
              <w:ind w:firstLine="284"/>
              <w:rPr>
                <w:rFonts w:cstheme="minorHAnsi"/>
                <w:color w:val="000000"/>
                <w:lang w:val="en-GB"/>
              </w:rPr>
            </w:pPr>
            <m:oMathPara>
              <m:oMathParaPr>
                <m:jc m:val="left"/>
              </m:oMathParaPr>
              <m:oMath>
                <m:sSub>
                  <m:sSubPr>
                    <m:ctrlPr>
                      <w:rPr>
                        <w:rFonts w:ascii="Cambria Math" w:hAnsi="Cambria Math" w:cstheme="minorHAnsi"/>
                        <w:i/>
                        <w:color w:val="000000"/>
                        <w:lang w:val="en-GB"/>
                      </w:rPr>
                    </m:ctrlPr>
                  </m:sSubPr>
                  <m:e>
                    <m:r>
                      <w:rPr>
                        <w:rFonts w:ascii="Cambria Math" w:hAnsi="Cambria Math" w:cstheme="minorHAnsi"/>
                        <w:color w:val="000000"/>
                        <w:lang w:val="en-GB"/>
                      </w:rPr>
                      <m:t>w</m:t>
                    </m:r>
                  </m:e>
                  <m:sub>
                    <m:r>
                      <w:rPr>
                        <w:rFonts w:ascii="Cambria Math" w:hAnsi="Cambria Math" w:cstheme="minorHAnsi"/>
                        <w:color w:val="000000"/>
                        <w:lang w:val="en-GB"/>
                      </w:rPr>
                      <m:t>m</m:t>
                    </m:r>
                  </m:sub>
                </m:sSub>
                <m:r>
                  <w:rPr>
                    <w:rFonts w:ascii="Cambria Math" w:hAnsi="Cambria Math" w:cstheme="minorHAnsi"/>
                    <w:color w:val="000000"/>
                    <w:lang w:val="en-GB"/>
                  </w:rPr>
                  <m:t>=</m:t>
                </m:r>
                <m:sSubSup>
                  <m:sSubSupPr>
                    <m:ctrlPr>
                      <w:rPr>
                        <w:rFonts w:ascii="Cambria Math" w:hAnsi="Cambria Math" w:cstheme="minorHAnsi"/>
                        <w:i/>
                        <w:color w:val="000000"/>
                        <w:lang w:val="en-GB"/>
                      </w:rPr>
                    </m:ctrlPr>
                  </m:sSubSupPr>
                  <m:e>
                    <m:r>
                      <w:rPr>
                        <w:rFonts w:ascii="Cambria Math" w:hAnsi="Cambria Math" w:cstheme="minorHAnsi"/>
                        <w:color w:val="000000"/>
                        <w:lang w:val="en-GB"/>
                      </w:rPr>
                      <m:t>b</m:t>
                    </m:r>
                  </m:e>
                  <m:sub>
                    <m:r>
                      <w:rPr>
                        <w:rFonts w:ascii="Cambria Math" w:hAnsi="Cambria Math" w:cstheme="minorHAnsi"/>
                        <w:color w:val="000000"/>
                        <w:lang w:val="en-GB"/>
                      </w:rPr>
                      <m:t>m</m:t>
                    </m:r>
                  </m:sub>
                  <m:sup>
                    <m:r>
                      <w:rPr>
                        <w:rFonts w:ascii="Cambria Math" w:hAnsi="Cambria Math" w:cstheme="minorHAnsi"/>
                        <w:color w:val="000000"/>
                        <w:lang w:val="en-GB"/>
                      </w:rPr>
                      <m:t>T</m:t>
                    </m:r>
                  </m:sup>
                </m:sSubSup>
                <m:sSup>
                  <m:sSupPr>
                    <m:ctrlPr>
                      <w:rPr>
                        <w:rFonts w:ascii="Cambria Math" w:hAnsi="Cambria Math" w:cstheme="minorHAnsi"/>
                        <w:i/>
                        <w:color w:val="000000"/>
                        <w:lang w:val="en-GB"/>
                      </w:rPr>
                    </m:ctrlPr>
                  </m:sSupPr>
                  <m:e>
                    <m:r>
                      <w:rPr>
                        <w:rFonts w:ascii="Cambria Math" w:hAnsi="Cambria Math" w:cstheme="minorHAnsi"/>
                        <w:color w:val="000000"/>
                        <w:lang w:val="en-GB"/>
                      </w:rPr>
                      <m:t>y</m:t>
                    </m:r>
                  </m:e>
                  <m:sup>
                    <m:r>
                      <w:rPr>
                        <w:rFonts w:ascii="Cambria Math" w:hAnsi="Cambria Math" w:cstheme="minorHAnsi"/>
                        <w:color w:val="000000"/>
                        <w:lang w:val="en-GB"/>
                      </w:rPr>
                      <m:t>'</m:t>
                    </m:r>
                  </m:sup>
                </m:sSup>
                <m:r>
                  <w:rPr>
                    <w:rFonts w:ascii="Cambria Math" w:hAnsi="Cambria Math" w:cstheme="minorHAnsi"/>
                    <w:color w:val="000000"/>
                    <w:lang w:val="en-GB"/>
                  </w:rPr>
                  <m:t>=</m:t>
                </m:r>
                <m:nary>
                  <m:naryPr>
                    <m:chr m:val="∑"/>
                    <m:limLoc m:val="undOvr"/>
                    <m:ctrlPr>
                      <w:rPr>
                        <w:rFonts w:ascii="Cambria Math" w:hAnsi="Cambria Math" w:cstheme="minorHAnsi"/>
                        <w:i/>
                        <w:color w:val="000000"/>
                        <w:lang w:val="en-GB"/>
                      </w:rPr>
                    </m:ctrlPr>
                  </m:naryPr>
                  <m:sub>
                    <m:r>
                      <w:rPr>
                        <w:rFonts w:ascii="Cambria Math" w:hAnsi="Cambria Math" w:cstheme="minorHAnsi"/>
                        <w:color w:val="000000"/>
                        <w:lang w:val="en-GB"/>
                      </w:rPr>
                      <m:t>j=1</m:t>
                    </m:r>
                  </m:sub>
                  <m:sup>
                    <m:r>
                      <w:rPr>
                        <w:rFonts w:ascii="Cambria Math" w:hAnsi="Cambria Math" w:cstheme="minorHAnsi"/>
                        <w:color w:val="000000"/>
                        <w:lang w:val="en-GB"/>
                      </w:rPr>
                      <m:t>J</m:t>
                    </m:r>
                  </m:sup>
                  <m:e>
                    <m:sSub>
                      <m:sSubPr>
                        <m:ctrlPr>
                          <w:rPr>
                            <w:rFonts w:ascii="Cambria Math" w:hAnsi="Cambria Math" w:cstheme="minorHAnsi"/>
                            <w:i/>
                            <w:color w:val="000000"/>
                            <w:lang w:val="en-GB"/>
                          </w:rPr>
                        </m:ctrlPr>
                      </m:sSubPr>
                      <m:e>
                        <m:r>
                          <w:rPr>
                            <w:rFonts w:ascii="Cambria Math" w:hAnsi="Cambria Math" w:cstheme="minorHAnsi"/>
                            <w:color w:val="000000"/>
                            <w:lang w:val="en-GB"/>
                          </w:rPr>
                          <m:t>b</m:t>
                        </m:r>
                      </m:e>
                      <m:sub>
                        <m:r>
                          <w:rPr>
                            <w:rFonts w:ascii="Cambria Math" w:hAnsi="Cambria Math" w:cstheme="minorHAnsi"/>
                            <w:color w:val="000000"/>
                            <w:lang w:val="en-GB"/>
                          </w:rPr>
                          <m:t>m,j</m:t>
                        </m:r>
                      </m:sub>
                    </m:sSub>
                    <m:sSubSup>
                      <m:sSubSupPr>
                        <m:ctrlPr>
                          <w:rPr>
                            <w:rFonts w:ascii="Cambria Math" w:hAnsi="Cambria Math" w:cstheme="minorHAnsi"/>
                            <w:i/>
                            <w:color w:val="000000"/>
                            <w:lang w:val="en-GB"/>
                          </w:rPr>
                        </m:ctrlPr>
                      </m:sSubSupPr>
                      <m:e>
                        <m:r>
                          <w:rPr>
                            <w:rFonts w:ascii="Cambria Math" w:hAnsi="Cambria Math" w:cstheme="minorHAnsi"/>
                            <w:color w:val="000000"/>
                            <w:lang w:val="en-GB"/>
                          </w:rPr>
                          <m:t>y</m:t>
                        </m:r>
                      </m:e>
                      <m:sub>
                        <m:r>
                          <w:rPr>
                            <w:rFonts w:ascii="Cambria Math" w:hAnsi="Cambria Math" w:cstheme="minorHAnsi"/>
                            <w:color w:val="000000"/>
                            <w:lang w:val="en-GB"/>
                          </w:rPr>
                          <m:t>j</m:t>
                        </m:r>
                      </m:sub>
                      <m:sup>
                        <m:r>
                          <w:rPr>
                            <w:rFonts w:ascii="Cambria Math" w:hAnsi="Cambria Math" w:cstheme="minorHAnsi"/>
                            <w:color w:val="000000"/>
                            <w:lang w:val="en-GB"/>
                          </w:rPr>
                          <m:t>'</m:t>
                        </m:r>
                      </m:sup>
                    </m:sSubSup>
                  </m:e>
                </m:nary>
                <m:r>
                  <w:rPr>
                    <w:rFonts w:ascii="Cambria Math" w:hAnsi="Cambria Math" w:cstheme="minorHAnsi"/>
                    <w:color w:val="000000"/>
                    <w:lang w:val="en-GB"/>
                  </w:rPr>
                  <m:t xml:space="preserve">,     m=1,…, </m:t>
                </m:r>
                <m:r>
                  <m:rPr>
                    <m:sty m:val="p"/>
                  </m:rPr>
                  <w:rPr>
                    <w:rFonts w:ascii="Cambria Math" w:hAnsi="Cambria Math" w:cstheme="minorHAnsi"/>
                    <w:color w:val="000000"/>
                    <w:lang w:val="en-GB"/>
                  </w:rPr>
                  <m:t>min⁡</m:t>
                </m:r>
                <m:r>
                  <w:rPr>
                    <w:rFonts w:ascii="Cambria Math" w:hAnsi="Cambria Math" w:cstheme="minorHAnsi"/>
                    <w:color w:val="000000"/>
                    <w:lang w:val="en-GB"/>
                  </w:rPr>
                  <m:t>(I,J)</m:t>
                </m:r>
              </m:oMath>
            </m:oMathPara>
          </w:p>
        </w:tc>
        <w:tc>
          <w:tcPr>
            <w:tcW w:w="565" w:type="dxa"/>
            <w:shd w:val="clear" w:color="auto" w:fill="auto"/>
            <w:vAlign w:val="center"/>
          </w:tcPr>
          <w:p w14:paraId="6E15BC11" w14:textId="398658A4" w:rsidR="005229F9" w:rsidRPr="00B57B36" w:rsidRDefault="005229F9" w:rsidP="005229F9">
            <w:pPr>
              <w:pStyle w:val="CETEquation"/>
              <w:jc w:val="right"/>
            </w:pPr>
            <w:r w:rsidRPr="00B57B36">
              <w:t>(</w:t>
            </w:r>
            <w:r>
              <w:t>1b</w:t>
            </w:r>
            <w:r w:rsidRPr="00B57B36">
              <w:t>)</w:t>
            </w:r>
          </w:p>
        </w:tc>
      </w:tr>
    </w:tbl>
    <w:p w14:paraId="679AB34F" w14:textId="3A659E99" w:rsidR="003F0765" w:rsidRDefault="005229F9" w:rsidP="002933CF">
      <w:pPr>
        <w:pStyle w:val="CETBodytext"/>
        <w:rPr>
          <w:rFonts w:cstheme="minorHAnsi"/>
          <w:color w:val="000000"/>
          <w:lang w:val="en-GB"/>
        </w:rPr>
      </w:pPr>
      <w:r>
        <w:rPr>
          <w:rFonts w:cstheme="minorHAnsi"/>
          <w:color w:val="000000"/>
          <w:lang w:val="en-GB"/>
        </w:rPr>
        <w:t>In other words, CCA iden</w:t>
      </w:r>
      <w:r w:rsidRPr="005229F9">
        <w:rPr>
          <w:rFonts w:cstheme="minorHAnsi"/>
          <w:color w:val="000000"/>
          <w:lang w:val="en-GB"/>
        </w:rPr>
        <w:t xml:space="preserve">tifies new variables that maximize the interrelationships between two data sets in this sense. The vectors of linear combination weights </w:t>
      </w:r>
      <w:r w:rsidRPr="00B15ADD">
        <w:rPr>
          <w:rFonts w:cstheme="minorHAnsi"/>
          <w:i/>
          <w:color w:val="000000"/>
          <w:lang w:val="en-GB"/>
        </w:rPr>
        <w:t>a</w:t>
      </w:r>
      <w:r w:rsidRPr="00B15ADD">
        <w:rPr>
          <w:rFonts w:cstheme="minorHAnsi"/>
          <w:i/>
          <w:color w:val="000000"/>
          <w:vertAlign w:val="subscript"/>
          <w:lang w:val="en-GB"/>
        </w:rPr>
        <w:t>m</w:t>
      </w:r>
      <w:r w:rsidRPr="00B15ADD">
        <w:rPr>
          <w:rFonts w:cstheme="minorHAnsi"/>
          <w:i/>
          <w:color w:val="000000"/>
          <w:lang w:val="en-GB"/>
        </w:rPr>
        <w:t xml:space="preserve"> </w:t>
      </w:r>
      <w:r w:rsidRPr="005229F9">
        <w:rPr>
          <w:rFonts w:cstheme="minorHAnsi"/>
          <w:color w:val="000000"/>
          <w:lang w:val="en-GB"/>
        </w:rPr>
        <w:t xml:space="preserve">and </w:t>
      </w:r>
      <w:r w:rsidRPr="00B15ADD">
        <w:rPr>
          <w:rFonts w:cstheme="minorHAnsi"/>
          <w:i/>
          <w:color w:val="000000"/>
          <w:lang w:val="en-GB"/>
        </w:rPr>
        <w:t>b</w:t>
      </w:r>
      <w:r w:rsidRPr="00B15ADD">
        <w:rPr>
          <w:rFonts w:cstheme="minorHAnsi"/>
          <w:i/>
          <w:color w:val="000000"/>
          <w:vertAlign w:val="subscript"/>
          <w:lang w:val="en-GB"/>
        </w:rPr>
        <w:t>m</w:t>
      </w:r>
      <w:r w:rsidRPr="005229F9">
        <w:rPr>
          <w:rFonts w:cstheme="minorHAnsi"/>
          <w:color w:val="000000"/>
          <w:lang w:val="en-GB"/>
        </w:rPr>
        <w:t xml:space="preserve">, are called the </w:t>
      </w:r>
      <w:r w:rsidRPr="005229F9">
        <w:rPr>
          <w:rFonts w:cstheme="minorHAnsi"/>
          <w:i/>
          <w:color w:val="000000"/>
          <w:lang w:val="en-GB"/>
        </w:rPr>
        <w:t>canonical vectors</w:t>
      </w:r>
      <w:r w:rsidRPr="005229F9">
        <w:rPr>
          <w:rFonts w:cstheme="minorHAnsi"/>
          <w:color w:val="000000"/>
          <w:lang w:val="en-GB"/>
        </w:rPr>
        <w:t>.</w:t>
      </w:r>
      <w:r>
        <w:rPr>
          <w:rFonts w:cstheme="minorHAnsi"/>
          <w:color w:val="000000"/>
          <w:lang w:val="en-GB"/>
        </w:rPr>
        <w:t xml:space="preserve"> </w:t>
      </w:r>
      <w:r w:rsidRPr="005229F9">
        <w:rPr>
          <w:rFonts w:cstheme="minorHAnsi"/>
          <w:color w:val="000000"/>
          <w:lang w:val="en-GB"/>
        </w:rPr>
        <w:t xml:space="preserve">The number of pairs, M, of canonical variates that can be extracted from the two data sets is equal </w:t>
      </w:r>
      <w:proofErr w:type="gramStart"/>
      <w:r w:rsidRPr="005229F9">
        <w:rPr>
          <w:rFonts w:cstheme="minorHAnsi"/>
          <w:color w:val="000000"/>
          <w:lang w:val="en-GB"/>
        </w:rPr>
        <w:t xml:space="preserve">to </w:t>
      </w:r>
      <w:r w:rsidR="00990F84">
        <w:rPr>
          <w:rFonts w:cstheme="minorHAnsi"/>
          <w:color w:val="000000"/>
          <w:lang w:val="en-GB"/>
        </w:rPr>
        <w:t xml:space="preserve"> the</w:t>
      </w:r>
      <w:proofErr w:type="gramEnd"/>
      <w:r w:rsidR="00990F84">
        <w:rPr>
          <w:rFonts w:cstheme="minorHAnsi"/>
          <w:color w:val="000000"/>
          <w:lang w:val="en-GB"/>
        </w:rPr>
        <w:t xml:space="preserve"> smaller of</w:t>
      </w:r>
      <w:r w:rsidRPr="005229F9">
        <w:rPr>
          <w:rFonts w:cstheme="minorHAnsi"/>
          <w:color w:val="000000"/>
          <w:lang w:val="en-GB"/>
        </w:rPr>
        <w:t xml:space="preserve"> the dimensions of </w:t>
      </w:r>
      <w:r w:rsidRPr="005229F9">
        <w:rPr>
          <w:rFonts w:cstheme="minorHAnsi"/>
          <w:b/>
          <w:i/>
          <w:color w:val="000000"/>
          <w:lang w:val="en-GB"/>
        </w:rPr>
        <w:t>x</w:t>
      </w:r>
      <w:r w:rsidRPr="005229F9">
        <w:rPr>
          <w:rFonts w:cstheme="minorHAnsi"/>
          <w:color w:val="000000"/>
          <w:lang w:val="en-GB"/>
        </w:rPr>
        <w:t xml:space="preserve"> and </w:t>
      </w:r>
      <w:r w:rsidRPr="005229F9">
        <w:rPr>
          <w:rFonts w:cstheme="minorHAnsi"/>
          <w:b/>
          <w:i/>
          <w:color w:val="000000"/>
          <w:lang w:val="en-GB"/>
        </w:rPr>
        <w:t>y</w:t>
      </w:r>
      <w:r w:rsidRPr="005229F9">
        <w:rPr>
          <w:rFonts w:cstheme="minorHAnsi"/>
          <w:color w:val="000000"/>
          <w:lang w:val="en-GB"/>
        </w:rPr>
        <w:t>.</w:t>
      </w:r>
      <w:r>
        <w:rPr>
          <w:rFonts w:cstheme="minorHAnsi"/>
          <w:color w:val="000000"/>
          <w:lang w:val="en-GB"/>
        </w:rPr>
        <w:t xml:space="preserve"> </w:t>
      </w:r>
      <w:r w:rsidRPr="005229F9">
        <w:rPr>
          <w:rFonts w:cstheme="minorHAnsi"/>
          <w:color w:val="000000"/>
          <w:lang w:val="en-GB"/>
        </w:rPr>
        <w:t xml:space="preserve">The canonical vectors </w:t>
      </w:r>
      <w:r w:rsidRPr="00B15ADD">
        <w:rPr>
          <w:rFonts w:cstheme="minorHAnsi"/>
          <w:i/>
          <w:color w:val="000000"/>
          <w:lang w:val="en-GB"/>
        </w:rPr>
        <w:t>a</w:t>
      </w:r>
      <w:r w:rsidRPr="00B15ADD">
        <w:rPr>
          <w:rFonts w:cstheme="minorHAnsi"/>
          <w:i/>
          <w:color w:val="000000"/>
          <w:vertAlign w:val="subscript"/>
          <w:lang w:val="en-GB"/>
        </w:rPr>
        <w:t>m</w:t>
      </w:r>
      <w:r w:rsidRPr="00B15ADD">
        <w:rPr>
          <w:rFonts w:cstheme="minorHAnsi"/>
          <w:i/>
          <w:color w:val="000000"/>
          <w:lang w:val="en-GB"/>
        </w:rPr>
        <w:t xml:space="preserve"> </w:t>
      </w:r>
      <w:r w:rsidRPr="005229F9">
        <w:rPr>
          <w:rFonts w:cstheme="minorHAnsi"/>
          <w:color w:val="000000"/>
          <w:lang w:val="en-GB"/>
        </w:rPr>
        <w:t xml:space="preserve">and </w:t>
      </w:r>
      <w:r w:rsidRPr="006950BB">
        <w:rPr>
          <w:rFonts w:cstheme="minorHAnsi"/>
          <w:i/>
          <w:iCs/>
          <w:color w:val="000000"/>
          <w:lang w:val="en-GB"/>
        </w:rPr>
        <w:t>b</w:t>
      </w:r>
      <w:r w:rsidRPr="006950BB">
        <w:rPr>
          <w:rFonts w:cstheme="minorHAnsi"/>
          <w:i/>
          <w:iCs/>
          <w:color w:val="000000"/>
          <w:vertAlign w:val="subscript"/>
          <w:lang w:val="en-GB"/>
        </w:rPr>
        <w:t>m</w:t>
      </w:r>
      <w:r w:rsidRPr="005229F9">
        <w:rPr>
          <w:rFonts w:cstheme="minorHAnsi"/>
          <w:color w:val="000000"/>
          <w:lang w:val="en-GB"/>
        </w:rPr>
        <w:t xml:space="preserve"> </w:t>
      </w:r>
      <w:r w:rsidR="005175E8">
        <w:rPr>
          <w:rFonts w:cstheme="minorHAnsi"/>
          <w:color w:val="000000"/>
          <w:lang w:val="en-GB"/>
        </w:rPr>
        <w:t>is</w:t>
      </w:r>
      <w:r w:rsidRPr="005229F9">
        <w:rPr>
          <w:rFonts w:cstheme="minorHAnsi"/>
          <w:color w:val="000000"/>
          <w:lang w:val="en-GB"/>
        </w:rPr>
        <w:t xml:space="preserve"> the choices that result in the canonical variates </w:t>
      </w:r>
      <w:r w:rsidR="00FE15B1">
        <w:rPr>
          <w:rFonts w:cstheme="minorHAnsi"/>
          <w:color w:val="000000"/>
          <w:lang w:val="en-GB"/>
        </w:rPr>
        <w:t xml:space="preserve">(Eq. 2a-2d) </w:t>
      </w:r>
      <w:r w:rsidRPr="005229F9">
        <w:rPr>
          <w:rFonts w:cstheme="minorHAnsi"/>
          <w:color w:val="000000"/>
          <w:lang w:val="en-GB"/>
        </w:rPr>
        <w:t>having the</w:t>
      </w:r>
      <w:r>
        <w:rPr>
          <w:rFonts w:cstheme="minorHAnsi"/>
          <w:color w:val="000000"/>
          <w:lang w:val="en-GB"/>
        </w:rPr>
        <w:t xml:space="preserve"> following </w:t>
      </w:r>
      <w:r w:rsidRPr="005229F9">
        <w:rPr>
          <w:rFonts w:cstheme="minorHAnsi"/>
          <w:color w:val="000000"/>
          <w:lang w:val="en-GB"/>
        </w:rPr>
        <w:t>properties</w:t>
      </w:r>
      <w:r>
        <w:rPr>
          <w:rFonts w:cstheme="minorHAnsi"/>
          <w:color w:val="000000"/>
          <w:lang w:val="en-GB"/>
        </w:rPr>
        <w:t>:</w:t>
      </w:r>
    </w:p>
    <w:tbl>
      <w:tblPr>
        <w:tblW w:w="5000" w:type="pct"/>
        <w:tblLook w:val="04A0" w:firstRow="1" w:lastRow="0" w:firstColumn="1" w:lastColumn="0" w:noHBand="0" w:noVBand="1"/>
      </w:tblPr>
      <w:tblGrid>
        <w:gridCol w:w="8250"/>
        <w:gridCol w:w="537"/>
      </w:tblGrid>
      <w:tr w:rsidR="005229F9" w:rsidRPr="00B57B36" w14:paraId="6A1B4332" w14:textId="77777777" w:rsidTr="007E69B8">
        <w:tc>
          <w:tcPr>
            <w:tcW w:w="8364" w:type="dxa"/>
            <w:shd w:val="clear" w:color="auto" w:fill="auto"/>
            <w:vAlign w:val="center"/>
          </w:tcPr>
          <w:p w14:paraId="24606DB3" w14:textId="5EB91356" w:rsidR="005229F9" w:rsidRPr="0000270D" w:rsidRDefault="005229F9" w:rsidP="00FE15B1">
            <w:pPr>
              <w:pStyle w:val="CETEquation"/>
            </w:pPr>
            <m:oMathPara>
              <m:oMathParaPr>
                <m:jc m:val="left"/>
              </m:oMathParaPr>
              <m:oMath>
                <m:r>
                  <w:rPr>
                    <w:rFonts w:ascii="Cambria Math" w:hAnsi="Cambria Math"/>
                  </w:rPr>
                  <m:t>Corr</m:t>
                </m:r>
                <m:d>
                  <m:dPr>
                    <m:ctrlPr>
                      <w:rPr>
                        <w:rFonts w:ascii="Cambria Math" w:hAnsi="Cambria Math"/>
                      </w:rPr>
                    </m:ctrlPr>
                  </m:dPr>
                  <m:e>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e>
                </m:d>
                <m:r>
                  <m:rPr>
                    <m:sty m:val="p"/>
                  </m:rPr>
                  <w:rPr>
                    <w:rFonts w:ascii="Cambria Math" w:hAnsi="Cambria Math"/>
                  </w:rPr>
                  <m:t>≥</m:t>
                </m:r>
                <m:r>
                  <w:rPr>
                    <w:rFonts w:ascii="Cambria Math" w:hAnsi="Cambria Math"/>
                  </w:rPr>
                  <m:t>Corr</m:t>
                </m:r>
                <m:d>
                  <m:dPr>
                    <m:ctrlPr>
                      <w:rPr>
                        <w:rFonts w:ascii="Cambria Math" w:hAnsi="Cambria Math"/>
                      </w:rPr>
                    </m:ctrlPr>
                  </m:dPr>
                  <m:e>
                    <m:sSub>
                      <m:sSubPr>
                        <m:ctrlPr>
                          <w:rPr>
                            <w:rFonts w:ascii="Cambria Math" w:hAnsi="Cambria Math"/>
                          </w:rPr>
                        </m:ctrlPr>
                      </m:sSubPr>
                      <m:e>
                        <m:r>
                          <w:rPr>
                            <w:rFonts w:ascii="Cambria Math" w:hAnsi="Cambria Math"/>
                          </w:rPr>
                          <m:t>v</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e>
                </m:d>
                <m:r>
                  <m:rPr>
                    <m:sty m:val="p"/>
                  </m:rPr>
                  <w:rPr>
                    <w:rFonts w:ascii="Cambria Math" w:hAnsi="Cambria Math"/>
                  </w:rPr>
                  <m:t>≥…≥</m:t>
                </m:r>
                <m:r>
                  <w:rPr>
                    <w:rFonts w:ascii="Cambria Math" w:hAnsi="Cambria Math"/>
                  </w:rPr>
                  <m:t>Corr</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M</m:t>
                        </m:r>
                      </m:sub>
                    </m:sSub>
                  </m:e>
                </m:d>
                <m:r>
                  <m:rPr>
                    <m:sty m:val="p"/>
                  </m:rPr>
                  <w:rPr>
                    <w:rFonts w:ascii="Cambria Math" w:hAnsi="Cambria Math"/>
                  </w:rPr>
                  <m:t>≥0</m:t>
                </m:r>
              </m:oMath>
            </m:oMathPara>
          </w:p>
        </w:tc>
        <w:tc>
          <w:tcPr>
            <w:tcW w:w="423" w:type="dxa"/>
            <w:shd w:val="clear" w:color="auto" w:fill="auto"/>
            <w:vAlign w:val="center"/>
          </w:tcPr>
          <w:p w14:paraId="225D232D" w14:textId="7CCD8830" w:rsidR="005229F9" w:rsidRPr="00B57B36" w:rsidRDefault="005229F9" w:rsidP="00FE15B1">
            <w:pPr>
              <w:pStyle w:val="CETEquation"/>
            </w:pPr>
            <w:r w:rsidRPr="00B57B36">
              <w:t>(</w:t>
            </w:r>
            <w:r>
              <w:t>2a</w:t>
            </w:r>
            <w:r w:rsidRPr="00B57B36">
              <w:t>)</w:t>
            </w:r>
          </w:p>
        </w:tc>
      </w:tr>
      <w:tr w:rsidR="005229F9" w:rsidRPr="00B57B36" w14:paraId="456CEB97" w14:textId="77777777" w:rsidTr="007E69B8">
        <w:tc>
          <w:tcPr>
            <w:tcW w:w="8364" w:type="dxa"/>
            <w:shd w:val="clear" w:color="auto" w:fill="auto"/>
            <w:vAlign w:val="center"/>
          </w:tcPr>
          <w:p w14:paraId="52F9A780" w14:textId="4C5FB95B" w:rsidR="005229F9" w:rsidRPr="0000270D" w:rsidRDefault="005229F9" w:rsidP="00FE15B1">
            <w:pPr>
              <w:pStyle w:val="CETEquation"/>
              <w:rPr>
                <w:rFonts w:cs="Calibri"/>
              </w:rPr>
            </w:pPr>
            <m:oMathPara>
              <m:oMathParaPr>
                <m:jc m:val="left"/>
              </m:oMathParaPr>
              <m:oMath>
                <m:r>
                  <w:rPr>
                    <w:rFonts w:ascii="Cambria Math" w:hAnsi="Cambria Math"/>
                  </w:rPr>
                  <m:t>Corr</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m</m:t>
                        </m:r>
                      </m:sub>
                    </m:sSub>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C</m:t>
                                </m:r>
                              </m:e>
                              <m:sub>
                                <m:r>
                                  <w:rPr>
                                    <w:rFonts w:ascii="Cambria Math" w:hAnsi="Cambria Math"/>
                                  </w:rPr>
                                  <m:t>m</m:t>
                                </m:r>
                              </m:sub>
                            </m:sSub>
                          </m:sub>
                        </m:sSub>
                        <m:r>
                          <m:rPr>
                            <m:sty m:val="p"/>
                          </m:rPr>
                          <w:rPr>
                            <w:rFonts w:ascii="Cambria Math" w:hAnsi="Cambria Math"/>
                          </w:rPr>
                          <m:t xml:space="preserve">,   </m:t>
                        </m:r>
                        <m:r>
                          <w:rPr>
                            <w:rFonts w:ascii="Cambria Math" w:hAnsi="Cambria Math"/>
                          </w:rPr>
                          <m:t>k</m:t>
                        </m:r>
                        <m:r>
                          <m:rPr>
                            <m:sty m:val="p"/>
                          </m:rPr>
                          <w:rPr>
                            <w:rFonts w:ascii="Cambria Math" w:hAnsi="Cambria Math"/>
                          </w:rPr>
                          <m:t>=</m:t>
                        </m:r>
                        <m:r>
                          <w:rPr>
                            <w:rFonts w:ascii="Cambria Math" w:hAnsi="Cambria Math"/>
                          </w:rPr>
                          <m:t>m</m:t>
                        </m:r>
                      </m:e>
                      <m:e>
                        <m:r>
                          <m:rPr>
                            <m:sty m:val="p"/>
                          </m:rPr>
                          <w:rPr>
                            <w:rFonts w:ascii="Cambria Math" w:hAnsi="Cambria Math"/>
                          </w:rPr>
                          <m:t xml:space="preserve">0,   </m:t>
                        </m:r>
                        <m:r>
                          <w:rPr>
                            <w:rFonts w:ascii="Cambria Math" w:hAnsi="Cambria Math"/>
                          </w:rPr>
                          <m:t>k</m:t>
                        </m:r>
                        <m:r>
                          <m:rPr>
                            <m:sty m:val="p"/>
                          </m:rPr>
                          <w:rPr>
                            <w:rFonts w:ascii="Cambria Math" w:hAnsi="Cambria Math"/>
                          </w:rPr>
                          <m:t>≠</m:t>
                        </m:r>
                        <m:r>
                          <w:rPr>
                            <w:rFonts w:ascii="Cambria Math" w:hAnsi="Cambria Math"/>
                          </w:rPr>
                          <m:t>m</m:t>
                        </m:r>
                      </m:e>
                    </m:eqArr>
                  </m:e>
                </m:d>
              </m:oMath>
            </m:oMathPara>
          </w:p>
        </w:tc>
        <w:tc>
          <w:tcPr>
            <w:tcW w:w="423" w:type="dxa"/>
            <w:shd w:val="clear" w:color="auto" w:fill="auto"/>
            <w:vAlign w:val="center"/>
          </w:tcPr>
          <w:p w14:paraId="4E9BADF2" w14:textId="13B8A95F" w:rsidR="005229F9" w:rsidRPr="00B57B36" w:rsidRDefault="00CE06E2" w:rsidP="00FE15B1">
            <w:pPr>
              <w:pStyle w:val="CETEquation"/>
            </w:pPr>
            <w:r w:rsidRPr="00B57B36">
              <w:t>(</w:t>
            </w:r>
            <w:r>
              <w:t>2b</w:t>
            </w:r>
            <w:r w:rsidRPr="00B57B36">
              <w:t>)</w:t>
            </w:r>
          </w:p>
        </w:tc>
      </w:tr>
      <w:tr w:rsidR="00CE06E2" w:rsidRPr="00B57B36" w14:paraId="03E1705C" w14:textId="77777777" w:rsidTr="007E69B8">
        <w:tc>
          <w:tcPr>
            <w:tcW w:w="8364" w:type="dxa"/>
            <w:shd w:val="clear" w:color="auto" w:fill="auto"/>
            <w:vAlign w:val="center"/>
          </w:tcPr>
          <w:p w14:paraId="7F3CA448" w14:textId="0A5A0BD3" w:rsidR="00CE06E2" w:rsidRPr="0000270D" w:rsidRDefault="00CE06E2" w:rsidP="00FE15B1">
            <w:pPr>
              <w:pStyle w:val="CETEquation"/>
            </w:pPr>
            <m:oMathPara>
              <m:oMathParaPr>
                <m:jc m:val="left"/>
              </m:oMathParaPr>
              <m:oMath>
                <m:r>
                  <w:rPr>
                    <w:rFonts w:ascii="Cambria Math" w:hAnsi="Cambria Math"/>
                  </w:rPr>
                  <m:t>Corr</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m:t>
                        </m:r>
                      </m:sub>
                    </m:sSub>
                  </m:e>
                </m:d>
                <m:r>
                  <m:rPr>
                    <m:sty m:val="p"/>
                  </m:rPr>
                  <w:rPr>
                    <w:rFonts w:ascii="Cambria Math" w:hAnsi="Cambria Math"/>
                  </w:rPr>
                  <m:t>=</m:t>
                </m:r>
                <m:r>
                  <w:rPr>
                    <w:rFonts w:ascii="Cambria Math" w:hAnsi="Cambria Math"/>
                  </w:rPr>
                  <m:t>Corr</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m</m:t>
                        </m:r>
                      </m:sub>
                    </m:sSub>
                  </m:e>
                </m:d>
                <m:r>
                  <m:rPr>
                    <m:sty m:val="p"/>
                  </m:rPr>
                  <w:rPr>
                    <w:rFonts w:ascii="Cambria Math" w:hAnsi="Cambria Math"/>
                  </w:rPr>
                  <m:t xml:space="preserve">=0,   </m:t>
                </m:r>
                <m:r>
                  <w:rPr>
                    <w:rFonts w:ascii="Cambria Math" w:hAnsi="Cambria Math"/>
                  </w:rPr>
                  <m:t>k</m:t>
                </m:r>
                <m:r>
                  <m:rPr>
                    <m:sty m:val="p"/>
                  </m:rPr>
                  <w:rPr>
                    <w:rFonts w:ascii="Cambria Math" w:hAnsi="Cambria Math"/>
                  </w:rPr>
                  <m:t>≠</m:t>
                </m:r>
                <m:r>
                  <w:rPr>
                    <w:rFonts w:ascii="Cambria Math" w:hAnsi="Cambria Math"/>
                  </w:rPr>
                  <m:t>m</m:t>
                </m:r>
              </m:oMath>
            </m:oMathPara>
          </w:p>
        </w:tc>
        <w:tc>
          <w:tcPr>
            <w:tcW w:w="423" w:type="dxa"/>
            <w:shd w:val="clear" w:color="auto" w:fill="auto"/>
            <w:vAlign w:val="center"/>
          </w:tcPr>
          <w:p w14:paraId="54776819" w14:textId="7FE86048" w:rsidR="00CE06E2" w:rsidRPr="00B57B36" w:rsidRDefault="00CE06E2" w:rsidP="00FE15B1">
            <w:pPr>
              <w:pStyle w:val="CETEquation"/>
            </w:pPr>
            <w:r w:rsidRPr="00B57B36">
              <w:t>(</w:t>
            </w:r>
            <w:r>
              <w:t>2c</w:t>
            </w:r>
            <w:r w:rsidRPr="00B57B36">
              <w:t>)</w:t>
            </w:r>
          </w:p>
        </w:tc>
      </w:tr>
      <w:tr w:rsidR="00CE06E2" w:rsidRPr="00B57B36" w14:paraId="01B6D217" w14:textId="77777777" w:rsidTr="007E69B8">
        <w:tc>
          <w:tcPr>
            <w:tcW w:w="8364" w:type="dxa"/>
            <w:shd w:val="clear" w:color="auto" w:fill="auto"/>
            <w:vAlign w:val="center"/>
          </w:tcPr>
          <w:p w14:paraId="281F6E97" w14:textId="2F185D4B" w:rsidR="00CE06E2" w:rsidRPr="0000270D" w:rsidRDefault="00CE06E2" w:rsidP="00FE15B1">
            <w:pPr>
              <w:pStyle w:val="CETEquation"/>
            </w:pPr>
            <m:oMathPara>
              <m:oMathParaPr>
                <m:jc m:val="left"/>
              </m:oMathParaPr>
              <m:oMath>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m</m:t>
                        </m:r>
                      </m:sub>
                    </m:sSub>
                  </m:e>
                </m:d>
                <m:r>
                  <m:rPr>
                    <m:sty m:val="p"/>
                  </m:rPr>
                  <w:rPr>
                    <w:rFonts w:ascii="Cambria Math" w:hAnsi="Cambria Math"/>
                  </w:rPr>
                  <m:t>=</m:t>
                </m:r>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m</m:t>
                        </m:r>
                      </m:sub>
                    </m:sSub>
                  </m:e>
                </m:d>
                <m:r>
                  <m:rPr>
                    <m:sty m:val="p"/>
                  </m:rPr>
                  <w:rPr>
                    <w:rFonts w:ascii="Cambria Math" w:hAnsi="Cambria Math"/>
                  </w:rPr>
                  <m:t xml:space="preserve">=1,   </m:t>
                </m:r>
                <m:r>
                  <w:rPr>
                    <w:rFonts w:ascii="Cambria Math" w:hAnsi="Cambria Math"/>
                  </w:rPr>
                  <m:t>m</m:t>
                </m:r>
                <m:r>
                  <m:rPr>
                    <m:sty m:val="p"/>
                  </m:rPr>
                  <w:rPr>
                    <w:rFonts w:ascii="Cambria Math" w:hAnsi="Cambria Math"/>
                  </w:rPr>
                  <m:t>=1,…,</m:t>
                </m:r>
                <m:r>
                  <w:rPr>
                    <w:rFonts w:ascii="Cambria Math" w:hAnsi="Cambria Math"/>
                  </w:rPr>
                  <m:t>M</m:t>
                </m:r>
              </m:oMath>
            </m:oMathPara>
          </w:p>
        </w:tc>
        <w:tc>
          <w:tcPr>
            <w:tcW w:w="423" w:type="dxa"/>
            <w:shd w:val="clear" w:color="auto" w:fill="auto"/>
            <w:vAlign w:val="center"/>
          </w:tcPr>
          <w:p w14:paraId="58E26E85" w14:textId="274D608F" w:rsidR="00CE06E2" w:rsidRPr="00B57B36" w:rsidRDefault="00CE06E2" w:rsidP="00FE15B1">
            <w:pPr>
              <w:pStyle w:val="CETEquation"/>
            </w:pPr>
            <w:r w:rsidRPr="00B57B36">
              <w:t>(</w:t>
            </w:r>
            <w:r>
              <w:t>2d</w:t>
            </w:r>
            <w:r w:rsidRPr="00B57B36">
              <w:t>)</w:t>
            </w:r>
          </w:p>
        </w:tc>
      </w:tr>
    </w:tbl>
    <w:p w14:paraId="4781502A" w14:textId="1EFDDC6A" w:rsidR="001277B9" w:rsidRDefault="00CE06E2" w:rsidP="00FE15B1">
      <w:pPr>
        <w:pStyle w:val="CETBodytext"/>
        <w:rPr>
          <w:rFonts w:cstheme="minorHAnsi"/>
          <w:color w:val="000000"/>
          <w:lang w:val="en-GB"/>
        </w:rPr>
      </w:pPr>
      <w:r w:rsidRPr="00CE06E2">
        <w:rPr>
          <w:rFonts w:cstheme="minorHAnsi"/>
          <w:color w:val="000000"/>
          <w:lang w:val="en-GB"/>
        </w:rPr>
        <w:t xml:space="preserve">Equation </w:t>
      </w:r>
      <w:r>
        <w:rPr>
          <w:rFonts w:cstheme="minorHAnsi"/>
          <w:color w:val="000000"/>
          <w:lang w:val="en-GB"/>
        </w:rPr>
        <w:t>2a</w:t>
      </w:r>
      <w:r w:rsidRPr="00CE06E2">
        <w:rPr>
          <w:rFonts w:cstheme="minorHAnsi"/>
          <w:color w:val="000000"/>
          <w:lang w:val="en-GB"/>
        </w:rPr>
        <w:t xml:space="preserve"> states that each of the M successive pairs of canonical variates exhibits no greater correlation than the previous pair</w:t>
      </w:r>
      <w:r>
        <w:rPr>
          <w:rFonts w:cstheme="minorHAnsi"/>
          <w:color w:val="000000"/>
          <w:lang w:val="en-GB"/>
        </w:rPr>
        <w:t xml:space="preserve"> and t</w:t>
      </w:r>
      <w:r w:rsidRPr="00CE06E2">
        <w:rPr>
          <w:rFonts w:cstheme="minorHAnsi"/>
          <w:color w:val="000000"/>
          <w:lang w:val="en-GB"/>
        </w:rPr>
        <w:t xml:space="preserve">hese correlations between the pairs of canonical variates are called the canonical correlations, </w:t>
      </w:r>
      <w:proofErr w:type="spellStart"/>
      <w:r w:rsidRPr="00B15ADD">
        <w:rPr>
          <w:rFonts w:cstheme="minorHAnsi"/>
          <w:i/>
          <w:color w:val="000000"/>
          <w:lang w:val="en-GB"/>
        </w:rPr>
        <w:t>r</w:t>
      </w:r>
      <w:r w:rsidRPr="00B15ADD">
        <w:rPr>
          <w:rFonts w:cstheme="minorHAnsi"/>
          <w:i/>
          <w:color w:val="000000"/>
          <w:vertAlign w:val="subscript"/>
          <w:lang w:val="en-GB"/>
        </w:rPr>
        <w:t>C</w:t>
      </w:r>
      <w:proofErr w:type="spellEnd"/>
      <w:r w:rsidR="001277B9">
        <w:rPr>
          <w:rFonts w:cstheme="minorHAnsi"/>
          <w:color w:val="000000"/>
          <w:lang w:val="en-GB"/>
        </w:rPr>
        <w:t xml:space="preserve">, </w:t>
      </w:r>
      <w:r w:rsidR="001277B9" w:rsidRPr="001277B9">
        <w:rPr>
          <w:rFonts w:cstheme="minorHAnsi"/>
          <w:color w:val="000000"/>
          <w:lang w:val="en-GB"/>
        </w:rPr>
        <w:t>where [R</w:t>
      </w:r>
      <w:r w:rsidR="001277B9" w:rsidRPr="001277B9">
        <w:rPr>
          <w:rFonts w:cstheme="minorHAnsi"/>
          <w:color w:val="000000"/>
          <w:vertAlign w:val="subscript"/>
          <w:lang w:val="en-GB"/>
        </w:rPr>
        <w:t>C</w:t>
      </w:r>
      <w:r w:rsidR="001277B9" w:rsidRPr="001277B9">
        <w:rPr>
          <w:rFonts w:cstheme="minorHAnsi"/>
          <w:color w:val="000000"/>
          <w:lang w:val="en-GB"/>
        </w:rPr>
        <w:t>] is the diagonal matrix</w:t>
      </w:r>
      <w:r w:rsidR="00B50679">
        <w:rPr>
          <w:rFonts w:cstheme="minorHAnsi"/>
          <w:color w:val="000000"/>
          <w:lang w:val="en-GB"/>
        </w:rPr>
        <w:t xml:space="preserve"> (Eq. 3).</w:t>
      </w:r>
    </w:p>
    <w:tbl>
      <w:tblPr>
        <w:tblW w:w="5000" w:type="pct"/>
        <w:tblLook w:val="04A0" w:firstRow="1" w:lastRow="0" w:firstColumn="1" w:lastColumn="0" w:noHBand="0" w:noVBand="1"/>
      </w:tblPr>
      <w:tblGrid>
        <w:gridCol w:w="8351"/>
        <w:gridCol w:w="436"/>
      </w:tblGrid>
      <w:tr w:rsidR="00077F0C" w:rsidRPr="00B57B36" w14:paraId="2DFC239D" w14:textId="77777777" w:rsidTr="007E69B8">
        <w:trPr>
          <w:trHeight w:val="680"/>
        </w:trPr>
        <w:tc>
          <w:tcPr>
            <w:tcW w:w="8354" w:type="dxa"/>
            <w:shd w:val="clear" w:color="auto" w:fill="auto"/>
            <w:vAlign w:val="center"/>
          </w:tcPr>
          <w:p w14:paraId="588119F0" w14:textId="048749A4" w:rsidR="001277B9" w:rsidRPr="0000270D" w:rsidRDefault="00000000" w:rsidP="00FE15B1">
            <w:pPr>
              <w:pStyle w:val="CETEquation"/>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C</m:t>
                    </m:r>
                  </m:sub>
                </m:sSub>
                <m:r>
                  <m:rPr>
                    <m:sty m:val="p"/>
                  </m:rPr>
                  <w:rPr>
                    <w:rFonts w:ascii="Cambria Math" w:hAnsi="Cambria Math"/>
                  </w:rPr>
                  <m:t xml:space="preserve">]= </m:t>
                </m:r>
                <m:d>
                  <m:dPr>
                    <m:begChr m:val="["/>
                    <m:endChr m:val="]"/>
                    <m:ctrlPr>
                      <w:rPr>
                        <w:rFonts w:ascii="Cambria Math" w:hAnsi="Cambria Math"/>
                      </w:rPr>
                    </m:ctrlPr>
                  </m:dPr>
                  <m:e>
                    <m:m>
                      <m:mPr>
                        <m:mcs>
                          <m:mc>
                            <m:mcPr>
                              <m:count m:val="5"/>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C</m:t>
                                  </m:r>
                                </m:e>
                                <m:sub>
                                  <m:r>
                                    <m:rPr>
                                      <m:sty m:val="p"/>
                                    </m:rPr>
                                    <w:rPr>
                                      <w:rFonts w:ascii="Cambria Math" w:hAnsi="Cambria Math"/>
                                    </w:rPr>
                                    <m:t>1</m:t>
                                  </m:r>
                                </m:sub>
                              </m:sSub>
                            </m:sub>
                          </m:sSub>
                        </m:e>
                        <m:e>
                          <m:r>
                            <m:rPr>
                              <m:sty m:val="p"/>
                            </m:rPr>
                            <w:rPr>
                              <w:rFonts w:ascii="Cambria Math" w:hAnsi="Cambria Math"/>
                            </w:rPr>
                            <m:t>0</m:t>
                          </m:r>
                        </m:e>
                        <m:e>
                          <m:r>
                            <m:rPr>
                              <m:sty m:val="p"/>
                            </m:rPr>
                            <w:rPr>
                              <w:rFonts w:ascii="Cambria Math" w:hAnsi="Cambria Math"/>
                            </w:rPr>
                            <m:t>0</m:t>
                          </m:r>
                          <m:ctrlPr>
                            <w:rPr>
                              <w:rFonts w:ascii="Cambria Math" w:eastAsia="Cambria Math" w:hAnsi="Cambria Math" w:cs="Cambria Math"/>
                            </w:rPr>
                          </m:ctrlPr>
                        </m:e>
                        <m:e>
                          <m:r>
                            <m:rPr>
                              <m:sty m:val="p"/>
                            </m:rPr>
                            <w:rPr>
                              <w:rFonts w:ascii="Cambria Math" w:hAnsi="Cambria Math"/>
                            </w:rPr>
                            <m:t>⋯</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e>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C</m:t>
                                  </m:r>
                                </m:e>
                                <m:sub>
                                  <m:r>
                                    <m:rPr>
                                      <m:sty m:val="p"/>
                                    </m:rPr>
                                    <w:rPr>
                                      <w:rFonts w:ascii="Cambria Math" w:hAnsi="Cambria Math"/>
                                    </w:rPr>
                                    <m:t>2</m:t>
                                  </m:r>
                                </m:sub>
                              </m:sSub>
                            </m:sub>
                          </m:sSub>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hAnsi="Cambria Math"/>
                            </w:rPr>
                            <m:t>⋯</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C</m:t>
                                  </m:r>
                                </m:e>
                                <m:sub>
                                  <m:r>
                                    <m:rPr>
                                      <m:sty m:val="p"/>
                                    </m:rPr>
                                    <w:rPr>
                                      <w:rFonts w:ascii="Cambria Math" w:hAnsi="Cambria Math"/>
                                    </w:rPr>
                                    <m:t>3</m:t>
                                  </m:r>
                                </m:sub>
                              </m:sSub>
                            </m:sub>
                          </m:sSub>
                          <m:ctrlPr>
                            <w:rPr>
                              <w:rFonts w:ascii="Cambria Math" w:eastAsia="Cambria Math" w:hAnsi="Cambria Math" w:cs="Cambria Math"/>
                            </w:rPr>
                          </m:ctrlPr>
                        </m:e>
                        <m:e>
                          <m:r>
                            <m:rPr>
                              <m:sty m:val="p"/>
                            </m:rPr>
                            <w:rPr>
                              <w:rFonts w:ascii="Cambria Math" w:hAnsi="Cambria Math"/>
                            </w:rPr>
                            <m:t>⋯</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hAnsi="Cambria Math"/>
                            </w:rPr>
                            <m:t>⋮</m:t>
                          </m:r>
                        </m:e>
                        <m:e>
                          <m:r>
                            <m:rPr>
                              <m:sty m:val="p"/>
                            </m:rPr>
                            <w:rPr>
                              <w:rFonts w:ascii="Cambria Math" w:hAnsi="Cambria Math"/>
                            </w:rPr>
                            <m:t>⋮</m:t>
                          </m:r>
                          <m:ctrlPr>
                            <w:rPr>
                              <w:rFonts w:ascii="Cambria Math" w:eastAsia="Cambria Math" w:hAnsi="Cambria Math" w:cs="Cambria Math"/>
                            </w:rPr>
                          </m:ctrlPr>
                        </m:e>
                        <m:e>
                          <m:r>
                            <m:rPr>
                              <m:sty m:val="p"/>
                            </m:rPr>
                            <w:rPr>
                              <w:rFonts w:ascii="Cambria Math" w:hAnsi="Cambria Math"/>
                            </w:rPr>
                            <m:t>⋮</m:t>
                          </m:r>
                          <m:ctrlPr>
                            <w:rPr>
                              <w:rFonts w:ascii="Cambria Math" w:eastAsia="Cambria Math" w:hAnsi="Cambria Math" w:cs="Cambria Math"/>
                            </w:rPr>
                          </m:ctrlPr>
                        </m:e>
                        <m:e>
                          <m:r>
                            <m:rPr>
                              <m:sty m:val="p"/>
                            </m:rPr>
                            <w:rPr>
                              <w:rFonts w:ascii="Cambria Math" w:hAnsi="Cambria Math"/>
                            </w:rPr>
                            <m:t>⋱</m:t>
                          </m:r>
                          <m:ctrlPr>
                            <w:rPr>
                              <w:rFonts w:ascii="Cambria Math" w:eastAsia="Cambria Math" w:hAnsi="Cambria Math" w:cs="Cambria Math"/>
                            </w:rPr>
                          </m:ctrlPr>
                        </m:e>
                        <m:e>
                          <m:r>
                            <m:rPr>
                              <m:sty m:val="p"/>
                            </m:rPr>
                            <w:rPr>
                              <w:rFonts w:ascii="Cambria Math" w:hAnsi="Cambria Math"/>
                            </w:rPr>
                            <m:t>⋮</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C</m:t>
                                  </m:r>
                                </m:e>
                                <m:sub>
                                  <m:r>
                                    <w:rPr>
                                      <w:rFonts w:ascii="Cambria Math" w:hAnsi="Cambria Math"/>
                                    </w:rPr>
                                    <m:t>M</m:t>
                                  </m:r>
                                </m:sub>
                              </m:sSub>
                            </m:sub>
                          </m:sSub>
                        </m:e>
                      </m:mr>
                    </m:m>
                  </m:e>
                </m:d>
                <m:r>
                  <m:rPr>
                    <m:sty m:val="p"/>
                  </m:rPr>
                  <w:rPr>
                    <w:rFonts w:ascii="Cambria Math" w:hAnsi="Cambria Math"/>
                  </w:rPr>
                  <m:t xml:space="preserve"> </m:t>
                </m:r>
              </m:oMath>
            </m:oMathPara>
          </w:p>
        </w:tc>
        <w:tc>
          <w:tcPr>
            <w:tcW w:w="433" w:type="dxa"/>
            <w:shd w:val="clear" w:color="auto" w:fill="auto"/>
            <w:vAlign w:val="center"/>
          </w:tcPr>
          <w:p w14:paraId="6BCCE1B7" w14:textId="6616E73A" w:rsidR="001277B9" w:rsidRPr="00B57B36" w:rsidRDefault="001277B9" w:rsidP="00FE15B1">
            <w:pPr>
              <w:pStyle w:val="CETEquation"/>
            </w:pPr>
            <w:r w:rsidRPr="00B57B36">
              <w:t>(</w:t>
            </w:r>
            <w:r w:rsidR="00077F0C">
              <w:t>3</w:t>
            </w:r>
            <w:r w:rsidRPr="00B57B36">
              <w:t>)</w:t>
            </w:r>
          </w:p>
        </w:tc>
      </w:tr>
    </w:tbl>
    <w:p w14:paraId="2714F823" w14:textId="66D3C40E" w:rsidR="001277B9" w:rsidRDefault="00FE15B1" w:rsidP="00FE15B1">
      <w:pPr>
        <w:pStyle w:val="CETBodytext"/>
        <w:rPr>
          <w:rFonts w:cstheme="minorHAnsi"/>
          <w:color w:val="000000"/>
          <w:lang w:val="en-GB"/>
        </w:rPr>
      </w:pPr>
      <w:r>
        <w:rPr>
          <w:rFonts w:cstheme="minorHAnsi"/>
          <w:color w:val="000000"/>
          <w:lang w:val="en-GB"/>
        </w:rPr>
        <w:t>E</w:t>
      </w:r>
      <w:r w:rsidR="00CE06E2" w:rsidRPr="00CE06E2">
        <w:rPr>
          <w:rFonts w:cstheme="minorHAnsi"/>
          <w:color w:val="000000"/>
          <w:lang w:val="en-GB"/>
        </w:rPr>
        <w:t xml:space="preserve">quations </w:t>
      </w:r>
      <w:r w:rsidR="00CE06E2">
        <w:rPr>
          <w:rFonts w:cstheme="minorHAnsi"/>
          <w:color w:val="000000"/>
          <w:lang w:val="en-GB"/>
        </w:rPr>
        <w:t>2</w:t>
      </w:r>
      <w:r w:rsidR="00CE06E2" w:rsidRPr="00CE06E2">
        <w:rPr>
          <w:rFonts w:cstheme="minorHAnsi"/>
          <w:color w:val="000000"/>
          <w:lang w:val="en-GB"/>
        </w:rPr>
        <w:t xml:space="preserve">b and </w:t>
      </w:r>
      <w:r w:rsidR="00CE06E2">
        <w:rPr>
          <w:rFonts w:cstheme="minorHAnsi"/>
          <w:color w:val="000000"/>
          <w:lang w:val="en-GB"/>
        </w:rPr>
        <w:t>2</w:t>
      </w:r>
      <w:r w:rsidR="00CE06E2" w:rsidRPr="00CE06E2">
        <w:rPr>
          <w:rFonts w:cstheme="minorHAnsi"/>
          <w:color w:val="000000"/>
          <w:lang w:val="en-GB"/>
        </w:rPr>
        <w:t>c state that each canonical variate is uncorrelated with all the other canonical variates except its</w:t>
      </w:r>
      <w:r w:rsidR="00CE06E2">
        <w:rPr>
          <w:rFonts w:cstheme="minorHAnsi"/>
          <w:color w:val="000000"/>
          <w:lang w:val="en-GB"/>
        </w:rPr>
        <w:t xml:space="preserve"> specific counterpart in the </w:t>
      </w:r>
      <w:proofErr w:type="spellStart"/>
      <w:r w:rsidR="00CE06E2">
        <w:rPr>
          <w:rFonts w:cstheme="minorHAnsi"/>
          <w:color w:val="000000"/>
          <w:lang w:val="en-GB"/>
        </w:rPr>
        <w:t>m</w:t>
      </w:r>
      <w:r w:rsidR="00CE06E2" w:rsidRPr="00CE06E2">
        <w:rPr>
          <w:rFonts w:cstheme="minorHAnsi"/>
          <w:color w:val="000000"/>
          <w:vertAlign w:val="superscript"/>
          <w:lang w:val="en-GB"/>
        </w:rPr>
        <w:t>th</w:t>
      </w:r>
      <w:proofErr w:type="spellEnd"/>
      <w:r w:rsidR="00CE06E2" w:rsidRPr="00CE06E2">
        <w:rPr>
          <w:rFonts w:cstheme="minorHAnsi"/>
          <w:color w:val="000000"/>
          <w:lang w:val="en-GB"/>
        </w:rPr>
        <w:t xml:space="preserve"> pair</w:t>
      </w:r>
      <w:r w:rsidR="00CE06E2">
        <w:rPr>
          <w:rFonts w:cstheme="minorHAnsi"/>
          <w:color w:val="000000"/>
          <w:lang w:val="en-GB"/>
        </w:rPr>
        <w:t xml:space="preserve">, finally equation 2d states </w:t>
      </w:r>
      <w:r w:rsidR="00CE06E2" w:rsidRPr="00CE06E2">
        <w:rPr>
          <w:rFonts w:cstheme="minorHAnsi"/>
          <w:color w:val="000000"/>
          <w:lang w:val="en-GB"/>
        </w:rPr>
        <w:t>that each of the</w:t>
      </w:r>
      <w:r w:rsidR="00CE06E2">
        <w:rPr>
          <w:rFonts w:cstheme="minorHAnsi"/>
          <w:color w:val="000000"/>
          <w:lang w:val="en-GB"/>
        </w:rPr>
        <w:t xml:space="preserve"> </w:t>
      </w:r>
      <w:r w:rsidR="00CE06E2" w:rsidRPr="00CE06E2">
        <w:rPr>
          <w:rFonts w:cstheme="minorHAnsi"/>
          <w:color w:val="000000"/>
          <w:lang w:val="en-GB"/>
        </w:rPr>
        <w:t xml:space="preserve">canonical variates has </w:t>
      </w:r>
      <w:r w:rsidR="005175E8">
        <w:rPr>
          <w:rFonts w:cstheme="minorHAnsi"/>
          <w:color w:val="000000"/>
          <w:lang w:val="en-GB"/>
        </w:rPr>
        <w:t xml:space="preserve">a </w:t>
      </w:r>
      <w:r w:rsidR="00CE06E2" w:rsidRPr="00CE06E2">
        <w:rPr>
          <w:rFonts w:cstheme="minorHAnsi"/>
          <w:color w:val="000000"/>
          <w:lang w:val="en-GB"/>
        </w:rPr>
        <w:t>variance</w:t>
      </w:r>
      <w:r w:rsidR="00CE06E2">
        <w:rPr>
          <w:rFonts w:cstheme="minorHAnsi"/>
          <w:color w:val="000000"/>
          <w:lang w:val="en-GB"/>
        </w:rPr>
        <w:t xml:space="preserve"> equal to 1. </w:t>
      </w:r>
      <w:r w:rsidR="001277B9" w:rsidRPr="001277B9">
        <w:rPr>
          <w:rFonts w:cstheme="minorHAnsi"/>
          <w:color w:val="000000"/>
          <w:lang w:val="en-GB"/>
        </w:rPr>
        <w:t>The basic idea behind forecasting with CCA is straightforward: si</w:t>
      </w:r>
      <w:r w:rsidR="001277B9">
        <w:rPr>
          <w:rFonts w:cstheme="minorHAnsi"/>
          <w:color w:val="000000"/>
          <w:lang w:val="en-GB"/>
        </w:rPr>
        <w:t>mple linear regressions are con</w:t>
      </w:r>
      <w:r w:rsidR="001277B9" w:rsidRPr="001277B9">
        <w:rPr>
          <w:rFonts w:cstheme="minorHAnsi"/>
          <w:color w:val="000000"/>
          <w:lang w:val="en-GB"/>
        </w:rPr>
        <w:t xml:space="preserve">structed that relate the predictand canonical variates </w:t>
      </w:r>
      <w:proofErr w:type="spellStart"/>
      <w:r w:rsidR="001277B9" w:rsidRPr="00B15ADD">
        <w:rPr>
          <w:rFonts w:cstheme="minorHAnsi"/>
          <w:i/>
          <w:color w:val="000000"/>
          <w:lang w:val="en-GB"/>
        </w:rPr>
        <w:t>w</w:t>
      </w:r>
      <w:r w:rsidR="001277B9" w:rsidRPr="00B15ADD">
        <w:rPr>
          <w:rFonts w:cstheme="minorHAnsi"/>
          <w:i/>
          <w:color w:val="000000"/>
          <w:vertAlign w:val="subscript"/>
          <w:lang w:val="en-GB"/>
        </w:rPr>
        <w:t>m</w:t>
      </w:r>
      <w:proofErr w:type="spellEnd"/>
      <w:r w:rsidR="001277B9" w:rsidRPr="001277B9">
        <w:rPr>
          <w:rFonts w:cstheme="minorHAnsi"/>
          <w:color w:val="000000"/>
          <w:lang w:val="en-GB"/>
        </w:rPr>
        <w:t xml:space="preserve"> to the predictor canonical variates </w:t>
      </w:r>
      <w:proofErr w:type="spellStart"/>
      <w:r w:rsidR="001277B9" w:rsidRPr="00B15ADD">
        <w:rPr>
          <w:rFonts w:cstheme="minorHAnsi"/>
          <w:i/>
          <w:color w:val="000000"/>
          <w:lang w:val="en-GB"/>
        </w:rPr>
        <w:t>v</w:t>
      </w:r>
      <w:r w:rsidR="001277B9" w:rsidRPr="00B15ADD">
        <w:rPr>
          <w:rFonts w:cstheme="minorHAnsi"/>
          <w:i/>
          <w:color w:val="000000"/>
          <w:vertAlign w:val="subscript"/>
          <w:lang w:val="en-GB"/>
        </w:rPr>
        <w:t>m</w:t>
      </w:r>
      <w:proofErr w:type="spellEnd"/>
      <w:r w:rsidR="00B50679">
        <w:rPr>
          <w:rFonts w:cstheme="minorHAnsi"/>
          <w:color w:val="000000"/>
          <w:lang w:val="en-GB"/>
        </w:rPr>
        <w:t xml:space="preserve"> (Eq. 4).</w:t>
      </w:r>
    </w:p>
    <w:tbl>
      <w:tblPr>
        <w:tblW w:w="5000" w:type="pct"/>
        <w:tblLook w:val="04A0" w:firstRow="1" w:lastRow="0" w:firstColumn="1" w:lastColumn="0" w:noHBand="0" w:noVBand="1"/>
      </w:tblPr>
      <w:tblGrid>
        <w:gridCol w:w="8351"/>
        <w:gridCol w:w="436"/>
      </w:tblGrid>
      <w:tr w:rsidR="001277B9" w:rsidRPr="00B57B36" w14:paraId="36BD35E9" w14:textId="77777777" w:rsidTr="007E69B8">
        <w:tc>
          <w:tcPr>
            <w:tcW w:w="8354" w:type="dxa"/>
            <w:shd w:val="clear" w:color="auto" w:fill="auto"/>
            <w:vAlign w:val="center"/>
          </w:tcPr>
          <w:p w14:paraId="078AF252" w14:textId="5F07BFC9" w:rsidR="001277B9" w:rsidRPr="007E69B8" w:rsidRDefault="00000000" w:rsidP="007E69B8">
            <w:pPr>
              <w:pStyle w:val="CETEquation"/>
            </w:pPr>
            <m:oMathPara>
              <m:oMathParaPr>
                <m:jc m:val="left"/>
              </m:oMathParaPr>
              <m:oMath>
                <m:sSub>
                  <m:sSubPr>
                    <m:ctrlPr>
                      <w:rPr>
                        <w:rFonts w:ascii="Cambria Math" w:hAnsi="Cambria Math"/>
                      </w:rPr>
                    </m:ctrlPr>
                  </m:sSubPr>
                  <m:e>
                    <m:acc>
                      <m:accPr>
                        <m:ctrlPr>
                          <w:rPr>
                            <w:rFonts w:ascii="Cambria Math" w:hAnsi="Cambria Math"/>
                          </w:rPr>
                        </m:ctrlPr>
                      </m:accPr>
                      <m:e>
                        <m:r>
                          <w:rPr>
                            <w:rFonts w:ascii="Cambria Math" w:hAnsi="Cambria Math"/>
                          </w:rPr>
                          <m:t>w</m:t>
                        </m:r>
                      </m:e>
                    </m:acc>
                  </m:e>
                  <m:sub>
                    <m:r>
                      <w:rPr>
                        <w:rFonts w:ascii="Cambria Math" w:hAnsi="Cambria Math"/>
                      </w:rPr>
                      <m:t>m</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0,</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1,</m:t>
                    </m:r>
                    <m:r>
                      <w:rPr>
                        <w:rFonts w:ascii="Cambria Math" w:hAnsi="Cambria Math"/>
                      </w:rPr>
                      <m:t>m</m:t>
                    </m:r>
                  </m:sub>
                </m:sSub>
                <m:sSub>
                  <m:sSubPr>
                    <m:ctrlPr>
                      <w:rPr>
                        <w:rFonts w:ascii="Cambria Math" w:hAnsi="Cambria Math"/>
                      </w:rPr>
                    </m:ctrlPr>
                  </m:sSubPr>
                  <m:e>
                    <m:r>
                      <w:rPr>
                        <w:rFonts w:ascii="Cambria Math" w:hAnsi="Cambria Math"/>
                      </w:rPr>
                      <m:t>v</m:t>
                    </m:r>
                  </m:e>
                  <m:sub>
                    <m:r>
                      <w:rPr>
                        <w:rFonts w:ascii="Cambria Math" w:hAnsi="Cambria Math"/>
                      </w:rPr>
                      <m:t>m</m:t>
                    </m:r>
                  </m:sub>
                </m:sSub>
                <m:r>
                  <m:rPr>
                    <m:sty m:val="p"/>
                  </m:rPr>
                  <w:rPr>
                    <w:rFonts w:ascii="Cambria Math" w:hAnsi="Cambria Math"/>
                  </w:rPr>
                  <m:t xml:space="preserve">,   </m:t>
                </m:r>
                <m:r>
                  <w:rPr>
                    <w:rFonts w:ascii="Cambria Math" w:hAnsi="Cambria Math"/>
                  </w:rPr>
                  <m:t>m</m:t>
                </m:r>
                <m:r>
                  <m:rPr>
                    <m:sty m:val="p"/>
                  </m:rPr>
                  <w:rPr>
                    <w:rFonts w:ascii="Cambria Math" w:hAnsi="Cambria Math"/>
                  </w:rPr>
                  <m:t>=1,…,</m:t>
                </m:r>
                <m:r>
                  <w:rPr>
                    <w:rFonts w:ascii="Cambria Math" w:hAnsi="Cambria Math"/>
                  </w:rPr>
                  <m:t>M</m:t>
                </m:r>
              </m:oMath>
            </m:oMathPara>
          </w:p>
        </w:tc>
        <w:tc>
          <w:tcPr>
            <w:tcW w:w="433" w:type="dxa"/>
            <w:shd w:val="clear" w:color="auto" w:fill="auto"/>
            <w:vAlign w:val="center"/>
          </w:tcPr>
          <w:p w14:paraId="787EE251" w14:textId="1A22E4EF" w:rsidR="001277B9" w:rsidRPr="007E69B8" w:rsidRDefault="001277B9" w:rsidP="007E69B8">
            <w:pPr>
              <w:pStyle w:val="CETEquation"/>
            </w:pPr>
            <w:r w:rsidRPr="007E69B8">
              <w:t>(</w:t>
            </w:r>
            <w:r w:rsidR="004E3733" w:rsidRPr="007E69B8">
              <w:t>4</w:t>
            </w:r>
            <w:r w:rsidRPr="007E69B8">
              <w:t>)</w:t>
            </w:r>
          </w:p>
        </w:tc>
      </w:tr>
    </w:tbl>
    <w:p w14:paraId="0F99CDEF" w14:textId="4C3B8C24" w:rsidR="00B50679" w:rsidRDefault="00B50679" w:rsidP="00520283">
      <w:pPr>
        <w:pStyle w:val="CETBodytext"/>
        <w:rPr>
          <w:rFonts w:cstheme="minorHAnsi"/>
          <w:color w:val="000000"/>
          <w:lang w:val="en-GB"/>
        </w:rPr>
      </w:pPr>
      <w:r>
        <w:rPr>
          <w:rFonts w:cstheme="minorHAnsi"/>
          <w:color w:val="000000"/>
          <w:lang w:val="en-GB"/>
        </w:rPr>
        <w:t>W</w:t>
      </w:r>
      <w:r w:rsidR="004E3733">
        <w:rPr>
          <w:rFonts w:cstheme="minorHAnsi"/>
          <w:color w:val="000000"/>
          <w:lang w:val="en-GB"/>
        </w:rPr>
        <w:t xml:space="preserve">here </w:t>
      </w:r>
      <m:oMath>
        <m:sSub>
          <m:sSubPr>
            <m:ctrlPr>
              <w:rPr>
                <w:rFonts w:ascii="Cambria Math" w:hAnsi="Cambria Math" w:cstheme="minorHAnsi"/>
                <w:i/>
                <w:color w:val="000000"/>
                <w:lang w:val="en-GB"/>
              </w:rPr>
            </m:ctrlPr>
          </m:sSubPr>
          <m:e>
            <m:acc>
              <m:accPr>
                <m:ctrlPr>
                  <w:rPr>
                    <w:rFonts w:ascii="Cambria Math" w:hAnsi="Cambria Math" w:cstheme="minorHAnsi"/>
                    <w:i/>
                    <w:color w:val="000000"/>
                    <w:lang w:val="en-GB"/>
                  </w:rPr>
                </m:ctrlPr>
              </m:accPr>
              <m:e>
                <m:r>
                  <w:rPr>
                    <w:rFonts w:ascii="Cambria Math" w:hAnsi="Cambria Math" w:cstheme="minorHAnsi"/>
                    <w:color w:val="000000"/>
                    <w:lang w:val="en-GB"/>
                  </w:rPr>
                  <m:t>β</m:t>
                </m:r>
              </m:e>
            </m:acc>
          </m:e>
          <m:sub>
            <m:r>
              <w:rPr>
                <w:rFonts w:ascii="Cambria Math" w:hAnsi="Cambria Math" w:cstheme="minorHAnsi"/>
                <w:color w:val="000000"/>
                <w:lang w:val="en-GB"/>
              </w:rPr>
              <m:t>0,m</m:t>
            </m:r>
          </m:sub>
        </m:sSub>
      </m:oMath>
      <w:r w:rsidR="004E3733">
        <w:rPr>
          <w:rFonts w:cstheme="minorHAnsi"/>
          <w:color w:val="000000"/>
          <w:lang w:val="en-GB"/>
        </w:rPr>
        <w:t>=0</w:t>
      </w:r>
      <w:r>
        <w:rPr>
          <w:rFonts w:cstheme="minorHAnsi"/>
          <w:color w:val="000000"/>
          <w:lang w:val="en-GB"/>
        </w:rPr>
        <w:t>.</w:t>
      </w:r>
      <w:r w:rsidR="004E3733">
        <w:rPr>
          <w:rFonts w:cstheme="minorHAnsi"/>
          <w:color w:val="000000"/>
          <w:lang w:val="en-GB"/>
        </w:rPr>
        <w:t xml:space="preserve"> </w:t>
      </w:r>
      <w:r>
        <w:rPr>
          <w:rFonts w:cstheme="minorHAnsi"/>
          <w:color w:val="000000"/>
          <w:lang w:val="en-GB"/>
        </w:rPr>
        <w:t>B</w:t>
      </w:r>
      <w:r w:rsidR="004E3733" w:rsidRPr="004E3733">
        <w:rPr>
          <w:rFonts w:cstheme="minorHAnsi"/>
          <w:color w:val="000000"/>
          <w:lang w:val="en-GB"/>
        </w:rPr>
        <w:t xml:space="preserve">ecause the CCA is calculated from the </w:t>
      </w:r>
      <w:r w:rsidRPr="004E3733">
        <w:rPr>
          <w:rFonts w:cstheme="minorHAnsi"/>
          <w:color w:val="000000"/>
          <w:lang w:val="en-GB"/>
        </w:rPr>
        <w:t>centred</w:t>
      </w:r>
      <w:r w:rsidR="004E3733" w:rsidRPr="004E3733">
        <w:rPr>
          <w:rFonts w:cstheme="minorHAnsi"/>
          <w:color w:val="000000"/>
          <w:lang w:val="en-GB"/>
        </w:rPr>
        <w:t xml:space="preserve"> data </w:t>
      </w:r>
      <w:r w:rsidR="004E3733" w:rsidRPr="004E3733">
        <w:rPr>
          <w:rFonts w:cstheme="minorHAnsi"/>
          <w:b/>
          <w:i/>
          <w:color w:val="000000"/>
          <w:lang w:val="en-GB"/>
        </w:rPr>
        <w:t>x’</w:t>
      </w:r>
      <w:r w:rsidR="004E3733" w:rsidRPr="004E3733">
        <w:rPr>
          <w:rFonts w:cstheme="minorHAnsi"/>
          <w:color w:val="000000"/>
          <w:lang w:val="en-GB"/>
        </w:rPr>
        <w:t xml:space="preserve"> and </w:t>
      </w:r>
      <w:r w:rsidR="004E3733" w:rsidRPr="004E3733">
        <w:rPr>
          <w:rFonts w:cstheme="minorHAnsi"/>
          <w:b/>
          <w:i/>
          <w:color w:val="000000"/>
          <w:lang w:val="en-GB"/>
        </w:rPr>
        <w:t>y’</w:t>
      </w:r>
      <w:r w:rsidR="004E3733" w:rsidRPr="004E3733">
        <w:rPr>
          <w:rFonts w:cstheme="minorHAnsi"/>
          <w:color w:val="000000"/>
          <w:lang w:val="en-GB"/>
        </w:rPr>
        <w:t xml:space="preserve">, </w:t>
      </w:r>
      <w:r w:rsidR="004E3733">
        <w:rPr>
          <w:rFonts w:cstheme="minorHAnsi"/>
          <w:color w:val="000000"/>
          <w:lang w:val="en-GB"/>
        </w:rPr>
        <w:t xml:space="preserve">and </w:t>
      </w:r>
      <m:oMath>
        <m:sSub>
          <m:sSubPr>
            <m:ctrlPr>
              <w:rPr>
                <w:rFonts w:ascii="Cambria Math" w:hAnsi="Cambria Math" w:cstheme="minorHAnsi"/>
                <w:i/>
                <w:color w:val="000000"/>
                <w:lang w:val="en-GB"/>
              </w:rPr>
            </m:ctrlPr>
          </m:sSubPr>
          <m:e>
            <m:acc>
              <m:accPr>
                <m:ctrlPr>
                  <w:rPr>
                    <w:rFonts w:ascii="Cambria Math" w:hAnsi="Cambria Math" w:cstheme="minorHAnsi"/>
                    <w:i/>
                    <w:color w:val="000000"/>
                    <w:lang w:val="en-GB"/>
                  </w:rPr>
                </m:ctrlPr>
              </m:accPr>
              <m:e>
                <m:r>
                  <w:rPr>
                    <w:rFonts w:ascii="Cambria Math" w:hAnsi="Cambria Math" w:cstheme="minorHAnsi"/>
                    <w:color w:val="000000"/>
                    <w:lang w:val="en-GB"/>
                  </w:rPr>
                  <m:t>β</m:t>
                </m:r>
              </m:e>
            </m:acc>
          </m:e>
          <m:sub>
            <m:r>
              <w:rPr>
                <w:rFonts w:ascii="Cambria Math" w:hAnsi="Cambria Math" w:cstheme="minorHAnsi"/>
                <w:color w:val="000000"/>
                <w:lang w:val="en-GB"/>
              </w:rPr>
              <m:t>1,m</m:t>
            </m:r>
          </m:sub>
        </m:sSub>
      </m:oMath>
      <w:r w:rsidR="004E3733">
        <w:rPr>
          <w:rFonts w:cstheme="minorHAnsi"/>
          <w:color w:val="000000"/>
          <w:lang w:val="en-GB"/>
        </w:rPr>
        <w:t>=</w:t>
      </w:r>
      <m:oMath>
        <m:sSub>
          <m:sSubPr>
            <m:ctrlPr>
              <w:rPr>
                <w:rFonts w:ascii="Cambria Math" w:hAnsi="Cambria Math" w:cstheme="minorHAnsi"/>
                <w:i/>
                <w:color w:val="000000"/>
                <w:lang w:val="en-GB"/>
              </w:rPr>
            </m:ctrlPr>
          </m:sSubPr>
          <m:e>
            <m:r>
              <w:rPr>
                <w:rFonts w:ascii="Cambria Math" w:hAnsi="Cambria Math" w:cstheme="minorHAnsi"/>
                <w:color w:val="000000"/>
                <w:lang w:val="en-GB"/>
              </w:rPr>
              <m:t>r</m:t>
            </m:r>
          </m:e>
          <m:sub>
            <m:sSub>
              <m:sSubPr>
                <m:ctrlPr>
                  <w:rPr>
                    <w:rFonts w:ascii="Cambria Math" w:hAnsi="Cambria Math" w:cstheme="minorHAnsi"/>
                    <w:i/>
                    <w:color w:val="000000"/>
                    <w:lang w:val="en-GB"/>
                  </w:rPr>
                </m:ctrlPr>
              </m:sSubPr>
              <m:e>
                <m:r>
                  <w:rPr>
                    <w:rFonts w:ascii="Cambria Math" w:hAnsi="Cambria Math" w:cstheme="minorHAnsi"/>
                    <w:color w:val="000000"/>
                    <w:lang w:val="en-GB"/>
                  </w:rPr>
                  <m:t>C</m:t>
                </m:r>
              </m:e>
              <m:sub>
                <m:r>
                  <w:rPr>
                    <w:rFonts w:ascii="Cambria Math" w:hAnsi="Cambria Math" w:cstheme="minorHAnsi"/>
                    <w:color w:val="000000"/>
                    <w:lang w:val="en-GB"/>
                  </w:rPr>
                  <m:t>m</m:t>
                </m:r>
              </m:sub>
            </m:sSub>
          </m:sub>
        </m:sSub>
      </m:oMath>
      <w:r w:rsidR="004E3733">
        <w:rPr>
          <w:rFonts w:cstheme="minorHAnsi"/>
          <w:color w:val="000000"/>
          <w:lang w:val="en-GB"/>
        </w:rPr>
        <w:t xml:space="preserve">, </w:t>
      </w:r>
      <w:r w:rsidR="00B25B9C">
        <w:rPr>
          <w:rFonts w:cstheme="minorHAnsi"/>
          <w:color w:val="000000"/>
          <w:lang w:val="en-GB"/>
        </w:rPr>
        <w:t>since</w:t>
      </w:r>
      <w:r w:rsidR="004E3733" w:rsidRPr="004E3733">
        <w:rPr>
          <w:rFonts w:cstheme="minorHAnsi"/>
          <w:color w:val="000000"/>
          <w:lang w:val="en-GB"/>
        </w:rPr>
        <w:t xml:space="preserve"> the canonical variates are scaled to have unit variance</w:t>
      </w:r>
      <w:r w:rsidR="004E3733">
        <w:rPr>
          <w:rFonts w:cstheme="minorHAnsi"/>
          <w:color w:val="000000"/>
          <w:lang w:val="en-GB"/>
        </w:rPr>
        <w:t xml:space="preserve">, </w:t>
      </w:r>
      <w:r w:rsidR="004E3733" w:rsidRPr="004E3733">
        <w:rPr>
          <w:rFonts w:cstheme="minorHAnsi"/>
          <w:color w:val="000000"/>
          <w:lang w:val="en-GB"/>
        </w:rPr>
        <w:t>the regression slopes are simply equal to the corresponding canonical correlations</w:t>
      </w:r>
      <w:r w:rsidR="004E3733">
        <w:rPr>
          <w:rFonts w:cstheme="minorHAnsi"/>
          <w:color w:val="000000"/>
          <w:lang w:val="en-GB"/>
        </w:rPr>
        <w:t>.</w:t>
      </w:r>
      <w:r>
        <w:rPr>
          <w:rFonts w:cstheme="minorHAnsi"/>
          <w:color w:val="000000"/>
          <w:lang w:val="en-GB"/>
        </w:rPr>
        <w:t xml:space="preserve"> </w:t>
      </w:r>
    </w:p>
    <w:p w14:paraId="05A07E9E" w14:textId="040CE7B0" w:rsidR="006529CF" w:rsidRPr="006529CF" w:rsidRDefault="0084491B" w:rsidP="006529CF">
      <w:pPr>
        <w:pStyle w:val="CETBodytext"/>
        <w:rPr>
          <w:rFonts w:cstheme="minorHAnsi"/>
          <w:color w:val="000000"/>
          <w:lang w:val="en-GB"/>
        </w:rPr>
      </w:pPr>
      <w:r w:rsidRPr="0084491B">
        <w:rPr>
          <w:rFonts w:cstheme="minorHAnsi"/>
          <w:color w:val="000000"/>
          <w:lang w:val="en-GB"/>
        </w:rPr>
        <w:t>The database used for the statistical analysis</w:t>
      </w:r>
      <w:r w:rsidR="000C6241">
        <w:rPr>
          <w:rFonts w:cstheme="minorHAnsi"/>
          <w:color w:val="000000"/>
          <w:lang w:val="en-GB"/>
        </w:rPr>
        <w:t xml:space="preserve"> </w:t>
      </w:r>
      <w:r w:rsidRPr="0084491B">
        <w:rPr>
          <w:rFonts w:cstheme="minorHAnsi"/>
          <w:color w:val="000000"/>
          <w:lang w:val="en-GB"/>
        </w:rPr>
        <w:t xml:space="preserve">has been </w:t>
      </w:r>
      <w:r>
        <w:rPr>
          <w:rFonts w:cstheme="minorHAnsi"/>
          <w:color w:val="000000"/>
          <w:lang w:val="en-GB"/>
        </w:rPr>
        <w:t>built up</w:t>
      </w:r>
      <w:r w:rsidRPr="0084491B">
        <w:rPr>
          <w:rFonts w:cstheme="minorHAnsi"/>
          <w:color w:val="000000"/>
          <w:lang w:val="en-GB"/>
        </w:rPr>
        <w:t xml:space="preserve"> by the data presented in the scientific literature</w:t>
      </w:r>
      <w:r w:rsidR="000C6241">
        <w:rPr>
          <w:rFonts w:cstheme="minorHAnsi"/>
          <w:color w:val="000000"/>
          <w:lang w:val="en-GB"/>
        </w:rPr>
        <w:t xml:space="preserve"> and coming from real plant analysis. A total of 215 observations have been </w:t>
      </w:r>
      <w:r w:rsidR="003F0E19">
        <w:rPr>
          <w:rFonts w:cstheme="minorHAnsi"/>
          <w:color w:val="000000"/>
          <w:lang w:val="en-GB"/>
        </w:rPr>
        <w:t>analysed</w:t>
      </w:r>
      <w:r w:rsidR="00E95FCA">
        <w:rPr>
          <w:rFonts w:cstheme="minorHAnsi"/>
          <w:color w:val="000000"/>
          <w:lang w:val="en-GB"/>
        </w:rPr>
        <w:t xml:space="preserve">. </w:t>
      </w:r>
      <w:r w:rsidR="00520283">
        <w:rPr>
          <w:rFonts w:cstheme="minorHAnsi"/>
          <w:color w:val="000000"/>
          <w:lang w:val="en-GB"/>
        </w:rPr>
        <w:t xml:space="preserve">The input data </w:t>
      </w:r>
      <w:r w:rsidR="00520283" w:rsidRPr="00520283">
        <w:rPr>
          <w:rFonts w:cstheme="minorHAnsi"/>
          <w:b/>
          <w:i/>
          <w:color w:val="000000"/>
          <w:lang w:val="en-GB"/>
        </w:rPr>
        <w:t>x</w:t>
      </w:r>
      <w:r w:rsidR="00520283">
        <w:rPr>
          <w:rFonts w:cstheme="minorHAnsi"/>
          <w:color w:val="000000"/>
          <w:lang w:val="en-GB"/>
        </w:rPr>
        <w:t xml:space="preserve"> </w:t>
      </w:r>
      <w:r w:rsidR="008C0262">
        <w:rPr>
          <w:rFonts w:cstheme="minorHAnsi"/>
          <w:color w:val="000000"/>
          <w:lang w:val="en-GB"/>
        </w:rPr>
        <w:t>has</w:t>
      </w:r>
      <w:r w:rsidR="00520283">
        <w:rPr>
          <w:rFonts w:cstheme="minorHAnsi"/>
          <w:color w:val="000000"/>
          <w:lang w:val="en-GB"/>
        </w:rPr>
        <w:t xml:space="preserve"> been constituted by </w:t>
      </w:r>
      <w:r w:rsidR="005175E8">
        <w:rPr>
          <w:rFonts w:cstheme="minorHAnsi"/>
          <w:color w:val="000000"/>
          <w:lang w:val="en-GB"/>
        </w:rPr>
        <w:t xml:space="preserve">a </w:t>
      </w:r>
      <w:r w:rsidR="00520283">
        <w:rPr>
          <w:rFonts w:cstheme="minorHAnsi"/>
          <w:color w:val="000000"/>
          <w:lang w:val="en-GB"/>
        </w:rPr>
        <w:t xml:space="preserve">combination of ultimate and proximate analysis of the </w:t>
      </w:r>
      <w:r w:rsidR="00F303C6">
        <w:rPr>
          <w:rFonts w:cstheme="minorHAnsi"/>
          <w:color w:val="000000"/>
          <w:lang w:val="en-GB"/>
        </w:rPr>
        <w:t xml:space="preserve">raw </w:t>
      </w:r>
      <w:r w:rsidR="00520283">
        <w:rPr>
          <w:rFonts w:cstheme="minorHAnsi"/>
          <w:color w:val="000000"/>
          <w:lang w:val="en-GB"/>
        </w:rPr>
        <w:t xml:space="preserve">biomass, while the output data </w:t>
      </w:r>
      <w:r w:rsidR="00520283" w:rsidRPr="00520283">
        <w:rPr>
          <w:rFonts w:cstheme="minorHAnsi"/>
          <w:b/>
          <w:i/>
          <w:color w:val="000000"/>
          <w:lang w:val="en-GB"/>
        </w:rPr>
        <w:t>y</w:t>
      </w:r>
      <w:r w:rsidR="00520283">
        <w:rPr>
          <w:rFonts w:cstheme="minorHAnsi"/>
          <w:color w:val="000000"/>
          <w:lang w:val="en-GB"/>
        </w:rPr>
        <w:t xml:space="preserve"> reports </w:t>
      </w:r>
      <w:r w:rsidR="00E95FCA">
        <w:rPr>
          <w:rFonts w:cstheme="minorHAnsi"/>
          <w:color w:val="000000"/>
          <w:lang w:val="en-GB"/>
        </w:rPr>
        <w:t>the CHONS percentage of biomass</w:t>
      </w:r>
      <w:r w:rsidR="00520283">
        <w:rPr>
          <w:rFonts w:cstheme="minorHAnsi"/>
          <w:color w:val="000000"/>
          <w:lang w:val="en-GB"/>
        </w:rPr>
        <w:t xml:space="preserve">. </w:t>
      </w:r>
      <w:r w:rsidR="00B4022A" w:rsidRPr="00B4022A">
        <w:rPr>
          <w:rFonts w:cstheme="minorHAnsi"/>
          <w:color w:val="000000"/>
          <w:lang w:val="en-GB"/>
        </w:rPr>
        <w:t>Table 1 summarizes the input and output variables used</w:t>
      </w:r>
      <w:r w:rsidR="00F303C6">
        <w:rPr>
          <w:rFonts w:cstheme="minorHAnsi"/>
          <w:color w:val="000000"/>
          <w:lang w:val="en-GB"/>
        </w:rPr>
        <w:t xml:space="preserve"> for CCA.</w:t>
      </w:r>
      <w:r w:rsidR="006529CF">
        <w:rPr>
          <w:rFonts w:cstheme="minorHAnsi"/>
          <w:color w:val="000000"/>
          <w:lang w:val="en-GB"/>
        </w:rPr>
        <w:t xml:space="preserve"> Among a total</w:t>
      </w:r>
      <w:r w:rsidR="005929A3">
        <w:rPr>
          <w:rFonts w:cstheme="minorHAnsi"/>
          <w:color w:val="000000"/>
          <w:lang w:val="en-GB"/>
        </w:rPr>
        <w:t xml:space="preserve"> number</w:t>
      </w:r>
      <w:r w:rsidR="006529CF">
        <w:rPr>
          <w:rFonts w:cstheme="minorHAnsi"/>
          <w:color w:val="000000"/>
          <w:lang w:val="en-GB"/>
        </w:rPr>
        <w:t xml:space="preserve"> of 21 biomass attributes (i.e., total solids, macromolecules, etc.), only a small combination of them have been considered as input, looking for the minimum error achievable.</w:t>
      </w:r>
    </w:p>
    <w:p w14:paraId="4EC0CF04" w14:textId="698C7A01" w:rsidR="00B4022A" w:rsidRPr="00B57B36" w:rsidRDefault="00B4022A" w:rsidP="007E69B8">
      <w:pPr>
        <w:pStyle w:val="CETCaption"/>
      </w:pPr>
      <w:bookmarkStart w:id="2" w:name="_Hlk132217013"/>
      <w:r w:rsidRPr="00B57B36">
        <w:t xml:space="preserve">Table 1: </w:t>
      </w:r>
      <w:r w:rsidR="0003434D">
        <w:t xml:space="preserve">Variables of </w:t>
      </w:r>
      <w:r w:rsidR="00BE2B9B" w:rsidRPr="00BE2B9B">
        <w:rPr>
          <w:b/>
        </w:rPr>
        <w:t>x</w:t>
      </w:r>
      <w:r w:rsidRPr="00B4022A">
        <w:t xml:space="preserve"> and </w:t>
      </w:r>
      <w:r w:rsidR="00BE2B9B" w:rsidRPr="00BE2B9B">
        <w:rPr>
          <w:b/>
        </w:rPr>
        <w:t>y</w:t>
      </w:r>
      <w:r w:rsidRPr="00B4022A">
        <w:t xml:space="preserve"> used </w:t>
      </w:r>
      <w:r>
        <w:t xml:space="preserve">for </w:t>
      </w:r>
      <w:r w:rsidRPr="00B4022A">
        <w:t>CCA statistical analysis</w:t>
      </w:r>
      <w:r w:rsidR="00F303C6">
        <w: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92"/>
        <w:gridCol w:w="4111"/>
        <w:gridCol w:w="914"/>
        <w:gridCol w:w="2770"/>
      </w:tblGrid>
      <w:tr w:rsidR="00176C64" w:rsidRPr="00B4022A" w14:paraId="41C221B3" w14:textId="77777777" w:rsidTr="006F0AB6">
        <w:tc>
          <w:tcPr>
            <w:tcW w:w="564" w:type="pct"/>
            <w:tcBorders>
              <w:top w:val="single" w:sz="12" w:space="0" w:color="008000"/>
              <w:bottom w:val="single" w:sz="6" w:space="0" w:color="008000"/>
            </w:tcBorders>
            <w:shd w:val="clear" w:color="auto" w:fill="FFFFFF"/>
            <w:vAlign w:val="center"/>
          </w:tcPr>
          <w:bookmarkEnd w:id="2"/>
          <w:p w14:paraId="55D2B61A" w14:textId="6C70BAF7" w:rsidR="00B4022A" w:rsidRPr="00B4022A" w:rsidRDefault="004601CD" w:rsidP="00B4022A">
            <w:pPr>
              <w:pStyle w:val="Nessunaspaziatura"/>
              <w:jc w:val="center"/>
              <w:rPr>
                <w:rFonts w:ascii="Arial" w:hAnsi="Arial" w:cs="Arial"/>
                <w:sz w:val="18"/>
                <w:szCs w:val="18"/>
                <w:lang w:val="en-GB"/>
              </w:rPr>
            </w:pPr>
            <w:r w:rsidRPr="00176C64">
              <w:rPr>
                <w:rFonts w:ascii="Arial" w:hAnsi="Arial" w:cs="Arial"/>
                <w:b/>
                <w:bCs/>
                <w:i/>
                <w:sz w:val="18"/>
                <w:szCs w:val="18"/>
                <w:lang w:val="en-GB"/>
              </w:rPr>
              <w:t>X</w:t>
            </w:r>
            <w:r w:rsidR="00176C64">
              <w:rPr>
                <w:rFonts w:ascii="Arial" w:hAnsi="Arial" w:cs="Arial"/>
                <w:i/>
                <w:sz w:val="18"/>
                <w:szCs w:val="18"/>
                <w:lang w:val="en-GB"/>
              </w:rPr>
              <w:t xml:space="preserve"> </w:t>
            </w:r>
            <w:r w:rsidR="00176C64" w:rsidRPr="00176C64">
              <w:rPr>
                <w:rFonts w:ascii="Arial" w:hAnsi="Arial" w:cs="Arial"/>
                <w:iCs/>
                <w:sz w:val="18"/>
                <w:szCs w:val="18"/>
                <w:lang w:val="en-GB"/>
              </w:rPr>
              <w:t>data</w:t>
            </w:r>
          </w:p>
        </w:tc>
        <w:tc>
          <w:tcPr>
            <w:tcW w:w="2339" w:type="pct"/>
            <w:tcBorders>
              <w:top w:val="single" w:sz="12" w:space="0" w:color="008000"/>
              <w:bottom w:val="single" w:sz="6" w:space="0" w:color="008000"/>
              <w:right w:val="single" w:sz="4" w:space="0" w:color="auto"/>
            </w:tcBorders>
            <w:shd w:val="clear" w:color="auto" w:fill="FFFFFF"/>
            <w:vAlign w:val="center"/>
          </w:tcPr>
          <w:p w14:paraId="0FA0E1A2" w14:textId="73366816" w:rsidR="00B4022A" w:rsidRPr="00B4022A" w:rsidRDefault="00B4022A" w:rsidP="00B4022A">
            <w:pPr>
              <w:pStyle w:val="Nessunaspaziatura"/>
              <w:jc w:val="center"/>
              <w:rPr>
                <w:rFonts w:ascii="Arial" w:hAnsi="Arial" w:cs="Arial"/>
                <w:sz w:val="18"/>
                <w:szCs w:val="18"/>
                <w:lang w:val="en-GB"/>
              </w:rPr>
            </w:pPr>
            <w:r w:rsidRPr="00B4022A">
              <w:rPr>
                <w:rFonts w:ascii="Arial" w:hAnsi="Arial" w:cs="Arial"/>
                <w:sz w:val="18"/>
                <w:szCs w:val="18"/>
              </w:rPr>
              <w:t>Definition</w:t>
            </w:r>
          </w:p>
        </w:tc>
        <w:tc>
          <w:tcPr>
            <w:tcW w:w="520" w:type="pct"/>
            <w:tcBorders>
              <w:top w:val="single" w:sz="12" w:space="0" w:color="008000"/>
              <w:left w:val="single" w:sz="4" w:space="0" w:color="auto"/>
              <w:bottom w:val="single" w:sz="6" w:space="0" w:color="008000"/>
            </w:tcBorders>
            <w:shd w:val="clear" w:color="auto" w:fill="FFFFFF"/>
            <w:vAlign w:val="center"/>
          </w:tcPr>
          <w:p w14:paraId="29FCC3B1" w14:textId="417F9238" w:rsidR="00B4022A" w:rsidRPr="006529CF" w:rsidRDefault="00B4022A" w:rsidP="00B4022A">
            <w:pPr>
              <w:pStyle w:val="Nessunaspaziatura"/>
              <w:jc w:val="center"/>
              <w:rPr>
                <w:rFonts w:ascii="Arial" w:eastAsia="Times New Roman" w:hAnsi="Arial" w:cstheme="minorHAnsi"/>
                <w:b/>
                <w:i/>
                <w:color w:val="000000"/>
                <w:sz w:val="18"/>
                <w:szCs w:val="20"/>
                <w:lang w:val="en-GB"/>
              </w:rPr>
            </w:pPr>
            <w:r w:rsidRPr="006529CF">
              <w:rPr>
                <w:rFonts w:ascii="Arial" w:eastAsia="Times New Roman" w:hAnsi="Arial" w:cstheme="minorHAnsi"/>
                <w:b/>
                <w:i/>
                <w:color w:val="000000"/>
                <w:sz w:val="18"/>
                <w:szCs w:val="20"/>
                <w:lang w:val="en-GB"/>
              </w:rPr>
              <w:t xml:space="preserve">y </w:t>
            </w:r>
            <w:r w:rsidRPr="006529CF">
              <w:rPr>
                <w:rFonts w:ascii="Arial" w:eastAsia="Times New Roman" w:hAnsi="Arial" w:cstheme="minorHAnsi"/>
                <w:bCs/>
                <w:iCs/>
                <w:color w:val="000000"/>
                <w:sz w:val="18"/>
                <w:szCs w:val="20"/>
                <w:lang w:val="en-GB"/>
              </w:rPr>
              <w:t>data</w:t>
            </w:r>
          </w:p>
        </w:tc>
        <w:tc>
          <w:tcPr>
            <w:tcW w:w="1576" w:type="pct"/>
            <w:tcBorders>
              <w:top w:val="single" w:sz="12" w:space="0" w:color="008000"/>
              <w:bottom w:val="single" w:sz="6" w:space="0" w:color="008000"/>
            </w:tcBorders>
            <w:shd w:val="clear" w:color="auto" w:fill="FFFFFF"/>
            <w:vAlign w:val="center"/>
          </w:tcPr>
          <w:p w14:paraId="60EC2DD9" w14:textId="182F6237" w:rsidR="00B4022A" w:rsidRPr="00B4022A" w:rsidRDefault="00B4022A" w:rsidP="00B4022A">
            <w:pPr>
              <w:pStyle w:val="CETBodytext"/>
              <w:ind w:right="-1"/>
              <w:jc w:val="center"/>
              <w:rPr>
                <w:rFonts w:cs="Arial"/>
                <w:szCs w:val="18"/>
                <w:lang w:val="en-GB"/>
              </w:rPr>
            </w:pPr>
            <w:r w:rsidRPr="00B4022A">
              <w:rPr>
                <w:rFonts w:cs="Arial"/>
                <w:szCs w:val="18"/>
              </w:rPr>
              <w:t>Definition</w:t>
            </w:r>
          </w:p>
        </w:tc>
      </w:tr>
      <w:tr w:rsidR="00176C64" w:rsidRPr="00B4022A" w14:paraId="483156EA" w14:textId="77777777" w:rsidTr="006F0AB6">
        <w:trPr>
          <w:trHeight w:val="476"/>
        </w:trPr>
        <w:tc>
          <w:tcPr>
            <w:tcW w:w="564" w:type="pct"/>
            <w:shd w:val="clear" w:color="auto" w:fill="FFFFFF"/>
            <w:vAlign w:val="center"/>
          </w:tcPr>
          <w:p w14:paraId="4F939629" w14:textId="682D180E" w:rsidR="00B4022A" w:rsidRPr="00B4022A" w:rsidRDefault="00C36444" w:rsidP="00B4022A">
            <w:pPr>
              <w:pStyle w:val="Nessunaspaziatura"/>
              <w:jc w:val="center"/>
              <w:rPr>
                <w:rFonts w:ascii="Arial" w:hAnsi="Arial" w:cs="Arial"/>
                <w:sz w:val="18"/>
                <w:szCs w:val="18"/>
                <w:lang w:val="en-GB"/>
              </w:rPr>
            </w:pPr>
            <w:r>
              <w:rPr>
                <w:rFonts w:ascii="Arial" w:hAnsi="Arial" w:cs="Arial"/>
                <w:sz w:val="18"/>
                <w:szCs w:val="18"/>
                <w:lang w:val="en-GB"/>
              </w:rPr>
              <w:t>TS</w:t>
            </w:r>
          </w:p>
        </w:tc>
        <w:tc>
          <w:tcPr>
            <w:tcW w:w="2339" w:type="pct"/>
            <w:tcBorders>
              <w:right w:val="single" w:sz="4" w:space="0" w:color="auto"/>
            </w:tcBorders>
            <w:shd w:val="clear" w:color="auto" w:fill="FFFFFF"/>
            <w:vAlign w:val="center"/>
          </w:tcPr>
          <w:p w14:paraId="6BF47D55" w14:textId="5AD42410" w:rsidR="00B4022A" w:rsidRPr="00C36444" w:rsidRDefault="005175E8" w:rsidP="00B4022A">
            <w:pPr>
              <w:pStyle w:val="Nessunaspaziatura"/>
              <w:jc w:val="center"/>
              <w:rPr>
                <w:rFonts w:ascii="Arial" w:hAnsi="Arial" w:cs="Arial"/>
                <w:sz w:val="18"/>
                <w:szCs w:val="18"/>
                <w:lang w:val="en-AU"/>
              </w:rPr>
            </w:pPr>
            <w:r>
              <w:rPr>
                <w:rFonts w:ascii="Arial" w:hAnsi="Arial" w:cs="Arial"/>
                <w:sz w:val="18"/>
                <w:szCs w:val="18"/>
                <w:lang w:val="en-GB"/>
              </w:rPr>
              <w:t>T</w:t>
            </w:r>
            <w:r w:rsidR="00C36444" w:rsidRPr="00C36444">
              <w:rPr>
                <w:rFonts w:ascii="Arial" w:hAnsi="Arial" w:cs="Arial"/>
                <w:sz w:val="18"/>
                <w:szCs w:val="18"/>
                <w:lang w:val="en-GB"/>
              </w:rPr>
              <w:t>otal solids in the biomass</w:t>
            </w:r>
            <w:r w:rsidR="007C2F3B">
              <w:rPr>
                <w:rFonts w:ascii="Arial" w:hAnsi="Arial" w:cs="Arial"/>
                <w:sz w:val="18"/>
                <w:szCs w:val="18"/>
                <w:lang w:val="en-GB"/>
              </w:rPr>
              <w:t>, as %w/w of the total mass</w:t>
            </w:r>
          </w:p>
        </w:tc>
        <w:tc>
          <w:tcPr>
            <w:tcW w:w="520" w:type="pct"/>
            <w:tcBorders>
              <w:left w:val="single" w:sz="4" w:space="0" w:color="auto"/>
            </w:tcBorders>
            <w:shd w:val="clear" w:color="auto" w:fill="FFFFFF"/>
            <w:vAlign w:val="center"/>
          </w:tcPr>
          <w:p w14:paraId="1D7908F0" w14:textId="1788348D" w:rsidR="00B4022A" w:rsidRPr="00B4022A" w:rsidRDefault="00F23374" w:rsidP="00B4022A">
            <w:pPr>
              <w:pStyle w:val="Nessunaspaziatura"/>
              <w:jc w:val="center"/>
              <w:rPr>
                <w:rFonts w:ascii="Arial" w:hAnsi="Arial" w:cs="Arial"/>
                <w:sz w:val="18"/>
                <w:szCs w:val="18"/>
                <w:lang w:val="en-GB"/>
              </w:rPr>
            </w:pPr>
            <w:r>
              <w:rPr>
                <w:rFonts w:ascii="Arial" w:hAnsi="Arial" w:cs="Arial"/>
                <w:sz w:val="18"/>
                <w:szCs w:val="18"/>
                <w:lang w:val="en-GB"/>
              </w:rPr>
              <w:t>C</w:t>
            </w:r>
          </w:p>
        </w:tc>
        <w:tc>
          <w:tcPr>
            <w:tcW w:w="1576" w:type="pct"/>
            <w:shd w:val="clear" w:color="auto" w:fill="FFFFFF"/>
            <w:vAlign w:val="center"/>
          </w:tcPr>
          <w:p w14:paraId="475897C2" w14:textId="3536FF00" w:rsidR="00B4022A" w:rsidRPr="00C40E88" w:rsidRDefault="00F23374" w:rsidP="00B4022A">
            <w:pPr>
              <w:pStyle w:val="CETBodytext"/>
              <w:ind w:right="-1"/>
              <w:jc w:val="center"/>
              <w:rPr>
                <w:rFonts w:cs="Arial"/>
                <w:szCs w:val="18"/>
                <w:lang w:val="en-GB"/>
              </w:rPr>
            </w:pPr>
            <w:r>
              <w:rPr>
                <w:rFonts w:cs="Arial"/>
                <w:szCs w:val="18"/>
                <w:lang w:val="en-GB"/>
              </w:rPr>
              <w:t>Carbon fraction, as %mol.</w:t>
            </w:r>
          </w:p>
        </w:tc>
      </w:tr>
      <w:tr w:rsidR="00C36444" w:rsidRPr="00B4022A" w14:paraId="2FD8EECE" w14:textId="77777777" w:rsidTr="006F0AB6">
        <w:trPr>
          <w:trHeight w:val="476"/>
        </w:trPr>
        <w:tc>
          <w:tcPr>
            <w:tcW w:w="564" w:type="pct"/>
            <w:shd w:val="clear" w:color="auto" w:fill="FFFFFF"/>
            <w:vAlign w:val="center"/>
          </w:tcPr>
          <w:p w14:paraId="315C7765" w14:textId="3FA6E45A" w:rsidR="00C36444" w:rsidRPr="00B4022A" w:rsidRDefault="00C36444" w:rsidP="00C36444">
            <w:pPr>
              <w:pStyle w:val="Nessunaspaziatura"/>
              <w:jc w:val="center"/>
              <w:rPr>
                <w:rFonts w:ascii="Arial" w:hAnsi="Arial" w:cs="Arial"/>
                <w:sz w:val="18"/>
                <w:szCs w:val="18"/>
                <w:lang w:val="en-GB"/>
              </w:rPr>
            </w:pPr>
            <w:r>
              <w:rPr>
                <w:rFonts w:ascii="Arial" w:hAnsi="Arial" w:cs="Arial"/>
                <w:sz w:val="18"/>
                <w:szCs w:val="18"/>
                <w:lang w:val="en-GB"/>
              </w:rPr>
              <w:t>VS</w:t>
            </w:r>
          </w:p>
        </w:tc>
        <w:tc>
          <w:tcPr>
            <w:tcW w:w="2339" w:type="pct"/>
            <w:tcBorders>
              <w:right w:val="single" w:sz="4" w:space="0" w:color="auto"/>
            </w:tcBorders>
            <w:shd w:val="clear" w:color="auto" w:fill="FFFFFF"/>
            <w:vAlign w:val="center"/>
          </w:tcPr>
          <w:p w14:paraId="43E0FE50" w14:textId="77777777" w:rsidR="00C36444" w:rsidRDefault="00C36444" w:rsidP="00C36444">
            <w:pPr>
              <w:pStyle w:val="Nessunaspaziatura"/>
              <w:jc w:val="center"/>
              <w:rPr>
                <w:rFonts w:ascii="Arial" w:hAnsi="Arial" w:cs="Arial"/>
                <w:sz w:val="18"/>
                <w:szCs w:val="18"/>
                <w:lang w:val="en-GB"/>
              </w:rPr>
            </w:pPr>
            <w:r>
              <w:rPr>
                <w:rFonts w:ascii="Arial" w:hAnsi="Arial" w:cs="Arial"/>
                <w:sz w:val="18"/>
                <w:szCs w:val="18"/>
                <w:lang w:val="en-GB"/>
              </w:rPr>
              <w:t xml:space="preserve">Volatile solids of biomass, </w:t>
            </w:r>
          </w:p>
          <w:p w14:paraId="435D337C" w14:textId="298916C2" w:rsidR="00C36444" w:rsidRPr="00B4022A" w:rsidRDefault="00C36444" w:rsidP="00C36444">
            <w:pPr>
              <w:pStyle w:val="Nessunaspaziatura"/>
              <w:jc w:val="center"/>
              <w:rPr>
                <w:rFonts w:ascii="Arial" w:hAnsi="Arial" w:cs="Arial"/>
                <w:sz w:val="18"/>
                <w:szCs w:val="18"/>
                <w:lang w:val="en-GB"/>
              </w:rPr>
            </w:pPr>
            <w:r>
              <w:rPr>
                <w:rFonts w:ascii="Arial" w:hAnsi="Arial" w:cs="Arial"/>
                <w:sz w:val="18"/>
                <w:szCs w:val="18"/>
                <w:lang w:val="en-GB"/>
              </w:rPr>
              <w:t>as %</w:t>
            </w:r>
            <w:proofErr w:type="spellStart"/>
            <w:r>
              <w:rPr>
                <w:rFonts w:ascii="Arial" w:hAnsi="Arial" w:cs="Arial"/>
                <w:sz w:val="18"/>
                <w:szCs w:val="18"/>
                <w:lang w:val="en-GB"/>
              </w:rPr>
              <w:t>TSw</w:t>
            </w:r>
            <w:proofErr w:type="spellEnd"/>
            <w:r>
              <w:rPr>
                <w:rFonts w:cstheme="minorHAnsi"/>
                <w:color w:val="000000"/>
                <w:vertAlign w:val="superscript"/>
                <w:lang w:val="en-GB"/>
              </w:rPr>
              <w:t>(</w:t>
            </w:r>
            <w:r w:rsidRPr="006950BB">
              <w:rPr>
                <w:rStyle w:val="Rimandonotaapidipagina"/>
              </w:rPr>
              <w:footnoteReference w:id="1"/>
            </w:r>
            <w:r>
              <w:rPr>
                <w:rFonts w:cstheme="minorHAnsi"/>
                <w:color w:val="000000"/>
                <w:vertAlign w:val="superscript"/>
                <w:lang w:val="en-GB"/>
              </w:rPr>
              <w:t>)</w:t>
            </w:r>
          </w:p>
        </w:tc>
        <w:tc>
          <w:tcPr>
            <w:tcW w:w="520" w:type="pct"/>
            <w:tcBorders>
              <w:left w:val="single" w:sz="4" w:space="0" w:color="auto"/>
            </w:tcBorders>
            <w:shd w:val="clear" w:color="auto" w:fill="FFFFFF"/>
            <w:vAlign w:val="center"/>
          </w:tcPr>
          <w:p w14:paraId="698CF50F" w14:textId="4AE03CC5" w:rsidR="00C36444" w:rsidRPr="00B4022A" w:rsidRDefault="00C36444" w:rsidP="00C36444">
            <w:pPr>
              <w:pStyle w:val="Nessunaspaziatura"/>
              <w:jc w:val="center"/>
              <w:rPr>
                <w:rFonts w:ascii="Arial" w:hAnsi="Arial" w:cs="Arial"/>
                <w:sz w:val="18"/>
                <w:szCs w:val="18"/>
                <w:lang w:val="en-GB"/>
              </w:rPr>
            </w:pPr>
            <w:r>
              <w:rPr>
                <w:rFonts w:ascii="Arial" w:hAnsi="Arial" w:cs="Arial"/>
                <w:sz w:val="18"/>
                <w:szCs w:val="18"/>
                <w:lang w:val="en-GB"/>
              </w:rPr>
              <w:t>H</w:t>
            </w:r>
          </w:p>
        </w:tc>
        <w:tc>
          <w:tcPr>
            <w:tcW w:w="1576" w:type="pct"/>
            <w:shd w:val="clear" w:color="auto" w:fill="FFFFFF"/>
            <w:vAlign w:val="center"/>
          </w:tcPr>
          <w:p w14:paraId="5FA2388F" w14:textId="455E32BA" w:rsidR="00C36444" w:rsidRPr="00B4022A" w:rsidRDefault="00C36444" w:rsidP="00C36444">
            <w:pPr>
              <w:pStyle w:val="CETBodytext"/>
              <w:ind w:right="-1"/>
              <w:jc w:val="center"/>
              <w:rPr>
                <w:rFonts w:cs="Arial"/>
                <w:szCs w:val="18"/>
                <w:lang w:val="en-GB"/>
              </w:rPr>
            </w:pPr>
            <w:r>
              <w:rPr>
                <w:rFonts w:cs="Arial"/>
                <w:szCs w:val="18"/>
                <w:lang w:val="en-GB"/>
              </w:rPr>
              <w:t>Hydrogen fraction, as %mol.</w:t>
            </w:r>
          </w:p>
        </w:tc>
      </w:tr>
      <w:tr w:rsidR="00176C64" w:rsidRPr="00B4022A" w14:paraId="418E6BBD" w14:textId="77777777" w:rsidTr="006F0AB6">
        <w:trPr>
          <w:trHeight w:val="476"/>
        </w:trPr>
        <w:tc>
          <w:tcPr>
            <w:tcW w:w="564" w:type="pct"/>
            <w:shd w:val="clear" w:color="auto" w:fill="FFFFFF"/>
            <w:vAlign w:val="center"/>
          </w:tcPr>
          <w:p w14:paraId="05EB1842" w14:textId="18B431A2" w:rsidR="00B4022A" w:rsidRPr="00B4022A" w:rsidRDefault="00E57907" w:rsidP="00B4022A">
            <w:pPr>
              <w:pStyle w:val="Nessunaspaziatura"/>
              <w:jc w:val="center"/>
              <w:rPr>
                <w:rFonts w:ascii="Arial" w:hAnsi="Arial" w:cs="Arial"/>
                <w:sz w:val="18"/>
                <w:szCs w:val="18"/>
                <w:lang w:val="en-GB"/>
              </w:rPr>
            </w:pPr>
            <w:r>
              <w:rPr>
                <w:rFonts w:ascii="Arial" w:hAnsi="Arial" w:cs="Arial"/>
                <w:sz w:val="18"/>
                <w:szCs w:val="18"/>
                <w:lang w:val="en-GB"/>
              </w:rPr>
              <w:t>SU</w:t>
            </w:r>
          </w:p>
        </w:tc>
        <w:tc>
          <w:tcPr>
            <w:tcW w:w="2339" w:type="pct"/>
            <w:tcBorders>
              <w:right w:val="single" w:sz="4" w:space="0" w:color="auto"/>
            </w:tcBorders>
            <w:shd w:val="clear" w:color="auto" w:fill="FFFFFF"/>
            <w:vAlign w:val="center"/>
          </w:tcPr>
          <w:p w14:paraId="635653C5" w14:textId="2A7E9138" w:rsidR="00F23374" w:rsidRDefault="00E57907" w:rsidP="00B4022A">
            <w:pPr>
              <w:pStyle w:val="Nessunaspaziatura"/>
              <w:jc w:val="center"/>
              <w:rPr>
                <w:rFonts w:ascii="Arial" w:hAnsi="Arial" w:cs="Arial"/>
                <w:sz w:val="18"/>
                <w:szCs w:val="18"/>
                <w:lang w:val="en-GB"/>
              </w:rPr>
            </w:pPr>
            <w:r>
              <w:rPr>
                <w:rFonts w:ascii="Arial" w:hAnsi="Arial" w:cs="Arial"/>
                <w:sz w:val="18"/>
                <w:szCs w:val="18"/>
                <w:lang w:val="en-GB"/>
              </w:rPr>
              <w:t>Sugar concentration in biomas</w:t>
            </w:r>
            <w:r w:rsidR="00D6688C">
              <w:rPr>
                <w:rFonts w:ascii="Arial" w:hAnsi="Arial" w:cs="Arial"/>
                <w:sz w:val="18"/>
                <w:szCs w:val="18"/>
                <w:lang w:val="en-GB"/>
              </w:rPr>
              <w:t>s</w:t>
            </w:r>
            <w:r>
              <w:rPr>
                <w:rFonts w:ascii="Arial" w:hAnsi="Arial" w:cs="Arial"/>
                <w:sz w:val="18"/>
                <w:szCs w:val="18"/>
                <w:lang w:val="en-GB"/>
              </w:rPr>
              <w:t xml:space="preserve">, </w:t>
            </w:r>
          </w:p>
          <w:p w14:paraId="270E5C58" w14:textId="3689E656" w:rsidR="00B4022A" w:rsidRPr="00B4022A" w:rsidRDefault="00E57907" w:rsidP="00B4022A">
            <w:pPr>
              <w:pStyle w:val="Nessunaspaziatura"/>
              <w:jc w:val="center"/>
              <w:rPr>
                <w:rFonts w:ascii="Arial" w:hAnsi="Arial" w:cs="Arial"/>
                <w:sz w:val="18"/>
                <w:szCs w:val="18"/>
                <w:lang w:val="en-GB"/>
              </w:rPr>
            </w:pPr>
            <w:r>
              <w:rPr>
                <w:rFonts w:ascii="Arial" w:hAnsi="Arial" w:cs="Arial"/>
                <w:sz w:val="18"/>
                <w:szCs w:val="18"/>
                <w:lang w:val="en-GB"/>
              </w:rPr>
              <w:t>as %</w:t>
            </w:r>
            <w:proofErr w:type="spellStart"/>
            <w:r>
              <w:rPr>
                <w:rFonts w:ascii="Arial" w:hAnsi="Arial" w:cs="Arial"/>
                <w:sz w:val="18"/>
                <w:szCs w:val="18"/>
                <w:lang w:val="en-GB"/>
              </w:rPr>
              <w:t>TSw</w:t>
            </w:r>
            <w:proofErr w:type="spellEnd"/>
          </w:p>
        </w:tc>
        <w:tc>
          <w:tcPr>
            <w:tcW w:w="520" w:type="pct"/>
            <w:tcBorders>
              <w:left w:val="single" w:sz="4" w:space="0" w:color="auto"/>
            </w:tcBorders>
            <w:shd w:val="clear" w:color="auto" w:fill="FFFFFF"/>
            <w:vAlign w:val="center"/>
          </w:tcPr>
          <w:p w14:paraId="6CF95091" w14:textId="08EA22DF" w:rsidR="00B4022A" w:rsidRPr="00B4022A" w:rsidRDefault="00F23374" w:rsidP="00B4022A">
            <w:pPr>
              <w:pStyle w:val="Nessunaspaziatura"/>
              <w:jc w:val="center"/>
              <w:rPr>
                <w:rFonts w:ascii="Arial" w:hAnsi="Arial" w:cs="Arial"/>
                <w:sz w:val="18"/>
                <w:szCs w:val="18"/>
                <w:lang w:val="en-GB"/>
              </w:rPr>
            </w:pPr>
            <w:r>
              <w:rPr>
                <w:rFonts w:ascii="Arial" w:hAnsi="Arial" w:cs="Arial"/>
                <w:sz w:val="18"/>
                <w:szCs w:val="18"/>
                <w:lang w:val="en-GB"/>
              </w:rPr>
              <w:t>O</w:t>
            </w:r>
          </w:p>
        </w:tc>
        <w:tc>
          <w:tcPr>
            <w:tcW w:w="1576" w:type="pct"/>
            <w:shd w:val="clear" w:color="auto" w:fill="FFFFFF"/>
            <w:vAlign w:val="center"/>
          </w:tcPr>
          <w:p w14:paraId="3394B826" w14:textId="66FAB479" w:rsidR="00B4022A" w:rsidRPr="00B4022A" w:rsidRDefault="00B4022A" w:rsidP="00B4022A">
            <w:pPr>
              <w:pStyle w:val="CETBodytext"/>
              <w:ind w:right="-1"/>
              <w:jc w:val="center"/>
              <w:rPr>
                <w:rFonts w:cs="Arial"/>
                <w:szCs w:val="18"/>
                <w:lang w:val="en-GB"/>
              </w:rPr>
            </w:pPr>
            <w:r w:rsidRPr="00B4022A">
              <w:rPr>
                <w:rFonts w:cs="Arial"/>
                <w:szCs w:val="18"/>
                <w:lang w:val="en-GB"/>
              </w:rPr>
              <w:t xml:space="preserve">Oxygen </w:t>
            </w:r>
            <w:r w:rsidR="00F23374">
              <w:rPr>
                <w:rFonts w:cs="Arial"/>
                <w:szCs w:val="18"/>
                <w:lang w:val="en-GB"/>
              </w:rPr>
              <w:t>fraction, as %mol.</w:t>
            </w:r>
          </w:p>
        </w:tc>
      </w:tr>
      <w:tr w:rsidR="00176C64" w:rsidRPr="00B4022A" w14:paraId="1BE9E0D8" w14:textId="77777777" w:rsidTr="006F0AB6">
        <w:trPr>
          <w:trHeight w:val="476"/>
        </w:trPr>
        <w:tc>
          <w:tcPr>
            <w:tcW w:w="564" w:type="pct"/>
            <w:shd w:val="clear" w:color="auto" w:fill="FFFFFF"/>
            <w:vAlign w:val="center"/>
          </w:tcPr>
          <w:p w14:paraId="0C47467D" w14:textId="4F07D711" w:rsidR="00B4022A" w:rsidRPr="00B4022A" w:rsidRDefault="00E57907" w:rsidP="00B4022A">
            <w:pPr>
              <w:pStyle w:val="Nessunaspaziatura"/>
              <w:jc w:val="center"/>
              <w:rPr>
                <w:rFonts w:ascii="Arial" w:hAnsi="Arial" w:cs="Arial"/>
                <w:sz w:val="18"/>
                <w:szCs w:val="18"/>
                <w:lang w:val="en-GB"/>
              </w:rPr>
            </w:pPr>
            <w:r>
              <w:rPr>
                <w:rFonts w:ascii="Arial" w:hAnsi="Arial" w:cs="Arial"/>
                <w:sz w:val="18"/>
                <w:szCs w:val="18"/>
                <w:lang w:val="en-GB"/>
              </w:rPr>
              <w:t>PR</w:t>
            </w:r>
          </w:p>
        </w:tc>
        <w:tc>
          <w:tcPr>
            <w:tcW w:w="2339" w:type="pct"/>
            <w:tcBorders>
              <w:right w:val="single" w:sz="4" w:space="0" w:color="auto"/>
            </w:tcBorders>
            <w:shd w:val="clear" w:color="auto" w:fill="FFFFFF"/>
            <w:vAlign w:val="center"/>
          </w:tcPr>
          <w:p w14:paraId="2567E0B6" w14:textId="73E130D4" w:rsidR="00B4022A" w:rsidRPr="00B4022A" w:rsidRDefault="00E57907" w:rsidP="00B4022A">
            <w:pPr>
              <w:pStyle w:val="Nessunaspaziatura"/>
              <w:jc w:val="center"/>
              <w:rPr>
                <w:rFonts w:ascii="Arial" w:hAnsi="Arial" w:cs="Arial"/>
                <w:sz w:val="18"/>
                <w:szCs w:val="18"/>
                <w:lang w:val="en-GB"/>
              </w:rPr>
            </w:pPr>
            <w:r>
              <w:rPr>
                <w:rFonts w:ascii="Arial" w:hAnsi="Arial" w:cs="Arial"/>
                <w:sz w:val="18"/>
                <w:szCs w:val="18"/>
                <w:lang w:val="en-GB"/>
              </w:rPr>
              <w:t>Protein concentration in biomass, as %</w:t>
            </w:r>
            <w:proofErr w:type="spellStart"/>
            <w:r>
              <w:rPr>
                <w:rFonts w:ascii="Arial" w:hAnsi="Arial" w:cs="Arial"/>
                <w:sz w:val="18"/>
                <w:szCs w:val="18"/>
                <w:lang w:val="en-GB"/>
              </w:rPr>
              <w:t>TSw</w:t>
            </w:r>
            <w:proofErr w:type="spellEnd"/>
          </w:p>
        </w:tc>
        <w:tc>
          <w:tcPr>
            <w:tcW w:w="520" w:type="pct"/>
            <w:tcBorders>
              <w:left w:val="single" w:sz="4" w:space="0" w:color="auto"/>
            </w:tcBorders>
            <w:shd w:val="clear" w:color="auto" w:fill="FFFFFF"/>
            <w:vAlign w:val="center"/>
          </w:tcPr>
          <w:p w14:paraId="1D245B8B" w14:textId="7578E7EA" w:rsidR="00B4022A" w:rsidRPr="00B4022A" w:rsidRDefault="00F23374" w:rsidP="00B4022A">
            <w:pPr>
              <w:pStyle w:val="Nessunaspaziatura"/>
              <w:jc w:val="center"/>
              <w:rPr>
                <w:rFonts w:ascii="Arial" w:hAnsi="Arial" w:cs="Arial"/>
                <w:sz w:val="18"/>
                <w:szCs w:val="18"/>
                <w:lang w:val="en-GB"/>
              </w:rPr>
            </w:pPr>
            <w:r>
              <w:rPr>
                <w:rFonts w:ascii="Arial" w:hAnsi="Arial" w:cs="Arial"/>
                <w:sz w:val="18"/>
                <w:szCs w:val="18"/>
                <w:lang w:val="en-GB"/>
              </w:rPr>
              <w:t>N</w:t>
            </w:r>
          </w:p>
        </w:tc>
        <w:tc>
          <w:tcPr>
            <w:tcW w:w="1576" w:type="pct"/>
            <w:shd w:val="clear" w:color="auto" w:fill="FFFFFF"/>
            <w:vAlign w:val="center"/>
          </w:tcPr>
          <w:p w14:paraId="16D8AA88" w14:textId="4C2B9699" w:rsidR="00B4022A" w:rsidRPr="00B4022A" w:rsidRDefault="00F23374" w:rsidP="00B4022A">
            <w:pPr>
              <w:pStyle w:val="CETBodytext"/>
              <w:ind w:right="-1"/>
              <w:jc w:val="center"/>
              <w:rPr>
                <w:rFonts w:cs="Arial"/>
                <w:szCs w:val="18"/>
                <w:lang w:val="en-GB"/>
              </w:rPr>
            </w:pPr>
            <w:r>
              <w:rPr>
                <w:rFonts w:cs="Arial"/>
                <w:szCs w:val="18"/>
                <w:lang w:val="en-GB"/>
              </w:rPr>
              <w:t>Nitrogen fraction, as %mol.</w:t>
            </w:r>
          </w:p>
        </w:tc>
      </w:tr>
      <w:tr w:rsidR="00176C64" w:rsidRPr="00B4022A" w14:paraId="14457B98" w14:textId="77777777" w:rsidTr="006F0AB6">
        <w:trPr>
          <w:trHeight w:val="476"/>
        </w:trPr>
        <w:tc>
          <w:tcPr>
            <w:tcW w:w="564" w:type="pct"/>
            <w:shd w:val="clear" w:color="auto" w:fill="FFFFFF"/>
            <w:vAlign w:val="center"/>
          </w:tcPr>
          <w:p w14:paraId="27E036B6" w14:textId="5EC2E7E0" w:rsidR="00B4022A" w:rsidRPr="00B4022A" w:rsidRDefault="00D93925" w:rsidP="00B4022A">
            <w:pPr>
              <w:pStyle w:val="Nessunaspaziatura"/>
              <w:ind w:right="-1"/>
              <w:jc w:val="center"/>
              <w:rPr>
                <w:rFonts w:ascii="Arial" w:hAnsi="Arial" w:cs="Arial"/>
                <w:sz w:val="18"/>
                <w:szCs w:val="18"/>
                <w:lang w:val="en-GB"/>
              </w:rPr>
            </w:pPr>
            <w:r>
              <w:rPr>
                <w:rFonts w:ascii="Arial" w:hAnsi="Arial" w:cs="Arial"/>
                <w:sz w:val="18"/>
                <w:szCs w:val="18"/>
                <w:lang w:val="en-GB"/>
              </w:rPr>
              <w:t>LP</w:t>
            </w:r>
          </w:p>
        </w:tc>
        <w:tc>
          <w:tcPr>
            <w:tcW w:w="2339" w:type="pct"/>
            <w:tcBorders>
              <w:right w:val="single" w:sz="4" w:space="0" w:color="auto"/>
            </w:tcBorders>
            <w:shd w:val="clear" w:color="auto" w:fill="FFFFFF"/>
            <w:vAlign w:val="center"/>
          </w:tcPr>
          <w:p w14:paraId="52F25A95" w14:textId="77777777" w:rsidR="00F23374" w:rsidRDefault="00D93925" w:rsidP="00D93925">
            <w:pPr>
              <w:pStyle w:val="CETBodytext"/>
              <w:ind w:right="-1"/>
              <w:jc w:val="center"/>
              <w:rPr>
                <w:rFonts w:cs="Arial"/>
                <w:szCs w:val="18"/>
                <w:lang w:val="en-GB"/>
              </w:rPr>
            </w:pPr>
            <w:r>
              <w:rPr>
                <w:rFonts w:cs="Arial"/>
                <w:szCs w:val="18"/>
                <w:lang w:val="en-GB"/>
              </w:rPr>
              <w:t xml:space="preserve">Lipids concentration in biomass, </w:t>
            </w:r>
          </w:p>
          <w:p w14:paraId="5F9FA694" w14:textId="058ED0F1" w:rsidR="00D93925" w:rsidRPr="00B4022A" w:rsidRDefault="00D93925" w:rsidP="00D93925">
            <w:pPr>
              <w:pStyle w:val="CETBodytext"/>
              <w:ind w:right="-1"/>
              <w:jc w:val="center"/>
              <w:rPr>
                <w:rFonts w:cs="Arial"/>
                <w:szCs w:val="18"/>
                <w:lang w:val="en-GB"/>
              </w:rPr>
            </w:pPr>
            <w:r>
              <w:rPr>
                <w:rFonts w:cs="Arial"/>
                <w:szCs w:val="18"/>
                <w:lang w:val="en-GB"/>
              </w:rPr>
              <w:t>as %</w:t>
            </w:r>
            <w:proofErr w:type="spellStart"/>
            <w:r>
              <w:rPr>
                <w:rFonts w:cs="Arial"/>
                <w:szCs w:val="18"/>
                <w:lang w:val="en-GB"/>
              </w:rPr>
              <w:t>TSw</w:t>
            </w:r>
            <w:proofErr w:type="spellEnd"/>
          </w:p>
        </w:tc>
        <w:tc>
          <w:tcPr>
            <w:tcW w:w="520" w:type="pct"/>
            <w:tcBorders>
              <w:left w:val="single" w:sz="4" w:space="0" w:color="auto"/>
            </w:tcBorders>
            <w:shd w:val="clear" w:color="auto" w:fill="FFFFFF"/>
            <w:vAlign w:val="center"/>
          </w:tcPr>
          <w:p w14:paraId="0AC65A07" w14:textId="77777777" w:rsidR="00B4022A" w:rsidRPr="00B4022A" w:rsidRDefault="00B4022A" w:rsidP="00B4022A">
            <w:pPr>
              <w:pStyle w:val="CETBodytext"/>
              <w:ind w:right="-1"/>
              <w:jc w:val="center"/>
              <w:rPr>
                <w:rFonts w:cs="Arial"/>
                <w:szCs w:val="18"/>
                <w:lang w:val="en-GB"/>
              </w:rPr>
            </w:pPr>
          </w:p>
        </w:tc>
        <w:tc>
          <w:tcPr>
            <w:tcW w:w="1576" w:type="pct"/>
            <w:shd w:val="clear" w:color="auto" w:fill="FFFFFF"/>
            <w:vAlign w:val="center"/>
          </w:tcPr>
          <w:p w14:paraId="76788559" w14:textId="356B2A26" w:rsidR="00B4022A" w:rsidRPr="00B4022A" w:rsidRDefault="00B4022A" w:rsidP="00B4022A">
            <w:pPr>
              <w:pStyle w:val="CETBodytext"/>
              <w:ind w:right="-1"/>
              <w:jc w:val="center"/>
              <w:rPr>
                <w:rFonts w:cs="Arial"/>
                <w:szCs w:val="18"/>
                <w:lang w:val="en-GB"/>
              </w:rPr>
            </w:pPr>
          </w:p>
        </w:tc>
      </w:tr>
      <w:tr w:rsidR="00D93925" w:rsidRPr="00B4022A" w14:paraId="5D63558D" w14:textId="77777777" w:rsidTr="006F0AB6">
        <w:trPr>
          <w:trHeight w:val="476"/>
        </w:trPr>
        <w:tc>
          <w:tcPr>
            <w:tcW w:w="564" w:type="pct"/>
            <w:shd w:val="clear" w:color="auto" w:fill="FFFFFF"/>
            <w:vAlign w:val="center"/>
          </w:tcPr>
          <w:p w14:paraId="18FB8B7E" w14:textId="15820253" w:rsidR="00D93925" w:rsidRDefault="00D93925" w:rsidP="00B4022A">
            <w:pPr>
              <w:pStyle w:val="Nessunaspaziatura"/>
              <w:ind w:right="-1"/>
              <w:jc w:val="center"/>
              <w:rPr>
                <w:rFonts w:ascii="Arial" w:hAnsi="Arial" w:cs="Arial"/>
                <w:sz w:val="18"/>
                <w:szCs w:val="18"/>
                <w:lang w:val="en-GB"/>
              </w:rPr>
            </w:pPr>
            <w:r>
              <w:rPr>
                <w:rFonts w:ascii="Arial" w:hAnsi="Arial" w:cs="Arial"/>
                <w:sz w:val="18"/>
                <w:szCs w:val="18"/>
                <w:lang w:val="en-GB"/>
              </w:rPr>
              <w:t>LG</w:t>
            </w:r>
          </w:p>
        </w:tc>
        <w:tc>
          <w:tcPr>
            <w:tcW w:w="2339" w:type="pct"/>
            <w:tcBorders>
              <w:right w:val="single" w:sz="4" w:space="0" w:color="auto"/>
            </w:tcBorders>
            <w:shd w:val="clear" w:color="auto" w:fill="FFFFFF"/>
            <w:vAlign w:val="center"/>
          </w:tcPr>
          <w:p w14:paraId="6E45C476" w14:textId="77777777" w:rsidR="00F23374" w:rsidRDefault="00F23374" w:rsidP="00D93925">
            <w:pPr>
              <w:pStyle w:val="CETBodytext"/>
              <w:ind w:right="-1"/>
              <w:jc w:val="center"/>
              <w:rPr>
                <w:rFonts w:cs="Arial"/>
                <w:szCs w:val="18"/>
                <w:lang w:val="en-GB"/>
              </w:rPr>
            </w:pPr>
            <w:r>
              <w:rPr>
                <w:rFonts w:cs="Arial"/>
                <w:szCs w:val="18"/>
                <w:lang w:val="en-GB"/>
              </w:rPr>
              <w:t xml:space="preserve">Lignin concentration in biomass, </w:t>
            </w:r>
          </w:p>
          <w:p w14:paraId="052321D1" w14:textId="19DA7EF9" w:rsidR="00D93925" w:rsidRDefault="00F23374" w:rsidP="00D93925">
            <w:pPr>
              <w:pStyle w:val="CETBodytext"/>
              <w:ind w:right="-1"/>
              <w:jc w:val="center"/>
              <w:rPr>
                <w:rFonts w:cs="Arial"/>
                <w:szCs w:val="18"/>
                <w:lang w:val="en-GB"/>
              </w:rPr>
            </w:pPr>
            <w:r>
              <w:rPr>
                <w:rFonts w:cs="Arial"/>
                <w:szCs w:val="18"/>
                <w:lang w:val="en-GB"/>
              </w:rPr>
              <w:t>as %</w:t>
            </w:r>
            <w:proofErr w:type="spellStart"/>
            <w:r>
              <w:rPr>
                <w:rFonts w:cs="Arial"/>
                <w:szCs w:val="18"/>
                <w:lang w:val="en-GB"/>
              </w:rPr>
              <w:t>TSw</w:t>
            </w:r>
            <w:proofErr w:type="spellEnd"/>
          </w:p>
        </w:tc>
        <w:tc>
          <w:tcPr>
            <w:tcW w:w="520" w:type="pct"/>
            <w:tcBorders>
              <w:left w:val="single" w:sz="4" w:space="0" w:color="auto"/>
            </w:tcBorders>
            <w:shd w:val="clear" w:color="auto" w:fill="FFFFFF"/>
            <w:vAlign w:val="center"/>
          </w:tcPr>
          <w:p w14:paraId="2FD4F584" w14:textId="77777777" w:rsidR="00D93925" w:rsidRPr="00B4022A" w:rsidRDefault="00D93925" w:rsidP="00B4022A">
            <w:pPr>
              <w:pStyle w:val="CETBodytext"/>
              <w:ind w:right="-1"/>
              <w:jc w:val="center"/>
              <w:rPr>
                <w:rFonts w:cs="Arial"/>
                <w:szCs w:val="18"/>
                <w:lang w:val="en-GB"/>
              </w:rPr>
            </w:pPr>
          </w:p>
        </w:tc>
        <w:tc>
          <w:tcPr>
            <w:tcW w:w="1576" w:type="pct"/>
            <w:shd w:val="clear" w:color="auto" w:fill="FFFFFF"/>
            <w:vAlign w:val="center"/>
          </w:tcPr>
          <w:p w14:paraId="17DB9156" w14:textId="77777777" w:rsidR="00D93925" w:rsidRPr="00B4022A" w:rsidRDefault="00D93925" w:rsidP="00B4022A">
            <w:pPr>
              <w:pStyle w:val="CETBodytext"/>
              <w:ind w:right="-1"/>
              <w:jc w:val="center"/>
              <w:rPr>
                <w:rFonts w:cs="Arial"/>
                <w:szCs w:val="18"/>
                <w:lang w:val="en-GB"/>
              </w:rPr>
            </w:pPr>
          </w:p>
        </w:tc>
      </w:tr>
      <w:tr w:rsidR="00F23374" w:rsidRPr="00B4022A" w14:paraId="11435EDF" w14:textId="77777777" w:rsidTr="006F0AB6">
        <w:trPr>
          <w:trHeight w:val="476"/>
        </w:trPr>
        <w:tc>
          <w:tcPr>
            <w:tcW w:w="564" w:type="pct"/>
            <w:shd w:val="clear" w:color="auto" w:fill="FFFFFF"/>
            <w:vAlign w:val="center"/>
          </w:tcPr>
          <w:p w14:paraId="48C49F09" w14:textId="733D1888" w:rsidR="00F23374" w:rsidRDefault="00F23374" w:rsidP="00B4022A">
            <w:pPr>
              <w:pStyle w:val="Nessunaspaziatura"/>
              <w:ind w:right="-1"/>
              <w:jc w:val="center"/>
              <w:rPr>
                <w:rFonts w:ascii="Arial" w:hAnsi="Arial" w:cs="Arial"/>
                <w:sz w:val="18"/>
                <w:szCs w:val="18"/>
                <w:lang w:val="en-GB"/>
              </w:rPr>
            </w:pPr>
            <w:r>
              <w:rPr>
                <w:rFonts w:ascii="Arial" w:hAnsi="Arial" w:cs="Arial"/>
                <w:sz w:val="18"/>
                <w:szCs w:val="18"/>
                <w:lang w:val="en-GB"/>
              </w:rPr>
              <w:t>HCE</w:t>
            </w:r>
          </w:p>
        </w:tc>
        <w:tc>
          <w:tcPr>
            <w:tcW w:w="2339" w:type="pct"/>
            <w:tcBorders>
              <w:right w:val="single" w:sz="4" w:space="0" w:color="auto"/>
            </w:tcBorders>
            <w:shd w:val="clear" w:color="auto" w:fill="FFFFFF"/>
            <w:vAlign w:val="center"/>
          </w:tcPr>
          <w:p w14:paraId="7C641042" w14:textId="77777777" w:rsidR="00176C64" w:rsidRDefault="00F23374" w:rsidP="00D93925">
            <w:pPr>
              <w:pStyle w:val="CETBodytext"/>
              <w:ind w:right="-1"/>
              <w:jc w:val="center"/>
              <w:rPr>
                <w:rFonts w:cs="Arial"/>
                <w:szCs w:val="18"/>
                <w:lang w:val="en-GB"/>
              </w:rPr>
            </w:pPr>
            <w:r>
              <w:rPr>
                <w:rFonts w:cs="Arial"/>
                <w:szCs w:val="18"/>
                <w:lang w:val="en-GB"/>
              </w:rPr>
              <w:t xml:space="preserve">Hemicellulose concentration in biomass, </w:t>
            </w:r>
          </w:p>
          <w:p w14:paraId="3A15F1EA" w14:textId="2C2E0434" w:rsidR="00F23374" w:rsidRDefault="00F23374" w:rsidP="00D93925">
            <w:pPr>
              <w:pStyle w:val="CETBodytext"/>
              <w:ind w:right="-1"/>
              <w:jc w:val="center"/>
              <w:rPr>
                <w:rFonts w:cs="Arial"/>
                <w:szCs w:val="18"/>
                <w:lang w:val="en-GB"/>
              </w:rPr>
            </w:pPr>
            <w:r>
              <w:rPr>
                <w:rFonts w:cs="Arial"/>
                <w:szCs w:val="18"/>
                <w:lang w:val="en-GB"/>
              </w:rPr>
              <w:t>as %</w:t>
            </w:r>
            <w:proofErr w:type="spellStart"/>
            <w:r>
              <w:rPr>
                <w:rFonts w:cs="Arial"/>
                <w:szCs w:val="18"/>
                <w:lang w:val="en-GB"/>
              </w:rPr>
              <w:t>TSw</w:t>
            </w:r>
            <w:proofErr w:type="spellEnd"/>
          </w:p>
        </w:tc>
        <w:tc>
          <w:tcPr>
            <w:tcW w:w="520" w:type="pct"/>
            <w:tcBorders>
              <w:left w:val="single" w:sz="4" w:space="0" w:color="auto"/>
            </w:tcBorders>
            <w:shd w:val="clear" w:color="auto" w:fill="FFFFFF"/>
            <w:vAlign w:val="center"/>
          </w:tcPr>
          <w:p w14:paraId="76EE6915" w14:textId="77777777" w:rsidR="00F23374" w:rsidRPr="00B4022A" w:rsidRDefault="00F23374" w:rsidP="00B4022A">
            <w:pPr>
              <w:pStyle w:val="CETBodytext"/>
              <w:ind w:right="-1"/>
              <w:jc w:val="center"/>
              <w:rPr>
                <w:rFonts w:cs="Arial"/>
                <w:szCs w:val="18"/>
                <w:lang w:val="en-GB"/>
              </w:rPr>
            </w:pPr>
          </w:p>
        </w:tc>
        <w:tc>
          <w:tcPr>
            <w:tcW w:w="1576" w:type="pct"/>
            <w:shd w:val="clear" w:color="auto" w:fill="FFFFFF"/>
            <w:vAlign w:val="center"/>
          </w:tcPr>
          <w:p w14:paraId="33424AFB" w14:textId="77777777" w:rsidR="00F23374" w:rsidRPr="00B4022A" w:rsidRDefault="00F23374" w:rsidP="00B4022A">
            <w:pPr>
              <w:pStyle w:val="CETBodytext"/>
              <w:ind w:right="-1"/>
              <w:jc w:val="center"/>
              <w:rPr>
                <w:rFonts w:cs="Arial"/>
                <w:szCs w:val="18"/>
                <w:lang w:val="en-GB"/>
              </w:rPr>
            </w:pPr>
          </w:p>
        </w:tc>
      </w:tr>
      <w:tr w:rsidR="00F23374" w:rsidRPr="00B4022A" w14:paraId="162D0D8A" w14:textId="77777777" w:rsidTr="006F0AB6">
        <w:trPr>
          <w:trHeight w:val="476"/>
        </w:trPr>
        <w:tc>
          <w:tcPr>
            <w:tcW w:w="564" w:type="pct"/>
            <w:shd w:val="clear" w:color="auto" w:fill="FFFFFF"/>
            <w:vAlign w:val="center"/>
          </w:tcPr>
          <w:p w14:paraId="2824C07D" w14:textId="4BEA2A17" w:rsidR="00F23374" w:rsidRDefault="00F23374" w:rsidP="00B4022A">
            <w:pPr>
              <w:pStyle w:val="Nessunaspaziatura"/>
              <w:ind w:right="-1"/>
              <w:jc w:val="center"/>
              <w:rPr>
                <w:rFonts w:ascii="Arial" w:hAnsi="Arial" w:cs="Arial"/>
                <w:sz w:val="18"/>
                <w:szCs w:val="18"/>
                <w:lang w:val="en-GB"/>
              </w:rPr>
            </w:pPr>
            <w:r>
              <w:rPr>
                <w:rFonts w:ascii="Arial" w:hAnsi="Arial" w:cs="Arial"/>
                <w:sz w:val="18"/>
                <w:szCs w:val="18"/>
                <w:lang w:val="en-GB"/>
              </w:rPr>
              <w:t>BD</w:t>
            </w:r>
          </w:p>
        </w:tc>
        <w:tc>
          <w:tcPr>
            <w:tcW w:w="2339" w:type="pct"/>
            <w:tcBorders>
              <w:right w:val="single" w:sz="4" w:space="0" w:color="auto"/>
            </w:tcBorders>
            <w:shd w:val="clear" w:color="auto" w:fill="FFFFFF"/>
            <w:vAlign w:val="center"/>
          </w:tcPr>
          <w:p w14:paraId="24F9522E" w14:textId="3612B028" w:rsidR="00F23374" w:rsidRDefault="00F23374" w:rsidP="00D93925">
            <w:pPr>
              <w:pStyle w:val="CETBodytext"/>
              <w:ind w:right="-1"/>
              <w:jc w:val="center"/>
              <w:rPr>
                <w:rFonts w:cs="Arial"/>
                <w:szCs w:val="18"/>
                <w:lang w:val="en-GB"/>
              </w:rPr>
            </w:pPr>
            <w:r>
              <w:rPr>
                <w:rFonts w:cs="Arial"/>
                <w:szCs w:val="18"/>
                <w:lang w:val="en-GB"/>
              </w:rPr>
              <w:t>Biodegradability index of the biomass</w:t>
            </w:r>
          </w:p>
        </w:tc>
        <w:tc>
          <w:tcPr>
            <w:tcW w:w="520" w:type="pct"/>
            <w:tcBorders>
              <w:left w:val="single" w:sz="4" w:space="0" w:color="auto"/>
            </w:tcBorders>
            <w:shd w:val="clear" w:color="auto" w:fill="FFFFFF"/>
            <w:vAlign w:val="center"/>
          </w:tcPr>
          <w:p w14:paraId="0BD26F3A" w14:textId="77777777" w:rsidR="00F23374" w:rsidRPr="00B4022A" w:rsidRDefault="00F23374" w:rsidP="00B4022A">
            <w:pPr>
              <w:pStyle w:val="CETBodytext"/>
              <w:ind w:right="-1"/>
              <w:jc w:val="center"/>
              <w:rPr>
                <w:rFonts w:cs="Arial"/>
                <w:szCs w:val="18"/>
                <w:lang w:val="en-GB"/>
              </w:rPr>
            </w:pPr>
          </w:p>
        </w:tc>
        <w:tc>
          <w:tcPr>
            <w:tcW w:w="1576" w:type="pct"/>
            <w:shd w:val="clear" w:color="auto" w:fill="FFFFFF"/>
            <w:vAlign w:val="center"/>
          </w:tcPr>
          <w:p w14:paraId="2301C69C" w14:textId="77777777" w:rsidR="00F23374" w:rsidRPr="00B4022A" w:rsidRDefault="00F23374" w:rsidP="00B4022A">
            <w:pPr>
              <w:pStyle w:val="CETBodytext"/>
              <w:ind w:right="-1"/>
              <w:jc w:val="center"/>
              <w:rPr>
                <w:rFonts w:cs="Arial"/>
                <w:szCs w:val="18"/>
                <w:lang w:val="en-GB"/>
              </w:rPr>
            </w:pPr>
          </w:p>
        </w:tc>
      </w:tr>
    </w:tbl>
    <w:p w14:paraId="14992FFA" w14:textId="77777777" w:rsidR="00176C64" w:rsidRDefault="00176C64" w:rsidP="00D9169C">
      <w:pPr>
        <w:pStyle w:val="CETBodytext"/>
        <w:rPr>
          <w:rFonts w:cstheme="minorHAnsi"/>
          <w:color w:val="000000"/>
          <w:lang w:val="en-GB"/>
        </w:rPr>
      </w:pPr>
    </w:p>
    <w:p w14:paraId="75865FA0" w14:textId="67822E9E" w:rsidR="0084491B" w:rsidRPr="00B4022A" w:rsidRDefault="005175E8" w:rsidP="004F7D22">
      <w:pPr>
        <w:pStyle w:val="CETBodytext"/>
        <w:rPr>
          <w:rFonts w:cstheme="minorHAnsi"/>
          <w:color w:val="000000"/>
          <w:lang w:val="en-GB"/>
        </w:rPr>
      </w:pPr>
      <w:r w:rsidRPr="006A6CBE">
        <w:rPr>
          <w:rFonts w:cstheme="minorHAnsi"/>
          <w:color w:val="000000"/>
          <w:lang w:val="en-GB"/>
        </w:rPr>
        <w:t xml:space="preserve">The </w:t>
      </w:r>
      <w:proofErr w:type="spellStart"/>
      <w:r w:rsidRPr="006A6CBE">
        <w:rPr>
          <w:rFonts w:cstheme="minorHAnsi"/>
          <w:color w:val="000000"/>
          <w:lang w:val="en-GB"/>
        </w:rPr>
        <w:t>s</w:t>
      </w:r>
      <w:r w:rsidR="002E5628" w:rsidRPr="006A6CBE">
        <w:rPr>
          <w:rFonts w:cstheme="minorHAnsi"/>
          <w:color w:val="000000"/>
          <w:lang w:val="en-GB"/>
        </w:rPr>
        <w:t>ul</w:t>
      </w:r>
      <w:r w:rsidR="003F355E" w:rsidRPr="006A6CBE">
        <w:rPr>
          <w:rFonts w:cstheme="minorHAnsi"/>
          <w:color w:val="000000"/>
          <w:lang w:val="en-GB"/>
        </w:rPr>
        <w:t>f</w:t>
      </w:r>
      <w:r w:rsidR="002E5628" w:rsidRPr="006A6CBE">
        <w:rPr>
          <w:rFonts w:cstheme="minorHAnsi"/>
          <w:color w:val="000000"/>
          <w:lang w:val="en-GB"/>
        </w:rPr>
        <w:t>ur</w:t>
      </w:r>
      <w:proofErr w:type="spellEnd"/>
      <w:r w:rsidR="002E5628" w:rsidRPr="006A6CBE">
        <w:rPr>
          <w:rFonts w:cstheme="minorHAnsi"/>
          <w:color w:val="000000"/>
          <w:lang w:val="en-GB"/>
        </w:rPr>
        <w:t xml:space="preserve"> molar fraction in biomass (S) is evaluated as complementary </w:t>
      </w:r>
      <w:r w:rsidRPr="006A6CBE">
        <w:rPr>
          <w:rFonts w:cstheme="minorHAnsi"/>
          <w:color w:val="000000"/>
          <w:lang w:val="en-GB"/>
        </w:rPr>
        <w:t>to</w:t>
      </w:r>
      <w:r w:rsidR="002E5628" w:rsidRPr="006A6CBE">
        <w:rPr>
          <w:rFonts w:cstheme="minorHAnsi"/>
          <w:color w:val="000000"/>
          <w:lang w:val="en-GB"/>
        </w:rPr>
        <w:t xml:space="preserve"> the other elements</w:t>
      </w:r>
      <w:r w:rsidR="001B23A2" w:rsidRPr="006A6CBE">
        <w:rPr>
          <w:rFonts w:cstheme="minorHAnsi"/>
          <w:color w:val="000000"/>
          <w:lang w:val="en-GB"/>
        </w:rPr>
        <w:t>, since its average value is relatively lower than the other species and can therefore influence the analysis results increasing its stiffness</w:t>
      </w:r>
      <w:r w:rsidR="002E5628" w:rsidRPr="006A6CBE">
        <w:rPr>
          <w:rFonts w:cstheme="minorHAnsi"/>
          <w:color w:val="000000"/>
          <w:lang w:val="en-GB"/>
        </w:rPr>
        <w:t>.</w:t>
      </w:r>
      <w:r w:rsidR="001B23A2" w:rsidRPr="006A6CBE">
        <w:rPr>
          <w:rFonts w:cstheme="minorHAnsi"/>
          <w:color w:val="000000"/>
          <w:lang w:val="en-GB"/>
        </w:rPr>
        <w:t xml:space="preserve"> </w:t>
      </w:r>
      <w:proofErr w:type="spellStart"/>
      <w:r w:rsidR="001B23A2" w:rsidRPr="006A6CBE">
        <w:rPr>
          <w:rFonts w:cstheme="minorHAnsi"/>
          <w:color w:val="000000"/>
          <w:lang w:val="en-GB"/>
        </w:rPr>
        <w:t>Sulfur</w:t>
      </w:r>
      <w:proofErr w:type="spellEnd"/>
      <w:r w:rsidR="001B23A2" w:rsidRPr="006A6CBE">
        <w:rPr>
          <w:rFonts w:cstheme="minorHAnsi"/>
          <w:color w:val="000000"/>
          <w:lang w:val="en-GB"/>
        </w:rPr>
        <w:t xml:space="preserve"> content can be reliably predicted from the average content of cysteine and methionine. However, the database used in this study</w:t>
      </w:r>
      <w:r w:rsidR="009F1638" w:rsidRPr="006A6CBE">
        <w:rPr>
          <w:rFonts w:cstheme="minorHAnsi"/>
          <w:color w:val="000000"/>
          <w:lang w:val="en-GB"/>
        </w:rPr>
        <w:t xml:space="preserve"> does not have this information. </w:t>
      </w:r>
      <w:r w:rsidR="00951FD8" w:rsidRPr="006A6CBE">
        <w:rPr>
          <w:rFonts w:cstheme="minorHAnsi"/>
          <w:color w:val="000000"/>
          <w:lang w:val="en-GB"/>
        </w:rPr>
        <w:t xml:space="preserve">In Table 1, </w:t>
      </w:r>
      <w:r w:rsidR="004F7D22" w:rsidRPr="006A6CBE">
        <w:rPr>
          <w:rFonts w:cstheme="minorHAnsi"/>
          <w:color w:val="000000"/>
          <w:lang w:val="en-GB"/>
        </w:rPr>
        <w:t xml:space="preserve">TS is the total solids content in the biomass, </w:t>
      </w:r>
      <w:r w:rsidR="00267D77" w:rsidRPr="006A6CBE">
        <w:rPr>
          <w:rFonts w:cstheme="minorHAnsi"/>
          <w:color w:val="000000"/>
          <w:lang w:val="en-GB"/>
        </w:rPr>
        <w:t xml:space="preserve">VS represents the actual </w:t>
      </w:r>
      <w:proofErr w:type="gramStart"/>
      <w:r w:rsidR="00267D77" w:rsidRPr="006A6CBE">
        <w:rPr>
          <w:rFonts w:cstheme="minorHAnsi"/>
          <w:color w:val="000000"/>
          <w:lang w:val="en-GB"/>
        </w:rPr>
        <w:t>amount</w:t>
      </w:r>
      <w:proofErr w:type="gramEnd"/>
      <w:r w:rsidR="00267D77" w:rsidRPr="006A6CBE">
        <w:rPr>
          <w:rFonts w:cstheme="minorHAnsi"/>
          <w:color w:val="000000"/>
          <w:lang w:val="en-GB"/>
        </w:rPr>
        <w:t xml:space="preserve"> of element</w:t>
      </w:r>
      <w:r w:rsidRPr="006A6CBE">
        <w:rPr>
          <w:rFonts w:cstheme="minorHAnsi"/>
          <w:color w:val="000000"/>
          <w:lang w:val="en-GB"/>
        </w:rPr>
        <w:t>s</w:t>
      </w:r>
      <w:r w:rsidR="00267D77" w:rsidRPr="006A6CBE">
        <w:rPr>
          <w:rFonts w:cstheme="minorHAnsi"/>
          <w:color w:val="000000"/>
          <w:lang w:val="en-GB"/>
        </w:rPr>
        <w:t xml:space="preserve"> which can undergo digestion</w:t>
      </w:r>
      <w:r w:rsidR="00A80B3A" w:rsidRPr="006A6CBE">
        <w:rPr>
          <w:rFonts w:cstheme="minorHAnsi"/>
          <w:color w:val="000000"/>
          <w:lang w:val="en-GB"/>
        </w:rPr>
        <w:t xml:space="preserve">, </w:t>
      </w:r>
      <w:r w:rsidRPr="006A6CBE">
        <w:rPr>
          <w:rFonts w:cstheme="minorHAnsi"/>
          <w:color w:val="000000"/>
          <w:lang w:val="en-GB"/>
        </w:rPr>
        <w:t xml:space="preserve">and </w:t>
      </w:r>
      <w:r w:rsidR="00951FD8" w:rsidRPr="006A6CBE">
        <w:rPr>
          <w:rFonts w:cstheme="minorHAnsi"/>
          <w:color w:val="000000"/>
          <w:lang w:val="en-GB"/>
        </w:rPr>
        <w:t>C/N is an important parameter since gives stability to the evaluation of the carbon and nitrogen</w:t>
      </w:r>
      <w:r w:rsidR="00951FD8">
        <w:rPr>
          <w:rFonts w:cstheme="minorHAnsi"/>
          <w:color w:val="000000"/>
          <w:lang w:val="en-GB"/>
        </w:rPr>
        <w:t xml:space="preserve"> </w:t>
      </w:r>
      <w:r w:rsidR="00267D77">
        <w:rPr>
          <w:rFonts w:cstheme="minorHAnsi"/>
          <w:color w:val="000000"/>
          <w:lang w:val="en-GB"/>
        </w:rPr>
        <w:t>output</w:t>
      </w:r>
      <w:r w:rsidR="00A80B3A">
        <w:rPr>
          <w:rFonts w:cstheme="minorHAnsi"/>
          <w:color w:val="000000"/>
          <w:lang w:val="en-GB"/>
        </w:rPr>
        <w:t xml:space="preserve">. Similarly, BD </w:t>
      </w:r>
      <w:r w:rsidR="00176C64">
        <w:rPr>
          <w:rFonts w:cstheme="minorHAnsi"/>
          <w:color w:val="000000"/>
          <w:lang w:val="en-GB"/>
        </w:rPr>
        <w:t>indicates</w:t>
      </w:r>
      <w:r w:rsidR="00A80B3A">
        <w:rPr>
          <w:rFonts w:cstheme="minorHAnsi"/>
          <w:color w:val="000000"/>
          <w:lang w:val="en-GB"/>
        </w:rPr>
        <w:t xml:space="preserve"> the biodegradability of the biomass</w:t>
      </w:r>
      <w:r w:rsidR="009B4344">
        <w:rPr>
          <w:rFonts w:cstheme="minorHAnsi"/>
          <w:color w:val="000000"/>
          <w:lang w:val="en-GB"/>
        </w:rPr>
        <w:t xml:space="preserve"> and is directly correlated to its bio-methane potential. </w:t>
      </w:r>
      <w:r w:rsidR="00A80B3A">
        <w:rPr>
          <w:rFonts w:cstheme="minorHAnsi"/>
          <w:color w:val="000000"/>
          <w:lang w:val="en-GB"/>
        </w:rPr>
        <w:t xml:space="preserve">Other input parameters (SU, PR, LP, LG, HCE) </w:t>
      </w:r>
      <w:r w:rsidR="009B4344">
        <w:rPr>
          <w:rFonts w:cstheme="minorHAnsi"/>
          <w:color w:val="000000"/>
          <w:lang w:val="en-GB"/>
        </w:rPr>
        <w:t xml:space="preserve">are </w:t>
      </w:r>
      <w:r w:rsidR="00176C64">
        <w:rPr>
          <w:rFonts w:cstheme="minorHAnsi"/>
          <w:color w:val="000000"/>
          <w:lang w:val="en-GB"/>
        </w:rPr>
        <w:t>the macromolecule concentration relative to that substrate under study.</w:t>
      </w:r>
      <w:r w:rsidR="004F7D22">
        <w:rPr>
          <w:rFonts w:cstheme="minorHAnsi"/>
          <w:color w:val="000000"/>
          <w:lang w:val="en-GB"/>
        </w:rPr>
        <w:t xml:space="preserve"> </w:t>
      </w:r>
      <w:r w:rsidR="00707456">
        <w:rPr>
          <w:rFonts w:cstheme="minorHAnsi"/>
          <w:color w:val="000000"/>
          <w:lang w:val="en-GB"/>
        </w:rPr>
        <w:t xml:space="preserve">The CCA analysis has been implemented in </w:t>
      </w:r>
      <w:r w:rsidR="00B408CB">
        <w:rPr>
          <w:rFonts w:cstheme="minorHAnsi"/>
          <w:color w:val="000000"/>
          <w:lang w:val="en-GB"/>
        </w:rPr>
        <w:t>MATLAB</w:t>
      </w:r>
      <w:r w:rsidR="00707456">
        <w:rPr>
          <w:rFonts w:cs="Arial"/>
          <w:color w:val="000000"/>
          <w:lang w:val="en-GB"/>
        </w:rPr>
        <w:t>™</w:t>
      </w:r>
      <w:r w:rsidR="00707456">
        <w:rPr>
          <w:rFonts w:cstheme="minorHAnsi"/>
          <w:color w:val="000000"/>
          <w:lang w:val="en-GB"/>
        </w:rPr>
        <w:t xml:space="preserve"> </w:t>
      </w:r>
      <w:r w:rsidR="0048573C">
        <w:rPr>
          <w:rFonts w:cstheme="minorHAnsi"/>
          <w:color w:val="000000"/>
          <w:lang w:val="en-GB"/>
        </w:rPr>
        <w:t>through</w:t>
      </w:r>
      <w:r w:rsidR="00707456">
        <w:rPr>
          <w:rFonts w:cstheme="minorHAnsi"/>
          <w:color w:val="000000"/>
          <w:lang w:val="en-GB"/>
        </w:rPr>
        <w:t xml:space="preserve"> the command </w:t>
      </w:r>
      <w:proofErr w:type="spellStart"/>
      <w:r w:rsidR="00707456" w:rsidRPr="00A721C1">
        <w:rPr>
          <w:rFonts w:cstheme="minorHAnsi"/>
          <w:i/>
          <w:color w:val="000000"/>
          <w:lang w:val="en-GB"/>
        </w:rPr>
        <w:t>canoncorr</w:t>
      </w:r>
      <w:proofErr w:type="spellEnd"/>
      <w:r w:rsidR="00707456" w:rsidRPr="00A721C1">
        <w:rPr>
          <w:rFonts w:cstheme="minorHAnsi"/>
          <w:i/>
          <w:color w:val="000000"/>
          <w:lang w:val="en-GB"/>
        </w:rPr>
        <w:t>(</w:t>
      </w:r>
      <w:proofErr w:type="spellStart"/>
      <w:r w:rsidR="00707456" w:rsidRPr="00A721C1">
        <w:rPr>
          <w:rFonts w:cstheme="minorHAnsi"/>
          <w:b/>
          <w:i/>
          <w:color w:val="000000"/>
          <w:lang w:val="en-GB"/>
        </w:rPr>
        <w:t>x</w:t>
      </w:r>
      <w:r w:rsidR="00707456" w:rsidRPr="00A721C1">
        <w:rPr>
          <w:rFonts w:cstheme="minorHAnsi"/>
          <w:i/>
          <w:color w:val="000000"/>
          <w:lang w:val="en-GB"/>
        </w:rPr>
        <w:t>,</w:t>
      </w:r>
      <w:r w:rsidR="00707456" w:rsidRPr="00A721C1">
        <w:rPr>
          <w:rFonts w:cstheme="minorHAnsi"/>
          <w:b/>
          <w:i/>
          <w:color w:val="000000"/>
          <w:lang w:val="en-GB"/>
        </w:rPr>
        <w:t>y</w:t>
      </w:r>
      <w:proofErr w:type="spellEnd"/>
      <w:r w:rsidR="00707456" w:rsidRPr="00A721C1">
        <w:rPr>
          <w:rFonts w:cstheme="minorHAnsi"/>
          <w:i/>
          <w:color w:val="000000"/>
          <w:lang w:val="en-GB"/>
        </w:rPr>
        <w:t>)</w:t>
      </w:r>
      <w:r w:rsidR="00D9169C">
        <w:rPr>
          <w:rFonts w:cstheme="minorHAnsi"/>
          <w:i/>
          <w:color w:val="000000"/>
          <w:lang w:val="en-GB"/>
        </w:rPr>
        <w:t>,</w:t>
      </w:r>
      <w:r w:rsidR="00A721C1">
        <w:rPr>
          <w:rFonts w:cstheme="minorHAnsi"/>
          <w:color w:val="000000"/>
          <w:lang w:val="en-GB"/>
        </w:rPr>
        <w:t xml:space="preserve"> which computes the </w:t>
      </w:r>
      <w:r w:rsidR="00A721C1" w:rsidRPr="00A721C1">
        <w:rPr>
          <w:rFonts w:cstheme="minorHAnsi"/>
          <w:color w:val="000000"/>
          <w:lang w:val="en-GB"/>
        </w:rPr>
        <w:t xml:space="preserve">canonical vectors </w:t>
      </w:r>
      <w:r w:rsidR="00A721C1" w:rsidRPr="00B15ADD">
        <w:rPr>
          <w:rFonts w:cstheme="minorHAnsi"/>
          <w:i/>
          <w:color w:val="000000"/>
          <w:lang w:val="en-GB"/>
        </w:rPr>
        <w:t>a</w:t>
      </w:r>
      <w:r w:rsidR="00A721C1" w:rsidRPr="00B15ADD">
        <w:rPr>
          <w:rFonts w:cstheme="minorHAnsi"/>
          <w:i/>
          <w:color w:val="000000"/>
          <w:vertAlign w:val="subscript"/>
          <w:lang w:val="en-GB"/>
        </w:rPr>
        <w:t>m</w:t>
      </w:r>
      <w:r w:rsidR="00A721C1" w:rsidRPr="00A721C1">
        <w:rPr>
          <w:rFonts w:cstheme="minorHAnsi"/>
          <w:color w:val="000000"/>
          <w:lang w:val="en-GB"/>
        </w:rPr>
        <w:t xml:space="preserve"> and </w:t>
      </w:r>
      <w:r w:rsidR="00A721C1" w:rsidRPr="00B15ADD">
        <w:rPr>
          <w:rFonts w:cstheme="minorHAnsi"/>
          <w:i/>
          <w:color w:val="000000"/>
          <w:lang w:val="en-GB"/>
        </w:rPr>
        <w:t>b</w:t>
      </w:r>
      <w:r w:rsidR="00A721C1" w:rsidRPr="00B15ADD">
        <w:rPr>
          <w:rFonts w:cstheme="minorHAnsi"/>
          <w:i/>
          <w:color w:val="000000"/>
          <w:vertAlign w:val="subscript"/>
          <w:lang w:val="en-GB"/>
        </w:rPr>
        <w:t>m</w:t>
      </w:r>
      <w:r w:rsidR="00A721C1" w:rsidRPr="00A721C1">
        <w:rPr>
          <w:rFonts w:cstheme="minorHAnsi"/>
          <w:color w:val="000000"/>
          <w:lang w:val="en-GB"/>
        </w:rPr>
        <w:t xml:space="preserve">, and the canonical variates </w:t>
      </w:r>
      <w:proofErr w:type="spellStart"/>
      <w:r w:rsidR="00A721C1" w:rsidRPr="00B15ADD">
        <w:rPr>
          <w:rFonts w:cstheme="minorHAnsi"/>
          <w:i/>
          <w:color w:val="000000"/>
          <w:lang w:val="en-GB"/>
        </w:rPr>
        <w:t>v</w:t>
      </w:r>
      <w:r w:rsidR="00A721C1" w:rsidRPr="00B15ADD">
        <w:rPr>
          <w:rFonts w:cstheme="minorHAnsi"/>
          <w:i/>
          <w:color w:val="000000"/>
          <w:vertAlign w:val="subscript"/>
          <w:lang w:val="en-GB"/>
        </w:rPr>
        <w:t>m</w:t>
      </w:r>
      <w:proofErr w:type="spellEnd"/>
      <w:r w:rsidR="00A721C1" w:rsidRPr="00A721C1">
        <w:rPr>
          <w:rFonts w:cstheme="minorHAnsi"/>
          <w:color w:val="000000"/>
          <w:lang w:val="en-GB"/>
        </w:rPr>
        <w:t xml:space="preserve"> and </w:t>
      </w:r>
      <w:proofErr w:type="spellStart"/>
      <w:r w:rsidR="00A721C1" w:rsidRPr="00B15ADD">
        <w:rPr>
          <w:rFonts w:cstheme="minorHAnsi"/>
          <w:i/>
          <w:color w:val="000000"/>
          <w:lang w:val="en-GB"/>
        </w:rPr>
        <w:t>w</w:t>
      </w:r>
      <w:r w:rsidR="00A721C1" w:rsidRPr="00B15ADD">
        <w:rPr>
          <w:rFonts w:cstheme="minorHAnsi"/>
          <w:i/>
          <w:color w:val="000000"/>
          <w:vertAlign w:val="subscript"/>
          <w:lang w:val="en-GB"/>
        </w:rPr>
        <w:t>m</w:t>
      </w:r>
      <w:r w:rsidR="00A721C1">
        <w:rPr>
          <w:rFonts w:cstheme="minorHAnsi"/>
          <w:color w:val="000000"/>
          <w:lang w:val="en-GB"/>
        </w:rPr>
        <w:t>.</w:t>
      </w:r>
      <w:proofErr w:type="spellEnd"/>
      <w:r w:rsidR="00A721C1">
        <w:rPr>
          <w:rFonts w:cstheme="minorHAnsi"/>
          <w:color w:val="000000"/>
          <w:lang w:val="en-GB"/>
        </w:rPr>
        <w:t xml:space="preserve"> </w:t>
      </w:r>
      <w:r w:rsidR="00A721C1" w:rsidRPr="00A721C1">
        <w:rPr>
          <w:rFonts w:cstheme="minorHAnsi"/>
          <w:color w:val="000000"/>
          <w:lang w:val="en-GB"/>
        </w:rPr>
        <w:t>The performance indicators MAE, MSE, SAE</w:t>
      </w:r>
      <w:r w:rsidR="00B547D0">
        <w:rPr>
          <w:rFonts w:cstheme="minorHAnsi"/>
          <w:color w:val="000000"/>
          <w:lang w:val="en-GB"/>
        </w:rPr>
        <w:t xml:space="preserve"> and</w:t>
      </w:r>
      <w:r w:rsidR="00A721C1" w:rsidRPr="00A721C1">
        <w:rPr>
          <w:rFonts w:cstheme="minorHAnsi"/>
          <w:color w:val="000000"/>
          <w:lang w:val="en-GB"/>
        </w:rPr>
        <w:t xml:space="preserve"> MAPE</w:t>
      </w:r>
      <w:r w:rsidR="00A721C1">
        <w:rPr>
          <w:rFonts w:cstheme="minorHAnsi"/>
          <w:color w:val="000000"/>
          <w:vertAlign w:val="superscript"/>
          <w:lang w:val="en-GB"/>
        </w:rPr>
        <w:t xml:space="preserve"> </w:t>
      </w:r>
      <w:r w:rsidR="00D9169C">
        <w:rPr>
          <w:rFonts w:cstheme="minorHAnsi"/>
          <w:color w:val="000000"/>
          <w:vertAlign w:val="superscript"/>
          <w:lang w:val="en-GB"/>
        </w:rPr>
        <w:t>(</w:t>
      </w:r>
      <w:r w:rsidR="008004A5" w:rsidRPr="006950BB">
        <w:rPr>
          <w:rStyle w:val="Rimandonotaapidipagina"/>
        </w:rPr>
        <w:footnoteReference w:id="2"/>
      </w:r>
      <w:r w:rsidR="00D9169C">
        <w:rPr>
          <w:rFonts w:cstheme="minorHAnsi"/>
          <w:color w:val="000000"/>
          <w:vertAlign w:val="superscript"/>
          <w:lang w:val="en-GB"/>
        </w:rPr>
        <w:t>)</w:t>
      </w:r>
      <w:r w:rsidR="008004A5">
        <w:rPr>
          <w:rFonts w:cstheme="minorHAnsi"/>
          <w:color w:val="000000"/>
          <w:lang w:val="en-GB"/>
        </w:rPr>
        <w:t xml:space="preserve"> </w:t>
      </w:r>
      <w:r w:rsidR="00413B0C">
        <w:rPr>
          <w:rFonts w:cstheme="minorHAnsi"/>
          <w:color w:val="000000"/>
          <w:lang w:val="en-GB"/>
        </w:rPr>
        <w:t xml:space="preserve">have been </w:t>
      </w:r>
      <w:r w:rsidR="00A721C1" w:rsidRPr="00A721C1">
        <w:rPr>
          <w:rFonts w:cstheme="minorHAnsi"/>
          <w:color w:val="000000"/>
          <w:lang w:val="en-GB"/>
        </w:rPr>
        <w:t xml:space="preserve">calculated </w:t>
      </w:r>
      <w:r w:rsidR="007E69B8">
        <w:rPr>
          <w:rFonts w:cstheme="minorHAnsi"/>
          <w:color w:val="000000"/>
          <w:lang w:val="en-GB"/>
        </w:rPr>
        <w:t xml:space="preserve">(Table 2) </w:t>
      </w:r>
      <w:r w:rsidR="00A721C1" w:rsidRPr="00A721C1">
        <w:rPr>
          <w:rFonts w:cstheme="minorHAnsi"/>
          <w:color w:val="000000"/>
          <w:lang w:val="en-GB"/>
        </w:rPr>
        <w:t xml:space="preserve">in the evaluation of the </w:t>
      </w:r>
      <w:r w:rsidR="00413B0C">
        <w:rPr>
          <w:rFonts w:cstheme="minorHAnsi"/>
          <w:color w:val="000000"/>
          <w:lang w:val="en-GB"/>
        </w:rPr>
        <w:t xml:space="preserve">correlations between </w:t>
      </w:r>
      <w:r w:rsidR="00413B0C" w:rsidRPr="00413B0C">
        <w:rPr>
          <w:rFonts w:cstheme="minorHAnsi"/>
          <w:b/>
          <w:i/>
          <w:color w:val="000000"/>
          <w:lang w:val="en-GB"/>
        </w:rPr>
        <w:t>x</w:t>
      </w:r>
      <w:r w:rsidR="00413B0C">
        <w:rPr>
          <w:rFonts w:cstheme="minorHAnsi"/>
          <w:color w:val="000000"/>
          <w:lang w:val="en-GB"/>
        </w:rPr>
        <w:t xml:space="preserve"> and </w:t>
      </w:r>
      <w:r w:rsidR="00413B0C" w:rsidRPr="00413B0C">
        <w:rPr>
          <w:rFonts w:cstheme="minorHAnsi"/>
          <w:b/>
          <w:i/>
          <w:color w:val="000000"/>
          <w:lang w:val="en-GB"/>
        </w:rPr>
        <w:t>y</w:t>
      </w:r>
      <w:r w:rsidR="00136624">
        <w:rPr>
          <w:rFonts w:cstheme="minorHAnsi"/>
          <w:b/>
          <w:i/>
          <w:color w:val="000000"/>
          <w:lang w:val="en-GB"/>
        </w:rPr>
        <w:t>.</w:t>
      </w:r>
    </w:p>
    <w:p w14:paraId="2B1A141C" w14:textId="6849D39A" w:rsidR="00413B0C" w:rsidRPr="008C0262" w:rsidRDefault="00413B0C" w:rsidP="008C0262">
      <w:pPr>
        <w:pStyle w:val="CETHeading1"/>
      </w:pPr>
      <w:r w:rsidRPr="008C0262">
        <w:t>Results</w:t>
      </w:r>
    </w:p>
    <w:p w14:paraId="4618A039" w14:textId="084357D7" w:rsidR="001F21A5" w:rsidRDefault="001F21A5" w:rsidP="004F7D22">
      <w:pPr>
        <w:tabs>
          <w:tab w:val="clear" w:pos="7100"/>
        </w:tabs>
        <w:spacing w:after="200" w:line="276" w:lineRule="auto"/>
      </w:pPr>
      <w:r>
        <w:t xml:space="preserve">Equations from 5 to 8 </w:t>
      </w:r>
      <w:r w:rsidR="00796652">
        <w:t xml:space="preserve">report the linear correlations obtained by CCA from </w:t>
      </w:r>
      <w:r w:rsidR="00796652" w:rsidRPr="00796652">
        <w:rPr>
          <w:b/>
          <w:i/>
        </w:rPr>
        <w:t>x</w:t>
      </w:r>
      <w:r w:rsidR="00796652">
        <w:t xml:space="preserve"> and </w:t>
      </w:r>
      <w:r w:rsidR="00796652" w:rsidRPr="00796652">
        <w:rPr>
          <w:b/>
          <w:i/>
        </w:rPr>
        <w:t>y</w:t>
      </w:r>
      <w:r w:rsidR="00796652">
        <w:t xml:space="preserve"> data</w:t>
      </w:r>
      <w:r w:rsidR="007E69B8">
        <w:t xml:space="preserve"> for the CHONS evaluation</w:t>
      </w:r>
      <w:r w:rsidR="00796652">
        <w:t>.</w:t>
      </w:r>
      <w:r>
        <w:t xml:space="preserve"> </w:t>
      </w:r>
      <w:r w:rsidR="004F7D22">
        <w:t>As said</w:t>
      </w:r>
      <w:r w:rsidR="007E69B8">
        <w:t xml:space="preserve">, </w:t>
      </w:r>
      <w:r w:rsidR="004F7D22">
        <w:t>and as</w:t>
      </w:r>
      <w:r w:rsidR="007E69B8">
        <w:t xml:space="preserve"> also shown in Table 1, </w:t>
      </w:r>
      <w:r w:rsidR="004F7D22">
        <w:t xml:space="preserve">the </w:t>
      </w:r>
      <w:r w:rsidR="007E69B8">
        <w:t xml:space="preserve">S fraction is not directly predicted, since it can be evaluated as a complementary component of the mixture. </w:t>
      </w:r>
      <w:r w:rsidR="00154853">
        <w:t>Despite the relatively high error obtained from the analysis (</w:t>
      </w:r>
      <w:r w:rsidR="00154853" w:rsidRPr="006A6CBE">
        <w:t xml:space="preserve">Table 2), it must be considered that </w:t>
      </w:r>
      <w:r w:rsidR="005175E8" w:rsidRPr="006A6CBE">
        <w:t xml:space="preserve">the </w:t>
      </w:r>
      <w:r w:rsidR="00154853" w:rsidRPr="006A6CBE">
        <w:t xml:space="preserve">heterogenicity of the biomass and the goodness of the experimental analyses strictly influence the values in the dataset. This can be also seen </w:t>
      </w:r>
      <w:r w:rsidR="005175E8" w:rsidRPr="006A6CBE">
        <w:t>in</w:t>
      </w:r>
      <w:r w:rsidR="00154853" w:rsidRPr="006A6CBE">
        <w:t xml:space="preserve"> Figure 1, where </w:t>
      </w:r>
      <w:r w:rsidR="00975121" w:rsidRPr="006A6CBE">
        <w:t>it is possible to notice the presence of enough outliers in the CNHO estimation exiting the confidence interval, thus increasing the error.</w:t>
      </w:r>
      <w:r w:rsidR="004601CD" w:rsidRPr="006A6CBE">
        <w:t xml:space="preserve"> This is principally due to the variability of the data-taking </w:t>
      </w:r>
      <w:proofErr w:type="gramStart"/>
      <w:r w:rsidR="004601CD" w:rsidRPr="006A6CBE">
        <w:t>process, since</w:t>
      </w:r>
      <w:proofErr w:type="gramEnd"/>
      <w:r w:rsidR="004601CD" w:rsidRPr="006A6CBE">
        <w:t xml:space="preserve"> the biomasses are </w:t>
      </w:r>
      <w:r w:rsidR="004601CD" w:rsidRPr="006A6CBE">
        <w:lastRenderedPageBreak/>
        <w:t>extremely heterogenous and the fraction of a certain type of it can consistently differ to another one. It is possible to say that the CHONS content is strictly related to the relative content of the biomass itself.</w:t>
      </w:r>
      <w:r w:rsidR="00975121" w:rsidRPr="006A6CBE">
        <w:t xml:space="preserve"> Consequently</w:t>
      </w:r>
      <w:r w:rsidR="00154853" w:rsidRPr="006A6CBE">
        <w:t xml:space="preserve">, </w:t>
      </w:r>
      <w:r w:rsidR="00975121" w:rsidRPr="006A6CBE">
        <w:t xml:space="preserve">it is possible to say that </w:t>
      </w:r>
      <w:r w:rsidR="00154853" w:rsidRPr="006A6CBE">
        <w:t xml:space="preserve">good prediction performance </w:t>
      </w:r>
      <w:r w:rsidR="00975121" w:rsidRPr="006A6CBE">
        <w:t>has</w:t>
      </w:r>
      <w:r w:rsidR="00154853" w:rsidRPr="006A6CBE">
        <w:t xml:space="preserve"> been obtained for the outputs.</w:t>
      </w:r>
      <w:r w:rsidR="00975121" w:rsidRPr="006A6CBE">
        <w:t xml:space="preserve"> The most</w:t>
      </w:r>
      <w:r w:rsidR="00975121">
        <w:t xml:space="preserve"> precise results are obtained for the nitrogen and hydrogen fraction</w:t>
      </w:r>
      <w:r w:rsidR="005175E8">
        <w:t>s</w:t>
      </w:r>
      <w:r w:rsidR="00975121">
        <w:t xml:space="preserve">. However, the MAPE index put hydrogen </w:t>
      </w:r>
      <w:r w:rsidR="005175E8">
        <w:t>i</w:t>
      </w:r>
      <w:r w:rsidR="00975121">
        <w:t>n second place, valorising the carbon and nitrogen fraction, showing values lower than 16%.</w:t>
      </w:r>
    </w:p>
    <w:p w14:paraId="45F0DF60" w14:textId="7A69C0DC" w:rsidR="004F7D22" w:rsidRPr="00796652" w:rsidRDefault="004F7D22" w:rsidP="004F7D22">
      <w:pPr>
        <w:tabs>
          <w:tab w:val="clear" w:pos="7100"/>
        </w:tabs>
        <w:spacing w:after="200" w:line="276" w:lineRule="auto"/>
        <w:rPr>
          <w:rStyle w:val="CETCaptionCarattere"/>
          <w:i w:val="0"/>
        </w:rPr>
      </w:pPr>
      <w:r w:rsidRPr="00D6688C">
        <w:rPr>
          <w:rStyle w:val="CETCaptionCarattere"/>
        </w:rPr>
        <w:t xml:space="preserve">Table </w:t>
      </w:r>
      <w:r>
        <w:rPr>
          <w:rStyle w:val="CETCaptionCarattere"/>
          <w:i w:val="0"/>
        </w:rPr>
        <w:t>2</w:t>
      </w:r>
      <w:r w:rsidRPr="00D6688C">
        <w:rPr>
          <w:rStyle w:val="CETCaptionCarattere"/>
        </w:rPr>
        <w:t xml:space="preserve">: </w:t>
      </w:r>
      <w:r>
        <w:rPr>
          <w:rStyle w:val="CETCaptionCarattere"/>
        </w:rPr>
        <w:t>Results evaluated in terms of error performance indicators.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51"/>
        <w:gridCol w:w="567"/>
        <w:gridCol w:w="709"/>
        <w:gridCol w:w="708"/>
        <w:gridCol w:w="550"/>
      </w:tblGrid>
      <w:tr w:rsidR="004F7D22" w:rsidRPr="00DC1F89" w14:paraId="5B8BC70B" w14:textId="77777777" w:rsidTr="00A4289F">
        <w:tc>
          <w:tcPr>
            <w:tcW w:w="851" w:type="dxa"/>
            <w:tcBorders>
              <w:top w:val="single" w:sz="12" w:space="0" w:color="008000"/>
              <w:bottom w:val="single" w:sz="6" w:space="0" w:color="008000"/>
            </w:tcBorders>
            <w:shd w:val="clear" w:color="auto" w:fill="FFFFFF"/>
            <w:vAlign w:val="center"/>
          </w:tcPr>
          <w:p w14:paraId="44B63333" w14:textId="77777777" w:rsidR="004F7D22" w:rsidRPr="00DC1F89" w:rsidRDefault="004F7D22" w:rsidP="00A4289F">
            <w:pPr>
              <w:tabs>
                <w:tab w:val="clear" w:pos="7100"/>
              </w:tabs>
              <w:spacing w:line="240" w:lineRule="auto"/>
              <w:jc w:val="left"/>
              <w:rPr>
                <w:rFonts w:eastAsia="Calibri" w:cs="Arial"/>
                <w:i/>
                <w:iCs/>
                <w:szCs w:val="18"/>
              </w:rPr>
            </w:pPr>
            <w:r>
              <w:rPr>
                <w:rFonts w:eastAsia="Calibri" w:cs="Arial"/>
                <w:i/>
                <w:iCs/>
                <w:szCs w:val="18"/>
              </w:rPr>
              <w:t>Element</w:t>
            </w:r>
          </w:p>
        </w:tc>
        <w:tc>
          <w:tcPr>
            <w:tcW w:w="567" w:type="dxa"/>
            <w:tcBorders>
              <w:top w:val="single" w:sz="12" w:space="0" w:color="008000"/>
              <w:bottom w:val="single" w:sz="6" w:space="0" w:color="008000"/>
            </w:tcBorders>
            <w:shd w:val="clear" w:color="auto" w:fill="FFFFFF"/>
            <w:vAlign w:val="center"/>
          </w:tcPr>
          <w:p w14:paraId="1CD716C1" w14:textId="77777777" w:rsidR="004F7D22" w:rsidRPr="00DC1F89" w:rsidRDefault="004F7D22" w:rsidP="00A4289F">
            <w:pPr>
              <w:tabs>
                <w:tab w:val="clear" w:pos="7100"/>
              </w:tabs>
              <w:spacing w:line="240" w:lineRule="auto"/>
              <w:jc w:val="left"/>
              <w:rPr>
                <w:rFonts w:eastAsia="Calibri" w:cs="Arial"/>
                <w:i/>
                <w:iCs/>
                <w:szCs w:val="18"/>
              </w:rPr>
            </w:pPr>
            <w:r w:rsidRPr="00DC1F89">
              <w:rPr>
                <w:rFonts w:eastAsia="Calibri" w:cs="Arial"/>
                <w:i/>
                <w:iCs/>
                <w:szCs w:val="18"/>
                <w:lang w:val="it-IT"/>
              </w:rPr>
              <w:t>MAE</w:t>
            </w:r>
          </w:p>
        </w:tc>
        <w:tc>
          <w:tcPr>
            <w:tcW w:w="709" w:type="dxa"/>
            <w:tcBorders>
              <w:top w:val="single" w:sz="12" w:space="0" w:color="008000"/>
              <w:bottom w:val="single" w:sz="6" w:space="0" w:color="008000"/>
            </w:tcBorders>
            <w:shd w:val="clear" w:color="auto" w:fill="FFFFFF"/>
            <w:vAlign w:val="center"/>
          </w:tcPr>
          <w:p w14:paraId="02909AD2" w14:textId="77777777" w:rsidR="004F7D22" w:rsidRPr="00DC1F89" w:rsidRDefault="004F7D22" w:rsidP="00A4289F">
            <w:pPr>
              <w:tabs>
                <w:tab w:val="clear" w:pos="7100"/>
              </w:tabs>
              <w:spacing w:line="240" w:lineRule="auto"/>
              <w:jc w:val="left"/>
              <w:rPr>
                <w:rFonts w:cs="Calibri"/>
                <w:i/>
                <w:iCs/>
                <w:color w:val="000000"/>
              </w:rPr>
            </w:pPr>
            <w:r w:rsidRPr="00DC1F89">
              <w:rPr>
                <w:rFonts w:cs="Calibri"/>
                <w:i/>
                <w:iCs/>
                <w:color w:val="000000"/>
              </w:rPr>
              <w:t>MAPE</w:t>
            </w:r>
          </w:p>
        </w:tc>
        <w:tc>
          <w:tcPr>
            <w:tcW w:w="708" w:type="dxa"/>
            <w:tcBorders>
              <w:top w:val="single" w:sz="12" w:space="0" w:color="008000"/>
              <w:bottom w:val="single" w:sz="6" w:space="0" w:color="008000"/>
            </w:tcBorders>
            <w:shd w:val="clear" w:color="auto" w:fill="FFFFFF"/>
            <w:vAlign w:val="center"/>
          </w:tcPr>
          <w:p w14:paraId="00902051" w14:textId="77777777" w:rsidR="004F7D22" w:rsidRPr="00DC1F89" w:rsidRDefault="004F7D22" w:rsidP="00A4289F">
            <w:pPr>
              <w:ind w:right="-1"/>
              <w:jc w:val="left"/>
              <w:rPr>
                <w:rFonts w:cs="Arial"/>
                <w:i/>
                <w:iCs/>
                <w:szCs w:val="18"/>
                <w:lang w:val="en-US"/>
              </w:rPr>
            </w:pPr>
            <w:r w:rsidRPr="00DC1F89">
              <w:rPr>
                <w:rFonts w:cs="Arial"/>
                <w:i/>
                <w:iCs/>
                <w:szCs w:val="18"/>
                <w:lang w:val="en-US"/>
              </w:rPr>
              <w:t>SAE</w:t>
            </w:r>
          </w:p>
        </w:tc>
        <w:tc>
          <w:tcPr>
            <w:tcW w:w="550" w:type="dxa"/>
            <w:tcBorders>
              <w:top w:val="single" w:sz="12" w:space="0" w:color="008000"/>
              <w:bottom w:val="single" w:sz="6" w:space="0" w:color="008000"/>
            </w:tcBorders>
            <w:shd w:val="clear" w:color="auto" w:fill="FFFFFF"/>
            <w:vAlign w:val="center"/>
          </w:tcPr>
          <w:p w14:paraId="3434757B" w14:textId="77777777" w:rsidR="004F7D22" w:rsidRPr="00DC1F89" w:rsidRDefault="004F7D22" w:rsidP="00A4289F">
            <w:pPr>
              <w:ind w:right="-1"/>
              <w:jc w:val="left"/>
              <w:rPr>
                <w:rFonts w:cs="Arial"/>
                <w:i/>
                <w:iCs/>
                <w:szCs w:val="18"/>
              </w:rPr>
            </w:pPr>
            <w:r w:rsidRPr="00DC1F89">
              <w:rPr>
                <w:rFonts w:cs="Arial"/>
                <w:i/>
                <w:iCs/>
                <w:szCs w:val="18"/>
              </w:rPr>
              <w:t>MSE</w:t>
            </w:r>
          </w:p>
        </w:tc>
      </w:tr>
      <w:tr w:rsidR="004F7D22" w:rsidRPr="00DC1F89" w14:paraId="3B41CEDB" w14:textId="77777777" w:rsidTr="00A4289F">
        <w:trPr>
          <w:trHeight w:val="256"/>
        </w:trPr>
        <w:tc>
          <w:tcPr>
            <w:tcW w:w="851" w:type="dxa"/>
            <w:shd w:val="clear" w:color="auto" w:fill="FFFFFF"/>
            <w:vAlign w:val="center"/>
          </w:tcPr>
          <w:p w14:paraId="1C5FD61D" w14:textId="77777777" w:rsidR="004F7D22" w:rsidRPr="00DC1F89" w:rsidRDefault="004F7D22" w:rsidP="00A4289F">
            <w:pPr>
              <w:tabs>
                <w:tab w:val="clear" w:pos="7100"/>
              </w:tabs>
              <w:spacing w:line="240" w:lineRule="auto"/>
              <w:jc w:val="left"/>
              <w:rPr>
                <w:rFonts w:eastAsia="Calibri" w:cs="Arial"/>
                <w:szCs w:val="18"/>
                <w:vertAlign w:val="subscript"/>
              </w:rPr>
            </w:pPr>
            <w:r w:rsidRPr="00DC1F89">
              <w:rPr>
                <w:rFonts w:eastAsia="Calibri" w:cs="Arial"/>
                <w:szCs w:val="18"/>
              </w:rPr>
              <w:t>C</w:t>
            </w:r>
          </w:p>
        </w:tc>
        <w:tc>
          <w:tcPr>
            <w:tcW w:w="567" w:type="dxa"/>
            <w:shd w:val="clear" w:color="auto" w:fill="FFFFFF"/>
            <w:vAlign w:val="center"/>
          </w:tcPr>
          <w:p w14:paraId="23A5E1EA" w14:textId="77777777" w:rsidR="004F7D22" w:rsidRPr="00DC1F89" w:rsidRDefault="004F7D22" w:rsidP="00A4289F">
            <w:pPr>
              <w:tabs>
                <w:tab w:val="clear" w:pos="7100"/>
              </w:tabs>
              <w:spacing w:line="240" w:lineRule="auto"/>
              <w:jc w:val="left"/>
              <w:rPr>
                <w:rFonts w:eastAsia="Calibri" w:cs="Arial"/>
                <w:szCs w:val="18"/>
                <w:lang w:val="en-AU"/>
              </w:rPr>
            </w:pPr>
            <w:r w:rsidRPr="00DC1F89">
              <w:rPr>
                <w:rFonts w:eastAsia="Calibri" w:cs="Arial"/>
                <w:szCs w:val="18"/>
              </w:rPr>
              <w:t>6.3</w:t>
            </w:r>
          </w:p>
        </w:tc>
        <w:tc>
          <w:tcPr>
            <w:tcW w:w="709" w:type="dxa"/>
            <w:shd w:val="clear" w:color="auto" w:fill="FFFFFF"/>
            <w:vAlign w:val="center"/>
          </w:tcPr>
          <w:p w14:paraId="2DD89D82" w14:textId="77777777" w:rsidR="004F7D22" w:rsidRPr="00DC1F89" w:rsidRDefault="004F7D22" w:rsidP="00A4289F">
            <w:pPr>
              <w:tabs>
                <w:tab w:val="clear" w:pos="7100"/>
              </w:tabs>
              <w:spacing w:line="240" w:lineRule="auto"/>
              <w:jc w:val="left"/>
              <w:rPr>
                <w:rFonts w:eastAsia="Calibri" w:cs="Arial"/>
                <w:szCs w:val="18"/>
              </w:rPr>
            </w:pPr>
            <w:r w:rsidRPr="00DC1F89">
              <w:rPr>
                <w:rFonts w:eastAsia="Calibri" w:cs="Arial"/>
                <w:szCs w:val="18"/>
              </w:rPr>
              <w:t>15.9</w:t>
            </w:r>
          </w:p>
        </w:tc>
        <w:tc>
          <w:tcPr>
            <w:tcW w:w="708" w:type="dxa"/>
            <w:shd w:val="clear" w:color="auto" w:fill="FFFFFF"/>
            <w:vAlign w:val="center"/>
          </w:tcPr>
          <w:p w14:paraId="6A1F5359" w14:textId="77777777" w:rsidR="004F7D22" w:rsidRPr="00DC1F89" w:rsidRDefault="004F7D22" w:rsidP="00A4289F">
            <w:pPr>
              <w:ind w:right="-1"/>
              <w:jc w:val="left"/>
              <w:rPr>
                <w:rFonts w:cs="Arial"/>
                <w:szCs w:val="18"/>
              </w:rPr>
            </w:pPr>
            <w:r w:rsidRPr="00DC1F89">
              <w:rPr>
                <w:rFonts w:eastAsia="Calibri" w:cs="Arial"/>
                <w:szCs w:val="18"/>
              </w:rPr>
              <w:t>1351.6</w:t>
            </w:r>
          </w:p>
        </w:tc>
        <w:tc>
          <w:tcPr>
            <w:tcW w:w="550" w:type="dxa"/>
            <w:shd w:val="clear" w:color="auto" w:fill="FFFFFF"/>
            <w:vAlign w:val="center"/>
          </w:tcPr>
          <w:p w14:paraId="4ECD7657" w14:textId="77777777" w:rsidR="004F7D22" w:rsidRPr="00DC1F89" w:rsidRDefault="004F7D22" w:rsidP="00A4289F">
            <w:pPr>
              <w:ind w:right="-1"/>
              <w:jc w:val="left"/>
              <w:rPr>
                <w:rFonts w:cs="Arial"/>
                <w:szCs w:val="18"/>
              </w:rPr>
            </w:pPr>
            <w:r w:rsidRPr="00DC1F89">
              <w:rPr>
                <w:rFonts w:cs="Arial"/>
                <w:szCs w:val="18"/>
              </w:rPr>
              <w:t>85.2</w:t>
            </w:r>
          </w:p>
        </w:tc>
      </w:tr>
      <w:tr w:rsidR="004F7D22" w:rsidRPr="00DC1F89" w14:paraId="4A2DA7C4" w14:textId="77777777" w:rsidTr="00A4289F">
        <w:trPr>
          <w:trHeight w:val="193"/>
        </w:trPr>
        <w:tc>
          <w:tcPr>
            <w:tcW w:w="851" w:type="dxa"/>
            <w:shd w:val="clear" w:color="auto" w:fill="FFFFFF"/>
            <w:vAlign w:val="center"/>
          </w:tcPr>
          <w:p w14:paraId="66A98CEF" w14:textId="77777777" w:rsidR="004F7D22" w:rsidRPr="00DC1F89" w:rsidRDefault="004F7D22" w:rsidP="00A4289F">
            <w:pPr>
              <w:tabs>
                <w:tab w:val="clear" w:pos="7100"/>
              </w:tabs>
              <w:spacing w:line="240" w:lineRule="auto"/>
              <w:jc w:val="left"/>
              <w:rPr>
                <w:rFonts w:eastAsia="Calibri" w:cs="Arial"/>
                <w:szCs w:val="18"/>
                <w:vertAlign w:val="subscript"/>
              </w:rPr>
            </w:pPr>
            <w:r w:rsidRPr="00DC1F89">
              <w:rPr>
                <w:rFonts w:eastAsia="Calibri" w:cs="Arial"/>
                <w:szCs w:val="18"/>
              </w:rPr>
              <w:t>H</w:t>
            </w:r>
          </w:p>
        </w:tc>
        <w:tc>
          <w:tcPr>
            <w:tcW w:w="567" w:type="dxa"/>
            <w:shd w:val="clear" w:color="auto" w:fill="FFFFFF"/>
            <w:vAlign w:val="center"/>
          </w:tcPr>
          <w:p w14:paraId="1190A3D0" w14:textId="77777777" w:rsidR="004F7D22" w:rsidRPr="00DC1F89" w:rsidRDefault="004F7D22" w:rsidP="00A4289F">
            <w:pPr>
              <w:tabs>
                <w:tab w:val="clear" w:pos="7100"/>
              </w:tabs>
              <w:spacing w:line="240" w:lineRule="auto"/>
              <w:jc w:val="left"/>
              <w:rPr>
                <w:rFonts w:eastAsia="Calibri" w:cs="Arial"/>
                <w:szCs w:val="18"/>
              </w:rPr>
            </w:pPr>
            <w:r w:rsidRPr="00DC1F89">
              <w:rPr>
                <w:rFonts w:eastAsia="Calibri" w:cs="Arial"/>
                <w:szCs w:val="18"/>
              </w:rPr>
              <w:t>1.5</w:t>
            </w:r>
          </w:p>
        </w:tc>
        <w:tc>
          <w:tcPr>
            <w:tcW w:w="709" w:type="dxa"/>
            <w:shd w:val="clear" w:color="auto" w:fill="FFFFFF"/>
            <w:vAlign w:val="center"/>
          </w:tcPr>
          <w:p w14:paraId="74E9271E" w14:textId="77777777" w:rsidR="004F7D22" w:rsidRPr="00DC1F89" w:rsidRDefault="004F7D22" w:rsidP="00A4289F">
            <w:pPr>
              <w:tabs>
                <w:tab w:val="clear" w:pos="7100"/>
              </w:tabs>
              <w:spacing w:line="240" w:lineRule="auto"/>
              <w:jc w:val="left"/>
              <w:rPr>
                <w:rFonts w:eastAsia="Calibri" w:cs="Arial"/>
                <w:szCs w:val="18"/>
              </w:rPr>
            </w:pPr>
            <w:r w:rsidRPr="00DC1F89">
              <w:rPr>
                <w:rFonts w:eastAsia="Calibri" w:cs="Arial"/>
                <w:szCs w:val="18"/>
              </w:rPr>
              <w:t>78.0</w:t>
            </w:r>
          </w:p>
        </w:tc>
        <w:tc>
          <w:tcPr>
            <w:tcW w:w="708" w:type="dxa"/>
            <w:shd w:val="clear" w:color="auto" w:fill="FFFFFF"/>
            <w:vAlign w:val="center"/>
          </w:tcPr>
          <w:p w14:paraId="2F8EB1D2" w14:textId="77777777" w:rsidR="004F7D22" w:rsidRPr="00DC1F89" w:rsidRDefault="004F7D22" w:rsidP="00A4289F">
            <w:pPr>
              <w:ind w:right="-1"/>
              <w:jc w:val="left"/>
              <w:rPr>
                <w:rFonts w:cs="Arial"/>
                <w:szCs w:val="18"/>
              </w:rPr>
            </w:pPr>
            <w:r w:rsidRPr="00DC1F89">
              <w:rPr>
                <w:rFonts w:eastAsia="Calibri" w:cs="Arial"/>
                <w:szCs w:val="18"/>
              </w:rPr>
              <w:t>315.8</w:t>
            </w:r>
          </w:p>
        </w:tc>
        <w:tc>
          <w:tcPr>
            <w:tcW w:w="550" w:type="dxa"/>
            <w:shd w:val="clear" w:color="auto" w:fill="FFFFFF"/>
            <w:vAlign w:val="center"/>
          </w:tcPr>
          <w:p w14:paraId="10488BF3" w14:textId="77777777" w:rsidR="004F7D22" w:rsidRPr="00DC1F89" w:rsidRDefault="004F7D22" w:rsidP="00A4289F">
            <w:pPr>
              <w:ind w:right="-1"/>
              <w:jc w:val="left"/>
              <w:rPr>
                <w:rFonts w:cs="Arial"/>
                <w:szCs w:val="18"/>
              </w:rPr>
            </w:pPr>
            <w:r w:rsidRPr="00DC1F89">
              <w:rPr>
                <w:rFonts w:cs="Arial"/>
                <w:szCs w:val="18"/>
              </w:rPr>
              <w:t>4.7</w:t>
            </w:r>
          </w:p>
        </w:tc>
      </w:tr>
      <w:tr w:rsidR="004F7D22" w:rsidRPr="00DC1F89" w14:paraId="62D37DCC" w14:textId="77777777" w:rsidTr="00A4289F">
        <w:trPr>
          <w:trHeight w:val="284"/>
        </w:trPr>
        <w:tc>
          <w:tcPr>
            <w:tcW w:w="851" w:type="dxa"/>
            <w:shd w:val="clear" w:color="auto" w:fill="FFFFFF"/>
            <w:vAlign w:val="center"/>
          </w:tcPr>
          <w:p w14:paraId="5489F6C6" w14:textId="77777777" w:rsidR="004F7D22" w:rsidRPr="00DC1F89" w:rsidRDefault="004F7D22" w:rsidP="00A4289F">
            <w:pPr>
              <w:tabs>
                <w:tab w:val="clear" w:pos="7100"/>
              </w:tabs>
              <w:spacing w:line="240" w:lineRule="auto"/>
              <w:jc w:val="left"/>
              <w:rPr>
                <w:rFonts w:eastAsia="Calibri" w:cs="Arial"/>
                <w:szCs w:val="18"/>
              </w:rPr>
            </w:pPr>
            <w:r w:rsidRPr="00DC1F89">
              <w:rPr>
                <w:rFonts w:eastAsia="Calibri" w:cs="Arial"/>
                <w:szCs w:val="18"/>
              </w:rPr>
              <w:t>N</w:t>
            </w:r>
          </w:p>
        </w:tc>
        <w:tc>
          <w:tcPr>
            <w:tcW w:w="567" w:type="dxa"/>
            <w:shd w:val="clear" w:color="auto" w:fill="FFFFFF"/>
            <w:vAlign w:val="center"/>
          </w:tcPr>
          <w:p w14:paraId="4BCCEB56" w14:textId="77777777" w:rsidR="004F7D22" w:rsidRPr="00DC1F89" w:rsidRDefault="004F7D22" w:rsidP="00A4289F">
            <w:pPr>
              <w:tabs>
                <w:tab w:val="clear" w:pos="7100"/>
              </w:tabs>
              <w:spacing w:line="240" w:lineRule="auto"/>
              <w:jc w:val="left"/>
              <w:rPr>
                <w:rFonts w:eastAsia="Calibri" w:cs="Arial"/>
                <w:szCs w:val="18"/>
              </w:rPr>
            </w:pPr>
            <w:r w:rsidRPr="00DC1F89">
              <w:rPr>
                <w:rFonts w:eastAsia="Calibri" w:cs="Arial"/>
                <w:szCs w:val="18"/>
              </w:rPr>
              <w:t>0.9</w:t>
            </w:r>
          </w:p>
        </w:tc>
        <w:tc>
          <w:tcPr>
            <w:tcW w:w="709" w:type="dxa"/>
            <w:shd w:val="clear" w:color="auto" w:fill="FFFFFF"/>
            <w:vAlign w:val="center"/>
          </w:tcPr>
          <w:p w14:paraId="0F6D212E" w14:textId="77777777" w:rsidR="004F7D22" w:rsidRPr="00DC1F89" w:rsidRDefault="004F7D22" w:rsidP="00A4289F">
            <w:pPr>
              <w:tabs>
                <w:tab w:val="clear" w:pos="7100"/>
              </w:tabs>
              <w:spacing w:line="240" w:lineRule="auto"/>
              <w:jc w:val="left"/>
              <w:rPr>
                <w:rFonts w:eastAsia="Calibri" w:cs="Arial"/>
                <w:szCs w:val="18"/>
              </w:rPr>
            </w:pPr>
            <w:r w:rsidRPr="00DC1F89">
              <w:rPr>
                <w:rFonts w:eastAsia="Calibri" w:cs="Arial"/>
                <w:szCs w:val="18"/>
              </w:rPr>
              <w:t>15.0</w:t>
            </w:r>
          </w:p>
        </w:tc>
        <w:tc>
          <w:tcPr>
            <w:tcW w:w="708" w:type="dxa"/>
            <w:shd w:val="clear" w:color="auto" w:fill="FFFFFF"/>
            <w:vAlign w:val="center"/>
          </w:tcPr>
          <w:p w14:paraId="689E9A81" w14:textId="77777777" w:rsidR="004F7D22" w:rsidRPr="00DC1F89" w:rsidRDefault="004F7D22" w:rsidP="00A4289F">
            <w:pPr>
              <w:ind w:right="-1"/>
              <w:jc w:val="left"/>
              <w:rPr>
                <w:rFonts w:cs="Arial"/>
                <w:szCs w:val="18"/>
              </w:rPr>
            </w:pPr>
            <w:r w:rsidRPr="00DC1F89">
              <w:rPr>
                <w:rFonts w:eastAsia="Calibri" w:cs="Arial"/>
                <w:szCs w:val="18"/>
              </w:rPr>
              <w:t>201.6</w:t>
            </w:r>
          </w:p>
        </w:tc>
        <w:tc>
          <w:tcPr>
            <w:tcW w:w="550" w:type="dxa"/>
            <w:shd w:val="clear" w:color="auto" w:fill="FFFFFF"/>
            <w:vAlign w:val="center"/>
          </w:tcPr>
          <w:p w14:paraId="279A3AEE" w14:textId="77777777" w:rsidR="004F7D22" w:rsidRPr="00DC1F89" w:rsidRDefault="004F7D22" w:rsidP="00A4289F">
            <w:pPr>
              <w:ind w:right="-1"/>
              <w:jc w:val="left"/>
              <w:rPr>
                <w:rFonts w:cs="Arial"/>
                <w:szCs w:val="18"/>
              </w:rPr>
            </w:pPr>
            <w:r w:rsidRPr="00DC1F89">
              <w:rPr>
                <w:rFonts w:cs="Arial"/>
                <w:szCs w:val="18"/>
              </w:rPr>
              <w:t>2.5</w:t>
            </w:r>
          </w:p>
        </w:tc>
      </w:tr>
      <w:tr w:rsidR="004F7D22" w:rsidRPr="00DC1F89" w14:paraId="65613D25" w14:textId="77777777" w:rsidTr="00A4289F">
        <w:trPr>
          <w:trHeight w:val="288"/>
        </w:trPr>
        <w:tc>
          <w:tcPr>
            <w:tcW w:w="851" w:type="dxa"/>
            <w:shd w:val="clear" w:color="auto" w:fill="FFFFFF"/>
            <w:vAlign w:val="center"/>
          </w:tcPr>
          <w:p w14:paraId="668DE3EF" w14:textId="77777777" w:rsidR="004F7D22" w:rsidRPr="00DC1F89" w:rsidRDefault="004F7D22" w:rsidP="00A4289F">
            <w:pPr>
              <w:tabs>
                <w:tab w:val="clear" w:pos="7100"/>
              </w:tabs>
              <w:spacing w:line="240" w:lineRule="auto"/>
              <w:jc w:val="left"/>
              <w:rPr>
                <w:rFonts w:eastAsia="Calibri" w:cs="Arial"/>
                <w:szCs w:val="18"/>
              </w:rPr>
            </w:pPr>
            <w:r w:rsidRPr="00DC1F89">
              <w:rPr>
                <w:rFonts w:eastAsia="Calibri" w:cs="Arial"/>
                <w:szCs w:val="18"/>
              </w:rPr>
              <w:t>O</w:t>
            </w:r>
          </w:p>
        </w:tc>
        <w:tc>
          <w:tcPr>
            <w:tcW w:w="567" w:type="dxa"/>
            <w:shd w:val="clear" w:color="auto" w:fill="FFFFFF"/>
            <w:vAlign w:val="center"/>
          </w:tcPr>
          <w:p w14:paraId="6C6E2615" w14:textId="77777777" w:rsidR="004F7D22" w:rsidRPr="00DC1F89" w:rsidRDefault="004F7D22" w:rsidP="00A4289F">
            <w:pPr>
              <w:tabs>
                <w:tab w:val="clear" w:pos="7100"/>
              </w:tabs>
              <w:spacing w:line="240" w:lineRule="auto"/>
              <w:jc w:val="left"/>
              <w:rPr>
                <w:rFonts w:eastAsia="Calibri" w:cs="Arial"/>
                <w:szCs w:val="18"/>
              </w:rPr>
            </w:pPr>
            <w:r w:rsidRPr="00DC1F89">
              <w:rPr>
                <w:rFonts w:eastAsia="Calibri" w:cs="Arial"/>
                <w:szCs w:val="18"/>
              </w:rPr>
              <w:t>7.7</w:t>
            </w:r>
          </w:p>
        </w:tc>
        <w:tc>
          <w:tcPr>
            <w:tcW w:w="709" w:type="dxa"/>
            <w:shd w:val="clear" w:color="auto" w:fill="FFFFFF"/>
            <w:vAlign w:val="center"/>
          </w:tcPr>
          <w:p w14:paraId="58B7E0CC" w14:textId="77777777" w:rsidR="004F7D22" w:rsidRPr="00DC1F89" w:rsidRDefault="004F7D22" w:rsidP="00A4289F">
            <w:pPr>
              <w:tabs>
                <w:tab w:val="clear" w:pos="7100"/>
              </w:tabs>
              <w:spacing w:line="240" w:lineRule="auto"/>
              <w:jc w:val="left"/>
              <w:rPr>
                <w:rFonts w:eastAsia="Calibri" w:cs="Arial"/>
                <w:szCs w:val="18"/>
              </w:rPr>
            </w:pPr>
            <w:r w:rsidRPr="00DC1F89">
              <w:rPr>
                <w:rFonts w:eastAsia="Calibri" w:cs="Arial"/>
                <w:szCs w:val="18"/>
              </w:rPr>
              <w:t>135.1</w:t>
            </w:r>
          </w:p>
        </w:tc>
        <w:tc>
          <w:tcPr>
            <w:tcW w:w="708" w:type="dxa"/>
            <w:shd w:val="clear" w:color="auto" w:fill="FFFFFF"/>
            <w:vAlign w:val="center"/>
          </w:tcPr>
          <w:p w14:paraId="2137E4FA" w14:textId="77777777" w:rsidR="004F7D22" w:rsidRPr="00DC1F89" w:rsidRDefault="004F7D22" w:rsidP="00A4289F">
            <w:pPr>
              <w:ind w:right="-1"/>
              <w:jc w:val="left"/>
              <w:rPr>
                <w:rFonts w:cs="Arial"/>
                <w:szCs w:val="18"/>
              </w:rPr>
            </w:pPr>
            <w:r w:rsidRPr="00DC1F89">
              <w:rPr>
                <w:rFonts w:eastAsia="Calibri" w:cs="Arial"/>
                <w:szCs w:val="18"/>
              </w:rPr>
              <w:t>1663.6</w:t>
            </w:r>
          </w:p>
        </w:tc>
        <w:tc>
          <w:tcPr>
            <w:tcW w:w="550" w:type="dxa"/>
            <w:shd w:val="clear" w:color="auto" w:fill="FFFFFF"/>
            <w:vAlign w:val="center"/>
          </w:tcPr>
          <w:p w14:paraId="78580FC0" w14:textId="77777777" w:rsidR="004F7D22" w:rsidRPr="00DC1F89" w:rsidRDefault="004F7D22" w:rsidP="00A4289F">
            <w:pPr>
              <w:ind w:right="-1"/>
              <w:jc w:val="left"/>
              <w:rPr>
                <w:rFonts w:cs="Arial"/>
                <w:szCs w:val="18"/>
              </w:rPr>
            </w:pPr>
            <w:r w:rsidRPr="00DC1F89">
              <w:rPr>
                <w:rFonts w:cs="Arial"/>
                <w:szCs w:val="18"/>
              </w:rPr>
              <w:t>127.6</w:t>
            </w:r>
          </w:p>
        </w:tc>
      </w:tr>
    </w:tbl>
    <w:p w14:paraId="596DEBCD" w14:textId="644E8F9B" w:rsidR="00142AF0" w:rsidRDefault="00142AF0" w:rsidP="00142AF0">
      <w:pPr>
        <w:tabs>
          <w:tab w:val="clear" w:pos="7100"/>
        </w:tabs>
        <w:spacing w:before="240" w:after="200" w:line="276" w:lineRule="auto"/>
      </w:pPr>
      <w:r>
        <w:t>The oxygen</w:t>
      </w:r>
      <w:r w:rsidR="00154853">
        <w:t xml:space="preserve"> is the </w:t>
      </w:r>
      <w:r w:rsidR="001F21A5">
        <w:t>output</w:t>
      </w:r>
      <w:r w:rsidR="00154853">
        <w:t xml:space="preserve"> which has the highest error in the </w:t>
      </w:r>
      <w:r w:rsidR="00B941C3">
        <w:t>study</w:t>
      </w:r>
      <w:r w:rsidR="00154853">
        <w:t xml:space="preserve">. This can be caused </w:t>
      </w:r>
      <w:r w:rsidR="005175E8">
        <w:t>by</w:t>
      </w:r>
      <w:r w:rsidR="00154853">
        <w:t xml:space="preserve"> the high number of </w:t>
      </w:r>
      <w:r w:rsidR="00436C3B">
        <w:t>outlier</w:t>
      </w:r>
      <w:r w:rsidR="00154853">
        <w:t xml:space="preserve"> value</w:t>
      </w:r>
      <w:r w:rsidR="001F21A5">
        <w:t>s in the database</w:t>
      </w:r>
      <w:r w:rsidR="00EF5031">
        <w:t xml:space="preserve">. This depicts the difficulty to </w:t>
      </w:r>
      <w:r w:rsidR="00436C3B">
        <w:t>find</w:t>
      </w:r>
      <w:r w:rsidR="00EF5031">
        <w:t xml:space="preserve"> both experimentally, in terms of reliable analysis, and numerically the amount of oxygen present in the biomass solids fraction.</w:t>
      </w:r>
    </w:p>
    <w:p w14:paraId="2AF0637A" w14:textId="3E3D81AC" w:rsidR="00142AF0" w:rsidRDefault="00142AF0" w:rsidP="00142AF0">
      <w:pPr>
        <w:tabs>
          <w:tab w:val="clear" w:pos="7100"/>
        </w:tabs>
        <w:spacing w:before="240" w:after="200" w:line="276" w:lineRule="auto"/>
        <w:jc w:val="center"/>
      </w:pPr>
      <w:r>
        <w:rPr>
          <w:noProof/>
          <w:lang w:val="it-IT" w:eastAsia="it-IT"/>
        </w:rPr>
        <w:drawing>
          <wp:inline distT="0" distB="0" distL="0" distR="0" wp14:anchorId="3AA93D0E" wp14:editId="69AFA838">
            <wp:extent cx="3746665" cy="270591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4092" t="11201" r="9140" b="5211"/>
                    <a:stretch/>
                  </pic:blipFill>
                  <pic:spPr bwMode="auto">
                    <a:xfrm>
                      <a:off x="0" y="0"/>
                      <a:ext cx="3748806" cy="2707462"/>
                    </a:xfrm>
                    <a:prstGeom prst="rect">
                      <a:avLst/>
                    </a:prstGeom>
                    <a:noFill/>
                    <a:ln>
                      <a:noFill/>
                    </a:ln>
                    <a:extLst>
                      <a:ext uri="{53640926-AAD7-44D8-BBD7-CCE9431645EC}">
                        <a14:shadowObscured xmlns:a14="http://schemas.microsoft.com/office/drawing/2010/main"/>
                      </a:ext>
                    </a:extLst>
                  </pic:spPr>
                </pic:pic>
              </a:graphicData>
            </a:graphic>
          </wp:inline>
        </w:drawing>
      </w:r>
    </w:p>
    <w:p w14:paraId="75B1AF74" w14:textId="490FF8CE" w:rsidR="00142AF0" w:rsidRDefault="00142AF0" w:rsidP="00142AF0">
      <w:pPr>
        <w:pStyle w:val="CETCaption"/>
        <w:spacing w:before="0"/>
        <w:jc w:val="center"/>
        <w:rPr>
          <w:rStyle w:val="CETCaptionCarattere"/>
          <w:i/>
        </w:rPr>
      </w:pPr>
      <w:r w:rsidRPr="00796652">
        <w:rPr>
          <w:rStyle w:val="CETCaptionCarattere"/>
          <w:i/>
        </w:rPr>
        <w:t xml:space="preserve">Figure </w:t>
      </w:r>
      <w:r w:rsidRPr="00796652">
        <w:rPr>
          <w:rStyle w:val="CETCaptionCarattere"/>
          <w:i/>
        </w:rPr>
        <w:fldChar w:fldCharType="begin"/>
      </w:r>
      <w:r w:rsidRPr="00796652">
        <w:rPr>
          <w:rStyle w:val="CETCaptionCarattere"/>
          <w:i/>
        </w:rPr>
        <w:instrText xml:space="preserve"> SEQ Figure \* ARABIC </w:instrText>
      </w:r>
      <w:r w:rsidRPr="00796652">
        <w:rPr>
          <w:rStyle w:val="CETCaptionCarattere"/>
          <w:i/>
        </w:rPr>
        <w:fldChar w:fldCharType="separate"/>
      </w:r>
      <w:r w:rsidRPr="00796652">
        <w:rPr>
          <w:rStyle w:val="CETCaptionCarattere"/>
          <w:i/>
        </w:rPr>
        <w:t>1</w:t>
      </w:r>
      <w:r w:rsidRPr="00796652">
        <w:rPr>
          <w:rStyle w:val="CETCaptionCarattere"/>
          <w:i/>
        </w:rPr>
        <w:fldChar w:fldCharType="end"/>
      </w:r>
      <w:r w:rsidRPr="00796652">
        <w:rPr>
          <w:rStyle w:val="CETCaptionCarattere"/>
          <w:i/>
        </w:rPr>
        <w:t xml:space="preserve">: </w:t>
      </w:r>
      <w:r w:rsidR="00975121">
        <w:rPr>
          <w:rStyle w:val="CETCaptionCarattere"/>
          <w:i/>
        </w:rPr>
        <w:t xml:space="preserve">boxplot and </w:t>
      </w:r>
      <w:r w:rsidR="001F21A5">
        <w:rPr>
          <w:rStyle w:val="CETCaptionCarattere"/>
          <w:i/>
        </w:rPr>
        <w:t>outliers’</w:t>
      </w:r>
      <w:r w:rsidR="00975121">
        <w:rPr>
          <w:rStyle w:val="CETCaptionCarattere"/>
          <w:i/>
        </w:rPr>
        <w:t xml:space="preserve"> representation of CNHO values from </w:t>
      </w:r>
      <w:r w:rsidR="005175E8">
        <w:rPr>
          <w:rStyle w:val="CETCaptionCarattere"/>
          <w:i/>
        </w:rPr>
        <w:t xml:space="preserve">the </w:t>
      </w:r>
      <w:r w:rsidR="00975121">
        <w:rPr>
          <w:rStyle w:val="CETCaptionCarattere"/>
          <w:i/>
        </w:rPr>
        <w:t xml:space="preserve">database, scaled with </w:t>
      </w:r>
      <w:r w:rsidR="005175E8">
        <w:rPr>
          <w:rStyle w:val="CETCaptionCarattere"/>
          <w:i/>
        </w:rPr>
        <w:t xml:space="preserve">the </w:t>
      </w:r>
      <w:r w:rsidR="00975121">
        <w:rPr>
          <w:rStyle w:val="CETCaptionCarattere"/>
          <w:i/>
        </w:rPr>
        <w:t>z-score algorithm</w:t>
      </w:r>
      <w:r>
        <w:rPr>
          <w:rStyle w:val="CETCaptionCarattere"/>
          <w:i/>
        </w:rPr>
        <w:t>.</w:t>
      </w:r>
    </w:p>
    <w:p w14:paraId="3E8BB0C4" w14:textId="30C5E671" w:rsidR="00B15ADD" w:rsidRPr="007B437D" w:rsidRDefault="00C66C68" w:rsidP="004F7D22">
      <w:pPr>
        <w:tabs>
          <w:tab w:val="clear" w:pos="7100"/>
        </w:tabs>
        <w:spacing w:before="240" w:after="200" w:line="276" w:lineRule="auto"/>
      </w:pPr>
      <w:r w:rsidRPr="007B437D">
        <w:t xml:space="preserve">Figure </w:t>
      </w:r>
      <w:r w:rsidR="00142AF0" w:rsidRPr="007B437D">
        <w:t>2</w:t>
      </w:r>
      <w:r w:rsidRPr="007B437D">
        <w:t xml:space="preserve"> shows a comparison between </w:t>
      </w:r>
      <w:r w:rsidR="005175E8">
        <w:t xml:space="preserve">the </w:t>
      </w:r>
      <w:r w:rsidR="00436C3B" w:rsidRPr="007B437D">
        <w:t>database</w:t>
      </w:r>
      <w:r w:rsidRPr="007B437D">
        <w:t xml:space="preserve"> and predicted values</w:t>
      </w:r>
      <w:r w:rsidR="00436C3B" w:rsidRPr="007B437D">
        <w:t xml:space="preserve"> (Eq. 5-8)</w:t>
      </w:r>
      <w:r w:rsidRPr="007B437D">
        <w:t xml:space="preserve"> for all outputs considered. </w:t>
      </w:r>
      <w:r w:rsidR="00436C3B" w:rsidRPr="007B437D">
        <w:t xml:space="preserve">Though this comparison it is easier to look </w:t>
      </w:r>
      <w:r w:rsidR="005175E8">
        <w:t>at</w:t>
      </w:r>
      <w:r w:rsidR="00436C3B" w:rsidRPr="007B437D">
        <w:t xml:space="preserve"> the goodness </w:t>
      </w:r>
      <w:r w:rsidR="002460A7">
        <w:t xml:space="preserve">of the </w:t>
      </w:r>
      <w:r w:rsidR="00436C3B" w:rsidRPr="007B437D">
        <w:t xml:space="preserve">prediction. CCA predictions well represent the trends of the molar fraction of the species. </w:t>
      </w:r>
    </w:p>
    <w:tbl>
      <w:tblPr>
        <w:tblStyle w:val="Grigliatabella"/>
        <w:tblW w:w="8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443"/>
      </w:tblGrid>
      <w:tr w:rsidR="00CA35DE" w:rsidRPr="007E69B8" w14:paraId="5E1390BA" w14:textId="77777777" w:rsidTr="007E69B8">
        <w:trPr>
          <w:trHeight w:val="476"/>
        </w:trPr>
        <w:tc>
          <w:tcPr>
            <w:tcW w:w="8364" w:type="dxa"/>
            <w:vAlign w:val="center"/>
          </w:tcPr>
          <w:p w14:paraId="201EDB40" w14:textId="550D10FB" w:rsidR="00CA35DE" w:rsidRPr="007E69B8" w:rsidRDefault="00000000" w:rsidP="007E69B8">
            <w:pPr>
              <w:pStyle w:val="CETEquation"/>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R</m:t>
                    </m:r>
                    <m:sSup>
                      <m:sSupPr>
                        <m:ctrlPr>
                          <w:rPr>
                            <w:rFonts w:ascii="Cambria Math" w:hAnsi="Cambria Math"/>
                            <w:i/>
                            <w:iCs/>
                          </w:rPr>
                        </m:ctrlPr>
                      </m:sSupPr>
                      <m:e>
                        <m:r>
                          <w:rPr>
                            <w:rFonts w:ascii="Cambria Math" w:hAnsi="Cambria Math"/>
                          </w:rPr>
                          <m:t>M</m:t>
                        </m:r>
                      </m:e>
                      <m:sup>
                        <m:r>
                          <w:rPr>
                            <w:rFonts w:ascii="Cambria Math" w:hAnsi="Cambria Math"/>
                          </w:rPr>
                          <m:t>(3)</m:t>
                        </m:r>
                      </m:sup>
                    </m:sSup>
                  </m:sub>
                </m:sSub>
                <m:r>
                  <m:rPr>
                    <m:sty m:val="p"/>
                  </m:rPr>
                  <w:rPr>
                    <w:rFonts w:ascii="Cambria Math" w:hAnsi="Cambria Math"/>
                  </w:rPr>
                  <m:t>=0.069×</m:t>
                </m:r>
                <m:r>
                  <w:rPr>
                    <w:rFonts w:ascii="Cambria Math" w:hAnsi="Cambria Math"/>
                  </w:rPr>
                  <m:t>TS</m:t>
                </m:r>
                <m:r>
                  <m:rPr>
                    <m:sty m:val="p"/>
                  </m:rPr>
                  <w:rPr>
                    <w:rFonts w:ascii="Cambria Math" w:hAnsi="Cambria Math"/>
                  </w:rPr>
                  <m:t>+0.135×</m:t>
                </m:r>
                <m:r>
                  <w:rPr>
                    <w:rFonts w:ascii="Cambria Math" w:hAnsi="Cambria Math"/>
                  </w:rPr>
                  <m:t>VS</m:t>
                </m:r>
                <m:r>
                  <m:rPr>
                    <m:sty m:val="p"/>
                  </m:rPr>
                  <w:rPr>
                    <w:rFonts w:ascii="Cambria Math" w:hAnsi="Cambria Math"/>
                  </w:rPr>
                  <m:t>+0.001×</m:t>
                </m:r>
                <m:r>
                  <w:rPr>
                    <w:rFonts w:ascii="Cambria Math" w:hAnsi="Cambria Math"/>
                  </w:rPr>
                  <m:t>LP</m:t>
                </m:r>
                <m:r>
                  <m:rPr>
                    <m:sty m:val="p"/>
                  </m:rPr>
                  <w:rPr>
                    <w:rFonts w:ascii="Cambria Math" w:hAnsi="Cambria Math"/>
                  </w:rPr>
                  <m:t>+0.123×</m:t>
                </m:r>
                <m:r>
                  <w:rPr>
                    <w:rFonts w:ascii="Cambria Math" w:hAnsi="Cambria Math"/>
                  </w:rPr>
                  <m:t>PR</m:t>
                </m:r>
                <m:r>
                  <m:rPr>
                    <m:sty m:val="p"/>
                  </m:rPr>
                  <w:rPr>
                    <w:rFonts w:ascii="Cambria Math" w:hAnsi="Cambria Math"/>
                  </w:rPr>
                  <m:t>-0.034×</m:t>
                </m:r>
                <m:r>
                  <w:rPr>
                    <w:rFonts w:ascii="Cambria Math" w:hAnsi="Cambria Math"/>
                  </w:rPr>
                  <m:t>SU</m:t>
                </m:r>
                <m:r>
                  <m:rPr>
                    <m:sty m:val="p"/>
                  </m:rPr>
                  <w:rPr>
                    <w:rFonts w:ascii="Cambria Math" w:hAnsi="Cambria Math"/>
                  </w:rPr>
                  <m:t>-0.069×</m:t>
                </m:r>
                <m:r>
                  <w:rPr>
                    <w:rFonts w:ascii="Cambria Math" w:hAnsi="Cambria Math"/>
                  </w:rPr>
                  <m:t>LG</m:t>
                </m:r>
                <m:r>
                  <m:rPr>
                    <m:sty m:val="p"/>
                  </m:rPr>
                  <w:rPr>
                    <w:rFonts w:ascii="Cambria Math" w:hAnsi="Cambria Math"/>
                  </w:rPr>
                  <m:t>+0.088×</m:t>
                </m:r>
                <m:r>
                  <w:rPr>
                    <w:rFonts w:ascii="Cambria Math" w:hAnsi="Cambria Math"/>
                  </w:rPr>
                  <m:t>HCE</m:t>
                </m:r>
                <m:r>
                  <m:rPr>
                    <m:sty m:val="p"/>
                  </m:rPr>
                  <w:rPr>
                    <w:rFonts w:ascii="Cambria Math" w:hAnsi="Cambria Math"/>
                  </w:rPr>
                  <m:t>+2.715×</m:t>
                </m:r>
                <m:r>
                  <w:rPr>
                    <w:rFonts w:ascii="Cambria Math" w:hAnsi="Cambria Math"/>
                  </w:rPr>
                  <m:t>BD</m:t>
                </m:r>
                <m:r>
                  <m:rPr>
                    <m:sty m:val="p"/>
                  </m:rPr>
                  <w:rPr>
                    <w:rFonts w:ascii="Cambria Math" w:hAnsi="Cambria Math"/>
                  </w:rPr>
                  <m:t>+25.154</m:t>
                </m:r>
              </m:oMath>
            </m:oMathPara>
          </w:p>
        </w:tc>
        <w:tc>
          <w:tcPr>
            <w:tcW w:w="443" w:type="dxa"/>
            <w:vAlign w:val="center"/>
          </w:tcPr>
          <w:p w14:paraId="2717FB61" w14:textId="77777777" w:rsidR="00CA35DE" w:rsidRPr="007E69B8" w:rsidRDefault="00CA35DE" w:rsidP="007E69B8">
            <w:pPr>
              <w:pStyle w:val="CETEquation"/>
            </w:pPr>
            <w:r w:rsidRPr="007E69B8">
              <w:t>(5)</w:t>
            </w:r>
          </w:p>
        </w:tc>
      </w:tr>
      <w:tr w:rsidR="00CA35DE" w:rsidRPr="007E69B8" w14:paraId="03457863" w14:textId="77777777" w:rsidTr="007E69B8">
        <w:trPr>
          <w:trHeight w:val="488"/>
        </w:trPr>
        <w:tc>
          <w:tcPr>
            <w:tcW w:w="8364" w:type="dxa"/>
            <w:vAlign w:val="center"/>
          </w:tcPr>
          <w:p w14:paraId="2FA41D44" w14:textId="31DA4912" w:rsidR="00CA35DE" w:rsidRPr="007E69B8" w:rsidRDefault="00000000" w:rsidP="007E69B8">
            <w:pPr>
              <w:pStyle w:val="CETEquation"/>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RM</m:t>
                    </m:r>
                  </m:sub>
                </m:sSub>
                <m:r>
                  <m:rPr>
                    <m:sty m:val="p"/>
                  </m:rPr>
                  <w:rPr>
                    <w:rFonts w:ascii="Cambria Math" w:hAnsi="Cambria Math"/>
                  </w:rPr>
                  <m:t>=6.76×</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m:t>
                </m:r>
                <m:r>
                  <w:rPr>
                    <w:rFonts w:ascii="Cambria Math" w:hAnsi="Cambria Math"/>
                  </w:rPr>
                  <m:t>TS</m:t>
                </m:r>
                <m:r>
                  <m:rPr>
                    <m:sty m:val="p"/>
                  </m:rPr>
                  <w:rPr>
                    <w:rFonts w:ascii="Cambria Math" w:hAnsi="Cambria Math"/>
                  </w:rPr>
                  <m:t>+0.012×</m:t>
                </m:r>
                <m:r>
                  <w:rPr>
                    <w:rFonts w:ascii="Cambria Math" w:hAnsi="Cambria Math"/>
                  </w:rPr>
                  <m:t>VS</m:t>
                </m:r>
                <m:r>
                  <m:rPr>
                    <m:sty m:val="p"/>
                  </m:rPr>
                  <w:rPr>
                    <w:rFonts w:ascii="Cambria Math" w:hAnsi="Cambria Math"/>
                  </w:rPr>
                  <m:t>+0.030×</m:t>
                </m:r>
                <m:r>
                  <w:rPr>
                    <w:rFonts w:ascii="Cambria Math" w:hAnsi="Cambria Math"/>
                  </w:rPr>
                  <m:t>LP</m:t>
                </m:r>
                <m:r>
                  <m:rPr>
                    <m:sty m:val="p"/>
                  </m:rPr>
                  <w:rPr>
                    <w:rFonts w:ascii="Cambria Math" w:hAnsi="Cambria Math"/>
                  </w:rPr>
                  <m:t>+0.174×</m:t>
                </m:r>
                <m:r>
                  <w:rPr>
                    <w:rFonts w:ascii="Cambria Math" w:hAnsi="Cambria Math"/>
                  </w:rPr>
                  <m:t>PR</m:t>
                </m:r>
                <m:r>
                  <m:rPr>
                    <m:sty m:val="p"/>
                  </m:rPr>
                  <w:rPr>
                    <w:rFonts w:ascii="Cambria Math" w:hAnsi="Cambria Math"/>
                  </w:rPr>
                  <m:t>+0.032×</m:t>
                </m:r>
                <m:r>
                  <w:rPr>
                    <w:rFonts w:ascii="Cambria Math" w:hAnsi="Cambria Math"/>
                  </w:rPr>
                  <m:t>SU</m:t>
                </m:r>
                <m:r>
                  <m:rPr>
                    <m:sty m:val="p"/>
                  </m:rPr>
                  <w:rPr>
                    <w:rFonts w:ascii="Cambria Math" w:hAnsi="Cambria Math"/>
                  </w:rPr>
                  <m:t>+0.023×</m:t>
                </m:r>
                <m:r>
                  <w:rPr>
                    <w:rFonts w:ascii="Cambria Math" w:hAnsi="Cambria Math"/>
                  </w:rPr>
                  <m:t>LG</m:t>
                </m:r>
                <m:r>
                  <m:rPr>
                    <m:sty m:val="p"/>
                  </m:rPr>
                  <w:rPr>
                    <w:rFonts w:ascii="Cambria Math" w:hAnsi="Cambria Math"/>
                  </w:rPr>
                  <m:t>-0.006×</m:t>
                </m:r>
                <m:r>
                  <w:rPr>
                    <w:rFonts w:ascii="Cambria Math" w:hAnsi="Cambria Math"/>
                  </w:rPr>
                  <m:t>HCE</m:t>
                </m:r>
                <m:r>
                  <m:rPr>
                    <m:sty m:val="p"/>
                  </m:rPr>
                  <w:rPr>
                    <w:rFonts w:ascii="Cambria Math" w:hAnsi="Cambria Math"/>
                  </w:rPr>
                  <m:t>-3.401×</m:t>
                </m:r>
                <m:r>
                  <w:rPr>
                    <w:rFonts w:ascii="Cambria Math" w:hAnsi="Cambria Math"/>
                  </w:rPr>
                  <m:t>BD</m:t>
                </m:r>
                <m:r>
                  <m:rPr>
                    <m:sty m:val="p"/>
                  </m:rPr>
                  <w:rPr>
                    <w:rFonts w:ascii="Cambria Math" w:hAnsi="Cambria Math"/>
                  </w:rPr>
                  <m:t>+0.701</m:t>
                </m:r>
              </m:oMath>
            </m:oMathPara>
          </w:p>
        </w:tc>
        <w:tc>
          <w:tcPr>
            <w:tcW w:w="443" w:type="dxa"/>
            <w:vAlign w:val="center"/>
          </w:tcPr>
          <w:p w14:paraId="11CD1258" w14:textId="77777777" w:rsidR="00CA35DE" w:rsidRPr="007E69B8" w:rsidRDefault="00CA35DE" w:rsidP="007E69B8">
            <w:pPr>
              <w:pStyle w:val="CETEquation"/>
            </w:pPr>
            <w:r w:rsidRPr="007E69B8">
              <w:t>(6)</w:t>
            </w:r>
          </w:p>
        </w:tc>
      </w:tr>
      <w:tr w:rsidR="00CA35DE" w:rsidRPr="007E69B8" w14:paraId="1D78D304" w14:textId="77777777" w:rsidTr="007E69B8">
        <w:trPr>
          <w:trHeight w:val="476"/>
        </w:trPr>
        <w:tc>
          <w:tcPr>
            <w:tcW w:w="8364" w:type="dxa"/>
            <w:vAlign w:val="center"/>
          </w:tcPr>
          <w:p w14:paraId="1B282D35" w14:textId="325AE8C7" w:rsidR="00CA35DE" w:rsidRPr="007E69B8" w:rsidRDefault="00000000" w:rsidP="007E69B8">
            <w:pPr>
              <w:pStyle w:val="CETEquation"/>
            </w:pPr>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RM</m:t>
                    </m:r>
                  </m:sub>
                </m:sSub>
                <m:r>
                  <m:rPr>
                    <m:sty m:val="p"/>
                  </m:rPr>
                  <w:rPr>
                    <w:rFonts w:ascii="Cambria Math" w:hAnsi="Cambria Math"/>
                  </w:rPr>
                  <m:t>=0.003×</m:t>
                </m:r>
                <m:r>
                  <w:rPr>
                    <w:rFonts w:ascii="Cambria Math" w:hAnsi="Cambria Math"/>
                  </w:rPr>
                  <m:t>TS</m:t>
                </m:r>
                <m:r>
                  <m:rPr>
                    <m:sty m:val="p"/>
                  </m:rPr>
                  <w:rPr>
                    <w:rFonts w:ascii="Cambria Math" w:hAnsi="Cambria Math"/>
                  </w:rPr>
                  <m:t>+0.025×</m:t>
                </m:r>
                <m:r>
                  <w:rPr>
                    <w:rFonts w:ascii="Cambria Math" w:hAnsi="Cambria Math"/>
                  </w:rPr>
                  <m:t>VS</m:t>
                </m:r>
                <m:r>
                  <m:rPr>
                    <m:sty m:val="p"/>
                  </m:rPr>
                  <w:rPr>
                    <w:rFonts w:ascii="Cambria Math" w:hAnsi="Cambria Math"/>
                  </w:rPr>
                  <m:t>+0.015×</m:t>
                </m:r>
                <m:r>
                  <w:rPr>
                    <w:rFonts w:ascii="Cambria Math" w:hAnsi="Cambria Math"/>
                  </w:rPr>
                  <m:t>LP</m:t>
                </m:r>
                <m:r>
                  <m:rPr>
                    <m:sty m:val="p"/>
                  </m:rPr>
                  <w:rPr>
                    <w:rFonts w:ascii="Cambria Math" w:hAnsi="Cambria Math"/>
                  </w:rPr>
                  <m:t>+0.011×</m:t>
                </m:r>
                <m:r>
                  <w:rPr>
                    <w:rFonts w:ascii="Cambria Math" w:hAnsi="Cambria Math"/>
                  </w:rPr>
                  <m:t>PR</m:t>
                </m:r>
                <m:r>
                  <m:rPr>
                    <m:sty m:val="p"/>
                  </m:rPr>
                  <w:rPr>
                    <w:rFonts w:ascii="Cambria Math" w:hAnsi="Cambria Math"/>
                  </w:rPr>
                  <m:t>+6.06×</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m:t>
                </m:r>
                <m:r>
                  <w:rPr>
                    <w:rFonts w:ascii="Cambria Math" w:hAnsi="Cambria Math"/>
                  </w:rPr>
                  <m:t>SU</m:t>
                </m:r>
                <m:r>
                  <m:rPr>
                    <m:sty m:val="p"/>
                  </m:rPr>
                  <w:rPr>
                    <w:rFonts w:ascii="Cambria Math" w:hAnsi="Cambria Math"/>
                  </w:rPr>
                  <m:t>+0.012×</m:t>
                </m:r>
                <m:r>
                  <w:rPr>
                    <w:rFonts w:ascii="Cambria Math" w:hAnsi="Cambria Math"/>
                  </w:rPr>
                  <m:t>LG</m:t>
                </m:r>
                <m:r>
                  <m:rPr>
                    <m:sty m:val="p"/>
                  </m:rPr>
                  <w:rPr>
                    <w:rFonts w:ascii="Cambria Math" w:hAnsi="Cambria Math"/>
                  </w:rPr>
                  <m:t>+0.024×</m:t>
                </m:r>
                <m:r>
                  <w:rPr>
                    <w:rFonts w:ascii="Cambria Math" w:hAnsi="Cambria Math"/>
                  </w:rPr>
                  <m:t>HCE</m:t>
                </m:r>
                <m:r>
                  <m:rPr>
                    <m:sty m:val="p"/>
                  </m:rPr>
                  <w:rPr>
                    <w:rFonts w:ascii="Cambria Math" w:hAnsi="Cambria Math"/>
                  </w:rPr>
                  <m:t>-0.170×</m:t>
                </m:r>
                <m:r>
                  <w:rPr>
                    <w:rFonts w:ascii="Cambria Math" w:hAnsi="Cambria Math"/>
                  </w:rPr>
                  <m:t>BD</m:t>
                </m:r>
                <m:r>
                  <m:rPr>
                    <m:sty m:val="p"/>
                  </m:rPr>
                  <w:rPr>
                    <w:rFonts w:ascii="Cambria Math" w:hAnsi="Cambria Math"/>
                  </w:rPr>
                  <m:t>+3.261</m:t>
                </m:r>
              </m:oMath>
            </m:oMathPara>
          </w:p>
        </w:tc>
        <w:tc>
          <w:tcPr>
            <w:tcW w:w="443" w:type="dxa"/>
            <w:vAlign w:val="center"/>
          </w:tcPr>
          <w:p w14:paraId="12854370" w14:textId="77777777" w:rsidR="00CA35DE" w:rsidRPr="007E69B8" w:rsidRDefault="00CA35DE" w:rsidP="007E69B8">
            <w:pPr>
              <w:pStyle w:val="CETEquation"/>
            </w:pPr>
            <w:r w:rsidRPr="007E69B8">
              <w:t>(7)</w:t>
            </w:r>
          </w:p>
        </w:tc>
      </w:tr>
      <w:tr w:rsidR="00CA35DE" w:rsidRPr="007E69B8" w14:paraId="29ECEB40" w14:textId="77777777" w:rsidTr="007E69B8">
        <w:trPr>
          <w:trHeight w:val="488"/>
        </w:trPr>
        <w:tc>
          <w:tcPr>
            <w:tcW w:w="8364" w:type="dxa"/>
            <w:vAlign w:val="center"/>
          </w:tcPr>
          <w:p w14:paraId="3F440430" w14:textId="6E74DCC9" w:rsidR="00CA35DE" w:rsidRPr="007E69B8" w:rsidRDefault="00000000" w:rsidP="007E69B8">
            <w:pPr>
              <w:pStyle w:val="CETEquation"/>
              <w:rPr>
                <w:rFonts w:eastAsiaTheme="minorEastAsia"/>
              </w:rPr>
            </w:pPr>
            <m:oMathPara>
              <m:oMathParaPr>
                <m:jc m:val="left"/>
              </m:oMathParaPr>
              <m:oMath>
                <m:sSub>
                  <m:sSubPr>
                    <m:ctrlPr>
                      <w:rPr>
                        <w:rFonts w:ascii="Cambria Math" w:hAnsi="Cambria Math"/>
                      </w:rPr>
                    </m:ctrlPr>
                  </m:sSubPr>
                  <m:e>
                    <m:r>
                      <w:rPr>
                        <w:rFonts w:ascii="Cambria Math" w:hAnsi="Cambria Math"/>
                      </w:rPr>
                      <m:t>O</m:t>
                    </m:r>
                  </m:e>
                  <m:sub>
                    <m:r>
                      <w:rPr>
                        <w:rFonts w:ascii="Cambria Math" w:hAnsi="Cambria Math"/>
                      </w:rPr>
                      <m:t>RM</m:t>
                    </m:r>
                  </m:sub>
                </m:sSub>
                <m:r>
                  <m:rPr>
                    <m:sty m:val="p"/>
                  </m:rPr>
                  <w:rPr>
                    <w:rFonts w:ascii="Cambria Math" w:hAnsi="Cambria Math"/>
                  </w:rPr>
                  <m:t>=-0.072×</m:t>
                </m:r>
                <m:r>
                  <w:rPr>
                    <w:rFonts w:ascii="Cambria Math" w:hAnsi="Cambria Math"/>
                  </w:rPr>
                  <m:t>TS</m:t>
                </m:r>
                <m:r>
                  <m:rPr>
                    <m:sty m:val="p"/>
                  </m:rPr>
                  <w:rPr>
                    <w:rFonts w:ascii="Cambria Math" w:hAnsi="Cambria Math"/>
                  </w:rPr>
                  <m:t>-0.179×</m:t>
                </m:r>
                <m:r>
                  <w:rPr>
                    <w:rFonts w:ascii="Cambria Math" w:hAnsi="Cambria Math"/>
                  </w:rPr>
                  <m:t>VS</m:t>
                </m:r>
                <m:r>
                  <m:rPr>
                    <m:sty m:val="p"/>
                  </m:rPr>
                  <w:rPr>
                    <w:rFonts w:ascii="Cambria Math" w:hAnsi="Cambria Math"/>
                  </w:rPr>
                  <m:t>-0.051×</m:t>
                </m:r>
                <m:r>
                  <w:rPr>
                    <w:rFonts w:ascii="Cambria Math" w:hAnsi="Cambria Math"/>
                  </w:rPr>
                  <m:t>LP</m:t>
                </m:r>
                <m:r>
                  <m:rPr>
                    <m:sty m:val="p"/>
                  </m:rPr>
                  <w:rPr>
                    <w:rFonts w:ascii="Cambria Math" w:hAnsi="Cambria Math"/>
                  </w:rPr>
                  <m:t>-0.352×</m:t>
                </m:r>
                <m:r>
                  <w:rPr>
                    <w:rFonts w:ascii="Cambria Math" w:hAnsi="Cambria Math"/>
                  </w:rPr>
                  <m:t>PR</m:t>
                </m:r>
                <m:r>
                  <m:rPr>
                    <m:sty m:val="p"/>
                  </m:rPr>
                  <w:rPr>
                    <w:rFonts w:ascii="Cambria Math" w:hAnsi="Cambria Math"/>
                  </w:rPr>
                  <m:t>-0.008×</m:t>
                </m:r>
                <m:r>
                  <w:rPr>
                    <w:rFonts w:ascii="Cambria Math" w:hAnsi="Cambria Math"/>
                  </w:rPr>
                  <m:t>SU</m:t>
                </m:r>
                <m:r>
                  <m:rPr>
                    <m:sty m:val="p"/>
                  </m:rPr>
                  <w:rPr>
                    <w:rFonts w:ascii="Cambria Math" w:hAnsi="Cambria Math"/>
                  </w:rPr>
                  <m:t>+0.029×</m:t>
                </m:r>
                <m:r>
                  <w:rPr>
                    <w:rFonts w:ascii="Cambria Math" w:hAnsi="Cambria Math"/>
                  </w:rPr>
                  <m:t>LG</m:t>
                </m:r>
                <m:r>
                  <m:rPr>
                    <m:sty m:val="p"/>
                  </m:rPr>
                  <w:rPr>
                    <w:rFonts w:ascii="Cambria Math" w:hAnsi="Cambria Math"/>
                  </w:rPr>
                  <m:t>-0.108×</m:t>
                </m:r>
                <m:r>
                  <w:rPr>
                    <w:rFonts w:ascii="Cambria Math" w:hAnsi="Cambria Math"/>
                  </w:rPr>
                  <m:t>HCE</m:t>
                </m:r>
                <m:r>
                  <m:rPr>
                    <m:sty m:val="p"/>
                  </m:rPr>
                  <w:rPr>
                    <w:rFonts w:ascii="Cambria Math" w:hAnsi="Cambria Math"/>
                  </w:rPr>
                  <m:t>+1.491×</m:t>
                </m:r>
                <m:r>
                  <w:rPr>
                    <w:rFonts w:ascii="Cambria Math" w:hAnsi="Cambria Math"/>
                  </w:rPr>
                  <m:t>BD</m:t>
                </m:r>
                <m:r>
                  <m:rPr>
                    <m:sty m:val="p"/>
                  </m:rPr>
                  <w:rPr>
                    <w:rFonts w:ascii="Cambria Math" w:hAnsi="Cambria Math"/>
                  </w:rPr>
                  <m:t>+71.351</m:t>
                </m:r>
              </m:oMath>
            </m:oMathPara>
          </w:p>
        </w:tc>
        <w:tc>
          <w:tcPr>
            <w:tcW w:w="443" w:type="dxa"/>
            <w:vAlign w:val="center"/>
          </w:tcPr>
          <w:p w14:paraId="4B878B04" w14:textId="77777777" w:rsidR="00CA35DE" w:rsidRPr="007E69B8" w:rsidRDefault="00CA35DE" w:rsidP="007E69B8">
            <w:pPr>
              <w:pStyle w:val="CETEquation"/>
            </w:pPr>
            <w:r w:rsidRPr="007E69B8">
              <w:t>(8)</w:t>
            </w:r>
          </w:p>
        </w:tc>
      </w:tr>
      <w:tr w:rsidR="004F7D22" w:rsidRPr="007E69B8" w14:paraId="01721726" w14:textId="77777777" w:rsidTr="004F7D22">
        <w:trPr>
          <w:trHeight w:val="193"/>
        </w:trPr>
        <w:tc>
          <w:tcPr>
            <w:tcW w:w="8364" w:type="dxa"/>
            <w:vAlign w:val="center"/>
          </w:tcPr>
          <w:p w14:paraId="158B807C" w14:textId="2D042F41" w:rsidR="004F7D22" w:rsidRPr="004F7D22" w:rsidRDefault="004F7D22" w:rsidP="004F7D22">
            <w:pPr>
              <w:pStyle w:val="Testonotaapidipagina"/>
              <w:rPr>
                <w:szCs w:val="18"/>
              </w:rPr>
            </w:pPr>
            <w:r w:rsidRPr="004F7D22">
              <w:rPr>
                <w:rStyle w:val="Rimandonotaapidipagina"/>
                <w:szCs w:val="18"/>
              </w:rPr>
              <w:lastRenderedPageBreak/>
              <w:t>(</w:t>
            </w:r>
            <w:r w:rsidRPr="004F7D22">
              <w:rPr>
                <w:szCs w:val="18"/>
                <w:vertAlign w:val="superscript"/>
              </w:rPr>
              <w:t>3)</w:t>
            </w:r>
            <w:r w:rsidRPr="004F7D22">
              <w:rPr>
                <w:sz w:val="14"/>
                <w:szCs w:val="18"/>
              </w:rPr>
              <w:t>RM = Raw Material.</w:t>
            </w:r>
          </w:p>
        </w:tc>
        <w:tc>
          <w:tcPr>
            <w:tcW w:w="443" w:type="dxa"/>
            <w:vAlign w:val="center"/>
          </w:tcPr>
          <w:p w14:paraId="23CCC36E" w14:textId="77777777" w:rsidR="004F7D22" w:rsidRPr="007E69B8" w:rsidRDefault="004F7D22" w:rsidP="004F7D22">
            <w:pPr>
              <w:pStyle w:val="CETEquation"/>
              <w:spacing w:after="0"/>
            </w:pPr>
          </w:p>
        </w:tc>
      </w:tr>
    </w:tbl>
    <w:p w14:paraId="174670C0" w14:textId="323138AC" w:rsidR="00B15ADD" w:rsidRDefault="00C24B17" w:rsidP="00B15ADD">
      <w:pPr>
        <w:keepNext/>
        <w:tabs>
          <w:tab w:val="clear" w:pos="7100"/>
        </w:tabs>
        <w:spacing w:line="276" w:lineRule="auto"/>
        <w:jc w:val="center"/>
      </w:pPr>
      <w:r w:rsidRPr="00EE299E">
        <w:rPr>
          <w:noProof/>
          <w:lang w:val="it-IT" w:eastAsia="it-IT"/>
        </w:rPr>
        <w:drawing>
          <wp:inline distT="0" distB="0" distL="0" distR="0" wp14:anchorId="6DEE9946" wp14:editId="4FABF219">
            <wp:extent cx="4194810" cy="354021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8427" cy="3560144"/>
                    </a:xfrm>
                    <a:prstGeom prst="rect">
                      <a:avLst/>
                    </a:prstGeom>
                    <a:noFill/>
                    <a:ln>
                      <a:noFill/>
                    </a:ln>
                  </pic:spPr>
                </pic:pic>
              </a:graphicData>
            </a:graphic>
          </wp:inline>
        </w:drawing>
      </w:r>
    </w:p>
    <w:p w14:paraId="63EEA5ED" w14:textId="404DAD18" w:rsidR="00D6688C" w:rsidRDefault="00B15ADD" w:rsidP="00B15ADD">
      <w:pPr>
        <w:pStyle w:val="CETCaption"/>
        <w:spacing w:before="0"/>
        <w:jc w:val="center"/>
        <w:rPr>
          <w:rStyle w:val="CETCaptionCarattere"/>
          <w:i/>
        </w:rPr>
      </w:pPr>
      <w:r w:rsidRPr="00796652">
        <w:rPr>
          <w:rStyle w:val="CETCaptionCarattere"/>
          <w:i/>
        </w:rPr>
        <w:t xml:space="preserve">Figure </w:t>
      </w:r>
      <w:r w:rsidR="00142AF0">
        <w:rPr>
          <w:rStyle w:val="CETCaptionCarattere"/>
          <w:i/>
        </w:rPr>
        <w:t>2</w:t>
      </w:r>
      <w:r w:rsidRPr="00796652">
        <w:rPr>
          <w:rStyle w:val="CETCaptionCarattere"/>
          <w:i/>
        </w:rPr>
        <w:t xml:space="preserve">: </w:t>
      </w:r>
      <w:r w:rsidRPr="004D3B6D">
        <w:rPr>
          <w:rStyle w:val="CETCaptionCarattere"/>
          <w:i/>
        </w:rPr>
        <w:t xml:space="preserve">Comparison of the predicted value of the </w:t>
      </w:r>
      <w:r>
        <w:rPr>
          <w:rStyle w:val="CETCaptionCarattere"/>
          <w:i/>
        </w:rPr>
        <w:t>CCA</w:t>
      </w:r>
      <w:r w:rsidRPr="004D3B6D">
        <w:rPr>
          <w:rStyle w:val="CETCaptionCarattere"/>
          <w:i/>
        </w:rPr>
        <w:t xml:space="preserve"> model with </w:t>
      </w:r>
      <w:r w:rsidR="007B437D">
        <w:rPr>
          <w:rStyle w:val="CETCaptionCarattere"/>
          <w:i/>
        </w:rPr>
        <w:t>database</w:t>
      </w:r>
      <w:r w:rsidRPr="004D3B6D">
        <w:rPr>
          <w:rStyle w:val="CETCaptionCarattere"/>
          <w:i/>
        </w:rPr>
        <w:t xml:space="preserve"> values</w:t>
      </w:r>
      <w:r>
        <w:rPr>
          <w:rStyle w:val="CETCaptionCarattere"/>
          <w:i/>
        </w:rPr>
        <w:t>.</w:t>
      </w:r>
    </w:p>
    <w:p w14:paraId="18DA6EED" w14:textId="788B82E6" w:rsidR="007B437D" w:rsidRDefault="00FA4A6E" w:rsidP="007B437D">
      <w:pPr>
        <w:keepNext/>
        <w:tabs>
          <w:tab w:val="clear" w:pos="7100"/>
        </w:tabs>
        <w:spacing w:line="276" w:lineRule="auto"/>
        <w:jc w:val="center"/>
      </w:pPr>
      <w:r>
        <w:rPr>
          <w:noProof/>
          <w:lang w:val="it-IT" w:eastAsia="it-IT"/>
        </w:rPr>
        <w:drawing>
          <wp:inline distT="0" distB="0" distL="0" distR="0" wp14:anchorId="37679059" wp14:editId="147ED833">
            <wp:extent cx="3153747" cy="2657141"/>
            <wp:effectExtent l="0" t="0" r="0" b="0"/>
            <wp:docPr id="56998020" name="Immagine 1" descr="Immagine che contiene testo,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8020" name="Immagine 1" descr="Immagine che contiene testo, schermata, diagramma&#10;&#10;Descrizione generata automaticamente"/>
                    <pic:cNvPicPr/>
                  </pic:nvPicPr>
                  <pic:blipFill rotWithShape="1">
                    <a:blip r:embed="rId16"/>
                    <a:srcRect l="10955" t="6429" r="10612" b="5459"/>
                    <a:stretch/>
                  </pic:blipFill>
                  <pic:spPr bwMode="auto">
                    <a:xfrm>
                      <a:off x="0" y="0"/>
                      <a:ext cx="3195095" cy="2691978"/>
                    </a:xfrm>
                    <a:prstGeom prst="rect">
                      <a:avLst/>
                    </a:prstGeom>
                    <a:ln>
                      <a:noFill/>
                    </a:ln>
                    <a:extLst>
                      <a:ext uri="{53640926-AAD7-44D8-BBD7-CCE9431645EC}">
                        <a14:shadowObscured xmlns:a14="http://schemas.microsoft.com/office/drawing/2010/main"/>
                      </a:ext>
                    </a:extLst>
                  </pic:spPr>
                </pic:pic>
              </a:graphicData>
            </a:graphic>
          </wp:inline>
        </w:drawing>
      </w:r>
    </w:p>
    <w:p w14:paraId="0EDE2B67" w14:textId="612F0B61" w:rsidR="007B437D" w:rsidRDefault="007B437D" w:rsidP="007B437D">
      <w:pPr>
        <w:pStyle w:val="CETCaption"/>
        <w:spacing w:before="0"/>
        <w:jc w:val="center"/>
        <w:rPr>
          <w:rStyle w:val="CETCaptionCarattere"/>
          <w:i/>
        </w:rPr>
      </w:pPr>
      <w:r w:rsidRPr="00796652">
        <w:rPr>
          <w:rStyle w:val="CETCaptionCarattere"/>
          <w:i/>
        </w:rPr>
        <w:t xml:space="preserve">Figure </w:t>
      </w:r>
      <w:r>
        <w:rPr>
          <w:rStyle w:val="CETCaptionCarattere"/>
          <w:i/>
        </w:rPr>
        <w:t>3</w:t>
      </w:r>
      <w:r w:rsidRPr="00796652">
        <w:rPr>
          <w:rStyle w:val="CETCaptionCarattere"/>
          <w:i/>
        </w:rPr>
        <w:t xml:space="preserve">: </w:t>
      </w:r>
      <w:r>
        <w:rPr>
          <w:rStyle w:val="CETCaptionCarattere"/>
          <w:i/>
        </w:rPr>
        <w:t>Heatmap of the correlation matrix.</w:t>
      </w:r>
    </w:p>
    <w:p w14:paraId="73102022" w14:textId="712A9656" w:rsidR="00FA4A6E" w:rsidRDefault="00FA4A6E" w:rsidP="00B66C62">
      <w:pPr>
        <w:pStyle w:val="CETCaption"/>
        <w:spacing w:before="0"/>
        <w:rPr>
          <w:i w:val="0"/>
        </w:rPr>
      </w:pPr>
      <w:r>
        <w:rPr>
          <w:i w:val="0"/>
        </w:rPr>
        <w:t xml:space="preserve">CCA has been used to find </w:t>
      </w:r>
      <w:r w:rsidR="00B66C62">
        <w:rPr>
          <w:i w:val="0"/>
        </w:rPr>
        <w:t xml:space="preserve">hidden </w:t>
      </w:r>
      <w:r>
        <w:rPr>
          <w:i w:val="0"/>
        </w:rPr>
        <w:t xml:space="preserve">linear correlations between the input selected and the output. Figure 3 shows the heatmap of the </w:t>
      </w:r>
      <w:r w:rsidR="00B66C62">
        <w:rPr>
          <w:i w:val="0"/>
        </w:rPr>
        <w:t xml:space="preserve">Pearson </w:t>
      </w:r>
      <w:r>
        <w:rPr>
          <w:i w:val="0"/>
        </w:rPr>
        <w:t xml:space="preserve">correlation intensity between all these parameters. From this figure, the higher the better the two features are correlated with one another. As it is possible to see, nitrogen and protein fractions are strongly correlated, due to the presence of the ammonium functional group in the amino acid. Furthermore, carbon and hydrogen fractions are also strongly correlated to </w:t>
      </w:r>
      <w:proofErr w:type="gramStart"/>
      <w:r>
        <w:rPr>
          <w:i w:val="0"/>
        </w:rPr>
        <w:t>each other, since</w:t>
      </w:r>
      <w:proofErr w:type="gramEnd"/>
      <w:r>
        <w:rPr>
          <w:i w:val="0"/>
        </w:rPr>
        <w:t xml:space="preserve"> many organic carbon-rich species have a high C/H ratio. On the other hand, both carbon and nitrogen have an inverse correlation with oxygen. Oxygenated species in the solid phase (i.e., carboxylic acids) are really poor, and the principal source of oxygen comes from sugars and ethanol. The oxygen path ends with the decomposition of these species into CO</w:t>
      </w:r>
      <w:r w:rsidRPr="005175E8">
        <w:rPr>
          <w:i w:val="0"/>
          <w:vertAlign w:val="subscript"/>
        </w:rPr>
        <w:t>2</w:t>
      </w:r>
      <w:r>
        <w:rPr>
          <w:i w:val="0"/>
        </w:rPr>
        <w:t xml:space="preserve"> and H</w:t>
      </w:r>
      <w:r w:rsidRPr="005175E8">
        <w:rPr>
          <w:i w:val="0"/>
          <w:vertAlign w:val="subscript"/>
        </w:rPr>
        <w:t>2</w:t>
      </w:r>
      <w:r>
        <w:rPr>
          <w:i w:val="0"/>
        </w:rPr>
        <w:t>O. The intensity of the other parameter correlation factor is high enough for the model, but not to make any mention in this specific discussion.</w:t>
      </w:r>
      <w:r w:rsidR="00B66C62">
        <w:rPr>
          <w:i w:val="0"/>
        </w:rPr>
        <w:t xml:space="preserve"> </w:t>
      </w:r>
      <w:r w:rsidR="00B66C62" w:rsidRPr="00B66C62">
        <w:rPr>
          <w:i w:val="0"/>
        </w:rPr>
        <w:t xml:space="preserve">Whereas Pearson correlations focus on relationships within a </w:t>
      </w:r>
      <w:r w:rsidR="00B66C62" w:rsidRPr="00B66C62">
        <w:rPr>
          <w:i w:val="0"/>
        </w:rPr>
        <w:lastRenderedPageBreak/>
        <w:t>single dataset, canonical correlations assess the relationships between two distinct datasets, allowing one to identify the optimal linear combinations between the variables in the two sets that show the maximum correlation.</w:t>
      </w:r>
    </w:p>
    <w:p w14:paraId="71DC76D6" w14:textId="0E3D0D24" w:rsidR="00413B0C" w:rsidRDefault="00541ECF" w:rsidP="00436C3B">
      <w:pPr>
        <w:pStyle w:val="CETHeading1"/>
        <w:numPr>
          <w:ilvl w:val="0"/>
          <w:numId w:val="0"/>
        </w:numPr>
        <w:spacing w:after="200" w:line="276" w:lineRule="auto"/>
      </w:pPr>
      <w:r>
        <w:rPr>
          <w:lang w:val="en-GB"/>
        </w:rPr>
        <w:t>Conclusions</w:t>
      </w:r>
    </w:p>
    <w:p w14:paraId="276B9DCE" w14:textId="2BD57120" w:rsidR="007E0B84" w:rsidRPr="006A6CBE" w:rsidRDefault="00643BD6" w:rsidP="00643BD6">
      <w:pPr>
        <w:pStyle w:val="CETListbullets"/>
        <w:ind w:left="0" w:firstLine="0"/>
      </w:pPr>
      <w:r w:rsidRPr="00643BD6">
        <w:t>This study looked at using statistical analysis to find linear correlations between different variables. Specifically, a technique called CCA</w:t>
      </w:r>
      <w:r w:rsidR="002460A7" w:rsidRPr="002460A7">
        <w:t xml:space="preserve"> </w:t>
      </w:r>
      <w:r w:rsidR="002460A7">
        <w:t>wa</w:t>
      </w:r>
      <w:r w:rsidR="002460A7" w:rsidRPr="00643BD6">
        <w:t>s used</w:t>
      </w:r>
      <w:r w:rsidRPr="00643BD6">
        <w:t xml:space="preserve"> to uncover “hidden” linear correlations between input and output variables, and to predict the CHONS content for different types of biomasses. The results of the analysis showed that while there were advantages </w:t>
      </w:r>
      <w:r w:rsidR="002460A7">
        <w:t>in</w:t>
      </w:r>
      <w:r w:rsidRPr="00643BD6">
        <w:t xml:space="preserve"> using CCA, there were also some drawbacks. One advantage was that it was easy to implement, although the dataset needed to be carefully constructed</w:t>
      </w:r>
      <w:r w:rsidR="009F1638">
        <w:t>.</w:t>
      </w:r>
      <w:r w:rsidRPr="00643BD6">
        <w:t xml:space="preserve">  However, the main limitation of CCA was that it could only identify linear correlations between inputs and outputs, which resulted in some errors </w:t>
      </w:r>
      <w:r w:rsidRPr="006A6CBE">
        <w:t>in the predictions made in this study. This limitation could be overcome by using machine learning techniques. In future research, machine learning techniques will be applied t</w:t>
      </w:r>
      <w:r w:rsidR="002460A7" w:rsidRPr="006A6CBE">
        <w:t>o</w:t>
      </w:r>
      <w:r w:rsidR="00857B03" w:rsidRPr="006A6CBE">
        <w:t xml:space="preserve"> the data to find stronger relations between the biomass features</w:t>
      </w:r>
      <w:r w:rsidR="002460A7" w:rsidRPr="006A6CBE">
        <w:t>.</w:t>
      </w:r>
      <w:r w:rsidRPr="006A6CBE">
        <w:t xml:space="preserve"> Overall, the CCA approach represented an initial attempt to create simple tools for </w:t>
      </w:r>
      <w:r w:rsidR="005175E8" w:rsidRPr="006A6CBE">
        <w:t xml:space="preserve">the </w:t>
      </w:r>
      <w:r w:rsidRPr="006A6CBE">
        <w:t>prediction of CHONS content for every type of biomass</w:t>
      </w:r>
      <w:r w:rsidR="007E0B84" w:rsidRPr="006A6CBE">
        <w:t>.</w:t>
      </w:r>
    </w:p>
    <w:p w14:paraId="4F1327F8" w14:textId="77777777" w:rsidR="00600535" w:rsidRPr="008C0262" w:rsidRDefault="00600535" w:rsidP="008C0262">
      <w:pPr>
        <w:pStyle w:val="CETReference"/>
      </w:pPr>
      <w:r w:rsidRPr="006A6CBE">
        <w:t>References</w:t>
      </w:r>
    </w:p>
    <w:p w14:paraId="0D957D30" w14:textId="77777777" w:rsidR="006F0AB6" w:rsidRPr="006F0AB6" w:rsidRDefault="00DC3E2F" w:rsidP="006F0AB6">
      <w:pPr>
        <w:pStyle w:val="Bibliografia"/>
        <w:rPr>
          <w:rFonts w:cs="Arial"/>
        </w:rPr>
      </w:pPr>
      <w:r>
        <w:fldChar w:fldCharType="begin"/>
      </w:r>
      <w:r w:rsidR="006F0AB6">
        <w:instrText xml:space="preserve"> ADDIN ZOTERO_BIBL {"uncited":[],"omitted":[],"custom":[]} CSL_BIBLIOGRAPHY </w:instrText>
      </w:r>
      <w:r>
        <w:fldChar w:fldCharType="separate"/>
      </w:r>
      <w:r w:rsidR="006F0AB6" w:rsidRPr="006F0AB6">
        <w:rPr>
          <w:rFonts w:cs="Arial"/>
        </w:rPr>
        <w:t>Achinas, S., Euverink, G.J.W., 2016. Theoretical analysis of biogas potential prediction from agricultural waste. Resource-Efficient Technologies 2, 143–147. https://doi.org/10.1016/j.reffit.2016.08.001</w:t>
      </w:r>
    </w:p>
    <w:p w14:paraId="3AF045F9" w14:textId="77777777" w:rsidR="006F0AB6" w:rsidRPr="006F0AB6" w:rsidRDefault="006F0AB6" w:rsidP="006F0AB6">
      <w:pPr>
        <w:pStyle w:val="Bibliografia"/>
        <w:rPr>
          <w:rFonts w:cs="Arial"/>
          <w:lang w:val="it-IT"/>
        </w:rPr>
      </w:pPr>
      <w:r w:rsidRPr="009C6E84">
        <w:rPr>
          <w:rFonts w:cs="Arial"/>
          <w:lang w:val="de-DE"/>
        </w:rPr>
        <w:t xml:space="preserve">Chang, J., Kim, J., Zhang, B.-T., Pitt, M.A., Myung, J.I., 2021. </w:t>
      </w:r>
      <w:r w:rsidRPr="006F0AB6">
        <w:rPr>
          <w:rFonts w:cs="Arial"/>
        </w:rPr>
        <w:t xml:space="preserve">Data-driven experimental design and model development using Gaussian process with active learning. </w:t>
      </w:r>
      <w:r w:rsidRPr="006F0AB6">
        <w:rPr>
          <w:rFonts w:cs="Arial"/>
          <w:lang w:val="it-IT"/>
        </w:rPr>
        <w:t>Cognitive Psychology 125, 101360. https://doi.org/10.1016/j.cogpsych.2020.101360</w:t>
      </w:r>
    </w:p>
    <w:p w14:paraId="2EB92964" w14:textId="7635C277" w:rsidR="006F0AB6" w:rsidRPr="006F0AB6" w:rsidRDefault="00B25B9C" w:rsidP="006F0AB6">
      <w:pPr>
        <w:pStyle w:val="Bibliografia"/>
        <w:rPr>
          <w:rFonts w:cs="Arial"/>
        </w:rPr>
      </w:pPr>
      <w:r>
        <w:rPr>
          <w:rFonts w:cs="Arial"/>
          <w:lang w:val="it-IT"/>
        </w:rPr>
        <w:t>Del Duca, V.</w:t>
      </w:r>
      <w:r w:rsidR="006F0AB6" w:rsidRPr="006F0AB6">
        <w:rPr>
          <w:rFonts w:cs="Arial"/>
          <w:lang w:val="it-IT"/>
        </w:rPr>
        <w:t xml:space="preserve">, Chirone, R., Coppola, A., Scala, F., Salatino, P., 2022. </w:t>
      </w:r>
      <w:r w:rsidR="006F0AB6" w:rsidRPr="006F0AB6">
        <w:rPr>
          <w:rFonts w:cs="Arial"/>
        </w:rPr>
        <w:t>Application of Multivariate Statistical Analysis for Pyrolysis Process Optimization. Chemical Engineering Transactions 96, 277–282. https://doi.org/10.3303/CET2296047</w:t>
      </w:r>
    </w:p>
    <w:p w14:paraId="1075A331" w14:textId="77777777" w:rsidR="006F0AB6" w:rsidRPr="006F0AB6" w:rsidRDefault="006F0AB6" w:rsidP="006F0AB6">
      <w:pPr>
        <w:pStyle w:val="Bibliografia"/>
        <w:rPr>
          <w:rFonts w:cs="Arial"/>
        </w:rPr>
      </w:pPr>
      <w:r w:rsidRPr="006F0AB6">
        <w:rPr>
          <w:rFonts w:cs="Arial"/>
          <w:lang w:val="it-IT"/>
        </w:rPr>
        <w:t xml:space="preserve">Guarino, G., Carotenuto, C., Cristofaro, F.D., Papa, S., Morrone, B., Minale, M., 2016. </w:t>
      </w:r>
      <w:r w:rsidRPr="006F0AB6">
        <w:rPr>
          <w:rFonts w:cs="Arial"/>
        </w:rPr>
        <w:t>Does the C/N ratio really affect the Bio-methane Yield? A three Years Investigation of Buffalo Manure Digestion. Chemical Engineering Transactions 49, 463–468. https://doi.org/10.3303/CET1649078</w:t>
      </w:r>
    </w:p>
    <w:p w14:paraId="0C025BAE" w14:textId="77777777" w:rsidR="006F0AB6" w:rsidRPr="006F0AB6" w:rsidRDefault="006F0AB6" w:rsidP="006F0AB6">
      <w:pPr>
        <w:pStyle w:val="Bibliografia"/>
        <w:rPr>
          <w:rFonts w:cs="Arial"/>
          <w:lang w:val="it-IT"/>
        </w:rPr>
      </w:pPr>
      <w:r w:rsidRPr="006F0AB6">
        <w:rPr>
          <w:rFonts w:cs="Arial"/>
        </w:rPr>
        <w:t xml:space="preserve">Hsieh, W.W., 2000. Nonlinear canonical correlation analysis by neural networks. </w:t>
      </w:r>
      <w:r w:rsidRPr="006F0AB6">
        <w:rPr>
          <w:rFonts w:cs="Arial"/>
          <w:lang w:val="it-IT"/>
        </w:rPr>
        <w:t>Neural Networks 13, 1095–1105. https://doi.org/10.1016/S0893-6080(00)00067-8</w:t>
      </w:r>
    </w:p>
    <w:p w14:paraId="5183E39F" w14:textId="77777777" w:rsidR="006F0AB6" w:rsidRPr="006F0AB6" w:rsidRDefault="006F0AB6" w:rsidP="006F0AB6">
      <w:pPr>
        <w:pStyle w:val="Bibliografia"/>
        <w:rPr>
          <w:rFonts w:cs="Arial"/>
        </w:rPr>
      </w:pPr>
      <w:r w:rsidRPr="006F0AB6">
        <w:rPr>
          <w:rFonts w:cs="Arial"/>
          <w:lang w:val="it-IT"/>
        </w:rPr>
        <w:t xml:space="preserve">Moretta, F., Goracci, A., Manenti, F., Bozzano, G., 2022. </w:t>
      </w:r>
      <w:r w:rsidRPr="006F0AB6">
        <w:rPr>
          <w:rFonts w:cs="Arial"/>
        </w:rPr>
        <w:t>Data-driven model for feedstock blending optimization of anaerobic co-digestion by BMP maximization. Journal of Cleaner Production 375, 134140. https://doi.org/10.1016/j.jclepro.2022.134140</w:t>
      </w:r>
    </w:p>
    <w:p w14:paraId="4BC03A8E" w14:textId="77777777" w:rsidR="006F0AB6" w:rsidRPr="006F0AB6" w:rsidRDefault="006F0AB6" w:rsidP="006F0AB6">
      <w:pPr>
        <w:pStyle w:val="Bibliografia"/>
        <w:rPr>
          <w:rFonts w:cs="Arial"/>
        </w:rPr>
      </w:pPr>
      <w:r w:rsidRPr="006F0AB6">
        <w:rPr>
          <w:rFonts w:cs="Arial"/>
        </w:rPr>
        <w:t>Triolo, J.M., Sommer, S.G., Møller, H.B., Weisbjerg, M.R., Jiang, X.Y., 2011. A new algorithm to characterize biodegradability of biomass during anaerobic digestion: Influence of lignin concentration on methane production potential. Bioresource Technology 102, 9395–9402. https://doi.org/10.1016/j.biortech.2011.07.026</w:t>
      </w:r>
    </w:p>
    <w:p w14:paraId="289333BA" w14:textId="77777777" w:rsidR="006F0AB6" w:rsidRPr="006F0AB6" w:rsidRDefault="006F0AB6" w:rsidP="006F0AB6">
      <w:pPr>
        <w:pStyle w:val="Bibliografia"/>
        <w:rPr>
          <w:rFonts w:cs="Arial"/>
        </w:rPr>
      </w:pPr>
      <w:r w:rsidRPr="006F0AB6">
        <w:rPr>
          <w:rFonts w:cs="Arial"/>
        </w:rPr>
        <w:t>Wilks, D.S., 2019. Multivariate Analysis of Vector Pairs. Statistical Methods in the Atmospheric Sciences 669–694. https://doi.org/10.1016/b978-0-12-815823-4.00014-6</w:t>
      </w:r>
    </w:p>
    <w:p w14:paraId="32342DC1" w14:textId="77777777" w:rsidR="006F0AB6" w:rsidRPr="006F0AB6" w:rsidRDefault="006F0AB6" w:rsidP="006F0AB6">
      <w:pPr>
        <w:pStyle w:val="Bibliografia"/>
        <w:rPr>
          <w:rFonts w:cs="Arial"/>
        </w:rPr>
      </w:pPr>
      <w:r w:rsidRPr="006F0AB6">
        <w:rPr>
          <w:rFonts w:cs="Arial"/>
        </w:rPr>
        <w:t>World Energy Outlook 2022 – Analysis [WWW Document], n.d. . IEA. URL https://www.iea.org/reports/world-energy-outlook-2022 (accessed 3.31.23).</w:t>
      </w:r>
    </w:p>
    <w:p w14:paraId="76912CDD" w14:textId="16CC0E05" w:rsidR="00D11F43" w:rsidRDefault="00DC3E2F" w:rsidP="00070540">
      <w:pPr>
        <w:widowControl w:val="0"/>
        <w:autoSpaceDE w:val="0"/>
        <w:autoSpaceDN w:val="0"/>
        <w:adjustRightInd w:val="0"/>
        <w:spacing w:line="240" w:lineRule="auto"/>
        <w:ind w:left="480" w:hanging="480"/>
      </w:pPr>
      <w:r>
        <w:fldChar w:fldCharType="end"/>
      </w:r>
    </w:p>
    <w:sectPr w:rsidR="00D11F4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E6451" w14:textId="77777777" w:rsidR="00F81CF1" w:rsidRDefault="00F81CF1" w:rsidP="004F5E36">
      <w:r>
        <w:separator/>
      </w:r>
    </w:p>
  </w:endnote>
  <w:endnote w:type="continuationSeparator" w:id="0">
    <w:p w14:paraId="5E252918" w14:textId="77777777" w:rsidR="00F81CF1" w:rsidRDefault="00F81CF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FD8B0" w14:textId="77777777" w:rsidR="00F81CF1" w:rsidRDefault="00F81CF1" w:rsidP="004F5E36">
      <w:r>
        <w:separator/>
      </w:r>
    </w:p>
  </w:footnote>
  <w:footnote w:type="continuationSeparator" w:id="0">
    <w:p w14:paraId="210CB4CA" w14:textId="77777777" w:rsidR="00F81CF1" w:rsidRDefault="00F81CF1" w:rsidP="004F5E36">
      <w:r>
        <w:continuationSeparator/>
      </w:r>
    </w:p>
  </w:footnote>
  <w:footnote w:id="1">
    <w:p w14:paraId="0B3AE633" w14:textId="77777777" w:rsidR="00C36444" w:rsidRPr="008004A5" w:rsidRDefault="00C36444" w:rsidP="00F23374">
      <w:pPr>
        <w:pStyle w:val="Testonotaapidipagina"/>
      </w:pPr>
      <w:r>
        <w:rPr>
          <w:rStyle w:val="Rimandonotaapidipagina"/>
        </w:rPr>
        <w:t>(</w:t>
      </w:r>
      <w:r w:rsidRPr="00D9169C">
        <w:rPr>
          <w:vertAlign w:val="superscript"/>
        </w:rPr>
        <w:t>1)</w:t>
      </w:r>
      <w:r>
        <w:t xml:space="preserve"> %</w:t>
      </w:r>
      <w:proofErr w:type="spellStart"/>
      <w:r>
        <w:t>TSw</w:t>
      </w:r>
      <w:proofErr w:type="spellEnd"/>
      <w:r>
        <w:t xml:space="preserve"> = weight percentage of the total solids in the biomass.</w:t>
      </w:r>
    </w:p>
  </w:footnote>
  <w:footnote w:id="2">
    <w:p w14:paraId="57426DA5" w14:textId="0F7A1DC6" w:rsidR="007E0B84" w:rsidRPr="008004A5" w:rsidRDefault="00D9169C">
      <w:pPr>
        <w:pStyle w:val="Testonotaapidipagina"/>
      </w:pPr>
      <w:r>
        <w:rPr>
          <w:rStyle w:val="Rimandonotaapidipagina"/>
        </w:rPr>
        <w:t>(</w:t>
      </w:r>
      <w:r w:rsidR="00F23374">
        <w:rPr>
          <w:vertAlign w:val="superscript"/>
        </w:rPr>
        <w:t>2</w:t>
      </w:r>
      <w:r w:rsidRPr="00D9169C">
        <w:rPr>
          <w:vertAlign w:val="superscript"/>
        </w:rPr>
        <w:t>)</w:t>
      </w:r>
      <w:r w:rsidR="007E0B84">
        <w:t xml:space="preserve"> </w:t>
      </w:r>
      <w:r w:rsidR="007E0B84" w:rsidRPr="008004A5">
        <w:t>MAE</w:t>
      </w:r>
      <w:r>
        <w:t xml:space="preserve"> </w:t>
      </w:r>
      <w:r w:rsidR="007E0B84" w:rsidRPr="008004A5">
        <w:t>=</w:t>
      </w:r>
      <w:r>
        <w:t xml:space="preserve"> </w:t>
      </w:r>
      <w:r w:rsidR="007E0B84" w:rsidRPr="008004A5">
        <w:t>mean absolute error; MSE</w:t>
      </w:r>
      <w:r>
        <w:t xml:space="preserve"> </w:t>
      </w:r>
      <w:r w:rsidR="007E0B84" w:rsidRPr="008004A5">
        <w:t>=</w:t>
      </w:r>
      <w:r>
        <w:t xml:space="preserve"> </w:t>
      </w:r>
      <w:r w:rsidR="007E0B84" w:rsidRPr="008004A5">
        <w:t>mean square error; SAE</w:t>
      </w:r>
      <w:r>
        <w:t xml:space="preserve"> </w:t>
      </w:r>
      <w:r w:rsidR="007E0B84" w:rsidRPr="008004A5">
        <w:t>= sum absolute error; MAPE</w:t>
      </w:r>
      <w:r>
        <w:t xml:space="preserve"> </w:t>
      </w:r>
      <w:r w:rsidR="007E0B84" w:rsidRPr="008004A5">
        <w:t>=</w:t>
      </w:r>
      <w:r>
        <w:t xml:space="preserve"> </w:t>
      </w:r>
      <w:r w:rsidR="007E0B84" w:rsidRPr="008004A5">
        <w:t>mean absolute percentage error.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49744717">
    <w:abstractNumId w:val="10"/>
  </w:num>
  <w:num w:numId="2" w16cid:durableId="57557873">
    <w:abstractNumId w:val="8"/>
  </w:num>
  <w:num w:numId="3" w16cid:durableId="1367637726">
    <w:abstractNumId w:val="3"/>
  </w:num>
  <w:num w:numId="4" w16cid:durableId="1797947086">
    <w:abstractNumId w:val="2"/>
  </w:num>
  <w:num w:numId="5" w16cid:durableId="1526942602">
    <w:abstractNumId w:val="1"/>
  </w:num>
  <w:num w:numId="6" w16cid:durableId="786854225">
    <w:abstractNumId w:val="0"/>
  </w:num>
  <w:num w:numId="7" w16cid:durableId="387529845">
    <w:abstractNumId w:val="9"/>
  </w:num>
  <w:num w:numId="8" w16cid:durableId="714696797">
    <w:abstractNumId w:val="7"/>
  </w:num>
  <w:num w:numId="9" w16cid:durableId="1504280000">
    <w:abstractNumId w:val="6"/>
  </w:num>
  <w:num w:numId="10" w16cid:durableId="122892512">
    <w:abstractNumId w:val="5"/>
  </w:num>
  <w:num w:numId="11" w16cid:durableId="635989572">
    <w:abstractNumId w:val="4"/>
  </w:num>
  <w:num w:numId="12" w16cid:durableId="609514229">
    <w:abstractNumId w:val="17"/>
  </w:num>
  <w:num w:numId="13" w16cid:durableId="775054202">
    <w:abstractNumId w:val="12"/>
  </w:num>
  <w:num w:numId="14" w16cid:durableId="215244881">
    <w:abstractNumId w:val="18"/>
  </w:num>
  <w:num w:numId="15" w16cid:durableId="1649043892">
    <w:abstractNumId w:val="20"/>
  </w:num>
  <w:num w:numId="16" w16cid:durableId="1367683268">
    <w:abstractNumId w:val="19"/>
  </w:num>
  <w:num w:numId="17" w16cid:durableId="296181094">
    <w:abstractNumId w:val="11"/>
  </w:num>
  <w:num w:numId="18" w16cid:durableId="588588476">
    <w:abstractNumId w:val="12"/>
    <w:lvlOverride w:ilvl="0">
      <w:startOverride w:val="1"/>
    </w:lvlOverride>
  </w:num>
  <w:num w:numId="19" w16cid:durableId="1355158033">
    <w:abstractNumId w:val="16"/>
  </w:num>
  <w:num w:numId="20" w16cid:durableId="744491301">
    <w:abstractNumId w:val="15"/>
  </w:num>
  <w:num w:numId="21" w16cid:durableId="305941975">
    <w:abstractNumId w:val="14"/>
  </w:num>
  <w:num w:numId="22" w16cid:durableId="14717513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4FAKk8yLctAAAA"/>
  </w:docVars>
  <w:rsids>
    <w:rsidRoot w:val="000E414A"/>
    <w:rsid w:val="00001553"/>
    <w:rsid w:val="0000270D"/>
    <w:rsid w:val="000027C0"/>
    <w:rsid w:val="000052FB"/>
    <w:rsid w:val="00005B03"/>
    <w:rsid w:val="000117CB"/>
    <w:rsid w:val="00014774"/>
    <w:rsid w:val="000226EC"/>
    <w:rsid w:val="000267B5"/>
    <w:rsid w:val="0003148D"/>
    <w:rsid w:val="00031EEC"/>
    <w:rsid w:val="00033BD7"/>
    <w:rsid w:val="0003434D"/>
    <w:rsid w:val="0003526C"/>
    <w:rsid w:val="00036914"/>
    <w:rsid w:val="00051566"/>
    <w:rsid w:val="00060499"/>
    <w:rsid w:val="00061A05"/>
    <w:rsid w:val="00062713"/>
    <w:rsid w:val="00062A9A"/>
    <w:rsid w:val="00065058"/>
    <w:rsid w:val="00066055"/>
    <w:rsid w:val="00070540"/>
    <w:rsid w:val="00077F0C"/>
    <w:rsid w:val="0008287C"/>
    <w:rsid w:val="0008660F"/>
    <w:rsid w:val="00086C39"/>
    <w:rsid w:val="00091CC6"/>
    <w:rsid w:val="000A03B2"/>
    <w:rsid w:val="000B0D37"/>
    <w:rsid w:val="000B30C5"/>
    <w:rsid w:val="000C5AB2"/>
    <w:rsid w:val="000C6241"/>
    <w:rsid w:val="000D0268"/>
    <w:rsid w:val="000D0FFD"/>
    <w:rsid w:val="000D34BE"/>
    <w:rsid w:val="000E102F"/>
    <w:rsid w:val="000E36F1"/>
    <w:rsid w:val="000E3A73"/>
    <w:rsid w:val="000E414A"/>
    <w:rsid w:val="000E7E4B"/>
    <w:rsid w:val="000F093C"/>
    <w:rsid w:val="000F3831"/>
    <w:rsid w:val="000F787B"/>
    <w:rsid w:val="00117FD8"/>
    <w:rsid w:val="0012091F"/>
    <w:rsid w:val="00125E7E"/>
    <w:rsid w:val="00126BC2"/>
    <w:rsid w:val="001277B9"/>
    <w:rsid w:val="001308B6"/>
    <w:rsid w:val="0013121F"/>
    <w:rsid w:val="00131FE6"/>
    <w:rsid w:val="0013263F"/>
    <w:rsid w:val="001331DF"/>
    <w:rsid w:val="00134DE4"/>
    <w:rsid w:val="00136382"/>
    <w:rsid w:val="00136624"/>
    <w:rsid w:val="0014034D"/>
    <w:rsid w:val="00142AF0"/>
    <w:rsid w:val="00144D16"/>
    <w:rsid w:val="00146709"/>
    <w:rsid w:val="00150E59"/>
    <w:rsid w:val="00152DE3"/>
    <w:rsid w:val="00154853"/>
    <w:rsid w:val="00164CF9"/>
    <w:rsid w:val="001667A6"/>
    <w:rsid w:val="00176C64"/>
    <w:rsid w:val="00184AD6"/>
    <w:rsid w:val="001922A6"/>
    <w:rsid w:val="00193F5A"/>
    <w:rsid w:val="001A4AF7"/>
    <w:rsid w:val="001B0349"/>
    <w:rsid w:val="001B1E93"/>
    <w:rsid w:val="001B23A2"/>
    <w:rsid w:val="001B65C1"/>
    <w:rsid w:val="001C340B"/>
    <w:rsid w:val="001C47F6"/>
    <w:rsid w:val="001C684B"/>
    <w:rsid w:val="001C7918"/>
    <w:rsid w:val="001D0CFB"/>
    <w:rsid w:val="001D21AF"/>
    <w:rsid w:val="001D53FC"/>
    <w:rsid w:val="001D7E48"/>
    <w:rsid w:val="001D7FC5"/>
    <w:rsid w:val="001F21A5"/>
    <w:rsid w:val="001F42A5"/>
    <w:rsid w:val="001F7B9D"/>
    <w:rsid w:val="00201C93"/>
    <w:rsid w:val="00203DB1"/>
    <w:rsid w:val="00221FBA"/>
    <w:rsid w:val="002224B4"/>
    <w:rsid w:val="00231FC7"/>
    <w:rsid w:val="00234F6F"/>
    <w:rsid w:val="00235EBD"/>
    <w:rsid w:val="002447EF"/>
    <w:rsid w:val="002457FD"/>
    <w:rsid w:val="002460A7"/>
    <w:rsid w:val="00247722"/>
    <w:rsid w:val="00250F74"/>
    <w:rsid w:val="00251550"/>
    <w:rsid w:val="0025179C"/>
    <w:rsid w:val="00252B87"/>
    <w:rsid w:val="00255F61"/>
    <w:rsid w:val="00256615"/>
    <w:rsid w:val="00263B05"/>
    <w:rsid w:val="00267D77"/>
    <w:rsid w:val="0027221A"/>
    <w:rsid w:val="00275B61"/>
    <w:rsid w:val="00280FAF"/>
    <w:rsid w:val="00282656"/>
    <w:rsid w:val="002933CF"/>
    <w:rsid w:val="00296B83"/>
    <w:rsid w:val="002A6FE9"/>
    <w:rsid w:val="002B4015"/>
    <w:rsid w:val="002B78CE"/>
    <w:rsid w:val="002C2FB6"/>
    <w:rsid w:val="002D486A"/>
    <w:rsid w:val="002E5628"/>
    <w:rsid w:val="002E5FA7"/>
    <w:rsid w:val="002F3309"/>
    <w:rsid w:val="002F5ED9"/>
    <w:rsid w:val="002F7E44"/>
    <w:rsid w:val="003008CE"/>
    <w:rsid w:val="003009B7"/>
    <w:rsid w:val="00300E56"/>
    <w:rsid w:val="0030469C"/>
    <w:rsid w:val="00306A9C"/>
    <w:rsid w:val="00321CA6"/>
    <w:rsid w:val="00323763"/>
    <w:rsid w:val="003248BB"/>
    <w:rsid w:val="00333C28"/>
    <w:rsid w:val="00334C09"/>
    <w:rsid w:val="00356ABF"/>
    <w:rsid w:val="00361396"/>
    <w:rsid w:val="003723D4"/>
    <w:rsid w:val="003740B1"/>
    <w:rsid w:val="00376A89"/>
    <w:rsid w:val="00381905"/>
    <w:rsid w:val="00384CC8"/>
    <w:rsid w:val="003871FD"/>
    <w:rsid w:val="00397B4F"/>
    <w:rsid w:val="003A003F"/>
    <w:rsid w:val="003A1E30"/>
    <w:rsid w:val="003A2829"/>
    <w:rsid w:val="003A3614"/>
    <w:rsid w:val="003A5468"/>
    <w:rsid w:val="003A73A2"/>
    <w:rsid w:val="003A7D1C"/>
    <w:rsid w:val="003B304B"/>
    <w:rsid w:val="003B3146"/>
    <w:rsid w:val="003B3A7E"/>
    <w:rsid w:val="003B7ACC"/>
    <w:rsid w:val="003C15B8"/>
    <w:rsid w:val="003E21D7"/>
    <w:rsid w:val="003E4EF6"/>
    <w:rsid w:val="003F015E"/>
    <w:rsid w:val="003F0765"/>
    <w:rsid w:val="003F0E19"/>
    <w:rsid w:val="003F355E"/>
    <w:rsid w:val="003F3592"/>
    <w:rsid w:val="003F716B"/>
    <w:rsid w:val="00400414"/>
    <w:rsid w:val="00413B0C"/>
    <w:rsid w:val="0041446B"/>
    <w:rsid w:val="00434031"/>
    <w:rsid w:val="00436C3B"/>
    <w:rsid w:val="0044071E"/>
    <w:rsid w:val="00441B50"/>
    <w:rsid w:val="0044329C"/>
    <w:rsid w:val="0044620D"/>
    <w:rsid w:val="00450047"/>
    <w:rsid w:val="004529AE"/>
    <w:rsid w:val="00453E24"/>
    <w:rsid w:val="0045400E"/>
    <w:rsid w:val="00457456"/>
    <w:rsid w:val="004577FE"/>
    <w:rsid w:val="00457B9C"/>
    <w:rsid w:val="004601CD"/>
    <w:rsid w:val="0046164A"/>
    <w:rsid w:val="004628D2"/>
    <w:rsid w:val="00462DCD"/>
    <w:rsid w:val="004648AD"/>
    <w:rsid w:val="004703A9"/>
    <w:rsid w:val="00472BAA"/>
    <w:rsid w:val="004760DE"/>
    <w:rsid w:val="004763D7"/>
    <w:rsid w:val="0048162C"/>
    <w:rsid w:val="0048573C"/>
    <w:rsid w:val="004866EB"/>
    <w:rsid w:val="0048752A"/>
    <w:rsid w:val="004A004E"/>
    <w:rsid w:val="004A24CF"/>
    <w:rsid w:val="004B156F"/>
    <w:rsid w:val="004C3D1D"/>
    <w:rsid w:val="004C3D84"/>
    <w:rsid w:val="004C5108"/>
    <w:rsid w:val="004C7913"/>
    <w:rsid w:val="004D3B6D"/>
    <w:rsid w:val="004E31B7"/>
    <w:rsid w:val="004E3733"/>
    <w:rsid w:val="004E4DD6"/>
    <w:rsid w:val="004F5E36"/>
    <w:rsid w:val="004F7D22"/>
    <w:rsid w:val="00500334"/>
    <w:rsid w:val="00504FF1"/>
    <w:rsid w:val="0050513A"/>
    <w:rsid w:val="00507B47"/>
    <w:rsid w:val="00507BEF"/>
    <w:rsid w:val="00507CC9"/>
    <w:rsid w:val="005119A5"/>
    <w:rsid w:val="005127E5"/>
    <w:rsid w:val="005175E8"/>
    <w:rsid w:val="00520283"/>
    <w:rsid w:val="005229F9"/>
    <w:rsid w:val="005278B7"/>
    <w:rsid w:val="0053076D"/>
    <w:rsid w:val="00532016"/>
    <w:rsid w:val="005346C8"/>
    <w:rsid w:val="0053592F"/>
    <w:rsid w:val="00537DBA"/>
    <w:rsid w:val="00541ECF"/>
    <w:rsid w:val="00543E7D"/>
    <w:rsid w:val="00547A68"/>
    <w:rsid w:val="005518B7"/>
    <w:rsid w:val="005531C9"/>
    <w:rsid w:val="00570C43"/>
    <w:rsid w:val="00576AA2"/>
    <w:rsid w:val="005929A3"/>
    <w:rsid w:val="005942B8"/>
    <w:rsid w:val="00595EF1"/>
    <w:rsid w:val="005A1235"/>
    <w:rsid w:val="005A4A68"/>
    <w:rsid w:val="005A550B"/>
    <w:rsid w:val="005A7328"/>
    <w:rsid w:val="005A7769"/>
    <w:rsid w:val="005B2110"/>
    <w:rsid w:val="005B2EDE"/>
    <w:rsid w:val="005B338C"/>
    <w:rsid w:val="005B4F1E"/>
    <w:rsid w:val="005B61E6"/>
    <w:rsid w:val="005C3ECF"/>
    <w:rsid w:val="005C77E1"/>
    <w:rsid w:val="005D668A"/>
    <w:rsid w:val="005D6A2F"/>
    <w:rsid w:val="005E1A82"/>
    <w:rsid w:val="005E794C"/>
    <w:rsid w:val="005F0A28"/>
    <w:rsid w:val="005F0E5E"/>
    <w:rsid w:val="005F3701"/>
    <w:rsid w:val="00600535"/>
    <w:rsid w:val="00603B14"/>
    <w:rsid w:val="00605F30"/>
    <w:rsid w:val="00610CD6"/>
    <w:rsid w:val="00620DEE"/>
    <w:rsid w:val="00621F92"/>
    <w:rsid w:val="0062280A"/>
    <w:rsid w:val="00625639"/>
    <w:rsid w:val="00627119"/>
    <w:rsid w:val="00631B33"/>
    <w:rsid w:val="0064184D"/>
    <w:rsid w:val="006422CC"/>
    <w:rsid w:val="00643BD6"/>
    <w:rsid w:val="006467AD"/>
    <w:rsid w:val="006529CF"/>
    <w:rsid w:val="00660E3E"/>
    <w:rsid w:val="00662E74"/>
    <w:rsid w:val="00680C23"/>
    <w:rsid w:val="00684970"/>
    <w:rsid w:val="00690EFE"/>
    <w:rsid w:val="00693766"/>
    <w:rsid w:val="006950BB"/>
    <w:rsid w:val="006A3281"/>
    <w:rsid w:val="006A4C8A"/>
    <w:rsid w:val="006A6CBE"/>
    <w:rsid w:val="006A795F"/>
    <w:rsid w:val="006B1D21"/>
    <w:rsid w:val="006B4888"/>
    <w:rsid w:val="006C2E45"/>
    <w:rsid w:val="006C359C"/>
    <w:rsid w:val="006C5579"/>
    <w:rsid w:val="006C65E9"/>
    <w:rsid w:val="006D0744"/>
    <w:rsid w:val="006D6E8B"/>
    <w:rsid w:val="006E030C"/>
    <w:rsid w:val="006E737D"/>
    <w:rsid w:val="006F0AB6"/>
    <w:rsid w:val="006F14DB"/>
    <w:rsid w:val="00707456"/>
    <w:rsid w:val="00713973"/>
    <w:rsid w:val="00720A24"/>
    <w:rsid w:val="007214D3"/>
    <w:rsid w:val="0072280A"/>
    <w:rsid w:val="00730320"/>
    <w:rsid w:val="00732386"/>
    <w:rsid w:val="0073514D"/>
    <w:rsid w:val="007447F3"/>
    <w:rsid w:val="00745C67"/>
    <w:rsid w:val="0075499F"/>
    <w:rsid w:val="0075671B"/>
    <w:rsid w:val="007661C8"/>
    <w:rsid w:val="00766669"/>
    <w:rsid w:val="0077098D"/>
    <w:rsid w:val="0078750C"/>
    <w:rsid w:val="007931FA"/>
    <w:rsid w:val="00796652"/>
    <w:rsid w:val="007A378A"/>
    <w:rsid w:val="007A4861"/>
    <w:rsid w:val="007A7BBA"/>
    <w:rsid w:val="007B0C50"/>
    <w:rsid w:val="007B437D"/>
    <w:rsid w:val="007B48F9"/>
    <w:rsid w:val="007C1A43"/>
    <w:rsid w:val="007C2F3B"/>
    <w:rsid w:val="007C4B25"/>
    <w:rsid w:val="007D29B7"/>
    <w:rsid w:val="007E0B84"/>
    <w:rsid w:val="007E66A9"/>
    <w:rsid w:val="007E69B8"/>
    <w:rsid w:val="0080013E"/>
    <w:rsid w:val="008004A5"/>
    <w:rsid w:val="00813288"/>
    <w:rsid w:val="00814EF4"/>
    <w:rsid w:val="008168FC"/>
    <w:rsid w:val="0083086E"/>
    <w:rsid w:val="00830996"/>
    <w:rsid w:val="008345F1"/>
    <w:rsid w:val="008424E2"/>
    <w:rsid w:val="0084491B"/>
    <w:rsid w:val="0084548E"/>
    <w:rsid w:val="00857B03"/>
    <w:rsid w:val="00865B07"/>
    <w:rsid w:val="008667EA"/>
    <w:rsid w:val="0087637F"/>
    <w:rsid w:val="00892AD5"/>
    <w:rsid w:val="008A1512"/>
    <w:rsid w:val="008C0262"/>
    <w:rsid w:val="008D32B9"/>
    <w:rsid w:val="008D433B"/>
    <w:rsid w:val="008D4A16"/>
    <w:rsid w:val="008E566E"/>
    <w:rsid w:val="008E5CB3"/>
    <w:rsid w:val="008F3F2D"/>
    <w:rsid w:val="008F6796"/>
    <w:rsid w:val="0090161A"/>
    <w:rsid w:val="00901EB6"/>
    <w:rsid w:val="00904C62"/>
    <w:rsid w:val="0090748B"/>
    <w:rsid w:val="00922BA8"/>
    <w:rsid w:val="00924DAC"/>
    <w:rsid w:val="009263E7"/>
    <w:rsid w:val="00927058"/>
    <w:rsid w:val="00932992"/>
    <w:rsid w:val="00942750"/>
    <w:rsid w:val="009450CE"/>
    <w:rsid w:val="00947179"/>
    <w:rsid w:val="0095164B"/>
    <w:rsid w:val="00951FD8"/>
    <w:rsid w:val="0095201C"/>
    <w:rsid w:val="00954090"/>
    <w:rsid w:val="009546F5"/>
    <w:rsid w:val="009573E7"/>
    <w:rsid w:val="00963E05"/>
    <w:rsid w:val="00964A45"/>
    <w:rsid w:val="00965424"/>
    <w:rsid w:val="0096728F"/>
    <w:rsid w:val="00967843"/>
    <w:rsid w:val="00967D54"/>
    <w:rsid w:val="00971028"/>
    <w:rsid w:val="00975121"/>
    <w:rsid w:val="00977007"/>
    <w:rsid w:val="0098457F"/>
    <w:rsid w:val="00990F84"/>
    <w:rsid w:val="00993B84"/>
    <w:rsid w:val="00996483"/>
    <w:rsid w:val="00996F5A"/>
    <w:rsid w:val="009A2620"/>
    <w:rsid w:val="009A4394"/>
    <w:rsid w:val="009A6758"/>
    <w:rsid w:val="009B041A"/>
    <w:rsid w:val="009B4344"/>
    <w:rsid w:val="009C37C3"/>
    <w:rsid w:val="009C6E84"/>
    <w:rsid w:val="009C7C86"/>
    <w:rsid w:val="009D2FF7"/>
    <w:rsid w:val="009E39BE"/>
    <w:rsid w:val="009E7884"/>
    <w:rsid w:val="009E788A"/>
    <w:rsid w:val="009E7AE3"/>
    <w:rsid w:val="009F0E08"/>
    <w:rsid w:val="009F1638"/>
    <w:rsid w:val="00A069E9"/>
    <w:rsid w:val="00A12A2A"/>
    <w:rsid w:val="00A1568B"/>
    <w:rsid w:val="00A1763D"/>
    <w:rsid w:val="00A17CEC"/>
    <w:rsid w:val="00A21A9F"/>
    <w:rsid w:val="00A27EF0"/>
    <w:rsid w:val="00A42361"/>
    <w:rsid w:val="00A50B20"/>
    <w:rsid w:val="00A51390"/>
    <w:rsid w:val="00A55304"/>
    <w:rsid w:val="00A5788C"/>
    <w:rsid w:val="00A60D13"/>
    <w:rsid w:val="00A721C1"/>
    <w:rsid w:val="00A7223D"/>
    <w:rsid w:val="00A72437"/>
    <w:rsid w:val="00A72745"/>
    <w:rsid w:val="00A7645B"/>
    <w:rsid w:val="00A76EFC"/>
    <w:rsid w:val="00A80B3A"/>
    <w:rsid w:val="00A91010"/>
    <w:rsid w:val="00A97F29"/>
    <w:rsid w:val="00AA0B96"/>
    <w:rsid w:val="00AA702E"/>
    <w:rsid w:val="00AB0964"/>
    <w:rsid w:val="00AB187A"/>
    <w:rsid w:val="00AB5011"/>
    <w:rsid w:val="00AC135D"/>
    <w:rsid w:val="00AC24D3"/>
    <w:rsid w:val="00AC7368"/>
    <w:rsid w:val="00AD16B9"/>
    <w:rsid w:val="00AD4B39"/>
    <w:rsid w:val="00AE377D"/>
    <w:rsid w:val="00AE582B"/>
    <w:rsid w:val="00AF0EBA"/>
    <w:rsid w:val="00AF1788"/>
    <w:rsid w:val="00AF4E10"/>
    <w:rsid w:val="00B005EF"/>
    <w:rsid w:val="00B02C8A"/>
    <w:rsid w:val="00B062D8"/>
    <w:rsid w:val="00B119E3"/>
    <w:rsid w:val="00B15ADD"/>
    <w:rsid w:val="00B16EEF"/>
    <w:rsid w:val="00B17FBD"/>
    <w:rsid w:val="00B20D76"/>
    <w:rsid w:val="00B21B01"/>
    <w:rsid w:val="00B25B9C"/>
    <w:rsid w:val="00B2635D"/>
    <w:rsid w:val="00B315A6"/>
    <w:rsid w:val="00B31813"/>
    <w:rsid w:val="00B33365"/>
    <w:rsid w:val="00B334BF"/>
    <w:rsid w:val="00B363FC"/>
    <w:rsid w:val="00B4022A"/>
    <w:rsid w:val="00B408CB"/>
    <w:rsid w:val="00B50679"/>
    <w:rsid w:val="00B547D0"/>
    <w:rsid w:val="00B577B7"/>
    <w:rsid w:val="00B57B36"/>
    <w:rsid w:val="00B57E6F"/>
    <w:rsid w:val="00B66C62"/>
    <w:rsid w:val="00B756A5"/>
    <w:rsid w:val="00B8686D"/>
    <w:rsid w:val="00B93F69"/>
    <w:rsid w:val="00B941C3"/>
    <w:rsid w:val="00B943A3"/>
    <w:rsid w:val="00BA3ECC"/>
    <w:rsid w:val="00BB1DDC"/>
    <w:rsid w:val="00BB4DC4"/>
    <w:rsid w:val="00BB6D3D"/>
    <w:rsid w:val="00BB7AAE"/>
    <w:rsid w:val="00BC30C9"/>
    <w:rsid w:val="00BC530F"/>
    <w:rsid w:val="00BD035E"/>
    <w:rsid w:val="00BD077D"/>
    <w:rsid w:val="00BD737B"/>
    <w:rsid w:val="00BE0B8C"/>
    <w:rsid w:val="00BE23CB"/>
    <w:rsid w:val="00BE2B9B"/>
    <w:rsid w:val="00BE3E58"/>
    <w:rsid w:val="00BE6460"/>
    <w:rsid w:val="00C01616"/>
    <w:rsid w:val="00C0162B"/>
    <w:rsid w:val="00C068ED"/>
    <w:rsid w:val="00C22E0C"/>
    <w:rsid w:val="00C24B17"/>
    <w:rsid w:val="00C345B1"/>
    <w:rsid w:val="00C36444"/>
    <w:rsid w:val="00C40142"/>
    <w:rsid w:val="00C40E88"/>
    <w:rsid w:val="00C42B6D"/>
    <w:rsid w:val="00C47F20"/>
    <w:rsid w:val="00C50900"/>
    <w:rsid w:val="00C52C3C"/>
    <w:rsid w:val="00C551D2"/>
    <w:rsid w:val="00C57182"/>
    <w:rsid w:val="00C57863"/>
    <w:rsid w:val="00C640AF"/>
    <w:rsid w:val="00C655FD"/>
    <w:rsid w:val="00C66C68"/>
    <w:rsid w:val="00C75407"/>
    <w:rsid w:val="00C828EE"/>
    <w:rsid w:val="00C870A8"/>
    <w:rsid w:val="00C94301"/>
    <w:rsid w:val="00C94434"/>
    <w:rsid w:val="00CA0D75"/>
    <w:rsid w:val="00CA1C95"/>
    <w:rsid w:val="00CA35DE"/>
    <w:rsid w:val="00CA5A9C"/>
    <w:rsid w:val="00CC4C20"/>
    <w:rsid w:val="00CC6995"/>
    <w:rsid w:val="00CD09A1"/>
    <w:rsid w:val="00CD3517"/>
    <w:rsid w:val="00CD5FE2"/>
    <w:rsid w:val="00CE06E2"/>
    <w:rsid w:val="00CE7C68"/>
    <w:rsid w:val="00CF3584"/>
    <w:rsid w:val="00CF5026"/>
    <w:rsid w:val="00D0186C"/>
    <w:rsid w:val="00D02B4C"/>
    <w:rsid w:val="00D040C4"/>
    <w:rsid w:val="00D11F43"/>
    <w:rsid w:val="00D15E7F"/>
    <w:rsid w:val="00D20AD1"/>
    <w:rsid w:val="00D33897"/>
    <w:rsid w:val="00D44F7E"/>
    <w:rsid w:val="00D46B7E"/>
    <w:rsid w:val="00D51ED7"/>
    <w:rsid w:val="00D57C84"/>
    <w:rsid w:val="00D6057D"/>
    <w:rsid w:val="00D6688C"/>
    <w:rsid w:val="00D71640"/>
    <w:rsid w:val="00D734F7"/>
    <w:rsid w:val="00D74FB1"/>
    <w:rsid w:val="00D80BFF"/>
    <w:rsid w:val="00D81EEB"/>
    <w:rsid w:val="00D836C5"/>
    <w:rsid w:val="00D84576"/>
    <w:rsid w:val="00D84D95"/>
    <w:rsid w:val="00D9169C"/>
    <w:rsid w:val="00D93925"/>
    <w:rsid w:val="00DA1399"/>
    <w:rsid w:val="00DA24C6"/>
    <w:rsid w:val="00DA4D7B"/>
    <w:rsid w:val="00DB2EAC"/>
    <w:rsid w:val="00DB38B1"/>
    <w:rsid w:val="00DC04FD"/>
    <w:rsid w:val="00DC1F89"/>
    <w:rsid w:val="00DC3E2F"/>
    <w:rsid w:val="00DC4BCA"/>
    <w:rsid w:val="00DC6B53"/>
    <w:rsid w:val="00DD271C"/>
    <w:rsid w:val="00DD69B7"/>
    <w:rsid w:val="00DE264A"/>
    <w:rsid w:val="00DF5072"/>
    <w:rsid w:val="00DF719C"/>
    <w:rsid w:val="00E02D18"/>
    <w:rsid w:val="00E041E7"/>
    <w:rsid w:val="00E16B84"/>
    <w:rsid w:val="00E2299E"/>
    <w:rsid w:val="00E23CA1"/>
    <w:rsid w:val="00E25BA6"/>
    <w:rsid w:val="00E26FAC"/>
    <w:rsid w:val="00E279DF"/>
    <w:rsid w:val="00E329C8"/>
    <w:rsid w:val="00E409A8"/>
    <w:rsid w:val="00E50C12"/>
    <w:rsid w:val="00E578D3"/>
    <w:rsid w:val="00E57907"/>
    <w:rsid w:val="00E612A2"/>
    <w:rsid w:val="00E61F4F"/>
    <w:rsid w:val="00E65B91"/>
    <w:rsid w:val="00E706B5"/>
    <w:rsid w:val="00E7178D"/>
    <w:rsid w:val="00E7209D"/>
    <w:rsid w:val="00E72EAD"/>
    <w:rsid w:val="00E77223"/>
    <w:rsid w:val="00E8528B"/>
    <w:rsid w:val="00E85B94"/>
    <w:rsid w:val="00E872FE"/>
    <w:rsid w:val="00E90B08"/>
    <w:rsid w:val="00E92EFC"/>
    <w:rsid w:val="00E95FCA"/>
    <w:rsid w:val="00E978D0"/>
    <w:rsid w:val="00EA4613"/>
    <w:rsid w:val="00EA7F91"/>
    <w:rsid w:val="00EB1523"/>
    <w:rsid w:val="00EB2E98"/>
    <w:rsid w:val="00EC0E49"/>
    <w:rsid w:val="00EC101F"/>
    <w:rsid w:val="00EC1D9F"/>
    <w:rsid w:val="00EC6F13"/>
    <w:rsid w:val="00EE0131"/>
    <w:rsid w:val="00EE17B0"/>
    <w:rsid w:val="00EE527A"/>
    <w:rsid w:val="00EF06D9"/>
    <w:rsid w:val="00EF5031"/>
    <w:rsid w:val="00F00073"/>
    <w:rsid w:val="00F23374"/>
    <w:rsid w:val="00F2499C"/>
    <w:rsid w:val="00F256FF"/>
    <w:rsid w:val="00F303C6"/>
    <w:rsid w:val="00F30C64"/>
    <w:rsid w:val="00F32BA2"/>
    <w:rsid w:val="00F32CDB"/>
    <w:rsid w:val="00F42F4C"/>
    <w:rsid w:val="00F462CD"/>
    <w:rsid w:val="00F565FE"/>
    <w:rsid w:val="00F63A70"/>
    <w:rsid w:val="00F675DA"/>
    <w:rsid w:val="00F67AFA"/>
    <w:rsid w:val="00F738B1"/>
    <w:rsid w:val="00F7534E"/>
    <w:rsid w:val="00F81CF1"/>
    <w:rsid w:val="00F83A40"/>
    <w:rsid w:val="00FA1802"/>
    <w:rsid w:val="00FA21D0"/>
    <w:rsid w:val="00FA4A6E"/>
    <w:rsid w:val="00FA5F5F"/>
    <w:rsid w:val="00FB730C"/>
    <w:rsid w:val="00FC2695"/>
    <w:rsid w:val="00FC3E03"/>
    <w:rsid w:val="00FC3FC1"/>
    <w:rsid w:val="00FE15B1"/>
    <w:rsid w:val="00FF3B35"/>
    <w:rsid w:val="00FF3F4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7B437D"/>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Rimandonotaapidipagina">
    <w:name w:val="footnote reference"/>
    <w:basedOn w:val="Carpredefinitoparagrafo"/>
    <w:uiPriority w:val="99"/>
    <w:semiHidden/>
    <w:unhideWhenUsed/>
    <w:rsid w:val="00F256FF"/>
    <w:rPr>
      <w:vertAlign w:val="superscript"/>
    </w:rPr>
  </w:style>
  <w:style w:type="character" w:styleId="Testosegnaposto">
    <w:name w:val="Placeholder Text"/>
    <w:basedOn w:val="Carpredefinitoparagrafo"/>
    <w:uiPriority w:val="99"/>
    <w:semiHidden/>
    <w:rsid w:val="00CD09A1"/>
    <w:rPr>
      <w:color w:val="808080"/>
    </w:rPr>
  </w:style>
  <w:style w:type="paragraph" w:styleId="Nessunaspaziatura">
    <w:name w:val="No Spacing"/>
    <w:uiPriority w:val="1"/>
    <w:qFormat/>
    <w:rsid w:val="00B4022A"/>
    <w:pPr>
      <w:spacing w:after="0" w:line="240" w:lineRule="auto"/>
    </w:pPr>
  </w:style>
  <w:style w:type="paragraph" w:styleId="Revisione">
    <w:name w:val="Revision"/>
    <w:hidden/>
    <w:uiPriority w:val="99"/>
    <w:semiHidden/>
    <w:rsid w:val="00BC530F"/>
    <w:pPr>
      <w:spacing w:after="0" w:line="240" w:lineRule="auto"/>
    </w:pPr>
    <w:rPr>
      <w:rFonts w:ascii="Arial" w:eastAsia="Times New Roman" w:hAnsi="Arial" w:cs="Times New Roman"/>
      <w:sz w:val="18"/>
      <w:szCs w:val="20"/>
      <w:lang w:val="en-GB"/>
    </w:rPr>
  </w:style>
  <w:style w:type="paragraph" w:customStyle="1" w:styleId="Bibliografia1">
    <w:name w:val="Bibliografia1"/>
    <w:basedOn w:val="Normale"/>
    <w:link w:val="BibliographyCarattere"/>
    <w:rsid w:val="00D74FB1"/>
    <w:pPr>
      <w:widowControl w:val="0"/>
      <w:autoSpaceDE w:val="0"/>
      <w:autoSpaceDN w:val="0"/>
      <w:adjustRightInd w:val="0"/>
      <w:spacing w:line="240" w:lineRule="auto"/>
      <w:ind w:left="720" w:hanging="720"/>
    </w:pPr>
  </w:style>
  <w:style w:type="character" w:customStyle="1" w:styleId="BibliographyCarattere">
    <w:name w:val="Bibliography Carattere"/>
    <w:basedOn w:val="Carpredefinitoparagrafo"/>
    <w:link w:val="Bibliografia1"/>
    <w:rsid w:val="00D74FB1"/>
    <w:rPr>
      <w:rFonts w:ascii="Arial" w:eastAsia="Times New Roman" w:hAnsi="Arial" w:cs="Times New Roman"/>
      <w:sz w:val="18"/>
      <w:szCs w:val="20"/>
      <w:lang w:val="en-GB"/>
    </w:rPr>
  </w:style>
  <w:style w:type="character" w:styleId="Rimandonotadichiusura">
    <w:name w:val="endnote reference"/>
    <w:basedOn w:val="Carpredefinitoparagrafo"/>
    <w:uiPriority w:val="99"/>
    <w:semiHidden/>
    <w:unhideWhenUsed/>
    <w:rsid w:val="006950BB"/>
    <w:rPr>
      <w:vertAlign w:val="superscript"/>
    </w:rPr>
  </w:style>
  <w:style w:type="character" w:customStyle="1" w:styleId="UnresolvedMention1">
    <w:name w:val="Unresolved Mention1"/>
    <w:basedOn w:val="Carpredefinitoparagrafo"/>
    <w:uiPriority w:val="99"/>
    <w:semiHidden/>
    <w:unhideWhenUsed/>
    <w:rsid w:val="00146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delducavincenzo@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94E4BADD81CE4841A05492A9EE320A38" ma:contentTypeVersion="14" ma:contentTypeDescription="Creare un nuovo documento." ma:contentTypeScope="" ma:versionID="332f9de4d16fd62a7af226af12b6b736">
  <xsd:schema xmlns:xsd="http://www.w3.org/2001/XMLSchema" xmlns:xs="http://www.w3.org/2001/XMLSchema" xmlns:p="http://schemas.microsoft.com/office/2006/metadata/properties" xmlns:ns3="872151f4-b13a-4806-8827-013deced4a32" xmlns:ns4="70fde86d-f1aa-4b46-b4ed-af96870b39a9" targetNamespace="http://schemas.microsoft.com/office/2006/metadata/properties" ma:root="true" ma:fieldsID="e94fca5d8e2efff8e40c69421d22eea3" ns3:_="" ns4:_="">
    <xsd:import namespace="872151f4-b13a-4806-8827-013deced4a32"/>
    <xsd:import namespace="70fde86d-f1aa-4b46-b4ed-af96870b39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2151f4-b13a-4806-8827-013deced4a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fde86d-f1aa-4b46-b4ed-af96870b39a9"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SharingHintHash" ma:index="14"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BD3D66-B4E1-4B8B-9E03-FE124EC43E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703398-EB4C-488D-B3FE-A9110D278786}">
  <ds:schemaRefs>
    <ds:schemaRef ds:uri="http://schemas.microsoft.com/sharepoint/v3/contenttype/forms"/>
  </ds:schemaRefs>
</ds:datastoreItem>
</file>

<file path=customXml/itemProps3.xml><?xml version="1.0" encoding="utf-8"?>
<ds:datastoreItem xmlns:ds="http://schemas.openxmlformats.org/officeDocument/2006/customXml" ds:itemID="{95496F83-55D2-4FD0-8F23-C2D21EFB7C51}">
  <ds:schemaRefs>
    <ds:schemaRef ds:uri="http://schemas.openxmlformats.org/officeDocument/2006/bibliography"/>
  </ds:schemaRefs>
</ds:datastoreItem>
</file>

<file path=customXml/itemProps4.xml><?xml version="1.0" encoding="utf-8"?>
<ds:datastoreItem xmlns:ds="http://schemas.openxmlformats.org/officeDocument/2006/customXml" ds:itemID="{268588EA-62C4-4C46-B230-B1D3C004B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2151f4-b13a-4806-8827-013deced4a32"/>
    <ds:schemaRef ds:uri="70fde86d-f1aa-4b46-b4ed-af96870b3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5369</Words>
  <Characters>30607</Characters>
  <Application>Microsoft Office Word</Application>
  <DocSecurity>0</DocSecurity>
  <Lines>255</Lines>
  <Paragraphs>71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35905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VINCENZO DEL DUCA</cp:lastModifiedBy>
  <cp:revision>2</cp:revision>
  <cp:lastPrinted>2015-05-12T18:31:00Z</cp:lastPrinted>
  <dcterms:created xsi:type="dcterms:W3CDTF">2023-06-30T14:29:00Z</dcterms:created>
  <dcterms:modified xsi:type="dcterms:W3CDTF">2023-06-30T14:29:00Z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id="bHh0JQ5m"/&gt;&lt;style id="http://www.zotero.org/styles/elsevier-harvard" hasBibliography="1" bibliographyStyleHasBeenSet="1"/&gt;&lt;prefs&gt;&lt;pref name="fieldType" value="Field"/&gt;&lt;pref name="storeReferences"</vt:lpwstr>
  </property>
  <property fmtid="{D5CDD505-2E9C-101B-9397-08002B2CF9AE}" pid="3" name="ZOTERO_PREF_2">
    <vt:lpwstr> value="true"/&gt;&lt;/prefs&gt;&lt;/data&gt;</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http://www.zotero.org/styles/applied-energy</vt:lpwstr>
  </property>
  <property fmtid="{D5CDD505-2E9C-101B-9397-08002B2CF9AE}" pid="7" name="Mendeley Recent Style Name 1_1">
    <vt:lpwstr>Applied Energy</vt:lpwstr>
  </property>
  <property fmtid="{D5CDD505-2E9C-101B-9397-08002B2CF9AE}" pid="8" name="Mendeley Recent Style Id 2_1">
    <vt:lpwstr>http://www.zotero.org/styles/chemical-engineering-journal</vt:lpwstr>
  </property>
  <property fmtid="{D5CDD505-2E9C-101B-9397-08002B2CF9AE}" pid="9" name="Mendeley Recent Style Name 2_1">
    <vt:lpwstr>Chemical Engineering Journal</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http://www.zotero.org/styles/energy-and-fuels</vt:lpwstr>
  </property>
  <property fmtid="{D5CDD505-2E9C-101B-9397-08002B2CF9AE}" pid="13" name="Mendeley Recent Style Name 4_1">
    <vt:lpwstr>Energy &amp; Fuels</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http://www.zotero.org/styles/journal-of-analytical-and-applied-pyrolysis</vt:lpwstr>
  </property>
  <property fmtid="{D5CDD505-2E9C-101B-9397-08002B2CF9AE}" pid="17" name="Mendeley Recent Style Name 6_1">
    <vt:lpwstr>Journal of Analytical and Applied Pyrolysis</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http://www.zotero.org/styles/processes</vt:lpwstr>
  </property>
  <property fmtid="{D5CDD505-2E9C-101B-9397-08002B2CF9AE}" pid="23" name="Mendeley Recent Style Name 9_1">
    <vt:lpwstr>Processes</vt:lpwstr>
  </property>
  <property fmtid="{D5CDD505-2E9C-101B-9397-08002B2CF9AE}" pid="24" name="Mendeley Citation Style_1">
    <vt:lpwstr>http://www.zotero.org/styles/apa</vt:lpwstr>
  </property>
  <property fmtid="{D5CDD505-2E9C-101B-9397-08002B2CF9AE}" pid="25" name="Mendeley Document_1">
    <vt:lpwstr>True</vt:lpwstr>
  </property>
  <property fmtid="{D5CDD505-2E9C-101B-9397-08002B2CF9AE}" pid="26" name="Mendeley Unique User Id_1">
    <vt:lpwstr>6605a31d-d395-31a9-bcd4-a212184d44b0</vt:lpwstr>
  </property>
  <property fmtid="{D5CDD505-2E9C-101B-9397-08002B2CF9AE}" pid="27" name="ContentTypeId">
    <vt:lpwstr>0x01010094E4BADD81CE4841A05492A9EE320A38</vt:lpwstr>
  </property>
  <property fmtid="{D5CDD505-2E9C-101B-9397-08002B2CF9AE}" pid="28" name="MSIP_Label_2ad0b24d-6422-44b0-b3de-abb3a9e8c81a_Enabled">
    <vt:lpwstr>true</vt:lpwstr>
  </property>
  <property fmtid="{D5CDD505-2E9C-101B-9397-08002B2CF9AE}" pid="29" name="MSIP_Label_2ad0b24d-6422-44b0-b3de-abb3a9e8c81a_SetDate">
    <vt:lpwstr>2023-04-12T13:37:43Z</vt:lpwstr>
  </property>
  <property fmtid="{D5CDD505-2E9C-101B-9397-08002B2CF9AE}" pid="30" name="MSIP_Label_2ad0b24d-6422-44b0-b3de-abb3a9e8c81a_Method">
    <vt:lpwstr>Standard</vt:lpwstr>
  </property>
  <property fmtid="{D5CDD505-2E9C-101B-9397-08002B2CF9AE}" pid="31" name="MSIP_Label_2ad0b24d-6422-44b0-b3de-abb3a9e8c81a_Name">
    <vt:lpwstr>defa4170-0d19-0005-0004-bc88714345d2</vt:lpwstr>
  </property>
  <property fmtid="{D5CDD505-2E9C-101B-9397-08002B2CF9AE}" pid="32" name="MSIP_Label_2ad0b24d-6422-44b0-b3de-abb3a9e8c81a_SiteId">
    <vt:lpwstr>2fcfe26a-bb62-46b0-b1e3-28f9da0c45fd</vt:lpwstr>
  </property>
  <property fmtid="{D5CDD505-2E9C-101B-9397-08002B2CF9AE}" pid="33" name="MSIP_Label_2ad0b24d-6422-44b0-b3de-abb3a9e8c81a_ActionId">
    <vt:lpwstr>db6e6ac7-3d7f-41b8-991b-754f988572ae</vt:lpwstr>
  </property>
  <property fmtid="{D5CDD505-2E9C-101B-9397-08002B2CF9AE}" pid="34" name="MSIP_Label_2ad0b24d-6422-44b0-b3de-abb3a9e8c81a_ContentBits">
    <vt:lpwstr>0</vt:lpwstr>
  </property>
</Properties>
</file>