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EC7198"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C7198" w:rsidRDefault="000A03B2" w:rsidP="00DE264A">
            <w:pPr>
              <w:tabs>
                <w:tab w:val="left" w:pos="-108"/>
              </w:tabs>
              <w:ind w:left="-108"/>
              <w:jc w:val="left"/>
              <w:rPr>
                <w:rFonts w:cs="Arial"/>
                <w:b/>
                <w:bCs/>
                <w:i/>
                <w:iCs/>
                <w:color w:val="000066"/>
                <w:sz w:val="12"/>
                <w:szCs w:val="12"/>
                <w:lang w:val="en-US" w:eastAsia="it-IT"/>
              </w:rPr>
            </w:pPr>
            <w:r w:rsidRPr="00EC7198">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C7198">
              <w:rPr>
                <w:rFonts w:ascii="AdvP6960" w:hAnsi="AdvP6960" w:cs="AdvP6960"/>
                <w:color w:val="241F20"/>
                <w:szCs w:val="18"/>
                <w:lang w:val="en-US" w:eastAsia="it-IT"/>
              </w:rPr>
              <w:t xml:space="preserve"> </w:t>
            </w:r>
            <w:r w:rsidRPr="00EC7198">
              <w:rPr>
                <w:rFonts w:cs="Arial"/>
                <w:b/>
                <w:bCs/>
                <w:i/>
                <w:iCs/>
                <w:color w:val="000066"/>
                <w:sz w:val="24"/>
                <w:szCs w:val="24"/>
                <w:lang w:val="en-US" w:eastAsia="it-IT"/>
              </w:rPr>
              <w:t>CHEMICAL ENGINEERING</w:t>
            </w:r>
            <w:r w:rsidRPr="00EC7198">
              <w:rPr>
                <w:rFonts w:cs="Arial"/>
                <w:b/>
                <w:bCs/>
                <w:i/>
                <w:iCs/>
                <w:color w:val="0033FF"/>
                <w:sz w:val="24"/>
                <w:szCs w:val="24"/>
                <w:lang w:val="en-US" w:eastAsia="it-IT"/>
              </w:rPr>
              <w:t xml:space="preserve"> </w:t>
            </w:r>
            <w:r w:rsidRPr="00EC7198">
              <w:rPr>
                <w:rFonts w:cs="Arial"/>
                <w:b/>
                <w:bCs/>
                <w:i/>
                <w:iCs/>
                <w:color w:val="666666"/>
                <w:sz w:val="24"/>
                <w:szCs w:val="24"/>
                <w:lang w:val="en-US" w:eastAsia="it-IT"/>
              </w:rPr>
              <w:t>TRANSACTIONS</w:t>
            </w:r>
            <w:r w:rsidRPr="00EC7198">
              <w:rPr>
                <w:color w:val="333333"/>
                <w:sz w:val="24"/>
                <w:szCs w:val="24"/>
                <w:lang w:val="en-US" w:eastAsia="it-IT"/>
              </w:rPr>
              <w:t xml:space="preserve"> </w:t>
            </w:r>
            <w:r w:rsidRPr="00EC7198">
              <w:rPr>
                <w:rFonts w:cs="Arial"/>
                <w:b/>
                <w:bCs/>
                <w:i/>
                <w:iCs/>
                <w:color w:val="000066"/>
                <w:sz w:val="27"/>
                <w:szCs w:val="27"/>
                <w:lang w:val="en-US" w:eastAsia="it-IT"/>
              </w:rPr>
              <w:br/>
            </w:r>
          </w:p>
          <w:p w14:paraId="4B780582" w14:textId="530285EB" w:rsidR="000A03B2" w:rsidRPr="00EC7198" w:rsidRDefault="00A76EFC" w:rsidP="001D21AF">
            <w:pPr>
              <w:tabs>
                <w:tab w:val="left" w:pos="-108"/>
              </w:tabs>
              <w:ind w:left="-108"/>
              <w:rPr>
                <w:rFonts w:cs="Arial"/>
                <w:b/>
                <w:bCs/>
                <w:i/>
                <w:iCs/>
                <w:color w:val="000066"/>
                <w:sz w:val="22"/>
                <w:szCs w:val="22"/>
                <w:lang w:val="en-US" w:eastAsia="it-IT"/>
              </w:rPr>
            </w:pPr>
            <w:r w:rsidRPr="00EC7198">
              <w:rPr>
                <w:rFonts w:cs="Arial"/>
                <w:b/>
                <w:bCs/>
                <w:i/>
                <w:iCs/>
                <w:color w:val="000066"/>
                <w:sz w:val="22"/>
                <w:szCs w:val="22"/>
                <w:lang w:val="en-US" w:eastAsia="it-IT"/>
              </w:rPr>
              <w:t xml:space="preserve">VOL. </w:t>
            </w:r>
            <w:r w:rsidR="0030152C" w:rsidRPr="00EC7198">
              <w:rPr>
                <w:rFonts w:cs="Arial"/>
                <w:b/>
                <w:bCs/>
                <w:i/>
                <w:iCs/>
                <w:color w:val="000066"/>
                <w:sz w:val="22"/>
                <w:szCs w:val="22"/>
                <w:lang w:val="en-US" w:eastAsia="it-IT"/>
              </w:rPr>
              <w:t xml:space="preserve">   </w:t>
            </w:r>
            <w:r w:rsidR="007B48F9" w:rsidRPr="00EC7198">
              <w:rPr>
                <w:rFonts w:cs="Arial"/>
                <w:b/>
                <w:bCs/>
                <w:i/>
                <w:iCs/>
                <w:color w:val="000066"/>
                <w:sz w:val="22"/>
                <w:szCs w:val="22"/>
                <w:lang w:val="en-US" w:eastAsia="it-IT"/>
              </w:rPr>
              <w:t>,</w:t>
            </w:r>
            <w:r w:rsidR="00FA5F5F" w:rsidRPr="00EC7198">
              <w:rPr>
                <w:rFonts w:cs="Arial"/>
                <w:b/>
                <w:bCs/>
                <w:i/>
                <w:iCs/>
                <w:color w:val="000066"/>
                <w:sz w:val="22"/>
                <w:szCs w:val="22"/>
                <w:lang w:val="en-US" w:eastAsia="it-IT"/>
              </w:rPr>
              <w:t xml:space="preserve"> </w:t>
            </w:r>
            <w:r w:rsidR="0030152C" w:rsidRPr="00EC7198">
              <w:rPr>
                <w:rFonts w:cs="Arial"/>
                <w:b/>
                <w:bCs/>
                <w:i/>
                <w:iCs/>
                <w:color w:val="000066"/>
                <w:sz w:val="22"/>
                <w:szCs w:val="22"/>
                <w:lang w:val="en-US" w:eastAsia="it-IT"/>
              </w:rPr>
              <w:t>2023</w:t>
            </w:r>
          </w:p>
        </w:tc>
        <w:tc>
          <w:tcPr>
            <w:tcW w:w="1843" w:type="dxa"/>
            <w:tcBorders>
              <w:left w:val="single" w:sz="4" w:space="0" w:color="auto"/>
              <w:bottom w:val="nil"/>
              <w:right w:val="single" w:sz="4" w:space="0" w:color="auto"/>
            </w:tcBorders>
          </w:tcPr>
          <w:p w14:paraId="56782132" w14:textId="77777777" w:rsidR="000A03B2" w:rsidRPr="00EC7198" w:rsidRDefault="000A03B2" w:rsidP="00CD5FE2">
            <w:pPr>
              <w:spacing w:line="140" w:lineRule="atLeast"/>
              <w:jc w:val="right"/>
              <w:rPr>
                <w:rFonts w:cs="Arial"/>
                <w:sz w:val="14"/>
                <w:szCs w:val="14"/>
                <w:lang w:val="en-US"/>
              </w:rPr>
            </w:pPr>
            <w:r w:rsidRPr="00EC7198">
              <w:rPr>
                <w:rFonts w:cs="Arial"/>
                <w:sz w:val="14"/>
                <w:szCs w:val="14"/>
                <w:lang w:val="en-US"/>
              </w:rPr>
              <w:t>A publication of</w:t>
            </w:r>
          </w:p>
          <w:p w14:paraId="599E5441" w14:textId="77777777" w:rsidR="000A03B2" w:rsidRPr="00EC7198" w:rsidRDefault="000A03B2" w:rsidP="00CD5FE2">
            <w:pPr>
              <w:jc w:val="right"/>
              <w:rPr>
                <w:lang w:val="en-US"/>
              </w:rPr>
            </w:pPr>
            <w:r w:rsidRPr="00EC7198">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EE76CC" w14:paraId="380FA3CD" w14:textId="77777777" w:rsidTr="00DE264A">
        <w:trPr>
          <w:trHeight w:val="567"/>
          <w:jc w:val="center"/>
        </w:trPr>
        <w:tc>
          <w:tcPr>
            <w:tcW w:w="6946" w:type="dxa"/>
            <w:vMerge/>
            <w:tcBorders>
              <w:right w:val="single" w:sz="4" w:space="0" w:color="auto"/>
            </w:tcBorders>
          </w:tcPr>
          <w:p w14:paraId="39E5E4C1" w14:textId="77777777" w:rsidR="000A03B2" w:rsidRPr="00EC7198"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EC7198" w:rsidRDefault="000A03B2" w:rsidP="00CD5FE2">
            <w:pPr>
              <w:spacing w:line="140" w:lineRule="atLeast"/>
              <w:jc w:val="right"/>
              <w:rPr>
                <w:rFonts w:cs="Arial"/>
                <w:sz w:val="14"/>
                <w:szCs w:val="14"/>
                <w:lang w:val="en-US"/>
              </w:rPr>
            </w:pPr>
            <w:r w:rsidRPr="00EC7198">
              <w:rPr>
                <w:rFonts w:cs="Arial"/>
                <w:sz w:val="14"/>
                <w:szCs w:val="14"/>
                <w:lang w:val="en-US"/>
              </w:rPr>
              <w:t>The Italian Association</w:t>
            </w:r>
          </w:p>
          <w:p w14:paraId="7522B1D2" w14:textId="77777777" w:rsidR="000A03B2" w:rsidRPr="00EC7198" w:rsidRDefault="000A03B2" w:rsidP="00CD5FE2">
            <w:pPr>
              <w:spacing w:line="140" w:lineRule="atLeast"/>
              <w:jc w:val="right"/>
              <w:rPr>
                <w:rFonts w:cs="Arial"/>
                <w:sz w:val="14"/>
                <w:szCs w:val="14"/>
                <w:lang w:val="en-US"/>
              </w:rPr>
            </w:pPr>
            <w:r w:rsidRPr="00EC7198">
              <w:rPr>
                <w:rFonts w:cs="Arial"/>
                <w:sz w:val="14"/>
                <w:szCs w:val="14"/>
                <w:lang w:val="en-US"/>
              </w:rPr>
              <w:t>of Chemical Engineering</w:t>
            </w:r>
          </w:p>
          <w:p w14:paraId="4F0CC5DE" w14:textId="47FDB2FC" w:rsidR="000A03B2" w:rsidRPr="00B96E5F" w:rsidRDefault="000D0268" w:rsidP="00CD5FE2">
            <w:pPr>
              <w:spacing w:line="140" w:lineRule="atLeast"/>
              <w:jc w:val="right"/>
              <w:rPr>
                <w:rFonts w:cs="Arial"/>
                <w:sz w:val="13"/>
                <w:szCs w:val="13"/>
                <w:lang w:val="nb-NO"/>
              </w:rPr>
            </w:pPr>
            <w:r w:rsidRPr="00B96E5F">
              <w:rPr>
                <w:rFonts w:cs="Arial"/>
                <w:sz w:val="13"/>
                <w:szCs w:val="13"/>
                <w:lang w:val="nb-NO"/>
              </w:rPr>
              <w:t>Online at www.cetjournal.it</w:t>
            </w:r>
          </w:p>
        </w:tc>
      </w:tr>
      <w:tr w:rsidR="000A03B2" w:rsidRPr="00EC7198" w14:paraId="2D1B7169" w14:textId="77777777" w:rsidTr="00DE264A">
        <w:trPr>
          <w:trHeight w:val="68"/>
          <w:jc w:val="center"/>
        </w:trPr>
        <w:tc>
          <w:tcPr>
            <w:tcW w:w="8789" w:type="dxa"/>
            <w:gridSpan w:val="2"/>
          </w:tcPr>
          <w:p w14:paraId="1D8DD3C9" w14:textId="10669D10" w:rsidR="00AA7D26" w:rsidRPr="00B96E5F" w:rsidRDefault="00AA7D26" w:rsidP="00AA7D26">
            <w:pPr>
              <w:ind w:left="-107"/>
              <w:outlineLvl w:val="2"/>
              <w:rPr>
                <w:rFonts w:ascii="Tahoma" w:hAnsi="Tahoma" w:cs="Tahoma"/>
                <w:bCs/>
                <w:color w:val="000000"/>
                <w:sz w:val="14"/>
                <w:szCs w:val="14"/>
                <w:lang w:val="it-IT" w:eastAsia="it-IT"/>
              </w:rPr>
            </w:pPr>
            <w:r w:rsidRPr="00B96E5F">
              <w:rPr>
                <w:rFonts w:ascii="Tahoma" w:hAnsi="Tahoma" w:cs="Tahoma"/>
                <w:iCs/>
                <w:color w:val="333333"/>
                <w:sz w:val="14"/>
                <w:szCs w:val="14"/>
                <w:lang w:val="it-IT" w:eastAsia="it-IT"/>
              </w:rPr>
              <w:t>Guest Editors:</w:t>
            </w:r>
            <w:r w:rsidRPr="00B96E5F">
              <w:rPr>
                <w:rFonts w:ascii="Tahoma" w:hAnsi="Tahoma" w:cs="Tahoma"/>
                <w:color w:val="000000"/>
                <w:sz w:val="14"/>
                <w:szCs w:val="14"/>
                <w:shd w:val="clear" w:color="auto" w:fill="FFFFFF"/>
                <w:lang w:val="it-IT"/>
              </w:rPr>
              <w:t xml:space="preserve"> </w:t>
            </w:r>
            <w:r w:rsidR="005E7C48" w:rsidRPr="00B96E5F">
              <w:rPr>
                <w:sz w:val="14"/>
                <w:szCs w:val="14"/>
                <w:lang w:val="it-IT"/>
              </w:rPr>
              <w:t>David Bogle, Flavio Manenti, Piero Salatino</w:t>
            </w:r>
          </w:p>
          <w:p w14:paraId="1B0F1814" w14:textId="6981DC84" w:rsidR="000A03B2" w:rsidRPr="00EC7198" w:rsidRDefault="00AA7D26" w:rsidP="00AA7D26">
            <w:pPr>
              <w:tabs>
                <w:tab w:val="left" w:pos="-108"/>
              </w:tabs>
              <w:spacing w:line="140" w:lineRule="atLeast"/>
              <w:ind w:left="-107"/>
              <w:jc w:val="left"/>
              <w:rPr>
                <w:lang w:val="en-US"/>
              </w:rPr>
            </w:pPr>
            <w:r w:rsidRPr="00EC7198">
              <w:rPr>
                <w:rFonts w:ascii="Tahoma" w:hAnsi="Tahoma" w:cs="Tahoma"/>
                <w:iCs/>
                <w:color w:val="333333"/>
                <w:sz w:val="14"/>
                <w:szCs w:val="14"/>
                <w:lang w:val="en-US" w:eastAsia="it-IT"/>
              </w:rPr>
              <w:t>Copyright © 2023, AIDIC Servizi S.r.l.</w:t>
            </w:r>
            <w:r w:rsidRPr="00EC7198">
              <w:rPr>
                <w:rFonts w:ascii="Tahoma" w:hAnsi="Tahoma" w:cs="Tahoma"/>
                <w:iCs/>
                <w:color w:val="333333"/>
                <w:sz w:val="14"/>
                <w:szCs w:val="14"/>
                <w:lang w:val="en-US" w:eastAsia="it-IT"/>
              </w:rPr>
              <w:br/>
            </w:r>
            <w:r w:rsidRPr="00EC7198">
              <w:rPr>
                <w:rFonts w:ascii="Tahoma" w:hAnsi="Tahoma" w:cs="Tahoma"/>
                <w:b/>
                <w:iCs/>
                <w:color w:val="000000"/>
                <w:sz w:val="14"/>
                <w:szCs w:val="14"/>
                <w:lang w:val="en-US" w:eastAsia="it-IT"/>
              </w:rPr>
              <w:t>ISBN</w:t>
            </w:r>
            <w:r w:rsidRPr="00EC7198">
              <w:rPr>
                <w:rFonts w:ascii="Tahoma" w:hAnsi="Tahoma" w:cs="Tahoma"/>
                <w:iCs/>
                <w:color w:val="000000"/>
                <w:sz w:val="14"/>
                <w:szCs w:val="14"/>
                <w:lang w:val="en-US" w:eastAsia="it-IT"/>
              </w:rPr>
              <w:t xml:space="preserve"> </w:t>
            </w:r>
            <w:r w:rsidR="008B7C03" w:rsidRPr="00EC7198">
              <w:rPr>
                <w:rFonts w:ascii="Tahoma" w:hAnsi="Tahoma" w:cs="Tahoma"/>
                <w:sz w:val="14"/>
                <w:szCs w:val="14"/>
                <w:lang w:val="en-US"/>
              </w:rPr>
              <w:t>979-12-81206</w:t>
            </w:r>
            <w:r w:rsidRPr="00EC7198">
              <w:rPr>
                <w:rFonts w:ascii="Tahoma" w:hAnsi="Tahoma" w:cs="Tahoma"/>
                <w:sz w:val="14"/>
                <w:szCs w:val="14"/>
                <w:lang w:val="en-US"/>
              </w:rPr>
              <w:t>-</w:t>
            </w:r>
            <w:r w:rsidR="00E33DD7" w:rsidRPr="00EC7198">
              <w:rPr>
                <w:rFonts w:ascii="Tahoma" w:hAnsi="Tahoma" w:cs="Tahoma"/>
                <w:sz w:val="14"/>
                <w:szCs w:val="14"/>
                <w:lang w:val="en-US"/>
              </w:rPr>
              <w:t>0</w:t>
            </w:r>
            <w:r w:rsidR="005E7C48" w:rsidRPr="00EC7198">
              <w:rPr>
                <w:rFonts w:ascii="Tahoma" w:hAnsi="Tahoma" w:cs="Tahoma"/>
                <w:sz w:val="14"/>
                <w:szCs w:val="14"/>
                <w:lang w:val="en-US"/>
              </w:rPr>
              <w:t>4</w:t>
            </w:r>
            <w:r w:rsidRPr="00EC7198">
              <w:rPr>
                <w:rFonts w:ascii="Tahoma" w:hAnsi="Tahoma" w:cs="Tahoma"/>
                <w:sz w:val="14"/>
                <w:szCs w:val="14"/>
                <w:lang w:val="en-US"/>
              </w:rPr>
              <w:t>-</w:t>
            </w:r>
            <w:r w:rsidR="005E7C48" w:rsidRPr="00EC7198">
              <w:rPr>
                <w:rFonts w:ascii="Tahoma" w:hAnsi="Tahoma" w:cs="Tahoma"/>
                <w:sz w:val="14"/>
                <w:szCs w:val="14"/>
                <w:lang w:val="en-US"/>
              </w:rPr>
              <w:t>5</w:t>
            </w:r>
            <w:r w:rsidRPr="00EC7198">
              <w:rPr>
                <w:rFonts w:ascii="Tahoma" w:hAnsi="Tahoma" w:cs="Tahoma"/>
                <w:iCs/>
                <w:color w:val="333333"/>
                <w:sz w:val="14"/>
                <w:szCs w:val="14"/>
                <w:lang w:val="en-US" w:eastAsia="it-IT"/>
              </w:rPr>
              <w:t xml:space="preserve">; </w:t>
            </w:r>
            <w:r w:rsidRPr="00EC7198">
              <w:rPr>
                <w:rFonts w:ascii="Tahoma" w:hAnsi="Tahoma" w:cs="Tahoma"/>
                <w:b/>
                <w:iCs/>
                <w:color w:val="333333"/>
                <w:sz w:val="14"/>
                <w:szCs w:val="14"/>
                <w:lang w:val="en-US" w:eastAsia="it-IT"/>
              </w:rPr>
              <w:t>ISSN</w:t>
            </w:r>
            <w:r w:rsidRPr="00EC7198">
              <w:rPr>
                <w:rFonts w:ascii="Tahoma" w:hAnsi="Tahoma" w:cs="Tahoma"/>
                <w:iCs/>
                <w:color w:val="333333"/>
                <w:sz w:val="14"/>
                <w:szCs w:val="14"/>
                <w:lang w:val="en-US" w:eastAsia="it-IT"/>
              </w:rPr>
              <w:t xml:space="preserve"> 2283-9216</w:t>
            </w:r>
          </w:p>
        </w:tc>
      </w:tr>
    </w:tbl>
    <w:p w14:paraId="2E667253" w14:textId="3DB18708" w:rsidR="00E978D0" w:rsidRPr="00EC7198" w:rsidRDefault="0095653D" w:rsidP="00E978D0">
      <w:pPr>
        <w:pStyle w:val="CETTitle"/>
        <w:rPr>
          <w:lang w:val="en-US"/>
        </w:rPr>
      </w:pPr>
      <w:r w:rsidRPr="00EC7198">
        <w:rPr>
          <w:lang w:val="en-US"/>
        </w:rPr>
        <w:t>Optimization of Leak Detectors’ Positioning in a Hydrogen Refueling Station</w:t>
      </w:r>
    </w:p>
    <w:p w14:paraId="0488FED2" w14:textId="3780B538" w:rsidR="00B57E6F" w:rsidRPr="00B96E5F" w:rsidRDefault="0095653D" w:rsidP="00B57E6F">
      <w:pPr>
        <w:pStyle w:val="CETAuthors"/>
        <w:rPr>
          <w:vertAlign w:val="superscript"/>
          <w:lang w:val="it-IT"/>
        </w:rPr>
      </w:pPr>
      <w:r w:rsidRPr="00B96E5F">
        <w:rPr>
          <w:lang w:val="it-IT"/>
        </w:rPr>
        <w:t>Alessandro Campari</w:t>
      </w:r>
      <w:r w:rsidR="002E088F" w:rsidRPr="00B96E5F">
        <w:rPr>
          <w:vertAlign w:val="superscript"/>
          <w:lang w:val="it-IT"/>
        </w:rPr>
        <w:t>a</w:t>
      </w:r>
      <w:r w:rsidR="00B57E6F" w:rsidRPr="00B96E5F">
        <w:rPr>
          <w:vertAlign w:val="superscript"/>
          <w:lang w:val="it-IT"/>
        </w:rPr>
        <w:t>,</w:t>
      </w:r>
      <w:r w:rsidR="00B57E6F" w:rsidRPr="00B96E5F">
        <w:rPr>
          <w:lang w:val="it-IT"/>
        </w:rPr>
        <w:t>*,</w:t>
      </w:r>
      <w:r w:rsidR="002E088F" w:rsidRPr="00B96E5F">
        <w:rPr>
          <w:lang w:val="it-IT"/>
        </w:rPr>
        <w:t xml:space="preserve"> Marco Bennici</w:t>
      </w:r>
      <w:r w:rsidR="002E088F" w:rsidRPr="00B96E5F">
        <w:rPr>
          <w:vertAlign w:val="superscript"/>
          <w:lang w:val="it-IT"/>
        </w:rPr>
        <w:t>b</w:t>
      </w:r>
      <w:r w:rsidR="002E088F" w:rsidRPr="00B96E5F">
        <w:rPr>
          <w:lang w:val="it-IT"/>
        </w:rPr>
        <w:t>,</w:t>
      </w:r>
      <w:r w:rsidR="00B57E6F" w:rsidRPr="00B96E5F">
        <w:rPr>
          <w:lang w:val="it-IT"/>
        </w:rPr>
        <w:t xml:space="preserve"> </w:t>
      </w:r>
      <w:r w:rsidR="002E088F" w:rsidRPr="00B96E5F">
        <w:rPr>
          <w:lang w:val="it-IT"/>
        </w:rPr>
        <w:t>Dimitrios Tzioutzios</w:t>
      </w:r>
      <w:r w:rsidR="002E088F" w:rsidRPr="00B96E5F">
        <w:rPr>
          <w:vertAlign w:val="superscript"/>
          <w:lang w:val="it-IT"/>
        </w:rPr>
        <w:t>a</w:t>
      </w:r>
      <w:r w:rsidRPr="00B96E5F">
        <w:rPr>
          <w:lang w:val="it-IT"/>
        </w:rPr>
        <w:t>, Yiliu Liu</w:t>
      </w:r>
      <w:r w:rsidR="002E088F" w:rsidRPr="00B96E5F">
        <w:rPr>
          <w:vertAlign w:val="superscript"/>
          <w:lang w:val="it-IT"/>
        </w:rPr>
        <w:t>a</w:t>
      </w:r>
    </w:p>
    <w:p w14:paraId="6B2D21B3" w14:textId="2C3053E8" w:rsidR="00B57E6F" w:rsidRPr="00EC7198" w:rsidRDefault="00B57E6F" w:rsidP="00B57E6F">
      <w:pPr>
        <w:pStyle w:val="CETAddress"/>
        <w:rPr>
          <w:lang w:val="en-US"/>
        </w:rPr>
      </w:pPr>
      <w:r w:rsidRPr="00EC7198">
        <w:rPr>
          <w:vertAlign w:val="superscript"/>
          <w:lang w:val="en-US"/>
        </w:rPr>
        <w:t>a</w:t>
      </w:r>
      <w:r w:rsidR="0095653D" w:rsidRPr="00EC7198">
        <w:rPr>
          <w:lang w:val="en-US"/>
        </w:rPr>
        <w:t xml:space="preserve"> </w:t>
      </w:r>
      <w:r w:rsidR="002E088F" w:rsidRPr="00EC7198">
        <w:rPr>
          <w:lang w:val="en-US"/>
        </w:rPr>
        <w:t>Department of Mechanical and Industrial Engineering, NTNU, Trondheim, Norway</w:t>
      </w:r>
    </w:p>
    <w:p w14:paraId="3D72B0B0" w14:textId="550FB5FC" w:rsidR="00B57E6F" w:rsidRPr="00EC7198" w:rsidRDefault="00B57E6F" w:rsidP="00B57E6F">
      <w:pPr>
        <w:pStyle w:val="CETAddress"/>
        <w:rPr>
          <w:lang w:val="en-US"/>
        </w:rPr>
      </w:pPr>
      <w:r w:rsidRPr="00EC7198">
        <w:rPr>
          <w:vertAlign w:val="superscript"/>
          <w:lang w:val="en-US"/>
        </w:rPr>
        <w:t>b</w:t>
      </w:r>
      <w:r w:rsidR="0095653D" w:rsidRPr="00EC7198">
        <w:rPr>
          <w:lang w:val="en-US"/>
        </w:rPr>
        <w:t xml:space="preserve"> </w:t>
      </w:r>
      <w:r w:rsidR="002E088F" w:rsidRPr="00EC7198">
        <w:rPr>
          <w:lang w:val="en-US"/>
        </w:rPr>
        <w:t>Energy Department, Polytechnic University of Milan, Milan, Italy</w:t>
      </w:r>
    </w:p>
    <w:p w14:paraId="73F1267A" w14:textId="4212460B" w:rsidR="00B57E6F" w:rsidRPr="00EC7198" w:rsidRDefault="00B57E6F" w:rsidP="00B57E6F">
      <w:pPr>
        <w:pStyle w:val="CETemail"/>
        <w:rPr>
          <w:lang w:val="en-US"/>
        </w:rPr>
      </w:pPr>
      <w:r w:rsidRPr="00EC7198">
        <w:rPr>
          <w:lang w:val="en-US"/>
        </w:rPr>
        <w:t xml:space="preserve"> </w:t>
      </w:r>
      <w:r w:rsidR="0095653D" w:rsidRPr="00EC7198">
        <w:rPr>
          <w:lang w:val="en-US"/>
        </w:rPr>
        <w:t>alessandro.campari@ntnu.no</w:t>
      </w:r>
    </w:p>
    <w:p w14:paraId="37A61FCE" w14:textId="3C85F7CA" w:rsidR="00DA24C6" w:rsidRPr="00EC7198" w:rsidRDefault="0095653D" w:rsidP="0095653D">
      <w:pPr>
        <w:pStyle w:val="CETListbullets"/>
        <w:ind w:left="113" w:firstLine="0"/>
        <w:rPr>
          <w:lang w:val="en-US"/>
        </w:rPr>
      </w:pPr>
      <w:r w:rsidRPr="00EC7198">
        <w:rPr>
          <w:lang w:val="en-US"/>
        </w:rPr>
        <w:t xml:space="preserve">Hydrogen has the potential to </w:t>
      </w:r>
      <w:r w:rsidR="00BF76BB">
        <w:rPr>
          <w:lang w:val="en-US"/>
        </w:rPr>
        <w:t>promote sustainable</w:t>
      </w:r>
      <w:r w:rsidRPr="00EC7198">
        <w:rPr>
          <w:lang w:val="en-US"/>
        </w:rPr>
        <w:t xml:space="preserve"> road transport in the forthcoming years, thus significantly reducing the human impact on the environment. This energy carrier can be produced by renewable energy through water electrolysis and used in fuel cell-powered vehicles (FCVs) with elevated efficiency and no pollutant emissions. The number of FCVs being used around the world is rapidly increasing</w:t>
      </w:r>
      <w:r w:rsidR="002E6CAC">
        <w:rPr>
          <w:lang w:val="en-US"/>
        </w:rPr>
        <w:t xml:space="preserve">, </w:t>
      </w:r>
      <w:r w:rsidRPr="00EC7198">
        <w:rPr>
          <w:lang w:val="en-US"/>
        </w:rPr>
        <w:t>reach</w:t>
      </w:r>
      <w:r w:rsidR="002E6CAC">
        <w:rPr>
          <w:lang w:val="en-US"/>
        </w:rPr>
        <w:t>ing</w:t>
      </w:r>
      <w:r w:rsidRPr="00EC7198">
        <w:rPr>
          <w:lang w:val="en-US"/>
        </w:rPr>
        <w:t xml:space="preserve"> 34,804 vehicles and 540 refueling stations </w:t>
      </w:r>
      <w:r w:rsidR="002E6CAC">
        <w:rPr>
          <w:lang w:val="en-US"/>
        </w:rPr>
        <w:t>by</w:t>
      </w:r>
      <w:r w:rsidRPr="00EC7198">
        <w:rPr>
          <w:lang w:val="en-US"/>
        </w:rPr>
        <w:t xml:space="preserve"> the end of 2020. Nevertheless, hydrogen is highly flammable and can permeate and embrittle most metallic materials, making its containment extremely challenging. A leak in a hydrogen refueling station can rapidly escalate to a major disaster if not promptly detected</w:t>
      </w:r>
      <w:r w:rsidR="00D24A59">
        <w:rPr>
          <w:lang w:val="en-US"/>
        </w:rPr>
        <w:t xml:space="preserve"> and addressed</w:t>
      </w:r>
      <w:r w:rsidRPr="00EC7198">
        <w:rPr>
          <w:lang w:val="en-US"/>
        </w:rPr>
        <w:t xml:space="preserve">. In this perspective, gas sensors play a critical role in detecting leakages and undesired hydrogen releases. When selecting a hydrogen gas detector, it is important to consider the environmental conditions in which it is expected to operate, its performance, reliability, and cost, as </w:t>
      </w:r>
      <w:r w:rsidR="0049514E">
        <w:rPr>
          <w:lang w:val="en-US"/>
        </w:rPr>
        <w:t>well</w:t>
      </w:r>
      <w:r w:rsidRPr="00EC7198">
        <w:rPr>
          <w:lang w:val="en-US"/>
        </w:rPr>
        <w:t xml:space="preserve"> as the optimal positioning within the refueling station. This study </w:t>
      </w:r>
      <w:r w:rsidR="00EC7198">
        <w:rPr>
          <w:lang w:val="en-US"/>
        </w:rPr>
        <w:t>analyze</w:t>
      </w:r>
      <w:r w:rsidR="00992143">
        <w:rPr>
          <w:lang w:val="en-US"/>
        </w:rPr>
        <w:t>s</w:t>
      </w:r>
      <w:r w:rsidR="00EC7198">
        <w:rPr>
          <w:lang w:val="en-US"/>
        </w:rPr>
        <w:t xml:space="preserve"> several</w:t>
      </w:r>
      <w:r w:rsidR="00B649C2">
        <w:rPr>
          <w:lang w:val="en-US"/>
        </w:rPr>
        <w:t xml:space="preserve"> hydrogen</w:t>
      </w:r>
      <w:r w:rsidR="00EC7198">
        <w:rPr>
          <w:lang w:val="en-US"/>
        </w:rPr>
        <w:t xml:space="preserve"> releases from a high-pressure storage tank</w:t>
      </w:r>
      <w:r w:rsidR="0036101F">
        <w:rPr>
          <w:lang w:val="en-US"/>
        </w:rPr>
        <w:t xml:space="preserve"> to optimize sensor positioning</w:t>
      </w:r>
      <w:r w:rsidR="00E37434">
        <w:rPr>
          <w:lang w:val="en-US"/>
        </w:rPr>
        <w:t xml:space="preserve">, given </w:t>
      </w:r>
      <w:r w:rsidR="00B649C2">
        <w:rPr>
          <w:lang w:val="en-US"/>
        </w:rPr>
        <w:t>a certain detection probability</w:t>
      </w:r>
      <w:r w:rsidRPr="00EC7198">
        <w:rPr>
          <w:lang w:val="en-US"/>
        </w:rPr>
        <w:t xml:space="preserve">. </w:t>
      </w:r>
      <w:r w:rsidR="00941C63" w:rsidRPr="00941C63">
        <w:rPr>
          <w:lang w:val="en-US"/>
        </w:rPr>
        <w:t>This research contributes towards advancing the modelling of safety barriers in hydrogen refueling stations considering accident scenarios. In this vein, this study aims at expanding the current knowledge of facility operators and stakeholders for related risks, thus enabling the widespread utilization of hydrogen in road transport.</w:t>
      </w:r>
    </w:p>
    <w:p w14:paraId="606D9DD3" w14:textId="77777777" w:rsidR="00C35D0A" w:rsidRDefault="00600535" w:rsidP="00C35D0A">
      <w:pPr>
        <w:pStyle w:val="CETHeading1"/>
      </w:pPr>
      <w:r w:rsidRPr="00EC7198">
        <w:t>Introduction</w:t>
      </w:r>
    </w:p>
    <w:p w14:paraId="33259ECF" w14:textId="0719B9CD" w:rsidR="006730D5" w:rsidRDefault="00C35D0A" w:rsidP="00C80E8C">
      <w:pPr>
        <w:pStyle w:val="CETBodytext"/>
      </w:pPr>
      <w:r w:rsidRPr="00C80E8C">
        <w:t xml:space="preserve">The European Commission recently indicated hydrogen as a clean and sustainable fuel with the potential to decarbonize several industrial sectors in the forthcoming years (European Commission, 2018). This energy carrier can be produced </w:t>
      </w:r>
      <w:r w:rsidR="0042503F" w:rsidRPr="00C80E8C">
        <w:t xml:space="preserve">from renewable energy </w:t>
      </w:r>
      <w:r w:rsidRPr="00C80E8C">
        <w:t xml:space="preserve">by water electrolysis or steam reforming with carbon capture and storage (CCS) from natural gas with near-zero pollutant emissions. In addition, it can be used in fuel-cell systems or adapted internal combustion engines with elevated efficiency. At the end of 2020, the number of hydrogen-fueled vehicles (including passenger cars, trucks, and public transport) amounted to roughly 35,000, </w:t>
      </w:r>
      <w:r w:rsidR="00721778">
        <w:t>while</w:t>
      </w:r>
      <w:r w:rsidRPr="00C80E8C">
        <w:t xml:space="preserve"> 54</w:t>
      </w:r>
      <w:r w:rsidR="003B5A56">
        <w:t>0</w:t>
      </w:r>
      <w:r w:rsidRPr="00C80E8C">
        <w:t xml:space="preserve"> refueling stations were already operational all over the world (Samsun et al., 2021). In a few years, these numbers are expected to skyrocket due to government incentive</w:t>
      </w:r>
      <w:r w:rsidR="0035453E">
        <w:t>-based policie</w:t>
      </w:r>
      <w:r w:rsidRPr="00C80E8C">
        <w:t xml:space="preserve">s and </w:t>
      </w:r>
      <w:r w:rsidR="00F07F3B">
        <w:t>infrastructure</w:t>
      </w:r>
      <w:r w:rsidRPr="00C80E8C">
        <w:t xml:space="preserve"> investments aimed at improving the production capa</w:t>
      </w:r>
      <w:r w:rsidR="00F07F3B">
        <w:t>ci</w:t>
      </w:r>
      <w:r w:rsidRPr="00C80E8C">
        <w:t>ty of hydrogen fuel and building a</w:t>
      </w:r>
      <w:r w:rsidR="00F349E4">
        <w:t>n extensive</w:t>
      </w:r>
      <w:r w:rsidRPr="00C80E8C">
        <w:t xml:space="preserve"> network of refueling stations.</w:t>
      </w:r>
    </w:p>
    <w:p w14:paraId="36142306" w14:textId="3475520F" w:rsidR="00C35D0A" w:rsidRPr="00194180" w:rsidRDefault="00C35D0A" w:rsidP="00C80E8C">
      <w:pPr>
        <w:pStyle w:val="CETBodytext"/>
      </w:pPr>
      <w:r w:rsidRPr="00C80E8C">
        <w:t xml:space="preserve">Despite its great potential, hydrogen has a broad flammability range (from 4% to 74% in air) and low ignition energy (0.019 mJ). In addition, it can permeate most materials </w:t>
      </w:r>
      <w:r w:rsidR="00871176">
        <w:t>due</w:t>
      </w:r>
      <w:r w:rsidRPr="00C80E8C">
        <w:t xml:space="preserve"> to its small molecular size and has the capability of embrittling metals, making containment systems more prone to unexpected failures and leaks (Kotchourko and Jordan, 2022). An </w:t>
      </w:r>
      <w:r w:rsidR="00A8061B">
        <w:t>unintended</w:t>
      </w:r>
      <w:r w:rsidRPr="00C80E8C">
        <w:t xml:space="preserve"> release in a hydrogen </w:t>
      </w:r>
      <w:r w:rsidR="00F708FD">
        <w:t>re</w:t>
      </w:r>
      <w:r w:rsidRPr="00C80E8C">
        <w:t xml:space="preserve">fueling station can rapidly escalate to a major </w:t>
      </w:r>
      <w:r w:rsidR="001F326D">
        <w:t>accident</w:t>
      </w:r>
      <w:r w:rsidRPr="00C80E8C">
        <w:t xml:space="preserve"> if not promptly detected</w:t>
      </w:r>
      <w:r w:rsidR="00877F6C">
        <w:t xml:space="preserve"> and controlled</w:t>
      </w:r>
      <w:r w:rsidRPr="00C80E8C">
        <w:t xml:space="preserve">. This was the case of the incident in the refueling station in Kjørbo (Norway), where an undetected release from the high-pressure storage unit </w:t>
      </w:r>
      <w:r w:rsidR="000C215F" w:rsidRPr="00C80E8C">
        <w:t>ignited</w:t>
      </w:r>
      <w:r w:rsidR="00D952FD">
        <w:t xml:space="preserve">, </w:t>
      </w:r>
      <w:r w:rsidR="00877F6C">
        <w:t>causing extensive damages to</w:t>
      </w:r>
      <w:r w:rsidR="00877F6C" w:rsidRPr="00C80E8C">
        <w:t xml:space="preserve"> </w:t>
      </w:r>
      <w:r w:rsidRPr="00C80E8C">
        <w:t xml:space="preserve">the facility (Campari et al., 2023). In this perspective, hydrogen gas sensors play a critical role in detecting leakages before they are ignited and result in fires or explosions. These safety devices should be reliable, have a low response time, detect hydrogen concentrations lower than 0.5%, and have low cost. Given the characteristics of the sensors in terms of accuracy, coverage area and optimal operating conditions, it is necessary to </w:t>
      </w:r>
      <w:r w:rsidR="00E439A9">
        <w:t>install</w:t>
      </w:r>
      <w:r w:rsidR="00C80E8C">
        <w:t xml:space="preserve"> them</w:t>
      </w:r>
      <w:r w:rsidR="004D3575">
        <w:t xml:space="preserve"> </w:t>
      </w:r>
      <w:r w:rsidR="00E439A9">
        <w:t>appropriate</w:t>
      </w:r>
      <w:r w:rsidR="004D3575">
        <w:t>ly</w:t>
      </w:r>
      <w:r w:rsidRPr="00C80E8C">
        <w:t xml:space="preserve"> within the refueling station.</w:t>
      </w:r>
      <w:r w:rsidR="006A54D7">
        <w:t xml:space="preserve"> Mo</w:t>
      </w:r>
      <w:r w:rsidR="00656EE1">
        <w:t>reover</w:t>
      </w:r>
      <w:r w:rsidR="00656EE1" w:rsidRPr="00656EE1">
        <w:t>, H</w:t>
      </w:r>
      <w:r w:rsidR="00656EE1" w:rsidRPr="00656EE1">
        <w:rPr>
          <w:vertAlign w:val="subscript"/>
        </w:rPr>
        <w:t>2</w:t>
      </w:r>
      <w:r w:rsidR="00656EE1" w:rsidRPr="00656EE1">
        <w:t xml:space="preserve"> fuel-related infrastructure is </w:t>
      </w:r>
      <w:r w:rsidR="00656EE1" w:rsidRPr="00656EE1">
        <w:lastRenderedPageBreak/>
        <w:t xml:space="preserve">currently in the early stages of implementation, </w:t>
      </w:r>
      <w:r w:rsidR="00656EE1">
        <w:t>and</w:t>
      </w:r>
      <w:r w:rsidR="00656EE1" w:rsidRPr="00656EE1">
        <w:t xml:space="preserve"> there is still limited operational experience from such facilities. In this regard, enhancing available knowledge about the installation, safety barriers </w:t>
      </w:r>
      <w:r w:rsidR="00682212">
        <w:t>are</w:t>
      </w:r>
      <w:r w:rsidR="00656EE1" w:rsidRPr="00656EE1">
        <w:t xml:space="preserve"> essential to effectively address associated risks, reduce the over-conservative limitations imposed by the existing safety codes, and ultimately facilitate a widespread rollout of hydrogen for road transport</w:t>
      </w:r>
      <w:r w:rsidR="002B3AE8">
        <w:t>.</w:t>
      </w:r>
      <w:r w:rsidR="00C50D7E">
        <w:t xml:space="preserve"> </w:t>
      </w:r>
      <w:r w:rsidRPr="00C80E8C">
        <w:t xml:space="preserve">This study </w:t>
      </w:r>
      <w:r w:rsidR="00FF2FF0">
        <w:t>contributes to this goal by analyzing the spatial configuration of sensors</w:t>
      </w:r>
      <w:r w:rsidRPr="00C80E8C">
        <w:t xml:space="preserve"> in a high-pressure storage tank</w:t>
      </w:r>
      <w:r w:rsidR="00194180">
        <w:t xml:space="preserve"> </w:t>
      </w:r>
      <w:r w:rsidR="002713BF">
        <w:t>to</w:t>
      </w:r>
      <w:r w:rsidR="00194180">
        <w:t xml:space="preserve"> identify optimal apparatus positioning</w:t>
      </w:r>
      <w:r w:rsidRPr="00C80E8C">
        <w:t xml:space="preserve">. Firstly, several release scenarios are simulated to understand the effect of buoyancy on hydrogen dispersion. Then, a genetic algorithm is used to determine iteratively the </w:t>
      </w:r>
      <w:r w:rsidR="002713BF">
        <w:t xml:space="preserve">appropriate </w:t>
      </w:r>
      <w:r w:rsidRPr="00C80E8C">
        <w:t xml:space="preserve">sensor placement </w:t>
      </w:r>
      <w:r w:rsidR="00C43473">
        <w:t>to ensure</w:t>
      </w:r>
      <w:r w:rsidRPr="00C80E8C">
        <w:t xml:space="preserve"> the best detection capability</w:t>
      </w:r>
      <w:r w:rsidR="00656EE1">
        <w:t>.</w:t>
      </w:r>
    </w:p>
    <w:p w14:paraId="25CEACDB" w14:textId="68078B48" w:rsidR="00D14AF9" w:rsidRPr="00EC7198" w:rsidRDefault="002B7C6D" w:rsidP="00D14AF9">
      <w:pPr>
        <w:pStyle w:val="CETHeading1"/>
      </w:pPr>
      <w:r>
        <w:t>Ultrasonic h</w:t>
      </w:r>
      <w:r w:rsidR="00D14AF9" w:rsidRPr="00EC7198">
        <w:t>ydrogen gas detectors</w:t>
      </w:r>
    </w:p>
    <w:p w14:paraId="4F22D963" w14:textId="03E41E14" w:rsidR="00556E5E" w:rsidRPr="000C62B1" w:rsidRDefault="00432DF8" w:rsidP="00765164">
      <w:pPr>
        <w:pStyle w:val="CETBodytext"/>
      </w:pPr>
      <w:r>
        <w:t xml:space="preserve">The detection of </w:t>
      </w:r>
      <w:r w:rsidR="00286DBA">
        <w:t xml:space="preserve">hydrogen releases </w:t>
      </w:r>
      <w:r w:rsidR="00FE591C">
        <w:t>in open</w:t>
      </w:r>
      <w:r w:rsidR="00C43473">
        <w:t>,</w:t>
      </w:r>
      <w:r w:rsidR="00FE591C">
        <w:t xml:space="preserve"> </w:t>
      </w:r>
      <w:r w:rsidR="00C43473">
        <w:t>well-</w:t>
      </w:r>
      <w:r w:rsidR="00FE591C">
        <w:t xml:space="preserve">ventilated areas is challenging </w:t>
      </w:r>
      <w:r w:rsidR="00F1172C">
        <w:t xml:space="preserve">since the gas is </w:t>
      </w:r>
      <w:r w:rsidR="00E72BF1">
        <w:t xml:space="preserve">easily </w:t>
      </w:r>
      <w:r w:rsidR="00BF4289">
        <w:t>dispersed</w:t>
      </w:r>
      <w:r w:rsidR="00F1172C">
        <w:t xml:space="preserve"> and transported </w:t>
      </w:r>
      <w:r w:rsidR="009452D1">
        <w:t xml:space="preserve">far from the sensors </w:t>
      </w:r>
      <w:r w:rsidR="00EC42D9">
        <w:t>by the wind and</w:t>
      </w:r>
      <w:r w:rsidR="002254DD">
        <w:t>/or</w:t>
      </w:r>
      <w:r w:rsidR="00EC42D9">
        <w:t xml:space="preserve"> the buoyancy effect.</w:t>
      </w:r>
      <w:r w:rsidR="000627CB">
        <w:t xml:space="preserve"> </w:t>
      </w:r>
      <w:r w:rsidR="001C66B8">
        <w:t xml:space="preserve">In the case of concentration-based </w:t>
      </w:r>
      <w:r w:rsidR="003D251A">
        <w:t>detectors</w:t>
      </w:r>
      <w:r w:rsidR="001C66B8">
        <w:t>, an outdoor release</w:t>
      </w:r>
      <w:r w:rsidR="00452A3C">
        <w:t xml:space="preserve"> may </w:t>
      </w:r>
      <w:r w:rsidR="00312915">
        <w:t>remain undetected for hours since the hydrogen</w:t>
      </w:r>
      <w:r w:rsidR="00BC2E73">
        <w:t xml:space="preserve"> cannot accumulate </w:t>
      </w:r>
      <w:r w:rsidR="00D1312C">
        <w:t>in a</w:t>
      </w:r>
      <w:r w:rsidR="00580128">
        <w:t xml:space="preserve"> sufficient</w:t>
      </w:r>
      <w:r w:rsidR="00D1312C">
        <w:t xml:space="preserve"> amount to r</w:t>
      </w:r>
      <w:r w:rsidR="00315945">
        <w:t>a</w:t>
      </w:r>
      <w:r w:rsidR="00D1312C">
        <w:t xml:space="preserve">ise </w:t>
      </w:r>
      <w:r w:rsidR="007E28DC">
        <w:t>the</w:t>
      </w:r>
      <w:r w:rsidR="00D1312C">
        <w:t xml:space="preserve"> alarm. On the other hand, u</w:t>
      </w:r>
      <w:r w:rsidR="000627CB">
        <w:t>ltrasonic gas leak detectors (UGLD)</w:t>
      </w:r>
      <w:r w:rsidR="00991A1D">
        <w:t xml:space="preserve"> </w:t>
      </w:r>
      <w:r w:rsidR="003F2028">
        <w:t>can sense</w:t>
      </w:r>
      <w:r w:rsidR="005C0563">
        <w:t xml:space="preserve"> </w:t>
      </w:r>
      <w:r w:rsidR="00D11702">
        <w:t xml:space="preserve">the acoustic ultrasound </w:t>
      </w:r>
      <w:r w:rsidR="005C0563">
        <w:t>g</w:t>
      </w:r>
      <w:r w:rsidR="00D11702">
        <w:t xml:space="preserve">enerated </w:t>
      </w:r>
      <w:r w:rsidR="009222DC">
        <w:t xml:space="preserve">by </w:t>
      </w:r>
      <w:r w:rsidR="005C0563">
        <w:t>a</w:t>
      </w:r>
      <w:r w:rsidR="009222DC">
        <w:t xml:space="preserve"> release of pressurized gas</w:t>
      </w:r>
      <w:r w:rsidR="00447A71">
        <w:t xml:space="preserve">. This pressure wave </w:t>
      </w:r>
      <w:r w:rsidR="003F2028">
        <w:t>moves at</w:t>
      </w:r>
      <w:r w:rsidR="000856B3">
        <w:t xml:space="preserve"> the speed of</w:t>
      </w:r>
      <w:r w:rsidR="003F2028">
        <w:t xml:space="preserve"> sound</w:t>
      </w:r>
      <w:r w:rsidR="001A0534">
        <w:t xml:space="preserve"> from the leak to the detector</w:t>
      </w:r>
      <w:r w:rsidR="00273742">
        <w:t xml:space="preserve">, which </w:t>
      </w:r>
      <w:r w:rsidR="001D45CB" w:rsidRPr="001D45CB">
        <w:rPr>
          <w:lang w:val="en-GB"/>
        </w:rPr>
        <w:t xml:space="preserve">in turn identifies the unintended release and </w:t>
      </w:r>
      <w:r w:rsidR="00273742">
        <w:t>send</w:t>
      </w:r>
      <w:r w:rsidR="00C16D94">
        <w:t>s</w:t>
      </w:r>
      <w:r w:rsidR="00273742">
        <w:t xml:space="preserve"> a</w:t>
      </w:r>
      <w:r w:rsidR="008668ED">
        <w:t xml:space="preserve"> </w:t>
      </w:r>
      <w:r w:rsidR="00273742">
        <w:t>signal to the control system</w:t>
      </w:r>
      <w:r w:rsidR="00090EC3">
        <w:t xml:space="preserve"> </w:t>
      </w:r>
      <w:r w:rsidR="0036567D">
        <w:t xml:space="preserve">to </w:t>
      </w:r>
      <w:r w:rsidR="00090EC3">
        <w:t>report</w:t>
      </w:r>
      <w:r w:rsidR="00BC088E">
        <w:t xml:space="preserve">. </w:t>
      </w:r>
      <w:r w:rsidR="00941D17">
        <w:t xml:space="preserve">In other words, </w:t>
      </w:r>
      <w:r w:rsidR="00914691">
        <w:t>an UGLD</w:t>
      </w:r>
      <w:r w:rsidR="0030761D">
        <w:t xml:space="preserve"> senses a</w:t>
      </w:r>
      <w:r w:rsidR="00914691">
        <w:t xml:space="preserve"> leak</w:t>
      </w:r>
      <w:r w:rsidR="001607E8">
        <w:t xml:space="preserve"> almost instantaneously as</w:t>
      </w:r>
      <w:r w:rsidR="0030761D">
        <w:t xml:space="preserve"> it occurs</w:t>
      </w:r>
      <w:r w:rsidR="00914691">
        <w:t xml:space="preserve">, while a conventional sensor </w:t>
      </w:r>
      <w:r w:rsidR="003B1E75">
        <w:t>only</w:t>
      </w:r>
      <w:r w:rsidR="000C62B1">
        <w:t xml:space="preserve"> </w:t>
      </w:r>
      <w:r w:rsidR="003B1E75">
        <w:t>re</w:t>
      </w:r>
      <w:r w:rsidR="0030761D">
        <w:t>sponds</w:t>
      </w:r>
      <w:r w:rsidR="000C62B1">
        <w:t xml:space="preserve"> when H</w:t>
      </w:r>
      <w:r w:rsidR="000C62B1">
        <w:rPr>
          <w:vertAlign w:val="subscript"/>
        </w:rPr>
        <w:t>2</w:t>
      </w:r>
      <w:r w:rsidR="000C62B1">
        <w:t xml:space="preserve"> has formed a</w:t>
      </w:r>
      <w:r w:rsidR="00A61BBF">
        <w:t xml:space="preserve"> detectable</w:t>
      </w:r>
      <w:r w:rsidR="000C62B1">
        <w:t xml:space="preserve"> vapor cloud</w:t>
      </w:r>
      <w:r w:rsidR="00BC088E">
        <w:t xml:space="preserve"> (</w:t>
      </w:r>
      <w:r w:rsidR="00BC088E" w:rsidRPr="00533D00">
        <w:t>Walsh</w:t>
      </w:r>
      <w:r w:rsidR="00BC088E">
        <w:t xml:space="preserve"> and</w:t>
      </w:r>
      <w:r w:rsidR="00BC088E" w:rsidRPr="00533D00">
        <w:t xml:space="preserve"> Kelsey</w:t>
      </w:r>
      <w:r w:rsidR="00BC088E">
        <w:t>, 2017)</w:t>
      </w:r>
      <w:r w:rsidR="000C62B1">
        <w:t>.</w:t>
      </w:r>
      <w:r w:rsidR="00070E33">
        <w:t xml:space="preserve"> </w:t>
      </w:r>
      <w:r w:rsidR="00AC7AF7">
        <w:t>The U</w:t>
      </w:r>
      <w:r w:rsidR="009370EC">
        <w:t>GLD is designed to ignore audible noise and can only sense</w:t>
      </w:r>
      <w:r w:rsidR="002C70B9">
        <w:t xml:space="preserve"> ultrasonic frequencies from 25 kHz to 70 kHz</w:t>
      </w:r>
      <w:r w:rsidR="0002055E">
        <w:t xml:space="preserve">. </w:t>
      </w:r>
      <w:r w:rsidR="00F32B55">
        <w:t>Moreover, b</w:t>
      </w:r>
      <w:r w:rsidR="008606AF">
        <w:t>y d</w:t>
      </w:r>
      <w:r w:rsidR="00004A68">
        <w:t xml:space="preserve">ecreasing the lower limit of </w:t>
      </w:r>
      <w:r w:rsidR="00A4386B">
        <w:t xml:space="preserve">the </w:t>
      </w:r>
      <w:r w:rsidR="006D43E8">
        <w:t xml:space="preserve">detectable </w:t>
      </w:r>
      <w:r w:rsidR="00004A68">
        <w:t xml:space="preserve">sound </w:t>
      </w:r>
      <w:r w:rsidR="00752BB8">
        <w:t>spectrum,</w:t>
      </w:r>
      <w:r w:rsidR="00004A68">
        <w:t xml:space="preserve"> </w:t>
      </w:r>
      <w:r w:rsidR="006D43E8">
        <w:t xml:space="preserve">it </w:t>
      </w:r>
      <w:r w:rsidR="008606AF">
        <w:t>is possible</w:t>
      </w:r>
      <w:r w:rsidR="006D43E8">
        <w:t xml:space="preserve"> to increase</w:t>
      </w:r>
      <w:r w:rsidR="008606AF">
        <w:t xml:space="preserve"> the sensitivity to small leaks and </w:t>
      </w:r>
      <w:r w:rsidR="00F62481">
        <w:t xml:space="preserve">the coverage area, without </w:t>
      </w:r>
      <w:r w:rsidR="007B191D">
        <w:t xml:space="preserve">compromising detection accuracy due to </w:t>
      </w:r>
      <w:r w:rsidR="00784241">
        <w:t>background noise</w:t>
      </w:r>
      <w:r w:rsidR="003A7C1A">
        <w:t xml:space="preserve">, which </w:t>
      </w:r>
      <w:r w:rsidR="00D248C4">
        <w:t xml:space="preserve">mostly </w:t>
      </w:r>
      <w:r w:rsidR="00AE2F5C">
        <w:t>belongs to</w:t>
      </w:r>
      <w:r w:rsidR="003A7C1A">
        <w:t xml:space="preserve"> audible frequencies.</w:t>
      </w:r>
      <w:r w:rsidR="00AF68AB">
        <w:t xml:space="preserve"> The amplitude of the ultrasonic sound produced by the sensor should be 20-30 dB </w:t>
      </w:r>
      <w:r w:rsidR="006A5A6E">
        <w:t>lower than the audible noise level in the area</w:t>
      </w:r>
      <w:r w:rsidR="00BE672A">
        <w:t>; hence, approximately 65-</w:t>
      </w:r>
      <w:r w:rsidR="004D598C">
        <w:t xml:space="preserve">75 dB in very noisy locations </w:t>
      </w:r>
      <w:r w:rsidR="004D598C" w:rsidRPr="001F6DA7">
        <w:t>(Fecarotta and Janowski, 2021)</w:t>
      </w:r>
      <w:r w:rsidR="004D598C">
        <w:t xml:space="preserve">. </w:t>
      </w:r>
      <w:r w:rsidR="0017043C">
        <w:fldChar w:fldCharType="begin"/>
      </w:r>
      <w:r w:rsidR="0017043C">
        <w:instrText xml:space="preserve"> REF _Ref133932591 \h </w:instrText>
      </w:r>
      <w:r w:rsidR="0017043C">
        <w:fldChar w:fldCharType="separate"/>
      </w:r>
      <w:r w:rsidR="0017043C" w:rsidRPr="001F6DA7">
        <w:t xml:space="preserve">Figure </w:t>
      </w:r>
      <w:r w:rsidR="0017043C" w:rsidRPr="001F6DA7">
        <w:rPr>
          <w:noProof/>
        </w:rPr>
        <w:t>1</w:t>
      </w:r>
      <w:r w:rsidR="0017043C">
        <w:fldChar w:fldCharType="end"/>
      </w:r>
      <w:r w:rsidR="00DE580A">
        <w:t xml:space="preserve"> represents the functioning principle of an ultrasonic sensor</w:t>
      </w:r>
      <w:r w:rsidR="008A346B">
        <w:t>.</w:t>
      </w:r>
      <w:r w:rsidR="00EF01A6">
        <w:t xml:space="preserve"> </w:t>
      </w:r>
      <w:r w:rsidR="00941FC4">
        <w:t xml:space="preserve">As shown, </w:t>
      </w:r>
      <w:r w:rsidR="00DD1ACF">
        <w:t xml:space="preserve">a </w:t>
      </w:r>
      <w:r w:rsidR="00687617">
        <w:t xml:space="preserve">wave with higher amplitude </w:t>
      </w:r>
      <w:r w:rsidR="008B6AEB">
        <w:t>is created from the</w:t>
      </w:r>
      <w:r w:rsidR="006944D6">
        <w:t xml:space="preserve"> hydrogen release</w:t>
      </w:r>
      <w:r w:rsidR="00E0465B">
        <w:t xml:space="preserve"> and triggers the alarm</w:t>
      </w:r>
      <w:r w:rsidR="00F26941">
        <w:t xml:space="preserve"> when it exceeds a certain threshold</w:t>
      </w:r>
      <w:r w:rsidR="00E0465B">
        <w:t>.</w:t>
      </w:r>
    </w:p>
    <w:p w14:paraId="6CFC99D5" w14:textId="5139CACE" w:rsidR="001F6DA7" w:rsidRDefault="00D81A9F" w:rsidP="001F6DA7">
      <w:pPr>
        <w:pStyle w:val="CETBodytext"/>
        <w:keepNext/>
      </w:pPr>
      <w:r>
        <w:rPr>
          <w:noProof/>
        </w:rPr>
        <w:drawing>
          <wp:inline distT="0" distB="0" distL="0" distR="0" wp14:anchorId="170F7CEA" wp14:editId="3A0C59A0">
            <wp:extent cx="5448300" cy="2027534"/>
            <wp:effectExtent l="0" t="0" r="0" b="0"/>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0278" cy="2031991"/>
                    </a:xfrm>
                    <a:prstGeom prst="rect">
                      <a:avLst/>
                    </a:prstGeom>
                    <a:noFill/>
                    <a:ln>
                      <a:noFill/>
                    </a:ln>
                  </pic:spPr>
                </pic:pic>
              </a:graphicData>
            </a:graphic>
          </wp:inline>
        </w:drawing>
      </w:r>
    </w:p>
    <w:p w14:paraId="6811AD1E" w14:textId="4CC55FA3" w:rsidR="00B10894" w:rsidRPr="001F6DA7" w:rsidRDefault="001F6DA7" w:rsidP="00E617EE">
      <w:pPr>
        <w:pStyle w:val="CETCaption"/>
        <w:rPr>
          <w:color w:val="FF0000"/>
          <w:lang w:val="en-US"/>
        </w:rPr>
      </w:pPr>
      <w:bookmarkStart w:id="0" w:name="_Ref133932591"/>
      <w:r w:rsidRPr="001F6DA7">
        <w:rPr>
          <w:lang w:val="en-US"/>
        </w:rPr>
        <w:t xml:space="preserve">Figure </w:t>
      </w:r>
      <w:r>
        <w:fldChar w:fldCharType="begin"/>
      </w:r>
      <w:r w:rsidRPr="001F6DA7">
        <w:rPr>
          <w:lang w:val="en-US"/>
        </w:rPr>
        <w:instrText xml:space="preserve"> SEQ Figure \* ARABIC </w:instrText>
      </w:r>
      <w:r>
        <w:fldChar w:fldCharType="separate"/>
      </w:r>
      <w:r w:rsidR="004A4A9F">
        <w:rPr>
          <w:noProof/>
          <w:lang w:val="en-US"/>
        </w:rPr>
        <w:t>1</w:t>
      </w:r>
      <w:r>
        <w:fldChar w:fldCharType="end"/>
      </w:r>
      <w:bookmarkEnd w:id="0"/>
      <w:r w:rsidRPr="001F6DA7">
        <w:rPr>
          <w:lang w:val="en-US"/>
        </w:rPr>
        <w:t>: Functioning</w:t>
      </w:r>
      <w:r>
        <w:rPr>
          <w:lang w:val="en-US"/>
        </w:rPr>
        <w:t xml:space="preserve"> principle of a</w:t>
      </w:r>
      <w:r w:rsidR="00E617EE">
        <w:rPr>
          <w:lang w:val="en-US"/>
        </w:rPr>
        <w:t>n ultrasonic gas leak detector</w:t>
      </w:r>
    </w:p>
    <w:p w14:paraId="67D4AE03" w14:textId="57E112F8" w:rsidR="008A346B" w:rsidRPr="005A63D7" w:rsidRDefault="008A346B" w:rsidP="008A346B">
      <w:pPr>
        <w:pStyle w:val="CETBodytext"/>
      </w:pPr>
      <w:r w:rsidRPr="005A63D7">
        <w:t>The total response time</w:t>
      </w:r>
      <w:r>
        <w:t xml:space="preserve"> of </w:t>
      </w:r>
      <w:r w:rsidR="00C16D94">
        <w:t>an</w:t>
      </w:r>
      <w:r>
        <w:t xml:space="preserve"> UGLD </w:t>
      </w:r>
      <w:r w:rsidR="000466E9">
        <w:t>can be calculated as follows</w:t>
      </w:r>
      <w:r>
        <w:t xml:space="preserve"> </w:t>
      </w:r>
      <w:r w:rsidRPr="00D004FA">
        <w:t>(Moon et al., 2009)</w:t>
      </w:r>
      <w:r w:rsidR="000466E9">
        <w:t>:</w:t>
      </w:r>
    </w:p>
    <w:tbl>
      <w:tblPr>
        <w:tblW w:w="5000" w:type="pct"/>
        <w:tblLook w:val="04A0" w:firstRow="1" w:lastRow="0" w:firstColumn="1" w:lastColumn="0" w:noHBand="0" w:noVBand="1"/>
      </w:tblPr>
      <w:tblGrid>
        <w:gridCol w:w="7993"/>
        <w:gridCol w:w="794"/>
      </w:tblGrid>
      <w:tr w:rsidR="008A346B" w:rsidRPr="00EE0795" w14:paraId="328590D5" w14:textId="77777777" w:rsidTr="00DC5DB0">
        <w:tc>
          <w:tcPr>
            <w:tcW w:w="7993" w:type="dxa"/>
            <w:shd w:val="clear" w:color="auto" w:fill="auto"/>
            <w:vAlign w:val="center"/>
          </w:tcPr>
          <w:p w14:paraId="6524997B" w14:textId="77777777" w:rsidR="008A346B" w:rsidRPr="00EE0795" w:rsidRDefault="00EF13FB" w:rsidP="00DC5DB0">
            <w:pPr>
              <w:pStyle w:val="CETEquation"/>
              <w:rPr>
                <w:iCs/>
              </w:rPr>
            </w:pPr>
            <m:oMathPara>
              <m:oMathParaPr>
                <m:jc m:val="left"/>
              </m:oMathParaP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total</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det</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us</m:t>
                    </m:r>
                  </m:sub>
                </m:sSub>
              </m:oMath>
            </m:oMathPara>
          </w:p>
        </w:tc>
        <w:tc>
          <w:tcPr>
            <w:tcW w:w="794" w:type="dxa"/>
            <w:shd w:val="clear" w:color="auto" w:fill="auto"/>
            <w:vAlign w:val="center"/>
          </w:tcPr>
          <w:p w14:paraId="4820EF35" w14:textId="77777777" w:rsidR="008A346B" w:rsidRPr="00EE0795" w:rsidRDefault="008A346B" w:rsidP="00DC5DB0">
            <w:pPr>
              <w:pStyle w:val="CETEquation"/>
              <w:jc w:val="right"/>
              <w:rPr>
                <w:iCs/>
              </w:rPr>
            </w:pPr>
            <w:r w:rsidRPr="00EE0795">
              <w:rPr>
                <w:iCs/>
              </w:rPr>
              <w:t>(1)</w:t>
            </w:r>
          </w:p>
        </w:tc>
      </w:tr>
    </w:tbl>
    <w:p w14:paraId="1123164E" w14:textId="268EBF95" w:rsidR="0089766A" w:rsidRPr="001648FA" w:rsidRDefault="008A346B" w:rsidP="00765164">
      <w:pPr>
        <w:pStyle w:val="CETBodytext"/>
        <w:rPr>
          <w:iCs/>
        </w:rPr>
      </w:pPr>
      <w:r w:rsidRPr="00EE0795">
        <w:rPr>
          <w:iCs/>
        </w:rPr>
        <w:t xml:space="preserve">where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det</m:t>
            </m:r>
          </m:sub>
        </m:sSub>
      </m:oMath>
      <w:r w:rsidRPr="00EE0795">
        <w:rPr>
          <w:iCs/>
        </w:rPr>
        <w:t xml:space="preserve"> </w:t>
      </w:r>
      <w:r>
        <w:rPr>
          <w:iCs/>
        </w:rPr>
        <w:t xml:space="preserve">represents the </w:t>
      </w:r>
      <w:r w:rsidR="006259DF">
        <w:rPr>
          <w:iCs/>
        </w:rPr>
        <w:t xml:space="preserve">inherent detection </w:t>
      </w:r>
      <w:r>
        <w:rPr>
          <w:iCs/>
        </w:rPr>
        <w:t>delay</w:t>
      </w:r>
      <w:r w:rsidR="006259DF">
        <w:rPr>
          <w:iCs/>
        </w:rPr>
        <w:t xml:space="preserve"> </w:t>
      </w:r>
      <w:r w:rsidR="008E0FA4">
        <w:rPr>
          <w:iCs/>
        </w:rPr>
        <w:t>in</w:t>
      </w:r>
      <w:r>
        <w:rPr>
          <w:iCs/>
        </w:rPr>
        <w:t xml:space="preserve"> the UGLD </w:t>
      </w:r>
      <w:r w:rsidR="008E0FA4">
        <w:rPr>
          <w:iCs/>
        </w:rPr>
        <w:t xml:space="preserve">ranging </w:t>
      </w:r>
      <w:r>
        <w:rPr>
          <w:iCs/>
        </w:rPr>
        <w:t xml:space="preserve">from 10 to 30 s, while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us</m:t>
            </m:r>
          </m:sub>
        </m:sSub>
      </m:oMath>
      <w:r>
        <w:rPr>
          <w:iCs/>
        </w:rPr>
        <w:t xml:space="preserve"> is the time required for the ultrasound to </w:t>
      </w:r>
      <w:r w:rsidR="00467E57">
        <w:rPr>
          <w:iCs/>
        </w:rPr>
        <w:t>reach the detector</w:t>
      </w:r>
      <w:r>
        <w:rPr>
          <w:iCs/>
        </w:rPr>
        <w:t xml:space="preserve"> (</w:t>
      </w:r>
      <w:r w:rsidR="001648FA">
        <w:rPr>
          <w:iCs/>
        </w:rPr>
        <w:t>i</w:t>
      </w:r>
      <w:r>
        <w:rPr>
          <w:iCs/>
        </w:rPr>
        <w:t>n the order of ms).</w:t>
      </w:r>
      <w:r w:rsidR="001648FA">
        <w:rPr>
          <w:iCs/>
        </w:rPr>
        <w:t xml:space="preserve"> </w:t>
      </w:r>
      <w:r w:rsidR="008B2B08">
        <w:rPr>
          <w:iCs/>
        </w:rPr>
        <w:t xml:space="preserve">The </w:t>
      </w:r>
      <w:r w:rsidR="003567D4">
        <w:rPr>
          <w:iCs/>
        </w:rPr>
        <w:t xml:space="preserve">sensor’s </w:t>
      </w:r>
      <w:r w:rsidR="008B2B08">
        <w:rPr>
          <w:iCs/>
        </w:rPr>
        <w:t>coverage</w:t>
      </w:r>
      <w:r w:rsidR="006B6F00">
        <w:rPr>
          <w:iCs/>
        </w:rPr>
        <w:t xml:space="preserve"> are</w:t>
      </w:r>
      <w:r w:rsidR="003567D4">
        <w:rPr>
          <w:iCs/>
        </w:rPr>
        <w:t xml:space="preserve">a </w:t>
      </w:r>
      <w:r w:rsidR="00BB62A8">
        <w:rPr>
          <w:iCs/>
        </w:rPr>
        <w:t>depends on the ultrasonic background noise</w:t>
      </w:r>
      <w:r w:rsidR="00AD3E17">
        <w:rPr>
          <w:iCs/>
        </w:rPr>
        <w:t>,</w:t>
      </w:r>
      <w:r w:rsidR="00267DEA">
        <w:rPr>
          <w:iCs/>
        </w:rPr>
        <w:t xml:space="preserve"> the minimum leak rate to be</w:t>
      </w:r>
      <w:r w:rsidR="003A7C18">
        <w:rPr>
          <w:iCs/>
        </w:rPr>
        <w:t xml:space="preserve"> detected</w:t>
      </w:r>
      <w:r w:rsidR="00AD3E17">
        <w:rPr>
          <w:iCs/>
        </w:rPr>
        <w:t>, and the pr</w:t>
      </w:r>
      <w:r w:rsidR="00BF206B">
        <w:rPr>
          <w:iCs/>
        </w:rPr>
        <w:t>essure of the gas released</w:t>
      </w:r>
      <w:r w:rsidR="002D4E3C">
        <w:rPr>
          <w:iCs/>
        </w:rPr>
        <w:t xml:space="preserve">. </w:t>
      </w:r>
      <w:r w:rsidR="00C247C3">
        <w:rPr>
          <w:iCs/>
        </w:rPr>
        <w:t>H</w:t>
      </w:r>
      <w:r w:rsidR="00822940">
        <w:rPr>
          <w:iCs/>
        </w:rPr>
        <w:t>ydrogen refueling station</w:t>
      </w:r>
      <w:r w:rsidR="00C247C3">
        <w:rPr>
          <w:iCs/>
        </w:rPr>
        <w:t>s</w:t>
      </w:r>
      <w:r w:rsidR="00822940">
        <w:rPr>
          <w:iCs/>
        </w:rPr>
        <w:t xml:space="preserve"> </w:t>
      </w:r>
      <w:r w:rsidR="00146AD8">
        <w:rPr>
          <w:iCs/>
        </w:rPr>
        <w:t>are in</w:t>
      </w:r>
      <w:r w:rsidR="00C247C3">
        <w:rPr>
          <w:iCs/>
        </w:rPr>
        <w:t xml:space="preserve"> the proximity of</w:t>
      </w:r>
      <w:r w:rsidR="00FA09DF">
        <w:rPr>
          <w:iCs/>
        </w:rPr>
        <w:t xml:space="preserve"> highways</w:t>
      </w:r>
      <w:r w:rsidR="00493C67">
        <w:rPr>
          <w:iCs/>
        </w:rPr>
        <w:t xml:space="preserve"> or</w:t>
      </w:r>
      <w:r w:rsidR="00FA09DF">
        <w:rPr>
          <w:iCs/>
        </w:rPr>
        <w:t xml:space="preserve"> other </w:t>
      </w:r>
      <w:r w:rsidR="00825E8B">
        <w:rPr>
          <w:iCs/>
        </w:rPr>
        <w:t>busy roads</w:t>
      </w:r>
      <w:r w:rsidR="00493C67">
        <w:rPr>
          <w:iCs/>
        </w:rPr>
        <w:t xml:space="preserve"> and</w:t>
      </w:r>
      <w:r w:rsidR="00DF215A">
        <w:rPr>
          <w:iCs/>
        </w:rPr>
        <w:t xml:space="preserve"> can be classified as high</w:t>
      </w:r>
      <w:r w:rsidR="00A735A0">
        <w:rPr>
          <w:iCs/>
        </w:rPr>
        <w:t>-</w:t>
      </w:r>
      <w:r w:rsidR="00DF215A">
        <w:rPr>
          <w:iCs/>
        </w:rPr>
        <w:t>noise area</w:t>
      </w:r>
      <w:r w:rsidR="00493C67">
        <w:rPr>
          <w:iCs/>
        </w:rPr>
        <w:t>s</w:t>
      </w:r>
      <w:r w:rsidR="0062627C">
        <w:rPr>
          <w:iCs/>
        </w:rPr>
        <w:t xml:space="preserve">. </w:t>
      </w:r>
      <w:r w:rsidR="00493C67">
        <w:rPr>
          <w:iCs/>
        </w:rPr>
        <w:t>In this case, t</w:t>
      </w:r>
      <w:r w:rsidR="0062627C">
        <w:rPr>
          <w:iCs/>
        </w:rPr>
        <w:t>he audible noise</w:t>
      </w:r>
      <w:r w:rsidR="00D616BE">
        <w:rPr>
          <w:iCs/>
        </w:rPr>
        <w:t xml:space="preserve"> </w:t>
      </w:r>
      <w:r w:rsidR="00493C67">
        <w:rPr>
          <w:iCs/>
        </w:rPr>
        <w:t>can</w:t>
      </w:r>
      <w:r w:rsidR="0062627C">
        <w:rPr>
          <w:iCs/>
        </w:rPr>
        <w:t xml:space="preserve"> range from </w:t>
      </w:r>
      <w:r w:rsidR="008B37CE">
        <w:rPr>
          <w:iCs/>
        </w:rPr>
        <w:t>90 to 100 dB</w:t>
      </w:r>
      <w:r w:rsidR="00D616BE">
        <w:rPr>
          <w:iCs/>
        </w:rPr>
        <w:t xml:space="preserve">, </w:t>
      </w:r>
      <w:r w:rsidR="0033660D">
        <w:rPr>
          <w:iCs/>
        </w:rPr>
        <w:t xml:space="preserve">while </w:t>
      </w:r>
      <w:r w:rsidR="008B37CE">
        <w:rPr>
          <w:iCs/>
        </w:rPr>
        <w:t xml:space="preserve">the ultrasonic </w:t>
      </w:r>
      <w:r w:rsidR="00D616BE">
        <w:rPr>
          <w:iCs/>
        </w:rPr>
        <w:t xml:space="preserve">background </w:t>
      </w:r>
      <w:r w:rsidR="008B37CE">
        <w:rPr>
          <w:iCs/>
        </w:rPr>
        <w:t>noise is below 78 dB</w:t>
      </w:r>
      <w:r w:rsidR="00146AD8">
        <w:rPr>
          <w:iCs/>
        </w:rPr>
        <w:t>.</w:t>
      </w:r>
      <w:r w:rsidR="009F0408">
        <w:rPr>
          <w:iCs/>
        </w:rPr>
        <w:t xml:space="preserve"> Minor gas releases </w:t>
      </w:r>
      <w:r w:rsidR="00472868">
        <w:rPr>
          <w:iCs/>
        </w:rPr>
        <w:t>have a leak rate lower than 0.1 kg/s, which</w:t>
      </w:r>
      <w:r w:rsidR="00C44374">
        <w:rPr>
          <w:iCs/>
        </w:rPr>
        <w:t xml:space="preserve"> can be used to </w:t>
      </w:r>
      <w:r w:rsidR="003E0FB9">
        <w:rPr>
          <w:iCs/>
        </w:rPr>
        <w:t>calibrate</w:t>
      </w:r>
      <w:r w:rsidR="00C44374">
        <w:rPr>
          <w:iCs/>
        </w:rPr>
        <w:t xml:space="preserve"> the performance of a UGLD</w:t>
      </w:r>
      <w:r w:rsidR="00CC6351">
        <w:rPr>
          <w:iCs/>
        </w:rPr>
        <w:t xml:space="preserve"> and indicates the smallest release the detector can sense</w:t>
      </w:r>
      <w:r w:rsidR="009137D8">
        <w:rPr>
          <w:iCs/>
        </w:rPr>
        <w:t xml:space="preserve">. </w:t>
      </w:r>
      <w:r w:rsidR="00944E2D">
        <w:rPr>
          <w:iCs/>
        </w:rPr>
        <w:t xml:space="preserve">In addition, the minimum </w:t>
      </w:r>
      <w:r w:rsidR="005E683A">
        <w:rPr>
          <w:iCs/>
        </w:rPr>
        <w:t xml:space="preserve">gas </w:t>
      </w:r>
      <w:r w:rsidR="00944E2D">
        <w:rPr>
          <w:iCs/>
        </w:rPr>
        <w:t xml:space="preserve">pressure </w:t>
      </w:r>
      <w:r w:rsidR="005E683A">
        <w:rPr>
          <w:iCs/>
        </w:rPr>
        <w:t>which</w:t>
      </w:r>
      <w:r w:rsidR="00970E52">
        <w:rPr>
          <w:iCs/>
        </w:rPr>
        <w:t xml:space="preserve"> generate</w:t>
      </w:r>
      <w:r w:rsidR="005E683A">
        <w:rPr>
          <w:iCs/>
        </w:rPr>
        <w:t>s</w:t>
      </w:r>
      <w:r w:rsidR="00970E52">
        <w:rPr>
          <w:iCs/>
        </w:rPr>
        <w:t xml:space="preserve"> ultrasound</w:t>
      </w:r>
      <w:r w:rsidR="005E683A">
        <w:rPr>
          <w:iCs/>
        </w:rPr>
        <w:t>s</w:t>
      </w:r>
      <w:r w:rsidR="00970E52">
        <w:rPr>
          <w:iCs/>
        </w:rPr>
        <w:t xml:space="preserve"> is around 2 bar for hydrogen</w:t>
      </w:r>
      <w:r w:rsidR="00FB3F0E">
        <w:rPr>
          <w:iCs/>
        </w:rPr>
        <w:t xml:space="preserve"> </w:t>
      </w:r>
      <w:r w:rsidR="00FB3F0E" w:rsidRPr="001F6DA7">
        <w:t>(Fecarotta and Janowski, 2021)</w:t>
      </w:r>
      <w:r w:rsidR="00821198">
        <w:rPr>
          <w:iCs/>
        </w:rPr>
        <w:t>. Under th</w:t>
      </w:r>
      <w:r w:rsidR="006B53A6">
        <w:rPr>
          <w:iCs/>
        </w:rPr>
        <w:t>ese</w:t>
      </w:r>
      <w:r w:rsidR="00821198">
        <w:rPr>
          <w:iCs/>
        </w:rPr>
        <w:t xml:space="preserve"> condition</w:t>
      </w:r>
      <w:r w:rsidR="006B53A6">
        <w:rPr>
          <w:iCs/>
        </w:rPr>
        <w:t>s</w:t>
      </w:r>
      <w:r w:rsidR="00821198">
        <w:rPr>
          <w:iCs/>
        </w:rPr>
        <w:t xml:space="preserve">, the use of a UGLD is still </w:t>
      </w:r>
      <w:r w:rsidR="00777EBC">
        <w:rPr>
          <w:iCs/>
        </w:rPr>
        <w:t>possible but result</w:t>
      </w:r>
      <w:r w:rsidR="00080583">
        <w:rPr>
          <w:iCs/>
        </w:rPr>
        <w:t>s</w:t>
      </w:r>
      <w:r w:rsidR="00777EBC">
        <w:rPr>
          <w:iCs/>
        </w:rPr>
        <w:t xml:space="preserve"> in a lower coverage area</w:t>
      </w:r>
      <w:r w:rsidR="003E6123">
        <w:rPr>
          <w:iCs/>
        </w:rPr>
        <w:t>.</w:t>
      </w:r>
      <w:r w:rsidR="00615EFF">
        <w:rPr>
          <w:iCs/>
        </w:rPr>
        <w:t xml:space="preserve"> In general, </w:t>
      </w:r>
      <w:r w:rsidR="006D2046">
        <w:rPr>
          <w:iCs/>
        </w:rPr>
        <w:t xml:space="preserve">a </w:t>
      </w:r>
      <w:r w:rsidR="0003538C">
        <w:rPr>
          <w:iCs/>
        </w:rPr>
        <w:t xml:space="preserve">certain </w:t>
      </w:r>
      <w:r w:rsidR="006D2046">
        <w:rPr>
          <w:iCs/>
        </w:rPr>
        <w:t xml:space="preserve">leak rate can be obtained from </w:t>
      </w:r>
      <w:r w:rsidR="00CF1634">
        <w:rPr>
          <w:iCs/>
        </w:rPr>
        <w:t xml:space="preserve">a variety of combinations of leak size and </w:t>
      </w:r>
      <w:r w:rsidR="0003538C">
        <w:rPr>
          <w:iCs/>
        </w:rPr>
        <w:t>hydrogen</w:t>
      </w:r>
      <w:r w:rsidR="00CF1634">
        <w:rPr>
          <w:iCs/>
        </w:rPr>
        <w:t xml:space="preserve"> pressure</w:t>
      </w:r>
      <w:r w:rsidR="001353EB">
        <w:rPr>
          <w:iCs/>
        </w:rPr>
        <w:t>. The greater the hole size, the higher will be the leak rate</w:t>
      </w:r>
      <w:r w:rsidR="00773D5C">
        <w:rPr>
          <w:iCs/>
        </w:rPr>
        <w:t xml:space="preserve"> and </w:t>
      </w:r>
      <w:r w:rsidR="002A2823">
        <w:rPr>
          <w:iCs/>
        </w:rPr>
        <w:t xml:space="preserve">the subsequent </w:t>
      </w:r>
      <w:r w:rsidR="00773D5C">
        <w:rPr>
          <w:iCs/>
        </w:rPr>
        <w:t>pressure drop</w:t>
      </w:r>
      <w:r w:rsidR="001E0538">
        <w:rPr>
          <w:iCs/>
        </w:rPr>
        <w:t xml:space="preserve"> inside the tank, </w:t>
      </w:r>
      <w:r w:rsidR="00E91E99">
        <w:rPr>
          <w:iCs/>
        </w:rPr>
        <w:t xml:space="preserve">thus lowering the </w:t>
      </w:r>
      <w:r w:rsidR="00DE76DB">
        <w:rPr>
          <w:iCs/>
        </w:rPr>
        <w:t>level of ultrasound</w:t>
      </w:r>
      <w:r w:rsidR="00BC088E">
        <w:t>.</w:t>
      </w:r>
    </w:p>
    <w:p w14:paraId="042B2E10" w14:textId="6A6CB101" w:rsidR="007105C0" w:rsidRDefault="001B74EA" w:rsidP="007105C0">
      <w:pPr>
        <w:pStyle w:val="CETHeading1"/>
      </w:pPr>
      <w:r w:rsidRPr="00EC7198">
        <w:lastRenderedPageBreak/>
        <w:t>Methodology</w:t>
      </w:r>
    </w:p>
    <w:p w14:paraId="525FCF60" w14:textId="73BE2BAD" w:rsidR="009E3860" w:rsidRDefault="00300AF3" w:rsidP="009E3860">
      <w:pPr>
        <w:pStyle w:val="CETBodytext"/>
      </w:pPr>
      <w:r w:rsidRPr="00300AF3">
        <w:t xml:space="preserve">The positioning of the leak detectors for the high-pressure storage system of a hydrogen refueling station follows two steps. First, two release scenarios </w:t>
      </w:r>
      <w:r w:rsidR="00A8714B">
        <w:t xml:space="preserve">were </w:t>
      </w:r>
      <w:r w:rsidRPr="00300AF3">
        <w:t xml:space="preserve">simulated through the software HyRAM+ </w:t>
      </w:r>
      <w:r w:rsidR="00F10B19">
        <w:t xml:space="preserve">V5.0 </w:t>
      </w:r>
      <w:r w:rsidR="00F10B19" w:rsidRPr="000522D5">
        <w:t>(Ehrhart et al., 2022)</w:t>
      </w:r>
      <w:r w:rsidR="00F10B19">
        <w:t xml:space="preserve"> </w:t>
      </w:r>
      <w:r w:rsidRPr="00300AF3">
        <w:t xml:space="preserve">to understand the characteristics of the hydrogen dispersion and the jet trajectory from the hole. Second, </w:t>
      </w:r>
      <w:r w:rsidR="005F0307">
        <w:t>a</w:t>
      </w:r>
      <w:r w:rsidRPr="00300AF3">
        <w:t xml:space="preserve"> genetic algorithm </w:t>
      </w:r>
      <w:r w:rsidR="005F0307">
        <w:t>w</w:t>
      </w:r>
      <w:r w:rsidR="00A8714B">
        <w:t>as</w:t>
      </w:r>
      <w:r w:rsidR="005F0307">
        <w:t xml:space="preserve"> </w:t>
      </w:r>
      <w:r w:rsidRPr="00300AF3">
        <w:t>used to select the minimum number of sensors and their optimal location for maximizing detection effectiveness</w:t>
      </w:r>
      <w:r w:rsidR="002B62BC">
        <w:t>.</w:t>
      </w:r>
    </w:p>
    <w:p w14:paraId="6DFE7885" w14:textId="06708E22" w:rsidR="00AA4062" w:rsidRDefault="00AA4062" w:rsidP="00AA4062">
      <w:pPr>
        <w:pStyle w:val="CETHeadingxx"/>
      </w:pPr>
      <w:r>
        <w:t xml:space="preserve">3.1 Release </w:t>
      </w:r>
      <w:r w:rsidR="003B22CD">
        <w:t>simulations</w:t>
      </w:r>
    </w:p>
    <w:p w14:paraId="27F6CED5" w14:textId="6556040C" w:rsidR="00EA3CF3" w:rsidRPr="00AA4062" w:rsidRDefault="00AA4062" w:rsidP="00AA4062">
      <w:pPr>
        <w:pStyle w:val="CETBodytext"/>
      </w:pPr>
      <w:r w:rsidRPr="00AA4062">
        <w:t xml:space="preserve">Two release scenarios </w:t>
      </w:r>
      <w:r w:rsidR="007A3703">
        <w:t xml:space="preserve">were </w:t>
      </w:r>
      <w:r w:rsidRPr="00AA4062">
        <w:t xml:space="preserve">deemed representative of the actual operating conditions of the pressurized storage tank. </w:t>
      </w:r>
      <w:r w:rsidR="009F16B8">
        <w:t>S</w:t>
      </w:r>
      <w:r w:rsidRPr="00AA4062">
        <w:t>cenario (a) simulates a large hole from an almost empt</w:t>
      </w:r>
      <w:r w:rsidR="009F16B8">
        <w:t>y</w:t>
      </w:r>
      <w:r w:rsidRPr="00AA4062">
        <w:t xml:space="preserve"> hydrogen tank (i.e., with low internal pressure). This release, if ignited, can result in a flash fire </w:t>
      </w:r>
      <w:r w:rsidR="00270B06">
        <w:t>and</w:t>
      </w:r>
      <w:r w:rsidRPr="00AA4062">
        <w:t xml:space="preserve"> is</w:t>
      </w:r>
      <w:r w:rsidR="00270B06">
        <w:t xml:space="preserve"> very</w:t>
      </w:r>
      <w:r w:rsidRPr="00AA4062">
        <w:t xml:space="preserve"> challenging to detect for both concentration-based and ultrasonic gas sensors. In addition, scenario (b) simulates a pinhole in a pressurized hydrogen tank. The pressure within the tank corresponds to its design pressure, which is reached only after </w:t>
      </w:r>
      <w:r w:rsidR="006114AF">
        <w:t>a</w:t>
      </w:r>
      <w:r w:rsidRPr="00AA4062">
        <w:t xml:space="preserve"> complete filling.</w:t>
      </w:r>
      <w:r w:rsidR="00270B06">
        <w:t xml:space="preserve"> </w:t>
      </w:r>
      <w:r w:rsidR="00BC75D3">
        <w:t xml:space="preserve">Compared </w:t>
      </w:r>
      <w:r w:rsidR="00740291">
        <w:t>to</w:t>
      </w:r>
      <w:r w:rsidR="00BC75D3">
        <w:t xml:space="preserve"> the previous case</w:t>
      </w:r>
      <w:r w:rsidR="00270B06">
        <w:t xml:space="preserve">, </w:t>
      </w:r>
      <w:r w:rsidR="00493F36">
        <w:t>t</w:t>
      </w:r>
      <w:r w:rsidR="00BC75D3">
        <w:t>his</w:t>
      </w:r>
      <w:r w:rsidR="00493F36">
        <w:t xml:space="preserve"> leak</w:t>
      </w:r>
      <w:r w:rsidR="00BC75D3">
        <w:t xml:space="preserve"> type</w:t>
      </w:r>
      <w:r w:rsidR="00493F36">
        <w:t xml:space="preserve"> is easier to detect but</w:t>
      </w:r>
      <w:r w:rsidR="001B1E87">
        <w:t xml:space="preserve"> its ignition is significantly more likely</w:t>
      </w:r>
      <w:r w:rsidR="00493F36">
        <w:t>.</w:t>
      </w:r>
      <w:r w:rsidRPr="00AA4062">
        <w:t xml:space="preserve"> HyRAM+ V5.0 is a software toolkit for the risk assessment of hydrogen technologies. </w:t>
      </w:r>
      <w:r w:rsidR="00CA4DAA">
        <w:t>O</w:t>
      </w:r>
      <w:r w:rsidRPr="00AA4062">
        <w:t>nly the consequence</w:t>
      </w:r>
      <w:r w:rsidR="00CA4DAA">
        <w:t>s</w:t>
      </w:r>
      <w:r w:rsidRPr="00AA4062">
        <w:t xml:space="preserve"> of </w:t>
      </w:r>
      <w:r w:rsidR="005C7899">
        <w:t>unintended</w:t>
      </w:r>
      <w:r w:rsidRPr="00AA4062">
        <w:t xml:space="preserve"> release</w:t>
      </w:r>
      <w:r w:rsidR="00CA4DAA">
        <w:t>s</w:t>
      </w:r>
      <w:r w:rsidRPr="00AA4062">
        <w:t xml:space="preserve"> </w:t>
      </w:r>
      <w:r w:rsidR="006841E9">
        <w:t>were</w:t>
      </w:r>
      <w:r w:rsidRPr="00AA4062">
        <w:t xml:space="preserve"> considered</w:t>
      </w:r>
      <w:r w:rsidR="006841E9">
        <w:t xml:space="preserve"> </w:t>
      </w:r>
      <w:r w:rsidR="002D7949">
        <w:t xml:space="preserve">since </w:t>
      </w:r>
      <w:r w:rsidR="007308AD">
        <w:t>quantifying</w:t>
      </w:r>
      <w:r w:rsidR="00CA4DAA">
        <w:t xml:space="preserve"> the </w:t>
      </w:r>
      <w:r w:rsidRPr="00AA4062">
        <w:t>probability of such event</w:t>
      </w:r>
      <w:r w:rsidR="00CA4DAA">
        <w:t>s</w:t>
      </w:r>
      <w:r w:rsidRPr="00AA4062">
        <w:t xml:space="preserve"> is </w:t>
      </w:r>
      <w:r w:rsidR="00CA4DAA">
        <w:t>out of the scope of this study</w:t>
      </w:r>
      <w:r w:rsidRPr="00AA4062">
        <w:t xml:space="preserve">. The algorithms and physics models implemented in HyRAM+ have been validated against experimental data and allow for a simplified simulation of ignited and unignited releases. For the trajectory of the plume, HyRAM+ follows </w:t>
      </w:r>
      <w:r w:rsidR="007A4F2C">
        <w:t>a</w:t>
      </w:r>
      <w:r w:rsidRPr="00AA4062">
        <w:t xml:space="preserve"> one-dimensional model</w:t>
      </w:r>
      <w:r w:rsidR="0014744E">
        <w:t>,</w:t>
      </w:r>
      <w:r w:rsidRPr="00AA4062">
        <w:t xml:space="preserve"> </w:t>
      </w:r>
      <w:r w:rsidR="007A4F2C">
        <w:t>according to which</w:t>
      </w:r>
      <w:r w:rsidRPr="00AA4062">
        <w:t xml:space="preserve"> the hydrogen flow can curve due to the buoyancy effects. A Gaussian profile is used as input for the one-dimensional dispersion model (Morales et al., 2019). The input parameters for the</w:t>
      </w:r>
      <w:r w:rsidR="005E6137">
        <w:t xml:space="preserve"> two</w:t>
      </w:r>
      <w:r w:rsidR="007769D6">
        <w:t xml:space="preserve"> release</w:t>
      </w:r>
      <w:r w:rsidRPr="00AA4062">
        <w:t xml:space="preserve"> simulations are summarized in </w:t>
      </w:r>
      <w:r w:rsidR="001F4819" w:rsidRPr="00AA4062">
        <w:fldChar w:fldCharType="begin"/>
      </w:r>
      <w:r w:rsidR="001F4819" w:rsidRPr="00AA4062">
        <w:instrText xml:space="preserve"> REF _Ref133582009 \h </w:instrText>
      </w:r>
      <w:r w:rsidRPr="00AA4062">
        <w:instrText xml:space="preserve"> \* MERGEFORMAT </w:instrText>
      </w:r>
      <w:r w:rsidR="001F4819" w:rsidRPr="00AA4062">
        <w:fldChar w:fldCharType="separate"/>
      </w:r>
      <w:r w:rsidR="001F4819" w:rsidRPr="00AA4062">
        <w:t>Table 1</w:t>
      </w:r>
      <w:r w:rsidR="001F4819" w:rsidRPr="00AA4062">
        <w:fldChar w:fldCharType="end"/>
      </w:r>
      <w:r w:rsidR="001F4819" w:rsidRPr="00AA4062">
        <w:t>.</w:t>
      </w:r>
    </w:p>
    <w:p w14:paraId="3D6BB685" w14:textId="1EDE27C6" w:rsidR="008B3F49" w:rsidRDefault="008B3F49" w:rsidP="00842144">
      <w:pPr>
        <w:pStyle w:val="CETTabletitle"/>
      </w:pPr>
      <w:bookmarkStart w:id="1" w:name="_Ref133582009"/>
      <w:r>
        <w:t xml:space="preserve">Table </w:t>
      </w:r>
      <w:r>
        <w:fldChar w:fldCharType="begin"/>
      </w:r>
      <w:r>
        <w:instrText xml:space="preserve"> SEQ Table \* ARABIC </w:instrText>
      </w:r>
      <w:r>
        <w:fldChar w:fldCharType="separate"/>
      </w:r>
      <w:r w:rsidR="00914487">
        <w:rPr>
          <w:noProof/>
        </w:rPr>
        <w:t>1</w:t>
      </w:r>
      <w:r>
        <w:fldChar w:fldCharType="end"/>
      </w:r>
      <w:bookmarkEnd w:id="1"/>
      <w:r>
        <w:t xml:space="preserve">: Input parameters for the </w:t>
      </w:r>
      <w:r w:rsidR="00842144">
        <w:t>HyRAM+ simulations</w:t>
      </w:r>
      <w:r w:rsidR="004347F4">
        <w:t xml:space="preserve"> of two release scenarios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60"/>
        <w:gridCol w:w="810"/>
        <w:gridCol w:w="1620"/>
        <w:gridCol w:w="1620"/>
      </w:tblGrid>
      <w:tr w:rsidR="007105C0" w:rsidRPr="00B57B36" w14:paraId="421C94C4" w14:textId="77777777" w:rsidTr="00330347">
        <w:tc>
          <w:tcPr>
            <w:tcW w:w="2160" w:type="dxa"/>
            <w:tcBorders>
              <w:top w:val="single" w:sz="12" w:space="0" w:color="008000"/>
              <w:bottom w:val="single" w:sz="6" w:space="0" w:color="008000"/>
            </w:tcBorders>
            <w:shd w:val="clear" w:color="auto" w:fill="FFFFFF"/>
          </w:tcPr>
          <w:p w14:paraId="0792C241" w14:textId="3C2589B8" w:rsidR="007105C0" w:rsidRPr="00B57B36" w:rsidRDefault="00330347" w:rsidP="0066003D">
            <w:pPr>
              <w:pStyle w:val="CETBodytext"/>
              <w:rPr>
                <w:lang w:val="en-GB"/>
              </w:rPr>
            </w:pPr>
            <w:bookmarkStart w:id="2" w:name="_Hlk133927029"/>
            <w:r>
              <w:rPr>
                <w:lang w:val="en-GB"/>
              </w:rPr>
              <w:t>Variable</w:t>
            </w:r>
          </w:p>
        </w:tc>
        <w:tc>
          <w:tcPr>
            <w:tcW w:w="810" w:type="dxa"/>
            <w:tcBorders>
              <w:top w:val="single" w:sz="12" w:space="0" w:color="008000"/>
              <w:bottom w:val="single" w:sz="6" w:space="0" w:color="008000"/>
            </w:tcBorders>
            <w:shd w:val="clear" w:color="auto" w:fill="FFFFFF"/>
          </w:tcPr>
          <w:p w14:paraId="095DF95A" w14:textId="2960930F" w:rsidR="007105C0" w:rsidRDefault="007105C0" w:rsidP="0066003D">
            <w:pPr>
              <w:pStyle w:val="CETBodytext"/>
              <w:rPr>
                <w:lang w:val="en-GB"/>
              </w:rPr>
            </w:pPr>
            <w:r>
              <w:rPr>
                <w:lang w:val="en-GB"/>
              </w:rPr>
              <w:t>Unit</w:t>
            </w:r>
          </w:p>
        </w:tc>
        <w:tc>
          <w:tcPr>
            <w:tcW w:w="1620" w:type="dxa"/>
            <w:tcBorders>
              <w:top w:val="single" w:sz="12" w:space="0" w:color="008000"/>
              <w:bottom w:val="single" w:sz="6" w:space="0" w:color="008000"/>
            </w:tcBorders>
            <w:shd w:val="clear" w:color="auto" w:fill="FFFFFF"/>
          </w:tcPr>
          <w:p w14:paraId="2432F20F" w14:textId="72BAF535" w:rsidR="007105C0" w:rsidRPr="00B57B36" w:rsidRDefault="007105C0" w:rsidP="0066003D">
            <w:pPr>
              <w:pStyle w:val="CETBodytext"/>
              <w:rPr>
                <w:lang w:val="en-GB"/>
              </w:rPr>
            </w:pPr>
            <w:r>
              <w:rPr>
                <w:lang w:val="en-GB"/>
              </w:rPr>
              <w:t>Scenario (a)</w:t>
            </w:r>
          </w:p>
        </w:tc>
        <w:tc>
          <w:tcPr>
            <w:tcW w:w="1620" w:type="dxa"/>
            <w:tcBorders>
              <w:top w:val="single" w:sz="12" w:space="0" w:color="008000"/>
              <w:bottom w:val="single" w:sz="6" w:space="0" w:color="008000"/>
            </w:tcBorders>
            <w:shd w:val="clear" w:color="auto" w:fill="FFFFFF"/>
          </w:tcPr>
          <w:p w14:paraId="517CF700" w14:textId="7F55E978" w:rsidR="007105C0" w:rsidRPr="00B57B36" w:rsidRDefault="007105C0" w:rsidP="0066003D">
            <w:pPr>
              <w:pStyle w:val="CETBodytext"/>
              <w:rPr>
                <w:lang w:val="en-GB"/>
              </w:rPr>
            </w:pPr>
            <w:r>
              <w:rPr>
                <w:lang w:val="en-GB"/>
              </w:rPr>
              <w:t>Scenario (b)</w:t>
            </w:r>
          </w:p>
        </w:tc>
      </w:tr>
      <w:tr w:rsidR="007105C0" w:rsidRPr="00B57B36" w14:paraId="414B7BDB" w14:textId="77777777" w:rsidTr="00330347">
        <w:tc>
          <w:tcPr>
            <w:tcW w:w="2160" w:type="dxa"/>
            <w:shd w:val="clear" w:color="auto" w:fill="FFFFFF"/>
          </w:tcPr>
          <w:p w14:paraId="5D83EDE8" w14:textId="061F6E59" w:rsidR="007105C0" w:rsidRPr="00155C41" w:rsidRDefault="005F037B" w:rsidP="0066003D">
            <w:pPr>
              <w:pStyle w:val="CETBodytext"/>
              <w:rPr>
                <w:lang w:val="en-GB"/>
              </w:rPr>
            </w:pPr>
            <w:r>
              <w:rPr>
                <w:lang w:val="en-GB"/>
              </w:rPr>
              <w:t>Tank pressure</w:t>
            </w:r>
          </w:p>
        </w:tc>
        <w:tc>
          <w:tcPr>
            <w:tcW w:w="810" w:type="dxa"/>
            <w:shd w:val="clear" w:color="auto" w:fill="FFFFFF"/>
          </w:tcPr>
          <w:p w14:paraId="78D3C91B" w14:textId="0C254584" w:rsidR="007105C0" w:rsidRDefault="005F037B" w:rsidP="0066003D">
            <w:pPr>
              <w:pStyle w:val="CETBodytext"/>
              <w:rPr>
                <w:rFonts w:cs="Arial"/>
                <w:lang w:val="en-GB"/>
              </w:rPr>
            </w:pPr>
            <w:r>
              <w:rPr>
                <w:rFonts w:cs="Arial"/>
                <w:lang w:val="en-GB"/>
              </w:rPr>
              <w:t>bar</w:t>
            </w:r>
          </w:p>
        </w:tc>
        <w:tc>
          <w:tcPr>
            <w:tcW w:w="1620" w:type="dxa"/>
            <w:shd w:val="clear" w:color="auto" w:fill="FFFFFF"/>
          </w:tcPr>
          <w:p w14:paraId="294ABACB" w14:textId="63B412EE" w:rsidR="007105C0" w:rsidRPr="0008748B" w:rsidRDefault="00330347" w:rsidP="0066003D">
            <w:pPr>
              <w:pStyle w:val="CETBodytext"/>
              <w:rPr>
                <w:lang w:val="en-GB"/>
              </w:rPr>
            </w:pPr>
            <w:r>
              <w:rPr>
                <w:lang w:val="en-GB"/>
              </w:rPr>
              <w:t>5</w:t>
            </w:r>
          </w:p>
        </w:tc>
        <w:tc>
          <w:tcPr>
            <w:tcW w:w="1620" w:type="dxa"/>
            <w:shd w:val="clear" w:color="auto" w:fill="FFFFFF"/>
          </w:tcPr>
          <w:p w14:paraId="32ECCB99" w14:textId="1B2F7F42" w:rsidR="007105C0" w:rsidRPr="00330347" w:rsidRDefault="00330347" w:rsidP="0066003D">
            <w:pPr>
              <w:pStyle w:val="CETBodytext"/>
              <w:rPr>
                <w:lang w:val="en-GB"/>
              </w:rPr>
            </w:pPr>
            <w:r>
              <w:rPr>
                <w:lang w:val="en-GB"/>
              </w:rPr>
              <w:t>700</w:t>
            </w:r>
          </w:p>
        </w:tc>
      </w:tr>
      <w:tr w:rsidR="007105C0" w:rsidRPr="00B57B36" w14:paraId="4EFBE1D7" w14:textId="77777777" w:rsidTr="00330347">
        <w:tc>
          <w:tcPr>
            <w:tcW w:w="2160" w:type="dxa"/>
            <w:shd w:val="clear" w:color="auto" w:fill="FFFFFF"/>
          </w:tcPr>
          <w:p w14:paraId="07DB6125" w14:textId="2DC7AED0" w:rsidR="007105C0" w:rsidRDefault="005F037B" w:rsidP="0066003D">
            <w:pPr>
              <w:pStyle w:val="CETBodytext"/>
              <w:rPr>
                <w:lang w:val="en-GB"/>
              </w:rPr>
            </w:pPr>
            <w:r>
              <w:rPr>
                <w:lang w:val="en-GB"/>
              </w:rPr>
              <w:t>External temperature</w:t>
            </w:r>
          </w:p>
        </w:tc>
        <w:tc>
          <w:tcPr>
            <w:tcW w:w="810" w:type="dxa"/>
            <w:shd w:val="clear" w:color="auto" w:fill="FFFFFF"/>
          </w:tcPr>
          <w:p w14:paraId="17E809E8" w14:textId="18FA104F" w:rsidR="007105C0" w:rsidRDefault="00A623C8" w:rsidP="0066003D">
            <w:pPr>
              <w:pStyle w:val="CETBodytext"/>
              <w:jc w:val="left"/>
              <w:rPr>
                <w:rFonts w:cs="Arial"/>
                <w:lang w:val="en-GB"/>
              </w:rPr>
            </w:pPr>
            <w:r>
              <w:rPr>
                <w:rFonts w:cs="Arial"/>
                <w:lang w:val="en-GB"/>
              </w:rPr>
              <w:t>°C</w:t>
            </w:r>
          </w:p>
        </w:tc>
        <w:tc>
          <w:tcPr>
            <w:tcW w:w="1620" w:type="dxa"/>
            <w:shd w:val="clear" w:color="auto" w:fill="FFFFFF"/>
          </w:tcPr>
          <w:p w14:paraId="062A8117" w14:textId="37C54575" w:rsidR="007105C0" w:rsidRPr="0008748B" w:rsidRDefault="00A623C8" w:rsidP="00A623C8">
            <w:pPr>
              <w:pStyle w:val="CETBodytext"/>
              <w:jc w:val="left"/>
              <w:rPr>
                <w:lang w:val="en-GB"/>
              </w:rPr>
            </w:pPr>
            <w:r>
              <w:rPr>
                <w:lang w:val="en-GB"/>
              </w:rPr>
              <w:t>-15</w:t>
            </w:r>
          </w:p>
        </w:tc>
        <w:tc>
          <w:tcPr>
            <w:tcW w:w="1620" w:type="dxa"/>
            <w:shd w:val="clear" w:color="auto" w:fill="FFFFFF"/>
          </w:tcPr>
          <w:p w14:paraId="27A70F1F" w14:textId="746DEA5F" w:rsidR="007105C0" w:rsidRPr="00B57B36" w:rsidRDefault="00A623C8" w:rsidP="0066003D">
            <w:pPr>
              <w:pStyle w:val="CETBodytext"/>
              <w:rPr>
                <w:lang w:val="en-GB"/>
              </w:rPr>
            </w:pPr>
            <w:r>
              <w:rPr>
                <w:lang w:val="en-GB"/>
              </w:rPr>
              <w:t>-15</w:t>
            </w:r>
          </w:p>
        </w:tc>
      </w:tr>
      <w:tr w:rsidR="00330347" w:rsidRPr="00B57B36" w14:paraId="36133563" w14:textId="77777777" w:rsidTr="00330347">
        <w:tc>
          <w:tcPr>
            <w:tcW w:w="2160" w:type="dxa"/>
            <w:shd w:val="clear" w:color="auto" w:fill="FFFFFF"/>
          </w:tcPr>
          <w:p w14:paraId="12B354DF" w14:textId="77777777" w:rsidR="00330347" w:rsidRDefault="00330347" w:rsidP="0066003D">
            <w:pPr>
              <w:pStyle w:val="CETBodytext"/>
              <w:rPr>
                <w:lang w:val="en-GB"/>
              </w:rPr>
            </w:pPr>
            <w:r>
              <w:rPr>
                <w:lang w:val="en-GB"/>
              </w:rPr>
              <w:t>Hole diameter</w:t>
            </w:r>
          </w:p>
        </w:tc>
        <w:tc>
          <w:tcPr>
            <w:tcW w:w="810" w:type="dxa"/>
            <w:shd w:val="clear" w:color="auto" w:fill="FFFFFF"/>
          </w:tcPr>
          <w:p w14:paraId="04CBBC1E" w14:textId="77777777" w:rsidR="00330347" w:rsidRDefault="00330347" w:rsidP="0066003D">
            <w:pPr>
              <w:pStyle w:val="CETBodytext"/>
              <w:jc w:val="left"/>
              <w:rPr>
                <w:rFonts w:cs="Arial"/>
                <w:lang w:val="en-GB"/>
              </w:rPr>
            </w:pPr>
            <w:r>
              <w:rPr>
                <w:rFonts w:cs="Arial"/>
                <w:lang w:val="en-GB"/>
              </w:rPr>
              <w:t>mm</w:t>
            </w:r>
          </w:p>
        </w:tc>
        <w:tc>
          <w:tcPr>
            <w:tcW w:w="1620" w:type="dxa"/>
            <w:shd w:val="clear" w:color="auto" w:fill="FFFFFF"/>
          </w:tcPr>
          <w:p w14:paraId="16FC7ADB" w14:textId="77777777" w:rsidR="00330347" w:rsidRPr="0008748B" w:rsidRDefault="00330347" w:rsidP="0066003D">
            <w:pPr>
              <w:pStyle w:val="CETBodytext"/>
              <w:jc w:val="left"/>
              <w:rPr>
                <w:lang w:val="en-GB"/>
              </w:rPr>
            </w:pPr>
            <w:r>
              <w:rPr>
                <w:lang w:val="en-GB"/>
              </w:rPr>
              <w:t>6</w:t>
            </w:r>
          </w:p>
        </w:tc>
        <w:tc>
          <w:tcPr>
            <w:tcW w:w="1620" w:type="dxa"/>
            <w:shd w:val="clear" w:color="auto" w:fill="FFFFFF"/>
          </w:tcPr>
          <w:p w14:paraId="6F01E09F" w14:textId="77777777" w:rsidR="00330347" w:rsidRPr="00B57B36" w:rsidRDefault="00330347" w:rsidP="0066003D">
            <w:pPr>
              <w:pStyle w:val="CETBodytext"/>
              <w:rPr>
                <w:lang w:val="en-GB"/>
              </w:rPr>
            </w:pPr>
            <w:r>
              <w:rPr>
                <w:lang w:val="en-GB"/>
              </w:rPr>
              <w:t>1</w:t>
            </w:r>
          </w:p>
        </w:tc>
      </w:tr>
      <w:tr w:rsidR="00C31676" w:rsidRPr="00B57B36" w14:paraId="67756A93" w14:textId="77777777" w:rsidTr="00330347">
        <w:tc>
          <w:tcPr>
            <w:tcW w:w="2160" w:type="dxa"/>
            <w:shd w:val="clear" w:color="auto" w:fill="FFFFFF"/>
          </w:tcPr>
          <w:p w14:paraId="1A09F823" w14:textId="3F2A45D5" w:rsidR="00C31676" w:rsidRDefault="00C31676" w:rsidP="0066003D">
            <w:pPr>
              <w:pStyle w:val="CETBodytext"/>
              <w:rPr>
                <w:lang w:val="en-GB"/>
              </w:rPr>
            </w:pPr>
            <w:r>
              <w:rPr>
                <w:lang w:val="en-GB"/>
              </w:rPr>
              <w:t>Angle of the jet</w:t>
            </w:r>
          </w:p>
        </w:tc>
        <w:tc>
          <w:tcPr>
            <w:tcW w:w="810" w:type="dxa"/>
            <w:shd w:val="clear" w:color="auto" w:fill="FFFFFF"/>
          </w:tcPr>
          <w:p w14:paraId="0B812937" w14:textId="657BEDC0" w:rsidR="00C31676" w:rsidRDefault="00C31676" w:rsidP="0066003D">
            <w:pPr>
              <w:pStyle w:val="CETBodytext"/>
              <w:jc w:val="left"/>
              <w:rPr>
                <w:rFonts w:cs="Arial"/>
                <w:lang w:val="en-GB"/>
              </w:rPr>
            </w:pPr>
            <w:r>
              <w:rPr>
                <w:rFonts w:cs="Arial"/>
                <w:lang w:val="en-GB"/>
              </w:rPr>
              <w:t>°</w:t>
            </w:r>
          </w:p>
        </w:tc>
        <w:tc>
          <w:tcPr>
            <w:tcW w:w="1620" w:type="dxa"/>
            <w:shd w:val="clear" w:color="auto" w:fill="FFFFFF"/>
          </w:tcPr>
          <w:p w14:paraId="7516D5EE" w14:textId="283BD258" w:rsidR="00C31676" w:rsidRDefault="00C31676" w:rsidP="0066003D">
            <w:pPr>
              <w:pStyle w:val="CETBodytext"/>
              <w:jc w:val="left"/>
              <w:rPr>
                <w:lang w:val="en-GB"/>
              </w:rPr>
            </w:pPr>
            <w:r>
              <w:rPr>
                <w:lang w:val="en-GB"/>
              </w:rPr>
              <w:t>90</w:t>
            </w:r>
          </w:p>
        </w:tc>
        <w:tc>
          <w:tcPr>
            <w:tcW w:w="1620" w:type="dxa"/>
            <w:shd w:val="clear" w:color="auto" w:fill="FFFFFF"/>
          </w:tcPr>
          <w:p w14:paraId="0819F916" w14:textId="3F666478" w:rsidR="00C31676" w:rsidRDefault="00C31676" w:rsidP="0066003D">
            <w:pPr>
              <w:pStyle w:val="CETBodytext"/>
              <w:rPr>
                <w:lang w:val="en-GB"/>
              </w:rPr>
            </w:pPr>
            <w:r>
              <w:rPr>
                <w:lang w:val="en-GB"/>
              </w:rPr>
              <w:t>90</w:t>
            </w:r>
          </w:p>
        </w:tc>
      </w:tr>
      <w:tr w:rsidR="00C31676" w:rsidRPr="00B57B36" w14:paraId="2C8A2F63" w14:textId="77777777" w:rsidTr="00330347">
        <w:tc>
          <w:tcPr>
            <w:tcW w:w="2160" w:type="dxa"/>
            <w:shd w:val="clear" w:color="auto" w:fill="FFFFFF"/>
          </w:tcPr>
          <w:p w14:paraId="43752B0C" w14:textId="5B4E17CF" w:rsidR="00C31676" w:rsidRDefault="00C31676" w:rsidP="0066003D">
            <w:pPr>
              <w:pStyle w:val="CETBodytext"/>
              <w:rPr>
                <w:lang w:val="en-GB"/>
              </w:rPr>
            </w:pPr>
            <w:r>
              <w:rPr>
                <w:lang w:val="en-GB"/>
              </w:rPr>
              <w:t>Release phase</w:t>
            </w:r>
          </w:p>
        </w:tc>
        <w:tc>
          <w:tcPr>
            <w:tcW w:w="810" w:type="dxa"/>
            <w:shd w:val="clear" w:color="auto" w:fill="FFFFFF"/>
          </w:tcPr>
          <w:p w14:paraId="01014786" w14:textId="1246E267" w:rsidR="00C31676" w:rsidRDefault="008B3F49" w:rsidP="0066003D">
            <w:pPr>
              <w:pStyle w:val="CETBodytext"/>
              <w:jc w:val="left"/>
              <w:rPr>
                <w:rFonts w:cs="Arial"/>
                <w:lang w:val="en-GB"/>
              </w:rPr>
            </w:pPr>
            <w:r>
              <w:rPr>
                <w:rFonts w:cs="Arial"/>
                <w:lang w:val="en-GB"/>
              </w:rPr>
              <w:t>-</w:t>
            </w:r>
          </w:p>
        </w:tc>
        <w:tc>
          <w:tcPr>
            <w:tcW w:w="1620" w:type="dxa"/>
            <w:shd w:val="clear" w:color="auto" w:fill="FFFFFF"/>
          </w:tcPr>
          <w:p w14:paraId="2921A331" w14:textId="0FDC7F22" w:rsidR="00C31676" w:rsidRDefault="008B3F49" w:rsidP="0066003D">
            <w:pPr>
              <w:pStyle w:val="CETBodytext"/>
              <w:jc w:val="left"/>
              <w:rPr>
                <w:lang w:val="en-GB"/>
              </w:rPr>
            </w:pPr>
            <w:r>
              <w:rPr>
                <w:lang w:val="en-GB"/>
              </w:rPr>
              <w:t>Gas</w:t>
            </w:r>
          </w:p>
        </w:tc>
        <w:tc>
          <w:tcPr>
            <w:tcW w:w="1620" w:type="dxa"/>
            <w:shd w:val="clear" w:color="auto" w:fill="FFFFFF"/>
          </w:tcPr>
          <w:p w14:paraId="0A7E5B88" w14:textId="0DC6A353" w:rsidR="00C31676" w:rsidRDefault="008B3F49" w:rsidP="0066003D">
            <w:pPr>
              <w:pStyle w:val="CETBodytext"/>
              <w:rPr>
                <w:lang w:val="en-GB"/>
              </w:rPr>
            </w:pPr>
            <w:r>
              <w:rPr>
                <w:lang w:val="en-GB"/>
              </w:rPr>
              <w:t>Gas</w:t>
            </w:r>
          </w:p>
        </w:tc>
      </w:tr>
      <w:bookmarkEnd w:id="2"/>
    </w:tbl>
    <w:p w14:paraId="56C9697D" w14:textId="63C45F8D" w:rsidR="003B7C0A" w:rsidRDefault="003B7C0A" w:rsidP="003B7C0A">
      <w:pPr>
        <w:pStyle w:val="CETBodytext"/>
      </w:pPr>
    </w:p>
    <w:p w14:paraId="6362EDFB" w14:textId="5545EA03" w:rsidR="00D75677" w:rsidRDefault="003B22CD" w:rsidP="00AA4062">
      <w:pPr>
        <w:pStyle w:val="CETheadingx"/>
      </w:pPr>
      <w:r>
        <w:t xml:space="preserve">3.2 </w:t>
      </w:r>
      <w:r w:rsidR="00383CA2">
        <w:t>Genetic algorithm</w:t>
      </w:r>
    </w:p>
    <w:p w14:paraId="4E7353BD" w14:textId="075B3051" w:rsidR="007A68C0" w:rsidRDefault="003C76BC" w:rsidP="00CE350B">
      <w:pPr>
        <w:pStyle w:val="CETBodytext"/>
      </w:pPr>
      <w:r>
        <w:t xml:space="preserve">The </w:t>
      </w:r>
      <w:r w:rsidR="00D349E1">
        <w:t xml:space="preserve">sensor should be </w:t>
      </w:r>
      <w:r w:rsidR="0093492A">
        <w:t>properly placed on the tank surface to guarantee the highest detectio</w:t>
      </w:r>
      <w:r w:rsidR="005A0B45">
        <w:t xml:space="preserve">n capability while minimizing the number of sensors required. </w:t>
      </w:r>
      <w:r w:rsidR="005C1AAD">
        <w:t>G</w:t>
      </w:r>
      <w:r w:rsidR="00241091">
        <w:t>enetic algorithm</w:t>
      </w:r>
      <w:r w:rsidR="005C1AAD">
        <w:t>s</w:t>
      </w:r>
      <w:r w:rsidR="003E5E49">
        <w:t xml:space="preserve"> (GA)</w:t>
      </w:r>
      <w:r w:rsidR="00CE350B">
        <w:t xml:space="preserve"> </w:t>
      </w:r>
      <w:r w:rsidR="005C1AAD">
        <w:t>are</w:t>
      </w:r>
      <w:r w:rsidR="00CE350B">
        <w:t xml:space="preserve"> </w:t>
      </w:r>
      <w:r w:rsidR="002B3649">
        <w:t>frequently used</w:t>
      </w:r>
      <w:r w:rsidR="00CE350B">
        <w:t xml:space="preserve"> </w:t>
      </w:r>
      <w:r w:rsidR="00757E80">
        <w:t xml:space="preserve">to solve </w:t>
      </w:r>
      <w:r w:rsidR="009E4413">
        <w:t xml:space="preserve">such </w:t>
      </w:r>
      <w:r w:rsidR="00757E80">
        <w:t xml:space="preserve">optimization problems that cannot be </w:t>
      </w:r>
      <w:r w:rsidR="007A68C0">
        <w:t xml:space="preserve">effectively </w:t>
      </w:r>
      <w:r w:rsidR="00F62131">
        <w:t>address</w:t>
      </w:r>
      <w:r w:rsidR="007A68C0">
        <w:t>ed by</w:t>
      </w:r>
      <w:r w:rsidR="00CE350B">
        <w:t xml:space="preserve"> conventional optimization techniques</w:t>
      </w:r>
      <w:r w:rsidR="007A68C0">
        <w:t xml:space="preserve">. </w:t>
      </w:r>
      <w:r w:rsidR="002158A9">
        <w:t>A GA</w:t>
      </w:r>
      <w:r w:rsidR="007A68C0">
        <w:t xml:space="preserve"> is co</w:t>
      </w:r>
      <w:r w:rsidR="00022EAB">
        <w:t>mposed of</w:t>
      </w:r>
      <w:r w:rsidR="00DD5AAE">
        <w:t xml:space="preserve"> a sequence of functions </w:t>
      </w:r>
      <w:r w:rsidR="002158A9">
        <w:t>aimed</w:t>
      </w:r>
      <w:r w:rsidR="00D95685">
        <w:t xml:space="preserve"> at </w:t>
      </w:r>
      <w:r w:rsidR="002158A9">
        <w:t>identify</w:t>
      </w:r>
      <w:r w:rsidR="00D95685">
        <w:t xml:space="preserve">ing the </w:t>
      </w:r>
      <w:r w:rsidR="00595737">
        <w:t>best</w:t>
      </w:r>
      <w:r w:rsidR="00B33EF4">
        <w:t>-</w:t>
      </w:r>
      <w:r w:rsidR="00595737">
        <w:t xml:space="preserve">fitting option to achieve a </w:t>
      </w:r>
      <w:r w:rsidR="008A117A">
        <w:t>pre-determined</w:t>
      </w:r>
      <w:r w:rsidR="00595737">
        <w:t xml:space="preserve"> objective</w:t>
      </w:r>
      <w:r w:rsidR="007A1B38">
        <w:t>.</w:t>
      </w:r>
      <w:r w:rsidR="007D4679">
        <w:t xml:space="preserve"> </w:t>
      </w:r>
      <w:r w:rsidR="000C06E0">
        <w:t>For</w:t>
      </w:r>
      <w:r w:rsidR="000D3DA3">
        <w:t xml:space="preserve"> this study</w:t>
      </w:r>
      <w:r w:rsidR="00D6137A">
        <w:t xml:space="preserve">, the </w:t>
      </w:r>
      <w:r w:rsidR="00BF176B">
        <w:t>algorithm</w:t>
      </w:r>
      <w:r w:rsidR="00836B98">
        <w:t xml:space="preserve">’s goal </w:t>
      </w:r>
      <w:r w:rsidR="000D3DA3">
        <w:t>was</w:t>
      </w:r>
      <w:r w:rsidR="00836B98">
        <w:t xml:space="preserve"> to indicate the position of UGLDs </w:t>
      </w:r>
      <w:r w:rsidR="000C06E0">
        <w:t>ensuring a</w:t>
      </w:r>
      <w:r w:rsidR="004C64F5">
        <w:t xml:space="preserve"> target detection performance</w:t>
      </w:r>
      <w:r w:rsidR="000C06E0">
        <w:t xml:space="preserve"> level</w:t>
      </w:r>
      <w:r w:rsidR="004C64F5">
        <w:t>.</w:t>
      </w:r>
      <w:r w:rsidR="005B3DEC">
        <w:t xml:space="preserve"> </w:t>
      </w:r>
      <w:r w:rsidR="000C06E0">
        <w:t>In detail, t</w:t>
      </w:r>
      <w:r w:rsidR="007D4679">
        <w:t>he m</w:t>
      </w:r>
      <w:r w:rsidR="00751BF0">
        <w:t>ain</w:t>
      </w:r>
      <w:r w:rsidR="007D4679">
        <w:t xml:space="preserve"> functions </w:t>
      </w:r>
      <w:r w:rsidR="005B3DEC">
        <w:t>of</w:t>
      </w:r>
      <w:r w:rsidR="007D4679">
        <w:t xml:space="preserve"> the GA </w:t>
      </w:r>
      <w:r w:rsidR="002A52FB">
        <w:t xml:space="preserve">for the optimization of the sensors’ positioning </w:t>
      </w:r>
      <w:r w:rsidR="007D4679">
        <w:t>ar</w:t>
      </w:r>
      <w:r w:rsidR="002A52FB">
        <w:t>e</w:t>
      </w:r>
      <w:r w:rsidR="00F25104">
        <w:t>:</w:t>
      </w:r>
    </w:p>
    <w:p w14:paraId="356981D7" w14:textId="4F15B623" w:rsidR="00976166" w:rsidRDefault="00F25104" w:rsidP="00B27768">
      <w:pPr>
        <w:pStyle w:val="CETBodytext"/>
        <w:numPr>
          <w:ilvl w:val="0"/>
          <w:numId w:val="28"/>
        </w:numPr>
      </w:pPr>
      <w:r w:rsidRPr="00BD35C3">
        <w:rPr>
          <w:b/>
          <w:bCs/>
        </w:rPr>
        <w:t>Initial population</w:t>
      </w:r>
      <w:r w:rsidR="00B779D1">
        <w:rPr>
          <w:b/>
          <w:bCs/>
        </w:rPr>
        <w:t xml:space="preserve"> function</w:t>
      </w:r>
      <w:r>
        <w:t xml:space="preserve"> – </w:t>
      </w:r>
      <w:r w:rsidR="00B779D1">
        <w:t>This function</w:t>
      </w:r>
      <w:r>
        <w:t xml:space="preserve"> generates </w:t>
      </w:r>
      <w:r w:rsidR="005419B1">
        <w:t>a</w:t>
      </w:r>
      <w:r>
        <w:t xml:space="preserve"> set of </w:t>
      </w:r>
      <w:r w:rsidR="00164C17">
        <w:t>possible</w:t>
      </w:r>
      <w:r>
        <w:t xml:space="preserve"> solutions</w:t>
      </w:r>
      <w:r w:rsidR="00164C17">
        <w:t xml:space="preserve">; in this case, </w:t>
      </w:r>
      <w:r w:rsidR="00B27768">
        <w:t>the initial population is composed of</w:t>
      </w:r>
      <w:r w:rsidR="00926389">
        <w:t xml:space="preserve"> a certain number of sensors located in different positions, which are identified</w:t>
      </w:r>
      <w:r w:rsidR="00976166">
        <w:t xml:space="preserve"> by </w:t>
      </w:r>
      <w:r w:rsidR="00926389">
        <w:t>the</w:t>
      </w:r>
      <w:r w:rsidR="00976166">
        <w:t xml:space="preserve"> coordinates (x,</w:t>
      </w:r>
      <w:r w:rsidR="00B779D1">
        <w:t xml:space="preserve"> </w:t>
      </w:r>
      <w:r w:rsidR="00976166">
        <w:t>y,</w:t>
      </w:r>
      <w:r w:rsidR="00B779D1">
        <w:t xml:space="preserve"> </w:t>
      </w:r>
      <w:r w:rsidR="00976166">
        <w:t>z)</w:t>
      </w:r>
      <w:r w:rsidR="001C7816">
        <w:t xml:space="preserve"> in a grid</w:t>
      </w:r>
      <w:r w:rsidR="00976166">
        <w:t>.</w:t>
      </w:r>
    </w:p>
    <w:p w14:paraId="0A80B9EA" w14:textId="64EAB57C" w:rsidR="00976166" w:rsidRDefault="002A52FB" w:rsidP="00976166">
      <w:pPr>
        <w:pStyle w:val="CETBodytext"/>
        <w:numPr>
          <w:ilvl w:val="0"/>
          <w:numId w:val="28"/>
        </w:numPr>
      </w:pPr>
      <w:r w:rsidRPr="00BD35C3">
        <w:rPr>
          <w:b/>
          <w:bCs/>
        </w:rPr>
        <w:t>Detection performance</w:t>
      </w:r>
      <w:r w:rsidR="00B779D1">
        <w:rPr>
          <w:b/>
          <w:bCs/>
        </w:rPr>
        <w:t xml:space="preserve"> function</w:t>
      </w:r>
      <w:r>
        <w:t xml:space="preserve"> – </w:t>
      </w:r>
      <w:r w:rsidR="00354E8C">
        <w:t xml:space="preserve">This function </w:t>
      </w:r>
      <w:r w:rsidR="0072467F">
        <w:t>uses</w:t>
      </w:r>
      <w:r w:rsidR="00354E8C">
        <w:t xml:space="preserve"> the initial population as input and determines the detection performance for each </w:t>
      </w:r>
      <w:r w:rsidR="008966DA">
        <w:t>sensor’s configuration</w:t>
      </w:r>
      <w:r w:rsidR="0072467F">
        <w:t>.</w:t>
      </w:r>
      <w:r w:rsidR="00D06FF5">
        <w:t xml:space="preserve"> It evaluates if each point </w:t>
      </w:r>
      <w:r w:rsidR="00067C85">
        <w:t>of</w:t>
      </w:r>
      <w:r w:rsidR="00D06FF5">
        <w:t xml:space="preserve"> the tridimensional grid</w:t>
      </w:r>
      <w:r w:rsidR="009E2214">
        <w:t xml:space="preserve"> fall</w:t>
      </w:r>
      <w:r w:rsidR="00067C85">
        <w:t>s</w:t>
      </w:r>
      <w:r w:rsidR="009E2214">
        <w:t xml:space="preserve"> </w:t>
      </w:r>
      <w:r w:rsidR="00067C85">
        <w:t>with</w:t>
      </w:r>
      <w:r w:rsidR="009E2214">
        <w:t>in the coverage area of at least one sensor</w:t>
      </w:r>
      <w:r w:rsidR="00067C85">
        <w:t xml:space="preserve"> and calculates the detection probability </w:t>
      </w:r>
      <w:r w:rsidR="00524FE6">
        <w:t>by</w:t>
      </w:r>
      <w:r w:rsidR="00B30B96">
        <w:t xml:space="preserve"> dividing the number of</w:t>
      </w:r>
      <w:r w:rsidR="00E80EB0">
        <w:t xml:space="preserve"> detected</w:t>
      </w:r>
      <w:r w:rsidR="00B30B96">
        <w:t xml:space="preserve"> </w:t>
      </w:r>
      <w:r w:rsidR="00DE4B16">
        <w:t>nodes by the total number of nodes.</w:t>
      </w:r>
    </w:p>
    <w:p w14:paraId="00C38585" w14:textId="6394A77D" w:rsidR="00DF3FE1" w:rsidRDefault="00DF3FE1" w:rsidP="00976166">
      <w:pPr>
        <w:pStyle w:val="CETBodytext"/>
        <w:numPr>
          <w:ilvl w:val="0"/>
          <w:numId w:val="28"/>
        </w:numPr>
      </w:pPr>
      <w:r w:rsidRPr="00BD35C3">
        <w:rPr>
          <w:b/>
          <w:bCs/>
        </w:rPr>
        <w:t>Fitness function</w:t>
      </w:r>
      <w:r>
        <w:t xml:space="preserve"> – </w:t>
      </w:r>
      <w:r w:rsidR="0043592A">
        <w:t>This function</w:t>
      </w:r>
      <w:r w:rsidR="00073ECF">
        <w:t xml:space="preserve"> takes the detection probability</w:t>
      </w:r>
      <w:r w:rsidR="007C54B0">
        <w:t xml:space="preserve"> of each sensor’s configuration and compares it with the target </w:t>
      </w:r>
      <w:r w:rsidR="00052839">
        <w:t>performance</w:t>
      </w:r>
      <w:r w:rsidR="001D16B1">
        <w:t>; t</w:t>
      </w:r>
      <w:r w:rsidR="00052839">
        <w:t xml:space="preserve">he lower the value of the fitness function, the closer </w:t>
      </w:r>
      <w:r w:rsidR="003331BF">
        <w:t xml:space="preserve">will be the optimal configuration of UGLD on the </w:t>
      </w:r>
      <w:r w:rsidR="001D16B1">
        <w:t>tank.</w:t>
      </w:r>
    </w:p>
    <w:p w14:paraId="1BA44EB0" w14:textId="0A6F3C9A" w:rsidR="001D16B1" w:rsidRDefault="00BD35C3" w:rsidP="00976166">
      <w:pPr>
        <w:pStyle w:val="CETBodytext"/>
        <w:numPr>
          <w:ilvl w:val="0"/>
          <w:numId w:val="28"/>
        </w:numPr>
      </w:pPr>
      <w:r w:rsidRPr="003B6C0B">
        <w:rPr>
          <w:b/>
          <w:bCs/>
        </w:rPr>
        <w:t>Mutate</w:t>
      </w:r>
      <w:r w:rsidR="0043592A">
        <w:rPr>
          <w:b/>
          <w:bCs/>
        </w:rPr>
        <w:t xml:space="preserve"> function</w:t>
      </w:r>
      <w:r>
        <w:t xml:space="preserve"> – </w:t>
      </w:r>
      <w:r w:rsidR="0043592A">
        <w:t>This function</w:t>
      </w:r>
      <w:r w:rsidR="00B51866">
        <w:t xml:space="preserve"> takes </w:t>
      </w:r>
      <w:r w:rsidR="00E45C91">
        <w:t>a</w:t>
      </w:r>
      <w:r w:rsidR="00B51866">
        <w:t xml:space="preserve"> </w:t>
      </w:r>
      <w:r w:rsidR="000508F2">
        <w:t>spatial configuratio</w:t>
      </w:r>
      <w:r w:rsidR="00072CDE">
        <w:t>n</w:t>
      </w:r>
      <w:r w:rsidR="00B51866">
        <w:t xml:space="preserve"> as input and </w:t>
      </w:r>
      <w:r w:rsidR="009332DB">
        <w:t xml:space="preserve">randomly </w:t>
      </w:r>
      <w:r w:rsidR="007B2571">
        <w:t>adds</w:t>
      </w:r>
      <w:r w:rsidR="00E45C91">
        <w:t xml:space="preserve"> or </w:t>
      </w:r>
      <w:r w:rsidR="007B2571">
        <w:t xml:space="preserve">removes </w:t>
      </w:r>
      <w:r w:rsidR="00F512D1">
        <w:t>one of the</w:t>
      </w:r>
      <w:r w:rsidR="007B2571">
        <w:t xml:space="preserve"> sensor</w:t>
      </w:r>
      <w:r w:rsidR="00F512D1">
        <w:t>s</w:t>
      </w:r>
      <w:r w:rsidR="005A08D2">
        <w:t xml:space="preserve"> </w:t>
      </w:r>
      <w:r w:rsidR="001F52AA">
        <w:t>(</w:t>
      </w:r>
      <w:r w:rsidR="00DA1A89">
        <w:t>with a 50% probability</w:t>
      </w:r>
      <w:r w:rsidR="001F52AA">
        <w:t>)</w:t>
      </w:r>
      <w:r w:rsidR="003B6C0B">
        <w:t>.</w:t>
      </w:r>
    </w:p>
    <w:p w14:paraId="2B6C9630" w14:textId="005F7057" w:rsidR="003B6C0B" w:rsidRDefault="003B6C0B" w:rsidP="00976166">
      <w:pPr>
        <w:pStyle w:val="CETBodytext"/>
        <w:numPr>
          <w:ilvl w:val="0"/>
          <w:numId w:val="28"/>
        </w:numPr>
      </w:pPr>
      <w:r>
        <w:rPr>
          <w:b/>
          <w:bCs/>
        </w:rPr>
        <w:t>Crossover</w:t>
      </w:r>
      <w:r w:rsidR="00427900">
        <w:rPr>
          <w:b/>
          <w:bCs/>
        </w:rPr>
        <w:t xml:space="preserve"> function</w:t>
      </w:r>
      <w:r>
        <w:rPr>
          <w:b/>
          <w:bCs/>
        </w:rPr>
        <w:t xml:space="preserve"> </w:t>
      </w:r>
      <w:r>
        <w:t xml:space="preserve">– </w:t>
      </w:r>
      <w:r w:rsidR="005A13F6">
        <w:t xml:space="preserve">This function </w:t>
      </w:r>
      <w:r w:rsidR="00E6784E">
        <w:t>considers</w:t>
      </w:r>
      <w:r w:rsidR="005A13F6">
        <w:t xml:space="preserve"> two sets of sensors (the so</w:t>
      </w:r>
      <w:r w:rsidR="00941826">
        <w:t>-</w:t>
      </w:r>
      <w:r w:rsidR="005A13F6">
        <w:t>called “parents”)</w:t>
      </w:r>
      <w:r w:rsidR="0068707F">
        <w:t xml:space="preserve"> as inputs</w:t>
      </w:r>
      <w:r w:rsidR="00597684">
        <w:t>,</w:t>
      </w:r>
      <w:r w:rsidR="00ED1DCC">
        <w:t xml:space="preserve"> </w:t>
      </w:r>
      <w:r w:rsidR="00E6784E">
        <w:t>tak</w:t>
      </w:r>
      <w:r w:rsidR="00597684">
        <w:t>ing</w:t>
      </w:r>
      <w:r w:rsidR="00E6784E">
        <w:t xml:space="preserve"> half </w:t>
      </w:r>
      <w:r w:rsidR="00403539">
        <w:t>the sensors from the first parent and the other half from the second</w:t>
      </w:r>
      <w:r w:rsidR="00ED1DCC">
        <w:t>; it</w:t>
      </w:r>
      <w:r w:rsidR="0068707F">
        <w:t xml:space="preserve"> </w:t>
      </w:r>
      <w:r w:rsidR="00597684">
        <w:t>produces</w:t>
      </w:r>
      <w:r w:rsidR="0068707F">
        <w:t xml:space="preserve"> a random combination of th</w:t>
      </w:r>
      <w:r w:rsidR="00ED1DCC">
        <w:t>ese detector</w:t>
      </w:r>
      <w:r w:rsidR="00343A1F">
        <w:t xml:space="preserve"> configuration</w:t>
      </w:r>
      <w:r w:rsidR="00ED1DCC">
        <w:t>s</w:t>
      </w:r>
      <w:r w:rsidR="00120846">
        <w:t xml:space="preserve"> (the “child” sensors’ set)</w:t>
      </w:r>
      <w:r w:rsidR="006C7C59">
        <w:t xml:space="preserve"> as an output.</w:t>
      </w:r>
    </w:p>
    <w:p w14:paraId="522C6529" w14:textId="39515E4F" w:rsidR="006C7C59" w:rsidRDefault="006C7C59" w:rsidP="00976166">
      <w:pPr>
        <w:pStyle w:val="CETBodytext"/>
        <w:numPr>
          <w:ilvl w:val="0"/>
          <w:numId w:val="28"/>
        </w:numPr>
      </w:pPr>
      <w:r>
        <w:rPr>
          <w:b/>
          <w:bCs/>
        </w:rPr>
        <w:t>Selection</w:t>
      </w:r>
      <w:r w:rsidR="003F4601">
        <w:rPr>
          <w:b/>
          <w:bCs/>
        </w:rPr>
        <w:t xml:space="preserve"> function</w:t>
      </w:r>
      <w:r>
        <w:rPr>
          <w:b/>
          <w:bCs/>
        </w:rPr>
        <w:t xml:space="preserve"> </w:t>
      </w:r>
      <w:r>
        <w:t xml:space="preserve">– </w:t>
      </w:r>
      <w:r w:rsidR="003F4601">
        <w:t>This function</w:t>
      </w:r>
      <w:r w:rsidR="003B7653">
        <w:t xml:space="preserve"> calculates the fitness function</w:t>
      </w:r>
      <w:r w:rsidR="004F7BDF">
        <w:t>s</w:t>
      </w:r>
      <w:r w:rsidR="003B7653">
        <w:t xml:space="preserve"> for the “child” sensor combinations</w:t>
      </w:r>
      <w:r w:rsidR="002B1FB6">
        <w:t xml:space="preserve">, </w:t>
      </w:r>
      <w:r w:rsidR="003B7653">
        <w:t>compare</w:t>
      </w:r>
      <w:r w:rsidR="00E45C91">
        <w:t xml:space="preserve">s </w:t>
      </w:r>
      <w:r w:rsidR="004F7BDF">
        <w:t>them</w:t>
      </w:r>
      <w:r w:rsidR="002B1FB6">
        <w:t xml:space="preserve"> with the “parents”</w:t>
      </w:r>
      <w:r w:rsidR="004F7BDF">
        <w:t xml:space="preserve"> ones, and select</w:t>
      </w:r>
      <w:r w:rsidR="00941826">
        <w:t>s</w:t>
      </w:r>
      <w:r w:rsidR="004F7BDF">
        <w:t xml:space="preserve"> the</w:t>
      </w:r>
      <w:r w:rsidR="009C596F">
        <w:t xml:space="preserve"> set with the</w:t>
      </w:r>
      <w:r w:rsidR="004F7BDF">
        <w:t xml:space="preserve"> </w:t>
      </w:r>
      <w:r w:rsidR="00FA3FEF">
        <w:t>best fitness value</w:t>
      </w:r>
      <w:r w:rsidR="004F7BDF">
        <w:t>.</w:t>
      </w:r>
    </w:p>
    <w:p w14:paraId="2E637F1D" w14:textId="0CFF63FC" w:rsidR="004F7BDF" w:rsidRDefault="0098688C" w:rsidP="00757A67">
      <w:pPr>
        <w:pStyle w:val="CETBodytext"/>
      </w:pPr>
      <w:r>
        <w:t xml:space="preserve">Once the algorithm has implemented all these functions, </w:t>
      </w:r>
      <w:r w:rsidR="00A546D8">
        <w:t xml:space="preserve">the selection function </w:t>
      </w:r>
      <w:r w:rsidR="00B52C0F">
        <w:t>chooses the best</w:t>
      </w:r>
      <w:r w:rsidR="00B40850">
        <w:t xml:space="preserve"> option and proceeds with the next </w:t>
      </w:r>
      <w:r w:rsidR="000E085B">
        <w:t>generation</w:t>
      </w:r>
      <w:r w:rsidR="00B40850">
        <w:t xml:space="preserve"> </w:t>
      </w:r>
      <w:r w:rsidR="00247797">
        <w:t xml:space="preserve">in a loop </w:t>
      </w:r>
      <w:r w:rsidR="00B40850">
        <w:t xml:space="preserve">until the target performance is </w:t>
      </w:r>
      <w:r w:rsidR="00247797">
        <w:t>achieved</w:t>
      </w:r>
      <w:r w:rsidR="0054434F">
        <w:t xml:space="preserve"> (Katoch et al., 2021)</w:t>
      </w:r>
      <w:r w:rsidR="00247797">
        <w:t>.</w:t>
      </w:r>
      <w:r w:rsidR="00C9367C">
        <w:t xml:space="preserve"> </w:t>
      </w:r>
      <w:r w:rsidR="008F7436">
        <w:fldChar w:fldCharType="begin"/>
      </w:r>
      <w:r w:rsidR="008F7436">
        <w:instrText xml:space="preserve"> REF _Ref133927085 \h </w:instrText>
      </w:r>
      <w:r w:rsidR="008F7436">
        <w:fldChar w:fldCharType="separate"/>
      </w:r>
      <w:r w:rsidR="008F7436">
        <w:t xml:space="preserve">Table </w:t>
      </w:r>
      <w:r w:rsidR="008F7436">
        <w:rPr>
          <w:noProof/>
        </w:rPr>
        <w:lastRenderedPageBreak/>
        <w:t>2</w:t>
      </w:r>
      <w:r w:rsidR="008F7436">
        <w:fldChar w:fldCharType="end"/>
      </w:r>
      <w:r w:rsidR="00361F06">
        <w:t xml:space="preserve"> summarizes the input data</w:t>
      </w:r>
      <w:r w:rsidR="008F7436">
        <w:t>.</w:t>
      </w:r>
      <w:r w:rsidR="00591B74">
        <w:t xml:space="preserve"> </w:t>
      </w:r>
      <w:r w:rsidR="00591B74" w:rsidRPr="00591B74">
        <w:t>The population size, the mutation rate, and the number of generations are input parameters for the GA, and they influence the accuracy of the results and the computation time. On the other hand, the tank diameter and height</w:t>
      </w:r>
      <w:r w:rsidR="006B3B39">
        <w:t xml:space="preserve"> depend on the storage system installed in the refueling station</w:t>
      </w:r>
      <w:r w:rsidR="00691BD8">
        <w:t>. T</w:t>
      </w:r>
      <w:r w:rsidR="004E76C7">
        <w:t>he detection diameter is a characteristic of the sensor and depends on the minimum flow rate to detect, the storage pressure, and the n</w:t>
      </w:r>
      <w:r w:rsidR="00104B6B">
        <w:t>oise in the surrounding area.</w:t>
      </w:r>
    </w:p>
    <w:p w14:paraId="785C642E" w14:textId="00CEC0A6" w:rsidR="008F7436" w:rsidRDefault="008F7436" w:rsidP="008F7436">
      <w:pPr>
        <w:pStyle w:val="CETCaption"/>
      </w:pPr>
      <w:bookmarkStart w:id="3" w:name="_Ref133927085"/>
      <w:r>
        <w:t xml:space="preserve">Table </w:t>
      </w:r>
      <w:r>
        <w:fldChar w:fldCharType="begin"/>
      </w:r>
      <w:r>
        <w:instrText xml:space="preserve"> SEQ Table \* ARABIC </w:instrText>
      </w:r>
      <w:r>
        <w:fldChar w:fldCharType="separate"/>
      </w:r>
      <w:r w:rsidR="00914487">
        <w:rPr>
          <w:noProof/>
        </w:rPr>
        <w:t>2</w:t>
      </w:r>
      <w:r>
        <w:fldChar w:fldCharType="end"/>
      </w:r>
      <w:bookmarkEnd w:id="3"/>
      <w:r>
        <w:t>: Input data for the genetic algorithm</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00"/>
        <w:gridCol w:w="1080"/>
        <w:gridCol w:w="1170"/>
        <w:gridCol w:w="1080"/>
        <w:gridCol w:w="1170"/>
        <w:gridCol w:w="1080"/>
        <w:gridCol w:w="1170"/>
        <w:gridCol w:w="1137"/>
      </w:tblGrid>
      <w:tr w:rsidR="00EB29EB" w:rsidRPr="00B57B36" w14:paraId="78FE01F4" w14:textId="2B1CDF96" w:rsidTr="00EB29EB">
        <w:trPr>
          <w:trHeight w:val="420"/>
        </w:trPr>
        <w:tc>
          <w:tcPr>
            <w:tcW w:w="900" w:type="dxa"/>
            <w:tcBorders>
              <w:top w:val="single" w:sz="12" w:space="0" w:color="008000"/>
              <w:bottom w:val="single" w:sz="6" w:space="0" w:color="008000"/>
            </w:tcBorders>
            <w:shd w:val="clear" w:color="auto" w:fill="FFFFFF"/>
          </w:tcPr>
          <w:p w14:paraId="009249D2" w14:textId="77777777" w:rsidR="00EB29EB" w:rsidRPr="00B57B36" w:rsidRDefault="00EB29EB" w:rsidP="00DC5DB0">
            <w:pPr>
              <w:pStyle w:val="CETBodytext"/>
              <w:rPr>
                <w:lang w:val="en-GB"/>
              </w:rPr>
            </w:pPr>
            <w:r>
              <w:rPr>
                <w:lang w:val="en-GB"/>
              </w:rPr>
              <w:t>Variable</w:t>
            </w:r>
          </w:p>
        </w:tc>
        <w:tc>
          <w:tcPr>
            <w:tcW w:w="1080" w:type="dxa"/>
            <w:tcBorders>
              <w:top w:val="single" w:sz="12" w:space="0" w:color="008000"/>
              <w:bottom w:val="single" w:sz="6" w:space="0" w:color="008000"/>
            </w:tcBorders>
            <w:shd w:val="clear" w:color="auto" w:fill="FFFFFF"/>
          </w:tcPr>
          <w:p w14:paraId="0726AD2C" w14:textId="048774EA" w:rsidR="00EB29EB" w:rsidRDefault="00EB29EB" w:rsidP="00DC5DB0">
            <w:pPr>
              <w:pStyle w:val="CETBodytext"/>
              <w:rPr>
                <w:lang w:val="en-GB"/>
              </w:rPr>
            </w:pPr>
            <w:r>
              <w:rPr>
                <w:lang w:val="en-GB"/>
              </w:rPr>
              <w:t>Tank diameter</w:t>
            </w:r>
          </w:p>
        </w:tc>
        <w:tc>
          <w:tcPr>
            <w:tcW w:w="1170" w:type="dxa"/>
            <w:tcBorders>
              <w:top w:val="single" w:sz="12" w:space="0" w:color="008000"/>
              <w:bottom w:val="single" w:sz="6" w:space="0" w:color="008000"/>
            </w:tcBorders>
            <w:shd w:val="clear" w:color="auto" w:fill="FFFFFF"/>
          </w:tcPr>
          <w:p w14:paraId="71CE2715" w14:textId="4FF6A9C4" w:rsidR="00EB29EB" w:rsidRPr="00B57B36" w:rsidRDefault="00EB29EB" w:rsidP="00DC5DB0">
            <w:pPr>
              <w:pStyle w:val="CETBodytext"/>
              <w:rPr>
                <w:lang w:val="en-GB"/>
              </w:rPr>
            </w:pPr>
            <w:r>
              <w:rPr>
                <w:lang w:val="en-GB"/>
              </w:rPr>
              <w:t>Tank height</w:t>
            </w:r>
          </w:p>
        </w:tc>
        <w:tc>
          <w:tcPr>
            <w:tcW w:w="1080" w:type="dxa"/>
            <w:tcBorders>
              <w:top w:val="single" w:sz="12" w:space="0" w:color="008000"/>
              <w:bottom w:val="single" w:sz="6" w:space="0" w:color="008000"/>
            </w:tcBorders>
            <w:shd w:val="clear" w:color="auto" w:fill="FFFFFF"/>
          </w:tcPr>
          <w:p w14:paraId="0CBE3B85" w14:textId="6CD9804C" w:rsidR="00EB29EB" w:rsidRPr="00B57B36" w:rsidRDefault="00041BB7" w:rsidP="00DC5DB0">
            <w:pPr>
              <w:pStyle w:val="CETBodytext"/>
              <w:rPr>
                <w:lang w:val="en-GB"/>
              </w:rPr>
            </w:pPr>
            <w:r>
              <w:rPr>
                <w:lang w:val="en-GB"/>
              </w:rPr>
              <w:t xml:space="preserve">Detection </w:t>
            </w:r>
            <w:r w:rsidR="00EB29EB">
              <w:rPr>
                <w:lang w:val="en-GB"/>
              </w:rPr>
              <w:t>diameter</w:t>
            </w:r>
          </w:p>
        </w:tc>
        <w:tc>
          <w:tcPr>
            <w:tcW w:w="1170" w:type="dxa"/>
            <w:tcBorders>
              <w:top w:val="single" w:sz="12" w:space="0" w:color="008000"/>
              <w:bottom w:val="single" w:sz="6" w:space="0" w:color="008000"/>
            </w:tcBorders>
            <w:shd w:val="clear" w:color="auto" w:fill="FFFFFF"/>
          </w:tcPr>
          <w:p w14:paraId="100AC861" w14:textId="38EAD621" w:rsidR="00EB29EB" w:rsidRDefault="00EB29EB" w:rsidP="00DC5DB0">
            <w:pPr>
              <w:pStyle w:val="CETBodytext"/>
              <w:rPr>
                <w:lang w:val="en-GB"/>
              </w:rPr>
            </w:pPr>
            <w:r>
              <w:rPr>
                <w:lang w:val="en-GB"/>
              </w:rPr>
              <w:t>Target performance</w:t>
            </w:r>
          </w:p>
        </w:tc>
        <w:tc>
          <w:tcPr>
            <w:tcW w:w="1080" w:type="dxa"/>
            <w:tcBorders>
              <w:top w:val="single" w:sz="12" w:space="0" w:color="008000"/>
              <w:bottom w:val="single" w:sz="6" w:space="0" w:color="008000"/>
            </w:tcBorders>
            <w:shd w:val="clear" w:color="auto" w:fill="FFFFFF"/>
          </w:tcPr>
          <w:p w14:paraId="073CE670" w14:textId="6CC054C0" w:rsidR="00EB29EB" w:rsidRDefault="00EB29EB" w:rsidP="00DC5DB0">
            <w:pPr>
              <w:pStyle w:val="CETBodytext"/>
              <w:rPr>
                <w:lang w:val="en-GB"/>
              </w:rPr>
            </w:pPr>
            <w:r>
              <w:rPr>
                <w:lang w:val="en-GB"/>
              </w:rPr>
              <w:t>Population size</w:t>
            </w:r>
          </w:p>
        </w:tc>
        <w:tc>
          <w:tcPr>
            <w:tcW w:w="1170" w:type="dxa"/>
            <w:tcBorders>
              <w:top w:val="single" w:sz="12" w:space="0" w:color="008000"/>
              <w:bottom w:val="single" w:sz="6" w:space="0" w:color="008000"/>
            </w:tcBorders>
            <w:shd w:val="clear" w:color="auto" w:fill="FFFFFF"/>
          </w:tcPr>
          <w:p w14:paraId="482D0BCF" w14:textId="58631D8A" w:rsidR="00EB29EB" w:rsidRDefault="00EB29EB" w:rsidP="00DC5DB0">
            <w:pPr>
              <w:pStyle w:val="CETBodytext"/>
              <w:rPr>
                <w:lang w:val="en-GB"/>
              </w:rPr>
            </w:pPr>
            <w:r>
              <w:rPr>
                <w:lang w:val="en-GB"/>
              </w:rPr>
              <w:t>Mutation rate</w:t>
            </w:r>
          </w:p>
        </w:tc>
        <w:tc>
          <w:tcPr>
            <w:tcW w:w="1137" w:type="dxa"/>
            <w:tcBorders>
              <w:top w:val="single" w:sz="12" w:space="0" w:color="008000"/>
              <w:bottom w:val="single" w:sz="6" w:space="0" w:color="008000"/>
            </w:tcBorders>
            <w:shd w:val="clear" w:color="auto" w:fill="FFFFFF"/>
          </w:tcPr>
          <w:p w14:paraId="0DBA3FF5" w14:textId="108AF520" w:rsidR="00EB29EB" w:rsidRDefault="00EB29EB" w:rsidP="00DC5DB0">
            <w:pPr>
              <w:pStyle w:val="CETBodytext"/>
              <w:rPr>
                <w:lang w:val="en-GB"/>
              </w:rPr>
            </w:pPr>
            <w:r>
              <w:rPr>
                <w:lang w:val="en-GB"/>
              </w:rPr>
              <w:t>Generations</w:t>
            </w:r>
          </w:p>
        </w:tc>
      </w:tr>
      <w:tr w:rsidR="00EB29EB" w:rsidRPr="00B57B36" w14:paraId="5C6B4617" w14:textId="21189900" w:rsidTr="00EB29EB">
        <w:trPr>
          <w:trHeight w:val="309"/>
        </w:trPr>
        <w:tc>
          <w:tcPr>
            <w:tcW w:w="900" w:type="dxa"/>
            <w:shd w:val="clear" w:color="auto" w:fill="FFFFFF"/>
          </w:tcPr>
          <w:p w14:paraId="1678B0FA" w14:textId="538D6B51" w:rsidR="00EB29EB" w:rsidRDefault="00EB29EB" w:rsidP="00DC5DB0">
            <w:pPr>
              <w:pStyle w:val="CETBodytext"/>
              <w:rPr>
                <w:lang w:val="en-GB"/>
              </w:rPr>
            </w:pPr>
            <w:r>
              <w:rPr>
                <w:lang w:val="en-GB"/>
              </w:rPr>
              <w:t>Value</w:t>
            </w:r>
          </w:p>
        </w:tc>
        <w:tc>
          <w:tcPr>
            <w:tcW w:w="1080" w:type="dxa"/>
            <w:shd w:val="clear" w:color="auto" w:fill="FFFFFF"/>
          </w:tcPr>
          <w:p w14:paraId="2F2A28AF" w14:textId="2E28DB8E" w:rsidR="00EB29EB" w:rsidRDefault="005400E3" w:rsidP="00DC5DB0">
            <w:pPr>
              <w:pStyle w:val="CETBodytext"/>
              <w:jc w:val="left"/>
              <w:rPr>
                <w:rFonts w:cs="Arial"/>
                <w:lang w:val="en-GB"/>
              </w:rPr>
            </w:pPr>
            <w:r>
              <w:rPr>
                <w:rFonts w:cs="Arial"/>
                <w:lang w:val="en-GB"/>
              </w:rPr>
              <w:t>4</w:t>
            </w:r>
            <w:r w:rsidR="00F07456">
              <w:rPr>
                <w:rFonts w:cs="Arial"/>
                <w:lang w:val="en-GB"/>
              </w:rPr>
              <w:t xml:space="preserve"> m</w:t>
            </w:r>
          </w:p>
        </w:tc>
        <w:tc>
          <w:tcPr>
            <w:tcW w:w="1170" w:type="dxa"/>
            <w:shd w:val="clear" w:color="auto" w:fill="FFFFFF"/>
          </w:tcPr>
          <w:p w14:paraId="7F678E72" w14:textId="5AD2E5B1" w:rsidR="00EB29EB" w:rsidRDefault="00F07456" w:rsidP="00DC5DB0">
            <w:pPr>
              <w:pStyle w:val="CETBodytext"/>
              <w:jc w:val="left"/>
              <w:rPr>
                <w:lang w:val="en-GB"/>
              </w:rPr>
            </w:pPr>
            <w:r>
              <w:rPr>
                <w:lang w:val="en-GB"/>
              </w:rPr>
              <w:t>5 m</w:t>
            </w:r>
          </w:p>
        </w:tc>
        <w:tc>
          <w:tcPr>
            <w:tcW w:w="1080" w:type="dxa"/>
            <w:shd w:val="clear" w:color="auto" w:fill="FFFFFF"/>
          </w:tcPr>
          <w:p w14:paraId="42D0B98E" w14:textId="3A278BEA" w:rsidR="00EB29EB" w:rsidRDefault="006D7E18" w:rsidP="00DC5DB0">
            <w:pPr>
              <w:pStyle w:val="CETBodytext"/>
              <w:rPr>
                <w:lang w:val="en-GB"/>
              </w:rPr>
            </w:pPr>
            <w:r>
              <w:rPr>
                <w:lang w:val="en-GB"/>
              </w:rPr>
              <w:t>3 m</w:t>
            </w:r>
          </w:p>
        </w:tc>
        <w:tc>
          <w:tcPr>
            <w:tcW w:w="1170" w:type="dxa"/>
            <w:shd w:val="clear" w:color="auto" w:fill="FFFFFF"/>
          </w:tcPr>
          <w:p w14:paraId="406FEBFC" w14:textId="0C4AFD99" w:rsidR="00EB29EB" w:rsidRDefault="006D7E18" w:rsidP="00DC5DB0">
            <w:pPr>
              <w:pStyle w:val="CETBodytext"/>
              <w:rPr>
                <w:lang w:val="en-GB"/>
              </w:rPr>
            </w:pPr>
            <w:r>
              <w:rPr>
                <w:lang w:val="en-GB"/>
              </w:rPr>
              <w:t>100%</w:t>
            </w:r>
          </w:p>
        </w:tc>
        <w:tc>
          <w:tcPr>
            <w:tcW w:w="1080" w:type="dxa"/>
            <w:shd w:val="clear" w:color="auto" w:fill="FFFFFF"/>
          </w:tcPr>
          <w:p w14:paraId="4469F576" w14:textId="078D5341" w:rsidR="00EB29EB" w:rsidRDefault="006D7E18" w:rsidP="00DC5DB0">
            <w:pPr>
              <w:pStyle w:val="CETBodytext"/>
              <w:rPr>
                <w:lang w:val="en-GB"/>
              </w:rPr>
            </w:pPr>
            <w:r>
              <w:rPr>
                <w:lang w:val="en-GB"/>
              </w:rPr>
              <w:t>50</w:t>
            </w:r>
          </w:p>
        </w:tc>
        <w:tc>
          <w:tcPr>
            <w:tcW w:w="1170" w:type="dxa"/>
            <w:shd w:val="clear" w:color="auto" w:fill="FFFFFF"/>
          </w:tcPr>
          <w:p w14:paraId="471846A0" w14:textId="122F3694" w:rsidR="00EB29EB" w:rsidRDefault="006D7E18" w:rsidP="00DC5DB0">
            <w:pPr>
              <w:pStyle w:val="CETBodytext"/>
              <w:rPr>
                <w:lang w:val="en-GB"/>
              </w:rPr>
            </w:pPr>
            <w:r>
              <w:rPr>
                <w:lang w:val="en-GB"/>
              </w:rPr>
              <w:t>0.1</w:t>
            </w:r>
          </w:p>
        </w:tc>
        <w:tc>
          <w:tcPr>
            <w:tcW w:w="1137" w:type="dxa"/>
            <w:shd w:val="clear" w:color="auto" w:fill="FFFFFF"/>
          </w:tcPr>
          <w:p w14:paraId="47B252F7" w14:textId="3CCDBCF9" w:rsidR="00EB29EB" w:rsidRDefault="00EB29EB" w:rsidP="00DC5DB0">
            <w:pPr>
              <w:pStyle w:val="CETBodytext"/>
              <w:rPr>
                <w:lang w:val="en-GB"/>
              </w:rPr>
            </w:pPr>
            <w:r>
              <w:rPr>
                <w:lang w:val="en-GB"/>
              </w:rPr>
              <w:t>100</w:t>
            </w:r>
          </w:p>
        </w:tc>
      </w:tr>
    </w:tbl>
    <w:p w14:paraId="2C2C4EAC" w14:textId="04097FA3" w:rsidR="000522D5" w:rsidRPr="000522D5" w:rsidRDefault="001B74EA" w:rsidP="000522D5">
      <w:pPr>
        <w:pStyle w:val="CETHeading1"/>
        <w:tabs>
          <w:tab w:val="clear" w:pos="360"/>
          <w:tab w:val="right" w:pos="7100"/>
        </w:tabs>
        <w:jc w:val="both"/>
      </w:pPr>
      <w:r w:rsidRPr="00EC7198">
        <w:t xml:space="preserve">Results and </w:t>
      </w:r>
      <w:r w:rsidR="000522D5">
        <w:t>discussion</w:t>
      </w:r>
    </w:p>
    <w:p w14:paraId="5C85D46D" w14:textId="1C96D908" w:rsidR="009A51DE" w:rsidRDefault="008840F6" w:rsidP="00387BCF">
      <w:pPr>
        <w:pStyle w:val="CETBodytext"/>
      </w:pPr>
      <w:r>
        <w:t xml:space="preserve">The </w:t>
      </w:r>
      <w:r w:rsidR="00F2240B">
        <w:t xml:space="preserve">simulations of the </w:t>
      </w:r>
      <w:r>
        <w:t>hydrogen dispersion</w:t>
      </w:r>
      <w:r w:rsidR="006C04E8">
        <w:t xml:space="preserve"> </w:t>
      </w:r>
      <w:r w:rsidR="00686F3E">
        <w:t xml:space="preserve">scenarios (a) and (b) </w:t>
      </w:r>
      <w:r w:rsidR="00F2240B">
        <w:t>are</w:t>
      </w:r>
      <w:r w:rsidR="00D646E4">
        <w:t xml:space="preserve"> plotted in </w:t>
      </w:r>
      <w:r w:rsidR="00A94118">
        <w:fldChar w:fldCharType="begin"/>
      </w:r>
      <w:r w:rsidR="00A94118">
        <w:instrText xml:space="preserve"> REF _Ref133589748 \h </w:instrText>
      </w:r>
      <w:r w:rsidR="00A94118">
        <w:fldChar w:fldCharType="separate"/>
      </w:r>
      <w:r w:rsidR="00A94118" w:rsidRPr="00FD0AE0">
        <w:t xml:space="preserve">Figure </w:t>
      </w:r>
      <w:r w:rsidR="00A94118">
        <w:rPr>
          <w:noProof/>
        </w:rPr>
        <w:t>2</w:t>
      </w:r>
      <w:r w:rsidR="00A94118">
        <w:fldChar w:fldCharType="end"/>
      </w:r>
      <w:r w:rsidR="00DC21DC">
        <w:t>.</w:t>
      </w:r>
      <w:r w:rsidR="005A0B45">
        <w:t xml:space="preserve"> </w:t>
      </w:r>
      <w:r w:rsidR="005A0B45" w:rsidRPr="005A0B45">
        <w:t xml:space="preserve">The first scenario is characterized by a large hole (6 mm in diameter) in a hydrogen storage tank operating at 5 bar. The combination of low hydrogen pressure and low leak rate makes this release the most difficult to detect. Despite the small amount of gas released from </w:t>
      </w:r>
      <w:r w:rsidR="00370FF7">
        <w:t>an</w:t>
      </w:r>
      <w:r w:rsidR="005A0B45" w:rsidRPr="005A0B45">
        <w:t xml:space="preserve"> almost empty</w:t>
      </w:r>
      <w:r w:rsidR="00370FF7">
        <w:t xml:space="preserve"> tank</w:t>
      </w:r>
      <w:r w:rsidR="005A0B45" w:rsidRPr="005A0B45">
        <w:t xml:space="preserve">, it creates an ignitable mixture </w:t>
      </w:r>
      <w:r w:rsidR="008F38BB" w:rsidRPr="005A0B45">
        <w:t>near</w:t>
      </w:r>
      <w:r w:rsidR="005A0B45" w:rsidRPr="005A0B45">
        <w:t xml:space="preserve"> the hole (the area within the white line) and can result in a flash fire. In contrast, the second scenario occurs from a small hole (1 mm in diameter) in a high-pressure tank operating at 700 bar (i.e., the maximum allowable pressure). In this case, the </w:t>
      </w:r>
      <w:r w:rsidR="00106F33">
        <w:t>fuel released</w:t>
      </w:r>
      <w:r w:rsidR="005A0B45" w:rsidRPr="005A0B45">
        <w:t xml:space="preserve"> creates an ignitable mixture with the air up to </w:t>
      </w:r>
      <w:r w:rsidR="008F3D99">
        <w:t>nearly 6</w:t>
      </w:r>
      <w:r w:rsidR="005A0B45" w:rsidRPr="005A0B45">
        <w:t xml:space="preserve"> m away from the pinhole. If ignited, this gas plume can form a jet fire and result in </w:t>
      </w:r>
      <w:r w:rsidR="00A1142F">
        <w:t>severe</w:t>
      </w:r>
      <w:r w:rsidR="005A0B45" w:rsidRPr="005A0B45">
        <w:t xml:space="preserve"> consequences for personnel and equipment</w:t>
      </w:r>
      <w:r w:rsidR="00A1142F">
        <w:t xml:space="preserve"> nearby</w:t>
      </w:r>
      <w:r w:rsidR="005A0B45" w:rsidRPr="005A0B45">
        <w:t>. Nevertheless, the high</w:t>
      </w:r>
      <w:r w:rsidR="00441199">
        <w:t>-pressure</w:t>
      </w:r>
      <w:r w:rsidR="005A0B45" w:rsidRPr="005A0B45">
        <w:t xml:space="preserve"> gas</w:t>
      </w:r>
      <w:r w:rsidR="00441199">
        <w:t xml:space="preserve"> leak</w:t>
      </w:r>
      <w:r w:rsidR="00106F33">
        <w:t xml:space="preserve"> can</w:t>
      </w:r>
      <w:r w:rsidR="005A0B45" w:rsidRPr="005A0B45">
        <w:t xml:space="preserve"> </w:t>
      </w:r>
      <w:r w:rsidR="00441199">
        <w:t>be easily detected</w:t>
      </w:r>
      <w:r w:rsidR="005A0B45" w:rsidRPr="005A0B45">
        <w:t xml:space="preserve"> </w:t>
      </w:r>
      <w:r w:rsidR="00106F33">
        <w:t>by</w:t>
      </w:r>
      <w:r w:rsidR="005A0B45" w:rsidRPr="005A0B45">
        <w:t xml:space="preserve"> ultrasonic sensors. In both cases, the gas plume remains perpendicular to the tank wall, but this can change </w:t>
      </w:r>
      <w:r w:rsidR="00660978">
        <w:t>due to the</w:t>
      </w:r>
      <w:r w:rsidR="005A0B45" w:rsidRPr="005A0B45">
        <w:t xml:space="preserve"> wind</w:t>
      </w:r>
      <w:r w:rsidR="00BF30DC">
        <w:t xml:space="preserve">, </w:t>
      </w:r>
      <w:r w:rsidR="00660978">
        <w:t>which deviates</w:t>
      </w:r>
      <w:r w:rsidR="005A0B45" w:rsidRPr="005A0B45">
        <w:t xml:space="preserve"> the hydrogen flow from its original trajectory (Li et al., 2021).</w:t>
      </w:r>
    </w:p>
    <w:p w14:paraId="0E46C896" w14:textId="77777777" w:rsidR="009A51DE" w:rsidRDefault="009A51DE" w:rsidP="00387BCF">
      <w:pPr>
        <w:pStyle w:val="CETBodytext"/>
      </w:pPr>
    </w:p>
    <w:p w14:paraId="0BC5EB25" w14:textId="77777777" w:rsidR="00880A47" w:rsidRDefault="000E6334" w:rsidP="00880A47">
      <w:pPr>
        <w:pStyle w:val="CETBodytext"/>
        <w:keepNext/>
      </w:pPr>
      <w:r>
        <w:rPr>
          <w:noProof/>
        </w:rPr>
        <w:drawing>
          <wp:inline distT="0" distB="0" distL="0" distR="0" wp14:anchorId="359DFB37" wp14:editId="42337886">
            <wp:extent cx="4396456" cy="2362200"/>
            <wp:effectExtent l="0" t="0" r="4445"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3220" cy="2387326"/>
                    </a:xfrm>
                    <a:prstGeom prst="rect">
                      <a:avLst/>
                    </a:prstGeom>
                    <a:noFill/>
                    <a:ln>
                      <a:noFill/>
                    </a:ln>
                  </pic:spPr>
                </pic:pic>
              </a:graphicData>
            </a:graphic>
          </wp:inline>
        </w:drawing>
      </w:r>
    </w:p>
    <w:p w14:paraId="603DB51B" w14:textId="63DD3991" w:rsidR="00B04FF7" w:rsidRDefault="00880A47" w:rsidP="00556E5E">
      <w:pPr>
        <w:pStyle w:val="CETCaption"/>
        <w:rPr>
          <w:lang w:val="en-US"/>
        </w:rPr>
      </w:pPr>
      <w:bookmarkStart w:id="4" w:name="_Ref133589748"/>
      <w:r w:rsidRPr="00FD0AE0">
        <w:rPr>
          <w:lang w:val="en-US"/>
        </w:rPr>
        <w:t xml:space="preserve">Figure </w:t>
      </w:r>
      <w:r>
        <w:fldChar w:fldCharType="begin"/>
      </w:r>
      <w:r w:rsidRPr="00FD0AE0">
        <w:rPr>
          <w:lang w:val="en-US"/>
        </w:rPr>
        <w:instrText xml:space="preserve"> SEQ Figure \* ARABIC </w:instrText>
      </w:r>
      <w:r>
        <w:fldChar w:fldCharType="separate"/>
      </w:r>
      <w:r w:rsidR="004A4A9F">
        <w:rPr>
          <w:noProof/>
          <w:lang w:val="en-US"/>
        </w:rPr>
        <w:t>2</w:t>
      </w:r>
      <w:r>
        <w:fldChar w:fldCharType="end"/>
      </w:r>
      <w:bookmarkEnd w:id="4"/>
      <w:r w:rsidRPr="00FD0AE0">
        <w:rPr>
          <w:lang w:val="en-US"/>
        </w:rPr>
        <w:t>: Hydrogen dispersion</w:t>
      </w:r>
      <w:r w:rsidR="00686FCF" w:rsidRPr="00FD0AE0">
        <w:rPr>
          <w:lang w:val="en-US"/>
        </w:rPr>
        <w:t xml:space="preserve"> in the </w:t>
      </w:r>
      <w:r w:rsidR="003052C4">
        <w:rPr>
          <w:lang w:val="en-US"/>
        </w:rPr>
        <w:t>scenario</w:t>
      </w:r>
      <w:r w:rsidR="00B51F7D">
        <w:rPr>
          <w:lang w:val="en-US"/>
        </w:rPr>
        <w:t>s</w:t>
      </w:r>
      <w:r w:rsidR="003052C4">
        <w:rPr>
          <w:lang w:val="en-US"/>
        </w:rPr>
        <w:t xml:space="preserve"> (</w:t>
      </w:r>
      <w:r w:rsidR="00FD0AE0" w:rsidRPr="00FD0AE0">
        <w:rPr>
          <w:lang w:val="en-US"/>
        </w:rPr>
        <w:t>a</w:t>
      </w:r>
      <w:r w:rsidR="003052C4">
        <w:rPr>
          <w:lang w:val="en-US"/>
        </w:rPr>
        <w:t>)</w:t>
      </w:r>
      <w:r w:rsidR="00FD0AE0" w:rsidRPr="00FD0AE0">
        <w:rPr>
          <w:lang w:val="en-US"/>
        </w:rPr>
        <w:t xml:space="preserve"> </w:t>
      </w:r>
      <w:r w:rsidR="003052C4">
        <w:rPr>
          <w:lang w:val="en-US"/>
        </w:rPr>
        <w:t>and (b)</w:t>
      </w:r>
      <w:r w:rsidR="00B51F7D">
        <w:rPr>
          <w:lang w:val="en-US"/>
        </w:rPr>
        <w:t>;</w:t>
      </w:r>
      <w:r w:rsidR="001C38E5">
        <w:rPr>
          <w:lang w:val="en-US"/>
        </w:rPr>
        <w:t xml:space="preserve"> the lower flammable limit is marked with a white line</w:t>
      </w:r>
    </w:p>
    <w:p w14:paraId="630F8EF1" w14:textId="55992166" w:rsidR="00D646E4" w:rsidRDefault="00763324" w:rsidP="004501C3">
      <w:pPr>
        <w:pStyle w:val="CETBodytext"/>
      </w:pPr>
      <w:r>
        <w:t>Furthermore</w:t>
      </w:r>
      <w:r w:rsidR="00C4423C">
        <w:t xml:space="preserve">, </w:t>
      </w:r>
      <w:r w:rsidR="00431346">
        <w:fldChar w:fldCharType="begin"/>
      </w:r>
      <w:r w:rsidR="00431346">
        <w:instrText xml:space="preserve"> REF _Ref133589774 \h </w:instrText>
      </w:r>
      <w:r w:rsidR="00431346">
        <w:fldChar w:fldCharType="separate"/>
      </w:r>
      <w:r w:rsidR="00431346">
        <w:t xml:space="preserve">Figure </w:t>
      </w:r>
      <w:r w:rsidR="00431346">
        <w:rPr>
          <w:noProof/>
        </w:rPr>
        <w:t>3</w:t>
      </w:r>
      <w:r w:rsidR="00431346">
        <w:fldChar w:fldCharType="end"/>
      </w:r>
      <w:r>
        <w:t xml:space="preserve"> depicts the plume trajectories on the z-axis</w:t>
      </w:r>
      <w:r w:rsidR="00431346">
        <w:t>.</w:t>
      </w:r>
      <w:r w:rsidR="005A0B45">
        <w:t xml:space="preserve"> </w:t>
      </w:r>
      <w:r w:rsidR="0075577B">
        <w:t>For</w:t>
      </w:r>
      <w:r w:rsidR="005A0B45" w:rsidRPr="005A0B45">
        <w:t xml:space="preserve"> release </w:t>
      </w:r>
      <w:r w:rsidR="0075577B">
        <w:t>(</w:t>
      </w:r>
      <w:r w:rsidR="005A0B45" w:rsidRPr="005A0B45">
        <w:t>a), the buoyancy effect is almost negl</w:t>
      </w:r>
      <w:r w:rsidR="00A84761">
        <w:t>igible</w:t>
      </w:r>
      <w:r w:rsidR="005A0B45" w:rsidRPr="005A0B45">
        <w:t xml:space="preserve">, and the trajectory of the hydrogen plume is determined by the jet angle, which is, in turn, </w:t>
      </w:r>
      <w:r w:rsidR="00A84761">
        <w:t>depend</w:t>
      </w:r>
      <w:r w:rsidR="007526F2">
        <w:t>ent</w:t>
      </w:r>
      <w:r w:rsidR="005A0B45" w:rsidRPr="005A0B45">
        <w:t xml:space="preserve"> o</w:t>
      </w:r>
      <w:r w:rsidR="00A84761">
        <w:t>n</w:t>
      </w:r>
      <w:r w:rsidR="005A0B45" w:rsidRPr="005A0B45">
        <w:t xml:space="preserve"> the position of the hole on the tank wall. </w:t>
      </w:r>
      <w:r w:rsidR="007526F2">
        <w:t>In contrast</w:t>
      </w:r>
      <w:r w:rsidR="005A0B45" w:rsidRPr="005A0B45">
        <w:t xml:space="preserve">, the trajectory of release </w:t>
      </w:r>
      <w:r w:rsidR="0075577B">
        <w:t>(</w:t>
      </w:r>
      <w:r w:rsidR="005A0B45" w:rsidRPr="005A0B45">
        <w:t>b) is slightly more influenced by the buoyancy effect, and a vertical deviation is noticeable</w:t>
      </w:r>
      <w:r w:rsidR="007526F2">
        <w:t xml:space="preserve"> about</w:t>
      </w:r>
      <w:r w:rsidR="005A0B45" w:rsidRPr="005A0B45">
        <w:t xml:space="preserve"> 2 m away from the hole. Despite this difference</w:t>
      </w:r>
      <w:r w:rsidR="00A73013">
        <w:t xml:space="preserve"> (</w:t>
      </w:r>
      <w:r w:rsidR="005A0B45" w:rsidRPr="005A0B45">
        <w:t>mainly due to the different gas pressure, speed, and flow rate</w:t>
      </w:r>
      <w:r w:rsidR="00A73013">
        <w:t>)</w:t>
      </w:r>
      <w:r w:rsidR="005A0B45" w:rsidRPr="005A0B45">
        <w:t xml:space="preserve">, it is reasonable to argue that the low molecular weight of hydrogen gas does not influence the release trajectory close to the storage tank. In the range of 3 m from the hole </w:t>
      </w:r>
      <w:r w:rsidR="00565C08">
        <w:t>(</w:t>
      </w:r>
      <w:r w:rsidR="005A0B45" w:rsidRPr="005A0B45">
        <w:t>which is also the detection diameter of the UGLD</w:t>
      </w:r>
      <w:r w:rsidR="00565C08">
        <w:t>)</w:t>
      </w:r>
      <w:r w:rsidR="005A0B45" w:rsidRPr="005A0B45">
        <w:t xml:space="preserve"> the</w:t>
      </w:r>
      <w:r w:rsidR="00527E0D">
        <w:t xml:space="preserve"> trajectory of the</w:t>
      </w:r>
      <w:r w:rsidR="005A0B45" w:rsidRPr="005A0B45">
        <w:t xml:space="preserve"> hydrogen leak </w:t>
      </w:r>
      <w:r w:rsidR="00527E0D">
        <w:t>is</w:t>
      </w:r>
      <w:r w:rsidR="005A0B45" w:rsidRPr="005A0B45">
        <w:t xml:space="preserve"> mainly determined by the momentum of the gas outflowing from the hole, </w:t>
      </w:r>
      <w:r w:rsidR="006F6C7E">
        <w:t>which acts</w:t>
      </w:r>
      <w:r w:rsidR="005A0B45" w:rsidRPr="005A0B45">
        <w:t xml:space="preserve"> </w:t>
      </w:r>
      <w:r w:rsidR="006F6C7E">
        <w:t>as</w:t>
      </w:r>
      <w:r w:rsidR="005A0B45" w:rsidRPr="005A0B45">
        <w:t xml:space="preserve"> a nozzle. </w:t>
      </w:r>
      <w:r w:rsidR="006F6C7E">
        <w:t>Thus</w:t>
      </w:r>
      <w:r w:rsidR="005A0B45" w:rsidRPr="005A0B45">
        <w:t>, considering the specific physical properties of hydrogen for the</w:t>
      </w:r>
      <w:r w:rsidR="006F6C7E">
        <w:t xml:space="preserve"> positioning of the</w:t>
      </w:r>
      <w:r w:rsidR="005A0B45" w:rsidRPr="005A0B45">
        <w:t xml:space="preserve"> senso</w:t>
      </w:r>
      <w:r w:rsidR="006F6C7E">
        <w:t>r</w:t>
      </w:r>
      <w:r w:rsidR="005A0B45" w:rsidRPr="005A0B45">
        <w:t xml:space="preserve">s will not significantly modify the results. In addition, most ignition sources in a hydrogen refueling station are located at head height or below. </w:t>
      </w:r>
      <w:r w:rsidR="001E567F">
        <w:t>Therefore</w:t>
      </w:r>
      <w:r w:rsidR="005A0B45" w:rsidRPr="005A0B45">
        <w:t xml:space="preserve">, even if </w:t>
      </w:r>
      <w:r w:rsidR="00E508E9">
        <w:t>installing</w:t>
      </w:r>
      <w:r w:rsidR="005A0B45" w:rsidRPr="005A0B45">
        <w:t xml:space="preserve"> the sensors in the upper part of the tank seem</w:t>
      </w:r>
      <w:r w:rsidR="00E508E9">
        <w:t>s logical</w:t>
      </w:r>
      <w:r w:rsidR="005A0B45" w:rsidRPr="005A0B45">
        <w:t xml:space="preserve">, given the high buoyancy </w:t>
      </w:r>
      <w:r w:rsidR="00FB504F">
        <w:t xml:space="preserve">and upward dispersion </w:t>
      </w:r>
      <w:r w:rsidR="005A0B45" w:rsidRPr="005A0B45">
        <w:t xml:space="preserve">of hydrogen gas, it </w:t>
      </w:r>
      <w:r w:rsidR="00FB504F">
        <w:t>will</w:t>
      </w:r>
      <w:r w:rsidR="005A0B45" w:rsidRPr="005A0B45">
        <w:t xml:space="preserve"> not</w:t>
      </w:r>
      <w:r w:rsidR="00FB504F">
        <w:t xml:space="preserve"> be</w:t>
      </w:r>
      <w:r w:rsidR="005A0B45" w:rsidRPr="005A0B45">
        <w:t xml:space="preserve"> effective.</w:t>
      </w:r>
    </w:p>
    <w:p w14:paraId="5CCC46B8" w14:textId="77777777" w:rsidR="007F1E92" w:rsidRPr="00FD0AE0" w:rsidRDefault="007F1E92" w:rsidP="004501C3">
      <w:pPr>
        <w:pStyle w:val="CETBodytext"/>
      </w:pPr>
    </w:p>
    <w:p w14:paraId="575A5EFE" w14:textId="77777777" w:rsidR="00556E5E" w:rsidRDefault="00556E5E" w:rsidP="00556E5E">
      <w:pPr>
        <w:pStyle w:val="CETBodytext"/>
        <w:keepNext/>
      </w:pPr>
      <w:r>
        <w:rPr>
          <w:noProof/>
        </w:rPr>
        <w:lastRenderedPageBreak/>
        <w:drawing>
          <wp:inline distT="0" distB="0" distL="0" distR="0" wp14:anchorId="4FC31D82" wp14:editId="1EA29DC6">
            <wp:extent cx="4686300" cy="2030732"/>
            <wp:effectExtent l="0" t="0" r="0" b="762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0225" cy="2045433"/>
                    </a:xfrm>
                    <a:prstGeom prst="rect">
                      <a:avLst/>
                    </a:prstGeom>
                    <a:noFill/>
                    <a:ln>
                      <a:noFill/>
                    </a:ln>
                  </pic:spPr>
                </pic:pic>
              </a:graphicData>
            </a:graphic>
          </wp:inline>
        </w:drawing>
      </w:r>
    </w:p>
    <w:p w14:paraId="59CEF030" w14:textId="2C4FD290" w:rsidR="00556E5E" w:rsidRDefault="00556E5E" w:rsidP="00556E5E">
      <w:pPr>
        <w:pStyle w:val="CETCaption"/>
      </w:pPr>
      <w:bookmarkStart w:id="5" w:name="_Ref133589774"/>
      <w:r>
        <w:t xml:space="preserve">Figure </w:t>
      </w:r>
      <w:r>
        <w:fldChar w:fldCharType="begin"/>
      </w:r>
      <w:r>
        <w:instrText xml:space="preserve"> SEQ Figure \* ARABIC </w:instrText>
      </w:r>
      <w:r>
        <w:fldChar w:fldCharType="separate"/>
      </w:r>
      <w:r w:rsidR="004A4A9F">
        <w:rPr>
          <w:noProof/>
        </w:rPr>
        <w:t>3</w:t>
      </w:r>
      <w:r>
        <w:fldChar w:fldCharType="end"/>
      </w:r>
      <w:bookmarkEnd w:id="5"/>
      <w:r>
        <w:t xml:space="preserve">: </w:t>
      </w:r>
      <w:r w:rsidR="00B51F7D">
        <w:t>Trajectory of the hydrogen release in the scenarios (a) and (b)</w:t>
      </w:r>
    </w:p>
    <w:p w14:paraId="19B38677" w14:textId="3DB8E00A" w:rsidR="00FE4342" w:rsidRDefault="0061317B" w:rsidP="00FE4342">
      <w:pPr>
        <w:pStyle w:val="CETBodytext"/>
      </w:pPr>
      <w:r>
        <w:fldChar w:fldCharType="begin"/>
      </w:r>
      <w:r>
        <w:instrText xml:space="preserve"> REF _Ref133940929 \h </w:instrText>
      </w:r>
      <w:r>
        <w:fldChar w:fldCharType="separate"/>
      </w:r>
      <w:r>
        <w:t xml:space="preserve">Figure </w:t>
      </w:r>
      <w:r>
        <w:rPr>
          <w:noProof/>
        </w:rPr>
        <w:t>4</w:t>
      </w:r>
      <w:r>
        <w:fldChar w:fldCharType="end"/>
      </w:r>
      <w:r>
        <w:t xml:space="preserve"> </w:t>
      </w:r>
      <w:r w:rsidR="00041CE9" w:rsidRPr="00041CE9">
        <w:t xml:space="preserve">shows the optimal location of the sensors obtained through the genetic algorithm. The red points on the </w:t>
      </w:r>
      <w:r w:rsidR="00561397">
        <w:t xml:space="preserve">tridimensional </w:t>
      </w:r>
      <w:r w:rsidR="00041CE9" w:rsidRPr="00041CE9">
        <w:t xml:space="preserve">grid (left image) represent the nodes on the tank surface, each of which is a potential location for the sensors, while the black points indicate the optimized position of the UGLDs. </w:t>
      </w:r>
      <w:r w:rsidR="00563445" w:rsidRPr="00563445">
        <w:t>The optimal sensor locations are also shown in the right images from different views of the tank</w:t>
      </w:r>
      <w:r w:rsidR="00842D7A">
        <w:t>.</w:t>
      </w:r>
    </w:p>
    <w:p w14:paraId="760717E7" w14:textId="77777777" w:rsidR="006A6D9B" w:rsidRDefault="006A6D9B" w:rsidP="00FE4342">
      <w:pPr>
        <w:pStyle w:val="CETBodytext"/>
      </w:pPr>
    </w:p>
    <w:p w14:paraId="6787DE4D" w14:textId="598E4AFA" w:rsidR="004A4A9F" w:rsidRDefault="00722B42" w:rsidP="004A4A9F">
      <w:pPr>
        <w:pStyle w:val="CETBodytext"/>
        <w:keepNext/>
      </w:pPr>
      <w:r>
        <w:rPr>
          <w:noProof/>
        </w:rPr>
        <w:drawing>
          <wp:inline distT="0" distB="0" distL="0" distR="0" wp14:anchorId="1ACEDD37" wp14:editId="17EEF174">
            <wp:extent cx="5607050" cy="2095490"/>
            <wp:effectExtent l="0" t="0" r="0" b="63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1301" cy="2115765"/>
                    </a:xfrm>
                    <a:prstGeom prst="rect">
                      <a:avLst/>
                    </a:prstGeom>
                    <a:noFill/>
                    <a:ln>
                      <a:noFill/>
                    </a:ln>
                  </pic:spPr>
                </pic:pic>
              </a:graphicData>
            </a:graphic>
          </wp:inline>
        </w:drawing>
      </w:r>
    </w:p>
    <w:p w14:paraId="33E26FC1" w14:textId="35EA2C49" w:rsidR="004A4A9F" w:rsidRDefault="004A4A9F" w:rsidP="004A4A9F">
      <w:pPr>
        <w:pStyle w:val="CETCaption"/>
      </w:pPr>
      <w:bookmarkStart w:id="6" w:name="_Ref133940929"/>
      <w:r>
        <w:t xml:space="preserve">Figure </w:t>
      </w:r>
      <w:r>
        <w:fldChar w:fldCharType="begin"/>
      </w:r>
      <w:r>
        <w:instrText xml:space="preserve"> SEQ Figure \* ARABIC </w:instrText>
      </w:r>
      <w:r>
        <w:fldChar w:fldCharType="separate"/>
      </w:r>
      <w:r>
        <w:rPr>
          <w:noProof/>
        </w:rPr>
        <w:t>4</w:t>
      </w:r>
      <w:r>
        <w:fldChar w:fldCharType="end"/>
      </w:r>
      <w:bookmarkEnd w:id="6"/>
      <w:r>
        <w:t>: Sensors' location on the high-pressure storage tank</w:t>
      </w:r>
    </w:p>
    <w:p w14:paraId="75DB1820" w14:textId="61E41FC0" w:rsidR="006C774E" w:rsidRDefault="007462EF" w:rsidP="00914487">
      <w:pPr>
        <w:pStyle w:val="CETBodytext"/>
      </w:pPr>
      <w:r w:rsidRPr="007462EF">
        <w:t xml:space="preserve">The GA output demonstrated that three UGLDs located </w:t>
      </w:r>
      <w:r w:rsidR="006437D3">
        <w:t>on</w:t>
      </w:r>
      <w:r w:rsidR="002E0A33">
        <w:t xml:space="preserve"> the external surface of</w:t>
      </w:r>
      <w:r w:rsidRPr="007462EF">
        <w:t xml:space="preserve"> a hydrogen storage tank </w:t>
      </w:r>
      <w:r w:rsidR="003D35CF">
        <w:t xml:space="preserve">are sufficient to </w:t>
      </w:r>
      <w:r w:rsidRPr="007462EF">
        <w:t>guarantee 100% coverage</w:t>
      </w:r>
      <w:r w:rsidR="002E0A33">
        <w:t xml:space="preserve"> area</w:t>
      </w:r>
      <w:r w:rsidRPr="007462EF">
        <w:t xml:space="preserve">. </w:t>
      </w:r>
      <w:r w:rsidR="009C3B6F">
        <w:fldChar w:fldCharType="begin"/>
      </w:r>
      <w:r w:rsidR="009C3B6F">
        <w:instrText xml:space="preserve"> REF _Ref134088600 \h </w:instrText>
      </w:r>
      <w:r w:rsidR="009C3B6F">
        <w:fldChar w:fldCharType="separate"/>
      </w:r>
      <w:r w:rsidR="009C3B6F">
        <w:t xml:space="preserve">Table </w:t>
      </w:r>
      <w:r w:rsidR="009C3B6F">
        <w:rPr>
          <w:noProof/>
        </w:rPr>
        <w:t>3</w:t>
      </w:r>
      <w:r w:rsidR="009C3B6F">
        <w:fldChar w:fldCharType="end"/>
      </w:r>
      <w:r w:rsidR="009C3B6F">
        <w:t xml:space="preserve"> </w:t>
      </w:r>
      <w:r w:rsidR="00A21604">
        <w:t>reports t</w:t>
      </w:r>
      <w:r w:rsidR="00A21604" w:rsidRPr="007462EF">
        <w:t xml:space="preserve">he coordinates </w:t>
      </w:r>
      <w:r w:rsidR="00A21604">
        <w:t>of</w:t>
      </w:r>
      <w:r w:rsidR="00A21604" w:rsidRPr="007462EF">
        <w:t xml:space="preserve"> the three sensors</w:t>
      </w:r>
      <w:r w:rsidRPr="007462EF">
        <w:t>.</w:t>
      </w:r>
      <w:r w:rsidR="006C774E">
        <w:t xml:space="preserve"> </w:t>
      </w:r>
      <w:r w:rsidR="006C774E" w:rsidRPr="006C774E">
        <w:t>The location obtained through the optimization algorithm show that existing guidelines for enclosed ventilated spaces do not apply to outdoor H</w:t>
      </w:r>
      <w:r w:rsidR="006C774E" w:rsidRPr="00F15862">
        <w:rPr>
          <w:vertAlign w:val="subscript"/>
        </w:rPr>
        <w:t>2</w:t>
      </w:r>
      <w:r w:rsidR="006C774E" w:rsidRPr="006C774E">
        <w:t xml:space="preserve"> storage systems. In mechanically ventilated enclosures, such as underground parking spaces or indoor production units, it is recommended to avoid placing sensors at ground level. In fact, hydrogen tends to accumulate near the ceiling due to buoyancy and, therefore, its concentration typically remains below alarm thresholds at floor level (Tchouvelev et al., 2021). In the case of a refueling station, hydrogen is stored outdoors and cannot accumulate. Moreover, the alarm of UGLDs is not triggered by the gas concentration. For these reasons, the ultrasonic sensors are not positioned on the top of the pressurized tank. The sound waves propagate through the air from the leak on the tank surface to the UGLD. Hence, the closer to the crack the sensor is, the lower will be the detection time. The gas detectors are installed in a way that ensures complete coverage of the tank’s surface and simultaneously facilitates personnel access for inspection and maintenance activities. In this study, a detection diameter of 3 m has been set as an input; this value is arguably over-conservative since the average detection diameter for a UGLD in a high-noise area ranges from 5 to 9 m. In this study, we assumed that each leak is detected by the closest sensor</w:t>
      </w:r>
      <w:r w:rsidR="005C3C08">
        <w:t xml:space="preserve"> only</w:t>
      </w:r>
      <w:r w:rsidR="006C774E" w:rsidRPr="006C774E">
        <w:t xml:space="preserve">. Nevertheless, a thorough </w:t>
      </w:r>
      <w:r w:rsidR="00D06C8A">
        <w:t>calculation</w:t>
      </w:r>
      <w:r w:rsidR="006C774E" w:rsidRPr="006C774E">
        <w:t xml:space="preserve"> of the different propagation velocities of the sound wave through different physical media (i.e., air, hydrogen, or steel) is required to assess the detection effectiveness of the sensors placed on the opposite side of the tank.</w:t>
      </w:r>
      <w:r w:rsidR="00F53693">
        <w:t xml:space="preserve"> </w:t>
      </w:r>
      <w:r w:rsidR="00EF13FB" w:rsidRPr="00EF13FB">
        <w:t>In addition, calculating the detection performance in the case of failure of one of the sensors is necessary to evaluate the resilience of the system</w:t>
      </w:r>
      <w:r w:rsidR="00936D67">
        <w:t>.</w:t>
      </w:r>
    </w:p>
    <w:p w14:paraId="79A6E876" w14:textId="58561606" w:rsidR="00914487" w:rsidRDefault="00914487" w:rsidP="00914487">
      <w:pPr>
        <w:pStyle w:val="CETCaption"/>
      </w:pPr>
      <w:bookmarkStart w:id="7" w:name="_Ref134088600"/>
      <w:r>
        <w:lastRenderedPageBreak/>
        <w:t xml:space="preserve">Table </w:t>
      </w:r>
      <w:r>
        <w:fldChar w:fldCharType="begin"/>
      </w:r>
      <w:r>
        <w:instrText xml:space="preserve"> SEQ Table \* ARABIC </w:instrText>
      </w:r>
      <w:r>
        <w:fldChar w:fldCharType="separate"/>
      </w:r>
      <w:r>
        <w:rPr>
          <w:noProof/>
        </w:rPr>
        <w:t>3</w:t>
      </w:r>
      <w:r>
        <w:fldChar w:fldCharType="end"/>
      </w:r>
      <w:bookmarkEnd w:id="7"/>
      <w:r>
        <w:t>: Coordinates of the sensor</w:t>
      </w:r>
      <w:r w:rsidR="00645BA3">
        <w:t>s</w:t>
      </w:r>
      <w:r>
        <w:t xml:space="preserve"> </w:t>
      </w:r>
      <w:r w:rsidR="00645BA3">
        <w:t>on</w:t>
      </w:r>
      <w:r>
        <w:t xml:space="preserve"> the grid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40"/>
        <w:gridCol w:w="1530"/>
        <w:gridCol w:w="1620"/>
        <w:gridCol w:w="1620"/>
      </w:tblGrid>
      <w:tr w:rsidR="00914487" w:rsidRPr="00B57B36" w14:paraId="0B7D7487" w14:textId="77777777" w:rsidTr="00914487">
        <w:tc>
          <w:tcPr>
            <w:tcW w:w="1440" w:type="dxa"/>
            <w:tcBorders>
              <w:top w:val="single" w:sz="12" w:space="0" w:color="008000"/>
              <w:bottom w:val="single" w:sz="6" w:space="0" w:color="008000"/>
            </w:tcBorders>
            <w:shd w:val="clear" w:color="auto" w:fill="FFFFFF"/>
          </w:tcPr>
          <w:p w14:paraId="716166EA" w14:textId="606040E3" w:rsidR="00914487" w:rsidRPr="00B57B36" w:rsidRDefault="00914487" w:rsidP="000744AD">
            <w:pPr>
              <w:pStyle w:val="CETBodytext"/>
              <w:rPr>
                <w:lang w:val="en-GB"/>
              </w:rPr>
            </w:pPr>
          </w:p>
        </w:tc>
        <w:tc>
          <w:tcPr>
            <w:tcW w:w="1530" w:type="dxa"/>
            <w:tcBorders>
              <w:top w:val="single" w:sz="12" w:space="0" w:color="008000"/>
              <w:bottom w:val="single" w:sz="6" w:space="0" w:color="008000"/>
            </w:tcBorders>
            <w:shd w:val="clear" w:color="auto" w:fill="FFFFFF"/>
          </w:tcPr>
          <w:p w14:paraId="40B616BE" w14:textId="19B8EB10" w:rsidR="00914487" w:rsidRDefault="00914487" w:rsidP="000744AD">
            <w:pPr>
              <w:pStyle w:val="CETBodytext"/>
              <w:rPr>
                <w:lang w:val="en-GB"/>
              </w:rPr>
            </w:pPr>
            <w:r>
              <w:rPr>
                <w:lang w:val="en-GB"/>
              </w:rPr>
              <w:t>x-axis</w:t>
            </w:r>
          </w:p>
        </w:tc>
        <w:tc>
          <w:tcPr>
            <w:tcW w:w="1620" w:type="dxa"/>
            <w:tcBorders>
              <w:top w:val="single" w:sz="12" w:space="0" w:color="008000"/>
              <w:bottom w:val="single" w:sz="6" w:space="0" w:color="008000"/>
            </w:tcBorders>
            <w:shd w:val="clear" w:color="auto" w:fill="FFFFFF"/>
          </w:tcPr>
          <w:p w14:paraId="24935B0E" w14:textId="4CBE8E06" w:rsidR="00914487" w:rsidRPr="00B57B36" w:rsidRDefault="00914487" w:rsidP="000744AD">
            <w:pPr>
              <w:pStyle w:val="CETBodytext"/>
              <w:rPr>
                <w:lang w:val="en-GB"/>
              </w:rPr>
            </w:pPr>
            <w:r>
              <w:rPr>
                <w:lang w:val="en-GB"/>
              </w:rPr>
              <w:t>y-axis</w:t>
            </w:r>
          </w:p>
        </w:tc>
        <w:tc>
          <w:tcPr>
            <w:tcW w:w="1620" w:type="dxa"/>
            <w:tcBorders>
              <w:top w:val="single" w:sz="12" w:space="0" w:color="008000"/>
              <w:bottom w:val="single" w:sz="6" w:space="0" w:color="008000"/>
            </w:tcBorders>
            <w:shd w:val="clear" w:color="auto" w:fill="FFFFFF"/>
          </w:tcPr>
          <w:p w14:paraId="4418EE5E" w14:textId="41388F90" w:rsidR="00914487" w:rsidRPr="00B57B36" w:rsidRDefault="00751D1F" w:rsidP="000744AD">
            <w:pPr>
              <w:pStyle w:val="CETBodytext"/>
              <w:rPr>
                <w:lang w:val="en-GB"/>
              </w:rPr>
            </w:pPr>
            <w:r>
              <w:rPr>
                <w:lang w:val="en-GB"/>
              </w:rPr>
              <w:t>z</w:t>
            </w:r>
            <w:r w:rsidR="00914487">
              <w:rPr>
                <w:lang w:val="en-GB"/>
              </w:rPr>
              <w:t>-axis</w:t>
            </w:r>
          </w:p>
        </w:tc>
      </w:tr>
      <w:tr w:rsidR="00914487" w:rsidRPr="00B57B36" w14:paraId="03CDE028" w14:textId="77777777" w:rsidTr="00914487">
        <w:tc>
          <w:tcPr>
            <w:tcW w:w="1440" w:type="dxa"/>
            <w:shd w:val="clear" w:color="auto" w:fill="FFFFFF"/>
          </w:tcPr>
          <w:p w14:paraId="66EC137E" w14:textId="4A52B0A4" w:rsidR="00914487" w:rsidRPr="00155C41" w:rsidRDefault="00914487" w:rsidP="000744AD">
            <w:pPr>
              <w:pStyle w:val="CETBodytext"/>
              <w:rPr>
                <w:lang w:val="en-GB"/>
              </w:rPr>
            </w:pPr>
            <w:r>
              <w:rPr>
                <w:lang w:val="en-GB"/>
              </w:rPr>
              <w:t>Sensor 1</w:t>
            </w:r>
          </w:p>
        </w:tc>
        <w:tc>
          <w:tcPr>
            <w:tcW w:w="1530" w:type="dxa"/>
            <w:shd w:val="clear" w:color="auto" w:fill="FFFFFF"/>
          </w:tcPr>
          <w:p w14:paraId="09B4A850" w14:textId="7297E2CF" w:rsidR="00914487" w:rsidRDefault="00F57D20" w:rsidP="000744AD">
            <w:pPr>
              <w:pStyle w:val="CETBodytext"/>
              <w:rPr>
                <w:rFonts w:cs="Arial"/>
                <w:lang w:val="en-GB"/>
              </w:rPr>
            </w:pPr>
            <w:r>
              <w:rPr>
                <w:rFonts w:cs="Arial"/>
                <w:lang w:val="en-GB"/>
              </w:rPr>
              <w:t>0</w:t>
            </w:r>
            <w:r w:rsidR="002B63FD">
              <w:rPr>
                <w:rFonts w:cs="Arial"/>
                <w:lang w:val="en-GB"/>
              </w:rPr>
              <w:t>.0</w:t>
            </w:r>
          </w:p>
        </w:tc>
        <w:tc>
          <w:tcPr>
            <w:tcW w:w="1620" w:type="dxa"/>
            <w:shd w:val="clear" w:color="auto" w:fill="FFFFFF"/>
          </w:tcPr>
          <w:p w14:paraId="72A9A8E0" w14:textId="5D73C2AB" w:rsidR="00914487" w:rsidRPr="0008748B" w:rsidRDefault="002B63FD" w:rsidP="000744AD">
            <w:pPr>
              <w:pStyle w:val="CETBodytext"/>
              <w:rPr>
                <w:lang w:val="en-GB"/>
              </w:rPr>
            </w:pPr>
            <w:r>
              <w:rPr>
                <w:lang w:val="en-GB"/>
              </w:rPr>
              <w:t>-2.0</w:t>
            </w:r>
          </w:p>
        </w:tc>
        <w:tc>
          <w:tcPr>
            <w:tcW w:w="1620" w:type="dxa"/>
            <w:shd w:val="clear" w:color="auto" w:fill="FFFFFF"/>
          </w:tcPr>
          <w:p w14:paraId="71C092D5" w14:textId="1309D300" w:rsidR="00914487" w:rsidRPr="00330347" w:rsidRDefault="002B63FD" w:rsidP="000744AD">
            <w:pPr>
              <w:pStyle w:val="CETBodytext"/>
              <w:rPr>
                <w:lang w:val="en-GB"/>
              </w:rPr>
            </w:pPr>
            <w:r>
              <w:rPr>
                <w:lang w:val="en-GB"/>
              </w:rPr>
              <w:t>1.5</w:t>
            </w:r>
          </w:p>
        </w:tc>
      </w:tr>
      <w:tr w:rsidR="00914487" w:rsidRPr="00B57B36" w14:paraId="0809D43A" w14:textId="77777777" w:rsidTr="00914487">
        <w:tc>
          <w:tcPr>
            <w:tcW w:w="1440" w:type="dxa"/>
            <w:shd w:val="clear" w:color="auto" w:fill="FFFFFF"/>
          </w:tcPr>
          <w:p w14:paraId="0C1D0BDE" w14:textId="2DC2FD2F" w:rsidR="00914487" w:rsidRDefault="00914487" w:rsidP="000744AD">
            <w:pPr>
              <w:pStyle w:val="CETBodytext"/>
              <w:rPr>
                <w:lang w:val="en-GB"/>
              </w:rPr>
            </w:pPr>
            <w:r>
              <w:rPr>
                <w:lang w:val="en-GB"/>
              </w:rPr>
              <w:t>Sensor 2</w:t>
            </w:r>
          </w:p>
        </w:tc>
        <w:tc>
          <w:tcPr>
            <w:tcW w:w="1530" w:type="dxa"/>
            <w:shd w:val="clear" w:color="auto" w:fill="FFFFFF"/>
          </w:tcPr>
          <w:p w14:paraId="515CF301" w14:textId="02F62F1B" w:rsidR="00914487" w:rsidRDefault="002B63FD" w:rsidP="000744AD">
            <w:pPr>
              <w:pStyle w:val="CETBodytext"/>
              <w:jc w:val="left"/>
              <w:rPr>
                <w:rFonts w:cs="Arial"/>
                <w:lang w:val="en-GB"/>
              </w:rPr>
            </w:pPr>
            <w:r>
              <w:rPr>
                <w:rFonts w:cs="Arial"/>
                <w:lang w:val="en-GB"/>
              </w:rPr>
              <w:t>-2.0</w:t>
            </w:r>
          </w:p>
        </w:tc>
        <w:tc>
          <w:tcPr>
            <w:tcW w:w="1620" w:type="dxa"/>
            <w:shd w:val="clear" w:color="auto" w:fill="FFFFFF"/>
          </w:tcPr>
          <w:p w14:paraId="75E33F68" w14:textId="49F162F5" w:rsidR="00914487" w:rsidRPr="0008748B" w:rsidRDefault="002B63FD" w:rsidP="000744AD">
            <w:pPr>
              <w:pStyle w:val="CETBodytext"/>
              <w:jc w:val="left"/>
              <w:rPr>
                <w:lang w:val="en-GB"/>
              </w:rPr>
            </w:pPr>
            <w:r>
              <w:rPr>
                <w:lang w:val="en-GB"/>
              </w:rPr>
              <w:t>0</w:t>
            </w:r>
            <w:r w:rsidR="00CD466F">
              <w:rPr>
                <w:lang w:val="en-GB"/>
              </w:rPr>
              <w:t>.0</w:t>
            </w:r>
          </w:p>
        </w:tc>
        <w:tc>
          <w:tcPr>
            <w:tcW w:w="1620" w:type="dxa"/>
            <w:shd w:val="clear" w:color="auto" w:fill="FFFFFF"/>
          </w:tcPr>
          <w:p w14:paraId="2A047504" w14:textId="1734B8FD" w:rsidR="00914487" w:rsidRPr="00B57B36" w:rsidRDefault="002B63FD" w:rsidP="000744AD">
            <w:pPr>
              <w:pStyle w:val="CETBodytext"/>
              <w:rPr>
                <w:lang w:val="en-GB"/>
              </w:rPr>
            </w:pPr>
            <w:r>
              <w:rPr>
                <w:lang w:val="en-GB"/>
              </w:rPr>
              <w:t>1.5</w:t>
            </w:r>
          </w:p>
        </w:tc>
      </w:tr>
      <w:tr w:rsidR="00914487" w:rsidRPr="00B57B36" w14:paraId="1742C060" w14:textId="77777777" w:rsidTr="00914487">
        <w:tc>
          <w:tcPr>
            <w:tcW w:w="1440" w:type="dxa"/>
            <w:shd w:val="clear" w:color="auto" w:fill="FFFFFF"/>
          </w:tcPr>
          <w:p w14:paraId="7C1F6A44" w14:textId="19CFEA9F" w:rsidR="00914487" w:rsidRDefault="00914487" w:rsidP="000744AD">
            <w:pPr>
              <w:pStyle w:val="CETBodytext"/>
              <w:rPr>
                <w:lang w:val="en-GB"/>
              </w:rPr>
            </w:pPr>
            <w:r>
              <w:rPr>
                <w:lang w:val="en-GB"/>
              </w:rPr>
              <w:t>Sensor 3</w:t>
            </w:r>
          </w:p>
        </w:tc>
        <w:tc>
          <w:tcPr>
            <w:tcW w:w="1530" w:type="dxa"/>
            <w:shd w:val="clear" w:color="auto" w:fill="FFFFFF"/>
          </w:tcPr>
          <w:p w14:paraId="5C3CB18E" w14:textId="02B5F2F8" w:rsidR="00914487" w:rsidRDefault="00CD466F" w:rsidP="000744AD">
            <w:pPr>
              <w:pStyle w:val="CETBodytext"/>
              <w:jc w:val="left"/>
              <w:rPr>
                <w:rFonts w:cs="Arial"/>
                <w:lang w:val="en-GB"/>
              </w:rPr>
            </w:pPr>
            <w:r>
              <w:rPr>
                <w:rFonts w:cs="Arial"/>
                <w:lang w:val="en-GB"/>
              </w:rPr>
              <w:t>2.0</w:t>
            </w:r>
          </w:p>
        </w:tc>
        <w:tc>
          <w:tcPr>
            <w:tcW w:w="1620" w:type="dxa"/>
            <w:shd w:val="clear" w:color="auto" w:fill="FFFFFF"/>
          </w:tcPr>
          <w:p w14:paraId="1F74825C" w14:textId="38A51EA4" w:rsidR="00914487" w:rsidRPr="0008748B" w:rsidRDefault="00CD466F" w:rsidP="000744AD">
            <w:pPr>
              <w:pStyle w:val="CETBodytext"/>
              <w:jc w:val="left"/>
              <w:rPr>
                <w:lang w:val="en-GB"/>
              </w:rPr>
            </w:pPr>
            <w:r>
              <w:rPr>
                <w:lang w:val="en-GB"/>
              </w:rPr>
              <w:t>0.0</w:t>
            </w:r>
          </w:p>
        </w:tc>
        <w:tc>
          <w:tcPr>
            <w:tcW w:w="1620" w:type="dxa"/>
            <w:shd w:val="clear" w:color="auto" w:fill="FFFFFF"/>
          </w:tcPr>
          <w:p w14:paraId="53B9BADE" w14:textId="311B5903" w:rsidR="00914487" w:rsidRPr="00B57B36" w:rsidRDefault="00CD466F" w:rsidP="000744AD">
            <w:pPr>
              <w:pStyle w:val="CETBodytext"/>
              <w:rPr>
                <w:lang w:val="en-GB"/>
              </w:rPr>
            </w:pPr>
            <w:r>
              <w:rPr>
                <w:lang w:val="en-GB"/>
              </w:rPr>
              <w:t>1.5</w:t>
            </w:r>
          </w:p>
        </w:tc>
      </w:tr>
    </w:tbl>
    <w:p w14:paraId="68D26B83" w14:textId="213B1687" w:rsidR="00600535" w:rsidRPr="00EC7198" w:rsidRDefault="00600535" w:rsidP="002C389B">
      <w:pPr>
        <w:pStyle w:val="CETHeading1"/>
        <w:numPr>
          <w:ilvl w:val="0"/>
          <w:numId w:val="0"/>
        </w:numPr>
      </w:pPr>
      <w:r w:rsidRPr="00EC7198">
        <w:t>Conclusions</w:t>
      </w:r>
    </w:p>
    <w:p w14:paraId="11FEC9D2" w14:textId="4C093039" w:rsidR="00AB4B3D" w:rsidRDefault="00125E49" w:rsidP="00AB4B3D">
      <w:pPr>
        <w:pStyle w:val="CETAcknowledgementstitle"/>
        <w:jc w:val="both"/>
        <w:rPr>
          <w:b w:val="0"/>
          <w:lang w:val="en-US"/>
        </w:rPr>
      </w:pPr>
      <w:r w:rsidRPr="00125E49">
        <w:rPr>
          <w:b w:val="0"/>
          <w:lang w:val="en-US"/>
        </w:rPr>
        <w:t xml:space="preserve">UGLD can be used to detect leakages from pressurized hydrogen tanks in </w:t>
      </w:r>
      <w:r>
        <w:rPr>
          <w:b w:val="0"/>
          <w:lang w:val="en-US"/>
        </w:rPr>
        <w:t>refuel</w:t>
      </w:r>
      <w:r w:rsidRPr="00125E49">
        <w:rPr>
          <w:b w:val="0"/>
          <w:lang w:val="en-US"/>
        </w:rPr>
        <w:t>ing stations. These sensors can effectively detect outdoor H</w:t>
      </w:r>
      <w:r w:rsidRPr="00293377">
        <w:rPr>
          <w:b w:val="0"/>
          <w:vertAlign w:val="subscript"/>
          <w:lang w:val="en-US"/>
        </w:rPr>
        <w:t>2</w:t>
      </w:r>
      <w:r w:rsidRPr="00125E49">
        <w:rPr>
          <w:b w:val="0"/>
          <w:lang w:val="en-US"/>
        </w:rPr>
        <w:t xml:space="preserve"> releases since they measure the ultrasound emitted from the high-pressure gas leaks without being affected by the wind, the leak direction, or the hydrogen dilution, like concentration-based detectors. The functioning of these sensors is based on sound propagation instead of mass movement; hence, they have lower response times and increased reliability. In this study, two hydrogen releases from a pressurized storage system have been simulated, considering the extreme cases of a full tank at 700 bar, an almost empty tank at 5 bar, and two different hole sizes. In addition, the positioning of the UGLDs has been optimized through a genetic algorithm that simulated a set of possible sensor locations and determined a spatial configuration which guaranteed the highest coverage area. The results demonstrated that only three sensors, appropriately positioned near the tank, are </w:t>
      </w:r>
      <w:r w:rsidR="00122778">
        <w:rPr>
          <w:b w:val="0"/>
          <w:lang w:val="en-US"/>
        </w:rPr>
        <w:t>sufficient</w:t>
      </w:r>
      <w:r w:rsidRPr="00125E49">
        <w:rPr>
          <w:b w:val="0"/>
          <w:lang w:val="en-US"/>
        </w:rPr>
        <w:t xml:space="preserve"> to detect compressed gaseous hydrogen releases, offering an additional safety barrier for </w:t>
      </w:r>
      <w:r w:rsidR="00122778">
        <w:rPr>
          <w:b w:val="0"/>
          <w:lang w:val="en-US"/>
        </w:rPr>
        <w:t>H</w:t>
      </w:r>
      <w:r w:rsidR="00122778" w:rsidRPr="00122778">
        <w:rPr>
          <w:b w:val="0"/>
          <w:vertAlign w:val="subscript"/>
          <w:lang w:val="en-US"/>
        </w:rPr>
        <w:t>2</w:t>
      </w:r>
      <w:r w:rsidRPr="00125E49">
        <w:rPr>
          <w:b w:val="0"/>
          <w:lang w:val="en-US"/>
        </w:rPr>
        <w:t xml:space="preserve"> refueling stations. Hence, UGDLs can complement existing detection systems in outdoor areas. They can drastically reduce the system’s response time, thus enhancing the operational safety of hydrogen refueling stations.</w:t>
      </w:r>
    </w:p>
    <w:p w14:paraId="459D05E6" w14:textId="38723F9A" w:rsidR="00600535" w:rsidRPr="00EC7198" w:rsidRDefault="00600535" w:rsidP="00600535">
      <w:pPr>
        <w:pStyle w:val="CETAcknowledgementstitle"/>
        <w:rPr>
          <w:lang w:val="en-US"/>
        </w:rPr>
      </w:pPr>
      <w:r w:rsidRPr="00EC7198">
        <w:rPr>
          <w:lang w:val="en-US"/>
        </w:rPr>
        <w:t>Acknowledgments</w:t>
      </w:r>
    </w:p>
    <w:p w14:paraId="33F8138F" w14:textId="0A4F5B8B" w:rsidR="00600535" w:rsidRPr="00EC7198" w:rsidRDefault="004B1001" w:rsidP="00600535">
      <w:pPr>
        <w:pStyle w:val="CETBodytext"/>
      </w:pPr>
      <w:r w:rsidRPr="00EC7198">
        <w:t xml:space="preserve">This work was undertaken as a part of the research project </w:t>
      </w:r>
      <w:r w:rsidR="00AB79E2" w:rsidRPr="00EC7198">
        <w:t>“</w:t>
      </w:r>
      <w:r w:rsidRPr="00EC7198">
        <w:t>Sustainability and Cost-Reduction of Hydrogen Stations through Risk-Based, Multidisciplinary Approaches</w:t>
      </w:r>
      <w:r w:rsidR="00AB79E2" w:rsidRPr="00EC7198">
        <w:t>” (SUSHy)</w:t>
      </w:r>
      <w:r w:rsidRPr="00EC7198">
        <w:t xml:space="preserve">, and the authors would like to acknowledge the financial support of </w:t>
      </w:r>
      <w:r w:rsidR="004D1DB7">
        <w:t>t</w:t>
      </w:r>
      <w:r w:rsidR="004D1DB7" w:rsidRPr="00F17D87">
        <w:t>he Norwegian Research Council through the EIG CONCERT-Japan platform</w:t>
      </w:r>
      <w:r w:rsidR="008C6E87">
        <w:t xml:space="preserve"> (</w:t>
      </w:r>
      <w:r w:rsidR="008C6E87" w:rsidRPr="00EC7198">
        <w:t>Grant No. 334340</w:t>
      </w:r>
      <w:r w:rsidR="008C6E87">
        <w:t>)</w:t>
      </w:r>
      <w:r w:rsidR="004D1DB7">
        <w:t>.</w:t>
      </w:r>
    </w:p>
    <w:p w14:paraId="4F1327F8" w14:textId="77777777" w:rsidR="00600535" w:rsidRPr="00EC7198" w:rsidRDefault="00600535" w:rsidP="00600535">
      <w:pPr>
        <w:pStyle w:val="CETReference"/>
        <w:rPr>
          <w:lang w:val="en-US"/>
        </w:rPr>
      </w:pPr>
      <w:r w:rsidRPr="00EC7198">
        <w:rPr>
          <w:lang w:val="en-US"/>
        </w:rPr>
        <w:t>References</w:t>
      </w:r>
    </w:p>
    <w:p w14:paraId="1C221532" w14:textId="5B5F89FF" w:rsidR="00EE6D23" w:rsidRPr="00EC7198" w:rsidRDefault="00EE6D23" w:rsidP="0066115C">
      <w:pPr>
        <w:pStyle w:val="CETReferencetext"/>
        <w:rPr>
          <w:lang w:val="en-US"/>
        </w:rPr>
      </w:pPr>
      <w:r w:rsidRPr="00EC7198">
        <w:rPr>
          <w:lang w:val="en-US"/>
        </w:rPr>
        <w:t>Campari A., Nakhal A.J., Ustolin F., Alvaro A., Ledda A., Agnello P., Moretto P., Patriarca R., Paltrinieri N., 2023, Lessons Learned from HIAD 2.0: Inspection and Maintenance to Avoid Hydrogen-Induced Material Failures, Comput. Chem. Eng., 173.</w:t>
      </w:r>
    </w:p>
    <w:p w14:paraId="4047D9DA" w14:textId="608CC4E6" w:rsidR="00AE5A67" w:rsidRDefault="00AE5A67" w:rsidP="0066115C">
      <w:pPr>
        <w:pStyle w:val="CETReferencetext"/>
        <w:rPr>
          <w:lang w:val="en-US"/>
        </w:rPr>
      </w:pPr>
      <w:r w:rsidRPr="00AE5A67">
        <w:rPr>
          <w:lang w:val="en-US"/>
        </w:rPr>
        <w:t>Ehrhart</w:t>
      </w:r>
      <w:r>
        <w:rPr>
          <w:lang w:val="en-US"/>
        </w:rPr>
        <w:t xml:space="preserve"> B.D.</w:t>
      </w:r>
      <w:r w:rsidRPr="00AE5A67">
        <w:rPr>
          <w:lang w:val="en-US"/>
        </w:rPr>
        <w:t>, Sims</w:t>
      </w:r>
      <w:r w:rsidR="00E11F49">
        <w:rPr>
          <w:lang w:val="en-US"/>
        </w:rPr>
        <w:t xml:space="preserve"> C.</w:t>
      </w:r>
      <w:r w:rsidRPr="00AE5A67">
        <w:rPr>
          <w:lang w:val="en-US"/>
        </w:rPr>
        <w:t>, Hecht</w:t>
      </w:r>
      <w:r w:rsidR="00E11F49">
        <w:rPr>
          <w:lang w:val="en-US"/>
        </w:rPr>
        <w:t xml:space="preserve"> E.S.</w:t>
      </w:r>
      <w:r w:rsidRPr="00AE5A67">
        <w:rPr>
          <w:lang w:val="en-US"/>
        </w:rPr>
        <w:t>, Schroeder</w:t>
      </w:r>
      <w:r w:rsidR="00E11F49">
        <w:rPr>
          <w:lang w:val="en-US"/>
        </w:rPr>
        <w:t xml:space="preserve"> B.B.</w:t>
      </w:r>
      <w:r w:rsidRPr="00AE5A67">
        <w:rPr>
          <w:lang w:val="en-US"/>
        </w:rPr>
        <w:t xml:space="preserve">, </w:t>
      </w:r>
      <w:r w:rsidR="00E11F49">
        <w:rPr>
          <w:lang w:val="en-US"/>
        </w:rPr>
        <w:t>Growth K.M.</w:t>
      </w:r>
      <w:r w:rsidRPr="00AE5A67">
        <w:rPr>
          <w:lang w:val="en-US"/>
        </w:rPr>
        <w:t>, Reynolds</w:t>
      </w:r>
      <w:r w:rsidR="00E11F49">
        <w:rPr>
          <w:lang w:val="en-US"/>
        </w:rPr>
        <w:t xml:space="preserve"> J.T.</w:t>
      </w:r>
      <w:r w:rsidRPr="00AE5A67">
        <w:rPr>
          <w:lang w:val="en-US"/>
        </w:rPr>
        <w:t>, Walkup</w:t>
      </w:r>
      <w:r w:rsidR="00E11F49">
        <w:rPr>
          <w:lang w:val="en-US"/>
        </w:rPr>
        <w:t xml:space="preserve"> G.W., 2022,</w:t>
      </w:r>
      <w:r w:rsidRPr="00AE5A67">
        <w:rPr>
          <w:lang w:val="en-US"/>
        </w:rPr>
        <w:t xml:space="preserve"> HyRAM+</w:t>
      </w:r>
      <w:r w:rsidR="00E11F49">
        <w:rPr>
          <w:lang w:val="en-US"/>
        </w:rPr>
        <w:t xml:space="preserve"> </w:t>
      </w:r>
      <w:r w:rsidRPr="00AE5A67">
        <w:rPr>
          <w:lang w:val="en-US"/>
        </w:rPr>
        <w:t>Version 5.0</w:t>
      </w:r>
      <w:r w:rsidR="00E11F49">
        <w:rPr>
          <w:lang w:val="en-US"/>
        </w:rPr>
        <w:t>,</w:t>
      </w:r>
      <w:r w:rsidRPr="00AE5A67">
        <w:rPr>
          <w:lang w:val="en-US"/>
        </w:rPr>
        <w:t xml:space="preserve"> </w:t>
      </w:r>
      <w:r w:rsidR="00974130" w:rsidRPr="00974130">
        <w:rPr>
          <w:lang w:val="en-US"/>
        </w:rPr>
        <w:t>&lt;</w:t>
      </w:r>
      <w:r w:rsidR="00BA050B" w:rsidRPr="00BA050B">
        <w:rPr>
          <w:lang w:val="en-US"/>
        </w:rPr>
        <w:t>hyram.sandia.gov</w:t>
      </w:r>
      <w:r w:rsidR="00974130" w:rsidRPr="00974130">
        <w:rPr>
          <w:lang w:val="en-US"/>
        </w:rPr>
        <w:t>&gt; accessed 2</w:t>
      </w:r>
      <w:r w:rsidR="00BA050B">
        <w:rPr>
          <w:lang w:val="en-US"/>
        </w:rPr>
        <w:t>8</w:t>
      </w:r>
      <w:r w:rsidR="00974130" w:rsidRPr="00974130">
        <w:rPr>
          <w:lang w:val="en-US"/>
        </w:rPr>
        <w:t>.0</w:t>
      </w:r>
      <w:r w:rsidR="00BA050B">
        <w:rPr>
          <w:lang w:val="en-US"/>
        </w:rPr>
        <w:t>4</w:t>
      </w:r>
      <w:r w:rsidR="00974130" w:rsidRPr="00974130">
        <w:rPr>
          <w:lang w:val="en-US"/>
        </w:rPr>
        <w:t>.20</w:t>
      </w:r>
      <w:r w:rsidR="00BA050B">
        <w:rPr>
          <w:lang w:val="en-US"/>
        </w:rPr>
        <w:t>23.</w:t>
      </w:r>
    </w:p>
    <w:p w14:paraId="6D990AF9" w14:textId="71896DD8" w:rsidR="0024329D" w:rsidRDefault="0024329D" w:rsidP="0066115C">
      <w:pPr>
        <w:pStyle w:val="CETReferencetext"/>
        <w:rPr>
          <w:lang w:val="en-US"/>
        </w:rPr>
      </w:pPr>
      <w:r w:rsidRPr="00EC7198">
        <w:rPr>
          <w:lang w:val="en-US"/>
        </w:rPr>
        <w:t>European Commission, 2018, In-depth analysis in support of the Commission Communication COM(2018) 773 A Clean Planet for all.</w:t>
      </w:r>
    </w:p>
    <w:p w14:paraId="30EF3DFA" w14:textId="1B0015F9" w:rsidR="004D0CCD" w:rsidRDefault="004D0CCD" w:rsidP="0066115C">
      <w:pPr>
        <w:pStyle w:val="CETReferencetext"/>
        <w:rPr>
          <w:lang w:val="en-US"/>
        </w:rPr>
      </w:pPr>
      <w:r w:rsidRPr="004D0CCD">
        <w:rPr>
          <w:lang w:val="en-US"/>
        </w:rPr>
        <w:t>Fecarotta C., Janowski A., 2021, Why Ultrasonic</w:t>
      </w:r>
      <w:r>
        <w:rPr>
          <w:lang w:val="en-US"/>
        </w:rPr>
        <w:t xml:space="preserve"> Gas Leak Detectors</w:t>
      </w:r>
      <w:r w:rsidR="00C716B5">
        <w:rPr>
          <w:lang w:val="en-US"/>
        </w:rPr>
        <w:t xml:space="preserve">?, Proceedings of the </w:t>
      </w:r>
      <w:r w:rsidR="00472DDE">
        <w:rPr>
          <w:lang w:val="en-US"/>
        </w:rPr>
        <w:t>9</w:t>
      </w:r>
      <w:r w:rsidR="00472DDE" w:rsidRPr="00472DDE">
        <w:rPr>
          <w:vertAlign w:val="superscript"/>
          <w:lang w:val="en-US"/>
        </w:rPr>
        <w:t>th</w:t>
      </w:r>
      <w:r w:rsidR="00472DDE">
        <w:rPr>
          <w:lang w:val="en-US"/>
        </w:rPr>
        <w:t xml:space="preserve"> </w:t>
      </w:r>
      <w:r w:rsidR="00C716B5">
        <w:rPr>
          <w:lang w:val="en-US"/>
        </w:rPr>
        <w:t>International Conference on Hydrogen Safety</w:t>
      </w:r>
      <w:r w:rsidR="00472DDE">
        <w:rPr>
          <w:lang w:val="en-US"/>
        </w:rPr>
        <w:t xml:space="preserve"> (ICHS 2021), Edinburgh, UK.</w:t>
      </w:r>
    </w:p>
    <w:p w14:paraId="6D57A528" w14:textId="31883BF7" w:rsidR="00D65D0A" w:rsidRPr="00F50BEF" w:rsidRDefault="00D65D0A" w:rsidP="0066115C">
      <w:pPr>
        <w:pStyle w:val="CETReferencetext"/>
        <w:rPr>
          <w:lang w:val="en-US"/>
        </w:rPr>
      </w:pPr>
      <w:r w:rsidRPr="00F50BEF">
        <w:rPr>
          <w:lang w:val="en-US"/>
        </w:rPr>
        <w:t>Katoch S., Chauhan S.S., Kumar V., 20</w:t>
      </w:r>
      <w:r w:rsidR="00F50BEF" w:rsidRPr="00F50BEF">
        <w:rPr>
          <w:lang w:val="en-US"/>
        </w:rPr>
        <w:t>21, A review on genetic algorithm: past, present, and future</w:t>
      </w:r>
      <w:r w:rsidR="00F50BEF">
        <w:rPr>
          <w:lang w:val="en-US"/>
        </w:rPr>
        <w:t xml:space="preserve">, </w:t>
      </w:r>
      <w:r w:rsidR="00933518">
        <w:rPr>
          <w:lang w:val="en-US"/>
        </w:rPr>
        <w:t>Multimed. Tools Appl., 80,</w:t>
      </w:r>
      <w:r w:rsidR="00BC335E" w:rsidRPr="00BC335E">
        <w:t xml:space="preserve"> </w:t>
      </w:r>
      <w:r w:rsidR="00BC335E" w:rsidRPr="00BC335E">
        <w:rPr>
          <w:lang w:val="en-US"/>
        </w:rPr>
        <w:t>8091–8126</w:t>
      </w:r>
      <w:r w:rsidR="0054434F">
        <w:rPr>
          <w:lang w:val="en-US"/>
        </w:rPr>
        <w:t>.</w:t>
      </w:r>
    </w:p>
    <w:p w14:paraId="48EF836E" w14:textId="47FE3E44" w:rsidR="008208D2" w:rsidRDefault="00F14EB5" w:rsidP="008208D2">
      <w:pPr>
        <w:pStyle w:val="CETReferencetext"/>
        <w:rPr>
          <w:lang w:val="en-US"/>
        </w:rPr>
      </w:pPr>
      <w:r w:rsidRPr="00EC7198">
        <w:rPr>
          <w:lang w:val="en-US"/>
        </w:rPr>
        <w:t xml:space="preserve">Kotchourko A., Jordan T., 2022, </w:t>
      </w:r>
      <w:r w:rsidR="004662DE" w:rsidRPr="00EC7198">
        <w:rPr>
          <w:lang w:val="en-US"/>
        </w:rPr>
        <w:t xml:space="preserve">Hydrogen Safety for Energy Applications: Engineering Design, Risk Assessment, and Codes and Standards, </w:t>
      </w:r>
      <w:r w:rsidR="00EF531C" w:rsidRPr="00EC7198">
        <w:rPr>
          <w:lang w:val="en-US"/>
        </w:rPr>
        <w:t>Butterworth-Heinemann, Oxford, UK.</w:t>
      </w:r>
    </w:p>
    <w:p w14:paraId="7FA79ABB" w14:textId="6D3505FB" w:rsidR="008E28A7" w:rsidRDefault="008E28A7" w:rsidP="008E28A7">
      <w:pPr>
        <w:pStyle w:val="CETReferencetext"/>
        <w:rPr>
          <w:lang w:val="en-US"/>
        </w:rPr>
      </w:pPr>
      <w:r>
        <w:rPr>
          <w:lang w:val="en-US"/>
        </w:rPr>
        <w:t>Li</w:t>
      </w:r>
      <w:r w:rsidR="0036655C">
        <w:rPr>
          <w:lang w:val="en-US"/>
        </w:rPr>
        <w:t xml:space="preserve"> X., Xu Y., </w:t>
      </w:r>
      <w:r w:rsidR="008B2377">
        <w:rPr>
          <w:lang w:val="en-US"/>
        </w:rPr>
        <w:t>Li X., Jin Z., Qian J.</w:t>
      </w:r>
      <w:r>
        <w:rPr>
          <w:lang w:val="en-US"/>
        </w:rPr>
        <w:t xml:space="preserve">, 2021, </w:t>
      </w:r>
      <w:r w:rsidRPr="008E28A7">
        <w:rPr>
          <w:lang w:val="en-US"/>
        </w:rPr>
        <w:t>Effect of wind condition on unintended hydrogen</w:t>
      </w:r>
      <w:r>
        <w:rPr>
          <w:lang w:val="en-US"/>
        </w:rPr>
        <w:t xml:space="preserve"> </w:t>
      </w:r>
      <w:r w:rsidRPr="008E28A7">
        <w:rPr>
          <w:lang w:val="en-US"/>
        </w:rPr>
        <w:t>release in a hydrogen refueling station</w:t>
      </w:r>
      <w:r>
        <w:rPr>
          <w:lang w:val="en-US"/>
        </w:rPr>
        <w:t xml:space="preserve">, Int. </w:t>
      </w:r>
      <w:r w:rsidR="0036655C">
        <w:rPr>
          <w:lang w:val="en-US"/>
        </w:rPr>
        <w:t>J</w:t>
      </w:r>
      <w:r w:rsidR="00241C44">
        <w:rPr>
          <w:lang w:val="en-US"/>
        </w:rPr>
        <w:t>. Hydrog. Energy</w:t>
      </w:r>
      <w:r w:rsidR="0036655C">
        <w:rPr>
          <w:lang w:val="en-US"/>
        </w:rPr>
        <w:t>,</w:t>
      </w:r>
      <w:r w:rsidR="008B2377">
        <w:rPr>
          <w:lang w:val="en-US"/>
        </w:rPr>
        <w:t xml:space="preserve"> 46, </w:t>
      </w:r>
      <w:r w:rsidR="007E71C6">
        <w:rPr>
          <w:lang w:val="en-US"/>
        </w:rPr>
        <w:t xml:space="preserve">5537-5547, DOI: </w:t>
      </w:r>
      <w:r w:rsidR="00CE543D">
        <w:rPr>
          <w:lang w:val="en-US"/>
        </w:rPr>
        <w:t>1</w:t>
      </w:r>
      <w:r w:rsidR="00CE543D" w:rsidRPr="00CE543D">
        <w:rPr>
          <w:lang w:val="en-US"/>
        </w:rPr>
        <w:t>0.1016/j.ijhydene.2020.11.036</w:t>
      </w:r>
      <w:r w:rsidR="007E71C6">
        <w:rPr>
          <w:lang w:val="en-US"/>
        </w:rPr>
        <w:t>.</w:t>
      </w:r>
    </w:p>
    <w:p w14:paraId="15D9ACDF" w14:textId="47C98825" w:rsidR="007A1E2F" w:rsidRDefault="007A1E2F" w:rsidP="008208D2">
      <w:pPr>
        <w:pStyle w:val="CETReferencetext"/>
        <w:rPr>
          <w:lang w:val="en-US"/>
        </w:rPr>
      </w:pPr>
      <w:r w:rsidRPr="007A1E2F">
        <w:rPr>
          <w:lang w:val="en-US"/>
        </w:rPr>
        <w:t>Moon</w:t>
      </w:r>
      <w:r w:rsidR="008208D2">
        <w:rPr>
          <w:lang w:val="en-US"/>
        </w:rPr>
        <w:t xml:space="preserve"> C.</w:t>
      </w:r>
      <w:r>
        <w:rPr>
          <w:lang w:val="en-US"/>
        </w:rPr>
        <w:t xml:space="preserve">, </w:t>
      </w:r>
      <w:r w:rsidRPr="007A1E2F">
        <w:rPr>
          <w:lang w:val="en-US"/>
        </w:rPr>
        <w:t xml:space="preserve">Brown </w:t>
      </w:r>
      <w:r>
        <w:rPr>
          <w:lang w:val="en-US"/>
        </w:rPr>
        <w:t>W.C</w:t>
      </w:r>
      <w:r w:rsidR="008208D2">
        <w:rPr>
          <w:lang w:val="en-US"/>
        </w:rPr>
        <w:t xml:space="preserve">., </w:t>
      </w:r>
      <w:r w:rsidRPr="008208D2">
        <w:rPr>
          <w:lang w:val="en-US"/>
        </w:rPr>
        <w:t>Mellen</w:t>
      </w:r>
      <w:r w:rsidR="008208D2" w:rsidRPr="008208D2">
        <w:rPr>
          <w:lang w:val="en-US"/>
        </w:rPr>
        <w:t xml:space="preserve"> S.</w:t>
      </w:r>
      <w:r w:rsidR="008208D2">
        <w:rPr>
          <w:lang w:val="en-US"/>
        </w:rPr>
        <w:t>, Frenz E.,</w:t>
      </w:r>
      <w:r w:rsidR="008A12B1">
        <w:rPr>
          <w:lang w:val="en-US"/>
        </w:rPr>
        <w:t xml:space="preserve"> Pickering D.J.</w:t>
      </w:r>
      <w:r w:rsidR="00CD17A4">
        <w:rPr>
          <w:lang w:val="en-US"/>
        </w:rPr>
        <w:t xml:space="preserve">, 2009, </w:t>
      </w:r>
      <w:r w:rsidR="00CD17A4" w:rsidRPr="00CD17A4">
        <w:rPr>
          <w:lang w:val="en-US"/>
        </w:rPr>
        <w:t>Ultrasound Techniques for Leak Detectio</w:t>
      </w:r>
      <w:r w:rsidR="0066382D">
        <w:rPr>
          <w:lang w:val="en-US"/>
        </w:rPr>
        <w:t>n</w:t>
      </w:r>
      <w:r w:rsidR="00850D48">
        <w:rPr>
          <w:lang w:val="en-US"/>
        </w:rPr>
        <w:t>,</w:t>
      </w:r>
      <w:r w:rsidR="00850D48" w:rsidRPr="00850D48">
        <w:rPr>
          <w:lang w:val="en-US"/>
        </w:rPr>
        <w:t xml:space="preserve"> </w:t>
      </w:r>
      <w:r w:rsidR="00CD1C02">
        <w:rPr>
          <w:lang w:val="en-US"/>
        </w:rPr>
        <w:t xml:space="preserve">International </w:t>
      </w:r>
      <w:r w:rsidR="00CD1C02" w:rsidRPr="00CD1C02">
        <w:rPr>
          <w:lang w:val="en-US"/>
        </w:rPr>
        <w:t>Society of Automotive Engineers</w:t>
      </w:r>
      <w:r w:rsidR="00850D48">
        <w:rPr>
          <w:lang w:val="en-US"/>
        </w:rPr>
        <w:t xml:space="preserve">, </w:t>
      </w:r>
      <w:r w:rsidR="00850D48" w:rsidRPr="00850D48">
        <w:rPr>
          <w:lang w:val="en-US"/>
        </w:rPr>
        <w:t>09NVC-0269</w:t>
      </w:r>
      <w:r w:rsidR="00CD1C02">
        <w:rPr>
          <w:lang w:val="en-US"/>
        </w:rPr>
        <w:t>.</w:t>
      </w:r>
    </w:p>
    <w:p w14:paraId="1978DB25" w14:textId="735422E5" w:rsidR="00A711C4" w:rsidRPr="008208D2" w:rsidRDefault="00A711C4" w:rsidP="008208D2">
      <w:pPr>
        <w:pStyle w:val="CETReferencetext"/>
        <w:rPr>
          <w:lang w:val="en-US"/>
        </w:rPr>
      </w:pPr>
      <w:r w:rsidRPr="00A711C4">
        <w:rPr>
          <w:lang w:val="en-US"/>
        </w:rPr>
        <w:t>Morales</w:t>
      </w:r>
      <w:r>
        <w:rPr>
          <w:lang w:val="en-US"/>
        </w:rPr>
        <w:t xml:space="preserve"> G.F.</w:t>
      </w:r>
      <w:r w:rsidRPr="00A711C4">
        <w:rPr>
          <w:lang w:val="en-US"/>
        </w:rPr>
        <w:t>, Ehrhart</w:t>
      </w:r>
      <w:r w:rsidR="00864E97">
        <w:rPr>
          <w:lang w:val="en-US"/>
        </w:rPr>
        <w:t xml:space="preserve"> B.D.</w:t>
      </w:r>
      <w:r w:rsidRPr="00A711C4">
        <w:rPr>
          <w:lang w:val="en-US"/>
        </w:rPr>
        <w:t>, Muna</w:t>
      </w:r>
      <w:r w:rsidR="00864E97">
        <w:rPr>
          <w:lang w:val="en-US"/>
        </w:rPr>
        <w:t xml:space="preserve"> A.B., 20</w:t>
      </w:r>
      <w:r w:rsidR="006904FD">
        <w:rPr>
          <w:lang w:val="en-US"/>
        </w:rPr>
        <w:t xml:space="preserve">19, </w:t>
      </w:r>
      <w:r w:rsidR="00695CE3" w:rsidRPr="004D2BFA">
        <w:rPr>
          <w:lang w:val="en-US"/>
        </w:rPr>
        <w:t>SAND2019-8940</w:t>
      </w:r>
      <w:r w:rsidR="00695CE3">
        <w:rPr>
          <w:lang w:val="en-US"/>
        </w:rPr>
        <w:t xml:space="preserve"> - </w:t>
      </w:r>
      <w:r w:rsidR="006904FD" w:rsidRPr="006904FD">
        <w:rPr>
          <w:lang w:val="en-US"/>
        </w:rPr>
        <w:t>HyRAM V2.0 User Guide</w:t>
      </w:r>
      <w:r w:rsidR="00695CE3">
        <w:rPr>
          <w:lang w:val="en-US"/>
        </w:rPr>
        <w:t xml:space="preserve">, </w:t>
      </w:r>
      <w:r w:rsidR="009C7E23" w:rsidRPr="009C7E23">
        <w:rPr>
          <w:lang w:val="en-US"/>
        </w:rPr>
        <w:t>Albuquerque</w:t>
      </w:r>
      <w:r w:rsidR="009C7E23">
        <w:rPr>
          <w:lang w:val="en-US"/>
        </w:rPr>
        <w:t xml:space="preserve">, </w:t>
      </w:r>
      <w:r w:rsidR="00695CE3">
        <w:rPr>
          <w:lang w:val="en-US"/>
        </w:rPr>
        <w:t>USA.</w:t>
      </w:r>
    </w:p>
    <w:p w14:paraId="19C4FC68" w14:textId="7175B371" w:rsidR="004628D2" w:rsidRDefault="0081055D" w:rsidP="0066115C">
      <w:pPr>
        <w:pStyle w:val="CETReferencetext"/>
        <w:rPr>
          <w:lang w:val="en-US"/>
        </w:rPr>
      </w:pPr>
      <w:r w:rsidRPr="00EC7198">
        <w:rPr>
          <w:lang w:val="en-US"/>
        </w:rPr>
        <w:t>Samsun</w:t>
      </w:r>
      <w:r w:rsidR="004760B4" w:rsidRPr="00EC7198">
        <w:rPr>
          <w:lang w:val="en-US"/>
        </w:rPr>
        <w:t xml:space="preserve"> R.C.</w:t>
      </w:r>
      <w:r w:rsidRPr="00EC7198">
        <w:rPr>
          <w:lang w:val="en-US"/>
        </w:rPr>
        <w:t>, Antoni</w:t>
      </w:r>
      <w:r w:rsidR="004760B4" w:rsidRPr="00EC7198">
        <w:rPr>
          <w:lang w:val="en-US"/>
        </w:rPr>
        <w:t xml:space="preserve"> L.</w:t>
      </w:r>
      <w:r w:rsidRPr="00EC7198">
        <w:rPr>
          <w:lang w:val="en-US"/>
        </w:rPr>
        <w:t>, Rex</w:t>
      </w:r>
      <w:r w:rsidR="00503073" w:rsidRPr="00EC7198">
        <w:rPr>
          <w:lang w:val="en-US"/>
        </w:rPr>
        <w:t xml:space="preserve"> M.</w:t>
      </w:r>
      <w:r w:rsidRPr="00EC7198">
        <w:rPr>
          <w:lang w:val="en-US"/>
        </w:rPr>
        <w:t>, Stolten</w:t>
      </w:r>
      <w:r w:rsidR="00503073" w:rsidRPr="00EC7198">
        <w:rPr>
          <w:lang w:val="en-US"/>
        </w:rPr>
        <w:t xml:space="preserve"> D., 20</w:t>
      </w:r>
      <w:r w:rsidR="0066115C" w:rsidRPr="00EC7198">
        <w:rPr>
          <w:lang w:val="en-US"/>
        </w:rPr>
        <w:t>21, Deployment Status of Fuel Cells in Road Transport: 2021 Update</w:t>
      </w:r>
      <w:r w:rsidR="008E1D6C" w:rsidRPr="00EC7198">
        <w:rPr>
          <w:lang w:val="en-US"/>
        </w:rPr>
        <w:t>.</w:t>
      </w:r>
    </w:p>
    <w:p w14:paraId="4B71E53F" w14:textId="4FDE9340" w:rsidR="00D778DA" w:rsidRPr="00EC7198" w:rsidRDefault="00D778DA" w:rsidP="0059089D">
      <w:pPr>
        <w:pStyle w:val="CETReferencetext"/>
        <w:rPr>
          <w:lang w:val="en-US"/>
        </w:rPr>
      </w:pPr>
      <w:r w:rsidRPr="00D778DA">
        <w:rPr>
          <w:lang w:val="en-US"/>
        </w:rPr>
        <w:t>Tchouvelev</w:t>
      </w:r>
      <w:r>
        <w:rPr>
          <w:lang w:val="en-US"/>
        </w:rPr>
        <w:t xml:space="preserve"> A.V., </w:t>
      </w:r>
      <w:r w:rsidRPr="00D778DA">
        <w:rPr>
          <w:lang w:val="en-US"/>
        </w:rPr>
        <w:t>Buttner</w:t>
      </w:r>
      <w:r w:rsidR="00331EA4">
        <w:rPr>
          <w:lang w:val="en-US"/>
        </w:rPr>
        <w:t xml:space="preserve"> W.J., </w:t>
      </w:r>
      <w:r w:rsidRPr="00D778DA">
        <w:rPr>
          <w:lang w:val="en-US"/>
        </w:rPr>
        <w:t>Melideo</w:t>
      </w:r>
      <w:r w:rsidR="00331EA4">
        <w:rPr>
          <w:lang w:val="en-US"/>
        </w:rPr>
        <w:t xml:space="preserve"> D., </w:t>
      </w:r>
      <w:r w:rsidRPr="00D778DA">
        <w:rPr>
          <w:lang w:val="en-US"/>
        </w:rPr>
        <w:t>Baraldi</w:t>
      </w:r>
      <w:r w:rsidR="00331EA4">
        <w:rPr>
          <w:lang w:val="en-US"/>
        </w:rPr>
        <w:t xml:space="preserve"> D., </w:t>
      </w:r>
      <w:r w:rsidRPr="00D778DA">
        <w:rPr>
          <w:lang w:val="en-US"/>
        </w:rPr>
        <w:t>Angers</w:t>
      </w:r>
      <w:r w:rsidR="00331EA4">
        <w:rPr>
          <w:lang w:val="en-US"/>
        </w:rPr>
        <w:t xml:space="preserve"> B., 2021, </w:t>
      </w:r>
      <w:r w:rsidR="0059089D" w:rsidRPr="0059089D">
        <w:rPr>
          <w:lang w:val="en-US"/>
        </w:rPr>
        <w:t>Development of risk mitigation guidance for sensor</w:t>
      </w:r>
      <w:r w:rsidR="0059089D">
        <w:rPr>
          <w:lang w:val="en-US"/>
        </w:rPr>
        <w:t xml:space="preserve"> </w:t>
      </w:r>
      <w:r w:rsidR="0059089D" w:rsidRPr="0059089D">
        <w:rPr>
          <w:lang w:val="en-US"/>
        </w:rPr>
        <w:t>placement inside mechanically ventilated</w:t>
      </w:r>
      <w:r w:rsidR="0059089D">
        <w:rPr>
          <w:lang w:val="en-US"/>
        </w:rPr>
        <w:t xml:space="preserve"> </w:t>
      </w:r>
      <w:r w:rsidR="0059089D" w:rsidRPr="0059089D">
        <w:rPr>
          <w:lang w:val="en-US"/>
        </w:rPr>
        <w:t xml:space="preserve">enclosures </w:t>
      </w:r>
      <w:r w:rsidR="0059089D">
        <w:rPr>
          <w:lang w:val="en-US"/>
        </w:rPr>
        <w:t>–</w:t>
      </w:r>
      <w:r w:rsidR="0059089D" w:rsidRPr="0059089D">
        <w:rPr>
          <w:lang w:val="en-US"/>
        </w:rPr>
        <w:t xml:space="preserve"> Phase 1</w:t>
      </w:r>
      <w:r w:rsidR="0059089D">
        <w:rPr>
          <w:lang w:val="en-US"/>
        </w:rPr>
        <w:t>, Int. J. Hydrog. Energy, 46</w:t>
      </w:r>
      <w:r w:rsidR="00C568E6">
        <w:rPr>
          <w:lang w:val="en-US"/>
        </w:rPr>
        <w:t>.</w:t>
      </w:r>
    </w:p>
    <w:p w14:paraId="04ABB47F" w14:textId="5C5B6586" w:rsidR="00966DFC" w:rsidRDefault="00966DFC" w:rsidP="0066115C">
      <w:pPr>
        <w:pStyle w:val="CETReferencetext"/>
        <w:rPr>
          <w:lang w:val="en-US"/>
        </w:rPr>
      </w:pPr>
      <w:r w:rsidRPr="00EC7198">
        <w:rPr>
          <w:lang w:val="en-US"/>
        </w:rPr>
        <w:t>Ustolin F., Åsholt</w:t>
      </w:r>
      <w:r w:rsidR="002E03B0" w:rsidRPr="00EC7198">
        <w:rPr>
          <w:lang w:val="en-US"/>
        </w:rPr>
        <w:t xml:space="preserve"> H.</w:t>
      </w:r>
      <w:r w:rsidRPr="00EC7198">
        <w:rPr>
          <w:lang w:val="en-US"/>
        </w:rPr>
        <w:t xml:space="preserve"> Ø</w:t>
      </w:r>
      <w:r w:rsidR="002E03B0" w:rsidRPr="00EC7198">
        <w:rPr>
          <w:lang w:val="en-US"/>
        </w:rPr>
        <w:t>.,</w:t>
      </w:r>
      <w:r w:rsidRPr="00EC7198">
        <w:rPr>
          <w:lang w:val="en-US"/>
        </w:rPr>
        <w:t xml:space="preserve"> Zdravistch F</w:t>
      </w:r>
      <w:r w:rsidR="002E03B0" w:rsidRPr="00EC7198">
        <w:rPr>
          <w:lang w:val="en-US"/>
        </w:rPr>
        <w:t>.,</w:t>
      </w:r>
      <w:r w:rsidRPr="00EC7198">
        <w:rPr>
          <w:lang w:val="en-US"/>
        </w:rPr>
        <w:t xml:space="preserve"> Ranveig</w:t>
      </w:r>
      <w:r w:rsidR="00AC7AE9" w:rsidRPr="00EC7198">
        <w:rPr>
          <w:lang w:val="en-US"/>
        </w:rPr>
        <w:t xml:space="preserve"> N.,</w:t>
      </w:r>
      <w:r w:rsidRPr="00EC7198">
        <w:rPr>
          <w:lang w:val="en-US"/>
        </w:rPr>
        <w:t xml:space="preserve"> Paltrinieri</w:t>
      </w:r>
      <w:r w:rsidR="00EE57D4" w:rsidRPr="00EC7198">
        <w:rPr>
          <w:lang w:val="en-US"/>
        </w:rPr>
        <w:t xml:space="preserve"> N., </w:t>
      </w:r>
      <w:r w:rsidR="00AC7AE9" w:rsidRPr="00EC7198">
        <w:rPr>
          <w:lang w:val="en-US"/>
        </w:rPr>
        <w:t xml:space="preserve">2022, Computational Fluid Dynamics Modeling of Liquid Hydrogen Release and Dispersion in Gas Refuelling Stations, Chem. Eng. Trans., </w:t>
      </w:r>
      <w:r w:rsidR="00456A1A" w:rsidRPr="00EC7198">
        <w:rPr>
          <w:lang w:val="en-US"/>
        </w:rPr>
        <w:t>86, 223-228.</w:t>
      </w:r>
    </w:p>
    <w:p w14:paraId="05AEAE4C" w14:textId="7065B69D" w:rsidR="00533D00" w:rsidRPr="00EC7198" w:rsidRDefault="00533D00" w:rsidP="00533D00">
      <w:pPr>
        <w:pStyle w:val="CETReferencetext"/>
        <w:rPr>
          <w:lang w:val="en-US"/>
        </w:rPr>
      </w:pPr>
      <w:r w:rsidRPr="00533D00">
        <w:rPr>
          <w:lang w:val="en-US"/>
        </w:rPr>
        <w:t>Walsh</w:t>
      </w:r>
      <w:r>
        <w:rPr>
          <w:lang w:val="en-US"/>
        </w:rPr>
        <w:t xml:space="preserve"> P.,</w:t>
      </w:r>
      <w:r w:rsidRPr="00533D00">
        <w:rPr>
          <w:lang w:val="en-US"/>
        </w:rPr>
        <w:t xml:space="preserve"> Kelsey</w:t>
      </w:r>
      <w:r>
        <w:rPr>
          <w:lang w:val="en-US"/>
        </w:rPr>
        <w:t xml:space="preserve"> A., 201</w:t>
      </w:r>
      <w:r w:rsidR="00242585">
        <w:rPr>
          <w:lang w:val="en-US"/>
        </w:rPr>
        <w:t>7</w:t>
      </w:r>
      <w:r>
        <w:rPr>
          <w:lang w:val="en-US"/>
        </w:rPr>
        <w:t xml:space="preserve">, </w:t>
      </w:r>
      <w:r w:rsidRPr="004D4847">
        <w:rPr>
          <w:lang w:val="en-US"/>
        </w:rPr>
        <w:t>Research Report RR1123 - Fixed flammable gas detector systems on offshore</w:t>
      </w:r>
      <w:r>
        <w:rPr>
          <w:lang w:val="en-US"/>
        </w:rPr>
        <w:t xml:space="preserve"> </w:t>
      </w:r>
      <w:r w:rsidRPr="004D4847">
        <w:rPr>
          <w:lang w:val="en-US"/>
        </w:rPr>
        <w:t>installations: optimisation and assessment of effectiveness</w:t>
      </w:r>
      <w:r>
        <w:rPr>
          <w:lang w:val="en-US"/>
        </w:rPr>
        <w:t>, Derby, U</w:t>
      </w:r>
      <w:r w:rsidR="00D50F4B">
        <w:rPr>
          <w:lang w:val="en-US"/>
        </w:rPr>
        <w:t>K</w:t>
      </w:r>
      <w:r>
        <w:rPr>
          <w:lang w:val="en-US"/>
        </w:rPr>
        <w:t>.</w:t>
      </w:r>
    </w:p>
    <w:sectPr w:rsidR="00533D00" w:rsidRPr="00EC719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292E" w14:textId="77777777" w:rsidR="00D627B1" w:rsidRDefault="00D627B1" w:rsidP="004F5E36">
      <w:r>
        <w:separator/>
      </w:r>
    </w:p>
  </w:endnote>
  <w:endnote w:type="continuationSeparator" w:id="0">
    <w:p w14:paraId="3EEC64ED" w14:textId="77777777" w:rsidR="00D627B1" w:rsidRDefault="00D627B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136A" w14:textId="77777777" w:rsidR="00D627B1" w:rsidRDefault="00D627B1" w:rsidP="004F5E36">
      <w:r>
        <w:separator/>
      </w:r>
    </w:p>
  </w:footnote>
  <w:footnote w:type="continuationSeparator" w:id="0">
    <w:p w14:paraId="6D291267" w14:textId="77777777" w:rsidR="00D627B1" w:rsidRDefault="00D627B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81474"/>
    <w:multiLevelType w:val="hybridMultilevel"/>
    <w:tmpl w:val="AA620F8C"/>
    <w:lvl w:ilvl="0" w:tplc="F0720D32">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001587"/>
    <w:multiLevelType w:val="hybridMultilevel"/>
    <w:tmpl w:val="193698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0C6685F"/>
    <w:multiLevelType w:val="hybridMultilevel"/>
    <w:tmpl w:val="AFA6E0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54707"/>
    <w:multiLevelType w:val="hybridMultilevel"/>
    <w:tmpl w:val="1E224DEA"/>
    <w:lvl w:ilvl="0" w:tplc="584CD61A">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65320E9"/>
    <w:multiLevelType w:val="hybridMultilevel"/>
    <w:tmpl w:val="4F30672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635763D"/>
    <w:multiLevelType w:val="hybridMultilevel"/>
    <w:tmpl w:val="BEF0A884"/>
    <w:lvl w:ilvl="0" w:tplc="FCC224B6">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2"/>
  </w:num>
  <w:num w:numId="13" w16cid:durableId="695733619">
    <w:abstractNumId w:val="15"/>
  </w:num>
  <w:num w:numId="14" w16cid:durableId="145903400">
    <w:abstractNumId w:val="24"/>
  </w:num>
  <w:num w:numId="15" w16cid:durableId="19162326">
    <w:abstractNumId w:val="26"/>
  </w:num>
  <w:num w:numId="16" w16cid:durableId="1977102699">
    <w:abstractNumId w:val="25"/>
  </w:num>
  <w:num w:numId="17" w16cid:durableId="860774865">
    <w:abstractNumId w:val="14"/>
  </w:num>
  <w:num w:numId="18" w16cid:durableId="313221457">
    <w:abstractNumId w:val="15"/>
    <w:lvlOverride w:ilvl="0">
      <w:startOverride w:val="1"/>
    </w:lvlOverride>
  </w:num>
  <w:num w:numId="19" w16cid:durableId="534971577">
    <w:abstractNumId w:val="21"/>
  </w:num>
  <w:num w:numId="20" w16cid:durableId="1150947773">
    <w:abstractNumId w:val="20"/>
  </w:num>
  <w:num w:numId="21" w16cid:durableId="124660497">
    <w:abstractNumId w:val="18"/>
  </w:num>
  <w:num w:numId="22" w16cid:durableId="2099861471">
    <w:abstractNumId w:val="16"/>
  </w:num>
  <w:num w:numId="23" w16cid:durableId="1890918355">
    <w:abstractNumId w:val="19"/>
  </w:num>
  <w:num w:numId="24" w16cid:durableId="202794987">
    <w:abstractNumId w:val="23"/>
  </w:num>
  <w:num w:numId="25" w16cid:durableId="2050378207">
    <w:abstractNumId w:val="17"/>
  </w:num>
  <w:num w:numId="26" w16cid:durableId="395858335">
    <w:abstractNumId w:val="10"/>
  </w:num>
  <w:num w:numId="27" w16cid:durableId="2034185643">
    <w:abstractNumId w:val="11"/>
  </w:num>
  <w:num w:numId="28" w16cid:durableId="9526336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5C9"/>
    <w:rsid w:val="000027C0"/>
    <w:rsid w:val="000047C9"/>
    <w:rsid w:val="00004A68"/>
    <w:rsid w:val="000052FB"/>
    <w:rsid w:val="000066CD"/>
    <w:rsid w:val="00006903"/>
    <w:rsid w:val="00007D37"/>
    <w:rsid w:val="000117CB"/>
    <w:rsid w:val="0002055E"/>
    <w:rsid w:val="00022AFB"/>
    <w:rsid w:val="00022EAB"/>
    <w:rsid w:val="00023708"/>
    <w:rsid w:val="00024125"/>
    <w:rsid w:val="00026B4B"/>
    <w:rsid w:val="0003148D"/>
    <w:rsid w:val="00031EEC"/>
    <w:rsid w:val="0003538C"/>
    <w:rsid w:val="00040FAC"/>
    <w:rsid w:val="00041BB7"/>
    <w:rsid w:val="00041CE9"/>
    <w:rsid w:val="000466E9"/>
    <w:rsid w:val="00050629"/>
    <w:rsid w:val="000508F2"/>
    <w:rsid w:val="00051566"/>
    <w:rsid w:val="000522D5"/>
    <w:rsid w:val="00052839"/>
    <w:rsid w:val="0005332B"/>
    <w:rsid w:val="00053ADF"/>
    <w:rsid w:val="00054C0D"/>
    <w:rsid w:val="000562A9"/>
    <w:rsid w:val="000627CB"/>
    <w:rsid w:val="00062A9A"/>
    <w:rsid w:val="00065058"/>
    <w:rsid w:val="0006610B"/>
    <w:rsid w:val="00067C85"/>
    <w:rsid w:val="00070E33"/>
    <w:rsid w:val="00072CDE"/>
    <w:rsid w:val="00073ECF"/>
    <w:rsid w:val="000778EE"/>
    <w:rsid w:val="00080583"/>
    <w:rsid w:val="000805B2"/>
    <w:rsid w:val="00083799"/>
    <w:rsid w:val="00084230"/>
    <w:rsid w:val="000856B3"/>
    <w:rsid w:val="00086C39"/>
    <w:rsid w:val="000874AB"/>
    <w:rsid w:val="00090EC3"/>
    <w:rsid w:val="0009500A"/>
    <w:rsid w:val="000955CE"/>
    <w:rsid w:val="000A03B2"/>
    <w:rsid w:val="000A2B30"/>
    <w:rsid w:val="000B090B"/>
    <w:rsid w:val="000C06E0"/>
    <w:rsid w:val="000C215F"/>
    <w:rsid w:val="000C62B1"/>
    <w:rsid w:val="000C68B7"/>
    <w:rsid w:val="000D000A"/>
    <w:rsid w:val="000D0268"/>
    <w:rsid w:val="000D0B2E"/>
    <w:rsid w:val="000D13A8"/>
    <w:rsid w:val="000D2061"/>
    <w:rsid w:val="000D3110"/>
    <w:rsid w:val="000D34BE"/>
    <w:rsid w:val="000D3DA3"/>
    <w:rsid w:val="000D5F22"/>
    <w:rsid w:val="000E030D"/>
    <w:rsid w:val="000E085B"/>
    <w:rsid w:val="000E102F"/>
    <w:rsid w:val="000E36F1"/>
    <w:rsid w:val="000E3A73"/>
    <w:rsid w:val="000E414A"/>
    <w:rsid w:val="000E6334"/>
    <w:rsid w:val="000E64E0"/>
    <w:rsid w:val="000E70CB"/>
    <w:rsid w:val="000F093C"/>
    <w:rsid w:val="000F2383"/>
    <w:rsid w:val="000F787B"/>
    <w:rsid w:val="001009FD"/>
    <w:rsid w:val="00104B6B"/>
    <w:rsid w:val="001054F1"/>
    <w:rsid w:val="00106F33"/>
    <w:rsid w:val="00107FD8"/>
    <w:rsid w:val="00111A36"/>
    <w:rsid w:val="0011636D"/>
    <w:rsid w:val="00120846"/>
    <w:rsid w:val="0012091F"/>
    <w:rsid w:val="00121840"/>
    <w:rsid w:val="00122778"/>
    <w:rsid w:val="00122D38"/>
    <w:rsid w:val="00125E49"/>
    <w:rsid w:val="00126BC2"/>
    <w:rsid w:val="001308B6"/>
    <w:rsid w:val="0013121F"/>
    <w:rsid w:val="00131FE6"/>
    <w:rsid w:val="0013263F"/>
    <w:rsid w:val="00132A14"/>
    <w:rsid w:val="00132DAB"/>
    <w:rsid w:val="001331DF"/>
    <w:rsid w:val="00134DE4"/>
    <w:rsid w:val="001353EB"/>
    <w:rsid w:val="0014034D"/>
    <w:rsid w:val="0014289B"/>
    <w:rsid w:val="00144D16"/>
    <w:rsid w:val="00146AD8"/>
    <w:rsid w:val="00146EED"/>
    <w:rsid w:val="0014744E"/>
    <w:rsid w:val="00150039"/>
    <w:rsid w:val="00150E59"/>
    <w:rsid w:val="00152DE3"/>
    <w:rsid w:val="00156943"/>
    <w:rsid w:val="001607E8"/>
    <w:rsid w:val="00163A63"/>
    <w:rsid w:val="001648FA"/>
    <w:rsid w:val="00164C17"/>
    <w:rsid w:val="00164CF9"/>
    <w:rsid w:val="001667A6"/>
    <w:rsid w:val="0017043C"/>
    <w:rsid w:val="00170B9B"/>
    <w:rsid w:val="0017604D"/>
    <w:rsid w:val="001822D4"/>
    <w:rsid w:val="001825A1"/>
    <w:rsid w:val="00184AD6"/>
    <w:rsid w:val="00190C89"/>
    <w:rsid w:val="00194180"/>
    <w:rsid w:val="001943C0"/>
    <w:rsid w:val="0019589A"/>
    <w:rsid w:val="0019775A"/>
    <w:rsid w:val="001A0534"/>
    <w:rsid w:val="001A4AF7"/>
    <w:rsid w:val="001A4C13"/>
    <w:rsid w:val="001A74A0"/>
    <w:rsid w:val="001B0057"/>
    <w:rsid w:val="001B0349"/>
    <w:rsid w:val="001B13D8"/>
    <w:rsid w:val="001B1E87"/>
    <w:rsid w:val="001B1E93"/>
    <w:rsid w:val="001B3B06"/>
    <w:rsid w:val="001B65C1"/>
    <w:rsid w:val="001B74EA"/>
    <w:rsid w:val="001C38E5"/>
    <w:rsid w:val="001C4B41"/>
    <w:rsid w:val="001C66B8"/>
    <w:rsid w:val="001C684B"/>
    <w:rsid w:val="001C7816"/>
    <w:rsid w:val="001D0CFB"/>
    <w:rsid w:val="001D16B1"/>
    <w:rsid w:val="001D21AF"/>
    <w:rsid w:val="001D3362"/>
    <w:rsid w:val="001D45CB"/>
    <w:rsid w:val="001D53FC"/>
    <w:rsid w:val="001D7AB4"/>
    <w:rsid w:val="001E0538"/>
    <w:rsid w:val="001E0729"/>
    <w:rsid w:val="001E1F5B"/>
    <w:rsid w:val="001E3712"/>
    <w:rsid w:val="001E567F"/>
    <w:rsid w:val="001E7383"/>
    <w:rsid w:val="001F326D"/>
    <w:rsid w:val="001F42A5"/>
    <w:rsid w:val="001F455E"/>
    <w:rsid w:val="001F4819"/>
    <w:rsid w:val="001F49AF"/>
    <w:rsid w:val="001F52AA"/>
    <w:rsid w:val="001F6DA7"/>
    <w:rsid w:val="001F7B9D"/>
    <w:rsid w:val="00201C93"/>
    <w:rsid w:val="00203D82"/>
    <w:rsid w:val="00213F54"/>
    <w:rsid w:val="002158A9"/>
    <w:rsid w:val="002169DE"/>
    <w:rsid w:val="002224B4"/>
    <w:rsid w:val="002230ED"/>
    <w:rsid w:val="002248D5"/>
    <w:rsid w:val="00224B33"/>
    <w:rsid w:val="002254DD"/>
    <w:rsid w:val="002279E5"/>
    <w:rsid w:val="00231FCD"/>
    <w:rsid w:val="0023635D"/>
    <w:rsid w:val="00237B99"/>
    <w:rsid w:val="0024042B"/>
    <w:rsid w:val="00241091"/>
    <w:rsid w:val="00241C44"/>
    <w:rsid w:val="00242585"/>
    <w:rsid w:val="0024329D"/>
    <w:rsid w:val="00243C4A"/>
    <w:rsid w:val="002447EF"/>
    <w:rsid w:val="0024692B"/>
    <w:rsid w:val="00247797"/>
    <w:rsid w:val="00251550"/>
    <w:rsid w:val="002516B0"/>
    <w:rsid w:val="00255E6D"/>
    <w:rsid w:val="002571EA"/>
    <w:rsid w:val="002631EE"/>
    <w:rsid w:val="00263B05"/>
    <w:rsid w:val="00264B8B"/>
    <w:rsid w:val="00267DEA"/>
    <w:rsid w:val="00270B06"/>
    <w:rsid w:val="002713BF"/>
    <w:rsid w:val="0027221A"/>
    <w:rsid w:val="00273742"/>
    <w:rsid w:val="00273CFD"/>
    <w:rsid w:val="002751A0"/>
    <w:rsid w:val="00275B61"/>
    <w:rsid w:val="00280144"/>
    <w:rsid w:val="00280FAF"/>
    <w:rsid w:val="00282119"/>
    <w:rsid w:val="002822B9"/>
    <w:rsid w:val="00282656"/>
    <w:rsid w:val="00285434"/>
    <w:rsid w:val="00286DBA"/>
    <w:rsid w:val="002871BD"/>
    <w:rsid w:val="0028788A"/>
    <w:rsid w:val="00291A3B"/>
    <w:rsid w:val="002921F6"/>
    <w:rsid w:val="00293377"/>
    <w:rsid w:val="00296B83"/>
    <w:rsid w:val="002A2823"/>
    <w:rsid w:val="002A52FB"/>
    <w:rsid w:val="002A57FE"/>
    <w:rsid w:val="002A7A54"/>
    <w:rsid w:val="002A7BF6"/>
    <w:rsid w:val="002B1383"/>
    <w:rsid w:val="002B1FB6"/>
    <w:rsid w:val="002B3649"/>
    <w:rsid w:val="002B3AE8"/>
    <w:rsid w:val="002B4015"/>
    <w:rsid w:val="002B62BC"/>
    <w:rsid w:val="002B63FD"/>
    <w:rsid w:val="002B78CE"/>
    <w:rsid w:val="002B7C6D"/>
    <w:rsid w:val="002C1404"/>
    <w:rsid w:val="002C2FB6"/>
    <w:rsid w:val="002C389B"/>
    <w:rsid w:val="002C4C3C"/>
    <w:rsid w:val="002C70B9"/>
    <w:rsid w:val="002D3344"/>
    <w:rsid w:val="002D4E3C"/>
    <w:rsid w:val="002D7949"/>
    <w:rsid w:val="002E03B0"/>
    <w:rsid w:val="002E088F"/>
    <w:rsid w:val="002E0A33"/>
    <w:rsid w:val="002E1DA7"/>
    <w:rsid w:val="002E28A2"/>
    <w:rsid w:val="002E53D6"/>
    <w:rsid w:val="002E5783"/>
    <w:rsid w:val="002E5FA7"/>
    <w:rsid w:val="002E6CAC"/>
    <w:rsid w:val="002E729F"/>
    <w:rsid w:val="002F0B80"/>
    <w:rsid w:val="002F104F"/>
    <w:rsid w:val="002F1F34"/>
    <w:rsid w:val="002F22AD"/>
    <w:rsid w:val="002F3309"/>
    <w:rsid w:val="003008CE"/>
    <w:rsid w:val="003009B7"/>
    <w:rsid w:val="00300AF3"/>
    <w:rsid w:val="00300E56"/>
    <w:rsid w:val="0030152C"/>
    <w:rsid w:val="0030469C"/>
    <w:rsid w:val="003052C4"/>
    <w:rsid w:val="0030761D"/>
    <w:rsid w:val="0031027D"/>
    <w:rsid w:val="00311F26"/>
    <w:rsid w:val="00312915"/>
    <w:rsid w:val="00313053"/>
    <w:rsid w:val="00314926"/>
    <w:rsid w:val="003152AF"/>
    <w:rsid w:val="00315945"/>
    <w:rsid w:val="00316652"/>
    <w:rsid w:val="00321CA6"/>
    <w:rsid w:val="00321EA0"/>
    <w:rsid w:val="00323763"/>
    <w:rsid w:val="00323C5F"/>
    <w:rsid w:val="003243AE"/>
    <w:rsid w:val="003272A8"/>
    <w:rsid w:val="00330347"/>
    <w:rsid w:val="00331EA4"/>
    <w:rsid w:val="003331BF"/>
    <w:rsid w:val="00333774"/>
    <w:rsid w:val="00334888"/>
    <w:rsid w:val="00334C09"/>
    <w:rsid w:val="0033594C"/>
    <w:rsid w:val="0033660D"/>
    <w:rsid w:val="00336B19"/>
    <w:rsid w:val="00343A1F"/>
    <w:rsid w:val="00345F03"/>
    <w:rsid w:val="0035275E"/>
    <w:rsid w:val="00353366"/>
    <w:rsid w:val="0035453E"/>
    <w:rsid w:val="00354E8C"/>
    <w:rsid w:val="00356382"/>
    <w:rsid w:val="003567D4"/>
    <w:rsid w:val="0036101F"/>
    <w:rsid w:val="00361F06"/>
    <w:rsid w:val="0036567D"/>
    <w:rsid w:val="0036655C"/>
    <w:rsid w:val="00370069"/>
    <w:rsid w:val="00370FF7"/>
    <w:rsid w:val="003723D4"/>
    <w:rsid w:val="00381905"/>
    <w:rsid w:val="00383CA2"/>
    <w:rsid w:val="00383F30"/>
    <w:rsid w:val="00384CC8"/>
    <w:rsid w:val="003871FD"/>
    <w:rsid w:val="00387BCF"/>
    <w:rsid w:val="003915FA"/>
    <w:rsid w:val="00393C4F"/>
    <w:rsid w:val="003A1E30"/>
    <w:rsid w:val="003A2829"/>
    <w:rsid w:val="003A4F60"/>
    <w:rsid w:val="003A6FC6"/>
    <w:rsid w:val="003A7C18"/>
    <w:rsid w:val="003A7C1A"/>
    <w:rsid w:val="003A7D1C"/>
    <w:rsid w:val="003B0630"/>
    <w:rsid w:val="003B16A5"/>
    <w:rsid w:val="003B1E75"/>
    <w:rsid w:val="003B22CD"/>
    <w:rsid w:val="003B304B"/>
    <w:rsid w:val="003B3146"/>
    <w:rsid w:val="003B38A0"/>
    <w:rsid w:val="003B4F5C"/>
    <w:rsid w:val="003B5A56"/>
    <w:rsid w:val="003B6C0B"/>
    <w:rsid w:val="003B7653"/>
    <w:rsid w:val="003B7C0A"/>
    <w:rsid w:val="003B7F83"/>
    <w:rsid w:val="003C0D85"/>
    <w:rsid w:val="003C76BC"/>
    <w:rsid w:val="003C77BE"/>
    <w:rsid w:val="003D01B7"/>
    <w:rsid w:val="003D1FBF"/>
    <w:rsid w:val="003D251A"/>
    <w:rsid w:val="003D35CF"/>
    <w:rsid w:val="003E0FB9"/>
    <w:rsid w:val="003E2A25"/>
    <w:rsid w:val="003E5BD1"/>
    <w:rsid w:val="003E5E49"/>
    <w:rsid w:val="003E6123"/>
    <w:rsid w:val="003F015E"/>
    <w:rsid w:val="003F2028"/>
    <w:rsid w:val="003F36C3"/>
    <w:rsid w:val="003F4601"/>
    <w:rsid w:val="00400414"/>
    <w:rsid w:val="00403539"/>
    <w:rsid w:val="00403F0C"/>
    <w:rsid w:val="0041263A"/>
    <w:rsid w:val="0041446B"/>
    <w:rsid w:val="004163C9"/>
    <w:rsid w:val="0042503F"/>
    <w:rsid w:val="00427900"/>
    <w:rsid w:val="00431346"/>
    <w:rsid w:val="00432DF8"/>
    <w:rsid w:val="004347F4"/>
    <w:rsid w:val="00435186"/>
    <w:rsid w:val="0043592A"/>
    <w:rsid w:val="0044071E"/>
    <w:rsid w:val="00441199"/>
    <w:rsid w:val="0044329C"/>
    <w:rsid w:val="0044408F"/>
    <w:rsid w:val="00447A71"/>
    <w:rsid w:val="004501C3"/>
    <w:rsid w:val="004528A3"/>
    <w:rsid w:val="00452A3C"/>
    <w:rsid w:val="00453E24"/>
    <w:rsid w:val="00456A1A"/>
    <w:rsid w:val="00457456"/>
    <w:rsid w:val="004577FE"/>
    <w:rsid w:val="00457B9C"/>
    <w:rsid w:val="0046164A"/>
    <w:rsid w:val="00461EB1"/>
    <w:rsid w:val="004628D2"/>
    <w:rsid w:val="00462DCD"/>
    <w:rsid w:val="004648AD"/>
    <w:rsid w:val="00465759"/>
    <w:rsid w:val="004662DE"/>
    <w:rsid w:val="00467E57"/>
    <w:rsid w:val="004703A9"/>
    <w:rsid w:val="0047276D"/>
    <w:rsid w:val="00472868"/>
    <w:rsid w:val="00472DDE"/>
    <w:rsid w:val="0047459C"/>
    <w:rsid w:val="004760B4"/>
    <w:rsid w:val="004760DE"/>
    <w:rsid w:val="004763D7"/>
    <w:rsid w:val="004803A3"/>
    <w:rsid w:val="00483871"/>
    <w:rsid w:val="0048413D"/>
    <w:rsid w:val="004843AE"/>
    <w:rsid w:val="00486DDB"/>
    <w:rsid w:val="004906FB"/>
    <w:rsid w:val="00493C67"/>
    <w:rsid w:val="00493F36"/>
    <w:rsid w:val="0049514E"/>
    <w:rsid w:val="004A004E"/>
    <w:rsid w:val="004A24CF"/>
    <w:rsid w:val="004A4A9F"/>
    <w:rsid w:val="004B1001"/>
    <w:rsid w:val="004B4068"/>
    <w:rsid w:val="004B6766"/>
    <w:rsid w:val="004C0271"/>
    <w:rsid w:val="004C1F1B"/>
    <w:rsid w:val="004C3D1D"/>
    <w:rsid w:val="004C3D84"/>
    <w:rsid w:val="004C464D"/>
    <w:rsid w:val="004C6170"/>
    <w:rsid w:val="004C64F5"/>
    <w:rsid w:val="004C7913"/>
    <w:rsid w:val="004D0CCD"/>
    <w:rsid w:val="004D1CD1"/>
    <w:rsid w:val="004D1DB7"/>
    <w:rsid w:val="004D2BFA"/>
    <w:rsid w:val="004D3575"/>
    <w:rsid w:val="004D4847"/>
    <w:rsid w:val="004D598C"/>
    <w:rsid w:val="004E3742"/>
    <w:rsid w:val="004E4DD6"/>
    <w:rsid w:val="004E56B4"/>
    <w:rsid w:val="004E695A"/>
    <w:rsid w:val="004E76C7"/>
    <w:rsid w:val="004F14C2"/>
    <w:rsid w:val="004F5E36"/>
    <w:rsid w:val="004F6A18"/>
    <w:rsid w:val="004F7BDF"/>
    <w:rsid w:val="00501A39"/>
    <w:rsid w:val="00503073"/>
    <w:rsid w:val="005056BD"/>
    <w:rsid w:val="00507B47"/>
    <w:rsid w:val="00507BEF"/>
    <w:rsid w:val="00507CC9"/>
    <w:rsid w:val="00510D25"/>
    <w:rsid w:val="005119A5"/>
    <w:rsid w:val="005125D6"/>
    <w:rsid w:val="00516AAC"/>
    <w:rsid w:val="00517D04"/>
    <w:rsid w:val="0052138E"/>
    <w:rsid w:val="00521465"/>
    <w:rsid w:val="00524FE6"/>
    <w:rsid w:val="005278B7"/>
    <w:rsid w:val="00527E0D"/>
    <w:rsid w:val="00532016"/>
    <w:rsid w:val="005325BF"/>
    <w:rsid w:val="00533A05"/>
    <w:rsid w:val="00533D00"/>
    <w:rsid w:val="005346C8"/>
    <w:rsid w:val="00536D2F"/>
    <w:rsid w:val="00537F07"/>
    <w:rsid w:val="005400E3"/>
    <w:rsid w:val="005419B1"/>
    <w:rsid w:val="00542844"/>
    <w:rsid w:val="00543E7D"/>
    <w:rsid w:val="0054434F"/>
    <w:rsid w:val="0054622E"/>
    <w:rsid w:val="0054641B"/>
    <w:rsid w:val="00547A68"/>
    <w:rsid w:val="00547DFD"/>
    <w:rsid w:val="00547E24"/>
    <w:rsid w:val="00551AC6"/>
    <w:rsid w:val="005531C9"/>
    <w:rsid w:val="00556E5E"/>
    <w:rsid w:val="005575D7"/>
    <w:rsid w:val="005600FA"/>
    <w:rsid w:val="00561397"/>
    <w:rsid w:val="00561A46"/>
    <w:rsid w:val="00563445"/>
    <w:rsid w:val="00565C08"/>
    <w:rsid w:val="0056667D"/>
    <w:rsid w:val="00570C43"/>
    <w:rsid w:val="0057271D"/>
    <w:rsid w:val="00572DBA"/>
    <w:rsid w:val="00580128"/>
    <w:rsid w:val="00580A27"/>
    <w:rsid w:val="005838C9"/>
    <w:rsid w:val="005900AE"/>
    <w:rsid w:val="0059089D"/>
    <w:rsid w:val="00591817"/>
    <w:rsid w:val="00591B74"/>
    <w:rsid w:val="00595737"/>
    <w:rsid w:val="00597684"/>
    <w:rsid w:val="005A08D2"/>
    <w:rsid w:val="005A0B45"/>
    <w:rsid w:val="005A13F6"/>
    <w:rsid w:val="005A197F"/>
    <w:rsid w:val="005A1F1D"/>
    <w:rsid w:val="005A3C0D"/>
    <w:rsid w:val="005A41C3"/>
    <w:rsid w:val="005A484B"/>
    <w:rsid w:val="005A63D7"/>
    <w:rsid w:val="005B2110"/>
    <w:rsid w:val="005B3DEC"/>
    <w:rsid w:val="005B4FC8"/>
    <w:rsid w:val="005B61E6"/>
    <w:rsid w:val="005C001C"/>
    <w:rsid w:val="005C0563"/>
    <w:rsid w:val="005C1AAD"/>
    <w:rsid w:val="005C1DAB"/>
    <w:rsid w:val="005C2DF9"/>
    <w:rsid w:val="005C3C08"/>
    <w:rsid w:val="005C3D56"/>
    <w:rsid w:val="005C68C3"/>
    <w:rsid w:val="005C716B"/>
    <w:rsid w:val="005C7738"/>
    <w:rsid w:val="005C77E1"/>
    <w:rsid w:val="005C7899"/>
    <w:rsid w:val="005C7A21"/>
    <w:rsid w:val="005D0882"/>
    <w:rsid w:val="005D668A"/>
    <w:rsid w:val="005D6A2F"/>
    <w:rsid w:val="005E1801"/>
    <w:rsid w:val="005E1A82"/>
    <w:rsid w:val="005E1CBC"/>
    <w:rsid w:val="005E29B6"/>
    <w:rsid w:val="005E6137"/>
    <w:rsid w:val="005E683A"/>
    <w:rsid w:val="005E794C"/>
    <w:rsid w:val="005E7C48"/>
    <w:rsid w:val="005F0307"/>
    <w:rsid w:val="005F037B"/>
    <w:rsid w:val="005F0A28"/>
    <w:rsid w:val="005F0E5E"/>
    <w:rsid w:val="006001C6"/>
    <w:rsid w:val="00600535"/>
    <w:rsid w:val="006008BE"/>
    <w:rsid w:val="006011DC"/>
    <w:rsid w:val="006021FE"/>
    <w:rsid w:val="006057A1"/>
    <w:rsid w:val="00610CD6"/>
    <w:rsid w:val="0061116E"/>
    <w:rsid w:val="006114AF"/>
    <w:rsid w:val="0061317B"/>
    <w:rsid w:val="00613495"/>
    <w:rsid w:val="00614FDC"/>
    <w:rsid w:val="00615EFF"/>
    <w:rsid w:val="00615F12"/>
    <w:rsid w:val="006168CE"/>
    <w:rsid w:val="00616AB1"/>
    <w:rsid w:val="00620DEE"/>
    <w:rsid w:val="00621F92"/>
    <w:rsid w:val="0062280A"/>
    <w:rsid w:val="0062341D"/>
    <w:rsid w:val="00625639"/>
    <w:rsid w:val="0062579D"/>
    <w:rsid w:val="006259DF"/>
    <w:rsid w:val="0062627C"/>
    <w:rsid w:val="00630555"/>
    <w:rsid w:val="0063094A"/>
    <w:rsid w:val="00631B33"/>
    <w:rsid w:val="006329D6"/>
    <w:rsid w:val="00635B1B"/>
    <w:rsid w:val="0064184D"/>
    <w:rsid w:val="006422CC"/>
    <w:rsid w:val="006437D3"/>
    <w:rsid w:val="00645BA3"/>
    <w:rsid w:val="00645F68"/>
    <w:rsid w:val="00654993"/>
    <w:rsid w:val="00656EE1"/>
    <w:rsid w:val="00660978"/>
    <w:rsid w:val="00660E3E"/>
    <w:rsid w:val="0066115C"/>
    <w:rsid w:val="00662E74"/>
    <w:rsid w:val="0066382D"/>
    <w:rsid w:val="0067106D"/>
    <w:rsid w:val="006730D5"/>
    <w:rsid w:val="0067441B"/>
    <w:rsid w:val="006802F2"/>
    <w:rsid w:val="00680C23"/>
    <w:rsid w:val="00682212"/>
    <w:rsid w:val="006841E9"/>
    <w:rsid w:val="00684D02"/>
    <w:rsid w:val="00686F3E"/>
    <w:rsid w:val="00686FCF"/>
    <w:rsid w:val="0068707F"/>
    <w:rsid w:val="00687617"/>
    <w:rsid w:val="006904FD"/>
    <w:rsid w:val="00691BD8"/>
    <w:rsid w:val="00693766"/>
    <w:rsid w:val="006944D6"/>
    <w:rsid w:val="00695CE3"/>
    <w:rsid w:val="0069693C"/>
    <w:rsid w:val="006A3281"/>
    <w:rsid w:val="006A378C"/>
    <w:rsid w:val="006A54D7"/>
    <w:rsid w:val="006A5A6E"/>
    <w:rsid w:val="006A6D9B"/>
    <w:rsid w:val="006B048A"/>
    <w:rsid w:val="006B3B39"/>
    <w:rsid w:val="006B4888"/>
    <w:rsid w:val="006B53A6"/>
    <w:rsid w:val="006B543A"/>
    <w:rsid w:val="006B6903"/>
    <w:rsid w:val="006B6F00"/>
    <w:rsid w:val="006B7DE7"/>
    <w:rsid w:val="006C04E8"/>
    <w:rsid w:val="006C2E45"/>
    <w:rsid w:val="006C359C"/>
    <w:rsid w:val="006C5579"/>
    <w:rsid w:val="006C5FBF"/>
    <w:rsid w:val="006C774E"/>
    <w:rsid w:val="006C7C59"/>
    <w:rsid w:val="006D2046"/>
    <w:rsid w:val="006D2BD0"/>
    <w:rsid w:val="006D43E8"/>
    <w:rsid w:val="006D6433"/>
    <w:rsid w:val="006D6E8B"/>
    <w:rsid w:val="006D7E18"/>
    <w:rsid w:val="006E4FF7"/>
    <w:rsid w:val="006E737D"/>
    <w:rsid w:val="006F1F87"/>
    <w:rsid w:val="006F2152"/>
    <w:rsid w:val="006F6C7E"/>
    <w:rsid w:val="00701381"/>
    <w:rsid w:val="007105C0"/>
    <w:rsid w:val="00713973"/>
    <w:rsid w:val="007173D1"/>
    <w:rsid w:val="00720A24"/>
    <w:rsid w:val="00721778"/>
    <w:rsid w:val="00722B42"/>
    <w:rsid w:val="00723597"/>
    <w:rsid w:val="00723F44"/>
    <w:rsid w:val="0072467F"/>
    <w:rsid w:val="007308AD"/>
    <w:rsid w:val="00732386"/>
    <w:rsid w:val="0073514D"/>
    <w:rsid w:val="00737DCF"/>
    <w:rsid w:val="00740291"/>
    <w:rsid w:val="007447F3"/>
    <w:rsid w:val="007462EF"/>
    <w:rsid w:val="00751BF0"/>
    <w:rsid w:val="00751D1F"/>
    <w:rsid w:val="007526F2"/>
    <w:rsid w:val="00752BB8"/>
    <w:rsid w:val="00753762"/>
    <w:rsid w:val="00753ACA"/>
    <w:rsid w:val="00753C57"/>
    <w:rsid w:val="00753D5D"/>
    <w:rsid w:val="0075499F"/>
    <w:rsid w:val="0075577B"/>
    <w:rsid w:val="00757A67"/>
    <w:rsid w:val="00757E80"/>
    <w:rsid w:val="00763324"/>
    <w:rsid w:val="00765164"/>
    <w:rsid w:val="007661C8"/>
    <w:rsid w:val="00767FB2"/>
    <w:rsid w:val="0077098D"/>
    <w:rsid w:val="007715F7"/>
    <w:rsid w:val="00773D5C"/>
    <w:rsid w:val="0077411C"/>
    <w:rsid w:val="00775B71"/>
    <w:rsid w:val="00775C06"/>
    <w:rsid w:val="007769D6"/>
    <w:rsid w:val="00777EBC"/>
    <w:rsid w:val="007810A0"/>
    <w:rsid w:val="00784241"/>
    <w:rsid w:val="00790604"/>
    <w:rsid w:val="00791AC6"/>
    <w:rsid w:val="007931FA"/>
    <w:rsid w:val="00794CE6"/>
    <w:rsid w:val="00795EB5"/>
    <w:rsid w:val="007A1B38"/>
    <w:rsid w:val="007A1E2F"/>
    <w:rsid w:val="007A3703"/>
    <w:rsid w:val="007A4861"/>
    <w:rsid w:val="007A4F2C"/>
    <w:rsid w:val="007A5766"/>
    <w:rsid w:val="007A5E43"/>
    <w:rsid w:val="007A68C0"/>
    <w:rsid w:val="007A7BBA"/>
    <w:rsid w:val="007B0C50"/>
    <w:rsid w:val="007B191D"/>
    <w:rsid w:val="007B2571"/>
    <w:rsid w:val="007B48F9"/>
    <w:rsid w:val="007B6237"/>
    <w:rsid w:val="007B67DD"/>
    <w:rsid w:val="007C127C"/>
    <w:rsid w:val="007C1A43"/>
    <w:rsid w:val="007C404A"/>
    <w:rsid w:val="007C4E79"/>
    <w:rsid w:val="007C54B0"/>
    <w:rsid w:val="007D0951"/>
    <w:rsid w:val="007D4679"/>
    <w:rsid w:val="007D7208"/>
    <w:rsid w:val="007D739B"/>
    <w:rsid w:val="007E27A3"/>
    <w:rsid w:val="007E28DC"/>
    <w:rsid w:val="007E71C6"/>
    <w:rsid w:val="007F1E92"/>
    <w:rsid w:val="007F6A65"/>
    <w:rsid w:val="0080013E"/>
    <w:rsid w:val="008010C8"/>
    <w:rsid w:val="008022D4"/>
    <w:rsid w:val="00805A1D"/>
    <w:rsid w:val="00805A46"/>
    <w:rsid w:val="00806351"/>
    <w:rsid w:val="0081055D"/>
    <w:rsid w:val="008107BC"/>
    <w:rsid w:val="00810F17"/>
    <w:rsid w:val="00811968"/>
    <w:rsid w:val="00813288"/>
    <w:rsid w:val="00815BAB"/>
    <w:rsid w:val="008165E6"/>
    <w:rsid w:val="008168FC"/>
    <w:rsid w:val="008208D2"/>
    <w:rsid w:val="00821198"/>
    <w:rsid w:val="00821497"/>
    <w:rsid w:val="00822940"/>
    <w:rsid w:val="00825E8B"/>
    <w:rsid w:val="00830996"/>
    <w:rsid w:val="008345F1"/>
    <w:rsid w:val="00836B98"/>
    <w:rsid w:val="00836CA3"/>
    <w:rsid w:val="00840D2D"/>
    <w:rsid w:val="00842144"/>
    <w:rsid w:val="00842D7A"/>
    <w:rsid w:val="00843A9E"/>
    <w:rsid w:val="00847796"/>
    <w:rsid w:val="008477FB"/>
    <w:rsid w:val="00850D48"/>
    <w:rsid w:val="00853FDE"/>
    <w:rsid w:val="008605A3"/>
    <w:rsid w:val="008606AF"/>
    <w:rsid w:val="00860D9C"/>
    <w:rsid w:val="00864E97"/>
    <w:rsid w:val="00864FF5"/>
    <w:rsid w:val="00865B07"/>
    <w:rsid w:val="008667EA"/>
    <w:rsid w:val="008668ED"/>
    <w:rsid w:val="00871176"/>
    <w:rsid w:val="00871A04"/>
    <w:rsid w:val="00875B67"/>
    <w:rsid w:val="0087629C"/>
    <w:rsid w:val="0087637F"/>
    <w:rsid w:val="00877F6C"/>
    <w:rsid w:val="00880A47"/>
    <w:rsid w:val="00883B2C"/>
    <w:rsid w:val="008840F6"/>
    <w:rsid w:val="0088694F"/>
    <w:rsid w:val="00886A7F"/>
    <w:rsid w:val="00890E09"/>
    <w:rsid w:val="00892AD5"/>
    <w:rsid w:val="00893749"/>
    <w:rsid w:val="008952DC"/>
    <w:rsid w:val="008966DA"/>
    <w:rsid w:val="0089766A"/>
    <w:rsid w:val="00897D7F"/>
    <w:rsid w:val="008A117A"/>
    <w:rsid w:val="008A12B1"/>
    <w:rsid w:val="008A1512"/>
    <w:rsid w:val="008A346B"/>
    <w:rsid w:val="008B2377"/>
    <w:rsid w:val="008B2B08"/>
    <w:rsid w:val="008B37CE"/>
    <w:rsid w:val="008B3D8E"/>
    <w:rsid w:val="008B3F49"/>
    <w:rsid w:val="008B6AEB"/>
    <w:rsid w:val="008B6D69"/>
    <w:rsid w:val="008B7C03"/>
    <w:rsid w:val="008C0399"/>
    <w:rsid w:val="008C085E"/>
    <w:rsid w:val="008C5066"/>
    <w:rsid w:val="008C636C"/>
    <w:rsid w:val="008C6E87"/>
    <w:rsid w:val="008C7695"/>
    <w:rsid w:val="008D0912"/>
    <w:rsid w:val="008D32B9"/>
    <w:rsid w:val="008D3731"/>
    <w:rsid w:val="008D433B"/>
    <w:rsid w:val="008D4A16"/>
    <w:rsid w:val="008D6DFB"/>
    <w:rsid w:val="008E0FA4"/>
    <w:rsid w:val="008E1D6C"/>
    <w:rsid w:val="008E27AF"/>
    <w:rsid w:val="008E28A7"/>
    <w:rsid w:val="008E566E"/>
    <w:rsid w:val="008E6E13"/>
    <w:rsid w:val="008F0C8E"/>
    <w:rsid w:val="008F2322"/>
    <w:rsid w:val="008F38BB"/>
    <w:rsid w:val="008F3D99"/>
    <w:rsid w:val="008F6021"/>
    <w:rsid w:val="008F7436"/>
    <w:rsid w:val="0090161A"/>
    <w:rsid w:val="00901EB6"/>
    <w:rsid w:val="00904C62"/>
    <w:rsid w:val="009137D8"/>
    <w:rsid w:val="00913F2E"/>
    <w:rsid w:val="00914487"/>
    <w:rsid w:val="00914691"/>
    <w:rsid w:val="00914713"/>
    <w:rsid w:val="00915E16"/>
    <w:rsid w:val="00917B03"/>
    <w:rsid w:val="009222DC"/>
    <w:rsid w:val="00922BA8"/>
    <w:rsid w:val="00924DAC"/>
    <w:rsid w:val="009262B5"/>
    <w:rsid w:val="00926389"/>
    <w:rsid w:val="00927058"/>
    <w:rsid w:val="00927468"/>
    <w:rsid w:val="009308BA"/>
    <w:rsid w:val="009332DB"/>
    <w:rsid w:val="00933518"/>
    <w:rsid w:val="0093492A"/>
    <w:rsid w:val="00936D67"/>
    <w:rsid w:val="009370EC"/>
    <w:rsid w:val="00937A18"/>
    <w:rsid w:val="009412D6"/>
    <w:rsid w:val="00941826"/>
    <w:rsid w:val="00941C63"/>
    <w:rsid w:val="00941D17"/>
    <w:rsid w:val="00941FC4"/>
    <w:rsid w:val="00942750"/>
    <w:rsid w:val="00944E2D"/>
    <w:rsid w:val="00944F8F"/>
    <w:rsid w:val="009450CE"/>
    <w:rsid w:val="009452D1"/>
    <w:rsid w:val="009459BB"/>
    <w:rsid w:val="00945CBE"/>
    <w:rsid w:val="00947179"/>
    <w:rsid w:val="00947B49"/>
    <w:rsid w:val="0095164B"/>
    <w:rsid w:val="00954090"/>
    <w:rsid w:val="009548F5"/>
    <w:rsid w:val="0095653D"/>
    <w:rsid w:val="009573E7"/>
    <w:rsid w:val="00957EFD"/>
    <w:rsid w:val="00960AC6"/>
    <w:rsid w:val="00961538"/>
    <w:rsid w:val="00962841"/>
    <w:rsid w:val="00963B7F"/>
    <w:rsid w:val="00963E05"/>
    <w:rsid w:val="00964A45"/>
    <w:rsid w:val="00966DFC"/>
    <w:rsid w:val="00967843"/>
    <w:rsid w:val="00967D54"/>
    <w:rsid w:val="00970E52"/>
    <w:rsid w:val="00971028"/>
    <w:rsid w:val="009734D5"/>
    <w:rsid w:val="00974130"/>
    <w:rsid w:val="00976166"/>
    <w:rsid w:val="00984F3C"/>
    <w:rsid w:val="0098688C"/>
    <w:rsid w:val="00991A1D"/>
    <w:rsid w:val="00992143"/>
    <w:rsid w:val="0099380B"/>
    <w:rsid w:val="00993B84"/>
    <w:rsid w:val="00993ED6"/>
    <w:rsid w:val="00993FEE"/>
    <w:rsid w:val="00996483"/>
    <w:rsid w:val="00996F5A"/>
    <w:rsid w:val="009A51DE"/>
    <w:rsid w:val="009A6E3C"/>
    <w:rsid w:val="009A7890"/>
    <w:rsid w:val="009B041A"/>
    <w:rsid w:val="009B53FF"/>
    <w:rsid w:val="009B5772"/>
    <w:rsid w:val="009C0F19"/>
    <w:rsid w:val="009C37C3"/>
    <w:rsid w:val="009C3B6F"/>
    <w:rsid w:val="009C4B71"/>
    <w:rsid w:val="009C596F"/>
    <w:rsid w:val="009C7C86"/>
    <w:rsid w:val="009C7E23"/>
    <w:rsid w:val="009D08D3"/>
    <w:rsid w:val="009D1865"/>
    <w:rsid w:val="009D2499"/>
    <w:rsid w:val="009D2FF7"/>
    <w:rsid w:val="009D7CA9"/>
    <w:rsid w:val="009E2214"/>
    <w:rsid w:val="009E3860"/>
    <w:rsid w:val="009E4413"/>
    <w:rsid w:val="009E681A"/>
    <w:rsid w:val="009E7884"/>
    <w:rsid w:val="009E788A"/>
    <w:rsid w:val="009F0408"/>
    <w:rsid w:val="009F0E08"/>
    <w:rsid w:val="009F16B8"/>
    <w:rsid w:val="00A0203F"/>
    <w:rsid w:val="00A0731B"/>
    <w:rsid w:val="00A10AD2"/>
    <w:rsid w:val="00A1142F"/>
    <w:rsid w:val="00A12298"/>
    <w:rsid w:val="00A165E3"/>
    <w:rsid w:val="00A1763D"/>
    <w:rsid w:val="00A17CEC"/>
    <w:rsid w:val="00A21604"/>
    <w:rsid w:val="00A2291E"/>
    <w:rsid w:val="00A2622B"/>
    <w:rsid w:val="00A27EF0"/>
    <w:rsid w:val="00A37280"/>
    <w:rsid w:val="00A37665"/>
    <w:rsid w:val="00A409F6"/>
    <w:rsid w:val="00A40DE0"/>
    <w:rsid w:val="00A418B2"/>
    <w:rsid w:val="00A42361"/>
    <w:rsid w:val="00A42A80"/>
    <w:rsid w:val="00A4386B"/>
    <w:rsid w:val="00A4456D"/>
    <w:rsid w:val="00A479D0"/>
    <w:rsid w:val="00A50B20"/>
    <w:rsid w:val="00A5115A"/>
    <w:rsid w:val="00A51390"/>
    <w:rsid w:val="00A51DEB"/>
    <w:rsid w:val="00A52263"/>
    <w:rsid w:val="00A525E3"/>
    <w:rsid w:val="00A546D8"/>
    <w:rsid w:val="00A54E3E"/>
    <w:rsid w:val="00A60264"/>
    <w:rsid w:val="00A60D13"/>
    <w:rsid w:val="00A61BBF"/>
    <w:rsid w:val="00A62112"/>
    <w:rsid w:val="00A623C8"/>
    <w:rsid w:val="00A706C9"/>
    <w:rsid w:val="00A711C4"/>
    <w:rsid w:val="00A7223D"/>
    <w:rsid w:val="00A72349"/>
    <w:rsid w:val="00A72745"/>
    <w:rsid w:val="00A73013"/>
    <w:rsid w:val="00A735A0"/>
    <w:rsid w:val="00A76EFC"/>
    <w:rsid w:val="00A77111"/>
    <w:rsid w:val="00A80335"/>
    <w:rsid w:val="00A8061B"/>
    <w:rsid w:val="00A80A0A"/>
    <w:rsid w:val="00A815C1"/>
    <w:rsid w:val="00A82988"/>
    <w:rsid w:val="00A84761"/>
    <w:rsid w:val="00A8714B"/>
    <w:rsid w:val="00A87D50"/>
    <w:rsid w:val="00A91010"/>
    <w:rsid w:val="00A93DE7"/>
    <w:rsid w:val="00A94118"/>
    <w:rsid w:val="00A97F29"/>
    <w:rsid w:val="00AA04E8"/>
    <w:rsid w:val="00AA308E"/>
    <w:rsid w:val="00AA4062"/>
    <w:rsid w:val="00AA702E"/>
    <w:rsid w:val="00AA7D26"/>
    <w:rsid w:val="00AB0964"/>
    <w:rsid w:val="00AB4B3D"/>
    <w:rsid w:val="00AB5011"/>
    <w:rsid w:val="00AB69D8"/>
    <w:rsid w:val="00AB79E2"/>
    <w:rsid w:val="00AC10F1"/>
    <w:rsid w:val="00AC7368"/>
    <w:rsid w:val="00AC7AE9"/>
    <w:rsid w:val="00AC7AF7"/>
    <w:rsid w:val="00AD16B9"/>
    <w:rsid w:val="00AD24E8"/>
    <w:rsid w:val="00AD28D8"/>
    <w:rsid w:val="00AD3E17"/>
    <w:rsid w:val="00AE2F5C"/>
    <w:rsid w:val="00AE377D"/>
    <w:rsid w:val="00AE3B2B"/>
    <w:rsid w:val="00AE5A67"/>
    <w:rsid w:val="00AE5B5C"/>
    <w:rsid w:val="00AE5C79"/>
    <w:rsid w:val="00AE7633"/>
    <w:rsid w:val="00AE77F1"/>
    <w:rsid w:val="00AF0EBA"/>
    <w:rsid w:val="00AF122F"/>
    <w:rsid w:val="00AF4481"/>
    <w:rsid w:val="00AF68AB"/>
    <w:rsid w:val="00AF7C1F"/>
    <w:rsid w:val="00B0007B"/>
    <w:rsid w:val="00B02C8A"/>
    <w:rsid w:val="00B04FF7"/>
    <w:rsid w:val="00B05E02"/>
    <w:rsid w:val="00B10894"/>
    <w:rsid w:val="00B1322D"/>
    <w:rsid w:val="00B14A4F"/>
    <w:rsid w:val="00B161BB"/>
    <w:rsid w:val="00B16C83"/>
    <w:rsid w:val="00B17561"/>
    <w:rsid w:val="00B176B7"/>
    <w:rsid w:val="00B17FBD"/>
    <w:rsid w:val="00B26751"/>
    <w:rsid w:val="00B27768"/>
    <w:rsid w:val="00B27F7C"/>
    <w:rsid w:val="00B30B96"/>
    <w:rsid w:val="00B30EBA"/>
    <w:rsid w:val="00B315A6"/>
    <w:rsid w:val="00B31813"/>
    <w:rsid w:val="00B31EBA"/>
    <w:rsid w:val="00B328C3"/>
    <w:rsid w:val="00B33365"/>
    <w:rsid w:val="00B33EF4"/>
    <w:rsid w:val="00B36C90"/>
    <w:rsid w:val="00B372FA"/>
    <w:rsid w:val="00B40850"/>
    <w:rsid w:val="00B51216"/>
    <w:rsid w:val="00B51866"/>
    <w:rsid w:val="00B51F7D"/>
    <w:rsid w:val="00B52829"/>
    <w:rsid w:val="00B52C0F"/>
    <w:rsid w:val="00B57B36"/>
    <w:rsid w:val="00B57E6F"/>
    <w:rsid w:val="00B625AC"/>
    <w:rsid w:val="00B649C2"/>
    <w:rsid w:val="00B65BD5"/>
    <w:rsid w:val="00B7009D"/>
    <w:rsid w:val="00B717E1"/>
    <w:rsid w:val="00B779D1"/>
    <w:rsid w:val="00B82367"/>
    <w:rsid w:val="00B8686D"/>
    <w:rsid w:val="00B871D3"/>
    <w:rsid w:val="00B87DFB"/>
    <w:rsid w:val="00B93F69"/>
    <w:rsid w:val="00B96E5F"/>
    <w:rsid w:val="00BA050B"/>
    <w:rsid w:val="00BA1F69"/>
    <w:rsid w:val="00BA76CD"/>
    <w:rsid w:val="00BB1DDC"/>
    <w:rsid w:val="00BB62A8"/>
    <w:rsid w:val="00BC088E"/>
    <w:rsid w:val="00BC271E"/>
    <w:rsid w:val="00BC2E73"/>
    <w:rsid w:val="00BC30C9"/>
    <w:rsid w:val="00BC335E"/>
    <w:rsid w:val="00BC70DB"/>
    <w:rsid w:val="00BC75D3"/>
    <w:rsid w:val="00BD077D"/>
    <w:rsid w:val="00BD35C3"/>
    <w:rsid w:val="00BE3E58"/>
    <w:rsid w:val="00BE507D"/>
    <w:rsid w:val="00BE672A"/>
    <w:rsid w:val="00BF176B"/>
    <w:rsid w:val="00BF206B"/>
    <w:rsid w:val="00BF2377"/>
    <w:rsid w:val="00BF30DC"/>
    <w:rsid w:val="00BF4289"/>
    <w:rsid w:val="00BF5E1D"/>
    <w:rsid w:val="00BF76BB"/>
    <w:rsid w:val="00BF79C6"/>
    <w:rsid w:val="00C013FD"/>
    <w:rsid w:val="00C01616"/>
    <w:rsid w:val="00C0162B"/>
    <w:rsid w:val="00C01779"/>
    <w:rsid w:val="00C04E83"/>
    <w:rsid w:val="00C06334"/>
    <w:rsid w:val="00C068ED"/>
    <w:rsid w:val="00C07865"/>
    <w:rsid w:val="00C10162"/>
    <w:rsid w:val="00C10F1D"/>
    <w:rsid w:val="00C1352B"/>
    <w:rsid w:val="00C13AC5"/>
    <w:rsid w:val="00C16D94"/>
    <w:rsid w:val="00C17571"/>
    <w:rsid w:val="00C212FF"/>
    <w:rsid w:val="00C22E0C"/>
    <w:rsid w:val="00C247C3"/>
    <w:rsid w:val="00C27B8B"/>
    <w:rsid w:val="00C30B90"/>
    <w:rsid w:val="00C31676"/>
    <w:rsid w:val="00C345B1"/>
    <w:rsid w:val="00C35D0A"/>
    <w:rsid w:val="00C40142"/>
    <w:rsid w:val="00C42FCF"/>
    <w:rsid w:val="00C43473"/>
    <w:rsid w:val="00C4423C"/>
    <w:rsid w:val="00C44374"/>
    <w:rsid w:val="00C50D7E"/>
    <w:rsid w:val="00C52C3C"/>
    <w:rsid w:val="00C54654"/>
    <w:rsid w:val="00C568E6"/>
    <w:rsid w:val="00C57182"/>
    <w:rsid w:val="00C57863"/>
    <w:rsid w:val="00C640AF"/>
    <w:rsid w:val="00C655FD"/>
    <w:rsid w:val="00C716B5"/>
    <w:rsid w:val="00C74F4D"/>
    <w:rsid w:val="00C75407"/>
    <w:rsid w:val="00C80E8C"/>
    <w:rsid w:val="00C81B91"/>
    <w:rsid w:val="00C81C55"/>
    <w:rsid w:val="00C820E0"/>
    <w:rsid w:val="00C8251C"/>
    <w:rsid w:val="00C870A8"/>
    <w:rsid w:val="00C9367C"/>
    <w:rsid w:val="00C94434"/>
    <w:rsid w:val="00CA0D4A"/>
    <w:rsid w:val="00CA0D75"/>
    <w:rsid w:val="00CA1C95"/>
    <w:rsid w:val="00CA2A6E"/>
    <w:rsid w:val="00CA4DAA"/>
    <w:rsid w:val="00CA5A9C"/>
    <w:rsid w:val="00CA7D22"/>
    <w:rsid w:val="00CB383F"/>
    <w:rsid w:val="00CB49BE"/>
    <w:rsid w:val="00CB5143"/>
    <w:rsid w:val="00CC4C20"/>
    <w:rsid w:val="00CC6351"/>
    <w:rsid w:val="00CC6F9E"/>
    <w:rsid w:val="00CD17A4"/>
    <w:rsid w:val="00CD1C02"/>
    <w:rsid w:val="00CD3517"/>
    <w:rsid w:val="00CD466F"/>
    <w:rsid w:val="00CD5EA3"/>
    <w:rsid w:val="00CD5FE2"/>
    <w:rsid w:val="00CD6B17"/>
    <w:rsid w:val="00CE350B"/>
    <w:rsid w:val="00CE543D"/>
    <w:rsid w:val="00CE7C68"/>
    <w:rsid w:val="00CF1634"/>
    <w:rsid w:val="00CF3DEC"/>
    <w:rsid w:val="00CF5CC0"/>
    <w:rsid w:val="00D004FA"/>
    <w:rsid w:val="00D00B84"/>
    <w:rsid w:val="00D01146"/>
    <w:rsid w:val="00D02B4C"/>
    <w:rsid w:val="00D0317B"/>
    <w:rsid w:val="00D040C4"/>
    <w:rsid w:val="00D06C8A"/>
    <w:rsid w:val="00D06FF5"/>
    <w:rsid w:val="00D11702"/>
    <w:rsid w:val="00D1312C"/>
    <w:rsid w:val="00D13B3A"/>
    <w:rsid w:val="00D14AF9"/>
    <w:rsid w:val="00D14F31"/>
    <w:rsid w:val="00D20AD1"/>
    <w:rsid w:val="00D20CFE"/>
    <w:rsid w:val="00D216CA"/>
    <w:rsid w:val="00D248C4"/>
    <w:rsid w:val="00D24A59"/>
    <w:rsid w:val="00D260F9"/>
    <w:rsid w:val="00D3422B"/>
    <w:rsid w:val="00D349E1"/>
    <w:rsid w:val="00D37249"/>
    <w:rsid w:val="00D4230A"/>
    <w:rsid w:val="00D459E6"/>
    <w:rsid w:val="00D46B7E"/>
    <w:rsid w:val="00D4723F"/>
    <w:rsid w:val="00D50F4B"/>
    <w:rsid w:val="00D57C84"/>
    <w:rsid w:val="00D603B3"/>
    <w:rsid w:val="00D6057D"/>
    <w:rsid w:val="00D6137A"/>
    <w:rsid w:val="00D616BE"/>
    <w:rsid w:val="00D627B1"/>
    <w:rsid w:val="00D646E4"/>
    <w:rsid w:val="00D64854"/>
    <w:rsid w:val="00D648EC"/>
    <w:rsid w:val="00D65D0A"/>
    <w:rsid w:val="00D6636F"/>
    <w:rsid w:val="00D6674C"/>
    <w:rsid w:val="00D71640"/>
    <w:rsid w:val="00D727BA"/>
    <w:rsid w:val="00D75677"/>
    <w:rsid w:val="00D778DA"/>
    <w:rsid w:val="00D81420"/>
    <w:rsid w:val="00D81A9F"/>
    <w:rsid w:val="00D827C2"/>
    <w:rsid w:val="00D836C5"/>
    <w:rsid w:val="00D84576"/>
    <w:rsid w:val="00D85A69"/>
    <w:rsid w:val="00D87093"/>
    <w:rsid w:val="00D87531"/>
    <w:rsid w:val="00D918B3"/>
    <w:rsid w:val="00D93578"/>
    <w:rsid w:val="00D952FD"/>
    <w:rsid w:val="00D95685"/>
    <w:rsid w:val="00DA063B"/>
    <w:rsid w:val="00DA1399"/>
    <w:rsid w:val="00DA1A89"/>
    <w:rsid w:val="00DA24C6"/>
    <w:rsid w:val="00DA2810"/>
    <w:rsid w:val="00DA4D7B"/>
    <w:rsid w:val="00DA6BC5"/>
    <w:rsid w:val="00DA739E"/>
    <w:rsid w:val="00DB0E04"/>
    <w:rsid w:val="00DB0F2E"/>
    <w:rsid w:val="00DB2B66"/>
    <w:rsid w:val="00DB6DA8"/>
    <w:rsid w:val="00DC21DC"/>
    <w:rsid w:val="00DC5015"/>
    <w:rsid w:val="00DD09CC"/>
    <w:rsid w:val="00DD1ACF"/>
    <w:rsid w:val="00DD271C"/>
    <w:rsid w:val="00DD4D73"/>
    <w:rsid w:val="00DD5346"/>
    <w:rsid w:val="00DD5AAE"/>
    <w:rsid w:val="00DD5D15"/>
    <w:rsid w:val="00DD5DDC"/>
    <w:rsid w:val="00DE03E9"/>
    <w:rsid w:val="00DE264A"/>
    <w:rsid w:val="00DE26B4"/>
    <w:rsid w:val="00DE4B16"/>
    <w:rsid w:val="00DE580A"/>
    <w:rsid w:val="00DE76DB"/>
    <w:rsid w:val="00DF215A"/>
    <w:rsid w:val="00DF3FE1"/>
    <w:rsid w:val="00DF5072"/>
    <w:rsid w:val="00DF539E"/>
    <w:rsid w:val="00DF55F7"/>
    <w:rsid w:val="00E02D18"/>
    <w:rsid w:val="00E03D3F"/>
    <w:rsid w:val="00E041E7"/>
    <w:rsid w:val="00E0465B"/>
    <w:rsid w:val="00E07E60"/>
    <w:rsid w:val="00E11F49"/>
    <w:rsid w:val="00E13CEF"/>
    <w:rsid w:val="00E142A4"/>
    <w:rsid w:val="00E2140C"/>
    <w:rsid w:val="00E23CA1"/>
    <w:rsid w:val="00E30C6C"/>
    <w:rsid w:val="00E33A9F"/>
    <w:rsid w:val="00E33DD7"/>
    <w:rsid w:val="00E36961"/>
    <w:rsid w:val="00E37434"/>
    <w:rsid w:val="00E377CB"/>
    <w:rsid w:val="00E409A8"/>
    <w:rsid w:val="00E43348"/>
    <w:rsid w:val="00E4366D"/>
    <w:rsid w:val="00E439A9"/>
    <w:rsid w:val="00E45C91"/>
    <w:rsid w:val="00E46A1A"/>
    <w:rsid w:val="00E47137"/>
    <w:rsid w:val="00E508E9"/>
    <w:rsid w:val="00E50C12"/>
    <w:rsid w:val="00E5658D"/>
    <w:rsid w:val="00E617EE"/>
    <w:rsid w:val="00E65B91"/>
    <w:rsid w:val="00E65F34"/>
    <w:rsid w:val="00E66D8C"/>
    <w:rsid w:val="00E67832"/>
    <w:rsid w:val="00E6784E"/>
    <w:rsid w:val="00E67CA5"/>
    <w:rsid w:val="00E71BBA"/>
    <w:rsid w:val="00E7209D"/>
    <w:rsid w:val="00E72BF1"/>
    <w:rsid w:val="00E72EAD"/>
    <w:rsid w:val="00E73972"/>
    <w:rsid w:val="00E77223"/>
    <w:rsid w:val="00E80EB0"/>
    <w:rsid w:val="00E82119"/>
    <w:rsid w:val="00E84FDD"/>
    <w:rsid w:val="00E8528B"/>
    <w:rsid w:val="00E85B94"/>
    <w:rsid w:val="00E91E99"/>
    <w:rsid w:val="00E92B2A"/>
    <w:rsid w:val="00E937F8"/>
    <w:rsid w:val="00E94AC3"/>
    <w:rsid w:val="00E978D0"/>
    <w:rsid w:val="00EA3CF3"/>
    <w:rsid w:val="00EA4613"/>
    <w:rsid w:val="00EA722E"/>
    <w:rsid w:val="00EA7F91"/>
    <w:rsid w:val="00EB1523"/>
    <w:rsid w:val="00EB29EB"/>
    <w:rsid w:val="00EC0E49"/>
    <w:rsid w:val="00EC101F"/>
    <w:rsid w:val="00EC1D9F"/>
    <w:rsid w:val="00EC1F42"/>
    <w:rsid w:val="00EC21DA"/>
    <w:rsid w:val="00EC2586"/>
    <w:rsid w:val="00EC2871"/>
    <w:rsid w:val="00EC42D9"/>
    <w:rsid w:val="00EC7198"/>
    <w:rsid w:val="00ED15FA"/>
    <w:rsid w:val="00ED1883"/>
    <w:rsid w:val="00ED1DCC"/>
    <w:rsid w:val="00ED4E34"/>
    <w:rsid w:val="00EE0131"/>
    <w:rsid w:val="00EE0795"/>
    <w:rsid w:val="00EE17B0"/>
    <w:rsid w:val="00EE57D4"/>
    <w:rsid w:val="00EE6D23"/>
    <w:rsid w:val="00EE76CC"/>
    <w:rsid w:val="00EE7C14"/>
    <w:rsid w:val="00EF01A6"/>
    <w:rsid w:val="00EF06D9"/>
    <w:rsid w:val="00EF13FB"/>
    <w:rsid w:val="00EF1BAB"/>
    <w:rsid w:val="00EF49C7"/>
    <w:rsid w:val="00EF531C"/>
    <w:rsid w:val="00EF6853"/>
    <w:rsid w:val="00F0033D"/>
    <w:rsid w:val="00F07456"/>
    <w:rsid w:val="00F07F3B"/>
    <w:rsid w:val="00F10B19"/>
    <w:rsid w:val="00F1172C"/>
    <w:rsid w:val="00F14EB5"/>
    <w:rsid w:val="00F15862"/>
    <w:rsid w:val="00F2240B"/>
    <w:rsid w:val="00F24A8D"/>
    <w:rsid w:val="00F25104"/>
    <w:rsid w:val="00F26941"/>
    <w:rsid w:val="00F3049E"/>
    <w:rsid w:val="00F30C64"/>
    <w:rsid w:val="00F32B29"/>
    <w:rsid w:val="00F32B55"/>
    <w:rsid w:val="00F32BA2"/>
    <w:rsid w:val="00F32CDB"/>
    <w:rsid w:val="00F33F21"/>
    <w:rsid w:val="00F349E4"/>
    <w:rsid w:val="00F41801"/>
    <w:rsid w:val="00F46350"/>
    <w:rsid w:val="00F50BEF"/>
    <w:rsid w:val="00F512D1"/>
    <w:rsid w:val="00F51A8C"/>
    <w:rsid w:val="00F51ECB"/>
    <w:rsid w:val="00F52A98"/>
    <w:rsid w:val="00F53693"/>
    <w:rsid w:val="00F54F34"/>
    <w:rsid w:val="00F554D2"/>
    <w:rsid w:val="00F565FE"/>
    <w:rsid w:val="00F57D20"/>
    <w:rsid w:val="00F6121F"/>
    <w:rsid w:val="00F62131"/>
    <w:rsid w:val="00F62481"/>
    <w:rsid w:val="00F63A70"/>
    <w:rsid w:val="00F63D8C"/>
    <w:rsid w:val="00F708FD"/>
    <w:rsid w:val="00F713B7"/>
    <w:rsid w:val="00F71DAE"/>
    <w:rsid w:val="00F72C0E"/>
    <w:rsid w:val="00F73927"/>
    <w:rsid w:val="00F7510A"/>
    <w:rsid w:val="00F7534E"/>
    <w:rsid w:val="00F82CF1"/>
    <w:rsid w:val="00F8592A"/>
    <w:rsid w:val="00F93EDF"/>
    <w:rsid w:val="00FA0445"/>
    <w:rsid w:val="00FA09DF"/>
    <w:rsid w:val="00FA0DC8"/>
    <w:rsid w:val="00FA1802"/>
    <w:rsid w:val="00FA21D0"/>
    <w:rsid w:val="00FA2CDE"/>
    <w:rsid w:val="00FA3FEF"/>
    <w:rsid w:val="00FA5F5F"/>
    <w:rsid w:val="00FB3F0E"/>
    <w:rsid w:val="00FB4178"/>
    <w:rsid w:val="00FB504F"/>
    <w:rsid w:val="00FB730C"/>
    <w:rsid w:val="00FB7C77"/>
    <w:rsid w:val="00FC0DBA"/>
    <w:rsid w:val="00FC1D9A"/>
    <w:rsid w:val="00FC2695"/>
    <w:rsid w:val="00FC3E03"/>
    <w:rsid w:val="00FC3FC1"/>
    <w:rsid w:val="00FC562E"/>
    <w:rsid w:val="00FC5B1B"/>
    <w:rsid w:val="00FD03BE"/>
    <w:rsid w:val="00FD0AE0"/>
    <w:rsid w:val="00FD2680"/>
    <w:rsid w:val="00FD66BE"/>
    <w:rsid w:val="00FE2CAF"/>
    <w:rsid w:val="00FE4342"/>
    <w:rsid w:val="00FE4401"/>
    <w:rsid w:val="00FE591C"/>
    <w:rsid w:val="00FE5CDF"/>
    <w:rsid w:val="00FF2FF0"/>
    <w:rsid w:val="00FF6C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A4062"/>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A406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3684</Words>
  <Characters>19530</Characters>
  <Application>Microsoft Office Word</Application>
  <DocSecurity>0</DocSecurity>
  <Lines>162</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Alessandro Campari</cp:lastModifiedBy>
  <cp:revision>1067</cp:revision>
  <cp:lastPrinted>2015-05-12T18:31:00Z</cp:lastPrinted>
  <dcterms:created xsi:type="dcterms:W3CDTF">2022-09-21T08:52:00Z</dcterms:created>
  <dcterms:modified xsi:type="dcterms:W3CDTF">2023-05-29T13:02:00Z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