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61F9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61F9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61F9D">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CBDD952" w:rsidR="00E978D0" w:rsidRPr="00B57B36" w:rsidRDefault="00161F9D" w:rsidP="00E978D0">
      <w:pPr>
        <w:pStyle w:val="CETTitle"/>
      </w:pPr>
      <w:r w:rsidRPr="00161F9D">
        <w:t>Integrating the benefits of turquoise hydrogen to decarbonise high-emission industry</w:t>
      </w:r>
    </w:p>
    <w:p w14:paraId="0488FED2" w14:textId="2FD165BE" w:rsidR="00B57E6F" w:rsidRPr="00A05DC1" w:rsidRDefault="00161F9D" w:rsidP="00161F9D">
      <w:pPr>
        <w:pStyle w:val="CETAuthors"/>
        <w:jc w:val="center"/>
        <w:rPr>
          <w:lang w:val="it-IT"/>
        </w:rPr>
      </w:pPr>
      <w:r w:rsidRPr="00A05DC1">
        <w:rPr>
          <w:lang w:val="it-IT"/>
        </w:rPr>
        <w:t>Silvia Pelucchi</w:t>
      </w:r>
      <w:r w:rsidR="009958B3">
        <w:rPr>
          <w:lang w:val="it-IT"/>
        </w:rPr>
        <w:t xml:space="preserve"> </w:t>
      </w:r>
      <w:r w:rsidRPr="00A05DC1">
        <w:rPr>
          <w:vertAlign w:val="superscript"/>
          <w:lang w:val="it-IT"/>
        </w:rPr>
        <w:t>a</w:t>
      </w:r>
      <w:r w:rsidRPr="00A05DC1">
        <w:rPr>
          <w:lang w:val="it-IT"/>
        </w:rPr>
        <w:t xml:space="preserve">,  </w:t>
      </w:r>
      <w:r w:rsidRPr="00A05DC1">
        <w:rPr>
          <w:color w:val="1E1919"/>
          <w:lang w:val="it-IT"/>
        </w:rPr>
        <w:t>Federico Galli</w:t>
      </w:r>
      <w:r w:rsidR="009958B3">
        <w:rPr>
          <w:color w:val="1E1919"/>
          <w:lang w:val="it-IT"/>
        </w:rPr>
        <w:t xml:space="preserve"> </w:t>
      </w:r>
      <w:r w:rsidR="0042088B">
        <w:rPr>
          <w:color w:val="1E1919"/>
          <w:vertAlign w:val="superscript"/>
          <w:lang w:val="it-IT"/>
        </w:rPr>
        <w:t>b</w:t>
      </w:r>
      <w:r w:rsidR="00DA70C7">
        <w:rPr>
          <w:color w:val="1E1919"/>
          <w:lang w:val="it-IT"/>
        </w:rPr>
        <w:t>, Chiara Vianello</w:t>
      </w:r>
      <w:r w:rsidR="009958B3">
        <w:rPr>
          <w:color w:val="1E1919"/>
          <w:lang w:val="it-IT"/>
        </w:rPr>
        <w:t xml:space="preserve"> </w:t>
      </w:r>
      <w:r w:rsidR="00DA70C7">
        <w:rPr>
          <w:color w:val="1E1919"/>
          <w:vertAlign w:val="superscript"/>
          <w:lang w:val="it-IT"/>
        </w:rPr>
        <w:t>a</w:t>
      </w:r>
      <w:r w:rsidR="007D46D9">
        <w:rPr>
          <w:color w:val="1E1919"/>
          <w:vertAlign w:val="superscript"/>
          <w:lang w:val="it-IT"/>
        </w:rPr>
        <w:t>,c</w:t>
      </w:r>
      <w:r w:rsidR="00DA70C7">
        <w:rPr>
          <w:color w:val="1E1919"/>
          <w:lang w:val="it-IT"/>
        </w:rPr>
        <w:t>,</w:t>
      </w:r>
      <w:r w:rsidR="00DA70C7" w:rsidRPr="00DA70C7">
        <w:rPr>
          <w:color w:val="1E1919"/>
          <w:lang w:val="it-IT"/>
        </w:rPr>
        <w:t xml:space="preserve"> </w:t>
      </w:r>
      <w:r w:rsidR="00DA70C7" w:rsidRPr="00A05DC1">
        <w:rPr>
          <w:color w:val="1E1919"/>
          <w:lang w:val="it-IT"/>
        </w:rPr>
        <w:t>Paolo Mocellin</w:t>
      </w:r>
      <w:r w:rsidR="009958B3">
        <w:rPr>
          <w:color w:val="1E1919"/>
          <w:lang w:val="it-IT"/>
        </w:rPr>
        <w:t xml:space="preserve"> </w:t>
      </w:r>
      <w:r w:rsidR="00DA70C7">
        <w:rPr>
          <w:color w:val="1E1919"/>
          <w:vertAlign w:val="superscript"/>
          <w:lang w:val="it-IT"/>
        </w:rPr>
        <w:t>a</w:t>
      </w:r>
      <w:r w:rsidR="00DA70C7" w:rsidRPr="00A05DC1">
        <w:rPr>
          <w:color w:val="1E1919"/>
          <w:vertAlign w:val="superscript"/>
          <w:lang w:val="it-IT"/>
        </w:rPr>
        <w:t>,*</w:t>
      </w:r>
    </w:p>
    <w:p w14:paraId="6B2D21B3" w14:textId="47A0044F" w:rsidR="00B57E6F" w:rsidRPr="00161F9D" w:rsidRDefault="00161F9D" w:rsidP="00161F9D">
      <w:pPr>
        <w:pStyle w:val="CETAddress"/>
        <w:rPr>
          <w:lang w:val="it-IT"/>
        </w:rPr>
      </w:pPr>
      <w:r>
        <w:rPr>
          <w:vertAlign w:val="superscript"/>
          <w:lang w:val="it-IT"/>
        </w:rPr>
        <w:t xml:space="preserve">a </w:t>
      </w:r>
      <w:r w:rsidRPr="00161F9D">
        <w:rPr>
          <w:lang w:val="it-IT"/>
        </w:rPr>
        <w:t xml:space="preserve">Dipartimento di Ingegneria Industriale, Università degli Studi di Padova, Via Marzolo 9, </w:t>
      </w:r>
      <w:r w:rsidR="007D46D9">
        <w:rPr>
          <w:lang w:val="it-IT"/>
        </w:rPr>
        <w:t xml:space="preserve">35131, </w:t>
      </w:r>
      <w:r w:rsidRPr="00161F9D">
        <w:rPr>
          <w:lang w:val="it-IT"/>
        </w:rPr>
        <w:t>Padova, Italia</w:t>
      </w:r>
      <w:r w:rsidR="00B57E6F" w:rsidRPr="00161F9D">
        <w:rPr>
          <w:lang w:val="it-IT"/>
        </w:rPr>
        <w:t xml:space="preserve"> </w:t>
      </w:r>
    </w:p>
    <w:p w14:paraId="3D72B0B0" w14:textId="309A49F7" w:rsidR="00B57E6F" w:rsidRPr="00E648D1" w:rsidRDefault="00B57E6F" w:rsidP="00B57E6F">
      <w:pPr>
        <w:pStyle w:val="CETAddress"/>
        <w:rPr>
          <w:lang w:val="fr-CA"/>
        </w:rPr>
      </w:pPr>
      <w:r w:rsidRPr="00E648D1">
        <w:rPr>
          <w:vertAlign w:val="superscript"/>
          <w:lang w:val="fr-CA"/>
        </w:rPr>
        <w:t>b</w:t>
      </w:r>
      <w:r w:rsidR="00161F9D" w:rsidRPr="00E648D1">
        <w:rPr>
          <w:lang w:val="fr-CA"/>
        </w:rPr>
        <w:t xml:space="preserve"> Département de Génie Chimique et de Génie Biotechnologique, Université de Sherbrooke, 2500, boul. de l’Université, Sherbrooke, Québec, J1K 2R1, Canada</w:t>
      </w:r>
    </w:p>
    <w:p w14:paraId="2A144D11" w14:textId="5F4B99AE" w:rsidR="007D46D9" w:rsidRPr="007D46D9" w:rsidRDefault="007D46D9" w:rsidP="00B57E6F">
      <w:pPr>
        <w:pStyle w:val="CETAddress"/>
        <w:rPr>
          <w:lang w:val="it-IT"/>
        </w:rPr>
      </w:pPr>
      <w:r w:rsidRPr="007D46D9">
        <w:rPr>
          <w:vertAlign w:val="superscript"/>
          <w:lang w:val="it-IT"/>
        </w:rPr>
        <w:t>c</w:t>
      </w:r>
      <w:r w:rsidRPr="007D46D9">
        <w:rPr>
          <w:lang w:val="it-IT"/>
        </w:rPr>
        <w:t xml:space="preserve"> Dipartimento di Ingegneria C</w:t>
      </w:r>
      <w:r>
        <w:rPr>
          <w:lang w:val="it-IT"/>
        </w:rPr>
        <w:t xml:space="preserve">ivile, Edile e Ambientale, </w:t>
      </w:r>
      <w:r w:rsidRPr="00161F9D">
        <w:rPr>
          <w:lang w:val="it-IT"/>
        </w:rPr>
        <w:t xml:space="preserve">Università degli Studi di Padova, Via Marzolo 9, </w:t>
      </w:r>
      <w:r>
        <w:rPr>
          <w:lang w:val="it-IT"/>
        </w:rPr>
        <w:t xml:space="preserve">35131, </w:t>
      </w:r>
      <w:r w:rsidRPr="00161F9D">
        <w:rPr>
          <w:lang w:val="it-IT"/>
        </w:rPr>
        <w:t>Padova, Italia</w:t>
      </w:r>
    </w:p>
    <w:p w14:paraId="73F1267A" w14:textId="24C18827" w:rsidR="00B57E6F" w:rsidRPr="00B57B36" w:rsidRDefault="00CD4672" w:rsidP="00B57E6F">
      <w:pPr>
        <w:pStyle w:val="CETemail"/>
      </w:pPr>
      <w:hyperlink r:id="rId10" w:history="1">
        <w:r w:rsidRPr="00DE001B">
          <w:rPr>
            <w:rStyle w:val="Collegamentoipertestuale"/>
          </w:rPr>
          <w:t>paolo.mocellin@unipd.it</w:t>
        </w:r>
      </w:hyperlink>
      <w:r>
        <w:t xml:space="preserve"> </w:t>
      </w:r>
      <w:r w:rsidR="00741475">
        <w:t xml:space="preserve"> </w:t>
      </w:r>
      <w:r w:rsidR="00B57E6F" w:rsidRPr="00B57B36">
        <w:t xml:space="preserve"> </w:t>
      </w:r>
    </w:p>
    <w:p w14:paraId="0C587146" w14:textId="30361D3B" w:rsidR="00A25125" w:rsidRPr="00C17348" w:rsidRDefault="00046E8D" w:rsidP="00A25125">
      <w:pPr>
        <w:spacing w:line="276" w:lineRule="auto"/>
        <w:rPr>
          <w:color w:val="000000" w:themeColor="text1"/>
        </w:rPr>
      </w:pPr>
      <w:r>
        <w:rPr>
          <w:color w:val="000000" w:themeColor="text1"/>
        </w:rPr>
        <w:t>T</w:t>
      </w:r>
      <w:r w:rsidRPr="0092703A">
        <w:rPr>
          <w:color w:val="000000" w:themeColor="text1"/>
        </w:rPr>
        <w:t>otal indirect greenhouse gas (GHG) emissions from oil and gas operations today are around 5</w:t>
      </w:r>
      <w:r>
        <w:rPr>
          <w:color w:val="000000" w:themeColor="text1"/>
        </w:rPr>
        <w:t>,</w:t>
      </w:r>
      <w:r w:rsidRPr="0092703A">
        <w:rPr>
          <w:color w:val="000000" w:themeColor="text1"/>
        </w:rPr>
        <w:t xml:space="preserve">200 Mt of </w:t>
      </w:r>
      <w:r>
        <w:rPr>
          <w:color w:val="000000" w:themeColor="text1"/>
        </w:rPr>
        <w:t>carbon dioxide</w:t>
      </w:r>
      <w:r w:rsidRPr="0092703A">
        <w:rPr>
          <w:color w:val="000000" w:themeColor="text1"/>
        </w:rPr>
        <w:t xml:space="preserve"> equivalent (CO</w:t>
      </w:r>
      <w:r w:rsidRPr="0092703A">
        <w:rPr>
          <w:color w:val="000000" w:themeColor="text1"/>
          <w:vertAlign w:val="subscript"/>
        </w:rPr>
        <w:t>2</w:t>
      </w:r>
      <w:r w:rsidRPr="0092703A">
        <w:rPr>
          <w:color w:val="000000" w:themeColor="text1"/>
        </w:rPr>
        <w:t>-eq)</w:t>
      </w:r>
      <w:r>
        <w:rPr>
          <w:color w:val="000000" w:themeColor="text1"/>
        </w:rPr>
        <w:t xml:space="preserve"> yearly</w:t>
      </w:r>
      <w:r w:rsidRPr="0092703A">
        <w:rPr>
          <w:color w:val="000000" w:themeColor="text1"/>
        </w:rPr>
        <w:t xml:space="preserve">, 15% of total energy sector GHG emissions. </w:t>
      </w:r>
      <w:r>
        <w:rPr>
          <w:color w:val="000000" w:themeColor="text1"/>
        </w:rPr>
        <w:t xml:space="preserve">Most of these emissions occur due to natural gas leaks. </w:t>
      </w:r>
      <w:r w:rsidRPr="0092703A">
        <w:rPr>
          <w:color w:val="000000" w:themeColor="text1"/>
        </w:rPr>
        <w:t xml:space="preserve">Methane, a much more </w:t>
      </w:r>
      <w:r>
        <w:rPr>
          <w:color w:val="000000" w:themeColor="text1"/>
        </w:rPr>
        <w:t xml:space="preserve">potent </w:t>
      </w:r>
      <w:r w:rsidRPr="0092703A">
        <w:rPr>
          <w:color w:val="000000" w:themeColor="text1"/>
        </w:rPr>
        <w:t>GHG than CO</w:t>
      </w:r>
      <w:r w:rsidRPr="0092703A">
        <w:rPr>
          <w:color w:val="000000" w:themeColor="text1"/>
          <w:vertAlign w:val="subscript"/>
        </w:rPr>
        <w:t>2</w:t>
      </w:r>
      <w:r w:rsidRPr="0092703A">
        <w:rPr>
          <w:color w:val="000000" w:themeColor="text1"/>
        </w:rPr>
        <w:t xml:space="preserve">, is the </w:t>
      </w:r>
      <w:r>
        <w:rPr>
          <w:color w:val="000000" w:themeColor="text1"/>
        </w:rPr>
        <w:t>most significan</w:t>
      </w:r>
      <w:r w:rsidRPr="0092703A">
        <w:rPr>
          <w:color w:val="000000" w:themeColor="text1"/>
        </w:rPr>
        <w:t xml:space="preserve">t single component of </w:t>
      </w:r>
      <w:r>
        <w:rPr>
          <w:color w:val="000000" w:themeColor="text1"/>
        </w:rPr>
        <w:t>natural gas and</w:t>
      </w:r>
      <w:r w:rsidR="0043375E">
        <w:rPr>
          <w:color w:val="000000" w:themeColor="text1"/>
        </w:rPr>
        <w:t>,</w:t>
      </w:r>
      <w:r>
        <w:rPr>
          <w:color w:val="000000" w:themeColor="text1"/>
        </w:rPr>
        <w:t xml:space="preserve"> therefore</w:t>
      </w:r>
      <w:r w:rsidR="0043375E">
        <w:rPr>
          <w:color w:val="000000" w:themeColor="text1"/>
        </w:rPr>
        <w:t>,</w:t>
      </w:r>
      <w:r>
        <w:rPr>
          <w:color w:val="000000" w:themeColor="text1"/>
        </w:rPr>
        <w:t xml:space="preserve"> of </w:t>
      </w:r>
      <w:r w:rsidRPr="0092703A">
        <w:rPr>
          <w:color w:val="000000" w:themeColor="text1"/>
        </w:rPr>
        <w:t>these emissions.</w:t>
      </w:r>
      <w:r>
        <w:rPr>
          <w:color w:val="000000" w:themeColor="text1"/>
        </w:rPr>
        <w:t xml:space="preserve"> Part of these emissions result</w:t>
      </w:r>
      <w:r w:rsidR="0043375E">
        <w:rPr>
          <w:color w:val="000000" w:themeColor="text1"/>
        </w:rPr>
        <w:t>s</w:t>
      </w:r>
      <w:r>
        <w:rPr>
          <w:color w:val="000000" w:themeColor="text1"/>
        </w:rPr>
        <w:t xml:space="preserve"> from routine operations such as flaring and venting, </w:t>
      </w:r>
      <w:r w:rsidR="0043375E">
        <w:rPr>
          <w:color w:val="000000" w:themeColor="text1"/>
        </w:rPr>
        <w:t>representing</w:t>
      </w:r>
      <w:r w:rsidRPr="19BEE61F">
        <w:rPr>
          <w:color w:val="000000" w:themeColor="text1"/>
        </w:rPr>
        <w:t xml:space="preserve"> both an economic and an environmental </w:t>
      </w:r>
      <w:r w:rsidR="0043375E">
        <w:rPr>
          <w:color w:val="000000" w:themeColor="text1"/>
        </w:rPr>
        <w:t>issue</w:t>
      </w:r>
      <w:r w:rsidRPr="19BEE61F">
        <w:rPr>
          <w:color w:val="000000" w:themeColor="text1"/>
        </w:rPr>
        <w:t>. </w:t>
      </w:r>
      <w:r w:rsidRPr="7E0CB1A1">
        <w:rPr>
          <w:color w:val="000000" w:themeColor="text1"/>
        </w:rPr>
        <w:t>Many solutions have been developed to</w:t>
      </w:r>
      <w:r>
        <w:rPr>
          <w:color w:val="000000" w:themeColor="text1"/>
        </w:rPr>
        <w:t xml:space="preserve"> recover and use this natural gas </w:t>
      </w:r>
      <w:r w:rsidRPr="7E0CB1A1">
        <w:rPr>
          <w:color w:val="000000" w:themeColor="text1"/>
        </w:rPr>
        <w:t xml:space="preserve">instead of venting and flaring it. </w:t>
      </w:r>
      <w:r>
        <w:rPr>
          <w:color w:val="000000" w:themeColor="text1"/>
        </w:rPr>
        <w:t xml:space="preserve">Three possibilities were simulated </w:t>
      </w:r>
      <w:r w:rsidRPr="19BEE61F">
        <w:rPr>
          <w:color w:val="000000" w:themeColor="text1"/>
        </w:rPr>
        <w:t xml:space="preserve">with </w:t>
      </w:r>
      <w:r>
        <w:rPr>
          <w:rStyle w:val="ui-provider"/>
        </w:rPr>
        <w:t>AVEVA PRO/II,</w:t>
      </w:r>
      <w:r>
        <w:rPr>
          <w:color w:val="000000" w:themeColor="text1"/>
        </w:rPr>
        <w:t xml:space="preserve"> and </w:t>
      </w:r>
      <w:r w:rsidRPr="19BEE61F">
        <w:rPr>
          <w:color w:val="000000" w:themeColor="text1"/>
        </w:rPr>
        <w:t>a</w:t>
      </w:r>
      <w:r>
        <w:rPr>
          <w:color w:val="000000" w:themeColor="text1"/>
        </w:rPr>
        <w:t xml:space="preserve"> preliminary</w:t>
      </w:r>
      <w:r w:rsidRPr="19BEE61F">
        <w:rPr>
          <w:color w:val="000000" w:themeColor="text1"/>
        </w:rPr>
        <w:t xml:space="preserve"> </w:t>
      </w:r>
      <w:r>
        <w:rPr>
          <w:color w:val="000000" w:themeColor="text1"/>
        </w:rPr>
        <w:t>economic asses</w:t>
      </w:r>
      <w:r w:rsidRPr="19BEE61F">
        <w:rPr>
          <w:color w:val="000000" w:themeColor="text1"/>
        </w:rPr>
        <w:t>s</w:t>
      </w:r>
      <w:r>
        <w:rPr>
          <w:color w:val="000000" w:themeColor="text1"/>
        </w:rPr>
        <w:t xml:space="preserve">ment was carried out with Guthrie’s method. </w:t>
      </w:r>
      <w:r w:rsidR="00841C2A">
        <w:rPr>
          <w:color w:val="000000" w:themeColor="text1"/>
        </w:rPr>
        <w:t>30 kmol/hr of natural gas fed was assumed</w:t>
      </w:r>
      <w:r w:rsidR="00FD27CB">
        <w:rPr>
          <w:color w:val="000000" w:themeColor="text1"/>
        </w:rPr>
        <w:t>, according to average site data</w:t>
      </w:r>
      <w:r w:rsidR="00850FEC">
        <w:rPr>
          <w:color w:val="000000" w:themeColor="text1"/>
        </w:rPr>
        <w:t xml:space="preserve">, </w:t>
      </w:r>
      <w:r w:rsidR="00FC2032">
        <w:rPr>
          <w:color w:val="000000" w:themeColor="text1"/>
        </w:rPr>
        <w:t>therefore</w:t>
      </w:r>
      <w:r w:rsidR="0081730E">
        <w:rPr>
          <w:color w:val="000000" w:themeColor="text1"/>
        </w:rPr>
        <w:t>,</w:t>
      </w:r>
      <w:r w:rsidR="00FC2032">
        <w:rPr>
          <w:color w:val="000000" w:themeColor="text1"/>
        </w:rPr>
        <w:t xml:space="preserve"> </w:t>
      </w:r>
      <w:r w:rsidR="000A68BC">
        <w:rPr>
          <w:color w:val="000000" w:themeColor="text1"/>
        </w:rPr>
        <w:t>small-</w:t>
      </w:r>
      <w:r w:rsidR="00FC2032">
        <w:rPr>
          <w:color w:val="000000" w:themeColor="text1"/>
        </w:rPr>
        <w:t xml:space="preserve">scale plants are </w:t>
      </w:r>
      <w:r w:rsidR="000A68BC">
        <w:rPr>
          <w:color w:val="000000" w:themeColor="text1"/>
        </w:rPr>
        <w:t>suitable</w:t>
      </w:r>
      <w:r w:rsidR="00FD27CB">
        <w:rPr>
          <w:color w:val="000000" w:themeColor="text1"/>
        </w:rPr>
        <w:t xml:space="preserve">. </w:t>
      </w:r>
      <w:r>
        <w:rPr>
          <w:color w:val="000000" w:themeColor="text1"/>
        </w:rPr>
        <w:t>A first solution based on compression, though requiring high OPEX (&gt; 280 k$/y), produces very low emissions yearly (1,140 t CO</w:t>
      </w:r>
      <w:r>
        <w:rPr>
          <w:color w:val="000000" w:themeColor="text1"/>
          <w:vertAlign w:val="subscript"/>
        </w:rPr>
        <w:t>2</w:t>
      </w:r>
      <w:r>
        <w:rPr>
          <w:color w:val="000000" w:themeColor="text1"/>
        </w:rPr>
        <w:t>-eq/y). Another possibility is to couple flaring to a microturbine for energy generation, but this solution is both uneconomical and has a high environmental impact (&gt; 10,000 t CO</w:t>
      </w:r>
      <w:r>
        <w:rPr>
          <w:color w:val="000000" w:themeColor="text1"/>
          <w:vertAlign w:val="subscript"/>
        </w:rPr>
        <w:t>2</w:t>
      </w:r>
      <w:r>
        <w:rPr>
          <w:color w:val="000000" w:themeColor="text1"/>
        </w:rPr>
        <w:t xml:space="preserve">-eq/y). The last technology analysed is thermal methane pyrolysis. </w:t>
      </w:r>
      <w:r w:rsidRPr="7E0CB1A1">
        <w:rPr>
          <w:color w:val="000000" w:themeColor="text1"/>
        </w:rPr>
        <w:t>This possibility</w:t>
      </w:r>
      <w:r w:rsidR="0043375E">
        <w:rPr>
          <w:color w:val="000000" w:themeColor="text1"/>
        </w:rPr>
        <w:t>,</w:t>
      </w:r>
      <w:r w:rsidRPr="7E0CB1A1">
        <w:rPr>
          <w:color w:val="000000" w:themeColor="text1"/>
        </w:rPr>
        <w:t xml:space="preserve"> often disregarded</w:t>
      </w:r>
      <w:r>
        <w:rPr>
          <w:color w:val="000000" w:themeColor="text1"/>
        </w:rPr>
        <w:t xml:space="preserve"> in environmental studies</w:t>
      </w:r>
      <w:r w:rsidRPr="7E0CB1A1">
        <w:rPr>
          <w:color w:val="000000" w:themeColor="text1"/>
        </w:rPr>
        <w:t>, involves the production of turquoise hydrogen</w:t>
      </w:r>
      <w:r>
        <w:rPr>
          <w:color w:val="000000" w:themeColor="text1"/>
        </w:rPr>
        <w:t xml:space="preserve"> </w:t>
      </w:r>
      <w:r w:rsidRPr="7E0CB1A1">
        <w:rPr>
          <w:color w:val="000000" w:themeColor="text1"/>
        </w:rPr>
        <w:t>and carbon black</w:t>
      </w:r>
      <w:r>
        <w:rPr>
          <w:color w:val="000000" w:themeColor="text1"/>
        </w:rPr>
        <w:t xml:space="preserve">. Although characterised by high capital costs (almost 3 M$), it </w:t>
      </w:r>
      <w:r w:rsidR="00CB1EBC">
        <w:rPr>
          <w:color w:val="000000" w:themeColor="text1"/>
        </w:rPr>
        <w:t>can</w:t>
      </w:r>
      <w:r>
        <w:rPr>
          <w:color w:val="000000" w:themeColor="text1"/>
        </w:rPr>
        <w:t xml:space="preserve"> reduce gaseous emissions since it stores the carbon part of hydrocarbons in the solid matrix that is formed.</w:t>
      </w:r>
      <w:r w:rsidR="00F9622D">
        <w:rPr>
          <w:color w:val="000000" w:themeColor="text1"/>
        </w:rPr>
        <w:t xml:space="preserve">  </w:t>
      </w:r>
    </w:p>
    <w:p w14:paraId="751E9128" w14:textId="77777777" w:rsidR="00EA07F6" w:rsidRDefault="00EA07F6" w:rsidP="00600535">
      <w:pPr>
        <w:pStyle w:val="CETBodytext"/>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06CEDAF4" w14:textId="68F749A3" w:rsidR="00046E8D" w:rsidRPr="009567B9" w:rsidRDefault="00046E8D" w:rsidP="00046E8D">
      <w:pPr>
        <w:pStyle w:val="CETBodytext"/>
        <w:rPr>
          <w:lang w:val="en-GB"/>
        </w:rPr>
      </w:pPr>
      <w:r w:rsidRPr="009567B9">
        <w:rPr>
          <w:lang w:val="en-GB"/>
        </w:rPr>
        <w:t>The transition to a net zero-carbon economy requires producing renewable fuels and chemical</w:t>
      </w:r>
      <w:r>
        <w:rPr>
          <w:lang w:val="en-GB"/>
        </w:rPr>
        <w:t>s</w:t>
      </w:r>
      <w:r w:rsidRPr="009567B9">
        <w:rPr>
          <w:lang w:val="en-GB"/>
        </w:rPr>
        <w:t xml:space="preserve"> from hydropower, solar, and wind</w:t>
      </w:r>
      <w:r w:rsidR="00CF286E">
        <w:rPr>
          <w:lang w:val="en-GB"/>
        </w:rPr>
        <w:t xml:space="preserve"> (Maporti et al., 2022</w:t>
      </w:r>
      <w:r w:rsidR="00AC0662">
        <w:rPr>
          <w:lang w:val="en-GB"/>
        </w:rPr>
        <w:t xml:space="preserve">; </w:t>
      </w:r>
      <w:r w:rsidR="00EB69E2">
        <w:rPr>
          <w:lang w:val="en-GB"/>
        </w:rPr>
        <w:t>Mion et al., 2022</w:t>
      </w:r>
      <w:r w:rsidR="00CF286E">
        <w:rPr>
          <w:lang w:val="en-GB"/>
        </w:rPr>
        <w:t>)</w:t>
      </w:r>
      <w:r w:rsidRPr="009567B9">
        <w:rPr>
          <w:lang w:val="en-GB"/>
        </w:rPr>
        <w:t xml:space="preserve">. Canada is in a position to become </w:t>
      </w:r>
      <w:r>
        <w:rPr>
          <w:lang w:val="en-GB"/>
        </w:rPr>
        <w:t xml:space="preserve">a </w:t>
      </w:r>
      <w:r w:rsidRPr="009567B9">
        <w:rPr>
          <w:lang w:val="en-GB"/>
        </w:rPr>
        <w:t xml:space="preserve">world leader of green and blue hydrogen </w:t>
      </w:r>
      <w:r w:rsidR="006A2A33">
        <w:rPr>
          <w:lang w:val="en-GB"/>
        </w:rPr>
        <w:t xml:space="preserve">production </w:t>
      </w:r>
      <w:r w:rsidRPr="009567B9">
        <w:rPr>
          <w:lang w:val="en-GB"/>
        </w:rPr>
        <w:t xml:space="preserve">with its abundant supply of fresh water and hydropower, which has one of the world's lowest carbon footprints at 0.5 </w:t>
      </w:r>
      <w:r w:rsidRPr="001E1D44">
        <w:rPr>
          <w:lang w:val="en-GB"/>
        </w:rPr>
        <w:t>kgCO</w:t>
      </w:r>
      <w:r w:rsidRPr="00DA5FD0">
        <w:rPr>
          <w:vertAlign w:val="subscript"/>
          <w:lang w:val="en-GB"/>
        </w:rPr>
        <w:t>2</w:t>
      </w:r>
      <w:r>
        <w:rPr>
          <w:lang w:val="en-GB"/>
        </w:rPr>
        <w:t>-</w:t>
      </w:r>
      <w:r w:rsidRPr="001E1D44">
        <w:rPr>
          <w:lang w:val="en-GB"/>
        </w:rPr>
        <w:t>eq</w:t>
      </w:r>
      <w:r w:rsidRPr="009567B9">
        <w:rPr>
          <w:lang w:val="en-GB"/>
        </w:rPr>
        <w:t xml:space="preserve">/MWh in 2019 (Hydro Québec, 2020). </w:t>
      </w:r>
    </w:p>
    <w:p w14:paraId="48B26ED9" w14:textId="0187CE42" w:rsidR="00046E8D" w:rsidRPr="009567B9" w:rsidRDefault="00046E8D" w:rsidP="00046E8D">
      <w:pPr>
        <w:pStyle w:val="CETBodytext"/>
        <w:rPr>
          <w:lang w:val="en-GB"/>
        </w:rPr>
      </w:pPr>
      <w:r w:rsidRPr="009567B9">
        <w:rPr>
          <w:lang w:val="en-GB"/>
        </w:rPr>
        <w:t>On the other hand, Canada is among the world’s leading oil and gas producers. Canada’s oil reserves are mainly found in Alberta and Saskatchewan provinces, over an area of 142</w:t>
      </w:r>
      <w:r>
        <w:rPr>
          <w:lang w:val="en-GB"/>
        </w:rPr>
        <w:t>,</w:t>
      </w:r>
      <w:r w:rsidRPr="009567B9">
        <w:rPr>
          <w:lang w:val="en-GB"/>
        </w:rPr>
        <w:t>000 km</w:t>
      </w:r>
      <w:r w:rsidRPr="00110764">
        <w:rPr>
          <w:vertAlign w:val="superscript"/>
          <w:lang w:val="en-GB"/>
        </w:rPr>
        <w:t>2</w:t>
      </w:r>
      <w:r w:rsidRPr="009567B9">
        <w:rPr>
          <w:lang w:val="en-GB"/>
        </w:rPr>
        <w:t xml:space="preserve"> (Katta et al., 2019). The industry contributes heavily to GHG emissions due to </w:t>
      </w:r>
      <w:r w:rsidR="0043375E">
        <w:rPr>
          <w:lang w:val="en-GB"/>
        </w:rPr>
        <w:t xml:space="preserve">the </w:t>
      </w:r>
      <w:r w:rsidRPr="009567B9">
        <w:rPr>
          <w:lang w:val="en-GB"/>
        </w:rPr>
        <w:t>flaring and venting of the associated solution gas. Flaring and venting increase greenhouse gases</w:t>
      </w:r>
      <w:r>
        <w:rPr>
          <w:lang w:val="en-GB"/>
        </w:rPr>
        <w:t xml:space="preserve"> (GHG)</w:t>
      </w:r>
      <w:r w:rsidRPr="009567B9">
        <w:rPr>
          <w:lang w:val="en-GB"/>
        </w:rPr>
        <w:t xml:space="preserve"> in the atmosphere, with a consequent increase in the average temperatures (Buzcu-Guven &amp; Harriss, 2012). Even though </w:t>
      </w:r>
      <w:r w:rsidR="00CB1EBC">
        <w:rPr>
          <w:lang w:val="en-GB"/>
        </w:rPr>
        <w:t>significant</w:t>
      </w:r>
      <w:r w:rsidRPr="009567B9">
        <w:rPr>
          <w:lang w:val="en-GB"/>
        </w:rPr>
        <w:t xml:space="preserve"> improvements were made recently, in 2020, a total of 620 Mt of CO</w:t>
      </w:r>
      <w:r w:rsidRPr="001E1D44">
        <w:rPr>
          <w:vertAlign w:val="subscript"/>
          <w:lang w:val="en-GB"/>
        </w:rPr>
        <w:t>2</w:t>
      </w:r>
      <w:r w:rsidRPr="009567B9">
        <w:rPr>
          <w:lang w:val="en-GB"/>
        </w:rPr>
        <w:t xml:space="preserve">-equivalent were released in Canada, and particularly venting emissions </w:t>
      </w:r>
      <w:r>
        <w:rPr>
          <w:lang w:val="en-GB"/>
        </w:rPr>
        <w:t>contributed</w:t>
      </w:r>
      <w:r w:rsidRPr="009567B9">
        <w:rPr>
          <w:lang w:val="en-GB"/>
        </w:rPr>
        <w:t xml:space="preserve"> to a total of 11 Mt of CO</w:t>
      </w:r>
      <w:r w:rsidRPr="00110764">
        <w:rPr>
          <w:vertAlign w:val="subscript"/>
          <w:lang w:val="en-GB"/>
        </w:rPr>
        <w:t>2</w:t>
      </w:r>
      <w:r w:rsidRPr="009567B9">
        <w:rPr>
          <w:lang w:val="en-GB"/>
        </w:rPr>
        <w:t>-equivalent, which represents 1.7</w:t>
      </w:r>
      <w:r>
        <w:rPr>
          <w:lang w:val="en-GB"/>
        </w:rPr>
        <w:t xml:space="preserve"> </w:t>
      </w:r>
      <w:r w:rsidRPr="009567B9">
        <w:rPr>
          <w:lang w:val="en-GB"/>
        </w:rPr>
        <w:t>% of the total GHG emissions of Canada in 2020</w:t>
      </w:r>
      <w:r>
        <w:rPr>
          <w:lang w:val="en-GB"/>
        </w:rPr>
        <w:t xml:space="preserve"> </w:t>
      </w:r>
      <w:r w:rsidRPr="009567B9">
        <w:rPr>
          <w:lang w:val="en-GB"/>
        </w:rPr>
        <w:t>(Environment and Climate Change Canada, 2022). In Alberta and Saskatchewan, the overall volumes are large: in 2020, 866 Mm</w:t>
      </w:r>
      <w:r w:rsidRPr="00110764">
        <w:rPr>
          <w:vertAlign w:val="superscript"/>
          <w:lang w:val="en-GB"/>
        </w:rPr>
        <w:t>3</w:t>
      </w:r>
      <w:r w:rsidRPr="009567B9">
        <w:rPr>
          <w:lang w:val="en-GB"/>
        </w:rPr>
        <w:t xml:space="preserve"> of gas was flared</w:t>
      </w:r>
      <w:r>
        <w:rPr>
          <w:lang w:val="en-GB"/>
        </w:rPr>
        <w:t>,</w:t>
      </w:r>
      <w:r w:rsidRPr="009567B9">
        <w:rPr>
          <w:lang w:val="en-GB"/>
        </w:rPr>
        <w:t xml:space="preserve"> and 347 Mm</w:t>
      </w:r>
      <w:r w:rsidRPr="00110764">
        <w:rPr>
          <w:vertAlign w:val="superscript"/>
          <w:lang w:val="en-GB"/>
        </w:rPr>
        <w:t>3</w:t>
      </w:r>
      <w:r w:rsidRPr="009567B9">
        <w:rPr>
          <w:lang w:val="en-GB"/>
        </w:rPr>
        <w:t xml:space="preserve"> was vented in Alberta (Alberta Energy Regulator, 2021), while in Saskatchewan, in 2019, 572 Mm</w:t>
      </w:r>
      <w:r w:rsidRPr="00110764">
        <w:rPr>
          <w:vertAlign w:val="superscript"/>
          <w:lang w:val="en-GB"/>
        </w:rPr>
        <w:t>3</w:t>
      </w:r>
      <w:r w:rsidRPr="009567B9">
        <w:rPr>
          <w:lang w:val="en-GB"/>
        </w:rPr>
        <w:t xml:space="preserve"> of gas was flared</w:t>
      </w:r>
      <w:r w:rsidR="000A68BC">
        <w:rPr>
          <w:lang w:val="en-GB"/>
        </w:rPr>
        <w:t>,</w:t>
      </w:r>
      <w:r w:rsidRPr="009567B9">
        <w:rPr>
          <w:lang w:val="en-GB"/>
        </w:rPr>
        <w:t xml:space="preserve"> and 465 Mm</w:t>
      </w:r>
      <w:r w:rsidRPr="00110764">
        <w:rPr>
          <w:vertAlign w:val="superscript"/>
          <w:lang w:val="en-GB"/>
        </w:rPr>
        <w:t>3</w:t>
      </w:r>
      <w:r w:rsidRPr="009567B9">
        <w:rPr>
          <w:lang w:val="en-GB"/>
        </w:rPr>
        <w:t xml:space="preserve"> was vented (Emery et al., 2020). </w:t>
      </w:r>
    </w:p>
    <w:p w14:paraId="14D32F42" w14:textId="00535B1E" w:rsidR="009567B9" w:rsidRDefault="00046E8D" w:rsidP="00046E8D">
      <w:pPr>
        <w:pStyle w:val="CETBodytext"/>
        <w:rPr>
          <w:lang w:val="en-GB"/>
        </w:rPr>
      </w:pPr>
      <w:r w:rsidRPr="009567B9">
        <w:rPr>
          <w:lang w:val="en-GB"/>
        </w:rPr>
        <w:t>Canadian oil extraction is a key sector for clean technology development. Restrictions and tight regulations have been introduced in the last decades</w:t>
      </w:r>
      <w:r>
        <w:rPr>
          <w:lang w:val="en-GB"/>
        </w:rPr>
        <w:t xml:space="preserve">, such as the carbon tax, first introduced in 2018 </w:t>
      </w:r>
      <w:r w:rsidRPr="009567B9">
        <w:rPr>
          <w:lang w:val="en-GB"/>
        </w:rPr>
        <w:t xml:space="preserve">(Government of Canada, </w:t>
      </w:r>
      <w:r w:rsidRPr="009567B9">
        <w:rPr>
          <w:lang w:val="en-GB"/>
        </w:rPr>
        <w:lastRenderedPageBreak/>
        <w:t>2022). Many solutions have been developed to either trap or convert natural gas, mainly into hydrogen, instead of venting and flaring it. In the framework of a world that still depends very much on the consumption of fossil fuels, H</w:t>
      </w:r>
      <w:r w:rsidRPr="00110764">
        <w:rPr>
          <w:vertAlign w:val="subscript"/>
          <w:lang w:val="en-GB"/>
        </w:rPr>
        <w:t>2</w:t>
      </w:r>
      <w:r w:rsidRPr="009567B9">
        <w:rPr>
          <w:lang w:val="en-GB"/>
        </w:rPr>
        <w:t xml:space="preserve"> is likely to play a key role in the transition from a fossil fuel economy to a sustainable fuel economy of the future (Abánades et al., 2011).</w:t>
      </w:r>
    </w:p>
    <w:p w14:paraId="5741900F" w14:textId="02CCE96A" w:rsidR="00453E24" w:rsidRDefault="009567B9" w:rsidP="00453E24">
      <w:pPr>
        <w:pStyle w:val="CETHeading1"/>
      </w:pPr>
      <w:r>
        <w:t>Methods</w:t>
      </w:r>
    </w:p>
    <w:p w14:paraId="6AA1D6C7" w14:textId="77777777" w:rsidR="00046E8D" w:rsidRDefault="00046E8D" w:rsidP="0043375E">
      <w:pPr>
        <w:pStyle w:val="CETBodytext"/>
      </w:pPr>
      <w:r>
        <w:t xml:space="preserve">In general, many technologies can be applied to capture or convert associated gas at upstream oil and gas sites. In this paper, three possibilities are discussed. For each, a brief framework of the technology will be provided, along with an economic and environmental assessment. </w:t>
      </w:r>
      <w:r>
        <w:rPr>
          <w:rStyle w:val="ui-provider"/>
        </w:rPr>
        <w:t>AVEVA PRO/II</w:t>
      </w:r>
      <w:r>
        <w:t xml:space="preserve"> was used to solve energy and mass balances. The Peng-Robinson equation of state calculated the physical properties of the substances interacting in the process.</w:t>
      </w:r>
    </w:p>
    <w:p w14:paraId="0B733FF4" w14:textId="4779DDBB" w:rsidR="00A96990" w:rsidRPr="00046E8D" w:rsidRDefault="00046E8D" w:rsidP="0043375E">
      <w:pPr>
        <w:pStyle w:val="CETBodytext"/>
        <w:rPr>
          <w:lang w:val="en-CA"/>
        </w:rPr>
      </w:pPr>
      <w:r w:rsidRPr="00A96990">
        <w:rPr>
          <w:lang w:val="en-CA"/>
        </w:rPr>
        <w:t>The</w:t>
      </w:r>
      <w:r>
        <w:rPr>
          <w:lang w:val="en-CA"/>
        </w:rPr>
        <w:t xml:space="preserve"> equipment</w:t>
      </w:r>
      <w:r w:rsidRPr="00A96990">
        <w:rPr>
          <w:lang w:val="en-CA"/>
        </w:rPr>
        <w:t xml:space="preserve"> cost was evaluated </w:t>
      </w:r>
      <w:r w:rsidR="0043375E">
        <w:rPr>
          <w:lang w:val="en-CA"/>
        </w:rPr>
        <w:t>using</w:t>
      </w:r>
      <w:r w:rsidRPr="00A96990">
        <w:rPr>
          <w:lang w:val="en-CA"/>
        </w:rPr>
        <w:t xml:space="preserve"> Guthrie’s method (Turton et al., 2009). The main assumption introduced is that all these possibilities are intended to be continuous, therefore operative 8760 h</w:t>
      </w:r>
      <w:r>
        <w:rPr>
          <w:lang w:val="en-CA"/>
        </w:rPr>
        <w:t>/y</w:t>
      </w:r>
      <w:r w:rsidRPr="00A96990">
        <w:rPr>
          <w:lang w:val="en-CA"/>
        </w:rPr>
        <w:t xml:space="preserve">. The Chemical Engineering Plant Cost Index for 2021, considered </w:t>
      </w:r>
      <w:r>
        <w:rPr>
          <w:lang w:val="en-CA"/>
        </w:rPr>
        <w:t xml:space="preserve">a </w:t>
      </w:r>
      <w:r w:rsidRPr="00A96990">
        <w:rPr>
          <w:lang w:val="en-CA"/>
        </w:rPr>
        <w:t>reference, is 699.97.</w:t>
      </w:r>
      <w:r>
        <w:rPr>
          <w:lang w:val="en-CA"/>
        </w:rPr>
        <w:t xml:space="preserve"> OPEX </w:t>
      </w:r>
      <w:r w:rsidR="00BD2B5C">
        <w:rPr>
          <w:lang w:val="en-CA"/>
        </w:rPr>
        <w:t>was</w:t>
      </w:r>
      <w:r>
        <w:rPr>
          <w:lang w:val="en-CA"/>
        </w:rPr>
        <w:t xml:space="preserve"> evaluated considering one operator for each technology, expenses for energy consumption and a remaining 5 % of the overall CAPEX for additional expenses.</w:t>
      </w:r>
      <w:r w:rsidRPr="00A96990">
        <w:rPr>
          <w:lang w:val="en-CA"/>
        </w:rPr>
        <w:t xml:space="preserve"> </w:t>
      </w:r>
      <w:r>
        <w:rPr>
          <w:lang w:val="en-CA"/>
        </w:rPr>
        <w:t xml:space="preserve">The prices of the utilities and the products involved in these technologies are reported in Table 1. </w:t>
      </w:r>
      <w:r w:rsidR="00C1526F" w:rsidRPr="00046E8D">
        <w:rPr>
          <w:lang w:val="en-CA"/>
        </w:rPr>
        <w:t xml:space="preserve"> </w:t>
      </w:r>
    </w:p>
    <w:p w14:paraId="1496CE94" w14:textId="0D0CA5AC" w:rsidR="00405FB9" w:rsidRPr="00A96990" w:rsidRDefault="00405FB9" w:rsidP="00FD18AC">
      <w:pPr>
        <w:pStyle w:val="CETTabletitle"/>
        <w:rPr>
          <w:lang w:val="en-CA"/>
        </w:rPr>
      </w:pPr>
      <w:r>
        <w:rPr>
          <w:lang w:val="en-CA"/>
        </w:rPr>
        <w:t>Table 1: Prices of the main consumables and products involved.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968"/>
        <w:gridCol w:w="2118"/>
      </w:tblGrid>
      <w:tr w:rsidR="00BB3A9F" w:rsidRPr="00B57B36" w14:paraId="549A9E5A" w14:textId="128252A5" w:rsidTr="00C1526F">
        <w:trPr>
          <w:trHeight w:val="584"/>
        </w:trPr>
        <w:tc>
          <w:tcPr>
            <w:tcW w:w="1843" w:type="dxa"/>
            <w:tcBorders>
              <w:top w:val="single" w:sz="12" w:space="0" w:color="008000"/>
              <w:bottom w:val="single" w:sz="6" w:space="0" w:color="008000"/>
            </w:tcBorders>
            <w:shd w:val="clear" w:color="auto" w:fill="FFFFFF"/>
          </w:tcPr>
          <w:p w14:paraId="0BB9ADFC" w14:textId="35278826" w:rsidR="00BB3A9F" w:rsidRPr="00B57B36" w:rsidRDefault="00BB3A9F" w:rsidP="00FD18AC">
            <w:pPr>
              <w:pStyle w:val="CETBodytext"/>
              <w:jc w:val="left"/>
              <w:rPr>
                <w:lang w:val="en-GB"/>
              </w:rPr>
            </w:pPr>
            <w:r>
              <w:rPr>
                <w:lang w:val="en-GB"/>
              </w:rPr>
              <w:t>Consumable/product</w:t>
            </w:r>
          </w:p>
        </w:tc>
        <w:tc>
          <w:tcPr>
            <w:tcW w:w="1968" w:type="dxa"/>
            <w:tcBorders>
              <w:top w:val="single" w:sz="12" w:space="0" w:color="008000"/>
              <w:bottom w:val="single" w:sz="6" w:space="0" w:color="008000"/>
            </w:tcBorders>
            <w:shd w:val="clear" w:color="auto" w:fill="FFFFFF"/>
          </w:tcPr>
          <w:p w14:paraId="6D5442FC" w14:textId="335DAAD5" w:rsidR="00BB3A9F" w:rsidRPr="00B57B36" w:rsidRDefault="00BB3A9F" w:rsidP="00FD18AC">
            <w:pPr>
              <w:pStyle w:val="CETBodytext"/>
              <w:jc w:val="left"/>
              <w:rPr>
                <w:lang w:val="en-GB"/>
              </w:rPr>
            </w:pPr>
            <w:r>
              <w:rPr>
                <w:lang w:val="en-GB"/>
              </w:rPr>
              <w:t>Price</w:t>
            </w:r>
          </w:p>
        </w:tc>
        <w:tc>
          <w:tcPr>
            <w:tcW w:w="2118" w:type="dxa"/>
            <w:tcBorders>
              <w:top w:val="single" w:sz="12" w:space="0" w:color="008000"/>
              <w:bottom w:val="single" w:sz="6" w:space="0" w:color="008000"/>
            </w:tcBorders>
            <w:shd w:val="clear" w:color="auto" w:fill="FFFFFF"/>
          </w:tcPr>
          <w:p w14:paraId="2CA93A6A" w14:textId="49903706" w:rsidR="00BB3A9F" w:rsidRDefault="00BB3A9F" w:rsidP="00FD18AC">
            <w:pPr>
              <w:pStyle w:val="CETBodytext"/>
              <w:jc w:val="left"/>
              <w:rPr>
                <w:lang w:val="en-GB"/>
              </w:rPr>
            </w:pPr>
            <w:r>
              <w:rPr>
                <w:lang w:val="en-GB"/>
              </w:rPr>
              <w:t>Reference</w:t>
            </w:r>
          </w:p>
        </w:tc>
      </w:tr>
      <w:tr w:rsidR="00BB3A9F" w:rsidRPr="00B57B36" w14:paraId="60C9AB64" w14:textId="7332D05E" w:rsidTr="00C1526F">
        <w:trPr>
          <w:trHeight w:val="292"/>
        </w:trPr>
        <w:tc>
          <w:tcPr>
            <w:tcW w:w="1843" w:type="dxa"/>
            <w:shd w:val="clear" w:color="auto" w:fill="FFFFFF"/>
          </w:tcPr>
          <w:p w14:paraId="4AB9D69C" w14:textId="6A205C77" w:rsidR="00BB3A9F" w:rsidRPr="00BB3A9F" w:rsidRDefault="00BB3A9F" w:rsidP="00FD18AC">
            <w:pPr>
              <w:pStyle w:val="CETBodytext"/>
              <w:jc w:val="left"/>
              <w:rPr>
                <w:lang w:val="en-GB"/>
              </w:rPr>
            </w:pPr>
            <w:r>
              <w:rPr>
                <w:lang w:val="en-GB"/>
              </w:rPr>
              <w:t>Natural gas</w:t>
            </w:r>
          </w:p>
        </w:tc>
        <w:tc>
          <w:tcPr>
            <w:tcW w:w="1968" w:type="dxa"/>
            <w:shd w:val="clear" w:color="auto" w:fill="FFFFFF"/>
          </w:tcPr>
          <w:p w14:paraId="566AF86F" w14:textId="4654B21B" w:rsidR="00BB3A9F" w:rsidRPr="00B57B36" w:rsidRDefault="00373421" w:rsidP="00FD18AC">
            <w:pPr>
              <w:pStyle w:val="CETBodytext"/>
              <w:jc w:val="left"/>
              <w:rPr>
                <w:lang w:val="en-GB"/>
              </w:rPr>
            </w:pPr>
            <w:r>
              <w:rPr>
                <w:lang w:val="en-GB"/>
              </w:rPr>
              <w:t>2.6 $/MMBtu</w:t>
            </w:r>
          </w:p>
        </w:tc>
        <w:tc>
          <w:tcPr>
            <w:tcW w:w="2118" w:type="dxa"/>
            <w:shd w:val="clear" w:color="auto" w:fill="FFFFFF"/>
          </w:tcPr>
          <w:p w14:paraId="7F709A82" w14:textId="218E76E7" w:rsidR="00BB3A9F" w:rsidRPr="00B57B36" w:rsidRDefault="00E04983" w:rsidP="00FD18AC">
            <w:pPr>
              <w:pStyle w:val="CETBodytext"/>
              <w:jc w:val="left"/>
              <w:rPr>
                <w:lang w:val="en-GB"/>
              </w:rPr>
            </w:pPr>
            <w:r w:rsidRPr="00E04983">
              <w:rPr>
                <w:lang w:val="en-GB"/>
              </w:rPr>
              <w:t>Trading Economics, 2023</w:t>
            </w:r>
          </w:p>
        </w:tc>
      </w:tr>
      <w:tr w:rsidR="00BB3A9F" w:rsidRPr="00B57B36" w14:paraId="4AE50F47" w14:textId="1DE470E1" w:rsidTr="00C1526F">
        <w:trPr>
          <w:trHeight w:val="292"/>
        </w:trPr>
        <w:tc>
          <w:tcPr>
            <w:tcW w:w="1843" w:type="dxa"/>
            <w:shd w:val="clear" w:color="auto" w:fill="FFFFFF"/>
          </w:tcPr>
          <w:p w14:paraId="33C0F8D7" w14:textId="0FD821F2" w:rsidR="00BB3A9F" w:rsidRPr="00646E0B" w:rsidRDefault="00BB3A9F" w:rsidP="00FD18AC">
            <w:pPr>
              <w:pStyle w:val="CETBodytext"/>
              <w:jc w:val="left"/>
              <w:rPr>
                <w:lang w:val="en-GB"/>
              </w:rPr>
            </w:pPr>
            <w:r>
              <w:rPr>
                <w:lang w:val="en-GB"/>
              </w:rPr>
              <w:t>Carbon black</w:t>
            </w:r>
          </w:p>
        </w:tc>
        <w:tc>
          <w:tcPr>
            <w:tcW w:w="1968" w:type="dxa"/>
            <w:shd w:val="clear" w:color="auto" w:fill="FFFFFF"/>
          </w:tcPr>
          <w:p w14:paraId="0D171DF6" w14:textId="401AFE27" w:rsidR="00BB3A9F" w:rsidRPr="00B57B36" w:rsidRDefault="00373421" w:rsidP="00FD18AC">
            <w:pPr>
              <w:pStyle w:val="CETBodytext"/>
              <w:jc w:val="left"/>
              <w:rPr>
                <w:lang w:val="en-GB"/>
              </w:rPr>
            </w:pPr>
            <w:r>
              <w:rPr>
                <w:lang w:val="en-GB"/>
              </w:rPr>
              <w:t>586.74 $/t</w:t>
            </w:r>
          </w:p>
        </w:tc>
        <w:tc>
          <w:tcPr>
            <w:tcW w:w="2118" w:type="dxa"/>
            <w:shd w:val="clear" w:color="auto" w:fill="FFFFFF"/>
          </w:tcPr>
          <w:p w14:paraId="5FCB20C2" w14:textId="69FDF9A0" w:rsidR="00BB3A9F" w:rsidRDefault="00E04983" w:rsidP="00FD18AC">
            <w:pPr>
              <w:pStyle w:val="CETBodytext"/>
              <w:jc w:val="left"/>
              <w:rPr>
                <w:lang w:val="en-GB"/>
              </w:rPr>
            </w:pPr>
            <w:r w:rsidRPr="00E04983">
              <w:rPr>
                <w:lang w:val="en-GB"/>
              </w:rPr>
              <w:t>YCharts, 2023</w:t>
            </w:r>
          </w:p>
        </w:tc>
      </w:tr>
      <w:tr w:rsidR="00BB3A9F" w:rsidRPr="00B57B36" w14:paraId="64D7503A" w14:textId="0EB49516" w:rsidTr="00C1526F">
        <w:trPr>
          <w:trHeight w:val="292"/>
        </w:trPr>
        <w:tc>
          <w:tcPr>
            <w:tcW w:w="1843" w:type="dxa"/>
            <w:shd w:val="clear" w:color="auto" w:fill="FFFFFF"/>
          </w:tcPr>
          <w:p w14:paraId="5087F760" w14:textId="48FCEAC1" w:rsidR="00BB3A9F" w:rsidRPr="00646E0B" w:rsidRDefault="00BB3A9F" w:rsidP="00FD18AC">
            <w:pPr>
              <w:pStyle w:val="CETBodytext"/>
              <w:jc w:val="left"/>
              <w:rPr>
                <w:lang w:val="en-GB"/>
              </w:rPr>
            </w:pPr>
            <w:r>
              <w:rPr>
                <w:lang w:val="en-GB"/>
              </w:rPr>
              <w:t>Electricity</w:t>
            </w:r>
          </w:p>
        </w:tc>
        <w:tc>
          <w:tcPr>
            <w:tcW w:w="1968" w:type="dxa"/>
            <w:shd w:val="clear" w:color="auto" w:fill="FFFFFF"/>
          </w:tcPr>
          <w:p w14:paraId="0B29FCE3" w14:textId="48E3D6BA" w:rsidR="00BB3A9F" w:rsidRPr="00B57B36" w:rsidRDefault="00E04983" w:rsidP="00FD18AC">
            <w:pPr>
              <w:pStyle w:val="CETBodytext"/>
              <w:jc w:val="left"/>
              <w:rPr>
                <w:lang w:val="en-GB"/>
              </w:rPr>
            </w:pPr>
            <w:r>
              <w:rPr>
                <w:lang w:val="en-GB"/>
              </w:rPr>
              <w:t>0.094 $/kWh</w:t>
            </w:r>
          </w:p>
        </w:tc>
        <w:tc>
          <w:tcPr>
            <w:tcW w:w="2118" w:type="dxa"/>
            <w:shd w:val="clear" w:color="auto" w:fill="FFFFFF"/>
          </w:tcPr>
          <w:p w14:paraId="40C821F7" w14:textId="0847121D" w:rsidR="00BB3A9F" w:rsidRDefault="00E04983" w:rsidP="00FD18AC">
            <w:pPr>
              <w:pStyle w:val="CETBodytext"/>
              <w:jc w:val="left"/>
              <w:rPr>
                <w:lang w:val="en-GB"/>
              </w:rPr>
            </w:pPr>
            <w:r w:rsidRPr="00E04983">
              <w:rPr>
                <w:lang w:val="en-GB"/>
              </w:rPr>
              <w:t>Global Petrol Prices, 2022</w:t>
            </w:r>
          </w:p>
        </w:tc>
      </w:tr>
      <w:tr w:rsidR="00BB3A9F" w:rsidRPr="00B57B36" w14:paraId="63FC388F" w14:textId="58CBEAAE" w:rsidTr="00C1526F">
        <w:trPr>
          <w:trHeight w:val="292"/>
        </w:trPr>
        <w:tc>
          <w:tcPr>
            <w:tcW w:w="1843" w:type="dxa"/>
            <w:shd w:val="clear" w:color="auto" w:fill="FFFFFF"/>
          </w:tcPr>
          <w:p w14:paraId="332DB104" w14:textId="1D4D467D" w:rsidR="00BB3A9F" w:rsidRPr="00BB3A9F" w:rsidRDefault="00BB3A9F" w:rsidP="00FD18AC">
            <w:pPr>
              <w:pStyle w:val="CETBodytext"/>
              <w:jc w:val="left"/>
              <w:rPr>
                <w:lang w:val="en-GB"/>
              </w:rPr>
            </w:pPr>
            <w:r>
              <w:rPr>
                <w:lang w:val="en-GB"/>
              </w:rPr>
              <w:t>Turquoise H</w:t>
            </w:r>
            <w:r>
              <w:rPr>
                <w:vertAlign w:val="subscript"/>
                <w:lang w:val="en-GB"/>
              </w:rPr>
              <w:t>2</w:t>
            </w:r>
          </w:p>
        </w:tc>
        <w:tc>
          <w:tcPr>
            <w:tcW w:w="1968" w:type="dxa"/>
            <w:shd w:val="clear" w:color="auto" w:fill="FFFFFF"/>
          </w:tcPr>
          <w:p w14:paraId="7AECA829" w14:textId="428A2082" w:rsidR="00BB3A9F" w:rsidRPr="00B57B36" w:rsidRDefault="00E04983" w:rsidP="00FD18AC">
            <w:pPr>
              <w:pStyle w:val="CETBodytext"/>
              <w:jc w:val="left"/>
              <w:rPr>
                <w:lang w:val="en-GB"/>
              </w:rPr>
            </w:pPr>
            <w:r>
              <w:rPr>
                <w:lang w:val="en-GB"/>
              </w:rPr>
              <w:t>2 $/kg</w:t>
            </w:r>
          </w:p>
        </w:tc>
        <w:tc>
          <w:tcPr>
            <w:tcW w:w="2118" w:type="dxa"/>
            <w:shd w:val="clear" w:color="auto" w:fill="FFFFFF"/>
          </w:tcPr>
          <w:p w14:paraId="21F6E8E8" w14:textId="298E945D" w:rsidR="00BB3A9F" w:rsidRDefault="00E04983" w:rsidP="00FD18AC">
            <w:pPr>
              <w:pStyle w:val="CETBodytext"/>
              <w:jc w:val="left"/>
              <w:rPr>
                <w:lang w:val="en-GB"/>
              </w:rPr>
            </w:pPr>
            <w:r w:rsidRPr="00E04983">
              <w:rPr>
                <w:lang w:val="en-GB"/>
              </w:rPr>
              <w:t>Bulletin of the Atomic Scientists, 2022</w:t>
            </w:r>
          </w:p>
        </w:tc>
      </w:tr>
    </w:tbl>
    <w:p w14:paraId="211E5928" w14:textId="3E2C09FC" w:rsidR="00A96990" w:rsidRDefault="00A96990" w:rsidP="00A96990">
      <w:pPr>
        <w:pStyle w:val="CETBodytext"/>
        <w:rPr>
          <w:lang w:val="en-CA"/>
        </w:rPr>
      </w:pPr>
    </w:p>
    <w:p w14:paraId="51A4406B" w14:textId="05C6886F" w:rsidR="00046E8D" w:rsidRPr="00D73270" w:rsidRDefault="00046E8D" w:rsidP="00046E8D">
      <w:pPr>
        <w:pStyle w:val="CETBodytext"/>
        <w:rPr>
          <w:lang w:val="en-CA"/>
        </w:rPr>
      </w:pPr>
      <w:r w:rsidRPr="00A96990">
        <w:rPr>
          <w:lang w:val="en-CA"/>
        </w:rPr>
        <w:t xml:space="preserve">The metric </w:t>
      </w:r>
      <w:r>
        <w:rPr>
          <w:lang w:val="en-CA"/>
        </w:rPr>
        <w:t xml:space="preserve">considered for </w:t>
      </w:r>
      <w:r w:rsidRPr="00A96990">
        <w:rPr>
          <w:lang w:val="en-CA"/>
        </w:rPr>
        <w:t xml:space="preserve">environmental impact is carbon intensity, </w:t>
      </w:r>
      <w:r w:rsidR="006C605F">
        <w:rPr>
          <w:lang w:val="en-CA"/>
        </w:rPr>
        <w:t xml:space="preserve">i.e. </w:t>
      </w:r>
      <w:r w:rsidRPr="00A96990">
        <w:rPr>
          <w:lang w:val="en-CA"/>
        </w:rPr>
        <w:t xml:space="preserve">how much carbon dioxide emissions the specific technology </w:t>
      </w:r>
      <w:r>
        <w:rPr>
          <w:lang w:val="en-CA"/>
        </w:rPr>
        <w:t>produces</w:t>
      </w:r>
      <w:r w:rsidRPr="00A96990">
        <w:rPr>
          <w:lang w:val="en-CA"/>
        </w:rPr>
        <w:t xml:space="preserve">. </w:t>
      </w:r>
      <w:r>
        <w:rPr>
          <w:lang w:val="en-CA"/>
        </w:rPr>
        <w:t>CO</w:t>
      </w:r>
      <w:r>
        <w:rPr>
          <w:vertAlign w:val="subscript"/>
          <w:lang w:val="en-CA"/>
        </w:rPr>
        <w:t>2</w:t>
      </w:r>
      <w:r>
        <w:rPr>
          <w:lang w:val="en-CA"/>
        </w:rPr>
        <w:t xml:space="preserve"> emissions not only represent an environmental </w:t>
      </w:r>
      <w:r w:rsidR="006C605F">
        <w:rPr>
          <w:lang w:val="en-CA"/>
        </w:rPr>
        <w:t>issue,</w:t>
      </w:r>
      <w:r>
        <w:rPr>
          <w:lang w:val="en-CA"/>
        </w:rPr>
        <w:t xml:space="preserve"> but it has an impact on the economics of the process provided that </w:t>
      </w:r>
      <w:r w:rsidRPr="00D73270">
        <w:rPr>
          <w:lang w:val="en-CA"/>
        </w:rPr>
        <w:t>Canada has raised the federal carbon tax to 50 $</w:t>
      </w:r>
      <w:r>
        <w:rPr>
          <w:lang w:val="en-CA"/>
        </w:rPr>
        <w:t>/t</w:t>
      </w:r>
      <w:r>
        <w:rPr>
          <w:vertAlign w:val="superscript"/>
          <w:lang w:val="en-CA"/>
        </w:rPr>
        <w:t xml:space="preserve"> </w:t>
      </w:r>
      <w:r w:rsidRPr="00D73270">
        <w:rPr>
          <w:lang w:val="en-CA"/>
        </w:rPr>
        <w:t>of CO</w:t>
      </w:r>
      <w:r w:rsidRPr="00D73270">
        <w:rPr>
          <w:vertAlign w:val="subscript"/>
          <w:lang w:val="en-CA"/>
        </w:rPr>
        <w:t>2</w:t>
      </w:r>
      <w:r w:rsidRPr="00D73270">
        <w:rPr>
          <w:lang w:val="en-CA"/>
        </w:rPr>
        <w:t xml:space="preserve"> as of April 1</w:t>
      </w:r>
      <w:r w:rsidRPr="00D73270">
        <w:rPr>
          <w:vertAlign w:val="superscript"/>
          <w:lang w:val="en-CA"/>
        </w:rPr>
        <w:t>st</w:t>
      </w:r>
      <w:r w:rsidRPr="00D73270">
        <w:rPr>
          <w:lang w:val="en-CA"/>
        </w:rPr>
        <w:t>, 2022</w:t>
      </w:r>
      <w:r>
        <w:rPr>
          <w:lang w:val="en-CA"/>
        </w:rPr>
        <w:t xml:space="preserve"> (Government of Canada, 2022).</w:t>
      </w:r>
    </w:p>
    <w:p w14:paraId="25481A05" w14:textId="77777777" w:rsidR="00046E8D" w:rsidRDefault="00046E8D" w:rsidP="00046E8D">
      <w:pPr>
        <w:pStyle w:val="CETBodytext"/>
      </w:pPr>
      <w:r>
        <w:t>For what concerns natural gas feed inlet, this was set by considering the average volume of gas in m</w:t>
      </w:r>
      <w:r w:rsidRPr="006515BF">
        <w:rPr>
          <w:vertAlign w:val="superscript"/>
        </w:rPr>
        <w:t>3</w:t>
      </w:r>
      <w:r>
        <w:t xml:space="preserve"> either flared or vented daily in Alberta (Alberta Energy Regulator, 2021), corresponding to 30 kmol/h. Its temperature was set equal to 130 °C and its pressure to 1 bar, which, according to field operators, are the average conditions at which the gas exits from the three-phase separator at the extraction site. Last, the composition of natural gas was set according to the Albertian average (Kidnay &amp; Parrish, 2006) (Table 2).</w:t>
      </w:r>
    </w:p>
    <w:p w14:paraId="45E5CE6C" w14:textId="6055B4B7" w:rsidR="00646E0B" w:rsidRDefault="00646E0B" w:rsidP="00FD18AC">
      <w:pPr>
        <w:pStyle w:val="CETTabletitle"/>
      </w:pPr>
      <w:r>
        <w:t xml:space="preserve">Table </w:t>
      </w:r>
      <w:r w:rsidR="00405FB9">
        <w:t>2</w:t>
      </w:r>
      <w:r>
        <w:t>: Average natural gas composition in the Alberta province (Kidnay &amp; Parrish, 2006).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93"/>
        <w:gridCol w:w="2118"/>
      </w:tblGrid>
      <w:tr w:rsidR="00646E0B" w:rsidRPr="00B57B36" w14:paraId="23A679DB" w14:textId="77777777" w:rsidTr="00FD18AC">
        <w:trPr>
          <w:trHeight w:val="584"/>
        </w:trPr>
        <w:tc>
          <w:tcPr>
            <w:tcW w:w="1693" w:type="dxa"/>
            <w:tcBorders>
              <w:top w:val="single" w:sz="12" w:space="0" w:color="008000"/>
              <w:bottom w:val="single" w:sz="6" w:space="0" w:color="008000"/>
            </w:tcBorders>
            <w:shd w:val="clear" w:color="auto" w:fill="FFFFFF"/>
          </w:tcPr>
          <w:p w14:paraId="2CFE6379" w14:textId="4AC32A90" w:rsidR="00646E0B" w:rsidRPr="00B57B36" w:rsidRDefault="00646E0B" w:rsidP="00FD18AC">
            <w:pPr>
              <w:pStyle w:val="CETBodytext"/>
              <w:jc w:val="left"/>
              <w:rPr>
                <w:lang w:val="en-GB"/>
              </w:rPr>
            </w:pPr>
            <w:r>
              <w:rPr>
                <w:lang w:val="en-GB"/>
              </w:rPr>
              <w:t>Compound</w:t>
            </w:r>
          </w:p>
        </w:tc>
        <w:tc>
          <w:tcPr>
            <w:tcW w:w="2118" w:type="dxa"/>
            <w:tcBorders>
              <w:top w:val="single" w:sz="12" w:space="0" w:color="008000"/>
              <w:bottom w:val="single" w:sz="6" w:space="0" w:color="008000"/>
            </w:tcBorders>
            <w:shd w:val="clear" w:color="auto" w:fill="FFFFFF"/>
          </w:tcPr>
          <w:p w14:paraId="363AE1DD" w14:textId="0CA16695" w:rsidR="00646E0B" w:rsidRPr="00B57B36" w:rsidRDefault="00646E0B" w:rsidP="00FD18AC">
            <w:pPr>
              <w:pStyle w:val="CETBodytext"/>
              <w:jc w:val="left"/>
              <w:rPr>
                <w:lang w:val="en-GB"/>
              </w:rPr>
            </w:pPr>
            <w:r>
              <w:rPr>
                <w:lang w:val="en-GB"/>
              </w:rPr>
              <w:t>Molar fraction [% mol]</w:t>
            </w:r>
          </w:p>
        </w:tc>
      </w:tr>
      <w:tr w:rsidR="00646E0B" w:rsidRPr="00B57B36" w14:paraId="64CF3407" w14:textId="77777777" w:rsidTr="00FD18AC">
        <w:trPr>
          <w:trHeight w:val="292"/>
        </w:trPr>
        <w:tc>
          <w:tcPr>
            <w:tcW w:w="1693" w:type="dxa"/>
            <w:shd w:val="clear" w:color="auto" w:fill="FFFFFF"/>
          </w:tcPr>
          <w:p w14:paraId="367806D2" w14:textId="23A3E760" w:rsidR="00646E0B" w:rsidRPr="00646E0B" w:rsidRDefault="00646E0B" w:rsidP="00FD18AC">
            <w:pPr>
              <w:pStyle w:val="CETBodytext"/>
              <w:jc w:val="left"/>
              <w:rPr>
                <w:i/>
                <w:lang w:val="en-GB"/>
              </w:rPr>
            </w:pPr>
            <w:r w:rsidRPr="00646E0B">
              <w:rPr>
                <w:i/>
                <w:lang w:val="en-GB"/>
              </w:rPr>
              <w:t>Hydrocarbons</w:t>
            </w:r>
          </w:p>
        </w:tc>
        <w:tc>
          <w:tcPr>
            <w:tcW w:w="2118" w:type="dxa"/>
            <w:shd w:val="clear" w:color="auto" w:fill="FFFFFF"/>
          </w:tcPr>
          <w:p w14:paraId="35AA641B" w14:textId="77777777" w:rsidR="00646E0B" w:rsidRPr="00B57B36" w:rsidRDefault="00646E0B" w:rsidP="00FD18AC">
            <w:pPr>
              <w:pStyle w:val="CETBodytext"/>
              <w:jc w:val="left"/>
              <w:rPr>
                <w:lang w:val="en-GB"/>
              </w:rPr>
            </w:pPr>
          </w:p>
        </w:tc>
      </w:tr>
      <w:tr w:rsidR="00646E0B" w:rsidRPr="00B57B36" w14:paraId="7113F11E" w14:textId="77777777" w:rsidTr="00FD18AC">
        <w:trPr>
          <w:trHeight w:val="292"/>
        </w:trPr>
        <w:tc>
          <w:tcPr>
            <w:tcW w:w="1693" w:type="dxa"/>
            <w:shd w:val="clear" w:color="auto" w:fill="FFFFFF"/>
          </w:tcPr>
          <w:p w14:paraId="449D7B02" w14:textId="2AEF6F4E" w:rsidR="00646E0B" w:rsidRPr="00646E0B" w:rsidRDefault="00646E0B" w:rsidP="00FD18AC">
            <w:pPr>
              <w:pStyle w:val="CETBodytext"/>
              <w:jc w:val="left"/>
              <w:rPr>
                <w:lang w:val="en-GB"/>
              </w:rPr>
            </w:pPr>
            <w:r>
              <w:rPr>
                <w:lang w:val="en-GB"/>
              </w:rPr>
              <w:t>Methane (CH</w:t>
            </w:r>
            <w:r>
              <w:rPr>
                <w:vertAlign w:val="subscript"/>
                <w:lang w:val="en-GB"/>
              </w:rPr>
              <w:t>4</w:t>
            </w:r>
            <w:r>
              <w:rPr>
                <w:lang w:val="en-GB"/>
              </w:rPr>
              <w:t>)</w:t>
            </w:r>
          </w:p>
        </w:tc>
        <w:tc>
          <w:tcPr>
            <w:tcW w:w="2118" w:type="dxa"/>
            <w:shd w:val="clear" w:color="auto" w:fill="FFFFFF"/>
          </w:tcPr>
          <w:p w14:paraId="6884DB42" w14:textId="2D11BAE2" w:rsidR="00646E0B" w:rsidRPr="00B57B36" w:rsidRDefault="006D28C7" w:rsidP="00FD18AC">
            <w:pPr>
              <w:pStyle w:val="CETBodytext"/>
              <w:jc w:val="left"/>
              <w:rPr>
                <w:lang w:val="en-GB"/>
              </w:rPr>
            </w:pPr>
            <w:r>
              <w:rPr>
                <w:lang w:val="en-GB"/>
              </w:rPr>
              <w:t>80.4</w:t>
            </w:r>
          </w:p>
        </w:tc>
      </w:tr>
      <w:tr w:rsidR="00646E0B" w:rsidRPr="00B57B36" w14:paraId="61A0D4C2" w14:textId="77777777" w:rsidTr="00FD18AC">
        <w:trPr>
          <w:trHeight w:val="292"/>
        </w:trPr>
        <w:tc>
          <w:tcPr>
            <w:tcW w:w="1693" w:type="dxa"/>
            <w:shd w:val="clear" w:color="auto" w:fill="FFFFFF"/>
          </w:tcPr>
          <w:p w14:paraId="0F531622" w14:textId="69E468BC" w:rsidR="00646E0B" w:rsidRPr="00646E0B" w:rsidRDefault="00646E0B" w:rsidP="00FD18AC">
            <w:pPr>
              <w:pStyle w:val="CETBodytext"/>
              <w:jc w:val="left"/>
              <w:rPr>
                <w:lang w:val="en-GB"/>
              </w:rPr>
            </w:pPr>
            <w:r>
              <w:rPr>
                <w:lang w:val="en-GB"/>
              </w:rPr>
              <w:t>Ethane (C</w:t>
            </w:r>
            <w:r>
              <w:rPr>
                <w:vertAlign w:val="subscript"/>
                <w:lang w:val="en-GB"/>
              </w:rPr>
              <w:t>2</w:t>
            </w:r>
            <w:r>
              <w:rPr>
                <w:lang w:val="en-GB"/>
              </w:rPr>
              <w:t>H</w:t>
            </w:r>
            <w:r>
              <w:rPr>
                <w:vertAlign w:val="subscript"/>
                <w:lang w:val="en-GB"/>
              </w:rPr>
              <w:t>6</w:t>
            </w:r>
            <w:r>
              <w:rPr>
                <w:lang w:val="en-GB"/>
              </w:rPr>
              <w:t>)</w:t>
            </w:r>
          </w:p>
        </w:tc>
        <w:tc>
          <w:tcPr>
            <w:tcW w:w="2118" w:type="dxa"/>
            <w:shd w:val="clear" w:color="auto" w:fill="FFFFFF"/>
          </w:tcPr>
          <w:p w14:paraId="0184E063" w14:textId="62062A9F" w:rsidR="00646E0B" w:rsidRPr="00B57B36" w:rsidRDefault="00646E0B" w:rsidP="00FD18AC">
            <w:pPr>
              <w:pStyle w:val="CETBodytext"/>
              <w:jc w:val="left"/>
              <w:rPr>
                <w:lang w:val="en-GB"/>
              </w:rPr>
            </w:pPr>
            <w:r>
              <w:rPr>
                <w:lang w:val="en-GB"/>
              </w:rPr>
              <w:t>6.6</w:t>
            </w:r>
          </w:p>
        </w:tc>
      </w:tr>
      <w:tr w:rsidR="00646E0B" w:rsidRPr="00B57B36" w14:paraId="0D79AF40" w14:textId="77777777" w:rsidTr="00FD18AC">
        <w:trPr>
          <w:trHeight w:val="292"/>
        </w:trPr>
        <w:tc>
          <w:tcPr>
            <w:tcW w:w="1693" w:type="dxa"/>
            <w:shd w:val="clear" w:color="auto" w:fill="FFFFFF"/>
          </w:tcPr>
          <w:p w14:paraId="1C466736" w14:textId="24187D12" w:rsidR="00646E0B" w:rsidRPr="00646E0B" w:rsidRDefault="00646E0B" w:rsidP="00FD18AC">
            <w:pPr>
              <w:pStyle w:val="CETBodytext"/>
              <w:jc w:val="left"/>
              <w:rPr>
                <w:lang w:val="en-GB"/>
              </w:rPr>
            </w:pPr>
            <w:r>
              <w:rPr>
                <w:lang w:val="en-GB"/>
              </w:rPr>
              <w:t>Propane (C</w:t>
            </w:r>
            <w:r>
              <w:rPr>
                <w:vertAlign w:val="subscript"/>
                <w:lang w:val="en-GB"/>
              </w:rPr>
              <w:t>3</w:t>
            </w:r>
            <w:r>
              <w:rPr>
                <w:lang w:val="en-GB"/>
              </w:rPr>
              <w:t>H</w:t>
            </w:r>
            <w:r>
              <w:rPr>
                <w:vertAlign w:val="subscript"/>
                <w:lang w:val="en-GB"/>
              </w:rPr>
              <w:t>8</w:t>
            </w:r>
            <w:r>
              <w:rPr>
                <w:lang w:val="en-GB"/>
              </w:rPr>
              <w:t>)</w:t>
            </w:r>
          </w:p>
        </w:tc>
        <w:tc>
          <w:tcPr>
            <w:tcW w:w="2118" w:type="dxa"/>
            <w:shd w:val="clear" w:color="auto" w:fill="FFFFFF"/>
          </w:tcPr>
          <w:p w14:paraId="53F2321F" w14:textId="61679A1E" w:rsidR="00646E0B" w:rsidRPr="00B57B36" w:rsidRDefault="00646E0B" w:rsidP="00FD18AC">
            <w:pPr>
              <w:pStyle w:val="CETBodytext"/>
              <w:jc w:val="left"/>
              <w:rPr>
                <w:lang w:val="en-GB"/>
              </w:rPr>
            </w:pPr>
            <w:r>
              <w:rPr>
                <w:lang w:val="en-GB"/>
              </w:rPr>
              <w:t>3.1</w:t>
            </w:r>
          </w:p>
        </w:tc>
      </w:tr>
      <w:tr w:rsidR="00646E0B" w:rsidRPr="00B57B36" w14:paraId="39350D0D" w14:textId="77777777" w:rsidTr="00FD18AC">
        <w:trPr>
          <w:trHeight w:val="271"/>
        </w:trPr>
        <w:tc>
          <w:tcPr>
            <w:tcW w:w="1693" w:type="dxa"/>
            <w:shd w:val="clear" w:color="auto" w:fill="FFFFFF"/>
          </w:tcPr>
          <w:p w14:paraId="25160536" w14:textId="079DB757" w:rsidR="00646E0B" w:rsidRPr="00646E0B" w:rsidRDefault="00646E0B" w:rsidP="00FD18AC">
            <w:pPr>
              <w:pStyle w:val="CETBodytext"/>
              <w:ind w:right="-1"/>
              <w:jc w:val="left"/>
              <w:rPr>
                <w:rFonts w:cs="Arial"/>
                <w:szCs w:val="18"/>
                <w:lang w:val="en-GB"/>
              </w:rPr>
            </w:pPr>
            <w:r>
              <w:rPr>
                <w:rFonts w:cs="Arial"/>
                <w:szCs w:val="18"/>
                <w:lang w:val="en-GB"/>
              </w:rPr>
              <w:t>C</w:t>
            </w:r>
            <w:r>
              <w:rPr>
                <w:rFonts w:cs="Arial"/>
                <w:szCs w:val="18"/>
                <w:vertAlign w:val="subscript"/>
                <w:lang w:val="en-GB"/>
              </w:rPr>
              <w:t>4</w:t>
            </w:r>
            <w:r>
              <w:rPr>
                <w:rFonts w:cs="Arial"/>
                <w:szCs w:val="18"/>
                <w:lang w:val="en-GB"/>
              </w:rPr>
              <w:t xml:space="preserve"> (n-Butane and iso-Butane)</w:t>
            </w:r>
          </w:p>
        </w:tc>
        <w:tc>
          <w:tcPr>
            <w:tcW w:w="2118" w:type="dxa"/>
            <w:shd w:val="clear" w:color="auto" w:fill="FFFFFF"/>
          </w:tcPr>
          <w:p w14:paraId="58D29F17" w14:textId="5E9055FA" w:rsidR="00646E0B" w:rsidRPr="00B57B36" w:rsidRDefault="00646E0B" w:rsidP="00FD18AC">
            <w:pPr>
              <w:pStyle w:val="CETBodytext"/>
              <w:ind w:right="-1"/>
              <w:jc w:val="left"/>
              <w:rPr>
                <w:rFonts w:cs="Arial"/>
                <w:szCs w:val="18"/>
                <w:lang w:val="en-GB"/>
              </w:rPr>
            </w:pPr>
            <w:r>
              <w:rPr>
                <w:rFonts w:cs="Arial"/>
                <w:szCs w:val="18"/>
                <w:lang w:val="en-GB"/>
              </w:rPr>
              <w:t>2</w:t>
            </w:r>
          </w:p>
        </w:tc>
      </w:tr>
      <w:tr w:rsidR="00646E0B" w:rsidRPr="00B57B36" w14:paraId="64A22208" w14:textId="77777777" w:rsidTr="00FD18AC">
        <w:trPr>
          <w:trHeight w:val="271"/>
        </w:trPr>
        <w:tc>
          <w:tcPr>
            <w:tcW w:w="1693" w:type="dxa"/>
            <w:shd w:val="clear" w:color="auto" w:fill="FFFFFF"/>
          </w:tcPr>
          <w:p w14:paraId="14745579" w14:textId="67F69690" w:rsidR="00646E0B" w:rsidRDefault="00646E0B" w:rsidP="00FD18AC">
            <w:pPr>
              <w:pStyle w:val="CETBodytext"/>
              <w:ind w:right="-1"/>
              <w:jc w:val="left"/>
              <w:rPr>
                <w:rFonts w:cs="Arial"/>
                <w:szCs w:val="18"/>
                <w:lang w:val="en-GB"/>
              </w:rPr>
            </w:pPr>
            <w:r>
              <w:rPr>
                <w:rFonts w:cs="Arial"/>
                <w:szCs w:val="18"/>
                <w:lang w:val="en-GB"/>
              </w:rPr>
              <w:t>C</w:t>
            </w:r>
            <w:r>
              <w:rPr>
                <w:rFonts w:cs="Arial"/>
                <w:szCs w:val="18"/>
                <w:vertAlign w:val="subscript"/>
                <w:lang w:val="en-GB"/>
              </w:rPr>
              <w:t>5</w:t>
            </w:r>
            <w:r>
              <w:rPr>
                <w:rFonts w:cs="Arial"/>
                <w:szCs w:val="18"/>
                <w:lang w:val="en-GB"/>
              </w:rPr>
              <w:t>+</w:t>
            </w:r>
          </w:p>
        </w:tc>
        <w:tc>
          <w:tcPr>
            <w:tcW w:w="2118" w:type="dxa"/>
            <w:shd w:val="clear" w:color="auto" w:fill="FFFFFF"/>
          </w:tcPr>
          <w:p w14:paraId="4DFFAD24" w14:textId="623F32EE" w:rsidR="00646E0B" w:rsidRPr="00B57B36" w:rsidRDefault="00646E0B" w:rsidP="00FD18AC">
            <w:pPr>
              <w:pStyle w:val="CETBodytext"/>
              <w:ind w:right="-1"/>
              <w:jc w:val="left"/>
              <w:rPr>
                <w:rFonts w:cs="Arial"/>
                <w:szCs w:val="18"/>
                <w:lang w:val="en-GB"/>
              </w:rPr>
            </w:pPr>
            <w:r>
              <w:rPr>
                <w:rFonts w:cs="Arial"/>
                <w:szCs w:val="18"/>
                <w:lang w:val="en-GB"/>
              </w:rPr>
              <w:t>3</w:t>
            </w:r>
          </w:p>
        </w:tc>
      </w:tr>
      <w:tr w:rsidR="00646E0B" w:rsidRPr="00B57B36" w14:paraId="451B8B56" w14:textId="77777777" w:rsidTr="00FD18AC">
        <w:trPr>
          <w:trHeight w:val="271"/>
        </w:trPr>
        <w:tc>
          <w:tcPr>
            <w:tcW w:w="1693" w:type="dxa"/>
            <w:shd w:val="clear" w:color="auto" w:fill="FFFFFF"/>
          </w:tcPr>
          <w:p w14:paraId="12023497" w14:textId="3172B732" w:rsidR="00646E0B" w:rsidRPr="00646E0B" w:rsidRDefault="00646E0B" w:rsidP="00FD18AC">
            <w:pPr>
              <w:pStyle w:val="CETBodytext"/>
              <w:ind w:right="-1"/>
              <w:jc w:val="left"/>
              <w:rPr>
                <w:rFonts w:cs="Arial"/>
                <w:szCs w:val="18"/>
                <w:lang w:val="en-GB"/>
              </w:rPr>
            </w:pPr>
            <w:r>
              <w:rPr>
                <w:i/>
                <w:lang w:val="en-GB"/>
              </w:rPr>
              <w:t>Non-</w:t>
            </w:r>
            <w:r w:rsidRPr="00646E0B">
              <w:rPr>
                <w:i/>
                <w:lang w:val="en-GB"/>
              </w:rPr>
              <w:t>Hydrocarbons</w:t>
            </w:r>
          </w:p>
        </w:tc>
        <w:tc>
          <w:tcPr>
            <w:tcW w:w="2118" w:type="dxa"/>
            <w:shd w:val="clear" w:color="auto" w:fill="FFFFFF"/>
          </w:tcPr>
          <w:p w14:paraId="79A8358E" w14:textId="77777777" w:rsidR="00646E0B" w:rsidRPr="00B57B36" w:rsidRDefault="00646E0B" w:rsidP="00FD18AC">
            <w:pPr>
              <w:pStyle w:val="CETBodytext"/>
              <w:ind w:right="-1"/>
              <w:jc w:val="left"/>
              <w:rPr>
                <w:rFonts w:cs="Arial"/>
                <w:szCs w:val="18"/>
                <w:lang w:val="en-GB"/>
              </w:rPr>
            </w:pPr>
          </w:p>
        </w:tc>
      </w:tr>
      <w:tr w:rsidR="00646E0B" w:rsidRPr="00B57B36" w14:paraId="19AFB75A" w14:textId="77777777" w:rsidTr="00FD18AC">
        <w:trPr>
          <w:trHeight w:val="271"/>
        </w:trPr>
        <w:tc>
          <w:tcPr>
            <w:tcW w:w="1693" w:type="dxa"/>
            <w:shd w:val="clear" w:color="auto" w:fill="FFFFFF"/>
          </w:tcPr>
          <w:p w14:paraId="74C14C34" w14:textId="7F387260" w:rsidR="00646E0B" w:rsidRPr="00646E0B" w:rsidRDefault="00646E0B" w:rsidP="00FD18AC">
            <w:pPr>
              <w:pStyle w:val="CETBodytext"/>
              <w:ind w:right="-1"/>
              <w:jc w:val="left"/>
              <w:rPr>
                <w:rFonts w:cs="Arial"/>
                <w:szCs w:val="18"/>
                <w:lang w:val="en-GB"/>
              </w:rPr>
            </w:pPr>
            <w:r>
              <w:rPr>
                <w:rFonts w:cs="Arial"/>
                <w:szCs w:val="18"/>
                <w:lang w:val="en-GB"/>
              </w:rPr>
              <w:t>N</w:t>
            </w:r>
            <w:r>
              <w:rPr>
                <w:rFonts w:cs="Arial"/>
                <w:szCs w:val="18"/>
                <w:vertAlign w:val="subscript"/>
                <w:lang w:val="en-GB"/>
              </w:rPr>
              <w:t>2</w:t>
            </w:r>
          </w:p>
        </w:tc>
        <w:tc>
          <w:tcPr>
            <w:tcW w:w="2118" w:type="dxa"/>
            <w:shd w:val="clear" w:color="auto" w:fill="FFFFFF"/>
          </w:tcPr>
          <w:p w14:paraId="36955376" w14:textId="32918F59" w:rsidR="00646E0B" w:rsidRPr="00B57B36" w:rsidRDefault="00646E0B" w:rsidP="00FD18AC">
            <w:pPr>
              <w:pStyle w:val="CETBodytext"/>
              <w:ind w:right="-1"/>
              <w:jc w:val="left"/>
              <w:rPr>
                <w:rFonts w:cs="Arial"/>
                <w:szCs w:val="18"/>
                <w:lang w:val="en-GB"/>
              </w:rPr>
            </w:pPr>
            <w:r>
              <w:rPr>
                <w:rFonts w:cs="Arial"/>
                <w:szCs w:val="18"/>
                <w:lang w:val="en-GB"/>
              </w:rPr>
              <w:t>3.2</w:t>
            </w:r>
          </w:p>
        </w:tc>
      </w:tr>
      <w:tr w:rsidR="00646E0B" w:rsidRPr="00B57B36" w14:paraId="72897605" w14:textId="77777777" w:rsidTr="00FD18AC">
        <w:trPr>
          <w:trHeight w:val="271"/>
        </w:trPr>
        <w:tc>
          <w:tcPr>
            <w:tcW w:w="1693" w:type="dxa"/>
            <w:shd w:val="clear" w:color="auto" w:fill="FFFFFF"/>
          </w:tcPr>
          <w:p w14:paraId="2421FC06" w14:textId="3501BB4C" w:rsidR="00646E0B" w:rsidRPr="00646E0B" w:rsidRDefault="00646E0B" w:rsidP="00FD18AC">
            <w:pPr>
              <w:pStyle w:val="CETBodytext"/>
              <w:ind w:right="-1"/>
              <w:jc w:val="left"/>
              <w:rPr>
                <w:rFonts w:cs="Arial"/>
                <w:szCs w:val="18"/>
                <w:lang w:val="en-GB"/>
              </w:rPr>
            </w:pPr>
            <w:r>
              <w:rPr>
                <w:rFonts w:cs="Arial"/>
                <w:szCs w:val="18"/>
                <w:lang w:val="en-GB"/>
              </w:rPr>
              <w:t>CO</w:t>
            </w:r>
            <w:r>
              <w:rPr>
                <w:rFonts w:cs="Arial"/>
                <w:szCs w:val="18"/>
                <w:vertAlign w:val="subscript"/>
                <w:lang w:val="en-GB"/>
              </w:rPr>
              <w:t>2</w:t>
            </w:r>
          </w:p>
        </w:tc>
        <w:tc>
          <w:tcPr>
            <w:tcW w:w="2118" w:type="dxa"/>
            <w:shd w:val="clear" w:color="auto" w:fill="FFFFFF"/>
          </w:tcPr>
          <w:p w14:paraId="46CE4713" w14:textId="4185F460" w:rsidR="00646E0B" w:rsidRPr="00B57B36" w:rsidRDefault="00646E0B" w:rsidP="00FD18AC">
            <w:pPr>
              <w:pStyle w:val="CETBodytext"/>
              <w:ind w:right="-1"/>
              <w:jc w:val="left"/>
              <w:rPr>
                <w:rFonts w:cs="Arial"/>
                <w:szCs w:val="18"/>
                <w:lang w:val="en-GB"/>
              </w:rPr>
            </w:pPr>
            <w:r>
              <w:rPr>
                <w:rFonts w:cs="Arial"/>
                <w:szCs w:val="18"/>
                <w:lang w:val="en-GB"/>
              </w:rPr>
              <w:t>1.7</w:t>
            </w:r>
          </w:p>
        </w:tc>
      </w:tr>
    </w:tbl>
    <w:p w14:paraId="1B3074D2" w14:textId="77777777" w:rsidR="00646E0B" w:rsidRDefault="00646E0B" w:rsidP="00646E0B">
      <w:pPr>
        <w:pStyle w:val="CETBodytext"/>
      </w:pPr>
    </w:p>
    <w:p w14:paraId="18BAFA6F" w14:textId="5D349A51" w:rsidR="00453E24" w:rsidRDefault="006515BF" w:rsidP="00453E24">
      <w:pPr>
        <w:pStyle w:val="CETheadingx"/>
      </w:pPr>
      <w:r>
        <w:lastRenderedPageBreak/>
        <w:t>Compression</w:t>
      </w:r>
    </w:p>
    <w:p w14:paraId="5436D977" w14:textId="33389EFC" w:rsidR="00453E24" w:rsidRDefault="00A8183E" w:rsidP="00453E24">
      <w:pPr>
        <w:pStyle w:val="CETBodytext"/>
      </w:pPr>
      <w:r w:rsidRPr="00A8183E">
        <w:t>The process of compressing or liquefying natural gas is widely used</w:t>
      </w:r>
      <w:r w:rsidR="000A68BC">
        <w:t>. It</w:t>
      </w:r>
      <w:r w:rsidRPr="00A8183E">
        <w:t xml:space="preserve"> can be achieved using various types of compressors, such as flooded rotary screws, rotary sliding vane, and reciprocating piston compressors</w:t>
      </w:r>
      <w:r>
        <w:t xml:space="preserve"> </w:t>
      </w:r>
      <w:r w:rsidR="00046E8D">
        <w:t xml:space="preserve">(Emery et al., 2020). This possibility helps reduce emissions and generate a saleable product. At the same time, if accessible pipelines to distribute the gas are lacking, finding a use for the compressed gas becomes an actual challenge. Also, the energy costs involved are high. When compressed, natural gas can be employed in a variety of modified engines for different purposes. Also, from a cost point of view, compressed natural gas does not require expensive cryogenic facilities, and the technology is flexible in terms of end users’ locations and natural gas demands (Emery et al., 2020). A standard </w:t>
      </w:r>
      <w:r w:rsidR="004A20AC">
        <w:t>stainless-steel</w:t>
      </w:r>
      <w:r w:rsidR="00046E8D">
        <w:t xml:space="preserve"> centrifugal compressor is </w:t>
      </w:r>
      <w:r w:rsidR="00BD0D47">
        <w:t>considered here</w:t>
      </w:r>
      <w:r w:rsidR="00046E8D">
        <w:t xml:space="preserve"> (Galli et al., 2021), and the pressure is increased from atmospheric conditions to 60 bar. </w:t>
      </w:r>
      <w:r w:rsidR="00BD0D47">
        <w:t>Given</w:t>
      </w:r>
      <w:r w:rsidR="00046E8D">
        <w:t xml:space="preserve"> the high-pressure ratio, 4 stages were considered (Turton et al., 2009). </w:t>
      </w:r>
    </w:p>
    <w:p w14:paraId="5927DF97" w14:textId="779108E7" w:rsidR="006515BF" w:rsidRDefault="006515BF" w:rsidP="006515BF">
      <w:pPr>
        <w:pStyle w:val="CETheadingx"/>
      </w:pPr>
      <w:r>
        <w:t>Gas-to-power technologies: flaring coupled to a microturbine</w:t>
      </w:r>
    </w:p>
    <w:p w14:paraId="120F7D0F" w14:textId="3C1279F5" w:rsidR="006515BF" w:rsidRDefault="00046E8D" w:rsidP="006515BF">
      <w:pPr>
        <w:pStyle w:val="CETBodytext"/>
        <w:rPr>
          <w:lang w:val="en-GB"/>
        </w:rPr>
      </w:pPr>
      <w:r w:rsidRPr="006515BF">
        <w:rPr>
          <w:lang w:val="en-GB"/>
        </w:rPr>
        <w:t>In gas-to-power technologies</w:t>
      </w:r>
      <w:r>
        <w:rPr>
          <w:lang w:val="en-GB"/>
        </w:rPr>
        <w:t>,</w:t>
      </w:r>
      <w:r w:rsidRPr="006515BF">
        <w:rPr>
          <w:lang w:val="en-GB"/>
        </w:rPr>
        <w:t xml:space="preserve"> </w:t>
      </w:r>
      <w:r>
        <w:rPr>
          <w:lang w:val="en-GB"/>
        </w:rPr>
        <w:t>CH</w:t>
      </w:r>
      <w:r>
        <w:rPr>
          <w:vertAlign w:val="subscript"/>
          <w:lang w:val="en-GB"/>
        </w:rPr>
        <w:t>4</w:t>
      </w:r>
      <w:r w:rsidRPr="006515BF">
        <w:rPr>
          <w:lang w:val="en-GB"/>
        </w:rPr>
        <w:t xml:space="preserve"> is combusted and converted to CO</w:t>
      </w:r>
      <w:r w:rsidRPr="004356EB">
        <w:rPr>
          <w:vertAlign w:val="subscript"/>
          <w:lang w:val="en-GB"/>
        </w:rPr>
        <w:t xml:space="preserve">2 </w:t>
      </w:r>
      <w:r w:rsidRPr="006515BF">
        <w:rPr>
          <w:lang w:val="en-GB"/>
        </w:rPr>
        <w:t>and H</w:t>
      </w:r>
      <w:r w:rsidRPr="002803A8">
        <w:rPr>
          <w:vertAlign w:val="subscript"/>
          <w:lang w:val="en-GB"/>
        </w:rPr>
        <w:t>2</w:t>
      </w:r>
      <w:r w:rsidRPr="006515BF">
        <w:rPr>
          <w:lang w:val="en-GB"/>
        </w:rPr>
        <w:t>O</w:t>
      </w:r>
      <w:r>
        <w:rPr>
          <w:lang w:val="en-GB"/>
        </w:rPr>
        <w:t xml:space="preserve"> in</w:t>
      </w:r>
      <w:r w:rsidRPr="006515BF">
        <w:rPr>
          <w:lang w:val="en-GB"/>
        </w:rPr>
        <w:t xml:space="preserve"> </w:t>
      </w:r>
      <w:r>
        <w:rPr>
          <w:lang w:val="en-GB"/>
        </w:rPr>
        <w:t xml:space="preserve">the </w:t>
      </w:r>
      <w:r w:rsidRPr="006515BF">
        <w:rPr>
          <w:lang w:val="en-GB"/>
        </w:rPr>
        <w:t>first step</w:t>
      </w:r>
      <w:r>
        <w:rPr>
          <w:lang w:val="en-GB"/>
        </w:rPr>
        <w:t xml:space="preserve">. As such, </w:t>
      </w:r>
      <w:r w:rsidRPr="006515BF">
        <w:rPr>
          <w:lang w:val="en-GB"/>
        </w:rPr>
        <w:t xml:space="preserve">it will have lower GHG compared to venting. Anyway, this </w:t>
      </w:r>
      <w:r w:rsidR="00BD0D47">
        <w:rPr>
          <w:lang w:val="en-GB"/>
        </w:rPr>
        <w:t>is mostly the same</w:t>
      </w:r>
      <w:r w:rsidRPr="006515BF">
        <w:rPr>
          <w:lang w:val="en-GB"/>
        </w:rPr>
        <w:t xml:space="preserve"> </w:t>
      </w:r>
      <w:r>
        <w:rPr>
          <w:lang w:val="en-GB"/>
        </w:rPr>
        <w:t>compared</w:t>
      </w:r>
      <w:r w:rsidRPr="006515BF">
        <w:rPr>
          <w:lang w:val="en-GB"/>
        </w:rPr>
        <w:t xml:space="preserve"> to the flaring case. Still, the energy is not wasted in this case but is recovered and transformed into electricity. </w:t>
      </w:r>
      <w:r w:rsidR="003F3191" w:rsidRPr="003F3191">
        <w:rPr>
          <w:lang w:val="en-GB"/>
        </w:rPr>
        <w:t xml:space="preserve">In addition to reducing emissions, power generation can be more environmentally friendly if it replaces another fossil fuel used to provide power to a site. For example, generating power on-site using associated gas can result in lower emissions </w:t>
      </w:r>
      <w:r w:rsidR="004C3878">
        <w:rPr>
          <w:lang w:val="en-GB"/>
        </w:rPr>
        <w:t>than</w:t>
      </w:r>
      <w:r w:rsidR="003F3191" w:rsidRPr="003F3191">
        <w:rPr>
          <w:lang w:val="en-GB"/>
        </w:rPr>
        <w:t xml:space="preserve"> using less-efficient fuel sources like coal in an electrical grid</w:t>
      </w:r>
      <w:r w:rsidRPr="006515BF">
        <w:rPr>
          <w:lang w:val="en-GB"/>
        </w:rPr>
        <w:t xml:space="preserve"> (Emery et al., 2020). Microturbines </w:t>
      </w:r>
      <w:r w:rsidR="00E249AA">
        <w:rPr>
          <w:lang w:val="en-GB"/>
        </w:rPr>
        <w:t>are increasingly used for small-scale power generation applications because of their compact size and minimal number of moving parts</w:t>
      </w:r>
      <w:r w:rsidRPr="006515BF">
        <w:rPr>
          <w:lang w:val="en-GB"/>
        </w:rPr>
        <w:t xml:space="preserve">. A microturbine consists of a compressor, a mixing chamber, and an expander. Fuel is compressed and burned in a furnace at 1300°C, modelled as a Gibbs reactor in </w:t>
      </w:r>
      <w:r>
        <w:rPr>
          <w:rStyle w:val="ui-provider"/>
        </w:rPr>
        <w:t>AVEVA PRO/II</w:t>
      </w:r>
      <w:r w:rsidRPr="006515BF">
        <w:rPr>
          <w:lang w:val="en-GB"/>
        </w:rPr>
        <w:t>. This pressurised gas flow then expands in a turbine, connected to a power</w:t>
      </w:r>
      <w:r>
        <w:rPr>
          <w:lang w:val="en-GB"/>
        </w:rPr>
        <w:t xml:space="preserve"> generator</w:t>
      </w:r>
      <w:r w:rsidRPr="006515BF">
        <w:rPr>
          <w:lang w:val="en-GB"/>
        </w:rPr>
        <w:t xml:space="preserve">, that produces shaft work used to drive the compressor (Emery et al., 2020). Typically, a minimum gas pressure of 3-4 bar is required. Here, a </w:t>
      </w:r>
      <w:r>
        <w:rPr>
          <w:lang w:val="en-GB"/>
        </w:rPr>
        <w:t xml:space="preserve">compressor </w:t>
      </w:r>
      <w:r w:rsidRPr="006515BF">
        <w:rPr>
          <w:lang w:val="en-GB"/>
        </w:rPr>
        <w:t>discharge pressure of 5 bar was considered.</w:t>
      </w:r>
    </w:p>
    <w:p w14:paraId="52C59DD5" w14:textId="01C912A6" w:rsidR="006515BF" w:rsidRDefault="006515BF" w:rsidP="006515BF">
      <w:pPr>
        <w:pStyle w:val="CETheadingx"/>
      </w:pPr>
      <w:r>
        <w:t>Methane pyrolysis as an alternative to steam methane reforming reaction</w:t>
      </w:r>
    </w:p>
    <w:p w14:paraId="21A5207E" w14:textId="1816EA6E" w:rsidR="00046E8D" w:rsidRPr="00954691" w:rsidRDefault="00046E8D" w:rsidP="006F0CD8">
      <w:pPr>
        <w:pStyle w:val="CETBodytext"/>
        <w:rPr>
          <w:lang w:val="en-GB"/>
        </w:rPr>
      </w:pPr>
      <w:r w:rsidRPr="00954691">
        <w:rPr>
          <w:lang w:val="en-GB"/>
        </w:rPr>
        <w:t>The most applied solution to obtain H</w:t>
      </w:r>
      <w:r w:rsidRPr="004356EB">
        <w:rPr>
          <w:vertAlign w:val="subscript"/>
          <w:lang w:val="en-GB"/>
        </w:rPr>
        <w:t>2</w:t>
      </w:r>
      <w:r w:rsidRPr="00954691">
        <w:rPr>
          <w:lang w:val="en-GB"/>
        </w:rPr>
        <w:t xml:space="preserve"> worldwide is steam methane reforming (SMR), </w:t>
      </w:r>
      <w:r>
        <w:rPr>
          <w:lang w:val="en-GB"/>
        </w:rPr>
        <w:t>which</w:t>
      </w:r>
      <w:r w:rsidRPr="00954691">
        <w:rPr>
          <w:lang w:val="en-GB"/>
        </w:rPr>
        <w:t xml:space="preserve"> amounts to approximately 48% of the global H</w:t>
      </w:r>
      <w:r w:rsidRPr="004356EB">
        <w:rPr>
          <w:vertAlign w:val="subscript"/>
          <w:lang w:val="en-GB"/>
        </w:rPr>
        <w:t>2</w:t>
      </w:r>
      <w:r w:rsidRPr="00954691">
        <w:rPr>
          <w:lang w:val="en-GB"/>
        </w:rPr>
        <w:t xml:space="preserve"> demand (Sánchez-Bastardo et al., 2020). SMR allows the production of the so-called grey H</w:t>
      </w:r>
      <w:r w:rsidRPr="004356EB">
        <w:rPr>
          <w:vertAlign w:val="subscript"/>
          <w:lang w:val="en-GB"/>
        </w:rPr>
        <w:t>2</w:t>
      </w:r>
      <w:r w:rsidRPr="00954691">
        <w:rPr>
          <w:lang w:val="en-GB"/>
        </w:rPr>
        <w:t xml:space="preserve">. One main issue connected with this </w:t>
      </w:r>
      <w:r>
        <w:rPr>
          <w:lang w:val="en-GB"/>
        </w:rPr>
        <w:t>H</w:t>
      </w:r>
      <w:r>
        <w:rPr>
          <w:vertAlign w:val="subscript"/>
          <w:lang w:val="en-GB"/>
        </w:rPr>
        <w:t>2</w:t>
      </w:r>
      <w:r w:rsidRPr="00954691">
        <w:rPr>
          <w:lang w:val="en-GB"/>
        </w:rPr>
        <w:t xml:space="preserve"> production is that CO</w:t>
      </w:r>
      <w:r w:rsidRPr="004356EB">
        <w:rPr>
          <w:vertAlign w:val="subscript"/>
          <w:lang w:val="en-GB"/>
        </w:rPr>
        <w:t>2</w:t>
      </w:r>
      <w:r w:rsidRPr="00954691">
        <w:rPr>
          <w:lang w:val="en-GB"/>
        </w:rPr>
        <w:t xml:space="preserve"> is also produced. In particular, the reaction produces 38.5 grams of CO</w:t>
      </w:r>
      <w:r w:rsidRPr="004356EB">
        <w:rPr>
          <w:vertAlign w:val="subscript"/>
          <w:lang w:val="en-GB"/>
        </w:rPr>
        <w:t>2</w:t>
      </w:r>
      <w:r w:rsidRPr="00954691">
        <w:rPr>
          <w:lang w:val="en-GB"/>
        </w:rPr>
        <w:t xml:space="preserve"> per </w:t>
      </w:r>
      <w:r w:rsidR="000E63CB">
        <w:rPr>
          <w:lang w:val="en-GB"/>
        </w:rPr>
        <w:t xml:space="preserve">theoretical </w:t>
      </w:r>
      <w:r w:rsidRPr="00954691">
        <w:rPr>
          <w:lang w:val="en-GB"/>
        </w:rPr>
        <w:t xml:space="preserve">MJ of </w:t>
      </w:r>
      <w:r w:rsidR="00407F19">
        <w:rPr>
          <w:lang w:val="en-GB"/>
        </w:rPr>
        <w:t xml:space="preserve">energy from </w:t>
      </w:r>
      <w:r w:rsidRPr="00954691">
        <w:rPr>
          <w:lang w:val="en-GB"/>
        </w:rPr>
        <w:t xml:space="preserve">hydrogen </w:t>
      </w:r>
      <w:r w:rsidR="00407F19">
        <w:rPr>
          <w:lang w:val="en-GB"/>
        </w:rPr>
        <w:t>combustion</w:t>
      </w:r>
      <w:r w:rsidRPr="00954691">
        <w:rPr>
          <w:lang w:val="en-GB"/>
        </w:rPr>
        <w:t xml:space="preserve">, </w:t>
      </w:r>
      <w:r>
        <w:rPr>
          <w:lang w:val="en-GB"/>
        </w:rPr>
        <w:t>which</w:t>
      </w:r>
      <w:r w:rsidRPr="00954691">
        <w:rPr>
          <w:lang w:val="en-GB"/>
        </w:rPr>
        <w:t xml:space="preserve"> is then usually vented into the atmosphere (Muradov &amp; Veziroǧlu, 2005). </w:t>
      </w:r>
    </w:p>
    <w:p w14:paraId="56DC4356" w14:textId="770403DF" w:rsidR="00046E8D" w:rsidRPr="00954691" w:rsidRDefault="00046E8D" w:rsidP="006F0CD8">
      <w:pPr>
        <w:pStyle w:val="CETBodytext"/>
        <w:rPr>
          <w:lang w:val="en-GB"/>
        </w:rPr>
      </w:pPr>
      <w:r>
        <w:rPr>
          <w:lang w:val="en-GB"/>
        </w:rPr>
        <w:t>An</w:t>
      </w:r>
      <w:r w:rsidRPr="00954691">
        <w:rPr>
          <w:lang w:val="en-GB"/>
        </w:rPr>
        <w:t xml:space="preserve"> alternative solution is </w:t>
      </w:r>
      <w:r>
        <w:rPr>
          <w:lang w:val="en-GB"/>
        </w:rPr>
        <w:t>outfitting</w:t>
      </w:r>
      <w:r w:rsidRPr="00954691">
        <w:rPr>
          <w:lang w:val="en-GB"/>
        </w:rPr>
        <w:t xml:space="preserve"> the plant with Carbon Capture and Storage (CCS) technologies to mitigate the emissions</w:t>
      </w:r>
      <w:r>
        <w:rPr>
          <w:lang w:val="en-GB"/>
        </w:rPr>
        <w:t>. In this way, the so-called blue H</w:t>
      </w:r>
      <w:r>
        <w:rPr>
          <w:vertAlign w:val="subscript"/>
          <w:lang w:val="en-GB"/>
        </w:rPr>
        <w:t>2</w:t>
      </w:r>
      <w:r>
        <w:rPr>
          <w:lang w:val="en-GB"/>
        </w:rPr>
        <w:t xml:space="preserve"> is produced</w:t>
      </w:r>
      <w:r w:rsidRPr="00954691">
        <w:rPr>
          <w:lang w:val="en-GB"/>
        </w:rPr>
        <w:t xml:space="preserve">. </w:t>
      </w:r>
      <w:r>
        <w:rPr>
          <w:lang w:val="en-GB"/>
        </w:rPr>
        <w:t>A</w:t>
      </w:r>
      <w:r w:rsidRPr="00954691">
        <w:rPr>
          <w:lang w:val="en-GB"/>
        </w:rPr>
        <w:t xml:space="preserve"> recent study</w:t>
      </w:r>
      <w:r>
        <w:rPr>
          <w:lang w:val="en-GB"/>
        </w:rPr>
        <w:t xml:space="preserve"> </w:t>
      </w:r>
      <w:r w:rsidRPr="00954691">
        <w:rPr>
          <w:lang w:val="en-GB"/>
        </w:rPr>
        <w:t>suggests that SMR in the best-case scenario, i.e., using renewable electricity instead of natural gas to power the processes and capturing CO</w:t>
      </w:r>
      <w:r w:rsidRPr="004356EB">
        <w:rPr>
          <w:vertAlign w:val="subscript"/>
          <w:lang w:val="en-GB"/>
        </w:rPr>
        <w:t>2</w:t>
      </w:r>
      <w:r w:rsidRPr="00954691">
        <w:rPr>
          <w:lang w:val="en-GB"/>
        </w:rPr>
        <w:t xml:space="preserve"> afterwards, still causes high GHG emissions, </w:t>
      </w:r>
      <w:r w:rsidR="004C3878">
        <w:rPr>
          <w:lang w:val="en-GB"/>
        </w:rPr>
        <w:t>mainly</w:t>
      </w:r>
      <w:r w:rsidRPr="00954691">
        <w:rPr>
          <w:lang w:val="en-GB"/>
        </w:rPr>
        <w:t xml:space="preserve"> due to the release of fugitive </w:t>
      </w:r>
      <w:r>
        <w:rPr>
          <w:lang w:val="en-GB"/>
        </w:rPr>
        <w:t>CH</w:t>
      </w:r>
      <w:r>
        <w:rPr>
          <w:vertAlign w:val="subscript"/>
          <w:lang w:val="en-GB"/>
        </w:rPr>
        <w:t>4</w:t>
      </w:r>
      <w:r>
        <w:rPr>
          <w:lang w:val="en-GB"/>
        </w:rPr>
        <w:t xml:space="preserve"> </w:t>
      </w:r>
      <w:r w:rsidRPr="00954691">
        <w:rPr>
          <w:lang w:val="en-GB"/>
        </w:rPr>
        <w:t xml:space="preserve">(Howarth &amp; Jacobson, 2021). Assuming </w:t>
      </w:r>
      <w:r>
        <w:rPr>
          <w:lang w:val="en-GB"/>
        </w:rPr>
        <w:t xml:space="preserve">a </w:t>
      </w:r>
      <w:r w:rsidRPr="00954691">
        <w:rPr>
          <w:lang w:val="en-GB"/>
        </w:rPr>
        <w:t>3.5</w:t>
      </w:r>
      <w:r>
        <w:rPr>
          <w:lang w:val="en-GB"/>
        </w:rPr>
        <w:t xml:space="preserve"> </w:t>
      </w:r>
      <w:r w:rsidRPr="00954691">
        <w:rPr>
          <w:lang w:val="en-GB"/>
        </w:rPr>
        <w:t xml:space="preserve">% </w:t>
      </w:r>
      <w:r>
        <w:rPr>
          <w:lang w:val="en-GB"/>
        </w:rPr>
        <w:t>methane emission rat</w:t>
      </w:r>
      <w:r w:rsidRPr="00954691">
        <w:rPr>
          <w:lang w:val="en-GB"/>
        </w:rPr>
        <w:t>e from natural gas and a 20-years global warming potential, total CO</w:t>
      </w:r>
      <w:r w:rsidRPr="004356EB">
        <w:rPr>
          <w:vertAlign w:val="subscript"/>
          <w:lang w:val="en-GB"/>
        </w:rPr>
        <w:t>2</w:t>
      </w:r>
      <w:r w:rsidRPr="00954691">
        <w:rPr>
          <w:lang w:val="en-GB"/>
        </w:rPr>
        <w:t>-equivalent emissions for blue hydrogen are only 9 to 12 times less than for grey hydrogen (Howarth &amp; Jacobson, 2021).</w:t>
      </w:r>
    </w:p>
    <w:p w14:paraId="3C30DD56" w14:textId="04BE03E7" w:rsidR="00046E8D" w:rsidRPr="00954691" w:rsidRDefault="00046E8D" w:rsidP="00046E8D">
      <w:pPr>
        <w:pStyle w:val="CETBodytext"/>
        <w:rPr>
          <w:lang w:val="en-GB"/>
        </w:rPr>
      </w:pPr>
      <w:r w:rsidRPr="00954691">
        <w:rPr>
          <w:lang w:val="en-GB"/>
        </w:rPr>
        <w:t>In this context, decarbonising fossil fuels by recovering and sequestering solid carbon instead of gaseous CO</w:t>
      </w:r>
      <w:r w:rsidRPr="002D0B4D">
        <w:rPr>
          <w:vertAlign w:val="subscript"/>
          <w:lang w:val="en-GB"/>
        </w:rPr>
        <w:t>2</w:t>
      </w:r>
      <w:r w:rsidRPr="00954691">
        <w:rPr>
          <w:lang w:val="en-GB"/>
        </w:rPr>
        <w:t xml:space="preserve"> can be a suitable alternative (Muradov &amp; Veziroǧlu, 2008). This </w:t>
      </w:r>
      <w:r>
        <w:rPr>
          <w:lang w:val="en-GB"/>
        </w:rPr>
        <w:t xml:space="preserve">possibility </w:t>
      </w:r>
      <w:r w:rsidRPr="00954691">
        <w:rPr>
          <w:lang w:val="en-GB"/>
        </w:rPr>
        <w:t xml:space="preserve">involves the production of turquoise hydrogen, i.e. hydrogen made from the pyrolysis of methane at high temperatures (Diab et al., 2022). </w:t>
      </w:r>
      <w:r>
        <w:rPr>
          <w:lang w:val="en-GB"/>
        </w:rPr>
        <w:t>The reaction</w:t>
      </w:r>
      <w:r w:rsidRPr="00954691">
        <w:rPr>
          <w:lang w:val="en-GB"/>
        </w:rPr>
        <w:t xml:space="preserve"> </w:t>
      </w:r>
      <w:r w:rsidR="004C3878">
        <w:rPr>
          <w:lang w:val="en-GB"/>
        </w:rPr>
        <w:t>consists of</w:t>
      </w:r>
      <w:r w:rsidRPr="00954691">
        <w:rPr>
          <w:lang w:val="en-GB"/>
        </w:rPr>
        <w:t xml:space="preserve"> the decomposition of CH</w:t>
      </w:r>
      <w:r w:rsidRPr="004356EB">
        <w:rPr>
          <w:vertAlign w:val="subscript"/>
          <w:lang w:val="en-GB"/>
        </w:rPr>
        <w:t>4</w:t>
      </w:r>
      <w:r w:rsidRPr="00954691">
        <w:rPr>
          <w:lang w:val="en-GB"/>
        </w:rPr>
        <w:t xml:space="preserve"> into its components, H</w:t>
      </w:r>
      <w:r w:rsidRPr="004356EB">
        <w:rPr>
          <w:vertAlign w:val="subscript"/>
          <w:lang w:val="en-GB"/>
        </w:rPr>
        <w:t>2</w:t>
      </w:r>
      <w:r w:rsidRPr="00954691">
        <w:rPr>
          <w:lang w:val="en-GB"/>
        </w:rPr>
        <w:t xml:space="preserve"> and solid carbon. </w:t>
      </w:r>
      <w:r>
        <w:rPr>
          <w:lang w:val="en-GB"/>
        </w:rPr>
        <w:t>By doing so</w:t>
      </w:r>
      <w:r w:rsidRPr="00954691">
        <w:rPr>
          <w:lang w:val="en-GB"/>
        </w:rPr>
        <w:t>, gas-phase carbon (CO</w:t>
      </w:r>
      <w:r w:rsidRPr="004356EB">
        <w:rPr>
          <w:vertAlign w:val="subscript"/>
          <w:lang w:val="en-GB"/>
        </w:rPr>
        <w:t>2</w:t>
      </w:r>
      <w:r w:rsidRPr="00954691">
        <w:rPr>
          <w:lang w:val="en-GB"/>
        </w:rPr>
        <w:t xml:space="preserve">) </w:t>
      </w:r>
      <w:r>
        <w:rPr>
          <w:lang w:val="en-GB"/>
        </w:rPr>
        <w:t xml:space="preserve">formation </w:t>
      </w:r>
      <w:r w:rsidRPr="00954691">
        <w:rPr>
          <w:lang w:val="en-GB"/>
        </w:rPr>
        <w:t>is prevented (Sánchez-Bastardo et al., 2021). The CO</w:t>
      </w:r>
      <w:r w:rsidRPr="004356EB">
        <w:rPr>
          <w:vertAlign w:val="subscript"/>
          <w:lang w:val="en-GB"/>
        </w:rPr>
        <w:t>2</w:t>
      </w:r>
      <w:r w:rsidRPr="00954691">
        <w:rPr>
          <w:lang w:val="en-GB"/>
        </w:rPr>
        <w:t xml:space="preserve"> footprint of methane pyrolysis corresponds to the emissions derived from the required electricity and those generated during the extraction and transportation of natural gas. Anyhow, theoretically</w:t>
      </w:r>
      <w:r>
        <w:rPr>
          <w:lang w:val="en-GB"/>
        </w:rPr>
        <w:t>,</w:t>
      </w:r>
      <w:r w:rsidRPr="00954691">
        <w:rPr>
          <w:lang w:val="en-GB"/>
        </w:rPr>
        <w:t xml:space="preserve"> there are none during the process itself. In any case, the CO</w:t>
      </w:r>
      <w:r w:rsidRPr="004356EB">
        <w:rPr>
          <w:vertAlign w:val="subscript"/>
          <w:lang w:val="en-GB"/>
        </w:rPr>
        <w:t>2</w:t>
      </w:r>
      <w:r w:rsidRPr="00954691">
        <w:rPr>
          <w:lang w:val="en-GB"/>
        </w:rPr>
        <w:t xml:space="preserve"> emissions corresponding to methane pyrolysis are significantly lower than those derived from well-established fossil fuel-based technologies (Sánchez-Bastardo et al., 2021). However</w:t>
      </w:r>
      <w:r w:rsidR="00954691" w:rsidRPr="00954691">
        <w:rPr>
          <w:lang w:val="en-GB"/>
        </w:rPr>
        <w:t xml:space="preserve">, </w:t>
      </w:r>
      <w:r w:rsidRPr="00954691">
        <w:rPr>
          <w:lang w:val="en-GB"/>
        </w:rPr>
        <w:t>technical and economic barriers to scaling remain</w:t>
      </w:r>
      <w:r>
        <w:rPr>
          <w:lang w:val="en-GB"/>
        </w:rPr>
        <w:t xml:space="preserve"> </w:t>
      </w:r>
      <w:r w:rsidRPr="00954691">
        <w:rPr>
          <w:lang w:val="en-GB"/>
        </w:rPr>
        <w:t>(European Commission, 2020).</w:t>
      </w:r>
    </w:p>
    <w:p w14:paraId="1CB14EC7" w14:textId="23810052" w:rsidR="006515BF" w:rsidRPr="00B75C65" w:rsidRDefault="00046E8D" w:rsidP="006F0CD8">
      <w:pPr>
        <w:pStyle w:val="CETBodytext"/>
        <w:rPr>
          <w:lang w:val="en-GB"/>
        </w:rPr>
      </w:pPr>
      <w:r w:rsidRPr="00954691">
        <w:rPr>
          <w:lang w:val="en-GB"/>
        </w:rPr>
        <w:t xml:space="preserve">Thermal methane pyrolysis was </w:t>
      </w:r>
      <w:r w:rsidR="000A68BC">
        <w:rPr>
          <w:lang w:val="en-GB"/>
        </w:rPr>
        <w:t>considered to avoid all the issues related to using</w:t>
      </w:r>
      <w:r w:rsidRPr="00954691">
        <w:rPr>
          <w:lang w:val="en-GB"/>
        </w:rPr>
        <w:t xml:space="preserve"> a catalyst</w:t>
      </w:r>
      <w:r>
        <w:rPr>
          <w:lang w:val="en-GB"/>
        </w:rPr>
        <w:t xml:space="preserve"> (i.e., coking issues and subsequent decoking operations that cause CO</w:t>
      </w:r>
      <w:r>
        <w:rPr>
          <w:vertAlign w:val="subscript"/>
          <w:lang w:val="en-GB"/>
        </w:rPr>
        <w:t>2</w:t>
      </w:r>
      <w:r>
        <w:rPr>
          <w:lang w:val="en-GB"/>
        </w:rPr>
        <w:t xml:space="preserve"> formation)</w:t>
      </w:r>
      <w:r w:rsidRPr="00954691">
        <w:rPr>
          <w:lang w:val="en-GB"/>
        </w:rPr>
        <w:t>.</w:t>
      </w:r>
      <w:r w:rsidR="005D49B4">
        <w:rPr>
          <w:lang w:val="en-GB"/>
        </w:rPr>
        <w:t xml:space="preserve"> First, the feed is split into two parts: one part is burnt </w:t>
      </w:r>
      <w:r w:rsidR="004F1E02">
        <w:rPr>
          <w:lang w:val="en-GB"/>
        </w:rPr>
        <w:t xml:space="preserve">in a furnace </w:t>
      </w:r>
      <w:r w:rsidR="005D49B4">
        <w:rPr>
          <w:lang w:val="en-GB"/>
        </w:rPr>
        <w:t xml:space="preserve">to energetically sustain the reaction, while the other proceeds </w:t>
      </w:r>
      <w:r w:rsidR="000359D5">
        <w:rPr>
          <w:lang w:val="en-GB"/>
        </w:rPr>
        <w:t>into</w:t>
      </w:r>
      <w:r w:rsidR="005D49B4">
        <w:rPr>
          <w:lang w:val="en-GB"/>
        </w:rPr>
        <w:t xml:space="preserve"> the plant and enters </w:t>
      </w:r>
      <w:r w:rsidR="004F1E02">
        <w:rPr>
          <w:lang w:val="en-GB"/>
        </w:rPr>
        <w:t>the reactor, where pyrolysis occurs. Flue gases exiting from the furnace preheat the feed to the reactor.</w:t>
      </w:r>
      <w:r w:rsidRPr="00954691">
        <w:rPr>
          <w:lang w:val="en-GB"/>
        </w:rPr>
        <w:t xml:space="preserve"> An energy transfer efficiency (</w:t>
      </w:r>
      <w:r w:rsidRPr="009D2879">
        <w:rPr>
          <w:i/>
          <w:iCs/>
          <w:lang w:val="en-GB"/>
        </w:rPr>
        <w:t>η</w:t>
      </w:r>
      <w:r w:rsidRPr="00954691">
        <w:rPr>
          <w:lang w:val="en-GB"/>
        </w:rPr>
        <w:t xml:space="preserve">) of 60 % was considered </w:t>
      </w:r>
      <w:r w:rsidR="004F1E02" w:rsidRPr="00954691">
        <w:rPr>
          <w:lang w:val="en-GB"/>
        </w:rPr>
        <w:t xml:space="preserve">for the furnace </w:t>
      </w:r>
      <w:r w:rsidRPr="00954691">
        <w:rPr>
          <w:lang w:val="en-GB"/>
        </w:rPr>
        <w:t xml:space="preserve">(Pfeifer, 2017). </w:t>
      </w:r>
      <w:r>
        <w:rPr>
          <w:lang w:val="en-GB"/>
        </w:rPr>
        <w:t>T</w:t>
      </w:r>
      <w:r w:rsidRPr="00954691">
        <w:rPr>
          <w:lang w:val="en-GB"/>
        </w:rPr>
        <w:t xml:space="preserve">he furnace and the reactor are modelled as Gibbs reactors in </w:t>
      </w:r>
      <w:r>
        <w:rPr>
          <w:rStyle w:val="ui-provider"/>
        </w:rPr>
        <w:t>AVEVA PRO/II</w:t>
      </w:r>
      <w:r w:rsidRPr="00954691">
        <w:rPr>
          <w:lang w:val="en-GB"/>
        </w:rPr>
        <w:t>.</w:t>
      </w:r>
      <w:r w:rsidRPr="002D0B4D">
        <w:rPr>
          <w:lang w:val="en-GB"/>
        </w:rPr>
        <w:t xml:space="preserve"> </w:t>
      </w:r>
      <w:r w:rsidRPr="00954691">
        <w:rPr>
          <w:lang w:val="en-GB"/>
        </w:rPr>
        <w:t>A temperature of 1000°C in the reactor was set to guarantee an adequate CH</w:t>
      </w:r>
      <w:r w:rsidRPr="00BC2F9C">
        <w:rPr>
          <w:vertAlign w:val="subscript"/>
          <w:lang w:val="en-GB"/>
        </w:rPr>
        <w:t>4</w:t>
      </w:r>
      <w:r w:rsidRPr="00954691">
        <w:rPr>
          <w:lang w:val="en-GB"/>
        </w:rPr>
        <w:t xml:space="preserve"> conversion higher than 90 %. Two phases are expected out of the reactor: a solid one, made of carbon, and a gas one, mainly composed of H</w:t>
      </w:r>
      <w:r w:rsidRPr="00BC2F9C">
        <w:rPr>
          <w:vertAlign w:val="subscript"/>
          <w:lang w:val="en-GB"/>
        </w:rPr>
        <w:t>2</w:t>
      </w:r>
      <w:r w:rsidRPr="00954691">
        <w:rPr>
          <w:lang w:val="en-GB"/>
        </w:rPr>
        <w:t xml:space="preserve">. </w:t>
      </w:r>
      <w:r>
        <w:rPr>
          <w:lang w:val="en-GB"/>
        </w:rPr>
        <w:t xml:space="preserve">The solid phase is considered to be carbon black. This allows </w:t>
      </w:r>
      <w:r w:rsidR="009E737C">
        <w:rPr>
          <w:lang w:val="en-GB"/>
        </w:rPr>
        <w:t>setting</w:t>
      </w:r>
      <w:r>
        <w:rPr>
          <w:lang w:val="en-GB"/>
        </w:rPr>
        <w:t xml:space="preserve"> a more conservative hypothesis from an economic point of view since carbon black has the lowest </w:t>
      </w:r>
      <w:r>
        <w:rPr>
          <w:lang w:val="en-GB"/>
        </w:rPr>
        <w:lastRenderedPageBreak/>
        <w:t>commercial price among the various types of carbon (i.e., graphite, nanotubes,</w:t>
      </w:r>
      <w:r w:rsidR="009E737C">
        <w:rPr>
          <w:lang w:val="en-GB"/>
        </w:rPr>
        <w:t xml:space="preserve"> etc.</w:t>
      </w:r>
      <w:r>
        <w:rPr>
          <w:lang w:val="en-GB"/>
        </w:rPr>
        <w:t>).</w:t>
      </w:r>
      <w:r w:rsidR="000F0733">
        <w:rPr>
          <w:lang w:val="en-GB"/>
        </w:rPr>
        <w:t xml:space="preserve"> For the economic analysis, </w:t>
      </w:r>
      <w:r w:rsidR="00B75C65">
        <w:rPr>
          <w:lang w:val="en-GB"/>
        </w:rPr>
        <w:t>the CH</w:t>
      </w:r>
      <w:r w:rsidR="00B75C65">
        <w:rPr>
          <w:vertAlign w:val="subscript"/>
          <w:lang w:val="en-GB"/>
        </w:rPr>
        <w:t>4</w:t>
      </w:r>
      <w:r w:rsidR="00B75C65">
        <w:rPr>
          <w:lang w:val="en-GB"/>
        </w:rPr>
        <w:t xml:space="preserve"> furnace was </w:t>
      </w:r>
      <w:r w:rsidR="000A68BC">
        <w:rPr>
          <w:lang w:val="en-GB"/>
        </w:rPr>
        <w:t xml:space="preserve">assimilated </w:t>
      </w:r>
      <w:r w:rsidR="00B75C65">
        <w:rPr>
          <w:lang w:val="en-GB"/>
        </w:rPr>
        <w:t>as a fired heater, while</w:t>
      </w:r>
      <w:r w:rsidR="000A68BC">
        <w:rPr>
          <w:lang w:val="en-GB"/>
        </w:rPr>
        <w:t>,</w:t>
      </w:r>
      <w:r w:rsidR="00B75C65">
        <w:rPr>
          <w:lang w:val="en-GB"/>
        </w:rPr>
        <w:t xml:space="preserve"> </w:t>
      </w:r>
      <w:r w:rsidR="000A68BC">
        <w:rPr>
          <w:lang w:val="en-GB"/>
        </w:rPr>
        <w:t xml:space="preserve">for </w:t>
      </w:r>
      <w:r w:rsidR="00B75C65">
        <w:rPr>
          <w:lang w:val="en-GB"/>
        </w:rPr>
        <w:t>the reactor</w:t>
      </w:r>
      <w:r w:rsidR="000A68BC">
        <w:rPr>
          <w:lang w:val="en-GB"/>
        </w:rPr>
        <w:t>,</w:t>
      </w:r>
      <w:r w:rsidR="00B75C65">
        <w:rPr>
          <w:lang w:val="en-GB"/>
        </w:rPr>
        <w:t xml:space="preserve"> a preliminary volume was considered by using the volumetric flow rate and a hypothetical residence time of 15 seconds.</w:t>
      </w:r>
    </w:p>
    <w:p w14:paraId="677EBFF0" w14:textId="562817AF" w:rsidR="00600535" w:rsidRPr="002A0C33" w:rsidRDefault="00362D6B" w:rsidP="002A0C33">
      <w:pPr>
        <w:pStyle w:val="CETHeading1"/>
        <w:numPr>
          <w:ilvl w:val="1"/>
          <w:numId w:val="24"/>
        </w:numPr>
        <w:tabs>
          <w:tab w:val="right" w:pos="7100"/>
        </w:tabs>
        <w:jc w:val="both"/>
        <w:rPr>
          <w:lang w:val="en-GB"/>
        </w:rPr>
      </w:pPr>
      <w:r w:rsidRPr="002A0C33">
        <w:rPr>
          <w:lang w:val="en-GB"/>
        </w:rPr>
        <w:t>Results and discussion</w:t>
      </w:r>
    </w:p>
    <w:p w14:paraId="7FEC204C" w14:textId="1CC66FCC" w:rsidR="002D3AE8" w:rsidRDefault="0038256F" w:rsidP="00BE533D">
      <w:pPr>
        <w:pStyle w:val="CETBodytext"/>
        <w:rPr>
          <w:lang w:val="en-GB"/>
        </w:rPr>
      </w:pPr>
      <w:r>
        <w:rPr>
          <w:lang w:val="en-GB"/>
        </w:rPr>
        <w:t xml:space="preserve">The main results for each technology are reported in Table 3. The economic potential, which is to be considered a preliminary indicator for economic screening, was calculated by subtracting from the theoretical revenues one-third of the CAPEX, the OPEX and the carbon tax </w:t>
      </w:r>
      <w:r w:rsidR="0016674D">
        <w:rPr>
          <w:lang w:val="en-GB"/>
        </w:rPr>
        <w:t>(Turton et al., 2009).</w:t>
      </w:r>
    </w:p>
    <w:p w14:paraId="5E38F9A5" w14:textId="0BDC3D2A" w:rsidR="002D3AE8" w:rsidRDefault="002D3AE8" w:rsidP="00FD18AC">
      <w:pPr>
        <w:pStyle w:val="CETTabletitle"/>
      </w:pPr>
      <w:r>
        <w:t>Table 3: Main economic and environmental results for each alternative.</w:t>
      </w:r>
    </w:p>
    <w:tbl>
      <w:tblPr>
        <w:tblW w:w="793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65"/>
        <w:gridCol w:w="2104"/>
        <w:gridCol w:w="1909"/>
        <w:gridCol w:w="2060"/>
      </w:tblGrid>
      <w:tr w:rsidR="00E01F42" w:rsidRPr="00B57B36" w14:paraId="616A8A90" w14:textId="4C172ED7" w:rsidTr="000937BD">
        <w:trPr>
          <w:trHeight w:val="636"/>
        </w:trPr>
        <w:tc>
          <w:tcPr>
            <w:tcW w:w="1865" w:type="dxa"/>
            <w:tcBorders>
              <w:top w:val="single" w:sz="12" w:space="0" w:color="008000"/>
              <w:bottom w:val="single" w:sz="6" w:space="0" w:color="008000"/>
            </w:tcBorders>
            <w:shd w:val="clear" w:color="auto" w:fill="FFFFFF"/>
          </w:tcPr>
          <w:p w14:paraId="7EA050C9" w14:textId="36AFFEC7" w:rsidR="00E01F42" w:rsidRDefault="00E01F42" w:rsidP="00FD18AC">
            <w:pPr>
              <w:pStyle w:val="CETBodytext"/>
              <w:jc w:val="left"/>
              <w:rPr>
                <w:lang w:val="en-GB"/>
              </w:rPr>
            </w:pPr>
          </w:p>
        </w:tc>
        <w:tc>
          <w:tcPr>
            <w:tcW w:w="2104" w:type="dxa"/>
            <w:tcBorders>
              <w:top w:val="single" w:sz="12" w:space="0" w:color="008000"/>
              <w:bottom w:val="single" w:sz="6" w:space="0" w:color="008000"/>
            </w:tcBorders>
            <w:shd w:val="clear" w:color="auto" w:fill="FFFFFF"/>
          </w:tcPr>
          <w:p w14:paraId="51E8A1AC" w14:textId="26FB2890" w:rsidR="00E01F42" w:rsidRPr="00B57B36" w:rsidRDefault="00E01F42" w:rsidP="00FD18AC">
            <w:pPr>
              <w:pStyle w:val="CETBodytext"/>
              <w:jc w:val="left"/>
              <w:rPr>
                <w:lang w:val="en-GB"/>
              </w:rPr>
            </w:pPr>
            <w:r>
              <w:rPr>
                <w:lang w:val="en-GB"/>
              </w:rPr>
              <w:t>Compression</w:t>
            </w:r>
          </w:p>
        </w:tc>
        <w:tc>
          <w:tcPr>
            <w:tcW w:w="1909" w:type="dxa"/>
            <w:tcBorders>
              <w:top w:val="single" w:sz="12" w:space="0" w:color="008000"/>
              <w:bottom w:val="single" w:sz="6" w:space="0" w:color="008000"/>
            </w:tcBorders>
            <w:shd w:val="clear" w:color="auto" w:fill="FFFFFF"/>
          </w:tcPr>
          <w:p w14:paraId="648F1D79" w14:textId="5DDCC732" w:rsidR="00E01F42" w:rsidRPr="00B57B36" w:rsidRDefault="00E01F42" w:rsidP="00FD18AC">
            <w:pPr>
              <w:pStyle w:val="CETBodytext"/>
              <w:jc w:val="left"/>
              <w:rPr>
                <w:lang w:val="en-GB"/>
              </w:rPr>
            </w:pPr>
            <w:r>
              <w:rPr>
                <w:lang w:val="en-GB"/>
              </w:rPr>
              <w:t>Flaring + microturbine</w:t>
            </w:r>
          </w:p>
        </w:tc>
        <w:tc>
          <w:tcPr>
            <w:tcW w:w="2060" w:type="dxa"/>
            <w:tcBorders>
              <w:top w:val="single" w:sz="12" w:space="0" w:color="008000"/>
              <w:bottom w:val="single" w:sz="6" w:space="0" w:color="008000"/>
            </w:tcBorders>
            <w:shd w:val="clear" w:color="auto" w:fill="FFFFFF"/>
          </w:tcPr>
          <w:p w14:paraId="306CC4F3" w14:textId="4AB902DF" w:rsidR="00E01F42" w:rsidRDefault="00E01F42" w:rsidP="00FD18AC">
            <w:pPr>
              <w:pStyle w:val="CETBodytext"/>
              <w:jc w:val="left"/>
              <w:rPr>
                <w:lang w:val="en-GB"/>
              </w:rPr>
            </w:pPr>
            <w:r>
              <w:rPr>
                <w:lang w:val="en-GB"/>
              </w:rPr>
              <w:t>Pyrolysis</w:t>
            </w:r>
          </w:p>
        </w:tc>
      </w:tr>
      <w:tr w:rsidR="00E01F42" w:rsidRPr="00B57B36" w14:paraId="77195332" w14:textId="57CC65C2" w:rsidTr="000937BD">
        <w:trPr>
          <w:trHeight w:val="317"/>
        </w:trPr>
        <w:tc>
          <w:tcPr>
            <w:tcW w:w="1865" w:type="dxa"/>
            <w:shd w:val="clear" w:color="auto" w:fill="FFFFFF"/>
          </w:tcPr>
          <w:p w14:paraId="565CBA0F" w14:textId="14256C70" w:rsidR="00E01F42" w:rsidRPr="00E01F42" w:rsidRDefault="00E01F42" w:rsidP="00FD18AC">
            <w:pPr>
              <w:pStyle w:val="CETBodytext"/>
              <w:jc w:val="left"/>
              <w:rPr>
                <w:lang w:val="en-GB"/>
              </w:rPr>
            </w:pPr>
            <w:r>
              <w:rPr>
                <w:lang w:val="en-GB"/>
              </w:rPr>
              <w:t>Main product</w:t>
            </w:r>
          </w:p>
        </w:tc>
        <w:tc>
          <w:tcPr>
            <w:tcW w:w="2104" w:type="dxa"/>
            <w:shd w:val="clear" w:color="auto" w:fill="FFFFFF"/>
          </w:tcPr>
          <w:p w14:paraId="4F52ADD3" w14:textId="47ACC0CD" w:rsidR="00E01F42" w:rsidRPr="00E01F42" w:rsidRDefault="00E01F42" w:rsidP="00FD18AC">
            <w:pPr>
              <w:pStyle w:val="CETBodytext"/>
              <w:jc w:val="left"/>
              <w:rPr>
                <w:lang w:val="en-GB"/>
              </w:rPr>
            </w:pPr>
            <w:r>
              <w:rPr>
                <w:lang w:val="en-GB"/>
              </w:rPr>
              <w:t>Compressed natural gas</w:t>
            </w:r>
          </w:p>
        </w:tc>
        <w:tc>
          <w:tcPr>
            <w:tcW w:w="1909" w:type="dxa"/>
            <w:shd w:val="clear" w:color="auto" w:fill="FFFFFF"/>
          </w:tcPr>
          <w:p w14:paraId="31E346A1" w14:textId="721B9A14" w:rsidR="00E01F42" w:rsidRPr="00B57B36" w:rsidRDefault="00E01F42" w:rsidP="00FD18AC">
            <w:pPr>
              <w:pStyle w:val="CETBodytext"/>
              <w:jc w:val="left"/>
              <w:rPr>
                <w:lang w:val="en-GB"/>
              </w:rPr>
            </w:pPr>
            <w:r>
              <w:rPr>
                <w:lang w:val="en-GB"/>
              </w:rPr>
              <w:t>Electricity</w:t>
            </w:r>
          </w:p>
        </w:tc>
        <w:tc>
          <w:tcPr>
            <w:tcW w:w="2060" w:type="dxa"/>
            <w:shd w:val="clear" w:color="auto" w:fill="FFFFFF"/>
          </w:tcPr>
          <w:p w14:paraId="5768A841" w14:textId="2D76247D" w:rsidR="00E01F42" w:rsidRPr="00E01F42" w:rsidRDefault="00E01F42" w:rsidP="00FD18AC">
            <w:pPr>
              <w:pStyle w:val="CETBodytext"/>
              <w:jc w:val="left"/>
              <w:rPr>
                <w:lang w:val="en-GB"/>
              </w:rPr>
            </w:pPr>
            <w:r>
              <w:rPr>
                <w:lang w:val="en-GB"/>
              </w:rPr>
              <w:t>H</w:t>
            </w:r>
            <w:r>
              <w:rPr>
                <w:vertAlign w:val="subscript"/>
                <w:lang w:val="en-GB"/>
              </w:rPr>
              <w:t>2</w:t>
            </w:r>
            <w:r w:rsidR="00CD48E4">
              <w:rPr>
                <w:vertAlign w:val="subscript"/>
                <w:lang w:val="en-GB"/>
              </w:rPr>
              <w:t xml:space="preserve"> </w:t>
            </w:r>
            <w:r>
              <w:rPr>
                <w:lang w:val="en-GB"/>
              </w:rPr>
              <w:t>+</w:t>
            </w:r>
            <w:r w:rsidR="00CD48E4">
              <w:rPr>
                <w:lang w:val="en-GB"/>
              </w:rPr>
              <w:t xml:space="preserve"> </w:t>
            </w:r>
            <w:r>
              <w:rPr>
                <w:lang w:val="en-GB"/>
              </w:rPr>
              <w:t>carbon black</w:t>
            </w:r>
          </w:p>
        </w:tc>
      </w:tr>
      <w:tr w:rsidR="00E01F42" w:rsidRPr="00B57B36" w14:paraId="4E598C0F" w14:textId="650BAB37" w:rsidTr="000937BD">
        <w:trPr>
          <w:trHeight w:val="572"/>
        </w:trPr>
        <w:tc>
          <w:tcPr>
            <w:tcW w:w="1865" w:type="dxa"/>
            <w:shd w:val="clear" w:color="auto" w:fill="FFFFFF"/>
          </w:tcPr>
          <w:p w14:paraId="374A68FA" w14:textId="1920A44B" w:rsidR="00E01F42" w:rsidRDefault="00E01F42" w:rsidP="00FD18AC">
            <w:pPr>
              <w:pStyle w:val="CETBodytext"/>
              <w:jc w:val="left"/>
              <w:rPr>
                <w:lang w:val="en-GB"/>
              </w:rPr>
            </w:pPr>
            <w:r>
              <w:rPr>
                <w:lang w:val="en-GB"/>
              </w:rPr>
              <w:t>Theoretical revenues</w:t>
            </w:r>
            <w:r w:rsidR="00DB6483">
              <w:rPr>
                <w:lang w:val="en-GB"/>
              </w:rPr>
              <w:t xml:space="preserve"> [$/y]</w:t>
            </w:r>
          </w:p>
        </w:tc>
        <w:tc>
          <w:tcPr>
            <w:tcW w:w="2104" w:type="dxa"/>
            <w:shd w:val="clear" w:color="auto" w:fill="FFFFFF"/>
          </w:tcPr>
          <w:p w14:paraId="219994A9" w14:textId="38694652" w:rsidR="00E01F42" w:rsidRPr="00646E0B" w:rsidRDefault="009F4417" w:rsidP="00FD18AC">
            <w:pPr>
              <w:pStyle w:val="CETBodytext"/>
              <w:jc w:val="left"/>
              <w:rPr>
                <w:lang w:val="en-GB"/>
              </w:rPr>
            </w:pPr>
            <w:r>
              <w:rPr>
                <w:lang w:val="en-GB"/>
              </w:rPr>
              <w:t xml:space="preserve">541,900 </w:t>
            </w:r>
          </w:p>
        </w:tc>
        <w:tc>
          <w:tcPr>
            <w:tcW w:w="1909" w:type="dxa"/>
            <w:shd w:val="clear" w:color="auto" w:fill="FFFFFF"/>
          </w:tcPr>
          <w:p w14:paraId="1BE8D5AA" w14:textId="198F3556" w:rsidR="00E01F42" w:rsidRPr="00B57B36" w:rsidRDefault="00DB6483" w:rsidP="00FD18AC">
            <w:pPr>
              <w:pStyle w:val="CETBodytext"/>
              <w:jc w:val="left"/>
              <w:rPr>
                <w:lang w:val="en-GB"/>
              </w:rPr>
            </w:pPr>
            <w:r>
              <w:rPr>
                <w:lang w:val="en-GB"/>
              </w:rPr>
              <w:t>436,423</w:t>
            </w:r>
          </w:p>
        </w:tc>
        <w:tc>
          <w:tcPr>
            <w:tcW w:w="2060" w:type="dxa"/>
            <w:shd w:val="clear" w:color="auto" w:fill="FFFFFF"/>
          </w:tcPr>
          <w:p w14:paraId="0BB44283" w14:textId="61382AA4" w:rsidR="00E01F42" w:rsidRDefault="002803A8" w:rsidP="00FD18AC">
            <w:pPr>
              <w:pStyle w:val="CETBodytext"/>
              <w:jc w:val="left"/>
              <w:rPr>
                <w:lang w:val="en-GB"/>
              </w:rPr>
            </w:pPr>
            <w:r>
              <w:rPr>
                <w:lang w:val="en-GB"/>
              </w:rPr>
              <w:t>3,760,310</w:t>
            </w:r>
          </w:p>
        </w:tc>
      </w:tr>
      <w:tr w:rsidR="00E01F42" w:rsidRPr="00B57B36" w14:paraId="00DACCE5" w14:textId="1D6853CA" w:rsidTr="000937BD">
        <w:trPr>
          <w:trHeight w:val="317"/>
        </w:trPr>
        <w:tc>
          <w:tcPr>
            <w:tcW w:w="1865" w:type="dxa"/>
            <w:shd w:val="clear" w:color="auto" w:fill="FFFFFF"/>
          </w:tcPr>
          <w:p w14:paraId="657AF1D0" w14:textId="16B19AE5" w:rsidR="00E01F42" w:rsidRDefault="00E01F42" w:rsidP="00FD18AC">
            <w:pPr>
              <w:pStyle w:val="CETBodytext"/>
              <w:jc w:val="left"/>
              <w:rPr>
                <w:lang w:val="en-GB"/>
              </w:rPr>
            </w:pPr>
            <w:r>
              <w:rPr>
                <w:lang w:val="en-GB"/>
              </w:rPr>
              <w:t>CAPEX</w:t>
            </w:r>
            <w:r w:rsidR="00DB6483">
              <w:rPr>
                <w:lang w:val="en-GB"/>
              </w:rPr>
              <w:t xml:space="preserve"> [$]</w:t>
            </w:r>
          </w:p>
        </w:tc>
        <w:tc>
          <w:tcPr>
            <w:tcW w:w="2104" w:type="dxa"/>
            <w:shd w:val="clear" w:color="auto" w:fill="FFFFFF"/>
          </w:tcPr>
          <w:p w14:paraId="5C5F0938" w14:textId="507E8ED4" w:rsidR="00E01F42" w:rsidRPr="00646E0B" w:rsidRDefault="00DB6483" w:rsidP="00FD18AC">
            <w:pPr>
              <w:pStyle w:val="CETBodytext"/>
              <w:jc w:val="left"/>
              <w:rPr>
                <w:lang w:val="en-GB"/>
              </w:rPr>
            </w:pPr>
            <w:r>
              <w:rPr>
                <w:lang w:val="en-GB"/>
              </w:rPr>
              <w:t>282,136</w:t>
            </w:r>
          </w:p>
        </w:tc>
        <w:tc>
          <w:tcPr>
            <w:tcW w:w="1909" w:type="dxa"/>
            <w:shd w:val="clear" w:color="auto" w:fill="FFFFFF"/>
          </w:tcPr>
          <w:p w14:paraId="44F18727" w14:textId="3B5A325A" w:rsidR="00E01F42" w:rsidRPr="00B57B36" w:rsidRDefault="0027255F" w:rsidP="00FD18AC">
            <w:pPr>
              <w:pStyle w:val="CETBodytext"/>
              <w:jc w:val="left"/>
              <w:rPr>
                <w:lang w:val="en-GB"/>
              </w:rPr>
            </w:pPr>
            <w:r>
              <w:rPr>
                <w:lang w:val="en-GB"/>
              </w:rPr>
              <w:t>749,990</w:t>
            </w:r>
          </w:p>
        </w:tc>
        <w:tc>
          <w:tcPr>
            <w:tcW w:w="2060" w:type="dxa"/>
            <w:shd w:val="clear" w:color="auto" w:fill="FFFFFF"/>
          </w:tcPr>
          <w:p w14:paraId="466328B3" w14:textId="701A760B" w:rsidR="00E01F42" w:rsidRDefault="00DB6483" w:rsidP="00FD18AC">
            <w:pPr>
              <w:pStyle w:val="CETBodytext"/>
              <w:jc w:val="left"/>
              <w:rPr>
                <w:lang w:val="en-GB"/>
              </w:rPr>
            </w:pPr>
            <w:r>
              <w:rPr>
                <w:lang w:val="en-GB"/>
              </w:rPr>
              <w:t>1,168,774</w:t>
            </w:r>
          </w:p>
        </w:tc>
      </w:tr>
      <w:tr w:rsidR="00E01F42" w:rsidRPr="00B57B36" w14:paraId="59F4F317" w14:textId="651D3D55" w:rsidTr="000937BD">
        <w:trPr>
          <w:trHeight w:val="317"/>
        </w:trPr>
        <w:tc>
          <w:tcPr>
            <w:tcW w:w="1865" w:type="dxa"/>
            <w:shd w:val="clear" w:color="auto" w:fill="FFFFFF"/>
          </w:tcPr>
          <w:p w14:paraId="46FE008B" w14:textId="47EEEF78" w:rsidR="00E01F42" w:rsidRDefault="00E01F42" w:rsidP="00FD18AC">
            <w:pPr>
              <w:pStyle w:val="CETBodytext"/>
              <w:jc w:val="left"/>
              <w:rPr>
                <w:lang w:val="en-GB"/>
              </w:rPr>
            </w:pPr>
            <w:r>
              <w:rPr>
                <w:lang w:val="en-GB"/>
              </w:rPr>
              <w:t>OPEX</w:t>
            </w:r>
            <w:r w:rsidR="00DB6483">
              <w:rPr>
                <w:lang w:val="en-GB"/>
              </w:rPr>
              <w:t xml:space="preserve"> [$/y]</w:t>
            </w:r>
          </w:p>
        </w:tc>
        <w:tc>
          <w:tcPr>
            <w:tcW w:w="2104" w:type="dxa"/>
            <w:shd w:val="clear" w:color="auto" w:fill="FFFFFF"/>
          </w:tcPr>
          <w:p w14:paraId="64F32BFB" w14:textId="139123E8" w:rsidR="00E01F42" w:rsidRPr="00646E0B" w:rsidRDefault="00F76E16" w:rsidP="00FD18AC">
            <w:pPr>
              <w:pStyle w:val="CETBodytext"/>
              <w:jc w:val="left"/>
              <w:rPr>
                <w:lang w:val="en-GB"/>
              </w:rPr>
            </w:pPr>
            <w:r>
              <w:rPr>
                <w:lang w:val="en-GB"/>
              </w:rPr>
              <w:t>280,295</w:t>
            </w:r>
          </w:p>
        </w:tc>
        <w:tc>
          <w:tcPr>
            <w:tcW w:w="1909" w:type="dxa"/>
            <w:shd w:val="clear" w:color="auto" w:fill="FFFFFF"/>
          </w:tcPr>
          <w:p w14:paraId="5FEB1E44" w14:textId="04903673" w:rsidR="00E01F42" w:rsidRPr="00B57B36" w:rsidRDefault="00F76E16" w:rsidP="00FD18AC">
            <w:pPr>
              <w:pStyle w:val="CETBodytext"/>
              <w:jc w:val="left"/>
              <w:rPr>
                <w:lang w:val="en-GB"/>
              </w:rPr>
            </w:pPr>
            <w:r>
              <w:rPr>
                <w:lang w:val="en-GB"/>
              </w:rPr>
              <w:t>131,454</w:t>
            </w:r>
          </w:p>
        </w:tc>
        <w:tc>
          <w:tcPr>
            <w:tcW w:w="2060" w:type="dxa"/>
            <w:shd w:val="clear" w:color="auto" w:fill="FFFFFF"/>
          </w:tcPr>
          <w:p w14:paraId="2DC6CBB5" w14:textId="6E73BAE0" w:rsidR="00E01F42" w:rsidRDefault="00F76E16" w:rsidP="00FD18AC">
            <w:pPr>
              <w:pStyle w:val="CETBodytext"/>
              <w:jc w:val="left"/>
              <w:rPr>
                <w:lang w:val="en-GB"/>
              </w:rPr>
            </w:pPr>
            <w:r>
              <w:rPr>
                <w:lang w:val="en-GB"/>
              </w:rPr>
              <w:t>319,558</w:t>
            </w:r>
          </w:p>
        </w:tc>
      </w:tr>
      <w:tr w:rsidR="00E01F42" w:rsidRPr="00B57B36" w14:paraId="2A962D36" w14:textId="3E81B2D3" w:rsidTr="000937BD">
        <w:trPr>
          <w:trHeight w:val="294"/>
        </w:trPr>
        <w:tc>
          <w:tcPr>
            <w:tcW w:w="1865" w:type="dxa"/>
            <w:shd w:val="clear" w:color="auto" w:fill="FFFFFF"/>
          </w:tcPr>
          <w:p w14:paraId="378FA253" w14:textId="790B24AD" w:rsidR="00E01F42" w:rsidRPr="00DB6483" w:rsidRDefault="00E01F42" w:rsidP="00FD18AC">
            <w:pPr>
              <w:pStyle w:val="CETBodytext"/>
              <w:ind w:right="-1"/>
              <w:jc w:val="left"/>
              <w:rPr>
                <w:rFonts w:cs="Arial"/>
                <w:szCs w:val="18"/>
                <w:lang w:val="en-GB"/>
              </w:rPr>
            </w:pPr>
            <w:r>
              <w:rPr>
                <w:rFonts w:cs="Arial"/>
                <w:szCs w:val="18"/>
                <w:lang w:val="en-GB"/>
              </w:rPr>
              <w:t>CO</w:t>
            </w:r>
            <w:r>
              <w:rPr>
                <w:rFonts w:cs="Arial"/>
                <w:szCs w:val="18"/>
                <w:vertAlign w:val="subscript"/>
                <w:lang w:val="en-GB"/>
              </w:rPr>
              <w:t>2</w:t>
            </w:r>
            <w:r>
              <w:rPr>
                <w:rFonts w:cs="Arial"/>
                <w:szCs w:val="18"/>
                <w:lang w:val="en-GB"/>
              </w:rPr>
              <w:t>-eq emissions</w:t>
            </w:r>
            <w:r w:rsidR="00DB6483">
              <w:rPr>
                <w:rFonts w:cs="Arial"/>
                <w:szCs w:val="18"/>
                <w:lang w:val="en-GB"/>
              </w:rPr>
              <w:t xml:space="preserve"> [</w:t>
            </w:r>
            <w:r w:rsidR="00F76E16">
              <w:rPr>
                <w:rFonts w:cs="Arial"/>
                <w:szCs w:val="18"/>
                <w:lang w:val="en-GB"/>
              </w:rPr>
              <w:t>t</w:t>
            </w:r>
            <w:r w:rsidR="00DB6483">
              <w:rPr>
                <w:rFonts w:cs="Arial"/>
                <w:szCs w:val="18"/>
                <w:lang w:val="en-GB"/>
              </w:rPr>
              <w:t>CO</w:t>
            </w:r>
            <w:r w:rsidR="00DB6483">
              <w:rPr>
                <w:rFonts w:cs="Arial"/>
                <w:szCs w:val="18"/>
                <w:vertAlign w:val="subscript"/>
                <w:lang w:val="en-GB"/>
              </w:rPr>
              <w:t>2</w:t>
            </w:r>
            <w:r w:rsidR="00DB6483">
              <w:rPr>
                <w:rFonts w:cs="Arial"/>
                <w:szCs w:val="18"/>
                <w:lang w:val="en-GB"/>
              </w:rPr>
              <w:t>-eq/y]</w:t>
            </w:r>
          </w:p>
        </w:tc>
        <w:tc>
          <w:tcPr>
            <w:tcW w:w="2104" w:type="dxa"/>
            <w:shd w:val="clear" w:color="auto" w:fill="FFFFFF"/>
          </w:tcPr>
          <w:p w14:paraId="251E91C6" w14:textId="1735CEAC" w:rsidR="00E01F42" w:rsidRPr="00646E0B" w:rsidRDefault="00F76E16" w:rsidP="00FD18AC">
            <w:pPr>
              <w:pStyle w:val="CETBodytext"/>
              <w:ind w:right="-1"/>
              <w:jc w:val="left"/>
              <w:rPr>
                <w:rFonts w:cs="Arial"/>
                <w:szCs w:val="18"/>
                <w:lang w:val="en-GB"/>
              </w:rPr>
            </w:pPr>
            <w:r>
              <w:rPr>
                <w:rFonts w:cs="Arial"/>
                <w:szCs w:val="18"/>
                <w:lang w:val="en-GB"/>
              </w:rPr>
              <w:t>1</w:t>
            </w:r>
            <w:r w:rsidR="00BF1BBF">
              <w:rPr>
                <w:rFonts w:cs="Arial"/>
                <w:szCs w:val="18"/>
                <w:lang w:val="en-GB"/>
              </w:rPr>
              <w:t>,</w:t>
            </w:r>
            <w:r>
              <w:rPr>
                <w:rFonts w:cs="Arial"/>
                <w:szCs w:val="18"/>
                <w:lang w:val="en-GB"/>
              </w:rPr>
              <w:t>147</w:t>
            </w:r>
          </w:p>
        </w:tc>
        <w:tc>
          <w:tcPr>
            <w:tcW w:w="1909" w:type="dxa"/>
            <w:shd w:val="clear" w:color="auto" w:fill="FFFFFF"/>
          </w:tcPr>
          <w:p w14:paraId="20CB194C" w14:textId="7177AD07" w:rsidR="00E01F42" w:rsidRPr="00B57B36" w:rsidRDefault="00BF1BBF" w:rsidP="00FD18AC">
            <w:pPr>
              <w:pStyle w:val="CETBodytext"/>
              <w:ind w:right="-1"/>
              <w:jc w:val="left"/>
              <w:rPr>
                <w:rFonts w:cs="Arial"/>
                <w:szCs w:val="18"/>
                <w:lang w:val="en-GB"/>
              </w:rPr>
            </w:pPr>
            <w:r>
              <w:rPr>
                <w:rFonts w:cs="Arial"/>
                <w:szCs w:val="18"/>
                <w:lang w:val="en-GB"/>
              </w:rPr>
              <w:t>11,560</w:t>
            </w:r>
          </w:p>
        </w:tc>
        <w:tc>
          <w:tcPr>
            <w:tcW w:w="2060" w:type="dxa"/>
            <w:shd w:val="clear" w:color="auto" w:fill="FFFFFF"/>
          </w:tcPr>
          <w:p w14:paraId="10B61ADA" w14:textId="74DA3031" w:rsidR="00E01F42" w:rsidRDefault="00BF1BBF" w:rsidP="00FD18AC">
            <w:pPr>
              <w:pStyle w:val="CETBodytext"/>
              <w:ind w:right="-1"/>
              <w:jc w:val="left"/>
              <w:rPr>
                <w:rFonts w:cs="Arial"/>
                <w:szCs w:val="18"/>
                <w:lang w:val="en-GB"/>
              </w:rPr>
            </w:pPr>
            <w:r>
              <w:rPr>
                <w:rFonts w:cs="Arial"/>
                <w:szCs w:val="18"/>
                <w:lang w:val="en-GB"/>
              </w:rPr>
              <w:t>2,451</w:t>
            </w:r>
          </w:p>
        </w:tc>
      </w:tr>
      <w:tr w:rsidR="00BF1BBF" w:rsidRPr="00B57B36" w14:paraId="2FB1EF83" w14:textId="77777777" w:rsidTr="000937BD">
        <w:trPr>
          <w:trHeight w:val="294"/>
        </w:trPr>
        <w:tc>
          <w:tcPr>
            <w:tcW w:w="1865" w:type="dxa"/>
            <w:shd w:val="clear" w:color="auto" w:fill="FFFFFF"/>
          </w:tcPr>
          <w:p w14:paraId="472E89AD" w14:textId="371855BF" w:rsidR="00BF1BBF" w:rsidRDefault="00BF1BBF" w:rsidP="00FD18AC">
            <w:pPr>
              <w:pStyle w:val="CETBodytext"/>
              <w:ind w:right="-1"/>
              <w:jc w:val="left"/>
              <w:rPr>
                <w:rFonts w:cs="Arial"/>
                <w:szCs w:val="18"/>
                <w:lang w:val="en-GB"/>
              </w:rPr>
            </w:pPr>
            <w:r>
              <w:rPr>
                <w:rFonts w:cs="Arial"/>
                <w:szCs w:val="18"/>
                <w:lang w:val="en-GB"/>
              </w:rPr>
              <w:t>Carbon tax [$/y]</w:t>
            </w:r>
          </w:p>
        </w:tc>
        <w:tc>
          <w:tcPr>
            <w:tcW w:w="2104" w:type="dxa"/>
            <w:shd w:val="clear" w:color="auto" w:fill="FFFFFF"/>
          </w:tcPr>
          <w:p w14:paraId="5F647D73" w14:textId="7C31F4BB" w:rsidR="00BF1BBF" w:rsidRDefault="00BF1BBF" w:rsidP="00FD18AC">
            <w:pPr>
              <w:pStyle w:val="CETBodytext"/>
              <w:ind w:right="-1"/>
              <w:jc w:val="left"/>
              <w:rPr>
                <w:rFonts w:cs="Arial"/>
                <w:szCs w:val="18"/>
                <w:lang w:val="en-GB"/>
              </w:rPr>
            </w:pPr>
            <w:r>
              <w:rPr>
                <w:rFonts w:cs="Arial"/>
                <w:szCs w:val="18"/>
                <w:lang w:val="en-GB"/>
              </w:rPr>
              <w:t>57,350</w:t>
            </w:r>
          </w:p>
        </w:tc>
        <w:tc>
          <w:tcPr>
            <w:tcW w:w="1909" w:type="dxa"/>
            <w:shd w:val="clear" w:color="auto" w:fill="FFFFFF"/>
          </w:tcPr>
          <w:p w14:paraId="2D2D892F" w14:textId="49813097" w:rsidR="00BF1BBF" w:rsidRDefault="00BF1BBF" w:rsidP="00FD18AC">
            <w:pPr>
              <w:pStyle w:val="CETBodytext"/>
              <w:ind w:right="-1"/>
              <w:jc w:val="left"/>
              <w:rPr>
                <w:rFonts w:cs="Arial"/>
                <w:szCs w:val="18"/>
                <w:lang w:val="en-GB"/>
              </w:rPr>
            </w:pPr>
            <w:r>
              <w:rPr>
                <w:rFonts w:cs="Arial"/>
                <w:szCs w:val="18"/>
                <w:lang w:val="en-GB"/>
              </w:rPr>
              <w:t>578,000</w:t>
            </w:r>
          </w:p>
        </w:tc>
        <w:tc>
          <w:tcPr>
            <w:tcW w:w="2060" w:type="dxa"/>
            <w:shd w:val="clear" w:color="auto" w:fill="FFFFFF"/>
          </w:tcPr>
          <w:p w14:paraId="46F492D6" w14:textId="7EC208D8" w:rsidR="00BF1BBF" w:rsidRDefault="00BF1BBF" w:rsidP="00FD18AC">
            <w:pPr>
              <w:pStyle w:val="CETBodytext"/>
              <w:ind w:right="-1"/>
              <w:jc w:val="left"/>
              <w:rPr>
                <w:rFonts w:cs="Arial"/>
                <w:szCs w:val="18"/>
                <w:lang w:val="en-GB"/>
              </w:rPr>
            </w:pPr>
            <w:r>
              <w:rPr>
                <w:rFonts w:cs="Arial"/>
                <w:szCs w:val="18"/>
                <w:lang w:val="en-GB"/>
              </w:rPr>
              <w:t>122,550</w:t>
            </w:r>
          </w:p>
        </w:tc>
      </w:tr>
      <w:tr w:rsidR="0078610B" w:rsidRPr="00B57B36" w14:paraId="71EBA61C" w14:textId="77777777" w:rsidTr="000937BD">
        <w:trPr>
          <w:trHeight w:val="294"/>
        </w:trPr>
        <w:tc>
          <w:tcPr>
            <w:tcW w:w="1865" w:type="dxa"/>
            <w:shd w:val="clear" w:color="auto" w:fill="FFFFFF"/>
          </w:tcPr>
          <w:p w14:paraId="1E884EF4" w14:textId="055672F9" w:rsidR="0078610B" w:rsidRDefault="0078610B" w:rsidP="00FD18AC">
            <w:pPr>
              <w:pStyle w:val="CETBodytext"/>
              <w:ind w:right="-1"/>
              <w:jc w:val="left"/>
              <w:rPr>
                <w:rFonts w:cs="Arial"/>
                <w:szCs w:val="18"/>
                <w:lang w:val="en-GB"/>
              </w:rPr>
            </w:pPr>
            <w:r>
              <w:rPr>
                <w:rFonts w:cs="Arial"/>
                <w:szCs w:val="18"/>
                <w:lang w:val="en-GB"/>
              </w:rPr>
              <w:t>Economic potential [$/y</w:t>
            </w:r>
            <w:r w:rsidR="00D231E3">
              <w:rPr>
                <w:rFonts w:cs="Arial"/>
                <w:szCs w:val="18"/>
                <w:lang w:val="en-GB"/>
              </w:rPr>
              <w:t>]</w:t>
            </w:r>
          </w:p>
        </w:tc>
        <w:tc>
          <w:tcPr>
            <w:tcW w:w="2104" w:type="dxa"/>
            <w:shd w:val="clear" w:color="auto" w:fill="FFFFFF"/>
          </w:tcPr>
          <w:p w14:paraId="6E49A2F5" w14:textId="65EBA76B" w:rsidR="0078610B" w:rsidRDefault="0078610B" w:rsidP="00FD18AC">
            <w:pPr>
              <w:pStyle w:val="CETBodytext"/>
              <w:ind w:right="-1"/>
              <w:jc w:val="left"/>
              <w:rPr>
                <w:rFonts w:cs="Arial"/>
                <w:szCs w:val="18"/>
                <w:lang w:val="en-GB"/>
              </w:rPr>
            </w:pPr>
            <w:r>
              <w:rPr>
                <w:rFonts w:cs="Arial"/>
                <w:szCs w:val="18"/>
                <w:lang w:val="en-GB"/>
              </w:rPr>
              <w:t>110,209</w:t>
            </w:r>
          </w:p>
        </w:tc>
        <w:tc>
          <w:tcPr>
            <w:tcW w:w="1909" w:type="dxa"/>
            <w:shd w:val="clear" w:color="auto" w:fill="FFFFFF"/>
          </w:tcPr>
          <w:p w14:paraId="19FD7350" w14:textId="201795C6" w:rsidR="0078610B" w:rsidRDefault="0078610B" w:rsidP="0078610B">
            <w:pPr>
              <w:pStyle w:val="CETBodytext"/>
              <w:ind w:right="-1"/>
              <w:jc w:val="left"/>
              <w:rPr>
                <w:rFonts w:cs="Arial"/>
                <w:szCs w:val="18"/>
                <w:lang w:val="en-GB"/>
              </w:rPr>
            </w:pPr>
            <w:r>
              <w:rPr>
                <w:rFonts w:cs="Arial"/>
                <w:szCs w:val="18"/>
                <w:lang w:val="en-GB"/>
              </w:rPr>
              <w:t>-</w:t>
            </w:r>
            <w:r w:rsidR="00772A79">
              <w:rPr>
                <w:rFonts w:cs="Arial"/>
                <w:szCs w:val="18"/>
                <w:lang w:val="en-GB"/>
              </w:rPr>
              <w:t>523,027</w:t>
            </w:r>
          </w:p>
        </w:tc>
        <w:tc>
          <w:tcPr>
            <w:tcW w:w="2060" w:type="dxa"/>
            <w:shd w:val="clear" w:color="auto" w:fill="FFFFFF"/>
          </w:tcPr>
          <w:p w14:paraId="2B3D8387" w14:textId="6E1A74F9" w:rsidR="0078610B" w:rsidRDefault="0078610B" w:rsidP="00FD18AC">
            <w:pPr>
              <w:pStyle w:val="CETBodytext"/>
              <w:ind w:right="-1"/>
              <w:jc w:val="left"/>
              <w:rPr>
                <w:rFonts w:cs="Arial"/>
                <w:szCs w:val="18"/>
                <w:lang w:val="en-GB"/>
              </w:rPr>
            </w:pPr>
            <w:r>
              <w:rPr>
                <w:rFonts w:cs="Arial"/>
                <w:szCs w:val="18"/>
                <w:lang w:val="en-GB"/>
              </w:rPr>
              <w:t>2,928,610</w:t>
            </w:r>
          </w:p>
        </w:tc>
      </w:tr>
    </w:tbl>
    <w:p w14:paraId="0A9B88A3" w14:textId="77777777" w:rsidR="00BE533D" w:rsidRDefault="00BE533D" w:rsidP="00BE533D">
      <w:pPr>
        <w:pStyle w:val="CETBodytext"/>
        <w:rPr>
          <w:lang w:val="en-GB"/>
        </w:rPr>
      </w:pPr>
    </w:p>
    <w:p w14:paraId="5E472699" w14:textId="785B2D38" w:rsidR="0038256F" w:rsidRDefault="0038256F" w:rsidP="0038256F">
      <w:pPr>
        <w:pStyle w:val="CETBodytext"/>
        <w:rPr>
          <w:lang w:val="en-GB"/>
        </w:rPr>
      </w:pPr>
      <w:r>
        <w:rPr>
          <w:lang w:val="en-GB"/>
        </w:rPr>
        <w:t>The results in Table 3 show how different the three possibilities are in terms of profitability and environmental impact. As for these numbers, the flaring coupled with the microturbine is the worst alternative</w:t>
      </w:r>
      <w:r w:rsidR="00C31654">
        <w:rPr>
          <w:lang w:val="en-GB"/>
        </w:rPr>
        <w:t>.</w:t>
      </w:r>
      <w:r>
        <w:rPr>
          <w:lang w:val="en-GB"/>
        </w:rPr>
        <w:t xml:space="preserve"> The main issue here is related to the fact that the natural gas feed is burnt completely, causing very high CO</w:t>
      </w:r>
      <w:r>
        <w:rPr>
          <w:vertAlign w:val="subscript"/>
          <w:lang w:val="en-GB"/>
        </w:rPr>
        <w:t>2</w:t>
      </w:r>
      <w:r>
        <w:rPr>
          <w:lang w:val="en-GB"/>
        </w:rPr>
        <w:t xml:space="preserve"> emissions that also have an impact on the economic potential through the carbon tax. This results in a heavily negative economic potential (Figure 1). This underlines why flaring is usually exploited alone at extraction sites since it is apparently uneconomical once coupled with other strategies.</w:t>
      </w:r>
    </w:p>
    <w:p w14:paraId="6AA0B497" w14:textId="72EDCD32" w:rsidR="0038256F" w:rsidRDefault="0038256F" w:rsidP="0038256F">
      <w:pPr>
        <w:pStyle w:val="CETBodytext"/>
        <w:rPr>
          <w:lang w:val="en-GB"/>
        </w:rPr>
      </w:pPr>
      <w:r>
        <w:rPr>
          <w:lang w:val="en-GB"/>
        </w:rPr>
        <w:t xml:space="preserve">For what concerns compression, this is one of the best possibilities from both economic and environmental points of view, but only if an appropriate pipeline network is present. Multi-stage compression is needed, but this is simpler to achieve </w:t>
      </w:r>
      <w:r w:rsidR="000937BD">
        <w:rPr>
          <w:lang w:val="en-GB"/>
        </w:rPr>
        <w:t>than</w:t>
      </w:r>
      <w:r>
        <w:rPr>
          <w:lang w:val="en-GB"/>
        </w:rPr>
        <w:t xml:space="preserve"> other solutions.</w:t>
      </w:r>
      <w:r w:rsidR="001370D3">
        <w:rPr>
          <w:lang w:val="en-GB"/>
        </w:rPr>
        <w:t xml:space="preserve"> As</w:t>
      </w:r>
      <w:r w:rsidR="00BE2189">
        <w:rPr>
          <w:lang w:val="en-GB"/>
        </w:rPr>
        <w:t xml:space="preserve"> reported earlier, issues may arise if </w:t>
      </w:r>
      <w:r w:rsidR="00C70DE8">
        <w:rPr>
          <w:lang w:val="en-GB"/>
        </w:rPr>
        <w:t>a pipeline network is not</w:t>
      </w:r>
      <w:r w:rsidR="00BE2189">
        <w:rPr>
          <w:lang w:val="en-GB"/>
        </w:rPr>
        <w:t xml:space="preserve"> present </w:t>
      </w:r>
      <w:r w:rsidR="00C70DE8">
        <w:rPr>
          <w:lang w:val="en-GB"/>
        </w:rPr>
        <w:t xml:space="preserve">and </w:t>
      </w:r>
      <w:r w:rsidR="00BE2189">
        <w:rPr>
          <w:lang w:val="en-GB"/>
        </w:rPr>
        <w:t xml:space="preserve">able to guarantee an appropriate gas distribution. If this is the case, the overall profitability of the technology is intended to change. </w:t>
      </w:r>
      <w:r>
        <w:rPr>
          <w:lang w:val="en-GB"/>
        </w:rPr>
        <w:t xml:space="preserve">   </w:t>
      </w:r>
    </w:p>
    <w:p w14:paraId="23565325" w14:textId="60920ABC" w:rsidR="0038256F" w:rsidRDefault="0038256F" w:rsidP="0038256F">
      <w:pPr>
        <w:pStyle w:val="CETBodytext"/>
        <w:rPr>
          <w:lang w:val="en-GB"/>
        </w:rPr>
      </w:pPr>
      <w:r>
        <w:rPr>
          <w:lang w:val="en-GB"/>
        </w:rPr>
        <w:t xml:space="preserve">Last, methane pyrolysis presents CAPEX much higher than the other two possibilities. This happens because the installation of a whole process is required rather than just single-unit operations. Still, the process allows to transform natural gas into </w:t>
      </w:r>
      <w:r w:rsidR="009320B8">
        <w:rPr>
          <w:lang w:val="en-GB"/>
        </w:rPr>
        <w:t xml:space="preserve">more valued </w:t>
      </w:r>
      <w:r>
        <w:rPr>
          <w:lang w:val="en-GB"/>
        </w:rPr>
        <w:t>chemicals, therefor</w:t>
      </w:r>
      <w:r w:rsidR="009320B8">
        <w:rPr>
          <w:lang w:val="en-GB"/>
        </w:rPr>
        <w:t>e</w:t>
      </w:r>
      <w:r w:rsidR="000A68BC">
        <w:rPr>
          <w:lang w:val="en-GB"/>
        </w:rPr>
        <w:t>,</w:t>
      </w:r>
      <w:r>
        <w:rPr>
          <w:lang w:val="en-GB"/>
        </w:rPr>
        <w:t xml:space="preserve"> the economic potential is positive. Pyrolysis looks both profitable and almost carbon-free. In fact, the carbon part of the hydrocarbons is stored within the solid product, which is safe and easy to handle. Anyway, in this case, there is also the need for pipelines to recover and transport produced H</w:t>
      </w:r>
      <w:r>
        <w:rPr>
          <w:vertAlign w:val="subscript"/>
          <w:lang w:val="en-GB"/>
        </w:rPr>
        <w:t>2</w:t>
      </w:r>
      <w:r>
        <w:rPr>
          <w:lang w:val="en-GB"/>
        </w:rPr>
        <w:t>. If this is not the case, the overall profitability of the process can be questioned. The results are summarised in Figure 1.</w:t>
      </w:r>
    </w:p>
    <w:p w14:paraId="4669F58F" w14:textId="77777777" w:rsidR="00895F06" w:rsidRDefault="00744604" w:rsidP="00895F06">
      <w:pPr>
        <w:pStyle w:val="CETBodytext"/>
        <w:keepNext/>
      </w:pPr>
      <w:r>
        <w:rPr>
          <w:noProof/>
          <w:lang w:val="en-GB"/>
        </w:rPr>
        <w:lastRenderedPageBreak/>
        <w:drawing>
          <wp:inline distT="0" distB="0" distL="0" distR="0" wp14:anchorId="0A3758E3" wp14:editId="6D9145F7">
            <wp:extent cx="3991862" cy="284797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silvia.JPG"/>
                    <pic:cNvPicPr/>
                  </pic:nvPicPr>
                  <pic:blipFill>
                    <a:blip r:embed="rId11"/>
                    <a:stretch>
                      <a:fillRect/>
                    </a:stretch>
                  </pic:blipFill>
                  <pic:spPr>
                    <a:xfrm>
                      <a:off x="0" y="0"/>
                      <a:ext cx="3994228" cy="2849663"/>
                    </a:xfrm>
                    <a:prstGeom prst="rect">
                      <a:avLst/>
                    </a:prstGeom>
                  </pic:spPr>
                </pic:pic>
              </a:graphicData>
            </a:graphic>
          </wp:inline>
        </w:drawing>
      </w:r>
    </w:p>
    <w:p w14:paraId="0B474A9C" w14:textId="71F507B5" w:rsidR="00744604" w:rsidRPr="00F510A1" w:rsidRDefault="003072D2" w:rsidP="00895F06">
      <w:pPr>
        <w:pStyle w:val="CETCaption"/>
      </w:pPr>
      <w:r>
        <w:t xml:space="preserve">Figure </w:t>
      </w:r>
      <w:r>
        <w:fldChar w:fldCharType="begin"/>
      </w:r>
      <w:r>
        <w:instrText xml:space="preserve"> SEQ Figure \* ARABIC </w:instrText>
      </w:r>
      <w:r>
        <w:fldChar w:fldCharType="separate"/>
      </w:r>
      <w:r>
        <w:rPr>
          <w:noProof/>
        </w:rPr>
        <w:t>1</w:t>
      </w:r>
      <w:r>
        <w:fldChar w:fldCharType="end"/>
      </w:r>
      <w:r>
        <w:t xml:space="preserve">: Comparison of the three technologies: Economic potential versus emissions. The size of the symbol is proportional to the CAPEX. </w:t>
      </w:r>
    </w:p>
    <w:p w14:paraId="68D26B83" w14:textId="77777777" w:rsidR="00600535" w:rsidRPr="00B57B36" w:rsidRDefault="00600535" w:rsidP="00600535">
      <w:pPr>
        <w:pStyle w:val="CETHeading1"/>
        <w:rPr>
          <w:lang w:val="en-GB"/>
        </w:rPr>
      </w:pPr>
      <w:r w:rsidRPr="00B57B36">
        <w:rPr>
          <w:lang w:val="en-GB"/>
        </w:rPr>
        <w:t>Conclusions</w:t>
      </w:r>
    </w:p>
    <w:p w14:paraId="1257BF61" w14:textId="3763BB6B" w:rsidR="004228AD" w:rsidRDefault="004228AD" w:rsidP="00CA3266">
      <w:pPr>
        <w:pStyle w:val="CETBodytext"/>
        <w:rPr>
          <w:lang w:val="en-GB"/>
        </w:rPr>
      </w:pPr>
      <w:r>
        <w:rPr>
          <w:lang w:val="en-GB"/>
        </w:rPr>
        <w:t xml:space="preserve">In the context of a high-emissions industry like oil extraction, it is urgent to find a solution to </w:t>
      </w:r>
      <w:r w:rsidR="00E84871">
        <w:rPr>
          <w:lang w:val="en-GB"/>
        </w:rPr>
        <w:t>standard</w:t>
      </w:r>
      <w:r>
        <w:rPr>
          <w:lang w:val="en-GB"/>
        </w:rPr>
        <w:t xml:space="preserve"> practices such as flaring and venting. In Canada, where these two activities are widely used to dispose of the gas that naturally flows out of the extraction site. </w:t>
      </w:r>
      <w:r w:rsidR="00742739" w:rsidRPr="00742739">
        <w:rPr>
          <w:lang w:val="en-GB"/>
        </w:rPr>
        <w:t>This paper discussed three solutions to the problem: compression</w:t>
      </w:r>
      <w:r>
        <w:rPr>
          <w:lang w:val="en-GB"/>
        </w:rPr>
        <w:t xml:space="preserve">, flaring coupled to the microturbine, and methane pyrolysis. </w:t>
      </w:r>
    </w:p>
    <w:p w14:paraId="4B559693" w14:textId="76C16F8F" w:rsidR="004228AD" w:rsidRDefault="004228AD" w:rsidP="00CA3266">
      <w:pPr>
        <w:pStyle w:val="CETBodytext"/>
        <w:rPr>
          <w:lang w:val="en-GB"/>
        </w:rPr>
      </w:pPr>
      <w:r>
        <w:rPr>
          <w:lang w:val="en-GB"/>
        </w:rPr>
        <w:t>The microturbine as developed here is not a feasible solution both from an economic and environmental perspective. In fact, it is characterised by very high CAPEX (750 k$) and GHG emissions (more than 10,000 t/y of CO</w:t>
      </w:r>
      <w:r>
        <w:rPr>
          <w:vertAlign w:val="subscript"/>
          <w:lang w:val="en-GB"/>
        </w:rPr>
        <w:t>2</w:t>
      </w:r>
      <w:r>
        <w:rPr>
          <w:lang w:val="en-GB"/>
        </w:rPr>
        <w:t xml:space="preserve"> released). One possibility to improve the situation would be to equip the unit with CCS. This would impact the overall costs, but the environmental impact would benefit from that. </w:t>
      </w:r>
    </w:p>
    <w:p w14:paraId="2D7E50EE" w14:textId="249EE32D" w:rsidR="004228AD" w:rsidRDefault="004228AD" w:rsidP="00CA3266">
      <w:pPr>
        <w:pStyle w:val="CETBodytext"/>
        <w:rPr>
          <w:lang w:val="en-GB"/>
        </w:rPr>
      </w:pPr>
      <w:r>
        <w:rPr>
          <w:lang w:val="en-GB"/>
        </w:rPr>
        <w:t xml:space="preserve">Compression has the lowest CAPEX (about 282 k$) and the lowest annual emissions (1,147 t/y). The main possible issue is related to the </w:t>
      </w:r>
      <w:r w:rsidR="002B7A82">
        <w:rPr>
          <w:lang w:val="en-GB"/>
        </w:rPr>
        <w:t>need for</w:t>
      </w:r>
      <w:r>
        <w:rPr>
          <w:lang w:val="en-GB"/>
        </w:rPr>
        <w:t xml:space="preserve"> a pipeline network to guarantee the correct supply of this gas to industrial and residential zones.</w:t>
      </w:r>
    </w:p>
    <w:p w14:paraId="61F397E5" w14:textId="601AF49A" w:rsidR="004228AD" w:rsidRPr="009D1863" w:rsidRDefault="004228AD" w:rsidP="00CA3266">
      <w:pPr>
        <w:pStyle w:val="CETBodytext"/>
        <w:rPr>
          <w:lang w:val="en-GB"/>
        </w:rPr>
      </w:pPr>
      <w:r>
        <w:rPr>
          <w:lang w:val="en-GB"/>
        </w:rPr>
        <w:t xml:space="preserve">Methane pyrolysis, the last possibility analysed, is by far the most promising: although it has very high CAPEX (&gt; 1 M$), it presents a very high economic potential (almost 3 M$/y), alongside </w:t>
      </w:r>
      <w:r w:rsidR="00B812D8">
        <w:rPr>
          <w:lang w:val="en-GB"/>
        </w:rPr>
        <w:t>r</w:t>
      </w:r>
      <w:r>
        <w:rPr>
          <w:lang w:val="en-GB"/>
        </w:rPr>
        <w:t>educed yearly emissions (2,400 t/y of CO</w:t>
      </w:r>
      <w:r>
        <w:rPr>
          <w:vertAlign w:val="subscript"/>
          <w:lang w:val="en-GB"/>
        </w:rPr>
        <w:t>2</w:t>
      </w:r>
      <w:r>
        <w:rPr>
          <w:lang w:val="en-GB"/>
        </w:rPr>
        <w:t xml:space="preserve"> emitted). Turquoise H</w:t>
      </w:r>
      <w:r>
        <w:rPr>
          <w:vertAlign w:val="subscript"/>
          <w:lang w:val="en-GB"/>
        </w:rPr>
        <w:t>2</w:t>
      </w:r>
      <w:r>
        <w:rPr>
          <w:lang w:val="en-GB"/>
        </w:rPr>
        <w:t xml:space="preserve"> </w:t>
      </w:r>
      <w:r w:rsidR="00AF3171">
        <w:rPr>
          <w:lang w:val="en-GB"/>
        </w:rPr>
        <w:t>is</w:t>
      </w:r>
      <w:r>
        <w:rPr>
          <w:lang w:val="en-GB"/>
        </w:rPr>
        <w:t xml:space="preserve"> a concrete possibility to help reduce emissions at extraction sites. </w:t>
      </w:r>
    </w:p>
    <w:p w14:paraId="07A6D20F" w14:textId="75E1BB61" w:rsidR="00280FAF" w:rsidRPr="008173CC" w:rsidRDefault="004228AD" w:rsidP="00CA3266">
      <w:pPr>
        <w:pStyle w:val="CETBodytext"/>
        <w:rPr>
          <w:lang w:val="en-GB"/>
        </w:rPr>
        <w:sectPr w:rsidR="00280FAF" w:rsidRPr="008173CC" w:rsidSect="007D0951">
          <w:type w:val="continuous"/>
          <w:pgSz w:w="11906" w:h="16838" w:code="9"/>
          <w:pgMar w:top="1701" w:right="1418" w:bottom="1701" w:left="1701" w:header="1701" w:footer="0" w:gutter="0"/>
          <w:cols w:space="708"/>
          <w:formProt w:val="0"/>
          <w:titlePg/>
          <w:docGrid w:linePitch="360"/>
        </w:sectPr>
      </w:pPr>
      <w:r>
        <w:rPr>
          <w:lang w:val="en-GB"/>
        </w:rPr>
        <w:t xml:space="preserve">It is important to underline that these numbers only represent estimates, </w:t>
      </w:r>
      <w:r w:rsidR="008E21C6">
        <w:rPr>
          <w:lang w:val="en-GB"/>
        </w:rPr>
        <w:t xml:space="preserve">which is </w:t>
      </w:r>
      <w:r>
        <w:rPr>
          <w:lang w:val="en-GB"/>
        </w:rPr>
        <w:t xml:space="preserve">useful </w:t>
      </w:r>
      <w:r w:rsidR="008E21C6">
        <w:rPr>
          <w:lang w:val="en-GB"/>
        </w:rPr>
        <w:t>for preliminary</w:t>
      </w:r>
      <w:r>
        <w:rPr>
          <w:lang w:val="en-GB"/>
        </w:rPr>
        <w:t xml:space="preserve"> considerations. Economic indices would be a better tool for making a proper economic assessment. These numbers are a good starting point for further considerations to avoid flaring and venting. Future work will address m</w:t>
      </w:r>
      <w:r w:rsidR="008E21C6">
        <w:rPr>
          <w:lang w:val="en-GB"/>
        </w:rPr>
        <w:t>ethane pyrolysis in more detail</w:t>
      </w:r>
      <w:r>
        <w:rPr>
          <w:lang w:val="en-GB"/>
        </w:rPr>
        <w:t xml:space="preserve"> through process simulation and techno-economic assessment</w:t>
      </w:r>
      <w:r w:rsidR="00572867">
        <w:rPr>
          <w:lang w:val="en-GB"/>
        </w:rPr>
        <w:t>.</w:t>
      </w:r>
    </w:p>
    <w:p w14:paraId="38BFE636" w14:textId="6FD8E2EF"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p>
    <w:p w14:paraId="459D05E6" w14:textId="3CC82767" w:rsidR="00600535" w:rsidRPr="00B57B36" w:rsidRDefault="00CF286E" w:rsidP="00600535">
      <w:pPr>
        <w:pStyle w:val="CETAcknowledgementstitle"/>
      </w:pPr>
      <w:r>
        <w:t>Acknowledgements</w:t>
      </w:r>
    </w:p>
    <w:p w14:paraId="33F8138F" w14:textId="24F7BAAC" w:rsidR="00600535" w:rsidRPr="00B57B36" w:rsidRDefault="002D69C1" w:rsidP="00600535">
      <w:pPr>
        <w:pStyle w:val="CETBodytext"/>
        <w:rPr>
          <w:lang w:val="en-GB"/>
        </w:rPr>
      </w:pPr>
      <w:r>
        <w:rPr>
          <w:rStyle w:val="ui-provider"/>
        </w:rPr>
        <w:t>The authors</w:t>
      </w:r>
      <w:r w:rsidR="00053555">
        <w:rPr>
          <w:rStyle w:val="ui-provider"/>
        </w:rPr>
        <w:t xml:space="preserve"> acknowledge the support of the Natural Sciences and Engineering Research Council of Canada (NSERC) [funding reference number RGPIN-2022-04218]</w:t>
      </w:r>
      <w:r w:rsidR="00600535" w:rsidRPr="00B57B36">
        <w:rPr>
          <w:lang w:val="en-GB"/>
        </w:rPr>
        <w:t>.</w:t>
      </w:r>
      <w:r w:rsidR="00152226">
        <w:rPr>
          <w:lang w:val="en-GB"/>
        </w:rPr>
        <w:t xml:space="preserve"> </w:t>
      </w:r>
      <w:r w:rsidR="00152226">
        <w:rPr>
          <w:rStyle w:val="ui-provider"/>
        </w:rPr>
        <w:t xml:space="preserve">The authors thank AVEVA for the concession of the academic license of the software AVEVA PRO/II, </w:t>
      </w:r>
      <w:r w:rsidR="00CA3266">
        <w:rPr>
          <w:rStyle w:val="ui-provider"/>
        </w:rPr>
        <w:t>which</w:t>
      </w:r>
      <w:r w:rsidR="00152226">
        <w:rPr>
          <w:rStyle w:val="ui-provider"/>
        </w:rPr>
        <w:t xml:space="preserve"> was used for all the simulations</w:t>
      </w:r>
      <w:r w:rsidR="00895F06">
        <w:rPr>
          <w:rStyle w:val="ui-provider"/>
        </w:rPr>
        <w:t>.</w:t>
      </w:r>
    </w:p>
    <w:p w14:paraId="7058385C" w14:textId="77777777" w:rsidR="007D4996" w:rsidRDefault="007D4996" w:rsidP="00A97B62">
      <w:pPr>
        <w:pStyle w:val="CETReference"/>
      </w:pPr>
    </w:p>
    <w:p w14:paraId="428B022A" w14:textId="1046347C" w:rsidR="00E65B91" w:rsidRDefault="00600535" w:rsidP="00A97B62">
      <w:pPr>
        <w:pStyle w:val="CETReference"/>
      </w:pPr>
      <w:r w:rsidRPr="00B57B36">
        <w:t>References</w:t>
      </w:r>
    </w:p>
    <w:p w14:paraId="4C04B00A" w14:textId="77777777" w:rsidR="00A05DC1" w:rsidRDefault="00A05DC1" w:rsidP="00A05DC1">
      <w:pPr>
        <w:pStyle w:val="CETReferencetext"/>
      </w:pPr>
      <w:r>
        <w:t>Abánades, A., Ruiz, E., Ferruelo, E. M., Hernández, F., Cabanillas, A., Martínez-Val, J. M., Rubio, J. A., López, C., Gavela, R., Barrera, G., Rubbia, C., Salmieri, D., Rodilla, E., &amp; Gutiérrez, D. (2011). Experimental analysis of direct thermal methane cracking. International Journal of Hydrogen Energy, 36(20), 12877–12886. https://doi.org/10.1016/j.ijhydene.2011.07.081</w:t>
      </w:r>
    </w:p>
    <w:p w14:paraId="6AE25C0D" w14:textId="77777777" w:rsidR="00A05DC1" w:rsidRDefault="00A05DC1" w:rsidP="00A05DC1">
      <w:pPr>
        <w:pStyle w:val="CETReferencetext"/>
      </w:pPr>
      <w:r>
        <w:lastRenderedPageBreak/>
        <w:t>Alberta Energy Regulator. (2021). Upstream Petroleum Industry Emissions Report - Industry Performance for Year Ending December 31, 2020. www.aer.ca</w:t>
      </w:r>
    </w:p>
    <w:p w14:paraId="055AC371" w14:textId="77777777" w:rsidR="009F4F29" w:rsidRPr="00FB5719" w:rsidRDefault="009F4F29" w:rsidP="009F4F29">
      <w:pPr>
        <w:autoSpaceDE w:val="0"/>
        <w:autoSpaceDN w:val="0"/>
        <w:ind w:left="480" w:hanging="480"/>
      </w:pPr>
      <w:r w:rsidRPr="00FB5719">
        <w:t xml:space="preserve">Bulletin of the Atomic Scientists. (2022). </w:t>
      </w:r>
      <w:r w:rsidRPr="00FB5719">
        <w:rPr>
          <w:i/>
          <w:iCs/>
        </w:rPr>
        <w:t>Price of turquoise H2</w:t>
      </w:r>
      <w:r w:rsidRPr="00FB5719">
        <w:t>. https://thebulletin.org/2022/01/whether-green-blue-or-turquoise-hydrogen-needs-to-be-clean-and-cheap/#:~:text=The%20projected%20price%20of%20turquoise,Blue%20hydrogen.</w:t>
      </w:r>
    </w:p>
    <w:p w14:paraId="543C26E9" w14:textId="77777777" w:rsidR="00A05DC1" w:rsidRDefault="00A05DC1" w:rsidP="00A05DC1">
      <w:pPr>
        <w:pStyle w:val="CETReferencetext"/>
      </w:pPr>
      <w:r>
        <w:t>Buzcu-Guven, B., &amp; Harriss, R. (2012, February). Extent, impacts and remedies of global gas flaring and venting. Carbon Management, 3(1), 95–108. https://doi.org/10.4155/cmt.11.81</w:t>
      </w:r>
    </w:p>
    <w:p w14:paraId="22ADA4FE" w14:textId="17AD0E7D" w:rsidR="00A05DC1" w:rsidRDefault="00A05DC1" w:rsidP="00A05DC1">
      <w:pPr>
        <w:pStyle w:val="CETReferencetext"/>
      </w:pPr>
      <w:r>
        <w:t xml:space="preserve">Diab, J., Fulcheri, L., Hessel, V., Rohani, V., &amp; Frenklach, M. (2022). Why turquoise hydrogen will be a game changer for the energy transition. International Journal of Hydrogen Energy, </w:t>
      </w:r>
      <w:r w:rsidR="006E0118">
        <w:t>47(61), 25831-25848.</w:t>
      </w:r>
      <w:r>
        <w:t xml:space="preserve"> https://doi.org/10.1016/j.ijhydene.2022.05.299</w:t>
      </w:r>
    </w:p>
    <w:p w14:paraId="51B6473A" w14:textId="77777777" w:rsidR="00A05DC1" w:rsidRDefault="00A05DC1" w:rsidP="00A05DC1">
      <w:pPr>
        <w:pStyle w:val="CETReferencetext"/>
      </w:pPr>
      <w:r>
        <w:t>Emery, E., Luo, P., &amp; Pattison, D. (2020). Final Report - Potential Technologies to Capture and Utilize Associated Gas at Upstream Oil and Gas Sites in the Duvernay and Viking Petroleum Systems.</w:t>
      </w:r>
    </w:p>
    <w:p w14:paraId="58A89613" w14:textId="77777777" w:rsidR="00A05DC1" w:rsidRDefault="00A05DC1" w:rsidP="00A05DC1">
      <w:pPr>
        <w:pStyle w:val="CETReferencetext"/>
      </w:pPr>
      <w:r>
        <w:t>Environment and Climate Change Canada. (2022). NATIONAL INVENTORY REPORT 1990-2020: GREENHOUSE GAS SOURCES AND SINKS IN CANADA.</w:t>
      </w:r>
    </w:p>
    <w:p w14:paraId="56922FB1" w14:textId="77777777" w:rsidR="00A05DC1" w:rsidRPr="0081730E" w:rsidRDefault="00A05DC1" w:rsidP="00A05DC1">
      <w:pPr>
        <w:pStyle w:val="CETReferencetext"/>
      </w:pPr>
      <w:r w:rsidRPr="0081730E">
        <w:t>European Commission. (2020). A hydrogen strategy for a climate-neutral Europe.</w:t>
      </w:r>
    </w:p>
    <w:p w14:paraId="413C7C82" w14:textId="46BBBFCB" w:rsidR="00A05DC1" w:rsidRPr="0081730E" w:rsidRDefault="00A05DC1" w:rsidP="00A05DC1">
      <w:pPr>
        <w:pStyle w:val="CETReferencetext"/>
      </w:pPr>
      <w:r w:rsidRPr="0081730E">
        <w:t>Galli, F., Lai, J.-J., de Tommaso, J., Pauletto, G., &amp; S.Patience, G. (2021). Gas to Liquids Techno-Economics of Associated Natural Gas, Bio Gas, and Landfill Gas. Processes, 1–15.</w:t>
      </w:r>
    </w:p>
    <w:p w14:paraId="16FE55FA" w14:textId="022B0FA8" w:rsidR="009F4F29" w:rsidRPr="0081730E" w:rsidRDefault="009F4F29" w:rsidP="00B370B9">
      <w:pPr>
        <w:pStyle w:val="CETReferencetext"/>
        <w:jc w:val="left"/>
      </w:pPr>
      <w:r w:rsidRPr="0081730E">
        <w:t xml:space="preserve">Global Petrol Prices. (2022). </w:t>
      </w:r>
      <w:r w:rsidRPr="0081730E">
        <w:rPr>
          <w:i/>
          <w:iCs/>
        </w:rPr>
        <w:t>Canada Electricity Prices</w:t>
      </w:r>
      <w:r w:rsidRPr="0081730E">
        <w:t>. https://www.globalpetrolprices.com/Canada/electricity_prices/#:~:text=Canada%2C%20June%202022%3A%20The%20price,of%20power%2C%20distribution%20and%20taxes.</w:t>
      </w:r>
    </w:p>
    <w:p w14:paraId="48814D96" w14:textId="7CB0D815" w:rsidR="00A05DC1" w:rsidRPr="0081730E" w:rsidRDefault="00A05DC1" w:rsidP="00A05DC1">
      <w:pPr>
        <w:pStyle w:val="CETReferencetext"/>
      </w:pPr>
      <w:r w:rsidRPr="0081730E">
        <w:t>Government of Canada. (2022). How carbon pricing works.</w:t>
      </w:r>
      <w:r w:rsidR="00B370B9" w:rsidRPr="0081730E">
        <w:t xml:space="preserve"> https://www.canada.ca/en/environment-climate-change/services/climate-change/pricing-pollution-how-it-will-work/carbon-pollution-pricing-federal-benchmark-information.html</w:t>
      </w:r>
    </w:p>
    <w:p w14:paraId="238A3C79" w14:textId="77777777" w:rsidR="00A05DC1" w:rsidRPr="0081730E" w:rsidRDefault="00A05DC1" w:rsidP="00A05DC1">
      <w:pPr>
        <w:pStyle w:val="CETReferencetext"/>
      </w:pPr>
      <w:r w:rsidRPr="0081730E">
        <w:t>Howarth, R. W., &amp; Jacobson, M. Z. (2021). How green is blue hydrogen? Energy Science and Engineering, 9(10), 1676–1687. https://doi.org/10.1002/ese3.956</w:t>
      </w:r>
    </w:p>
    <w:p w14:paraId="6747A8A3" w14:textId="77777777" w:rsidR="00A05DC1" w:rsidRPr="0081730E" w:rsidRDefault="00A05DC1" w:rsidP="00A05DC1">
      <w:pPr>
        <w:pStyle w:val="CETReferencetext"/>
      </w:pPr>
      <w:r w:rsidRPr="0081730E">
        <w:t>Hydro Québec. (2020). Hydro-Québec’s electricity facts: CO2 emissions and Hydro-Québec Electricity, 1990-2020. www.hydroquebec.com</w:t>
      </w:r>
    </w:p>
    <w:p w14:paraId="431D5A12" w14:textId="77777777" w:rsidR="00A05DC1" w:rsidRPr="0081730E" w:rsidRDefault="00A05DC1" w:rsidP="00A05DC1">
      <w:pPr>
        <w:pStyle w:val="CETReferencetext"/>
      </w:pPr>
      <w:r w:rsidRPr="0081730E">
        <w:t>Katta, A. K., Davis, M., Subramanyam, V., Dar, A. F., Mondal, M. A. H., Ahiduzzaman, M., &amp; Kumar, A. (2019). Assessment of energy demand-based greenhouse gas mitigation options for Canada’s oil sands. Journal of Cleaner Production, 241, 118306. https://doi.org/10.1016/j.jclepro.2019.118306</w:t>
      </w:r>
    </w:p>
    <w:p w14:paraId="0741CC37" w14:textId="5A0A66C9" w:rsidR="00A05DC1" w:rsidRPr="0081730E" w:rsidRDefault="00A05DC1" w:rsidP="00A05DC1">
      <w:pPr>
        <w:pStyle w:val="CETReferencetext"/>
        <w:rPr>
          <w:lang w:val="it-IT"/>
        </w:rPr>
      </w:pPr>
      <w:r w:rsidRPr="0081730E">
        <w:t xml:space="preserve">Kidnay, A. J., &amp; Parrish, W. R. (2006). Fundamentals of Natural Gas Processing. </w:t>
      </w:r>
      <w:r w:rsidRPr="0081730E">
        <w:rPr>
          <w:lang w:val="it-IT"/>
        </w:rPr>
        <w:t>CRC Press, Boca Raton.</w:t>
      </w:r>
    </w:p>
    <w:p w14:paraId="5C162487" w14:textId="5A585DDF" w:rsidR="009F28CE" w:rsidRPr="0081730E" w:rsidRDefault="009F28CE" w:rsidP="00A05DC1">
      <w:pPr>
        <w:pStyle w:val="CETReferencetext"/>
      </w:pPr>
      <w:r w:rsidRPr="0081730E">
        <w:rPr>
          <w:lang w:val="it-IT"/>
        </w:rPr>
        <w:t xml:space="preserve">Maporti, D., Nardi, R., Guffanti, S., Vianello, C., Mocellin, P., &amp; Pauletto, G. (2022). </w:t>
      </w:r>
      <w:r w:rsidRPr="0081730E">
        <w:t>Techno-economic analysis of electrified biogas reforming. Chemical Engineering Transactions, 96, 163-168. doi:10.3303/CET2296028</w:t>
      </w:r>
    </w:p>
    <w:p w14:paraId="764197F0" w14:textId="4F8C70C9" w:rsidR="00EB69E2" w:rsidRPr="0081730E" w:rsidRDefault="00EB69E2" w:rsidP="00A05DC1">
      <w:pPr>
        <w:pStyle w:val="CETReferencetext"/>
      </w:pPr>
      <w:r w:rsidRPr="0081730E">
        <w:t>Mion, A., Galli, F., Mocellin, P., Guffanti, S.</w:t>
      </w:r>
      <w:r w:rsidR="00826C5B">
        <w:t xml:space="preserve"> &amp;</w:t>
      </w:r>
      <w:r w:rsidRPr="0081730E">
        <w:t xml:space="preserve"> Pauletto, G</w:t>
      </w:r>
      <w:r w:rsidR="00826C5B">
        <w:t>. (2</w:t>
      </w:r>
      <w:r w:rsidRPr="0081730E">
        <w:t>022</w:t>
      </w:r>
      <w:r w:rsidR="00826C5B">
        <w:t>)</w:t>
      </w:r>
      <w:r w:rsidRPr="0081730E">
        <w:t xml:space="preserve">. Electrified methane reforming decarbonises methanol synthesis. Journal of CO2 Utilization, </w:t>
      </w:r>
      <w:r w:rsidR="00004011" w:rsidRPr="0081730E">
        <w:t xml:space="preserve">58, 101911. </w:t>
      </w:r>
      <w:r w:rsidR="00004011" w:rsidRPr="0081730E">
        <w:t>https://doi.org/10.1016/j.jcou.2022.101911</w:t>
      </w:r>
    </w:p>
    <w:p w14:paraId="3F15C2CB" w14:textId="77777777" w:rsidR="00A05DC1" w:rsidRPr="00CF286E" w:rsidRDefault="00A05DC1" w:rsidP="00A05DC1">
      <w:pPr>
        <w:pStyle w:val="CETReferencetext"/>
      </w:pPr>
      <w:r w:rsidRPr="0081730E">
        <w:rPr>
          <w:lang w:val="it-IT"/>
        </w:rPr>
        <w:t xml:space="preserve">Muradov, N. Z., &amp; Veziroǧlu, T. N. (2005). </w:t>
      </w:r>
      <w:r w:rsidRPr="0081730E">
        <w:t>From hydrocarbon to hydrogen-carbon to hydrogen economy. International Journal of Hydrogen Energy, 30(3), 225–237. https://doi.org/10.1016/j.ijhydene.2004.03.033</w:t>
      </w:r>
    </w:p>
    <w:p w14:paraId="40DEC4AE" w14:textId="77777777" w:rsidR="00A05DC1" w:rsidRDefault="00A05DC1" w:rsidP="00A05DC1">
      <w:pPr>
        <w:pStyle w:val="CETReferencetext"/>
      </w:pPr>
      <w:r w:rsidRPr="00CF286E">
        <w:rPr>
          <w:lang w:val="it-IT"/>
        </w:rPr>
        <w:t xml:space="preserve">Muradov, N. Z., &amp; Veziroǧlu, T. N. (2008). </w:t>
      </w:r>
      <w:r w:rsidRPr="00CF286E">
        <w:t>“Green” path from fossil-based to hydrogen economy: An overview</w:t>
      </w:r>
      <w:r>
        <w:t xml:space="preserve"> of carbon-neutral technologies. International Journal of Hydrogen Energy, 33(23), 6804–6839. https://doi.org/10.1016/j.ijhydene.2008.08.054</w:t>
      </w:r>
    </w:p>
    <w:p w14:paraId="61C8D836" w14:textId="77777777" w:rsidR="00A05DC1" w:rsidRDefault="00A05DC1" w:rsidP="00A05DC1">
      <w:pPr>
        <w:pStyle w:val="CETReferencetext"/>
      </w:pPr>
      <w:r w:rsidRPr="00A05DC1">
        <w:rPr>
          <w:lang w:val="it-IT"/>
        </w:rPr>
        <w:t xml:space="preserve">Ozalp, N., Ibrik, K., &amp; Al-Meer, M. (2013). </w:t>
      </w:r>
      <w:r>
        <w:t>Kinetics and heat transfer analysis of carbon catalyzed solar cracking process. Energy, 55, 74–81. https://doi.org/10.1016/j.energy.2013.02.022</w:t>
      </w:r>
    </w:p>
    <w:p w14:paraId="711B7751" w14:textId="77777777" w:rsidR="00A05DC1" w:rsidRDefault="00A05DC1" w:rsidP="00A05DC1">
      <w:pPr>
        <w:pStyle w:val="CETReferencetext"/>
      </w:pPr>
      <w:r>
        <w:t>Pfeifer, H. (2017). Industrial Furnaces-Status and Research Challenges. Energy Procedia, 120, 28–40. https://doi.org/10.1016/j.egypro.2017.07.153</w:t>
      </w:r>
    </w:p>
    <w:p w14:paraId="45BD4740" w14:textId="77777777" w:rsidR="00A05DC1" w:rsidRPr="00E648D1" w:rsidRDefault="00A05DC1" w:rsidP="00A05DC1">
      <w:pPr>
        <w:pStyle w:val="CETReferencetext"/>
        <w:rPr>
          <w:lang w:val="fr-CA"/>
        </w:rPr>
      </w:pPr>
      <w:r>
        <w:t xml:space="preserve">Sánchez-Bastardo, N., Schlögl, R., &amp; Ruland, H. (2020). Methane Pyrolysis for CO2-Free H2 Production: A Green Process to Overcome Renewable Energies Unsteadiness. </w:t>
      </w:r>
      <w:r w:rsidRPr="00E648D1">
        <w:rPr>
          <w:lang w:val="fr-CA"/>
        </w:rPr>
        <w:t>Chemie-Ingenieur-Technik, 92(10), 1596–1609. https://doi.org/10.1002/cite.202000029</w:t>
      </w:r>
    </w:p>
    <w:p w14:paraId="58693427" w14:textId="4760023A" w:rsidR="00A05DC1" w:rsidRDefault="00A05DC1" w:rsidP="00A05DC1">
      <w:pPr>
        <w:pStyle w:val="CETReferencetext"/>
      </w:pPr>
      <w:r w:rsidRPr="00E648D1">
        <w:rPr>
          <w:lang w:val="fr-CA"/>
        </w:rPr>
        <w:t xml:space="preserve">Sánchez-Bastardo, N., Schlögl, R., &amp; Ruland, H. (2021). </w:t>
      </w:r>
      <w:r>
        <w:t xml:space="preserve">Methane Pyrolysis for Zero-Emission Hydrogen Production: A Potential Bridge Technology from Fossil Fuels to a Renewable and Sustainable Hydrogen Economy. Industrial and Engineering Chemistry Research, 60(32), 11855–11881. </w:t>
      </w:r>
      <w:r w:rsidRPr="00A05DC1">
        <w:t>https://doi.org/10.1021/acs.iecr.1c01679</w:t>
      </w:r>
    </w:p>
    <w:p w14:paraId="6AE8ABC6" w14:textId="62199471" w:rsidR="00A05DC1" w:rsidRDefault="00A05DC1" w:rsidP="00A05DC1">
      <w:pPr>
        <w:pStyle w:val="CETReferencetext"/>
      </w:pPr>
      <w:r>
        <w:t>Sinnot, R., &amp; Towler, G. “Chapter 10: Transport and Storage of materials”. Chemical Engineering Design, 6th edition, Butterworth-Heinemann (2020), pp. 275-290, 340-347, 372-395, 776-784.</w:t>
      </w:r>
    </w:p>
    <w:p w14:paraId="50211EDA" w14:textId="77777777" w:rsidR="009F4F29" w:rsidRDefault="009F4F29" w:rsidP="00A05DC1">
      <w:pPr>
        <w:pStyle w:val="CETReferencetext"/>
      </w:pPr>
      <w:r w:rsidRPr="00FB5719">
        <w:t xml:space="preserve">Trading Economics. (2023). </w:t>
      </w:r>
      <w:r w:rsidRPr="00FB5719">
        <w:rPr>
          <w:i/>
          <w:iCs/>
        </w:rPr>
        <w:t>Price of natural gas</w:t>
      </w:r>
      <w:r w:rsidRPr="00FB5719">
        <w:t>. https://tradingeconomics.com/commodity/natural-gas</w:t>
      </w:r>
      <w:r w:rsidRPr="00A05DC1">
        <w:t xml:space="preserve"> </w:t>
      </w:r>
    </w:p>
    <w:p w14:paraId="54649F11" w14:textId="6DF7A27A" w:rsidR="00A05DC1" w:rsidRDefault="00A05DC1" w:rsidP="00A05DC1">
      <w:pPr>
        <w:pStyle w:val="CETReferencetext"/>
      </w:pPr>
      <w:r w:rsidRPr="00A05DC1">
        <w:t>Turton, R., Bailie, R. C., Whiting, W. B., Shaeiwitz, J. A. “Chapter 7: Estimation of Capital Costs”, “Appendix A: Cost Equations and Curves for the CAPCOST program”. Analysis, Synthesis and Design of Chemical Processes, 3rd edition, Prentice Hall (2009), pp. 177- 209, 923-954, 1283-1309</w:t>
      </w:r>
      <w:r>
        <w:t>.</w:t>
      </w:r>
    </w:p>
    <w:p w14:paraId="365CD6BB" w14:textId="2B60DDAE" w:rsidR="005A06C1" w:rsidRDefault="009F4F29" w:rsidP="00D812F0">
      <w:pPr>
        <w:autoSpaceDE w:val="0"/>
        <w:autoSpaceDN w:val="0"/>
        <w:ind w:left="480" w:hanging="480"/>
        <w:jc w:val="left"/>
      </w:pPr>
      <w:r w:rsidRPr="00FB5719">
        <w:t>YCharts.</w:t>
      </w:r>
      <w:r>
        <w:t xml:space="preserve"> </w:t>
      </w:r>
      <w:r w:rsidRPr="00FB5719">
        <w:t xml:space="preserve">(2023). </w:t>
      </w:r>
      <w:r w:rsidRPr="00FB5719">
        <w:rPr>
          <w:i/>
          <w:iCs/>
        </w:rPr>
        <w:t>Price of carbon black</w:t>
      </w:r>
      <w:r w:rsidRPr="00FB5719">
        <w:t>.</w:t>
      </w:r>
      <w:r>
        <w:t xml:space="preserve"> </w:t>
      </w:r>
      <w:r w:rsidRPr="00FB5719">
        <w:t>https://ycharts.com/indicators/us_producer_price_index_chemicals_and_allied_products_carbon_black</w:t>
      </w:r>
    </w:p>
    <w:sectPr w:rsidR="005A06C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AC1B7" w14:textId="77777777" w:rsidR="00C81E8D" w:rsidRDefault="00C81E8D" w:rsidP="004F5E36">
      <w:r>
        <w:separator/>
      </w:r>
    </w:p>
  </w:endnote>
  <w:endnote w:type="continuationSeparator" w:id="0">
    <w:p w14:paraId="5AA421FB" w14:textId="77777777" w:rsidR="00C81E8D" w:rsidRDefault="00C81E8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A61D" w14:textId="77777777" w:rsidR="00C81E8D" w:rsidRDefault="00C81E8D" w:rsidP="004F5E36">
      <w:r>
        <w:separator/>
      </w:r>
    </w:p>
  </w:footnote>
  <w:footnote w:type="continuationSeparator" w:id="0">
    <w:p w14:paraId="4EB784C9" w14:textId="77777777" w:rsidR="00C81E8D" w:rsidRDefault="00C81E8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AA01716"/>
    <w:multiLevelType w:val="hybridMultilevel"/>
    <w:tmpl w:val="716CB12A"/>
    <w:lvl w:ilvl="0" w:tplc="114E36FA">
      <w:start w:val="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5201745">
    <w:abstractNumId w:val="11"/>
  </w:num>
  <w:num w:numId="2" w16cid:durableId="1375349364">
    <w:abstractNumId w:val="8"/>
  </w:num>
  <w:num w:numId="3" w16cid:durableId="169561537">
    <w:abstractNumId w:val="3"/>
  </w:num>
  <w:num w:numId="4" w16cid:durableId="822354475">
    <w:abstractNumId w:val="2"/>
  </w:num>
  <w:num w:numId="5" w16cid:durableId="307327136">
    <w:abstractNumId w:val="1"/>
  </w:num>
  <w:num w:numId="6" w16cid:durableId="2128111461">
    <w:abstractNumId w:val="0"/>
  </w:num>
  <w:num w:numId="7" w16cid:durableId="866286837">
    <w:abstractNumId w:val="9"/>
  </w:num>
  <w:num w:numId="8" w16cid:durableId="966005632">
    <w:abstractNumId w:val="7"/>
  </w:num>
  <w:num w:numId="9" w16cid:durableId="1753896511">
    <w:abstractNumId w:val="6"/>
  </w:num>
  <w:num w:numId="10" w16cid:durableId="543102231">
    <w:abstractNumId w:val="5"/>
  </w:num>
  <w:num w:numId="11" w16cid:durableId="109016812">
    <w:abstractNumId w:val="4"/>
  </w:num>
  <w:num w:numId="12" w16cid:durableId="30613734">
    <w:abstractNumId w:val="18"/>
  </w:num>
  <w:num w:numId="13" w16cid:durableId="947007559">
    <w:abstractNumId w:val="13"/>
  </w:num>
  <w:num w:numId="14" w16cid:durableId="1725324885">
    <w:abstractNumId w:val="19"/>
  </w:num>
  <w:num w:numId="15" w16cid:durableId="161508197">
    <w:abstractNumId w:val="21"/>
  </w:num>
  <w:num w:numId="16" w16cid:durableId="934628476">
    <w:abstractNumId w:val="20"/>
  </w:num>
  <w:num w:numId="17" w16cid:durableId="109981508">
    <w:abstractNumId w:val="12"/>
  </w:num>
  <w:num w:numId="18" w16cid:durableId="66003308">
    <w:abstractNumId w:val="13"/>
    <w:lvlOverride w:ilvl="0">
      <w:startOverride w:val="1"/>
    </w:lvlOverride>
  </w:num>
  <w:num w:numId="19" w16cid:durableId="857701527">
    <w:abstractNumId w:val="17"/>
  </w:num>
  <w:num w:numId="20" w16cid:durableId="1615822040">
    <w:abstractNumId w:val="16"/>
  </w:num>
  <w:num w:numId="21" w16cid:durableId="489911704">
    <w:abstractNumId w:val="15"/>
  </w:num>
  <w:num w:numId="22" w16cid:durableId="295333298">
    <w:abstractNumId w:val="14"/>
  </w:num>
  <w:num w:numId="23" w16cid:durableId="2096628090">
    <w:abstractNumId w:val="10"/>
  </w:num>
  <w:num w:numId="24" w16cid:durableId="2088140165">
    <w:abstractNumId w:val="11"/>
    <w:lvlOverride w:ilvl="0">
      <w:startOverride w:val="1"/>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4FAKk8yLctAAAA"/>
  </w:docVars>
  <w:rsids>
    <w:rsidRoot w:val="000E414A"/>
    <w:rsid w:val="000027C0"/>
    <w:rsid w:val="00004011"/>
    <w:rsid w:val="000052FB"/>
    <w:rsid w:val="000117CB"/>
    <w:rsid w:val="0003148D"/>
    <w:rsid w:val="00031EEC"/>
    <w:rsid w:val="00032C9A"/>
    <w:rsid w:val="0003554E"/>
    <w:rsid w:val="000359D5"/>
    <w:rsid w:val="00046E8D"/>
    <w:rsid w:val="00051566"/>
    <w:rsid w:val="00053555"/>
    <w:rsid w:val="000562A9"/>
    <w:rsid w:val="00061C33"/>
    <w:rsid w:val="00062A9A"/>
    <w:rsid w:val="00065058"/>
    <w:rsid w:val="00086C39"/>
    <w:rsid w:val="0009092E"/>
    <w:rsid w:val="000937BD"/>
    <w:rsid w:val="000A03B2"/>
    <w:rsid w:val="000A68BC"/>
    <w:rsid w:val="000D0268"/>
    <w:rsid w:val="000D34BE"/>
    <w:rsid w:val="000E102F"/>
    <w:rsid w:val="000E36F1"/>
    <w:rsid w:val="000E3A73"/>
    <w:rsid w:val="000E414A"/>
    <w:rsid w:val="000E63CB"/>
    <w:rsid w:val="000F0733"/>
    <w:rsid w:val="000F093C"/>
    <w:rsid w:val="000F787B"/>
    <w:rsid w:val="00105324"/>
    <w:rsid w:val="00110764"/>
    <w:rsid w:val="0012091F"/>
    <w:rsid w:val="00126BC2"/>
    <w:rsid w:val="001308B6"/>
    <w:rsid w:val="0013121F"/>
    <w:rsid w:val="00131FE6"/>
    <w:rsid w:val="0013263F"/>
    <w:rsid w:val="001331DF"/>
    <w:rsid w:val="00134DE4"/>
    <w:rsid w:val="00135BC5"/>
    <w:rsid w:val="001370D3"/>
    <w:rsid w:val="0014034D"/>
    <w:rsid w:val="00144381"/>
    <w:rsid w:val="00144D16"/>
    <w:rsid w:val="00150E59"/>
    <w:rsid w:val="00152226"/>
    <w:rsid w:val="00152DE3"/>
    <w:rsid w:val="00161F9D"/>
    <w:rsid w:val="00164CF9"/>
    <w:rsid w:val="0016674D"/>
    <w:rsid w:val="001667A6"/>
    <w:rsid w:val="00184AD6"/>
    <w:rsid w:val="00185809"/>
    <w:rsid w:val="001A4AF7"/>
    <w:rsid w:val="001B0349"/>
    <w:rsid w:val="001B1E93"/>
    <w:rsid w:val="001B65C1"/>
    <w:rsid w:val="001C684B"/>
    <w:rsid w:val="001D0CFB"/>
    <w:rsid w:val="001D21AF"/>
    <w:rsid w:val="001D53FC"/>
    <w:rsid w:val="001E1D44"/>
    <w:rsid w:val="001E68ED"/>
    <w:rsid w:val="001F42A5"/>
    <w:rsid w:val="001F7B9D"/>
    <w:rsid w:val="00201C93"/>
    <w:rsid w:val="002224B4"/>
    <w:rsid w:val="0022442D"/>
    <w:rsid w:val="002313F2"/>
    <w:rsid w:val="002447EF"/>
    <w:rsid w:val="00251550"/>
    <w:rsid w:val="00263B05"/>
    <w:rsid w:val="0027221A"/>
    <w:rsid w:val="0027255F"/>
    <w:rsid w:val="00275B61"/>
    <w:rsid w:val="002803A8"/>
    <w:rsid w:val="00280FAF"/>
    <w:rsid w:val="00281BCF"/>
    <w:rsid w:val="00282656"/>
    <w:rsid w:val="002864B0"/>
    <w:rsid w:val="00294C9C"/>
    <w:rsid w:val="00295544"/>
    <w:rsid w:val="002960BB"/>
    <w:rsid w:val="00296B83"/>
    <w:rsid w:val="002A0C33"/>
    <w:rsid w:val="002A1AED"/>
    <w:rsid w:val="002B4015"/>
    <w:rsid w:val="002B78CE"/>
    <w:rsid w:val="002B7A82"/>
    <w:rsid w:val="002C2FB6"/>
    <w:rsid w:val="002C4E30"/>
    <w:rsid w:val="002D0B4D"/>
    <w:rsid w:val="002D3AE8"/>
    <w:rsid w:val="002D69C1"/>
    <w:rsid w:val="002E5FA7"/>
    <w:rsid w:val="002F3309"/>
    <w:rsid w:val="003008CE"/>
    <w:rsid w:val="003009B7"/>
    <w:rsid w:val="00300E56"/>
    <w:rsid w:val="0030152C"/>
    <w:rsid w:val="003032AE"/>
    <w:rsid w:val="0030469C"/>
    <w:rsid w:val="003072D2"/>
    <w:rsid w:val="00321CA6"/>
    <w:rsid w:val="00323763"/>
    <w:rsid w:val="00323C5F"/>
    <w:rsid w:val="00334C09"/>
    <w:rsid w:val="003542FF"/>
    <w:rsid w:val="00355C04"/>
    <w:rsid w:val="00362D6B"/>
    <w:rsid w:val="003723D4"/>
    <w:rsid w:val="00373421"/>
    <w:rsid w:val="00381905"/>
    <w:rsid w:val="0038256F"/>
    <w:rsid w:val="00384CC8"/>
    <w:rsid w:val="003871FD"/>
    <w:rsid w:val="003A1E30"/>
    <w:rsid w:val="003A2829"/>
    <w:rsid w:val="003A6FC6"/>
    <w:rsid w:val="003A7D1C"/>
    <w:rsid w:val="003B304B"/>
    <w:rsid w:val="003B3146"/>
    <w:rsid w:val="003C251D"/>
    <w:rsid w:val="003F015E"/>
    <w:rsid w:val="003F3191"/>
    <w:rsid w:val="00400414"/>
    <w:rsid w:val="00405FB9"/>
    <w:rsid w:val="00407F19"/>
    <w:rsid w:val="0041446B"/>
    <w:rsid w:val="00420429"/>
    <w:rsid w:val="0042088B"/>
    <w:rsid w:val="004228AD"/>
    <w:rsid w:val="0043126F"/>
    <w:rsid w:val="0043375E"/>
    <w:rsid w:val="004356EB"/>
    <w:rsid w:val="0044071E"/>
    <w:rsid w:val="0044329C"/>
    <w:rsid w:val="004475B1"/>
    <w:rsid w:val="00453E24"/>
    <w:rsid w:val="00457456"/>
    <w:rsid w:val="004577FE"/>
    <w:rsid w:val="00457B9C"/>
    <w:rsid w:val="0046164A"/>
    <w:rsid w:val="004628D2"/>
    <w:rsid w:val="00462DCD"/>
    <w:rsid w:val="004648AD"/>
    <w:rsid w:val="004703A9"/>
    <w:rsid w:val="00471FA2"/>
    <w:rsid w:val="004760DE"/>
    <w:rsid w:val="004763D7"/>
    <w:rsid w:val="00493A58"/>
    <w:rsid w:val="004A004E"/>
    <w:rsid w:val="004A20AC"/>
    <w:rsid w:val="004A24CF"/>
    <w:rsid w:val="004A58B2"/>
    <w:rsid w:val="004C3878"/>
    <w:rsid w:val="004C3D1D"/>
    <w:rsid w:val="004C3D84"/>
    <w:rsid w:val="004C7913"/>
    <w:rsid w:val="004D56D8"/>
    <w:rsid w:val="004E4DD6"/>
    <w:rsid w:val="004F1E02"/>
    <w:rsid w:val="004F5E36"/>
    <w:rsid w:val="00507B47"/>
    <w:rsid w:val="00507BEF"/>
    <w:rsid w:val="00507CC9"/>
    <w:rsid w:val="005119A5"/>
    <w:rsid w:val="005120B4"/>
    <w:rsid w:val="00516AAC"/>
    <w:rsid w:val="005278B7"/>
    <w:rsid w:val="00532016"/>
    <w:rsid w:val="00533064"/>
    <w:rsid w:val="005346C8"/>
    <w:rsid w:val="00543E7D"/>
    <w:rsid w:val="00547A68"/>
    <w:rsid w:val="005531C9"/>
    <w:rsid w:val="00554D75"/>
    <w:rsid w:val="005568EA"/>
    <w:rsid w:val="00570C43"/>
    <w:rsid w:val="00572867"/>
    <w:rsid w:val="00584D4A"/>
    <w:rsid w:val="005A06C1"/>
    <w:rsid w:val="005A36E5"/>
    <w:rsid w:val="005B2110"/>
    <w:rsid w:val="005B61E6"/>
    <w:rsid w:val="005C77E1"/>
    <w:rsid w:val="005D49B4"/>
    <w:rsid w:val="005D668A"/>
    <w:rsid w:val="005D6A2F"/>
    <w:rsid w:val="005E1A82"/>
    <w:rsid w:val="005E794C"/>
    <w:rsid w:val="005E7C48"/>
    <w:rsid w:val="005F0A28"/>
    <w:rsid w:val="005F0E5E"/>
    <w:rsid w:val="005F57A8"/>
    <w:rsid w:val="00600535"/>
    <w:rsid w:val="00610BC4"/>
    <w:rsid w:val="00610CD6"/>
    <w:rsid w:val="00620DEE"/>
    <w:rsid w:val="00621F92"/>
    <w:rsid w:val="006225BD"/>
    <w:rsid w:val="0062280A"/>
    <w:rsid w:val="00625639"/>
    <w:rsid w:val="00631B33"/>
    <w:rsid w:val="00636CC1"/>
    <w:rsid w:val="0064184D"/>
    <w:rsid w:val="006422CC"/>
    <w:rsid w:val="00646E0B"/>
    <w:rsid w:val="006515BF"/>
    <w:rsid w:val="00660E3E"/>
    <w:rsid w:val="00662E74"/>
    <w:rsid w:val="00680C23"/>
    <w:rsid w:val="00693766"/>
    <w:rsid w:val="006A2A33"/>
    <w:rsid w:val="006A3281"/>
    <w:rsid w:val="006B4888"/>
    <w:rsid w:val="006C2E45"/>
    <w:rsid w:val="006C359C"/>
    <w:rsid w:val="006C5579"/>
    <w:rsid w:val="006C605F"/>
    <w:rsid w:val="006C6D9D"/>
    <w:rsid w:val="006D28C7"/>
    <w:rsid w:val="006D6E8B"/>
    <w:rsid w:val="006E0118"/>
    <w:rsid w:val="006E26A5"/>
    <w:rsid w:val="006E737D"/>
    <w:rsid w:val="006F025B"/>
    <w:rsid w:val="006F0CD8"/>
    <w:rsid w:val="0070677E"/>
    <w:rsid w:val="00713973"/>
    <w:rsid w:val="00716FAC"/>
    <w:rsid w:val="00720A24"/>
    <w:rsid w:val="00720E6B"/>
    <w:rsid w:val="00730490"/>
    <w:rsid w:val="00732386"/>
    <w:rsid w:val="0073514D"/>
    <w:rsid w:val="00741475"/>
    <w:rsid w:val="00742739"/>
    <w:rsid w:val="00742C32"/>
    <w:rsid w:val="00744604"/>
    <w:rsid w:val="007447F3"/>
    <w:rsid w:val="0075499F"/>
    <w:rsid w:val="0076234A"/>
    <w:rsid w:val="007661C8"/>
    <w:rsid w:val="0077098D"/>
    <w:rsid w:val="00772A79"/>
    <w:rsid w:val="0078610B"/>
    <w:rsid w:val="007931FA"/>
    <w:rsid w:val="007A4861"/>
    <w:rsid w:val="007A7BBA"/>
    <w:rsid w:val="007B0C50"/>
    <w:rsid w:val="007B48F9"/>
    <w:rsid w:val="007C1A43"/>
    <w:rsid w:val="007D0951"/>
    <w:rsid w:val="007D46D9"/>
    <w:rsid w:val="007D4996"/>
    <w:rsid w:val="007F50FA"/>
    <w:rsid w:val="0080013E"/>
    <w:rsid w:val="00800A7A"/>
    <w:rsid w:val="00813288"/>
    <w:rsid w:val="008168FC"/>
    <w:rsid w:val="0081730E"/>
    <w:rsid w:val="008173CC"/>
    <w:rsid w:val="00823B51"/>
    <w:rsid w:val="00826C5B"/>
    <w:rsid w:val="00830996"/>
    <w:rsid w:val="008345F1"/>
    <w:rsid w:val="00841C2A"/>
    <w:rsid w:val="008455E5"/>
    <w:rsid w:val="00850FEC"/>
    <w:rsid w:val="00865B07"/>
    <w:rsid w:val="008667EA"/>
    <w:rsid w:val="0087637F"/>
    <w:rsid w:val="00892AD5"/>
    <w:rsid w:val="00895F06"/>
    <w:rsid w:val="00897247"/>
    <w:rsid w:val="008A1512"/>
    <w:rsid w:val="008A2760"/>
    <w:rsid w:val="008B467B"/>
    <w:rsid w:val="008B7C03"/>
    <w:rsid w:val="008C399D"/>
    <w:rsid w:val="008D32B9"/>
    <w:rsid w:val="008D433B"/>
    <w:rsid w:val="008D4A16"/>
    <w:rsid w:val="008E21C6"/>
    <w:rsid w:val="008E566E"/>
    <w:rsid w:val="008F738F"/>
    <w:rsid w:val="0090161A"/>
    <w:rsid w:val="00901EB6"/>
    <w:rsid w:val="00904C62"/>
    <w:rsid w:val="00922BA8"/>
    <w:rsid w:val="00924DAC"/>
    <w:rsid w:val="00927058"/>
    <w:rsid w:val="009320B8"/>
    <w:rsid w:val="00942750"/>
    <w:rsid w:val="009450CE"/>
    <w:rsid w:val="00945428"/>
    <w:rsid w:val="009459BB"/>
    <w:rsid w:val="00945D28"/>
    <w:rsid w:val="00947179"/>
    <w:rsid w:val="0095164B"/>
    <w:rsid w:val="00954090"/>
    <w:rsid w:val="00954691"/>
    <w:rsid w:val="009567B9"/>
    <w:rsid w:val="009573E7"/>
    <w:rsid w:val="00963E05"/>
    <w:rsid w:val="00964A45"/>
    <w:rsid w:val="00967843"/>
    <w:rsid w:val="00967D54"/>
    <w:rsid w:val="00971028"/>
    <w:rsid w:val="00993B84"/>
    <w:rsid w:val="009958B3"/>
    <w:rsid w:val="00996483"/>
    <w:rsid w:val="00996F5A"/>
    <w:rsid w:val="009A5977"/>
    <w:rsid w:val="009B041A"/>
    <w:rsid w:val="009C14CE"/>
    <w:rsid w:val="009C37C3"/>
    <w:rsid w:val="009C7C86"/>
    <w:rsid w:val="009D1863"/>
    <w:rsid w:val="009D2FF7"/>
    <w:rsid w:val="009E18F9"/>
    <w:rsid w:val="009E5893"/>
    <w:rsid w:val="009E737C"/>
    <w:rsid w:val="009E7884"/>
    <w:rsid w:val="009E788A"/>
    <w:rsid w:val="009F0E08"/>
    <w:rsid w:val="009F28CE"/>
    <w:rsid w:val="009F4417"/>
    <w:rsid w:val="009F4F29"/>
    <w:rsid w:val="00A05DC1"/>
    <w:rsid w:val="00A1763D"/>
    <w:rsid w:val="00A17CEC"/>
    <w:rsid w:val="00A226BF"/>
    <w:rsid w:val="00A25125"/>
    <w:rsid w:val="00A27EF0"/>
    <w:rsid w:val="00A42361"/>
    <w:rsid w:val="00A50B20"/>
    <w:rsid w:val="00A51390"/>
    <w:rsid w:val="00A551F6"/>
    <w:rsid w:val="00A60D13"/>
    <w:rsid w:val="00A63D4D"/>
    <w:rsid w:val="00A67D90"/>
    <w:rsid w:val="00A7223D"/>
    <w:rsid w:val="00A72745"/>
    <w:rsid w:val="00A76EFC"/>
    <w:rsid w:val="00A8183E"/>
    <w:rsid w:val="00A87D50"/>
    <w:rsid w:val="00A91010"/>
    <w:rsid w:val="00A953A2"/>
    <w:rsid w:val="00A96990"/>
    <w:rsid w:val="00A97B62"/>
    <w:rsid w:val="00A97F29"/>
    <w:rsid w:val="00AA702E"/>
    <w:rsid w:val="00AA7D26"/>
    <w:rsid w:val="00AB0964"/>
    <w:rsid w:val="00AB18E4"/>
    <w:rsid w:val="00AB31F2"/>
    <w:rsid w:val="00AB5011"/>
    <w:rsid w:val="00AC0662"/>
    <w:rsid w:val="00AC7368"/>
    <w:rsid w:val="00AD16B9"/>
    <w:rsid w:val="00AD49C5"/>
    <w:rsid w:val="00AD529E"/>
    <w:rsid w:val="00AE377D"/>
    <w:rsid w:val="00AF0EBA"/>
    <w:rsid w:val="00AF3171"/>
    <w:rsid w:val="00B02C8A"/>
    <w:rsid w:val="00B03EB4"/>
    <w:rsid w:val="00B17FBD"/>
    <w:rsid w:val="00B315A6"/>
    <w:rsid w:val="00B31813"/>
    <w:rsid w:val="00B31C8C"/>
    <w:rsid w:val="00B33365"/>
    <w:rsid w:val="00B370B9"/>
    <w:rsid w:val="00B57B36"/>
    <w:rsid w:val="00B57E6F"/>
    <w:rsid w:val="00B636B1"/>
    <w:rsid w:val="00B75C65"/>
    <w:rsid w:val="00B812D8"/>
    <w:rsid w:val="00B8686D"/>
    <w:rsid w:val="00B93F69"/>
    <w:rsid w:val="00B94B2E"/>
    <w:rsid w:val="00B94C4B"/>
    <w:rsid w:val="00BA59A6"/>
    <w:rsid w:val="00BB1DDC"/>
    <w:rsid w:val="00BB3A9F"/>
    <w:rsid w:val="00BC2F9C"/>
    <w:rsid w:val="00BC30C9"/>
    <w:rsid w:val="00BC689D"/>
    <w:rsid w:val="00BD077D"/>
    <w:rsid w:val="00BD0D47"/>
    <w:rsid w:val="00BD1BBF"/>
    <w:rsid w:val="00BD2B5C"/>
    <w:rsid w:val="00BD761E"/>
    <w:rsid w:val="00BE2189"/>
    <w:rsid w:val="00BE3E58"/>
    <w:rsid w:val="00BE533D"/>
    <w:rsid w:val="00BF1BBF"/>
    <w:rsid w:val="00BF3408"/>
    <w:rsid w:val="00BF488F"/>
    <w:rsid w:val="00C01616"/>
    <w:rsid w:val="00C0162B"/>
    <w:rsid w:val="00C03E31"/>
    <w:rsid w:val="00C068ED"/>
    <w:rsid w:val="00C1526F"/>
    <w:rsid w:val="00C17348"/>
    <w:rsid w:val="00C22E0C"/>
    <w:rsid w:val="00C31654"/>
    <w:rsid w:val="00C345B1"/>
    <w:rsid w:val="00C3639C"/>
    <w:rsid w:val="00C40142"/>
    <w:rsid w:val="00C52C3C"/>
    <w:rsid w:val="00C57182"/>
    <w:rsid w:val="00C57863"/>
    <w:rsid w:val="00C640AF"/>
    <w:rsid w:val="00C655FD"/>
    <w:rsid w:val="00C70DE8"/>
    <w:rsid w:val="00C75407"/>
    <w:rsid w:val="00C81E8D"/>
    <w:rsid w:val="00C870A8"/>
    <w:rsid w:val="00C94434"/>
    <w:rsid w:val="00CA0D4A"/>
    <w:rsid w:val="00CA0D75"/>
    <w:rsid w:val="00CA1C95"/>
    <w:rsid w:val="00CA3266"/>
    <w:rsid w:val="00CA5A9C"/>
    <w:rsid w:val="00CB1EBC"/>
    <w:rsid w:val="00CC4C20"/>
    <w:rsid w:val="00CC79BA"/>
    <w:rsid w:val="00CD3517"/>
    <w:rsid w:val="00CD4672"/>
    <w:rsid w:val="00CD48E4"/>
    <w:rsid w:val="00CD5FE2"/>
    <w:rsid w:val="00CE7C68"/>
    <w:rsid w:val="00CF286E"/>
    <w:rsid w:val="00D02B4C"/>
    <w:rsid w:val="00D040C4"/>
    <w:rsid w:val="00D20AD1"/>
    <w:rsid w:val="00D231E3"/>
    <w:rsid w:val="00D46B7E"/>
    <w:rsid w:val="00D54338"/>
    <w:rsid w:val="00D576CF"/>
    <w:rsid w:val="00D57C84"/>
    <w:rsid w:val="00D6057D"/>
    <w:rsid w:val="00D648EC"/>
    <w:rsid w:val="00D67068"/>
    <w:rsid w:val="00D71640"/>
    <w:rsid w:val="00D73270"/>
    <w:rsid w:val="00D812F0"/>
    <w:rsid w:val="00D836C5"/>
    <w:rsid w:val="00D84576"/>
    <w:rsid w:val="00DA1399"/>
    <w:rsid w:val="00DA24C6"/>
    <w:rsid w:val="00DA4D7B"/>
    <w:rsid w:val="00DA5FD0"/>
    <w:rsid w:val="00DA70C7"/>
    <w:rsid w:val="00DB6483"/>
    <w:rsid w:val="00DD09DD"/>
    <w:rsid w:val="00DD271C"/>
    <w:rsid w:val="00DD33C0"/>
    <w:rsid w:val="00DD7051"/>
    <w:rsid w:val="00DE264A"/>
    <w:rsid w:val="00DF5072"/>
    <w:rsid w:val="00E01F42"/>
    <w:rsid w:val="00E0290B"/>
    <w:rsid w:val="00E02D18"/>
    <w:rsid w:val="00E03D3F"/>
    <w:rsid w:val="00E041E7"/>
    <w:rsid w:val="00E04983"/>
    <w:rsid w:val="00E23CA1"/>
    <w:rsid w:val="00E249AA"/>
    <w:rsid w:val="00E33DD7"/>
    <w:rsid w:val="00E3718C"/>
    <w:rsid w:val="00E409A8"/>
    <w:rsid w:val="00E50C12"/>
    <w:rsid w:val="00E53F56"/>
    <w:rsid w:val="00E61C21"/>
    <w:rsid w:val="00E648D1"/>
    <w:rsid w:val="00E65B91"/>
    <w:rsid w:val="00E7209D"/>
    <w:rsid w:val="00E72EAD"/>
    <w:rsid w:val="00E77223"/>
    <w:rsid w:val="00E84871"/>
    <w:rsid w:val="00E8528B"/>
    <w:rsid w:val="00E85B94"/>
    <w:rsid w:val="00E8758E"/>
    <w:rsid w:val="00E978D0"/>
    <w:rsid w:val="00EA07F6"/>
    <w:rsid w:val="00EA4613"/>
    <w:rsid w:val="00EA7F91"/>
    <w:rsid w:val="00EB1523"/>
    <w:rsid w:val="00EB69E2"/>
    <w:rsid w:val="00EC0E49"/>
    <w:rsid w:val="00EC101F"/>
    <w:rsid w:val="00EC1D9F"/>
    <w:rsid w:val="00EE0131"/>
    <w:rsid w:val="00EE17B0"/>
    <w:rsid w:val="00EF06D9"/>
    <w:rsid w:val="00F029A3"/>
    <w:rsid w:val="00F07D5C"/>
    <w:rsid w:val="00F21755"/>
    <w:rsid w:val="00F26F1C"/>
    <w:rsid w:val="00F3049E"/>
    <w:rsid w:val="00F30C64"/>
    <w:rsid w:val="00F32BA2"/>
    <w:rsid w:val="00F32CDB"/>
    <w:rsid w:val="00F510A1"/>
    <w:rsid w:val="00F565FE"/>
    <w:rsid w:val="00F63A70"/>
    <w:rsid w:val="00F63D8C"/>
    <w:rsid w:val="00F7534E"/>
    <w:rsid w:val="00F76E16"/>
    <w:rsid w:val="00F93CA4"/>
    <w:rsid w:val="00F93EDF"/>
    <w:rsid w:val="00F9622D"/>
    <w:rsid w:val="00FA1802"/>
    <w:rsid w:val="00FA21D0"/>
    <w:rsid w:val="00FA5F5F"/>
    <w:rsid w:val="00FB730C"/>
    <w:rsid w:val="00FB7BC1"/>
    <w:rsid w:val="00FC2032"/>
    <w:rsid w:val="00FC2695"/>
    <w:rsid w:val="00FC3E03"/>
    <w:rsid w:val="00FC3FC1"/>
    <w:rsid w:val="00FD18AC"/>
    <w:rsid w:val="00FD27CB"/>
    <w:rsid w:val="00FF7B7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A05DC1"/>
    <w:rPr>
      <w:color w:val="605E5C"/>
      <w:shd w:val="clear" w:color="auto" w:fill="E1DFDD"/>
    </w:rPr>
  </w:style>
  <w:style w:type="character" w:customStyle="1" w:styleId="apple-converted-space">
    <w:name w:val="apple-converted-space"/>
    <w:basedOn w:val="Carpredefinitoparagrafo"/>
    <w:rsid w:val="00A25125"/>
  </w:style>
  <w:style w:type="character" w:customStyle="1" w:styleId="ui-provider">
    <w:name w:val="ui-provider"/>
    <w:basedOn w:val="Carpredefinitoparagrafo"/>
    <w:rsid w:val="00053555"/>
  </w:style>
  <w:style w:type="paragraph" w:styleId="Revisione">
    <w:name w:val="Revision"/>
    <w:hidden/>
    <w:uiPriority w:val="99"/>
    <w:semiHidden/>
    <w:rsid w:val="000A68B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763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5730750">
      <w:bodyDiv w:val="1"/>
      <w:marLeft w:val="0"/>
      <w:marRight w:val="0"/>
      <w:marTop w:val="0"/>
      <w:marBottom w:val="0"/>
      <w:divBdr>
        <w:top w:val="none" w:sz="0" w:space="0" w:color="auto"/>
        <w:left w:val="none" w:sz="0" w:space="0" w:color="auto"/>
        <w:bottom w:val="none" w:sz="0" w:space="0" w:color="auto"/>
        <w:right w:val="none" w:sz="0" w:space="0" w:color="auto"/>
      </w:divBdr>
    </w:div>
    <w:div w:id="167263925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mailto:paolo.mocellin@unipd.it"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12584-ED2D-4300-981D-1319C019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3479</Words>
  <Characters>19836</Characters>
  <Application>Microsoft Office Word</Application>
  <DocSecurity>0</DocSecurity>
  <Lines>165</Lines>
  <Paragraphs>46</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Unknown</cp:lastModifiedBy>
  <cp:revision>2</cp:revision>
  <cp:lastPrinted>2015-05-12T18:31:00Z</cp:lastPrinted>
  <dcterms:created xsi:type="dcterms:W3CDTF">2023-05-08T09:01:00Z</dcterms:created>
  <dcterms:modified xsi:type="dcterms:W3CDTF">2023-05-08T09:01:00Z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b61dc993e767a87f0ef99dbd1e938b2b52654c023c501b71d5c7e7afe0ea592e</vt:lpwstr>
  </property>
</Properties>
</file>