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5359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44F7A" w14:paraId="380FA3CD" w14:textId="77777777" w:rsidTr="00D5359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B1129" w:rsidRDefault="000D0268" w:rsidP="00CD5FE2">
            <w:pPr>
              <w:spacing w:line="140" w:lineRule="atLeast"/>
              <w:jc w:val="right"/>
              <w:rPr>
                <w:rFonts w:cs="Arial"/>
                <w:sz w:val="13"/>
                <w:szCs w:val="13"/>
                <w:lang w:val="nb-NO"/>
              </w:rPr>
            </w:pPr>
            <w:r w:rsidRPr="00AB1129">
              <w:rPr>
                <w:rFonts w:cs="Arial"/>
                <w:sz w:val="13"/>
                <w:szCs w:val="13"/>
                <w:lang w:val="nb-NO"/>
              </w:rPr>
              <w:t>Online at www.cetjournal.it</w:t>
            </w:r>
          </w:p>
        </w:tc>
      </w:tr>
      <w:tr w:rsidR="000A03B2" w:rsidRPr="00020C8C" w14:paraId="2D1B7169" w14:textId="77777777" w:rsidTr="00D5359F">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E55234" w:rsidRDefault="00AA7D26" w:rsidP="00AA7D26">
            <w:pPr>
              <w:tabs>
                <w:tab w:val="left" w:pos="-108"/>
              </w:tabs>
              <w:spacing w:line="140" w:lineRule="atLeast"/>
              <w:ind w:left="-107"/>
              <w:jc w:val="left"/>
            </w:pPr>
            <w:r w:rsidRPr="00E55234">
              <w:rPr>
                <w:rFonts w:ascii="Tahoma" w:hAnsi="Tahoma" w:cs="Tahoma"/>
                <w:color w:val="333333"/>
                <w:sz w:val="14"/>
                <w:szCs w:val="14"/>
                <w:lang w:eastAsia="it-IT"/>
              </w:rPr>
              <w:t xml:space="preserve">Copyright © 2023, AIDIC </w:t>
            </w:r>
            <w:proofErr w:type="spellStart"/>
            <w:r w:rsidRPr="00E55234">
              <w:rPr>
                <w:rFonts w:ascii="Tahoma" w:hAnsi="Tahoma" w:cs="Tahoma"/>
                <w:color w:val="333333"/>
                <w:sz w:val="14"/>
                <w:szCs w:val="14"/>
                <w:lang w:eastAsia="it-IT"/>
              </w:rPr>
              <w:t>Servizi</w:t>
            </w:r>
            <w:proofErr w:type="spellEnd"/>
            <w:r w:rsidRPr="00E55234">
              <w:rPr>
                <w:rFonts w:ascii="Tahoma" w:hAnsi="Tahoma" w:cs="Tahoma"/>
                <w:color w:val="333333"/>
                <w:sz w:val="14"/>
                <w:szCs w:val="14"/>
                <w:lang w:eastAsia="it-IT"/>
              </w:rPr>
              <w:t xml:space="preserve"> </w:t>
            </w:r>
            <w:proofErr w:type="spellStart"/>
            <w:r w:rsidRPr="00E55234">
              <w:rPr>
                <w:rFonts w:ascii="Tahoma" w:hAnsi="Tahoma" w:cs="Tahoma"/>
                <w:color w:val="333333"/>
                <w:sz w:val="14"/>
                <w:szCs w:val="14"/>
                <w:lang w:eastAsia="it-IT"/>
              </w:rPr>
              <w:t>S.r.l</w:t>
            </w:r>
            <w:proofErr w:type="spellEnd"/>
            <w:r w:rsidRPr="00E55234">
              <w:rPr>
                <w:rFonts w:ascii="Tahoma" w:hAnsi="Tahoma" w:cs="Tahoma"/>
                <w:color w:val="333333"/>
                <w:sz w:val="14"/>
                <w:szCs w:val="14"/>
                <w:lang w:eastAsia="it-IT"/>
              </w:rPr>
              <w:t>.</w:t>
            </w:r>
            <w:r w:rsidRPr="00E55234">
              <w:rPr>
                <w:rFonts w:ascii="Tahoma" w:hAnsi="Tahoma" w:cs="Tahoma"/>
                <w:color w:val="333333"/>
                <w:sz w:val="14"/>
                <w:szCs w:val="14"/>
                <w:lang w:eastAsia="it-IT"/>
              </w:rPr>
              <w:br/>
            </w:r>
            <w:r w:rsidRPr="00E55234">
              <w:rPr>
                <w:rFonts w:ascii="Tahoma" w:hAnsi="Tahoma" w:cs="Tahoma"/>
                <w:b/>
                <w:color w:val="000000"/>
                <w:sz w:val="14"/>
                <w:szCs w:val="14"/>
                <w:lang w:eastAsia="it-IT"/>
              </w:rPr>
              <w:t>ISBN</w:t>
            </w:r>
            <w:r w:rsidRPr="00E55234">
              <w:rPr>
                <w:rFonts w:ascii="Tahoma" w:hAnsi="Tahoma" w:cs="Tahoma"/>
                <w:color w:val="000000"/>
                <w:sz w:val="14"/>
                <w:szCs w:val="14"/>
                <w:lang w:eastAsia="it-IT"/>
              </w:rPr>
              <w:t xml:space="preserve"> </w:t>
            </w:r>
            <w:r w:rsidR="008B7C03" w:rsidRPr="00E55234">
              <w:rPr>
                <w:rFonts w:ascii="Tahoma" w:hAnsi="Tahoma" w:cs="Tahoma"/>
                <w:sz w:val="14"/>
                <w:szCs w:val="14"/>
              </w:rPr>
              <w:t>979-12-81206</w:t>
            </w:r>
            <w:r w:rsidRPr="00E55234">
              <w:rPr>
                <w:rFonts w:ascii="Tahoma" w:hAnsi="Tahoma" w:cs="Tahoma"/>
                <w:sz w:val="14"/>
                <w:szCs w:val="14"/>
              </w:rPr>
              <w:t>-</w:t>
            </w:r>
            <w:r w:rsidR="00E33DD7" w:rsidRPr="00E55234">
              <w:rPr>
                <w:rFonts w:ascii="Tahoma" w:hAnsi="Tahoma" w:cs="Tahoma"/>
                <w:sz w:val="14"/>
                <w:szCs w:val="14"/>
              </w:rPr>
              <w:t>0</w:t>
            </w:r>
            <w:r w:rsidR="005E7C48" w:rsidRPr="00E55234">
              <w:rPr>
                <w:rFonts w:ascii="Tahoma" w:hAnsi="Tahoma" w:cs="Tahoma"/>
                <w:sz w:val="14"/>
                <w:szCs w:val="14"/>
              </w:rPr>
              <w:t>4</w:t>
            </w:r>
            <w:r w:rsidRPr="00E55234">
              <w:rPr>
                <w:rFonts w:ascii="Tahoma" w:hAnsi="Tahoma" w:cs="Tahoma"/>
                <w:sz w:val="14"/>
                <w:szCs w:val="14"/>
              </w:rPr>
              <w:t>-</w:t>
            </w:r>
            <w:r w:rsidR="005E7C48" w:rsidRPr="00E55234">
              <w:rPr>
                <w:rFonts w:ascii="Tahoma" w:hAnsi="Tahoma" w:cs="Tahoma"/>
                <w:sz w:val="14"/>
                <w:szCs w:val="14"/>
              </w:rPr>
              <w:t>5</w:t>
            </w:r>
            <w:r w:rsidRPr="00E55234">
              <w:rPr>
                <w:rFonts w:ascii="Tahoma" w:hAnsi="Tahoma" w:cs="Tahoma"/>
                <w:color w:val="333333"/>
                <w:sz w:val="14"/>
                <w:szCs w:val="14"/>
                <w:lang w:eastAsia="it-IT"/>
              </w:rPr>
              <w:t xml:space="preserve">; </w:t>
            </w:r>
            <w:r w:rsidRPr="00E55234">
              <w:rPr>
                <w:rFonts w:ascii="Tahoma" w:hAnsi="Tahoma" w:cs="Tahoma"/>
                <w:b/>
                <w:color w:val="333333"/>
                <w:sz w:val="14"/>
                <w:szCs w:val="14"/>
                <w:lang w:eastAsia="it-IT"/>
              </w:rPr>
              <w:t>ISSN</w:t>
            </w:r>
            <w:r w:rsidRPr="00E55234">
              <w:rPr>
                <w:rFonts w:ascii="Tahoma" w:hAnsi="Tahoma" w:cs="Tahoma"/>
                <w:color w:val="333333"/>
                <w:sz w:val="14"/>
                <w:szCs w:val="14"/>
                <w:lang w:eastAsia="it-IT"/>
              </w:rPr>
              <w:t xml:space="preserve"> 2283-9216</w:t>
            </w:r>
          </w:p>
        </w:tc>
      </w:tr>
    </w:tbl>
    <w:p w14:paraId="2E667253" w14:textId="205F13DE" w:rsidR="00E978D0" w:rsidRPr="00B57B36" w:rsidRDefault="00D5359F" w:rsidP="00E978D0">
      <w:pPr>
        <w:pStyle w:val="CETTitle"/>
      </w:pPr>
      <w:r w:rsidRPr="00D5359F">
        <w:t xml:space="preserve">HS3 </w:t>
      </w:r>
      <w:r w:rsidR="00471C44">
        <w:t>Solvent</w:t>
      </w:r>
      <w:r w:rsidRPr="00D5359F">
        <w:t xml:space="preserve"> A</w:t>
      </w:r>
      <w:r w:rsidR="00471C44">
        <w:t>spen</w:t>
      </w:r>
      <w:r w:rsidRPr="00D5359F">
        <w:t xml:space="preserve"> P</w:t>
      </w:r>
      <w:r w:rsidR="009D25D8">
        <w:t>lus</w:t>
      </w:r>
      <w:r w:rsidRPr="00D5359F">
        <w:t xml:space="preserve"> </w:t>
      </w:r>
      <w:r w:rsidR="00471C44">
        <w:t>Model</w:t>
      </w:r>
      <w:r w:rsidRPr="00D5359F">
        <w:t xml:space="preserve"> V</w:t>
      </w:r>
      <w:r w:rsidR="00471C44">
        <w:t>alidation</w:t>
      </w:r>
      <w:r w:rsidRPr="00D5359F">
        <w:t xml:space="preserve"> </w:t>
      </w:r>
      <w:r w:rsidR="00471C44">
        <w:t>Using</w:t>
      </w:r>
      <w:r w:rsidRPr="00D5359F">
        <w:t xml:space="preserve"> T</w:t>
      </w:r>
      <w:r w:rsidR="00471C44">
        <w:t>iller</w:t>
      </w:r>
      <w:r w:rsidRPr="00D5359F">
        <w:t xml:space="preserve"> </w:t>
      </w:r>
      <w:r w:rsidR="00471C44">
        <w:t>Pilot Plant Data</w:t>
      </w:r>
    </w:p>
    <w:p w14:paraId="0488FED2" w14:textId="0FAE83CC" w:rsidR="00B57E6F" w:rsidRPr="00435AC3" w:rsidRDefault="00AB1129" w:rsidP="00B57E6F">
      <w:pPr>
        <w:pStyle w:val="CETAuthors"/>
        <w:rPr>
          <w:lang w:val="it-IT"/>
        </w:rPr>
      </w:pPr>
      <w:r w:rsidRPr="52F36C55">
        <w:rPr>
          <w:lang w:val="it-IT"/>
        </w:rPr>
        <w:t>Matteo Gilardi</w:t>
      </w:r>
      <w:r w:rsidRPr="52F36C55">
        <w:rPr>
          <w:vertAlign w:val="superscript"/>
          <w:lang w:val="it-IT"/>
        </w:rPr>
        <w:t>a,b,*</w:t>
      </w:r>
      <w:r w:rsidRPr="52F36C55">
        <w:rPr>
          <w:lang w:val="it-IT"/>
        </w:rPr>
        <w:t>, Filippo Bisotti</w:t>
      </w:r>
      <w:r w:rsidR="009D25D8" w:rsidRPr="52F36C55">
        <w:rPr>
          <w:vertAlign w:val="superscript"/>
          <w:lang w:val="it-IT"/>
        </w:rPr>
        <w:t>a</w:t>
      </w:r>
      <w:r w:rsidRPr="52F36C55">
        <w:rPr>
          <w:vertAlign w:val="superscript"/>
          <w:lang w:val="it-IT"/>
        </w:rPr>
        <w:t>,*</w:t>
      </w:r>
      <w:r w:rsidRPr="52F36C55">
        <w:rPr>
          <w:lang w:val="it-IT"/>
        </w:rPr>
        <w:t xml:space="preserve">, Hanna </w:t>
      </w:r>
      <w:r w:rsidR="00355F89" w:rsidRPr="52F36C55">
        <w:rPr>
          <w:lang w:val="it-IT"/>
        </w:rPr>
        <w:t xml:space="preserve">K. </w:t>
      </w:r>
      <w:r w:rsidRPr="52F36C55">
        <w:rPr>
          <w:lang w:val="it-IT"/>
        </w:rPr>
        <w:t>Knuutila</w:t>
      </w:r>
      <w:r w:rsidRPr="52F36C55">
        <w:rPr>
          <w:vertAlign w:val="superscript"/>
          <w:lang w:val="it-IT"/>
        </w:rPr>
        <w:t>c</w:t>
      </w:r>
      <w:r w:rsidRPr="52F36C55">
        <w:rPr>
          <w:lang w:val="it-IT"/>
        </w:rPr>
        <w:t>, Davide Bonalumi</w:t>
      </w:r>
      <w:r w:rsidR="009D25D8" w:rsidRPr="52F36C55">
        <w:rPr>
          <w:vertAlign w:val="superscript"/>
          <w:lang w:val="it-IT"/>
        </w:rPr>
        <w:t>b</w:t>
      </w:r>
    </w:p>
    <w:p w14:paraId="69CBEE8B" w14:textId="2D1AC0E0" w:rsidR="002A3430" w:rsidRDefault="009D25D8" w:rsidP="002A3430">
      <w:pPr>
        <w:keepNext/>
        <w:tabs>
          <w:tab w:val="clear" w:pos="7100"/>
        </w:tabs>
        <w:suppressAutoHyphens/>
        <w:spacing w:line="276" w:lineRule="auto"/>
        <w:contextualSpacing/>
        <w:jc w:val="left"/>
        <w:rPr>
          <w:noProof/>
          <w:sz w:val="16"/>
        </w:rPr>
      </w:pPr>
      <w:r>
        <w:rPr>
          <w:noProof/>
          <w:sz w:val="16"/>
          <w:vertAlign w:val="superscript"/>
        </w:rPr>
        <w:t>a</w:t>
      </w:r>
      <w:r w:rsidR="002A3430" w:rsidRPr="002A3430">
        <w:rPr>
          <w:noProof/>
          <w:sz w:val="16"/>
          <w:vertAlign w:val="superscript"/>
        </w:rPr>
        <w:t xml:space="preserve"> </w:t>
      </w:r>
      <w:r w:rsidR="002A3430" w:rsidRPr="002A3430">
        <w:rPr>
          <w:noProof/>
          <w:sz w:val="16"/>
        </w:rPr>
        <w:t>SINTEF Industry – Process Technology, Sem Sælands</w:t>
      </w:r>
      <w:r w:rsidR="001E6ED0">
        <w:rPr>
          <w:noProof/>
          <w:sz w:val="16"/>
        </w:rPr>
        <w:t xml:space="preserve"> vei</w:t>
      </w:r>
      <w:r w:rsidR="002A3430" w:rsidRPr="002A3430">
        <w:rPr>
          <w:noProof/>
          <w:sz w:val="16"/>
        </w:rPr>
        <w:t xml:space="preserve"> 2A, 7491, Trondheim (Norway)</w:t>
      </w:r>
    </w:p>
    <w:p w14:paraId="71C5D78A" w14:textId="46F66D8E" w:rsidR="009D25D8" w:rsidRPr="009D25D8" w:rsidRDefault="009D25D8" w:rsidP="002A3430">
      <w:pPr>
        <w:keepNext/>
        <w:tabs>
          <w:tab w:val="clear" w:pos="7100"/>
        </w:tabs>
        <w:suppressAutoHyphens/>
        <w:spacing w:line="276" w:lineRule="auto"/>
        <w:contextualSpacing/>
        <w:jc w:val="left"/>
        <w:rPr>
          <w:noProof/>
          <w:sz w:val="16"/>
          <w:lang w:val="it-IT"/>
        </w:rPr>
      </w:pPr>
      <w:r>
        <w:rPr>
          <w:noProof/>
          <w:sz w:val="16"/>
          <w:vertAlign w:val="superscript"/>
          <w:lang w:val="it-IT"/>
        </w:rPr>
        <w:t>b</w:t>
      </w:r>
      <w:r w:rsidRPr="002A3430">
        <w:rPr>
          <w:noProof/>
          <w:sz w:val="16"/>
          <w:vertAlign w:val="superscript"/>
          <w:lang w:val="it-IT"/>
        </w:rPr>
        <w:t xml:space="preserve"> </w:t>
      </w:r>
      <w:r w:rsidRPr="002A3430">
        <w:rPr>
          <w:noProof/>
          <w:sz w:val="16"/>
          <w:lang w:val="it-IT"/>
        </w:rPr>
        <w:t>Politecnico di Milano, Department of Energy, Via Lambruschini, 4A, 20156, Milano (Italy)</w:t>
      </w:r>
    </w:p>
    <w:p w14:paraId="4F8B4C0C" w14:textId="77777777" w:rsidR="002A3430" w:rsidRPr="002A3430" w:rsidRDefault="002A3430" w:rsidP="002A3430">
      <w:pPr>
        <w:keepNext/>
        <w:tabs>
          <w:tab w:val="clear" w:pos="7100"/>
        </w:tabs>
        <w:suppressAutoHyphens/>
        <w:spacing w:line="276" w:lineRule="auto"/>
        <w:contextualSpacing/>
        <w:jc w:val="left"/>
        <w:rPr>
          <w:noProof/>
          <w:sz w:val="16"/>
        </w:rPr>
      </w:pPr>
      <w:r w:rsidRPr="002A3430">
        <w:rPr>
          <w:noProof/>
          <w:sz w:val="16"/>
          <w:vertAlign w:val="superscript"/>
        </w:rPr>
        <w:t xml:space="preserve">c </w:t>
      </w:r>
      <w:r w:rsidRPr="002A3430">
        <w:rPr>
          <w:noProof/>
          <w:sz w:val="16"/>
        </w:rPr>
        <w:t>Department of Chemical Engineering, Norwegian University of Science and Technology, NTNU, Trondheim, 7491, Norway</w:t>
      </w:r>
    </w:p>
    <w:p w14:paraId="73F1267A" w14:textId="51241B1A" w:rsidR="00B57E6F" w:rsidRPr="00B57B36" w:rsidRDefault="00B57E6F" w:rsidP="00B57E6F">
      <w:pPr>
        <w:pStyle w:val="CETemail"/>
      </w:pPr>
      <w:r w:rsidRPr="00B57B36">
        <w:t>corresponding</w:t>
      </w:r>
      <w:r w:rsidR="008554D2">
        <w:t xml:space="preserve"> </w:t>
      </w:r>
      <w:r w:rsidRPr="00B57B36">
        <w:t>author</w:t>
      </w:r>
      <w:r w:rsidR="009A49DB">
        <w:t xml:space="preserve">s: </w:t>
      </w:r>
      <w:hyperlink r:id="rId10" w:history="1">
        <w:r w:rsidR="009A49DB" w:rsidRPr="00DF6653">
          <w:rPr>
            <w:rStyle w:val="Hyperlink"/>
          </w:rPr>
          <w:t>matteo.gilardi@sintef.no</w:t>
        </w:r>
      </w:hyperlink>
      <w:r w:rsidR="009A49DB">
        <w:t xml:space="preserve">, </w:t>
      </w:r>
      <w:hyperlink r:id="rId11" w:history="1">
        <w:r w:rsidR="009A49DB" w:rsidRPr="00DF6653">
          <w:rPr>
            <w:rStyle w:val="Hyperlink"/>
          </w:rPr>
          <w:t>filippo.bisotti@sintef.no</w:t>
        </w:r>
      </w:hyperlink>
      <w:r w:rsidR="009A49DB">
        <w:t xml:space="preserve"> </w:t>
      </w:r>
    </w:p>
    <w:p w14:paraId="6C03FFD9" w14:textId="04955892" w:rsidR="00F80C2B" w:rsidRPr="00B57B36" w:rsidRDefault="00702B46" w:rsidP="00702B46">
      <w:pPr>
        <w:pStyle w:val="CETHeading1"/>
        <w:numPr>
          <w:ilvl w:val="0"/>
          <w:numId w:val="0"/>
        </w:numPr>
        <w:rPr>
          <w:lang w:val="en-GB"/>
        </w:rPr>
      </w:pPr>
      <w:r>
        <w:rPr>
          <w:lang w:val="en-GB"/>
        </w:rPr>
        <w:t>Abstract</w:t>
      </w:r>
    </w:p>
    <w:p w14:paraId="1BA9C3D0" w14:textId="6AB7C34F" w:rsidR="003205BC" w:rsidRDefault="003205BC" w:rsidP="00B14ABA">
      <w:pPr>
        <w:pStyle w:val="CETListbullets"/>
        <w:ind w:left="0" w:firstLine="0"/>
      </w:pPr>
      <w:r>
        <w:t>The HS3 solvent is an innovative blend</w:t>
      </w:r>
      <w:r w:rsidR="007C34DE">
        <w:t xml:space="preserve"> for CO</w:t>
      </w:r>
      <w:r w:rsidR="007C34DE" w:rsidRPr="007C34DE">
        <w:rPr>
          <w:vertAlign w:val="subscript"/>
        </w:rPr>
        <w:t>2</w:t>
      </w:r>
      <w:r w:rsidR="007C34DE">
        <w:t xml:space="preserve"> capture</w:t>
      </w:r>
      <w:r>
        <w:t xml:space="preserve"> made up of a primary (3-amino-1-propanol</w:t>
      </w:r>
      <w:r w:rsidR="00AE5566">
        <w:t>, AP</w:t>
      </w:r>
      <w:r>
        <w:t>) and a tertiary (1-(2-hydroxyethyl) pyrrolidine</w:t>
      </w:r>
      <w:r w:rsidR="00AE5566">
        <w:t>, PRLD</w:t>
      </w:r>
      <w:r>
        <w:t xml:space="preserve">) amine studied in the H2020-funded Realise project. The thermodynamic framework has </w:t>
      </w:r>
      <w:r w:rsidR="00AB4BCB">
        <w:t>already been</w:t>
      </w:r>
      <w:r>
        <w:t xml:space="preserve"> validated </w:t>
      </w:r>
      <w:r w:rsidR="00074792">
        <w:t>using</w:t>
      </w:r>
      <w:r>
        <w:t xml:space="preserve"> experimental observations. The proposed thermodynamic model has been built into Aspen P</w:t>
      </w:r>
      <w:r w:rsidR="000B5668">
        <w:t>lus</w:t>
      </w:r>
      <w:r>
        <w:t xml:space="preserve"> V11 using the ENTRL (Electrolyte Non-Random Two Liquid) package</w:t>
      </w:r>
      <w:r w:rsidR="001776C2">
        <w:t xml:space="preserve"> </w:t>
      </w:r>
      <w:proofErr w:type="gramStart"/>
      <w:r w:rsidR="001776C2">
        <w:t>and,</w:t>
      </w:r>
      <w:proofErr w:type="gramEnd"/>
      <w:r w:rsidR="001776C2">
        <w:t xml:space="preserve"> then, </w:t>
      </w:r>
      <w:r>
        <w:t xml:space="preserve">finalized by including </w:t>
      </w:r>
      <w:r w:rsidR="00ED50DD">
        <w:t xml:space="preserve">a </w:t>
      </w:r>
      <w:r>
        <w:t>mass transfer</w:t>
      </w:r>
      <w:r w:rsidR="00ED50DD">
        <w:t xml:space="preserve"> model</w:t>
      </w:r>
      <w:r>
        <w:t xml:space="preserve"> </w:t>
      </w:r>
      <w:r w:rsidR="001776C2">
        <w:t>and</w:t>
      </w:r>
      <w:r>
        <w:t xml:space="preserve"> kinetics. The resulting </w:t>
      </w:r>
      <w:r w:rsidR="00362222">
        <w:t>full flow</w:t>
      </w:r>
      <w:r w:rsidR="006F40CE">
        <w:t xml:space="preserve">sheet simulation </w:t>
      </w:r>
      <w:r>
        <w:t>model has been validated using experimental measurements from Tiller semi-industrial pilot plant (Trondheim, Norway)</w:t>
      </w:r>
      <w:r w:rsidR="00BB5CFC">
        <w:t>.</w:t>
      </w:r>
      <w:r w:rsidR="00DE5295">
        <w:t xml:space="preserve"> </w:t>
      </w:r>
      <w:r>
        <w:t xml:space="preserve">The experimental campaign succeeded in demonstrating lower energy requirement and liquid recirculation compared to conventional </w:t>
      </w:r>
      <w:proofErr w:type="spellStart"/>
      <w:r w:rsidR="00DE5295">
        <w:t>monoethanolamine</w:t>
      </w:r>
      <w:proofErr w:type="spellEnd"/>
      <w:r w:rsidR="00DE5295">
        <w:t xml:space="preserve"> (</w:t>
      </w:r>
      <w:r>
        <w:t>MEA</w:t>
      </w:r>
      <w:r w:rsidR="00DE5295">
        <w:t>)</w:t>
      </w:r>
      <w:r>
        <w:t xml:space="preserve"> at 30% w/w. The present contribution aims </w:t>
      </w:r>
      <w:r w:rsidR="009F0906">
        <w:t>at presenting</w:t>
      </w:r>
      <w:r>
        <w:t xml:space="preserve"> the validation procedure of the developed model over experimental data from the large-scale facility at Tiller and showing that the HS3 solvent is a promising blend to mitigate energy consumption in the CO</w:t>
      </w:r>
      <w:r w:rsidRPr="002F6055">
        <w:rPr>
          <w:vertAlign w:val="subscript"/>
        </w:rPr>
        <w:t>2</w:t>
      </w:r>
      <w:r>
        <w:t xml:space="preserve"> capture process. All KPIs of the CO</w:t>
      </w:r>
      <w:r w:rsidRPr="00A45486">
        <w:rPr>
          <w:vertAlign w:val="subscript"/>
        </w:rPr>
        <w:t>2</w:t>
      </w:r>
      <w:r>
        <w:t xml:space="preserve"> capture plant (CO</w:t>
      </w:r>
      <w:r w:rsidRPr="00A45486">
        <w:rPr>
          <w:vertAlign w:val="subscript"/>
        </w:rPr>
        <w:t>2</w:t>
      </w:r>
      <w:r>
        <w:t xml:space="preserve"> capture rate, CO</w:t>
      </w:r>
      <w:r w:rsidRPr="00A45486">
        <w:rPr>
          <w:vertAlign w:val="subscript"/>
        </w:rPr>
        <w:t>2</w:t>
      </w:r>
      <w:r>
        <w:t xml:space="preserve"> flow released in the stripper and temperature profiles inside the two columns) are predicted with an Absolute Average Relative Deviation (AARD) lower than 5% and with an Average Relative Deviation (ARD) close to zero. This statistical analysis demonstrates that the developed HS3 Aspen model </w:t>
      </w:r>
      <w:r w:rsidR="00D51A12">
        <w:t xml:space="preserve">can be used for </w:t>
      </w:r>
      <w:r>
        <w:t>simulation, energy analysis, and techno-economic assessment purposes.</w:t>
      </w:r>
    </w:p>
    <w:p w14:paraId="476B2F2E" w14:textId="77777777" w:rsidR="00600535" w:rsidRPr="00B57B36" w:rsidRDefault="00600535" w:rsidP="00600535">
      <w:pPr>
        <w:pStyle w:val="CETHeading1"/>
        <w:rPr>
          <w:lang w:val="en-GB"/>
        </w:rPr>
      </w:pPr>
      <w:r w:rsidRPr="00B57B36">
        <w:rPr>
          <w:lang w:val="en-GB"/>
        </w:rPr>
        <w:t>Introduction</w:t>
      </w:r>
    </w:p>
    <w:p w14:paraId="23F86FEF" w14:textId="75DBBD4C" w:rsidR="00600535" w:rsidRPr="0026019D" w:rsidRDefault="0087745F" w:rsidP="0087745F">
      <w:pPr>
        <w:pStyle w:val="CETBodytext"/>
      </w:pPr>
      <w:r w:rsidRPr="0087745F">
        <w:t>The decarboni</w:t>
      </w:r>
      <w:r w:rsidR="006E2C4B">
        <w:t>z</w:t>
      </w:r>
      <w:r w:rsidRPr="0087745F">
        <w:t xml:space="preserve">ation of several industrial sites is an essential step towards a net-zero emission scenario within the next 25 years. </w:t>
      </w:r>
      <w:r w:rsidR="006E2C4B">
        <w:t>Carbon</w:t>
      </w:r>
      <w:r w:rsidRPr="0087745F">
        <w:t xml:space="preserve"> capture from industrial flue gases and its storage or utilization is gaining interest as a viable option to significantly </w:t>
      </w:r>
      <w:r w:rsidR="006E2C4B">
        <w:t>mitigate</w:t>
      </w:r>
      <w:r w:rsidRPr="0087745F">
        <w:t xml:space="preserve"> the environmental impact </w:t>
      </w:r>
      <w:r w:rsidR="006E2C4B">
        <w:t>of CO</w:t>
      </w:r>
      <w:r w:rsidR="006E2C4B" w:rsidRPr="006E2C4B">
        <w:rPr>
          <w:vertAlign w:val="subscript"/>
        </w:rPr>
        <w:t>2</w:t>
      </w:r>
      <w:r w:rsidR="006E2C4B">
        <w:t xml:space="preserve"> emissions from power generation</w:t>
      </w:r>
      <w:r w:rsidR="00475FD1">
        <w:t xml:space="preserve"> (natural gas and coal-fired facilities)</w:t>
      </w:r>
      <w:r w:rsidR="006E2C4B">
        <w:t xml:space="preserve"> and industrial sources</w:t>
      </w:r>
      <w:r w:rsidR="005A03AD">
        <w:t xml:space="preserve"> </w:t>
      </w:r>
      <w:r w:rsidR="00116799">
        <w:t>(Rochelle, 2009)</w:t>
      </w:r>
      <w:r w:rsidR="00475FD1">
        <w:t xml:space="preserve"> such as chemical industries</w:t>
      </w:r>
      <w:r w:rsidR="00EF3D7E">
        <w:t xml:space="preserve">, refineries, cement producers, </w:t>
      </w:r>
      <w:proofErr w:type="gramStart"/>
      <w:r w:rsidR="00EF3D7E">
        <w:t>steel</w:t>
      </w:r>
      <w:proofErr w:type="gramEnd"/>
      <w:r w:rsidR="00EF3D7E">
        <w:t xml:space="preserve"> and metallurgic farms</w:t>
      </w:r>
      <w:r w:rsidR="006E2C4B">
        <w:t>.</w:t>
      </w:r>
      <w:r w:rsidRPr="0087745F">
        <w:t xml:space="preserve"> </w:t>
      </w:r>
      <w:r w:rsidR="006E2C4B">
        <w:t>Even if</w:t>
      </w:r>
      <w:r w:rsidRPr="0087745F">
        <w:t xml:space="preserve"> CO</w:t>
      </w:r>
      <w:r w:rsidRPr="0087745F">
        <w:rPr>
          <w:vertAlign w:val="subscript"/>
        </w:rPr>
        <w:t>2</w:t>
      </w:r>
      <w:r w:rsidRPr="0087745F">
        <w:t xml:space="preserve"> absorption with amine</w:t>
      </w:r>
      <w:r w:rsidR="006E2C4B">
        <w:t>s</w:t>
      </w:r>
      <w:r w:rsidRPr="0087745F">
        <w:t xml:space="preserve"> is already a mature technology, its large-scale </w:t>
      </w:r>
      <w:r w:rsidR="006E2C4B">
        <w:t>deployment</w:t>
      </w:r>
      <w:r w:rsidRPr="0087745F">
        <w:t xml:space="preserve"> is still limited due to the high energy </w:t>
      </w:r>
      <w:r w:rsidR="006E2C4B">
        <w:t>demand for</w:t>
      </w:r>
      <w:r w:rsidRPr="0087745F">
        <w:t xml:space="preserve"> the regeneration of </w:t>
      </w:r>
      <w:r w:rsidR="006E2C4B">
        <w:t>the solvent</w:t>
      </w:r>
      <w:r w:rsidRPr="0087745F">
        <w:t xml:space="preserve">. </w:t>
      </w:r>
      <w:r w:rsidR="006E2C4B">
        <w:t>Thus</w:t>
      </w:r>
      <w:r w:rsidRPr="0087745F">
        <w:t xml:space="preserve">, it is crucial to characterize and test alternative amine formulations </w:t>
      </w:r>
      <w:r w:rsidR="006E2C4B">
        <w:t>to lower</w:t>
      </w:r>
      <w:r w:rsidRPr="0087745F">
        <w:t xml:space="preserve"> the operating costs of carbon capture</w:t>
      </w:r>
      <w:r w:rsidR="005A03AD">
        <w:t xml:space="preserve"> </w:t>
      </w:r>
      <w:r w:rsidR="00F8645B">
        <w:t>(</w:t>
      </w:r>
      <w:proofErr w:type="spellStart"/>
      <w:r w:rsidR="00F8645B">
        <w:t>Vitillo</w:t>
      </w:r>
      <w:proofErr w:type="spellEnd"/>
      <w:r w:rsidR="00F8645B">
        <w:t xml:space="preserve"> et al., 2017; Pellegrini et al., 2021)</w:t>
      </w:r>
      <w:r w:rsidRPr="0087745F">
        <w:t>. In this context, a new blend called HS3 made up of a primary amine (3-amino-1-propanol, AP) and a tertiary amine (1-2-hydroxyethyl-pyrrolydine</w:t>
      </w:r>
      <w:r w:rsidR="006E2C4B">
        <w:t>, PRLD</w:t>
      </w:r>
      <w:r w:rsidRPr="0087745F">
        <w:t>) has been characterized within the European</w:t>
      </w:r>
      <w:r w:rsidR="006E2C4B">
        <w:t xml:space="preserve"> </w:t>
      </w:r>
      <w:r w:rsidRPr="0087745F">
        <w:t xml:space="preserve">project </w:t>
      </w:r>
      <w:proofErr w:type="spellStart"/>
      <w:r w:rsidRPr="0087745F">
        <w:t>Realise</w:t>
      </w:r>
      <w:proofErr w:type="spellEnd"/>
      <w:r w:rsidRPr="0087745F">
        <w:t>, included in the H2020 funding program. This blend combines the high CO</w:t>
      </w:r>
      <w:r w:rsidRPr="0087745F">
        <w:rPr>
          <w:vertAlign w:val="subscript"/>
        </w:rPr>
        <w:t>2</w:t>
      </w:r>
      <w:r w:rsidRPr="0087745F">
        <w:t xml:space="preserve"> uptake capacity provided by PRLD with the fast absorption rate of AP. This solvent has already been tested successfully both on a laboratory scale (</w:t>
      </w:r>
      <w:r w:rsidR="00B44F7A">
        <w:t>Vapor-Liquid Equilibriu</w:t>
      </w:r>
      <w:r w:rsidR="0065796A">
        <w:t>m</w:t>
      </w:r>
      <w:r w:rsidR="00B44F7A">
        <w:t xml:space="preserve">, </w:t>
      </w:r>
      <w:r w:rsidR="00105B1A">
        <w:t xml:space="preserve">namely </w:t>
      </w:r>
      <w:r w:rsidRPr="0087745F">
        <w:t>VLE</w:t>
      </w:r>
      <w:r w:rsidR="00B44F7A">
        <w:t>,</w:t>
      </w:r>
      <w:r w:rsidRPr="0087745F">
        <w:t xml:space="preserve"> </w:t>
      </w:r>
      <w:r w:rsidR="0091284E">
        <w:t xml:space="preserve">and </w:t>
      </w:r>
      <w:r w:rsidRPr="0087745F">
        <w:t>heat of absorption</w:t>
      </w:r>
      <w:r w:rsidR="0065796A">
        <w:t xml:space="preserve"> measurements</w:t>
      </w:r>
      <w:r w:rsidRPr="0087745F">
        <w:t xml:space="preserve">) and on a </w:t>
      </w:r>
      <w:r w:rsidR="0091284E">
        <w:t xml:space="preserve">large </w:t>
      </w:r>
      <w:r w:rsidRPr="0087745F">
        <w:t>pilot scale at Tiller (</w:t>
      </w:r>
      <w:r w:rsidR="00661F03">
        <w:t>webpage - Tiller CO</w:t>
      </w:r>
      <w:r w:rsidR="00661F03" w:rsidRPr="00661F03">
        <w:rPr>
          <w:vertAlign w:val="subscript"/>
        </w:rPr>
        <w:t>2</w:t>
      </w:r>
      <w:r w:rsidR="00661F03">
        <w:t xml:space="preserve"> laboratory, SINTEF, </w:t>
      </w:r>
      <w:r w:rsidRPr="0087745F">
        <w:t xml:space="preserve">Norway). </w:t>
      </w:r>
      <w:r w:rsidR="0091284E">
        <w:t>P</w:t>
      </w:r>
      <w:r w:rsidRPr="0087745F">
        <w:t>ilot-scale data have been collected for a CO</w:t>
      </w:r>
      <w:r w:rsidRPr="0087745F">
        <w:rPr>
          <w:vertAlign w:val="subscript"/>
        </w:rPr>
        <w:t>2</w:t>
      </w:r>
      <w:r w:rsidRPr="0087745F">
        <w:t xml:space="preserve"> capture </w:t>
      </w:r>
      <w:r w:rsidR="0091284E">
        <w:t xml:space="preserve">full </w:t>
      </w:r>
      <w:r w:rsidRPr="0087745F">
        <w:t xml:space="preserve">process (absorption and </w:t>
      </w:r>
      <w:proofErr w:type="spellStart"/>
      <w:r w:rsidR="0091284E">
        <w:t>desorber</w:t>
      </w:r>
      <w:proofErr w:type="spellEnd"/>
      <w:r w:rsidRPr="0087745F">
        <w:t>) for two different CO</w:t>
      </w:r>
      <w:r w:rsidRPr="0087745F">
        <w:rPr>
          <w:vertAlign w:val="subscript"/>
        </w:rPr>
        <w:t>2</w:t>
      </w:r>
      <w:r w:rsidRPr="0087745F">
        <w:t xml:space="preserve"> contents in the flue gas: 5.5 vol% and 11.9 vol%</w:t>
      </w:r>
      <w:r w:rsidR="00CD0738">
        <w:t xml:space="preserve"> (both on a dry basis)</w:t>
      </w:r>
      <w:r w:rsidR="008D10F1">
        <w:t xml:space="preserve"> </w:t>
      </w:r>
      <w:r w:rsidR="00CD0738">
        <w:t xml:space="preserve">representative of flue gas compositions from natural gas combustion and coal-fired power plant or waste-to-energy facilities, respectively. The experimental campaign took </w:t>
      </w:r>
      <w:r w:rsidR="003B6E30">
        <w:t>three</w:t>
      </w:r>
      <w:r w:rsidR="00CD0738">
        <w:t xml:space="preserve"> months and consists of 54 runs </w:t>
      </w:r>
      <w:r w:rsidR="00D54205">
        <w:t xml:space="preserve">and the design of experiments was set to properly cover the domain of main interest for industrial applications of the HS3 solvent, by optimizing </w:t>
      </w:r>
      <w:r w:rsidR="00D54205">
        <w:lastRenderedPageBreak/>
        <w:t>operating conditions (i.e., minimum energy demand at different CO</w:t>
      </w:r>
      <w:r w:rsidR="00D54205" w:rsidRPr="002F6055">
        <w:rPr>
          <w:vertAlign w:val="subscript"/>
        </w:rPr>
        <w:t>2</w:t>
      </w:r>
      <w:r w:rsidR="00D54205">
        <w:t xml:space="preserve"> concentrations in the flue gas</w:t>
      </w:r>
      <w:r w:rsidR="00D54205">
        <w:t>,</w:t>
      </w:r>
      <w:r w:rsidR="00CD0738">
        <w:t xml:space="preserve"> </w:t>
      </w:r>
      <w:r w:rsidR="00D54205">
        <w:t xml:space="preserve">optimal </w:t>
      </w:r>
      <w:r w:rsidR="00CD0738">
        <w:t>lean solvent loading and capture rate).</w:t>
      </w:r>
      <w:r w:rsidRPr="0087745F">
        <w:t xml:space="preserve"> Experimental </w:t>
      </w:r>
      <w:r w:rsidR="0091284E" w:rsidRPr="0087745F">
        <w:t>evidence</w:t>
      </w:r>
      <w:r w:rsidRPr="0087745F">
        <w:t xml:space="preserve"> show</w:t>
      </w:r>
      <w:r w:rsidR="0091284E">
        <w:t>s</w:t>
      </w:r>
      <w:r w:rsidRPr="0087745F">
        <w:t xml:space="preserve"> that</w:t>
      </w:r>
      <w:r w:rsidR="0091284E">
        <w:t xml:space="preserve"> </w:t>
      </w:r>
      <w:r w:rsidRPr="0087745F">
        <w:t xml:space="preserve">HS3 </w:t>
      </w:r>
      <w:r w:rsidR="008D10F1">
        <w:t>reduces</w:t>
      </w:r>
      <w:r w:rsidR="0091284E">
        <w:t xml:space="preserve"> the solvent recirculation </w:t>
      </w:r>
      <w:r w:rsidRPr="0087745F">
        <w:t>flow for a given flow (</w:t>
      </w:r>
      <w:r w:rsidR="0091284E">
        <w:t xml:space="preserve">i.e., lower </w:t>
      </w:r>
      <w:proofErr w:type="spellStart"/>
      <w:r w:rsidRPr="0087745F">
        <w:t>kg</w:t>
      </w:r>
      <w:r w:rsidRPr="0087745F">
        <w:rPr>
          <w:vertAlign w:val="subscript"/>
        </w:rPr>
        <w:t>solv</w:t>
      </w:r>
      <w:proofErr w:type="spellEnd"/>
      <w:r w:rsidRPr="0087745F">
        <w:t>/kg</w:t>
      </w:r>
      <w:r w:rsidRPr="0087745F">
        <w:rPr>
          <w:vertAlign w:val="subscript"/>
        </w:rPr>
        <w:t xml:space="preserve">CO2 </w:t>
      </w:r>
      <w:proofErr w:type="spellStart"/>
      <w:r w:rsidRPr="0087745F">
        <w:rPr>
          <w:vertAlign w:val="subscript"/>
        </w:rPr>
        <w:t>capt.</w:t>
      </w:r>
      <w:proofErr w:type="spellEnd"/>
      <w:r w:rsidRPr="0087745F">
        <w:t>)</w:t>
      </w:r>
      <w:r w:rsidR="0091284E">
        <w:t xml:space="preserve"> </w:t>
      </w:r>
      <w:r w:rsidRPr="0087745F">
        <w:t xml:space="preserve">and it requires </w:t>
      </w:r>
      <w:r>
        <w:t xml:space="preserve">15-20% </w:t>
      </w:r>
      <w:r w:rsidRPr="0087745F">
        <w:t xml:space="preserve">less heat </w:t>
      </w:r>
      <w:r w:rsidR="0037042E" w:rsidRPr="0087745F">
        <w:t>to be</w:t>
      </w:r>
      <w:r w:rsidRPr="0087745F">
        <w:t xml:space="preserve"> regenerated</w:t>
      </w:r>
      <w:r w:rsidR="0091284E">
        <w:t xml:space="preserve"> compared to benchmark MEA</w:t>
      </w:r>
      <w:r w:rsidR="00A110DB">
        <w:t xml:space="preserve"> as reported in the Supplementary Material in </w:t>
      </w:r>
      <w:r w:rsidR="008D10F1">
        <w:t>(</w:t>
      </w:r>
      <w:r w:rsidR="00A110DB" w:rsidRPr="00472D84">
        <w:t>Gilardi et al</w:t>
      </w:r>
      <w:r w:rsidRPr="00472D84">
        <w:t>.</w:t>
      </w:r>
      <w:r w:rsidR="008D10F1" w:rsidRPr="00472D84">
        <w:t>,</w:t>
      </w:r>
      <w:r w:rsidR="008D10F1">
        <w:t xml:space="preserve"> 2023).</w:t>
      </w:r>
      <w:r w:rsidR="0091284E">
        <w:t xml:space="preserve"> </w:t>
      </w:r>
      <w:r w:rsidR="0091284E">
        <w:rPr>
          <w:lang w:val="en-GB"/>
        </w:rPr>
        <w:t>Currently</w:t>
      </w:r>
      <w:r w:rsidRPr="0087745F">
        <w:rPr>
          <w:lang w:val="en-GB"/>
        </w:rPr>
        <w:t xml:space="preserve">, </w:t>
      </w:r>
      <w:r w:rsidR="0091284E">
        <w:rPr>
          <w:lang w:val="en-GB"/>
        </w:rPr>
        <w:t xml:space="preserve">the </w:t>
      </w:r>
      <w:r w:rsidRPr="0087745F">
        <w:rPr>
          <w:lang w:val="en-GB"/>
        </w:rPr>
        <w:t xml:space="preserve">research is focused on developing </w:t>
      </w:r>
      <w:r w:rsidR="0091284E">
        <w:rPr>
          <w:lang w:val="en-GB"/>
        </w:rPr>
        <w:t xml:space="preserve">the </w:t>
      </w:r>
      <w:r w:rsidRPr="0087745F">
        <w:rPr>
          <w:lang w:val="en-GB"/>
        </w:rPr>
        <w:t>HS3 model in a process simulator</w:t>
      </w:r>
      <w:r w:rsidR="0091284E">
        <w:rPr>
          <w:lang w:val="en-GB"/>
        </w:rPr>
        <w:t xml:space="preserve"> </w:t>
      </w:r>
      <w:r w:rsidRPr="0087745F">
        <w:rPr>
          <w:lang w:val="en-GB"/>
        </w:rPr>
        <w:t>to</w:t>
      </w:r>
      <w:r w:rsidR="0091284E">
        <w:rPr>
          <w:lang w:val="en-GB"/>
        </w:rPr>
        <w:t xml:space="preserve"> catch solvent properties, </w:t>
      </w:r>
      <w:r w:rsidRPr="0087745F">
        <w:rPr>
          <w:lang w:val="en-GB"/>
        </w:rPr>
        <w:t>design and optimize a CO</w:t>
      </w:r>
      <w:r w:rsidRPr="0087745F">
        <w:rPr>
          <w:vertAlign w:val="subscript"/>
          <w:lang w:val="en-GB"/>
        </w:rPr>
        <w:t>2</w:t>
      </w:r>
      <w:r w:rsidRPr="0087745F">
        <w:rPr>
          <w:lang w:val="en-GB"/>
        </w:rPr>
        <w:t xml:space="preserve"> capture plant, as well as </w:t>
      </w:r>
      <w:r w:rsidR="0091284E">
        <w:rPr>
          <w:lang w:val="en-GB"/>
        </w:rPr>
        <w:t>to estimate</w:t>
      </w:r>
      <w:r w:rsidRPr="0087745F">
        <w:rPr>
          <w:lang w:val="en-GB"/>
        </w:rPr>
        <w:t xml:space="preserve"> its energy requirements and costs. </w:t>
      </w:r>
      <w:r w:rsidR="0091284E" w:rsidRPr="0087745F">
        <w:rPr>
          <w:lang w:val="en-GB"/>
        </w:rPr>
        <w:t>A</w:t>
      </w:r>
      <w:r>
        <w:rPr>
          <w:lang w:val="en-GB"/>
        </w:rPr>
        <w:t xml:space="preserve"> reliable and accurate model is required for </w:t>
      </w:r>
      <w:r w:rsidRPr="0087745F">
        <w:rPr>
          <w:lang w:val="en-GB"/>
        </w:rPr>
        <w:t>the comparison between the total costs of a</w:t>
      </w:r>
      <w:r w:rsidR="0091284E">
        <w:rPr>
          <w:lang w:val="en-GB"/>
        </w:rPr>
        <w:t xml:space="preserve"> novel solvent, such as</w:t>
      </w:r>
      <w:r w:rsidRPr="0087745F">
        <w:rPr>
          <w:lang w:val="en-GB"/>
        </w:rPr>
        <w:t xml:space="preserve"> HS3</w:t>
      </w:r>
      <w:r w:rsidR="0091284E">
        <w:rPr>
          <w:lang w:val="en-GB"/>
        </w:rPr>
        <w:t>,</w:t>
      </w:r>
      <w:r w:rsidRPr="0087745F">
        <w:rPr>
          <w:lang w:val="en-GB"/>
        </w:rPr>
        <w:t xml:space="preserve"> and a </w:t>
      </w:r>
      <w:r>
        <w:rPr>
          <w:lang w:val="en-GB"/>
        </w:rPr>
        <w:t>benchmark</w:t>
      </w:r>
      <w:r w:rsidRPr="0087745F">
        <w:rPr>
          <w:lang w:val="en-GB"/>
        </w:rPr>
        <w:t xml:space="preserve"> CO</w:t>
      </w:r>
      <w:r w:rsidRPr="0087745F">
        <w:rPr>
          <w:vertAlign w:val="subscript"/>
          <w:lang w:val="en-GB"/>
        </w:rPr>
        <w:t>2</w:t>
      </w:r>
      <w:r w:rsidRPr="0087745F">
        <w:rPr>
          <w:lang w:val="en-GB"/>
        </w:rPr>
        <w:t xml:space="preserve"> absorption plant</w:t>
      </w:r>
      <w:r w:rsidR="0091284E">
        <w:rPr>
          <w:lang w:val="en-GB"/>
        </w:rPr>
        <w:t>.</w:t>
      </w:r>
      <w:r w:rsidR="00C62C2F">
        <w:rPr>
          <w:lang w:val="en-GB"/>
        </w:rPr>
        <w:t xml:space="preserve"> </w:t>
      </w:r>
      <w:r w:rsidR="00A00BA3">
        <w:rPr>
          <w:lang w:val="en-GB"/>
        </w:rPr>
        <w:t xml:space="preserve"> </w:t>
      </w:r>
      <w:r w:rsidR="00F868C4">
        <w:rPr>
          <w:lang w:val="en-GB"/>
        </w:rPr>
        <w:t xml:space="preserve"> </w:t>
      </w:r>
      <w:r w:rsidR="00C62C2F">
        <w:rPr>
          <w:lang w:val="en-GB"/>
        </w:rPr>
        <w:t xml:space="preserve"> </w:t>
      </w:r>
    </w:p>
    <w:p w14:paraId="5741900F" w14:textId="3F568FDE" w:rsidR="00453E24" w:rsidRDefault="0087745F" w:rsidP="00453E24">
      <w:pPr>
        <w:pStyle w:val="CETHeading1"/>
      </w:pPr>
      <w:r>
        <w:t>Objectives and methods</w:t>
      </w:r>
    </w:p>
    <w:p w14:paraId="321F554E" w14:textId="008E887F" w:rsidR="0087745F" w:rsidRPr="00CD0738" w:rsidRDefault="00453E24" w:rsidP="0087745F">
      <w:pPr>
        <w:pStyle w:val="CETBodytext"/>
        <w:rPr>
          <w:strike/>
        </w:rPr>
      </w:pPr>
      <w:r>
        <w:t>T</w:t>
      </w:r>
      <w:r w:rsidR="0087745F" w:rsidRPr="0087745F">
        <w:rPr>
          <w:lang w:val="en-GB"/>
        </w:rPr>
        <w:t>his article deals with the development of a comprehensive ELEC</w:t>
      </w:r>
      <w:r w:rsidR="0091284E">
        <w:rPr>
          <w:lang w:val="en-GB"/>
        </w:rPr>
        <w:t>N</w:t>
      </w:r>
      <w:r w:rsidR="0087745F" w:rsidRPr="0087745F">
        <w:rPr>
          <w:lang w:val="en-GB"/>
        </w:rPr>
        <w:t>RTL model</w:t>
      </w:r>
      <w:r w:rsidR="00EE703A">
        <w:rPr>
          <w:lang w:val="en-GB"/>
        </w:rPr>
        <w:t xml:space="preserve"> (</w:t>
      </w:r>
      <w:r w:rsidR="0091284E">
        <w:rPr>
          <w:lang w:val="en-GB"/>
        </w:rPr>
        <w:t>accounting for</w:t>
      </w:r>
      <w:r w:rsidR="00EE703A">
        <w:rPr>
          <w:lang w:val="en-GB"/>
        </w:rPr>
        <w:t xml:space="preserve"> VLE, kinetics</w:t>
      </w:r>
      <w:r w:rsidR="0091284E">
        <w:rPr>
          <w:lang w:val="en-GB"/>
        </w:rPr>
        <w:t>,</w:t>
      </w:r>
      <w:r w:rsidR="00EE703A">
        <w:rPr>
          <w:lang w:val="en-GB"/>
        </w:rPr>
        <w:t xml:space="preserve"> and mass transfer)</w:t>
      </w:r>
      <w:r w:rsidR="0087745F" w:rsidRPr="0087745F">
        <w:rPr>
          <w:lang w:val="en-GB"/>
        </w:rPr>
        <w:t xml:space="preserve"> for the characterization of the innovative HS3 blend in Aspen Plus V11.0 and </w:t>
      </w:r>
      <w:r w:rsidR="0087745F">
        <w:rPr>
          <w:lang w:val="en-GB"/>
        </w:rPr>
        <w:t xml:space="preserve">its </w:t>
      </w:r>
      <w:r w:rsidR="0087745F" w:rsidRPr="0087745F">
        <w:rPr>
          <w:lang w:val="en-GB"/>
        </w:rPr>
        <w:t>validation</w:t>
      </w:r>
      <w:r w:rsidR="0087745F">
        <w:rPr>
          <w:lang w:val="en-GB"/>
        </w:rPr>
        <w:t xml:space="preserve"> over pilot-scale experimental observations collected at Tiller CO</w:t>
      </w:r>
      <w:r w:rsidR="0087745F" w:rsidRPr="0087745F">
        <w:rPr>
          <w:vertAlign w:val="subscript"/>
          <w:lang w:val="en-GB"/>
        </w:rPr>
        <w:t>2</w:t>
      </w:r>
      <w:r w:rsidR="0087745F">
        <w:rPr>
          <w:lang w:val="en-GB"/>
        </w:rPr>
        <w:t xml:space="preserve"> laboratory (Trondheim, Norway)</w:t>
      </w:r>
      <w:r w:rsidR="0087745F" w:rsidRPr="0087745F">
        <w:rPr>
          <w:lang w:val="en-GB"/>
        </w:rPr>
        <w:t>.</w:t>
      </w:r>
      <w:r w:rsidR="00CD0738">
        <w:rPr>
          <w:lang w:val="en-GB"/>
        </w:rPr>
        <w:t xml:space="preserve"> </w:t>
      </w:r>
    </w:p>
    <w:p w14:paraId="0636B784" w14:textId="7CFEF1A7" w:rsidR="00453E24" w:rsidRDefault="0087745F" w:rsidP="00453E24">
      <w:pPr>
        <w:pStyle w:val="CETheadingx"/>
      </w:pPr>
      <w:r>
        <w:t>Aspen Plus HS3 model development</w:t>
      </w:r>
    </w:p>
    <w:p w14:paraId="7C2B0064" w14:textId="3AD32DBD" w:rsidR="00453E24" w:rsidRPr="00EC3991" w:rsidRDefault="0087745F" w:rsidP="00453E24">
      <w:pPr>
        <w:pStyle w:val="CETBodytext"/>
        <w:rPr>
          <w:lang w:val="en-GB"/>
        </w:rPr>
      </w:pPr>
      <w:r w:rsidRPr="0087745F">
        <w:t xml:space="preserve">HS3 has been modelled in Aspen Plus V11.0 by means of an ELECNRTL model, </w:t>
      </w:r>
      <w:r w:rsidR="0091284E">
        <w:t xml:space="preserve">an activity-based thermodynamic </w:t>
      </w:r>
      <w:r w:rsidR="000B5668">
        <w:t>package</w:t>
      </w:r>
      <w:r w:rsidRPr="0087745F">
        <w:t xml:space="preserve">. This approach is an extension of the NRTL framework </w:t>
      </w:r>
      <w:r w:rsidRPr="0087745F">
        <w:rPr>
          <w:lang w:val="en-GB"/>
        </w:rPr>
        <w:t xml:space="preserve">to </w:t>
      </w:r>
      <w:r w:rsidR="000B5668">
        <w:rPr>
          <w:lang w:val="en-GB"/>
        </w:rPr>
        <w:t>also consider charged molecules interactions leading to non-ideal behaviours in the liquid phase</w:t>
      </w:r>
      <w:r w:rsidR="005A03AD">
        <w:rPr>
          <w:lang w:val="en-GB"/>
        </w:rPr>
        <w:t xml:space="preserve"> </w:t>
      </w:r>
      <w:r w:rsidR="008A74B3">
        <w:rPr>
          <w:lang w:val="en-GB"/>
        </w:rPr>
        <w:t>(Lin et al.</w:t>
      </w:r>
      <w:r w:rsidR="00164A33">
        <w:rPr>
          <w:lang w:val="en-GB"/>
        </w:rPr>
        <w:t>, 2010)</w:t>
      </w:r>
      <w:r w:rsidR="000B5668">
        <w:rPr>
          <w:lang w:val="en-GB"/>
        </w:rPr>
        <w:t xml:space="preserve">. </w:t>
      </w:r>
      <w:r w:rsidRPr="0087745F">
        <w:rPr>
          <w:lang w:val="en-GB"/>
        </w:rPr>
        <w:t xml:space="preserve">This </w:t>
      </w:r>
      <w:r w:rsidR="000B5668">
        <w:rPr>
          <w:lang w:val="en-GB"/>
        </w:rPr>
        <w:t xml:space="preserve">approach is commonly adopted </w:t>
      </w:r>
      <w:r w:rsidRPr="0087745F">
        <w:rPr>
          <w:lang w:val="en-GB"/>
        </w:rPr>
        <w:t>to model amine systems in Aspen P</w:t>
      </w:r>
      <w:r w:rsidR="000B5668">
        <w:rPr>
          <w:lang w:val="en-GB"/>
        </w:rPr>
        <w:t>lus</w:t>
      </w:r>
      <w:r w:rsidR="005A03AD">
        <w:rPr>
          <w:lang w:val="en-GB"/>
        </w:rPr>
        <w:t xml:space="preserve"> </w:t>
      </w:r>
      <w:r w:rsidR="00164A33">
        <w:rPr>
          <w:lang w:val="en-GB"/>
        </w:rPr>
        <w:t>(Aspen Plus Documentation, 2019)</w:t>
      </w:r>
      <w:r w:rsidRPr="0087745F">
        <w:rPr>
          <w:lang w:val="en-GB"/>
        </w:rPr>
        <w:t>.</w:t>
      </w:r>
      <w:r w:rsidR="000B5668">
        <w:rPr>
          <w:lang w:val="en-GB"/>
        </w:rPr>
        <w:t xml:space="preserve"> </w:t>
      </w:r>
      <w:r w:rsidRPr="0087745F">
        <w:rPr>
          <w:lang w:val="en-GB"/>
        </w:rPr>
        <w:t xml:space="preserve">The elementary reaction scheme has been defined in accordance with templates provided by </w:t>
      </w:r>
      <w:proofErr w:type="spellStart"/>
      <w:r w:rsidRPr="0087745F">
        <w:rPr>
          <w:lang w:val="en-GB"/>
        </w:rPr>
        <w:t>AspenTech</w:t>
      </w:r>
      <w:proofErr w:type="spellEnd"/>
      <w:r w:rsidRPr="0087745F">
        <w:rPr>
          <w:lang w:val="en-GB"/>
        </w:rPr>
        <w:t xml:space="preserve"> for similar amine blends. For each elementary reaction, the equilibrium constant </w:t>
      </w:r>
      <w:r w:rsidR="000B5668">
        <w:rPr>
          <w:lang w:val="en-GB"/>
        </w:rPr>
        <w:t>is</w:t>
      </w:r>
      <w:r w:rsidRPr="0087745F">
        <w:rPr>
          <w:lang w:val="en-GB"/>
        </w:rPr>
        <w:t xml:space="preserve"> expressed </w:t>
      </w:r>
      <w:r w:rsidR="000B5668">
        <w:rPr>
          <w:lang w:val="en-GB"/>
        </w:rPr>
        <w:t>using</w:t>
      </w:r>
      <w:r w:rsidRPr="0087745F">
        <w:rPr>
          <w:lang w:val="en-GB"/>
        </w:rPr>
        <w:t xml:space="preserve"> Aspen Plus compliant expression</w:t>
      </w:r>
      <w:r w:rsidR="000B5668">
        <w:rPr>
          <w:lang w:val="en-GB"/>
        </w:rPr>
        <w:t>s</w:t>
      </w:r>
      <w:r w:rsidRPr="0087745F">
        <w:rPr>
          <w:lang w:val="en-GB"/>
        </w:rPr>
        <w:t>. Parameters for these temperature-dependent constants are available in the literature for each of the listed reactions.</w:t>
      </w:r>
      <w:r w:rsidR="000B5668">
        <w:rPr>
          <w:lang w:val="en-GB"/>
        </w:rPr>
        <w:t xml:space="preserve"> </w:t>
      </w:r>
      <w:r w:rsidRPr="0087745F">
        <w:t xml:space="preserve">Antoine expressions and Henry constants have been fitted to both in-house and published experimental </w:t>
      </w:r>
      <w:proofErr w:type="spellStart"/>
      <w:r w:rsidR="0037042E">
        <w:t>vapour</w:t>
      </w:r>
      <w:proofErr w:type="spellEnd"/>
      <w:r w:rsidRPr="0087745F">
        <w:t xml:space="preserve"> pressure and N</w:t>
      </w:r>
      <w:r w:rsidRPr="0087745F">
        <w:rPr>
          <w:vertAlign w:val="subscript"/>
        </w:rPr>
        <w:t>2</w:t>
      </w:r>
      <w:r w:rsidRPr="0087745F">
        <w:t>O solubility data (N</w:t>
      </w:r>
      <w:r w:rsidRPr="0087745F">
        <w:rPr>
          <w:vertAlign w:val="subscript"/>
        </w:rPr>
        <w:t>2</w:t>
      </w:r>
      <w:r w:rsidRPr="0087745F">
        <w:t>O analogy is exploited) for both pure amines. Both temperature</w:t>
      </w:r>
      <w:r w:rsidR="000B5668">
        <w:t>-in</w:t>
      </w:r>
      <w:r w:rsidRPr="0087745F">
        <w:t xml:space="preserve">dependent (GMELCC) and temperature-dependent (GMELCD) molecule-ion interaction parameters </w:t>
      </w:r>
      <w:r w:rsidR="000B5668">
        <w:t>have been</w:t>
      </w:r>
      <w:r w:rsidRPr="0087745F">
        <w:t xml:space="preserve"> </w:t>
      </w:r>
      <w:r w:rsidR="000B5668">
        <w:t>regressed</w:t>
      </w:r>
      <w:r w:rsidR="005A03AD">
        <w:t xml:space="preserve"> as reported</w:t>
      </w:r>
      <w:r w:rsidR="000B5668">
        <w:t xml:space="preserve"> in </w:t>
      </w:r>
      <w:r w:rsidR="00860311" w:rsidRPr="00860311">
        <w:t>(</w:t>
      </w:r>
      <w:r w:rsidR="000B5668" w:rsidRPr="00860311">
        <w:t>Gilardi et al.</w:t>
      </w:r>
      <w:r w:rsidR="00860311" w:rsidRPr="00860311">
        <w:t>, 2023)</w:t>
      </w:r>
      <w:r w:rsidRPr="00860311">
        <w:t>.</w:t>
      </w:r>
      <w:r w:rsidRPr="0087745F">
        <w:t xml:space="preserve"> </w:t>
      </w:r>
      <w:r w:rsidR="000B5668">
        <w:t>where</w:t>
      </w:r>
      <w:r w:rsidRPr="0087745F">
        <w:t xml:space="preserve"> </w:t>
      </w:r>
      <w:r w:rsidR="000B5668">
        <w:t>an effective procedure</w:t>
      </w:r>
      <w:r w:rsidR="005A03AD">
        <w:t xml:space="preserve"> to reduce the number of ELECNRTL interaction coefficients is addressed</w:t>
      </w:r>
      <w:r w:rsidR="000B5668">
        <w:t>. The model tuning relied on</w:t>
      </w:r>
      <w:r w:rsidR="00275093">
        <w:t xml:space="preserve"> in-house</w:t>
      </w:r>
      <w:r w:rsidR="000B5668">
        <w:t xml:space="preserve"> lab-scale experimental measurements for </w:t>
      </w:r>
      <w:r w:rsidR="0037042E">
        <w:t xml:space="preserve">the </w:t>
      </w:r>
      <w:r w:rsidR="000B5668">
        <w:t>HS3 blend</w:t>
      </w:r>
      <w:r w:rsidR="00275093">
        <w:t xml:space="preserve">. </w:t>
      </w:r>
      <w:r w:rsidRPr="0087745F">
        <w:rPr>
          <w:lang w:val="en-GB"/>
        </w:rPr>
        <w:t xml:space="preserve">The formation enthalpies of AP and PRLD have been estimated </w:t>
      </w:r>
      <w:r w:rsidR="005A03AD">
        <w:rPr>
          <w:lang w:val="en-GB"/>
        </w:rPr>
        <w:t>using</w:t>
      </w:r>
      <w:r w:rsidRPr="0087745F">
        <w:rPr>
          <w:lang w:val="en-GB"/>
        </w:rPr>
        <w:t xml:space="preserve"> </w:t>
      </w:r>
      <w:proofErr w:type="spellStart"/>
      <w:r w:rsidRPr="0087745F">
        <w:rPr>
          <w:lang w:val="en-GB"/>
        </w:rPr>
        <w:t>Gani</w:t>
      </w:r>
      <w:r>
        <w:rPr>
          <w:lang w:val="en-GB"/>
        </w:rPr>
        <w:t>’s</w:t>
      </w:r>
      <w:proofErr w:type="spellEnd"/>
      <w:r w:rsidRPr="0087745F">
        <w:rPr>
          <w:lang w:val="en-GB"/>
        </w:rPr>
        <w:t xml:space="preserve"> group contribution method, while the formation enthalpies of protonated amines and carbamate have been </w:t>
      </w:r>
      <w:r w:rsidR="005A03AD">
        <w:rPr>
          <w:lang w:val="en-GB"/>
        </w:rPr>
        <w:t>regressed from the measured</w:t>
      </w:r>
      <w:r w:rsidRPr="0087745F">
        <w:rPr>
          <w:lang w:val="en-GB"/>
        </w:rPr>
        <w:t xml:space="preserve"> absorption heat for the two single amine systems. </w:t>
      </w:r>
      <w:r w:rsidR="005A03AD">
        <w:rPr>
          <w:lang w:val="en-GB"/>
        </w:rPr>
        <w:t>F</w:t>
      </w:r>
      <w:r>
        <w:rPr>
          <w:lang w:val="en-GB"/>
        </w:rPr>
        <w:t>urther details on the procedure to develop the ELECNRTL equilibrium model for the new amine blend</w:t>
      </w:r>
      <w:r w:rsidR="005A03AD">
        <w:rPr>
          <w:lang w:val="en-GB"/>
        </w:rPr>
        <w:t xml:space="preserve"> are available in </w:t>
      </w:r>
      <w:r w:rsidR="00860311">
        <w:rPr>
          <w:lang w:val="en-GB"/>
        </w:rPr>
        <w:t>(</w:t>
      </w:r>
      <w:r w:rsidRPr="00860311">
        <w:rPr>
          <w:lang w:val="en-GB"/>
        </w:rPr>
        <w:t>Gilardi et al.</w:t>
      </w:r>
      <w:r w:rsidR="00860311" w:rsidRPr="00860311">
        <w:rPr>
          <w:lang w:val="en-GB"/>
        </w:rPr>
        <w:t xml:space="preserve">, </w:t>
      </w:r>
      <w:r w:rsidRPr="00860311">
        <w:rPr>
          <w:lang w:val="en-GB"/>
        </w:rPr>
        <w:t>2023).</w:t>
      </w:r>
      <w:r w:rsidR="005A03AD">
        <w:rPr>
          <w:lang w:val="en-GB"/>
        </w:rPr>
        <w:t xml:space="preserve"> </w:t>
      </w:r>
      <w:r w:rsidRPr="0087745F">
        <w:rPr>
          <w:lang w:val="en-GB"/>
        </w:rPr>
        <w:t>An Arrhenius-type kinetics has been implemented for global amine-H</w:t>
      </w:r>
      <w:r w:rsidRPr="0087745F">
        <w:rPr>
          <w:vertAlign w:val="subscript"/>
          <w:lang w:val="en-GB"/>
        </w:rPr>
        <w:t>2</w:t>
      </w:r>
      <w:r w:rsidRPr="0087745F">
        <w:rPr>
          <w:lang w:val="en-GB"/>
        </w:rPr>
        <w:t>O-CO</w:t>
      </w:r>
      <w:r w:rsidRPr="0087745F">
        <w:rPr>
          <w:vertAlign w:val="subscript"/>
          <w:lang w:val="en-GB"/>
        </w:rPr>
        <w:t>2</w:t>
      </w:r>
      <w:r w:rsidRPr="0087745F">
        <w:rPr>
          <w:lang w:val="en-GB"/>
        </w:rPr>
        <w:t xml:space="preserve"> reactions considering activation energies and exponential factors determined from previous studies</w:t>
      </w:r>
      <w:r w:rsidR="005A03AD">
        <w:rPr>
          <w:lang w:val="en-GB"/>
        </w:rPr>
        <w:t xml:space="preserve"> for each amine </w:t>
      </w:r>
      <w:r w:rsidR="00BF6367">
        <w:rPr>
          <w:lang w:val="en-GB"/>
        </w:rPr>
        <w:t>(Henni et al</w:t>
      </w:r>
      <w:r w:rsidR="002349C7">
        <w:rPr>
          <w:lang w:val="en-GB"/>
        </w:rPr>
        <w:t>., 2008</w:t>
      </w:r>
      <w:r w:rsidR="00BF6367">
        <w:rPr>
          <w:lang w:val="en-GB"/>
        </w:rPr>
        <w:t>; Liu et al., 201</w:t>
      </w:r>
      <w:r w:rsidR="002349C7">
        <w:rPr>
          <w:lang w:val="en-GB"/>
        </w:rPr>
        <w:t>6</w:t>
      </w:r>
      <w:r w:rsidR="00BF6367">
        <w:rPr>
          <w:lang w:val="en-GB"/>
        </w:rPr>
        <w:t>)</w:t>
      </w:r>
      <w:r w:rsidRPr="0087745F">
        <w:rPr>
          <w:lang w:val="en-GB"/>
        </w:rPr>
        <w:t xml:space="preserve">. </w:t>
      </w:r>
      <w:r w:rsidR="005E6BAB">
        <w:rPr>
          <w:lang w:val="en-GB"/>
        </w:rPr>
        <w:t>The diffusion</w:t>
      </w:r>
      <w:r w:rsidRPr="0087745F">
        <w:rPr>
          <w:lang w:val="en-GB"/>
        </w:rPr>
        <w:t xml:space="preserve"> coefficient of CO</w:t>
      </w:r>
      <w:r w:rsidRPr="0087745F">
        <w:rPr>
          <w:vertAlign w:val="subscript"/>
          <w:lang w:val="en-GB"/>
        </w:rPr>
        <w:t>2</w:t>
      </w:r>
      <w:r w:rsidRPr="0087745F">
        <w:rPr>
          <w:lang w:val="en-GB"/>
        </w:rPr>
        <w:t xml:space="preserve"> </w:t>
      </w:r>
      <w:r w:rsidR="005E6BAB">
        <w:rPr>
          <w:lang w:val="en-GB"/>
        </w:rPr>
        <w:t>in</w:t>
      </w:r>
      <w:r w:rsidRPr="0087745F">
        <w:rPr>
          <w:lang w:val="en-GB"/>
        </w:rPr>
        <w:t xml:space="preserve"> the liquid mixture </w:t>
      </w:r>
      <w:r w:rsidR="005E6BAB">
        <w:rPr>
          <w:lang w:val="en-GB"/>
        </w:rPr>
        <w:t>is</w:t>
      </w:r>
      <w:r w:rsidRPr="0087745F">
        <w:rPr>
          <w:lang w:val="en-GB"/>
        </w:rPr>
        <w:t xml:space="preserve"> calculated by the software using the Wilke-Chang method</w:t>
      </w:r>
      <w:r w:rsidR="005A03AD">
        <w:rPr>
          <w:lang w:val="en-GB"/>
        </w:rPr>
        <w:t xml:space="preserve"> </w:t>
      </w:r>
      <w:r w:rsidR="000A37EB">
        <w:rPr>
          <w:lang w:val="en-GB"/>
        </w:rPr>
        <w:t>(Aspen Plus Documentation, 2019)</w:t>
      </w:r>
      <w:r w:rsidRPr="0087745F">
        <w:rPr>
          <w:lang w:val="en-GB"/>
        </w:rPr>
        <w:t xml:space="preserve">, which correlates diffusion coefficients to the viscosity of a liquid mixture. </w:t>
      </w:r>
      <w:r w:rsidR="005A03AD">
        <w:rPr>
          <w:lang w:val="en-GB"/>
        </w:rPr>
        <w:t>T</w:t>
      </w:r>
      <w:r w:rsidRPr="0087745F">
        <w:rPr>
          <w:lang w:val="en-GB"/>
        </w:rPr>
        <w:t xml:space="preserve">he Andrade </w:t>
      </w:r>
      <w:r w:rsidR="005A03AD">
        <w:rPr>
          <w:lang w:val="en-GB"/>
        </w:rPr>
        <w:t>model for liquid viscosity</w:t>
      </w:r>
      <w:r w:rsidRPr="0087745F">
        <w:rPr>
          <w:lang w:val="en-GB"/>
        </w:rPr>
        <w:t xml:space="preserve"> is </w:t>
      </w:r>
      <w:r w:rsidR="005A03AD">
        <w:rPr>
          <w:lang w:val="en-GB"/>
        </w:rPr>
        <w:t>tuned by means of in-house measurements.</w:t>
      </w:r>
    </w:p>
    <w:p w14:paraId="18BAFA6F" w14:textId="7E1E9C18" w:rsidR="00453E24" w:rsidRPr="00B57B36" w:rsidRDefault="0087745F" w:rsidP="00453E24">
      <w:pPr>
        <w:pStyle w:val="CETheadingx"/>
      </w:pPr>
      <w:r>
        <w:t>Model validation</w:t>
      </w:r>
    </w:p>
    <w:p w14:paraId="6252260B" w14:textId="650F0F88" w:rsidR="00501F33" w:rsidRDefault="00EE703A" w:rsidP="00EE703A">
      <w:pPr>
        <w:pStyle w:val="CETBodytext"/>
      </w:pPr>
      <w:r w:rsidRPr="00EE703A">
        <w:t xml:space="preserve">The accuracy of the model </w:t>
      </w:r>
      <w:r w:rsidR="00501F33">
        <w:t>is</w:t>
      </w:r>
      <w:r w:rsidRPr="00EE703A">
        <w:t xml:space="preserve"> verified </w:t>
      </w:r>
      <w:r w:rsidR="00501F33">
        <w:t>with</w:t>
      </w:r>
      <w:r w:rsidRPr="00EE703A">
        <w:t xml:space="preserve"> a statistical analysis, using the Absolute Average Relative </w:t>
      </w:r>
      <w:r w:rsidR="00EC3991" w:rsidRPr="00EE703A">
        <w:t>Deviation</w:t>
      </w:r>
      <w:r w:rsidRPr="00EE703A">
        <w:t xml:space="preserve"> (AARD)</w:t>
      </w:r>
      <w:r w:rsidR="005711F9">
        <w:t>,</w:t>
      </w:r>
      <w:r w:rsidRPr="00EE703A">
        <w:t xml:space="preserve"> Average </w:t>
      </w:r>
      <w:r w:rsidR="005711F9">
        <w:t>Absolute</w:t>
      </w:r>
      <w:r w:rsidRPr="00EE703A">
        <w:t xml:space="preserve"> Deviation</w:t>
      </w:r>
      <w:r w:rsidR="00501F33">
        <w:t xml:space="preserve"> (A</w:t>
      </w:r>
      <w:r w:rsidR="005711F9">
        <w:t>A</w:t>
      </w:r>
      <w:r w:rsidR="00501F33">
        <w:t>D</w:t>
      </w:r>
      <w:r w:rsidR="00D05059">
        <w:t xml:space="preserve"> - used only for VLE assessment</w:t>
      </w:r>
      <w:r w:rsidR="00501F33">
        <w:t>)</w:t>
      </w:r>
      <w:r w:rsidR="005711F9">
        <w:t xml:space="preserve">, and </w:t>
      </w:r>
      <w:r w:rsidR="005711F9" w:rsidRPr="00EE703A">
        <w:t xml:space="preserve">Average </w:t>
      </w:r>
      <w:r w:rsidR="005711F9">
        <w:t>Relative</w:t>
      </w:r>
      <w:r w:rsidR="005711F9" w:rsidRPr="00EE703A">
        <w:t xml:space="preserve"> Deviation</w:t>
      </w:r>
      <w:r w:rsidR="005711F9">
        <w:t xml:space="preserve"> (ARD)</w:t>
      </w:r>
      <w:r w:rsidRPr="00EE703A">
        <w:t xml:space="preserve"> </w:t>
      </w:r>
      <w:r w:rsidR="00501F33">
        <w:t>defined as:</w:t>
      </w:r>
      <w:r w:rsidRPr="00EE703A">
        <w:t xml:space="preserve"> </w:t>
      </w:r>
    </w:p>
    <w:tbl>
      <w:tblPr>
        <w:tblW w:w="5000" w:type="pct"/>
        <w:tblLook w:val="04A0" w:firstRow="1" w:lastRow="0" w:firstColumn="1" w:lastColumn="0" w:noHBand="0" w:noVBand="1"/>
      </w:tblPr>
      <w:tblGrid>
        <w:gridCol w:w="7986"/>
        <w:gridCol w:w="801"/>
      </w:tblGrid>
      <w:tr w:rsidR="00785C8A" w:rsidRPr="00B57B36" w14:paraId="6038F899" w14:textId="77777777" w:rsidTr="00785C8A">
        <w:tc>
          <w:tcPr>
            <w:tcW w:w="7986" w:type="dxa"/>
            <w:shd w:val="clear" w:color="auto" w:fill="auto"/>
            <w:vAlign w:val="center"/>
          </w:tcPr>
          <w:p w14:paraId="1CE2F5DF" w14:textId="4742960E" w:rsidR="00785C8A" w:rsidRPr="00A95411" w:rsidRDefault="00A95411" w:rsidP="002F7D51">
            <w:pPr>
              <w:pStyle w:val="CETEquation"/>
              <w:rPr>
                <w:iCs/>
              </w:rPr>
            </w:pPr>
            <m:oMathPara>
              <m:oMathParaPr>
                <m:jc m:val="left"/>
              </m:oMathParaPr>
              <m:oMath>
                <m:r>
                  <m:rPr>
                    <m:sty m:val="p"/>
                  </m:rPr>
                  <w:rPr>
                    <w:rFonts w:ascii="Cambria Math" w:hAnsi="Cambria Math"/>
                  </w:rPr>
                  <m:t>AARD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 xml:space="preserve"> </m:t>
                </m:r>
                <m:nary>
                  <m:naryPr>
                    <m:chr m:val="∑"/>
                    <m:limLoc m:val="subSup"/>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model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exp</m:t>
                                </m:r>
                              </m:sub>
                            </m:sSub>
                          </m:num>
                          <m:den>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exp</m:t>
                                </m:r>
                              </m:sub>
                            </m:sSub>
                          </m:den>
                        </m:f>
                      </m:e>
                    </m:d>
                  </m:e>
                </m:nary>
                <m:r>
                  <w:rPr>
                    <w:rFonts w:ascii="Cambria Math" w:hAnsi="Cambria Math"/>
                  </w:rPr>
                  <m:t>⋅100</m:t>
                </m:r>
              </m:oMath>
            </m:oMathPara>
          </w:p>
        </w:tc>
        <w:tc>
          <w:tcPr>
            <w:tcW w:w="801" w:type="dxa"/>
            <w:shd w:val="clear" w:color="auto" w:fill="auto"/>
            <w:vAlign w:val="center"/>
          </w:tcPr>
          <w:p w14:paraId="49FF3FA2" w14:textId="77777777" w:rsidR="00785C8A" w:rsidRPr="00B57B36" w:rsidRDefault="00785C8A" w:rsidP="002F7D51">
            <w:pPr>
              <w:pStyle w:val="CETEquation"/>
              <w:jc w:val="right"/>
            </w:pPr>
            <w:r w:rsidRPr="00B57B36">
              <w:t>(1)</w:t>
            </w:r>
          </w:p>
        </w:tc>
      </w:tr>
      <w:tr w:rsidR="00785C8A" w:rsidRPr="00B57B36" w14:paraId="0F251998" w14:textId="77777777" w:rsidTr="00785C8A">
        <w:tc>
          <w:tcPr>
            <w:tcW w:w="7986" w:type="dxa"/>
            <w:shd w:val="clear" w:color="auto" w:fill="auto"/>
            <w:vAlign w:val="center"/>
          </w:tcPr>
          <w:p w14:paraId="47EEACBB" w14:textId="1EAE3312" w:rsidR="00785C8A" w:rsidRPr="00303089" w:rsidRDefault="00303089" w:rsidP="002F7D51">
            <w:pPr>
              <w:pStyle w:val="CETEquation"/>
              <w:rPr>
                <w:noProof/>
                <w:lang w:val="it-IT" w:eastAsia="it-IT"/>
              </w:rPr>
            </w:pPr>
            <m:oMathPara>
              <m:oMathParaPr>
                <m:jc m:val="left"/>
              </m:oMathParaPr>
              <m:oMath>
                <m:r>
                  <m:rPr>
                    <m:sty m:val="p"/>
                  </m:rPr>
                  <w:rPr>
                    <w:rFonts w:ascii="Cambria Math" w:hAnsi="Cambria Math"/>
                  </w:rPr>
                  <m:t>AAD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 xml:space="preserve"> </m:t>
                </m:r>
                <m:rad>
                  <m:radPr>
                    <m:degHide m:val="1"/>
                    <m:ctrlPr>
                      <w:rPr>
                        <w:rFonts w:ascii="Cambria Math" w:hAnsi="Cambria Math"/>
                        <w:iCs/>
                      </w:rPr>
                    </m:ctrlPr>
                  </m:radPr>
                  <m:deg/>
                  <m:e>
                    <m:nary>
                      <m:naryPr>
                        <m:chr m:val="∑"/>
                        <m:limLoc m:val="subSup"/>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i/>
                                <w:iCs/>
                              </w:rPr>
                            </m:ctrlPr>
                          </m:sSupPr>
                          <m:e>
                            <m:d>
                              <m:dPr>
                                <m:ctrlPr>
                                  <w:rPr>
                                    <w:rFonts w:ascii="Cambria Math" w:hAnsi="Cambria Math"/>
                                    <w:i/>
                                    <w:iCs/>
                                  </w:rPr>
                                </m:ctrlPr>
                              </m:dPr>
                              <m:e>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model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exp</m:t>
                                    </m:r>
                                  </m:sub>
                                </m:sSub>
                              </m:e>
                            </m:d>
                          </m:e>
                          <m:sup>
                            <m:r>
                              <w:rPr>
                                <w:rFonts w:ascii="Cambria Math" w:hAnsi="Cambria Math"/>
                              </w:rPr>
                              <m:t>2</m:t>
                            </m:r>
                          </m:sup>
                        </m:sSup>
                      </m:e>
                    </m:nary>
                  </m:e>
                </m:rad>
              </m:oMath>
            </m:oMathPara>
          </w:p>
        </w:tc>
        <w:tc>
          <w:tcPr>
            <w:tcW w:w="801" w:type="dxa"/>
            <w:shd w:val="clear" w:color="auto" w:fill="auto"/>
            <w:vAlign w:val="center"/>
          </w:tcPr>
          <w:p w14:paraId="2A6566CA" w14:textId="3363600F" w:rsidR="00785C8A" w:rsidRPr="00B57B36" w:rsidRDefault="00785C8A" w:rsidP="002F7D51">
            <w:pPr>
              <w:pStyle w:val="CETEquation"/>
              <w:jc w:val="right"/>
            </w:pPr>
            <w:r w:rsidRPr="00B57B36">
              <w:t>(</w:t>
            </w:r>
            <w:r>
              <w:t>2</w:t>
            </w:r>
            <w:r w:rsidRPr="00B57B36">
              <w:t>)</w:t>
            </w:r>
          </w:p>
        </w:tc>
      </w:tr>
      <w:tr w:rsidR="0088704D" w:rsidRPr="00B57B36" w14:paraId="2690841E" w14:textId="77777777" w:rsidTr="0088704D">
        <w:tc>
          <w:tcPr>
            <w:tcW w:w="7986" w:type="dxa"/>
            <w:shd w:val="clear" w:color="auto" w:fill="auto"/>
            <w:vAlign w:val="center"/>
          </w:tcPr>
          <w:p w14:paraId="19E692AB" w14:textId="0BEE0B0C" w:rsidR="0088704D" w:rsidRPr="00303089" w:rsidRDefault="00303089" w:rsidP="002F7D51">
            <w:pPr>
              <w:pStyle w:val="CETEquation"/>
              <w:rPr>
                <w:noProof/>
                <w:lang w:val="it-IT" w:eastAsia="it-IT"/>
              </w:rPr>
            </w:pPr>
            <m:oMathPara>
              <m:oMathParaPr>
                <m:jc m:val="left"/>
              </m:oMathParaPr>
              <m:oMath>
                <m:r>
                  <m:rPr>
                    <m:sty m:val="p"/>
                  </m:rPr>
                  <w:rPr>
                    <w:rFonts w:ascii="Cambria Math" w:hAnsi="Cambria Math"/>
                  </w:rPr>
                  <m:t>ARD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 xml:space="preserve"> </m:t>
                </m:r>
                <m:nary>
                  <m:naryPr>
                    <m:chr m:val="∑"/>
                    <m:limLoc m:val="subSup"/>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model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exp</m:t>
                            </m:r>
                          </m:sub>
                        </m:sSub>
                      </m:num>
                      <m:den>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exp</m:t>
                            </m:r>
                          </m:sub>
                        </m:sSub>
                      </m:den>
                    </m:f>
                  </m:e>
                </m:nary>
                <m:r>
                  <w:rPr>
                    <w:rFonts w:ascii="Cambria Math" w:hAnsi="Cambria Math"/>
                  </w:rPr>
                  <m:t>⋅100</m:t>
                </m:r>
              </m:oMath>
            </m:oMathPara>
          </w:p>
        </w:tc>
        <w:tc>
          <w:tcPr>
            <w:tcW w:w="801" w:type="dxa"/>
            <w:shd w:val="clear" w:color="auto" w:fill="auto"/>
            <w:vAlign w:val="center"/>
          </w:tcPr>
          <w:p w14:paraId="3D955FFF" w14:textId="75AEB695" w:rsidR="0088704D" w:rsidRPr="00B57B36" w:rsidRDefault="0088704D" w:rsidP="002F7D51">
            <w:pPr>
              <w:pStyle w:val="CETEquation"/>
              <w:jc w:val="right"/>
            </w:pPr>
            <w:r w:rsidRPr="00B57B36">
              <w:t>(</w:t>
            </w:r>
            <w:r>
              <w:t>3</w:t>
            </w:r>
            <w:r w:rsidRPr="00B57B36">
              <w:t>)</w:t>
            </w:r>
          </w:p>
        </w:tc>
      </w:tr>
    </w:tbl>
    <w:p w14:paraId="08EA9FB5" w14:textId="5CD75056" w:rsidR="00B20B5A" w:rsidRDefault="00EE703A" w:rsidP="00EE703A">
      <w:pPr>
        <w:pStyle w:val="CETBodytext"/>
      </w:pPr>
      <w:r w:rsidRPr="00EE703A">
        <w:rPr>
          <w:bCs/>
        </w:rPr>
        <w:t xml:space="preserve">The ELECNRTL model </w:t>
      </w:r>
      <w:r w:rsidRPr="00854884">
        <w:rPr>
          <w:bCs/>
        </w:rPr>
        <w:t>accuracy</w:t>
      </w:r>
      <w:r w:rsidRPr="00FF5617">
        <w:rPr>
          <w:bCs/>
          <w:color w:val="FF0000"/>
        </w:rPr>
        <w:t xml:space="preserve"> </w:t>
      </w:r>
      <w:r w:rsidRPr="00EE703A">
        <w:rPr>
          <w:bCs/>
        </w:rPr>
        <w:t xml:space="preserve">in predicting heat absorption is estimated </w:t>
      </w:r>
      <w:r w:rsidR="0011514E">
        <w:rPr>
          <w:bCs/>
        </w:rPr>
        <w:t xml:space="preserve">by </w:t>
      </w:r>
      <w:r w:rsidRPr="00EE703A">
        <w:rPr>
          <w:bCs/>
        </w:rPr>
        <w:t xml:space="preserve">comparing the reaction heat trends with loading at different temperatures with respect to </w:t>
      </w:r>
      <w:r w:rsidR="00150E45">
        <w:rPr>
          <w:bCs/>
        </w:rPr>
        <w:t xml:space="preserve">the </w:t>
      </w:r>
      <w:r w:rsidR="001B4FCA">
        <w:rPr>
          <w:bCs/>
        </w:rPr>
        <w:t xml:space="preserve">suggested </w:t>
      </w:r>
      <w:r w:rsidRPr="00EE703A">
        <w:rPr>
          <w:bCs/>
        </w:rPr>
        <w:t>experimental observations</w:t>
      </w:r>
      <w:r w:rsidR="00150E45">
        <w:rPr>
          <w:bCs/>
        </w:rPr>
        <w:t xml:space="preserve">. </w:t>
      </w:r>
      <w:r w:rsidRPr="00EE703A">
        <w:t xml:space="preserve">The </w:t>
      </w:r>
      <w:r w:rsidR="0027428B">
        <w:t>full</w:t>
      </w:r>
      <w:r w:rsidRPr="00EE703A">
        <w:t xml:space="preserve"> model </w:t>
      </w:r>
      <w:r w:rsidR="00150E45">
        <w:t>is</w:t>
      </w:r>
      <w:r w:rsidR="004F3D11">
        <w:t xml:space="preserve"> finally</w:t>
      </w:r>
      <w:r w:rsidRPr="00EE703A">
        <w:t xml:space="preserve"> validated on pilot-scale data</w:t>
      </w:r>
      <w:r w:rsidR="001B4FCA">
        <w:t>.</w:t>
      </w:r>
      <w:r w:rsidR="001F3A4B">
        <w:t xml:space="preserve"> </w:t>
      </w:r>
      <w:r w:rsidR="00543DB8">
        <w:t>The</w:t>
      </w:r>
      <w:r w:rsidR="001F3A4B">
        <w:t xml:space="preserve"> reported</w:t>
      </w:r>
      <w:r w:rsidRPr="00EE703A">
        <w:t xml:space="preserve"> </w:t>
      </w:r>
      <w:r w:rsidR="001B4FCA">
        <w:t>flowsheet</w:t>
      </w:r>
      <w:r w:rsidR="00543DB8">
        <w:t xml:space="preserve"> (</w:t>
      </w:r>
      <w:r w:rsidR="0043677D">
        <w:rPr>
          <w:highlight w:val="cyan"/>
        </w:rPr>
        <w:fldChar w:fldCharType="begin"/>
      </w:r>
      <w:r w:rsidR="0043677D">
        <w:instrText xml:space="preserve"> REF _Ref137202657 \h </w:instrText>
      </w:r>
      <w:r w:rsidR="0043677D">
        <w:rPr>
          <w:highlight w:val="cyan"/>
        </w:rPr>
      </w:r>
      <w:r w:rsidR="0043677D">
        <w:rPr>
          <w:highlight w:val="cyan"/>
        </w:rPr>
        <w:fldChar w:fldCharType="separate"/>
      </w:r>
      <w:r w:rsidR="0043677D">
        <w:t xml:space="preserve">Figure </w:t>
      </w:r>
      <w:r w:rsidR="0043677D">
        <w:rPr>
          <w:noProof/>
        </w:rPr>
        <w:t>1</w:t>
      </w:r>
      <w:r w:rsidR="0043677D">
        <w:rPr>
          <w:highlight w:val="cyan"/>
        </w:rPr>
        <w:fldChar w:fldCharType="end"/>
      </w:r>
      <w:r w:rsidR="00543DB8">
        <w:t>)</w:t>
      </w:r>
      <w:r w:rsidRPr="00EE703A">
        <w:t xml:space="preserve"> </w:t>
      </w:r>
      <w:r w:rsidR="006238D8">
        <w:t>reproduces</w:t>
      </w:r>
      <w:r w:rsidRPr="00EE703A">
        <w:t xml:space="preserve"> </w:t>
      </w:r>
      <w:r w:rsidR="006238D8">
        <w:t xml:space="preserve">the absorber and stripper units at the </w:t>
      </w:r>
      <w:r w:rsidRPr="00EE703A">
        <w:t xml:space="preserve">Tiller </w:t>
      </w:r>
      <w:r w:rsidR="00BA0AEC">
        <w:t>facility</w:t>
      </w:r>
      <w:r w:rsidR="006238D8">
        <w:t>.</w:t>
      </w:r>
      <w:r w:rsidR="00346945">
        <w:t xml:space="preserve"> It is a conventional post-combustion capture plant</w:t>
      </w:r>
      <w:r w:rsidR="00221BA9">
        <w:t>, but</w:t>
      </w:r>
      <w:r w:rsidR="008749F8">
        <w:t>,</w:t>
      </w:r>
      <w:r w:rsidR="00221BA9">
        <w:t xml:space="preserve"> for the validation</w:t>
      </w:r>
      <w:r w:rsidR="008749F8">
        <w:t>,</w:t>
      </w:r>
      <w:r w:rsidR="00221BA9">
        <w:t xml:space="preserve"> we focus on the single tower</w:t>
      </w:r>
      <w:r w:rsidR="008749F8">
        <w:t>s</w:t>
      </w:r>
      <w:r w:rsidR="00346945">
        <w:t>.</w:t>
      </w:r>
      <w:r w:rsidR="006238D8">
        <w:t xml:space="preserve"> The units</w:t>
      </w:r>
      <w:r w:rsidRPr="00EE703A">
        <w:t xml:space="preserve"> </w:t>
      </w:r>
      <w:r w:rsidR="006238D8">
        <w:t>are</w:t>
      </w:r>
      <w:r w:rsidR="00543DB8">
        <w:t xml:space="preserve"> built in Aspen Plus</w:t>
      </w:r>
      <w:r w:rsidR="00221BA9">
        <w:t xml:space="preserve"> using the</w:t>
      </w:r>
      <w:r w:rsidR="00B91D6A">
        <w:t xml:space="preserve"> </w:t>
      </w:r>
      <w:r w:rsidR="00221BA9">
        <w:t>r</w:t>
      </w:r>
      <w:r w:rsidR="00B91D6A">
        <w:t xml:space="preserve">ate-based model for both </w:t>
      </w:r>
      <w:r w:rsidR="008749F8">
        <w:t>units</w:t>
      </w:r>
      <w:r w:rsidR="00B91D6A">
        <w:t>.</w:t>
      </w:r>
      <w:r w:rsidR="008749F8">
        <w:t xml:space="preserve"> The full model (i.e., rate-based and kinetics) is adopted for the absorber.</w:t>
      </w:r>
      <w:r w:rsidR="00B91D6A">
        <w:t xml:space="preserve"> </w:t>
      </w:r>
      <w:r w:rsidR="008749F8">
        <w:t>In the stripper, k</w:t>
      </w:r>
      <w:r w:rsidR="00B91D6A">
        <w:t xml:space="preserve">inetics is </w:t>
      </w:r>
      <w:r w:rsidR="008749F8">
        <w:t>disregarded,</w:t>
      </w:r>
      <w:r w:rsidR="00B91D6A">
        <w:t xml:space="preserve"> </w:t>
      </w:r>
      <w:r w:rsidR="00221BA9">
        <w:t>and only</w:t>
      </w:r>
      <w:r w:rsidR="00B91D6A">
        <w:t xml:space="preserve"> mass transfer limitations are </w:t>
      </w:r>
      <w:r w:rsidR="008749F8">
        <w:t>accounted for</w:t>
      </w:r>
      <w:r w:rsidR="004F3D11">
        <w:t xml:space="preserve">. </w:t>
      </w:r>
      <w:r w:rsidR="004F3D11" w:rsidRPr="004F3D11">
        <w:t xml:space="preserve">This assumption is often adopted since desorption reactions </w:t>
      </w:r>
      <w:r w:rsidR="004F3D11" w:rsidRPr="004F3D11">
        <w:lastRenderedPageBreak/>
        <w:t>are fast enough</w:t>
      </w:r>
      <w:r w:rsidR="008749F8">
        <w:t xml:space="preserve"> (higher temperature)</w:t>
      </w:r>
      <w:r w:rsidR="004F3D11" w:rsidRPr="004F3D11">
        <w:t xml:space="preserve"> </w:t>
      </w:r>
      <w:r w:rsidR="00346945">
        <w:t>to make mass transfer</w:t>
      </w:r>
      <w:r w:rsidR="004F3D11" w:rsidRPr="004F3D11">
        <w:t xml:space="preserve"> the limiting step</w:t>
      </w:r>
      <w:r w:rsidR="00B91D6A">
        <w:t xml:space="preserve"> (</w:t>
      </w:r>
      <w:r w:rsidR="00205F8D" w:rsidRPr="00205F8D">
        <w:t xml:space="preserve">Van Wagener </w:t>
      </w:r>
      <w:r w:rsidR="00205F8D">
        <w:t xml:space="preserve">and </w:t>
      </w:r>
      <w:r w:rsidR="00205F8D" w:rsidRPr="00205F8D">
        <w:t>Rochelle, 2011</w:t>
      </w:r>
      <w:r w:rsidR="00B91D6A">
        <w:t>).</w:t>
      </w:r>
      <w:r w:rsidR="0011514E">
        <w:t xml:space="preserve"> </w:t>
      </w:r>
      <w:r w:rsidR="009B6733">
        <w:t>The pressure drop</w:t>
      </w:r>
      <w:r w:rsidR="001619A6">
        <w:t xml:space="preserve"> of the packing</w:t>
      </w:r>
      <w:r w:rsidR="00054248">
        <w:t xml:space="preserve"> (</w:t>
      </w:r>
      <w:proofErr w:type="spellStart"/>
      <w:r w:rsidR="00054248">
        <w:t>Mell</w:t>
      </w:r>
      <w:r w:rsidR="00BB5C41">
        <w:t>a</w:t>
      </w:r>
      <w:r w:rsidR="00933A80">
        <w:t>pak</w:t>
      </w:r>
      <w:proofErr w:type="spellEnd"/>
      <w:r w:rsidR="00933A80">
        <w:t xml:space="preserve"> 2X)</w:t>
      </w:r>
      <w:r w:rsidR="009B6733">
        <w:t xml:space="preserve"> </w:t>
      </w:r>
      <w:r w:rsidR="001619A6">
        <w:t>is</w:t>
      </w:r>
      <w:r w:rsidR="009B6733">
        <w:t xml:space="preserve"> calculated in Aspen Plus </w:t>
      </w:r>
      <w:r w:rsidR="001619A6">
        <w:t>using</w:t>
      </w:r>
      <w:r w:rsidR="00DD486E">
        <w:t xml:space="preserve"> the implemented</w:t>
      </w:r>
      <w:r w:rsidR="001619A6">
        <w:t xml:space="preserve"> </w:t>
      </w:r>
      <w:r w:rsidR="00BB5C41">
        <w:t>subroutines</w:t>
      </w:r>
      <w:r w:rsidR="001619A6">
        <w:t>.</w:t>
      </w:r>
      <w:r w:rsidR="009B6733">
        <w:t xml:space="preserve"> </w:t>
      </w:r>
      <w:r w:rsidRPr="00EE703A">
        <w:t xml:space="preserve">The model is validated on all 54 runs </w:t>
      </w:r>
      <w:r w:rsidR="00981B24" w:rsidRPr="00EE703A">
        <w:t>following</w:t>
      </w:r>
      <w:r w:rsidR="00EF2071">
        <w:t xml:space="preserve"> the</w:t>
      </w:r>
      <w:r w:rsidRPr="00EE703A">
        <w:t xml:space="preserve"> open-loop approach (absorber and stripper simulated separately)</w:t>
      </w:r>
      <w:r w:rsidR="00751EDF">
        <w:t>.</w:t>
      </w:r>
      <w:r w:rsidR="009D6386">
        <w:t xml:space="preserve"> </w:t>
      </w:r>
      <w:r w:rsidR="0043677D">
        <w:rPr>
          <w:highlight w:val="cyan"/>
        </w:rPr>
        <w:fldChar w:fldCharType="begin"/>
      </w:r>
      <w:r w:rsidR="0043677D">
        <w:instrText xml:space="preserve"> REF _Ref137202756 \h </w:instrText>
      </w:r>
      <w:r w:rsidR="0043677D">
        <w:rPr>
          <w:highlight w:val="cyan"/>
        </w:rPr>
      </w:r>
      <w:r w:rsidR="0043677D">
        <w:rPr>
          <w:highlight w:val="cyan"/>
        </w:rPr>
        <w:fldChar w:fldCharType="separate"/>
      </w:r>
      <w:r w:rsidR="0043677D" w:rsidRPr="00D23E8D">
        <w:t xml:space="preserve">Table </w:t>
      </w:r>
      <w:r w:rsidR="0043677D" w:rsidRPr="00D23E8D">
        <w:rPr>
          <w:noProof/>
        </w:rPr>
        <w:t>1</w:t>
      </w:r>
      <w:r w:rsidR="0043677D">
        <w:rPr>
          <w:highlight w:val="cyan"/>
        </w:rPr>
        <w:fldChar w:fldCharType="end"/>
      </w:r>
      <w:r w:rsidR="00461085">
        <w:t xml:space="preserve"> </w:t>
      </w:r>
      <w:r w:rsidR="006238D8">
        <w:t xml:space="preserve">provides more </w:t>
      </w:r>
      <w:r w:rsidR="00461085">
        <w:t xml:space="preserve">details on the </w:t>
      </w:r>
      <w:r w:rsidR="00E73599">
        <w:t>assigned and compared variables for</w:t>
      </w:r>
      <w:r w:rsidR="006238D8">
        <w:t xml:space="preserve"> the</w:t>
      </w:r>
      <w:r w:rsidR="00E73599">
        <w:t xml:space="preserve"> validation</w:t>
      </w:r>
      <w:r w:rsidR="006238D8">
        <w:t xml:space="preserve"> of the HS3 solvent model</w:t>
      </w:r>
      <w:r w:rsidR="00E73599">
        <w:t>.</w:t>
      </w:r>
    </w:p>
    <w:p w14:paraId="4855AAD7" w14:textId="01B6087D" w:rsidR="009719D7" w:rsidRDefault="00AF5297" w:rsidP="00C43F61">
      <w:pPr>
        <w:pStyle w:val="CETBodytext"/>
        <w:jc w:val="center"/>
      </w:pPr>
      <w:r w:rsidRPr="00AF5297">
        <w:rPr>
          <w:noProof/>
        </w:rPr>
        <w:drawing>
          <wp:inline distT="0" distB="0" distL="0" distR="0" wp14:anchorId="11C19EF3" wp14:editId="5383C8AA">
            <wp:extent cx="5220000" cy="2056039"/>
            <wp:effectExtent l="0" t="0" r="0" b="1905"/>
            <wp:docPr id="486647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000" cy="2056039"/>
                    </a:xfrm>
                    <a:prstGeom prst="rect">
                      <a:avLst/>
                    </a:prstGeom>
                    <a:noFill/>
                    <a:ln>
                      <a:noFill/>
                    </a:ln>
                  </pic:spPr>
                </pic:pic>
              </a:graphicData>
            </a:graphic>
          </wp:inline>
        </w:drawing>
      </w:r>
    </w:p>
    <w:p w14:paraId="6CAEB0E2" w14:textId="4B31CDE8" w:rsidR="00B247FB" w:rsidRDefault="009719D7" w:rsidP="0043677D">
      <w:pPr>
        <w:pStyle w:val="CETCaption"/>
      </w:pPr>
      <w:bookmarkStart w:id="0" w:name="_Ref137202657"/>
      <w:r>
        <w:t xml:space="preserve">Figure </w:t>
      </w:r>
      <w:r>
        <w:fldChar w:fldCharType="begin"/>
      </w:r>
      <w:r>
        <w:instrText xml:space="preserve"> SEQ Figure \* ARABIC </w:instrText>
      </w:r>
      <w:r>
        <w:fldChar w:fldCharType="separate"/>
      </w:r>
      <w:r w:rsidR="002402E6">
        <w:rPr>
          <w:noProof/>
        </w:rPr>
        <w:t>1</w:t>
      </w:r>
      <w:r>
        <w:fldChar w:fldCharType="end"/>
      </w:r>
      <w:bookmarkEnd w:id="0"/>
      <w:r w:rsidR="0043677D">
        <w:t xml:space="preserve"> – Flowsheet reproducing Tiller plant simulated in Aspen Plus V11</w:t>
      </w:r>
      <w:r w:rsidR="00C14FEA">
        <w:t>: (A) absorber and (B) stripper</w:t>
      </w:r>
      <w:r w:rsidR="00DD486E">
        <w:t>.</w:t>
      </w:r>
      <w:r w:rsidR="00C14FEA">
        <w:t xml:space="preserve"> </w:t>
      </w:r>
    </w:p>
    <w:p w14:paraId="502F76CF" w14:textId="540768EF" w:rsidR="00FB2E92" w:rsidRDefault="00FB2E92" w:rsidP="00FB2E92">
      <w:pPr>
        <w:pStyle w:val="CETCaption"/>
        <w:spacing w:after="80" w:line="240" w:lineRule="exact"/>
      </w:pPr>
      <w:bookmarkStart w:id="1" w:name="_Ref137202756"/>
      <w:r w:rsidRPr="00D23E8D">
        <w:t xml:space="preserve">Table </w:t>
      </w:r>
      <w:r w:rsidRPr="00D23E8D">
        <w:fldChar w:fldCharType="begin"/>
      </w:r>
      <w:r w:rsidRPr="00D23E8D">
        <w:instrText xml:space="preserve"> SEQ Table \* ARABIC </w:instrText>
      </w:r>
      <w:r w:rsidRPr="00D23E8D">
        <w:fldChar w:fldCharType="separate"/>
      </w:r>
      <w:r w:rsidR="008D5B09">
        <w:rPr>
          <w:noProof/>
        </w:rPr>
        <w:t>1</w:t>
      </w:r>
      <w:r w:rsidRPr="00D23E8D">
        <w:fldChar w:fldCharType="end"/>
      </w:r>
      <w:bookmarkEnd w:id="1"/>
      <w:r w:rsidR="008D5B09">
        <w:t xml:space="preserve">: </w:t>
      </w:r>
      <w:r w:rsidR="00DF5021">
        <w:t>Summary of assigned and compared variables for HS3 Aspen PLUS model validation. The</w:t>
      </w:r>
      <w:r w:rsidR="00C5512E">
        <w:t xml:space="preserve"> </w:t>
      </w:r>
      <w:r w:rsidR="008D5B09">
        <w:t>names of the streams</w:t>
      </w:r>
      <w:r w:rsidR="00C5512E">
        <w:t xml:space="preserve"> </w:t>
      </w:r>
      <w:r w:rsidR="008D5B09">
        <w:t>refer</w:t>
      </w:r>
      <w:r w:rsidR="00C5512E">
        <w:t xml:space="preserve"> to </w:t>
      </w:r>
      <w:r w:rsidR="0043677D">
        <w:rPr>
          <w:highlight w:val="cyan"/>
        </w:rPr>
        <w:fldChar w:fldCharType="begin"/>
      </w:r>
      <w:r w:rsidR="0043677D">
        <w:instrText xml:space="preserve"> REF _Ref137202657 \h </w:instrText>
      </w:r>
      <w:r w:rsidR="0043677D">
        <w:rPr>
          <w:highlight w:val="cyan"/>
        </w:rPr>
      </w:r>
      <w:r w:rsidR="0043677D">
        <w:rPr>
          <w:highlight w:val="cyan"/>
        </w:rPr>
        <w:fldChar w:fldCharType="separate"/>
      </w:r>
      <w:r w:rsidR="0043677D">
        <w:t xml:space="preserve">Figure </w:t>
      </w:r>
      <w:r w:rsidR="0043677D">
        <w:rPr>
          <w:noProof/>
        </w:rPr>
        <w:t>1</w:t>
      </w:r>
      <w:r w:rsidR="0043677D">
        <w:rPr>
          <w:highlight w:val="cyan"/>
        </w:rPr>
        <w:fldChar w:fldCharType="end"/>
      </w:r>
      <w:r w:rsidR="0043677D">
        <w:t>.</w:t>
      </w:r>
      <w:r w:rsidR="00F40524">
        <w:t xml:space="preserve"> </w:t>
      </w:r>
      <w:r w:rsidR="0037042E">
        <w:t>The p</w:t>
      </w:r>
      <w:r w:rsidR="00F40524">
        <w:t>acking (</w:t>
      </w:r>
      <w:proofErr w:type="spellStart"/>
      <w:r w:rsidR="00F40524">
        <w:t>Mellapak</w:t>
      </w:r>
      <w:proofErr w:type="spellEnd"/>
      <w:r w:rsidR="00F40524">
        <w:t xml:space="preserve"> 2X) is </w:t>
      </w:r>
      <w:r w:rsidR="0037042E">
        <w:t xml:space="preserve">assigned for </w:t>
      </w:r>
      <w:r w:rsidR="00E03EF1">
        <w:t>both columns.</w:t>
      </w:r>
    </w:p>
    <w:tbl>
      <w:tblPr>
        <w:tblW w:w="876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3742"/>
        <w:gridCol w:w="3742"/>
      </w:tblGrid>
      <w:tr w:rsidR="00971E56" w:rsidRPr="00AD7CA3" w14:paraId="2F9B31DD" w14:textId="77777777" w:rsidTr="00AD7CA3">
        <w:trPr>
          <w:trHeight w:val="254"/>
        </w:trPr>
        <w:tc>
          <w:tcPr>
            <w:tcW w:w="1276" w:type="dxa"/>
            <w:tcBorders>
              <w:top w:val="single" w:sz="12" w:space="0" w:color="008000"/>
              <w:bottom w:val="single" w:sz="6" w:space="0" w:color="008000"/>
            </w:tcBorders>
            <w:shd w:val="clear" w:color="auto" w:fill="FFFFFF"/>
          </w:tcPr>
          <w:p w14:paraId="25083397" w14:textId="45883BCD" w:rsidR="00971E56" w:rsidRPr="00AD7CA3" w:rsidRDefault="00971E56" w:rsidP="00971E56">
            <w:pPr>
              <w:pStyle w:val="CETBodytext"/>
              <w:keepNext/>
              <w:rPr>
                <w:b/>
                <w:bCs/>
                <w:lang w:val="en-GB"/>
              </w:rPr>
            </w:pPr>
            <w:r w:rsidRPr="00AD7CA3">
              <w:rPr>
                <w:b/>
                <w:bCs/>
                <w:lang w:val="en-GB"/>
              </w:rPr>
              <w:t>Unit</w:t>
            </w:r>
          </w:p>
        </w:tc>
        <w:tc>
          <w:tcPr>
            <w:tcW w:w="3742" w:type="dxa"/>
            <w:tcBorders>
              <w:top w:val="single" w:sz="12" w:space="0" w:color="008000"/>
              <w:bottom w:val="single" w:sz="6" w:space="0" w:color="008000"/>
            </w:tcBorders>
            <w:shd w:val="clear" w:color="auto" w:fill="FFFFFF"/>
          </w:tcPr>
          <w:p w14:paraId="46AFF40F" w14:textId="2A57CE4F" w:rsidR="00971E56" w:rsidRPr="00AD7CA3" w:rsidRDefault="0064446A" w:rsidP="00971E56">
            <w:pPr>
              <w:pStyle w:val="CETBodytext"/>
              <w:keepNext/>
              <w:rPr>
                <w:b/>
                <w:bCs/>
                <w:lang w:val="en-GB"/>
              </w:rPr>
            </w:pPr>
            <w:r w:rsidRPr="00AD7CA3">
              <w:rPr>
                <w:b/>
                <w:bCs/>
                <w:lang w:val="en-GB"/>
              </w:rPr>
              <w:t>Input (assigned variables)</w:t>
            </w:r>
          </w:p>
        </w:tc>
        <w:tc>
          <w:tcPr>
            <w:tcW w:w="3742" w:type="dxa"/>
            <w:tcBorders>
              <w:top w:val="single" w:sz="12" w:space="0" w:color="008000"/>
              <w:bottom w:val="single" w:sz="6" w:space="0" w:color="008000"/>
            </w:tcBorders>
            <w:shd w:val="clear" w:color="auto" w:fill="FFFFFF"/>
          </w:tcPr>
          <w:p w14:paraId="6732B2DF" w14:textId="7E32ADAF" w:rsidR="00971E56" w:rsidRPr="00AD7CA3" w:rsidRDefault="0064446A" w:rsidP="00971E56">
            <w:pPr>
              <w:pStyle w:val="CETBodytext"/>
              <w:keepNext/>
              <w:rPr>
                <w:b/>
                <w:bCs/>
                <w:lang w:val="en-GB"/>
              </w:rPr>
            </w:pPr>
            <w:r w:rsidRPr="00AD7CA3">
              <w:rPr>
                <w:b/>
                <w:bCs/>
                <w:lang w:val="en-GB"/>
              </w:rPr>
              <w:t>Output (compared variables)</w:t>
            </w:r>
          </w:p>
        </w:tc>
      </w:tr>
      <w:tr w:rsidR="00971E56" w:rsidRPr="00B57B36" w14:paraId="50F0BBAC" w14:textId="77777777" w:rsidTr="00AD7CA3">
        <w:tc>
          <w:tcPr>
            <w:tcW w:w="1276" w:type="dxa"/>
            <w:tcBorders>
              <w:top w:val="single" w:sz="6" w:space="0" w:color="008000"/>
              <w:bottom w:val="single" w:sz="4" w:space="0" w:color="auto"/>
            </w:tcBorders>
            <w:shd w:val="clear" w:color="auto" w:fill="FFFFFF"/>
          </w:tcPr>
          <w:p w14:paraId="79D27ACB" w14:textId="77777777" w:rsidR="00AD7CA3" w:rsidRDefault="0064446A" w:rsidP="00971E56">
            <w:pPr>
              <w:pStyle w:val="CETBodytext"/>
              <w:keepNext/>
              <w:rPr>
                <w:lang w:val="en-GB"/>
              </w:rPr>
            </w:pPr>
            <w:r>
              <w:rPr>
                <w:lang w:val="en-GB"/>
              </w:rPr>
              <w:t xml:space="preserve">Absorber </w:t>
            </w:r>
          </w:p>
          <w:p w14:paraId="6FD4ADD2" w14:textId="5E7AF15C" w:rsidR="00971E56" w:rsidRPr="00B57B36" w:rsidRDefault="00971E56" w:rsidP="00971E56">
            <w:pPr>
              <w:pStyle w:val="CETBodytext"/>
              <w:keepNext/>
              <w:rPr>
                <w:lang w:val="en-GB"/>
              </w:rPr>
            </w:pPr>
          </w:p>
        </w:tc>
        <w:tc>
          <w:tcPr>
            <w:tcW w:w="3742" w:type="dxa"/>
            <w:tcBorders>
              <w:top w:val="single" w:sz="6" w:space="0" w:color="008000"/>
              <w:bottom w:val="single" w:sz="4" w:space="0" w:color="auto"/>
            </w:tcBorders>
            <w:shd w:val="clear" w:color="auto" w:fill="FFFFFF"/>
          </w:tcPr>
          <w:p w14:paraId="698681B1" w14:textId="71125C06" w:rsidR="00727883" w:rsidRDefault="004728EC" w:rsidP="00AD7CA3">
            <w:pPr>
              <w:pStyle w:val="CETBodytext"/>
              <w:keepNext/>
              <w:numPr>
                <w:ilvl w:val="0"/>
                <w:numId w:val="24"/>
              </w:numPr>
              <w:ind w:left="146" w:hanging="146"/>
              <w:jc w:val="left"/>
              <w:rPr>
                <w:lang w:val="en-GB"/>
              </w:rPr>
            </w:pPr>
            <w:r>
              <w:rPr>
                <w:lang w:val="en-GB"/>
              </w:rPr>
              <w:t>LEAN-SOL</w:t>
            </w:r>
            <w:r w:rsidR="00FF1568">
              <w:rPr>
                <w:lang w:val="en-GB"/>
              </w:rPr>
              <w:t xml:space="preserve"> </w:t>
            </w:r>
            <w:r w:rsidR="00AD7CA3">
              <w:rPr>
                <w:lang w:val="en-GB"/>
              </w:rPr>
              <w:t>(T, P, flow</w:t>
            </w:r>
            <w:r w:rsidR="00CF5065">
              <w:rPr>
                <w:lang w:val="en-GB"/>
              </w:rPr>
              <w:t>,</w:t>
            </w:r>
            <w:r w:rsidR="00AD7CA3">
              <w:rPr>
                <w:lang w:val="en-GB"/>
              </w:rPr>
              <w:t xml:space="preserve"> and composition)</w:t>
            </w:r>
          </w:p>
          <w:p w14:paraId="1DDD38C0" w14:textId="69D687F6" w:rsidR="00CF5065" w:rsidRDefault="008F0A1E" w:rsidP="00AD7CA3">
            <w:pPr>
              <w:pStyle w:val="CETBodytext"/>
              <w:keepNext/>
              <w:numPr>
                <w:ilvl w:val="0"/>
                <w:numId w:val="24"/>
              </w:numPr>
              <w:ind w:left="146" w:hanging="146"/>
              <w:jc w:val="left"/>
              <w:rPr>
                <w:lang w:val="en-GB"/>
              </w:rPr>
            </w:pPr>
            <w:r>
              <w:rPr>
                <w:lang w:val="en-GB"/>
              </w:rPr>
              <w:t>SAT-GAS</w:t>
            </w:r>
            <w:r w:rsidR="00CF5065">
              <w:rPr>
                <w:lang w:val="en-GB"/>
              </w:rPr>
              <w:t xml:space="preserve"> (T, P, flow, and composition)</w:t>
            </w:r>
          </w:p>
          <w:p w14:paraId="4D1D3684" w14:textId="70F71D87" w:rsidR="001A298F" w:rsidRPr="00F40524" w:rsidRDefault="004728EC" w:rsidP="00F40524">
            <w:pPr>
              <w:pStyle w:val="CETBodytext"/>
              <w:keepNext/>
              <w:numPr>
                <w:ilvl w:val="0"/>
                <w:numId w:val="24"/>
              </w:numPr>
              <w:ind w:left="146" w:hanging="146"/>
              <w:jc w:val="left"/>
              <w:rPr>
                <w:lang w:val="en-GB"/>
              </w:rPr>
            </w:pPr>
            <w:r>
              <w:rPr>
                <w:lang w:val="en-GB"/>
              </w:rPr>
              <w:t>ABS</w:t>
            </w:r>
            <w:r w:rsidR="00727883">
              <w:rPr>
                <w:lang w:val="en-GB"/>
              </w:rPr>
              <w:t xml:space="preserve"> </w:t>
            </w:r>
            <w:r w:rsidR="00CE1666">
              <w:rPr>
                <w:lang w:val="en-GB"/>
              </w:rPr>
              <w:t>diameter</w:t>
            </w:r>
            <w:r w:rsidR="0011514E">
              <w:rPr>
                <w:lang w:val="en-GB"/>
              </w:rPr>
              <w:t xml:space="preserve"> (D = </w:t>
            </w:r>
            <w:r w:rsidR="009332BF">
              <w:rPr>
                <w:lang w:val="en-GB"/>
              </w:rPr>
              <w:t>0.20m)</w:t>
            </w:r>
            <w:r w:rsidR="00727883">
              <w:rPr>
                <w:lang w:val="en-GB"/>
              </w:rPr>
              <w:t xml:space="preserve"> and packing </w:t>
            </w:r>
            <w:r w:rsidR="00CE1666">
              <w:rPr>
                <w:lang w:val="en-GB"/>
              </w:rPr>
              <w:t>height</w:t>
            </w:r>
            <w:r w:rsidR="009332BF">
              <w:rPr>
                <w:lang w:val="en-GB"/>
              </w:rPr>
              <w:t xml:space="preserve"> (H = 20m)</w:t>
            </w:r>
          </w:p>
        </w:tc>
        <w:tc>
          <w:tcPr>
            <w:tcW w:w="3742" w:type="dxa"/>
            <w:tcBorders>
              <w:top w:val="single" w:sz="6" w:space="0" w:color="008000"/>
              <w:bottom w:val="single" w:sz="4" w:space="0" w:color="auto"/>
            </w:tcBorders>
            <w:shd w:val="clear" w:color="auto" w:fill="FFFFFF"/>
          </w:tcPr>
          <w:p w14:paraId="4061E752" w14:textId="2841B11E" w:rsidR="00CF5065" w:rsidRDefault="00CF5065" w:rsidP="00CF5065">
            <w:pPr>
              <w:pStyle w:val="CETBodytext"/>
              <w:keepNext/>
              <w:numPr>
                <w:ilvl w:val="0"/>
                <w:numId w:val="24"/>
              </w:numPr>
              <w:ind w:left="146" w:hanging="146"/>
              <w:jc w:val="left"/>
              <w:rPr>
                <w:lang w:val="en-GB"/>
              </w:rPr>
            </w:pPr>
            <w:r>
              <w:rPr>
                <w:lang w:val="en-GB"/>
              </w:rPr>
              <w:t>Flow of captured CO</w:t>
            </w:r>
            <w:r w:rsidRPr="00CF5065">
              <w:rPr>
                <w:vertAlign w:val="subscript"/>
                <w:lang w:val="en-GB"/>
              </w:rPr>
              <w:t>2</w:t>
            </w:r>
          </w:p>
          <w:p w14:paraId="2C76C477" w14:textId="2255F4A3" w:rsidR="00CF5065" w:rsidRDefault="00B4152A" w:rsidP="00CF5065">
            <w:pPr>
              <w:pStyle w:val="CETBodytext"/>
              <w:keepNext/>
              <w:numPr>
                <w:ilvl w:val="0"/>
                <w:numId w:val="24"/>
              </w:numPr>
              <w:ind w:left="146" w:hanging="146"/>
              <w:jc w:val="left"/>
              <w:rPr>
                <w:lang w:val="en-GB"/>
              </w:rPr>
            </w:pPr>
            <w:r>
              <w:rPr>
                <w:lang w:val="en-GB"/>
              </w:rPr>
              <w:t xml:space="preserve">RICH-SOL </w:t>
            </w:r>
            <w:r w:rsidR="00CF5065">
              <w:rPr>
                <w:lang w:val="en-GB"/>
              </w:rPr>
              <w:t>loading</w:t>
            </w:r>
          </w:p>
          <w:p w14:paraId="74C14F13" w14:textId="4E346617" w:rsidR="00971E56" w:rsidRPr="001C1DEE" w:rsidRDefault="001C1DEE" w:rsidP="00AD7CA3">
            <w:pPr>
              <w:pStyle w:val="CETBodytext"/>
              <w:keepNext/>
              <w:numPr>
                <w:ilvl w:val="0"/>
                <w:numId w:val="24"/>
              </w:numPr>
              <w:ind w:left="146" w:hanging="146"/>
              <w:jc w:val="left"/>
              <w:rPr>
                <w:lang w:val="en-GB"/>
              </w:rPr>
            </w:pPr>
            <w:r>
              <w:rPr>
                <w:lang w:val="en-GB"/>
              </w:rPr>
              <w:t>Temperature profile</w:t>
            </w:r>
            <w:r w:rsidR="00B4152A">
              <w:rPr>
                <w:lang w:val="en-GB"/>
              </w:rPr>
              <w:t xml:space="preserve"> in ABS</w:t>
            </w:r>
          </w:p>
        </w:tc>
      </w:tr>
      <w:tr w:rsidR="0064446A" w:rsidRPr="00B57B36" w14:paraId="00DA15B4" w14:textId="77777777" w:rsidTr="00AD7CA3">
        <w:tc>
          <w:tcPr>
            <w:tcW w:w="1276" w:type="dxa"/>
            <w:tcBorders>
              <w:top w:val="single" w:sz="4" w:space="0" w:color="auto"/>
              <w:bottom w:val="single" w:sz="4" w:space="0" w:color="auto"/>
            </w:tcBorders>
            <w:shd w:val="clear" w:color="auto" w:fill="FFFFFF"/>
          </w:tcPr>
          <w:p w14:paraId="7CA87F89" w14:textId="77777777" w:rsidR="00AD7CA3" w:rsidRDefault="0064446A" w:rsidP="00971E56">
            <w:pPr>
              <w:pStyle w:val="CETBodytext"/>
              <w:keepNext/>
              <w:rPr>
                <w:lang w:val="en-GB"/>
              </w:rPr>
            </w:pPr>
            <w:r>
              <w:rPr>
                <w:lang w:val="en-GB"/>
              </w:rPr>
              <w:t xml:space="preserve">Stripper </w:t>
            </w:r>
          </w:p>
          <w:p w14:paraId="19CCD95D" w14:textId="2D8A2E50" w:rsidR="0064446A" w:rsidRPr="00B57B36" w:rsidRDefault="0064446A" w:rsidP="00971E56">
            <w:pPr>
              <w:pStyle w:val="CETBodytext"/>
              <w:keepNext/>
              <w:rPr>
                <w:lang w:val="en-GB"/>
              </w:rPr>
            </w:pPr>
          </w:p>
        </w:tc>
        <w:tc>
          <w:tcPr>
            <w:tcW w:w="3742" w:type="dxa"/>
            <w:tcBorders>
              <w:top w:val="single" w:sz="4" w:space="0" w:color="auto"/>
              <w:bottom w:val="single" w:sz="4" w:space="0" w:color="auto"/>
            </w:tcBorders>
            <w:shd w:val="clear" w:color="auto" w:fill="FFFFFF"/>
          </w:tcPr>
          <w:p w14:paraId="3B27CE38" w14:textId="434240D0" w:rsidR="001C1DEE" w:rsidRDefault="008F0A1E" w:rsidP="001C1DEE">
            <w:pPr>
              <w:pStyle w:val="CETBodytext"/>
              <w:keepNext/>
              <w:numPr>
                <w:ilvl w:val="0"/>
                <w:numId w:val="24"/>
              </w:numPr>
              <w:ind w:left="146" w:hanging="146"/>
              <w:jc w:val="left"/>
              <w:rPr>
                <w:lang w:val="en-GB"/>
              </w:rPr>
            </w:pPr>
            <w:r>
              <w:rPr>
                <w:lang w:val="en-GB"/>
              </w:rPr>
              <w:t>RICHFEED</w:t>
            </w:r>
            <w:r w:rsidR="001C1DEE">
              <w:rPr>
                <w:lang w:val="en-GB"/>
              </w:rPr>
              <w:t xml:space="preserve"> </w:t>
            </w:r>
            <w:r w:rsidR="004728EC">
              <w:rPr>
                <w:lang w:val="en-GB"/>
              </w:rPr>
              <w:t>(</w:t>
            </w:r>
            <w:r w:rsidR="00B4152A">
              <w:rPr>
                <w:lang w:val="en-GB"/>
              </w:rPr>
              <w:t>T, P, flow, and loading</w:t>
            </w:r>
            <w:r w:rsidR="004728EC">
              <w:rPr>
                <w:lang w:val="en-GB"/>
              </w:rPr>
              <w:t>)</w:t>
            </w:r>
          </w:p>
          <w:p w14:paraId="4700A24D" w14:textId="09A1288F" w:rsidR="001C1DEE" w:rsidRDefault="00B4152A" w:rsidP="001C1DEE">
            <w:pPr>
              <w:pStyle w:val="CETBodytext"/>
              <w:keepNext/>
              <w:numPr>
                <w:ilvl w:val="0"/>
                <w:numId w:val="24"/>
              </w:numPr>
              <w:ind w:left="146" w:hanging="146"/>
              <w:jc w:val="left"/>
              <w:rPr>
                <w:lang w:val="en-GB"/>
              </w:rPr>
            </w:pPr>
            <w:r>
              <w:rPr>
                <w:lang w:val="en-GB"/>
              </w:rPr>
              <w:t xml:space="preserve">Reboiler </w:t>
            </w:r>
            <w:proofErr w:type="gramStart"/>
            <w:r>
              <w:rPr>
                <w:lang w:val="en-GB"/>
              </w:rPr>
              <w:t>duty</w:t>
            </w:r>
            <w:proofErr w:type="gramEnd"/>
          </w:p>
          <w:p w14:paraId="114B241D" w14:textId="6E286880" w:rsidR="0064446A" w:rsidRDefault="00B4152A" w:rsidP="001C1DEE">
            <w:pPr>
              <w:pStyle w:val="CETBodytext"/>
              <w:keepNext/>
              <w:numPr>
                <w:ilvl w:val="0"/>
                <w:numId w:val="24"/>
              </w:numPr>
              <w:ind w:left="146" w:hanging="146"/>
              <w:jc w:val="left"/>
              <w:rPr>
                <w:lang w:val="en-GB"/>
              </w:rPr>
            </w:pPr>
            <w:r>
              <w:rPr>
                <w:lang w:val="en-GB"/>
              </w:rPr>
              <w:t>STRIP</w:t>
            </w:r>
            <w:r w:rsidR="001C1DEE" w:rsidRPr="001C1DEE">
              <w:rPr>
                <w:lang w:val="en-GB"/>
              </w:rPr>
              <w:t xml:space="preserve"> diameter</w:t>
            </w:r>
            <w:r w:rsidR="009332BF">
              <w:rPr>
                <w:lang w:val="en-GB"/>
              </w:rPr>
              <w:t xml:space="preserve"> (D = 0.15m)</w:t>
            </w:r>
            <w:r w:rsidR="001C1DEE" w:rsidRPr="001C1DEE">
              <w:rPr>
                <w:lang w:val="en-GB"/>
              </w:rPr>
              <w:t xml:space="preserve"> and packing height</w:t>
            </w:r>
            <w:r w:rsidR="009332BF">
              <w:rPr>
                <w:lang w:val="en-GB"/>
              </w:rPr>
              <w:t xml:space="preserve"> (H = 15m)</w:t>
            </w:r>
          </w:p>
          <w:p w14:paraId="62BB7CE8" w14:textId="0CE5BD71" w:rsidR="001A298F" w:rsidRPr="00F40524" w:rsidRDefault="00D10ED7" w:rsidP="00F40524">
            <w:pPr>
              <w:pStyle w:val="CETBodytext"/>
              <w:keepNext/>
              <w:numPr>
                <w:ilvl w:val="0"/>
                <w:numId w:val="24"/>
              </w:numPr>
              <w:ind w:left="146" w:hanging="146"/>
              <w:jc w:val="left"/>
              <w:rPr>
                <w:lang w:val="en-GB"/>
              </w:rPr>
            </w:pPr>
            <w:r>
              <w:rPr>
                <w:lang w:val="en-GB"/>
              </w:rPr>
              <w:t>COND temperature</w:t>
            </w:r>
          </w:p>
        </w:tc>
        <w:tc>
          <w:tcPr>
            <w:tcW w:w="3742" w:type="dxa"/>
            <w:tcBorders>
              <w:top w:val="single" w:sz="4" w:space="0" w:color="auto"/>
              <w:bottom w:val="single" w:sz="4" w:space="0" w:color="auto"/>
            </w:tcBorders>
            <w:shd w:val="clear" w:color="auto" w:fill="FFFFFF"/>
          </w:tcPr>
          <w:p w14:paraId="3E429561" w14:textId="3F18167A" w:rsidR="00B4152A" w:rsidRDefault="00B4152A" w:rsidP="00B4152A">
            <w:pPr>
              <w:pStyle w:val="CETBodytext"/>
              <w:keepNext/>
              <w:numPr>
                <w:ilvl w:val="0"/>
                <w:numId w:val="24"/>
              </w:numPr>
              <w:ind w:left="146" w:hanging="146"/>
              <w:jc w:val="left"/>
              <w:rPr>
                <w:lang w:val="en-GB"/>
              </w:rPr>
            </w:pPr>
            <w:r>
              <w:rPr>
                <w:lang w:val="en-GB"/>
              </w:rPr>
              <w:t>Flow of released CO</w:t>
            </w:r>
            <w:r w:rsidRPr="00CF5065">
              <w:rPr>
                <w:vertAlign w:val="subscript"/>
                <w:lang w:val="en-GB"/>
              </w:rPr>
              <w:t>2</w:t>
            </w:r>
            <w:r w:rsidR="00B60E6D">
              <w:rPr>
                <w:lang w:val="en-GB"/>
              </w:rPr>
              <w:t xml:space="preserve"> and </w:t>
            </w:r>
            <w:r w:rsidR="003F0C20">
              <w:rPr>
                <w:lang w:val="en-GB"/>
              </w:rPr>
              <w:t>specific reboiler duty (SRD)</w:t>
            </w:r>
          </w:p>
          <w:p w14:paraId="438C6804" w14:textId="442870C4" w:rsidR="00B4152A" w:rsidRDefault="008F0A1E" w:rsidP="00B4152A">
            <w:pPr>
              <w:pStyle w:val="CETBodytext"/>
              <w:keepNext/>
              <w:numPr>
                <w:ilvl w:val="0"/>
                <w:numId w:val="24"/>
              </w:numPr>
              <w:ind w:left="146" w:hanging="146"/>
              <w:jc w:val="left"/>
              <w:rPr>
                <w:lang w:val="en-GB"/>
              </w:rPr>
            </w:pPr>
            <w:r>
              <w:rPr>
                <w:lang w:val="en-GB"/>
              </w:rPr>
              <w:t>LEAN</w:t>
            </w:r>
            <w:r w:rsidR="00B4152A">
              <w:rPr>
                <w:lang w:val="en-GB"/>
              </w:rPr>
              <w:t xml:space="preserve">SOLV </w:t>
            </w:r>
            <w:proofErr w:type="gramStart"/>
            <w:r w:rsidR="00B4152A">
              <w:rPr>
                <w:lang w:val="en-GB"/>
              </w:rPr>
              <w:t>loading</w:t>
            </w:r>
            <w:proofErr w:type="gramEnd"/>
          </w:p>
          <w:p w14:paraId="4DB3ABFE" w14:textId="6DF75C77" w:rsidR="0064446A" w:rsidRPr="00B4152A" w:rsidRDefault="00B4152A" w:rsidP="00B4152A">
            <w:pPr>
              <w:pStyle w:val="CETBodytext"/>
              <w:keepNext/>
              <w:numPr>
                <w:ilvl w:val="0"/>
                <w:numId w:val="24"/>
              </w:numPr>
              <w:ind w:left="146" w:hanging="146"/>
              <w:jc w:val="left"/>
              <w:rPr>
                <w:lang w:val="en-GB"/>
              </w:rPr>
            </w:pPr>
            <w:r w:rsidRPr="00B4152A">
              <w:rPr>
                <w:lang w:val="en-GB"/>
              </w:rPr>
              <w:t xml:space="preserve">Temperature profile in </w:t>
            </w:r>
            <w:r>
              <w:rPr>
                <w:lang w:val="en-GB"/>
              </w:rPr>
              <w:t>STRIP</w:t>
            </w:r>
          </w:p>
        </w:tc>
      </w:tr>
    </w:tbl>
    <w:p w14:paraId="66C3B705" w14:textId="77777777" w:rsidR="001A5D2C" w:rsidRDefault="001A5D2C" w:rsidP="001A5D2C">
      <w:pPr>
        <w:pStyle w:val="CETBodytextItalic"/>
      </w:pPr>
    </w:p>
    <w:p w14:paraId="677EBFF0" w14:textId="0B80C9A0" w:rsidR="00600535" w:rsidRDefault="00C026C8" w:rsidP="00600535">
      <w:pPr>
        <w:pStyle w:val="CETHeading1"/>
        <w:tabs>
          <w:tab w:val="clear" w:pos="360"/>
          <w:tab w:val="right" w:pos="7100"/>
        </w:tabs>
        <w:jc w:val="both"/>
        <w:rPr>
          <w:lang w:val="en-GB"/>
        </w:rPr>
      </w:pPr>
      <w:r>
        <w:rPr>
          <w:lang w:val="en-GB"/>
        </w:rPr>
        <w:t>Results and comments</w:t>
      </w:r>
    </w:p>
    <w:p w14:paraId="3AC10BD3" w14:textId="26512A2C" w:rsidR="004B64B6" w:rsidRPr="00854884" w:rsidRDefault="004B64B6" w:rsidP="00D43D80">
      <w:pPr>
        <w:pStyle w:val="CETBodytext"/>
      </w:pPr>
      <w:r>
        <w:t>Section 3 reports the outcomes of the model validation in terms of relative deviations for each run at Tiller for the main key performance indicators (KPIs)</w:t>
      </w:r>
      <w:r w:rsidRPr="00EE703A">
        <w:t>. Moreover, the AR</w:t>
      </w:r>
      <w:r>
        <w:t>D</w:t>
      </w:r>
      <w:r w:rsidRPr="00EE703A">
        <w:t xml:space="preserve"> and the </w:t>
      </w:r>
      <w:r>
        <w:t>AARD</w:t>
      </w:r>
      <w:r w:rsidRPr="00EE703A">
        <w:t xml:space="preserve"> are </w:t>
      </w:r>
      <w:r w:rsidRPr="00854884">
        <w:t xml:space="preserve">calculated. The first indicator should be as close to zero as possible to show the positive and negative deviations are </w:t>
      </w:r>
      <w:r w:rsidR="00811A98" w:rsidRPr="00854884">
        <w:t>well-balanced</w:t>
      </w:r>
      <w:r w:rsidRPr="00854884">
        <w:t xml:space="preserve"> and there is no evident underestimation or overestimation. The second indicator defines how far the model prediction is from the corresponding experimental observations.</w:t>
      </w:r>
    </w:p>
    <w:p w14:paraId="04963A06" w14:textId="62002821" w:rsidR="00600535" w:rsidRPr="00EE703A" w:rsidRDefault="00EE703A" w:rsidP="00FA5F5F">
      <w:pPr>
        <w:pStyle w:val="CETheadingx"/>
      </w:pPr>
      <w:r w:rsidRPr="00EE703A">
        <w:t>VLE model testing over lab-s</w:t>
      </w:r>
      <w:r>
        <w:t>cale data</w:t>
      </w:r>
    </w:p>
    <w:p w14:paraId="68E48E52" w14:textId="56A05781" w:rsidR="001F7442" w:rsidRDefault="0043677D" w:rsidP="001F7442">
      <w:pPr>
        <w:pStyle w:val="CETBodytext"/>
      </w:pPr>
      <w:r w:rsidRPr="00EE703A">
        <w:t xml:space="preserve">The Aspen Plus VLE model for HS3 has been tested </w:t>
      </w:r>
      <w:r>
        <w:t>against equilibrium measurements</w:t>
      </w:r>
      <w:r w:rsidRPr="00EE703A">
        <w:t xml:space="preserve"> (</w:t>
      </w:r>
      <w:r w:rsidR="00E80241">
        <w:rPr>
          <w:highlight w:val="cyan"/>
        </w:rPr>
        <w:fldChar w:fldCharType="begin"/>
      </w:r>
      <w:r w:rsidR="00E80241">
        <w:instrText xml:space="preserve"> REF _Ref137202931 \h </w:instrText>
      </w:r>
      <w:r w:rsidR="00E80241">
        <w:rPr>
          <w:highlight w:val="cyan"/>
        </w:rPr>
      </w:r>
      <w:r w:rsidR="00E80241">
        <w:rPr>
          <w:highlight w:val="cyan"/>
        </w:rPr>
        <w:fldChar w:fldCharType="separate"/>
      </w:r>
      <w:r w:rsidR="00E80241">
        <w:t xml:space="preserve">Figure </w:t>
      </w:r>
      <w:r w:rsidR="00E80241">
        <w:rPr>
          <w:noProof/>
        </w:rPr>
        <w:t>2</w:t>
      </w:r>
      <w:r w:rsidR="00E80241">
        <w:rPr>
          <w:highlight w:val="cyan"/>
        </w:rPr>
        <w:fldChar w:fldCharType="end"/>
      </w:r>
      <w:r w:rsidRPr="00EE703A">
        <w:t>).</w:t>
      </w:r>
      <w:r>
        <w:t xml:space="preserve"> </w:t>
      </w:r>
      <w:r w:rsidRPr="00EE703A">
        <w:t xml:space="preserve">All VLE experimental data collected on the HS3 solvent within the </w:t>
      </w:r>
      <w:proofErr w:type="spellStart"/>
      <w:r w:rsidRPr="00EE703A">
        <w:t>Realise</w:t>
      </w:r>
      <w:proofErr w:type="spellEnd"/>
      <w:r w:rsidRPr="00EE703A">
        <w:t xml:space="preserve"> project have been </w:t>
      </w:r>
      <w:r>
        <w:t>equally weighted</w:t>
      </w:r>
      <w:r w:rsidRPr="00EE703A">
        <w:t xml:space="preserve"> in the statistical test. </w:t>
      </w:r>
      <w:r w:rsidR="00E80241">
        <w:fldChar w:fldCharType="begin"/>
      </w:r>
      <w:r w:rsidR="00E80241">
        <w:instrText xml:space="preserve"> REF _Ref137202931 \h </w:instrText>
      </w:r>
      <w:r w:rsidR="00E80241">
        <w:fldChar w:fldCharType="separate"/>
      </w:r>
      <w:r w:rsidR="00E80241">
        <w:t xml:space="preserve">Figure </w:t>
      </w:r>
      <w:r w:rsidR="00E80241">
        <w:rPr>
          <w:noProof/>
        </w:rPr>
        <w:t>2</w:t>
      </w:r>
      <w:r w:rsidR="00E80241">
        <w:fldChar w:fldCharType="end"/>
      </w:r>
      <w:r w:rsidR="00901E52">
        <w:t>A</w:t>
      </w:r>
      <w:r w:rsidR="00EC3991" w:rsidRPr="00EC3991">
        <w:t xml:space="preserve"> </w:t>
      </w:r>
      <w:r w:rsidR="00811A98">
        <w:t>contrasts</w:t>
      </w:r>
      <w:r w:rsidR="00EC3991" w:rsidRPr="00EC3991">
        <w:t xml:space="preserve"> the partial pressure of CO</w:t>
      </w:r>
      <w:r w:rsidR="00EC3991" w:rsidRPr="00EC3991">
        <w:rPr>
          <w:vertAlign w:val="subscript"/>
        </w:rPr>
        <w:t>2</w:t>
      </w:r>
      <w:r w:rsidR="00EC3991" w:rsidRPr="00EC3991">
        <w:t xml:space="preserve"> </w:t>
      </w:r>
      <w:r w:rsidR="002B67A3">
        <w:t>as predicted by the model and the</w:t>
      </w:r>
      <w:r w:rsidR="00EC3991" w:rsidRPr="00EC3991">
        <w:t xml:space="preserve"> experimental observations at different temperatures. </w:t>
      </w:r>
      <w:r w:rsidR="001F7442" w:rsidRPr="00EC3991">
        <w:t xml:space="preserve">The ELECNRTL model </w:t>
      </w:r>
      <w:r w:rsidR="00811A98" w:rsidRPr="00811A98">
        <w:t xml:space="preserve">accurately represents the equilibrium conditions at all investigated temperatures and loadings (0.1 - 0.5) of interest for </w:t>
      </w:r>
      <w:r w:rsidR="001F7442" w:rsidRPr="00EC3991">
        <w:t>absorption and regeneration. The profiles show smooth trends</w:t>
      </w:r>
      <w:r w:rsidR="00B53CC9" w:rsidRPr="00420CCF">
        <w:t xml:space="preserve">. </w:t>
      </w:r>
      <w:r w:rsidR="00243C78" w:rsidRPr="00420CCF">
        <w:t xml:space="preserve">The </w:t>
      </w:r>
      <w:r w:rsidR="001F7442" w:rsidRPr="00EC3991">
        <w:t>AARD</w:t>
      </w:r>
      <w:r w:rsidR="00034BBD" w:rsidRPr="00420CCF">
        <w:t>s</w:t>
      </w:r>
      <w:r w:rsidR="001F7442" w:rsidRPr="00EC3991">
        <w:t xml:space="preserve"> </w:t>
      </w:r>
      <w:r w:rsidR="00243C78" w:rsidRPr="00420CCF">
        <w:t xml:space="preserve">for </w:t>
      </w:r>
      <w:r w:rsidR="00034BBD" w:rsidRPr="00EC3991">
        <w:t>CO</w:t>
      </w:r>
      <w:r w:rsidR="00034BBD" w:rsidRPr="00EC3991">
        <w:rPr>
          <w:vertAlign w:val="subscript"/>
        </w:rPr>
        <w:t>2</w:t>
      </w:r>
      <w:r w:rsidR="00034BBD" w:rsidRPr="00EC3991">
        <w:t xml:space="preserve"> and H</w:t>
      </w:r>
      <w:r w:rsidR="00034BBD" w:rsidRPr="00EC3991">
        <w:rPr>
          <w:vertAlign w:val="subscript"/>
        </w:rPr>
        <w:t>2</w:t>
      </w:r>
      <w:r w:rsidR="00034BBD" w:rsidRPr="00EC3991">
        <w:t>O partial pressure</w:t>
      </w:r>
      <w:r w:rsidR="00243C78" w:rsidRPr="00420CCF">
        <w:t xml:space="preserve"> </w:t>
      </w:r>
      <w:r w:rsidR="00034BBD" w:rsidRPr="00EC3991">
        <w:t>are</w:t>
      </w:r>
      <w:r w:rsidR="00034BBD" w:rsidRPr="00420CCF">
        <w:t xml:space="preserve"> </w:t>
      </w:r>
      <w:r w:rsidR="001F7442" w:rsidRPr="00EC3991">
        <w:t>1</w:t>
      </w:r>
      <w:r w:rsidR="00420CCF" w:rsidRPr="00420CCF">
        <w:t>6.5</w:t>
      </w:r>
      <w:r w:rsidR="001F7442" w:rsidRPr="00EC3991">
        <w:t xml:space="preserve"> % and 1</w:t>
      </w:r>
      <w:r w:rsidR="00420CCF" w:rsidRPr="00420CCF">
        <w:t>6.6</w:t>
      </w:r>
      <w:r w:rsidR="001F7442" w:rsidRPr="00EC3991">
        <w:t xml:space="preserve"> %, respectively. The </w:t>
      </w:r>
      <w:r w:rsidR="00B53CC9" w:rsidRPr="00420CCF">
        <w:t>AAD</w:t>
      </w:r>
      <w:r w:rsidR="001F7442" w:rsidRPr="00EC3991">
        <w:t xml:space="preserve"> is 7 kPa for both partial pressures. </w:t>
      </w:r>
      <w:r w:rsidR="00E80241">
        <w:fldChar w:fldCharType="begin"/>
      </w:r>
      <w:r w:rsidR="00E80241">
        <w:instrText xml:space="preserve"> REF _Ref137202931 \h </w:instrText>
      </w:r>
      <w:r w:rsidR="00E80241">
        <w:fldChar w:fldCharType="separate"/>
      </w:r>
      <w:r w:rsidR="00E80241">
        <w:t xml:space="preserve">Figure </w:t>
      </w:r>
      <w:r w:rsidR="00E80241">
        <w:rPr>
          <w:noProof/>
        </w:rPr>
        <w:t>2</w:t>
      </w:r>
      <w:r w:rsidR="00E80241">
        <w:fldChar w:fldCharType="end"/>
      </w:r>
      <w:r w:rsidR="00243C78">
        <w:t>B</w:t>
      </w:r>
      <w:r w:rsidR="001F7442" w:rsidRPr="00EC3991">
        <w:t xml:space="preserve"> and </w:t>
      </w:r>
      <w:r w:rsidR="00E80241">
        <w:fldChar w:fldCharType="begin"/>
      </w:r>
      <w:r w:rsidR="00E80241">
        <w:instrText xml:space="preserve"> REF _Ref137202931 \h </w:instrText>
      </w:r>
      <w:r w:rsidR="00E80241">
        <w:fldChar w:fldCharType="separate"/>
      </w:r>
      <w:r w:rsidR="00E80241">
        <w:t xml:space="preserve">Figure </w:t>
      </w:r>
      <w:r w:rsidR="00E80241">
        <w:rPr>
          <w:noProof/>
        </w:rPr>
        <w:t>2</w:t>
      </w:r>
      <w:r w:rsidR="00E80241">
        <w:fldChar w:fldCharType="end"/>
      </w:r>
      <w:r w:rsidR="00243C78">
        <w:t>C</w:t>
      </w:r>
      <w:r w:rsidR="001F7442" w:rsidRPr="00EC3991">
        <w:t xml:space="preserve"> report absorption heat profiles at 60°C and 100°C, which are representative of the operating conditions characterizing the absorber and </w:t>
      </w:r>
      <w:r w:rsidR="00420CCF">
        <w:t>stripper</w:t>
      </w:r>
      <w:r w:rsidR="001F7442" w:rsidRPr="00EC3991">
        <w:t xml:space="preserve">, respectively. </w:t>
      </w:r>
      <w:r w:rsidR="001F7442" w:rsidRPr="52F36C55">
        <w:t>A statistical analysis</w:t>
      </w:r>
      <w:r w:rsidR="00176345">
        <w:rPr>
          <w:bCs/>
        </w:rPr>
        <w:t xml:space="preserve"> </w:t>
      </w:r>
      <w:r w:rsidR="00811A98" w:rsidRPr="52F36C55">
        <w:t>of</w:t>
      </w:r>
      <w:r w:rsidR="00176345" w:rsidRPr="52F36C55">
        <w:t xml:space="preserve"> the results for the absorption heat predictions</w:t>
      </w:r>
      <w:r w:rsidR="001F7442" w:rsidRPr="52F36C55">
        <w:t xml:space="preserve"> covering a range from 40°C to 100°C shows </w:t>
      </w:r>
      <w:r w:rsidR="00152A1B" w:rsidRPr="52F36C55">
        <w:t>good</w:t>
      </w:r>
      <w:r w:rsidR="001F7442" w:rsidRPr="52F36C55">
        <w:t xml:space="preserve"> agreement with the experimental data</w:t>
      </w:r>
      <w:r w:rsidR="000611E9" w:rsidRPr="52F36C55">
        <w:t xml:space="preserve"> trend</w:t>
      </w:r>
      <w:r w:rsidR="001F7442" w:rsidRPr="00EC3991">
        <w:rPr>
          <w:bCs/>
        </w:rPr>
        <w:t xml:space="preserve"> </w:t>
      </w:r>
      <w:r w:rsidR="000611E9" w:rsidRPr="52F36C55">
        <w:t>for</w:t>
      </w:r>
      <w:r w:rsidR="001F7442" w:rsidRPr="52F36C55">
        <w:t xml:space="preserve"> the whole loading and temperature range of interest. The </w:t>
      </w:r>
      <w:r w:rsidR="009443FC" w:rsidRPr="52F36C55">
        <w:t xml:space="preserve">average </w:t>
      </w:r>
      <w:r w:rsidR="001F7442" w:rsidRPr="52F36C55">
        <w:t xml:space="preserve">calculated AARD </w:t>
      </w:r>
      <w:r w:rsidR="009443FC" w:rsidRPr="52F36C55">
        <w:t>over the investigated temperatures is</w:t>
      </w:r>
      <w:r w:rsidR="001F7442" w:rsidRPr="00EC3991">
        <w:rPr>
          <w:bCs/>
        </w:rPr>
        <w:t xml:space="preserve"> </w:t>
      </w:r>
      <w:r w:rsidR="009719D7" w:rsidRPr="52F36C55">
        <w:t>6.6%</w:t>
      </w:r>
      <w:r w:rsidR="001F7442" w:rsidRPr="00EC3991">
        <w:rPr>
          <w:bCs/>
        </w:rPr>
        <w:t>.</w:t>
      </w:r>
      <w:r w:rsidR="1AFA5100" w:rsidRPr="00EC3991">
        <w:rPr>
          <w:bCs/>
        </w:rPr>
        <w:t xml:space="preserve"> Further details on the VLE model testing are available in </w:t>
      </w:r>
      <w:r w:rsidR="00362222">
        <w:rPr>
          <w:bCs/>
        </w:rPr>
        <w:t>(</w:t>
      </w:r>
      <w:r w:rsidR="1AFA5100" w:rsidRPr="00EC3991">
        <w:rPr>
          <w:bCs/>
        </w:rPr>
        <w:t>Gilardi et al.</w:t>
      </w:r>
      <w:r w:rsidR="00362222">
        <w:rPr>
          <w:bCs/>
        </w:rPr>
        <w:t xml:space="preserve">, </w:t>
      </w:r>
      <w:r w:rsidR="1AFA5100" w:rsidRPr="00EC3991">
        <w:rPr>
          <w:bCs/>
        </w:rPr>
        <w:t>202</w:t>
      </w:r>
      <w:r w:rsidR="00690EF8">
        <w:rPr>
          <w:bCs/>
        </w:rPr>
        <w:t>3</w:t>
      </w:r>
      <w:r w:rsidR="1AFA5100" w:rsidRPr="00EC3991">
        <w:rPr>
          <w:bCs/>
        </w:rPr>
        <w:t>).</w:t>
      </w:r>
    </w:p>
    <w:p w14:paraId="0B052A5B" w14:textId="77777777" w:rsidR="00123B43" w:rsidRDefault="00EC3991" w:rsidP="00CD1F9E">
      <w:pPr>
        <w:pStyle w:val="CETBodytext"/>
        <w:keepNext/>
        <w:jc w:val="center"/>
      </w:pPr>
      <w:r w:rsidRPr="00EC3991">
        <w:rPr>
          <w:noProof/>
          <w:lang w:val="it-IT"/>
        </w:rPr>
        <w:lastRenderedPageBreak/>
        <w:drawing>
          <wp:inline distT="0" distB="0" distL="0" distR="0" wp14:anchorId="356F7E9D" wp14:editId="395B32B3">
            <wp:extent cx="5218688" cy="2181225"/>
            <wp:effectExtent l="0" t="0" r="1270" b="0"/>
            <wp:docPr id="3" name="Picture 3"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line, plo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2064" cy="2182636"/>
                    </a:xfrm>
                    <a:prstGeom prst="rect">
                      <a:avLst/>
                    </a:prstGeom>
                    <a:noFill/>
                    <a:ln>
                      <a:noFill/>
                    </a:ln>
                  </pic:spPr>
                </pic:pic>
              </a:graphicData>
            </a:graphic>
          </wp:inline>
        </w:drawing>
      </w:r>
    </w:p>
    <w:p w14:paraId="094A8872" w14:textId="795EE182" w:rsidR="000320FF" w:rsidRDefault="00123B43" w:rsidP="00844466">
      <w:pPr>
        <w:pStyle w:val="CETCaption"/>
      </w:pPr>
      <w:bookmarkStart w:id="2" w:name="_Ref137202931"/>
      <w:r>
        <w:t xml:space="preserve">Figure </w:t>
      </w:r>
      <w:r>
        <w:fldChar w:fldCharType="begin"/>
      </w:r>
      <w:r>
        <w:instrText xml:space="preserve"> SEQ Figure \* ARABIC </w:instrText>
      </w:r>
      <w:r>
        <w:fldChar w:fldCharType="separate"/>
      </w:r>
      <w:r w:rsidR="002402E6" w:rsidRPr="52F36C55">
        <w:rPr>
          <w:noProof/>
        </w:rPr>
        <w:t>2</w:t>
      </w:r>
      <w:r>
        <w:fldChar w:fldCharType="end"/>
      </w:r>
      <w:bookmarkEnd w:id="2"/>
      <w:r>
        <w:t xml:space="preserve"> – Comparison between the Aspen Plus model predictions (solid lines) and the experimental data (dots) for (A) CO</w:t>
      </w:r>
      <w:r w:rsidRPr="52F36C55">
        <w:rPr>
          <w:vertAlign w:val="subscript"/>
        </w:rPr>
        <w:t>2</w:t>
      </w:r>
      <w:r>
        <w:t xml:space="preserve"> partial pressure and (B, C) heat of absorption at different temperatures: 40°C (</w:t>
      </w:r>
      <w:r w:rsidRPr="52F36C55">
        <w:rPr>
          <w:color w:val="FF0000"/>
        </w:rPr>
        <w:t>red</w:t>
      </w:r>
      <w:r>
        <w:t>), 60°C (</w:t>
      </w:r>
      <w:r w:rsidRPr="52F36C55">
        <w:rPr>
          <w:color w:val="00B0F0"/>
        </w:rPr>
        <w:t>light blue</w:t>
      </w:r>
      <w:r>
        <w:t>), 80°C (</w:t>
      </w:r>
      <w:r w:rsidRPr="52F36C55">
        <w:rPr>
          <w:color w:val="00B050"/>
        </w:rPr>
        <w:t>green</w:t>
      </w:r>
      <w:r>
        <w:t>), 100°C (</w:t>
      </w:r>
      <w:r w:rsidRPr="52F36C55">
        <w:rPr>
          <w:color w:val="FFC000"/>
        </w:rPr>
        <w:t>yellow</w:t>
      </w:r>
      <w:r>
        <w:t>), and 120°C (</w:t>
      </w:r>
      <w:r w:rsidRPr="52F36C55">
        <w:rPr>
          <w:color w:val="808080" w:themeColor="background1" w:themeShade="80"/>
        </w:rPr>
        <w:t>grey</w:t>
      </w:r>
      <w:r>
        <w:t>).</w:t>
      </w:r>
      <w:r w:rsidR="23586D7D">
        <w:t xml:space="preserve"> Data reported in </w:t>
      </w:r>
      <w:r w:rsidR="00854884">
        <w:t>(</w:t>
      </w:r>
      <w:r w:rsidR="23586D7D">
        <w:t>Gilardi et al.</w:t>
      </w:r>
      <w:r w:rsidR="00854884">
        <w:t xml:space="preserve">, </w:t>
      </w:r>
      <w:r w:rsidR="23586D7D">
        <w:t>2023).</w:t>
      </w:r>
      <w:r w:rsidR="6BB1217F">
        <w:t xml:space="preserve"> </w:t>
      </w:r>
    </w:p>
    <w:p w14:paraId="7537BA70" w14:textId="59E60535" w:rsidR="000320FF" w:rsidRPr="00B57B36" w:rsidRDefault="000320FF" w:rsidP="000320FF">
      <w:pPr>
        <w:pStyle w:val="CETheadingx"/>
      </w:pPr>
      <w:r>
        <w:t>Open-loop validation</w:t>
      </w:r>
    </w:p>
    <w:p w14:paraId="3603047B" w14:textId="5717F399" w:rsidR="00983423" w:rsidRDefault="00F20FE6" w:rsidP="00CD1F9E">
      <w:pPr>
        <w:pStyle w:val="CETBodytext"/>
      </w:pPr>
      <w:r>
        <w:fldChar w:fldCharType="begin"/>
      </w:r>
      <w:r>
        <w:instrText xml:space="preserve"> REF _Ref137205274 \h </w:instrText>
      </w:r>
      <w:r>
        <w:fldChar w:fldCharType="separate"/>
      </w:r>
      <w:r>
        <w:t xml:space="preserve">Figure </w:t>
      </w:r>
      <w:r>
        <w:rPr>
          <w:noProof/>
        </w:rPr>
        <w:t>3</w:t>
      </w:r>
      <w:r>
        <w:fldChar w:fldCharType="end"/>
      </w:r>
      <w:r>
        <w:t xml:space="preserve"> and </w:t>
      </w:r>
      <w:r>
        <w:fldChar w:fldCharType="begin"/>
      </w:r>
      <w:r>
        <w:instrText xml:space="preserve"> REF _Ref137205276 \h </w:instrText>
      </w:r>
      <w:r>
        <w:fldChar w:fldCharType="separate"/>
      </w:r>
      <w:r>
        <w:t xml:space="preserve">Figure </w:t>
      </w:r>
      <w:r>
        <w:rPr>
          <w:noProof/>
        </w:rPr>
        <w:t>4</w:t>
      </w:r>
      <w:r>
        <w:fldChar w:fldCharType="end"/>
      </w:r>
      <w:r>
        <w:t xml:space="preserve"> depict the residual plots for the validation of the full ELECNRTL model for the absorber and stripper, respectively</w:t>
      </w:r>
      <w:r w:rsidR="00BA1261">
        <w:t>.</w:t>
      </w:r>
    </w:p>
    <w:p w14:paraId="0FBA892B" w14:textId="77777777" w:rsidR="00C80C59" w:rsidRDefault="00C80C59" w:rsidP="00CD1F9E">
      <w:pPr>
        <w:pStyle w:val="CETBodytext"/>
      </w:pPr>
    </w:p>
    <w:p w14:paraId="649A997B" w14:textId="1E70C3F7" w:rsidR="008F45B7" w:rsidRDefault="00E55234" w:rsidP="00173C1A">
      <w:pPr>
        <w:pStyle w:val="CETBodytext"/>
        <w:keepNext/>
        <w:jc w:val="center"/>
      </w:pPr>
      <w:r>
        <w:rPr>
          <w:noProof/>
        </w:rPr>
        <w:drawing>
          <wp:inline distT="0" distB="0" distL="0" distR="0" wp14:anchorId="64A027F8" wp14:editId="02CCFBD4">
            <wp:extent cx="5220000" cy="2170734"/>
            <wp:effectExtent l="0" t="0" r="0" b="1270"/>
            <wp:docPr id="1745054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0000" cy="2170734"/>
                    </a:xfrm>
                    <a:prstGeom prst="rect">
                      <a:avLst/>
                    </a:prstGeom>
                    <a:noFill/>
                  </pic:spPr>
                </pic:pic>
              </a:graphicData>
            </a:graphic>
          </wp:inline>
        </w:drawing>
      </w:r>
    </w:p>
    <w:p w14:paraId="7DFBAD10" w14:textId="77777777" w:rsidR="001656F9" w:rsidRDefault="008F45B7" w:rsidP="00BA1261">
      <w:pPr>
        <w:pStyle w:val="CETCaption"/>
        <w:rPr>
          <w:lang w:val="en-US"/>
        </w:rPr>
      </w:pPr>
      <w:bookmarkStart w:id="3" w:name="_Ref137205274"/>
      <w:r>
        <w:t xml:space="preserve">Figure </w:t>
      </w:r>
      <w:r>
        <w:fldChar w:fldCharType="begin"/>
      </w:r>
      <w:r>
        <w:instrText xml:space="preserve"> SEQ Figure \* ARABIC </w:instrText>
      </w:r>
      <w:r>
        <w:fldChar w:fldCharType="separate"/>
      </w:r>
      <w:r w:rsidR="002402E6">
        <w:rPr>
          <w:noProof/>
        </w:rPr>
        <w:t>3</w:t>
      </w:r>
      <w:r>
        <w:fldChar w:fldCharType="end"/>
      </w:r>
      <w:bookmarkEnd w:id="3"/>
      <w:r>
        <w:t xml:space="preserve"> - </w:t>
      </w:r>
      <w:r w:rsidR="00F20FE6">
        <w:rPr>
          <w:lang w:val="en-US"/>
        </w:rPr>
        <w:t>O</w:t>
      </w:r>
      <w:r w:rsidRPr="000320FF">
        <w:rPr>
          <w:lang w:val="en-US"/>
        </w:rPr>
        <w:t xml:space="preserve">pen-loop </w:t>
      </w:r>
      <w:r w:rsidRPr="000320FF">
        <w:rPr>
          <w:u w:val="single"/>
          <w:lang w:val="en-US"/>
        </w:rPr>
        <w:t>absorber</w:t>
      </w:r>
      <w:r w:rsidRPr="000320FF">
        <w:rPr>
          <w:lang w:val="en-US"/>
        </w:rPr>
        <w:t xml:space="preserve"> </w:t>
      </w:r>
      <w:r w:rsidR="00F20FE6">
        <w:rPr>
          <w:lang w:val="en-US"/>
        </w:rPr>
        <w:t xml:space="preserve">model </w:t>
      </w:r>
      <w:r w:rsidRPr="000320FF">
        <w:rPr>
          <w:lang w:val="en-US"/>
        </w:rPr>
        <w:t xml:space="preserve">validation over the Tiller pilot plant data: </w:t>
      </w:r>
      <w:r w:rsidR="006A0C20">
        <w:rPr>
          <w:lang w:val="en-US"/>
        </w:rPr>
        <w:t>relative errors</w:t>
      </w:r>
      <w:r w:rsidRPr="000320FF">
        <w:rPr>
          <w:lang w:val="en-US"/>
        </w:rPr>
        <w:t xml:space="preserve"> (•), ARD% (—) and AARD% (- - -) for (A) CO</w:t>
      </w:r>
      <w:r w:rsidRPr="000320FF">
        <w:rPr>
          <w:vertAlign w:val="subscript"/>
          <w:lang w:val="en-US"/>
        </w:rPr>
        <w:t>2</w:t>
      </w:r>
      <w:r w:rsidRPr="000320FF">
        <w:rPr>
          <w:lang w:val="en-US"/>
        </w:rPr>
        <w:t xml:space="preserve"> captured flow and (B) rich loading of the solvent leaving the bottom of the column.</w:t>
      </w:r>
    </w:p>
    <w:p w14:paraId="4A70D434" w14:textId="00E01412" w:rsidR="006238D8" w:rsidRDefault="006238D8" w:rsidP="006238D8">
      <w:pPr>
        <w:pStyle w:val="CETBodytext"/>
      </w:pPr>
      <w:r w:rsidRPr="000320FF">
        <w:t xml:space="preserve">It is remarkable that the maximum observed AARD% </w:t>
      </w:r>
      <w:r w:rsidR="00FF1A46" w:rsidRPr="000320FF">
        <w:t>is</w:t>
      </w:r>
      <w:r w:rsidRPr="000320FF">
        <w:t xml:space="preserve"> </w:t>
      </w:r>
      <w:r>
        <w:t>below</w:t>
      </w:r>
      <w:r w:rsidRPr="000320FF">
        <w:t xml:space="preserve"> 5%. </w:t>
      </w:r>
      <w:r>
        <w:t>For</w:t>
      </w:r>
      <w:r w:rsidRPr="000320FF">
        <w:t xml:space="preserve"> </w:t>
      </w:r>
      <w:r>
        <w:t>more than</w:t>
      </w:r>
      <w:r w:rsidRPr="000320FF">
        <w:t xml:space="preserve"> 80% of the runs</w:t>
      </w:r>
      <w:r>
        <w:t>,</w:t>
      </w:r>
      <w:r w:rsidRPr="000320FF">
        <w:t xml:space="preserve"> the relative deviation on captured CO</w:t>
      </w:r>
      <w:r w:rsidRPr="000320FF">
        <w:rPr>
          <w:vertAlign w:val="subscript"/>
        </w:rPr>
        <w:t>2</w:t>
      </w:r>
      <w:r w:rsidRPr="000320FF">
        <w:t xml:space="preserve"> flow is lower than 5%, while for almost 91% of the runs it </w:t>
      </w:r>
      <w:r>
        <w:t>is lower than</w:t>
      </w:r>
      <w:r w:rsidRPr="000320FF">
        <w:t xml:space="preserve"> 10%</w:t>
      </w:r>
      <w:r>
        <w:t xml:space="preserve"> (</w:t>
      </w:r>
      <w:r>
        <w:fldChar w:fldCharType="begin"/>
      </w:r>
      <w:r>
        <w:instrText xml:space="preserve"> REF _Ref137205274 \h </w:instrText>
      </w:r>
      <w:r>
        <w:fldChar w:fldCharType="separate"/>
      </w:r>
      <w:r>
        <w:t xml:space="preserve">Figure </w:t>
      </w:r>
      <w:r>
        <w:rPr>
          <w:noProof/>
        </w:rPr>
        <w:t>3</w:t>
      </w:r>
      <w:r>
        <w:fldChar w:fldCharType="end"/>
      </w:r>
      <w:r>
        <w:t>A)</w:t>
      </w:r>
      <w:r w:rsidRPr="000320FF">
        <w:t>.</w:t>
      </w:r>
      <w:r>
        <w:t xml:space="preserve"> The model is also in agreement with measurements for the rich loading (</w:t>
      </w:r>
      <w:r>
        <w:fldChar w:fldCharType="begin"/>
      </w:r>
      <w:r>
        <w:instrText xml:space="preserve"> REF _Ref137205274 \h </w:instrText>
      </w:r>
      <w:r>
        <w:fldChar w:fldCharType="separate"/>
      </w:r>
      <w:r>
        <w:t xml:space="preserve">Figure </w:t>
      </w:r>
      <w:r>
        <w:rPr>
          <w:noProof/>
        </w:rPr>
        <w:t>3</w:t>
      </w:r>
      <w:r>
        <w:fldChar w:fldCharType="end"/>
      </w:r>
      <w:r>
        <w:t>B).</w:t>
      </w:r>
      <w:r w:rsidRPr="000320FF">
        <w:t xml:space="preserve"> </w:t>
      </w:r>
      <w:r>
        <w:t>Higher</w:t>
      </w:r>
      <w:r w:rsidRPr="000320FF">
        <w:t xml:space="preserve"> discrepanc</w:t>
      </w:r>
      <w:r>
        <w:t>ies</w:t>
      </w:r>
      <w:r w:rsidRPr="000320FF">
        <w:t xml:space="preserve"> </w:t>
      </w:r>
      <w:r>
        <w:t>are</w:t>
      </w:r>
      <w:r w:rsidRPr="000320FF">
        <w:t xml:space="preserve"> observed for the desorbed CO</w:t>
      </w:r>
      <w:r w:rsidRPr="000320FF">
        <w:rPr>
          <w:vertAlign w:val="subscript"/>
        </w:rPr>
        <w:t>2</w:t>
      </w:r>
      <w:r w:rsidRPr="000320FF">
        <w:t xml:space="preserve"> flow: 67% and 89% of the runs </w:t>
      </w:r>
      <w:r>
        <w:t>exhibit</w:t>
      </w:r>
      <w:r w:rsidRPr="000320FF">
        <w:t xml:space="preserve"> a relative deviation below 5% and 10%, respectively</w:t>
      </w:r>
      <w:r>
        <w:t xml:space="preserve"> (</w:t>
      </w:r>
      <w:r>
        <w:fldChar w:fldCharType="begin"/>
      </w:r>
      <w:r>
        <w:instrText xml:space="preserve"> REF _Ref137205276 \h </w:instrText>
      </w:r>
      <w:r>
        <w:fldChar w:fldCharType="separate"/>
      </w:r>
      <w:r>
        <w:t xml:space="preserve">Figure </w:t>
      </w:r>
      <w:r>
        <w:rPr>
          <w:noProof/>
        </w:rPr>
        <w:t>4</w:t>
      </w:r>
      <w:r>
        <w:fldChar w:fldCharType="end"/>
      </w:r>
      <w:r>
        <w:t>A)</w:t>
      </w:r>
      <w:r w:rsidRPr="000320FF">
        <w:t>.</w:t>
      </w:r>
      <w:r>
        <w:t xml:space="preserve"> These outcomes are still reasonable. </w:t>
      </w:r>
      <w:r w:rsidRPr="000320FF">
        <w:t>The only exception is the lean loading</w:t>
      </w:r>
      <w:r>
        <w:t xml:space="preserve"> (</w:t>
      </w:r>
      <w:r>
        <w:fldChar w:fldCharType="begin"/>
      </w:r>
      <w:r>
        <w:instrText xml:space="preserve"> REF _Ref137205276 \h </w:instrText>
      </w:r>
      <w:r>
        <w:fldChar w:fldCharType="separate"/>
      </w:r>
      <w:r>
        <w:t xml:space="preserve">Figure </w:t>
      </w:r>
      <w:r>
        <w:rPr>
          <w:noProof/>
        </w:rPr>
        <w:t>4</w:t>
      </w:r>
      <w:r>
        <w:fldChar w:fldCharType="end"/>
      </w:r>
      <w:r>
        <w:t>B).</w:t>
      </w:r>
      <w:r w:rsidRPr="000320FF">
        <w:t xml:space="preserve"> </w:t>
      </w:r>
      <w:r>
        <w:t>H</w:t>
      </w:r>
      <w:r w:rsidRPr="000320FF">
        <w:t xml:space="preserve">owever, the higher discrepancies observed for this indicator are </w:t>
      </w:r>
      <w:r>
        <w:t>associated with</w:t>
      </w:r>
      <w:r w:rsidRPr="000320FF">
        <w:t xml:space="preserve"> the </w:t>
      </w:r>
      <w:r>
        <w:t>l</w:t>
      </w:r>
      <w:r w:rsidRPr="000320FF">
        <w:t>ow numerical values</w:t>
      </w:r>
      <w:r>
        <w:t xml:space="preserve"> (range 0.05 – 0.15)</w:t>
      </w:r>
      <w:r w:rsidRPr="000320FF">
        <w:t xml:space="preserve">. </w:t>
      </w:r>
      <w:r>
        <w:t xml:space="preserve">Indeed, </w:t>
      </w:r>
      <w:r w:rsidRPr="000320FF">
        <w:t>7</w:t>
      </w:r>
      <w:r>
        <w:t>3</w:t>
      </w:r>
      <w:r w:rsidRPr="000320FF">
        <w:t xml:space="preserve">% of the runs show a deviation lower than 20%, which corresponds on average to an absolute error of </w:t>
      </w:r>
      <w:r>
        <w:t xml:space="preserve">0.01 and </w:t>
      </w:r>
      <w:r w:rsidRPr="000320FF">
        <w:t>0.0</w:t>
      </w:r>
      <w:r>
        <w:t>3</w:t>
      </w:r>
      <w:r w:rsidRPr="000320FF">
        <w:t xml:space="preserve"> mol/mol</w:t>
      </w:r>
      <w:r>
        <w:t xml:space="preserve"> for loading 0.05 and 0.15, respectively.</w:t>
      </w:r>
      <w:r w:rsidR="0C7E5528">
        <w:t xml:space="preserve"> A more detailed statistical analysis considering the effect of </w:t>
      </w:r>
      <w:r w:rsidR="0D02874A">
        <w:t xml:space="preserve">the </w:t>
      </w:r>
      <w:r w:rsidR="0C7E5528">
        <w:t xml:space="preserve">inlet CO2 </w:t>
      </w:r>
      <w:r w:rsidR="5189D0BD">
        <w:t>c</w:t>
      </w:r>
      <w:r w:rsidR="0C7E5528">
        <w:t>oncentration on the</w:t>
      </w:r>
      <w:r w:rsidR="611796E8">
        <w:t xml:space="preserve"> </w:t>
      </w:r>
      <w:r w:rsidR="10B71398">
        <w:t xml:space="preserve">measured deviations will be included in </w:t>
      </w:r>
      <w:r w:rsidR="009741A8">
        <w:t>the</w:t>
      </w:r>
      <w:r w:rsidR="10B71398">
        <w:t xml:space="preserve"> following contribution.</w:t>
      </w:r>
      <w:r>
        <w:t xml:space="preserve"> For the sake of completeness, we analyze the temperature profile inside the absorber and stripper. The model outcomes are compared to the experimental measurements. </w:t>
      </w:r>
      <w:r>
        <w:fldChar w:fldCharType="begin"/>
      </w:r>
      <w:r>
        <w:instrText xml:space="preserve"> REF _Ref137206287 \h </w:instrText>
      </w:r>
      <w:r>
        <w:fldChar w:fldCharType="separate"/>
      </w:r>
      <w:r>
        <w:t xml:space="preserve">Figure </w:t>
      </w:r>
      <w:r>
        <w:rPr>
          <w:noProof/>
        </w:rPr>
        <w:t>5</w:t>
      </w:r>
      <w:r>
        <w:fldChar w:fldCharType="end"/>
      </w:r>
      <w:r>
        <w:t xml:space="preserve"> shows a few examples </w:t>
      </w:r>
      <w:r w:rsidRPr="000320FF">
        <w:t>(</w:t>
      </w:r>
      <w:r>
        <w:t>two</w:t>
      </w:r>
      <w:r w:rsidRPr="000320FF">
        <w:t xml:space="preserve"> for 5.5% CO</w:t>
      </w:r>
      <w:r w:rsidRPr="000320FF">
        <w:rPr>
          <w:vertAlign w:val="subscript"/>
        </w:rPr>
        <w:t>2</w:t>
      </w:r>
      <w:r w:rsidRPr="000320FF">
        <w:t xml:space="preserve"> and </w:t>
      </w:r>
      <w:r>
        <w:t>two</w:t>
      </w:r>
      <w:r w:rsidRPr="000320FF">
        <w:t xml:space="preserve"> for 12% CO</w:t>
      </w:r>
      <w:r w:rsidRPr="000320FF">
        <w:rPr>
          <w:vertAlign w:val="subscript"/>
        </w:rPr>
        <w:t>2</w:t>
      </w:r>
      <w:r w:rsidRPr="000320FF">
        <w:t xml:space="preserve"> flue gas)</w:t>
      </w:r>
      <w:r>
        <w:t>. We identified three</w:t>
      </w:r>
      <w:r w:rsidRPr="000320FF">
        <w:t xml:space="preserve"> temperatures </w:t>
      </w:r>
      <w:r>
        <w:t>associated with</w:t>
      </w:r>
      <w:r w:rsidRPr="000320FF">
        <w:t xml:space="preserve"> the highest influence on the process </w:t>
      </w:r>
      <w:r>
        <w:t>KPI:</w:t>
      </w:r>
      <w:r w:rsidRPr="000320FF">
        <w:t xml:space="preserve"> top</w:t>
      </w:r>
      <w:r>
        <w:t xml:space="preserve"> (i.e., treated flue gas leaving the absorber)</w:t>
      </w:r>
      <w:r w:rsidRPr="000320FF">
        <w:t xml:space="preserve">, </w:t>
      </w:r>
      <w:r>
        <w:t>bottom (i.e., rich solvent),</w:t>
      </w:r>
      <w:r w:rsidRPr="000320FF">
        <w:t xml:space="preserve"> and peak temperatures.</w:t>
      </w:r>
      <w:r>
        <w:t xml:space="preserve"> They influence the water wash design, heat recovery in the crossflow heat exchanger and reboiler duty, and amine kinetics and water balance, respectively. Those temperatures are </w:t>
      </w:r>
      <w:r>
        <w:lastRenderedPageBreak/>
        <w:t>globally well predicted for all runs.</w:t>
      </w:r>
      <w:r w:rsidRPr="000320FF">
        <w:t xml:space="preserve"> The AARD for the temperature profiles in the absorber and stripper are limited to 4.74% and 3.84%, respectively, including both </w:t>
      </w:r>
      <w:r>
        <w:t xml:space="preserve">all </w:t>
      </w:r>
      <w:r w:rsidRPr="000320FF">
        <w:t>the data collected at 5.5% and 12% CO</w:t>
      </w:r>
      <w:r w:rsidRPr="000320FF">
        <w:rPr>
          <w:vertAlign w:val="subscript"/>
        </w:rPr>
        <w:t>2</w:t>
      </w:r>
      <w:r w:rsidRPr="000320FF">
        <w:t xml:space="preserve"> flue gas concentration.</w:t>
      </w:r>
      <w:r>
        <w:t xml:space="preserve"> </w:t>
      </w:r>
      <w:r>
        <w:rPr>
          <w:highlight w:val="cyan"/>
        </w:rPr>
        <w:fldChar w:fldCharType="begin"/>
      </w:r>
      <w:r>
        <w:instrText xml:space="preserve"> REF _Ref137209899 \h </w:instrText>
      </w:r>
      <w:r>
        <w:rPr>
          <w:highlight w:val="cyan"/>
        </w:rPr>
      </w:r>
      <w:r>
        <w:rPr>
          <w:highlight w:val="cyan"/>
        </w:rPr>
        <w:fldChar w:fldCharType="separate"/>
      </w:r>
      <w:r>
        <w:t xml:space="preserve">Table </w:t>
      </w:r>
      <w:r>
        <w:rPr>
          <w:noProof/>
        </w:rPr>
        <w:t>2</w:t>
      </w:r>
      <w:r>
        <w:rPr>
          <w:highlight w:val="cyan"/>
        </w:rPr>
        <w:fldChar w:fldCharType="end"/>
      </w:r>
      <w:r>
        <w:t xml:space="preserve"> provides a statistical analysis of all the runs.</w:t>
      </w:r>
    </w:p>
    <w:p w14:paraId="3E27CF9E" w14:textId="137EE621" w:rsidR="008F45B7" w:rsidRDefault="00883EEA" w:rsidP="001656F9">
      <w:pPr>
        <w:pStyle w:val="CETCaption"/>
        <w:jc w:val="center"/>
      </w:pPr>
      <w:r>
        <w:rPr>
          <w:noProof/>
        </w:rPr>
        <w:drawing>
          <wp:inline distT="0" distB="0" distL="0" distR="0" wp14:anchorId="69C49FA2" wp14:editId="77A5339E">
            <wp:extent cx="5220000" cy="2170800"/>
            <wp:effectExtent l="0" t="0" r="0" b="1270"/>
            <wp:docPr id="1730311147" name="Picture 1730311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2170800"/>
                    </a:xfrm>
                    <a:prstGeom prst="rect">
                      <a:avLst/>
                    </a:prstGeom>
                    <a:noFill/>
                  </pic:spPr>
                </pic:pic>
              </a:graphicData>
            </a:graphic>
          </wp:inline>
        </w:drawing>
      </w:r>
    </w:p>
    <w:p w14:paraId="4E78949B" w14:textId="137EE621" w:rsidR="00EA0D66" w:rsidRDefault="008F45B7" w:rsidP="00CD1F9E">
      <w:pPr>
        <w:pStyle w:val="CETCaption"/>
        <w:rPr>
          <w:lang w:val="en-US"/>
        </w:rPr>
      </w:pPr>
      <w:bookmarkStart w:id="4" w:name="_Ref137205276"/>
      <w:r>
        <w:t xml:space="preserve">Figure </w:t>
      </w:r>
      <w:r>
        <w:fldChar w:fldCharType="begin"/>
      </w:r>
      <w:r>
        <w:instrText xml:space="preserve"> SEQ Figure \* ARABIC </w:instrText>
      </w:r>
      <w:r>
        <w:fldChar w:fldCharType="separate"/>
      </w:r>
      <w:r w:rsidR="002402E6">
        <w:rPr>
          <w:noProof/>
        </w:rPr>
        <w:t>4</w:t>
      </w:r>
      <w:r>
        <w:fldChar w:fldCharType="end"/>
      </w:r>
      <w:bookmarkEnd w:id="4"/>
      <w:r>
        <w:t xml:space="preserve"> - </w:t>
      </w:r>
      <w:r w:rsidR="00F20FE6">
        <w:rPr>
          <w:lang w:val="en-US"/>
        </w:rPr>
        <w:t>O</w:t>
      </w:r>
      <w:r w:rsidRPr="000320FF">
        <w:rPr>
          <w:lang w:val="en-US"/>
        </w:rPr>
        <w:t xml:space="preserve">pen-loop </w:t>
      </w:r>
      <w:r w:rsidRPr="000320FF">
        <w:rPr>
          <w:u w:val="single"/>
          <w:lang w:val="en-US"/>
        </w:rPr>
        <w:t>stripper</w:t>
      </w:r>
      <w:r w:rsidRPr="000320FF">
        <w:rPr>
          <w:lang w:val="en-US"/>
        </w:rPr>
        <w:t xml:space="preserve"> </w:t>
      </w:r>
      <w:r w:rsidR="00F20FE6">
        <w:rPr>
          <w:lang w:val="en-US"/>
        </w:rPr>
        <w:t xml:space="preserve">model </w:t>
      </w:r>
      <w:r w:rsidRPr="000320FF">
        <w:rPr>
          <w:lang w:val="en-US"/>
        </w:rPr>
        <w:t xml:space="preserve">validation over the Tiller pilot plant data: </w:t>
      </w:r>
      <w:r w:rsidR="006A0C20">
        <w:rPr>
          <w:lang w:val="en-US"/>
        </w:rPr>
        <w:t>relative errors</w:t>
      </w:r>
      <w:r w:rsidRPr="000320FF">
        <w:rPr>
          <w:lang w:val="en-US"/>
        </w:rPr>
        <w:t xml:space="preserve"> (•), ARD% (—) and AARD% (- - -) for (A) CO</w:t>
      </w:r>
      <w:r w:rsidRPr="000320FF">
        <w:rPr>
          <w:vertAlign w:val="subscript"/>
          <w:lang w:val="en-US"/>
        </w:rPr>
        <w:t>2</w:t>
      </w:r>
      <w:r w:rsidRPr="000320FF">
        <w:rPr>
          <w:lang w:val="en-US"/>
        </w:rPr>
        <w:t xml:space="preserve"> desorbed flow and (B) lean loading of the regenerated solvent.</w:t>
      </w:r>
    </w:p>
    <w:p w14:paraId="26E6031E" w14:textId="77777777" w:rsidR="007F66BE" w:rsidRDefault="007F66BE" w:rsidP="007F66BE">
      <w:pPr>
        <w:pStyle w:val="CETTabletitle"/>
      </w:pPr>
      <w:bookmarkStart w:id="5" w:name="_Ref137209899"/>
      <w:r>
        <w:t xml:space="preserve">Table </w:t>
      </w:r>
      <w:r>
        <w:fldChar w:fldCharType="begin"/>
      </w:r>
      <w:r>
        <w:instrText xml:space="preserve"> SEQ Table \* ARABIC </w:instrText>
      </w:r>
      <w:r>
        <w:fldChar w:fldCharType="separate"/>
      </w:r>
      <w:r>
        <w:rPr>
          <w:noProof/>
        </w:rPr>
        <w:t>2</w:t>
      </w:r>
      <w:r>
        <w:fldChar w:fldCharType="end"/>
      </w:r>
      <w:bookmarkEnd w:id="5"/>
      <w:r>
        <w:t>: Statistical analysis for the open-loop validation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417"/>
        <w:gridCol w:w="1417"/>
      </w:tblGrid>
      <w:tr w:rsidR="007F66BE" w:rsidRPr="00B57B36" w14:paraId="671A087C" w14:textId="77777777" w:rsidTr="00A252CB">
        <w:tc>
          <w:tcPr>
            <w:tcW w:w="2268" w:type="dxa"/>
            <w:tcBorders>
              <w:top w:val="single" w:sz="12" w:space="0" w:color="008000"/>
              <w:bottom w:val="single" w:sz="6" w:space="0" w:color="008000"/>
            </w:tcBorders>
            <w:shd w:val="clear" w:color="auto" w:fill="FFFFFF"/>
          </w:tcPr>
          <w:p w14:paraId="61125476" w14:textId="77777777" w:rsidR="007F66BE" w:rsidRPr="00B57B36" w:rsidRDefault="007F66BE" w:rsidP="00A252CB">
            <w:pPr>
              <w:pStyle w:val="CETBodytext"/>
              <w:rPr>
                <w:lang w:val="en-GB"/>
              </w:rPr>
            </w:pPr>
          </w:p>
        </w:tc>
        <w:tc>
          <w:tcPr>
            <w:tcW w:w="1417" w:type="dxa"/>
            <w:tcBorders>
              <w:top w:val="single" w:sz="12" w:space="0" w:color="008000"/>
              <w:bottom w:val="single" w:sz="6" w:space="0" w:color="008000"/>
            </w:tcBorders>
            <w:shd w:val="clear" w:color="auto" w:fill="FFFFFF"/>
          </w:tcPr>
          <w:p w14:paraId="173F2669" w14:textId="77777777" w:rsidR="007F66BE" w:rsidRPr="00B57B36" w:rsidRDefault="007F66BE" w:rsidP="00A252CB">
            <w:pPr>
              <w:pStyle w:val="CETBodytext"/>
              <w:rPr>
                <w:lang w:val="en-GB"/>
              </w:rPr>
            </w:pPr>
            <w:r>
              <w:rPr>
                <w:lang w:val="en-GB"/>
              </w:rPr>
              <w:t>AARD [%]</w:t>
            </w:r>
          </w:p>
        </w:tc>
        <w:tc>
          <w:tcPr>
            <w:tcW w:w="1417" w:type="dxa"/>
            <w:tcBorders>
              <w:top w:val="single" w:sz="12" w:space="0" w:color="008000"/>
              <w:bottom w:val="single" w:sz="6" w:space="0" w:color="008000"/>
            </w:tcBorders>
            <w:shd w:val="clear" w:color="auto" w:fill="FFFFFF"/>
          </w:tcPr>
          <w:p w14:paraId="6CB14111" w14:textId="77777777" w:rsidR="007F66BE" w:rsidRPr="00B57B36" w:rsidRDefault="007F66BE" w:rsidP="00A252CB">
            <w:pPr>
              <w:pStyle w:val="CETBodytext"/>
              <w:rPr>
                <w:lang w:val="en-GB"/>
              </w:rPr>
            </w:pPr>
            <w:r>
              <w:rPr>
                <w:lang w:val="en-GB"/>
              </w:rPr>
              <w:t>ARD [%]</w:t>
            </w:r>
          </w:p>
        </w:tc>
      </w:tr>
      <w:tr w:rsidR="007F66BE" w:rsidRPr="00B57B36" w14:paraId="6A2A8AA4" w14:textId="77777777" w:rsidTr="00A252CB">
        <w:tc>
          <w:tcPr>
            <w:tcW w:w="2268" w:type="dxa"/>
            <w:shd w:val="clear" w:color="auto" w:fill="FFFFFF"/>
          </w:tcPr>
          <w:p w14:paraId="6CC458AF" w14:textId="77777777" w:rsidR="007F66BE" w:rsidRPr="00B57B36" w:rsidRDefault="007F66BE" w:rsidP="00A252CB">
            <w:pPr>
              <w:pStyle w:val="CETBodytext"/>
              <w:rPr>
                <w:lang w:val="en-GB"/>
              </w:rPr>
            </w:pPr>
            <w:r>
              <w:rPr>
                <w:lang w:val="en-GB"/>
              </w:rPr>
              <w:t>CO</w:t>
            </w:r>
            <w:r w:rsidRPr="00594B68">
              <w:rPr>
                <w:vertAlign w:val="subscript"/>
                <w:lang w:val="en-GB"/>
              </w:rPr>
              <w:t>2</w:t>
            </w:r>
            <w:r>
              <w:rPr>
                <w:lang w:val="en-GB"/>
              </w:rPr>
              <w:t xml:space="preserve"> capture (absorber)</w:t>
            </w:r>
          </w:p>
        </w:tc>
        <w:tc>
          <w:tcPr>
            <w:tcW w:w="1417" w:type="dxa"/>
            <w:shd w:val="clear" w:color="auto" w:fill="FFFFFF"/>
          </w:tcPr>
          <w:p w14:paraId="438B1108" w14:textId="0CDDB2B3" w:rsidR="001034F6" w:rsidRPr="00B57B36" w:rsidRDefault="007F66BE" w:rsidP="00A252CB">
            <w:pPr>
              <w:pStyle w:val="CETBodytext"/>
              <w:rPr>
                <w:lang w:val="en-GB"/>
              </w:rPr>
            </w:pPr>
            <w:r>
              <w:rPr>
                <w:lang w:val="en-GB"/>
              </w:rPr>
              <w:t>3.3</w:t>
            </w:r>
            <w:r w:rsidR="00DB5C2D">
              <w:rPr>
                <w:lang w:val="en-GB"/>
              </w:rPr>
              <w:t>5</w:t>
            </w:r>
          </w:p>
        </w:tc>
        <w:tc>
          <w:tcPr>
            <w:tcW w:w="1417" w:type="dxa"/>
            <w:shd w:val="clear" w:color="auto" w:fill="FFFFFF"/>
          </w:tcPr>
          <w:p w14:paraId="491949A1" w14:textId="5AE403E3" w:rsidR="007F66BE" w:rsidRPr="00B57B36" w:rsidRDefault="007F66BE" w:rsidP="00A252CB">
            <w:pPr>
              <w:pStyle w:val="CETBodytext"/>
              <w:rPr>
                <w:lang w:val="en-GB"/>
              </w:rPr>
            </w:pPr>
            <w:r>
              <w:rPr>
                <w:lang w:val="en-GB"/>
              </w:rPr>
              <w:t>-0.4</w:t>
            </w:r>
            <w:r w:rsidR="00DB5C2D">
              <w:rPr>
                <w:lang w:val="en-GB"/>
              </w:rPr>
              <w:t>4</w:t>
            </w:r>
          </w:p>
        </w:tc>
      </w:tr>
      <w:tr w:rsidR="007F66BE" w:rsidRPr="00B57B36" w14:paraId="43A016FF" w14:textId="77777777" w:rsidTr="00A252CB">
        <w:tc>
          <w:tcPr>
            <w:tcW w:w="2268" w:type="dxa"/>
            <w:shd w:val="clear" w:color="auto" w:fill="FFFFFF"/>
          </w:tcPr>
          <w:p w14:paraId="7D1597A8" w14:textId="77777777" w:rsidR="007F66BE" w:rsidRPr="00B57B36" w:rsidRDefault="007F66BE" w:rsidP="00A252CB">
            <w:pPr>
              <w:pStyle w:val="CETBodytext"/>
              <w:rPr>
                <w:lang w:val="en-GB"/>
              </w:rPr>
            </w:pPr>
            <w:r>
              <w:rPr>
                <w:lang w:val="en-GB"/>
              </w:rPr>
              <w:t>CO</w:t>
            </w:r>
            <w:r w:rsidRPr="00594B68">
              <w:rPr>
                <w:vertAlign w:val="subscript"/>
                <w:lang w:val="en-GB"/>
              </w:rPr>
              <w:t>2</w:t>
            </w:r>
            <w:r>
              <w:rPr>
                <w:lang w:val="en-GB"/>
              </w:rPr>
              <w:t xml:space="preserve"> released (stripper)</w:t>
            </w:r>
          </w:p>
        </w:tc>
        <w:tc>
          <w:tcPr>
            <w:tcW w:w="1417" w:type="dxa"/>
            <w:shd w:val="clear" w:color="auto" w:fill="FFFFFF"/>
          </w:tcPr>
          <w:p w14:paraId="4067FF51" w14:textId="77777777" w:rsidR="007F66BE" w:rsidRPr="00B57B36" w:rsidRDefault="007F66BE" w:rsidP="00A252CB">
            <w:pPr>
              <w:pStyle w:val="CETBodytext"/>
              <w:rPr>
                <w:lang w:val="en-GB"/>
              </w:rPr>
            </w:pPr>
            <w:r>
              <w:rPr>
                <w:lang w:val="en-GB"/>
              </w:rPr>
              <w:t>4.38</w:t>
            </w:r>
          </w:p>
        </w:tc>
        <w:tc>
          <w:tcPr>
            <w:tcW w:w="1417" w:type="dxa"/>
            <w:shd w:val="clear" w:color="auto" w:fill="FFFFFF"/>
          </w:tcPr>
          <w:p w14:paraId="70BAA6DB" w14:textId="77777777" w:rsidR="007F66BE" w:rsidRPr="00B57B36" w:rsidRDefault="007F66BE" w:rsidP="00A252CB">
            <w:pPr>
              <w:pStyle w:val="CETBodytext"/>
              <w:rPr>
                <w:lang w:val="en-GB"/>
              </w:rPr>
            </w:pPr>
            <w:r>
              <w:rPr>
                <w:lang w:val="en-GB"/>
              </w:rPr>
              <w:t xml:space="preserve"> 1.18</w:t>
            </w:r>
          </w:p>
        </w:tc>
      </w:tr>
      <w:tr w:rsidR="007F66BE" w:rsidRPr="00B57B36" w14:paraId="63D1A3DF" w14:textId="77777777" w:rsidTr="00A252CB">
        <w:tc>
          <w:tcPr>
            <w:tcW w:w="2268" w:type="dxa"/>
            <w:shd w:val="clear" w:color="auto" w:fill="FFFFFF"/>
          </w:tcPr>
          <w:p w14:paraId="6F9EFCCA" w14:textId="77777777" w:rsidR="007F66BE" w:rsidRPr="00B57B36" w:rsidRDefault="007F66BE" w:rsidP="00A252CB">
            <w:pPr>
              <w:pStyle w:val="CETBodytext"/>
              <w:rPr>
                <w:lang w:val="en-GB"/>
              </w:rPr>
            </w:pPr>
            <w:r>
              <w:rPr>
                <w:lang w:val="en-GB"/>
              </w:rPr>
              <w:t>T profile absorber</w:t>
            </w:r>
          </w:p>
        </w:tc>
        <w:tc>
          <w:tcPr>
            <w:tcW w:w="1417" w:type="dxa"/>
            <w:shd w:val="clear" w:color="auto" w:fill="FFFFFF"/>
          </w:tcPr>
          <w:p w14:paraId="4154CE83" w14:textId="77777777" w:rsidR="007F66BE" w:rsidRPr="00B57B36" w:rsidRDefault="007F66BE" w:rsidP="00A252CB">
            <w:pPr>
              <w:pStyle w:val="CETBodytext"/>
              <w:rPr>
                <w:lang w:val="en-GB"/>
              </w:rPr>
            </w:pPr>
            <w:r>
              <w:rPr>
                <w:lang w:val="en-GB"/>
              </w:rPr>
              <w:t>4.82</w:t>
            </w:r>
          </w:p>
        </w:tc>
        <w:tc>
          <w:tcPr>
            <w:tcW w:w="1417" w:type="dxa"/>
            <w:shd w:val="clear" w:color="auto" w:fill="FFFFFF"/>
          </w:tcPr>
          <w:p w14:paraId="6D835E9D" w14:textId="77777777" w:rsidR="007F66BE" w:rsidRPr="00B57B36" w:rsidRDefault="007F66BE" w:rsidP="00A252CB">
            <w:pPr>
              <w:pStyle w:val="CETBodytext"/>
              <w:rPr>
                <w:lang w:val="en-GB"/>
              </w:rPr>
            </w:pPr>
            <w:r>
              <w:rPr>
                <w:lang w:val="en-GB"/>
              </w:rPr>
              <w:t xml:space="preserve"> 1.00</w:t>
            </w:r>
          </w:p>
        </w:tc>
      </w:tr>
      <w:tr w:rsidR="007F66BE" w:rsidRPr="00B57B36" w14:paraId="436B7F85" w14:textId="77777777" w:rsidTr="00A252CB">
        <w:tc>
          <w:tcPr>
            <w:tcW w:w="2268" w:type="dxa"/>
            <w:shd w:val="clear" w:color="auto" w:fill="FFFFFF"/>
          </w:tcPr>
          <w:p w14:paraId="7C887F25" w14:textId="77777777" w:rsidR="007F66BE" w:rsidRPr="00B57B36" w:rsidRDefault="007F66BE" w:rsidP="00A252CB">
            <w:pPr>
              <w:pStyle w:val="CETBodytext"/>
              <w:rPr>
                <w:lang w:val="en-GB"/>
              </w:rPr>
            </w:pPr>
            <w:r>
              <w:rPr>
                <w:lang w:val="en-GB"/>
              </w:rPr>
              <w:t>T profile stripper</w:t>
            </w:r>
          </w:p>
        </w:tc>
        <w:tc>
          <w:tcPr>
            <w:tcW w:w="1417" w:type="dxa"/>
            <w:shd w:val="clear" w:color="auto" w:fill="FFFFFF"/>
          </w:tcPr>
          <w:p w14:paraId="1B82A62E" w14:textId="77777777" w:rsidR="007F66BE" w:rsidRPr="00B57B36" w:rsidRDefault="007F66BE" w:rsidP="00A252CB">
            <w:pPr>
              <w:pStyle w:val="CETBodytext"/>
              <w:rPr>
                <w:lang w:val="en-GB"/>
              </w:rPr>
            </w:pPr>
            <w:r>
              <w:rPr>
                <w:lang w:val="en-GB"/>
              </w:rPr>
              <w:t>3.54</w:t>
            </w:r>
          </w:p>
        </w:tc>
        <w:tc>
          <w:tcPr>
            <w:tcW w:w="1417" w:type="dxa"/>
            <w:shd w:val="clear" w:color="auto" w:fill="FFFFFF"/>
          </w:tcPr>
          <w:p w14:paraId="7E2DF060" w14:textId="77777777" w:rsidR="007F66BE" w:rsidRPr="00B57B36" w:rsidRDefault="007F66BE" w:rsidP="00A252CB">
            <w:pPr>
              <w:pStyle w:val="CETBodytext"/>
              <w:rPr>
                <w:lang w:val="en-GB"/>
              </w:rPr>
            </w:pPr>
            <w:r>
              <w:rPr>
                <w:lang w:val="en-GB"/>
              </w:rPr>
              <w:t xml:space="preserve"> 2.22</w:t>
            </w:r>
          </w:p>
        </w:tc>
      </w:tr>
      <w:tr w:rsidR="007F66BE" w:rsidRPr="00B57B36" w14:paraId="04717B21" w14:textId="77777777" w:rsidTr="00A252CB">
        <w:tc>
          <w:tcPr>
            <w:tcW w:w="2268" w:type="dxa"/>
            <w:shd w:val="clear" w:color="auto" w:fill="FFFFFF"/>
          </w:tcPr>
          <w:p w14:paraId="0E07F9D8" w14:textId="77777777" w:rsidR="007F66BE" w:rsidRPr="00B57B36" w:rsidRDefault="007F66BE" w:rsidP="00A252CB">
            <w:pPr>
              <w:pStyle w:val="CETBodytext"/>
              <w:rPr>
                <w:lang w:val="en-GB"/>
              </w:rPr>
            </w:pPr>
            <w:r>
              <w:rPr>
                <w:lang w:val="en-GB"/>
              </w:rPr>
              <w:t>Lean loading</w:t>
            </w:r>
          </w:p>
        </w:tc>
        <w:tc>
          <w:tcPr>
            <w:tcW w:w="1417" w:type="dxa"/>
            <w:shd w:val="clear" w:color="auto" w:fill="FFFFFF"/>
          </w:tcPr>
          <w:p w14:paraId="630895DA" w14:textId="77777777" w:rsidR="007F66BE" w:rsidRPr="00B57B36" w:rsidRDefault="007F66BE" w:rsidP="00A252CB">
            <w:pPr>
              <w:pStyle w:val="CETBodytext"/>
              <w:rPr>
                <w:lang w:val="en-GB"/>
              </w:rPr>
            </w:pPr>
            <w:r>
              <w:rPr>
                <w:lang w:val="en-GB"/>
              </w:rPr>
              <w:t>15.1</w:t>
            </w:r>
          </w:p>
        </w:tc>
        <w:tc>
          <w:tcPr>
            <w:tcW w:w="1417" w:type="dxa"/>
            <w:shd w:val="clear" w:color="auto" w:fill="FFFFFF"/>
          </w:tcPr>
          <w:p w14:paraId="5B69C9D9" w14:textId="77777777" w:rsidR="007F66BE" w:rsidRPr="00B57B36" w:rsidRDefault="007F66BE" w:rsidP="00A252CB">
            <w:pPr>
              <w:pStyle w:val="CETBodytext"/>
              <w:rPr>
                <w:lang w:val="en-GB"/>
              </w:rPr>
            </w:pPr>
            <w:r>
              <w:rPr>
                <w:lang w:val="en-GB"/>
              </w:rPr>
              <w:t xml:space="preserve"> 8.00</w:t>
            </w:r>
          </w:p>
        </w:tc>
      </w:tr>
      <w:tr w:rsidR="007F66BE" w:rsidRPr="00B57B36" w14:paraId="6628349D" w14:textId="77777777" w:rsidTr="00A252CB">
        <w:tc>
          <w:tcPr>
            <w:tcW w:w="2268" w:type="dxa"/>
            <w:shd w:val="clear" w:color="auto" w:fill="FFFFFF"/>
          </w:tcPr>
          <w:p w14:paraId="108D46AE" w14:textId="77777777" w:rsidR="007F66BE" w:rsidRPr="00B57B36" w:rsidRDefault="007F66BE" w:rsidP="00A252CB">
            <w:pPr>
              <w:pStyle w:val="CETBodytext"/>
              <w:ind w:right="-1"/>
              <w:rPr>
                <w:rFonts w:cs="Arial"/>
                <w:szCs w:val="18"/>
                <w:lang w:val="en-GB"/>
              </w:rPr>
            </w:pPr>
            <w:r>
              <w:rPr>
                <w:rFonts w:cs="Arial"/>
                <w:szCs w:val="18"/>
                <w:lang w:val="en-GB"/>
              </w:rPr>
              <w:t>Rich loading</w:t>
            </w:r>
          </w:p>
        </w:tc>
        <w:tc>
          <w:tcPr>
            <w:tcW w:w="1417" w:type="dxa"/>
            <w:shd w:val="clear" w:color="auto" w:fill="FFFFFF"/>
          </w:tcPr>
          <w:p w14:paraId="16DD42B3" w14:textId="168283AF" w:rsidR="007F66BE" w:rsidRPr="00B57B36" w:rsidRDefault="00365163" w:rsidP="00A252CB">
            <w:pPr>
              <w:pStyle w:val="CETBodytext"/>
              <w:ind w:right="-1"/>
              <w:rPr>
                <w:rFonts w:cs="Arial"/>
                <w:szCs w:val="18"/>
                <w:lang w:val="en-GB"/>
              </w:rPr>
            </w:pPr>
            <w:r>
              <w:rPr>
                <w:rFonts w:cs="Arial"/>
                <w:szCs w:val="18"/>
                <w:lang w:val="en-GB"/>
              </w:rPr>
              <w:t>3.84</w:t>
            </w:r>
          </w:p>
        </w:tc>
        <w:tc>
          <w:tcPr>
            <w:tcW w:w="1417" w:type="dxa"/>
            <w:shd w:val="clear" w:color="auto" w:fill="FFFFFF"/>
          </w:tcPr>
          <w:p w14:paraId="41549D6D" w14:textId="3505C83F" w:rsidR="007F66BE" w:rsidRPr="00B57B36" w:rsidRDefault="00365163" w:rsidP="00A252CB">
            <w:pPr>
              <w:pStyle w:val="CETBodytext"/>
              <w:ind w:right="-1"/>
              <w:rPr>
                <w:rFonts w:cs="Arial"/>
                <w:szCs w:val="18"/>
                <w:lang w:val="en-GB"/>
              </w:rPr>
            </w:pPr>
            <w:r>
              <w:rPr>
                <w:rFonts w:cs="Arial"/>
                <w:szCs w:val="18"/>
                <w:lang w:val="en-GB"/>
              </w:rPr>
              <w:t xml:space="preserve"> 1.85</w:t>
            </w:r>
          </w:p>
        </w:tc>
      </w:tr>
    </w:tbl>
    <w:p w14:paraId="56D6DCB9" w14:textId="77777777" w:rsidR="0061190F" w:rsidRPr="00E03EF1" w:rsidRDefault="0061190F" w:rsidP="0061190F">
      <w:pPr>
        <w:pStyle w:val="CETHeading1"/>
        <w:numPr>
          <w:ilvl w:val="0"/>
          <w:numId w:val="0"/>
        </w:numPr>
        <w:rPr>
          <w:b w:val="0"/>
          <w:bCs/>
          <w:sz w:val="18"/>
          <w:szCs w:val="18"/>
        </w:rPr>
      </w:pPr>
    </w:p>
    <w:p w14:paraId="7AE41EB9" w14:textId="77777777" w:rsidR="0061190F" w:rsidRDefault="0061190F" w:rsidP="0061190F">
      <w:pPr>
        <w:pStyle w:val="CETBodytext"/>
        <w:keepNext/>
        <w:jc w:val="center"/>
      </w:pPr>
      <w:r>
        <w:rPr>
          <w:noProof/>
        </w:rPr>
        <w:drawing>
          <wp:inline distT="0" distB="0" distL="0" distR="0" wp14:anchorId="4F823B2A" wp14:editId="2FC298A3">
            <wp:extent cx="5580000" cy="2747472"/>
            <wp:effectExtent l="0" t="0" r="1905" b="0"/>
            <wp:docPr id="588110285" name="Picture 588110285"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10285" name="Picture 7" descr="A picture containing text, diagram, line, pl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000" cy="2747472"/>
                    </a:xfrm>
                    <a:prstGeom prst="rect">
                      <a:avLst/>
                    </a:prstGeom>
                    <a:noFill/>
                  </pic:spPr>
                </pic:pic>
              </a:graphicData>
            </a:graphic>
          </wp:inline>
        </w:drawing>
      </w:r>
    </w:p>
    <w:p w14:paraId="1C7BAC00" w14:textId="2AA09DF1" w:rsidR="0061190F" w:rsidRDefault="0061190F" w:rsidP="0061190F">
      <w:pPr>
        <w:pStyle w:val="CETCaption"/>
        <w:rPr>
          <w:lang w:val="en-US"/>
        </w:rPr>
      </w:pPr>
      <w:bookmarkStart w:id="6" w:name="_Ref137206287"/>
      <w:r w:rsidRPr="00BC3697">
        <w:t xml:space="preserve">Figure </w:t>
      </w:r>
      <w:r w:rsidRPr="00BC3697">
        <w:fldChar w:fldCharType="begin"/>
      </w:r>
      <w:r w:rsidRPr="00BC3697">
        <w:instrText xml:space="preserve"> SEQ Figure \* ARABIC </w:instrText>
      </w:r>
      <w:r w:rsidRPr="00BC3697">
        <w:fldChar w:fldCharType="separate"/>
      </w:r>
      <w:r w:rsidRPr="00BC3697">
        <w:rPr>
          <w:noProof/>
        </w:rPr>
        <w:t>5</w:t>
      </w:r>
      <w:r w:rsidRPr="00BC3697">
        <w:fldChar w:fldCharType="end"/>
      </w:r>
      <w:bookmarkEnd w:id="6"/>
      <w:r w:rsidRPr="00BC3697">
        <w:t xml:space="preserve"> - </w:t>
      </w:r>
      <w:r w:rsidRPr="00BC3697">
        <w:rPr>
          <w:lang w:val="en-US"/>
        </w:rPr>
        <w:t>Example</w:t>
      </w:r>
      <w:r>
        <w:rPr>
          <w:lang w:val="en-US"/>
        </w:rPr>
        <w:t>s</w:t>
      </w:r>
      <w:r w:rsidRPr="00BC3697">
        <w:rPr>
          <w:lang w:val="en-US"/>
        </w:rPr>
        <w:t xml:space="preserve"> of temperature profiles inside the absorber (1 –row) and stripper (2 –row) for a CO</w:t>
      </w:r>
      <w:r w:rsidRPr="00BC3697">
        <w:rPr>
          <w:vertAlign w:val="subscript"/>
          <w:lang w:val="en-US"/>
        </w:rPr>
        <w:t>2</w:t>
      </w:r>
      <w:r w:rsidRPr="00BC3697">
        <w:rPr>
          <w:lang w:val="en-US"/>
        </w:rPr>
        <w:t xml:space="preserve"> inlet gas content of 12 mol% (cases A and B) and 5.5 mol% (cases C and D). Experimental data (•) against model prediction: (—) liquid phase temperature and (- - -) </w:t>
      </w:r>
      <w:proofErr w:type="spellStart"/>
      <w:r w:rsidR="008A1E46">
        <w:rPr>
          <w:lang w:val="en-US"/>
        </w:rPr>
        <w:t>vapour</w:t>
      </w:r>
      <w:proofErr w:type="spellEnd"/>
      <w:r w:rsidRPr="00BC3697">
        <w:rPr>
          <w:lang w:val="en-US"/>
        </w:rPr>
        <w:t xml:space="preserve"> temperature using </w:t>
      </w:r>
      <w:r>
        <w:rPr>
          <w:lang w:val="en-US"/>
        </w:rPr>
        <w:t xml:space="preserve">the </w:t>
      </w:r>
      <w:r w:rsidRPr="00BC3697">
        <w:rPr>
          <w:lang w:val="en-US"/>
        </w:rPr>
        <w:t>rate-based model.</w:t>
      </w:r>
    </w:p>
    <w:p w14:paraId="109C7464" w14:textId="7AB4CDDF" w:rsidR="007F66BE" w:rsidRPr="00B57B36" w:rsidRDefault="007F66BE" w:rsidP="007F66BE">
      <w:pPr>
        <w:pStyle w:val="CETHeading1"/>
        <w:rPr>
          <w:lang w:val="en-GB"/>
        </w:rPr>
      </w:pPr>
      <w:r w:rsidRPr="00B57B36">
        <w:rPr>
          <w:lang w:val="en-GB"/>
        </w:rPr>
        <w:lastRenderedPageBreak/>
        <w:t>Conclusions</w:t>
      </w:r>
      <w:r>
        <w:rPr>
          <w:lang w:val="en-GB"/>
        </w:rPr>
        <w:t xml:space="preserve"> and future development</w:t>
      </w:r>
      <w:r w:rsidR="00205F8D">
        <w:rPr>
          <w:lang w:val="en-GB"/>
        </w:rPr>
        <w:t>s</w:t>
      </w:r>
    </w:p>
    <w:p w14:paraId="5D29DB72" w14:textId="1B3A5198" w:rsidR="007F66BE" w:rsidRDefault="007F66BE" w:rsidP="007F66BE">
      <w:pPr>
        <w:pStyle w:val="CETBodytext"/>
        <w:rPr>
          <w:lang w:val="en-GB"/>
        </w:rPr>
      </w:pPr>
      <w:r w:rsidRPr="52F36C55">
        <w:rPr>
          <w:lang w:val="en-GB"/>
        </w:rPr>
        <w:t>The present contribution shows how the HS3 solvent is developed and validated using measurements collected from the semi-industrial pilot plant located in Tiller (Trondheim, Norway). The proposed model for the innovative HS3 solvent considers thermodynamic equilibria of solvent in the presence of CO</w:t>
      </w:r>
      <w:r w:rsidRPr="52F36C55">
        <w:rPr>
          <w:vertAlign w:val="subscript"/>
          <w:lang w:val="en-GB"/>
        </w:rPr>
        <w:t>2</w:t>
      </w:r>
      <w:r w:rsidRPr="52F36C55">
        <w:rPr>
          <w:lang w:val="en-GB"/>
        </w:rPr>
        <w:t>, mass transfer, and kinetics using the ELECNRTL package in Aspen Plus V11.</w:t>
      </w:r>
      <w:r w:rsidR="009511FB" w:rsidRPr="52F36C55">
        <w:rPr>
          <w:lang w:val="en-GB"/>
        </w:rPr>
        <w:t xml:space="preserve"> The validation is </w:t>
      </w:r>
      <w:r w:rsidR="00246AA7" w:rsidRPr="52F36C55">
        <w:rPr>
          <w:lang w:val="en-GB"/>
        </w:rPr>
        <w:t>addressed</w:t>
      </w:r>
      <w:r w:rsidR="009511FB" w:rsidRPr="52F36C55">
        <w:rPr>
          <w:lang w:val="en-GB"/>
        </w:rPr>
        <w:t xml:space="preserve"> following the </w:t>
      </w:r>
      <w:r w:rsidR="005A644A" w:rsidRPr="52F36C55">
        <w:rPr>
          <w:lang w:val="en-GB"/>
        </w:rPr>
        <w:t>open-loop</w:t>
      </w:r>
      <w:r w:rsidR="009511FB" w:rsidRPr="52F36C55">
        <w:rPr>
          <w:lang w:val="en-GB"/>
        </w:rPr>
        <w:t xml:space="preserve"> approach</w:t>
      </w:r>
      <w:r w:rsidR="00F24484" w:rsidRPr="52F36C55">
        <w:rPr>
          <w:lang w:val="en-GB"/>
        </w:rPr>
        <w:t>. The</w:t>
      </w:r>
      <w:r w:rsidR="00570498" w:rsidRPr="52F36C55">
        <w:rPr>
          <w:lang w:val="en-GB"/>
        </w:rPr>
        <w:t xml:space="preserve"> input to each unit </w:t>
      </w:r>
      <w:r w:rsidR="00CC07DD" w:rsidRPr="52F36C55">
        <w:rPr>
          <w:lang w:val="en-GB"/>
        </w:rPr>
        <w:t>is</w:t>
      </w:r>
      <w:r w:rsidR="00570498" w:rsidRPr="52F36C55">
        <w:rPr>
          <w:lang w:val="en-GB"/>
        </w:rPr>
        <w:t xml:space="preserve"> assigned equal to the corresponding experimental observation, and </w:t>
      </w:r>
      <w:r w:rsidR="003C3915" w:rsidRPr="52F36C55">
        <w:rPr>
          <w:lang w:val="en-GB"/>
        </w:rPr>
        <w:t xml:space="preserve">deviations </w:t>
      </w:r>
      <w:r w:rsidR="00D42B80" w:rsidRPr="52F36C55">
        <w:rPr>
          <w:lang w:val="en-GB"/>
        </w:rPr>
        <w:t xml:space="preserve">for the outputs are </w:t>
      </w:r>
      <w:r w:rsidR="004A0FB0" w:rsidRPr="52F36C55">
        <w:rPr>
          <w:lang w:val="en-GB"/>
        </w:rPr>
        <w:t>“</w:t>
      </w:r>
      <w:r w:rsidR="00D42B80" w:rsidRPr="52F36C55">
        <w:rPr>
          <w:lang w:val="en-GB"/>
        </w:rPr>
        <w:t>confined</w:t>
      </w:r>
      <w:r w:rsidR="004A0FB0" w:rsidRPr="52F36C55">
        <w:rPr>
          <w:lang w:val="en-GB"/>
        </w:rPr>
        <w:t>”</w:t>
      </w:r>
      <w:r w:rsidR="00D42B80" w:rsidRPr="52F36C55">
        <w:rPr>
          <w:lang w:val="en-GB"/>
        </w:rPr>
        <w:t xml:space="preserve"> to the </w:t>
      </w:r>
      <w:r w:rsidR="00CC07DD" w:rsidRPr="52F36C55">
        <w:rPr>
          <w:lang w:val="en-GB"/>
        </w:rPr>
        <w:t xml:space="preserve">tested </w:t>
      </w:r>
      <w:r w:rsidR="00D42B80" w:rsidRPr="52F36C55">
        <w:rPr>
          <w:lang w:val="en-GB"/>
        </w:rPr>
        <w:t>unit</w:t>
      </w:r>
      <w:r w:rsidR="004A0FB0" w:rsidRPr="52F36C55">
        <w:rPr>
          <w:lang w:val="en-GB"/>
        </w:rPr>
        <w:t xml:space="preserve">, hence, </w:t>
      </w:r>
      <w:r w:rsidR="00E26475" w:rsidRPr="52F36C55">
        <w:rPr>
          <w:lang w:val="en-GB"/>
        </w:rPr>
        <w:t>there is no mutual influence and error propagation.</w:t>
      </w:r>
      <w:r w:rsidR="0052419E" w:rsidRPr="52F36C55">
        <w:rPr>
          <w:lang w:val="en-GB"/>
        </w:rPr>
        <w:t xml:space="preserve"> In other words, a deviation in one of the outputs in the absorber (for instance, rich loading) does not influence the stripper validation</w:t>
      </w:r>
      <w:r w:rsidR="007F5722" w:rsidRPr="52F36C55">
        <w:rPr>
          <w:lang w:val="en-GB"/>
        </w:rPr>
        <w:t xml:space="preserve"> because the </w:t>
      </w:r>
      <w:r w:rsidR="00E633C4" w:rsidRPr="52F36C55">
        <w:rPr>
          <w:lang w:val="en-GB"/>
        </w:rPr>
        <w:t>two units are kept disconnected</w:t>
      </w:r>
      <w:r w:rsidR="0052419E" w:rsidRPr="52F36C55">
        <w:rPr>
          <w:lang w:val="en-GB"/>
        </w:rPr>
        <w:t>.</w:t>
      </w:r>
      <w:r w:rsidR="00E26475" w:rsidRPr="52F36C55">
        <w:rPr>
          <w:lang w:val="en-GB"/>
        </w:rPr>
        <w:t xml:space="preserve"> </w:t>
      </w:r>
      <w:r w:rsidR="00E26475" w:rsidRPr="00E03EF1">
        <w:rPr>
          <w:lang w:val="en-GB"/>
        </w:rPr>
        <w:t xml:space="preserve">Thus, the open-loop method allows </w:t>
      </w:r>
      <w:r w:rsidR="0052419E" w:rsidRPr="00E03EF1">
        <w:rPr>
          <w:lang w:val="en-GB"/>
        </w:rPr>
        <w:t>testing</w:t>
      </w:r>
      <w:r w:rsidR="00E26475" w:rsidRPr="00E03EF1">
        <w:rPr>
          <w:lang w:val="en-GB"/>
        </w:rPr>
        <w:t xml:space="preserve"> and </w:t>
      </w:r>
      <w:r w:rsidR="004A0FB0" w:rsidRPr="00E03EF1">
        <w:rPr>
          <w:lang w:val="en-GB"/>
        </w:rPr>
        <w:t>estimating</w:t>
      </w:r>
      <w:r w:rsidR="00E26475" w:rsidRPr="00E03EF1">
        <w:rPr>
          <w:lang w:val="en-GB"/>
        </w:rPr>
        <w:t xml:space="preserve"> the accuracy of the model as it is for </w:t>
      </w:r>
      <w:r w:rsidR="00FD05B6" w:rsidRPr="00E03EF1">
        <w:rPr>
          <w:lang w:val="en-GB"/>
        </w:rPr>
        <w:t>each</w:t>
      </w:r>
      <w:r w:rsidR="00E26475" w:rsidRPr="00E03EF1">
        <w:rPr>
          <w:lang w:val="en-GB"/>
        </w:rPr>
        <w:t xml:space="preserve"> unit</w:t>
      </w:r>
      <w:r w:rsidR="004A0FB0" w:rsidRPr="00E03EF1">
        <w:rPr>
          <w:lang w:val="en-GB"/>
        </w:rPr>
        <w:t>.</w:t>
      </w:r>
      <w:r w:rsidR="005E561F" w:rsidRPr="002C7BD4">
        <w:rPr>
          <w:color w:val="FF0000"/>
          <w:lang w:val="en-GB"/>
        </w:rPr>
        <w:t xml:space="preserve"> </w:t>
      </w:r>
      <w:r w:rsidR="00966881" w:rsidRPr="52F36C55">
        <w:rPr>
          <w:lang w:val="en-GB"/>
        </w:rPr>
        <w:t>The validation shows that the proposed model can predict the performance of the system and the error in the predictions</w:t>
      </w:r>
      <w:r w:rsidR="00C14FEA" w:rsidRPr="52F36C55">
        <w:rPr>
          <w:lang w:val="en-GB"/>
        </w:rPr>
        <w:t xml:space="preserve"> is lower than 5%</w:t>
      </w:r>
      <w:r w:rsidR="00966881" w:rsidRPr="52F36C55">
        <w:rPr>
          <w:lang w:val="en-GB"/>
        </w:rPr>
        <w:t xml:space="preserve"> for the main performance indicators (KPIs) such as capture rate, and specific reboiler duty (SRD, i.e., energy demand for the solvent regeneration).</w:t>
      </w:r>
      <w:r w:rsidR="00E03EF1">
        <w:rPr>
          <w:lang w:val="en-GB"/>
        </w:rPr>
        <w:t xml:space="preserve"> The model has been validated for two different flue gas compositions: 5% and 11% representative of exhaust from natural gas combustion turbines and coal-fired power plants and waste-to-energy facilities.</w:t>
      </w:r>
      <w:r w:rsidR="00966881" w:rsidRPr="52F36C55">
        <w:rPr>
          <w:lang w:val="en-GB"/>
        </w:rPr>
        <w:t xml:space="preserve"> </w:t>
      </w:r>
      <w:r w:rsidR="00092A05" w:rsidRPr="52F36C55">
        <w:rPr>
          <w:lang w:val="en-GB"/>
        </w:rPr>
        <w:t>T</w:t>
      </w:r>
      <w:r w:rsidR="003274CA" w:rsidRPr="52F36C55">
        <w:rPr>
          <w:lang w:val="en-GB"/>
        </w:rPr>
        <w:t xml:space="preserve">he testing of the model on the </w:t>
      </w:r>
      <w:r w:rsidR="00966881" w:rsidRPr="52F36C55">
        <w:rPr>
          <w:lang w:val="en-GB"/>
        </w:rPr>
        <w:t>close</w:t>
      </w:r>
      <w:r w:rsidR="00F93436" w:rsidRPr="52F36C55">
        <w:rPr>
          <w:lang w:val="en-GB"/>
        </w:rPr>
        <w:t>d</w:t>
      </w:r>
      <w:r w:rsidR="00966881" w:rsidRPr="52F36C55">
        <w:rPr>
          <w:lang w:val="en-GB"/>
        </w:rPr>
        <w:t xml:space="preserve"> loop</w:t>
      </w:r>
      <w:r w:rsidR="003274CA" w:rsidRPr="52F36C55">
        <w:rPr>
          <w:lang w:val="en-GB"/>
        </w:rPr>
        <w:t xml:space="preserve"> is planned</w:t>
      </w:r>
      <w:r w:rsidR="4AE127DC" w:rsidRPr="52F36C55">
        <w:rPr>
          <w:lang w:val="en-GB"/>
        </w:rPr>
        <w:t xml:space="preserve">, as well as a more systematic analysis of the effect associated </w:t>
      </w:r>
      <w:r w:rsidR="008237DD">
        <w:rPr>
          <w:lang w:val="en-GB"/>
        </w:rPr>
        <w:t>with</w:t>
      </w:r>
      <w:r w:rsidR="4AE127DC" w:rsidRPr="52F36C55">
        <w:rPr>
          <w:lang w:val="en-GB"/>
        </w:rPr>
        <w:t xml:space="preserve"> the differences in inlet gas concentrations, which a</w:t>
      </w:r>
      <w:r w:rsidR="2E4B9388" w:rsidRPr="52F36C55">
        <w:rPr>
          <w:lang w:val="en-GB"/>
        </w:rPr>
        <w:t xml:space="preserve">re </w:t>
      </w:r>
      <w:r w:rsidR="008237DD">
        <w:rPr>
          <w:lang w:val="en-GB"/>
        </w:rPr>
        <w:t xml:space="preserve">the </w:t>
      </w:r>
      <w:r w:rsidR="2E4B9388" w:rsidRPr="52F36C55">
        <w:rPr>
          <w:lang w:val="en-GB"/>
        </w:rPr>
        <w:t>major source</w:t>
      </w:r>
      <w:r w:rsidR="008237DD">
        <w:rPr>
          <w:lang w:val="en-GB"/>
        </w:rPr>
        <w:t>s</w:t>
      </w:r>
      <w:r w:rsidR="2E4B9388" w:rsidRPr="52F36C55">
        <w:rPr>
          <w:lang w:val="en-GB"/>
        </w:rPr>
        <w:t xml:space="preserve"> of the calculated precision errors</w:t>
      </w:r>
      <w:r w:rsidR="003274CA" w:rsidRPr="52F36C55">
        <w:rPr>
          <w:lang w:val="en-GB"/>
        </w:rPr>
        <w:t>. This last step is relevant to check the reliability</w:t>
      </w:r>
      <w:r w:rsidR="00092A05" w:rsidRPr="52F36C55">
        <w:rPr>
          <w:lang w:val="en-GB"/>
        </w:rPr>
        <w:t>/robustness</w:t>
      </w:r>
      <w:r w:rsidR="003274CA" w:rsidRPr="52F36C55">
        <w:rPr>
          <w:lang w:val="en-GB"/>
        </w:rPr>
        <w:t xml:space="preserve"> of the proposed model and to verify that the interconnection between absorber and stripper is consistent (i.e., error propagation does not cause larger deviation</w:t>
      </w:r>
      <w:r w:rsidR="00966881" w:rsidRPr="52F36C55">
        <w:rPr>
          <w:lang w:val="en-GB"/>
        </w:rPr>
        <w:t>s once the two subsystem interacts).</w:t>
      </w:r>
      <w:r w:rsidR="00F0444C" w:rsidRPr="52F36C55">
        <w:rPr>
          <w:lang w:val="en-GB"/>
        </w:rPr>
        <w:t xml:space="preserve"> </w:t>
      </w:r>
      <w:r w:rsidR="00C70E81" w:rsidRPr="52F36C55">
        <w:rPr>
          <w:lang w:val="en-GB"/>
        </w:rPr>
        <w:t>Currently, t</w:t>
      </w:r>
      <w:r w:rsidR="00026AF8" w:rsidRPr="52F36C55">
        <w:rPr>
          <w:lang w:val="en-GB"/>
        </w:rPr>
        <w:t>he developed model looks to be suitable for design purposes and techno-economic assessment</w:t>
      </w:r>
      <w:r w:rsidR="00C36702" w:rsidRPr="52F36C55">
        <w:rPr>
          <w:lang w:val="en-GB"/>
        </w:rPr>
        <w:t xml:space="preserve"> and</w:t>
      </w:r>
      <w:r w:rsidR="00026AF8" w:rsidRPr="52F36C55">
        <w:rPr>
          <w:lang w:val="en-GB"/>
        </w:rPr>
        <w:t xml:space="preserve"> </w:t>
      </w:r>
      <w:r w:rsidR="00C36702" w:rsidRPr="52F36C55">
        <w:rPr>
          <w:lang w:val="en-GB"/>
        </w:rPr>
        <w:t>it</w:t>
      </w:r>
      <w:r w:rsidR="00026AF8" w:rsidRPr="52F36C55">
        <w:rPr>
          <w:lang w:val="en-GB"/>
        </w:rPr>
        <w:t xml:space="preserve"> will be tested for a large-scale facility (oil refinery) to assess its trustworthiness for scale-up</w:t>
      </w:r>
      <w:r w:rsidR="00F24484" w:rsidRPr="52F36C55">
        <w:rPr>
          <w:lang w:val="en-GB"/>
        </w:rPr>
        <w:t xml:space="preserve">, </w:t>
      </w:r>
      <w:r w:rsidR="00026AF8" w:rsidRPr="52F36C55">
        <w:rPr>
          <w:lang w:val="en-GB"/>
        </w:rPr>
        <w:t>comparison with benchmark solvent</w:t>
      </w:r>
      <w:r w:rsidR="00F24484" w:rsidRPr="52F36C55">
        <w:rPr>
          <w:lang w:val="en-GB"/>
        </w:rPr>
        <w:t>, and techno-economic assessment of the novel technology</w:t>
      </w:r>
      <w:r w:rsidR="00026AF8" w:rsidRPr="52F36C55">
        <w:rPr>
          <w:lang w:val="en-GB"/>
        </w:rPr>
        <w:t xml:space="preserve">. </w:t>
      </w:r>
    </w:p>
    <w:p w14:paraId="29D48A51" w14:textId="77777777" w:rsidR="007F66BE" w:rsidRPr="00B57B36" w:rsidRDefault="007F66BE" w:rsidP="007F66BE">
      <w:pPr>
        <w:pStyle w:val="CETAcknowledgementstitle"/>
      </w:pPr>
      <w:r>
        <w:t>Acknowledgements</w:t>
      </w:r>
    </w:p>
    <w:p w14:paraId="59CB2076" w14:textId="4DB2D12C" w:rsidR="007F66BE" w:rsidRDefault="007F66BE" w:rsidP="007F66BE">
      <w:pPr>
        <w:pStyle w:val="CETListbullets"/>
        <w:ind w:left="0" w:firstLine="0"/>
      </w:pPr>
      <w:r>
        <w:t xml:space="preserve">This work was performed within REALISE project. The project has received funding from the European Union's Horizon 2020 research and innovation program under grant agreement No 884266 (REALISE project). For more information refers to the project webpage - </w:t>
      </w:r>
      <w:hyperlink r:id="rId17">
        <w:r w:rsidRPr="5A49D983">
          <w:rPr>
            <w:rStyle w:val="Hyperlink"/>
            <w:lang w:val="en-US"/>
          </w:rPr>
          <w:t xml:space="preserve">Home | REALISE-CCUS (realiseccus.eu) </w:t>
        </w:r>
      </w:hyperlink>
    </w:p>
    <w:p w14:paraId="0B126E1B" w14:textId="4C2634BA" w:rsidR="012FCB52" w:rsidRDefault="009515AC" w:rsidP="5A49D983">
      <w:pPr>
        <w:pStyle w:val="CETListbullets"/>
        <w:ind w:left="0" w:firstLine="0"/>
      </w:pPr>
      <w:r w:rsidRPr="52F36C55">
        <w:rPr>
          <w:rFonts w:eastAsia="Arial" w:cs="Arial"/>
        </w:rPr>
        <w:t>The authors</w:t>
      </w:r>
      <w:r w:rsidR="012FCB52" w:rsidRPr="52F36C55">
        <w:rPr>
          <w:rFonts w:eastAsia="Arial" w:cs="Arial"/>
        </w:rPr>
        <w:t xml:space="preserve"> are grateful to</w:t>
      </w:r>
      <w:r w:rsidR="6B796191" w:rsidRPr="52F36C55">
        <w:rPr>
          <w:rFonts w:eastAsia="Arial" w:cs="Arial"/>
        </w:rPr>
        <w:t xml:space="preserve"> Olaf Trygve Berglihn </w:t>
      </w:r>
      <w:r w:rsidR="005E1030">
        <w:rPr>
          <w:rFonts w:eastAsia="Arial" w:cs="Arial"/>
        </w:rPr>
        <w:t>(</w:t>
      </w:r>
      <w:r w:rsidR="6B796191" w:rsidRPr="52F36C55">
        <w:rPr>
          <w:rFonts w:eastAsia="Arial" w:cs="Arial"/>
        </w:rPr>
        <w:t>SINTEF</w:t>
      </w:r>
      <w:r w:rsidR="005E1030">
        <w:rPr>
          <w:rFonts w:eastAsia="Arial" w:cs="Arial"/>
        </w:rPr>
        <w:t>)</w:t>
      </w:r>
      <w:r w:rsidR="6B796191" w:rsidRPr="52F36C55">
        <w:rPr>
          <w:rFonts w:eastAsia="Arial" w:cs="Arial"/>
        </w:rPr>
        <w:t xml:space="preserve"> and to</w:t>
      </w:r>
      <w:r w:rsidR="012FCB52" w:rsidRPr="52F36C55">
        <w:rPr>
          <w:rFonts w:eastAsia="Arial" w:cs="Arial"/>
        </w:rPr>
        <w:t xml:space="preserve"> Prof</w:t>
      </w:r>
      <w:r w:rsidR="006E1218" w:rsidRPr="52F36C55">
        <w:rPr>
          <w:rFonts w:eastAsia="Arial" w:cs="Arial"/>
        </w:rPr>
        <w:t>.</w:t>
      </w:r>
      <w:r w:rsidR="012FCB52" w:rsidRPr="52F36C55">
        <w:rPr>
          <w:rFonts w:eastAsia="Arial" w:cs="Arial"/>
        </w:rPr>
        <w:t xml:space="preserve"> Stefania Moioli </w:t>
      </w:r>
      <w:r w:rsidR="005E1030">
        <w:rPr>
          <w:rFonts w:eastAsia="Arial" w:cs="Arial"/>
        </w:rPr>
        <w:t>(</w:t>
      </w:r>
      <w:proofErr w:type="spellStart"/>
      <w:r w:rsidR="012FCB52" w:rsidRPr="52F36C55">
        <w:rPr>
          <w:rFonts w:eastAsia="Arial" w:cs="Arial"/>
        </w:rPr>
        <w:t>Politecnico</w:t>
      </w:r>
      <w:proofErr w:type="spellEnd"/>
      <w:r w:rsidR="012FCB52" w:rsidRPr="52F36C55">
        <w:rPr>
          <w:rFonts w:eastAsia="Arial" w:cs="Arial"/>
        </w:rPr>
        <w:t xml:space="preserve"> di Milano</w:t>
      </w:r>
      <w:r w:rsidR="005E1030">
        <w:rPr>
          <w:rFonts w:eastAsia="Arial" w:cs="Arial"/>
        </w:rPr>
        <w:t>)</w:t>
      </w:r>
      <w:r w:rsidR="012FCB52" w:rsidRPr="52F36C55">
        <w:rPr>
          <w:rFonts w:eastAsia="Arial" w:cs="Arial"/>
        </w:rPr>
        <w:t xml:space="preserve"> for </w:t>
      </w:r>
      <w:r w:rsidR="3000AB05" w:rsidRPr="52F36C55">
        <w:rPr>
          <w:rFonts w:eastAsia="Arial" w:cs="Arial"/>
        </w:rPr>
        <w:t>their</w:t>
      </w:r>
      <w:r w:rsidR="012FCB52" w:rsidRPr="52F36C55">
        <w:rPr>
          <w:rFonts w:eastAsia="Arial" w:cs="Arial"/>
        </w:rPr>
        <w:t xml:space="preserve"> support on the </w:t>
      </w:r>
      <w:r w:rsidR="005E1030">
        <w:rPr>
          <w:rFonts w:eastAsia="Arial" w:cs="Arial"/>
        </w:rPr>
        <w:t>set-up</w:t>
      </w:r>
      <w:r w:rsidR="012FCB52" w:rsidRPr="52F36C55">
        <w:rPr>
          <w:rFonts w:eastAsia="Arial" w:cs="Arial"/>
        </w:rPr>
        <w:t xml:space="preserve"> of the model validation procedure</w:t>
      </w:r>
      <w:r w:rsidR="005E1030">
        <w:rPr>
          <w:rFonts w:eastAsia="Arial" w:cs="Arial"/>
        </w:rPr>
        <w:t xml:space="preserve"> and useful discussion on thermodynamics and model development</w:t>
      </w:r>
      <w:r w:rsidR="012FCB52" w:rsidRPr="52F36C55">
        <w:rPr>
          <w:rFonts w:eastAsia="Arial" w:cs="Arial"/>
        </w:rPr>
        <w:t>.</w:t>
      </w:r>
    </w:p>
    <w:p w14:paraId="60A9434E" w14:textId="77777777" w:rsidR="007F66BE" w:rsidRPr="00AB4BCB" w:rsidRDefault="007F66BE" w:rsidP="007F66BE">
      <w:pPr>
        <w:pStyle w:val="CETReference"/>
        <w:rPr>
          <w:lang w:val="fr-FR"/>
        </w:rPr>
      </w:pPr>
      <w:proofErr w:type="spellStart"/>
      <w:r w:rsidRPr="00AB4BCB">
        <w:rPr>
          <w:lang w:val="fr-FR"/>
        </w:rPr>
        <w:t>References</w:t>
      </w:r>
      <w:proofErr w:type="spellEnd"/>
    </w:p>
    <w:p w14:paraId="5887EB84" w14:textId="5A636656" w:rsidR="007F66BE" w:rsidRPr="00AB4BCB" w:rsidRDefault="007F66BE" w:rsidP="007F66BE">
      <w:pPr>
        <w:pStyle w:val="CETReferencetext"/>
        <w:rPr>
          <w:lang w:val="fr-FR"/>
        </w:rPr>
      </w:pPr>
      <w:r w:rsidRPr="00AB4BCB">
        <w:rPr>
          <w:lang w:val="fr-FR"/>
        </w:rPr>
        <w:t>Aspen Plus</w:t>
      </w:r>
      <w:r w:rsidRPr="00AB4BCB">
        <w:rPr>
          <w:vertAlign w:val="superscript"/>
          <w:lang w:val="fr-FR"/>
        </w:rPr>
        <w:t>®</w:t>
      </w:r>
      <w:r w:rsidRPr="00AB4BCB">
        <w:rPr>
          <w:lang w:val="fr-FR"/>
        </w:rPr>
        <w:t>, 2019</w:t>
      </w:r>
      <w:r w:rsidR="002F7C5B" w:rsidRPr="00AB4BCB">
        <w:rPr>
          <w:lang w:val="fr-FR"/>
        </w:rPr>
        <w:t>,</w:t>
      </w:r>
      <w:r w:rsidRPr="00AB4BCB">
        <w:rPr>
          <w:lang w:val="fr-FR"/>
        </w:rPr>
        <w:t xml:space="preserve"> Aspen Plus</w:t>
      </w:r>
      <w:r w:rsidRPr="00AB4BCB">
        <w:rPr>
          <w:vertAlign w:val="superscript"/>
          <w:lang w:val="fr-FR"/>
        </w:rPr>
        <w:t xml:space="preserve">® </w:t>
      </w:r>
      <w:r w:rsidRPr="00AB4BCB">
        <w:rPr>
          <w:lang w:val="fr-FR"/>
        </w:rPr>
        <w:t>V11.0 Documentation.</w:t>
      </w:r>
    </w:p>
    <w:p w14:paraId="7162FB2B" w14:textId="7C4A0AD3" w:rsidR="007F66BE" w:rsidRDefault="007F66BE" w:rsidP="007F66BE">
      <w:pPr>
        <w:pStyle w:val="CETReferencetext"/>
      </w:pPr>
      <w:r>
        <w:t>CO</w:t>
      </w:r>
      <w:r w:rsidRPr="00661F03">
        <w:rPr>
          <w:vertAlign w:val="subscript"/>
        </w:rPr>
        <w:t>2</w:t>
      </w:r>
      <w:r>
        <w:t xml:space="preserve"> laboratory, Tiller. SINTEF, &lt;</w:t>
      </w:r>
      <w:r w:rsidRPr="00661F03">
        <w:t>www.sintef.no/en/all-laboratories/co2-laboratory-tiller/</w:t>
      </w:r>
      <w:r>
        <w:t>&gt;, accessed June 2023.</w:t>
      </w:r>
    </w:p>
    <w:p w14:paraId="7D4AA71D" w14:textId="77777777" w:rsidR="007F66BE" w:rsidRDefault="007F66BE" w:rsidP="007F66BE">
      <w:pPr>
        <w:pStyle w:val="CETReferencetext"/>
      </w:pPr>
      <w:r w:rsidRPr="008938AB">
        <w:t xml:space="preserve">Gilardi M., Bisotti F., Tobiesen A., Knuutila H.K., </w:t>
      </w:r>
      <w:proofErr w:type="spellStart"/>
      <w:r w:rsidRPr="008938AB">
        <w:t>Bonalumi</w:t>
      </w:r>
      <w:proofErr w:type="spellEnd"/>
      <w:r w:rsidRPr="008938AB">
        <w:t xml:space="preserve"> D.,</w:t>
      </w:r>
      <w:r>
        <w:t xml:space="preserve"> 2023,</w:t>
      </w:r>
      <w:r w:rsidRPr="008938AB">
        <w:t xml:space="preserve"> An approach for VLE model development, validation, and implementation in Aspen Plus for amine blends in CO</w:t>
      </w:r>
      <w:r w:rsidRPr="00116799">
        <w:rPr>
          <w:vertAlign w:val="subscript"/>
        </w:rPr>
        <w:t>2</w:t>
      </w:r>
      <w:r w:rsidRPr="008938AB">
        <w:t xml:space="preserve"> capture: the HS3 solvent case study</w:t>
      </w:r>
      <w:r>
        <w:t xml:space="preserve">, </w:t>
      </w:r>
      <w:r w:rsidRPr="00472D84">
        <w:t>International Journal of Greenhouse Gas Control</w:t>
      </w:r>
      <w:r>
        <w:t>, 126, 103911</w:t>
      </w:r>
    </w:p>
    <w:p w14:paraId="33FA0589" w14:textId="77777777" w:rsidR="007F66BE" w:rsidRDefault="007F66BE" w:rsidP="007F66BE">
      <w:pPr>
        <w:pStyle w:val="CETReferencetext"/>
      </w:pPr>
      <w:r w:rsidRPr="00624ACB">
        <w:t xml:space="preserve">Henni A., Li J., </w:t>
      </w:r>
      <w:proofErr w:type="spellStart"/>
      <w:r w:rsidRPr="00624ACB">
        <w:t>Tontiwachwuthikul</w:t>
      </w:r>
      <w:proofErr w:type="spellEnd"/>
      <w:r w:rsidRPr="00624ACB">
        <w:t xml:space="preserve"> P., 2008, </w:t>
      </w:r>
      <w:r w:rsidRPr="002349C7">
        <w:t>Reaction Kinetics of CO</w:t>
      </w:r>
      <w:r w:rsidRPr="00116799">
        <w:rPr>
          <w:vertAlign w:val="subscript"/>
        </w:rPr>
        <w:t>2</w:t>
      </w:r>
      <w:r w:rsidRPr="002349C7">
        <w:t xml:space="preserve"> in Aqueous 1-Amino-2-Propanol, 3-Amino-1-Propanol, and </w:t>
      </w:r>
      <w:proofErr w:type="spellStart"/>
      <w:r w:rsidRPr="002349C7">
        <w:t>Dimethylmonoethanolamine</w:t>
      </w:r>
      <w:proofErr w:type="spellEnd"/>
      <w:r w:rsidRPr="002349C7">
        <w:t xml:space="preserve"> Solutions in the Temperature Range of 298−313 K Using the Stopped-Flow Technique</w:t>
      </w:r>
      <w:r>
        <w:t>,</w:t>
      </w:r>
      <w:r w:rsidRPr="002349C7">
        <w:t xml:space="preserve"> Ind</w:t>
      </w:r>
      <w:r>
        <w:t>ustrial &amp;</w:t>
      </w:r>
      <w:r w:rsidRPr="002349C7">
        <w:t xml:space="preserve"> Eng</w:t>
      </w:r>
      <w:r>
        <w:t>ineering</w:t>
      </w:r>
      <w:r w:rsidRPr="002349C7">
        <w:t xml:space="preserve"> Chem</w:t>
      </w:r>
      <w:r>
        <w:t xml:space="preserve">istry </w:t>
      </w:r>
      <w:r w:rsidRPr="002349C7">
        <w:t>Res</w:t>
      </w:r>
      <w:r>
        <w:t>earch</w:t>
      </w:r>
      <w:r w:rsidRPr="002349C7">
        <w:t>, 47, 7, 2213–2220.</w:t>
      </w:r>
    </w:p>
    <w:p w14:paraId="19B3384E" w14:textId="1EF56264" w:rsidR="007F66BE" w:rsidRDefault="007F66BE" w:rsidP="007F66BE">
      <w:pPr>
        <w:pStyle w:val="CETReferencetext"/>
      </w:pPr>
      <w:r w:rsidRPr="00734FD0">
        <w:t xml:space="preserve">Lin Y., ten Kate A., </w:t>
      </w:r>
      <w:proofErr w:type="spellStart"/>
      <w:r w:rsidRPr="00734FD0">
        <w:t>Mooijer</w:t>
      </w:r>
      <w:proofErr w:type="spellEnd"/>
      <w:r w:rsidRPr="00734FD0">
        <w:t xml:space="preserve"> M., Delgado J., </w:t>
      </w:r>
      <w:proofErr w:type="spellStart"/>
      <w:r w:rsidRPr="00734FD0">
        <w:t>Fosbøl</w:t>
      </w:r>
      <w:proofErr w:type="spellEnd"/>
      <w:r w:rsidRPr="00734FD0">
        <w:t xml:space="preserve"> P.L., Thomsen K., 2010, </w:t>
      </w:r>
      <w:r w:rsidRPr="00456B3B">
        <w:t>Comparison of activity coefficient models for electrolyte systems</w:t>
      </w:r>
      <w:r>
        <w:t>,</w:t>
      </w:r>
      <w:r w:rsidRPr="00456B3B">
        <w:t xml:space="preserve"> AIChE Journal</w:t>
      </w:r>
      <w:r w:rsidR="00D0028E">
        <w:t>,</w:t>
      </w:r>
      <w:r w:rsidRPr="00456B3B">
        <w:t xml:space="preserve"> 56, 1334</w:t>
      </w:r>
      <w:r>
        <w:t>-</w:t>
      </w:r>
      <w:r w:rsidRPr="00456B3B">
        <w:t>1351.</w:t>
      </w:r>
    </w:p>
    <w:p w14:paraId="0B83D285" w14:textId="77777777" w:rsidR="007F66BE" w:rsidRDefault="007F66BE" w:rsidP="007F66BE">
      <w:pPr>
        <w:pStyle w:val="CETReferencetext"/>
      </w:pPr>
      <w:r w:rsidRPr="00856B5E">
        <w:t>Liu H., Li M., Idem</w:t>
      </w:r>
      <w:r>
        <w:t xml:space="preserve"> </w:t>
      </w:r>
      <w:r w:rsidRPr="00856B5E">
        <w:t xml:space="preserve">R., </w:t>
      </w:r>
      <w:proofErr w:type="spellStart"/>
      <w:r w:rsidRPr="00856B5E">
        <w:t>Tontiwachwuthikul</w:t>
      </w:r>
      <w:proofErr w:type="spellEnd"/>
      <w:r w:rsidRPr="00856B5E">
        <w:t xml:space="preserve"> P., Liang</w:t>
      </w:r>
      <w:r>
        <w:t xml:space="preserve"> </w:t>
      </w:r>
      <w:r w:rsidRPr="00856B5E">
        <w:t>Z., 2016</w:t>
      </w:r>
      <w:r>
        <w:t>,</w:t>
      </w:r>
      <w:r w:rsidRPr="00856B5E">
        <w:t xml:space="preserve"> Analysis of solubility, absorption heat and kinetics of CO</w:t>
      </w:r>
      <w:r w:rsidRPr="00116799">
        <w:rPr>
          <w:vertAlign w:val="subscript"/>
        </w:rPr>
        <w:t>2</w:t>
      </w:r>
      <w:r w:rsidRPr="00856B5E">
        <w:t xml:space="preserve"> absorption into 1-(2-</w:t>
      </w:r>
      <w:proofErr w:type="gramStart"/>
      <w:r w:rsidRPr="00856B5E">
        <w:t>hydroxyethyl)pyrrolidine</w:t>
      </w:r>
      <w:proofErr w:type="gramEnd"/>
      <w:r w:rsidRPr="00856B5E">
        <w:t xml:space="preserve"> solvent</w:t>
      </w:r>
      <w:r>
        <w:t>,</w:t>
      </w:r>
      <w:r w:rsidRPr="00856B5E">
        <w:t xml:space="preserve"> Chemical Engineering Science</w:t>
      </w:r>
      <w:r>
        <w:t>,</w:t>
      </w:r>
      <w:r w:rsidRPr="00856B5E">
        <w:t xml:space="preserve"> 162, 120-130.</w:t>
      </w:r>
    </w:p>
    <w:p w14:paraId="5B2FE50C" w14:textId="77777777" w:rsidR="007F66BE" w:rsidRDefault="007F66BE" w:rsidP="007F66BE">
      <w:pPr>
        <w:pStyle w:val="CETReferencetext"/>
      </w:pPr>
      <w:r w:rsidRPr="00E238C2">
        <w:t xml:space="preserve">Pellegrini L.A., Gilardi M., </w:t>
      </w:r>
      <w:proofErr w:type="spellStart"/>
      <w:r w:rsidRPr="00E238C2">
        <w:t>Giudici</w:t>
      </w:r>
      <w:proofErr w:type="spellEnd"/>
      <w:r w:rsidRPr="00E238C2">
        <w:t xml:space="preserve"> F., </w:t>
      </w:r>
      <w:proofErr w:type="spellStart"/>
      <w:r w:rsidRPr="00E238C2">
        <w:t>Spatolisan</w:t>
      </w:r>
      <w:r>
        <w:t>o</w:t>
      </w:r>
      <w:proofErr w:type="spellEnd"/>
      <w:r>
        <w:t xml:space="preserve"> E., 2021, New Solvents for CO</w:t>
      </w:r>
      <w:r w:rsidRPr="0000443F">
        <w:rPr>
          <w:vertAlign w:val="subscript"/>
        </w:rPr>
        <w:t>2</w:t>
      </w:r>
      <w:r>
        <w:t xml:space="preserve"> and H</w:t>
      </w:r>
      <w:r w:rsidRPr="0000443F">
        <w:rPr>
          <w:vertAlign w:val="subscript"/>
        </w:rPr>
        <w:t>2</w:t>
      </w:r>
      <w:r>
        <w:t>S Removal from Gaseous Streams, Energies, 14, 20, 6687.</w:t>
      </w:r>
    </w:p>
    <w:p w14:paraId="5772E80E" w14:textId="77777777" w:rsidR="007F66BE" w:rsidRDefault="007F66BE" w:rsidP="007F66BE">
      <w:pPr>
        <w:pStyle w:val="CETReferencetext"/>
      </w:pPr>
      <w:r>
        <w:t>Rochelle G., 2009, Amine Scrubbing for CO</w:t>
      </w:r>
      <w:r w:rsidRPr="00BC0E22">
        <w:rPr>
          <w:vertAlign w:val="subscript"/>
        </w:rPr>
        <w:t>2</w:t>
      </w:r>
      <w:r>
        <w:t xml:space="preserve"> Capture, Science, 325, 5948, 1652-1654.</w:t>
      </w:r>
    </w:p>
    <w:p w14:paraId="4662077C" w14:textId="09FF050F" w:rsidR="00205F8D" w:rsidRDefault="00205F8D" w:rsidP="00205F8D">
      <w:pPr>
        <w:pStyle w:val="CETReferencetext"/>
      </w:pPr>
      <w:r w:rsidRPr="00AB4BCB">
        <w:rPr>
          <w:lang w:val="de-DE"/>
        </w:rPr>
        <w:t xml:space="preserve">Van Wagener D.H., Rochelle G., 2011. </w:t>
      </w:r>
      <w:r w:rsidRPr="00205F8D">
        <w:t>Stripper configurations for CO</w:t>
      </w:r>
      <w:r w:rsidRPr="00205F8D">
        <w:rPr>
          <w:vertAlign w:val="subscript"/>
        </w:rPr>
        <w:t>2</w:t>
      </w:r>
      <w:r w:rsidRPr="00205F8D">
        <w:t xml:space="preserve"> capture by aqueous</w:t>
      </w:r>
      <w:r>
        <w:t xml:space="preserve"> </w:t>
      </w:r>
      <w:proofErr w:type="spellStart"/>
      <w:r w:rsidRPr="00205F8D">
        <w:t>monoethanolamine</w:t>
      </w:r>
      <w:proofErr w:type="spellEnd"/>
      <w:r w:rsidRPr="00205F8D">
        <w:t xml:space="preserve"> and piperazine. Energy Procedia 4, 1323–1330.</w:t>
      </w:r>
    </w:p>
    <w:p w14:paraId="6E3D5419" w14:textId="77777777" w:rsidR="007F66BE" w:rsidRDefault="007F66BE" w:rsidP="007F66BE">
      <w:pPr>
        <w:pStyle w:val="CETReferencetext"/>
      </w:pPr>
      <w:proofErr w:type="spellStart"/>
      <w:r w:rsidRPr="007A682B">
        <w:t>Vitillo</w:t>
      </w:r>
      <w:proofErr w:type="spellEnd"/>
      <w:r w:rsidRPr="007A682B">
        <w:t xml:space="preserve"> J.G., Smit B., Gagliardi L., 2017, Introduction</w:t>
      </w:r>
      <w:r>
        <w:t>: Carbon Capture and Separation, Chemical Reviews, 117, 14, 9521-9523.</w:t>
      </w:r>
    </w:p>
    <w:p w14:paraId="79D41E4D" w14:textId="77777777" w:rsidR="00205F8D" w:rsidRPr="007A682B" w:rsidRDefault="00205F8D" w:rsidP="007F66BE">
      <w:pPr>
        <w:pStyle w:val="CETReferencetext"/>
      </w:pPr>
    </w:p>
    <w:p w14:paraId="1A5D5B16" w14:textId="77777777" w:rsidR="007F66BE" w:rsidRPr="007F66BE" w:rsidRDefault="007F66BE" w:rsidP="007F66BE">
      <w:pPr>
        <w:pStyle w:val="CETBodytext"/>
        <w:rPr>
          <w:lang w:val="en-GB"/>
        </w:rPr>
      </w:pPr>
    </w:p>
    <w:sectPr w:rsidR="007F66BE" w:rsidRPr="007F66B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3283" w14:textId="77777777" w:rsidR="008C01B0" w:rsidRDefault="008C01B0" w:rsidP="004F5E36">
      <w:r>
        <w:separator/>
      </w:r>
    </w:p>
  </w:endnote>
  <w:endnote w:type="continuationSeparator" w:id="0">
    <w:p w14:paraId="66968630" w14:textId="77777777" w:rsidR="008C01B0" w:rsidRDefault="008C01B0" w:rsidP="004F5E36">
      <w:r>
        <w:continuationSeparator/>
      </w:r>
    </w:p>
  </w:endnote>
  <w:endnote w:type="continuationNotice" w:id="1">
    <w:p w14:paraId="160F9D13" w14:textId="77777777" w:rsidR="008C01B0" w:rsidRDefault="008C01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248B" w14:textId="77777777" w:rsidR="008C01B0" w:rsidRDefault="008C01B0" w:rsidP="004F5E36">
      <w:r>
        <w:separator/>
      </w:r>
    </w:p>
  </w:footnote>
  <w:footnote w:type="continuationSeparator" w:id="0">
    <w:p w14:paraId="0472D720" w14:textId="77777777" w:rsidR="008C01B0" w:rsidRDefault="008C01B0" w:rsidP="004F5E36">
      <w:r>
        <w:continuationSeparator/>
      </w:r>
    </w:p>
  </w:footnote>
  <w:footnote w:type="continuationNotice" w:id="1">
    <w:p w14:paraId="36C1A4EC" w14:textId="77777777" w:rsidR="008C01B0" w:rsidRDefault="008C01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90C7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A959BA"/>
    <w:multiLevelType w:val="hybridMultilevel"/>
    <w:tmpl w:val="F4006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2"/>
  </w:num>
  <w:num w:numId="14" w16cid:durableId="145903400">
    <w:abstractNumId w:val="20"/>
  </w:num>
  <w:num w:numId="15" w16cid:durableId="19162326">
    <w:abstractNumId w:val="22"/>
  </w:num>
  <w:num w:numId="16" w16cid:durableId="1977102699">
    <w:abstractNumId w:val="21"/>
  </w:num>
  <w:num w:numId="17" w16cid:durableId="860774865">
    <w:abstractNumId w:val="11"/>
  </w:num>
  <w:num w:numId="18" w16cid:durableId="313221457">
    <w:abstractNumId w:val="12"/>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3"/>
  </w:num>
  <w:num w:numId="23" w16cid:durableId="1026910708">
    <w:abstractNumId w:val="14"/>
  </w:num>
  <w:num w:numId="24" w16cid:durableId="1129593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443F"/>
    <w:rsid w:val="000052FB"/>
    <w:rsid w:val="00005A34"/>
    <w:rsid w:val="000117CB"/>
    <w:rsid w:val="00020C8C"/>
    <w:rsid w:val="00026AF8"/>
    <w:rsid w:val="0003001B"/>
    <w:rsid w:val="0003148D"/>
    <w:rsid w:val="0003184B"/>
    <w:rsid w:val="00031EEC"/>
    <w:rsid w:val="000320FF"/>
    <w:rsid w:val="00034BBD"/>
    <w:rsid w:val="000360A8"/>
    <w:rsid w:val="00043818"/>
    <w:rsid w:val="00051566"/>
    <w:rsid w:val="00051756"/>
    <w:rsid w:val="00054248"/>
    <w:rsid w:val="000562A9"/>
    <w:rsid w:val="000611E9"/>
    <w:rsid w:val="00062A9A"/>
    <w:rsid w:val="00065058"/>
    <w:rsid w:val="00071964"/>
    <w:rsid w:val="000721FD"/>
    <w:rsid w:val="00072CDD"/>
    <w:rsid w:val="00074792"/>
    <w:rsid w:val="00080872"/>
    <w:rsid w:val="00086C39"/>
    <w:rsid w:val="00092A05"/>
    <w:rsid w:val="000A03B2"/>
    <w:rsid w:val="000A37EB"/>
    <w:rsid w:val="000B5668"/>
    <w:rsid w:val="000B5915"/>
    <w:rsid w:val="000D0268"/>
    <w:rsid w:val="000D34BE"/>
    <w:rsid w:val="000E102F"/>
    <w:rsid w:val="000E36F1"/>
    <w:rsid w:val="000E3A73"/>
    <w:rsid w:val="000E414A"/>
    <w:rsid w:val="000F093C"/>
    <w:rsid w:val="000F50DA"/>
    <w:rsid w:val="000F787B"/>
    <w:rsid w:val="001034F6"/>
    <w:rsid w:val="00105B1A"/>
    <w:rsid w:val="0011514E"/>
    <w:rsid w:val="00116799"/>
    <w:rsid w:val="0012091F"/>
    <w:rsid w:val="00123B43"/>
    <w:rsid w:val="00126BC2"/>
    <w:rsid w:val="00127092"/>
    <w:rsid w:val="001308B6"/>
    <w:rsid w:val="0013121F"/>
    <w:rsid w:val="00131FE6"/>
    <w:rsid w:val="0013263F"/>
    <w:rsid w:val="001331DF"/>
    <w:rsid w:val="00134DE4"/>
    <w:rsid w:val="0014034D"/>
    <w:rsid w:val="00144D16"/>
    <w:rsid w:val="00150E45"/>
    <w:rsid w:val="00150E59"/>
    <w:rsid w:val="00152A1B"/>
    <w:rsid w:val="00152DE3"/>
    <w:rsid w:val="001619A6"/>
    <w:rsid w:val="00164A33"/>
    <w:rsid w:val="00164CF9"/>
    <w:rsid w:val="001656F9"/>
    <w:rsid w:val="001667A6"/>
    <w:rsid w:val="00173C1A"/>
    <w:rsid w:val="00176345"/>
    <w:rsid w:val="001773AD"/>
    <w:rsid w:val="001776C2"/>
    <w:rsid w:val="00184AD6"/>
    <w:rsid w:val="00190037"/>
    <w:rsid w:val="001A1E0F"/>
    <w:rsid w:val="001A298F"/>
    <w:rsid w:val="001A4AF7"/>
    <w:rsid w:val="001A5D2C"/>
    <w:rsid w:val="001B0349"/>
    <w:rsid w:val="001B1E93"/>
    <w:rsid w:val="001B4FCA"/>
    <w:rsid w:val="001B65C1"/>
    <w:rsid w:val="001C1DEE"/>
    <w:rsid w:val="001C684B"/>
    <w:rsid w:val="001D0CFB"/>
    <w:rsid w:val="001D15EB"/>
    <w:rsid w:val="001D21AF"/>
    <w:rsid w:val="001D53FC"/>
    <w:rsid w:val="001D7113"/>
    <w:rsid w:val="001E59AE"/>
    <w:rsid w:val="001E6164"/>
    <w:rsid w:val="001E6ED0"/>
    <w:rsid w:val="001F3A4B"/>
    <w:rsid w:val="001F42A5"/>
    <w:rsid w:val="001F5828"/>
    <w:rsid w:val="001F7442"/>
    <w:rsid w:val="001F7A58"/>
    <w:rsid w:val="001F7B9D"/>
    <w:rsid w:val="00201C93"/>
    <w:rsid w:val="00205F8D"/>
    <w:rsid w:val="002138FC"/>
    <w:rsid w:val="00215D00"/>
    <w:rsid w:val="00221BA9"/>
    <w:rsid w:val="002224B4"/>
    <w:rsid w:val="002349C7"/>
    <w:rsid w:val="002402E6"/>
    <w:rsid w:val="00242424"/>
    <w:rsid w:val="00243C78"/>
    <w:rsid w:val="002447EF"/>
    <w:rsid w:val="002454B2"/>
    <w:rsid w:val="00246AA7"/>
    <w:rsid w:val="00251550"/>
    <w:rsid w:val="0026019D"/>
    <w:rsid w:val="00263B05"/>
    <w:rsid w:val="0027221A"/>
    <w:rsid w:val="0027428B"/>
    <w:rsid w:val="00275093"/>
    <w:rsid w:val="00275B61"/>
    <w:rsid w:val="00280FAF"/>
    <w:rsid w:val="00282656"/>
    <w:rsid w:val="00282FDE"/>
    <w:rsid w:val="00293989"/>
    <w:rsid w:val="00296B83"/>
    <w:rsid w:val="002A3430"/>
    <w:rsid w:val="002A44BE"/>
    <w:rsid w:val="002A7463"/>
    <w:rsid w:val="002B4015"/>
    <w:rsid w:val="002B67A3"/>
    <w:rsid w:val="002B78CE"/>
    <w:rsid w:val="002C2FB6"/>
    <w:rsid w:val="002C50F7"/>
    <w:rsid w:val="002C68FE"/>
    <w:rsid w:val="002C7BD4"/>
    <w:rsid w:val="002E5FA7"/>
    <w:rsid w:val="002F3309"/>
    <w:rsid w:val="002F7C5B"/>
    <w:rsid w:val="003008CE"/>
    <w:rsid w:val="003009B7"/>
    <w:rsid w:val="00300E56"/>
    <w:rsid w:val="0030152C"/>
    <w:rsid w:val="00303089"/>
    <w:rsid w:val="0030469C"/>
    <w:rsid w:val="003205BC"/>
    <w:rsid w:val="0032096B"/>
    <w:rsid w:val="00321BDE"/>
    <w:rsid w:val="00321CA6"/>
    <w:rsid w:val="00323763"/>
    <w:rsid w:val="00323C5F"/>
    <w:rsid w:val="003274CA"/>
    <w:rsid w:val="00334C09"/>
    <w:rsid w:val="00346945"/>
    <w:rsid w:val="00353DC9"/>
    <w:rsid w:val="00355F89"/>
    <w:rsid w:val="00362222"/>
    <w:rsid w:val="00365163"/>
    <w:rsid w:val="003675AA"/>
    <w:rsid w:val="0037042E"/>
    <w:rsid w:val="003723D4"/>
    <w:rsid w:val="00372BAC"/>
    <w:rsid w:val="00381905"/>
    <w:rsid w:val="00384CC8"/>
    <w:rsid w:val="003871FD"/>
    <w:rsid w:val="00395AA3"/>
    <w:rsid w:val="003A1E30"/>
    <w:rsid w:val="003A2829"/>
    <w:rsid w:val="003A2D68"/>
    <w:rsid w:val="003A6FC6"/>
    <w:rsid w:val="003A7D1C"/>
    <w:rsid w:val="003B304B"/>
    <w:rsid w:val="003B3146"/>
    <w:rsid w:val="003B6E30"/>
    <w:rsid w:val="003C0143"/>
    <w:rsid w:val="003C3915"/>
    <w:rsid w:val="003F015E"/>
    <w:rsid w:val="003F0C20"/>
    <w:rsid w:val="003F1089"/>
    <w:rsid w:val="003F257A"/>
    <w:rsid w:val="00400414"/>
    <w:rsid w:val="00405F9E"/>
    <w:rsid w:val="0041446B"/>
    <w:rsid w:val="00420CCF"/>
    <w:rsid w:val="00435AC3"/>
    <w:rsid w:val="0043677D"/>
    <w:rsid w:val="0044071E"/>
    <w:rsid w:val="0044329C"/>
    <w:rsid w:val="0044572E"/>
    <w:rsid w:val="00451DED"/>
    <w:rsid w:val="00453E24"/>
    <w:rsid w:val="00456B3B"/>
    <w:rsid w:val="00457456"/>
    <w:rsid w:val="004577FE"/>
    <w:rsid w:val="00457B9C"/>
    <w:rsid w:val="00461085"/>
    <w:rsid w:val="0046164A"/>
    <w:rsid w:val="00462521"/>
    <w:rsid w:val="004628D2"/>
    <w:rsid w:val="00462DCD"/>
    <w:rsid w:val="004648AD"/>
    <w:rsid w:val="004703A9"/>
    <w:rsid w:val="00471C44"/>
    <w:rsid w:val="004728EC"/>
    <w:rsid w:val="00472D84"/>
    <w:rsid w:val="00475FD1"/>
    <w:rsid w:val="004760DE"/>
    <w:rsid w:val="004763D7"/>
    <w:rsid w:val="00492F68"/>
    <w:rsid w:val="0049435F"/>
    <w:rsid w:val="004A004E"/>
    <w:rsid w:val="004A0FB0"/>
    <w:rsid w:val="004A24CF"/>
    <w:rsid w:val="004A73C4"/>
    <w:rsid w:val="004A7960"/>
    <w:rsid w:val="004B64B6"/>
    <w:rsid w:val="004C3D1D"/>
    <w:rsid w:val="004C3D84"/>
    <w:rsid w:val="004C7913"/>
    <w:rsid w:val="004E4DD6"/>
    <w:rsid w:val="004E7E6A"/>
    <w:rsid w:val="004F3D11"/>
    <w:rsid w:val="004F5370"/>
    <w:rsid w:val="004F5E36"/>
    <w:rsid w:val="00500EA2"/>
    <w:rsid w:val="00501F33"/>
    <w:rsid w:val="00507B47"/>
    <w:rsid w:val="00507BEF"/>
    <w:rsid w:val="00507CC9"/>
    <w:rsid w:val="00507F0D"/>
    <w:rsid w:val="005119A5"/>
    <w:rsid w:val="00515458"/>
    <w:rsid w:val="00516AAC"/>
    <w:rsid w:val="0052419E"/>
    <w:rsid w:val="005278B7"/>
    <w:rsid w:val="00532016"/>
    <w:rsid w:val="005346C8"/>
    <w:rsid w:val="005407F0"/>
    <w:rsid w:val="00543DB8"/>
    <w:rsid w:val="00543E7D"/>
    <w:rsid w:val="00547A68"/>
    <w:rsid w:val="005531C9"/>
    <w:rsid w:val="00555731"/>
    <w:rsid w:val="00563C1A"/>
    <w:rsid w:val="005648A9"/>
    <w:rsid w:val="00570498"/>
    <w:rsid w:val="00570C43"/>
    <w:rsid w:val="005711F9"/>
    <w:rsid w:val="00573F4B"/>
    <w:rsid w:val="0058062E"/>
    <w:rsid w:val="00590ED5"/>
    <w:rsid w:val="00592C74"/>
    <w:rsid w:val="00594B68"/>
    <w:rsid w:val="0059701A"/>
    <w:rsid w:val="005A03AD"/>
    <w:rsid w:val="005A644A"/>
    <w:rsid w:val="005B058B"/>
    <w:rsid w:val="005B2110"/>
    <w:rsid w:val="005B3DD5"/>
    <w:rsid w:val="005B4D3C"/>
    <w:rsid w:val="005B61E6"/>
    <w:rsid w:val="005C283F"/>
    <w:rsid w:val="005C77E1"/>
    <w:rsid w:val="005D668A"/>
    <w:rsid w:val="005D6A2F"/>
    <w:rsid w:val="005E1030"/>
    <w:rsid w:val="005E1A82"/>
    <w:rsid w:val="005E561F"/>
    <w:rsid w:val="005E6BAB"/>
    <w:rsid w:val="005E794C"/>
    <w:rsid w:val="005E7C48"/>
    <w:rsid w:val="005F0A28"/>
    <w:rsid w:val="005F0E5E"/>
    <w:rsid w:val="00600535"/>
    <w:rsid w:val="00603420"/>
    <w:rsid w:val="00610CD6"/>
    <w:rsid w:val="0061190F"/>
    <w:rsid w:val="00613A22"/>
    <w:rsid w:val="0061773C"/>
    <w:rsid w:val="00620DEE"/>
    <w:rsid w:val="00621F92"/>
    <w:rsid w:val="0062280A"/>
    <w:rsid w:val="00622F41"/>
    <w:rsid w:val="006238D8"/>
    <w:rsid w:val="00624ACB"/>
    <w:rsid w:val="00625639"/>
    <w:rsid w:val="00627ECA"/>
    <w:rsid w:val="00627F9C"/>
    <w:rsid w:val="00631B33"/>
    <w:rsid w:val="00635814"/>
    <w:rsid w:val="0064184D"/>
    <w:rsid w:val="006422CC"/>
    <w:rsid w:val="0064446A"/>
    <w:rsid w:val="00647DC3"/>
    <w:rsid w:val="0065796A"/>
    <w:rsid w:val="00660E3E"/>
    <w:rsid w:val="00661F03"/>
    <w:rsid w:val="00662E74"/>
    <w:rsid w:val="0067338A"/>
    <w:rsid w:val="00673B40"/>
    <w:rsid w:val="00680520"/>
    <w:rsid w:val="00680C23"/>
    <w:rsid w:val="00684A38"/>
    <w:rsid w:val="006875AD"/>
    <w:rsid w:val="00690EF8"/>
    <w:rsid w:val="00693766"/>
    <w:rsid w:val="006A0C20"/>
    <w:rsid w:val="006A3281"/>
    <w:rsid w:val="006A60B9"/>
    <w:rsid w:val="006B27C4"/>
    <w:rsid w:val="006B3A3A"/>
    <w:rsid w:val="006B4579"/>
    <w:rsid w:val="006B4888"/>
    <w:rsid w:val="006B6A37"/>
    <w:rsid w:val="006C2E45"/>
    <w:rsid w:val="006C359C"/>
    <w:rsid w:val="006C5579"/>
    <w:rsid w:val="006D6E8B"/>
    <w:rsid w:val="006E1218"/>
    <w:rsid w:val="006E2C4B"/>
    <w:rsid w:val="006E737D"/>
    <w:rsid w:val="006F40CE"/>
    <w:rsid w:val="006F4ABC"/>
    <w:rsid w:val="006F68AA"/>
    <w:rsid w:val="00702B46"/>
    <w:rsid w:val="00711119"/>
    <w:rsid w:val="00713973"/>
    <w:rsid w:val="00720A24"/>
    <w:rsid w:val="00727883"/>
    <w:rsid w:val="00732386"/>
    <w:rsid w:val="00732AD3"/>
    <w:rsid w:val="00734FD0"/>
    <w:rsid w:val="0073514D"/>
    <w:rsid w:val="007447F3"/>
    <w:rsid w:val="00751EDF"/>
    <w:rsid w:val="00753BD8"/>
    <w:rsid w:val="007546CA"/>
    <w:rsid w:val="0075499F"/>
    <w:rsid w:val="007661C8"/>
    <w:rsid w:val="0077098D"/>
    <w:rsid w:val="00776775"/>
    <w:rsid w:val="00781E16"/>
    <w:rsid w:val="00781EA6"/>
    <w:rsid w:val="00784565"/>
    <w:rsid w:val="00785C8A"/>
    <w:rsid w:val="007924A0"/>
    <w:rsid w:val="007931FA"/>
    <w:rsid w:val="00795AF0"/>
    <w:rsid w:val="007A4861"/>
    <w:rsid w:val="007A682B"/>
    <w:rsid w:val="007A694C"/>
    <w:rsid w:val="007A7BBA"/>
    <w:rsid w:val="007B0C50"/>
    <w:rsid w:val="007B1660"/>
    <w:rsid w:val="007B48F9"/>
    <w:rsid w:val="007C1A43"/>
    <w:rsid w:val="007C34DE"/>
    <w:rsid w:val="007C4A76"/>
    <w:rsid w:val="007D0951"/>
    <w:rsid w:val="007D6A45"/>
    <w:rsid w:val="007E2556"/>
    <w:rsid w:val="007E5A1B"/>
    <w:rsid w:val="007F339F"/>
    <w:rsid w:val="007F5722"/>
    <w:rsid w:val="007F66BE"/>
    <w:rsid w:val="00800029"/>
    <w:rsid w:val="0080013E"/>
    <w:rsid w:val="00811A98"/>
    <w:rsid w:val="00813288"/>
    <w:rsid w:val="008168FC"/>
    <w:rsid w:val="008237DD"/>
    <w:rsid w:val="00830996"/>
    <w:rsid w:val="008345F1"/>
    <w:rsid w:val="008417FD"/>
    <w:rsid w:val="00844466"/>
    <w:rsid w:val="00854884"/>
    <w:rsid w:val="008554D2"/>
    <w:rsid w:val="00856B5E"/>
    <w:rsid w:val="008572FD"/>
    <w:rsid w:val="00860311"/>
    <w:rsid w:val="00865B07"/>
    <w:rsid w:val="008667EA"/>
    <w:rsid w:val="008749F8"/>
    <w:rsid w:val="0087637F"/>
    <w:rsid w:val="0087745F"/>
    <w:rsid w:val="00883EEA"/>
    <w:rsid w:val="0088704D"/>
    <w:rsid w:val="0089226B"/>
    <w:rsid w:val="00892AD5"/>
    <w:rsid w:val="008938AB"/>
    <w:rsid w:val="0089525B"/>
    <w:rsid w:val="008A1512"/>
    <w:rsid w:val="008A1E46"/>
    <w:rsid w:val="008A3D1F"/>
    <w:rsid w:val="008A74B3"/>
    <w:rsid w:val="008B7C03"/>
    <w:rsid w:val="008C01B0"/>
    <w:rsid w:val="008D10F1"/>
    <w:rsid w:val="008D32B9"/>
    <w:rsid w:val="008D433B"/>
    <w:rsid w:val="008D4A16"/>
    <w:rsid w:val="008D5B09"/>
    <w:rsid w:val="008E4B48"/>
    <w:rsid w:val="008E566E"/>
    <w:rsid w:val="008F0A1E"/>
    <w:rsid w:val="008F45B7"/>
    <w:rsid w:val="008F74ED"/>
    <w:rsid w:val="0090161A"/>
    <w:rsid w:val="00901E52"/>
    <w:rsid w:val="00901EB6"/>
    <w:rsid w:val="00904C62"/>
    <w:rsid w:val="009074EE"/>
    <w:rsid w:val="0091284E"/>
    <w:rsid w:val="00917510"/>
    <w:rsid w:val="00922BA8"/>
    <w:rsid w:val="00924DAC"/>
    <w:rsid w:val="00927058"/>
    <w:rsid w:val="0093148B"/>
    <w:rsid w:val="009332BF"/>
    <w:rsid w:val="00933A80"/>
    <w:rsid w:val="0093762D"/>
    <w:rsid w:val="00942750"/>
    <w:rsid w:val="009443FC"/>
    <w:rsid w:val="009450CE"/>
    <w:rsid w:val="009459BB"/>
    <w:rsid w:val="00947179"/>
    <w:rsid w:val="009511FB"/>
    <w:rsid w:val="009515AC"/>
    <w:rsid w:val="0095164B"/>
    <w:rsid w:val="00954090"/>
    <w:rsid w:val="009565E4"/>
    <w:rsid w:val="009573E7"/>
    <w:rsid w:val="00963E05"/>
    <w:rsid w:val="00964A45"/>
    <w:rsid w:val="00966881"/>
    <w:rsid w:val="00967843"/>
    <w:rsid w:val="00967D54"/>
    <w:rsid w:val="0097023C"/>
    <w:rsid w:val="00971028"/>
    <w:rsid w:val="009719D7"/>
    <w:rsid w:val="00971E56"/>
    <w:rsid w:val="009723CA"/>
    <w:rsid w:val="009741A8"/>
    <w:rsid w:val="00981B24"/>
    <w:rsid w:val="00983423"/>
    <w:rsid w:val="00993B84"/>
    <w:rsid w:val="00996483"/>
    <w:rsid w:val="00996F5A"/>
    <w:rsid w:val="009A49DB"/>
    <w:rsid w:val="009A5036"/>
    <w:rsid w:val="009A71FD"/>
    <w:rsid w:val="009B041A"/>
    <w:rsid w:val="009B095D"/>
    <w:rsid w:val="009B579F"/>
    <w:rsid w:val="009B57B5"/>
    <w:rsid w:val="009B6733"/>
    <w:rsid w:val="009C37C3"/>
    <w:rsid w:val="009C7C86"/>
    <w:rsid w:val="009D25D8"/>
    <w:rsid w:val="009D2FF7"/>
    <w:rsid w:val="009D4C89"/>
    <w:rsid w:val="009D6386"/>
    <w:rsid w:val="009E7884"/>
    <w:rsid w:val="009E788A"/>
    <w:rsid w:val="009F0906"/>
    <w:rsid w:val="009F0E08"/>
    <w:rsid w:val="00A00BA3"/>
    <w:rsid w:val="00A10A8D"/>
    <w:rsid w:val="00A110DB"/>
    <w:rsid w:val="00A14C90"/>
    <w:rsid w:val="00A1763D"/>
    <w:rsid w:val="00A17CEC"/>
    <w:rsid w:val="00A27EF0"/>
    <w:rsid w:val="00A42361"/>
    <w:rsid w:val="00A50B20"/>
    <w:rsid w:val="00A51390"/>
    <w:rsid w:val="00A53E8C"/>
    <w:rsid w:val="00A57D06"/>
    <w:rsid w:val="00A60D13"/>
    <w:rsid w:val="00A7223D"/>
    <w:rsid w:val="00A72745"/>
    <w:rsid w:val="00A76EFC"/>
    <w:rsid w:val="00A82D75"/>
    <w:rsid w:val="00A87D50"/>
    <w:rsid w:val="00A91010"/>
    <w:rsid w:val="00A91381"/>
    <w:rsid w:val="00A95411"/>
    <w:rsid w:val="00A97F29"/>
    <w:rsid w:val="00AA702E"/>
    <w:rsid w:val="00AA7D26"/>
    <w:rsid w:val="00AB0964"/>
    <w:rsid w:val="00AB1129"/>
    <w:rsid w:val="00AB4BCB"/>
    <w:rsid w:val="00AB5011"/>
    <w:rsid w:val="00AC7368"/>
    <w:rsid w:val="00AD16B9"/>
    <w:rsid w:val="00AD51ED"/>
    <w:rsid w:val="00AD7CA3"/>
    <w:rsid w:val="00AE377D"/>
    <w:rsid w:val="00AE5566"/>
    <w:rsid w:val="00AF0EBA"/>
    <w:rsid w:val="00AF5297"/>
    <w:rsid w:val="00AF5484"/>
    <w:rsid w:val="00B02C8A"/>
    <w:rsid w:val="00B13413"/>
    <w:rsid w:val="00B14ABA"/>
    <w:rsid w:val="00B17FBD"/>
    <w:rsid w:val="00B20B5A"/>
    <w:rsid w:val="00B238BF"/>
    <w:rsid w:val="00B247FB"/>
    <w:rsid w:val="00B315A6"/>
    <w:rsid w:val="00B31813"/>
    <w:rsid w:val="00B33365"/>
    <w:rsid w:val="00B4152A"/>
    <w:rsid w:val="00B43892"/>
    <w:rsid w:val="00B44F7A"/>
    <w:rsid w:val="00B53CC9"/>
    <w:rsid w:val="00B57B36"/>
    <w:rsid w:val="00B57E6F"/>
    <w:rsid w:val="00B60E6D"/>
    <w:rsid w:val="00B65256"/>
    <w:rsid w:val="00B8119F"/>
    <w:rsid w:val="00B81DD6"/>
    <w:rsid w:val="00B8326D"/>
    <w:rsid w:val="00B8686D"/>
    <w:rsid w:val="00B91D6A"/>
    <w:rsid w:val="00B93F69"/>
    <w:rsid w:val="00B9723C"/>
    <w:rsid w:val="00BA013F"/>
    <w:rsid w:val="00BA0AEC"/>
    <w:rsid w:val="00BA1261"/>
    <w:rsid w:val="00BA7420"/>
    <w:rsid w:val="00BB1DDC"/>
    <w:rsid w:val="00BB35ED"/>
    <w:rsid w:val="00BB4F60"/>
    <w:rsid w:val="00BB5C41"/>
    <w:rsid w:val="00BB5CFC"/>
    <w:rsid w:val="00BC0E22"/>
    <w:rsid w:val="00BC30C9"/>
    <w:rsid w:val="00BC3697"/>
    <w:rsid w:val="00BD077D"/>
    <w:rsid w:val="00BD521E"/>
    <w:rsid w:val="00BE3E58"/>
    <w:rsid w:val="00BF2BF3"/>
    <w:rsid w:val="00BF5765"/>
    <w:rsid w:val="00BF6367"/>
    <w:rsid w:val="00BF679E"/>
    <w:rsid w:val="00C01616"/>
    <w:rsid w:val="00C0162B"/>
    <w:rsid w:val="00C01964"/>
    <w:rsid w:val="00C026C8"/>
    <w:rsid w:val="00C068ED"/>
    <w:rsid w:val="00C10E75"/>
    <w:rsid w:val="00C1141C"/>
    <w:rsid w:val="00C14FEA"/>
    <w:rsid w:val="00C20FBE"/>
    <w:rsid w:val="00C22E0C"/>
    <w:rsid w:val="00C345B1"/>
    <w:rsid w:val="00C36702"/>
    <w:rsid w:val="00C40142"/>
    <w:rsid w:val="00C43F61"/>
    <w:rsid w:val="00C52C3C"/>
    <w:rsid w:val="00C5512E"/>
    <w:rsid w:val="00C57182"/>
    <w:rsid w:val="00C57863"/>
    <w:rsid w:val="00C62C2F"/>
    <w:rsid w:val="00C640AF"/>
    <w:rsid w:val="00C655FD"/>
    <w:rsid w:val="00C70E81"/>
    <w:rsid w:val="00C75407"/>
    <w:rsid w:val="00C80C59"/>
    <w:rsid w:val="00C81E74"/>
    <w:rsid w:val="00C870A8"/>
    <w:rsid w:val="00C94434"/>
    <w:rsid w:val="00CA0D4A"/>
    <w:rsid w:val="00CA0D75"/>
    <w:rsid w:val="00CA1C95"/>
    <w:rsid w:val="00CA33D4"/>
    <w:rsid w:val="00CA56A3"/>
    <w:rsid w:val="00CA5A9C"/>
    <w:rsid w:val="00CB5205"/>
    <w:rsid w:val="00CB747D"/>
    <w:rsid w:val="00CC07DD"/>
    <w:rsid w:val="00CC4C20"/>
    <w:rsid w:val="00CC75AA"/>
    <w:rsid w:val="00CC7B09"/>
    <w:rsid w:val="00CD0738"/>
    <w:rsid w:val="00CD1F9E"/>
    <w:rsid w:val="00CD3517"/>
    <w:rsid w:val="00CD5FE2"/>
    <w:rsid w:val="00CE1666"/>
    <w:rsid w:val="00CE7C68"/>
    <w:rsid w:val="00CF5065"/>
    <w:rsid w:val="00CF7205"/>
    <w:rsid w:val="00D0028E"/>
    <w:rsid w:val="00D02792"/>
    <w:rsid w:val="00D02B4C"/>
    <w:rsid w:val="00D040C4"/>
    <w:rsid w:val="00D05059"/>
    <w:rsid w:val="00D10ED7"/>
    <w:rsid w:val="00D20AD1"/>
    <w:rsid w:val="00D23E8D"/>
    <w:rsid w:val="00D42B80"/>
    <w:rsid w:val="00D43D80"/>
    <w:rsid w:val="00D46B7E"/>
    <w:rsid w:val="00D51A12"/>
    <w:rsid w:val="00D5359F"/>
    <w:rsid w:val="00D54205"/>
    <w:rsid w:val="00D55AE4"/>
    <w:rsid w:val="00D57C84"/>
    <w:rsid w:val="00D6057D"/>
    <w:rsid w:val="00D606B5"/>
    <w:rsid w:val="00D648EC"/>
    <w:rsid w:val="00D64E95"/>
    <w:rsid w:val="00D71640"/>
    <w:rsid w:val="00D836C5"/>
    <w:rsid w:val="00D84576"/>
    <w:rsid w:val="00D85F3F"/>
    <w:rsid w:val="00DA1399"/>
    <w:rsid w:val="00DA24C6"/>
    <w:rsid w:val="00DA401E"/>
    <w:rsid w:val="00DA4D7B"/>
    <w:rsid w:val="00DA6FE0"/>
    <w:rsid w:val="00DB5C2D"/>
    <w:rsid w:val="00DC5226"/>
    <w:rsid w:val="00DC6A34"/>
    <w:rsid w:val="00DD271C"/>
    <w:rsid w:val="00DD486E"/>
    <w:rsid w:val="00DD6100"/>
    <w:rsid w:val="00DE264A"/>
    <w:rsid w:val="00DE5295"/>
    <w:rsid w:val="00DF3757"/>
    <w:rsid w:val="00DF5021"/>
    <w:rsid w:val="00DF5072"/>
    <w:rsid w:val="00E02D18"/>
    <w:rsid w:val="00E03D3F"/>
    <w:rsid w:val="00E03EF1"/>
    <w:rsid w:val="00E041E7"/>
    <w:rsid w:val="00E05C40"/>
    <w:rsid w:val="00E12FFD"/>
    <w:rsid w:val="00E14C46"/>
    <w:rsid w:val="00E20297"/>
    <w:rsid w:val="00E238C2"/>
    <w:rsid w:val="00E23CA1"/>
    <w:rsid w:val="00E26475"/>
    <w:rsid w:val="00E33DD7"/>
    <w:rsid w:val="00E409A8"/>
    <w:rsid w:val="00E50C12"/>
    <w:rsid w:val="00E51F80"/>
    <w:rsid w:val="00E55234"/>
    <w:rsid w:val="00E633C4"/>
    <w:rsid w:val="00E65B91"/>
    <w:rsid w:val="00E7209D"/>
    <w:rsid w:val="00E72EAD"/>
    <w:rsid w:val="00E73599"/>
    <w:rsid w:val="00E77223"/>
    <w:rsid w:val="00E80241"/>
    <w:rsid w:val="00E8528B"/>
    <w:rsid w:val="00E85B94"/>
    <w:rsid w:val="00E93E9C"/>
    <w:rsid w:val="00E95263"/>
    <w:rsid w:val="00E978D0"/>
    <w:rsid w:val="00EA0D66"/>
    <w:rsid w:val="00EA162B"/>
    <w:rsid w:val="00EA166B"/>
    <w:rsid w:val="00EA4613"/>
    <w:rsid w:val="00EA7F91"/>
    <w:rsid w:val="00EB1523"/>
    <w:rsid w:val="00EB40CC"/>
    <w:rsid w:val="00EB5AC6"/>
    <w:rsid w:val="00EC0E49"/>
    <w:rsid w:val="00EC101F"/>
    <w:rsid w:val="00EC1D9F"/>
    <w:rsid w:val="00EC3991"/>
    <w:rsid w:val="00ED50DD"/>
    <w:rsid w:val="00EE0131"/>
    <w:rsid w:val="00EE17B0"/>
    <w:rsid w:val="00EE703A"/>
    <w:rsid w:val="00EF06D9"/>
    <w:rsid w:val="00EF2071"/>
    <w:rsid w:val="00EF3D7E"/>
    <w:rsid w:val="00EF76A5"/>
    <w:rsid w:val="00F01F70"/>
    <w:rsid w:val="00F03671"/>
    <w:rsid w:val="00F0444C"/>
    <w:rsid w:val="00F070C8"/>
    <w:rsid w:val="00F179FB"/>
    <w:rsid w:val="00F20FE6"/>
    <w:rsid w:val="00F24484"/>
    <w:rsid w:val="00F3049E"/>
    <w:rsid w:val="00F30C64"/>
    <w:rsid w:val="00F31343"/>
    <w:rsid w:val="00F32BA2"/>
    <w:rsid w:val="00F32CDB"/>
    <w:rsid w:val="00F40524"/>
    <w:rsid w:val="00F565FE"/>
    <w:rsid w:val="00F63A70"/>
    <w:rsid w:val="00F63D8C"/>
    <w:rsid w:val="00F7203D"/>
    <w:rsid w:val="00F7296E"/>
    <w:rsid w:val="00F7534E"/>
    <w:rsid w:val="00F80C2B"/>
    <w:rsid w:val="00F8645B"/>
    <w:rsid w:val="00F868C4"/>
    <w:rsid w:val="00F93436"/>
    <w:rsid w:val="00F93EDF"/>
    <w:rsid w:val="00FA0DC5"/>
    <w:rsid w:val="00FA1802"/>
    <w:rsid w:val="00FA21D0"/>
    <w:rsid w:val="00FA5F5F"/>
    <w:rsid w:val="00FA6758"/>
    <w:rsid w:val="00FB2E92"/>
    <w:rsid w:val="00FB730C"/>
    <w:rsid w:val="00FB75FE"/>
    <w:rsid w:val="00FC2695"/>
    <w:rsid w:val="00FC31B2"/>
    <w:rsid w:val="00FC3E03"/>
    <w:rsid w:val="00FC3FC1"/>
    <w:rsid w:val="00FC57F5"/>
    <w:rsid w:val="00FD05B6"/>
    <w:rsid w:val="00FD15DB"/>
    <w:rsid w:val="00FF1568"/>
    <w:rsid w:val="00FF1A46"/>
    <w:rsid w:val="00FF5617"/>
    <w:rsid w:val="012FCB52"/>
    <w:rsid w:val="0524E5AB"/>
    <w:rsid w:val="0A6E78F7"/>
    <w:rsid w:val="0C7E5528"/>
    <w:rsid w:val="0D02874A"/>
    <w:rsid w:val="10B71398"/>
    <w:rsid w:val="11B84BA1"/>
    <w:rsid w:val="1AFA5100"/>
    <w:rsid w:val="23586D7D"/>
    <w:rsid w:val="24972325"/>
    <w:rsid w:val="2A572B8A"/>
    <w:rsid w:val="2E4B9388"/>
    <w:rsid w:val="3000AB05"/>
    <w:rsid w:val="34A6E587"/>
    <w:rsid w:val="3D83DB2E"/>
    <w:rsid w:val="4AE127DC"/>
    <w:rsid w:val="4DA9D909"/>
    <w:rsid w:val="5189D0BD"/>
    <w:rsid w:val="52F36C55"/>
    <w:rsid w:val="5A49D983"/>
    <w:rsid w:val="5B4DBFC1"/>
    <w:rsid w:val="5C6007E6"/>
    <w:rsid w:val="611796E8"/>
    <w:rsid w:val="6547AC9F"/>
    <w:rsid w:val="67540169"/>
    <w:rsid w:val="6B796191"/>
    <w:rsid w:val="6BB1217F"/>
    <w:rsid w:val="70905393"/>
    <w:rsid w:val="76C3BA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9A49DB"/>
    <w:rPr>
      <w:color w:val="605E5C"/>
      <w:shd w:val="clear" w:color="auto" w:fill="E1DFDD"/>
    </w:rPr>
  </w:style>
  <w:style w:type="character" w:styleId="PlaceholderText">
    <w:name w:val="Placeholder Text"/>
    <w:basedOn w:val="DefaultParagraphFont"/>
    <w:uiPriority w:val="99"/>
    <w:semiHidden/>
    <w:rsid w:val="003F1089"/>
    <w:rPr>
      <w:color w:val="808080"/>
    </w:rPr>
  </w:style>
  <w:style w:type="paragraph" w:styleId="Revision">
    <w:name w:val="Revision"/>
    <w:hidden/>
    <w:uiPriority w:val="99"/>
    <w:semiHidden/>
    <w:rsid w:val="00F179F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realiseccus.eu/"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po.bisotti@sintef.n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matteo.gilardi@sintef.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3069</Words>
  <Characters>17497</Characters>
  <Application>Microsoft Office Word</Application>
  <DocSecurity>0</DocSecurity>
  <Lines>145</Lines>
  <Paragraphs>41</Paragraphs>
  <ScaleCrop>false</ScaleCrop>
  <Company>Dipartimento CMIC - Politecnico di Milano</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Filippo Bisotti</cp:lastModifiedBy>
  <cp:revision>182</cp:revision>
  <cp:lastPrinted>2015-05-12T18:31:00Z</cp:lastPrinted>
  <dcterms:created xsi:type="dcterms:W3CDTF">2023-06-09T13:07:00Z</dcterms:created>
  <dcterms:modified xsi:type="dcterms:W3CDTF">2023-07-06T08:18:00Z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57a5e6872387b3df5f6bf04e26047a6040dbb265d519af7f47928a792b4cb18e</vt:lpwstr>
  </property>
</Properties>
</file>