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75E2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75E2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575E2D">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92CAAFD" w:rsidR="00E978D0" w:rsidRPr="00B57B36" w:rsidRDefault="00575E2D" w:rsidP="00E978D0">
      <w:pPr>
        <w:pStyle w:val="CETTitle"/>
      </w:pPr>
      <w:r w:rsidRPr="00575E2D">
        <w:t>Unveiling the Achille</w:t>
      </w:r>
      <w:r w:rsidR="00674632">
        <w:t>’</w:t>
      </w:r>
      <w:r w:rsidRPr="00575E2D">
        <w:t>s</w:t>
      </w:r>
      <w:r w:rsidR="00674632">
        <w:t xml:space="preserve"> </w:t>
      </w:r>
      <w:r w:rsidRPr="00575E2D">
        <w:t xml:space="preserve">heel: </w:t>
      </w:r>
      <w:r w:rsidR="009E1E54">
        <w:t>D</w:t>
      </w:r>
      <w:r w:rsidRPr="00575E2D">
        <w:t>etec</w:t>
      </w:r>
      <w:r>
        <w:t>ti</w:t>
      </w:r>
      <w:r w:rsidRPr="00575E2D">
        <w:t xml:space="preserve">ng </w:t>
      </w:r>
      <w:r w:rsidR="009E1E54">
        <w:t>O</w:t>
      </w:r>
      <w:r w:rsidRPr="00575E2D">
        <w:t>rganiza</w:t>
      </w:r>
      <w:r>
        <w:t>ti</w:t>
      </w:r>
      <w:r w:rsidRPr="00575E2D">
        <w:t xml:space="preserve">onal </w:t>
      </w:r>
      <w:r w:rsidR="009E1E54">
        <w:t>W</w:t>
      </w:r>
      <w:r w:rsidRPr="00575E2D">
        <w:t xml:space="preserve">eaknesses in the </w:t>
      </w:r>
      <w:r w:rsidR="009E1E54">
        <w:t>E</w:t>
      </w:r>
      <w:r w:rsidRPr="00575E2D">
        <w:t>nerge</w:t>
      </w:r>
      <w:r>
        <w:t>ti</w:t>
      </w:r>
      <w:r w:rsidRPr="00575E2D">
        <w:t xml:space="preserve">c </w:t>
      </w:r>
      <w:r w:rsidR="009E1E54">
        <w:t>T</w:t>
      </w:r>
      <w:r w:rsidRPr="00575E2D">
        <w:t>ransi</w:t>
      </w:r>
      <w:r>
        <w:t>ti</w:t>
      </w:r>
      <w:r w:rsidRPr="00575E2D">
        <w:t xml:space="preserve">on </w:t>
      </w:r>
      <w:r w:rsidR="009E1E54">
        <w:t>C</w:t>
      </w:r>
      <w:r w:rsidRPr="00575E2D">
        <w:t>hallenge</w:t>
      </w:r>
    </w:p>
    <w:p w14:paraId="0488FED2" w14:textId="0A6F1022" w:rsidR="00B57E6F" w:rsidRPr="00575E2D" w:rsidRDefault="00575E2D" w:rsidP="00B57E6F">
      <w:pPr>
        <w:pStyle w:val="CETAuthors"/>
        <w:rPr>
          <w:lang w:val="it-IT"/>
        </w:rPr>
      </w:pPr>
      <w:r w:rsidRPr="00575E2D">
        <w:rPr>
          <w:lang w:val="it-IT"/>
        </w:rPr>
        <w:t>Tomaso Vairo</w:t>
      </w:r>
      <w:r w:rsidR="00897BFB" w:rsidRPr="00897BFB">
        <w:rPr>
          <w:vertAlign w:val="superscript"/>
          <w:lang w:val="it-IT"/>
        </w:rPr>
        <w:t>1</w:t>
      </w:r>
      <w:r w:rsidRPr="00575E2D">
        <w:rPr>
          <w:lang w:val="it-IT"/>
        </w:rPr>
        <w:t xml:space="preserve">, </w:t>
      </w:r>
      <w:r w:rsidR="00897BFB">
        <w:rPr>
          <w:lang w:val="it-IT"/>
        </w:rPr>
        <w:t>Patrizia Agnello</w:t>
      </w:r>
      <w:r w:rsidR="00897BFB" w:rsidRPr="00014DA0">
        <w:rPr>
          <w:vertAlign w:val="superscript"/>
          <w:lang w:val="it-IT"/>
        </w:rPr>
        <w:t>2</w:t>
      </w:r>
      <w:r w:rsidR="00897BFB">
        <w:rPr>
          <w:vertAlign w:val="superscript"/>
          <w:lang w:val="it-IT"/>
        </w:rPr>
        <w:t xml:space="preserve"> </w:t>
      </w:r>
      <w:r w:rsidRPr="00575E2D">
        <w:rPr>
          <w:lang w:val="it-IT"/>
        </w:rPr>
        <w:t>Fabio Currò</w:t>
      </w:r>
      <w:r w:rsidR="00897BFB" w:rsidRPr="00897BFB">
        <w:rPr>
          <w:vertAlign w:val="superscript"/>
          <w:lang w:val="it-IT"/>
        </w:rPr>
        <w:t>1</w:t>
      </w:r>
      <w:r w:rsidRPr="00575E2D">
        <w:rPr>
          <w:lang w:val="it-IT"/>
        </w:rPr>
        <w:t>, Bruno Fabiano</w:t>
      </w:r>
      <w:r w:rsidR="00897BFB" w:rsidRPr="00897BFB">
        <w:rPr>
          <w:vertAlign w:val="superscript"/>
          <w:lang w:val="it-IT"/>
        </w:rPr>
        <w:t>1</w:t>
      </w:r>
    </w:p>
    <w:p w14:paraId="1BEAEE2D" w14:textId="77777777" w:rsidR="00897BFB" w:rsidRPr="00897BFB" w:rsidRDefault="00897BFB" w:rsidP="00897BFB">
      <w:pPr>
        <w:pStyle w:val="CETAddress"/>
        <w:rPr>
          <w:lang w:val="en-US"/>
        </w:rPr>
      </w:pPr>
      <w:bookmarkStart w:id="0" w:name="_Hlk495475023"/>
      <w:r w:rsidRPr="00897BFB">
        <w:rPr>
          <w:vertAlign w:val="superscript"/>
          <w:lang w:val="en-US"/>
        </w:rPr>
        <w:t xml:space="preserve">1 </w:t>
      </w:r>
      <w:r w:rsidRPr="00897BFB">
        <w:rPr>
          <w:lang w:val="en-US"/>
        </w:rPr>
        <w:t xml:space="preserve">DICCA - Civil, Chemical and Environmental Engineering Dept., Genoa University, via Opera Pia 15, 16145, Genoa, Italy </w:t>
      </w:r>
    </w:p>
    <w:p w14:paraId="1EC00460" w14:textId="77777777" w:rsidR="00897BFB" w:rsidRPr="00014DA0" w:rsidRDefault="00897BFB" w:rsidP="00897BFB">
      <w:pPr>
        <w:pStyle w:val="CETAddress"/>
        <w:rPr>
          <w:lang w:val="en-US"/>
        </w:rPr>
      </w:pPr>
      <w:r w:rsidRPr="00014DA0">
        <w:rPr>
          <w:vertAlign w:val="superscript"/>
          <w:lang w:val="en-US"/>
        </w:rPr>
        <w:t xml:space="preserve">2 </w:t>
      </w:r>
      <w:r w:rsidRPr="00897BFB">
        <w:rPr>
          <w:lang w:val="en-US"/>
        </w:rPr>
        <w:t>Department of Technological Innovations and Safety of Plants, Products and Anthropic Settlements, INAIL (Italian National Institute for Insurance Against Accidents at Work), Rome, Italy.</w:t>
      </w:r>
    </w:p>
    <w:p w14:paraId="47748A0D" w14:textId="77777777" w:rsidR="00897BFB" w:rsidRPr="00B57B36" w:rsidRDefault="00897BFB" w:rsidP="00897BFB">
      <w:pPr>
        <w:pStyle w:val="CETemail"/>
      </w:pPr>
      <w:r>
        <w:t>* tomaso.vairo@edu.unige.it</w:t>
      </w:r>
    </w:p>
    <w:p w14:paraId="4553925C" w14:textId="4979A71D" w:rsidR="00575E2D" w:rsidRPr="00575E2D" w:rsidRDefault="00575E2D" w:rsidP="00575E2D">
      <w:pPr>
        <w:pStyle w:val="CETBodytext"/>
        <w:rPr>
          <w:lang w:val="en-GB"/>
        </w:rPr>
      </w:pPr>
      <w:r w:rsidRPr="00575E2D">
        <w:rPr>
          <w:lang w:val="en-GB"/>
        </w:rPr>
        <w:t>To be able to thrive in the grand challenges of the current historical moment, which includes important driving</w:t>
      </w:r>
      <w:r>
        <w:rPr>
          <w:lang w:val="en-GB"/>
        </w:rPr>
        <w:t xml:space="preserve"> p</w:t>
      </w:r>
      <w:r w:rsidRPr="00575E2D">
        <w:rPr>
          <w:lang w:val="en-GB"/>
        </w:rPr>
        <w:t>henomena such as climate change, digitaliza</w:t>
      </w:r>
      <w:r>
        <w:rPr>
          <w:lang w:val="en-GB"/>
        </w:rPr>
        <w:t>ti</w:t>
      </w:r>
      <w:r w:rsidRPr="00575E2D">
        <w:rPr>
          <w:lang w:val="en-GB"/>
        </w:rPr>
        <w:t>on and energy transi</w:t>
      </w:r>
      <w:r>
        <w:rPr>
          <w:lang w:val="en-GB"/>
        </w:rPr>
        <w:t>ti</w:t>
      </w:r>
      <w:r w:rsidRPr="00575E2D">
        <w:rPr>
          <w:lang w:val="en-GB"/>
        </w:rPr>
        <w:t>on, the organiza</w:t>
      </w:r>
      <w:r>
        <w:rPr>
          <w:lang w:val="en-GB"/>
        </w:rPr>
        <w:t>ti</w:t>
      </w:r>
      <w:r w:rsidRPr="00575E2D">
        <w:rPr>
          <w:lang w:val="en-GB"/>
        </w:rPr>
        <w:t>ons need a</w:t>
      </w:r>
      <w:r>
        <w:rPr>
          <w:lang w:val="en-GB"/>
        </w:rPr>
        <w:t xml:space="preserve"> c</w:t>
      </w:r>
      <w:r w:rsidRPr="00575E2D">
        <w:rPr>
          <w:lang w:val="en-GB"/>
        </w:rPr>
        <w:t>omprehensive understanding of the organiza</w:t>
      </w:r>
      <w:r>
        <w:rPr>
          <w:lang w:val="en-GB"/>
        </w:rPr>
        <w:t>ti</w:t>
      </w:r>
      <w:r w:rsidRPr="00575E2D">
        <w:rPr>
          <w:lang w:val="en-GB"/>
        </w:rPr>
        <w:t>onal and technical aspects that may pose opportuni</w:t>
      </w:r>
      <w:r>
        <w:rPr>
          <w:lang w:val="en-GB"/>
        </w:rPr>
        <w:t>ti</w:t>
      </w:r>
      <w:r w:rsidRPr="00575E2D">
        <w:rPr>
          <w:lang w:val="en-GB"/>
        </w:rPr>
        <w:t>es and</w:t>
      </w:r>
      <w:r>
        <w:rPr>
          <w:lang w:val="en-GB"/>
        </w:rPr>
        <w:t xml:space="preserve"> r</w:t>
      </w:r>
      <w:r w:rsidRPr="00575E2D">
        <w:rPr>
          <w:lang w:val="en-GB"/>
        </w:rPr>
        <w:t>isks.</w:t>
      </w:r>
    </w:p>
    <w:p w14:paraId="37A61FCE" w14:textId="58D39E9A" w:rsidR="00DA24C6" w:rsidRDefault="00575E2D" w:rsidP="00575E2D">
      <w:pPr>
        <w:pStyle w:val="CETBodytext"/>
      </w:pPr>
      <w:r w:rsidRPr="00575E2D">
        <w:rPr>
          <w:lang w:val="en-GB"/>
        </w:rPr>
        <w:t>This paper presents a novel approach to iden</w:t>
      </w:r>
      <w:r>
        <w:rPr>
          <w:lang w:val="en-GB"/>
        </w:rPr>
        <w:t>ti</w:t>
      </w:r>
      <w:r w:rsidRPr="00575E2D">
        <w:rPr>
          <w:lang w:val="en-GB"/>
        </w:rPr>
        <w:t>fy weak organiza</w:t>
      </w:r>
      <w:r>
        <w:rPr>
          <w:lang w:val="en-GB"/>
        </w:rPr>
        <w:t>ti</w:t>
      </w:r>
      <w:r w:rsidRPr="00575E2D">
        <w:rPr>
          <w:lang w:val="en-GB"/>
        </w:rPr>
        <w:t>onal and technical factors within the context</w:t>
      </w:r>
      <w:r>
        <w:rPr>
          <w:lang w:val="en-GB"/>
        </w:rPr>
        <w:t xml:space="preserve"> o</w:t>
      </w:r>
      <w:r w:rsidRPr="00575E2D">
        <w:rPr>
          <w:lang w:val="en-GB"/>
        </w:rPr>
        <w:t>f the energe</w:t>
      </w:r>
      <w:r>
        <w:rPr>
          <w:lang w:val="en-GB"/>
        </w:rPr>
        <w:t>ti</w:t>
      </w:r>
      <w:r w:rsidRPr="00575E2D">
        <w:rPr>
          <w:lang w:val="en-GB"/>
        </w:rPr>
        <w:t>c transi</w:t>
      </w:r>
      <w:r>
        <w:rPr>
          <w:lang w:val="en-GB"/>
        </w:rPr>
        <w:t>ti</w:t>
      </w:r>
      <w:r w:rsidRPr="00575E2D">
        <w:rPr>
          <w:lang w:val="en-GB"/>
        </w:rPr>
        <w:t>on challenge. To accomplish this, a Machine Learning system is proposed, that</w:t>
      </w:r>
      <w:r>
        <w:rPr>
          <w:lang w:val="en-GB"/>
        </w:rPr>
        <w:t xml:space="preserve"> i</w:t>
      </w:r>
      <w:r w:rsidRPr="00575E2D">
        <w:rPr>
          <w:lang w:val="en-GB"/>
        </w:rPr>
        <w:t>ntegrates, as input features, escala</w:t>
      </w:r>
      <w:r>
        <w:rPr>
          <w:lang w:val="en-GB"/>
        </w:rPr>
        <w:t>ti</w:t>
      </w:r>
      <w:r w:rsidRPr="00575E2D">
        <w:rPr>
          <w:lang w:val="en-GB"/>
        </w:rPr>
        <w:t>on and mi</w:t>
      </w:r>
      <w:r>
        <w:rPr>
          <w:lang w:val="en-GB"/>
        </w:rPr>
        <w:t>ti</w:t>
      </w:r>
      <w:r w:rsidRPr="00575E2D">
        <w:rPr>
          <w:lang w:val="en-GB"/>
        </w:rPr>
        <w:t>ga</w:t>
      </w:r>
      <w:r>
        <w:rPr>
          <w:lang w:val="en-GB"/>
        </w:rPr>
        <w:t>ti</w:t>
      </w:r>
      <w:r w:rsidRPr="00575E2D">
        <w:rPr>
          <w:lang w:val="en-GB"/>
        </w:rPr>
        <w:t>on factors related to the risks that may arise in rela</w:t>
      </w:r>
      <w:r>
        <w:rPr>
          <w:lang w:val="en-GB"/>
        </w:rPr>
        <w:t>ti</w:t>
      </w:r>
      <w:r w:rsidRPr="00575E2D">
        <w:rPr>
          <w:lang w:val="en-GB"/>
        </w:rPr>
        <w:t>on</w:t>
      </w:r>
      <w:r>
        <w:rPr>
          <w:lang w:val="en-GB"/>
        </w:rPr>
        <w:t xml:space="preserve"> t</w:t>
      </w:r>
      <w:r w:rsidRPr="00575E2D">
        <w:rPr>
          <w:lang w:val="en-GB"/>
        </w:rPr>
        <w:t>o the energe</w:t>
      </w:r>
      <w:r>
        <w:rPr>
          <w:lang w:val="en-GB"/>
        </w:rPr>
        <w:t>ti</w:t>
      </w:r>
      <w:r w:rsidRPr="00575E2D">
        <w:rPr>
          <w:lang w:val="en-GB"/>
        </w:rPr>
        <w:t>c transi</w:t>
      </w:r>
      <w:r>
        <w:rPr>
          <w:lang w:val="en-GB"/>
        </w:rPr>
        <w:t>ti</w:t>
      </w:r>
      <w:r w:rsidRPr="00575E2D">
        <w:rPr>
          <w:lang w:val="en-GB"/>
        </w:rPr>
        <w:t>on.</w:t>
      </w:r>
      <w:r w:rsidR="00495056">
        <w:rPr>
          <w:lang w:val="en-GB"/>
        </w:rPr>
        <w:t xml:space="preserve"> </w:t>
      </w:r>
      <w:r w:rsidRPr="00575E2D">
        <w:rPr>
          <w:lang w:val="en-GB"/>
        </w:rPr>
        <w:t>The target variable is an indicator concerning the possible increase in the probability of accidents and near</w:t>
      </w:r>
      <w:r>
        <w:rPr>
          <w:lang w:val="en-GB"/>
        </w:rPr>
        <w:t xml:space="preserve"> m</w:t>
      </w:r>
      <w:r w:rsidRPr="00575E2D">
        <w:rPr>
          <w:lang w:val="en-GB"/>
        </w:rPr>
        <w:t>isses, which is selected as an effec</w:t>
      </w:r>
      <w:r>
        <w:rPr>
          <w:lang w:val="en-GB"/>
        </w:rPr>
        <w:t>ti</w:t>
      </w:r>
      <w:r w:rsidRPr="00575E2D">
        <w:rPr>
          <w:lang w:val="en-GB"/>
        </w:rPr>
        <w:t>ve detector of poten</w:t>
      </w:r>
      <w:r>
        <w:rPr>
          <w:lang w:val="en-GB"/>
        </w:rPr>
        <w:t>ti</w:t>
      </w:r>
      <w:r w:rsidRPr="00575E2D">
        <w:rPr>
          <w:lang w:val="en-GB"/>
        </w:rPr>
        <w:t>al weaknesses in the system. The primary objec</w:t>
      </w:r>
      <w:r>
        <w:rPr>
          <w:lang w:val="en-GB"/>
        </w:rPr>
        <w:t>ti</w:t>
      </w:r>
      <w:r w:rsidRPr="00575E2D">
        <w:rPr>
          <w:lang w:val="en-GB"/>
        </w:rPr>
        <w:t>ve</w:t>
      </w:r>
      <w:r>
        <w:rPr>
          <w:lang w:val="en-GB"/>
        </w:rPr>
        <w:t xml:space="preserve"> i</w:t>
      </w:r>
      <w:r w:rsidRPr="00575E2D">
        <w:rPr>
          <w:lang w:val="en-GB"/>
        </w:rPr>
        <w:t>s to uncover organiza</w:t>
      </w:r>
      <w:r>
        <w:rPr>
          <w:lang w:val="en-GB"/>
        </w:rPr>
        <w:t>ti</w:t>
      </w:r>
      <w:r w:rsidRPr="00575E2D">
        <w:rPr>
          <w:lang w:val="en-GB"/>
        </w:rPr>
        <w:t>onal aspects that influence the mi</w:t>
      </w:r>
      <w:r>
        <w:rPr>
          <w:lang w:val="en-GB"/>
        </w:rPr>
        <w:t>ti</w:t>
      </w:r>
      <w:r w:rsidRPr="00575E2D">
        <w:rPr>
          <w:lang w:val="en-GB"/>
        </w:rPr>
        <w:t>ga</w:t>
      </w:r>
      <w:r>
        <w:rPr>
          <w:lang w:val="en-GB"/>
        </w:rPr>
        <w:t>ti</w:t>
      </w:r>
      <w:r w:rsidRPr="00575E2D">
        <w:rPr>
          <w:lang w:val="en-GB"/>
        </w:rPr>
        <w:t>on, or enhancement of technological risks</w:t>
      </w:r>
      <w:r>
        <w:rPr>
          <w:lang w:val="en-GB"/>
        </w:rPr>
        <w:t xml:space="preserve"> d</w:t>
      </w:r>
      <w:r w:rsidRPr="00575E2D">
        <w:rPr>
          <w:lang w:val="en-GB"/>
        </w:rPr>
        <w:t>uring the energe</w:t>
      </w:r>
      <w:r>
        <w:rPr>
          <w:lang w:val="en-GB"/>
        </w:rPr>
        <w:t>ti</w:t>
      </w:r>
      <w:r w:rsidRPr="00575E2D">
        <w:rPr>
          <w:lang w:val="en-GB"/>
        </w:rPr>
        <w:t>c transi</w:t>
      </w:r>
      <w:r>
        <w:rPr>
          <w:lang w:val="en-GB"/>
        </w:rPr>
        <w:t>ti</w:t>
      </w:r>
      <w:r w:rsidRPr="00575E2D">
        <w:rPr>
          <w:lang w:val="en-GB"/>
        </w:rPr>
        <w:t>on. By analysing the interplay between organiza</w:t>
      </w:r>
      <w:r>
        <w:rPr>
          <w:lang w:val="en-GB"/>
        </w:rPr>
        <w:t>ti</w:t>
      </w:r>
      <w:r w:rsidRPr="00575E2D">
        <w:rPr>
          <w:lang w:val="en-GB"/>
        </w:rPr>
        <w:t>onal and technical factors and</w:t>
      </w:r>
      <w:r>
        <w:rPr>
          <w:lang w:val="en-GB"/>
        </w:rPr>
        <w:t xml:space="preserve"> t</w:t>
      </w:r>
      <w:r w:rsidRPr="00575E2D">
        <w:rPr>
          <w:lang w:val="en-GB"/>
        </w:rPr>
        <w:t>heir role on preven</w:t>
      </w:r>
      <w:r>
        <w:rPr>
          <w:lang w:val="en-GB"/>
        </w:rPr>
        <w:t>ti</w:t>
      </w:r>
      <w:r w:rsidRPr="00575E2D">
        <w:rPr>
          <w:lang w:val="en-GB"/>
        </w:rPr>
        <w:t>ve and mi</w:t>
      </w:r>
      <w:r>
        <w:rPr>
          <w:lang w:val="en-GB"/>
        </w:rPr>
        <w:t>ti</w:t>
      </w:r>
      <w:r w:rsidRPr="00575E2D">
        <w:rPr>
          <w:lang w:val="en-GB"/>
        </w:rPr>
        <w:t>ga</w:t>
      </w:r>
      <w:r>
        <w:rPr>
          <w:lang w:val="en-GB"/>
        </w:rPr>
        <w:t>ti</w:t>
      </w:r>
      <w:r w:rsidRPr="00575E2D">
        <w:rPr>
          <w:lang w:val="en-GB"/>
        </w:rPr>
        <w:t>ng barriers, this paper aims at iden</w:t>
      </w:r>
      <w:r>
        <w:rPr>
          <w:lang w:val="en-GB"/>
        </w:rPr>
        <w:t>ti</w:t>
      </w:r>
      <w:r w:rsidRPr="00575E2D">
        <w:rPr>
          <w:lang w:val="en-GB"/>
        </w:rPr>
        <w:t>fying cri</w:t>
      </w:r>
      <w:r>
        <w:rPr>
          <w:lang w:val="en-GB"/>
        </w:rPr>
        <w:t>ti</w:t>
      </w:r>
      <w:r w:rsidRPr="00575E2D">
        <w:rPr>
          <w:lang w:val="en-GB"/>
        </w:rPr>
        <w:t>cal areas that require</w:t>
      </w:r>
      <w:r>
        <w:rPr>
          <w:lang w:val="en-GB"/>
        </w:rPr>
        <w:t xml:space="preserve"> Att</w:t>
      </w:r>
      <w:r w:rsidRPr="00575E2D">
        <w:rPr>
          <w:lang w:val="en-GB"/>
        </w:rPr>
        <w:t>en</w:t>
      </w:r>
      <w:r>
        <w:rPr>
          <w:lang w:val="en-GB"/>
        </w:rPr>
        <w:t>ti</w:t>
      </w:r>
      <w:r w:rsidRPr="00575E2D">
        <w:rPr>
          <w:lang w:val="en-GB"/>
        </w:rPr>
        <w:t>on and improvement to ensure a smooth and successful energe</w:t>
      </w:r>
      <w:r>
        <w:rPr>
          <w:lang w:val="en-GB"/>
        </w:rPr>
        <w:t>ti</w:t>
      </w:r>
      <w:r w:rsidRPr="00575E2D">
        <w:rPr>
          <w:lang w:val="en-GB"/>
        </w:rPr>
        <w:t>c transi</w:t>
      </w:r>
      <w:r>
        <w:rPr>
          <w:lang w:val="en-GB"/>
        </w:rPr>
        <w:t>ti</w:t>
      </w:r>
      <w:r w:rsidRPr="00575E2D">
        <w:rPr>
          <w:lang w:val="en-GB"/>
        </w:rPr>
        <w:t>on process. A reference case</w:t>
      </w:r>
      <w:r>
        <w:rPr>
          <w:lang w:val="en-GB"/>
        </w:rPr>
        <w:t>-</w:t>
      </w:r>
      <w:r w:rsidRPr="00575E2D">
        <w:rPr>
          <w:lang w:val="en-GB"/>
        </w:rPr>
        <w:t xml:space="preserve">study is </w:t>
      </w:r>
      <w:r>
        <w:rPr>
          <w:lang w:val="en-GB"/>
        </w:rPr>
        <w:t>p</w:t>
      </w:r>
      <w:r w:rsidRPr="00575E2D">
        <w:rPr>
          <w:lang w:val="en-GB"/>
        </w:rPr>
        <w:t>resented to demonstrate the actual capability of the presented framework.</w:t>
      </w:r>
      <w:r w:rsidR="00495056">
        <w:rPr>
          <w:lang w:val="en-GB"/>
        </w:rPr>
        <w:t xml:space="preserve"> </w:t>
      </w:r>
      <w:r w:rsidRPr="00575E2D">
        <w:rPr>
          <w:lang w:val="en-GB"/>
        </w:rPr>
        <w:t>The findings of this study have prac</w:t>
      </w:r>
      <w:r>
        <w:rPr>
          <w:lang w:val="en-GB"/>
        </w:rPr>
        <w:t>ti</w:t>
      </w:r>
      <w:r w:rsidRPr="00575E2D">
        <w:rPr>
          <w:lang w:val="en-GB"/>
        </w:rPr>
        <w:t>cal implica</w:t>
      </w:r>
      <w:r>
        <w:rPr>
          <w:lang w:val="en-GB"/>
        </w:rPr>
        <w:t>ti</w:t>
      </w:r>
      <w:r w:rsidRPr="00575E2D">
        <w:rPr>
          <w:lang w:val="en-GB"/>
        </w:rPr>
        <w:t>ons in the defini</w:t>
      </w:r>
      <w:r>
        <w:rPr>
          <w:lang w:val="en-GB"/>
        </w:rPr>
        <w:t>ti</w:t>
      </w:r>
      <w:r w:rsidRPr="00575E2D">
        <w:rPr>
          <w:lang w:val="en-GB"/>
        </w:rPr>
        <w:t>on of organiza</w:t>
      </w:r>
      <w:r>
        <w:rPr>
          <w:lang w:val="en-GB"/>
        </w:rPr>
        <w:t>ti</w:t>
      </w:r>
      <w:r w:rsidRPr="00575E2D">
        <w:rPr>
          <w:lang w:val="en-GB"/>
        </w:rPr>
        <w:t>onal priori</w:t>
      </w:r>
      <w:r>
        <w:rPr>
          <w:lang w:val="en-GB"/>
        </w:rPr>
        <w:t>ti</w:t>
      </w:r>
      <w:r w:rsidRPr="00575E2D">
        <w:rPr>
          <w:lang w:val="en-GB"/>
        </w:rPr>
        <w:t>es in managing</w:t>
      </w:r>
      <w:r>
        <w:rPr>
          <w:lang w:val="en-GB"/>
        </w:rPr>
        <w:t xml:space="preserve"> t</w:t>
      </w:r>
      <w:r w:rsidRPr="00575E2D">
        <w:rPr>
          <w:lang w:val="en-GB"/>
        </w:rPr>
        <w:t>he energe</w:t>
      </w:r>
      <w:r>
        <w:rPr>
          <w:lang w:val="en-GB"/>
        </w:rPr>
        <w:t>ti</w:t>
      </w:r>
      <w:r w:rsidRPr="00575E2D">
        <w:rPr>
          <w:lang w:val="en-GB"/>
        </w:rPr>
        <w:t>c transi</w:t>
      </w:r>
      <w:r>
        <w:rPr>
          <w:lang w:val="en-GB"/>
        </w:rPr>
        <w:t>ti</w:t>
      </w:r>
      <w:r w:rsidRPr="00575E2D">
        <w:rPr>
          <w:lang w:val="en-GB"/>
        </w:rPr>
        <w:t>on; the iden</w:t>
      </w:r>
      <w:r>
        <w:rPr>
          <w:lang w:val="en-GB"/>
        </w:rPr>
        <w:t>ti</w:t>
      </w:r>
      <w:r w:rsidRPr="00575E2D">
        <w:rPr>
          <w:lang w:val="en-GB"/>
        </w:rPr>
        <w:t>fied weaknesses can serve as a basis for targeted interven</w:t>
      </w:r>
      <w:r>
        <w:rPr>
          <w:lang w:val="en-GB"/>
        </w:rPr>
        <w:t>ti</w:t>
      </w:r>
      <w:r w:rsidRPr="00575E2D">
        <w:rPr>
          <w:lang w:val="en-GB"/>
        </w:rPr>
        <w:t>ons and</w:t>
      </w:r>
      <w:r>
        <w:rPr>
          <w:lang w:val="en-GB"/>
        </w:rPr>
        <w:t xml:space="preserve"> s</w:t>
      </w:r>
      <w:r w:rsidRPr="00575E2D">
        <w:rPr>
          <w:lang w:val="en-GB"/>
        </w:rPr>
        <w:t>trategic decision-making, allowing for more effec</w:t>
      </w:r>
      <w:r>
        <w:rPr>
          <w:lang w:val="en-GB"/>
        </w:rPr>
        <w:t>ti</w:t>
      </w:r>
      <w:r w:rsidRPr="00575E2D">
        <w:rPr>
          <w:lang w:val="en-GB"/>
        </w:rPr>
        <w:t>ve risk management and improved outcomes during the</w:t>
      </w:r>
      <w:r>
        <w:rPr>
          <w:lang w:val="en-GB"/>
        </w:rPr>
        <w:t xml:space="preserve"> e</w:t>
      </w:r>
      <w:r w:rsidRPr="00575E2D">
        <w:rPr>
          <w:lang w:val="en-GB"/>
        </w:rPr>
        <w:t>nergy transi</w:t>
      </w:r>
      <w:r>
        <w:rPr>
          <w:lang w:val="en-GB"/>
        </w:rPr>
        <w:t>ti</w:t>
      </w:r>
      <w:r w:rsidRPr="00575E2D">
        <w:rPr>
          <w:lang w:val="en-GB"/>
        </w:rPr>
        <w:t>on.</w:t>
      </w:r>
      <w:bookmarkEnd w:id="0"/>
    </w:p>
    <w:p w14:paraId="476B2F2E" w14:textId="77777777" w:rsidR="00600535" w:rsidRPr="00B57B36" w:rsidRDefault="00600535" w:rsidP="00600535">
      <w:pPr>
        <w:pStyle w:val="CETHeading1"/>
        <w:rPr>
          <w:lang w:val="en-GB"/>
        </w:rPr>
      </w:pPr>
      <w:r w:rsidRPr="00B57B36">
        <w:rPr>
          <w:lang w:val="en-GB"/>
        </w:rPr>
        <w:t>Introduction</w:t>
      </w:r>
    </w:p>
    <w:p w14:paraId="511F885E" w14:textId="7619FCD0" w:rsidR="00972985" w:rsidRDefault="00575E2D" w:rsidP="00A41231">
      <w:r w:rsidRPr="00575E2D">
        <w:t>The global energy landscape is undergoing a significant transformation as countries strive to transition towards more sustainable and low-carbon sources of energy</w:t>
      </w:r>
      <w:r w:rsidR="005134A6">
        <w:t xml:space="preserve"> (Schischke et al., 2023)</w:t>
      </w:r>
      <w:r w:rsidRPr="00575E2D">
        <w:t xml:space="preserve">. This energetic transition, driven by the need to mitigate climate change and </w:t>
      </w:r>
      <w:r w:rsidRPr="00F829A9">
        <w:t>reduce greenhouse gas emissions, presents new opportunities and challenges for various industries</w:t>
      </w:r>
      <w:r w:rsidR="00F50836">
        <w:t xml:space="preserve"> (Pasman et al., 2023)</w:t>
      </w:r>
      <w:r w:rsidRPr="00F829A9">
        <w:t xml:space="preserve">. </w:t>
      </w:r>
      <w:r w:rsidR="00077286" w:rsidRPr="00F829A9">
        <w:t xml:space="preserve">In this regard, new approaches both conceptual and combined data-experience driven, as well as innovative technical/engineering solutions are needed to achieve UN Sustainable Development Goals 2 (zero hunger), 3 (health and wellbeing), 6 (clean water and sanitation), 7 (affordable and clean energy), 9 (industry, innovation and infrastructure) and 12 (responsible production and consumption). </w:t>
      </w:r>
      <w:r w:rsidRPr="00F829A9">
        <w:t>While the transition to renewable energy sources brings numerous benefits, such as reduced environmental impact and improved energy efficiency, it also introduces new and emerging risks that need to be effectively managed</w:t>
      </w:r>
      <w:r w:rsidR="005134A6" w:rsidRPr="00F829A9">
        <w:t xml:space="preserve"> (Chen et al., 2023</w:t>
      </w:r>
      <w:r w:rsidR="00ED60E0" w:rsidRPr="00F829A9">
        <w:t xml:space="preserve">). A peculiar aspect is related to </w:t>
      </w:r>
      <w:r w:rsidR="00125559" w:rsidRPr="00F829A9">
        <w:t>challenges are still to be addressed in order to make further</w:t>
      </w:r>
      <w:r w:rsidR="00ED60E0" w:rsidRPr="00F829A9">
        <w:t xml:space="preserve"> </w:t>
      </w:r>
      <w:r w:rsidR="00125559" w:rsidRPr="00F829A9">
        <w:t>progress in safety and sustainability of plants and processes moving</w:t>
      </w:r>
      <w:r w:rsidR="00ED60E0" w:rsidRPr="00F829A9">
        <w:t xml:space="preserve"> </w:t>
      </w:r>
      <w:r w:rsidR="00125559" w:rsidRPr="00F829A9">
        <w:t>towards Safety 4.0</w:t>
      </w:r>
      <w:r w:rsidR="00ED60E0" w:rsidRPr="00F829A9">
        <w:t>,</w:t>
      </w:r>
      <w:r w:rsidR="00125559" w:rsidRPr="00F829A9">
        <w:t xml:space="preserve"> identifying the beneﬁts of </w:t>
      </w:r>
      <w:r w:rsidR="00ED60E0" w:rsidRPr="00F829A9">
        <w:t xml:space="preserve">digitalization </w:t>
      </w:r>
      <w:r w:rsidR="00125559" w:rsidRPr="00F829A9">
        <w:t>technology to the management of major hazards</w:t>
      </w:r>
      <w:r w:rsidR="00ED60E0" w:rsidRPr="00F829A9">
        <w:t xml:space="preserve"> and </w:t>
      </w:r>
      <w:r w:rsidR="00125559" w:rsidRPr="00F829A9">
        <w:t xml:space="preserve">ensuring </w:t>
      </w:r>
      <w:r w:rsidR="00ED60E0" w:rsidRPr="00F829A9">
        <w:t xml:space="preserve">that </w:t>
      </w:r>
      <w:r w:rsidR="00125559" w:rsidRPr="00F829A9">
        <w:t>the risks of the technology are understood and correctly managed.</w:t>
      </w:r>
      <w:r w:rsidR="00ED60E0" w:rsidRPr="00F829A9">
        <w:t xml:space="preserve"> </w:t>
      </w:r>
      <w:r w:rsidR="00077286" w:rsidRPr="00077286">
        <w:t>Novel and improved methods</w:t>
      </w:r>
      <w:r w:rsidR="00077286">
        <w:t xml:space="preserve"> </w:t>
      </w:r>
      <w:r w:rsidR="00077286" w:rsidRPr="00077286">
        <w:t>for early warning, prediction of actual risk and safety warranty,</w:t>
      </w:r>
      <w:r w:rsidR="00077286">
        <w:t xml:space="preserve"> </w:t>
      </w:r>
      <w:r w:rsidR="00077286" w:rsidRPr="00077286">
        <w:t>both from a design point of view and in the dynamic situation of</w:t>
      </w:r>
      <w:r w:rsidR="00077286">
        <w:t xml:space="preserve"> </w:t>
      </w:r>
      <w:r w:rsidR="00077286" w:rsidRPr="00077286">
        <w:t>operation</w:t>
      </w:r>
      <w:r w:rsidR="00077286">
        <w:t xml:space="preserve"> are currently investigated and teste at different scales (Pasman and Fabiano, 2021)</w:t>
      </w:r>
      <w:r w:rsidRPr="00575E2D">
        <w:t xml:space="preserve">. </w:t>
      </w:r>
      <w:r w:rsidR="00372408">
        <w:t>An</w:t>
      </w:r>
      <w:r w:rsidR="00372408" w:rsidRPr="00372408">
        <w:t xml:space="preserve"> integrated approach implement</w:t>
      </w:r>
      <w:r w:rsidR="006F353B">
        <w:t>ing</w:t>
      </w:r>
      <w:r w:rsidR="00372408" w:rsidRPr="00372408">
        <w:t xml:space="preserve"> process and risk analysis aprioristically at the conceptualization stage of a process and to compare quantitatively emerging technologies in terms of intrinsic safety</w:t>
      </w:r>
      <w:r w:rsidR="00372408">
        <w:t xml:space="preserve"> </w:t>
      </w:r>
      <w:r w:rsidR="006F353B">
        <w:t xml:space="preserve">based on the Fire and Explosion Index (F&amp;EI) allows the dynamic quantitative comparison of different design solutions (Bassani et al., 2023). </w:t>
      </w:r>
      <w:r w:rsidR="00ED60E0" w:rsidRPr="00575E2D">
        <w:t xml:space="preserve">In this study, </w:t>
      </w:r>
      <w:r w:rsidR="00ED60E0">
        <w:t>the focus is the</w:t>
      </w:r>
      <w:r w:rsidR="00ED60E0" w:rsidRPr="00575E2D">
        <w:t xml:space="preserve"> understanding the factors influencing safety</w:t>
      </w:r>
      <w:r w:rsidR="00ED60E0">
        <w:t>, in terms of</w:t>
      </w:r>
      <w:r w:rsidR="00ED60E0" w:rsidRPr="00575E2D">
        <w:t xml:space="preserve"> </w:t>
      </w:r>
      <w:r w:rsidR="00ED60E0">
        <w:t>ac</w:t>
      </w:r>
      <w:r w:rsidR="00ED60E0" w:rsidRPr="00575E2D">
        <w:t xml:space="preserve">cidents and near </w:t>
      </w:r>
      <w:r w:rsidR="00ED60E0" w:rsidRPr="00575E2D">
        <w:lastRenderedPageBreak/>
        <w:t>misses</w:t>
      </w:r>
      <w:r w:rsidR="00ED60E0">
        <w:t>,</w:t>
      </w:r>
      <w:r w:rsidR="00ED60E0" w:rsidRPr="00575E2D">
        <w:t xml:space="preserve"> </w:t>
      </w:r>
      <w:r w:rsidR="00A41231">
        <w:t>with</w:t>
      </w:r>
      <w:r w:rsidR="00ED60E0" w:rsidRPr="00575E2D">
        <w:t xml:space="preserve">in the context of the ongoing energetic transition. </w:t>
      </w:r>
      <w:r w:rsidR="00A41231" w:rsidRPr="00A41231">
        <w:t xml:space="preserve">Based on accident and literature reviews and expert opinions, </w:t>
      </w:r>
      <w:r w:rsidR="00A41231">
        <w:t xml:space="preserve">starting from </w:t>
      </w:r>
      <w:r w:rsidR="00A41231" w:rsidRPr="00A41231">
        <w:t>the major contributing factors among leadership and safety culture, risk aware-ness, knowledge and competence, communication, and information and decision</w:t>
      </w:r>
      <w:r w:rsidR="00A41231" w:rsidRPr="00A41231">
        <w:rPr>
          <w:rFonts w:ascii="Cambria Math" w:hAnsi="Cambria Math" w:cs="Cambria Math"/>
        </w:rPr>
        <w:t>‐</w:t>
      </w:r>
      <w:r w:rsidR="00A41231" w:rsidRPr="00A41231">
        <w:t>making processes</w:t>
      </w:r>
      <w:r w:rsidR="00A41231">
        <w:t xml:space="preserve"> </w:t>
      </w:r>
      <w:r w:rsidR="00A41231" w:rsidRPr="00A41231">
        <w:t xml:space="preserve">a checklist approach based on the Relative Efficiency Indicator (REI) </w:t>
      </w:r>
      <w:r w:rsidR="00A41231">
        <w:t>allows evaluating the</w:t>
      </w:r>
      <w:r w:rsidR="00A41231" w:rsidRPr="00A41231">
        <w:t xml:space="preserve"> level of commitment of the top leaders in process safety management</w:t>
      </w:r>
      <w:r w:rsidR="00A41231">
        <w:t xml:space="preserve"> (Markowski et al., 2021).</w:t>
      </w:r>
      <w:r w:rsidR="00A41231" w:rsidRPr="00A41231">
        <w:t xml:space="preserve"> </w:t>
      </w:r>
      <w:r w:rsidR="00ED60E0" w:rsidRPr="00575E2D">
        <w:t xml:space="preserve">As industries shift towards </w:t>
      </w:r>
      <w:r w:rsidR="00ED60E0">
        <w:t>new</w:t>
      </w:r>
      <w:r w:rsidR="00ED60E0" w:rsidRPr="00575E2D">
        <w:t xml:space="preserve"> energy technologies</w:t>
      </w:r>
      <w:r w:rsidR="00ED60E0">
        <w:t xml:space="preserve"> and substances</w:t>
      </w:r>
      <w:r w:rsidR="00ED60E0" w:rsidRPr="00575E2D">
        <w:t>, new operational risks, technological complexities and workforce dynamics arise</w:t>
      </w:r>
      <w:r w:rsidR="00ED60E0">
        <w:t xml:space="preserve"> (Vairo et al., 2023).  </w:t>
      </w:r>
      <w:r w:rsidR="00D422F7">
        <w:t>New technologies and processes entail new process and personal hazards, and that much effort is going into renewal towards energy transition, but safety analyses still scarce (Pasman et al., 2023</w:t>
      </w:r>
      <w:r w:rsidR="00C35715">
        <w:t>)</w:t>
      </w:r>
      <w:r w:rsidR="00D422F7">
        <w:t xml:space="preserve">. </w:t>
      </w:r>
      <w:r w:rsidRPr="00575E2D">
        <w:t xml:space="preserve">It is </w:t>
      </w:r>
      <w:r w:rsidR="00D422F7">
        <w:t xml:space="preserve">therefore </w:t>
      </w:r>
      <w:r w:rsidRPr="00575E2D">
        <w:t>crucial to identify and comprehend these factors to ensure the safety, protect the environment, and maintain the reliability and resilience of energy systems.</w:t>
      </w:r>
      <w:r w:rsidR="00077286">
        <w:t xml:space="preserve"> </w:t>
      </w:r>
      <w:r w:rsidR="00972985">
        <w:t xml:space="preserve">In this study, a comprehensive approach to analyze and assess the emerging risks related to energetic transition is employed. The </w:t>
      </w:r>
      <w:r w:rsidR="00A41231">
        <w:t xml:space="preserve">developed </w:t>
      </w:r>
      <w:r w:rsidR="00972985">
        <w:t xml:space="preserve">analysis is based on a combination of quantitative data and qualitative insights obtained through a questionnaire. The first set of features, representing various factors, is organized in a fishbone diagram. The fishbone diagram provides a systematic framework for categorizing and exploring the different aspects that contribute to the identified risks. </w:t>
      </w:r>
      <w:r w:rsidR="00ED60E0">
        <w:t>Additionally</w:t>
      </w:r>
      <w:r w:rsidR="00972985">
        <w:t xml:space="preserve">, advanced machine learning techniques to model and predict the occurrence of accidents and near misses, which are selected as key indicators of emerging risks </w:t>
      </w:r>
      <w:r w:rsidR="0061419D">
        <w:t>with</w:t>
      </w:r>
      <w:r w:rsidR="00972985">
        <w:t>in the context of energetic transition. By leveraging a regression model, we aim to identify the influential factors and subfactors that contribute to these incidents, thereby providing valuable insights for risk assessment and mitigation strategies.</w:t>
      </w:r>
    </w:p>
    <w:p w14:paraId="648577BE" w14:textId="77777777" w:rsidR="00972985" w:rsidRDefault="00972985" w:rsidP="00972985">
      <w:pPr>
        <w:pStyle w:val="CETBodytext"/>
      </w:pPr>
      <w:r>
        <w:t>The primary objectives of this study are to:</w:t>
      </w:r>
    </w:p>
    <w:p w14:paraId="5F7FC9B7" w14:textId="77777777" w:rsidR="00972985" w:rsidRDefault="00972985" w:rsidP="00972985">
      <w:pPr>
        <w:pStyle w:val="CETListbullets"/>
        <w:numPr>
          <w:ilvl w:val="0"/>
          <w:numId w:val="13"/>
        </w:numPr>
      </w:pPr>
      <w:r>
        <w:t>Analyze the factors and subfactors that contribute to emerging risks in the energetic transition.</w:t>
      </w:r>
    </w:p>
    <w:p w14:paraId="446A5D01" w14:textId="1D7E7244" w:rsidR="00972985" w:rsidRDefault="00972985" w:rsidP="00972985">
      <w:pPr>
        <w:pStyle w:val="CETListbullets"/>
        <w:numPr>
          <w:ilvl w:val="0"/>
          <w:numId w:val="13"/>
        </w:numPr>
      </w:pPr>
      <w:r>
        <w:t xml:space="preserve">Develop a regression model to predict the occurrence of incidents and </w:t>
      </w:r>
      <w:r w:rsidR="00C760C2">
        <w:t>quasi-incidents</w:t>
      </w:r>
      <w:r>
        <w:t>.</w:t>
      </w:r>
    </w:p>
    <w:p w14:paraId="3F7EBBF1" w14:textId="77777777" w:rsidR="00972985" w:rsidRDefault="00972985" w:rsidP="00972985">
      <w:pPr>
        <w:pStyle w:val="CETListbullets"/>
        <w:numPr>
          <w:ilvl w:val="0"/>
          <w:numId w:val="13"/>
        </w:numPr>
      </w:pPr>
      <w:r>
        <w:t>Identify the influential factors and subfactors that play a significant role in the occurrence of these incidents.</w:t>
      </w:r>
    </w:p>
    <w:p w14:paraId="7BFCD873" w14:textId="77777777" w:rsidR="00972985" w:rsidRDefault="00972985" w:rsidP="00972985">
      <w:pPr>
        <w:pStyle w:val="CETListbullets"/>
        <w:numPr>
          <w:ilvl w:val="0"/>
          <w:numId w:val="13"/>
        </w:numPr>
      </w:pPr>
      <w:r>
        <w:t>Provide actionable insights for risk assessment and effective decision-making in the context of energetic transition.</w:t>
      </w:r>
    </w:p>
    <w:p w14:paraId="7B309386" w14:textId="72776FFF" w:rsidR="00972985" w:rsidRDefault="00972985" w:rsidP="00575E2D">
      <w:pPr>
        <w:pStyle w:val="CETBodytext"/>
        <w:rPr>
          <w:lang w:val="en-GB"/>
        </w:rPr>
      </w:pPr>
      <w:r>
        <w:t>By gaining a deeper understanding of the factors and subfactors influencing emerging risks, we can proactively address and manage these risks, ensuring a smoother and more sustainable transition towards cleaner and more efficient energy systems.</w:t>
      </w:r>
      <w:r w:rsidR="00D66C8E">
        <w:t xml:space="preserve"> </w:t>
      </w:r>
      <w:r w:rsidR="00575E2D" w:rsidRPr="00575E2D">
        <w:rPr>
          <w:lang w:val="en-GB"/>
        </w:rPr>
        <w:t>To achieve this, a Random Forest Regressor</w:t>
      </w:r>
      <w:r w:rsidR="00B607CD">
        <w:rPr>
          <w:lang w:val="en-GB"/>
        </w:rPr>
        <w:t xml:space="preserve"> (</w:t>
      </w:r>
      <w:r w:rsidR="00B607CD" w:rsidRPr="00B607CD">
        <w:t>Breiman</w:t>
      </w:r>
      <w:r w:rsidR="00B607CD">
        <w:t>, 2001</w:t>
      </w:r>
      <w:r w:rsidR="00B607CD">
        <w:rPr>
          <w:lang w:val="en-GB"/>
        </w:rPr>
        <w:t>)</w:t>
      </w:r>
      <w:r w:rsidR="0058398F">
        <w:rPr>
          <w:lang w:val="en-GB"/>
        </w:rPr>
        <w:t xml:space="preserve"> is implemented</w:t>
      </w:r>
      <w:r w:rsidR="00575E2D" w:rsidRPr="00575E2D">
        <w:rPr>
          <w:lang w:val="en-GB"/>
        </w:rPr>
        <w:t>, a powerful machine learning algorithm capable of capturing complex relationships and providing insights into feature importance</w:t>
      </w:r>
      <w:r>
        <w:rPr>
          <w:lang w:val="en-GB"/>
        </w:rPr>
        <w:t>.</w:t>
      </w:r>
      <w:r w:rsidR="00D66C8E">
        <w:rPr>
          <w:lang w:val="en-GB"/>
        </w:rPr>
        <w:t xml:space="preserve"> </w:t>
      </w:r>
      <w:r>
        <w:rPr>
          <w:lang w:val="en-GB"/>
        </w:rPr>
        <w:t>The features include information on</w:t>
      </w:r>
      <w:r w:rsidR="00575E2D" w:rsidRPr="00575E2D">
        <w:rPr>
          <w:lang w:val="en-GB"/>
        </w:rPr>
        <w:t xml:space="preserve"> hazard levels, contextual aspects, technical considerations, human and organizational factors, as well as anomalies and non-compliance issues specific to the </w:t>
      </w:r>
      <w:r>
        <w:rPr>
          <w:lang w:val="en-GB"/>
        </w:rPr>
        <w:t xml:space="preserve">organizational aspects of safety management. </w:t>
      </w:r>
      <w:r w:rsidR="00D66C8E">
        <w:rPr>
          <w:lang w:val="en-GB"/>
        </w:rPr>
        <w:t>As recently commented (Pasman et al., 2023), h</w:t>
      </w:r>
      <w:r w:rsidR="00D66C8E">
        <w:t xml:space="preserve">uman and organizational failures, failing safety management system, and poor safety culture play in this an important role of which the effects are not easily predictable. So, we should dedicate effort to consider safety aspects, means to control risks, introduce preventative and protective risk reducing measures. On </w:t>
      </w:r>
      <w:r w:rsidR="00AF048E">
        <w:t>these grounds</w:t>
      </w:r>
      <w:r w:rsidR="00D66C8E">
        <w:t>, t</w:t>
      </w:r>
      <w:r>
        <w:rPr>
          <w:lang w:val="en-GB"/>
        </w:rPr>
        <w:t xml:space="preserve">he </w:t>
      </w:r>
      <w:r w:rsidR="00D66C8E">
        <w:rPr>
          <w:lang w:val="en-GB"/>
        </w:rPr>
        <w:t>focus</w:t>
      </w:r>
      <w:r>
        <w:rPr>
          <w:lang w:val="en-GB"/>
        </w:rPr>
        <w:t xml:space="preserve"> is</w:t>
      </w:r>
      <w:r w:rsidR="00575E2D" w:rsidRPr="00575E2D">
        <w:rPr>
          <w:lang w:val="en-GB"/>
        </w:rPr>
        <w:t xml:space="preserve"> to uncover the key drivers of safety </w:t>
      </w:r>
      <w:r>
        <w:rPr>
          <w:lang w:val="en-GB"/>
        </w:rPr>
        <w:t>acci</w:t>
      </w:r>
      <w:r w:rsidR="00575E2D" w:rsidRPr="00575E2D">
        <w:rPr>
          <w:lang w:val="en-GB"/>
        </w:rPr>
        <w:t>dents in this evolving energy landscape</w:t>
      </w:r>
      <w:r w:rsidR="001A6DD3">
        <w:rPr>
          <w:lang w:val="en-GB"/>
        </w:rPr>
        <w:t>, according to a two-step methodology focusing on:</w:t>
      </w:r>
      <w:r w:rsidR="00575E2D" w:rsidRPr="00575E2D">
        <w:rPr>
          <w:lang w:val="en-GB"/>
        </w:rPr>
        <w:t xml:space="preserve"> </w:t>
      </w:r>
    </w:p>
    <w:p w14:paraId="7AFEE4D6" w14:textId="4AD6627C" w:rsidR="00972985" w:rsidRDefault="003B6655" w:rsidP="00972985">
      <w:pPr>
        <w:pStyle w:val="CETListbullets"/>
        <w:numPr>
          <w:ilvl w:val="0"/>
          <w:numId w:val="13"/>
        </w:numPr>
      </w:pPr>
      <w:r>
        <w:t>d</w:t>
      </w:r>
      <w:r w:rsidR="00575E2D" w:rsidRPr="00575E2D">
        <w:t>evelop</w:t>
      </w:r>
      <w:r w:rsidR="001A6DD3">
        <w:t>ing</w:t>
      </w:r>
      <w:r w:rsidR="00575E2D" w:rsidRPr="00575E2D">
        <w:t xml:space="preserve"> a predictive model using the Random Forest Regressor to forecast safety </w:t>
      </w:r>
      <w:r w:rsidR="00972985">
        <w:t>acci</w:t>
      </w:r>
      <w:r w:rsidR="00575E2D" w:rsidRPr="00575E2D">
        <w:t>dents and near misses based on the identified factors in the context of the energetic transition</w:t>
      </w:r>
      <w:r>
        <w:t>;</w:t>
      </w:r>
      <w:r w:rsidR="00575E2D" w:rsidRPr="00575E2D">
        <w:t xml:space="preserve"> </w:t>
      </w:r>
    </w:p>
    <w:p w14:paraId="183A8ED7" w14:textId="0CDAB980" w:rsidR="00972985" w:rsidRDefault="003B6655" w:rsidP="00972985">
      <w:pPr>
        <w:pStyle w:val="CETListbullets"/>
        <w:numPr>
          <w:ilvl w:val="0"/>
          <w:numId w:val="13"/>
        </w:numPr>
      </w:pPr>
      <w:r>
        <w:t>p</w:t>
      </w:r>
      <w:r w:rsidR="00575E2D" w:rsidRPr="00575E2D">
        <w:t>rovid</w:t>
      </w:r>
      <w:r w:rsidR="001A6DD3">
        <w:t>ing</w:t>
      </w:r>
      <w:r w:rsidR="00575E2D" w:rsidRPr="00575E2D">
        <w:t xml:space="preserve"> a detailed analysis of feature importance, shedding light on the factors that have the most significant impact on safety outcomes in this changing energy sector. </w:t>
      </w:r>
    </w:p>
    <w:p w14:paraId="64A1E133" w14:textId="64C718D5" w:rsidR="007931FA" w:rsidRPr="00B57B36" w:rsidRDefault="00575E2D" w:rsidP="00575E2D">
      <w:pPr>
        <w:pStyle w:val="CETBodytext"/>
      </w:pPr>
      <w:r w:rsidRPr="00575E2D">
        <w:rPr>
          <w:lang w:val="en-GB"/>
        </w:rPr>
        <w:t xml:space="preserve">By achieving these objectives, organizations </w:t>
      </w:r>
      <w:r w:rsidR="004C63F7">
        <w:rPr>
          <w:lang w:val="en-GB"/>
        </w:rPr>
        <w:t>could be</w:t>
      </w:r>
      <w:r w:rsidR="00972985">
        <w:rPr>
          <w:lang w:val="en-GB"/>
        </w:rPr>
        <w:t xml:space="preserve"> able to</w:t>
      </w:r>
      <w:r w:rsidRPr="00575E2D">
        <w:rPr>
          <w:lang w:val="en-GB"/>
        </w:rPr>
        <w:t xml:space="preserve"> proactively </w:t>
      </w:r>
      <w:r w:rsidR="00AF048E" w:rsidRPr="00575E2D">
        <w:rPr>
          <w:lang w:val="en-GB"/>
        </w:rPr>
        <w:t>address</w:t>
      </w:r>
      <w:r w:rsidRPr="00575E2D">
        <w:rPr>
          <w:lang w:val="en-GB"/>
        </w:rPr>
        <w:t xml:space="preserve"> emerging risks associated with the energetic transition and ensuring the safety of their operations.</w:t>
      </w:r>
      <w:r w:rsidR="00600535" w:rsidRPr="00FA5F5F">
        <w:rPr>
          <w:lang w:val="en-GB"/>
        </w:rPr>
        <w:t xml:space="preserve"> </w:t>
      </w:r>
    </w:p>
    <w:p w14:paraId="5741900F" w14:textId="1E1D3716" w:rsidR="00453E24" w:rsidRDefault="00B607CD" w:rsidP="00B607CD">
      <w:pPr>
        <w:pStyle w:val="CETHeading1"/>
      </w:pPr>
      <w:r w:rsidRPr="00B607CD">
        <w:t>Materials and Methods</w:t>
      </w:r>
    </w:p>
    <w:p w14:paraId="20A77F8A" w14:textId="4BC7E95A" w:rsidR="00EF15AE" w:rsidRDefault="00EF15AE" w:rsidP="00EF15AE">
      <w:pPr>
        <w:pStyle w:val="CETheadingx"/>
      </w:pPr>
      <w:r>
        <w:t>Data analysis and preprocessing</w:t>
      </w:r>
    </w:p>
    <w:p w14:paraId="4DE9B6CE" w14:textId="4A270681" w:rsidR="005B5BC5" w:rsidRDefault="00B607CD" w:rsidP="00B607CD">
      <w:pPr>
        <w:pStyle w:val="CETBodytext"/>
      </w:pPr>
      <w:r>
        <w:t>The dataset consisted</w:t>
      </w:r>
      <w:r w:rsidR="00F829A9">
        <w:t xml:space="preserve"> firstly of</w:t>
      </w:r>
      <w:r>
        <w:t xml:space="preserve"> factors and subfactors</w:t>
      </w:r>
      <w:r w:rsidR="0043696F">
        <w:t xml:space="preserve">, </w:t>
      </w:r>
      <w:r w:rsidR="0043696F" w:rsidRPr="0043696F">
        <w:t>relate</w:t>
      </w:r>
      <w:r w:rsidR="0043696F">
        <w:t>d</w:t>
      </w:r>
      <w:r w:rsidR="0043696F" w:rsidRPr="0043696F">
        <w:t xml:space="preserve"> to the </w:t>
      </w:r>
      <w:r w:rsidR="00EF15AE">
        <w:t>conditions</w:t>
      </w:r>
      <w:r w:rsidR="0043696F" w:rsidRPr="0043696F">
        <w:t xml:space="preserve"> of the corporate </w:t>
      </w:r>
      <w:r w:rsidR="00EF15AE" w:rsidRPr="0043696F">
        <w:t>organization</w:t>
      </w:r>
      <w:r w:rsidR="00F829A9" w:rsidRPr="00F829A9">
        <w:t xml:space="preserve"> </w:t>
      </w:r>
      <w:r w:rsidR="00F829A9" w:rsidRPr="0043696F">
        <w:t>towards the challenges posed by the energy transition</w:t>
      </w:r>
      <w:r w:rsidR="00F829A9">
        <w:t>,</w:t>
      </w:r>
      <w:r w:rsidR="0043696F" w:rsidRPr="0043696F">
        <w:t xml:space="preserve"> as assessed by different hierarchical levels within companies</w:t>
      </w:r>
      <w:r w:rsidR="00F829A9">
        <w:t xml:space="preserve">. Secondly, </w:t>
      </w:r>
      <w:r w:rsidR="00AF048E">
        <w:t xml:space="preserve">the dataset included the </w:t>
      </w:r>
      <w:r w:rsidR="00F829A9">
        <w:t>validated data retrieved from reports collected by the organizations</w:t>
      </w:r>
      <w:r w:rsidR="00AF048E">
        <w:t>,</w:t>
      </w:r>
      <w:r w:rsidR="00F829A9">
        <w:t xml:space="preserve"> according to the safety management systems </w:t>
      </w:r>
      <w:r w:rsidR="00AF048E">
        <w:t>and covering the</w:t>
      </w:r>
      <w:r w:rsidR="00F829A9">
        <w:t xml:space="preserve"> following items: </w:t>
      </w:r>
      <w:r>
        <w:t>occurrence of incidents</w:t>
      </w:r>
      <w:r w:rsidR="0043696F">
        <w:t>,</w:t>
      </w:r>
      <w:r>
        <w:t xml:space="preserve"> near misses</w:t>
      </w:r>
      <w:r w:rsidR="0043696F">
        <w:t>, anomalies,</w:t>
      </w:r>
      <w:r w:rsidR="00F829A9">
        <w:t xml:space="preserve"> and</w:t>
      </w:r>
      <w:r w:rsidR="0043696F">
        <w:t xml:space="preserve"> on-conformities</w:t>
      </w:r>
      <w:r w:rsidR="00F829A9">
        <w:t xml:space="preserve"> assessment</w:t>
      </w:r>
      <w:r>
        <w:t xml:space="preserve">. </w:t>
      </w:r>
    </w:p>
    <w:p w14:paraId="642763FB" w14:textId="1ABCA94F" w:rsidR="00B607CD" w:rsidRDefault="00B607CD" w:rsidP="00B607CD">
      <w:pPr>
        <w:pStyle w:val="CETBodytext"/>
      </w:pPr>
      <w:r>
        <w:t>The factors were considered</w:t>
      </w:r>
      <w:r w:rsidR="00AF048E">
        <w:t xml:space="preserve"> according to the following classification</w:t>
      </w:r>
      <w:r>
        <w:t>:</w:t>
      </w:r>
    </w:p>
    <w:p w14:paraId="7D7830A0" w14:textId="173636F0" w:rsidR="005B5BC5" w:rsidRPr="005B5BC5" w:rsidRDefault="005B5BC5" w:rsidP="00B607CD">
      <w:pPr>
        <w:pStyle w:val="CETBodytext"/>
        <w:rPr>
          <w:i/>
        </w:rPr>
      </w:pPr>
      <w:r w:rsidRPr="005B5BC5">
        <w:rPr>
          <w:i/>
        </w:rPr>
        <w:t>Accelerating factors</w:t>
      </w:r>
    </w:p>
    <w:p w14:paraId="1E09A94A" w14:textId="77777777" w:rsidR="00B607CD" w:rsidRDefault="00B607CD" w:rsidP="0043696F">
      <w:pPr>
        <w:pStyle w:val="CETListbullets"/>
        <w:numPr>
          <w:ilvl w:val="0"/>
          <w:numId w:val="23"/>
        </w:numPr>
      </w:pPr>
      <w:r w:rsidRPr="00B607CD">
        <w:rPr>
          <w:i/>
        </w:rPr>
        <w:t>Per</w:t>
      </w:r>
      <w:r>
        <w:t xml:space="preserve">: This factor represents the overall hazard level and was further divided into subfactors: </w:t>
      </w:r>
    </w:p>
    <w:p w14:paraId="49046EDF" w14:textId="4ECBC39B" w:rsidR="00B607CD" w:rsidRDefault="00B607CD" w:rsidP="0043696F">
      <w:pPr>
        <w:pStyle w:val="CETListbullets"/>
        <w:numPr>
          <w:ilvl w:val="1"/>
          <w:numId w:val="23"/>
        </w:numPr>
      </w:pPr>
      <w:r w:rsidRPr="00B607CD">
        <w:rPr>
          <w:i/>
        </w:rPr>
        <w:t>Sost</w:t>
      </w:r>
      <w:r>
        <w:rPr>
          <w:i/>
        </w:rPr>
        <w:t xml:space="preserve"> </w:t>
      </w:r>
      <w:r>
        <w:t xml:space="preserve">(Substances characteristics), </w:t>
      </w:r>
    </w:p>
    <w:p w14:paraId="611582BC" w14:textId="045733B1" w:rsidR="00B607CD" w:rsidRDefault="00B607CD" w:rsidP="0043696F">
      <w:pPr>
        <w:pStyle w:val="CETListbullets"/>
        <w:numPr>
          <w:ilvl w:val="1"/>
          <w:numId w:val="23"/>
        </w:numPr>
      </w:pPr>
      <w:r w:rsidRPr="00B607CD">
        <w:rPr>
          <w:i/>
        </w:rPr>
        <w:t>Proc</w:t>
      </w:r>
      <w:r>
        <w:t xml:space="preserve"> (Process characteristics), </w:t>
      </w:r>
    </w:p>
    <w:p w14:paraId="124C5D19" w14:textId="354F7C39" w:rsidR="00B607CD" w:rsidRDefault="00B607CD" w:rsidP="0043696F">
      <w:pPr>
        <w:pStyle w:val="CETListbullets"/>
        <w:numPr>
          <w:ilvl w:val="1"/>
          <w:numId w:val="23"/>
        </w:numPr>
      </w:pPr>
      <w:r w:rsidRPr="00B607CD">
        <w:rPr>
          <w:i/>
        </w:rPr>
        <w:t>Imp_mat</w:t>
      </w:r>
      <w:r>
        <w:t xml:space="preserve"> (Plant and materials characteristics).</w:t>
      </w:r>
    </w:p>
    <w:p w14:paraId="1D3F48EE" w14:textId="77777777" w:rsidR="00B607CD" w:rsidRDefault="00B607CD" w:rsidP="0043696F">
      <w:pPr>
        <w:pStyle w:val="CETListbullets"/>
        <w:numPr>
          <w:ilvl w:val="0"/>
          <w:numId w:val="23"/>
        </w:numPr>
      </w:pPr>
      <w:r w:rsidRPr="00B607CD">
        <w:rPr>
          <w:i/>
        </w:rPr>
        <w:lastRenderedPageBreak/>
        <w:t>Cont</w:t>
      </w:r>
      <w:r>
        <w:t xml:space="preserve">: This factor represents the contextual aspects of the system and was further divided into subfactors: </w:t>
      </w:r>
    </w:p>
    <w:p w14:paraId="287D4565" w14:textId="77777777" w:rsidR="00B607CD" w:rsidRDefault="00B607CD" w:rsidP="0043696F">
      <w:pPr>
        <w:pStyle w:val="CETListbullets"/>
        <w:numPr>
          <w:ilvl w:val="1"/>
          <w:numId w:val="23"/>
        </w:numPr>
        <w:rPr>
          <w:lang w:val="it-IT"/>
        </w:rPr>
      </w:pPr>
      <w:r w:rsidRPr="00B607CD">
        <w:rPr>
          <w:i/>
          <w:lang w:val="it-IT"/>
        </w:rPr>
        <w:t>Log</w:t>
      </w:r>
      <w:r w:rsidRPr="00B607CD">
        <w:rPr>
          <w:lang w:val="it-IT"/>
        </w:rPr>
        <w:t xml:space="preserve"> (Logistic), </w:t>
      </w:r>
    </w:p>
    <w:p w14:paraId="482A4BD8" w14:textId="77777777" w:rsidR="00B607CD" w:rsidRDefault="00B607CD" w:rsidP="0043696F">
      <w:pPr>
        <w:pStyle w:val="CETListbullets"/>
        <w:numPr>
          <w:ilvl w:val="1"/>
          <w:numId w:val="23"/>
        </w:numPr>
        <w:rPr>
          <w:lang w:val="it-IT"/>
        </w:rPr>
      </w:pPr>
      <w:r w:rsidRPr="00B607CD">
        <w:rPr>
          <w:lang w:val="it-IT"/>
        </w:rPr>
        <w:t>Interf</w:t>
      </w:r>
      <w:r>
        <w:rPr>
          <w:lang w:val="it-IT"/>
        </w:rPr>
        <w:t xml:space="preserve"> (Interferences)</w:t>
      </w:r>
      <w:r w:rsidRPr="00B607CD">
        <w:rPr>
          <w:lang w:val="it-IT"/>
        </w:rPr>
        <w:t xml:space="preserve">, </w:t>
      </w:r>
    </w:p>
    <w:p w14:paraId="169C4E5E" w14:textId="15E64E23" w:rsidR="00B607CD" w:rsidRDefault="00B607CD" w:rsidP="0043696F">
      <w:pPr>
        <w:pStyle w:val="CETListbullets"/>
        <w:numPr>
          <w:ilvl w:val="1"/>
          <w:numId w:val="23"/>
        </w:numPr>
        <w:rPr>
          <w:lang w:val="it-IT"/>
        </w:rPr>
      </w:pPr>
      <w:r w:rsidRPr="00B607CD">
        <w:rPr>
          <w:i/>
          <w:lang w:val="it-IT"/>
        </w:rPr>
        <w:t>Soc_pol_fin</w:t>
      </w:r>
      <w:r>
        <w:rPr>
          <w:lang w:val="it-IT"/>
        </w:rPr>
        <w:t xml:space="preserve"> (Societal, Political and financial aspects)</w:t>
      </w:r>
      <w:r w:rsidRPr="00B607CD">
        <w:rPr>
          <w:lang w:val="it-IT"/>
        </w:rPr>
        <w:t>.</w:t>
      </w:r>
    </w:p>
    <w:p w14:paraId="795255B8" w14:textId="2152B175" w:rsidR="005B5BC5" w:rsidRPr="00B607CD" w:rsidRDefault="005B5BC5" w:rsidP="005B5BC5">
      <w:pPr>
        <w:pStyle w:val="CETListbullets"/>
        <w:rPr>
          <w:lang w:val="it-IT"/>
        </w:rPr>
      </w:pPr>
      <w:r>
        <w:rPr>
          <w:i/>
          <w:lang w:val="it-IT"/>
        </w:rPr>
        <w:t>Mitigating factors</w:t>
      </w:r>
    </w:p>
    <w:p w14:paraId="5B37FBAC" w14:textId="5D4230F1" w:rsidR="0043696F" w:rsidRDefault="00B607CD" w:rsidP="0043696F">
      <w:pPr>
        <w:pStyle w:val="CETListbullets"/>
        <w:numPr>
          <w:ilvl w:val="0"/>
          <w:numId w:val="23"/>
        </w:numPr>
      </w:pPr>
      <w:r w:rsidRPr="0043696F">
        <w:rPr>
          <w:i/>
        </w:rPr>
        <w:t>Tec</w:t>
      </w:r>
      <w:r>
        <w:t xml:space="preserve">: This factor </w:t>
      </w:r>
      <w:r w:rsidR="00635D08">
        <w:t>accounts for</w:t>
      </w:r>
      <w:r>
        <w:t xml:space="preserve"> the technical aspects of the system and was further divided into subfactors: </w:t>
      </w:r>
    </w:p>
    <w:p w14:paraId="6838D638" w14:textId="77777777" w:rsidR="0043696F" w:rsidRDefault="00B607CD" w:rsidP="0043696F">
      <w:pPr>
        <w:pStyle w:val="CETListbullets"/>
        <w:numPr>
          <w:ilvl w:val="1"/>
          <w:numId w:val="23"/>
        </w:numPr>
      </w:pPr>
      <w:r w:rsidRPr="0043696F">
        <w:rPr>
          <w:i/>
        </w:rPr>
        <w:t>Affid</w:t>
      </w:r>
      <w:r w:rsidR="0043696F">
        <w:t xml:space="preserve"> (Reliability)</w:t>
      </w:r>
      <w:r>
        <w:t xml:space="preserve"> </w:t>
      </w:r>
    </w:p>
    <w:p w14:paraId="05772E2A" w14:textId="6AF74F4D" w:rsidR="00B607CD" w:rsidRDefault="00B607CD" w:rsidP="0043696F">
      <w:pPr>
        <w:pStyle w:val="CETListbullets"/>
        <w:numPr>
          <w:ilvl w:val="1"/>
          <w:numId w:val="23"/>
        </w:numPr>
      </w:pPr>
      <w:r w:rsidRPr="0043696F">
        <w:rPr>
          <w:i/>
        </w:rPr>
        <w:t>Innov</w:t>
      </w:r>
      <w:r w:rsidR="0043696F">
        <w:t xml:space="preserve"> (Innovation)</w:t>
      </w:r>
      <w:r>
        <w:t>.</w:t>
      </w:r>
    </w:p>
    <w:p w14:paraId="5DEE3C3B" w14:textId="77777777" w:rsidR="0043696F" w:rsidRDefault="00B607CD" w:rsidP="0043696F">
      <w:pPr>
        <w:pStyle w:val="CETListbullets"/>
        <w:numPr>
          <w:ilvl w:val="0"/>
          <w:numId w:val="23"/>
        </w:numPr>
      </w:pPr>
      <w:r w:rsidRPr="0043696F">
        <w:rPr>
          <w:i/>
        </w:rPr>
        <w:t>Um_org</w:t>
      </w:r>
      <w:r>
        <w:t xml:space="preserve">: This factor represents the human and organizational aspects and was further divided into subfactors: </w:t>
      </w:r>
    </w:p>
    <w:p w14:paraId="3EA084F0" w14:textId="77777777" w:rsidR="0043696F" w:rsidRDefault="00B607CD" w:rsidP="0043696F">
      <w:pPr>
        <w:pStyle w:val="CETListbullets"/>
        <w:numPr>
          <w:ilvl w:val="1"/>
          <w:numId w:val="23"/>
        </w:numPr>
      </w:pPr>
      <w:r w:rsidRPr="0043696F">
        <w:rPr>
          <w:i/>
        </w:rPr>
        <w:t>Con</w:t>
      </w:r>
      <w:r w:rsidR="0043696F">
        <w:t xml:space="preserve"> (representative for the overall level of knowledge)</w:t>
      </w:r>
      <w:r>
        <w:t xml:space="preserve">, </w:t>
      </w:r>
    </w:p>
    <w:p w14:paraId="4F307D63" w14:textId="77777777" w:rsidR="0043696F" w:rsidRDefault="00B607CD" w:rsidP="0043696F">
      <w:pPr>
        <w:pStyle w:val="CETListbullets"/>
        <w:numPr>
          <w:ilvl w:val="1"/>
          <w:numId w:val="23"/>
        </w:numPr>
      </w:pPr>
      <w:r w:rsidRPr="0043696F">
        <w:rPr>
          <w:i/>
        </w:rPr>
        <w:t>Cul</w:t>
      </w:r>
      <w:r w:rsidR="0043696F">
        <w:t xml:space="preserve"> (Cultural aspects)</w:t>
      </w:r>
      <w:r>
        <w:t xml:space="preserve">, </w:t>
      </w:r>
    </w:p>
    <w:p w14:paraId="4832B5B5" w14:textId="7C6EA719" w:rsidR="00B607CD" w:rsidRDefault="0043696F" w:rsidP="0043696F">
      <w:pPr>
        <w:pStyle w:val="CETListbullets"/>
        <w:numPr>
          <w:ilvl w:val="1"/>
          <w:numId w:val="23"/>
        </w:numPr>
      </w:pPr>
      <w:r w:rsidRPr="0043696F">
        <w:rPr>
          <w:i/>
        </w:rPr>
        <w:t>Comun</w:t>
      </w:r>
      <w:r>
        <w:t xml:space="preserve"> (Relational aspects)</w:t>
      </w:r>
      <w:r w:rsidR="00B607CD">
        <w:t>.</w:t>
      </w:r>
    </w:p>
    <w:p w14:paraId="3C0D62DE" w14:textId="7E27A5CF" w:rsidR="005B5BC5" w:rsidRDefault="005B5BC5" w:rsidP="005B5BC5">
      <w:pPr>
        <w:pStyle w:val="CETListbullets"/>
      </w:pPr>
      <w:r>
        <w:rPr>
          <w:i/>
        </w:rPr>
        <w:t>Operative experience factors</w:t>
      </w:r>
    </w:p>
    <w:p w14:paraId="5C71C049" w14:textId="69C54FBC" w:rsidR="00B607CD" w:rsidRDefault="00B607CD" w:rsidP="0043696F">
      <w:pPr>
        <w:pStyle w:val="CETListbullets"/>
        <w:numPr>
          <w:ilvl w:val="0"/>
          <w:numId w:val="23"/>
        </w:numPr>
      </w:pPr>
      <w:r w:rsidRPr="0043696F">
        <w:rPr>
          <w:i/>
        </w:rPr>
        <w:t>Inc</w:t>
      </w:r>
      <w:r>
        <w:t>: This represents the occurrence of accidents.</w:t>
      </w:r>
    </w:p>
    <w:p w14:paraId="12EAA111" w14:textId="666C0299" w:rsidR="00B607CD" w:rsidRDefault="00B607CD" w:rsidP="0043696F">
      <w:pPr>
        <w:pStyle w:val="CETListbullets"/>
        <w:numPr>
          <w:ilvl w:val="0"/>
          <w:numId w:val="23"/>
        </w:numPr>
      </w:pPr>
      <w:r w:rsidRPr="0043696F">
        <w:rPr>
          <w:i/>
        </w:rPr>
        <w:t>Q</w:t>
      </w:r>
      <w:r w:rsidR="0043696F" w:rsidRPr="0043696F">
        <w:rPr>
          <w:i/>
        </w:rPr>
        <w:t>_inc</w:t>
      </w:r>
      <w:r>
        <w:t xml:space="preserve">: This </w:t>
      </w:r>
      <w:r w:rsidR="00635D08">
        <w:t xml:space="preserve">item </w:t>
      </w:r>
      <w:r>
        <w:t>represents the occurrence of near misses.</w:t>
      </w:r>
    </w:p>
    <w:p w14:paraId="4E31B5E8" w14:textId="4DF27231" w:rsidR="00B607CD" w:rsidRDefault="00B607CD" w:rsidP="0043696F">
      <w:pPr>
        <w:pStyle w:val="CETListbullets"/>
        <w:numPr>
          <w:ilvl w:val="0"/>
          <w:numId w:val="23"/>
        </w:numPr>
      </w:pPr>
      <w:r w:rsidRPr="0043696F">
        <w:rPr>
          <w:i/>
        </w:rPr>
        <w:t>Anom</w:t>
      </w:r>
      <w:r>
        <w:t xml:space="preserve">: This </w:t>
      </w:r>
      <w:r w:rsidR="00635D08">
        <w:t xml:space="preserve">item </w:t>
      </w:r>
      <w:r>
        <w:t>represents a</w:t>
      </w:r>
      <w:r w:rsidR="0043696F">
        <w:t xml:space="preserve">nomalies </w:t>
      </w:r>
      <w:r>
        <w:t>occurrences.</w:t>
      </w:r>
    </w:p>
    <w:p w14:paraId="641C6FFA" w14:textId="08162879" w:rsidR="00B607CD" w:rsidRPr="0043696F" w:rsidRDefault="00B607CD" w:rsidP="0043696F">
      <w:pPr>
        <w:pStyle w:val="CETListbullets"/>
        <w:numPr>
          <w:ilvl w:val="0"/>
          <w:numId w:val="23"/>
        </w:numPr>
        <w:rPr>
          <w:i/>
        </w:rPr>
      </w:pPr>
      <w:r w:rsidRPr="0043696F">
        <w:rPr>
          <w:i/>
        </w:rPr>
        <w:t>N</w:t>
      </w:r>
      <w:r w:rsidR="0043696F" w:rsidRPr="0043696F">
        <w:rPr>
          <w:i/>
        </w:rPr>
        <w:t>C_maj</w:t>
      </w:r>
      <w:r>
        <w:t xml:space="preserve">: This </w:t>
      </w:r>
      <w:r w:rsidR="00635D08">
        <w:t xml:space="preserve">factor </w:t>
      </w:r>
      <w:r>
        <w:t>represents major non-conformities.</w:t>
      </w:r>
    </w:p>
    <w:p w14:paraId="3200BCD6" w14:textId="537C5324" w:rsidR="00B607CD" w:rsidRDefault="0043696F" w:rsidP="0043696F">
      <w:pPr>
        <w:pStyle w:val="CETListbullets"/>
        <w:numPr>
          <w:ilvl w:val="0"/>
          <w:numId w:val="23"/>
        </w:numPr>
      </w:pPr>
      <w:r w:rsidRPr="0043696F">
        <w:rPr>
          <w:i/>
        </w:rPr>
        <w:t>NC_min</w:t>
      </w:r>
      <w:r w:rsidR="00B607CD">
        <w:t xml:space="preserve">: This </w:t>
      </w:r>
      <w:r w:rsidR="00635D08">
        <w:t xml:space="preserve">factor </w:t>
      </w:r>
      <w:r w:rsidR="00B607CD">
        <w:t>represents minor non-conformities.</w:t>
      </w:r>
    </w:p>
    <w:p w14:paraId="0DB38A8D" w14:textId="6769543B" w:rsidR="00516558" w:rsidRDefault="00B607CD" w:rsidP="00B607CD">
      <w:pPr>
        <w:pStyle w:val="CETBodytext"/>
      </w:pPr>
      <w:r>
        <w:t>T</w:t>
      </w:r>
      <w:r w:rsidR="0043696F">
        <w:t>he factors</w:t>
      </w:r>
      <w:r w:rsidR="00D422F7">
        <w:t xml:space="preserve"> under heading </w:t>
      </w:r>
      <w:r w:rsidR="0043696F">
        <w:t>1 and 2 are considered as accelerating factors for the energy transition risks</w:t>
      </w:r>
      <w:r w:rsidR="00516558">
        <w:t xml:space="preserve">, </w:t>
      </w:r>
      <w:r w:rsidR="00D422F7">
        <w:t xml:space="preserve">while </w:t>
      </w:r>
      <w:r w:rsidR="00516558">
        <w:t>the factors 3 and 4 are the mitigating factors. T</w:t>
      </w:r>
      <w:r w:rsidR="00516558" w:rsidRPr="00516558">
        <w:t>hese data are</w:t>
      </w:r>
      <w:r w:rsidR="00D3396C">
        <w:t xml:space="preserve"> all</w:t>
      </w:r>
      <w:r w:rsidR="00516558" w:rsidRPr="00516558">
        <w:t xml:space="preserve"> included in the model as categorical variables</w:t>
      </w:r>
      <w:r w:rsidR="00516558">
        <w:t>.</w:t>
      </w:r>
    </w:p>
    <w:p w14:paraId="6159309C" w14:textId="546A99EC" w:rsidR="00B607CD" w:rsidRDefault="001A6DD3" w:rsidP="00B607CD">
      <w:pPr>
        <w:pStyle w:val="CETBodytext"/>
      </w:pPr>
      <w:r>
        <w:t>Concerning</w:t>
      </w:r>
      <w:r w:rsidR="00B607CD">
        <w:t xml:space="preserve"> the second set of factors (</w:t>
      </w:r>
      <w:r>
        <w:t xml:space="preserve">i.e., </w:t>
      </w:r>
      <w:r w:rsidR="00516558">
        <w:t>5, 6, 7, 8, 9</w:t>
      </w:r>
      <w:r w:rsidR="00B607CD">
        <w:t xml:space="preserve">), </w:t>
      </w:r>
      <w:r>
        <w:t xml:space="preserve">it should be remarked that </w:t>
      </w:r>
      <w:r w:rsidR="00516558" w:rsidRPr="00516558">
        <w:t>t</w:t>
      </w:r>
      <w:r>
        <w:t>hey</w:t>
      </w:r>
      <w:r w:rsidR="00516558" w:rsidRPr="00516558">
        <w:t xml:space="preserve"> are included in the model by deriving appropriate </w:t>
      </w:r>
      <w:r w:rsidR="00EF15AE">
        <w:t xml:space="preserve">prior </w:t>
      </w:r>
      <w:r w:rsidR="00516558" w:rsidRPr="00516558">
        <w:t>probability distr</w:t>
      </w:r>
      <w:r w:rsidR="00516558">
        <w:t>ibutions from the collected data</w:t>
      </w:r>
      <w:r w:rsidR="00B607CD">
        <w:t>:</w:t>
      </w:r>
    </w:p>
    <w:p w14:paraId="7480BA07" w14:textId="11622C66" w:rsidR="00B607CD" w:rsidRDefault="00B607CD" w:rsidP="00516558">
      <w:pPr>
        <w:pStyle w:val="CETListbullets"/>
        <w:numPr>
          <w:ilvl w:val="0"/>
          <w:numId w:val="13"/>
        </w:numPr>
      </w:pPr>
      <w:r w:rsidRPr="00516558">
        <w:rPr>
          <w:i/>
        </w:rPr>
        <w:t>Inc</w:t>
      </w:r>
      <w:r>
        <w:t xml:space="preserve">: </w:t>
      </w:r>
      <w:r w:rsidR="00516558">
        <w:t>Bounded-normal</w:t>
      </w:r>
      <w:r>
        <w:t xml:space="preserve"> distribution with an expected value of 0.</w:t>
      </w:r>
    </w:p>
    <w:p w14:paraId="096D96A8" w14:textId="72041683" w:rsidR="00B607CD" w:rsidRDefault="00516558" w:rsidP="00516558">
      <w:pPr>
        <w:pStyle w:val="CETListbullets"/>
        <w:numPr>
          <w:ilvl w:val="0"/>
          <w:numId w:val="13"/>
        </w:numPr>
      </w:pPr>
      <w:r w:rsidRPr="00516558">
        <w:rPr>
          <w:i/>
        </w:rPr>
        <w:t>Q_inc</w:t>
      </w:r>
      <w:r w:rsidR="00B607CD">
        <w:t xml:space="preserve">: </w:t>
      </w:r>
      <w:r>
        <w:t>Bounded-normal</w:t>
      </w:r>
      <w:r w:rsidR="00B607CD">
        <w:t xml:space="preserve"> distribution with an expected value of 1.</w:t>
      </w:r>
    </w:p>
    <w:p w14:paraId="4C39651A" w14:textId="0525CD1A" w:rsidR="00B607CD" w:rsidRDefault="00B607CD" w:rsidP="00516558">
      <w:pPr>
        <w:pStyle w:val="CETListbullets"/>
        <w:numPr>
          <w:ilvl w:val="0"/>
          <w:numId w:val="13"/>
        </w:numPr>
      </w:pPr>
      <w:r w:rsidRPr="00EF15AE">
        <w:rPr>
          <w:i/>
        </w:rPr>
        <w:t>Anom</w:t>
      </w:r>
      <w:r>
        <w:t xml:space="preserve">: </w:t>
      </w:r>
      <w:r w:rsidR="00516558">
        <w:t>Bounded-normal</w:t>
      </w:r>
      <w:r>
        <w:t xml:space="preserve"> distribution with an expected value of 5.</w:t>
      </w:r>
    </w:p>
    <w:p w14:paraId="50E86784" w14:textId="43F5533F" w:rsidR="00B607CD" w:rsidRDefault="00B607CD" w:rsidP="00516558">
      <w:pPr>
        <w:pStyle w:val="CETListbullets"/>
        <w:numPr>
          <w:ilvl w:val="0"/>
          <w:numId w:val="13"/>
        </w:numPr>
      </w:pPr>
      <w:r w:rsidRPr="00EF15AE">
        <w:rPr>
          <w:i/>
        </w:rPr>
        <w:t>N</w:t>
      </w:r>
      <w:r w:rsidR="00EF15AE" w:rsidRPr="00EF15AE">
        <w:rPr>
          <w:i/>
        </w:rPr>
        <w:t>C_maj</w:t>
      </w:r>
      <w:r>
        <w:t>: Uniform distribution between 0 and 10</w:t>
      </w:r>
      <w:r w:rsidR="00EF15AE">
        <w:t>0</w:t>
      </w:r>
      <w:r>
        <w:t>.</w:t>
      </w:r>
    </w:p>
    <w:p w14:paraId="7ED82152" w14:textId="3F448D81" w:rsidR="00B607CD" w:rsidRDefault="00B607CD" w:rsidP="00516558">
      <w:pPr>
        <w:pStyle w:val="CETListbullets"/>
        <w:numPr>
          <w:ilvl w:val="0"/>
          <w:numId w:val="13"/>
        </w:numPr>
      </w:pPr>
      <w:r>
        <w:t>N</w:t>
      </w:r>
      <w:r w:rsidR="00EF15AE">
        <w:t>C_min</w:t>
      </w:r>
      <w:r>
        <w:t>: Uniform distribution between 0 and 10</w:t>
      </w:r>
      <w:r w:rsidR="00EF15AE">
        <w:t>0</w:t>
      </w:r>
      <w:r>
        <w:t>.</w:t>
      </w:r>
    </w:p>
    <w:p w14:paraId="78BACD4D" w14:textId="58747367" w:rsidR="00B607CD" w:rsidRDefault="00B607CD" w:rsidP="00B607CD">
      <w:pPr>
        <w:pStyle w:val="CETBodytext"/>
      </w:pPr>
      <w:r>
        <w:t xml:space="preserve">The </w:t>
      </w:r>
      <w:r w:rsidR="00407C4B">
        <w:t xml:space="preserve">whole </w:t>
      </w:r>
      <w:r w:rsidR="00EF15AE">
        <w:t>data</w:t>
      </w:r>
      <w:r w:rsidR="00407C4B">
        <w:t xml:space="preserve"> set</w:t>
      </w:r>
      <w:r>
        <w:t xml:space="preserve"> was </w:t>
      </w:r>
      <w:r w:rsidR="001A6DD3">
        <w:t xml:space="preserve">subsequently </w:t>
      </w:r>
      <w:r>
        <w:t xml:space="preserve">preprocessed to prepare it for model training. The categorical </w:t>
      </w:r>
      <w:r w:rsidR="00EF15AE">
        <w:t>features</w:t>
      </w:r>
      <w:r>
        <w:t xml:space="preserve"> were encoded using label encoding</w:t>
      </w:r>
      <w:r w:rsidR="00EF15AE">
        <w:t xml:space="preserve"> (</w:t>
      </w:r>
      <w:r w:rsidR="00EF15AE" w:rsidRPr="00EF15AE">
        <w:t>Shah</w:t>
      </w:r>
      <w:r w:rsidR="00EF15AE">
        <w:t xml:space="preserve"> et al., 2022)</w:t>
      </w:r>
      <w:r>
        <w:t xml:space="preserve"> to convert them into numerical values. This encoding step </w:t>
      </w:r>
      <w:r w:rsidR="001A6DD3">
        <w:t xml:space="preserve">aims at </w:t>
      </w:r>
      <w:r>
        <w:t>ensur</w:t>
      </w:r>
      <w:r w:rsidR="001A6DD3">
        <w:t>ing</w:t>
      </w:r>
      <w:r>
        <w:t xml:space="preserve"> that </w:t>
      </w:r>
      <w:r w:rsidR="00EF15AE">
        <w:t>machine learning algorithms can properly interpret the data</w:t>
      </w:r>
      <w:r>
        <w:t xml:space="preserve">. </w:t>
      </w:r>
    </w:p>
    <w:p w14:paraId="35ECFFE3" w14:textId="6850DA31" w:rsidR="00EF15AE" w:rsidRDefault="00EF15AE" w:rsidP="00EF15AE">
      <w:pPr>
        <w:pStyle w:val="CETheadingx"/>
      </w:pPr>
      <w:r>
        <w:t>The regression model</w:t>
      </w:r>
    </w:p>
    <w:p w14:paraId="2F383D0C" w14:textId="67D6F0F6" w:rsidR="00B607CD" w:rsidRDefault="00B607CD" w:rsidP="00B607CD">
      <w:pPr>
        <w:pStyle w:val="CETBodytext"/>
      </w:pPr>
      <w:r>
        <w:t>The Random Forest Regressor</w:t>
      </w:r>
      <w:r w:rsidR="00150546">
        <w:t xml:space="preserve"> </w:t>
      </w:r>
      <w:r w:rsidR="00150546">
        <w:rPr>
          <w:lang w:val="en-GB"/>
        </w:rPr>
        <w:t>(</w:t>
      </w:r>
      <w:r w:rsidR="00150546" w:rsidRPr="00B607CD">
        <w:t>Breiman</w:t>
      </w:r>
      <w:r w:rsidR="00150546">
        <w:t>, 2001</w:t>
      </w:r>
      <w:r w:rsidR="00150546">
        <w:rPr>
          <w:lang w:val="en-GB"/>
        </w:rPr>
        <w:t>)</w:t>
      </w:r>
      <w:r>
        <w:t xml:space="preserve"> is an ensemble learning method that combines multiple decision trees to make predictions. Each decision tree in the random forest is trained on a random subset of the data and features, which helps to reduce overfitting and improve generalization.</w:t>
      </w:r>
    </w:p>
    <w:p w14:paraId="2263C5D3" w14:textId="7DF1E8E7" w:rsidR="00F46CFB" w:rsidRDefault="00150546" w:rsidP="00B607CD">
      <w:pPr>
        <w:pStyle w:val="CETBodytext"/>
      </w:pPr>
      <w:r w:rsidRPr="00150546">
        <w:t xml:space="preserve">Random </w:t>
      </w:r>
      <w:r w:rsidR="00F23993">
        <w:t>F</w:t>
      </w:r>
      <w:r w:rsidRPr="00150546">
        <w:t>orests construct many individual decision trees at training. Predictions from all trees are pooled to make the final prediction</w:t>
      </w:r>
      <w:r>
        <w:t>.</w:t>
      </w:r>
      <w:r w:rsidRPr="00150546">
        <w:t xml:space="preserve"> </w:t>
      </w:r>
      <w:r w:rsidR="00F46CFB">
        <w:t>The Random Forest Regressor was chosen as the machine learning model for this study due to its ability to handle both numerical and categorical features, as well as its capability to capture complex relationships within the data. The dataset was split into training and testing sets using an 80:20 ratio.</w:t>
      </w:r>
    </w:p>
    <w:p w14:paraId="337B9465" w14:textId="5E04BD02" w:rsidR="00B607CD" w:rsidRDefault="00150546" w:rsidP="00B607CD">
      <w:pPr>
        <w:pStyle w:val="CETBodytext"/>
      </w:pPr>
      <w:r>
        <w:t>L</w:t>
      </w:r>
      <w:r w:rsidR="00B607CD">
        <w:t xml:space="preserve">et's denote the training dataset as </w:t>
      </w:r>
      <w:r w:rsidR="00B607CD" w:rsidRPr="00150546">
        <w:rPr>
          <w:i/>
        </w:rPr>
        <w:t>X_train</w:t>
      </w:r>
      <w:r w:rsidR="00B607CD">
        <w:t xml:space="preserve">, which consists of n samples (X_train = {x1, x2, ..., xn}) and their corresponding target variables </w:t>
      </w:r>
      <w:r w:rsidR="00B607CD" w:rsidRPr="00150546">
        <w:rPr>
          <w:i/>
        </w:rPr>
        <w:t>Y_train</w:t>
      </w:r>
      <w:r w:rsidR="00B607CD">
        <w:t xml:space="preserve"> (Y_train = {y1, y2, ..., yn}). </w:t>
      </w:r>
      <w:r w:rsidR="00107E70">
        <w:t>According to the</w:t>
      </w:r>
      <w:r w:rsidR="00B607CD">
        <w:t xml:space="preserve"> Random Forest Regressor</w:t>
      </w:r>
      <w:r w:rsidR="0061419D">
        <w:t>,</w:t>
      </w:r>
      <w:r w:rsidR="00B607CD">
        <w:t xml:space="preserve"> a collec</w:t>
      </w:r>
      <w:r>
        <w:t xml:space="preserve">tion of decision trees {T1, T2, …, </w:t>
      </w:r>
      <w:r w:rsidR="00B607CD">
        <w:t>Tm}</w:t>
      </w:r>
      <w:r w:rsidR="00107E70">
        <w:t xml:space="preserve"> is built</w:t>
      </w:r>
      <w:r w:rsidR="00B607CD">
        <w:t>, where each decision tree Ti is constructed as follows:</w:t>
      </w:r>
    </w:p>
    <w:p w14:paraId="180BFF18" w14:textId="7081CDCD" w:rsidR="00B607CD" w:rsidRDefault="00B607CD" w:rsidP="00150546">
      <w:pPr>
        <w:pStyle w:val="CETListbullets"/>
        <w:numPr>
          <w:ilvl w:val="0"/>
          <w:numId w:val="24"/>
        </w:numPr>
      </w:pPr>
      <w:r>
        <w:t xml:space="preserve">Randomly select a bootstrap sample of the training data, denoted as Xi, by randomly sampling n examples with replacement from </w:t>
      </w:r>
      <w:r w:rsidRPr="00150546">
        <w:rPr>
          <w:i/>
        </w:rPr>
        <w:t>X_train</w:t>
      </w:r>
      <w:r>
        <w:t>.</w:t>
      </w:r>
    </w:p>
    <w:p w14:paraId="58354975" w14:textId="77777777" w:rsidR="00150546" w:rsidRDefault="00B607CD" w:rsidP="00150546">
      <w:pPr>
        <w:pStyle w:val="CETListbullets"/>
        <w:numPr>
          <w:ilvl w:val="0"/>
          <w:numId w:val="24"/>
        </w:numPr>
      </w:pPr>
      <w:r>
        <w:t>Randomly select a subset of features, denoted as Fi, by randomly choosing a fixed number of features from the total feature set.</w:t>
      </w:r>
    </w:p>
    <w:p w14:paraId="48504D46" w14:textId="5E70DC65" w:rsidR="00B607CD" w:rsidRDefault="00B607CD" w:rsidP="00150546">
      <w:pPr>
        <w:pStyle w:val="CETListbullets"/>
        <w:numPr>
          <w:ilvl w:val="0"/>
          <w:numId w:val="24"/>
        </w:numPr>
      </w:pPr>
      <w:r>
        <w:t xml:space="preserve">Train a decision tree Ti on the bootstrap sample Xi using the selected </w:t>
      </w:r>
      <w:r w:rsidR="00D23EB9">
        <w:t>features,</w:t>
      </w:r>
      <w:r>
        <w:t xml:space="preserve"> Fi. At each node of the decision tree, the best split is determined based on minimizing the mean squared error (MSE) criterion.</w:t>
      </w:r>
    </w:p>
    <w:p w14:paraId="6B9801CA" w14:textId="47D02B2A" w:rsidR="00B607CD" w:rsidRDefault="00107E70" w:rsidP="00B607CD">
      <w:pPr>
        <w:pStyle w:val="CETBodytext"/>
      </w:pPr>
      <w:r>
        <w:t>S</w:t>
      </w:r>
      <w:r w:rsidR="00B607CD">
        <w:t xml:space="preserve">teps 1-3 </w:t>
      </w:r>
      <w:r>
        <w:t xml:space="preserve">are repeated until </w:t>
      </w:r>
      <w:r w:rsidR="00B607CD">
        <w:t xml:space="preserve">a </w:t>
      </w:r>
      <w:r w:rsidR="00D23EB9">
        <w:t xml:space="preserve">complete </w:t>
      </w:r>
      <w:r w:rsidR="00B607CD">
        <w:t>collection of m decision trees</w:t>
      </w:r>
      <w:r>
        <w:t xml:space="preserve"> is developed</w:t>
      </w:r>
      <w:r w:rsidR="00B607CD">
        <w:t>.</w:t>
      </w:r>
    </w:p>
    <w:p w14:paraId="6F41649A" w14:textId="1FB6B667" w:rsidR="00F46CFB" w:rsidRDefault="00B607CD" w:rsidP="00F46CFB">
      <w:pPr>
        <w:pStyle w:val="CETBodytext"/>
      </w:pPr>
      <w:r>
        <w:t>To make a prediction for a new input sample x, the Random Forest Regressor aggregates the predictions of all decision trees in the forest. The final prediction is computed as the average of the predicted values from each tree.</w:t>
      </w:r>
      <w:r w:rsidR="00C05356">
        <w:t xml:space="preserve"> </w:t>
      </w:r>
      <w:r w:rsidR="00F46CFB">
        <w:t xml:space="preserve">The Random Forest Regressor was trained on the training set using 1000 decision trees. </w:t>
      </w:r>
    </w:p>
    <w:p w14:paraId="09406386" w14:textId="4480F315" w:rsidR="00453E24" w:rsidRDefault="00F46CFB" w:rsidP="00453E24">
      <w:pPr>
        <w:pStyle w:val="CETBodytext"/>
      </w:pPr>
      <w:r>
        <w:t>The trained regressor was then evaluated on the testing set to assess its performance in predicting the target variables (</w:t>
      </w:r>
      <w:r w:rsidRPr="00F46CFB">
        <w:rPr>
          <w:i/>
        </w:rPr>
        <w:t>Inc</w:t>
      </w:r>
      <w:r>
        <w:t xml:space="preserve"> and </w:t>
      </w:r>
      <w:r w:rsidRPr="00F46CFB">
        <w:rPr>
          <w:i/>
        </w:rPr>
        <w:t>Q_inc</w:t>
      </w:r>
      <w:r>
        <w:t xml:space="preserve">). </w:t>
      </w:r>
      <w:r w:rsidR="00B607CD">
        <w:t xml:space="preserve">During the training process, the Random Forest Regressor </w:t>
      </w:r>
      <w:r w:rsidR="00781351">
        <w:t>was also utilized to assess</w:t>
      </w:r>
      <w:r w:rsidR="00B607CD">
        <w:t xml:space="preserve"> the </w:t>
      </w:r>
      <w:r w:rsidR="00B607CD" w:rsidRPr="00150546">
        <w:rPr>
          <w:i/>
        </w:rPr>
        <w:t>feature importance</w:t>
      </w:r>
      <w:r>
        <w:t xml:space="preserve"> (</w:t>
      </w:r>
      <w:r w:rsidRPr="00150546">
        <w:t>Gerstorfer</w:t>
      </w:r>
      <w:r>
        <w:t xml:space="preserve"> et al., 2023)</w:t>
      </w:r>
      <w:r w:rsidR="00B607CD">
        <w:t xml:space="preserve">, which indicates the relative importance of each feature in </w:t>
      </w:r>
      <w:r w:rsidR="00B607CD">
        <w:lastRenderedPageBreak/>
        <w:t>predicting the target variable. The feature importance is calculated based on the total reduction of the mean squared error (MSE) caused by each feature across all decision trees in the forest.</w:t>
      </w:r>
      <w:r w:rsidR="00A41231">
        <w:t xml:space="preserve"> </w:t>
      </w:r>
      <w:r w:rsidR="00B607CD">
        <w:t xml:space="preserve">To evaluate the </w:t>
      </w:r>
      <w:r w:rsidR="00897BFB">
        <w:t xml:space="preserve">accuracy </w:t>
      </w:r>
      <w:r w:rsidR="00B607CD">
        <w:t xml:space="preserve">performance of the Random Forest Regressor, the </w:t>
      </w:r>
      <w:r w:rsidRPr="00F46CFB">
        <w:t>Root Mean Squared Error</w:t>
      </w:r>
      <w:r>
        <w:t xml:space="preserve"> (RMSE)</w:t>
      </w:r>
      <w:r w:rsidR="00B607CD">
        <w:t xml:space="preserve"> </w:t>
      </w:r>
      <w:r>
        <w:t>is</w:t>
      </w:r>
      <w:r w:rsidR="00B607CD">
        <w:t xml:space="preserve"> calculated</w:t>
      </w:r>
      <w:r w:rsidR="00897BFB">
        <w:t xml:space="preserve"> as</w:t>
      </w:r>
      <w:r w:rsidR="00B607CD">
        <w:t xml:space="preserve"> the difference between the predicted and actual values. </w:t>
      </w:r>
    </w:p>
    <w:p w14:paraId="677EBFF0" w14:textId="4BE11A71" w:rsidR="00600535" w:rsidRDefault="00F46CFB" w:rsidP="00600535">
      <w:pPr>
        <w:pStyle w:val="CETHeading1"/>
        <w:tabs>
          <w:tab w:val="right" w:pos="7100"/>
        </w:tabs>
        <w:jc w:val="both"/>
        <w:rPr>
          <w:lang w:val="en-GB"/>
        </w:rPr>
      </w:pPr>
      <w:r>
        <w:rPr>
          <w:lang w:val="en-GB"/>
        </w:rPr>
        <w:t>Results and discussion</w:t>
      </w:r>
    </w:p>
    <w:p w14:paraId="086CFA8E" w14:textId="55C35986" w:rsidR="00F46CFB" w:rsidRPr="00B57B36" w:rsidRDefault="008A2254" w:rsidP="00F46CFB">
      <w:pPr>
        <w:pStyle w:val="CETheadingx"/>
      </w:pPr>
      <w:bookmarkStart w:id="1" w:name="_Hlk145088145"/>
      <w:r>
        <w:t>I</w:t>
      </w:r>
      <w:r w:rsidR="00924DD3">
        <w:t>nfluential factors</w:t>
      </w:r>
    </w:p>
    <w:bookmarkEnd w:id="1"/>
    <w:p w14:paraId="05323730" w14:textId="41200748" w:rsidR="00F23993" w:rsidRDefault="00F23993" w:rsidP="00F23993">
      <w:pPr>
        <w:pStyle w:val="CETBodytext"/>
        <w:rPr>
          <w:lang w:val="en-GB"/>
        </w:rPr>
      </w:pPr>
      <w:r w:rsidRPr="0091573B">
        <w:rPr>
          <w:lang w:val="en-GB"/>
        </w:rPr>
        <w:t>The performance of the model in predicting accidents and near misses from the input features is remarkable</w:t>
      </w:r>
      <w:r w:rsidR="00897BFB">
        <w:rPr>
          <w:lang w:val="en-GB"/>
        </w:rPr>
        <w:t>:</w:t>
      </w:r>
      <w:r w:rsidRPr="0091573B">
        <w:rPr>
          <w:lang w:val="en-GB"/>
        </w:rPr>
        <w:t xml:space="preserve"> the accuracy </w:t>
      </w:r>
      <w:r w:rsidR="00897BFB">
        <w:rPr>
          <w:lang w:val="en-GB"/>
        </w:rPr>
        <w:t xml:space="preserve">and precision </w:t>
      </w:r>
      <w:r w:rsidRPr="0091573B">
        <w:rPr>
          <w:lang w:val="en-GB"/>
        </w:rPr>
        <w:t xml:space="preserve">of the model's predictions </w:t>
      </w:r>
      <w:r w:rsidR="00897BFB">
        <w:rPr>
          <w:lang w:val="en-GB"/>
        </w:rPr>
        <w:t>are evaluated on the basis of</w:t>
      </w:r>
      <w:r w:rsidRPr="0091573B">
        <w:rPr>
          <w:lang w:val="en-GB"/>
        </w:rPr>
        <w:t xml:space="preserve"> RMSE</w:t>
      </w:r>
      <w:r w:rsidR="00897BFB">
        <w:rPr>
          <w:lang w:val="en-GB"/>
        </w:rPr>
        <w:t xml:space="preserve">, </w:t>
      </w:r>
      <w:r w:rsidRPr="0091573B">
        <w:rPr>
          <w:lang w:val="en-GB"/>
        </w:rPr>
        <w:t xml:space="preserve">which represents the deviation of the residuals and </w:t>
      </w:r>
      <w:r w:rsidR="00F568EF">
        <w:rPr>
          <w:lang w:val="en-GB"/>
        </w:rPr>
        <w:t xml:space="preserve">of </w:t>
      </w:r>
      <w:r w:rsidR="00897BFB">
        <w:rPr>
          <w:lang w:val="en-GB"/>
        </w:rPr>
        <w:t xml:space="preserve">the correlation coefficient </w:t>
      </w:r>
      <w:r w:rsidRPr="0091573B">
        <w:rPr>
          <w:lang w:val="en-GB"/>
        </w:rPr>
        <w:t>R</w:t>
      </w:r>
      <w:r w:rsidRPr="00F73CE3">
        <w:rPr>
          <w:vertAlign w:val="superscript"/>
          <w:lang w:val="en-GB"/>
        </w:rPr>
        <w:t>2</w:t>
      </w:r>
      <w:r w:rsidR="00897BFB">
        <w:rPr>
          <w:lang w:val="en-GB"/>
        </w:rPr>
        <w:t>, calculated as follows:</w:t>
      </w:r>
    </w:p>
    <w:p w14:paraId="6D4193B8" w14:textId="77777777" w:rsidR="00F568EF" w:rsidRDefault="00F568EF" w:rsidP="00F23993">
      <w:pPr>
        <w:pStyle w:val="CETBodytext"/>
        <w:rPr>
          <w:lang w:val="en-GB"/>
        </w:rPr>
      </w:pPr>
    </w:p>
    <w:p w14:paraId="727BD426" w14:textId="5FBED590" w:rsidR="00F23993" w:rsidRPr="00F73CE3" w:rsidRDefault="00F23993" w:rsidP="00313046">
      <w:pPr>
        <w:pStyle w:val="CETBodytext"/>
        <w:jc w:val="left"/>
        <w:rPr>
          <w:lang w:val="en-GB"/>
        </w:rPr>
      </w:pPr>
      <m:oMath>
        <m:r>
          <w:rPr>
            <w:rFonts w:ascii="Cambria Math" w:hAnsi="Cambria Math"/>
            <w:lang w:val="en-GB"/>
          </w:rPr>
          <m:t xml:space="preserve">RMSE= </m:t>
        </m:r>
        <m:rad>
          <m:radPr>
            <m:degHide m:val="1"/>
            <m:ctrlPr>
              <w:rPr>
                <w:rFonts w:ascii="Cambria Math" w:hAnsi="Cambria Math"/>
                <w:i/>
                <w:lang w:val="en-GB"/>
              </w:rPr>
            </m:ctrlPr>
          </m:radPr>
          <m:deg/>
          <m:e>
            <m:f>
              <m:fPr>
                <m:ctrlPr>
                  <w:rPr>
                    <w:rFonts w:ascii="Cambria Math" w:hAnsi="Cambria Math"/>
                    <w:i/>
                    <w:lang w:val="en-GB"/>
                  </w:rPr>
                </m:ctrlPr>
              </m:fPr>
              <m:num>
                <m:nary>
                  <m:naryPr>
                    <m:chr m:val="∑"/>
                    <m:limLoc m:val="undOvr"/>
                    <m:subHide m:val="1"/>
                    <m:supHide m:val="1"/>
                    <m:ctrlPr>
                      <w:rPr>
                        <w:rFonts w:ascii="Cambria Math" w:hAnsi="Cambria Math"/>
                        <w:i/>
                        <w:lang w:val="en-GB"/>
                      </w:rPr>
                    </m:ctrlPr>
                  </m:naryPr>
                  <m:sub/>
                  <m:sup/>
                  <m:e>
                    <m:sSup>
                      <m:sSupPr>
                        <m:ctrlPr>
                          <w:rPr>
                            <w:rFonts w:ascii="Cambria Math" w:hAnsi="Cambria Math"/>
                            <w:i/>
                            <w:lang w:val="en-GB"/>
                          </w:rPr>
                        </m:ctrlPr>
                      </m:sSupPr>
                      <m:e>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test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pred</m:t>
                            </m:r>
                          </m:sub>
                        </m:sSub>
                        <m:r>
                          <w:rPr>
                            <w:rFonts w:ascii="Cambria Math" w:hAnsi="Cambria Math"/>
                            <w:lang w:val="en-GB"/>
                          </w:rPr>
                          <m:t>)</m:t>
                        </m:r>
                      </m:e>
                      <m:sup>
                        <m:r>
                          <w:rPr>
                            <w:rFonts w:ascii="Cambria Math" w:hAnsi="Cambria Math"/>
                            <w:lang w:val="en-GB"/>
                          </w:rPr>
                          <m:t>2</m:t>
                        </m:r>
                      </m:sup>
                    </m:sSup>
                  </m:e>
                </m:nary>
              </m:num>
              <m:den>
                <m:r>
                  <w:rPr>
                    <w:rFonts w:ascii="Cambria Math" w:hAnsi="Cambria Math"/>
                    <w:lang w:val="en-GB"/>
                  </w:rPr>
                  <m:t>N-P</m:t>
                </m:r>
              </m:den>
            </m:f>
          </m:e>
        </m:rad>
        <m:r>
          <w:rPr>
            <w:rFonts w:ascii="Cambria Math" w:hAnsi="Cambria Math"/>
            <w:lang w:val="en-GB"/>
          </w:rPr>
          <m:t>=0.1</m:t>
        </m:r>
      </m:oMath>
      <w:r>
        <w:rPr>
          <w:lang w:val="en-GB"/>
        </w:rPr>
        <w:t xml:space="preserve"> </w:t>
      </w:r>
      <w:r>
        <w:rPr>
          <w:lang w:val="en-GB"/>
        </w:rPr>
        <w:tab/>
      </w:r>
      <w:r>
        <w:rPr>
          <w:lang w:val="en-GB"/>
        </w:rPr>
        <w:tab/>
      </w:r>
      <w:r w:rsidR="00313046">
        <w:rPr>
          <w:lang w:val="en-GB"/>
        </w:rPr>
        <w:tab/>
      </w:r>
      <w:r>
        <w:rPr>
          <w:lang w:val="en-GB"/>
        </w:rPr>
        <w:t>(1)</w:t>
      </w:r>
    </w:p>
    <w:p w14:paraId="138699FD" w14:textId="77777777" w:rsidR="00F23993" w:rsidRDefault="00F23993" w:rsidP="00F23993">
      <w:pPr>
        <w:pStyle w:val="CETBodytext"/>
        <w:rPr>
          <w:lang w:val="en-GB"/>
        </w:rPr>
      </w:pPr>
    </w:p>
    <w:p w14:paraId="599B1B35" w14:textId="3245F1CC" w:rsidR="00F23993" w:rsidRPr="00F73CE3" w:rsidRDefault="00F23993" w:rsidP="00107E70">
      <w:pPr>
        <w:pStyle w:val="CETBodytext"/>
        <w:rPr>
          <w:i/>
        </w:rPr>
      </w:pPr>
      <w:r>
        <w:rPr>
          <w:lang w:val="en-GB"/>
        </w:rPr>
        <w:t xml:space="preserve">Where: </w:t>
      </w:r>
      <w:r w:rsidRPr="00F73CE3">
        <w:rPr>
          <w:i/>
        </w:rPr>
        <w:t>y</w:t>
      </w:r>
      <w:r w:rsidRPr="00F73CE3">
        <w:rPr>
          <w:i/>
          <w:vertAlign w:val="subscript"/>
        </w:rPr>
        <w:t>test</w:t>
      </w:r>
      <w:r w:rsidRPr="00F73CE3">
        <w:rPr>
          <w:i/>
        </w:rPr>
        <w:t xml:space="preserve"> </w:t>
      </w:r>
      <w:r w:rsidR="00E8244C">
        <w:rPr>
          <w:i/>
        </w:rPr>
        <w:t>=</w:t>
      </w:r>
      <w:r w:rsidRPr="00F73CE3">
        <w:rPr>
          <w:i/>
        </w:rPr>
        <w:t xml:space="preserve"> actual value for the i</w:t>
      </w:r>
      <w:r w:rsidRPr="00E8244C">
        <w:rPr>
          <w:i/>
          <w:vertAlign w:val="subscript"/>
        </w:rPr>
        <w:t>th</w:t>
      </w:r>
      <w:r w:rsidRPr="00F73CE3">
        <w:rPr>
          <w:i/>
        </w:rPr>
        <w:t xml:space="preserve"> observation</w:t>
      </w:r>
    </w:p>
    <w:p w14:paraId="2E6F97B2" w14:textId="542C70EB" w:rsidR="00F23993" w:rsidRPr="00F73CE3" w:rsidRDefault="00F23993" w:rsidP="00107E70">
      <w:pPr>
        <w:pStyle w:val="CETListbullets"/>
        <w:ind w:left="113" w:firstLine="596"/>
        <w:rPr>
          <w:i/>
        </w:rPr>
      </w:pPr>
      <w:r w:rsidRPr="00F73CE3">
        <w:rPr>
          <w:i/>
        </w:rPr>
        <w:t>y</w:t>
      </w:r>
      <w:r w:rsidRPr="00F73CE3">
        <w:rPr>
          <w:i/>
          <w:vertAlign w:val="subscript"/>
        </w:rPr>
        <w:t>pred</w:t>
      </w:r>
      <w:r w:rsidRPr="00F73CE3">
        <w:rPr>
          <w:i/>
        </w:rPr>
        <w:t xml:space="preserve"> </w:t>
      </w:r>
      <w:r w:rsidR="00E8244C">
        <w:rPr>
          <w:i/>
        </w:rPr>
        <w:t>=</w:t>
      </w:r>
      <w:r w:rsidRPr="00F73CE3">
        <w:rPr>
          <w:i/>
        </w:rPr>
        <w:t xml:space="preserve"> predicted value for the i</w:t>
      </w:r>
      <w:r w:rsidRPr="00E8244C">
        <w:rPr>
          <w:i/>
          <w:vertAlign w:val="subscript"/>
        </w:rPr>
        <w:t>th</w:t>
      </w:r>
      <w:r w:rsidRPr="00F73CE3">
        <w:rPr>
          <w:i/>
        </w:rPr>
        <w:t xml:space="preserve"> observation</w:t>
      </w:r>
    </w:p>
    <w:p w14:paraId="0A1B6088" w14:textId="13EFC2EE" w:rsidR="00F23993" w:rsidRPr="00F73CE3" w:rsidRDefault="00F23993" w:rsidP="00107E70">
      <w:pPr>
        <w:pStyle w:val="CETListbullets"/>
        <w:ind w:left="113" w:firstLine="596"/>
        <w:rPr>
          <w:i/>
        </w:rPr>
      </w:pPr>
      <w:r w:rsidRPr="00F73CE3">
        <w:rPr>
          <w:i/>
        </w:rPr>
        <w:t xml:space="preserve">N </w:t>
      </w:r>
      <w:r w:rsidR="00E8244C">
        <w:rPr>
          <w:i/>
        </w:rPr>
        <w:t>=</w:t>
      </w:r>
      <w:r w:rsidRPr="00F73CE3">
        <w:rPr>
          <w:i/>
        </w:rPr>
        <w:t xml:space="preserve"> number of observations</w:t>
      </w:r>
    </w:p>
    <w:p w14:paraId="57530537" w14:textId="122956EE" w:rsidR="00F23993" w:rsidRPr="00F73CE3" w:rsidRDefault="00F23993" w:rsidP="00107E70">
      <w:pPr>
        <w:pStyle w:val="CETListbullets"/>
        <w:ind w:left="113" w:firstLine="596"/>
        <w:rPr>
          <w:i/>
        </w:rPr>
      </w:pPr>
      <w:r w:rsidRPr="00F73CE3">
        <w:rPr>
          <w:i/>
        </w:rPr>
        <w:t xml:space="preserve">P </w:t>
      </w:r>
      <w:r w:rsidR="00E8244C">
        <w:rPr>
          <w:i/>
        </w:rPr>
        <w:t>=</w:t>
      </w:r>
      <w:r w:rsidRPr="00F73CE3">
        <w:rPr>
          <w:i/>
        </w:rPr>
        <w:t xml:space="preserve"> number of parameter estimates</w:t>
      </w:r>
    </w:p>
    <w:p w14:paraId="26FBF795" w14:textId="77777777" w:rsidR="00F23993" w:rsidRDefault="00F23993" w:rsidP="00F23993">
      <w:pPr>
        <w:pStyle w:val="CETBodytext"/>
        <w:rPr>
          <w:lang w:val="en-GB"/>
        </w:rPr>
      </w:pPr>
    </w:p>
    <w:p w14:paraId="2B55D87C" w14:textId="3713D18D" w:rsidR="00F23993" w:rsidRPr="00F73CE3" w:rsidRDefault="00000000" w:rsidP="00313046">
      <w:pPr>
        <w:pStyle w:val="CETBodytext"/>
        <w:jc w:val="left"/>
        <w:rPr>
          <w:lang w:val="en-GB"/>
        </w:rPr>
      </w:pPr>
      <m:oMath>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2</m:t>
            </m:r>
          </m:sup>
        </m:sSup>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Variance explained by the model </m:t>
            </m:r>
          </m:num>
          <m:den>
            <m:r>
              <w:rPr>
                <w:rFonts w:ascii="Cambria Math" w:hAnsi="Cambria Math"/>
                <w:lang w:val="en-GB"/>
              </w:rPr>
              <m:t>Total variance</m:t>
            </m:r>
          </m:den>
        </m:f>
        <m:r>
          <w:rPr>
            <w:rFonts w:ascii="Cambria Math" w:hAnsi="Cambria Math"/>
            <w:lang w:val="en-GB"/>
          </w:rPr>
          <m:t>=0.78</m:t>
        </m:r>
      </m:oMath>
      <w:r w:rsidR="00F23993">
        <w:rPr>
          <w:lang w:val="en-GB"/>
        </w:rPr>
        <w:tab/>
      </w:r>
      <w:r w:rsidR="00F23993">
        <w:rPr>
          <w:lang w:val="en-GB"/>
        </w:rPr>
        <w:tab/>
      </w:r>
      <w:r w:rsidR="00313046">
        <w:rPr>
          <w:lang w:val="en-GB"/>
        </w:rPr>
        <w:tab/>
      </w:r>
      <w:r w:rsidR="00F23993">
        <w:rPr>
          <w:lang w:val="en-GB"/>
        </w:rPr>
        <w:t>(2)</w:t>
      </w:r>
    </w:p>
    <w:p w14:paraId="65085C79" w14:textId="77777777" w:rsidR="00F23993" w:rsidRDefault="00F23993" w:rsidP="00F46CFB">
      <w:pPr>
        <w:pStyle w:val="CETBodytext"/>
        <w:rPr>
          <w:lang w:val="en-GB"/>
        </w:rPr>
      </w:pPr>
    </w:p>
    <w:p w14:paraId="72332472" w14:textId="02CF763C" w:rsidR="00F23993" w:rsidRDefault="00F23993" w:rsidP="00F23993">
      <w:pPr>
        <w:pStyle w:val="CETBodytext"/>
        <w:rPr>
          <w:lang w:val="en-GB"/>
        </w:rPr>
      </w:pPr>
      <w:r w:rsidRPr="00F46CFB">
        <w:rPr>
          <w:lang w:val="en-GB"/>
        </w:rPr>
        <w:t xml:space="preserve">One of the key advantages of the Random Forest Regressor </w:t>
      </w:r>
      <w:r w:rsidR="00897BFB">
        <w:rPr>
          <w:lang w:val="en-GB"/>
        </w:rPr>
        <w:t>relies in</w:t>
      </w:r>
      <w:r w:rsidRPr="00F46CFB">
        <w:rPr>
          <w:lang w:val="en-GB"/>
        </w:rPr>
        <w:t xml:space="preserve"> its ability to measure the importance of different features in predicting the target variable. This analysis helps identify the factors and subfactors that have the most significant impact on the occurrence of accidents and near misses.</w:t>
      </w:r>
      <w:r w:rsidR="00D23EB9">
        <w:rPr>
          <w:lang w:val="en-GB"/>
        </w:rPr>
        <w:t xml:space="preserve"> </w:t>
      </w:r>
      <w:r>
        <w:rPr>
          <w:lang w:val="en-GB"/>
        </w:rPr>
        <w:t>T</w:t>
      </w:r>
      <w:r w:rsidRPr="00924DD3">
        <w:rPr>
          <w:lang w:val="en-GB"/>
        </w:rPr>
        <w:t xml:space="preserve">he results of this analysis provide a clear indication of what are the most important elements to </w:t>
      </w:r>
      <w:r w:rsidR="00F568EF">
        <w:rPr>
          <w:lang w:val="en-GB"/>
        </w:rPr>
        <w:t xml:space="preserve">be </w:t>
      </w:r>
      <w:r w:rsidRPr="00924DD3">
        <w:rPr>
          <w:lang w:val="en-GB"/>
        </w:rPr>
        <w:t>monitor</w:t>
      </w:r>
      <w:r w:rsidR="00F568EF">
        <w:rPr>
          <w:lang w:val="en-GB"/>
        </w:rPr>
        <w:t>ed</w:t>
      </w:r>
      <w:r w:rsidRPr="00924DD3">
        <w:rPr>
          <w:lang w:val="en-GB"/>
        </w:rPr>
        <w:t xml:space="preserve"> to</w:t>
      </w:r>
      <w:r w:rsidR="00F568EF">
        <w:rPr>
          <w:lang w:val="en-GB"/>
        </w:rPr>
        <w:t xml:space="preserve"> effectively</w:t>
      </w:r>
      <w:r w:rsidRPr="00924DD3">
        <w:rPr>
          <w:lang w:val="en-GB"/>
        </w:rPr>
        <w:t xml:space="preserve"> manage the risks of energy transition</w:t>
      </w:r>
      <w:r>
        <w:rPr>
          <w:lang w:val="en-GB"/>
        </w:rPr>
        <w:t>.</w:t>
      </w:r>
      <w:r w:rsidR="00107E70">
        <w:rPr>
          <w:lang w:val="en-GB"/>
        </w:rPr>
        <w:t xml:space="preserve"> </w:t>
      </w:r>
      <w:r w:rsidRPr="00F46CFB">
        <w:rPr>
          <w:lang w:val="en-GB"/>
        </w:rPr>
        <w:t>The feature importance is calculated based on the total reduction of the mean squared error (MSE) caused by each feature across all decision trees in the random forest. The importance values are normalized so that the sum of all feature importance is equal to one</w:t>
      </w:r>
      <w:r>
        <w:rPr>
          <w:lang w:val="en-GB"/>
        </w:rPr>
        <w:t>.</w:t>
      </w:r>
      <w:r w:rsidR="00D23EB9">
        <w:rPr>
          <w:lang w:val="en-GB"/>
        </w:rPr>
        <w:t xml:space="preserve"> </w:t>
      </w:r>
      <w:r w:rsidRPr="005B5BC5">
        <w:rPr>
          <w:lang w:val="en-GB"/>
        </w:rPr>
        <w:t xml:space="preserve">For each decision tree, </w:t>
      </w:r>
      <w:r>
        <w:rPr>
          <w:lang w:val="en-GB"/>
        </w:rPr>
        <w:t>the model</w:t>
      </w:r>
      <w:r w:rsidRPr="005B5BC5">
        <w:rPr>
          <w:lang w:val="en-GB"/>
        </w:rPr>
        <w:t xml:space="preserve"> calculates a nodes importance using </w:t>
      </w:r>
      <w:r w:rsidRPr="005B5BC5">
        <w:rPr>
          <w:i/>
          <w:lang w:val="en-GB"/>
        </w:rPr>
        <w:t>Gini</w:t>
      </w:r>
      <w:r w:rsidRPr="005B5BC5">
        <w:rPr>
          <w:lang w:val="en-GB"/>
        </w:rPr>
        <w:t xml:space="preserve"> Importance</w:t>
      </w:r>
      <w:r>
        <w:rPr>
          <w:lang w:val="en-GB"/>
        </w:rPr>
        <w:t xml:space="preserve">. </w:t>
      </w:r>
      <w:r w:rsidRPr="005B5BC5">
        <w:rPr>
          <w:lang w:val="en-GB"/>
        </w:rPr>
        <w:t xml:space="preserve">Gini Importance or Mean Decrease in Impurity </w:t>
      </w:r>
      <w:r>
        <w:rPr>
          <w:lang w:val="en-GB"/>
        </w:rPr>
        <w:t xml:space="preserve">– </w:t>
      </w:r>
      <w:r w:rsidRPr="005B5BC5">
        <w:rPr>
          <w:lang w:val="en-GB"/>
        </w:rPr>
        <w:t>MDI</w:t>
      </w:r>
      <w:r>
        <w:rPr>
          <w:lang w:val="en-GB"/>
        </w:rPr>
        <w:t xml:space="preserve"> -</w:t>
      </w:r>
      <w:r w:rsidRPr="005B5BC5">
        <w:rPr>
          <w:lang w:val="en-GB"/>
        </w:rPr>
        <w:t xml:space="preserve"> calculates each feature importance as the sum over the number of splits (across all tre</w:t>
      </w:r>
      <w:r>
        <w:rPr>
          <w:lang w:val="en-GB"/>
        </w:rPr>
        <w:t>e</w:t>
      </w:r>
      <w:r w:rsidRPr="005B5BC5">
        <w:rPr>
          <w:lang w:val="en-GB"/>
        </w:rPr>
        <w:t>s) that include the feature, proportionally to the number of samples it splits</w:t>
      </w:r>
      <w:r>
        <w:rPr>
          <w:lang w:val="en-GB"/>
        </w:rPr>
        <w:t xml:space="preserve"> (in equation 3 an example for a binary tree</w:t>
      </w:r>
      <w:r w:rsidRPr="005B5BC5">
        <w:rPr>
          <w:lang w:val="en-GB"/>
        </w:rPr>
        <w:t>):</w:t>
      </w:r>
    </w:p>
    <w:p w14:paraId="2F0A20A0" w14:textId="77777777" w:rsidR="00F23993" w:rsidRDefault="00F23993" w:rsidP="00F23993">
      <w:pPr>
        <w:pStyle w:val="CETBodytext"/>
        <w:rPr>
          <w:lang w:val="en-GB"/>
        </w:rPr>
      </w:pPr>
    </w:p>
    <w:p w14:paraId="329273AA" w14:textId="0E5AD8B4" w:rsidR="00F23993" w:rsidRDefault="00000000" w:rsidP="00313046">
      <w:pPr>
        <w:pStyle w:val="CETBodytext"/>
        <w:jc w:val="left"/>
        <w:rPr>
          <w:lang w:val="en-GB"/>
        </w:rPr>
      </w:pPr>
      <m:oMath>
        <m:sSub>
          <m:sSubPr>
            <m:ctrlPr>
              <w:rPr>
                <w:rFonts w:ascii="Cambria Math" w:hAnsi="Cambria Math"/>
                <w:i/>
                <w:lang w:val="en-GB"/>
              </w:rPr>
            </m:ctrlPr>
          </m:sSubPr>
          <m:e>
            <m:r>
              <w:rPr>
                <w:rFonts w:ascii="Cambria Math" w:hAnsi="Cambria Math"/>
                <w:lang w:val="en-GB"/>
              </w:rPr>
              <m:t>ni</m:t>
            </m:r>
          </m:e>
          <m:sub>
            <m:r>
              <w:rPr>
                <w:rFonts w:ascii="Cambria Math" w:hAnsi="Cambria Math"/>
                <w:lang w:val="en-GB"/>
              </w:rPr>
              <m:t>j</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j</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j</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left</m:t>
            </m:r>
            <m:d>
              <m:dPr>
                <m:ctrlPr>
                  <w:rPr>
                    <w:rFonts w:ascii="Cambria Math" w:hAnsi="Cambria Math"/>
                    <w:i/>
                    <w:lang w:val="en-GB"/>
                  </w:rPr>
                </m:ctrlPr>
              </m:dPr>
              <m:e>
                <m:r>
                  <w:rPr>
                    <w:rFonts w:ascii="Cambria Math" w:hAnsi="Cambria Math"/>
                    <w:lang w:val="en-GB"/>
                  </w:rPr>
                  <m:t>j</m:t>
                </m:r>
              </m:e>
            </m:d>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left</m:t>
            </m:r>
            <m:d>
              <m:dPr>
                <m:ctrlPr>
                  <w:rPr>
                    <w:rFonts w:ascii="Cambria Math" w:hAnsi="Cambria Math"/>
                    <w:i/>
                    <w:lang w:val="en-GB"/>
                  </w:rPr>
                </m:ctrlPr>
              </m:dPr>
              <m:e>
                <m:r>
                  <w:rPr>
                    <w:rFonts w:ascii="Cambria Math" w:hAnsi="Cambria Math"/>
                    <w:lang w:val="en-GB"/>
                  </w:rPr>
                  <m:t>j</m:t>
                </m:r>
              </m:e>
            </m:d>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right(j)</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right(j)</m:t>
            </m:r>
          </m:sub>
        </m:sSub>
      </m:oMath>
      <w:r w:rsidR="00F23993">
        <w:rPr>
          <w:lang w:val="en-GB"/>
        </w:rPr>
        <w:tab/>
      </w:r>
      <w:r w:rsidR="00F23993">
        <w:rPr>
          <w:lang w:val="en-GB"/>
        </w:rPr>
        <w:tab/>
      </w:r>
      <w:r w:rsidR="00313046">
        <w:rPr>
          <w:lang w:val="en-GB"/>
        </w:rPr>
        <w:tab/>
      </w:r>
      <w:r w:rsidR="00F23993">
        <w:rPr>
          <w:lang w:val="en-GB"/>
        </w:rPr>
        <w:t>(3)</w:t>
      </w:r>
    </w:p>
    <w:p w14:paraId="376C1CEC" w14:textId="77777777" w:rsidR="00F23993" w:rsidRPr="00334D78" w:rsidRDefault="00F23993" w:rsidP="00F23993">
      <w:pPr>
        <w:pStyle w:val="CETBodytext"/>
        <w:rPr>
          <w:lang w:val="en-GB"/>
        </w:rPr>
      </w:pPr>
    </w:p>
    <w:p w14:paraId="5906369D" w14:textId="4F0B6814" w:rsidR="00F23993" w:rsidRPr="0015412A" w:rsidRDefault="00F23993" w:rsidP="00F029B3">
      <w:pPr>
        <w:pStyle w:val="CETBodytext"/>
        <w:rPr>
          <w:i/>
        </w:rPr>
      </w:pPr>
      <w:r>
        <w:rPr>
          <w:lang w:val="en-GB"/>
        </w:rPr>
        <w:t>Where:</w:t>
      </w:r>
      <w:r w:rsidR="00F029B3">
        <w:rPr>
          <w:lang w:val="en-GB"/>
        </w:rPr>
        <w:t xml:space="preserve">  </w:t>
      </w:r>
      <w:r w:rsidRPr="0015412A">
        <w:rPr>
          <w:i/>
        </w:rPr>
        <w:t xml:space="preserve">nij= </w:t>
      </w:r>
      <w:r w:rsidR="00D23EB9">
        <w:t xml:space="preserve"> </w:t>
      </w:r>
      <w:r w:rsidRPr="0015412A">
        <w:t>importance of node j</w:t>
      </w:r>
    </w:p>
    <w:p w14:paraId="5E69FEDF" w14:textId="29697DCA" w:rsidR="00F23993" w:rsidRPr="0015412A" w:rsidRDefault="00F23993" w:rsidP="00F029B3">
      <w:pPr>
        <w:pStyle w:val="CETListbullets"/>
        <w:ind w:left="113" w:firstLine="595"/>
      </w:pPr>
      <w:r w:rsidRPr="0015412A">
        <w:rPr>
          <w:i/>
        </w:rPr>
        <w:t xml:space="preserve">wj = </w:t>
      </w:r>
      <w:r w:rsidRPr="0015412A">
        <w:t>weighted number of samples reaching node j</w:t>
      </w:r>
    </w:p>
    <w:p w14:paraId="2363A90D" w14:textId="5BC522AD" w:rsidR="00F23993" w:rsidRPr="0015412A" w:rsidRDefault="00F23993" w:rsidP="00F029B3">
      <w:pPr>
        <w:pStyle w:val="CETListbullets"/>
        <w:ind w:left="113" w:firstLine="595"/>
        <w:rPr>
          <w:i/>
        </w:rPr>
      </w:pPr>
      <w:r w:rsidRPr="0015412A">
        <w:rPr>
          <w:i/>
        </w:rPr>
        <w:t xml:space="preserve">Cj = </w:t>
      </w:r>
      <w:r w:rsidRPr="0015412A">
        <w:t>impurity value of node j</w:t>
      </w:r>
    </w:p>
    <w:p w14:paraId="41590AC0" w14:textId="77777777" w:rsidR="00F23993" w:rsidRPr="0015412A" w:rsidRDefault="00F23993" w:rsidP="00F029B3">
      <w:pPr>
        <w:pStyle w:val="CETListbullets"/>
        <w:ind w:left="113" w:firstLine="595"/>
      </w:pPr>
      <w:r w:rsidRPr="0015412A">
        <w:rPr>
          <w:i/>
        </w:rPr>
        <w:t xml:space="preserve">left(j) = </w:t>
      </w:r>
      <w:r w:rsidRPr="0015412A">
        <w:t>child node from left split on node j</w:t>
      </w:r>
    </w:p>
    <w:p w14:paraId="0FFE35FA" w14:textId="77777777" w:rsidR="00F23993" w:rsidRPr="0015412A" w:rsidRDefault="00F23993" w:rsidP="00F029B3">
      <w:pPr>
        <w:pStyle w:val="CETListbullets"/>
        <w:ind w:left="113" w:firstLine="595"/>
        <w:rPr>
          <w:i/>
        </w:rPr>
      </w:pPr>
      <w:r w:rsidRPr="0015412A">
        <w:rPr>
          <w:i/>
        </w:rPr>
        <w:t xml:space="preserve">right(j) = </w:t>
      </w:r>
      <w:r w:rsidRPr="0015412A">
        <w:t>child node from right split on node j</w:t>
      </w:r>
    </w:p>
    <w:p w14:paraId="26698393" w14:textId="4E6849E6" w:rsidR="00F23993" w:rsidRPr="005B5BC5" w:rsidRDefault="00F23993" w:rsidP="00F23993">
      <w:pPr>
        <w:pStyle w:val="CETBodytext"/>
        <w:rPr>
          <w:lang w:val="en-GB"/>
        </w:rPr>
      </w:pPr>
      <w:r w:rsidRPr="005B5BC5">
        <w:rPr>
          <w:lang w:val="en-GB"/>
        </w:rPr>
        <w:t xml:space="preserve">The importance for each feature on a decision tree is </w:t>
      </w:r>
      <w:r w:rsidR="00781351">
        <w:rPr>
          <w:lang w:val="en-GB"/>
        </w:rPr>
        <w:t>subsequently</w:t>
      </w:r>
      <w:r w:rsidRPr="005B5BC5">
        <w:rPr>
          <w:lang w:val="en-GB"/>
        </w:rPr>
        <w:t xml:space="preserve"> calculated </w:t>
      </w:r>
      <w:r w:rsidR="00313046">
        <w:rPr>
          <w:lang w:val="en-GB"/>
        </w:rPr>
        <w:t>as follows</w:t>
      </w:r>
      <w:r w:rsidRPr="005B5BC5">
        <w:rPr>
          <w:lang w:val="en-GB"/>
        </w:rPr>
        <w:t>:</w:t>
      </w:r>
    </w:p>
    <w:p w14:paraId="38E96A61" w14:textId="77777777" w:rsidR="00F23993" w:rsidRPr="005B5BC5" w:rsidRDefault="00F23993" w:rsidP="00F23993">
      <w:pPr>
        <w:pStyle w:val="CETBodytext"/>
        <w:rPr>
          <w:lang w:val="en-GB"/>
        </w:rPr>
      </w:pPr>
    </w:p>
    <w:p w14:paraId="6DA2EC1E" w14:textId="4E3839FF" w:rsidR="00F23993" w:rsidRPr="00334D78" w:rsidRDefault="00000000" w:rsidP="00313046">
      <w:pPr>
        <w:pStyle w:val="CETBodytext"/>
        <w:jc w:val="left"/>
        <w:rPr>
          <w:lang w:val="en-GB"/>
        </w:rPr>
      </w:pPr>
      <m:oMath>
        <m:sSub>
          <m:sSubPr>
            <m:ctrlPr>
              <w:rPr>
                <w:rFonts w:ascii="Cambria Math" w:hAnsi="Cambria Math"/>
                <w:i/>
                <w:lang w:val="en-GB"/>
              </w:rPr>
            </m:ctrlPr>
          </m:sSubPr>
          <m:e>
            <m:r>
              <w:rPr>
                <w:rFonts w:ascii="Cambria Math" w:hAnsi="Cambria Math"/>
                <w:lang w:val="en-GB"/>
              </w:rPr>
              <m:t>fi</m:t>
            </m:r>
          </m:e>
          <m:sub>
            <m:r>
              <w:rPr>
                <w:rFonts w:ascii="Cambria Math" w:hAnsi="Cambria Math"/>
                <w:lang w:val="en-GB"/>
              </w:rPr>
              <m:t>i</m:t>
            </m:r>
          </m:sub>
        </m:sSub>
        <m:r>
          <w:rPr>
            <w:rFonts w:ascii="Cambria Math" w:hAnsi="Cambria Math"/>
            <w:lang w:val="en-GB"/>
          </w:rPr>
          <m:t xml:space="preserve">= </m:t>
        </m:r>
        <m:f>
          <m:fPr>
            <m:ctrlPr>
              <w:rPr>
                <w:rFonts w:ascii="Cambria Math" w:hAnsi="Cambria Math"/>
                <w:i/>
                <w:lang w:val="en-GB"/>
              </w:rPr>
            </m:ctrlPr>
          </m:fPr>
          <m:num>
            <m:nary>
              <m:naryPr>
                <m:chr m:val="∑"/>
                <m:limLoc m:val="undOvr"/>
                <m:supHide m:val="1"/>
                <m:ctrlPr>
                  <w:rPr>
                    <w:rFonts w:ascii="Cambria Math" w:hAnsi="Cambria Math"/>
                    <w:i/>
                    <w:lang w:val="en-GB"/>
                  </w:rPr>
                </m:ctrlPr>
              </m:naryPr>
              <m:sub>
                <m:r>
                  <w:rPr>
                    <w:rFonts w:ascii="Cambria Math" w:hAnsi="Cambria Math"/>
                    <w:lang w:val="en-GB"/>
                  </w:rPr>
                  <m:t>j:node j splits on feature i</m:t>
                </m:r>
              </m:sub>
              <m:sup/>
              <m:e>
                <m:sSub>
                  <m:sSubPr>
                    <m:ctrlPr>
                      <w:rPr>
                        <w:rFonts w:ascii="Cambria Math" w:hAnsi="Cambria Math"/>
                        <w:i/>
                        <w:lang w:val="en-GB"/>
                      </w:rPr>
                    </m:ctrlPr>
                  </m:sSubPr>
                  <m:e>
                    <m:r>
                      <w:rPr>
                        <w:rFonts w:ascii="Cambria Math" w:hAnsi="Cambria Math"/>
                        <w:lang w:val="en-GB"/>
                      </w:rPr>
                      <m:t>ni</m:t>
                    </m:r>
                  </m:e>
                  <m:sub>
                    <m:r>
                      <w:rPr>
                        <w:rFonts w:ascii="Cambria Math" w:hAnsi="Cambria Math"/>
                        <w:lang w:val="en-GB"/>
                      </w:rPr>
                      <m:t>j</m:t>
                    </m:r>
                  </m:sub>
                </m:sSub>
              </m:e>
            </m:nary>
          </m:num>
          <m:den>
            <m:nary>
              <m:naryPr>
                <m:chr m:val="∑"/>
                <m:limLoc m:val="undOvr"/>
                <m:supHide m:val="1"/>
                <m:ctrlPr>
                  <w:rPr>
                    <w:rFonts w:ascii="Cambria Math" w:hAnsi="Cambria Math"/>
                    <w:i/>
                    <w:lang w:val="en-GB"/>
                  </w:rPr>
                </m:ctrlPr>
              </m:naryPr>
              <m:sub>
                <m:r>
                  <w:rPr>
                    <w:rFonts w:ascii="Cambria Math" w:hAnsi="Cambria Math"/>
                    <w:lang w:val="en-GB"/>
                  </w:rPr>
                  <m:t>k in all nodes</m:t>
                </m:r>
              </m:sub>
              <m:sup/>
              <m:e>
                <m:sSub>
                  <m:sSubPr>
                    <m:ctrlPr>
                      <w:rPr>
                        <w:rFonts w:ascii="Cambria Math" w:hAnsi="Cambria Math"/>
                        <w:i/>
                        <w:lang w:val="en-GB"/>
                      </w:rPr>
                    </m:ctrlPr>
                  </m:sSubPr>
                  <m:e>
                    <m:r>
                      <w:rPr>
                        <w:rFonts w:ascii="Cambria Math" w:hAnsi="Cambria Math"/>
                        <w:lang w:val="en-GB"/>
                      </w:rPr>
                      <m:t>fi</m:t>
                    </m:r>
                  </m:e>
                  <m:sub>
                    <m:r>
                      <w:rPr>
                        <w:rFonts w:ascii="Cambria Math" w:hAnsi="Cambria Math"/>
                        <w:lang w:val="en-GB"/>
                      </w:rPr>
                      <m:t>j</m:t>
                    </m:r>
                  </m:sub>
                </m:sSub>
              </m:e>
            </m:nary>
          </m:den>
        </m:f>
      </m:oMath>
      <w:r w:rsidR="00F23993">
        <w:rPr>
          <w:lang w:val="en-GB"/>
        </w:rPr>
        <w:tab/>
      </w:r>
      <w:r w:rsidR="00F23993">
        <w:rPr>
          <w:lang w:val="en-GB"/>
        </w:rPr>
        <w:tab/>
      </w:r>
      <w:r w:rsidR="00313046">
        <w:rPr>
          <w:lang w:val="en-GB"/>
        </w:rPr>
        <w:tab/>
      </w:r>
      <w:r w:rsidR="00F23993">
        <w:rPr>
          <w:lang w:val="en-GB"/>
        </w:rPr>
        <w:t>(4)</w:t>
      </w:r>
    </w:p>
    <w:p w14:paraId="1E4935C9" w14:textId="77777777" w:rsidR="00F23993" w:rsidRDefault="00F23993" w:rsidP="00F23993">
      <w:pPr>
        <w:pStyle w:val="CETBodytext"/>
        <w:rPr>
          <w:lang w:val="en-GB"/>
        </w:rPr>
      </w:pPr>
    </w:p>
    <w:p w14:paraId="32D4C80D" w14:textId="5E5C193A" w:rsidR="00F23993" w:rsidRPr="0015412A" w:rsidRDefault="00F23993" w:rsidP="00F029B3">
      <w:pPr>
        <w:pStyle w:val="CETBodytext"/>
      </w:pPr>
      <w:r>
        <w:rPr>
          <w:lang w:val="en-GB"/>
        </w:rPr>
        <w:t>Where:</w:t>
      </w:r>
      <w:r w:rsidR="00F029B3">
        <w:rPr>
          <w:lang w:val="en-GB"/>
        </w:rPr>
        <w:t xml:space="preserve">   </w:t>
      </w:r>
      <w:r w:rsidRPr="0015412A">
        <w:rPr>
          <w:i/>
        </w:rPr>
        <w:t>fii =</w:t>
      </w:r>
      <w:r w:rsidRPr="0015412A">
        <w:t xml:space="preserve"> importance of feature i</w:t>
      </w:r>
    </w:p>
    <w:p w14:paraId="280B74DD" w14:textId="052BDCC7" w:rsidR="00F23993" w:rsidRPr="0015412A" w:rsidRDefault="00F23993" w:rsidP="00F029B3">
      <w:pPr>
        <w:pStyle w:val="CETListbullets"/>
        <w:ind w:left="113" w:firstLine="595"/>
      </w:pPr>
      <w:r w:rsidRPr="0015412A">
        <w:rPr>
          <w:i/>
        </w:rPr>
        <w:t>nij =</w:t>
      </w:r>
      <w:r w:rsidRPr="0015412A">
        <w:t xml:space="preserve"> importance of node j</w:t>
      </w:r>
    </w:p>
    <w:p w14:paraId="3C6B0980" w14:textId="0D12C475" w:rsidR="00F23993" w:rsidRDefault="00E8244C" w:rsidP="00F23993">
      <w:pPr>
        <w:pStyle w:val="CETBodytext"/>
        <w:rPr>
          <w:lang w:val="en-GB"/>
        </w:rPr>
      </w:pPr>
      <w:r>
        <w:rPr>
          <w:lang w:val="en-GB"/>
        </w:rPr>
        <w:t xml:space="preserve">Feature importance values are </w:t>
      </w:r>
      <w:r w:rsidR="00F23993" w:rsidRPr="005B5BC5">
        <w:rPr>
          <w:lang w:val="en-GB"/>
        </w:rPr>
        <w:t xml:space="preserve">then normalized by dividing </w:t>
      </w:r>
      <w:r>
        <w:rPr>
          <w:lang w:val="en-GB"/>
        </w:rPr>
        <w:t xml:space="preserve">them </w:t>
      </w:r>
      <w:r w:rsidR="00F23993" w:rsidRPr="005B5BC5">
        <w:rPr>
          <w:lang w:val="en-GB"/>
        </w:rPr>
        <w:t>by the sum o</w:t>
      </w:r>
      <w:r w:rsidR="00F23993">
        <w:rPr>
          <w:lang w:val="en-GB"/>
        </w:rPr>
        <w:t>f all feature importance values.</w:t>
      </w:r>
      <w:r w:rsidR="00313046">
        <w:rPr>
          <w:lang w:val="en-GB"/>
        </w:rPr>
        <w:t xml:space="preserve"> </w:t>
      </w:r>
      <w:r w:rsidR="00F23993" w:rsidRPr="005B5BC5">
        <w:rPr>
          <w:lang w:val="en-GB"/>
        </w:rPr>
        <w:t xml:space="preserve">The final feature importance, at the Random Forest level, is </w:t>
      </w:r>
      <w:r w:rsidR="00F23993">
        <w:rPr>
          <w:lang w:val="en-GB"/>
        </w:rPr>
        <w:t>the calculated</w:t>
      </w:r>
      <w:r w:rsidR="00F23993" w:rsidRPr="005B5BC5">
        <w:rPr>
          <w:lang w:val="en-GB"/>
        </w:rPr>
        <w:t xml:space="preserve"> average over all the trees. The sum of the feature’s importance value on each tree is calculated and divided by the total number of trees</w:t>
      </w:r>
      <w:r w:rsidR="00F23993">
        <w:rPr>
          <w:lang w:val="en-GB"/>
        </w:rPr>
        <w:t xml:space="preserve"> (Eq. 5)</w:t>
      </w:r>
      <w:r w:rsidR="00F23993" w:rsidRPr="005B5BC5">
        <w:rPr>
          <w:lang w:val="en-GB"/>
        </w:rPr>
        <w:t>:</w:t>
      </w:r>
    </w:p>
    <w:p w14:paraId="18934016" w14:textId="77777777" w:rsidR="00107E70" w:rsidRDefault="00107E70" w:rsidP="00F23993">
      <w:pPr>
        <w:pStyle w:val="CETBodytext"/>
        <w:rPr>
          <w:lang w:val="en-GB"/>
        </w:rPr>
      </w:pPr>
    </w:p>
    <w:p w14:paraId="6217C5BC" w14:textId="2AC3F56B" w:rsidR="00F23993" w:rsidRPr="00334D78" w:rsidRDefault="00000000" w:rsidP="00D23EB9">
      <w:pPr>
        <w:pStyle w:val="CETBodytext"/>
        <w:jc w:val="left"/>
        <w:rPr>
          <w:lang w:val="en-GB"/>
        </w:rPr>
      </w:pPr>
      <m:oMath>
        <m:sSub>
          <m:sSubPr>
            <m:ctrlPr>
              <w:rPr>
                <w:rFonts w:ascii="Cambria Math" w:hAnsi="Cambria Math"/>
                <w:i/>
                <w:lang w:val="en-GB"/>
              </w:rPr>
            </m:ctrlPr>
          </m:sSubPr>
          <m:e>
            <m:r>
              <w:rPr>
                <w:rFonts w:ascii="Cambria Math" w:hAnsi="Cambria Math"/>
                <w:lang w:val="en-GB"/>
              </w:rPr>
              <m:t>RFfi</m:t>
            </m:r>
          </m:e>
          <m:sub>
            <m:r>
              <w:rPr>
                <w:rFonts w:ascii="Cambria Math" w:hAnsi="Cambria Math"/>
                <w:lang w:val="en-GB"/>
              </w:rPr>
              <m:t>i</m:t>
            </m:r>
          </m:sub>
        </m:sSub>
        <m:r>
          <w:rPr>
            <w:rFonts w:ascii="Cambria Math" w:hAnsi="Cambria Math"/>
            <w:lang w:val="en-GB"/>
          </w:rPr>
          <m:t xml:space="preserve">= </m:t>
        </m:r>
        <m:f>
          <m:fPr>
            <m:ctrlPr>
              <w:rPr>
                <w:rFonts w:ascii="Cambria Math" w:hAnsi="Cambria Math"/>
                <w:i/>
                <w:lang w:val="en-GB"/>
              </w:rPr>
            </m:ctrlPr>
          </m:fPr>
          <m:num>
            <m:nary>
              <m:naryPr>
                <m:chr m:val="∑"/>
                <m:limLoc m:val="undOvr"/>
                <m:supHide m:val="1"/>
                <m:ctrlPr>
                  <w:rPr>
                    <w:rFonts w:ascii="Cambria Math" w:hAnsi="Cambria Math"/>
                    <w:i/>
                    <w:lang w:val="en-GB"/>
                  </w:rPr>
                </m:ctrlPr>
              </m:naryPr>
              <m:sub>
                <m:r>
                  <w:rPr>
                    <w:rFonts w:ascii="Cambria Math" w:hAnsi="Cambria Math"/>
                    <w:lang w:val="en-GB"/>
                  </w:rPr>
                  <m:t>j in all trees</m:t>
                </m:r>
              </m:sub>
              <m:sup/>
              <m:e>
                <m:sSub>
                  <m:sSubPr>
                    <m:ctrlPr>
                      <w:rPr>
                        <w:rFonts w:ascii="Cambria Math" w:hAnsi="Cambria Math"/>
                        <w:i/>
                        <w:lang w:val="en-GB"/>
                      </w:rPr>
                    </m:ctrlPr>
                  </m:sSubPr>
                  <m:e>
                    <m:r>
                      <w:rPr>
                        <w:rFonts w:ascii="Cambria Math" w:hAnsi="Cambria Math"/>
                        <w:lang w:val="en-GB"/>
                      </w:rPr>
                      <m:t>normfi</m:t>
                    </m:r>
                  </m:e>
                  <m:sub>
                    <m:r>
                      <w:rPr>
                        <w:rFonts w:ascii="Cambria Math" w:hAnsi="Cambria Math"/>
                        <w:lang w:val="en-GB"/>
                      </w:rPr>
                      <m:t>ij</m:t>
                    </m:r>
                  </m:sub>
                </m:sSub>
              </m:e>
            </m:nary>
          </m:num>
          <m:den>
            <m:r>
              <w:rPr>
                <w:rFonts w:ascii="Cambria Math" w:hAnsi="Cambria Math"/>
                <w:lang w:val="en-GB"/>
              </w:rPr>
              <m:t>T</m:t>
            </m:r>
          </m:den>
        </m:f>
      </m:oMath>
      <w:r w:rsidR="00F23993">
        <w:rPr>
          <w:lang w:val="en-GB"/>
        </w:rPr>
        <w:tab/>
      </w:r>
      <w:r w:rsidR="00F23993">
        <w:rPr>
          <w:lang w:val="en-GB"/>
        </w:rPr>
        <w:tab/>
      </w:r>
      <w:r w:rsidR="00D23EB9">
        <w:rPr>
          <w:lang w:val="en-GB"/>
        </w:rPr>
        <w:tab/>
      </w:r>
      <w:r w:rsidR="00F23993">
        <w:rPr>
          <w:lang w:val="en-GB"/>
        </w:rPr>
        <w:t>(5)</w:t>
      </w:r>
    </w:p>
    <w:p w14:paraId="4509AA05" w14:textId="77777777" w:rsidR="00F23993" w:rsidRPr="005B5BC5" w:rsidRDefault="00F23993" w:rsidP="00F23993">
      <w:pPr>
        <w:pStyle w:val="CETBodytext"/>
        <w:rPr>
          <w:lang w:val="en-GB"/>
        </w:rPr>
      </w:pPr>
    </w:p>
    <w:p w14:paraId="1E5E4ACE" w14:textId="62844D79" w:rsidR="00F23993" w:rsidRPr="0015412A" w:rsidRDefault="00F23993" w:rsidP="00F029B3">
      <w:pPr>
        <w:pStyle w:val="CETBodytext"/>
      </w:pPr>
      <w:r>
        <w:rPr>
          <w:lang w:val="en-GB"/>
        </w:rPr>
        <w:t>Where:</w:t>
      </w:r>
      <w:r w:rsidR="00F029B3">
        <w:rPr>
          <w:lang w:val="en-GB"/>
        </w:rPr>
        <w:t xml:space="preserve"> </w:t>
      </w:r>
      <w:r w:rsidR="00F029B3">
        <w:rPr>
          <w:lang w:val="en-GB"/>
        </w:rPr>
        <w:tab/>
        <w:t xml:space="preserve">  </w:t>
      </w:r>
      <w:r w:rsidRPr="0015412A">
        <w:rPr>
          <w:i/>
        </w:rPr>
        <w:t>RFfii</w:t>
      </w:r>
      <w:r>
        <w:rPr>
          <w:i/>
        </w:rPr>
        <w:t xml:space="preserve"> </w:t>
      </w:r>
      <w:r w:rsidRPr="0015412A">
        <w:rPr>
          <w:i/>
        </w:rPr>
        <w:t xml:space="preserve">= </w:t>
      </w:r>
      <w:r w:rsidRPr="0015412A">
        <w:t>importance of feature i calculated from all trees in the Random Forest model</w:t>
      </w:r>
    </w:p>
    <w:p w14:paraId="22687A62" w14:textId="23178D02" w:rsidR="00F23993" w:rsidRPr="0015412A" w:rsidRDefault="00F23993" w:rsidP="00F029B3">
      <w:pPr>
        <w:pStyle w:val="CETListbullets"/>
        <w:ind w:left="0" w:firstLine="708"/>
      </w:pPr>
      <w:r>
        <w:rPr>
          <w:i/>
        </w:rPr>
        <w:t>n</w:t>
      </w:r>
      <w:r w:rsidRPr="0015412A">
        <w:rPr>
          <w:i/>
        </w:rPr>
        <w:t>ormfiij</w:t>
      </w:r>
      <w:r>
        <w:rPr>
          <w:i/>
        </w:rPr>
        <w:t xml:space="preserve"> </w:t>
      </w:r>
      <w:r w:rsidRPr="0015412A">
        <w:rPr>
          <w:i/>
        </w:rPr>
        <w:t xml:space="preserve">= </w:t>
      </w:r>
      <w:r w:rsidRPr="0015412A">
        <w:t>normalized feature importance for i in tree j</w:t>
      </w:r>
    </w:p>
    <w:p w14:paraId="1D2BC843" w14:textId="3D5C01C5" w:rsidR="00F23993" w:rsidRDefault="00F23993" w:rsidP="00F029B3">
      <w:pPr>
        <w:pStyle w:val="CETListbullets"/>
        <w:ind w:left="113" w:firstLine="595"/>
      </w:pPr>
      <w:r w:rsidRPr="0015412A">
        <w:rPr>
          <w:i/>
        </w:rPr>
        <w:t xml:space="preserve">T = </w:t>
      </w:r>
      <w:r w:rsidRPr="0015412A">
        <w:t>total number of trees</w:t>
      </w:r>
      <w:r w:rsidR="00313046">
        <w:t>.</w:t>
      </w:r>
    </w:p>
    <w:p w14:paraId="6B5BE33D" w14:textId="6CB50CB3" w:rsidR="0014310A" w:rsidRPr="00B57B36" w:rsidRDefault="0014310A" w:rsidP="0014310A">
      <w:pPr>
        <w:pStyle w:val="CETheadingx"/>
      </w:pPr>
      <w:r>
        <w:lastRenderedPageBreak/>
        <w:t>Detailed feature analysis</w:t>
      </w:r>
    </w:p>
    <w:p w14:paraId="3C3C2480" w14:textId="77777777" w:rsidR="00924DD3" w:rsidRDefault="00924DD3" w:rsidP="00924DD3">
      <w:pPr>
        <w:pStyle w:val="CETBodytext"/>
        <w:keepNext/>
      </w:pPr>
      <w:r>
        <w:rPr>
          <w:noProof/>
          <w:lang w:val="it-IT" w:eastAsia="it-IT"/>
        </w:rPr>
        <w:drawing>
          <wp:inline distT="0" distB="0" distL="0" distR="0" wp14:anchorId="20096F29" wp14:editId="77BB7A48">
            <wp:extent cx="4078778" cy="2282825"/>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6161" cy="2298151"/>
                    </a:xfrm>
                    <a:prstGeom prst="rect">
                      <a:avLst/>
                    </a:prstGeom>
                  </pic:spPr>
                </pic:pic>
              </a:graphicData>
            </a:graphic>
          </wp:inline>
        </w:drawing>
      </w:r>
    </w:p>
    <w:p w14:paraId="598DDB33" w14:textId="0BB615D4" w:rsidR="00924DD3" w:rsidRDefault="00924DD3" w:rsidP="00F46CFB">
      <w:pPr>
        <w:pStyle w:val="CETBodytext"/>
        <w:rPr>
          <w:lang w:val="en-GB"/>
        </w:rPr>
      </w:pPr>
      <w:r w:rsidRPr="00BD077D">
        <w:rPr>
          <w:rStyle w:val="CETCaptionCarattere"/>
        </w:rPr>
        <w:t xml:space="preserve">Figure 1: </w:t>
      </w:r>
      <w:r w:rsidR="0069267F">
        <w:rPr>
          <w:rStyle w:val="CETCaptionCarattere"/>
        </w:rPr>
        <w:t>Calculated f</w:t>
      </w:r>
      <w:r>
        <w:rPr>
          <w:rStyle w:val="CETCaptionCarattere"/>
        </w:rPr>
        <w:t>eature importance</w:t>
      </w:r>
      <w:r w:rsidR="00A21642">
        <w:rPr>
          <w:rStyle w:val="CETCaptionCarattere"/>
        </w:rPr>
        <w:t>.</w:t>
      </w:r>
    </w:p>
    <w:p w14:paraId="2A236604" w14:textId="77777777" w:rsidR="00924DD3" w:rsidRDefault="00924DD3" w:rsidP="00F46CFB">
      <w:pPr>
        <w:pStyle w:val="CETBodytext"/>
        <w:rPr>
          <w:lang w:val="en-GB"/>
        </w:rPr>
      </w:pPr>
    </w:p>
    <w:p w14:paraId="70D7F8C9" w14:textId="0CBFD3FF" w:rsidR="0014310A" w:rsidRDefault="0014310A" w:rsidP="0014310A">
      <w:pPr>
        <w:pStyle w:val="CETBodytext"/>
        <w:rPr>
          <w:lang w:val="en-GB"/>
        </w:rPr>
      </w:pPr>
      <w:r>
        <w:rPr>
          <w:lang w:val="en-GB"/>
        </w:rPr>
        <w:t xml:space="preserve">The feature importance, graphically depicted in Figure 1, allowed </w:t>
      </w:r>
      <w:r w:rsidRPr="00F46CFB">
        <w:rPr>
          <w:lang w:val="en-GB"/>
        </w:rPr>
        <w:t>reveal</w:t>
      </w:r>
      <w:r>
        <w:rPr>
          <w:lang w:val="en-GB"/>
        </w:rPr>
        <w:t>ing</w:t>
      </w:r>
      <w:r w:rsidRPr="00F46CFB">
        <w:rPr>
          <w:lang w:val="en-GB"/>
        </w:rPr>
        <w:t xml:space="preserve"> the following insights</w:t>
      </w:r>
      <w:r>
        <w:rPr>
          <w:lang w:val="en-GB"/>
        </w:rPr>
        <w:t>.</w:t>
      </w:r>
    </w:p>
    <w:p w14:paraId="52A54090" w14:textId="77777777" w:rsidR="00924DD3" w:rsidRDefault="00F46CFB" w:rsidP="00F46CFB">
      <w:pPr>
        <w:pStyle w:val="CETBodytext"/>
        <w:rPr>
          <w:lang w:val="en-GB"/>
        </w:rPr>
      </w:pPr>
      <w:r w:rsidRPr="00924DD3">
        <w:rPr>
          <w:i/>
          <w:lang w:val="en-GB"/>
        </w:rPr>
        <w:t>A</w:t>
      </w:r>
      <w:r w:rsidR="00924DD3" w:rsidRPr="00924DD3">
        <w:rPr>
          <w:i/>
          <w:lang w:val="en-GB"/>
        </w:rPr>
        <w:t>ccelerating factors</w:t>
      </w:r>
    </w:p>
    <w:p w14:paraId="672724D9" w14:textId="1855C5DC" w:rsidR="00924DD3" w:rsidRDefault="00924DD3" w:rsidP="00334D78">
      <w:pPr>
        <w:pStyle w:val="CETListbullets"/>
        <w:numPr>
          <w:ilvl w:val="0"/>
          <w:numId w:val="13"/>
        </w:numPr>
      </w:pPr>
      <w:r w:rsidRPr="00924DD3">
        <w:t xml:space="preserve">Among </w:t>
      </w:r>
      <w:r w:rsidRPr="00924DD3">
        <w:rPr>
          <w:i/>
        </w:rPr>
        <w:t>Per</w:t>
      </w:r>
      <w:r w:rsidRPr="00924DD3">
        <w:t xml:space="preserve"> (the hazard level), </w:t>
      </w:r>
      <w:r w:rsidRPr="00924DD3">
        <w:rPr>
          <w:i/>
        </w:rPr>
        <w:t>Imp_Mat</w:t>
      </w:r>
      <w:r w:rsidR="00F46CFB" w:rsidRPr="00924DD3">
        <w:t xml:space="preserve"> was found to be the most important feature, contributing significantly to the prediction of accidents and near misses. This </w:t>
      </w:r>
      <w:r w:rsidR="00313046">
        <w:t xml:space="preserve">observation </w:t>
      </w:r>
      <w:r w:rsidR="00F46CFB" w:rsidRPr="00924DD3">
        <w:t xml:space="preserve">suggests that the </w:t>
      </w:r>
      <w:r w:rsidRPr="00924DD3">
        <w:t xml:space="preserve">technological </w:t>
      </w:r>
      <w:r w:rsidR="00F46CFB" w:rsidRPr="00924DD3">
        <w:t xml:space="preserve">characteristics of </w:t>
      </w:r>
      <w:r w:rsidRPr="00924DD3">
        <w:t xml:space="preserve">the plants </w:t>
      </w:r>
      <w:r w:rsidR="00F46CFB" w:rsidRPr="00924DD3">
        <w:t>involved in the processes play a crucial role in determining the safety outcomes.</w:t>
      </w:r>
    </w:p>
    <w:p w14:paraId="4C5328C7" w14:textId="60734333" w:rsidR="00924DD3" w:rsidRDefault="00924DD3" w:rsidP="00334D78">
      <w:pPr>
        <w:pStyle w:val="CETListbullets"/>
        <w:numPr>
          <w:ilvl w:val="0"/>
          <w:numId w:val="13"/>
        </w:numPr>
      </w:pPr>
      <w:r w:rsidRPr="00924DD3">
        <w:t xml:space="preserve">Among </w:t>
      </w:r>
      <w:r w:rsidR="00F46CFB" w:rsidRPr="00924DD3">
        <w:rPr>
          <w:i/>
        </w:rPr>
        <w:t>Con</w:t>
      </w:r>
      <w:r w:rsidRPr="00924DD3">
        <w:t xml:space="preserve"> (the contextual elements), </w:t>
      </w:r>
      <w:r w:rsidR="00F46CFB" w:rsidRPr="00924DD3">
        <w:rPr>
          <w:i/>
        </w:rPr>
        <w:t>Log</w:t>
      </w:r>
      <w:r w:rsidR="00F46CFB" w:rsidRPr="00924DD3">
        <w:t xml:space="preserve"> emerged as a highly influential feature. </w:t>
      </w:r>
      <w:r w:rsidR="00F029B3">
        <w:t>F</w:t>
      </w:r>
      <w:r w:rsidR="00F46CFB" w:rsidRPr="00924DD3">
        <w:t xml:space="preserve">actors related to logistical operations and management have a </w:t>
      </w:r>
      <w:r w:rsidR="00F029B3">
        <w:t>relevant</w:t>
      </w:r>
      <w:r w:rsidR="00F46CFB" w:rsidRPr="00924DD3">
        <w:t xml:space="preserve"> impact on accident and near</w:t>
      </w:r>
      <w:r w:rsidR="00F029B3">
        <w:t>-</w:t>
      </w:r>
      <w:r w:rsidR="00F46CFB" w:rsidRPr="00924DD3">
        <w:t>miss occurrences.</w:t>
      </w:r>
    </w:p>
    <w:p w14:paraId="17D0B183" w14:textId="02C9DB02" w:rsidR="00924DD3" w:rsidRPr="00924DD3" w:rsidRDefault="00924DD3" w:rsidP="00924DD3">
      <w:pPr>
        <w:pStyle w:val="CETListbullets"/>
        <w:ind w:left="0" w:firstLine="0"/>
        <w:rPr>
          <w:i/>
        </w:rPr>
      </w:pPr>
      <w:r w:rsidRPr="00924DD3">
        <w:rPr>
          <w:i/>
        </w:rPr>
        <w:t>Mitigating factors</w:t>
      </w:r>
    </w:p>
    <w:p w14:paraId="7CCA51C4" w14:textId="4B8F1598" w:rsidR="00924DD3" w:rsidRDefault="00F46CFB" w:rsidP="00334D78">
      <w:pPr>
        <w:pStyle w:val="CETListbullets"/>
        <w:numPr>
          <w:ilvl w:val="0"/>
          <w:numId w:val="13"/>
        </w:numPr>
      </w:pPr>
      <w:r w:rsidRPr="00924DD3">
        <w:t>Among the</w:t>
      </w:r>
      <w:r w:rsidR="00924DD3">
        <w:t xml:space="preserve"> </w:t>
      </w:r>
      <w:r w:rsidR="00924DD3" w:rsidRPr="00924DD3">
        <w:rPr>
          <w:i/>
        </w:rPr>
        <w:t>Tec</w:t>
      </w:r>
      <w:r w:rsidRPr="00924DD3">
        <w:t xml:space="preserve"> </w:t>
      </w:r>
      <w:r w:rsidR="00924DD3">
        <w:t>(</w:t>
      </w:r>
      <w:r w:rsidRPr="00924DD3">
        <w:t>technical aspects</w:t>
      </w:r>
      <w:r w:rsidR="00924DD3">
        <w:t>)</w:t>
      </w:r>
      <w:r w:rsidRPr="00924DD3">
        <w:t xml:space="preserve">, both </w:t>
      </w:r>
      <w:r w:rsidRPr="00924DD3">
        <w:rPr>
          <w:i/>
        </w:rPr>
        <w:t>Affid</w:t>
      </w:r>
      <w:r w:rsidRPr="00924DD3">
        <w:t xml:space="preserve"> and </w:t>
      </w:r>
      <w:r w:rsidRPr="00924DD3">
        <w:rPr>
          <w:i/>
        </w:rPr>
        <w:t>Innov</w:t>
      </w:r>
      <w:r w:rsidRPr="00924DD3">
        <w:t xml:space="preserve"> were found to have notable importance. This </w:t>
      </w:r>
      <w:r w:rsidR="00313046">
        <w:t xml:space="preserve">result </w:t>
      </w:r>
      <w:r w:rsidRPr="00924DD3">
        <w:t>suggests that both the reliability of technical systems and the level of innovation implemented in the processes contribute significantly to safety outcomes.</w:t>
      </w:r>
    </w:p>
    <w:p w14:paraId="0436EE9D" w14:textId="0A04A624" w:rsidR="00F46CFB" w:rsidRPr="00924DD3" w:rsidRDefault="00F46CFB" w:rsidP="00334D78">
      <w:pPr>
        <w:pStyle w:val="CETListbullets"/>
        <w:numPr>
          <w:ilvl w:val="0"/>
          <w:numId w:val="13"/>
        </w:numPr>
      </w:pPr>
      <w:r w:rsidRPr="00924DD3">
        <w:t xml:space="preserve">Within </w:t>
      </w:r>
      <w:r w:rsidR="00924DD3" w:rsidRPr="00924DD3">
        <w:rPr>
          <w:i/>
        </w:rPr>
        <w:t>Um_org</w:t>
      </w:r>
      <w:r w:rsidRPr="00924DD3">
        <w:t xml:space="preserve"> </w:t>
      </w:r>
      <w:r w:rsidR="00924DD3">
        <w:t>(</w:t>
      </w:r>
      <w:r w:rsidRPr="00924DD3">
        <w:t>human and organizational aspects</w:t>
      </w:r>
      <w:r w:rsidR="00924DD3">
        <w:t>)</w:t>
      </w:r>
      <w:r w:rsidRPr="00924DD3">
        <w:t xml:space="preserve">, </w:t>
      </w:r>
      <w:r w:rsidRPr="00924DD3">
        <w:rPr>
          <w:i/>
        </w:rPr>
        <w:t>Con</w:t>
      </w:r>
      <w:r w:rsidRPr="00924DD3">
        <w:t xml:space="preserve"> was identified as the most important feature. This </w:t>
      </w:r>
      <w:r w:rsidR="00313046">
        <w:t xml:space="preserve">finding </w:t>
      </w:r>
      <w:r w:rsidRPr="00924DD3">
        <w:t>indicates that the level of knowledge and expertise possessed by individuals and organizations has a strong influence on accident and near</w:t>
      </w:r>
      <w:r w:rsidR="00D23EB9">
        <w:t>-</w:t>
      </w:r>
      <w:r w:rsidRPr="00924DD3">
        <w:t>miss occurrences</w:t>
      </w:r>
      <w:r w:rsidR="00D23EB9">
        <w:t>, confirming</w:t>
      </w:r>
      <w:r w:rsidR="00781351">
        <w:t xml:space="preserve"> previous </w:t>
      </w:r>
      <w:r w:rsidR="00D23EB9">
        <w:t xml:space="preserve">studies </w:t>
      </w:r>
      <w:r w:rsidR="00781351">
        <w:t xml:space="preserve">in the process industry context </w:t>
      </w:r>
      <w:r w:rsidR="004B3945">
        <w:t>relying</w:t>
      </w:r>
      <w:r w:rsidR="00D23EB9">
        <w:t xml:space="preserve"> on different </w:t>
      </w:r>
      <w:r w:rsidR="00781351">
        <w:t xml:space="preserve">statistical </w:t>
      </w:r>
      <w:r w:rsidR="00D23EB9">
        <w:t>approaches (</w:t>
      </w:r>
      <w:r w:rsidR="00781351">
        <w:t xml:space="preserve">e.g., </w:t>
      </w:r>
      <w:r w:rsidR="00D23EB9">
        <w:t>Fabiano et al., 2022).</w:t>
      </w:r>
    </w:p>
    <w:p w14:paraId="4A6CB921" w14:textId="3C74353C" w:rsidR="00F46CFB" w:rsidRPr="00924DD3" w:rsidRDefault="00924DD3" w:rsidP="00F46CFB">
      <w:pPr>
        <w:pStyle w:val="CETBodytext"/>
        <w:rPr>
          <w:i/>
          <w:lang w:val="en-GB"/>
        </w:rPr>
      </w:pPr>
      <w:r w:rsidRPr="00924DD3">
        <w:rPr>
          <w:i/>
          <w:lang w:val="en-GB"/>
        </w:rPr>
        <w:t>Operative experience data</w:t>
      </w:r>
    </w:p>
    <w:p w14:paraId="4806F464" w14:textId="0121F932" w:rsidR="00F46CFB" w:rsidRPr="00F46CFB" w:rsidRDefault="00924DD3" w:rsidP="00F46CFB">
      <w:pPr>
        <w:pStyle w:val="CETBodytext"/>
        <w:rPr>
          <w:lang w:val="en-GB"/>
        </w:rPr>
      </w:pPr>
      <w:r>
        <w:rPr>
          <w:lang w:val="en-GB"/>
        </w:rPr>
        <w:t>T</w:t>
      </w:r>
      <w:r w:rsidRPr="00924DD3">
        <w:rPr>
          <w:lang w:val="en-GB"/>
        </w:rPr>
        <w:t xml:space="preserve">he distinctly </w:t>
      </w:r>
      <w:r w:rsidR="00DD5E36">
        <w:rPr>
          <w:lang w:val="en-GB"/>
        </w:rPr>
        <w:t>higher</w:t>
      </w:r>
      <w:r w:rsidRPr="00924DD3">
        <w:rPr>
          <w:lang w:val="en-GB"/>
        </w:rPr>
        <w:t xml:space="preserve"> importance of major non-conformities</w:t>
      </w:r>
      <w:r>
        <w:rPr>
          <w:lang w:val="en-GB"/>
        </w:rPr>
        <w:t xml:space="preserve"> (</w:t>
      </w:r>
      <w:r w:rsidRPr="00924DD3">
        <w:rPr>
          <w:i/>
          <w:lang w:val="en-GB"/>
        </w:rPr>
        <w:t>NC_maj</w:t>
      </w:r>
      <w:r>
        <w:rPr>
          <w:lang w:val="en-GB"/>
        </w:rPr>
        <w:t>)</w:t>
      </w:r>
      <w:r w:rsidR="00F46CFB" w:rsidRPr="00F46CFB">
        <w:rPr>
          <w:lang w:val="en-GB"/>
        </w:rPr>
        <w:t xml:space="preserve"> highlight</w:t>
      </w:r>
      <w:r w:rsidR="00DD5E36">
        <w:rPr>
          <w:lang w:val="en-GB"/>
        </w:rPr>
        <w:t>s</w:t>
      </w:r>
      <w:r w:rsidR="00F46CFB" w:rsidRPr="00F46CFB">
        <w:rPr>
          <w:lang w:val="en-GB"/>
        </w:rPr>
        <w:t xml:space="preserve"> the </w:t>
      </w:r>
      <w:r w:rsidR="00DD5E36">
        <w:rPr>
          <w:lang w:val="en-GB"/>
        </w:rPr>
        <w:t xml:space="preserve">relevant </w:t>
      </w:r>
      <w:r w:rsidR="00F46CFB" w:rsidRPr="00F46CFB">
        <w:rPr>
          <w:lang w:val="en-GB"/>
        </w:rPr>
        <w:t xml:space="preserve">role of non-compliance issues in </w:t>
      </w:r>
      <w:r w:rsidR="00DD5E36">
        <w:rPr>
          <w:lang w:val="en-GB"/>
        </w:rPr>
        <w:t>anticipating the</w:t>
      </w:r>
      <w:r w:rsidR="00F46CFB" w:rsidRPr="00F46CFB">
        <w:rPr>
          <w:lang w:val="en-GB"/>
        </w:rPr>
        <w:t xml:space="preserve"> safety incidents.</w:t>
      </w:r>
    </w:p>
    <w:p w14:paraId="614B21AF" w14:textId="534378D6" w:rsidR="005B5BC5" w:rsidRPr="00B57B36" w:rsidRDefault="005B5BC5" w:rsidP="005B5BC5">
      <w:pPr>
        <w:pStyle w:val="CETTabletitle"/>
      </w:pPr>
      <w:r w:rsidRPr="00B57B36">
        <w:t xml:space="preserve">Table 1: </w:t>
      </w:r>
      <w:r w:rsidR="00A21642">
        <w:t>Calculated</w:t>
      </w:r>
      <w:r w:rsidR="0015412A">
        <w:t xml:space="preserve"> feature importance</w:t>
      </w:r>
      <w:r w:rsidR="00A21642">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843"/>
      </w:tblGrid>
      <w:tr w:rsidR="005B5BC5" w:rsidRPr="00B57B36" w14:paraId="7CE4BBC3" w14:textId="77777777" w:rsidTr="0061419D">
        <w:tc>
          <w:tcPr>
            <w:tcW w:w="2268" w:type="dxa"/>
            <w:tcBorders>
              <w:top w:val="single" w:sz="12" w:space="0" w:color="008000"/>
              <w:bottom w:val="single" w:sz="6" w:space="0" w:color="008000"/>
            </w:tcBorders>
            <w:shd w:val="clear" w:color="auto" w:fill="FFFFFF"/>
          </w:tcPr>
          <w:p w14:paraId="1A581D87" w14:textId="793625EF" w:rsidR="005B5BC5" w:rsidRPr="00B57B36" w:rsidRDefault="005B5BC5" w:rsidP="00A21642">
            <w:pPr>
              <w:pStyle w:val="CETBodytext"/>
              <w:jc w:val="center"/>
              <w:rPr>
                <w:lang w:val="en-GB"/>
              </w:rPr>
            </w:pPr>
            <w:r>
              <w:rPr>
                <w:lang w:val="en-GB"/>
              </w:rPr>
              <w:t>Feature</w:t>
            </w:r>
          </w:p>
        </w:tc>
        <w:tc>
          <w:tcPr>
            <w:tcW w:w="1843" w:type="dxa"/>
            <w:tcBorders>
              <w:top w:val="single" w:sz="12" w:space="0" w:color="008000"/>
              <w:bottom w:val="single" w:sz="6" w:space="0" w:color="008000"/>
            </w:tcBorders>
            <w:shd w:val="clear" w:color="auto" w:fill="FFFFFF"/>
          </w:tcPr>
          <w:p w14:paraId="41718D8C" w14:textId="659031E6" w:rsidR="005B5BC5" w:rsidRPr="00B57B36" w:rsidRDefault="005B5BC5" w:rsidP="00A21642">
            <w:pPr>
              <w:pStyle w:val="CETBodytext"/>
              <w:jc w:val="center"/>
              <w:rPr>
                <w:lang w:val="en-GB"/>
              </w:rPr>
            </w:pPr>
            <w:r>
              <w:rPr>
                <w:lang w:val="en-GB"/>
              </w:rPr>
              <w:t>Importance</w:t>
            </w:r>
          </w:p>
        </w:tc>
      </w:tr>
      <w:tr w:rsidR="0015412A" w:rsidRPr="00B57B36" w14:paraId="7AE2D735" w14:textId="77777777" w:rsidTr="0061419D">
        <w:tc>
          <w:tcPr>
            <w:tcW w:w="2268" w:type="dxa"/>
            <w:shd w:val="clear" w:color="auto" w:fill="FFFFFF"/>
          </w:tcPr>
          <w:p w14:paraId="6E041DA0" w14:textId="5B60284A" w:rsidR="0015412A" w:rsidRPr="00B57B36" w:rsidRDefault="0015412A" w:rsidP="00A21642">
            <w:pPr>
              <w:pStyle w:val="CETBodytext"/>
              <w:jc w:val="center"/>
              <w:rPr>
                <w:lang w:val="en-GB"/>
              </w:rPr>
            </w:pPr>
            <w:r w:rsidRPr="0015412A">
              <w:rPr>
                <w:lang w:val="en-GB"/>
              </w:rPr>
              <w:t>Sost</w:t>
            </w:r>
          </w:p>
        </w:tc>
        <w:tc>
          <w:tcPr>
            <w:tcW w:w="1843" w:type="dxa"/>
            <w:shd w:val="clear" w:color="auto" w:fill="FFFFFF"/>
          </w:tcPr>
          <w:p w14:paraId="2EF171A5" w14:textId="022C66AE" w:rsidR="0015412A" w:rsidRPr="00B57B36" w:rsidRDefault="0015412A" w:rsidP="00A21642">
            <w:pPr>
              <w:pStyle w:val="CETBodytext"/>
              <w:jc w:val="center"/>
              <w:rPr>
                <w:lang w:val="en-GB"/>
              </w:rPr>
            </w:pPr>
            <w:r w:rsidRPr="0015412A">
              <w:rPr>
                <w:lang w:val="en-GB"/>
              </w:rPr>
              <w:t>0.059</w:t>
            </w:r>
          </w:p>
        </w:tc>
      </w:tr>
      <w:tr w:rsidR="0015412A" w:rsidRPr="00B57B36" w14:paraId="06A28FEF" w14:textId="77777777" w:rsidTr="0061419D">
        <w:tc>
          <w:tcPr>
            <w:tcW w:w="2268" w:type="dxa"/>
            <w:shd w:val="clear" w:color="auto" w:fill="FFFFFF"/>
          </w:tcPr>
          <w:p w14:paraId="48D42CF6" w14:textId="12F683F7" w:rsidR="0015412A" w:rsidRPr="00B57B36" w:rsidRDefault="0015412A" w:rsidP="00A21642">
            <w:pPr>
              <w:pStyle w:val="CETBodytext"/>
              <w:jc w:val="center"/>
              <w:rPr>
                <w:lang w:val="en-GB"/>
              </w:rPr>
            </w:pPr>
            <w:r w:rsidRPr="0015412A">
              <w:rPr>
                <w:lang w:val="en-GB"/>
              </w:rPr>
              <w:t>Proc</w:t>
            </w:r>
          </w:p>
        </w:tc>
        <w:tc>
          <w:tcPr>
            <w:tcW w:w="1843" w:type="dxa"/>
            <w:shd w:val="clear" w:color="auto" w:fill="FFFFFF"/>
          </w:tcPr>
          <w:p w14:paraId="0ECDC245" w14:textId="387721AC" w:rsidR="0015412A" w:rsidRPr="00B57B36" w:rsidRDefault="0015412A" w:rsidP="00A21642">
            <w:pPr>
              <w:pStyle w:val="CETBodytext"/>
              <w:jc w:val="center"/>
              <w:rPr>
                <w:lang w:val="en-GB"/>
              </w:rPr>
            </w:pPr>
            <w:r w:rsidRPr="0015412A">
              <w:rPr>
                <w:lang w:val="en-GB"/>
              </w:rPr>
              <w:t>0.044</w:t>
            </w:r>
          </w:p>
        </w:tc>
      </w:tr>
      <w:tr w:rsidR="0015412A" w:rsidRPr="00B57B36" w14:paraId="53ADAEB1" w14:textId="77777777" w:rsidTr="0061419D">
        <w:tc>
          <w:tcPr>
            <w:tcW w:w="2268" w:type="dxa"/>
            <w:shd w:val="clear" w:color="auto" w:fill="FFFFFF"/>
          </w:tcPr>
          <w:p w14:paraId="1CA2D1D9" w14:textId="16314F7C" w:rsidR="0015412A" w:rsidRPr="00B57B36" w:rsidRDefault="0015412A" w:rsidP="00A21642">
            <w:pPr>
              <w:pStyle w:val="CETBodytext"/>
              <w:jc w:val="center"/>
              <w:rPr>
                <w:lang w:val="en-GB"/>
              </w:rPr>
            </w:pPr>
            <w:r w:rsidRPr="0015412A">
              <w:rPr>
                <w:lang w:val="en-GB"/>
              </w:rPr>
              <w:t>Imp_Mat</w:t>
            </w:r>
          </w:p>
        </w:tc>
        <w:tc>
          <w:tcPr>
            <w:tcW w:w="1843" w:type="dxa"/>
            <w:shd w:val="clear" w:color="auto" w:fill="FFFFFF"/>
          </w:tcPr>
          <w:p w14:paraId="2D593E09" w14:textId="5B2694E4" w:rsidR="0015412A" w:rsidRPr="00B57B36" w:rsidRDefault="0015412A" w:rsidP="00A21642">
            <w:pPr>
              <w:pStyle w:val="CETBodytext"/>
              <w:jc w:val="center"/>
              <w:rPr>
                <w:lang w:val="en-GB"/>
              </w:rPr>
            </w:pPr>
            <w:r w:rsidRPr="0015412A">
              <w:rPr>
                <w:lang w:val="en-GB"/>
              </w:rPr>
              <w:t>0.137</w:t>
            </w:r>
          </w:p>
        </w:tc>
      </w:tr>
      <w:tr w:rsidR="0015412A" w:rsidRPr="00B57B36" w14:paraId="30C551C2" w14:textId="77777777" w:rsidTr="0061419D">
        <w:tc>
          <w:tcPr>
            <w:tcW w:w="2268" w:type="dxa"/>
            <w:shd w:val="clear" w:color="auto" w:fill="FFFFFF"/>
          </w:tcPr>
          <w:p w14:paraId="5925BABC" w14:textId="7CC2F6B9" w:rsidR="0015412A" w:rsidRPr="00B57B36" w:rsidRDefault="0015412A" w:rsidP="00A21642">
            <w:pPr>
              <w:pStyle w:val="CETBodytext"/>
              <w:jc w:val="center"/>
              <w:rPr>
                <w:lang w:val="en-GB"/>
              </w:rPr>
            </w:pPr>
            <w:r w:rsidRPr="0015412A">
              <w:rPr>
                <w:lang w:val="en-GB"/>
              </w:rPr>
              <w:t>Log</w:t>
            </w:r>
          </w:p>
        </w:tc>
        <w:tc>
          <w:tcPr>
            <w:tcW w:w="1843" w:type="dxa"/>
            <w:shd w:val="clear" w:color="auto" w:fill="FFFFFF"/>
          </w:tcPr>
          <w:p w14:paraId="1779A540" w14:textId="08983344" w:rsidR="0015412A" w:rsidRPr="00B57B36" w:rsidRDefault="0015412A" w:rsidP="00A21642">
            <w:pPr>
              <w:pStyle w:val="CETBodytext"/>
              <w:jc w:val="center"/>
              <w:rPr>
                <w:lang w:val="en-GB"/>
              </w:rPr>
            </w:pPr>
            <w:r w:rsidRPr="0015412A">
              <w:rPr>
                <w:lang w:val="en-GB"/>
              </w:rPr>
              <w:t>0.071</w:t>
            </w:r>
          </w:p>
        </w:tc>
      </w:tr>
      <w:tr w:rsidR="0015412A" w:rsidRPr="00B57B36" w14:paraId="39587778" w14:textId="77777777" w:rsidTr="0061419D">
        <w:tc>
          <w:tcPr>
            <w:tcW w:w="2268" w:type="dxa"/>
            <w:shd w:val="clear" w:color="auto" w:fill="FFFFFF"/>
          </w:tcPr>
          <w:p w14:paraId="26C70923" w14:textId="5E801DA0" w:rsidR="0015412A" w:rsidRPr="00B57B36" w:rsidRDefault="0015412A" w:rsidP="00A21642">
            <w:pPr>
              <w:pStyle w:val="CETBodytext"/>
              <w:jc w:val="center"/>
              <w:rPr>
                <w:lang w:val="en-GB"/>
              </w:rPr>
            </w:pPr>
            <w:r w:rsidRPr="0015412A">
              <w:rPr>
                <w:lang w:val="en-GB"/>
              </w:rPr>
              <w:t>Interf</w:t>
            </w:r>
          </w:p>
        </w:tc>
        <w:tc>
          <w:tcPr>
            <w:tcW w:w="1843" w:type="dxa"/>
            <w:shd w:val="clear" w:color="auto" w:fill="FFFFFF"/>
          </w:tcPr>
          <w:p w14:paraId="3CB65144" w14:textId="7141791B" w:rsidR="0015412A" w:rsidRPr="00B57B36" w:rsidRDefault="0015412A" w:rsidP="00A21642">
            <w:pPr>
              <w:pStyle w:val="CETBodytext"/>
              <w:jc w:val="center"/>
              <w:rPr>
                <w:lang w:val="en-GB"/>
              </w:rPr>
            </w:pPr>
            <w:r w:rsidRPr="0015412A">
              <w:rPr>
                <w:lang w:val="en-GB"/>
              </w:rPr>
              <w:t>0.055</w:t>
            </w:r>
          </w:p>
        </w:tc>
      </w:tr>
      <w:tr w:rsidR="0015412A" w:rsidRPr="00B57B36" w14:paraId="1A90D91D" w14:textId="77777777" w:rsidTr="0061419D">
        <w:tc>
          <w:tcPr>
            <w:tcW w:w="2268" w:type="dxa"/>
            <w:shd w:val="clear" w:color="auto" w:fill="FFFFFF"/>
          </w:tcPr>
          <w:p w14:paraId="11EC014D" w14:textId="73FD7E3B" w:rsidR="0015412A" w:rsidRPr="00B57B36" w:rsidRDefault="0015412A" w:rsidP="00A21642">
            <w:pPr>
              <w:pStyle w:val="CETBodytext"/>
              <w:jc w:val="center"/>
              <w:rPr>
                <w:lang w:val="en-GB"/>
              </w:rPr>
            </w:pPr>
            <w:r w:rsidRPr="0015412A">
              <w:rPr>
                <w:lang w:val="en-GB"/>
              </w:rPr>
              <w:t>Soc_Pol_Fin</w:t>
            </w:r>
          </w:p>
        </w:tc>
        <w:tc>
          <w:tcPr>
            <w:tcW w:w="1843" w:type="dxa"/>
            <w:shd w:val="clear" w:color="auto" w:fill="FFFFFF"/>
          </w:tcPr>
          <w:p w14:paraId="25FA9E1F" w14:textId="703056B2" w:rsidR="0015412A" w:rsidRPr="00B57B36" w:rsidRDefault="0015412A" w:rsidP="00A21642">
            <w:pPr>
              <w:pStyle w:val="CETBodytext"/>
              <w:jc w:val="center"/>
              <w:rPr>
                <w:lang w:val="en-GB"/>
              </w:rPr>
            </w:pPr>
            <w:r w:rsidRPr="0015412A">
              <w:rPr>
                <w:lang w:val="en-GB"/>
              </w:rPr>
              <w:t>0.051</w:t>
            </w:r>
          </w:p>
        </w:tc>
      </w:tr>
      <w:tr w:rsidR="0015412A" w:rsidRPr="00B57B36" w14:paraId="6F81550B" w14:textId="77777777" w:rsidTr="0061419D">
        <w:tc>
          <w:tcPr>
            <w:tcW w:w="2268" w:type="dxa"/>
            <w:shd w:val="clear" w:color="auto" w:fill="FFFFFF"/>
          </w:tcPr>
          <w:p w14:paraId="0AB9E4AB" w14:textId="5EE087FB" w:rsidR="0015412A" w:rsidRPr="00B57B36" w:rsidRDefault="0015412A" w:rsidP="00A21642">
            <w:pPr>
              <w:pStyle w:val="CETBodytext"/>
              <w:jc w:val="center"/>
              <w:rPr>
                <w:lang w:val="en-GB"/>
              </w:rPr>
            </w:pPr>
            <w:r w:rsidRPr="0015412A">
              <w:rPr>
                <w:lang w:val="en-GB"/>
              </w:rPr>
              <w:t>Affid</w:t>
            </w:r>
          </w:p>
        </w:tc>
        <w:tc>
          <w:tcPr>
            <w:tcW w:w="1843" w:type="dxa"/>
            <w:shd w:val="clear" w:color="auto" w:fill="FFFFFF"/>
          </w:tcPr>
          <w:p w14:paraId="188633E3" w14:textId="64EEA18D" w:rsidR="0015412A" w:rsidRPr="00B57B36" w:rsidRDefault="0015412A" w:rsidP="00A21642">
            <w:pPr>
              <w:pStyle w:val="CETBodytext"/>
              <w:jc w:val="center"/>
              <w:rPr>
                <w:lang w:val="en-GB"/>
              </w:rPr>
            </w:pPr>
            <w:r w:rsidRPr="0015412A">
              <w:rPr>
                <w:lang w:val="en-GB"/>
              </w:rPr>
              <w:t>0.064</w:t>
            </w:r>
          </w:p>
        </w:tc>
      </w:tr>
      <w:tr w:rsidR="0015412A" w:rsidRPr="00B57B36" w14:paraId="767609FE" w14:textId="77777777" w:rsidTr="0061419D">
        <w:tc>
          <w:tcPr>
            <w:tcW w:w="2268" w:type="dxa"/>
            <w:shd w:val="clear" w:color="auto" w:fill="FFFFFF"/>
          </w:tcPr>
          <w:p w14:paraId="4FA86F12" w14:textId="66CD8D69" w:rsidR="0015412A" w:rsidRPr="00B57B36" w:rsidRDefault="0015412A" w:rsidP="00A21642">
            <w:pPr>
              <w:pStyle w:val="CETBodytext"/>
              <w:jc w:val="center"/>
              <w:rPr>
                <w:lang w:val="en-GB"/>
              </w:rPr>
            </w:pPr>
            <w:r w:rsidRPr="0015412A">
              <w:rPr>
                <w:lang w:val="en-GB"/>
              </w:rPr>
              <w:t>Innov</w:t>
            </w:r>
          </w:p>
        </w:tc>
        <w:tc>
          <w:tcPr>
            <w:tcW w:w="1843" w:type="dxa"/>
            <w:shd w:val="clear" w:color="auto" w:fill="FFFFFF"/>
          </w:tcPr>
          <w:p w14:paraId="0BB9EAEC" w14:textId="5B8DDED8" w:rsidR="0015412A" w:rsidRPr="00B57B36" w:rsidRDefault="0015412A" w:rsidP="00A21642">
            <w:pPr>
              <w:pStyle w:val="CETBodytext"/>
              <w:jc w:val="center"/>
              <w:rPr>
                <w:lang w:val="en-GB"/>
              </w:rPr>
            </w:pPr>
            <w:r w:rsidRPr="0015412A">
              <w:rPr>
                <w:lang w:val="en-GB"/>
              </w:rPr>
              <w:t>0.064</w:t>
            </w:r>
          </w:p>
        </w:tc>
      </w:tr>
      <w:tr w:rsidR="0015412A" w:rsidRPr="00B57B36" w14:paraId="3DAB5073" w14:textId="77777777" w:rsidTr="0061419D">
        <w:tc>
          <w:tcPr>
            <w:tcW w:w="2268" w:type="dxa"/>
            <w:shd w:val="clear" w:color="auto" w:fill="FFFFFF"/>
          </w:tcPr>
          <w:p w14:paraId="2D582296" w14:textId="76B6DE31" w:rsidR="0015412A" w:rsidRPr="00B57B36" w:rsidRDefault="0015412A" w:rsidP="00A21642">
            <w:pPr>
              <w:pStyle w:val="CETBodytext"/>
              <w:jc w:val="center"/>
              <w:rPr>
                <w:lang w:val="en-GB"/>
              </w:rPr>
            </w:pPr>
            <w:r w:rsidRPr="0015412A">
              <w:rPr>
                <w:lang w:val="en-GB"/>
              </w:rPr>
              <w:t>Con</w:t>
            </w:r>
          </w:p>
        </w:tc>
        <w:tc>
          <w:tcPr>
            <w:tcW w:w="1843" w:type="dxa"/>
            <w:shd w:val="clear" w:color="auto" w:fill="FFFFFF"/>
          </w:tcPr>
          <w:p w14:paraId="2933A771" w14:textId="0FCDD3B2" w:rsidR="0015412A" w:rsidRPr="00B57B36" w:rsidRDefault="0015412A" w:rsidP="00A21642">
            <w:pPr>
              <w:pStyle w:val="CETBodytext"/>
              <w:jc w:val="center"/>
              <w:rPr>
                <w:lang w:val="en-GB"/>
              </w:rPr>
            </w:pPr>
            <w:r w:rsidRPr="0015412A">
              <w:rPr>
                <w:lang w:val="en-GB"/>
              </w:rPr>
              <w:t>0.066</w:t>
            </w:r>
          </w:p>
        </w:tc>
      </w:tr>
      <w:tr w:rsidR="0015412A" w:rsidRPr="00B57B36" w14:paraId="19FC6F26" w14:textId="77777777" w:rsidTr="0061419D">
        <w:tc>
          <w:tcPr>
            <w:tcW w:w="2268" w:type="dxa"/>
            <w:shd w:val="clear" w:color="auto" w:fill="FFFFFF"/>
          </w:tcPr>
          <w:p w14:paraId="703A20AB" w14:textId="6076F0F7" w:rsidR="0015412A" w:rsidRPr="00B57B36" w:rsidRDefault="0015412A" w:rsidP="00A21642">
            <w:pPr>
              <w:pStyle w:val="CETBodytext"/>
              <w:jc w:val="center"/>
              <w:rPr>
                <w:lang w:val="en-GB"/>
              </w:rPr>
            </w:pPr>
            <w:r w:rsidRPr="0015412A">
              <w:rPr>
                <w:lang w:val="en-GB"/>
              </w:rPr>
              <w:t>Cul</w:t>
            </w:r>
          </w:p>
        </w:tc>
        <w:tc>
          <w:tcPr>
            <w:tcW w:w="1843" w:type="dxa"/>
            <w:shd w:val="clear" w:color="auto" w:fill="FFFFFF"/>
          </w:tcPr>
          <w:p w14:paraId="0104389C" w14:textId="59B4CAF0" w:rsidR="0015412A" w:rsidRPr="00B57B36" w:rsidRDefault="0015412A" w:rsidP="00A21642">
            <w:pPr>
              <w:pStyle w:val="CETBodytext"/>
              <w:jc w:val="center"/>
              <w:rPr>
                <w:lang w:val="en-GB"/>
              </w:rPr>
            </w:pPr>
            <w:r w:rsidRPr="0015412A">
              <w:rPr>
                <w:lang w:val="en-GB"/>
              </w:rPr>
              <w:t>0.064</w:t>
            </w:r>
          </w:p>
        </w:tc>
      </w:tr>
      <w:tr w:rsidR="0015412A" w:rsidRPr="00B57B36" w14:paraId="74979800" w14:textId="77777777" w:rsidTr="0061419D">
        <w:tc>
          <w:tcPr>
            <w:tcW w:w="2268" w:type="dxa"/>
            <w:shd w:val="clear" w:color="auto" w:fill="FFFFFF"/>
          </w:tcPr>
          <w:p w14:paraId="6A4C8C61" w14:textId="4E07149D" w:rsidR="0015412A" w:rsidRPr="00B57B36" w:rsidRDefault="0015412A" w:rsidP="00A21642">
            <w:pPr>
              <w:pStyle w:val="CETBodytext"/>
              <w:jc w:val="center"/>
              <w:rPr>
                <w:lang w:val="en-GB"/>
              </w:rPr>
            </w:pPr>
            <w:r w:rsidRPr="0015412A">
              <w:rPr>
                <w:lang w:val="en-GB"/>
              </w:rPr>
              <w:t>Comun</w:t>
            </w:r>
          </w:p>
        </w:tc>
        <w:tc>
          <w:tcPr>
            <w:tcW w:w="1843" w:type="dxa"/>
            <w:shd w:val="clear" w:color="auto" w:fill="FFFFFF"/>
          </w:tcPr>
          <w:p w14:paraId="15B24F44" w14:textId="6F9D8455" w:rsidR="0015412A" w:rsidRPr="00B57B36" w:rsidRDefault="0015412A" w:rsidP="00A21642">
            <w:pPr>
              <w:pStyle w:val="CETBodytext"/>
              <w:jc w:val="center"/>
              <w:rPr>
                <w:lang w:val="en-GB"/>
              </w:rPr>
            </w:pPr>
            <w:r w:rsidRPr="0015412A">
              <w:rPr>
                <w:lang w:val="en-GB"/>
              </w:rPr>
              <w:t>0.056</w:t>
            </w:r>
          </w:p>
        </w:tc>
      </w:tr>
      <w:tr w:rsidR="0015412A" w:rsidRPr="00B57B36" w14:paraId="1DF44CA8" w14:textId="77777777" w:rsidTr="0061419D">
        <w:tc>
          <w:tcPr>
            <w:tcW w:w="2268" w:type="dxa"/>
            <w:shd w:val="clear" w:color="auto" w:fill="FFFFFF"/>
          </w:tcPr>
          <w:p w14:paraId="727371AC" w14:textId="00AE9F8F" w:rsidR="0015412A" w:rsidRPr="00B57B36" w:rsidRDefault="0015412A" w:rsidP="00A21642">
            <w:pPr>
              <w:pStyle w:val="CETBodytext"/>
              <w:jc w:val="center"/>
              <w:rPr>
                <w:lang w:val="en-GB"/>
              </w:rPr>
            </w:pPr>
            <w:r w:rsidRPr="0015412A">
              <w:rPr>
                <w:lang w:val="en-GB"/>
              </w:rPr>
              <w:t>Anom</w:t>
            </w:r>
          </w:p>
        </w:tc>
        <w:tc>
          <w:tcPr>
            <w:tcW w:w="1843" w:type="dxa"/>
            <w:shd w:val="clear" w:color="auto" w:fill="FFFFFF"/>
          </w:tcPr>
          <w:p w14:paraId="51DCC812" w14:textId="573B01EA" w:rsidR="0015412A" w:rsidRPr="00B57B36" w:rsidRDefault="0015412A" w:rsidP="00A21642">
            <w:pPr>
              <w:pStyle w:val="CETBodytext"/>
              <w:jc w:val="center"/>
              <w:rPr>
                <w:lang w:val="en-GB"/>
              </w:rPr>
            </w:pPr>
            <w:r w:rsidRPr="0015412A">
              <w:rPr>
                <w:lang w:val="en-GB"/>
              </w:rPr>
              <w:t>0.059</w:t>
            </w:r>
          </w:p>
        </w:tc>
      </w:tr>
      <w:tr w:rsidR="0015412A" w:rsidRPr="00B57B36" w14:paraId="4B425C7E" w14:textId="77777777" w:rsidTr="0061419D">
        <w:tc>
          <w:tcPr>
            <w:tcW w:w="2268" w:type="dxa"/>
            <w:shd w:val="clear" w:color="auto" w:fill="FFFFFF"/>
          </w:tcPr>
          <w:p w14:paraId="19668B32" w14:textId="462BE03B" w:rsidR="0015412A" w:rsidRPr="00B57B36" w:rsidRDefault="0015412A" w:rsidP="00A21642">
            <w:pPr>
              <w:pStyle w:val="CETBodytext"/>
              <w:jc w:val="center"/>
              <w:rPr>
                <w:lang w:val="en-GB"/>
              </w:rPr>
            </w:pPr>
            <w:r w:rsidRPr="0015412A">
              <w:rPr>
                <w:lang w:val="en-GB"/>
              </w:rPr>
              <w:t>NC_maj</w:t>
            </w:r>
          </w:p>
        </w:tc>
        <w:tc>
          <w:tcPr>
            <w:tcW w:w="1843" w:type="dxa"/>
            <w:shd w:val="clear" w:color="auto" w:fill="FFFFFF"/>
          </w:tcPr>
          <w:p w14:paraId="0DF6AC72" w14:textId="4518C9E1" w:rsidR="0015412A" w:rsidRPr="00B57B36" w:rsidRDefault="0015412A" w:rsidP="00A21642">
            <w:pPr>
              <w:pStyle w:val="CETBodytext"/>
              <w:jc w:val="center"/>
              <w:rPr>
                <w:lang w:val="en-GB"/>
              </w:rPr>
            </w:pPr>
            <w:r w:rsidRPr="0015412A">
              <w:rPr>
                <w:lang w:val="en-GB"/>
              </w:rPr>
              <w:t>0.130</w:t>
            </w:r>
          </w:p>
        </w:tc>
      </w:tr>
      <w:tr w:rsidR="0015412A" w:rsidRPr="00B57B36" w14:paraId="6349063C" w14:textId="77777777" w:rsidTr="0061419D">
        <w:tc>
          <w:tcPr>
            <w:tcW w:w="2268" w:type="dxa"/>
            <w:shd w:val="clear" w:color="auto" w:fill="FFFFFF"/>
          </w:tcPr>
          <w:p w14:paraId="6B6716DF" w14:textId="1C460284" w:rsidR="0015412A" w:rsidRPr="0015412A" w:rsidRDefault="0015412A" w:rsidP="00A21642">
            <w:pPr>
              <w:pStyle w:val="CETBodytext"/>
              <w:ind w:right="-1"/>
              <w:jc w:val="center"/>
              <w:rPr>
                <w:lang w:val="en-GB"/>
              </w:rPr>
            </w:pPr>
            <w:r w:rsidRPr="0015412A">
              <w:rPr>
                <w:lang w:val="en-GB"/>
              </w:rPr>
              <w:t>NC_min</w:t>
            </w:r>
          </w:p>
        </w:tc>
        <w:tc>
          <w:tcPr>
            <w:tcW w:w="1843" w:type="dxa"/>
            <w:shd w:val="clear" w:color="auto" w:fill="FFFFFF"/>
          </w:tcPr>
          <w:p w14:paraId="6CE54FBC" w14:textId="2D05C4F1" w:rsidR="0015412A" w:rsidRPr="0015412A" w:rsidRDefault="0015412A" w:rsidP="00A21642">
            <w:pPr>
              <w:pStyle w:val="CETBodytext"/>
              <w:ind w:right="-1"/>
              <w:jc w:val="center"/>
              <w:rPr>
                <w:lang w:val="en-GB"/>
              </w:rPr>
            </w:pPr>
            <w:r w:rsidRPr="0015412A">
              <w:rPr>
                <w:lang w:val="en-GB"/>
              </w:rPr>
              <w:t>0.079</w:t>
            </w:r>
          </w:p>
        </w:tc>
      </w:tr>
    </w:tbl>
    <w:p w14:paraId="180C2A17" w14:textId="77777777" w:rsidR="0014310A" w:rsidRDefault="0014310A" w:rsidP="00A21642">
      <w:pPr>
        <w:pStyle w:val="CETBodytext"/>
        <w:rPr>
          <w:lang w:val="en-GB"/>
        </w:rPr>
      </w:pPr>
    </w:p>
    <w:p w14:paraId="556D6A7D" w14:textId="3634862D" w:rsidR="00A21642" w:rsidRDefault="00A21642" w:rsidP="00A21642">
      <w:pPr>
        <w:pStyle w:val="CETBodytext"/>
        <w:rPr>
          <w:lang w:val="en-GB"/>
        </w:rPr>
      </w:pPr>
      <w:r w:rsidRPr="00F46CFB">
        <w:rPr>
          <w:lang w:val="en-GB"/>
        </w:rPr>
        <w:t xml:space="preserve">Understanding the relative importance of different factors and subfactors provides valuable insights for prioritizing interventions and allocating resources to improve safety. By focusing on the most influential factors, </w:t>
      </w:r>
      <w:r w:rsidRPr="00F46CFB">
        <w:rPr>
          <w:lang w:val="en-GB"/>
        </w:rPr>
        <w:lastRenderedPageBreak/>
        <w:t>organizations can effectively target their efforts to mitigate risks and prevent accidents and near misses.</w:t>
      </w:r>
      <w:r w:rsidRPr="00A21642">
        <w:rPr>
          <w:lang w:val="en-GB"/>
        </w:rPr>
        <w:t xml:space="preserve"> </w:t>
      </w:r>
      <w:r>
        <w:rPr>
          <w:lang w:val="en-GB"/>
        </w:rPr>
        <w:t>The percentual importance calculated for each feature in the given applicative case-study is reported in Table 1.</w:t>
      </w:r>
      <w:r w:rsidR="004B3945">
        <w:rPr>
          <w:lang w:val="en-GB"/>
        </w:rPr>
        <w:t xml:space="preserve"> </w:t>
      </w:r>
      <w:r w:rsidRPr="00F46CFB">
        <w:rPr>
          <w:lang w:val="en-GB"/>
        </w:rPr>
        <w:t xml:space="preserve">It is </w:t>
      </w:r>
      <w:r>
        <w:rPr>
          <w:lang w:val="en-GB"/>
        </w:rPr>
        <w:t>noteworthy</w:t>
      </w:r>
      <w:r w:rsidRPr="00F46CFB">
        <w:rPr>
          <w:lang w:val="en-GB"/>
        </w:rPr>
        <w:t xml:space="preserve"> </w:t>
      </w:r>
      <w:r>
        <w:rPr>
          <w:lang w:val="en-GB"/>
        </w:rPr>
        <w:t>noting</w:t>
      </w:r>
      <w:r w:rsidRPr="00F46CFB">
        <w:rPr>
          <w:lang w:val="en-GB"/>
        </w:rPr>
        <w:t xml:space="preserve"> that the feature importance analysis is based on the specific dataset and modeling assumptions used in this study</w:t>
      </w:r>
      <w:r w:rsidR="0014310A">
        <w:rPr>
          <w:lang w:val="en-GB"/>
        </w:rPr>
        <w:t xml:space="preserve"> and</w:t>
      </w:r>
      <w:r w:rsidR="00107E70">
        <w:rPr>
          <w:lang w:val="en-GB"/>
        </w:rPr>
        <w:t xml:space="preserve"> </w:t>
      </w:r>
      <w:r w:rsidRPr="00F46CFB">
        <w:rPr>
          <w:lang w:val="en-GB"/>
        </w:rPr>
        <w:t xml:space="preserve">may </w:t>
      </w:r>
      <w:r w:rsidR="00D23EB9">
        <w:rPr>
          <w:lang w:val="en-GB"/>
        </w:rPr>
        <w:t xml:space="preserve">largely </w:t>
      </w:r>
      <w:r w:rsidRPr="00F46CFB">
        <w:rPr>
          <w:lang w:val="en-GB"/>
        </w:rPr>
        <w:t>vary in different contexts or datasets</w:t>
      </w:r>
      <w:r w:rsidR="0014310A">
        <w:rPr>
          <w:lang w:val="en-GB"/>
        </w:rPr>
        <w:t>.</w:t>
      </w:r>
      <w:r>
        <w:rPr>
          <w:lang w:val="en-GB"/>
        </w:rPr>
        <w:t xml:space="preserve"> </w:t>
      </w:r>
      <w:r w:rsidR="0014310A">
        <w:rPr>
          <w:lang w:val="en-GB"/>
        </w:rPr>
        <w:t>C</w:t>
      </w:r>
      <w:r>
        <w:rPr>
          <w:lang w:val="en-GB"/>
        </w:rPr>
        <w:t>onsequently</w:t>
      </w:r>
      <w:r w:rsidRPr="00F46CFB">
        <w:rPr>
          <w:lang w:val="en-GB"/>
        </w:rPr>
        <w:t xml:space="preserve"> it is recommended to conduct further analyses and validation studies to ensure the robustness and generalizability of the </w:t>
      </w:r>
      <w:r>
        <w:rPr>
          <w:lang w:val="en-GB"/>
        </w:rPr>
        <w:t xml:space="preserve">presented </w:t>
      </w:r>
      <w:r w:rsidRPr="00F46CFB">
        <w:rPr>
          <w:lang w:val="en-GB"/>
        </w:rPr>
        <w:t>findings.</w:t>
      </w:r>
    </w:p>
    <w:p w14:paraId="68D26B83" w14:textId="77777777" w:rsidR="00600535" w:rsidRPr="00B57B36" w:rsidRDefault="00600535" w:rsidP="00600535">
      <w:pPr>
        <w:pStyle w:val="CETHeading1"/>
        <w:rPr>
          <w:lang w:val="en-GB"/>
        </w:rPr>
      </w:pPr>
      <w:r w:rsidRPr="00B57B36">
        <w:rPr>
          <w:lang w:val="en-GB"/>
        </w:rPr>
        <w:t>Conclusions</w:t>
      </w:r>
    </w:p>
    <w:p w14:paraId="7C367C63" w14:textId="40BC0FC2" w:rsidR="00107E70" w:rsidRDefault="00107E70" w:rsidP="00107E70">
      <w:pPr>
        <w:pStyle w:val="CETBodytext"/>
        <w:rPr>
          <w:lang w:val="en-GB"/>
        </w:rPr>
      </w:pPr>
      <w:bookmarkStart w:id="2" w:name="_Hlk145075089"/>
      <w:r>
        <w:rPr>
          <w:lang w:val="en-GB"/>
        </w:rPr>
        <w:t>The present</w:t>
      </w:r>
      <w:r w:rsidRPr="0015412A">
        <w:rPr>
          <w:lang w:val="en-GB"/>
        </w:rPr>
        <w:t xml:space="preserve"> study utilized a Random Forest Regressor to analyze the factors influencing safety </w:t>
      </w:r>
      <w:r>
        <w:rPr>
          <w:lang w:val="en-GB"/>
        </w:rPr>
        <w:t>acc</w:t>
      </w:r>
      <w:r w:rsidRPr="0015412A">
        <w:rPr>
          <w:lang w:val="en-GB"/>
        </w:rPr>
        <w:t>idents and near misses. By examining a comprehensive set of factors and subfactors, the key drivers of safety outcomes in the studied context</w:t>
      </w:r>
      <w:r>
        <w:rPr>
          <w:lang w:val="en-GB"/>
        </w:rPr>
        <w:t xml:space="preserve"> are identified</w:t>
      </w:r>
      <w:r w:rsidRPr="0015412A">
        <w:rPr>
          <w:lang w:val="en-GB"/>
        </w:rPr>
        <w:t xml:space="preserve">. </w:t>
      </w:r>
      <w:r w:rsidRPr="00F73CE3">
        <w:rPr>
          <w:lang w:val="en-GB"/>
        </w:rPr>
        <w:t xml:space="preserve">The main </w:t>
      </w:r>
      <w:r w:rsidR="004B3945">
        <w:rPr>
          <w:lang w:val="en-GB"/>
        </w:rPr>
        <w:t>findings</w:t>
      </w:r>
      <w:r w:rsidRPr="00F73CE3">
        <w:rPr>
          <w:lang w:val="en-GB"/>
        </w:rPr>
        <w:t xml:space="preserve"> of data analysis</w:t>
      </w:r>
      <w:r>
        <w:rPr>
          <w:lang w:val="en-GB"/>
        </w:rPr>
        <w:t xml:space="preserve"> are summarized as follows.</w:t>
      </w:r>
    </w:p>
    <w:p w14:paraId="4858A3DA" w14:textId="77777777" w:rsidR="00107E70" w:rsidRDefault="00107E70" w:rsidP="00107E70">
      <w:pPr>
        <w:pStyle w:val="CETListbullets"/>
        <w:numPr>
          <w:ilvl w:val="0"/>
          <w:numId w:val="13"/>
        </w:numPr>
      </w:pPr>
      <w:r>
        <w:t>The model exhibits a remarkable predictive ability in terms of accuracy and precision (RMSE=0.1, R</w:t>
      </w:r>
      <w:r w:rsidRPr="00F73CE3">
        <w:rPr>
          <w:vertAlign w:val="superscript"/>
        </w:rPr>
        <w:t>2</w:t>
      </w:r>
      <w:r>
        <w:t>= 0.78).</w:t>
      </w:r>
    </w:p>
    <w:p w14:paraId="58BD8F29" w14:textId="77777777" w:rsidR="00107E70" w:rsidRPr="0015412A" w:rsidRDefault="00107E70" w:rsidP="00107E70">
      <w:pPr>
        <w:pStyle w:val="CETnumberingbullets"/>
        <w:jc w:val="both"/>
      </w:pPr>
      <w:r w:rsidRPr="0015412A">
        <w:t>The feature importance analysis revealed the significance of factors such as hazard levels, contextual aspects, technical considerations, human and organizational factors, as well as anomalies and non-compliance issues.</w:t>
      </w:r>
    </w:p>
    <w:p w14:paraId="7B29F45A" w14:textId="307EFC09" w:rsidR="00107E70" w:rsidRDefault="00107E70" w:rsidP="00107E70">
      <w:pPr>
        <w:pStyle w:val="CETnumberingbullets"/>
        <w:jc w:val="both"/>
      </w:pPr>
      <w:r>
        <w:t>T</w:t>
      </w:r>
      <w:r w:rsidRPr="00A53991">
        <w:t>he</w:t>
      </w:r>
      <w:r>
        <w:t xml:space="preserve"> most important accelerating factor is found to be </w:t>
      </w:r>
      <w:r w:rsidRPr="00A53991">
        <w:rPr>
          <w:i/>
        </w:rPr>
        <w:t>Plant and materials characteristics</w:t>
      </w:r>
      <w:r>
        <w:t xml:space="preserve">. </w:t>
      </w:r>
      <w:r w:rsidR="00FF06F1">
        <w:t>This finding confirms</w:t>
      </w:r>
      <w:r>
        <w:t xml:space="preserve"> that the</w:t>
      </w:r>
      <w:r w:rsidRPr="00A53991">
        <w:t xml:space="preserve"> </w:t>
      </w:r>
      <w:r w:rsidR="00FF06F1">
        <w:t xml:space="preserve">relevant role of the </w:t>
      </w:r>
      <w:r w:rsidRPr="00A53991">
        <w:t xml:space="preserve">technological characteristics </w:t>
      </w:r>
      <w:r w:rsidR="00FF06F1">
        <w:t xml:space="preserve">and loss prevention preventive and mitigating barriers driven by innovation </w:t>
      </w:r>
      <w:r w:rsidRPr="00A53991">
        <w:t xml:space="preserve">of the </w:t>
      </w:r>
      <w:r w:rsidR="00FF06F1">
        <w:t xml:space="preserve">process </w:t>
      </w:r>
      <w:r w:rsidRPr="00A53991">
        <w:t xml:space="preserve">plants in determining the </w:t>
      </w:r>
      <w:r w:rsidR="00FF06F1">
        <w:t xml:space="preserve">final </w:t>
      </w:r>
      <w:r w:rsidRPr="00A53991">
        <w:t>safety outcomes.</w:t>
      </w:r>
    </w:p>
    <w:p w14:paraId="13902672" w14:textId="77777777" w:rsidR="00107E70" w:rsidRDefault="00107E70" w:rsidP="00107E70">
      <w:pPr>
        <w:pStyle w:val="CETnumberingbullets"/>
        <w:jc w:val="both"/>
      </w:pPr>
      <w:r w:rsidRPr="00A53991">
        <w:t xml:space="preserve">The distinctly higher importance of </w:t>
      </w:r>
      <w:r w:rsidRPr="00A53991">
        <w:rPr>
          <w:i/>
        </w:rPr>
        <w:t>major non-conformities</w:t>
      </w:r>
      <w:r>
        <w:t xml:space="preserve"> </w:t>
      </w:r>
      <w:r w:rsidRPr="00A53991">
        <w:t>highlights the relevant role of non-compliance issues in anticipating the safety incidents.</w:t>
      </w:r>
    </w:p>
    <w:p w14:paraId="1C1F9FBC" w14:textId="6F5B782A" w:rsidR="00107E70" w:rsidRDefault="00107E70" w:rsidP="00107E70">
      <w:pPr>
        <w:pStyle w:val="CETBodytext"/>
        <w:rPr>
          <w:lang w:val="en-GB"/>
        </w:rPr>
      </w:pPr>
      <w:r w:rsidRPr="0015412A">
        <w:rPr>
          <w:lang w:val="en-GB"/>
        </w:rPr>
        <w:t xml:space="preserve">The predictive model developed in this study provides a valuable tool for forecasting safety incidents and near misses based on the identified factors. </w:t>
      </w:r>
      <w:r>
        <w:rPr>
          <w:lang w:val="en-GB"/>
        </w:rPr>
        <w:t>T</w:t>
      </w:r>
      <w:r w:rsidRPr="0015412A">
        <w:rPr>
          <w:lang w:val="en-GB"/>
        </w:rPr>
        <w:t>his research contributes to the existing body of knowledge on safety management and provides practical insights for organizations aiming to improve their safety performance. By understanding and addressing the key drivers of safety incidents, organizations can create safer environments, and mitigate the potential risks associated with accidents and near</w:t>
      </w:r>
      <w:r w:rsidR="00E8244C">
        <w:rPr>
          <w:lang w:val="en-GB"/>
        </w:rPr>
        <w:t>-</w:t>
      </w:r>
      <w:r w:rsidRPr="0015412A">
        <w:rPr>
          <w:lang w:val="en-GB"/>
        </w:rPr>
        <w:t>misses</w:t>
      </w:r>
      <w:r>
        <w:rPr>
          <w:lang w:val="en-GB"/>
        </w:rPr>
        <w:t xml:space="preserve"> connected with the energy transition</w:t>
      </w:r>
      <w:r w:rsidRPr="0015412A">
        <w:rPr>
          <w:lang w:val="en-GB"/>
        </w:rPr>
        <w:t>.</w:t>
      </w:r>
    </w:p>
    <w:bookmarkEnd w:id="2"/>
    <w:p w14:paraId="4E464D04" w14:textId="255F851B" w:rsidR="00F50836" w:rsidRPr="00630D2B" w:rsidRDefault="00F50836" w:rsidP="00F50836">
      <w:pPr>
        <w:pStyle w:val="CETAcknowledgementstitle"/>
      </w:pPr>
      <w:r>
        <w:t>Ac</w:t>
      </w:r>
      <w:r w:rsidRPr="00630D2B">
        <w:t>knowledgments</w:t>
      </w:r>
    </w:p>
    <w:p w14:paraId="7A057282" w14:textId="440BBA65" w:rsidR="00F50836" w:rsidRDefault="00F50836" w:rsidP="00F50836">
      <w:pPr>
        <w:pStyle w:val="CETBodytext"/>
        <w:rPr>
          <w:lang w:val="en-GB"/>
        </w:rPr>
      </w:pPr>
      <w:r w:rsidRPr="00630D2B">
        <w:rPr>
          <w:lang w:val="en-GB"/>
        </w:rPr>
        <w:t>The authors gratefully acknowledge funding by INAIL</w:t>
      </w:r>
      <w:r>
        <w:rPr>
          <w:lang w:val="en-GB"/>
        </w:rPr>
        <w:t>,</w:t>
      </w:r>
      <w:r w:rsidRPr="00630D2B">
        <w:rPr>
          <w:lang w:val="en-GB"/>
        </w:rPr>
        <w:t xml:space="preserve"> within the framework of the call BRIC/2021/ID3 (Project DRIVERS- Approccio combinato data</w:t>
      </w:r>
      <w:r w:rsidRPr="00630D2B">
        <w:rPr>
          <w:rFonts w:ascii="Cambria Math" w:hAnsi="Cambria Math" w:cs="Cambria Math"/>
          <w:lang w:val="en-GB"/>
        </w:rPr>
        <w:t>‐</w:t>
      </w:r>
      <w:r w:rsidRPr="00630D2B">
        <w:rPr>
          <w:lang w:val="en-GB"/>
        </w:rPr>
        <w:t>driven ed experience</w:t>
      </w:r>
      <w:r w:rsidRPr="00630D2B">
        <w:rPr>
          <w:rFonts w:ascii="Cambria Math" w:hAnsi="Cambria Math" w:cs="Cambria Math"/>
          <w:lang w:val="en-GB"/>
        </w:rPr>
        <w:t>‐</w:t>
      </w:r>
      <w:r w:rsidRPr="00630D2B">
        <w:rPr>
          <w:lang w:val="en-GB"/>
        </w:rPr>
        <w:t>driven all</w:t>
      </w:r>
      <w:r w:rsidRPr="00630D2B">
        <w:rPr>
          <w:rFonts w:cs="Arial"/>
          <w:lang w:val="en-GB"/>
        </w:rPr>
        <w:t>’</w:t>
      </w:r>
      <w:r w:rsidRPr="00630D2B">
        <w:rPr>
          <w:lang w:val="en-GB"/>
        </w:rPr>
        <w:t>analisi del rischio sistemico)</w:t>
      </w:r>
      <w:r>
        <w:rPr>
          <w:lang w:val="en-GB"/>
        </w:rPr>
        <w:t>.</w:t>
      </w:r>
    </w:p>
    <w:p w14:paraId="4F1327F8" w14:textId="77777777" w:rsidR="00600535" w:rsidRPr="00897BFB" w:rsidRDefault="00600535" w:rsidP="00600535">
      <w:pPr>
        <w:pStyle w:val="CETReference"/>
        <w:rPr>
          <w:lang w:val="en-US"/>
        </w:rPr>
      </w:pPr>
      <w:r w:rsidRPr="00897BFB">
        <w:rPr>
          <w:lang w:val="en-US"/>
        </w:rPr>
        <w:t>References</w:t>
      </w:r>
    </w:p>
    <w:p w14:paraId="51AB1934" w14:textId="3EA7F120" w:rsidR="00661095" w:rsidRDefault="00661095" w:rsidP="00661095">
      <w:pPr>
        <w:pStyle w:val="CETReferencetext"/>
        <w:rPr>
          <w:lang w:val="en-US"/>
        </w:rPr>
      </w:pPr>
      <w:r w:rsidRPr="00D23EB9">
        <w:rPr>
          <w:lang w:val="en-US"/>
        </w:rPr>
        <w:t>Bassani A., Vianello</w:t>
      </w:r>
      <w:r w:rsidR="00D23EB9" w:rsidRPr="00D23EB9">
        <w:rPr>
          <w:lang w:val="en-US"/>
        </w:rPr>
        <w:t xml:space="preserve"> </w:t>
      </w:r>
      <w:r w:rsidRPr="00D23EB9">
        <w:rPr>
          <w:lang w:val="en-US"/>
        </w:rPr>
        <w:t>C., Mocellin P., Dell’Angelo A., Spigno G., Fabiano B., Maschio G., Manenti F., 2023</w:t>
      </w:r>
      <w:r w:rsidR="00D23EB9">
        <w:rPr>
          <w:lang w:val="en-US"/>
        </w:rPr>
        <w:t xml:space="preserve">, </w:t>
      </w:r>
      <w:r w:rsidRPr="00661095">
        <w:rPr>
          <w:lang w:val="en-US"/>
        </w:rPr>
        <w:t xml:space="preserve">Aprioristic </w:t>
      </w:r>
      <w:r>
        <w:rPr>
          <w:lang w:val="en-US"/>
        </w:rPr>
        <w:t>i</w:t>
      </w:r>
      <w:r w:rsidRPr="00661095">
        <w:rPr>
          <w:lang w:val="en-US"/>
        </w:rPr>
        <w:t xml:space="preserve">ntegration of </w:t>
      </w:r>
      <w:r>
        <w:rPr>
          <w:lang w:val="en-US"/>
        </w:rPr>
        <w:t>p</w:t>
      </w:r>
      <w:r w:rsidRPr="00661095">
        <w:rPr>
          <w:lang w:val="en-US"/>
        </w:rPr>
        <w:t xml:space="preserve">rocess </w:t>
      </w:r>
      <w:r>
        <w:rPr>
          <w:lang w:val="en-US"/>
        </w:rPr>
        <w:t>o</w:t>
      </w:r>
      <w:r w:rsidRPr="00661095">
        <w:rPr>
          <w:lang w:val="en-US"/>
        </w:rPr>
        <w:t xml:space="preserve">perations and </w:t>
      </w:r>
      <w:r>
        <w:rPr>
          <w:lang w:val="en-US"/>
        </w:rPr>
        <w:t>r</w:t>
      </w:r>
      <w:r w:rsidRPr="00661095">
        <w:rPr>
          <w:lang w:val="en-US"/>
        </w:rPr>
        <w:t xml:space="preserve">isk </w:t>
      </w:r>
      <w:r>
        <w:rPr>
          <w:lang w:val="en-US"/>
        </w:rPr>
        <w:t>a</w:t>
      </w:r>
      <w:r w:rsidRPr="00661095">
        <w:rPr>
          <w:lang w:val="en-US"/>
        </w:rPr>
        <w:t xml:space="preserve">nalysis: </w:t>
      </w:r>
      <w:r>
        <w:rPr>
          <w:lang w:val="en-US"/>
        </w:rPr>
        <w:t>d</w:t>
      </w:r>
      <w:r w:rsidRPr="00661095">
        <w:rPr>
          <w:lang w:val="en-US"/>
        </w:rPr>
        <w:t xml:space="preserve">efinition of the </w:t>
      </w:r>
      <w:r>
        <w:rPr>
          <w:lang w:val="en-US"/>
        </w:rPr>
        <w:t>w</w:t>
      </w:r>
      <w:r w:rsidRPr="00661095">
        <w:rPr>
          <w:lang w:val="en-US"/>
        </w:rPr>
        <w:t>eighted F&amp;EI-</w:t>
      </w:r>
      <w:r>
        <w:rPr>
          <w:lang w:val="en-US"/>
        </w:rPr>
        <w:t>b</w:t>
      </w:r>
      <w:r w:rsidRPr="00661095">
        <w:rPr>
          <w:lang w:val="en-US"/>
        </w:rPr>
        <w:t xml:space="preserve">ased </w:t>
      </w:r>
      <w:r>
        <w:rPr>
          <w:lang w:val="en-US"/>
        </w:rPr>
        <w:t>c</w:t>
      </w:r>
      <w:r w:rsidRPr="00661095">
        <w:rPr>
          <w:lang w:val="en-US"/>
        </w:rPr>
        <w:t xml:space="preserve">oncept and </w:t>
      </w:r>
      <w:r>
        <w:rPr>
          <w:lang w:val="en-US"/>
        </w:rPr>
        <w:t>a</w:t>
      </w:r>
      <w:r w:rsidRPr="00661095">
        <w:rPr>
          <w:lang w:val="en-US"/>
        </w:rPr>
        <w:t xml:space="preserve">pplication to AG2S </w:t>
      </w:r>
      <w:r>
        <w:rPr>
          <w:lang w:val="en-US"/>
        </w:rPr>
        <w:t>t</w:t>
      </w:r>
      <w:r w:rsidRPr="00661095">
        <w:rPr>
          <w:lang w:val="en-US"/>
        </w:rPr>
        <w:t xml:space="preserve">echnology. Ind. Eng. Chem. Res. 62 (1), 500–510. </w:t>
      </w:r>
    </w:p>
    <w:p w14:paraId="477921C0" w14:textId="59CABC6A" w:rsidR="00DD5E36" w:rsidRDefault="00DD5E36" w:rsidP="00661095">
      <w:pPr>
        <w:pStyle w:val="CETReferencetext"/>
        <w:rPr>
          <w:lang w:val="en-US"/>
        </w:rPr>
      </w:pPr>
      <w:r w:rsidRPr="00B607CD">
        <w:rPr>
          <w:lang w:val="en-US"/>
        </w:rPr>
        <w:t>Breiman L.</w:t>
      </w:r>
      <w:r>
        <w:rPr>
          <w:lang w:val="en-US"/>
        </w:rPr>
        <w:t>,</w:t>
      </w:r>
      <w:r w:rsidRPr="00B607CD">
        <w:rPr>
          <w:lang w:val="en-US"/>
        </w:rPr>
        <w:t xml:space="preserve"> </w:t>
      </w:r>
      <w:r w:rsidR="00635321">
        <w:rPr>
          <w:lang w:val="en-US"/>
        </w:rPr>
        <w:t xml:space="preserve">2001, </w:t>
      </w:r>
      <w:r w:rsidRPr="00B607CD">
        <w:rPr>
          <w:lang w:val="en-US"/>
        </w:rPr>
        <w:t>Random Forests</w:t>
      </w:r>
      <w:r w:rsidR="00635321">
        <w:rPr>
          <w:lang w:val="en-US"/>
        </w:rPr>
        <w:t>,</w:t>
      </w:r>
      <w:r w:rsidRPr="00B607CD">
        <w:rPr>
          <w:lang w:val="en-US"/>
        </w:rPr>
        <w:t xml:space="preserve"> Machine Learning</w:t>
      </w:r>
      <w:r>
        <w:rPr>
          <w:lang w:val="en-US"/>
        </w:rPr>
        <w:t>,</w:t>
      </w:r>
      <w:r w:rsidRPr="00B607CD">
        <w:rPr>
          <w:lang w:val="en-US"/>
        </w:rPr>
        <w:t xml:space="preserve"> 45,</w:t>
      </w:r>
      <w:r>
        <w:rPr>
          <w:lang w:val="en-US"/>
        </w:rPr>
        <w:t xml:space="preserve"> </w:t>
      </w:r>
      <w:r w:rsidRPr="00B607CD">
        <w:rPr>
          <w:lang w:val="en-US"/>
        </w:rPr>
        <w:t>5</w:t>
      </w:r>
      <w:r w:rsidR="00635321">
        <w:rPr>
          <w:lang w:val="en-US"/>
        </w:rPr>
        <w:t>-</w:t>
      </w:r>
      <w:r w:rsidRPr="00B607CD">
        <w:rPr>
          <w:lang w:val="en-US"/>
        </w:rPr>
        <w:t>32</w:t>
      </w:r>
      <w:r w:rsidR="00635321">
        <w:rPr>
          <w:lang w:val="en-US"/>
        </w:rPr>
        <w:t>.</w:t>
      </w:r>
      <w:r w:rsidRPr="00B607CD">
        <w:rPr>
          <w:lang w:val="en-US"/>
        </w:rPr>
        <w:t xml:space="preserve"> </w:t>
      </w:r>
    </w:p>
    <w:p w14:paraId="0D1091BA" w14:textId="0C7E756E" w:rsidR="00DD5E36" w:rsidRDefault="00DD5E36" w:rsidP="005134A6">
      <w:pPr>
        <w:pStyle w:val="CETReferencetext"/>
      </w:pPr>
      <w:r>
        <w:t>Chen W., Zou W., Zhong K., Aliyeva A.,</w:t>
      </w:r>
      <w:r w:rsidR="00635321">
        <w:t xml:space="preserve"> 2023,</w:t>
      </w:r>
      <w:r>
        <w:t xml:space="preserve"> Machine learning assessment under the development of green technology innovation: A perspective of energy transition, Renewable Energy,</w:t>
      </w:r>
      <w:r w:rsidR="00635321">
        <w:t xml:space="preserve"> 214, 65-73.</w:t>
      </w:r>
      <w:r>
        <w:t xml:space="preserve"> </w:t>
      </w:r>
    </w:p>
    <w:p w14:paraId="4EF31524" w14:textId="09A95F51" w:rsidR="00D23EB9" w:rsidRDefault="00D23EB9" w:rsidP="005134A6">
      <w:pPr>
        <w:pStyle w:val="CETReferencetext"/>
      </w:pPr>
      <w:r w:rsidRPr="00D23EB9">
        <w:t>Fabiano B., Pettinato M., Currò F., Reverberi A.P., 2022, A field study on human factor and safety performances in a downstream oil industry, Safety Science, 153, 105795.</w:t>
      </w:r>
    </w:p>
    <w:p w14:paraId="4FB35147" w14:textId="3841FF96" w:rsidR="00DD5E36" w:rsidRDefault="00DD5E36" w:rsidP="0058398F">
      <w:pPr>
        <w:pStyle w:val="CETReferencetext"/>
        <w:rPr>
          <w:lang w:val="en-US"/>
        </w:rPr>
      </w:pPr>
      <w:r w:rsidRPr="00150546">
        <w:rPr>
          <w:lang w:val="en-US"/>
        </w:rPr>
        <w:t xml:space="preserve">Gerstorfer Y., Krieg L., </w:t>
      </w:r>
      <w:r>
        <w:rPr>
          <w:lang w:val="en-US"/>
        </w:rPr>
        <w:t>H</w:t>
      </w:r>
      <w:r w:rsidRPr="00150546">
        <w:rPr>
          <w:lang w:val="en-US"/>
        </w:rPr>
        <w:t>ahn-Klimroth, M.</w:t>
      </w:r>
      <w:r>
        <w:rPr>
          <w:lang w:val="en-US"/>
        </w:rPr>
        <w:t>,</w:t>
      </w:r>
      <w:r w:rsidRPr="00150546">
        <w:rPr>
          <w:lang w:val="en-US"/>
        </w:rPr>
        <w:t xml:space="preserve"> </w:t>
      </w:r>
      <w:r w:rsidR="00635321">
        <w:rPr>
          <w:lang w:val="en-US"/>
        </w:rPr>
        <w:t xml:space="preserve">2023, </w:t>
      </w:r>
      <w:r w:rsidRPr="00150546">
        <w:rPr>
          <w:lang w:val="en-US"/>
        </w:rPr>
        <w:t xml:space="preserve">A </w:t>
      </w:r>
      <w:r w:rsidR="00661095">
        <w:rPr>
          <w:lang w:val="en-US"/>
        </w:rPr>
        <w:t>n</w:t>
      </w:r>
      <w:r w:rsidRPr="00150546">
        <w:rPr>
          <w:lang w:val="en-US"/>
        </w:rPr>
        <w:t xml:space="preserve">otion of </w:t>
      </w:r>
      <w:r w:rsidR="00661095">
        <w:rPr>
          <w:lang w:val="en-US"/>
        </w:rPr>
        <w:t>f</w:t>
      </w:r>
      <w:r w:rsidRPr="00150546">
        <w:rPr>
          <w:lang w:val="en-US"/>
        </w:rPr>
        <w:t xml:space="preserve">eature </w:t>
      </w:r>
      <w:r w:rsidR="00661095">
        <w:rPr>
          <w:lang w:val="en-US"/>
        </w:rPr>
        <w:t>i</w:t>
      </w:r>
      <w:r w:rsidRPr="00150546">
        <w:rPr>
          <w:lang w:val="en-US"/>
        </w:rPr>
        <w:t xml:space="preserve">mportance by </w:t>
      </w:r>
      <w:r w:rsidR="00661095">
        <w:rPr>
          <w:lang w:val="en-US"/>
        </w:rPr>
        <w:t>d</w:t>
      </w:r>
      <w:r w:rsidRPr="00150546">
        <w:rPr>
          <w:lang w:val="en-US"/>
        </w:rPr>
        <w:t xml:space="preserve">ecorrelation and </w:t>
      </w:r>
      <w:r w:rsidR="00661095">
        <w:rPr>
          <w:lang w:val="en-US"/>
        </w:rPr>
        <w:t>d</w:t>
      </w:r>
      <w:r w:rsidRPr="00150546">
        <w:rPr>
          <w:lang w:val="en-US"/>
        </w:rPr>
        <w:t xml:space="preserve">etection of </w:t>
      </w:r>
      <w:r w:rsidR="00661095">
        <w:rPr>
          <w:lang w:val="en-US"/>
        </w:rPr>
        <w:t>t</w:t>
      </w:r>
      <w:r w:rsidRPr="00150546">
        <w:rPr>
          <w:lang w:val="en-US"/>
        </w:rPr>
        <w:t>rends by Random Forest Regression</w:t>
      </w:r>
      <w:r w:rsidR="00794ED0">
        <w:rPr>
          <w:lang w:val="en-US"/>
        </w:rPr>
        <w:t>,</w:t>
      </w:r>
      <w:r w:rsidRPr="00150546">
        <w:rPr>
          <w:lang w:val="en-US"/>
        </w:rPr>
        <w:t xml:space="preserve"> arXiv preprint arXiv:2303.01156</w:t>
      </w:r>
      <w:r w:rsidR="00635321">
        <w:rPr>
          <w:lang w:val="en-US"/>
        </w:rPr>
        <w:t>.</w:t>
      </w:r>
    </w:p>
    <w:p w14:paraId="5CC1B21E" w14:textId="3935853B" w:rsidR="00F91352" w:rsidRDefault="00F91352" w:rsidP="00F91352">
      <w:pPr>
        <w:pStyle w:val="CETReferencetext"/>
        <w:rPr>
          <w:lang w:val="en-US"/>
        </w:rPr>
      </w:pPr>
      <w:r w:rsidRPr="00F91352">
        <w:rPr>
          <w:lang w:val="en-US"/>
        </w:rPr>
        <w:t xml:space="preserve">Markowski, A.S., Krasławski, A., Vairo, T., Fabiano, B., 2021. Process </w:t>
      </w:r>
      <w:r>
        <w:rPr>
          <w:lang w:val="en-US"/>
        </w:rPr>
        <w:t>s</w:t>
      </w:r>
      <w:r w:rsidRPr="00F91352">
        <w:rPr>
          <w:lang w:val="en-US"/>
        </w:rPr>
        <w:t>afety</w:t>
      </w:r>
      <w:r>
        <w:rPr>
          <w:lang w:val="en-US"/>
        </w:rPr>
        <w:t xml:space="preserve"> m</w:t>
      </w:r>
      <w:r w:rsidRPr="00F91352">
        <w:rPr>
          <w:lang w:val="en-US"/>
        </w:rPr>
        <w:t xml:space="preserve">anagement </w:t>
      </w:r>
      <w:r>
        <w:rPr>
          <w:lang w:val="en-US"/>
        </w:rPr>
        <w:t>q</w:t>
      </w:r>
      <w:r w:rsidRPr="00F91352">
        <w:rPr>
          <w:lang w:val="en-US"/>
        </w:rPr>
        <w:t xml:space="preserve">uality in </w:t>
      </w:r>
      <w:r>
        <w:rPr>
          <w:lang w:val="en-US"/>
        </w:rPr>
        <w:t>i</w:t>
      </w:r>
      <w:r w:rsidRPr="00F91352">
        <w:rPr>
          <w:lang w:val="en-US"/>
        </w:rPr>
        <w:t xml:space="preserve">ndustrial </w:t>
      </w:r>
      <w:r>
        <w:rPr>
          <w:lang w:val="en-US"/>
        </w:rPr>
        <w:t>c</w:t>
      </w:r>
      <w:r w:rsidRPr="00F91352">
        <w:rPr>
          <w:lang w:val="en-US"/>
        </w:rPr>
        <w:t xml:space="preserve">orporation for </w:t>
      </w:r>
      <w:r>
        <w:rPr>
          <w:lang w:val="en-US"/>
        </w:rPr>
        <w:t>s</w:t>
      </w:r>
      <w:r w:rsidRPr="00F91352">
        <w:rPr>
          <w:lang w:val="en-US"/>
        </w:rPr>
        <w:t xml:space="preserve">ustainable </w:t>
      </w:r>
      <w:r>
        <w:rPr>
          <w:lang w:val="en-US"/>
        </w:rPr>
        <w:t>d</w:t>
      </w:r>
      <w:r w:rsidRPr="00F91352">
        <w:rPr>
          <w:lang w:val="en-US"/>
        </w:rPr>
        <w:t>evelopment. Sustainability 13, 9001.</w:t>
      </w:r>
    </w:p>
    <w:p w14:paraId="2D42004A" w14:textId="4959CEA0" w:rsidR="00DD5E36" w:rsidRDefault="00DD5E36" w:rsidP="00DD5E36">
      <w:pPr>
        <w:pStyle w:val="CETReferencetext"/>
        <w:tabs>
          <w:tab w:val="left" w:pos="5714"/>
        </w:tabs>
        <w:rPr>
          <w:lang w:val="en-US"/>
        </w:rPr>
      </w:pPr>
      <w:r w:rsidRPr="00823733">
        <w:rPr>
          <w:lang w:val="en-US"/>
        </w:rPr>
        <w:t>Pasman H.</w:t>
      </w:r>
      <w:r>
        <w:rPr>
          <w:lang w:val="en-US"/>
        </w:rPr>
        <w:t xml:space="preserve">, </w:t>
      </w:r>
      <w:r w:rsidRPr="00823733">
        <w:rPr>
          <w:lang w:val="en-US"/>
        </w:rPr>
        <w:t>Sripaul E.</w:t>
      </w:r>
      <w:r>
        <w:rPr>
          <w:lang w:val="en-US"/>
        </w:rPr>
        <w:t xml:space="preserve">, </w:t>
      </w:r>
      <w:r w:rsidRPr="00823733">
        <w:rPr>
          <w:lang w:val="en-US"/>
        </w:rPr>
        <w:t>Khan F.</w:t>
      </w:r>
      <w:r>
        <w:rPr>
          <w:lang w:val="en-US"/>
        </w:rPr>
        <w:t xml:space="preserve">, </w:t>
      </w:r>
      <w:r w:rsidRPr="00823733">
        <w:rPr>
          <w:lang w:val="en-US"/>
        </w:rPr>
        <w:t>Fabiano B.</w:t>
      </w:r>
      <w:r>
        <w:rPr>
          <w:lang w:val="en-US"/>
        </w:rPr>
        <w:t>, 2023,</w:t>
      </w:r>
      <w:r w:rsidRPr="00823733">
        <w:t xml:space="preserve"> </w:t>
      </w:r>
      <w:r w:rsidRPr="00823733">
        <w:rPr>
          <w:lang w:val="en-US"/>
        </w:rPr>
        <w:t>Energy transition technology comes with new process safety challenges and risks</w:t>
      </w:r>
      <w:r>
        <w:rPr>
          <w:lang w:val="en-US"/>
        </w:rPr>
        <w:t>, Process Safety and Environmental Protection,177, 765-794.</w:t>
      </w:r>
    </w:p>
    <w:p w14:paraId="5811D526" w14:textId="0C4A06B5" w:rsidR="00DD5E36" w:rsidRDefault="00DD5E36" w:rsidP="0058398F">
      <w:pPr>
        <w:pStyle w:val="CETReferencetext"/>
        <w:rPr>
          <w:lang w:val="en-US"/>
        </w:rPr>
      </w:pPr>
      <w:r w:rsidRPr="00077286">
        <w:rPr>
          <w:lang w:val="en-US"/>
        </w:rPr>
        <w:t>Pasman H.J., Fabiano B., 2021</w:t>
      </w:r>
      <w:r w:rsidR="00635321">
        <w:rPr>
          <w:lang w:val="en-US"/>
        </w:rPr>
        <w:t>,</w:t>
      </w:r>
      <w:r w:rsidRPr="00077286">
        <w:rPr>
          <w:lang w:val="en-US"/>
        </w:rPr>
        <w:t xml:space="preserve"> The Delft 1974 and 2019 European Loss Prevention Symposia: Highlights and an impression of process safety evolutionary changes from the 1st to the 16th LPS, </w:t>
      </w:r>
      <w:r w:rsidR="00635321">
        <w:rPr>
          <w:lang w:val="en-US"/>
        </w:rPr>
        <w:t>Process Safety and Environmental Protection</w:t>
      </w:r>
      <w:r w:rsidRPr="00077286">
        <w:rPr>
          <w:lang w:val="en-US"/>
        </w:rPr>
        <w:t xml:space="preserve"> 147, 80–91.</w:t>
      </w:r>
    </w:p>
    <w:p w14:paraId="3F2AEA79" w14:textId="305C37DF" w:rsidR="00DD5E36" w:rsidRDefault="00DD5E36" w:rsidP="005134A6">
      <w:pPr>
        <w:pStyle w:val="CETReferencetext"/>
      </w:pPr>
      <w:r>
        <w:t xml:space="preserve">Schischke A., Papenfuß P., Brem M., Kurz P., Rathgeber A.W., </w:t>
      </w:r>
      <w:r w:rsidR="00635321">
        <w:t xml:space="preserve">2023, </w:t>
      </w:r>
      <w:r>
        <w:t>Sustainable energy transition and its demand for scarce resources: Insights into the German Energiewende through a new risk assessment framework, Renewable and Sustainable Energy Reviews, 176, 113190</w:t>
      </w:r>
      <w:r w:rsidR="00635321">
        <w:t>.</w:t>
      </w:r>
      <w:r>
        <w:t xml:space="preserve"> </w:t>
      </w:r>
    </w:p>
    <w:p w14:paraId="6C71EB5C" w14:textId="0BC91731" w:rsidR="00DD5E36" w:rsidRDefault="00DD5E36" w:rsidP="0058398F">
      <w:pPr>
        <w:pStyle w:val="CETReferencetext"/>
        <w:rPr>
          <w:lang w:val="en-US"/>
        </w:rPr>
      </w:pPr>
      <w:r w:rsidRPr="00EF15AE">
        <w:rPr>
          <w:lang w:val="en-US"/>
        </w:rPr>
        <w:t>Shah</w:t>
      </w:r>
      <w:r>
        <w:rPr>
          <w:lang w:val="en-US"/>
        </w:rPr>
        <w:t xml:space="preserve"> D.</w:t>
      </w:r>
      <w:r w:rsidRPr="00EF15AE">
        <w:rPr>
          <w:lang w:val="en-US"/>
        </w:rPr>
        <w:t xml:space="preserve">, </w:t>
      </w:r>
      <w:r>
        <w:rPr>
          <w:lang w:val="en-US"/>
        </w:rPr>
        <w:t>Y</w:t>
      </w:r>
      <w:r w:rsidRPr="00EF15AE">
        <w:rPr>
          <w:lang w:val="en-US"/>
        </w:rPr>
        <w:t>u Xue</w:t>
      </w:r>
      <w:r>
        <w:rPr>
          <w:lang w:val="en-US"/>
        </w:rPr>
        <w:t xml:space="preserve"> Z.,</w:t>
      </w:r>
      <w:r w:rsidRPr="00EF15AE">
        <w:rPr>
          <w:lang w:val="en-US"/>
        </w:rPr>
        <w:t xml:space="preserve"> Aamodt</w:t>
      </w:r>
      <w:r>
        <w:rPr>
          <w:lang w:val="en-US"/>
        </w:rPr>
        <w:t xml:space="preserve"> T.M.,</w:t>
      </w:r>
      <w:r w:rsidR="00AA61C0">
        <w:rPr>
          <w:lang w:val="en-US"/>
        </w:rPr>
        <w:t xml:space="preserve"> 2022</w:t>
      </w:r>
      <w:r w:rsidR="00636B65">
        <w:rPr>
          <w:lang w:val="en-US"/>
        </w:rPr>
        <w:t>,</w:t>
      </w:r>
      <w:r>
        <w:rPr>
          <w:lang w:val="en-US"/>
        </w:rPr>
        <w:t xml:space="preserve"> L</w:t>
      </w:r>
      <w:r w:rsidRPr="00EF15AE">
        <w:rPr>
          <w:lang w:val="en-US"/>
        </w:rPr>
        <w:t xml:space="preserve">abel </w:t>
      </w:r>
      <w:r w:rsidR="00661095">
        <w:rPr>
          <w:lang w:val="en-US"/>
        </w:rPr>
        <w:t>e</w:t>
      </w:r>
      <w:r w:rsidRPr="00EF15AE">
        <w:rPr>
          <w:lang w:val="en-US"/>
        </w:rPr>
        <w:t xml:space="preserve">ncoding for </w:t>
      </w:r>
      <w:r w:rsidR="00661095">
        <w:rPr>
          <w:lang w:val="en-US"/>
        </w:rPr>
        <w:t>r</w:t>
      </w:r>
      <w:r w:rsidRPr="00EF15AE">
        <w:rPr>
          <w:lang w:val="en-US"/>
        </w:rPr>
        <w:t xml:space="preserve">egression </w:t>
      </w:r>
      <w:r w:rsidR="00661095">
        <w:rPr>
          <w:lang w:val="en-US"/>
        </w:rPr>
        <w:t>n</w:t>
      </w:r>
      <w:r w:rsidRPr="00EF15AE">
        <w:rPr>
          <w:lang w:val="en-US"/>
        </w:rPr>
        <w:t>etworks</w:t>
      </w:r>
      <w:r>
        <w:rPr>
          <w:lang w:val="en-US"/>
        </w:rPr>
        <w:t xml:space="preserve">, </w:t>
      </w:r>
      <w:r w:rsidR="00636B65">
        <w:rPr>
          <w:lang w:val="en-US"/>
        </w:rPr>
        <w:t xml:space="preserve">In: </w:t>
      </w:r>
      <w:r w:rsidR="00AA61C0">
        <w:rPr>
          <w:lang w:val="en-US"/>
        </w:rPr>
        <w:t>P</w:t>
      </w:r>
      <w:r w:rsidR="00AA61C0" w:rsidRPr="00AA61C0">
        <w:rPr>
          <w:lang w:val="en-US"/>
        </w:rPr>
        <w:t>roceedings of the Tenth International Conference on Learning Representations</w:t>
      </w:r>
      <w:r w:rsidR="00010B00">
        <w:rPr>
          <w:lang w:val="en-US"/>
        </w:rPr>
        <w:t>,</w:t>
      </w:r>
      <w:r w:rsidR="00AA61C0" w:rsidRPr="00AA61C0">
        <w:rPr>
          <w:lang w:val="en-US"/>
        </w:rPr>
        <w:t xml:space="preserve"> ICLR </w:t>
      </w:r>
      <w:r w:rsidR="00010B00">
        <w:rPr>
          <w:lang w:val="en-US"/>
        </w:rPr>
        <w:t>Publ.</w:t>
      </w:r>
      <w:r w:rsidR="00AA61C0" w:rsidRPr="00AA61C0">
        <w:rPr>
          <w:lang w:val="en-US"/>
        </w:rPr>
        <w:t>,</w:t>
      </w:r>
      <w:r w:rsidR="004A0CB8" w:rsidRPr="004A0CB8">
        <w:t xml:space="preserve"> </w:t>
      </w:r>
      <w:r w:rsidR="004A0CB8" w:rsidRPr="004A0CB8">
        <w:rPr>
          <w:lang w:val="en-US"/>
        </w:rPr>
        <w:t>Addis Ababa, Ethiopia</w:t>
      </w:r>
      <w:r w:rsidR="004A0CB8">
        <w:rPr>
          <w:lang w:val="en-US"/>
        </w:rPr>
        <w:t>,</w:t>
      </w:r>
      <w:r w:rsidR="00AA61C0" w:rsidRPr="00AA61C0">
        <w:rPr>
          <w:lang w:val="en-US"/>
        </w:rPr>
        <w:t xml:space="preserve"> </w:t>
      </w:r>
      <w:r w:rsidR="00794ED0" w:rsidRPr="00794ED0">
        <w:rPr>
          <w:lang w:val="en-US"/>
        </w:rPr>
        <w:t>arXiv:2212.01927</w:t>
      </w:r>
      <w:r w:rsidR="00794ED0">
        <w:rPr>
          <w:lang w:val="en-US"/>
        </w:rPr>
        <w:t>.</w:t>
      </w:r>
    </w:p>
    <w:p w14:paraId="667F37F6" w14:textId="277B54EB" w:rsidR="00D23EB9" w:rsidRDefault="00DD5E36" w:rsidP="00F50836">
      <w:pPr>
        <w:pStyle w:val="CETReferencetext"/>
      </w:pPr>
      <w:r w:rsidRPr="0058398F">
        <w:rPr>
          <w:lang w:val="en-US"/>
        </w:rPr>
        <w:t xml:space="preserve">Vairo T., Cademartori D., Clematis D., Carpanese M.P., Fabiano B., </w:t>
      </w:r>
      <w:r w:rsidR="00372408">
        <w:rPr>
          <w:lang w:val="en-US"/>
        </w:rPr>
        <w:t xml:space="preserve">2023, </w:t>
      </w:r>
      <w:r w:rsidRPr="0058398F">
        <w:rPr>
          <w:lang w:val="en-US"/>
        </w:rPr>
        <w:t>Solid oxide fuel cells for shipping: A machine learning model for early detection of hazardous system deviations,</w:t>
      </w:r>
      <w:r w:rsidR="007C4BF1">
        <w:rPr>
          <w:lang w:val="en-US"/>
        </w:rPr>
        <w:t xml:space="preserve"> </w:t>
      </w:r>
      <w:r w:rsidRPr="0058398F">
        <w:rPr>
          <w:lang w:val="en-US"/>
        </w:rPr>
        <w:t>Process Safety and Environmental Protection,</w:t>
      </w:r>
      <w:r>
        <w:rPr>
          <w:lang w:val="en-US"/>
        </w:rPr>
        <w:t xml:space="preserve"> </w:t>
      </w:r>
      <w:r w:rsidRPr="0058398F">
        <w:rPr>
          <w:lang w:val="en-US"/>
        </w:rPr>
        <w:t>172, 84-194</w:t>
      </w:r>
      <w:r w:rsidR="00636B65">
        <w:rPr>
          <w:lang w:val="en-US"/>
        </w:rPr>
        <w:t>.</w:t>
      </w:r>
    </w:p>
    <w:sectPr w:rsidR="00D23EB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1709" w14:textId="77777777" w:rsidR="00405C06" w:rsidRDefault="00405C06" w:rsidP="004F5E36">
      <w:r>
        <w:separator/>
      </w:r>
    </w:p>
  </w:endnote>
  <w:endnote w:type="continuationSeparator" w:id="0">
    <w:p w14:paraId="59FBC96F" w14:textId="77777777" w:rsidR="00405C06" w:rsidRDefault="00405C0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1B84" w14:textId="77777777" w:rsidR="00405C06" w:rsidRDefault="00405C06" w:rsidP="004F5E36">
      <w:r>
        <w:separator/>
      </w:r>
    </w:p>
  </w:footnote>
  <w:footnote w:type="continuationSeparator" w:id="0">
    <w:p w14:paraId="7AC4F6AB" w14:textId="77777777" w:rsidR="00405C06" w:rsidRDefault="00405C0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F4F09F4"/>
    <w:multiLevelType w:val="hybridMultilevel"/>
    <w:tmpl w:val="0C5C8CBE"/>
    <w:lvl w:ilvl="0" w:tplc="0410000F">
      <w:start w:val="1"/>
      <w:numFmt w:val="decimal"/>
      <w:lvlText w:val="%1."/>
      <w:lvlJc w:val="left"/>
      <w:pPr>
        <w:ind w:left="340" w:hanging="227"/>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675369"/>
    <w:multiLevelType w:val="hybridMultilevel"/>
    <w:tmpl w:val="6F5A34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1E82AAE"/>
    <w:multiLevelType w:val="hybridMultilevel"/>
    <w:tmpl w:val="20106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8506040">
    <w:abstractNumId w:val="12"/>
  </w:num>
  <w:num w:numId="2" w16cid:durableId="776411512">
    <w:abstractNumId w:val="8"/>
  </w:num>
  <w:num w:numId="3" w16cid:durableId="1297636792">
    <w:abstractNumId w:val="3"/>
  </w:num>
  <w:num w:numId="4" w16cid:durableId="593326634">
    <w:abstractNumId w:val="2"/>
  </w:num>
  <w:num w:numId="5" w16cid:durableId="2022050910">
    <w:abstractNumId w:val="1"/>
  </w:num>
  <w:num w:numId="6" w16cid:durableId="65736672">
    <w:abstractNumId w:val="0"/>
  </w:num>
  <w:num w:numId="7" w16cid:durableId="956571443">
    <w:abstractNumId w:val="9"/>
  </w:num>
  <w:num w:numId="8" w16cid:durableId="1585065004">
    <w:abstractNumId w:val="7"/>
  </w:num>
  <w:num w:numId="9" w16cid:durableId="64308096">
    <w:abstractNumId w:val="6"/>
  </w:num>
  <w:num w:numId="10" w16cid:durableId="1156804485">
    <w:abstractNumId w:val="5"/>
  </w:num>
  <w:num w:numId="11" w16cid:durableId="857891157">
    <w:abstractNumId w:val="4"/>
  </w:num>
  <w:num w:numId="12" w16cid:durableId="59789682">
    <w:abstractNumId w:val="20"/>
  </w:num>
  <w:num w:numId="13" w16cid:durableId="527447508">
    <w:abstractNumId w:val="14"/>
  </w:num>
  <w:num w:numId="14" w16cid:durableId="458568166">
    <w:abstractNumId w:val="21"/>
  </w:num>
  <w:num w:numId="15" w16cid:durableId="1551578763">
    <w:abstractNumId w:val="23"/>
  </w:num>
  <w:num w:numId="16" w16cid:durableId="215047777">
    <w:abstractNumId w:val="22"/>
  </w:num>
  <w:num w:numId="17" w16cid:durableId="1353803031">
    <w:abstractNumId w:val="13"/>
  </w:num>
  <w:num w:numId="18" w16cid:durableId="729158014">
    <w:abstractNumId w:val="14"/>
    <w:lvlOverride w:ilvl="0">
      <w:startOverride w:val="1"/>
    </w:lvlOverride>
  </w:num>
  <w:num w:numId="19" w16cid:durableId="484248237">
    <w:abstractNumId w:val="19"/>
  </w:num>
  <w:num w:numId="20" w16cid:durableId="2124373895">
    <w:abstractNumId w:val="18"/>
  </w:num>
  <w:num w:numId="21" w16cid:durableId="513423747">
    <w:abstractNumId w:val="16"/>
  </w:num>
  <w:num w:numId="22" w16cid:durableId="2044820851">
    <w:abstractNumId w:val="15"/>
  </w:num>
  <w:num w:numId="23" w16cid:durableId="236090933">
    <w:abstractNumId w:val="11"/>
  </w:num>
  <w:num w:numId="24" w16cid:durableId="1914510854">
    <w:abstractNumId w:val="10"/>
  </w:num>
  <w:num w:numId="25" w16cid:durableId="19740973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B00"/>
    <w:rsid w:val="000117CB"/>
    <w:rsid w:val="0003148D"/>
    <w:rsid w:val="00031EEC"/>
    <w:rsid w:val="00035117"/>
    <w:rsid w:val="00044DCF"/>
    <w:rsid w:val="00051566"/>
    <w:rsid w:val="000562A9"/>
    <w:rsid w:val="00062A9A"/>
    <w:rsid w:val="00065058"/>
    <w:rsid w:val="00077286"/>
    <w:rsid w:val="00086C39"/>
    <w:rsid w:val="000A03B2"/>
    <w:rsid w:val="000D0268"/>
    <w:rsid w:val="000D34BE"/>
    <w:rsid w:val="000E102F"/>
    <w:rsid w:val="000E36F1"/>
    <w:rsid w:val="000E3A73"/>
    <w:rsid w:val="000E414A"/>
    <w:rsid w:val="000F093C"/>
    <w:rsid w:val="000F787B"/>
    <w:rsid w:val="00107E70"/>
    <w:rsid w:val="0012091F"/>
    <w:rsid w:val="00125559"/>
    <w:rsid w:val="00126BC2"/>
    <w:rsid w:val="001308B6"/>
    <w:rsid w:val="0013121F"/>
    <w:rsid w:val="00131FE6"/>
    <w:rsid w:val="0013263F"/>
    <w:rsid w:val="001331DF"/>
    <w:rsid w:val="00134DE4"/>
    <w:rsid w:val="0014034D"/>
    <w:rsid w:val="0014310A"/>
    <w:rsid w:val="00144D16"/>
    <w:rsid w:val="00150546"/>
    <w:rsid w:val="00150E59"/>
    <w:rsid w:val="00152DE3"/>
    <w:rsid w:val="0015412A"/>
    <w:rsid w:val="00164CF9"/>
    <w:rsid w:val="001667A6"/>
    <w:rsid w:val="00173D89"/>
    <w:rsid w:val="00184AD6"/>
    <w:rsid w:val="001A4AF7"/>
    <w:rsid w:val="001A6DD3"/>
    <w:rsid w:val="001B0349"/>
    <w:rsid w:val="001B1E93"/>
    <w:rsid w:val="001B65C1"/>
    <w:rsid w:val="001C684B"/>
    <w:rsid w:val="001D0CFB"/>
    <w:rsid w:val="001D21AF"/>
    <w:rsid w:val="001D53FC"/>
    <w:rsid w:val="001D72F3"/>
    <w:rsid w:val="001E20A1"/>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13046"/>
    <w:rsid w:val="00321CA6"/>
    <w:rsid w:val="00323763"/>
    <w:rsid w:val="00323C5F"/>
    <w:rsid w:val="00334C09"/>
    <w:rsid w:val="00334D78"/>
    <w:rsid w:val="003723D4"/>
    <w:rsid w:val="00372408"/>
    <w:rsid w:val="00381905"/>
    <w:rsid w:val="00384CC8"/>
    <w:rsid w:val="003871FD"/>
    <w:rsid w:val="003A1E30"/>
    <w:rsid w:val="003A2829"/>
    <w:rsid w:val="003A6FC6"/>
    <w:rsid w:val="003A7D1C"/>
    <w:rsid w:val="003B304B"/>
    <w:rsid w:val="003B3146"/>
    <w:rsid w:val="003B6655"/>
    <w:rsid w:val="003F015E"/>
    <w:rsid w:val="00400414"/>
    <w:rsid w:val="00402A0B"/>
    <w:rsid w:val="00405C06"/>
    <w:rsid w:val="00407C4B"/>
    <w:rsid w:val="0041446B"/>
    <w:rsid w:val="0043696F"/>
    <w:rsid w:val="0044071E"/>
    <w:rsid w:val="0044329C"/>
    <w:rsid w:val="00453E24"/>
    <w:rsid w:val="00457456"/>
    <w:rsid w:val="004577FE"/>
    <w:rsid w:val="00457B9C"/>
    <w:rsid w:val="0046164A"/>
    <w:rsid w:val="004628D2"/>
    <w:rsid w:val="00462DCD"/>
    <w:rsid w:val="004648AD"/>
    <w:rsid w:val="004703A9"/>
    <w:rsid w:val="004760DE"/>
    <w:rsid w:val="004763D7"/>
    <w:rsid w:val="00495056"/>
    <w:rsid w:val="004A004E"/>
    <w:rsid w:val="004A0CB8"/>
    <w:rsid w:val="004A24CF"/>
    <w:rsid w:val="004B3945"/>
    <w:rsid w:val="004C3D1D"/>
    <w:rsid w:val="004C3D84"/>
    <w:rsid w:val="004C63F7"/>
    <w:rsid w:val="004C7913"/>
    <w:rsid w:val="004E4DD6"/>
    <w:rsid w:val="004F5E36"/>
    <w:rsid w:val="00507B47"/>
    <w:rsid w:val="00507BEF"/>
    <w:rsid w:val="00507CC9"/>
    <w:rsid w:val="005119A5"/>
    <w:rsid w:val="005134A6"/>
    <w:rsid w:val="00516558"/>
    <w:rsid w:val="00516AAC"/>
    <w:rsid w:val="005207B0"/>
    <w:rsid w:val="005278B7"/>
    <w:rsid w:val="00532016"/>
    <w:rsid w:val="005346C8"/>
    <w:rsid w:val="00543E7D"/>
    <w:rsid w:val="00547A68"/>
    <w:rsid w:val="005531C9"/>
    <w:rsid w:val="00570C43"/>
    <w:rsid w:val="00575E2D"/>
    <w:rsid w:val="0058398F"/>
    <w:rsid w:val="005B2110"/>
    <w:rsid w:val="005B5BC5"/>
    <w:rsid w:val="005B61E6"/>
    <w:rsid w:val="005C77E1"/>
    <w:rsid w:val="005C7D57"/>
    <w:rsid w:val="005D2BE7"/>
    <w:rsid w:val="005D668A"/>
    <w:rsid w:val="005D6A2F"/>
    <w:rsid w:val="005E1A82"/>
    <w:rsid w:val="005E794C"/>
    <w:rsid w:val="005E7C48"/>
    <w:rsid w:val="005F0A28"/>
    <w:rsid w:val="005F0E5E"/>
    <w:rsid w:val="00600535"/>
    <w:rsid w:val="00610CD6"/>
    <w:rsid w:val="0061419D"/>
    <w:rsid w:val="00620DEE"/>
    <w:rsid w:val="00621F92"/>
    <w:rsid w:val="0062280A"/>
    <w:rsid w:val="00625639"/>
    <w:rsid w:val="00631B33"/>
    <w:rsid w:val="00635321"/>
    <w:rsid w:val="00635D08"/>
    <w:rsid w:val="00636B65"/>
    <w:rsid w:val="0064184D"/>
    <w:rsid w:val="006422CC"/>
    <w:rsid w:val="00660E3E"/>
    <w:rsid w:val="00661095"/>
    <w:rsid w:val="00662E74"/>
    <w:rsid w:val="00674632"/>
    <w:rsid w:val="00680C23"/>
    <w:rsid w:val="0069267F"/>
    <w:rsid w:val="00693766"/>
    <w:rsid w:val="006A03AA"/>
    <w:rsid w:val="006A3281"/>
    <w:rsid w:val="006B4888"/>
    <w:rsid w:val="006C2E45"/>
    <w:rsid w:val="006C359C"/>
    <w:rsid w:val="006C5579"/>
    <w:rsid w:val="006D6E8B"/>
    <w:rsid w:val="006E737D"/>
    <w:rsid w:val="006F353B"/>
    <w:rsid w:val="00713973"/>
    <w:rsid w:val="00720A24"/>
    <w:rsid w:val="00732386"/>
    <w:rsid w:val="0073514D"/>
    <w:rsid w:val="007447F3"/>
    <w:rsid w:val="0075499F"/>
    <w:rsid w:val="007661C8"/>
    <w:rsid w:val="0077098D"/>
    <w:rsid w:val="00781351"/>
    <w:rsid w:val="007931FA"/>
    <w:rsid w:val="00794ED0"/>
    <w:rsid w:val="007A4861"/>
    <w:rsid w:val="007A7BBA"/>
    <w:rsid w:val="007B0C50"/>
    <w:rsid w:val="007B48F9"/>
    <w:rsid w:val="007C1A43"/>
    <w:rsid w:val="007C4BF1"/>
    <w:rsid w:val="007D0951"/>
    <w:rsid w:val="0080013E"/>
    <w:rsid w:val="00813288"/>
    <w:rsid w:val="008168FC"/>
    <w:rsid w:val="00830996"/>
    <w:rsid w:val="008345F1"/>
    <w:rsid w:val="00865B07"/>
    <w:rsid w:val="008667EA"/>
    <w:rsid w:val="0087637F"/>
    <w:rsid w:val="00892AD5"/>
    <w:rsid w:val="00897BFB"/>
    <w:rsid w:val="008A1512"/>
    <w:rsid w:val="008A2254"/>
    <w:rsid w:val="008B7C03"/>
    <w:rsid w:val="008D32B9"/>
    <w:rsid w:val="008D433B"/>
    <w:rsid w:val="008D4A16"/>
    <w:rsid w:val="008E566E"/>
    <w:rsid w:val="0090161A"/>
    <w:rsid w:val="00901EB6"/>
    <w:rsid w:val="00904C62"/>
    <w:rsid w:val="0090663D"/>
    <w:rsid w:val="00911C72"/>
    <w:rsid w:val="00922BA8"/>
    <w:rsid w:val="00924DAC"/>
    <w:rsid w:val="00924DD3"/>
    <w:rsid w:val="00927058"/>
    <w:rsid w:val="00942750"/>
    <w:rsid w:val="009450CE"/>
    <w:rsid w:val="009459BB"/>
    <w:rsid w:val="00947179"/>
    <w:rsid w:val="0095164B"/>
    <w:rsid w:val="00954090"/>
    <w:rsid w:val="009573E7"/>
    <w:rsid w:val="00963E05"/>
    <w:rsid w:val="00964A45"/>
    <w:rsid w:val="00967843"/>
    <w:rsid w:val="00967D54"/>
    <w:rsid w:val="00971028"/>
    <w:rsid w:val="00972985"/>
    <w:rsid w:val="00993B84"/>
    <w:rsid w:val="00996483"/>
    <w:rsid w:val="00996F5A"/>
    <w:rsid w:val="009B041A"/>
    <w:rsid w:val="009C37C3"/>
    <w:rsid w:val="009C7C86"/>
    <w:rsid w:val="009D2FF7"/>
    <w:rsid w:val="009E1E54"/>
    <w:rsid w:val="009E7884"/>
    <w:rsid w:val="009E788A"/>
    <w:rsid w:val="009F0E08"/>
    <w:rsid w:val="00A1763D"/>
    <w:rsid w:val="00A17CEC"/>
    <w:rsid w:val="00A21642"/>
    <w:rsid w:val="00A27EF0"/>
    <w:rsid w:val="00A41231"/>
    <w:rsid w:val="00A42361"/>
    <w:rsid w:val="00A50B20"/>
    <w:rsid w:val="00A51390"/>
    <w:rsid w:val="00A60D13"/>
    <w:rsid w:val="00A7223D"/>
    <w:rsid w:val="00A72745"/>
    <w:rsid w:val="00A76EFC"/>
    <w:rsid w:val="00A87D50"/>
    <w:rsid w:val="00A91010"/>
    <w:rsid w:val="00A94F75"/>
    <w:rsid w:val="00A97F29"/>
    <w:rsid w:val="00AA61C0"/>
    <w:rsid w:val="00AA702E"/>
    <w:rsid w:val="00AA7D26"/>
    <w:rsid w:val="00AB0964"/>
    <w:rsid w:val="00AB5011"/>
    <w:rsid w:val="00AC7368"/>
    <w:rsid w:val="00AD16B9"/>
    <w:rsid w:val="00AE377D"/>
    <w:rsid w:val="00AF048E"/>
    <w:rsid w:val="00AF0EBA"/>
    <w:rsid w:val="00B02C8A"/>
    <w:rsid w:val="00B17FBD"/>
    <w:rsid w:val="00B21E14"/>
    <w:rsid w:val="00B315A6"/>
    <w:rsid w:val="00B31813"/>
    <w:rsid w:val="00B33365"/>
    <w:rsid w:val="00B57B36"/>
    <w:rsid w:val="00B57E6F"/>
    <w:rsid w:val="00B607CD"/>
    <w:rsid w:val="00B8686D"/>
    <w:rsid w:val="00B93F69"/>
    <w:rsid w:val="00BB1DDC"/>
    <w:rsid w:val="00BC30C9"/>
    <w:rsid w:val="00BD077D"/>
    <w:rsid w:val="00BE0625"/>
    <w:rsid w:val="00BE3E58"/>
    <w:rsid w:val="00C01616"/>
    <w:rsid w:val="00C0162B"/>
    <w:rsid w:val="00C05356"/>
    <w:rsid w:val="00C068ED"/>
    <w:rsid w:val="00C1374E"/>
    <w:rsid w:val="00C22E0C"/>
    <w:rsid w:val="00C24FDF"/>
    <w:rsid w:val="00C345B1"/>
    <w:rsid w:val="00C35715"/>
    <w:rsid w:val="00C40142"/>
    <w:rsid w:val="00C52C3C"/>
    <w:rsid w:val="00C57182"/>
    <w:rsid w:val="00C57863"/>
    <w:rsid w:val="00C640AF"/>
    <w:rsid w:val="00C655FD"/>
    <w:rsid w:val="00C75407"/>
    <w:rsid w:val="00C760C2"/>
    <w:rsid w:val="00C870A8"/>
    <w:rsid w:val="00C94434"/>
    <w:rsid w:val="00CA0D4A"/>
    <w:rsid w:val="00CA0D75"/>
    <w:rsid w:val="00CA1C95"/>
    <w:rsid w:val="00CA5A9C"/>
    <w:rsid w:val="00CC4C20"/>
    <w:rsid w:val="00CD3517"/>
    <w:rsid w:val="00CD5FE2"/>
    <w:rsid w:val="00CE7C68"/>
    <w:rsid w:val="00D02B4C"/>
    <w:rsid w:val="00D040C4"/>
    <w:rsid w:val="00D20AD1"/>
    <w:rsid w:val="00D23EB9"/>
    <w:rsid w:val="00D3396C"/>
    <w:rsid w:val="00D422F7"/>
    <w:rsid w:val="00D46B7E"/>
    <w:rsid w:val="00D57C84"/>
    <w:rsid w:val="00D6057D"/>
    <w:rsid w:val="00D648EC"/>
    <w:rsid w:val="00D66C8E"/>
    <w:rsid w:val="00D71640"/>
    <w:rsid w:val="00D836C5"/>
    <w:rsid w:val="00D84576"/>
    <w:rsid w:val="00DA1399"/>
    <w:rsid w:val="00DA24C6"/>
    <w:rsid w:val="00DA4D7B"/>
    <w:rsid w:val="00DD271C"/>
    <w:rsid w:val="00DD5E36"/>
    <w:rsid w:val="00DE264A"/>
    <w:rsid w:val="00DF5072"/>
    <w:rsid w:val="00E02D18"/>
    <w:rsid w:val="00E03D3F"/>
    <w:rsid w:val="00E041E7"/>
    <w:rsid w:val="00E23CA1"/>
    <w:rsid w:val="00E33DD7"/>
    <w:rsid w:val="00E409A8"/>
    <w:rsid w:val="00E50C12"/>
    <w:rsid w:val="00E65B91"/>
    <w:rsid w:val="00E7209D"/>
    <w:rsid w:val="00E72EAD"/>
    <w:rsid w:val="00E77223"/>
    <w:rsid w:val="00E8244C"/>
    <w:rsid w:val="00E8528B"/>
    <w:rsid w:val="00E85B94"/>
    <w:rsid w:val="00E978D0"/>
    <w:rsid w:val="00EA4613"/>
    <w:rsid w:val="00EA7F91"/>
    <w:rsid w:val="00EB1523"/>
    <w:rsid w:val="00EC0E49"/>
    <w:rsid w:val="00EC101F"/>
    <w:rsid w:val="00EC1D9F"/>
    <w:rsid w:val="00ED60E0"/>
    <w:rsid w:val="00EE0131"/>
    <w:rsid w:val="00EE17B0"/>
    <w:rsid w:val="00EF06D9"/>
    <w:rsid w:val="00EF15AE"/>
    <w:rsid w:val="00EF2BCB"/>
    <w:rsid w:val="00F029B3"/>
    <w:rsid w:val="00F23993"/>
    <w:rsid w:val="00F3049E"/>
    <w:rsid w:val="00F30C64"/>
    <w:rsid w:val="00F32BA2"/>
    <w:rsid w:val="00F32CDB"/>
    <w:rsid w:val="00F46CFB"/>
    <w:rsid w:val="00F50836"/>
    <w:rsid w:val="00F565FE"/>
    <w:rsid w:val="00F568EF"/>
    <w:rsid w:val="00F63A70"/>
    <w:rsid w:val="00F63D8C"/>
    <w:rsid w:val="00F7534E"/>
    <w:rsid w:val="00F829A9"/>
    <w:rsid w:val="00F91352"/>
    <w:rsid w:val="00F93EDF"/>
    <w:rsid w:val="00FA1802"/>
    <w:rsid w:val="00FA21D0"/>
    <w:rsid w:val="00FA5F5F"/>
    <w:rsid w:val="00FB730C"/>
    <w:rsid w:val="00FC2695"/>
    <w:rsid w:val="00FC3E03"/>
    <w:rsid w:val="00FC3FC1"/>
    <w:rsid w:val="00FF06F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334D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4433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7988">
      <w:bodyDiv w:val="1"/>
      <w:marLeft w:val="0"/>
      <w:marRight w:val="0"/>
      <w:marTop w:val="0"/>
      <w:marBottom w:val="0"/>
      <w:divBdr>
        <w:top w:val="none" w:sz="0" w:space="0" w:color="auto"/>
        <w:left w:val="none" w:sz="0" w:space="0" w:color="auto"/>
        <w:bottom w:val="none" w:sz="0" w:space="0" w:color="auto"/>
        <w:right w:val="none" w:sz="0" w:space="0" w:color="auto"/>
      </w:divBdr>
    </w:div>
    <w:div w:id="135549405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0990">
      <w:bodyDiv w:val="1"/>
      <w:marLeft w:val="0"/>
      <w:marRight w:val="0"/>
      <w:marTop w:val="0"/>
      <w:marBottom w:val="0"/>
      <w:divBdr>
        <w:top w:val="none" w:sz="0" w:space="0" w:color="auto"/>
        <w:left w:val="none" w:sz="0" w:space="0" w:color="auto"/>
        <w:bottom w:val="none" w:sz="0" w:space="0" w:color="auto"/>
        <w:right w:val="none" w:sz="0" w:space="0" w:color="auto"/>
      </w:divBdr>
    </w:div>
    <w:div w:id="202821279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28D9-EADE-424A-9080-52132E4B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6</Pages>
  <Words>3581</Words>
  <Characters>20417</Characters>
  <Application>Microsoft Office Word</Application>
  <DocSecurity>0</DocSecurity>
  <Lines>170</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Bruno Fabiano</cp:lastModifiedBy>
  <cp:revision>49</cp:revision>
  <cp:lastPrinted>2015-05-12T18:31:00Z</cp:lastPrinted>
  <dcterms:created xsi:type="dcterms:W3CDTF">2023-06-08T13:53:00Z</dcterms:created>
  <dcterms:modified xsi:type="dcterms:W3CDTF">2023-09-08T16:16:00Z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