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8E23C1" w:rsidRPr="00B57B36" w14:paraId="2450326B" w14:textId="77777777" w:rsidTr="00407BD2">
        <w:trPr>
          <w:trHeight w:val="852"/>
          <w:jc w:val="center"/>
        </w:trPr>
        <w:tc>
          <w:tcPr>
            <w:tcW w:w="6940" w:type="dxa"/>
            <w:vMerge w:val="restart"/>
            <w:tcBorders>
              <w:right w:val="single" w:sz="4" w:space="0" w:color="auto"/>
            </w:tcBorders>
          </w:tcPr>
          <w:p w14:paraId="29BCD798" w14:textId="77777777" w:rsidR="008E23C1" w:rsidRPr="00B57B36" w:rsidRDefault="008E23C1" w:rsidP="008E23C1">
            <w:pPr>
              <w:tabs>
                <w:tab w:val="left" w:pos="-108"/>
              </w:tabs>
              <w:spacing w:line="240" w:lineRule="auto"/>
              <w:ind w:left="-108"/>
              <w:jc w:val="left"/>
              <w:rPr>
                <w:rFonts w:cs="Arial"/>
                <w:b/>
                <w:bCs/>
                <w:i/>
                <w:iCs/>
                <w:color w:val="000066"/>
                <w:sz w:val="12"/>
                <w:szCs w:val="12"/>
                <w:lang w:eastAsia="it-IT"/>
              </w:rPr>
            </w:pPr>
            <w:bookmarkStart w:id="0" w:name="_Hlk126678662"/>
            <w:bookmarkEnd w:id="0"/>
            <w:r w:rsidRPr="00B57B36">
              <w:rPr>
                <w:rFonts w:ascii="AdvP6960" w:hAnsi="AdvP6960" w:cs="AdvP6960"/>
                <w:noProof/>
                <w:color w:val="241F20"/>
                <w:szCs w:val="18"/>
                <w:lang w:val="en-US"/>
              </w:rPr>
              <w:drawing>
                <wp:inline distT="0" distB="0" distL="0" distR="0" wp14:anchorId="7C0EECF6" wp14:editId="63A585B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CA79984" w14:textId="77777777" w:rsidR="008E23C1" w:rsidRPr="00B57B36" w:rsidRDefault="008E23C1" w:rsidP="008E23C1">
            <w:pPr>
              <w:tabs>
                <w:tab w:val="left" w:pos="-108"/>
              </w:tabs>
              <w:spacing w:line="240" w:lineRule="auto"/>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 2023</w:t>
            </w:r>
          </w:p>
        </w:tc>
        <w:tc>
          <w:tcPr>
            <w:tcW w:w="1842" w:type="dxa"/>
            <w:tcBorders>
              <w:left w:val="single" w:sz="4" w:space="0" w:color="auto"/>
              <w:bottom w:val="nil"/>
              <w:right w:val="single" w:sz="4" w:space="0" w:color="auto"/>
            </w:tcBorders>
          </w:tcPr>
          <w:p w14:paraId="54B938BD" w14:textId="77777777" w:rsidR="008E23C1" w:rsidRPr="00B57B36" w:rsidRDefault="008E23C1" w:rsidP="008E23C1">
            <w:pPr>
              <w:spacing w:line="240" w:lineRule="auto"/>
              <w:jc w:val="right"/>
              <w:rPr>
                <w:rFonts w:cs="Arial"/>
                <w:sz w:val="14"/>
                <w:szCs w:val="14"/>
              </w:rPr>
            </w:pPr>
            <w:r w:rsidRPr="00B57B36">
              <w:rPr>
                <w:rFonts w:cs="Arial"/>
                <w:sz w:val="14"/>
                <w:szCs w:val="14"/>
              </w:rPr>
              <w:t>A publication of</w:t>
            </w:r>
          </w:p>
          <w:p w14:paraId="60C2980E" w14:textId="77777777" w:rsidR="008E23C1" w:rsidRPr="00B57B36" w:rsidRDefault="008E23C1" w:rsidP="008E23C1">
            <w:pPr>
              <w:spacing w:line="240" w:lineRule="auto"/>
              <w:jc w:val="right"/>
            </w:pPr>
            <w:r w:rsidRPr="00B57B36">
              <w:rPr>
                <w:noProof/>
                <w:lang w:val="en-US"/>
              </w:rPr>
              <w:drawing>
                <wp:inline distT="0" distB="0" distL="0" distR="0" wp14:anchorId="60078A21" wp14:editId="1C4B0D3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E23C1" w:rsidRPr="00B57B36" w14:paraId="7D21E121" w14:textId="77777777" w:rsidTr="00407BD2">
        <w:trPr>
          <w:trHeight w:val="567"/>
          <w:jc w:val="center"/>
        </w:trPr>
        <w:tc>
          <w:tcPr>
            <w:tcW w:w="6940" w:type="dxa"/>
            <w:vMerge/>
            <w:tcBorders>
              <w:right w:val="single" w:sz="4" w:space="0" w:color="auto"/>
            </w:tcBorders>
          </w:tcPr>
          <w:p w14:paraId="33AB0AD7" w14:textId="77777777" w:rsidR="008E23C1" w:rsidRPr="00B57B36" w:rsidRDefault="008E23C1" w:rsidP="008E23C1">
            <w:pPr>
              <w:tabs>
                <w:tab w:val="left" w:pos="-108"/>
              </w:tabs>
              <w:spacing w:line="240" w:lineRule="auto"/>
            </w:pPr>
          </w:p>
        </w:tc>
        <w:tc>
          <w:tcPr>
            <w:tcW w:w="1842" w:type="dxa"/>
            <w:tcBorders>
              <w:left w:val="single" w:sz="4" w:space="0" w:color="auto"/>
              <w:bottom w:val="nil"/>
              <w:right w:val="single" w:sz="4" w:space="0" w:color="auto"/>
            </w:tcBorders>
          </w:tcPr>
          <w:p w14:paraId="43CB9706" w14:textId="77777777" w:rsidR="008E23C1" w:rsidRPr="00B57B36" w:rsidRDefault="008E23C1" w:rsidP="008E23C1">
            <w:pPr>
              <w:spacing w:line="240" w:lineRule="auto"/>
              <w:jc w:val="right"/>
              <w:rPr>
                <w:rFonts w:cs="Arial"/>
                <w:sz w:val="14"/>
                <w:szCs w:val="14"/>
              </w:rPr>
            </w:pPr>
            <w:r w:rsidRPr="00B57B36">
              <w:rPr>
                <w:rFonts w:cs="Arial"/>
                <w:sz w:val="14"/>
                <w:szCs w:val="14"/>
              </w:rPr>
              <w:t>The Italian Association</w:t>
            </w:r>
          </w:p>
          <w:p w14:paraId="746D8E81" w14:textId="77777777" w:rsidR="008E23C1" w:rsidRPr="00B57B36" w:rsidRDefault="008E23C1" w:rsidP="008E23C1">
            <w:pPr>
              <w:spacing w:line="240" w:lineRule="auto"/>
              <w:jc w:val="right"/>
              <w:rPr>
                <w:rFonts w:cs="Arial"/>
                <w:sz w:val="14"/>
                <w:szCs w:val="14"/>
              </w:rPr>
            </w:pPr>
            <w:r w:rsidRPr="00B57B36">
              <w:rPr>
                <w:rFonts w:cs="Arial"/>
                <w:sz w:val="14"/>
                <w:szCs w:val="14"/>
              </w:rPr>
              <w:t>of Chemical Engineering</w:t>
            </w:r>
          </w:p>
          <w:p w14:paraId="2A00D616" w14:textId="77777777" w:rsidR="008E23C1" w:rsidRPr="000D0268" w:rsidRDefault="008E23C1" w:rsidP="008E23C1">
            <w:pPr>
              <w:spacing w:line="240" w:lineRule="auto"/>
              <w:jc w:val="right"/>
              <w:rPr>
                <w:rFonts w:cs="Arial"/>
                <w:sz w:val="13"/>
                <w:szCs w:val="13"/>
              </w:rPr>
            </w:pPr>
            <w:r w:rsidRPr="000D0268">
              <w:rPr>
                <w:rFonts w:cs="Arial"/>
                <w:sz w:val="13"/>
                <w:szCs w:val="13"/>
              </w:rPr>
              <w:t>Online at www.cetjournal.it</w:t>
            </w:r>
          </w:p>
        </w:tc>
      </w:tr>
      <w:tr w:rsidR="008E23C1" w:rsidRPr="00B57B36" w14:paraId="0FAE8F35" w14:textId="77777777" w:rsidTr="00407BD2">
        <w:trPr>
          <w:trHeight w:val="68"/>
          <w:jc w:val="center"/>
        </w:trPr>
        <w:tc>
          <w:tcPr>
            <w:tcW w:w="8782" w:type="dxa"/>
            <w:gridSpan w:val="2"/>
          </w:tcPr>
          <w:p w14:paraId="17C6B8B6" w14:textId="77777777" w:rsidR="008E23C1" w:rsidRPr="003A6FC6" w:rsidRDefault="008E23C1" w:rsidP="008E23C1">
            <w:pPr>
              <w:spacing w:line="240" w:lineRule="auto"/>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Laura Piazza, M</w:t>
            </w:r>
            <w:r>
              <w:rPr>
                <w:rFonts w:ascii="Tahoma" w:hAnsi="Tahoma" w:cs="Tahoma"/>
                <w:color w:val="000000"/>
                <w:sz w:val="14"/>
                <w:szCs w:val="14"/>
                <w:shd w:val="clear" w:color="auto" w:fill="FFFFFF"/>
                <w:lang w:val="it-IT"/>
              </w:rPr>
              <w:t>auro Moresi, Francesco Donsì</w:t>
            </w:r>
          </w:p>
          <w:p w14:paraId="3DA8CC33" w14:textId="77777777" w:rsidR="008E23C1" w:rsidRPr="00B57B36" w:rsidRDefault="008E23C1" w:rsidP="008E23C1">
            <w:pPr>
              <w:tabs>
                <w:tab w:val="left" w:pos="-108"/>
              </w:tabs>
              <w:spacing w:line="240" w:lineRule="auto"/>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81206-01-4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6B88D17" w14:textId="77777777" w:rsidR="002D22EE" w:rsidRDefault="002D22EE"/>
    <w:p w14:paraId="610984F8" w14:textId="77777777" w:rsidR="008E23C1" w:rsidRPr="00DC0EF2" w:rsidRDefault="008E23C1" w:rsidP="008E23C1">
      <w:pPr>
        <w:pStyle w:val="HTMLconformatoprevio"/>
        <w:spacing w:line="276" w:lineRule="auto"/>
        <w:jc w:val="center"/>
        <w:rPr>
          <w:rStyle w:val="y2iqfc"/>
          <w:rFonts w:ascii="Arial" w:hAnsi="Arial" w:cs="Arial"/>
          <w:bCs/>
          <w:sz w:val="32"/>
          <w:szCs w:val="32"/>
          <w:lang w:val="en"/>
        </w:rPr>
      </w:pPr>
      <w:r w:rsidRPr="00DC0EF2">
        <w:rPr>
          <w:rStyle w:val="y2iqfc"/>
          <w:rFonts w:ascii="Arial" w:hAnsi="Arial" w:cs="Arial"/>
          <w:sz w:val="32"/>
          <w:szCs w:val="32"/>
          <w:lang w:val="en"/>
        </w:rPr>
        <w:t>Removal of metals in wastewater by applying efficient mountain microorganisms and sodium hydroxide</w:t>
      </w:r>
    </w:p>
    <w:p w14:paraId="453F0139" w14:textId="77777777" w:rsidR="008E23C1" w:rsidRPr="00136065" w:rsidRDefault="008E23C1" w:rsidP="008E23C1">
      <w:pPr>
        <w:pStyle w:val="HTMLconformatoprevio"/>
        <w:spacing w:line="276" w:lineRule="auto"/>
        <w:jc w:val="center"/>
        <w:rPr>
          <w:rStyle w:val="y2iqfc"/>
          <w:rFonts w:ascii="Times New Roman" w:hAnsi="Times New Roman"/>
          <w:bCs/>
          <w:sz w:val="28"/>
          <w:szCs w:val="28"/>
          <w:lang w:val="en"/>
        </w:rPr>
      </w:pPr>
    </w:p>
    <w:p w14:paraId="6FD3CADA" w14:textId="043F157B" w:rsidR="00EE39B9" w:rsidRPr="00C60995" w:rsidRDefault="00EE39B9" w:rsidP="00EE39B9">
      <w:pPr>
        <w:pStyle w:val="CETAuthors"/>
        <w:rPr>
          <w:rFonts w:cs="Arial"/>
          <w:iCs/>
          <w:color w:val="000000"/>
          <w:szCs w:val="24"/>
          <w:lang w:val="es-ES"/>
        </w:rPr>
      </w:pPr>
      <w:bookmarkStart w:id="1" w:name="_Hlk145327914"/>
      <w:r w:rsidRPr="00871F7E">
        <w:rPr>
          <w:rFonts w:cs="Arial"/>
          <w:iCs/>
          <w:color w:val="000000"/>
          <w:szCs w:val="24"/>
          <w:lang w:val="es-ES"/>
        </w:rPr>
        <w:t>Ana N. Sandoval</w:t>
      </w:r>
      <w:r w:rsidRPr="00871F7E">
        <w:rPr>
          <w:rFonts w:cs="Arial"/>
          <w:iCs/>
          <w:color w:val="000000"/>
          <w:szCs w:val="24"/>
          <w:vertAlign w:val="superscript"/>
          <w:lang w:val="es-ES"/>
        </w:rPr>
        <w:t>a</w:t>
      </w:r>
      <w:r w:rsidRPr="00871F7E">
        <w:rPr>
          <w:rFonts w:cs="Arial"/>
          <w:iCs/>
          <w:color w:val="000000"/>
          <w:szCs w:val="24"/>
          <w:lang w:val="es-ES"/>
        </w:rPr>
        <w:t>, Karla L. Mendoza*</w:t>
      </w:r>
      <w:r w:rsidRPr="00871F7E">
        <w:rPr>
          <w:rFonts w:cs="Arial"/>
          <w:iCs/>
          <w:color w:val="000000"/>
          <w:szCs w:val="24"/>
          <w:vertAlign w:val="superscript"/>
          <w:lang w:val="es-ES"/>
        </w:rPr>
        <w:t>a</w:t>
      </w:r>
      <w:r w:rsidRPr="00871F7E">
        <w:rPr>
          <w:rFonts w:cs="Arial"/>
          <w:iCs/>
          <w:color w:val="000000"/>
          <w:szCs w:val="24"/>
          <w:lang w:val="es-ES"/>
        </w:rPr>
        <w:t>, Ludwig N. Villanueva</w:t>
      </w:r>
      <w:r w:rsidRPr="00871F7E">
        <w:rPr>
          <w:rFonts w:cs="Arial"/>
          <w:iCs/>
          <w:color w:val="000000"/>
          <w:szCs w:val="24"/>
          <w:vertAlign w:val="superscript"/>
          <w:lang w:val="es-ES"/>
        </w:rPr>
        <w:t>a</w:t>
      </w:r>
      <w:r w:rsidRPr="00871F7E">
        <w:rPr>
          <w:rFonts w:cs="Arial"/>
          <w:iCs/>
          <w:color w:val="000000"/>
          <w:szCs w:val="24"/>
          <w:lang w:val="es-ES"/>
        </w:rPr>
        <w:t>, Elmer Benites-Alfaro</w:t>
      </w:r>
      <w:r w:rsidRPr="00871F7E">
        <w:rPr>
          <w:rFonts w:cs="Arial"/>
          <w:iCs/>
          <w:color w:val="000000"/>
          <w:szCs w:val="24"/>
          <w:vertAlign w:val="superscript"/>
          <w:lang w:val="es-ES"/>
        </w:rPr>
        <w:t>a</w:t>
      </w:r>
      <w:r w:rsidRPr="00871F7E">
        <w:rPr>
          <w:rFonts w:cs="Arial"/>
          <w:iCs/>
          <w:color w:val="000000"/>
          <w:szCs w:val="24"/>
          <w:lang w:val="es-ES"/>
        </w:rPr>
        <w:t>, Herry Lloclla</w:t>
      </w:r>
      <w:r w:rsidR="00FE1010">
        <w:rPr>
          <w:rFonts w:cs="Arial"/>
          <w:iCs/>
          <w:color w:val="000000"/>
          <w:szCs w:val="24"/>
          <w:vertAlign w:val="superscript"/>
          <w:lang w:val="es-ES"/>
        </w:rPr>
        <w:t>b</w:t>
      </w:r>
      <w:r w:rsidRPr="00871F7E">
        <w:rPr>
          <w:rFonts w:cs="Arial"/>
          <w:iCs/>
          <w:color w:val="000000"/>
          <w:szCs w:val="24"/>
          <w:lang w:val="es-ES"/>
        </w:rPr>
        <w:t>, Kriss M. Calla</w:t>
      </w:r>
      <w:r w:rsidR="00FE1010">
        <w:rPr>
          <w:rFonts w:cs="Arial"/>
          <w:iCs/>
          <w:color w:val="000000"/>
          <w:szCs w:val="24"/>
          <w:vertAlign w:val="superscript"/>
          <w:lang w:val="es-ES"/>
        </w:rPr>
        <w:t>c</w:t>
      </w:r>
      <w:r w:rsidRPr="00871F7E">
        <w:rPr>
          <w:rFonts w:cs="Arial"/>
          <w:iCs/>
          <w:color w:val="000000"/>
          <w:szCs w:val="24"/>
          <w:lang w:val="es-ES"/>
        </w:rPr>
        <w:t>, Julia Lizet Torres Rivera</w:t>
      </w:r>
      <w:r w:rsidR="00FE1010">
        <w:rPr>
          <w:rFonts w:cs="Arial"/>
          <w:iCs/>
          <w:color w:val="000000"/>
          <w:szCs w:val="24"/>
          <w:vertAlign w:val="superscript"/>
          <w:lang w:val="es-ES"/>
        </w:rPr>
        <w:t>d</w:t>
      </w:r>
      <w:r>
        <w:rPr>
          <w:rFonts w:cs="Arial"/>
          <w:iCs/>
          <w:color w:val="000000"/>
          <w:szCs w:val="24"/>
          <w:lang w:val="es-ES"/>
        </w:rPr>
        <w:t>, Segundo L. Estela</w:t>
      </w:r>
      <w:r w:rsidR="00FE1010">
        <w:rPr>
          <w:rFonts w:cs="Arial"/>
          <w:iCs/>
          <w:color w:val="000000"/>
          <w:szCs w:val="24"/>
          <w:vertAlign w:val="superscript"/>
          <w:lang w:val="es-ES"/>
        </w:rPr>
        <w:t>e</w:t>
      </w:r>
      <w:r>
        <w:rPr>
          <w:rFonts w:cs="Arial"/>
          <w:iCs/>
          <w:color w:val="000000"/>
          <w:szCs w:val="24"/>
          <w:lang w:val="es-ES"/>
        </w:rPr>
        <w:t>.</w:t>
      </w:r>
    </w:p>
    <w:bookmarkEnd w:id="1"/>
    <w:p w14:paraId="36FB3F26" w14:textId="77777777" w:rsidR="00166634" w:rsidRDefault="00166634" w:rsidP="0015364E">
      <w:pPr>
        <w:rPr>
          <w:rFonts w:cs="Arial"/>
          <w:iCs/>
          <w:noProof/>
          <w:color w:val="000000"/>
          <w:sz w:val="20"/>
          <w:vertAlign w:val="superscript"/>
          <w:lang w:val="es-ES"/>
        </w:rPr>
      </w:pPr>
    </w:p>
    <w:p w14:paraId="35FB6B29" w14:textId="0072A1DE" w:rsidR="00EE39B9" w:rsidRDefault="00EE39B9" w:rsidP="00EE39B9">
      <w:pPr>
        <w:keepNext/>
        <w:keepLines/>
        <w:shd w:val="clear" w:color="auto" w:fill="FFFFFF"/>
        <w:outlineLvl w:val="1"/>
        <w:rPr>
          <w:rFonts w:eastAsiaTheme="majorEastAsia" w:cs="Arial"/>
          <w:bCs/>
          <w:sz w:val="16"/>
          <w:szCs w:val="16"/>
          <w:lang w:val="es-PE"/>
        </w:rPr>
      </w:pPr>
      <w:r w:rsidRPr="00871F7E">
        <w:rPr>
          <w:rFonts w:eastAsiaTheme="majorEastAsia" w:cs="Arial"/>
          <w:bCs/>
          <w:sz w:val="16"/>
          <w:szCs w:val="16"/>
          <w:vertAlign w:val="superscript"/>
          <w:lang w:val="es-PE"/>
        </w:rPr>
        <w:t>a</w:t>
      </w:r>
      <w:r w:rsidRPr="00871F7E">
        <w:rPr>
          <w:rFonts w:eastAsiaTheme="majorEastAsia" w:cs="Arial"/>
          <w:bCs/>
          <w:sz w:val="16"/>
          <w:szCs w:val="16"/>
          <w:lang w:val="es-PE"/>
        </w:rPr>
        <w:t>Universidad César Vallejo. Perú</w:t>
      </w:r>
    </w:p>
    <w:p w14:paraId="48B8622B" w14:textId="483096A3" w:rsidR="00FE1010" w:rsidRPr="00FE1010" w:rsidRDefault="00FE1010" w:rsidP="00EE39B9">
      <w:pPr>
        <w:keepNext/>
        <w:keepLines/>
        <w:shd w:val="clear" w:color="auto" w:fill="FFFFFF"/>
        <w:outlineLvl w:val="1"/>
        <w:rPr>
          <w:rFonts w:eastAsiaTheme="majorEastAsia" w:cs="Arial"/>
          <w:bCs/>
          <w:sz w:val="16"/>
          <w:szCs w:val="16"/>
          <w:lang w:val="es-PE"/>
        </w:rPr>
      </w:pPr>
      <w:r>
        <w:rPr>
          <w:rFonts w:eastAsiaTheme="majorEastAsia" w:cs="Arial"/>
          <w:bCs/>
          <w:sz w:val="16"/>
          <w:szCs w:val="16"/>
          <w:vertAlign w:val="superscript"/>
          <w:lang w:val="es-PE"/>
        </w:rPr>
        <w:t>b</w:t>
      </w:r>
      <w:r>
        <w:rPr>
          <w:rFonts w:eastAsiaTheme="majorEastAsia" w:cs="Arial"/>
          <w:bCs/>
          <w:sz w:val="16"/>
          <w:szCs w:val="16"/>
          <w:lang w:val="es-PE"/>
        </w:rPr>
        <w:t>Universidad San Martín de Porres. Perú</w:t>
      </w:r>
    </w:p>
    <w:p w14:paraId="094AE348" w14:textId="74F6938D" w:rsidR="00EE39B9" w:rsidRPr="00871F7E" w:rsidRDefault="00FE1010" w:rsidP="00EE39B9">
      <w:pPr>
        <w:keepNext/>
        <w:keepLines/>
        <w:shd w:val="clear" w:color="auto" w:fill="FFFFFF"/>
        <w:outlineLvl w:val="1"/>
        <w:rPr>
          <w:rFonts w:eastAsiaTheme="majorEastAsia" w:cs="Arial"/>
          <w:bCs/>
          <w:sz w:val="16"/>
          <w:szCs w:val="16"/>
          <w:lang w:val="es-PE"/>
        </w:rPr>
      </w:pPr>
      <w:r>
        <w:rPr>
          <w:rFonts w:eastAsiaTheme="majorEastAsia" w:cs="Arial"/>
          <w:bCs/>
          <w:sz w:val="16"/>
          <w:szCs w:val="16"/>
          <w:vertAlign w:val="superscript"/>
          <w:lang w:val="es-PE"/>
        </w:rPr>
        <w:t>c</w:t>
      </w:r>
      <w:r w:rsidR="00EE39B9" w:rsidRPr="00871F7E">
        <w:rPr>
          <w:rFonts w:eastAsiaTheme="majorEastAsia" w:cs="Arial"/>
          <w:bCs/>
          <w:sz w:val="16"/>
          <w:szCs w:val="16"/>
          <w:lang w:val="es-PE"/>
        </w:rPr>
        <w:t>Universidad Enrique Guzmán y Valle</w:t>
      </w:r>
      <w:r w:rsidR="00EE39B9">
        <w:rPr>
          <w:rFonts w:eastAsiaTheme="majorEastAsia" w:cs="Arial"/>
          <w:bCs/>
          <w:sz w:val="16"/>
          <w:szCs w:val="16"/>
          <w:lang w:val="es-PE"/>
        </w:rPr>
        <w:t>. Perú</w:t>
      </w:r>
    </w:p>
    <w:p w14:paraId="18FDFD67" w14:textId="78673712" w:rsidR="00EE39B9" w:rsidRDefault="00FE1010" w:rsidP="00EE39B9">
      <w:pPr>
        <w:keepNext/>
        <w:keepLines/>
        <w:shd w:val="clear" w:color="auto" w:fill="FFFFFF"/>
        <w:outlineLvl w:val="1"/>
        <w:rPr>
          <w:rFonts w:eastAsiaTheme="majorEastAsia" w:cs="Arial"/>
          <w:bCs/>
          <w:sz w:val="16"/>
          <w:szCs w:val="16"/>
          <w:lang w:val="es-PE"/>
        </w:rPr>
      </w:pPr>
      <w:r>
        <w:rPr>
          <w:rFonts w:eastAsiaTheme="majorEastAsia" w:cs="Arial"/>
          <w:bCs/>
          <w:sz w:val="16"/>
          <w:szCs w:val="16"/>
          <w:vertAlign w:val="superscript"/>
          <w:lang w:val="es-PE"/>
        </w:rPr>
        <w:t>d</w:t>
      </w:r>
      <w:r w:rsidR="00EE39B9" w:rsidRPr="00871F7E">
        <w:rPr>
          <w:rFonts w:eastAsiaTheme="majorEastAsia" w:cs="Arial"/>
          <w:bCs/>
          <w:sz w:val="16"/>
          <w:szCs w:val="16"/>
          <w:lang w:val="es-PE"/>
        </w:rPr>
        <w:t>Universidad Tecnológica del Perú</w:t>
      </w:r>
      <w:r>
        <w:rPr>
          <w:rFonts w:eastAsiaTheme="majorEastAsia" w:cs="Arial"/>
          <w:bCs/>
          <w:sz w:val="16"/>
          <w:szCs w:val="16"/>
          <w:lang w:val="es-PE"/>
        </w:rPr>
        <w:t>.</w:t>
      </w:r>
    </w:p>
    <w:p w14:paraId="62EF0D64" w14:textId="2520DA66" w:rsidR="00EE39B9" w:rsidRDefault="00FE1010" w:rsidP="00EE39B9">
      <w:pPr>
        <w:keepNext/>
        <w:keepLines/>
        <w:shd w:val="clear" w:color="auto" w:fill="FFFFFF"/>
        <w:outlineLvl w:val="1"/>
        <w:rPr>
          <w:rFonts w:eastAsiaTheme="majorEastAsia" w:cs="Arial"/>
          <w:bCs/>
          <w:sz w:val="16"/>
          <w:szCs w:val="16"/>
          <w:lang w:val="es-PE"/>
        </w:rPr>
      </w:pPr>
      <w:r>
        <w:rPr>
          <w:rFonts w:eastAsiaTheme="majorEastAsia" w:cs="Arial"/>
          <w:bCs/>
          <w:sz w:val="16"/>
          <w:szCs w:val="16"/>
          <w:vertAlign w:val="superscript"/>
          <w:lang w:val="es-PE"/>
        </w:rPr>
        <w:t>e</w:t>
      </w:r>
      <w:r w:rsidR="00EE39B9">
        <w:rPr>
          <w:rFonts w:eastAsiaTheme="majorEastAsia" w:cs="Arial"/>
          <w:bCs/>
          <w:sz w:val="16"/>
          <w:szCs w:val="16"/>
          <w:lang w:val="es-PE"/>
        </w:rPr>
        <w:t>Universidad Científica del Perú</w:t>
      </w:r>
      <w:r>
        <w:rPr>
          <w:rFonts w:eastAsiaTheme="majorEastAsia" w:cs="Arial"/>
          <w:bCs/>
          <w:sz w:val="16"/>
          <w:szCs w:val="16"/>
          <w:lang w:val="es-PE"/>
        </w:rPr>
        <w:t>.</w:t>
      </w:r>
    </w:p>
    <w:p w14:paraId="41BCF4F8" w14:textId="7DDD0A40" w:rsidR="008E23C1" w:rsidRPr="002F56D1" w:rsidRDefault="00FE1010" w:rsidP="0015364E">
      <w:pPr>
        <w:rPr>
          <w:rFonts w:cs="Arial"/>
          <w:iCs/>
          <w:noProof/>
          <w:color w:val="000000"/>
          <w:sz w:val="20"/>
          <w:lang w:val="en-US"/>
        </w:rPr>
      </w:pPr>
      <w:hyperlink r:id="rId7" w:history="1">
        <w:r w:rsidR="0015364E" w:rsidRPr="002F56D1">
          <w:rPr>
            <w:rStyle w:val="Hipervnculo"/>
            <w:rFonts w:cs="Arial"/>
            <w:iCs/>
            <w:noProof/>
            <w:sz w:val="20"/>
            <w:lang w:val="en-US"/>
          </w:rPr>
          <w:t>kmendozal@ucv.edu.pe</w:t>
        </w:r>
      </w:hyperlink>
    </w:p>
    <w:p w14:paraId="5AA14A4E" w14:textId="77777777" w:rsidR="0015364E" w:rsidRPr="002F56D1" w:rsidRDefault="0015364E" w:rsidP="0015364E">
      <w:pPr>
        <w:rPr>
          <w:color w:val="00B0F0"/>
          <w:lang w:val="en-US"/>
        </w:rPr>
      </w:pPr>
    </w:p>
    <w:p w14:paraId="090EA46A" w14:textId="77777777" w:rsidR="008E23C1" w:rsidRPr="00DC0EF2" w:rsidRDefault="008E23C1" w:rsidP="00DC0EF2">
      <w:pPr>
        <w:pStyle w:val="CETBodytext"/>
        <w:spacing w:line="276" w:lineRule="auto"/>
        <w:rPr>
          <w:rFonts w:cs="Arial"/>
          <w:bCs/>
          <w:szCs w:val="18"/>
        </w:rPr>
      </w:pPr>
      <w:r w:rsidRPr="00DC0EF2">
        <w:rPr>
          <w:rFonts w:cs="Arial"/>
          <w:bCs/>
          <w:szCs w:val="18"/>
        </w:rPr>
        <w:t xml:space="preserve">Wastewater is often a major problem for the environment due to its difficult treatment process and the damage it causes by contaminating the soil and water bodies where it is discharged. The objective was to remove metals in wastewater by applying mountain microorganisms and sodium hydroxide. </w:t>
      </w:r>
      <w:r w:rsidRPr="00DC0EF2">
        <w:rPr>
          <w:rFonts w:cs="Arial"/>
          <w:szCs w:val="18"/>
        </w:rPr>
        <w:t xml:space="preserve">The study site was in the district of Tarapoto, Province of San Martin. A total of 180 L of wastewater was used (9 samples), each sample contained 20 liters of water and was kept in a cold chain at an average temperature of 4 to 8°C for a period of 4 hours. The mountain microorganisms were reactivated and 20% sodium hydroxide was prepared. </w:t>
      </w:r>
      <w:r w:rsidRPr="00DC0EF2">
        <w:rPr>
          <w:rFonts w:cs="Arial"/>
          <w:bCs/>
          <w:szCs w:val="18"/>
        </w:rPr>
        <w:t>Three treatments were used (T1: MM 300 mL, T2: MM 400 mL,</w:t>
      </w:r>
      <w:r w:rsidR="00340143" w:rsidRPr="00DC0EF2">
        <w:rPr>
          <w:rFonts w:cs="Arial"/>
          <w:bCs/>
          <w:szCs w:val="18"/>
        </w:rPr>
        <w:t xml:space="preserve"> and</w:t>
      </w:r>
      <w:r w:rsidRPr="00DC0EF2">
        <w:rPr>
          <w:rFonts w:cs="Arial"/>
          <w:bCs/>
          <w:szCs w:val="18"/>
        </w:rPr>
        <w:t xml:space="preserve"> T3: NaOH 20%). Analyses of 8 parameters were carried out and compared with the environmental quality standards category 3, showing that it exceeds the permitted values. The evaluation was carried out after 3 and 7 days and the results show that treatment 2, after 7 days of evaluation, reduces the values of the wastewater parameters and eliminates metals, complying with the environmental quality standards category 3 of the Peruvian Standard.</w:t>
      </w:r>
    </w:p>
    <w:p w14:paraId="10B5078E" w14:textId="77777777" w:rsidR="006318E5" w:rsidRDefault="006318E5" w:rsidP="006318E5">
      <w:pPr>
        <w:pStyle w:val="CETHeading1"/>
        <w:rPr>
          <w:lang w:val="en-GB"/>
        </w:rPr>
      </w:pPr>
      <w:r w:rsidRPr="00B57B36">
        <w:rPr>
          <w:lang w:val="en-GB"/>
        </w:rPr>
        <w:t>Introduction</w:t>
      </w:r>
    </w:p>
    <w:p w14:paraId="61EA00E1" w14:textId="6915113E" w:rsidR="00532CC0" w:rsidRPr="00DC0EF2" w:rsidRDefault="006318E5" w:rsidP="003004A0">
      <w:pPr>
        <w:pStyle w:val="CETBodytext"/>
        <w:tabs>
          <w:tab w:val="clear" w:pos="7100"/>
        </w:tabs>
        <w:spacing w:line="276" w:lineRule="auto"/>
        <w:rPr>
          <w:rFonts w:cs="Arial"/>
          <w:szCs w:val="18"/>
        </w:rPr>
      </w:pPr>
      <w:r w:rsidRPr="00DC0EF2">
        <w:rPr>
          <w:rFonts w:cs="Arial"/>
          <w:szCs w:val="18"/>
        </w:rPr>
        <w:t xml:space="preserve">Water is one of the renewable and limited natural resources whose function is the development of plant, animal and human life (Baquerizo et al., 2019). However, in some regions of the world water is scarce, due to population growth and the consequent domestic, industrial, agricultural, livestock, mining and other activities (Bolaños¬ et </w:t>
      </w:r>
      <w:r w:rsidRPr="003004A0">
        <w:rPr>
          <w:rFonts w:cs="Arial"/>
          <w:szCs w:val="18"/>
        </w:rPr>
        <w:t>al., 2017, Gastañaga, 2018). In the world, more than 80% of wastewater is discharged directly into rivers or the sea, without considering a previous treatment to minimize its negative impacts on the water resource (WWAP, 2017). The main pollutants are physical, biological, microbiological and chemical substances such as inorganic metals (Latorre and Tovar, 2017, Canaza, 2018), which produce deterioration of a given body of water causing alterations in the chemical reactions of the metabolism of people, animals or plants related to the time of exposure and concentration (Schweitzer and Noblet, 2018)</w:t>
      </w:r>
      <w:r w:rsidR="003004A0" w:rsidRPr="003004A0">
        <w:rPr>
          <w:rFonts w:cs="Arial"/>
          <w:szCs w:val="18"/>
        </w:rPr>
        <w:t xml:space="preserve"> </w:t>
      </w:r>
      <w:r w:rsidR="00532CC0" w:rsidRPr="003004A0">
        <w:rPr>
          <w:rFonts w:cs="Arial"/>
          <w:szCs w:val="18"/>
        </w:rPr>
        <w:t xml:space="preserve">It is important to treat wastewater using different techniques or processes that help minimize contaminants such as inorganic metals (Chen et al., 2016, Sun et al., 2016). Bioremediation is a method to stabilize organic and inorganic compounds and improve water quality, through different physical and biochemical mechanisms (Ayme et al., 2022, Tejeda et al, 2022). </w:t>
      </w:r>
      <w:r w:rsidR="00D34DFD" w:rsidRPr="003004A0">
        <w:rPr>
          <w:rFonts w:cs="Arial"/>
          <w:szCs w:val="18"/>
        </w:rPr>
        <w:t xml:space="preserve">Mountain microorganisms are a group of around 80 species of microorganisms that are found naturally in different ecosystems, without human intervention. These microorganisms include 10 genera belonging to 4 groups: photosynthetic bacteria, lactic acid-producing bacteria, yeasts, and actinomycetes. It is a liquid mixed culture of beneficial microorganisms, such as Rhodopseudomonas spp, Lactobacillus spp, Sacharomyces spp, </w:t>
      </w:r>
      <w:r w:rsidR="00D34DFD" w:rsidRPr="003004A0">
        <w:rPr>
          <w:rFonts w:cs="Arial"/>
          <w:szCs w:val="18"/>
        </w:rPr>
        <w:lastRenderedPageBreak/>
        <w:t>actinomycetes and fermenting fungi, which have been captured from natural systems and have not been genetically modified. These microorganisms coexist symbiotically, producing positive effects for the environment and its balance. The use of these microorganisms can be beneficial in various fields (</w:t>
      </w:r>
      <w:r w:rsidR="00D34DFD" w:rsidRPr="003004A0">
        <w:rPr>
          <w:rFonts w:eastAsiaTheme="minorHAnsi" w:cs="Arial"/>
          <w:szCs w:val="18"/>
          <w:lang w:val="en-GB"/>
        </w:rPr>
        <w:t xml:space="preserve">Singh et al., 2017); </w:t>
      </w:r>
      <w:r w:rsidR="00D34DFD" w:rsidRPr="003004A0">
        <w:rPr>
          <w:rFonts w:cs="Arial"/>
          <w:szCs w:val="18"/>
        </w:rPr>
        <w:t>i</w:t>
      </w:r>
      <w:r w:rsidR="00532CC0" w:rsidRPr="003004A0">
        <w:rPr>
          <w:rFonts w:cs="Arial"/>
          <w:szCs w:val="18"/>
        </w:rPr>
        <w:t xml:space="preserve">t can be considered economical compared to other techniques such as adsorption and filtration (Wan et al., 2016, Willscher et al., 2017). One technique to remove metals is the use of chemical solutions and microorganisms in order to meet water quality standards for the environment (Ang and Mohammad, 2020, Xue et al., 2021). </w:t>
      </w:r>
      <w:r w:rsidR="00D34DFD" w:rsidRPr="003004A0">
        <w:rPr>
          <w:rFonts w:cs="Arial"/>
          <w:szCs w:val="18"/>
        </w:rPr>
        <w:t>Studies have been carried out confirming that beneficial microorganisms can have various positive effects, such as: increasing the nutritional value of food, reducing the presence of pathogenic bacteria to improve survival and reduce disease, maintaining and improving water quality by decrease the concentrations of ammonium, nitrite and nitrate, and reduce the load of organic matter. (Xue et al., 2018)</w:t>
      </w:r>
      <w:r w:rsidR="003004A0" w:rsidRPr="003004A0">
        <w:rPr>
          <w:rFonts w:cs="Arial"/>
          <w:szCs w:val="18"/>
        </w:rPr>
        <w:t xml:space="preserve">. </w:t>
      </w:r>
      <w:r w:rsidR="00532CC0" w:rsidRPr="003004A0">
        <w:rPr>
          <w:rFonts w:cs="Arial"/>
          <w:szCs w:val="18"/>
        </w:rPr>
        <w:t>In this sense, it is of utmost importance to manage water resources in rural areas, where it depends largely on the participation of communities in the management and use of the resource, so as to raise awareness about the care of the water resource (Delgado¬ et al., 2017, Li and Liu, 2019).</w:t>
      </w:r>
    </w:p>
    <w:p w14:paraId="0B4A1E88" w14:textId="77777777" w:rsidR="00532CC0" w:rsidRPr="00DC0EF2" w:rsidRDefault="00532CC0" w:rsidP="00DC0EF2">
      <w:pPr>
        <w:pStyle w:val="CETBodytext"/>
        <w:spacing w:line="276" w:lineRule="auto"/>
        <w:rPr>
          <w:rFonts w:cs="Arial"/>
          <w:szCs w:val="18"/>
        </w:rPr>
      </w:pPr>
      <w:r w:rsidRPr="00DC0EF2">
        <w:rPr>
          <w:rFonts w:cs="Arial"/>
          <w:szCs w:val="18"/>
        </w:rPr>
        <w:t>In this sense, the objective of the research was to propose an alternative to remove metals in wastewater through the application of mountain microorganisms and sodium hydroxide.</w:t>
      </w:r>
    </w:p>
    <w:p w14:paraId="55AAEB79" w14:textId="77777777" w:rsidR="00532CC0" w:rsidRPr="00DC0EF2" w:rsidRDefault="00532CC0" w:rsidP="00532CC0">
      <w:pPr>
        <w:pStyle w:val="Ttulo1"/>
        <w:rPr>
          <w:rFonts w:cs="Arial"/>
          <w:lang w:val="es-MX"/>
        </w:rPr>
      </w:pPr>
      <w:r w:rsidRPr="00DC0EF2">
        <w:rPr>
          <w:rFonts w:cs="Arial"/>
          <w:lang w:val="es-MX"/>
        </w:rPr>
        <w:t xml:space="preserve">Method </w:t>
      </w:r>
    </w:p>
    <w:p w14:paraId="56A232CE" w14:textId="77777777" w:rsidR="00532CC0" w:rsidRPr="00DC0EF2" w:rsidRDefault="00532CC0" w:rsidP="00DC0EF2">
      <w:pPr>
        <w:spacing w:line="276" w:lineRule="auto"/>
        <w:rPr>
          <w:rFonts w:cs="Arial"/>
          <w:b/>
          <w:bCs/>
          <w:szCs w:val="18"/>
          <w:lang w:val="es-MX"/>
        </w:rPr>
      </w:pPr>
      <w:r w:rsidRPr="00DC0EF2">
        <w:rPr>
          <w:rFonts w:cs="Arial"/>
          <w:b/>
          <w:bCs/>
          <w:szCs w:val="18"/>
          <w:lang w:val="es-MX"/>
        </w:rPr>
        <w:t>2.1. Area of study</w:t>
      </w:r>
    </w:p>
    <w:p w14:paraId="0C959640" w14:textId="77777777" w:rsidR="00532CC0" w:rsidRPr="00DC0EF2" w:rsidRDefault="00532CC0" w:rsidP="00DC0EF2">
      <w:pPr>
        <w:spacing w:line="276" w:lineRule="auto"/>
        <w:rPr>
          <w:rFonts w:cs="Arial"/>
          <w:szCs w:val="18"/>
          <w:lang w:val="en-US"/>
        </w:rPr>
      </w:pPr>
      <w:r w:rsidRPr="00DC0EF2">
        <w:rPr>
          <w:rFonts w:cs="Arial"/>
          <w:szCs w:val="18"/>
          <w:lang w:val="en-US"/>
        </w:rPr>
        <w:t>This research was carried out in the district of Tarapoto, Province of San Martin, Department of San Martin, with UTM coordinates 349399.00 (East) and 9282533.00 (North).</w:t>
      </w:r>
    </w:p>
    <w:p w14:paraId="61B1DCBB" w14:textId="77777777" w:rsidR="00BB2A28" w:rsidRPr="00DC0EF2" w:rsidRDefault="00BB2A28" w:rsidP="00532CC0">
      <w:pPr>
        <w:spacing w:line="276" w:lineRule="auto"/>
        <w:rPr>
          <w:rFonts w:cs="Arial"/>
          <w:color w:val="FF0000"/>
          <w:szCs w:val="18"/>
          <w:lang w:val="en-US"/>
        </w:rPr>
      </w:pPr>
    </w:p>
    <w:p w14:paraId="7F6DD6B5" w14:textId="77777777" w:rsidR="00BB2A28" w:rsidRPr="00DC0EF2" w:rsidRDefault="00BB2A28" w:rsidP="00DC0EF2">
      <w:pPr>
        <w:spacing w:line="276" w:lineRule="auto"/>
        <w:rPr>
          <w:rFonts w:cs="Arial"/>
          <w:b/>
          <w:bCs/>
          <w:szCs w:val="18"/>
          <w:lang w:val="en-US"/>
        </w:rPr>
      </w:pPr>
      <w:r w:rsidRPr="00DC0EF2">
        <w:rPr>
          <w:rFonts w:cs="Arial"/>
          <w:b/>
          <w:bCs/>
          <w:szCs w:val="18"/>
          <w:lang w:val="en-US"/>
        </w:rPr>
        <w:t>2.2. Monitoring and collection of wastewater samples from the effluent</w:t>
      </w:r>
    </w:p>
    <w:p w14:paraId="3D5D1D5F" w14:textId="77777777" w:rsidR="00BB2A28" w:rsidRPr="00DC0EF2" w:rsidRDefault="00BB2A28" w:rsidP="00DC0EF2">
      <w:pPr>
        <w:spacing w:line="276" w:lineRule="auto"/>
        <w:rPr>
          <w:rFonts w:cs="Arial"/>
          <w:szCs w:val="18"/>
          <w:lang w:val="en-US"/>
        </w:rPr>
      </w:pPr>
      <w:r w:rsidRPr="00DC0EF2">
        <w:rPr>
          <w:rFonts w:cs="Arial"/>
          <w:szCs w:val="18"/>
          <w:lang w:val="en-US"/>
        </w:rPr>
        <w:t>The volume produced by the effluent located in the district of Tarapoto is 1000 liters per day. A representa</w:t>
      </w:r>
      <w:r w:rsidR="00340143" w:rsidRPr="00DC0EF2">
        <w:rPr>
          <w:rFonts w:cs="Arial"/>
          <w:szCs w:val="18"/>
          <w:lang w:val="en-US"/>
        </w:rPr>
        <w:t xml:space="preserve">tive sample of 180 L of residual </w:t>
      </w:r>
      <w:r w:rsidRPr="00DC0EF2">
        <w:rPr>
          <w:rFonts w:cs="Arial"/>
          <w:szCs w:val="18"/>
          <w:lang w:val="en-US"/>
        </w:rPr>
        <w:t>water is cons</w:t>
      </w:r>
      <w:r w:rsidR="00340143" w:rsidRPr="00DC0EF2">
        <w:rPr>
          <w:rFonts w:cs="Arial"/>
          <w:szCs w:val="18"/>
          <w:lang w:val="en-US"/>
        </w:rPr>
        <w:t>idered, the sampling of waste</w:t>
      </w:r>
      <w:r w:rsidRPr="00DC0EF2">
        <w:rPr>
          <w:rFonts w:cs="Arial"/>
          <w:szCs w:val="18"/>
          <w:lang w:val="en-US"/>
        </w:rPr>
        <w:t xml:space="preserve">water (9 samples) was carried out, each sample was 20 liters of water. The samples were kept in a cold chain at an </w:t>
      </w:r>
      <w:r w:rsidRPr="00DC0EF2">
        <w:rPr>
          <w:rFonts w:cs="Arial"/>
          <w:szCs w:val="18"/>
        </w:rPr>
        <w:t>average temperature of 4 to 8°C</w:t>
      </w:r>
      <w:r w:rsidRPr="00DC0EF2">
        <w:rPr>
          <w:rFonts w:cs="Arial"/>
          <w:szCs w:val="18"/>
          <w:lang w:val="en-US"/>
        </w:rPr>
        <w:t xml:space="preserve"> for a period of 4 hours</w:t>
      </w:r>
      <w:r w:rsidRPr="00DC0EF2">
        <w:rPr>
          <w:rFonts w:cs="Arial"/>
          <w:szCs w:val="18"/>
        </w:rPr>
        <w:t xml:space="preserve"> </w:t>
      </w:r>
      <w:r w:rsidRPr="00DC0EF2">
        <w:rPr>
          <w:rFonts w:cs="Arial"/>
          <w:szCs w:val="18"/>
          <w:lang w:val="en-US"/>
        </w:rPr>
        <w:t>in a cooler. Then, they were transported and processed in the Accredited laboratory - INACAL. (MINAGRI, 2016)</w:t>
      </w:r>
    </w:p>
    <w:p w14:paraId="383CA412" w14:textId="77777777" w:rsidR="00BB2A28" w:rsidRPr="00DC0EF2" w:rsidRDefault="00BB2A28" w:rsidP="00BB2A28">
      <w:pPr>
        <w:spacing w:line="276" w:lineRule="auto"/>
        <w:rPr>
          <w:rFonts w:cs="Arial"/>
          <w:color w:val="00B0F0"/>
          <w:szCs w:val="18"/>
          <w:lang w:val="en-US"/>
        </w:rPr>
      </w:pPr>
    </w:p>
    <w:p w14:paraId="096F2939" w14:textId="3C42CDB1" w:rsidR="00BB2A28" w:rsidRPr="00DC0EF2" w:rsidRDefault="00BB2A28" w:rsidP="00DC0EF2">
      <w:pPr>
        <w:pStyle w:val="CETBodytext"/>
        <w:spacing w:line="276" w:lineRule="auto"/>
        <w:rPr>
          <w:rFonts w:eastAsia="Calibri" w:cs="Arial"/>
          <w:b/>
          <w:szCs w:val="18"/>
        </w:rPr>
      </w:pPr>
      <w:r w:rsidRPr="00DC0EF2">
        <w:rPr>
          <w:rFonts w:eastAsia="Calibri" w:cs="Arial"/>
          <w:b/>
          <w:szCs w:val="18"/>
        </w:rPr>
        <w:t xml:space="preserve">2.3. </w:t>
      </w:r>
      <w:r w:rsidR="004319E4">
        <w:rPr>
          <w:rFonts w:eastAsia="Calibri" w:cs="Arial"/>
          <w:b/>
          <w:szCs w:val="18"/>
        </w:rPr>
        <w:t>Preparation of</w:t>
      </w:r>
      <w:r w:rsidRPr="00DC0EF2">
        <w:rPr>
          <w:rFonts w:eastAsia="Calibri" w:cs="Arial"/>
          <w:b/>
          <w:szCs w:val="18"/>
        </w:rPr>
        <w:t xml:space="preserve"> Mountain Microorganisms (MM)</w:t>
      </w:r>
    </w:p>
    <w:p w14:paraId="2AD06522" w14:textId="5B1F4683" w:rsidR="00BB2A28" w:rsidRPr="00DC0EF2" w:rsidRDefault="00DD3FDD" w:rsidP="00DC0EF2">
      <w:pPr>
        <w:spacing w:line="276" w:lineRule="auto"/>
        <w:rPr>
          <w:rFonts w:eastAsia="Calibri" w:cs="Arial"/>
          <w:szCs w:val="18"/>
          <w:lang w:val="en-US"/>
        </w:rPr>
      </w:pPr>
      <w:r w:rsidRPr="00DD3FDD">
        <w:rPr>
          <w:rFonts w:eastAsia="Calibri" w:cs="Arial"/>
          <w:szCs w:val="18"/>
          <w:lang w:val="en-US"/>
        </w:rPr>
        <w:t>20 L of distilled water were used and 1 L of mountain microorganisms and 0.5 L of molasses were added. Subsequently, the mixture was left to rest for 6 days. The microbial respiration test was carried out, which consists of measuring the respiration rate of the microorganisms, glucose was used as a substrate, finally with this, verifying its activation.</w:t>
      </w:r>
      <w:r>
        <w:rPr>
          <w:rFonts w:eastAsia="Calibri" w:cs="Arial"/>
          <w:szCs w:val="18"/>
          <w:lang w:val="en-US"/>
        </w:rPr>
        <w:t xml:space="preserve"> (</w:t>
      </w:r>
      <w:r w:rsidRPr="00DD3FDD">
        <w:rPr>
          <w:rFonts w:eastAsiaTheme="minorHAnsi" w:cs="Arial"/>
          <w:szCs w:val="18"/>
        </w:rPr>
        <w:t xml:space="preserve">Joergensen </w:t>
      </w:r>
      <w:r>
        <w:rPr>
          <w:rFonts w:eastAsiaTheme="minorHAnsi" w:cs="Arial"/>
          <w:szCs w:val="18"/>
        </w:rPr>
        <w:t>and</w:t>
      </w:r>
      <w:r w:rsidRPr="00DD3FDD">
        <w:rPr>
          <w:rFonts w:eastAsiaTheme="minorHAnsi" w:cs="Arial"/>
          <w:szCs w:val="18"/>
        </w:rPr>
        <w:t xml:space="preserve"> Wichern</w:t>
      </w:r>
      <w:r>
        <w:rPr>
          <w:rFonts w:eastAsiaTheme="minorHAnsi" w:cs="Arial"/>
          <w:szCs w:val="18"/>
        </w:rPr>
        <w:t xml:space="preserve">, </w:t>
      </w:r>
      <w:r w:rsidRPr="00DD3FDD">
        <w:rPr>
          <w:rFonts w:eastAsiaTheme="minorHAnsi" w:cs="Arial"/>
          <w:szCs w:val="18"/>
        </w:rPr>
        <w:t>2018</w:t>
      </w:r>
      <w:r>
        <w:rPr>
          <w:rFonts w:eastAsiaTheme="minorHAnsi" w:cs="Arial"/>
          <w:szCs w:val="18"/>
        </w:rPr>
        <w:t>)</w:t>
      </w:r>
    </w:p>
    <w:p w14:paraId="17C49D6D" w14:textId="77777777" w:rsidR="00BB2A28" w:rsidRPr="00DC0EF2" w:rsidRDefault="00BB2A28" w:rsidP="00BB2A28">
      <w:pPr>
        <w:spacing w:line="276" w:lineRule="auto"/>
        <w:rPr>
          <w:rFonts w:eastAsia="Calibri" w:cs="Arial"/>
          <w:szCs w:val="18"/>
          <w:lang w:val="en-US"/>
        </w:rPr>
      </w:pPr>
    </w:p>
    <w:p w14:paraId="5BCAE592" w14:textId="77777777" w:rsidR="00BB2A28" w:rsidRPr="00DC0EF2" w:rsidRDefault="00BB2A28" w:rsidP="00DC0EF2">
      <w:pPr>
        <w:spacing w:line="276" w:lineRule="auto"/>
        <w:rPr>
          <w:rFonts w:eastAsia="Calibri" w:cs="Arial"/>
          <w:b/>
          <w:bCs/>
          <w:color w:val="00B0F0"/>
          <w:szCs w:val="18"/>
          <w:lang w:val="en-US"/>
        </w:rPr>
      </w:pPr>
      <w:r w:rsidRPr="00DC0EF2">
        <w:rPr>
          <w:rFonts w:eastAsia="Calibri" w:cs="Arial"/>
          <w:b/>
          <w:bCs/>
          <w:szCs w:val="18"/>
          <w:lang w:val="en-US"/>
        </w:rPr>
        <w:t>2.4. Preparation of sodium hydroxide</w:t>
      </w:r>
    </w:p>
    <w:p w14:paraId="5936AC58" w14:textId="77777777" w:rsidR="00BB2A28" w:rsidRPr="00DC0EF2" w:rsidRDefault="00BB2A28" w:rsidP="00DC0EF2">
      <w:pPr>
        <w:spacing w:line="276" w:lineRule="auto"/>
        <w:rPr>
          <w:rFonts w:eastAsia="Calibri" w:cs="Arial"/>
          <w:szCs w:val="18"/>
          <w:lang w:val="en-US"/>
        </w:rPr>
      </w:pPr>
      <w:r w:rsidRPr="00DC0EF2">
        <w:rPr>
          <w:rFonts w:eastAsia="Calibri" w:cs="Arial"/>
          <w:szCs w:val="18"/>
          <w:lang w:val="en-US"/>
        </w:rPr>
        <w:t>Sodium hydroxide is a white, odorless, crystalline solid that rapidly absorbs carbon dioxide and moisture from the air (deliquescent). I</w:t>
      </w:r>
      <w:r w:rsidR="00340143" w:rsidRPr="00DC0EF2">
        <w:rPr>
          <w:rFonts w:eastAsia="Calibri" w:cs="Arial"/>
          <w:szCs w:val="18"/>
          <w:lang w:val="en-US"/>
        </w:rPr>
        <w:t>t is a very corrosive substance. T</w:t>
      </w:r>
      <w:r w:rsidRPr="00DC0EF2">
        <w:rPr>
          <w:rFonts w:eastAsia="Calibri" w:cs="Arial"/>
          <w:szCs w:val="18"/>
          <w:lang w:val="en-US"/>
        </w:rPr>
        <w:t>he dilution was made using distilled water to obtain a proportion of 20% (Gonzales, 2010).</w:t>
      </w:r>
    </w:p>
    <w:p w14:paraId="217E9FCF" w14:textId="77777777" w:rsidR="00BB2A28" w:rsidRPr="00DC0EF2" w:rsidRDefault="00BB2A28" w:rsidP="00BB2A28">
      <w:pPr>
        <w:spacing w:line="276" w:lineRule="auto"/>
        <w:rPr>
          <w:rFonts w:eastAsia="Calibri" w:cs="Arial"/>
          <w:color w:val="00B0F0"/>
          <w:szCs w:val="18"/>
          <w:lang w:val="en-US"/>
        </w:rPr>
      </w:pPr>
    </w:p>
    <w:p w14:paraId="0772D6DE" w14:textId="5323BE7C" w:rsidR="00BC165D" w:rsidRDefault="00BB2A28" w:rsidP="00DC0EF2">
      <w:pPr>
        <w:spacing w:line="276" w:lineRule="auto"/>
        <w:rPr>
          <w:rFonts w:cs="Arial"/>
          <w:b/>
          <w:bCs/>
          <w:szCs w:val="18"/>
          <w:lang w:val="en-US"/>
        </w:rPr>
      </w:pPr>
      <w:r w:rsidRPr="00DC0EF2">
        <w:rPr>
          <w:rFonts w:cs="Arial"/>
          <w:b/>
          <w:bCs/>
          <w:szCs w:val="18"/>
          <w:lang w:val="en-US"/>
        </w:rPr>
        <w:t>2.</w:t>
      </w:r>
      <w:r w:rsidR="00DC0EF2" w:rsidRPr="00DC0EF2">
        <w:rPr>
          <w:rFonts w:cs="Arial"/>
          <w:b/>
          <w:bCs/>
          <w:szCs w:val="18"/>
          <w:lang w:val="en-US"/>
        </w:rPr>
        <w:t>5</w:t>
      </w:r>
      <w:r w:rsidRPr="00DC0EF2">
        <w:rPr>
          <w:rFonts w:cs="Arial"/>
          <w:b/>
          <w:bCs/>
          <w:szCs w:val="18"/>
          <w:lang w:val="en-US"/>
        </w:rPr>
        <w:t>. Experimental treat</w:t>
      </w:r>
      <w:r w:rsidR="00340143" w:rsidRPr="00DC0EF2">
        <w:rPr>
          <w:rFonts w:cs="Arial"/>
          <w:b/>
          <w:bCs/>
          <w:szCs w:val="18"/>
          <w:lang w:val="en-US"/>
        </w:rPr>
        <w:t xml:space="preserve">ments </w:t>
      </w:r>
    </w:p>
    <w:p w14:paraId="11C59B00" w14:textId="1A15ABC8" w:rsidR="00BB2A28" w:rsidRPr="00DC0EF2" w:rsidRDefault="00BC165D" w:rsidP="00DC0EF2">
      <w:pPr>
        <w:spacing w:line="276" w:lineRule="auto"/>
        <w:rPr>
          <w:rFonts w:cs="Arial"/>
          <w:b/>
          <w:bCs/>
          <w:szCs w:val="18"/>
          <w:lang w:val="en-US"/>
        </w:rPr>
      </w:pPr>
      <w:r>
        <w:rPr>
          <w:rFonts w:cs="Arial"/>
          <w:b/>
          <w:bCs/>
          <w:szCs w:val="18"/>
          <w:lang w:val="en-US"/>
        </w:rPr>
        <w:t>F</w:t>
      </w:r>
      <w:r w:rsidR="00BB2A28" w:rsidRPr="00DC0EF2">
        <w:rPr>
          <w:rFonts w:cs="Arial"/>
          <w:b/>
          <w:bCs/>
          <w:szCs w:val="18"/>
          <w:lang w:val="en-US"/>
        </w:rPr>
        <w:t>or mountain microorganisms (MM)</w:t>
      </w:r>
    </w:p>
    <w:p w14:paraId="4C3D4701" w14:textId="77777777" w:rsidR="00BB2A28" w:rsidRPr="00DC0EF2" w:rsidRDefault="00BB2A28" w:rsidP="00DC0EF2">
      <w:pPr>
        <w:spacing w:line="276" w:lineRule="auto"/>
        <w:rPr>
          <w:rFonts w:cs="Arial"/>
          <w:szCs w:val="18"/>
          <w:lang w:val="en-US"/>
        </w:rPr>
      </w:pPr>
      <w:r w:rsidRPr="00DC0EF2">
        <w:rPr>
          <w:rFonts w:cs="Arial"/>
          <w:szCs w:val="18"/>
          <w:lang w:val="en-US"/>
        </w:rPr>
        <w:t>300 and 400 mL of mountain microorganisms were taken and poured into each container containing 20 L o</w:t>
      </w:r>
      <w:r w:rsidRPr="00DC0EF2">
        <w:rPr>
          <w:rFonts w:cs="Arial"/>
          <w:szCs w:val="18"/>
        </w:rPr>
        <w:t>f effluent wastewater. T</w:t>
      </w:r>
      <w:r w:rsidRPr="00DC0EF2">
        <w:rPr>
          <w:rFonts w:cs="Arial"/>
          <w:szCs w:val="18"/>
          <w:lang w:val="en-US"/>
        </w:rPr>
        <w:t>he contents were mixed to make the components uniform and left to stand for 3 days and 7 days at room temperature. After the resting period, the respective samples were taken and sent to the laboratory for analysis.</w:t>
      </w:r>
    </w:p>
    <w:p w14:paraId="65D9C2BC" w14:textId="77777777" w:rsidR="00C03570" w:rsidRPr="00DC0EF2" w:rsidRDefault="00C03570" w:rsidP="00BC165D">
      <w:pPr>
        <w:spacing w:line="276" w:lineRule="auto"/>
        <w:rPr>
          <w:rFonts w:cs="Arial"/>
          <w:color w:val="FF0000"/>
          <w:szCs w:val="18"/>
          <w:lang w:val="en-US"/>
        </w:rPr>
      </w:pPr>
    </w:p>
    <w:p w14:paraId="6E108A2C" w14:textId="092FE6A4" w:rsidR="00C03570" w:rsidRPr="00DC0EF2" w:rsidRDefault="004F6F5F" w:rsidP="00BC165D">
      <w:pPr>
        <w:spacing w:line="276" w:lineRule="auto"/>
        <w:rPr>
          <w:rFonts w:cs="Arial"/>
          <w:b/>
          <w:bCs/>
          <w:szCs w:val="18"/>
          <w:lang w:val="en-US"/>
        </w:rPr>
      </w:pPr>
      <w:r>
        <w:rPr>
          <w:rFonts w:cs="Arial"/>
          <w:b/>
          <w:bCs/>
          <w:szCs w:val="18"/>
          <w:lang w:val="en-US"/>
        </w:rPr>
        <w:t xml:space="preserve">2.6. </w:t>
      </w:r>
      <w:r w:rsidR="00C03570" w:rsidRPr="00DC0EF2">
        <w:rPr>
          <w:rFonts w:cs="Arial"/>
          <w:b/>
          <w:bCs/>
          <w:szCs w:val="18"/>
          <w:lang w:val="en-US"/>
        </w:rPr>
        <w:t>For the Chemical Substance: sodium hydroxide (NaOH)</w:t>
      </w:r>
    </w:p>
    <w:p w14:paraId="715B6CB3" w14:textId="10DAB613" w:rsidR="00C03570" w:rsidRDefault="00C03570" w:rsidP="00BC165D">
      <w:pPr>
        <w:spacing w:line="276" w:lineRule="auto"/>
        <w:rPr>
          <w:rFonts w:cs="Arial"/>
          <w:szCs w:val="18"/>
          <w:lang w:val="en-US"/>
        </w:rPr>
      </w:pPr>
      <w:r w:rsidRPr="00DC0EF2">
        <w:rPr>
          <w:rFonts w:cs="Arial"/>
          <w:szCs w:val="18"/>
          <w:lang w:val="en-US"/>
        </w:rPr>
        <w:t>300 mL of the sodium hydroxide solution at a concentration of 20% was considered and poured over the container containing 20 L of effluent wastewater. The sample was mixed to homogenize it and left to stand for 3 and 7 days at room temperature. After the resting period, the respective samples were taken and sent to the laboratory for analysis.</w:t>
      </w:r>
    </w:p>
    <w:p w14:paraId="3187A91B" w14:textId="3C6F3F1C" w:rsidR="00A1490F" w:rsidRDefault="00A1490F" w:rsidP="00BC165D">
      <w:pPr>
        <w:spacing w:line="276" w:lineRule="auto"/>
        <w:rPr>
          <w:rFonts w:cs="Arial"/>
          <w:szCs w:val="18"/>
          <w:lang w:val="en-US"/>
        </w:rPr>
      </w:pPr>
    </w:p>
    <w:p w14:paraId="12D4E7E5" w14:textId="0CD1040D" w:rsidR="00A1490F" w:rsidRDefault="00A1490F" w:rsidP="00BC165D">
      <w:pPr>
        <w:spacing w:line="276" w:lineRule="auto"/>
        <w:rPr>
          <w:rFonts w:cs="Arial"/>
          <w:szCs w:val="18"/>
          <w:lang w:val="en-US"/>
        </w:rPr>
      </w:pPr>
    </w:p>
    <w:p w14:paraId="4995219E" w14:textId="79377B65" w:rsidR="00A1490F" w:rsidRDefault="00A1490F" w:rsidP="00BC165D">
      <w:pPr>
        <w:spacing w:line="276" w:lineRule="auto"/>
        <w:rPr>
          <w:rFonts w:cs="Arial"/>
          <w:szCs w:val="18"/>
          <w:lang w:val="en-US"/>
        </w:rPr>
      </w:pPr>
    </w:p>
    <w:p w14:paraId="6085B917" w14:textId="051A9AAD" w:rsidR="00A1490F" w:rsidRDefault="00A1490F" w:rsidP="00BC165D">
      <w:pPr>
        <w:spacing w:line="276" w:lineRule="auto"/>
        <w:rPr>
          <w:rFonts w:cs="Arial"/>
          <w:szCs w:val="18"/>
          <w:lang w:val="en-US"/>
        </w:rPr>
      </w:pPr>
    </w:p>
    <w:p w14:paraId="0799461A" w14:textId="547B6821" w:rsidR="00051405" w:rsidRPr="0078522D" w:rsidRDefault="00BC165D" w:rsidP="00051405">
      <w:pPr>
        <w:shd w:val="clear" w:color="auto" w:fill="FFFFFF"/>
        <w:spacing w:line="276" w:lineRule="auto"/>
        <w:outlineLvl w:val="1"/>
        <w:rPr>
          <w:rFonts w:cs="Arial"/>
          <w:b/>
          <w:iCs/>
          <w:szCs w:val="18"/>
          <w:lang w:val="en-US"/>
        </w:rPr>
      </w:pPr>
      <w:r>
        <w:rPr>
          <w:rFonts w:cs="Arial"/>
          <w:b/>
          <w:iCs/>
          <w:szCs w:val="18"/>
          <w:lang w:val="en-US"/>
        </w:rPr>
        <w:t xml:space="preserve">2.7. </w:t>
      </w:r>
      <w:r w:rsidR="00051405" w:rsidRPr="0078522D">
        <w:rPr>
          <w:rFonts w:cs="Arial"/>
          <w:b/>
          <w:iCs/>
          <w:szCs w:val="18"/>
          <w:lang w:val="en-US"/>
        </w:rPr>
        <w:t xml:space="preserve">Determination of efficiency </w:t>
      </w:r>
    </w:p>
    <w:p w14:paraId="3FD62887" w14:textId="32574705" w:rsidR="00051405" w:rsidRPr="0078522D" w:rsidRDefault="00051405" w:rsidP="00051405">
      <w:pPr>
        <w:shd w:val="clear" w:color="auto" w:fill="FFFFFF"/>
        <w:spacing w:line="276" w:lineRule="auto"/>
        <w:outlineLvl w:val="1"/>
        <w:rPr>
          <w:rFonts w:cs="Arial"/>
          <w:iCs/>
          <w:szCs w:val="18"/>
          <w:lang w:val="en-US"/>
        </w:rPr>
      </w:pPr>
      <w:r w:rsidRPr="0078522D">
        <w:rPr>
          <w:rFonts w:cs="Arial"/>
          <w:iCs/>
          <w:szCs w:val="18"/>
          <w:lang w:val="en-US"/>
        </w:rPr>
        <w:t>The metal removal efficiency, taking into account the control group and the experimental groups, as detailed below:</w:t>
      </w:r>
    </w:p>
    <w:p w14:paraId="7325CCC5" w14:textId="2CA77B76" w:rsidR="00051405" w:rsidRPr="0078522D" w:rsidRDefault="00051405" w:rsidP="00051405">
      <w:pPr>
        <w:shd w:val="clear" w:color="auto" w:fill="FFFFFF"/>
        <w:spacing w:line="276" w:lineRule="auto"/>
        <w:outlineLvl w:val="1"/>
        <w:rPr>
          <w:rFonts w:cs="Arial"/>
          <w:iCs/>
          <w:szCs w:val="18"/>
          <w:lang w:val="en-US"/>
        </w:rPr>
      </w:pPr>
      <w:r w:rsidRPr="0078522D">
        <w:rPr>
          <w:rFonts w:cs="Arial"/>
          <w:iCs/>
          <w:szCs w:val="18"/>
          <w:lang w:val="en-US"/>
        </w:rPr>
        <w:t>Removal efficiency (</w:t>
      </w:r>
      <w:r w:rsidR="004319E4" w:rsidRPr="0078522D">
        <w:rPr>
          <w:rFonts w:cs="Arial"/>
          <w:iCs/>
          <w:szCs w:val="18"/>
          <w:lang w:val="en-US"/>
        </w:rPr>
        <w:t>%) =</w:t>
      </w:r>
      <w:r w:rsidR="00974E8F" w:rsidRPr="0078522D">
        <w:rPr>
          <w:rFonts w:cs="Arial"/>
          <w:iCs/>
          <w:szCs w:val="18"/>
          <w:lang w:val="en-US"/>
        </w:rPr>
        <w:t xml:space="preserve"> </w:t>
      </w:r>
      <m:oMath>
        <m:d>
          <m:dPr>
            <m:begChr m:val="["/>
            <m:endChr m:val="]"/>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EGCfinal</m:t>
                </m:r>
                <m:r>
                  <w:rPr>
                    <w:rFonts w:ascii="Cambria Math" w:hAnsi="Cambria Math" w:cs="Arial"/>
                    <w:szCs w:val="18"/>
                    <w:lang w:val="en-US"/>
                  </w:rPr>
                  <m:t>-</m:t>
                </m:r>
                <m:r>
                  <w:rPr>
                    <w:rFonts w:ascii="Cambria Math" w:hAnsi="Cambria Math" w:cs="Arial"/>
                    <w:szCs w:val="18"/>
                  </w:rPr>
                  <m:t>EGCinicial</m:t>
                </m:r>
              </m:num>
              <m:den>
                <m:r>
                  <w:rPr>
                    <w:rFonts w:ascii="Cambria Math" w:hAnsi="Cambria Math" w:cs="Arial"/>
                    <w:szCs w:val="18"/>
                  </w:rPr>
                  <m:t>EGCfinal</m:t>
                </m:r>
              </m:den>
            </m:f>
          </m:e>
        </m:d>
      </m:oMath>
      <w:r w:rsidR="00974E8F" w:rsidRPr="0078522D">
        <w:rPr>
          <w:rFonts w:cs="Arial"/>
          <w:szCs w:val="18"/>
          <w:lang w:val="en-US"/>
        </w:rPr>
        <w:t xml:space="preserve"> </w:t>
      </w:r>
      <w:r w:rsidRPr="0078522D">
        <w:rPr>
          <w:rFonts w:cs="Arial"/>
          <w:iCs/>
          <w:szCs w:val="18"/>
          <w:lang w:val="en-US"/>
        </w:rPr>
        <w:t xml:space="preserve">x 100 </w:t>
      </w:r>
      <w:r w:rsidR="0053508F">
        <w:rPr>
          <w:rFonts w:cs="Arial"/>
          <w:iCs/>
          <w:szCs w:val="18"/>
          <w:lang w:val="en-US"/>
        </w:rPr>
        <w:tab/>
      </w:r>
      <w:r w:rsidR="0053508F">
        <w:rPr>
          <w:rFonts w:cs="Arial"/>
          <w:iCs/>
          <w:szCs w:val="18"/>
          <w:lang w:val="en-US"/>
        </w:rPr>
        <w:tab/>
      </w:r>
      <w:r w:rsidRPr="0078522D">
        <w:rPr>
          <w:rFonts w:cs="Arial"/>
          <w:iCs/>
          <w:szCs w:val="18"/>
          <w:lang w:val="en-US"/>
        </w:rPr>
        <w:t>(1)</w:t>
      </w:r>
    </w:p>
    <w:p w14:paraId="0C2D8FA4" w14:textId="77777777" w:rsidR="00051405" w:rsidRPr="002F56D1" w:rsidRDefault="00051405" w:rsidP="00051405">
      <w:pPr>
        <w:shd w:val="clear" w:color="auto" w:fill="FFFFFF"/>
        <w:spacing w:line="276" w:lineRule="auto"/>
        <w:outlineLvl w:val="1"/>
        <w:rPr>
          <w:rFonts w:cs="Arial"/>
          <w:iCs/>
          <w:szCs w:val="18"/>
          <w:lang w:val="en-US"/>
        </w:rPr>
      </w:pPr>
      <w:r w:rsidRPr="002F56D1">
        <w:rPr>
          <w:rFonts w:cs="Arial"/>
          <w:iCs/>
          <w:szCs w:val="18"/>
          <w:lang w:val="en-US"/>
        </w:rPr>
        <w:t>Where:</w:t>
      </w:r>
    </w:p>
    <w:p w14:paraId="3FEF9DBC" w14:textId="76E10F3C" w:rsidR="004F6F5F" w:rsidRPr="002C654C" w:rsidRDefault="004F6F5F" w:rsidP="00051405">
      <w:pPr>
        <w:shd w:val="clear" w:color="auto" w:fill="FFFFFF"/>
        <w:spacing w:line="360" w:lineRule="auto"/>
        <w:outlineLvl w:val="1"/>
        <w:rPr>
          <w:rFonts w:cs="Arial"/>
          <w:iCs/>
          <w:szCs w:val="18"/>
          <w:lang w:val="en-US"/>
        </w:rPr>
      </w:pPr>
      <w:r w:rsidRPr="002C654C">
        <w:rPr>
          <w:rFonts w:cs="Arial"/>
          <w:iCs/>
          <w:szCs w:val="18"/>
          <w:lang w:val="en-US"/>
        </w:rPr>
        <w:t>EGCfinal</w:t>
      </w:r>
      <w:r w:rsidR="00051405" w:rsidRPr="002C654C">
        <w:rPr>
          <w:rFonts w:cs="Arial"/>
          <w:iCs/>
          <w:szCs w:val="18"/>
          <w:lang w:val="en-US"/>
        </w:rPr>
        <w:t xml:space="preserve">: </w:t>
      </w:r>
      <w:r w:rsidR="002C654C" w:rsidRPr="002C654C">
        <w:rPr>
          <w:rFonts w:cs="Arial"/>
          <w:iCs/>
          <w:szCs w:val="18"/>
          <w:lang w:val="en-US"/>
        </w:rPr>
        <w:t xml:space="preserve">Parameters measured in days </w:t>
      </w:r>
      <w:r w:rsidRPr="002C654C">
        <w:rPr>
          <w:rFonts w:cs="Arial"/>
          <w:iCs/>
          <w:szCs w:val="18"/>
          <w:lang w:val="en-US"/>
        </w:rPr>
        <w:t>3 y 7.</w:t>
      </w:r>
    </w:p>
    <w:p w14:paraId="6284C7E1" w14:textId="07287EA6" w:rsidR="00051405" w:rsidRPr="007A505C" w:rsidRDefault="004F6F5F" w:rsidP="00051405">
      <w:pPr>
        <w:shd w:val="clear" w:color="auto" w:fill="FFFFFF"/>
        <w:spacing w:line="360" w:lineRule="auto"/>
        <w:outlineLvl w:val="1"/>
        <w:rPr>
          <w:rFonts w:cs="Arial"/>
          <w:iCs/>
          <w:szCs w:val="18"/>
          <w:lang w:val="en-US"/>
        </w:rPr>
      </w:pPr>
      <w:r w:rsidRPr="007A505C">
        <w:rPr>
          <w:rFonts w:cs="Arial"/>
          <w:iCs/>
          <w:szCs w:val="18"/>
          <w:lang w:val="en-US"/>
        </w:rPr>
        <w:t xml:space="preserve">EGCinicial: </w:t>
      </w:r>
      <w:r w:rsidR="002C654C" w:rsidRPr="007A505C">
        <w:rPr>
          <w:rFonts w:cs="Arial"/>
          <w:iCs/>
          <w:szCs w:val="18"/>
          <w:lang w:val="en-US"/>
        </w:rPr>
        <w:t xml:space="preserve">Parameters measured in days </w:t>
      </w:r>
      <w:r w:rsidRPr="007A505C">
        <w:rPr>
          <w:rFonts w:cs="Arial"/>
          <w:iCs/>
          <w:szCs w:val="18"/>
          <w:lang w:val="en-US"/>
        </w:rPr>
        <w:t>0.</w:t>
      </w:r>
    </w:p>
    <w:p w14:paraId="1AF4E546" w14:textId="77777777" w:rsidR="0020007A" w:rsidRPr="0078522D" w:rsidRDefault="00051405" w:rsidP="00051405">
      <w:pPr>
        <w:shd w:val="clear" w:color="auto" w:fill="FFFFFF"/>
        <w:spacing w:line="360" w:lineRule="auto"/>
        <w:outlineLvl w:val="1"/>
        <w:rPr>
          <w:rFonts w:cs="Arial"/>
          <w:iCs/>
          <w:szCs w:val="18"/>
          <w:lang w:val="en-US"/>
        </w:rPr>
      </w:pPr>
      <w:r w:rsidRPr="0078522D">
        <w:rPr>
          <w:rFonts w:cs="Arial"/>
          <w:iCs/>
          <w:szCs w:val="18"/>
          <w:lang w:val="en-US"/>
        </w:rPr>
        <w:t>EGC: Experimental group concentration</w:t>
      </w:r>
    </w:p>
    <w:p w14:paraId="3542FC65" w14:textId="5906D6F1" w:rsidR="0020007A" w:rsidRPr="0078522D" w:rsidRDefault="0020007A" w:rsidP="0078522D">
      <w:pPr>
        <w:shd w:val="clear" w:color="auto" w:fill="FFFFFF"/>
        <w:spacing w:line="276" w:lineRule="auto"/>
        <w:outlineLvl w:val="1"/>
        <w:rPr>
          <w:rFonts w:cs="Arial"/>
          <w:b/>
          <w:bCs/>
          <w:iCs/>
          <w:szCs w:val="18"/>
          <w:lang w:val="en-US"/>
        </w:rPr>
      </w:pPr>
      <w:r w:rsidRPr="00BC165D">
        <w:rPr>
          <w:rFonts w:cs="Arial"/>
          <w:b/>
          <w:bCs/>
          <w:iCs/>
          <w:szCs w:val="18"/>
          <w:lang w:val="en-US"/>
        </w:rPr>
        <w:t>2.8. Statistical</w:t>
      </w:r>
      <w:r w:rsidRPr="0078522D">
        <w:rPr>
          <w:rFonts w:cs="Arial"/>
          <w:b/>
          <w:bCs/>
          <w:iCs/>
          <w:szCs w:val="18"/>
          <w:lang w:val="en-US"/>
        </w:rPr>
        <w:t xml:space="preserve"> analysis</w:t>
      </w:r>
    </w:p>
    <w:p w14:paraId="645D8654" w14:textId="77777777" w:rsidR="0020007A" w:rsidRPr="0078522D" w:rsidRDefault="0020007A" w:rsidP="0078522D">
      <w:pPr>
        <w:shd w:val="clear" w:color="auto" w:fill="FFFFFF"/>
        <w:spacing w:line="276" w:lineRule="auto"/>
        <w:outlineLvl w:val="1"/>
        <w:rPr>
          <w:rFonts w:cs="Arial"/>
          <w:bCs/>
          <w:iCs/>
          <w:szCs w:val="18"/>
        </w:rPr>
      </w:pPr>
      <w:r w:rsidRPr="0078522D">
        <w:rPr>
          <w:rFonts w:cs="Arial"/>
          <w:bCs/>
          <w:iCs/>
          <w:szCs w:val="18"/>
        </w:rPr>
        <w:t>Parameters were calculated for the control and experimental groups, and the averages and efficiency percentages were used to identify the significant differences between each of the treatments.</w:t>
      </w:r>
    </w:p>
    <w:p w14:paraId="0F3FE49E" w14:textId="77777777" w:rsidR="0020007A" w:rsidRPr="00BC165D" w:rsidRDefault="0020007A" w:rsidP="0020007A">
      <w:pPr>
        <w:pStyle w:val="CETHeading1"/>
        <w:rPr>
          <w:rFonts w:cs="Arial"/>
        </w:rPr>
      </w:pPr>
      <w:r w:rsidRPr="00BC165D">
        <w:rPr>
          <w:rFonts w:cs="Arial"/>
        </w:rPr>
        <w:t>Results</w:t>
      </w:r>
    </w:p>
    <w:p w14:paraId="45E0F9FB" w14:textId="4B35C88B" w:rsidR="0020007A" w:rsidRPr="00693720" w:rsidRDefault="0020007A" w:rsidP="0020007A">
      <w:pPr>
        <w:pStyle w:val="CETBodytext"/>
        <w:tabs>
          <w:tab w:val="clear" w:pos="7100"/>
          <w:tab w:val="right" w:pos="0"/>
        </w:tabs>
        <w:rPr>
          <w:i/>
          <w:iCs/>
        </w:rPr>
      </w:pPr>
      <w:r w:rsidRPr="00BC165D">
        <w:rPr>
          <w:i/>
        </w:rPr>
        <w:t xml:space="preserve">Table </w:t>
      </w:r>
      <w:r w:rsidR="00A31272">
        <w:rPr>
          <w:i/>
        </w:rPr>
        <w:t>1</w:t>
      </w:r>
      <w:r w:rsidRPr="00BC165D">
        <w:rPr>
          <w:i/>
        </w:rPr>
        <w:t>:</w:t>
      </w:r>
      <w:r w:rsidR="002A0D02" w:rsidRPr="00693720">
        <w:rPr>
          <w:i/>
          <w:iCs/>
        </w:rPr>
        <w:t xml:space="preserve"> Analysis of waste</w:t>
      </w:r>
      <w:r w:rsidRPr="00693720">
        <w:rPr>
          <w:i/>
          <w:iCs/>
        </w:rPr>
        <w:t>water from the effluent without treatment</w:t>
      </w:r>
    </w:p>
    <w:tbl>
      <w:tblPr>
        <w:tblStyle w:val="Tabladelista6concolores1"/>
        <w:tblW w:w="7957" w:type="dxa"/>
        <w:tblBorders>
          <w:top w:val="none" w:sz="0" w:space="0" w:color="auto"/>
          <w:bottom w:val="none" w:sz="0" w:space="0" w:color="auto"/>
        </w:tblBorders>
        <w:tblLook w:val="04A0" w:firstRow="1" w:lastRow="0" w:firstColumn="1" w:lastColumn="0" w:noHBand="0" w:noVBand="1"/>
      </w:tblPr>
      <w:tblGrid>
        <w:gridCol w:w="2835"/>
        <w:gridCol w:w="993"/>
        <w:gridCol w:w="1275"/>
        <w:gridCol w:w="1427"/>
        <w:gridCol w:w="1427"/>
      </w:tblGrid>
      <w:tr w:rsidR="00693720" w:rsidRPr="00BC165D" w14:paraId="1ED87154" w14:textId="77777777" w:rsidTr="00EB0D76">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62E2E474" w14:textId="77777777" w:rsidR="0020007A" w:rsidRPr="00BC165D" w:rsidRDefault="0020007A" w:rsidP="00EB0D76">
            <w:pPr>
              <w:rPr>
                <w:rFonts w:cs="Arial"/>
                <w:b w:val="0"/>
                <w:bCs w:val="0"/>
                <w:color w:val="auto"/>
                <w:szCs w:val="18"/>
              </w:rPr>
            </w:pPr>
            <w:r w:rsidRPr="00BC165D">
              <w:rPr>
                <w:rFonts w:cs="Arial"/>
                <w:b w:val="0"/>
                <w:bCs w:val="0"/>
                <w:color w:val="auto"/>
                <w:szCs w:val="18"/>
              </w:rPr>
              <w:t>Parameter</w:t>
            </w:r>
          </w:p>
        </w:tc>
        <w:tc>
          <w:tcPr>
            <w:tcW w:w="993"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356320EA" w14:textId="77777777" w:rsidR="0020007A" w:rsidRPr="00BC165D" w:rsidRDefault="0020007A" w:rsidP="00EB0D7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rPr>
              <w:t>Unit</w:t>
            </w:r>
          </w:p>
        </w:tc>
        <w:tc>
          <w:tcPr>
            <w:tcW w:w="1275"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36F284A1" w14:textId="77777777" w:rsidR="0020007A" w:rsidRPr="00BC165D" w:rsidRDefault="0020007A" w:rsidP="00EB0D7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rPr>
              <w:t>Results</w:t>
            </w:r>
          </w:p>
        </w:tc>
        <w:tc>
          <w:tcPr>
            <w:tcW w:w="2854" w:type="dxa"/>
            <w:gridSpan w:val="2"/>
            <w:tcBorders>
              <w:top w:val="single" w:sz="8"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0D6E33E" w14:textId="77777777" w:rsidR="0020007A" w:rsidRPr="00BC165D" w:rsidRDefault="0020007A" w:rsidP="0020007A">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rPr>
              <w:t>ECA-</w:t>
            </w:r>
            <w:r w:rsidRPr="00BC165D">
              <w:rPr>
                <w:rFonts w:cs="Arial"/>
                <w:color w:val="auto"/>
                <w:szCs w:val="18"/>
              </w:rPr>
              <w:t xml:space="preserve"> </w:t>
            </w:r>
            <w:r w:rsidRPr="00BC165D">
              <w:rPr>
                <w:rFonts w:cs="Arial"/>
                <w:b w:val="0"/>
                <w:bCs w:val="0"/>
                <w:color w:val="auto"/>
                <w:szCs w:val="18"/>
              </w:rPr>
              <w:t>Water/category 3</w:t>
            </w:r>
          </w:p>
        </w:tc>
      </w:tr>
      <w:tr w:rsidR="00693720" w:rsidRPr="00BC165D" w14:paraId="480DADAD" w14:textId="77777777" w:rsidTr="00EB0D76">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835"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70807902" w14:textId="77777777" w:rsidR="0020007A" w:rsidRPr="00BC165D" w:rsidRDefault="0020007A" w:rsidP="00EB0D76">
            <w:pPr>
              <w:rPr>
                <w:rFonts w:cs="Arial"/>
                <w:color w:val="auto"/>
                <w:szCs w:val="18"/>
              </w:rPr>
            </w:pPr>
          </w:p>
        </w:tc>
        <w:tc>
          <w:tcPr>
            <w:tcW w:w="993"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0BAF253C"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p>
        </w:tc>
        <w:tc>
          <w:tcPr>
            <w:tcW w:w="1275"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59342AAA"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p>
        </w:tc>
        <w:tc>
          <w:tcPr>
            <w:tcW w:w="142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41559A9E"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Irrigation of vegetables</w:t>
            </w:r>
          </w:p>
        </w:tc>
        <w:tc>
          <w:tcPr>
            <w:tcW w:w="142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0C197798" w14:textId="77777777" w:rsidR="0020007A" w:rsidRPr="00BC165D" w:rsidRDefault="00843E08"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Drinks for animals</w:t>
            </w:r>
          </w:p>
        </w:tc>
      </w:tr>
      <w:tr w:rsidR="00693720" w:rsidRPr="00BC165D" w14:paraId="12DE7FFF" w14:textId="77777777" w:rsidTr="00EB0D76">
        <w:trPr>
          <w:trHeight w:val="326"/>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4FCCAD2C" w14:textId="77777777" w:rsidR="0020007A" w:rsidRPr="00BC165D" w:rsidRDefault="0020007A" w:rsidP="00EB0D76">
            <w:pPr>
              <w:rPr>
                <w:rFonts w:cs="Arial"/>
                <w:b w:val="0"/>
                <w:bCs w:val="0"/>
                <w:color w:val="auto"/>
                <w:szCs w:val="18"/>
              </w:rPr>
            </w:pPr>
            <w:r w:rsidRPr="00BC165D">
              <w:rPr>
                <w:rFonts w:cs="Arial"/>
                <w:b w:val="0"/>
                <w:bCs w:val="0"/>
                <w:color w:val="auto"/>
                <w:szCs w:val="18"/>
              </w:rPr>
              <w:t>Oils and fats</w:t>
            </w:r>
          </w:p>
        </w:tc>
        <w:tc>
          <w:tcPr>
            <w:tcW w:w="993"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7A1C5D54"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2D355262"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150</w:t>
            </w:r>
          </w:p>
        </w:tc>
        <w:tc>
          <w:tcPr>
            <w:tcW w:w="1427"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1A63E9C"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5</w:t>
            </w:r>
          </w:p>
        </w:tc>
        <w:tc>
          <w:tcPr>
            <w:tcW w:w="1427"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tcPr>
          <w:p w14:paraId="11BCCBAE"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10</w:t>
            </w:r>
          </w:p>
        </w:tc>
      </w:tr>
      <w:tr w:rsidR="00693720" w:rsidRPr="00BC165D" w14:paraId="7DC071E6" w14:textId="77777777" w:rsidTr="00EB0D7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CE10C6F" w14:textId="77777777" w:rsidR="0020007A" w:rsidRPr="00BC165D" w:rsidRDefault="0020007A" w:rsidP="00EB0D76">
            <w:pPr>
              <w:rPr>
                <w:rFonts w:cs="Arial"/>
                <w:b w:val="0"/>
                <w:bCs w:val="0"/>
                <w:color w:val="auto"/>
                <w:szCs w:val="18"/>
              </w:rPr>
            </w:pPr>
            <w:r w:rsidRPr="00BC165D">
              <w:rPr>
                <w:rFonts w:cs="Arial"/>
                <w:b w:val="0"/>
                <w:bCs w:val="0"/>
                <w:color w:val="auto"/>
                <w:szCs w:val="18"/>
              </w:rPr>
              <w:t>Biochemical oxygen demand</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0A7045F"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25F88B5"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180</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60C3337"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15</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3D1585F2"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15</w:t>
            </w:r>
          </w:p>
        </w:tc>
      </w:tr>
      <w:tr w:rsidR="00693720" w:rsidRPr="00BC165D" w14:paraId="55473B15" w14:textId="77777777" w:rsidTr="00EB0D76">
        <w:trPr>
          <w:trHeight w:val="406"/>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ADE6E5A" w14:textId="77777777" w:rsidR="0020007A" w:rsidRPr="00BC165D" w:rsidRDefault="005D6ECC" w:rsidP="00EB0D76">
            <w:pPr>
              <w:rPr>
                <w:rFonts w:cs="Arial"/>
                <w:b w:val="0"/>
                <w:bCs w:val="0"/>
                <w:color w:val="auto"/>
                <w:szCs w:val="18"/>
              </w:rPr>
            </w:pPr>
            <w:r w:rsidRPr="00BC165D">
              <w:rPr>
                <w:rFonts w:cs="Arial"/>
                <w:b w:val="0"/>
                <w:bCs w:val="0"/>
                <w:color w:val="auto"/>
                <w:szCs w:val="18"/>
              </w:rPr>
              <w:t>Chemical oxygen demand</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23C5ED2"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10E55E4"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125</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E01B6C4"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40</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42CD33C1"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40</w:t>
            </w:r>
          </w:p>
        </w:tc>
      </w:tr>
      <w:tr w:rsidR="00693720" w:rsidRPr="00BC165D" w14:paraId="5274C8A2" w14:textId="77777777" w:rsidTr="00EB0D7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8B26D32" w14:textId="77777777" w:rsidR="0020007A" w:rsidRPr="00BC165D" w:rsidRDefault="00D018F9" w:rsidP="00EB0D76">
            <w:pPr>
              <w:rPr>
                <w:rFonts w:cs="Arial"/>
                <w:b w:val="0"/>
                <w:bCs w:val="0"/>
                <w:color w:val="auto"/>
                <w:szCs w:val="18"/>
              </w:rPr>
            </w:pPr>
            <w:r w:rsidRPr="00BC165D">
              <w:rPr>
                <w:rFonts w:cs="Arial"/>
                <w:b w:val="0"/>
                <w:bCs w:val="0"/>
                <w:color w:val="auto"/>
                <w:szCs w:val="18"/>
              </w:rPr>
              <w:t>Aluminum</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013E576"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656D8F3"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28</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CCDD07E"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5</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7EC47977"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5</w:t>
            </w:r>
          </w:p>
        </w:tc>
      </w:tr>
      <w:tr w:rsidR="00693720" w:rsidRPr="00BC165D" w14:paraId="7BD43C48" w14:textId="77777777" w:rsidTr="00EB0D76">
        <w:trPr>
          <w:trHeight w:val="260"/>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541D92C" w14:textId="77777777" w:rsidR="0020007A" w:rsidRPr="00BC165D" w:rsidRDefault="005D6ECC" w:rsidP="00EB0D76">
            <w:pPr>
              <w:rPr>
                <w:rFonts w:cs="Arial"/>
                <w:b w:val="0"/>
                <w:bCs w:val="0"/>
                <w:color w:val="auto"/>
                <w:szCs w:val="18"/>
              </w:rPr>
            </w:pPr>
            <w:r w:rsidRPr="00BC165D">
              <w:rPr>
                <w:rFonts w:cs="Arial"/>
                <w:b w:val="0"/>
                <w:bCs w:val="0"/>
                <w:color w:val="auto"/>
                <w:szCs w:val="18"/>
              </w:rPr>
              <w:t>Cadmium</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A356386"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D37CCCA"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3.2</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0B85BAB"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0.01</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7BA17361"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0.05</w:t>
            </w:r>
          </w:p>
        </w:tc>
      </w:tr>
      <w:tr w:rsidR="00693720" w:rsidRPr="00BC165D" w14:paraId="5E3F26EA" w14:textId="77777777" w:rsidTr="00EB0D7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81993AA" w14:textId="77777777" w:rsidR="0020007A" w:rsidRPr="00BC165D" w:rsidRDefault="005D6ECC" w:rsidP="00EB0D76">
            <w:pPr>
              <w:rPr>
                <w:rFonts w:cs="Arial"/>
                <w:b w:val="0"/>
                <w:bCs w:val="0"/>
                <w:color w:val="auto"/>
                <w:szCs w:val="18"/>
              </w:rPr>
            </w:pPr>
            <w:r w:rsidRPr="00BC165D">
              <w:rPr>
                <w:rFonts w:cs="Arial"/>
                <w:b w:val="0"/>
                <w:bCs w:val="0"/>
                <w:color w:val="auto"/>
                <w:szCs w:val="18"/>
              </w:rPr>
              <w:t>Copper</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8429DD3"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EAD82EB"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2.8</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1842DFE"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0.2</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46E51ABA"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0.5</w:t>
            </w:r>
          </w:p>
        </w:tc>
      </w:tr>
      <w:tr w:rsidR="00693720" w:rsidRPr="00BC165D" w14:paraId="591188EB" w14:textId="77777777" w:rsidTr="00EB0D76">
        <w:trPr>
          <w:trHeight w:val="410"/>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7C4C00A" w14:textId="77777777" w:rsidR="0020007A" w:rsidRPr="00BC165D" w:rsidRDefault="00D018F9" w:rsidP="00EB0D76">
            <w:pPr>
              <w:rPr>
                <w:rFonts w:cs="Arial"/>
                <w:b w:val="0"/>
                <w:bCs w:val="0"/>
                <w:color w:val="auto"/>
                <w:szCs w:val="18"/>
              </w:rPr>
            </w:pPr>
            <w:r w:rsidRPr="00BC165D">
              <w:rPr>
                <w:rFonts w:cs="Arial"/>
                <w:b w:val="0"/>
                <w:bCs w:val="0"/>
                <w:color w:val="auto"/>
                <w:szCs w:val="18"/>
              </w:rPr>
              <w:t>Chrome</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2082217"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D1099C1"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2.4</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0E7734D"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0.1</w:t>
            </w:r>
          </w:p>
        </w:tc>
        <w:tc>
          <w:tcPr>
            <w:tcW w:w="14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2A3F4A49" w14:textId="77777777" w:rsidR="0020007A" w:rsidRPr="00BC165D" w:rsidRDefault="0020007A"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w:t>
            </w:r>
          </w:p>
        </w:tc>
      </w:tr>
      <w:tr w:rsidR="00693720" w:rsidRPr="00BC165D" w14:paraId="1B52FE11" w14:textId="77777777" w:rsidTr="00EB0D7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10BE7445" w14:textId="77777777" w:rsidR="0020007A" w:rsidRPr="00BC165D" w:rsidRDefault="005D6ECC" w:rsidP="00EB0D76">
            <w:pPr>
              <w:rPr>
                <w:rFonts w:cs="Arial"/>
                <w:b w:val="0"/>
                <w:bCs w:val="0"/>
                <w:color w:val="auto"/>
                <w:szCs w:val="18"/>
              </w:rPr>
            </w:pPr>
            <w:r w:rsidRPr="00BC165D">
              <w:rPr>
                <w:rFonts w:cs="Arial"/>
                <w:b w:val="0"/>
                <w:bCs w:val="0"/>
                <w:color w:val="auto"/>
                <w:szCs w:val="18"/>
              </w:rPr>
              <w:t>Zinc</w:t>
            </w:r>
          </w:p>
        </w:tc>
        <w:tc>
          <w:tcPr>
            <w:tcW w:w="993"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757F26D2"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mg/L</w:t>
            </w:r>
          </w:p>
        </w:tc>
        <w:tc>
          <w:tcPr>
            <w:tcW w:w="1275"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2A01497D"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5.1</w:t>
            </w:r>
          </w:p>
        </w:tc>
        <w:tc>
          <w:tcPr>
            <w:tcW w:w="142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0E6D1C5A"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w:t>
            </w:r>
          </w:p>
        </w:tc>
        <w:tc>
          <w:tcPr>
            <w:tcW w:w="142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0AE5574E" w14:textId="77777777" w:rsidR="0020007A" w:rsidRPr="00BC165D" w:rsidRDefault="0020007A"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2.4</w:t>
            </w:r>
          </w:p>
        </w:tc>
      </w:tr>
    </w:tbl>
    <w:p w14:paraId="59E98487" w14:textId="77777777" w:rsidR="0020007A" w:rsidRPr="002A29A4" w:rsidRDefault="0020007A" w:rsidP="0020007A">
      <w:pPr>
        <w:pStyle w:val="CETBodytext"/>
        <w:tabs>
          <w:tab w:val="clear" w:pos="7100"/>
          <w:tab w:val="right" w:pos="0"/>
        </w:tabs>
        <w:rPr>
          <w:i/>
          <w:iCs/>
          <w:color w:val="00B0F0"/>
        </w:rPr>
      </w:pPr>
    </w:p>
    <w:p w14:paraId="5A5393A2" w14:textId="7D68E909" w:rsidR="000E7C37" w:rsidRPr="00BC165D" w:rsidRDefault="000E7C37" w:rsidP="00BC165D">
      <w:pPr>
        <w:spacing w:line="276" w:lineRule="auto"/>
        <w:rPr>
          <w:rFonts w:cs="Arial"/>
          <w:szCs w:val="18"/>
          <w:lang w:val="en-US"/>
        </w:rPr>
      </w:pPr>
      <w:r w:rsidRPr="006D0D2F">
        <w:rPr>
          <w:rFonts w:cs="Arial"/>
          <w:szCs w:val="18"/>
          <w:lang w:val="en-US"/>
        </w:rPr>
        <w:t>The following parameters were found: oils and fats 150 mg/L, biochemical oxygen demand 1</w:t>
      </w:r>
      <w:r w:rsidR="00BC165D" w:rsidRPr="006D0D2F">
        <w:rPr>
          <w:rFonts w:cs="Arial"/>
          <w:szCs w:val="18"/>
          <w:lang w:val="en-US"/>
        </w:rPr>
        <w:t>8</w:t>
      </w:r>
      <w:r w:rsidRPr="006D0D2F">
        <w:rPr>
          <w:rFonts w:cs="Arial"/>
          <w:szCs w:val="18"/>
          <w:lang w:val="en-US"/>
        </w:rPr>
        <w:t>0 mg/L, chemical oxygen demand 125 mg/L, aluminum 28 mg/L, cadmium 3.2 mg</w:t>
      </w:r>
      <w:r w:rsidR="00C404E7" w:rsidRPr="006D0D2F">
        <w:rPr>
          <w:rFonts w:cs="Arial"/>
          <w:szCs w:val="18"/>
          <w:lang w:val="en-US"/>
        </w:rPr>
        <w:t>/L, copper 2.8 mg/L, chrome</w:t>
      </w:r>
      <w:r w:rsidRPr="006D0D2F">
        <w:rPr>
          <w:rFonts w:cs="Arial"/>
          <w:szCs w:val="18"/>
          <w:lang w:val="en-US"/>
        </w:rPr>
        <w:t xml:space="preserve"> 2.4 mg/L, zinc 5.1 mg/L. The values obtained were compared with the environmental quality standards category 3 (Peruvian standard) and it was found that all the results exceeded the permitted range.</w:t>
      </w:r>
    </w:p>
    <w:p w14:paraId="53539CF8" w14:textId="2106F46F" w:rsidR="00F40B86" w:rsidRDefault="00F40B86" w:rsidP="000E7C37">
      <w:pPr>
        <w:spacing w:line="276" w:lineRule="auto"/>
        <w:rPr>
          <w:rFonts w:ascii="Times New Roman" w:hAnsi="Times New Roman"/>
          <w:sz w:val="24"/>
          <w:szCs w:val="24"/>
          <w:lang w:val="en-US"/>
        </w:rPr>
      </w:pPr>
    </w:p>
    <w:p w14:paraId="49B9BE3E" w14:textId="6FEC5456" w:rsidR="00F40B86" w:rsidRPr="00BC165D" w:rsidRDefault="00F40B86" w:rsidP="000E7C37">
      <w:pPr>
        <w:spacing w:line="276" w:lineRule="auto"/>
        <w:rPr>
          <w:rFonts w:cs="Arial"/>
          <w:i/>
          <w:iCs/>
          <w:szCs w:val="18"/>
          <w:lang w:val="en-US"/>
        </w:rPr>
      </w:pPr>
      <w:r w:rsidRPr="00BC165D">
        <w:rPr>
          <w:rFonts w:cs="Arial"/>
          <w:i/>
          <w:iCs/>
          <w:szCs w:val="18"/>
          <w:lang w:val="en-US"/>
        </w:rPr>
        <w:t xml:space="preserve">Table </w:t>
      </w:r>
      <w:r w:rsidR="00A31272">
        <w:rPr>
          <w:rFonts w:cs="Arial"/>
          <w:i/>
          <w:iCs/>
          <w:szCs w:val="18"/>
          <w:lang w:val="en-US"/>
        </w:rPr>
        <w:t>2</w:t>
      </w:r>
      <w:r w:rsidRPr="00BC165D">
        <w:rPr>
          <w:rFonts w:cs="Arial"/>
          <w:i/>
          <w:iCs/>
          <w:szCs w:val="18"/>
          <w:lang w:val="en-US"/>
        </w:rPr>
        <w:t xml:space="preserve">: </w:t>
      </w:r>
      <w:r w:rsidR="002A0D02" w:rsidRPr="00BC165D">
        <w:rPr>
          <w:rFonts w:cs="Arial"/>
          <w:i/>
          <w:iCs/>
          <w:szCs w:val="18"/>
          <w:lang w:val="en-US"/>
        </w:rPr>
        <w:t>Analysis of waste</w:t>
      </w:r>
      <w:r w:rsidR="00843E08" w:rsidRPr="00BC165D">
        <w:rPr>
          <w:rFonts w:cs="Arial"/>
          <w:i/>
          <w:iCs/>
          <w:szCs w:val="18"/>
          <w:lang w:val="en-US"/>
        </w:rPr>
        <w:t>water</w:t>
      </w:r>
      <w:r w:rsidRPr="00BC165D">
        <w:rPr>
          <w:rFonts w:cs="Arial"/>
          <w:i/>
          <w:iCs/>
          <w:szCs w:val="18"/>
          <w:lang w:val="en-US"/>
        </w:rPr>
        <w:t xml:space="preserve"> with the treatments after 3 days</w:t>
      </w:r>
    </w:p>
    <w:tbl>
      <w:tblPr>
        <w:tblStyle w:val="Tabladelista6concolores1"/>
        <w:tblW w:w="8639" w:type="dxa"/>
        <w:tblBorders>
          <w:top w:val="none" w:sz="0" w:space="0" w:color="auto"/>
          <w:bottom w:val="none" w:sz="0" w:space="0" w:color="auto"/>
        </w:tblBorders>
        <w:tblLook w:val="04A0" w:firstRow="1" w:lastRow="0" w:firstColumn="1" w:lastColumn="0" w:noHBand="0" w:noVBand="1"/>
      </w:tblPr>
      <w:tblGrid>
        <w:gridCol w:w="3678"/>
        <w:gridCol w:w="992"/>
        <w:gridCol w:w="851"/>
        <w:gridCol w:w="955"/>
        <w:gridCol w:w="1087"/>
        <w:gridCol w:w="1076"/>
      </w:tblGrid>
      <w:tr w:rsidR="00693720" w:rsidRPr="00BC165D" w14:paraId="68C4931F" w14:textId="77777777" w:rsidTr="00843E08">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678"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75C43CCB" w14:textId="77777777" w:rsidR="00F40B86" w:rsidRPr="00BC165D" w:rsidRDefault="00F40B86" w:rsidP="00EB0D76">
            <w:pPr>
              <w:rPr>
                <w:rFonts w:cs="Arial"/>
                <w:b w:val="0"/>
                <w:bCs w:val="0"/>
                <w:color w:val="auto"/>
                <w:szCs w:val="18"/>
                <w:lang w:val="es-ES"/>
              </w:rPr>
            </w:pPr>
            <w:r w:rsidRPr="00BC165D">
              <w:rPr>
                <w:rFonts w:cs="Arial"/>
                <w:b w:val="0"/>
                <w:bCs w:val="0"/>
                <w:color w:val="auto"/>
                <w:szCs w:val="18"/>
              </w:rPr>
              <w:t>Parameter</w:t>
            </w:r>
          </w:p>
        </w:tc>
        <w:tc>
          <w:tcPr>
            <w:tcW w:w="992"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045D23A6" w14:textId="77777777" w:rsidR="00F40B86" w:rsidRPr="00BC165D" w:rsidRDefault="00F40B86" w:rsidP="00EB0D76">
            <w:pPr>
              <w:jc w:val="center"/>
              <w:cnfStyle w:val="100000000000" w:firstRow="1" w:lastRow="0" w:firstColumn="0" w:lastColumn="0" w:oddVBand="0" w:evenVBand="0" w:oddHBand="0" w:evenHBand="0" w:firstRowFirstColumn="0" w:firstRowLastColumn="0" w:lastRowFirstColumn="0" w:lastRowLastColumn="0"/>
              <w:rPr>
                <w:rFonts w:cs="Arial"/>
                <w:color w:val="auto"/>
                <w:szCs w:val="18"/>
                <w:lang w:val="es-ES"/>
              </w:rPr>
            </w:pPr>
            <w:r w:rsidRPr="00BC165D">
              <w:rPr>
                <w:rFonts w:cs="Arial"/>
                <w:b w:val="0"/>
                <w:bCs w:val="0"/>
                <w:color w:val="auto"/>
                <w:szCs w:val="18"/>
                <w:lang w:val="es-ES"/>
              </w:rPr>
              <w:t xml:space="preserve">T1: MM </w:t>
            </w:r>
          </w:p>
          <w:p w14:paraId="042D3A00" w14:textId="77777777" w:rsidR="00F40B86" w:rsidRPr="00BC165D" w:rsidRDefault="00F40B86" w:rsidP="00EB0D76">
            <w:pPr>
              <w:jc w:val="center"/>
              <w:cnfStyle w:val="100000000000" w:firstRow="1" w:lastRow="0" w:firstColumn="0" w:lastColumn="0" w:oddVBand="0" w:evenVBand="0" w:oddHBand="0" w:evenHBand="0" w:firstRowFirstColumn="0" w:firstRowLastColumn="0" w:lastRowFirstColumn="0" w:lastRowLastColumn="0"/>
              <w:rPr>
                <w:rFonts w:cs="Arial"/>
                <w:color w:val="auto"/>
                <w:szCs w:val="18"/>
                <w:lang w:val="es-ES"/>
              </w:rPr>
            </w:pPr>
            <w:r w:rsidRPr="00BC165D">
              <w:rPr>
                <w:rFonts w:cs="Arial"/>
                <w:b w:val="0"/>
                <w:bCs w:val="0"/>
                <w:color w:val="auto"/>
                <w:szCs w:val="18"/>
                <w:lang w:val="es-ES"/>
              </w:rPr>
              <w:t>300mL</w:t>
            </w:r>
          </w:p>
          <w:p w14:paraId="5616C94C" w14:textId="77777777" w:rsidR="00F40B86" w:rsidRPr="00BC165D" w:rsidRDefault="00F40B86" w:rsidP="00EB0D7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lang w:val="es-ES"/>
              </w:rPr>
            </w:pPr>
          </w:p>
        </w:tc>
        <w:tc>
          <w:tcPr>
            <w:tcW w:w="851"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tcPr>
          <w:p w14:paraId="43354466" w14:textId="77777777" w:rsidR="00F40B86" w:rsidRPr="00BC165D" w:rsidRDefault="00F40B86" w:rsidP="00EB0D7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lang w:val="es-ES"/>
              </w:rPr>
              <w:t>T2</w:t>
            </w:r>
            <w:r w:rsidRPr="00BC165D">
              <w:rPr>
                <w:rFonts w:cs="Arial"/>
                <w:b w:val="0"/>
                <w:bCs w:val="0"/>
                <w:color w:val="auto"/>
                <w:szCs w:val="18"/>
              </w:rPr>
              <w:t>: MM 400mL</w:t>
            </w:r>
          </w:p>
        </w:tc>
        <w:tc>
          <w:tcPr>
            <w:tcW w:w="955" w:type="dxa"/>
            <w:vMerge w:val="restart"/>
            <w:tcBorders>
              <w:top w:val="single" w:sz="8" w:space="0" w:color="00B050"/>
              <w:left w:val="single" w:sz="6" w:space="0" w:color="FFFFFF" w:themeColor="background1"/>
              <w:right w:val="single" w:sz="6" w:space="0" w:color="FFFFFF" w:themeColor="background1"/>
            </w:tcBorders>
            <w:vAlign w:val="center"/>
          </w:tcPr>
          <w:p w14:paraId="6D8DC416" w14:textId="77777777" w:rsidR="00F40B86" w:rsidRPr="00BC165D" w:rsidRDefault="00F40B86" w:rsidP="00EB0D7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rPr>
              <w:t>T3: NaOH</w:t>
            </w:r>
          </w:p>
          <w:p w14:paraId="72A86152" w14:textId="77777777" w:rsidR="00F40B86" w:rsidRPr="00BC165D" w:rsidRDefault="00F40B86" w:rsidP="00EB0D7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rPr>
              <w:t>20%</w:t>
            </w:r>
          </w:p>
        </w:tc>
        <w:tc>
          <w:tcPr>
            <w:tcW w:w="2163" w:type="dxa"/>
            <w:gridSpan w:val="2"/>
            <w:tcBorders>
              <w:top w:val="single" w:sz="8"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0AA8532" w14:textId="77777777" w:rsidR="00F40B86" w:rsidRPr="00BC165D" w:rsidRDefault="00F40B86" w:rsidP="00F40B86">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18"/>
              </w:rPr>
            </w:pPr>
            <w:r w:rsidRPr="00BC165D">
              <w:rPr>
                <w:rFonts w:cs="Arial"/>
                <w:b w:val="0"/>
                <w:bCs w:val="0"/>
                <w:color w:val="auto"/>
                <w:szCs w:val="18"/>
              </w:rPr>
              <w:t>ECA- Water/category 3</w:t>
            </w:r>
          </w:p>
        </w:tc>
      </w:tr>
      <w:tr w:rsidR="00693720" w:rsidRPr="00BC165D" w14:paraId="2DDDDBAF" w14:textId="77777777" w:rsidTr="00843E08">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678"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584D02CC" w14:textId="77777777" w:rsidR="00F40B86" w:rsidRPr="00BC165D" w:rsidRDefault="00F40B86" w:rsidP="00EB0D76">
            <w:pPr>
              <w:rPr>
                <w:rFonts w:cs="Arial"/>
                <w:color w:val="auto"/>
                <w:szCs w:val="18"/>
              </w:rPr>
            </w:pPr>
          </w:p>
        </w:tc>
        <w:tc>
          <w:tcPr>
            <w:tcW w:w="992"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1D713396"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p>
        </w:tc>
        <w:tc>
          <w:tcPr>
            <w:tcW w:w="851"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1AD4D56A"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p>
        </w:tc>
        <w:tc>
          <w:tcPr>
            <w:tcW w:w="955" w:type="dxa"/>
            <w:vMerge/>
            <w:tcBorders>
              <w:left w:val="single" w:sz="6" w:space="0" w:color="FFFFFF" w:themeColor="background1"/>
              <w:bottom w:val="single" w:sz="6" w:space="0" w:color="00B050"/>
              <w:right w:val="single" w:sz="6" w:space="0" w:color="FFFFFF" w:themeColor="background1"/>
            </w:tcBorders>
          </w:tcPr>
          <w:p w14:paraId="720C07C4"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p>
        </w:tc>
        <w:tc>
          <w:tcPr>
            <w:tcW w:w="108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5292D640"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Irrigation of vegetables</w:t>
            </w:r>
          </w:p>
        </w:tc>
        <w:tc>
          <w:tcPr>
            <w:tcW w:w="1076"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66322C64" w14:textId="77777777" w:rsidR="00F40B86" w:rsidRPr="00BC165D" w:rsidRDefault="00843E08"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Drinks for animals</w:t>
            </w:r>
          </w:p>
        </w:tc>
      </w:tr>
      <w:tr w:rsidR="00693720" w:rsidRPr="00BC165D" w14:paraId="4996891C" w14:textId="77777777" w:rsidTr="00843E08">
        <w:trPr>
          <w:trHeight w:val="251"/>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33419CDF" w14:textId="77777777" w:rsidR="00F40B86" w:rsidRPr="00BC165D" w:rsidRDefault="00C850D5" w:rsidP="00EB0D76">
            <w:pPr>
              <w:rPr>
                <w:rFonts w:cs="Arial"/>
                <w:b w:val="0"/>
                <w:bCs w:val="0"/>
                <w:color w:val="auto"/>
                <w:szCs w:val="18"/>
                <w:lang w:val="en-US"/>
              </w:rPr>
            </w:pPr>
            <w:r w:rsidRPr="00BC165D">
              <w:rPr>
                <w:rFonts w:cs="Arial"/>
                <w:b w:val="0"/>
                <w:bCs w:val="0"/>
                <w:color w:val="auto"/>
                <w:szCs w:val="18"/>
              </w:rPr>
              <w:t>Oils and fats</w:t>
            </w:r>
            <w:r w:rsidR="00F40B86" w:rsidRPr="00BC165D">
              <w:rPr>
                <w:rFonts w:cs="Arial"/>
                <w:color w:val="auto"/>
                <w:szCs w:val="18"/>
                <w:lang w:val="en-US"/>
              </w:rPr>
              <w:t xml:space="preserve"> </w:t>
            </w:r>
            <w:r w:rsidR="00F40B86" w:rsidRPr="00BC165D">
              <w:rPr>
                <w:rFonts w:cs="Arial"/>
                <w:b w:val="0"/>
                <w:bCs w:val="0"/>
                <w:color w:val="auto"/>
                <w:szCs w:val="18"/>
                <w:lang w:val="en-US"/>
              </w:rPr>
              <w:t>(mg/L)</w:t>
            </w:r>
          </w:p>
        </w:tc>
        <w:tc>
          <w:tcPr>
            <w:tcW w:w="992"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772BD7BF" w14:textId="77777777" w:rsidR="00F40B86" w:rsidRPr="00BC165D" w:rsidRDefault="00F40B86"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108</w:t>
            </w:r>
          </w:p>
        </w:tc>
        <w:tc>
          <w:tcPr>
            <w:tcW w:w="851"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800B830" w14:textId="77777777" w:rsidR="00F40B86" w:rsidRPr="00BC165D" w:rsidRDefault="00F40B86"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32</w:t>
            </w:r>
          </w:p>
        </w:tc>
        <w:tc>
          <w:tcPr>
            <w:tcW w:w="955" w:type="dxa"/>
            <w:tcBorders>
              <w:top w:val="single" w:sz="6" w:space="0" w:color="00B050"/>
              <w:left w:val="single" w:sz="6" w:space="0" w:color="FFFFFF" w:themeColor="background1"/>
              <w:bottom w:val="single" w:sz="6" w:space="0" w:color="FFFFFF" w:themeColor="background1"/>
              <w:right w:val="single" w:sz="6" w:space="0" w:color="FFFFFF" w:themeColor="background1"/>
            </w:tcBorders>
          </w:tcPr>
          <w:p w14:paraId="7EA708BD" w14:textId="77777777" w:rsidR="00F40B86" w:rsidRPr="00BC165D" w:rsidRDefault="00F40B86"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75</w:t>
            </w:r>
          </w:p>
        </w:tc>
        <w:tc>
          <w:tcPr>
            <w:tcW w:w="1087"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9072BCD" w14:textId="77777777" w:rsidR="00F40B86" w:rsidRPr="00BC165D" w:rsidRDefault="00F40B86"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5</w:t>
            </w:r>
          </w:p>
        </w:tc>
        <w:tc>
          <w:tcPr>
            <w:tcW w:w="1076"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tcPr>
          <w:p w14:paraId="53283C1A" w14:textId="77777777" w:rsidR="00F40B86" w:rsidRPr="00BC165D" w:rsidRDefault="00F40B86" w:rsidP="00EB0D76">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10</w:t>
            </w:r>
          </w:p>
        </w:tc>
      </w:tr>
      <w:tr w:rsidR="00693720" w:rsidRPr="00BC165D" w14:paraId="2D016A7F" w14:textId="77777777" w:rsidTr="00843E0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F16E4F1" w14:textId="77777777" w:rsidR="00F40B86" w:rsidRPr="00BC165D" w:rsidRDefault="00C850D5" w:rsidP="00EB0D76">
            <w:pPr>
              <w:rPr>
                <w:rFonts w:cs="Arial"/>
                <w:b w:val="0"/>
                <w:bCs w:val="0"/>
                <w:color w:val="auto"/>
                <w:szCs w:val="18"/>
                <w:lang w:val="en-US"/>
              </w:rPr>
            </w:pPr>
            <w:r w:rsidRPr="00BC165D">
              <w:rPr>
                <w:rFonts w:cs="Arial"/>
                <w:b w:val="0"/>
                <w:bCs w:val="0"/>
                <w:color w:val="auto"/>
                <w:szCs w:val="18"/>
              </w:rPr>
              <w:t>Biochemical oxygen demand</w:t>
            </w:r>
            <w:r w:rsidR="00F40B86" w:rsidRPr="00BC165D">
              <w:rPr>
                <w:rFonts w:cs="Arial"/>
                <w:color w:val="auto"/>
                <w:szCs w:val="18"/>
                <w:lang w:val="en-US"/>
              </w:rPr>
              <w:t xml:space="preserve"> </w:t>
            </w:r>
            <w:r w:rsidR="00F40B86" w:rsidRPr="00BC165D">
              <w:rPr>
                <w:rFonts w:cs="Arial"/>
                <w:b w:val="0"/>
                <w:bCs w:val="0"/>
                <w:color w:val="auto"/>
                <w:szCs w:val="18"/>
                <w:lang w:val="en-US"/>
              </w:rPr>
              <w:t>(mg/L)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C59CF5D"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114</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C74E625"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61</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6BADFE98"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53</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D0CEF4E"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15</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44452DF8" w14:textId="77777777" w:rsidR="00F40B86" w:rsidRPr="00BC165D" w:rsidRDefault="00F40B86" w:rsidP="00EB0D76">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15</w:t>
            </w:r>
          </w:p>
        </w:tc>
      </w:tr>
      <w:tr w:rsidR="00693720" w:rsidRPr="00BC165D" w14:paraId="474FD118" w14:textId="77777777" w:rsidTr="00843E08">
        <w:trPr>
          <w:trHeight w:val="273"/>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A5F5717" w14:textId="77777777" w:rsidR="00843E08" w:rsidRPr="00BC165D" w:rsidRDefault="00843E08" w:rsidP="00843E08">
            <w:pPr>
              <w:rPr>
                <w:rFonts w:cs="Arial"/>
                <w:b w:val="0"/>
                <w:bCs w:val="0"/>
                <w:color w:val="auto"/>
                <w:szCs w:val="18"/>
                <w:lang w:val="en-US"/>
              </w:rPr>
            </w:pPr>
            <w:r w:rsidRPr="00BC165D">
              <w:rPr>
                <w:rFonts w:cs="Arial"/>
                <w:b w:val="0"/>
                <w:bCs w:val="0"/>
                <w:color w:val="auto"/>
                <w:szCs w:val="18"/>
              </w:rPr>
              <w:t>Chemical oxygen demand</w:t>
            </w:r>
            <w:r w:rsidRPr="00BC165D">
              <w:rPr>
                <w:rFonts w:cs="Arial"/>
                <w:b w:val="0"/>
                <w:bCs w:val="0"/>
                <w:color w:val="auto"/>
                <w:szCs w:val="18"/>
                <w:lang w:val="en-US"/>
              </w:rPr>
              <w:t xml:space="preserve">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69CD5BD"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101</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9C078F7"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42</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17ED9C9C"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61</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19DD056"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40</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6E4E278A"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40</w:t>
            </w:r>
          </w:p>
        </w:tc>
      </w:tr>
      <w:tr w:rsidR="00693720" w:rsidRPr="00BC165D" w14:paraId="02E6FE14" w14:textId="77777777" w:rsidTr="00843E08">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C155837" w14:textId="77777777" w:rsidR="00843E08" w:rsidRPr="00BC165D" w:rsidRDefault="00D018F9" w:rsidP="00843E08">
            <w:pPr>
              <w:rPr>
                <w:rFonts w:cs="Arial"/>
                <w:b w:val="0"/>
                <w:bCs w:val="0"/>
                <w:color w:val="auto"/>
                <w:szCs w:val="18"/>
              </w:rPr>
            </w:pPr>
            <w:r w:rsidRPr="00BC165D">
              <w:rPr>
                <w:rFonts w:cs="Arial"/>
                <w:b w:val="0"/>
                <w:bCs w:val="0"/>
                <w:color w:val="auto"/>
                <w:szCs w:val="18"/>
              </w:rPr>
              <w:t>Aluminum</w:t>
            </w:r>
            <w:r w:rsidR="00843E08" w:rsidRPr="00BC165D">
              <w:rPr>
                <w:rFonts w:cs="Arial"/>
                <w:b w:val="0"/>
                <w:bCs w:val="0"/>
                <w:color w:val="auto"/>
                <w:szCs w:val="18"/>
              </w:rPr>
              <w:t xml:space="preserve">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9E60F4C"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21</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9E59DDE"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13</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08E61D87"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23</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F076947"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5</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5A5ED38F"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5</w:t>
            </w:r>
          </w:p>
        </w:tc>
      </w:tr>
      <w:tr w:rsidR="00693720" w:rsidRPr="00BC165D" w14:paraId="5CF22C92" w14:textId="77777777" w:rsidTr="00843E08">
        <w:trPr>
          <w:trHeight w:val="268"/>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2ADF2AB" w14:textId="77777777" w:rsidR="00843E08" w:rsidRPr="00BC165D" w:rsidRDefault="00843E08" w:rsidP="00843E08">
            <w:pPr>
              <w:rPr>
                <w:rFonts w:cs="Arial"/>
                <w:b w:val="0"/>
                <w:bCs w:val="0"/>
                <w:color w:val="auto"/>
                <w:szCs w:val="18"/>
              </w:rPr>
            </w:pPr>
            <w:r w:rsidRPr="00BC165D">
              <w:rPr>
                <w:rFonts w:cs="Arial"/>
                <w:b w:val="0"/>
                <w:bCs w:val="0"/>
                <w:color w:val="auto"/>
                <w:szCs w:val="18"/>
              </w:rPr>
              <w:t>Cadmium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6438D2D"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2.5</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88BB5EA"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1.02</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62CE9F2F"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highlight w:val="yellow"/>
              </w:rPr>
            </w:pPr>
            <w:r w:rsidRPr="00BC165D">
              <w:rPr>
                <w:rFonts w:cs="Arial"/>
                <w:color w:val="auto"/>
                <w:szCs w:val="18"/>
              </w:rPr>
              <w:t>2.8</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BBDAB5D"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0.01</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2663C7BC"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0.05</w:t>
            </w:r>
          </w:p>
        </w:tc>
      </w:tr>
      <w:tr w:rsidR="00693720" w:rsidRPr="00BC165D" w14:paraId="5778FFCD" w14:textId="77777777" w:rsidTr="00843E0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1A4BC7F" w14:textId="77777777" w:rsidR="00843E08" w:rsidRPr="00BC165D" w:rsidRDefault="00843E08" w:rsidP="00843E08">
            <w:pPr>
              <w:rPr>
                <w:rFonts w:cs="Arial"/>
                <w:b w:val="0"/>
                <w:bCs w:val="0"/>
                <w:color w:val="auto"/>
                <w:szCs w:val="18"/>
              </w:rPr>
            </w:pPr>
            <w:r w:rsidRPr="00BC165D">
              <w:rPr>
                <w:rFonts w:cs="Arial"/>
                <w:b w:val="0"/>
                <w:bCs w:val="0"/>
                <w:color w:val="auto"/>
                <w:szCs w:val="18"/>
              </w:rPr>
              <w:t>Copper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7E03DB6"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1.9</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0AC4656"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1.1</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5C131533"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2.1</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3213C10"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0.2</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0D0A194B"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0.5</w:t>
            </w:r>
          </w:p>
        </w:tc>
      </w:tr>
      <w:tr w:rsidR="00693720" w:rsidRPr="00BC165D" w14:paraId="334B5FA8" w14:textId="77777777" w:rsidTr="00843E08">
        <w:trPr>
          <w:trHeight w:val="264"/>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7FA4618" w14:textId="77777777" w:rsidR="00843E08" w:rsidRPr="00BC165D" w:rsidRDefault="00D018F9" w:rsidP="00843E08">
            <w:pPr>
              <w:rPr>
                <w:rFonts w:cs="Arial"/>
                <w:b w:val="0"/>
                <w:bCs w:val="0"/>
                <w:color w:val="auto"/>
                <w:szCs w:val="18"/>
              </w:rPr>
            </w:pPr>
            <w:r w:rsidRPr="00BC165D">
              <w:rPr>
                <w:rFonts w:cs="Arial"/>
                <w:b w:val="0"/>
                <w:bCs w:val="0"/>
                <w:color w:val="auto"/>
                <w:szCs w:val="18"/>
              </w:rPr>
              <w:t>Chrome</w:t>
            </w:r>
            <w:r w:rsidR="00843E08" w:rsidRPr="00BC165D">
              <w:rPr>
                <w:rFonts w:cs="Arial"/>
                <w:b w:val="0"/>
                <w:bCs w:val="0"/>
                <w:color w:val="auto"/>
                <w:szCs w:val="18"/>
              </w:rPr>
              <w:t xml:space="preserve">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75FF2C4"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1.7</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6F12031"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1.1</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1B6CF396"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1.9</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DC977AA"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0.1</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75009B1B" w14:textId="77777777" w:rsidR="00843E08" w:rsidRPr="00BC165D" w:rsidRDefault="00843E08" w:rsidP="00843E08">
            <w:pPr>
              <w:jc w:val="cente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BC165D">
              <w:rPr>
                <w:rFonts w:cs="Arial"/>
                <w:color w:val="auto"/>
                <w:szCs w:val="18"/>
              </w:rPr>
              <w:t>1</w:t>
            </w:r>
          </w:p>
        </w:tc>
      </w:tr>
      <w:tr w:rsidR="00693720" w:rsidRPr="00BC165D" w14:paraId="75953309" w14:textId="77777777" w:rsidTr="00843E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6DA18BD1" w14:textId="77777777" w:rsidR="00843E08" w:rsidRPr="00BC165D" w:rsidRDefault="00843E08" w:rsidP="00843E08">
            <w:pPr>
              <w:rPr>
                <w:rFonts w:cs="Arial"/>
                <w:b w:val="0"/>
                <w:bCs w:val="0"/>
                <w:color w:val="auto"/>
                <w:szCs w:val="18"/>
              </w:rPr>
            </w:pPr>
            <w:r w:rsidRPr="00BC165D">
              <w:rPr>
                <w:rFonts w:cs="Arial"/>
                <w:b w:val="0"/>
                <w:bCs w:val="0"/>
                <w:color w:val="auto"/>
                <w:szCs w:val="18"/>
              </w:rPr>
              <w:t>Zinc (mg/L)</w:t>
            </w:r>
          </w:p>
        </w:tc>
        <w:tc>
          <w:tcPr>
            <w:tcW w:w="992"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697DBE52"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3.1</w:t>
            </w:r>
          </w:p>
        </w:tc>
        <w:tc>
          <w:tcPr>
            <w:tcW w:w="851"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17FB3120"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1.8</w:t>
            </w:r>
          </w:p>
        </w:tc>
        <w:tc>
          <w:tcPr>
            <w:tcW w:w="955"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1A984A3B"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3.6</w:t>
            </w:r>
          </w:p>
        </w:tc>
        <w:tc>
          <w:tcPr>
            <w:tcW w:w="108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5F647659"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w:t>
            </w:r>
          </w:p>
        </w:tc>
        <w:tc>
          <w:tcPr>
            <w:tcW w:w="1076"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2C1D2806" w14:textId="77777777" w:rsidR="00843E08" w:rsidRPr="00BC165D" w:rsidRDefault="00843E08" w:rsidP="00843E08">
            <w:pPr>
              <w:jc w:val="center"/>
              <w:cnfStyle w:val="000000100000" w:firstRow="0" w:lastRow="0" w:firstColumn="0" w:lastColumn="0" w:oddVBand="0" w:evenVBand="0" w:oddHBand="1" w:evenHBand="0" w:firstRowFirstColumn="0" w:firstRowLastColumn="0" w:lastRowFirstColumn="0" w:lastRowLastColumn="0"/>
              <w:rPr>
                <w:rFonts w:cs="Arial"/>
                <w:color w:val="auto"/>
                <w:szCs w:val="18"/>
              </w:rPr>
            </w:pPr>
            <w:r w:rsidRPr="00BC165D">
              <w:rPr>
                <w:rFonts w:cs="Arial"/>
                <w:color w:val="auto"/>
                <w:szCs w:val="18"/>
              </w:rPr>
              <w:t>2.4</w:t>
            </w:r>
          </w:p>
        </w:tc>
      </w:tr>
    </w:tbl>
    <w:p w14:paraId="4B252872" w14:textId="77777777" w:rsidR="00E92AB8" w:rsidRDefault="00E92AB8" w:rsidP="00BB2A28">
      <w:pPr>
        <w:spacing w:line="276" w:lineRule="auto"/>
        <w:rPr>
          <w:rFonts w:cs="Arial"/>
          <w:szCs w:val="18"/>
          <w:lang w:val="en-US"/>
        </w:rPr>
      </w:pPr>
    </w:p>
    <w:p w14:paraId="3F0892BD" w14:textId="000B4365" w:rsidR="0043777D" w:rsidRDefault="00E92AB8" w:rsidP="00BB2A28">
      <w:pPr>
        <w:spacing w:line="276" w:lineRule="auto"/>
        <w:rPr>
          <w:rFonts w:ascii="Times New Roman" w:hAnsi="Times New Roman"/>
          <w:color w:val="FF0000"/>
          <w:sz w:val="24"/>
          <w:szCs w:val="24"/>
          <w:lang w:val="en-US"/>
        </w:rPr>
      </w:pPr>
      <w:r w:rsidRPr="00E92AB8">
        <w:rPr>
          <w:rFonts w:cs="Arial"/>
          <w:szCs w:val="18"/>
          <w:lang w:val="en-US"/>
        </w:rPr>
        <w:lastRenderedPageBreak/>
        <w:t>According to the parameters analyzed and compared with the category 3 environmental quality standards (Peruvian norm), they exceed the permitted range.</w:t>
      </w:r>
    </w:p>
    <w:p w14:paraId="46F2421D" w14:textId="4D03A933" w:rsidR="0043777D" w:rsidRPr="00693720" w:rsidRDefault="0043777D" w:rsidP="0043777D">
      <w:pPr>
        <w:pStyle w:val="Descripcin"/>
        <w:keepNext/>
        <w:rPr>
          <w:b w:val="0"/>
          <w:bCs w:val="0"/>
          <w:i/>
          <w:iCs/>
          <w:color w:val="auto"/>
          <w:lang w:val="en-US"/>
        </w:rPr>
      </w:pPr>
      <w:r w:rsidRPr="00BC165D">
        <w:rPr>
          <w:b w:val="0"/>
          <w:bCs w:val="0"/>
          <w:i/>
          <w:color w:val="auto"/>
          <w:lang w:val="en-US"/>
        </w:rPr>
        <w:t xml:space="preserve">Table </w:t>
      </w:r>
      <w:r w:rsidR="00A31272">
        <w:rPr>
          <w:b w:val="0"/>
          <w:bCs w:val="0"/>
          <w:i/>
          <w:color w:val="auto"/>
          <w:lang w:val="en-US"/>
        </w:rPr>
        <w:t>3</w:t>
      </w:r>
      <w:r w:rsidRPr="00BC165D">
        <w:rPr>
          <w:b w:val="0"/>
          <w:bCs w:val="0"/>
          <w:i/>
          <w:color w:val="auto"/>
          <w:lang w:val="en-US"/>
        </w:rPr>
        <w:t>:</w:t>
      </w:r>
      <w:r w:rsidRPr="00693720">
        <w:rPr>
          <w:b w:val="0"/>
          <w:bCs w:val="0"/>
          <w:i/>
          <w:iCs/>
          <w:color w:val="auto"/>
          <w:lang w:val="en-US"/>
        </w:rPr>
        <w:t xml:space="preserve"> </w:t>
      </w:r>
      <w:r w:rsidR="00843E08" w:rsidRPr="00693720">
        <w:rPr>
          <w:b w:val="0"/>
          <w:bCs w:val="0"/>
          <w:i/>
          <w:iCs/>
          <w:color w:val="auto"/>
          <w:lang w:val="en-US"/>
        </w:rPr>
        <w:t>A</w:t>
      </w:r>
      <w:r w:rsidRPr="00693720">
        <w:rPr>
          <w:b w:val="0"/>
          <w:bCs w:val="0"/>
          <w:i/>
          <w:iCs/>
          <w:color w:val="auto"/>
          <w:lang w:val="en-US"/>
        </w:rPr>
        <w:t xml:space="preserve">nalysis </w:t>
      </w:r>
      <w:r w:rsidR="002A0D02" w:rsidRPr="00693720">
        <w:rPr>
          <w:b w:val="0"/>
          <w:bCs w:val="0"/>
          <w:i/>
          <w:iCs/>
          <w:color w:val="auto"/>
          <w:lang w:val="en-US"/>
        </w:rPr>
        <w:t>of waste</w:t>
      </w:r>
      <w:r w:rsidR="00843E08" w:rsidRPr="00693720">
        <w:rPr>
          <w:b w:val="0"/>
          <w:bCs w:val="0"/>
          <w:i/>
          <w:iCs/>
          <w:color w:val="auto"/>
          <w:lang w:val="en-US"/>
        </w:rPr>
        <w:t xml:space="preserve">water </w:t>
      </w:r>
      <w:r w:rsidRPr="00693720">
        <w:rPr>
          <w:b w:val="0"/>
          <w:bCs w:val="0"/>
          <w:i/>
          <w:iCs/>
          <w:color w:val="auto"/>
          <w:lang w:val="en-US"/>
        </w:rPr>
        <w:t>with the treatments after 7 days</w:t>
      </w:r>
    </w:p>
    <w:tbl>
      <w:tblPr>
        <w:tblStyle w:val="Tabladelista6concolores1"/>
        <w:tblW w:w="8639" w:type="dxa"/>
        <w:tblBorders>
          <w:top w:val="none" w:sz="0" w:space="0" w:color="auto"/>
          <w:bottom w:val="none" w:sz="0" w:space="0" w:color="auto"/>
        </w:tblBorders>
        <w:tblLook w:val="04A0" w:firstRow="1" w:lastRow="0" w:firstColumn="1" w:lastColumn="0" w:noHBand="0" w:noVBand="1"/>
      </w:tblPr>
      <w:tblGrid>
        <w:gridCol w:w="3678"/>
        <w:gridCol w:w="992"/>
        <w:gridCol w:w="851"/>
        <w:gridCol w:w="955"/>
        <w:gridCol w:w="1087"/>
        <w:gridCol w:w="1076"/>
      </w:tblGrid>
      <w:tr w:rsidR="00693720" w:rsidRPr="00693720" w14:paraId="1053BEDE" w14:textId="77777777" w:rsidTr="00843E08">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678"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56DF2A20" w14:textId="77777777" w:rsidR="0043777D" w:rsidRPr="00693720" w:rsidRDefault="007A06AA" w:rsidP="00EB0D76">
            <w:pPr>
              <w:rPr>
                <w:b w:val="0"/>
                <w:bCs w:val="0"/>
                <w:color w:val="auto"/>
                <w:szCs w:val="18"/>
              </w:rPr>
            </w:pPr>
            <w:r w:rsidRPr="00693720">
              <w:rPr>
                <w:b w:val="0"/>
                <w:bCs w:val="0"/>
                <w:color w:val="auto"/>
                <w:szCs w:val="18"/>
              </w:rPr>
              <w:t>Parameter</w:t>
            </w:r>
          </w:p>
        </w:tc>
        <w:tc>
          <w:tcPr>
            <w:tcW w:w="992"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hideMark/>
          </w:tcPr>
          <w:p w14:paraId="4A5FF46D" w14:textId="77777777" w:rsidR="0043777D" w:rsidRPr="00693720" w:rsidRDefault="0043777D" w:rsidP="00EB0D76">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693720">
              <w:rPr>
                <w:b w:val="0"/>
                <w:bCs w:val="0"/>
                <w:color w:val="auto"/>
                <w:szCs w:val="18"/>
              </w:rPr>
              <w:t xml:space="preserve">T1: MM </w:t>
            </w:r>
          </w:p>
          <w:p w14:paraId="5E30DB87" w14:textId="77777777" w:rsidR="0043777D" w:rsidRPr="00693720" w:rsidRDefault="0043777D" w:rsidP="00EB0D76">
            <w:pPr>
              <w:jc w:val="center"/>
              <w:cnfStyle w:val="100000000000" w:firstRow="1" w:lastRow="0" w:firstColumn="0" w:lastColumn="0" w:oddVBand="0" w:evenVBand="0" w:oddHBand="0" w:evenHBand="0" w:firstRowFirstColumn="0" w:firstRowLastColumn="0" w:lastRowFirstColumn="0" w:lastRowLastColumn="0"/>
              <w:rPr>
                <w:color w:val="auto"/>
                <w:szCs w:val="18"/>
              </w:rPr>
            </w:pPr>
            <w:r w:rsidRPr="00693720">
              <w:rPr>
                <w:b w:val="0"/>
                <w:bCs w:val="0"/>
                <w:color w:val="auto"/>
                <w:szCs w:val="18"/>
              </w:rPr>
              <w:t>300mL</w:t>
            </w:r>
          </w:p>
          <w:p w14:paraId="1362B365" w14:textId="77777777" w:rsidR="0043777D" w:rsidRPr="00693720" w:rsidRDefault="0043777D" w:rsidP="00EB0D76">
            <w:pPr>
              <w:jc w:val="center"/>
              <w:cnfStyle w:val="100000000000" w:firstRow="1" w:lastRow="0" w:firstColumn="0" w:lastColumn="0" w:oddVBand="0" w:evenVBand="0" w:oddHBand="0" w:evenHBand="0" w:firstRowFirstColumn="0" w:firstRowLastColumn="0" w:lastRowFirstColumn="0" w:lastRowLastColumn="0"/>
              <w:rPr>
                <w:b w:val="0"/>
                <w:bCs w:val="0"/>
                <w:color w:val="auto"/>
                <w:szCs w:val="18"/>
              </w:rPr>
            </w:pPr>
          </w:p>
        </w:tc>
        <w:tc>
          <w:tcPr>
            <w:tcW w:w="851" w:type="dxa"/>
            <w:vMerge w:val="restart"/>
            <w:tcBorders>
              <w:top w:val="single" w:sz="8" w:space="0" w:color="00B050"/>
              <w:left w:val="single" w:sz="6" w:space="0" w:color="FFFFFF" w:themeColor="background1"/>
              <w:right w:val="single" w:sz="6" w:space="0" w:color="FFFFFF" w:themeColor="background1"/>
            </w:tcBorders>
            <w:shd w:val="clear" w:color="auto" w:fill="auto"/>
            <w:noWrap/>
            <w:vAlign w:val="center"/>
          </w:tcPr>
          <w:p w14:paraId="4C88EC01" w14:textId="77777777" w:rsidR="0043777D" w:rsidRPr="00693720" w:rsidRDefault="0043777D" w:rsidP="00EB0D76">
            <w:pPr>
              <w:jc w:val="center"/>
              <w:cnfStyle w:val="100000000000" w:firstRow="1" w:lastRow="0" w:firstColumn="0" w:lastColumn="0" w:oddVBand="0" w:evenVBand="0" w:oddHBand="0" w:evenHBand="0" w:firstRowFirstColumn="0" w:firstRowLastColumn="0" w:lastRowFirstColumn="0" w:lastRowLastColumn="0"/>
              <w:rPr>
                <w:b w:val="0"/>
                <w:bCs w:val="0"/>
                <w:color w:val="auto"/>
                <w:szCs w:val="18"/>
              </w:rPr>
            </w:pPr>
            <w:r w:rsidRPr="00693720">
              <w:rPr>
                <w:b w:val="0"/>
                <w:bCs w:val="0"/>
                <w:color w:val="auto"/>
                <w:szCs w:val="18"/>
              </w:rPr>
              <w:t>T2: MM 400mL</w:t>
            </w:r>
          </w:p>
        </w:tc>
        <w:tc>
          <w:tcPr>
            <w:tcW w:w="955" w:type="dxa"/>
            <w:vMerge w:val="restart"/>
            <w:tcBorders>
              <w:top w:val="single" w:sz="8" w:space="0" w:color="00B050"/>
              <w:left w:val="single" w:sz="6" w:space="0" w:color="FFFFFF" w:themeColor="background1"/>
              <w:right w:val="single" w:sz="6" w:space="0" w:color="FFFFFF" w:themeColor="background1"/>
            </w:tcBorders>
            <w:vAlign w:val="center"/>
          </w:tcPr>
          <w:p w14:paraId="3BD2B2B0" w14:textId="77777777" w:rsidR="0043777D" w:rsidRPr="00693720" w:rsidRDefault="0043777D" w:rsidP="00EB0D76">
            <w:pPr>
              <w:jc w:val="center"/>
              <w:cnfStyle w:val="100000000000" w:firstRow="1" w:lastRow="0" w:firstColumn="0" w:lastColumn="0" w:oddVBand="0" w:evenVBand="0" w:oddHBand="0" w:evenHBand="0" w:firstRowFirstColumn="0" w:firstRowLastColumn="0" w:lastRowFirstColumn="0" w:lastRowLastColumn="0"/>
              <w:rPr>
                <w:b w:val="0"/>
                <w:bCs w:val="0"/>
                <w:color w:val="auto"/>
                <w:szCs w:val="18"/>
              </w:rPr>
            </w:pPr>
            <w:r w:rsidRPr="00693720">
              <w:rPr>
                <w:b w:val="0"/>
                <w:bCs w:val="0"/>
                <w:color w:val="auto"/>
                <w:szCs w:val="18"/>
              </w:rPr>
              <w:t>T3: NaOH</w:t>
            </w:r>
          </w:p>
          <w:p w14:paraId="1D1DD8FD" w14:textId="77777777" w:rsidR="0043777D" w:rsidRPr="00693720" w:rsidRDefault="0043777D" w:rsidP="00EB0D76">
            <w:pPr>
              <w:jc w:val="center"/>
              <w:cnfStyle w:val="100000000000" w:firstRow="1" w:lastRow="0" w:firstColumn="0" w:lastColumn="0" w:oddVBand="0" w:evenVBand="0" w:oddHBand="0" w:evenHBand="0" w:firstRowFirstColumn="0" w:firstRowLastColumn="0" w:lastRowFirstColumn="0" w:lastRowLastColumn="0"/>
              <w:rPr>
                <w:b w:val="0"/>
                <w:bCs w:val="0"/>
                <w:color w:val="auto"/>
                <w:szCs w:val="18"/>
              </w:rPr>
            </w:pPr>
            <w:r w:rsidRPr="00693720">
              <w:rPr>
                <w:b w:val="0"/>
                <w:bCs w:val="0"/>
                <w:color w:val="auto"/>
                <w:szCs w:val="18"/>
              </w:rPr>
              <w:t>20%</w:t>
            </w:r>
          </w:p>
        </w:tc>
        <w:tc>
          <w:tcPr>
            <w:tcW w:w="2163" w:type="dxa"/>
            <w:gridSpan w:val="2"/>
            <w:tcBorders>
              <w:top w:val="single" w:sz="8"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D1A2D97" w14:textId="77777777" w:rsidR="0043777D" w:rsidRPr="00693720" w:rsidRDefault="0043777D" w:rsidP="007A06AA">
            <w:pPr>
              <w:jc w:val="center"/>
              <w:cnfStyle w:val="100000000000" w:firstRow="1" w:lastRow="0" w:firstColumn="0" w:lastColumn="0" w:oddVBand="0" w:evenVBand="0" w:oddHBand="0" w:evenHBand="0" w:firstRowFirstColumn="0" w:firstRowLastColumn="0" w:lastRowFirstColumn="0" w:lastRowLastColumn="0"/>
              <w:rPr>
                <w:b w:val="0"/>
                <w:bCs w:val="0"/>
                <w:color w:val="auto"/>
                <w:szCs w:val="18"/>
              </w:rPr>
            </w:pPr>
            <w:r w:rsidRPr="00693720">
              <w:rPr>
                <w:b w:val="0"/>
                <w:bCs w:val="0"/>
                <w:color w:val="auto"/>
                <w:szCs w:val="18"/>
              </w:rPr>
              <w:t>ECA-</w:t>
            </w:r>
            <w:r w:rsidR="007A06AA" w:rsidRPr="00693720">
              <w:rPr>
                <w:rFonts w:asciiTheme="minorHAnsi" w:hAnsiTheme="minorHAnsi" w:cstheme="minorHAnsi"/>
                <w:b w:val="0"/>
                <w:bCs w:val="0"/>
                <w:color w:val="auto"/>
                <w:szCs w:val="18"/>
              </w:rPr>
              <w:t xml:space="preserve"> Water/category</w:t>
            </w:r>
            <w:r w:rsidRPr="00693720">
              <w:rPr>
                <w:b w:val="0"/>
                <w:bCs w:val="0"/>
                <w:color w:val="auto"/>
                <w:szCs w:val="18"/>
              </w:rPr>
              <w:t xml:space="preserve"> 3</w:t>
            </w:r>
          </w:p>
        </w:tc>
      </w:tr>
      <w:tr w:rsidR="00693720" w:rsidRPr="00693720" w14:paraId="6DC267B2" w14:textId="77777777" w:rsidTr="00843E08">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678"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77CE0949" w14:textId="77777777" w:rsidR="0043777D" w:rsidRPr="00693720" w:rsidRDefault="0043777D" w:rsidP="00EB0D76">
            <w:pPr>
              <w:rPr>
                <w:color w:val="auto"/>
                <w:szCs w:val="18"/>
              </w:rPr>
            </w:pPr>
          </w:p>
        </w:tc>
        <w:tc>
          <w:tcPr>
            <w:tcW w:w="992"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36473007"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p>
        </w:tc>
        <w:tc>
          <w:tcPr>
            <w:tcW w:w="851" w:type="dxa"/>
            <w:vMerge/>
            <w:tcBorders>
              <w:left w:val="single" w:sz="6" w:space="0" w:color="FFFFFF" w:themeColor="background1"/>
              <w:bottom w:val="single" w:sz="6" w:space="0" w:color="00B050"/>
              <w:right w:val="single" w:sz="6" w:space="0" w:color="FFFFFF" w:themeColor="background1"/>
            </w:tcBorders>
            <w:shd w:val="clear" w:color="auto" w:fill="auto"/>
            <w:noWrap/>
            <w:vAlign w:val="center"/>
          </w:tcPr>
          <w:p w14:paraId="640A55C8"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p>
        </w:tc>
        <w:tc>
          <w:tcPr>
            <w:tcW w:w="955" w:type="dxa"/>
            <w:vMerge/>
            <w:tcBorders>
              <w:left w:val="single" w:sz="6" w:space="0" w:color="FFFFFF" w:themeColor="background1"/>
              <w:bottom w:val="single" w:sz="6" w:space="0" w:color="00B050"/>
              <w:right w:val="single" w:sz="6" w:space="0" w:color="FFFFFF" w:themeColor="background1"/>
            </w:tcBorders>
          </w:tcPr>
          <w:p w14:paraId="7B89C04E"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p>
        </w:tc>
        <w:tc>
          <w:tcPr>
            <w:tcW w:w="108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6EA36AB1" w14:textId="77777777" w:rsidR="0043777D" w:rsidRPr="00693720" w:rsidRDefault="007A06AA"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Irrigation of vegetables</w:t>
            </w:r>
          </w:p>
        </w:tc>
        <w:tc>
          <w:tcPr>
            <w:tcW w:w="1076"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0E40F9F8" w14:textId="77777777" w:rsidR="0043777D" w:rsidRPr="00693720" w:rsidRDefault="007A06AA"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Drinks for animals</w:t>
            </w:r>
          </w:p>
        </w:tc>
      </w:tr>
      <w:tr w:rsidR="00693720" w:rsidRPr="00693720" w14:paraId="2CA07DB3" w14:textId="77777777" w:rsidTr="00071248">
        <w:trPr>
          <w:trHeight w:val="343"/>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5611183D" w14:textId="77777777" w:rsidR="0043777D" w:rsidRPr="00693720" w:rsidRDefault="00843E08" w:rsidP="00EB0D76">
            <w:pPr>
              <w:rPr>
                <w:b w:val="0"/>
                <w:bCs w:val="0"/>
                <w:color w:val="auto"/>
                <w:szCs w:val="18"/>
                <w:lang w:val="en-US"/>
              </w:rPr>
            </w:pPr>
            <w:r w:rsidRPr="00693720">
              <w:rPr>
                <w:b w:val="0"/>
                <w:bCs w:val="0"/>
                <w:color w:val="auto"/>
                <w:szCs w:val="18"/>
              </w:rPr>
              <w:t>Oils and fats</w:t>
            </w:r>
            <w:r w:rsidRPr="00693720">
              <w:rPr>
                <w:color w:val="auto"/>
                <w:szCs w:val="18"/>
                <w:lang w:val="en-US"/>
              </w:rPr>
              <w:t xml:space="preserve"> </w:t>
            </w:r>
            <w:r w:rsidRPr="00693720">
              <w:rPr>
                <w:b w:val="0"/>
                <w:bCs w:val="0"/>
                <w:color w:val="auto"/>
                <w:szCs w:val="18"/>
                <w:lang w:val="en-US"/>
              </w:rPr>
              <w:t>(mg/L)</w:t>
            </w:r>
          </w:p>
        </w:tc>
        <w:tc>
          <w:tcPr>
            <w:tcW w:w="992"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hideMark/>
          </w:tcPr>
          <w:p w14:paraId="68DBD0AC" w14:textId="77777777" w:rsidR="0043777D" w:rsidRPr="00693720" w:rsidRDefault="0043777D" w:rsidP="00EB0D76">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39</w:t>
            </w:r>
          </w:p>
        </w:tc>
        <w:tc>
          <w:tcPr>
            <w:tcW w:w="851"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3E141A2" w14:textId="77777777" w:rsidR="0043777D" w:rsidRPr="00693720" w:rsidRDefault="0043777D" w:rsidP="00EB0D76">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8</w:t>
            </w:r>
          </w:p>
        </w:tc>
        <w:tc>
          <w:tcPr>
            <w:tcW w:w="955" w:type="dxa"/>
            <w:tcBorders>
              <w:top w:val="single" w:sz="6" w:space="0" w:color="00B050"/>
              <w:left w:val="single" w:sz="6" w:space="0" w:color="FFFFFF" w:themeColor="background1"/>
              <w:bottom w:val="single" w:sz="6" w:space="0" w:color="FFFFFF" w:themeColor="background1"/>
              <w:right w:val="single" w:sz="6" w:space="0" w:color="FFFFFF" w:themeColor="background1"/>
            </w:tcBorders>
          </w:tcPr>
          <w:p w14:paraId="039FB3F4" w14:textId="77777777" w:rsidR="0043777D" w:rsidRPr="00693720" w:rsidRDefault="0043777D" w:rsidP="00EB0D76">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31</w:t>
            </w:r>
          </w:p>
        </w:tc>
        <w:tc>
          <w:tcPr>
            <w:tcW w:w="1087"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0C751CA" w14:textId="77777777" w:rsidR="0043777D" w:rsidRPr="00693720" w:rsidRDefault="0043777D" w:rsidP="00EB0D76">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5</w:t>
            </w:r>
          </w:p>
        </w:tc>
        <w:tc>
          <w:tcPr>
            <w:tcW w:w="1076"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tcPr>
          <w:p w14:paraId="19996410" w14:textId="77777777" w:rsidR="0043777D" w:rsidRPr="00693720" w:rsidRDefault="0043777D" w:rsidP="00EB0D76">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10</w:t>
            </w:r>
          </w:p>
        </w:tc>
      </w:tr>
      <w:tr w:rsidR="00693720" w:rsidRPr="00693720" w14:paraId="3A3BE8A3" w14:textId="77777777" w:rsidTr="00071248">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403053C" w14:textId="77777777" w:rsidR="0043777D" w:rsidRPr="00693720" w:rsidRDefault="00843E08" w:rsidP="00EB0D76">
            <w:pPr>
              <w:rPr>
                <w:b w:val="0"/>
                <w:bCs w:val="0"/>
                <w:color w:val="auto"/>
                <w:szCs w:val="18"/>
                <w:lang w:val="en-US"/>
              </w:rPr>
            </w:pPr>
            <w:r w:rsidRPr="00693720">
              <w:rPr>
                <w:b w:val="0"/>
                <w:bCs w:val="0"/>
                <w:color w:val="auto"/>
                <w:szCs w:val="18"/>
              </w:rPr>
              <w:t>Biochemical oxygen demand</w:t>
            </w:r>
            <w:r w:rsidRPr="00693720">
              <w:rPr>
                <w:color w:val="auto"/>
                <w:szCs w:val="18"/>
                <w:lang w:val="en-US"/>
              </w:rPr>
              <w:t xml:space="preserve"> </w:t>
            </w:r>
            <w:r w:rsidRPr="00693720">
              <w:rPr>
                <w:b w:val="0"/>
                <w:bCs w:val="0"/>
                <w:color w:val="auto"/>
                <w:szCs w:val="18"/>
                <w:lang w:val="en-US"/>
              </w:rPr>
              <w:t>(mg/L)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2EC9408"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41</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8F7CA73"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14</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051E8BED"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28</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FEAB705"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15</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6A7C364C" w14:textId="77777777" w:rsidR="0043777D" w:rsidRPr="00693720" w:rsidRDefault="0043777D" w:rsidP="00EB0D76">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15</w:t>
            </w:r>
          </w:p>
        </w:tc>
      </w:tr>
      <w:tr w:rsidR="00693720" w:rsidRPr="00693720" w14:paraId="58D88D4E" w14:textId="77777777" w:rsidTr="00843E08">
        <w:trPr>
          <w:trHeight w:val="275"/>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75885B1" w14:textId="77777777" w:rsidR="00843E08" w:rsidRPr="00693720" w:rsidRDefault="00843E08" w:rsidP="00843E08">
            <w:pPr>
              <w:rPr>
                <w:b w:val="0"/>
                <w:bCs w:val="0"/>
                <w:color w:val="auto"/>
                <w:szCs w:val="18"/>
                <w:lang w:val="en-US"/>
              </w:rPr>
            </w:pPr>
            <w:r w:rsidRPr="00693720">
              <w:rPr>
                <w:b w:val="0"/>
                <w:bCs w:val="0"/>
                <w:color w:val="auto"/>
                <w:szCs w:val="18"/>
              </w:rPr>
              <w:t>Chemical oxygen demand</w:t>
            </w:r>
            <w:r w:rsidRPr="00693720">
              <w:rPr>
                <w:b w:val="0"/>
                <w:bCs w:val="0"/>
                <w:color w:val="auto"/>
                <w:szCs w:val="18"/>
                <w:lang w:val="en-US"/>
              </w:rPr>
              <w:t xml:space="preserve">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A0D8DED"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54</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50A8088"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21</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3EF1CD87"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42</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5D669200"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40</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42FC01A9"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40</w:t>
            </w:r>
          </w:p>
        </w:tc>
      </w:tr>
      <w:tr w:rsidR="00693720" w:rsidRPr="00693720" w14:paraId="392B0A74" w14:textId="77777777" w:rsidTr="00843E0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6B1CC2C" w14:textId="77777777" w:rsidR="00843E08" w:rsidRPr="00693720" w:rsidRDefault="00D018F9" w:rsidP="00843E08">
            <w:pPr>
              <w:rPr>
                <w:b w:val="0"/>
                <w:bCs w:val="0"/>
                <w:color w:val="auto"/>
                <w:szCs w:val="18"/>
              </w:rPr>
            </w:pPr>
            <w:r w:rsidRPr="00693720">
              <w:rPr>
                <w:b w:val="0"/>
                <w:bCs w:val="0"/>
                <w:color w:val="auto"/>
                <w:szCs w:val="18"/>
              </w:rPr>
              <w:t>Aluminum</w:t>
            </w:r>
            <w:r w:rsidR="00843E08" w:rsidRPr="00693720">
              <w:rPr>
                <w:b w:val="0"/>
                <w:bCs w:val="0"/>
                <w:color w:val="auto"/>
                <w:szCs w:val="18"/>
              </w:rPr>
              <w:t xml:space="preserve">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DF2577F"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12</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0513A717"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4</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5DFDCBE2"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19</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6C839595"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5</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0F0E7855"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5</w:t>
            </w:r>
          </w:p>
        </w:tc>
      </w:tr>
      <w:tr w:rsidR="00693720" w:rsidRPr="00693720" w14:paraId="4842DBB8" w14:textId="77777777" w:rsidTr="00843E08">
        <w:trPr>
          <w:trHeight w:val="269"/>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33CD91C" w14:textId="77777777" w:rsidR="00843E08" w:rsidRPr="00693720" w:rsidRDefault="00843E08" w:rsidP="00843E08">
            <w:pPr>
              <w:rPr>
                <w:b w:val="0"/>
                <w:bCs w:val="0"/>
                <w:color w:val="auto"/>
                <w:szCs w:val="18"/>
              </w:rPr>
            </w:pPr>
            <w:r w:rsidRPr="00693720">
              <w:rPr>
                <w:b w:val="0"/>
                <w:bCs w:val="0"/>
                <w:color w:val="auto"/>
                <w:szCs w:val="18"/>
              </w:rPr>
              <w:t>Cadmium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061E044"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1.2</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5E5430F"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0.03</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174A4C53"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1.9</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185ED6A2"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0.01</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095CCD76"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0.05</w:t>
            </w:r>
          </w:p>
        </w:tc>
      </w:tr>
      <w:tr w:rsidR="00693720" w:rsidRPr="00693720" w14:paraId="16004E35" w14:textId="77777777" w:rsidTr="00843E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7F3EFFE" w14:textId="77777777" w:rsidR="00843E08" w:rsidRPr="00693720" w:rsidRDefault="00843E08" w:rsidP="00843E08">
            <w:pPr>
              <w:rPr>
                <w:b w:val="0"/>
                <w:bCs w:val="0"/>
                <w:color w:val="auto"/>
                <w:szCs w:val="18"/>
              </w:rPr>
            </w:pPr>
            <w:r w:rsidRPr="00693720">
              <w:rPr>
                <w:b w:val="0"/>
                <w:bCs w:val="0"/>
                <w:color w:val="auto"/>
                <w:szCs w:val="18"/>
              </w:rPr>
              <w:t>Copper (mg/L)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44ACE6B"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1.2</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74DDD554"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0.3</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7D4DFE75"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1.7</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427D3F4"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0.2</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76FAFE72"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0.5</w:t>
            </w:r>
          </w:p>
        </w:tc>
      </w:tr>
      <w:tr w:rsidR="00693720" w:rsidRPr="00693720" w14:paraId="65478A21" w14:textId="77777777" w:rsidTr="00071248">
        <w:trPr>
          <w:trHeight w:val="141"/>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4C50539" w14:textId="77777777" w:rsidR="00843E08" w:rsidRPr="00693720" w:rsidRDefault="00D018F9" w:rsidP="00843E08">
            <w:pPr>
              <w:rPr>
                <w:b w:val="0"/>
                <w:bCs w:val="0"/>
                <w:color w:val="auto"/>
                <w:szCs w:val="18"/>
              </w:rPr>
            </w:pPr>
            <w:r w:rsidRPr="00693720">
              <w:rPr>
                <w:b w:val="0"/>
                <w:bCs w:val="0"/>
                <w:color w:val="auto"/>
                <w:szCs w:val="18"/>
              </w:rPr>
              <w:t>Chrome</w:t>
            </w:r>
            <w:r w:rsidR="00E960E8" w:rsidRPr="00693720">
              <w:rPr>
                <w:b w:val="0"/>
                <w:bCs w:val="0"/>
                <w:color w:val="auto"/>
                <w:szCs w:val="18"/>
              </w:rPr>
              <w:t xml:space="preserve"> (mg/L) </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35661780"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0.8</w:t>
            </w: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28A06165"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0.2</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2BC515A4"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1.6</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center"/>
          </w:tcPr>
          <w:p w14:paraId="42DC0606"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0.1</w:t>
            </w:r>
          </w:p>
        </w:tc>
        <w:tc>
          <w:tcPr>
            <w:tcW w:w="10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0DDFFF08" w14:textId="77777777" w:rsidR="00843E08" w:rsidRPr="00693720" w:rsidRDefault="00843E08" w:rsidP="00843E08">
            <w:pPr>
              <w:jc w:val="center"/>
              <w:cnfStyle w:val="000000000000" w:firstRow="0" w:lastRow="0" w:firstColumn="0" w:lastColumn="0" w:oddVBand="0" w:evenVBand="0" w:oddHBand="0" w:evenHBand="0" w:firstRowFirstColumn="0" w:firstRowLastColumn="0" w:lastRowFirstColumn="0" w:lastRowLastColumn="0"/>
              <w:rPr>
                <w:color w:val="auto"/>
                <w:szCs w:val="18"/>
              </w:rPr>
            </w:pPr>
            <w:r w:rsidRPr="00693720">
              <w:rPr>
                <w:color w:val="auto"/>
                <w:szCs w:val="18"/>
              </w:rPr>
              <w:t>1</w:t>
            </w:r>
          </w:p>
        </w:tc>
      </w:tr>
      <w:tr w:rsidR="00693720" w:rsidRPr="00693720" w14:paraId="0DD071AE" w14:textId="77777777" w:rsidTr="00843E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78"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048B04FC" w14:textId="77777777" w:rsidR="00843E08" w:rsidRPr="00693720" w:rsidRDefault="00843E08" w:rsidP="00843E08">
            <w:pPr>
              <w:rPr>
                <w:b w:val="0"/>
                <w:bCs w:val="0"/>
                <w:color w:val="auto"/>
                <w:szCs w:val="18"/>
              </w:rPr>
            </w:pPr>
            <w:r w:rsidRPr="00693720">
              <w:rPr>
                <w:b w:val="0"/>
                <w:bCs w:val="0"/>
                <w:color w:val="auto"/>
                <w:szCs w:val="18"/>
              </w:rPr>
              <w:t>Zinc (mg/L)</w:t>
            </w:r>
          </w:p>
        </w:tc>
        <w:tc>
          <w:tcPr>
            <w:tcW w:w="992"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644AE7B9"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1.9</w:t>
            </w:r>
          </w:p>
        </w:tc>
        <w:tc>
          <w:tcPr>
            <w:tcW w:w="851"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28A89C8B"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1.1</w:t>
            </w:r>
          </w:p>
        </w:tc>
        <w:tc>
          <w:tcPr>
            <w:tcW w:w="955"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678A4F65"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2.9</w:t>
            </w:r>
          </w:p>
        </w:tc>
        <w:tc>
          <w:tcPr>
            <w:tcW w:w="1087"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center"/>
          </w:tcPr>
          <w:p w14:paraId="4014B9CC"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2</w:t>
            </w:r>
          </w:p>
        </w:tc>
        <w:tc>
          <w:tcPr>
            <w:tcW w:w="1076"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tcPr>
          <w:p w14:paraId="7628945C" w14:textId="77777777" w:rsidR="00843E08" w:rsidRPr="00693720" w:rsidRDefault="00843E08" w:rsidP="00843E08">
            <w:pPr>
              <w:jc w:val="center"/>
              <w:cnfStyle w:val="000000100000" w:firstRow="0" w:lastRow="0" w:firstColumn="0" w:lastColumn="0" w:oddVBand="0" w:evenVBand="0" w:oddHBand="1" w:evenHBand="0" w:firstRowFirstColumn="0" w:firstRowLastColumn="0" w:lastRowFirstColumn="0" w:lastRowLastColumn="0"/>
              <w:rPr>
                <w:color w:val="auto"/>
                <w:szCs w:val="18"/>
              </w:rPr>
            </w:pPr>
            <w:r w:rsidRPr="00693720">
              <w:rPr>
                <w:color w:val="auto"/>
                <w:szCs w:val="18"/>
              </w:rPr>
              <w:t>2.4</w:t>
            </w:r>
          </w:p>
        </w:tc>
      </w:tr>
    </w:tbl>
    <w:p w14:paraId="10A5D530" w14:textId="77777777" w:rsidR="0043777D" w:rsidRPr="0043777D" w:rsidRDefault="0043777D" w:rsidP="0043777D">
      <w:pPr>
        <w:rPr>
          <w:lang w:val="es-PE"/>
        </w:rPr>
      </w:pPr>
    </w:p>
    <w:p w14:paraId="16591BCA" w14:textId="2D3BB38F" w:rsidR="00071248" w:rsidRDefault="00E92AB8" w:rsidP="00532CC0">
      <w:pPr>
        <w:spacing w:line="276" w:lineRule="auto"/>
        <w:rPr>
          <w:rFonts w:cs="Arial"/>
          <w:szCs w:val="18"/>
          <w:lang w:val="en-US"/>
        </w:rPr>
      </w:pPr>
      <w:r w:rsidRPr="006B4C79">
        <w:rPr>
          <w:rFonts w:cs="Arial"/>
          <w:szCs w:val="18"/>
          <w:lang w:val="en-US"/>
        </w:rPr>
        <w:t>According to the analysis, it is observed that in treatment 2, the values ​​of the wastewater parameters decrease significantly, complying with the category 3 environmental quality standards of the Peruvian Standard.</w:t>
      </w:r>
      <w:r w:rsidR="006B4C79" w:rsidRPr="006B4C79">
        <w:rPr>
          <w:rFonts w:cs="Arial"/>
          <w:szCs w:val="18"/>
          <w:lang w:val="en-US"/>
        </w:rPr>
        <w:t xml:space="preserve"> Mountain microorganisms are of great importance for wastewater remediation due to their ability to degrade various organic and inorganic contaminants present in water (Jiang et al., 2021); these microorganisms are capable of adapting to extreme environmental conditions, such as low temperatures and lack of nutrients, which allows them to survive in mountain aquatic systems and carry out processes of biodegradation and removal of polluting substances in the water</w:t>
      </w:r>
      <w:r w:rsidR="006B4C79">
        <w:rPr>
          <w:rFonts w:cs="Arial"/>
          <w:szCs w:val="18"/>
          <w:lang w:val="en-US"/>
        </w:rPr>
        <w:t xml:space="preserve"> (Wang et al., 2020)</w:t>
      </w:r>
    </w:p>
    <w:p w14:paraId="49203DD4" w14:textId="74F0C05C" w:rsidR="00E92AB8" w:rsidRDefault="00E92AB8" w:rsidP="00532CC0">
      <w:pPr>
        <w:spacing w:line="276" w:lineRule="auto"/>
        <w:rPr>
          <w:rFonts w:cs="Arial"/>
          <w:szCs w:val="18"/>
          <w:lang w:val="en-US"/>
        </w:rPr>
      </w:pPr>
    </w:p>
    <w:p w14:paraId="49175D4E" w14:textId="666436E3" w:rsidR="00107580" w:rsidRPr="00107580" w:rsidRDefault="00E92AB8" w:rsidP="00107580">
      <w:pPr>
        <w:rPr>
          <w:rFonts w:ascii="Times New Roman" w:hAnsi="Times New Roman"/>
          <w:sz w:val="24"/>
          <w:szCs w:val="24"/>
          <w:lang w:val="en-US"/>
        </w:rPr>
      </w:pPr>
      <w:r>
        <w:rPr>
          <w:noProof/>
          <w:lang w:val="en-US"/>
        </w:rPr>
        <w:drawing>
          <wp:anchor distT="0" distB="0" distL="114300" distR="114300" simplePos="0" relativeHeight="251659264" behindDoc="1" locked="0" layoutInCell="1" allowOverlap="1" wp14:anchorId="06471981" wp14:editId="30EA3439">
            <wp:simplePos x="0" y="0"/>
            <wp:positionH relativeFrom="margin">
              <wp:posOffset>35488</wp:posOffset>
            </wp:positionH>
            <wp:positionV relativeFrom="paragraph">
              <wp:posOffset>139185</wp:posOffset>
            </wp:positionV>
            <wp:extent cx="4709160" cy="2621280"/>
            <wp:effectExtent l="0" t="0" r="15240" b="7620"/>
            <wp:wrapTight wrapText="bothSides">
              <wp:wrapPolygon edited="0">
                <wp:start x="0" y="0"/>
                <wp:lineTo x="0" y="21506"/>
                <wp:lineTo x="21583" y="21506"/>
                <wp:lineTo x="21583" y="0"/>
                <wp:lineTo x="0" y="0"/>
              </wp:wrapPolygon>
            </wp:wrapTight>
            <wp:docPr id="1" name="Gráfico 1">
              <a:extLst xmlns:a="http://schemas.openxmlformats.org/drawingml/2006/main">
                <a:ext uri="{FF2B5EF4-FFF2-40B4-BE49-F238E27FC236}">
                  <a16:creationId xmlns:a16="http://schemas.microsoft.com/office/drawing/2014/main" id="{89C76084-0E44-4350-B712-7A7821389F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20635A12" w14:textId="207B0C13" w:rsidR="00107580" w:rsidRPr="00107580" w:rsidRDefault="00107580" w:rsidP="00107580">
      <w:pPr>
        <w:rPr>
          <w:rFonts w:ascii="Times New Roman" w:hAnsi="Times New Roman"/>
          <w:sz w:val="24"/>
          <w:szCs w:val="24"/>
          <w:lang w:val="en-US"/>
        </w:rPr>
      </w:pPr>
    </w:p>
    <w:p w14:paraId="1E832B20" w14:textId="79E607F4" w:rsidR="00107580" w:rsidRPr="00107580" w:rsidRDefault="00107580" w:rsidP="00107580">
      <w:pPr>
        <w:rPr>
          <w:rFonts w:ascii="Times New Roman" w:hAnsi="Times New Roman"/>
          <w:sz w:val="24"/>
          <w:szCs w:val="24"/>
          <w:lang w:val="en-US"/>
        </w:rPr>
      </w:pPr>
    </w:p>
    <w:p w14:paraId="291A2226" w14:textId="77777777" w:rsidR="00107580" w:rsidRPr="00107580" w:rsidRDefault="00107580" w:rsidP="00107580">
      <w:pPr>
        <w:rPr>
          <w:rFonts w:ascii="Times New Roman" w:hAnsi="Times New Roman"/>
          <w:sz w:val="24"/>
          <w:szCs w:val="24"/>
          <w:lang w:val="en-US"/>
        </w:rPr>
      </w:pPr>
    </w:p>
    <w:p w14:paraId="6A9CD622" w14:textId="77777777" w:rsidR="00107580" w:rsidRPr="00107580" w:rsidRDefault="00107580" w:rsidP="00107580">
      <w:pPr>
        <w:rPr>
          <w:rFonts w:ascii="Times New Roman" w:hAnsi="Times New Roman"/>
          <w:sz w:val="24"/>
          <w:szCs w:val="24"/>
          <w:lang w:val="en-US"/>
        </w:rPr>
      </w:pPr>
    </w:p>
    <w:p w14:paraId="1DCFB763" w14:textId="77777777" w:rsidR="00107580" w:rsidRPr="00107580" w:rsidRDefault="00107580" w:rsidP="00107580">
      <w:pPr>
        <w:rPr>
          <w:rFonts w:ascii="Times New Roman" w:hAnsi="Times New Roman"/>
          <w:sz w:val="24"/>
          <w:szCs w:val="24"/>
          <w:lang w:val="en-US"/>
        </w:rPr>
      </w:pPr>
    </w:p>
    <w:p w14:paraId="44BB0D0F" w14:textId="77777777" w:rsidR="00107580" w:rsidRPr="00107580" w:rsidRDefault="00107580" w:rsidP="00107580">
      <w:pPr>
        <w:rPr>
          <w:rFonts w:ascii="Times New Roman" w:hAnsi="Times New Roman"/>
          <w:sz w:val="24"/>
          <w:szCs w:val="24"/>
          <w:lang w:val="en-US"/>
        </w:rPr>
      </w:pPr>
    </w:p>
    <w:p w14:paraId="56F0C5D9" w14:textId="63E30C97" w:rsidR="00107580" w:rsidRPr="00107580" w:rsidRDefault="00107580" w:rsidP="00107580">
      <w:pPr>
        <w:rPr>
          <w:rFonts w:ascii="Times New Roman" w:hAnsi="Times New Roman"/>
          <w:sz w:val="24"/>
          <w:szCs w:val="24"/>
          <w:lang w:val="en-US"/>
        </w:rPr>
      </w:pPr>
    </w:p>
    <w:p w14:paraId="6DE30805" w14:textId="43A98F63" w:rsidR="00107580" w:rsidRPr="00107580" w:rsidRDefault="00107580" w:rsidP="00107580">
      <w:pPr>
        <w:rPr>
          <w:rFonts w:ascii="Times New Roman" w:hAnsi="Times New Roman"/>
          <w:sz w:val="24"/>
          <w:szCs w:val="24"/>
          <w:lang w:val="en-US"/>
        </w:rPr>
      </w:pPr>
    </w:p>
    <w:p w14:paraId="39B7A120" w14:textId="77777777" w:rsidR="00107580" w:rsidRPr="00107580" w:rsidRDefault="00107580" w:rsidP="00107580">
      <w:pPr>
        <w:rPr>
          <w:rFonts w:ascii="Times New Roman" w:hAnsi="Times New Roman"/>
          <w:sz w:val="24"/>
          <w:szCs w:val="24"/>
          <w:lang w:val="en-US"/>
        </w:rPr>
      </w:pPr>
    </w:p>
    <w:p w14:paraId="54AD2576" w14:textId="22B2CD94" w:rsidR="00107580" w:rsidRPr="00107580" w:rsidRDefault="00107580" w:rsidP="00107580">
      <w:pPr>
        <w:rPr>
          <w:rFonts w:ascii="Times New Roman" w:hAnsi="Times New Roman"/>
          <w:sz w:val="24"/>
          <w:szCs w:val="24"/>
          <w:lang w:val="en-US"/>
        </w:rPr>
      </w:pPr>
    </w:p>
    <w:p w14:paraId="37056F98" w14:textId="77777777" w:rsidR="00071248" w:rsidRDefault="00071248" w:rsidP="00107580">
      <w:pPr>
        <w:rPr>
          <w:rFonts w:cs="Arial"/>
          <w:i/>
          <w:iCs/>
          <w:szCs w:val="18"/>
          <w:lang w:val="en-US"/>
        </w:rPr>
      </w:pPr>
    </w:p>
    <w:p w14:paraId="3221022F" w14:textId="77777777" w:rsidR="00E92AB8" w:rsidRDefault="00071248" w:rsidP="00107580">
      <w:pPr>
        <w:rPr>
          <w:rFonts w:cs="Arial"/>
          <w:i/>
          <w:iCs/>
          <w:szCs w:val="18"/>
          <w:lang w:val="en-US"/>
        </w:rPr>
      </w:pPr>
      <w:r>
        <w:rPr>
          <w:rFonts w:cs="Arial"/>
          <w:i/>
          <w:iCs/>
          <w:szCs w:val="18"/>
          <w:lang w:val="en-US"/>
        </w:rPr>
        <w:t xml:space="preserve">    </w:t>
      </w:r>
    </w:p>
    <w:p w14:paraId="1BB7DEED" w14:textId="77777777" w:rsidR="00E92AB8" w:rsidRDefault="00E92AB8" w:rsidP="00107580">
      <w:pPr>
        <w:rPr>
          <w:rFonts w:cs="Arial"/>
          <w:i/>
          <w:iCs/>
          <w:szCs w:val="18"/>
          <w:lang w:val="en-US"/>
        </w:rPr>
      </w:pPr>
    </w:p>
    <w:p w14:paraId="4AC0434B" w14:textId="77777777" w:rsidR="00E92AB8" w:rsidRDefault="00E92AB8" w:rsidP="00107580">
      <w:pPr>
        <w:rPr>
          <w:rFonts w:cs="Arial"/>
          <w:i/>
          <w:iCs/>
          <w:szCs w:val="18"/>
          <w:lang w:val="en-US"/>
        </w:rPr>
      </w:pPr>
    </w:p>
    <w:p w14:paraId="1D2C10A7" w14:textId="77777777" w:rsidR="006B4C79" w:rsidRDefault="006B4C79" w:rsidP="00107580">
      <w:pPr>
        <w:rPr>
          <w:rFonts w:cs="Arial"/>
          <w:i/>
          <w:iCs/>
          <w:szCs w:val="18"/>
          <w:lang w:val="en-US"/>
        </w:rPr>
      </w:pPr>
    </w:p>
    <w:p w14:paraId="407D6809" w14:textId="2D9A8D50" w:rsidR="00E960E8" w:rsidRDefault="00107580" w:rsidP="00107580">
      <w:pPr>
        <w:rPr>
          <w:rFonts w:cs="Arial"/>
          <w:i/>
          <w:iCs/>
          <w:szCs w:val="18"/>
          <w:lang w:val="en-US"/>
        </w:rPr>
      </w:pPr>
      <w:r w:rsidRPr="00BC165D">
        <w:rPr>
          <w:rFonts w:cs="Arial"/>
          <w:i/>
          <w:iCs/>
          <w:szCs w:val="18"/>
          <w:lang w:val="en-US"/>
        </w:rPr>
        <w:t>Figure 1: Percentage of metal removal efficiency at 3 days</w:t>
      </w:r>
    </w:p>
    <w:p w14:paraId="0FBDED72" w14:textId="77777777" w:rsidR="00E92AB8" w:rsidRDefault="00E92AB8" w:rsidP="00107580">
      <w:pPr>
        <w:rPr>
          <w:rFonts w:cs="Arial"/>
          <w:szCs w:val="18"/>
          <w:lang w:val="en-US"/>
        </w:rPr>
      </w:pPr>
    </w:p>
    <w:p w14:paraId="13CD1C0C" w14:textId="52546A55" w:rsidR="001C72C0" w:rsidRDefault="00E92AB8" w:rsidP="00107580">
      <w:pPr>
        <w:rPr>
          <w:rFonts w:ascii="Times New Roman" w:hAnsi="Times New Roman"/>
          <w:i/>
          <w:color w:val="00B050"/>
          <w:sz w:val="24"/>
          <w:szCs w:val="24"/>
          <w:lang w:val="en-US"/>
        </w:rPr>
      </w:pPr>
      <w:r w:rsidRPr="002A755C">
        <w:rPr>
          <w:rFonts w:cs="Arial"/>
          <w:szCs w:val="18"/>
          <w:lang w:val="en-US"/>
        </w:rPr>
        <w:t>The results are shown in T1: (MM 300 mL) aluminum 25%, cadmium 22%, copper 32%, chrome 29%, zinc 39%; in T2: (MM 400 mL) aluminum 55%, cadmium 68%, copper 61%, chrome 54%, zinc 65%; in T3: (NaOH 20%) aluminum 18%, cadmium 13%, copper 25%, chrome 21%, zinc 29%.</w:t>
      </w:r>
      <w:r w:rsidR="002A755C" w:rsidRPr="002A755C">
        <w:t xml:space="preserve"> </w:t>
      </w:r>
      <w:r w:rsidR="002A755C">
        <w:t>T</w:t>
      </w:r>
      <w:r w:rsidR="002A755C" w:rsidRPr="002A755C">
        <w:rPr>
          <w:rFonts w:cs="Arial"/>
          <w:szCs w:val="18"/>
          <w:lang w:val="en-US"/>
        </w:rPr>
        <w:t>reatment 1 and 2 remove the metals by weighing, being an alternative to use in future research</w:t>
      </w:r>
      <w:r w:rsidR="00A31272">
        <w:rPr>
          <w:rFonts w:cs="Arial"/>
          <w:szCs w:val="18"/>
          <w:lang w:val="en-US"/>
        </w:rPr>
        <w:t>.</w:t>
      </w:r>
    </w:p>
    <w:p w14:paraId="3EB9BF18" w14:textId="1DA72025" w:rsidR="001C72C0" w:rsidRPr="001C72C0" w:rsidRDefault="001C72C0" w:rsidP="001C72C0">
      <w:pPr>
        <w:rPr>
          <w:rFonts w:ascii="Times New Roman" w:hAnsi="Times New Roman"/>
          <w:sz w:val="24"/>
          <w:szCs w:val="24"/>
          <w:lang w:val="en-US"/>
        </w:rPr>
      </w:pPr>
    </w:p>
    <w:p w14:paraId="76E4C12D" w14:textId="323AE6DC" w:rsidR="001C72C0" w:rsidRPr="001C72C0" w:rsidRDefault="001C72C0" w:rsidP="001C72C0">
      <w:pPr>
        <w:rPr>
          <w:rFonts w:ascii="Times New Roman" w:hAnsi="Times New Roman"/>
          <w:sz w:val="24"/>
          <w:szCs w:val="24"/>
          <w:lang w:val="en-US"/>
        </w:rPr>
      </w:pPr>
    </w:p>
    <w:p w14:paraId="40D3C3CC" w14:textId="7DE893ED" w:rsidR="001C72C0" w:rsidRPr="001C72C0" w:rsidRDefault="00E92AB8" w:rsidP="001C72C0">
      <w:pPr>
        <w:rPr>
          <w:rFonts w:ascii="Times New Roman" w:hAnsi="Times New Roman"/>
          <w:sz w:val="24"/>
          <w:szCs w:val="24"/>
          <w:lang w:val="en-US"/>
        </w:rPr>
      </w:pPr>
      <w:r>
        <w:rPr>
          <w:noProof/>
          <w:lang w:val="en-US"/>
        </w:rPr>
        <w:lastRenderedPageBreak/>
        <w:drawing>
          <wp:anchor distT="0" distB="0" distL="114300" distR="114300" simplePos="0" relativeHeight="251661312" behindDoc="1" locked="0" layoutInCell="1" allowOverlap="1" wp14:anchorId="4914C5B3" wp14:editId="530F47AA">
            <wp:simplePos x="0" y="0"/>
            <wp:positionH relativeFrom="column">
              <wp:posOffset>0</wp:posOffset>
            </wp:positionH>
            <wp:positionV relativeFrom="paragraph">
              <wp:posOffset>36483</wp:posOffset>
            </wp:positionV>
            <wp:extent cx="5092700" cy="3152140"/>
            <wp:effectExtent l="0" t="0" r="12700" b="10160"/>
            <wp:wrapTight wrapText="bothSides">
              <wp:wrapPolygon edited="0">
                <wp:start x="0" y="0"/>
                <wp:lineTo x="0" y="21539"/>
                <wp:lineTo x="21573" y="21539"/>
                <wp:lineTo x="21573" y="0"/>
                <wp:lineTo x="0" y="0"/>
              </wp:wrapPolygon>
            </wp:wrapTight>
            <wp:docPr id="3" name="Gráfico 3">
              <a:extLst xmlns:a="http://schemas.openxmlformats.org/drawingml/2006/main">
                <a:ext uri="{FF2B5EF4-FFF2-40B4-BE49-F238E27FC236}">
                  <a16:creationId xmlns:a16="http://schemas.microsoft.com/office/drawing/2014/main" id="{4E5DC9BE-4AD4-4581-B705-AFCCC7F172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70B4B0B" w14:textId="77777777" w:rsidR="001C72C0" w:rsidRPr="001C72C0" w:rsidRDefault="001C72C0" w:rsidP="001C72C0">
      <w:pPr>
        <w:rPr>
          <w:rFonts w:ascii="Times New Roman" w:hAnsi="Times New Roman"/>
          <w:sz w:val="24"/>
          <w:szCs w:val="24"/>
          <w:lang w:val="en-US"/>
        </w:rPr>
      </w:pPr>
    </w:p>
    <w:p w14:paraId="274AA7FC" w14:textId="77777777" w:rsidR="001C72C0" w:rsidRPr="001C72C0" w:rsidRDefault="001C72C0" w:rsidP="001C72C0">
      <w:pPr>
        <w:rPr>
          <w:rFonts w:ascii="Times New Roman" w:hAnsi="Times New Roman"/>
          <w:sz w:val="24"/>
          <w:szCs w:val="24"/>
          <w:lang w:val="en-US"/>
        </w:rPr>
      </w:pPr>
    </w:p>
    <w:p w14:paraId="761B30DB" w14:textId="77777777" w:rsidR="001C72C0" w:rsidRPr="001C72C0" w:rsidRDefault="001C72C0" w:rsidP="001C72C0">
      <w:pPr>
        <w:rPr>
          <w:rFonts w:ascii="Times New Roman" w:hAnsi="Times New Roman"/>
          <w:sz w:val="24"/>
          <w:szCs w:val="24"/>
          <w:lang w:val="en-US"/>
        </w:rPr>
      </w:pPr>
    </w:p>
    <w:p w14:paraId="0C2E3840" w14:textId="77777777" w:rsidR="001C72C0" w:rsidRPr="001C72C0" w:rsidRDefault="001C72C0" w:rsidP="001C72C0">
      <w:pPr>
        <w:rPr>
          <w:rFonts w:ascii="Times New Roman" w:hAnsi="Times New Roman"/>
          <w:sz w:val="24"/>
          <w:szCs w:val="24"/>
          <w:lang w:val="en-US"/>
        </w:rPr>
      </w:pPr>
    </w:p>
    <w:p w14:paraId="643097EF" w14:textId="77777777" w:rsidR="001C72C0" w:rsidRPr="001C72C0" w:rsidRDefault="001C72C0" w:rsidP="001C72C0">
      <w:pPr>
        <w:rPr>
          <w:rFonts w:ascii="Times New Roman" w:hAnsi="Times New Roman"/>
          <w:sz w:val="24"/>
          <w:szCs w:val="24"/>
          <w:lang w:val="en-US"/>
        </w:rPr>
      </w:pPr>
    </w:p>
    <w:p w14:paraId="37419DDE" w14:textId="77777777" w:rsidR="001C72C0" w:rsidRPr="001C72C0" w:rsidRDefault="001C72C0" w:rsidP="001C72C0">
      <w:pPr>
        <w:rPr>
          <w:rFonts w:ascii="Times New Roman" w:hAnsi="Times New Roman"/>
          <w:sz w:val="24"/>
          <w:szCs w:val="24"/>
          <w:lang w:val="en-US"/>
        </w:rPr>
      </w:pPr>
    </w:p>
    <w:p w14:paraId="6B5212A8" w14:textId="77777777" w:rsidR="001C72C0" w:rsidRPr="001C72C0" w:rsidRDefault="001C72C0" w:rsidP="001C72C0">
      <w:pPr>
        <w:rPr>
          <w:rFonts w:ascii="Times New Roman" w:hAnsi="Times New Roman"/>
          <w:sz w:val="24"/>
          <w:szCs w:val="24"/>
          <w:lang w:val="en-US"/>
        </w:rPr>
      </w:pPr>
    </w:p>
    <w:p w14:paraId="46A29C09" w14:textId="77777777" w:rsidR="001C72C0" w:rsidRPr="001C72C0" w:rsidRDefault="001C72C0" w:rsidP="001C72C0">
      <w:pPr>
        <w:rPr>
          <w:rFonts w:ascii="Times New Roman" w:hAnsi="Times New Roman"/>
          <w:sz w:val="24"/>
          <w:szCs w:val="24"/>
          <w:lang w:val="en-US"/>
        </w:rPr>
      </w:pPr>
    </w:p>
    <w:p w14:paraId="6748D969" w14:textId="77777777" w:rsidR="001C72C0" w:rsidRPr="001C72C0" w:rsidRDefault="001C72C0" w:rsidP="001C72C0">
      <w:pPr>
        <w:rPr>
          <w:rFonts w:ascii="Times New Roman" w:hAnsi="Times New Roman"/>
          <w:sz w:val="24"/>
          <w:szCs w:val="24"/>
          <w:lang w:val="en-US"/>
        </w:rPr>
      </w:pPr>
    </w:p>
    <w:p w14:paraId="70C990AB" w14:textId="77777777" w:rsidR="001C72C0" w:rsidRPr="001C72C0" w:rsidRDefault="001C72C0" w:rsidP="001C72C0">
      <w:pPr>
        <w:rPr>
          <w:rFonts w:ascii="Times New Roman" w:hAnsi="Times New Roman"/>
          <w:sz w:val="24"/>
          <w:szCs w:val="24"/>
          <w:lang w:val="en-US"/>
        </w:rPr>
      </w:pPr>
    </w:p>
    <w:p w14:paraId="7FBFF62A" w14:textId="77777777" w:rsidR="001C72C0" w:rsidRPr="001C72C0" w:rsidRDefault="001C72C0" w:rsidP="001C72C0">
      <w:pPr>
        <w:rPr>
          <w:rFonts w:ascii="Times New Roman" w:hAnsi="Times New Roman"/>
          <w:sz w:val="24"/>
          <w:szCs w:val="24"/>
          <w:lang w:val="en-US"/>
        </w:rPr>
      </w:pPr>
    </w:p>
    <w:p w14:paraId="0253A7D1" w14:textId="77777777" w:rsidR="001C72C0" w:rsidRPr="001C72C0" w:rsidRDefault="001C72C0" w:rsidP="001C72C0">
      <w:pPr>
        <w:rPr>
          <w:rFonts w:ascii="Times New Roman" w:hAnsi="Times New Roman"/>
          <w:sz w:val="24"/>
          <w:szCs w:val="24"/>
          <w:lang w:val="en-US"/>
        </w:rPr>
      </w:pPr>
    </w:p>
    <w:p w14:paraId="5E59A875" w14:textId="77777777" w:rsidR="001C72C0" w:rsidRPr="001C72C0" w:rsidRDefault="001C72C0" w:rsidP="001C72C0">
      <w:pPr>
        <w:rPr>
          <w:rFonts w:ascii="Times New Roman" w:hAnsi="Times New Roman"/>
          <w:sz w:val="24"/>
          <w:szCs w:val="24"/>
          <w:lang w:val="en-US"/>
        </w:rPr>
      </w:pPr>
    </w:p>
    <w:p w14:paraId="30A07ECD" w14:textId="77777777" w:rsidR="001C72C0" w:rsidRPr="001C72C0" w:rsidRDefault="001C72C0" w:rsidP="001C72C0">
      <w:pPr>
        <w:rPr>
          <w:rFonts w:ascii="Times New Roman" w:hAnsi="Times New Roman"/>
          <w:sz w:val="24"/>
          <w:szCs w:val="24"/>
          <w:lang w:val="en-US"/>
        </w:rPr>
      </w:pPr>
    </w:p>
    <w:p w14:paraId="526DD607" w14:textId="77777777" w:rsidR="00E92AB8" w:rsidRDefault="00E92AB8" w:rsidP="001C72C0">
      <w:pPr>
        <w:rPr>
          <w:rFonts w:cs="Arial"/>
          <w:i/>
          <w:iCs/>
          <w:szCs w:val="18"/>
          <w:lang w:val="en-US"/>
        </w:rPr>
      </w:pPr>
    </w:p>
    <w:p w14:paraId="7C6C8865" w14:textId="77777777" w:rsidR="00E92AB8" w:rsidRDefault="00E92AB8" w:rsidP="001C72C0">
      <w:pPr>
        <w:rPr>
          <w:rFonts w:cs="Arial"/>
          <w:i/>
          <w:iCs/>
          <w:szCs w:val="18"/>
          <w:lang w:val="en-US"/>
        </w:rPr>
      </w:pPr>
    </w:p>
    <w:p w14:paraId="696BB7DF" w14:textId="77777777" w:rsidR="00E92AB8" w:rsidRDefault="00E92AB8" w:rsidP="001C72C0">
      <w:pPr>
        <w:rPr>
          <w:rFonts w:cs="Arial"/>
          <w:i/>
          <w:iCs/>
          <w:szCs w:val="18"/>
          <w:lang w:val="en-US"/>
        </w:rPr>
      </w:pPr>
    </w:p>
    <w:p w14:paraId="182D5757" w14:textId="6AB97FE1" w:rsidR="001C72C0" w:rsidRPr="00BC165D" w:rsidRDefault="001C72C0" w:rsidP="001C72C0">
      <w:pPr>
        <w:rPr>
          <w:rFonts w:cs="Arial"/>
          <w:i/>
          <w:iCs/>
          <w:szCs w:val="18"/>
          <w:lang w:val="en-US"/>
        </w:rPr>
      </w:pPr>
      <w:r w:rsidRPr="00BC165D">
        <w:rPr>
          <w:rFonts w:cs="Arial"/>
          <w:i/>
          <w:iCs/>
          <w:szCs w:val="18"/>
          <w:lang w:val="en-US"/>
        </w:rPr>
        <w:t>Figure 2: Percentage of metal removal efficiency at 7 days</w:t>
      </w:r>
    </w:p>
    <w:p w14:paraId="17431FBB" w14:textId="77777777" w:rsidR="000E50D9" w:rsidRDefault="000E50D9" w:rsidP="001C72C0">
      <w:pPr>
        <w:rPr>
          <w:rFonts w:cs="Arial"/>
          <w:iCs/>
          <w:szCs w:val="18"/>
          <w:lang w:val="en-US"/>
        </w:rPr>
      </w:pPr>
    </w:p>
    <w:p w14:paraId="1E7C686B" w14:textId="45742D44" w:rsidR="00AF0739" w:rsidRPr="000E50D9" w:rsidRDefault="000E50D9" w:rsidP="001C72C0">
      <w:pPr>
        <w:rPr>
          <w:rFonts w:cs="Arial"/>
          <w:iCs/>
          <w:szCs w:val="18"/>
          <w:lang w:val="en-US"/>
        </w:rPr>
      </w:pPr>
      <w:r w:rsidRPr="00A31272">
        <w:rPr>
          <w:rFonts w:cs="Arial"/>
          <w:iCs/>
          <w:szCs w:val="18"/>
          <w:lang w:val="en-US"/>
        </w:rPr>
        <w:t>The experimental treatments at 7 days in T1: (MM 300 mL) aluminum 57%, cadmium 63%, copper 57%, chrome 67%, zinc 63%; in T2: (MM 400 mL) aluminum 86%, cadmium 99%, copper 89%, chrome 92%, zinc 79%; in T3: (NaOH 20%) aluminum 32%, cadmium 41%, copper 39%, chrome 33%, zinc 43%.</w:t>
      </w:r>
      <w:r w:rsidR="00A31272" w:rsidRPr="00A31272">
        <w:rPr>
          <w:rFonts w:cs="Arial"/>
          <w:iCs/>
          <w:szCs w:val="18"/>
          <w:lang w:val="en-US"/>
        </w:rPr>
        <w:t xml:space="preserve"> Mountain microorganisms have also demonstrated their ability to remove heavy metals in water, including cadmium, copper, zinc, nickel, lead, mercury, and chromium these microorganisms have the ability to adsorb and precipitate heavy metals in their cells and in the products of their metabolism, as well as transform them into less toxic forms for the environment (Sari et al., 2021); in addition, it has also been found that these microorganisms can increase the effectiveness of other heavy metal removal methods in water, such as chemical precipitation and electrocoagulation</w:t>
      </w:r>
      <w:r w:rsidR="00A31272">
        <w:rPr>
          <w:rFonts w:cs="Arial"/>
          <w:iCs/>
          <w:szCs w:val="18"/>
          <w:lang w:val="en-US"/>
        </w:rPr>
        <w:t xml:space="preserve"> (Dubey et al., 2021)</w:t>
      </w:r>
    </w:p>
    <w:p w14:paraId="77B6A836" w14:textId="77777777" w:rsidR="00523841" w:rsidRDefault="00523841" w:rsidP="00B238BB">
      <w:pPr>
        <w:pStyle w:val="CETHeading1"/>
      </w:pPr>
      <w:r w:rsidRPr="00523841">
        <w:t>Conclusions</w:t>
      </w:r>
    </w:p>
    <w:p w14:paraId="4183E620" w14:textId="77777777" w:rsidR="00523841" w:rsidRPr="00DD28F9" w:rsidRDefault="00523841" w:rsidP="00BC165D">
      <w:pPr>
        <w:spacing w:line="276" w:lineRule="auto"/>
        <w:rPr>
          <w:rFonts w:cs="Arial"/>
          <w:szCs w:val="18"/>
          <w:lang w:val="en-US"/>
        </w:rPr>
      </w:pPr>
      <w:r w:rsidRPr="00DD28F9">
        <w:rPr>
          <w:rFonts w:cs="Arial"/>
          <w:szCs w:val="18"/>
          <w:lang w:val="en-US"/>
        </w:rPr>
        <w:t>A sample of wastewater was analyzed, obtaining the result of 8 parameters. Among them, inorganic metals, compared with the Peruvian norm of quality standards, the values exceed the permitted ranges.</w:t>
      </w:r>
    </w:p>
    <w:p w14:paraId="7C2033D6" w14:textId="77777777" w:rsidR="00523841" w:rsidRPr="00DD28F9" w:rsidRDefault="00523841" w:rsidP="00BC165D">
      <w:pPr>
        <w:spacing w:line="276" w:lineRule="auto"/>
        <w:rPr>
          <w:rFonts w:cs="Arial"/>
          <w:szCs w:val="18"/>
          <w:lang w:val="en-US"/>
        </w:rPr>
      </w:pPr>
      <w:r w:rsidRPr="00DD28F9">
        <w:rPr>
          <w:rFonts w:cs="Arial"/>
          <w:szCs w:val="18"/>
          <w:lang w:val="en-US"/>
        </w:rPr>
        <w:t>Three experimental treatments were applied and evaluated at 3 and 7 days with the purpose of eliminating heavy metals from wastewater. It is evident that treatment 2 decreases the values of wastewater parameters, complying with the environmental quality standards category 3 of the Peruvian Standard.</w:t>
      </w:r>
    </w:p>
    <w:p w14:paraId="7A718D41" w14:textId="77777777" w:rsidR="00523841" w:rsidRPr="00DD28F9" w:rsidRDefault="00523841" w:rsidP="00BC165D">
      <w:pPr>
        <w:spacing w:line="276" w:lineRule="auto"/>
        <w:rPr>
          <w:rFonts w:cs="Arial"/>
          <w:szCs w:val="18"/>
          <w:lang w:val="en-US"/>
        </w:rPr>
      </w:pPr>
      <w:r w:rsidRPr="00DD28F9">
        <w:rPr>
          <w:rFonts w:cs="Arial"/>
          <w:szCs w:val="18"/>
          <w:lang w:val="en-US"/>
        </w:rPr>
        <w:t>Finally, treatment 2 at an evaluation of 7 days has a high percentage of metal removal, being an alternative for the treat</w:t>
      </w:r>
      <w:r w:rsidR="00B238BB" w:rsidRPr="00DD28F9">
        <w:rPr>
          <w:rFonts w:cs="Arial"/>
          <w:szCs w:val="18"/>
          <w:lang w:val="en-US"/>
        </w:rPr>
        <w:t>ment of wastewater discharges from</w:t>
      </w:r>
      <w:r w:rsidRPr="00DD28F9">
        <w:rPr>
          <w:rFonts w:cs="Arial"/>
          <w:szCs w:val="18"/>
          <w:lang w:val="en-US"/>
        </w:rPr>
        <w:t xml:space="preserve"> effluents.</w:t>
      </w:r>
    </w:p>
    <w:p w14:paraId="6539F0F8" w14:textId="77777777" w:rsidR="00523841" w:rsidRPr="00DD28F9" w:rsidRDefault="00523841" w:rsidP="00523841">
      <w:pPr>
        <w:spacing w:line="276" w:lineRule="auto"/>
        <w:rPr>
          <w:rFonts w:ascii="Times New Roman" w:hAnsi="Times New Roman"/>
          <w:sz w:val="24"/>
          <w:szCs w:val="24"/>
          <w:lang w:val="en-US"/>
        </w:rPr>
      </w:pPr>
    </w:p>
    <w:p w14:paraId="7ADE544C" w14:textId="77777777" w:rsidR="00523841" w:rsidRPr="0053508F" w:rsidRDefault="00523841" w:rsidP="00523841">
      <w:pPr>
        <w:pStyle w:val="CETBodytext"/>
        <w:jc w:val="left"/>
        <w:rPr>
          <w:rFonts w:eastAsiaTheme="minorHAnsi" w:cs="Arial"/>
          <w:b/>
          <w:bCs/>
          <w:sz w:val="20"/>
          <w:lang w:val="en-GB"/>
        </w:rPr>
      </w:pPr>
      <w:r w:rsidRPr="0053508F">
        <w:rPr>
          <w:rFonts w:eastAsiaTheme="minorHAnsi" w:cs="Arial"/>
          <w:b/>
          <w:bCs/>
          <w:sz w:val="20"/>
          <w:lang w:val="en-GB"/>
        </w:rPr>
        <w:t>References</w:t>
      </w:r>
    </w:p>
    <w:p w14:paraId="5BC67771" w14:textId="77777777" w:rsidR="00523841" w:rsidRPr="0053508F" w:rsidRDefault="00523841" w:rsidP="00523841">
      <w:pPr>
        <w:pStyle w:val="CETBodytext"/>
        <w:jc w:val="left"/>
        <w:rPr>
          <w:rFonts w:eastAsiaTheme="minorHAnsi" w:cs="Arial"/>
          <w:b/>
          <w:bCs/>
          <w:szCs w:val="18"/>
          <w:lang w:val="en-GB"/>
        </w:rPr>
      </w:pPr>
    </w:p>
    <w:p w14:paraId="67E10E9A" w14:textId="34FDE92D" w:rsidR="00523841" w:rsidRPr="00DD28F9" w:rsidRDefault="00523841" w:rsidP="00523841">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Ang W.L., Mohammad A.W., 2020, </w:t>
      </w:r>
      <w:r w:rsidR="00F93AB2" w:rsidRPr="00DD28F9">
        <w:rPr>
          <w:rFonts w:eastAsiaTheme="minorHAnsi" w:cs="Arial"/>
          <w:szCs w:val="18"/>
          <w:lang w:val="en-GB"/>
        </w:rPr>
        <w:t>State of the art and sustainability of natural coagulants in the treatment of water and wastewater,</w:t>
      </w:r>
      <w:r w:rsidRPr="00DD28F9">
        <w:rPr>
          <w:rFonts w:eastAsiaTheme="minorHAnsi" w:cs="Arial"/>
          <w:szCs w:val="18"/>
          <w:lang w:val="en-GB"/>
        </w:rPr>
        <w:t xml:space="preserve"> Journal of Cleaner Production, 262, 121267.</w:t>
      </w:r>
    </w:p>
    <w:p w14:paraId="3FFA2102" w14:textId="77777777" w:rsidR="00523841" w:rsidRPr="00DD28F9" w:rsidRDefault="00523841" w:rsidP="00523841">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Ayme M.V., Castaneda C.A., Benites E.G., 2022, Eichhornia Crassipes y Pistia Stratiotes as Biosorbents for Lead, Copper and Zinc in Wastewater Treatment, Chemical Engineering Transactions, 93, 19­24. </w:t>
      </w:r>
    </w:p>
    <w:p w14:paraId="79D11540" w14:textId="157DF456" w:rsidR="00523841" w:rsidRPr="00DD28F9" w:rsidRDefault="00523841" w:rsidP="00523841">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Baquerizo M., Acuña M., Solis M., 2019, </w:t>
      </w:r>
      <w:r w:rsidR="00F93AB2" w:rsidRPr="00DD28F9">
        <w:rPr>
          <w:rFonts w:eastAsiaTheme="minorHAnsi" w:cs="Arial"/>
          <w:szCs w:val="18"/>
          <w:lang w:val="en-GB"/>
        </w:rPr>
        <w:t>River pollution: the case of the Guayas River and its tributary</w:t>
      </w:r>
      <w:r w:rsidRPr="00DD28F9">
        <w:rPr>
          <w:rFonts w:eastAsiaTheme="minorHAnsi" w:cs="Arial"/>
          <w:szCs w:val="18"/>
          <w:lang w:val="en-GB"/>
        </w:rPr>
        <w:t>, Manglar, 16(1), pp. 63–70.</w:t>
      </w:r>
    </w:p>
    <w:p w14:paraId="65293C0C" w14:textId="761EC524"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Bolaños J.D., Cordero G., Segura G., 2017, </w:t>
      </w:r>
      <w:r w:rsidR="00F93AB2" w:rsidRPr="00DD28F9">
        <w:rPr>
          <w:rFonts w:eastAsiaTheme="minorHAnsi" w:cs="Arial"/>
          <w:szCs w:val="18"/>
          <w:lang w:val="en-GB"/>
        </w:rPr>
        <w:t xml:space="preserve">Determination of nitrites, nitrates, sulfates and phosphates in drinking water as indicators of contamination caused by man, in two cantons of Alajuela </w:t>
      </w:r>
      <w:r w:rsidRPr="00DD28F9">
        <w:rPr>
          <w:rFonts w:eastAsiaTheme="minorHAnsi" w:cs="Arial"/>
          <w:szCs w:val="18"/>
          <w:lang w:val="en-GB"/>
        </w:rPr>
        <w:t xml:space="preserve">(Costa Rica), </w:t>
      </w:r>
      <w:r w:rsidR="00F93AB2" w:rsidRPr="00DD28F9">
        <w:rPr>
          <w:rFonts w:eastAsiaTheme="minorHAnsi" w:cs="Arial"/>
          <w:szCs w:val="18"/>
          <w:lang w:val="en-GB"/>
        </w:rPr>
        <w:t>Technology on the Move Magazine</w:t>
      </w:r>
      <w:r w:rsidRPr="00DD28F9">
        <w:rPr>
          <w:rFonts w:eastAsiaTheme="minorHAnsi" w:cs="Arial"/>
          <w:szCs w:val="18"/>
          <w:lang w:val="en-GB"/>
        </w:rPr>
        <w:t xml:space="preserve">, 30(4), p. 15. </w:t>
      </w:r>
    </w:p>
    <w:p w14:paraId="79F185AD" w14:textId="6F30190D" w:rsidR="00523841" w:rsidRPr="00DD28F9" w:rsidRDefault="00523841" w:rsidP="00C709E4">
      <w:pPr>
        <w:pStyle w:val="CETBodytext"/>
        <w:spacing w:line="276" w:lineRule="auto"/>
        <w:ind w:left="709" w:hanging="709"/>
        <w:rPr>
          <w:rFonts w:eastAsiaTheme="minorHAnsi" w:cs="Arial"/>
          <w:szCs w:val="18"/>
          <w:lang w:val="es-ES"/>
        </w:rPr>
      </w:pPr>
      <w:r w:rsidRPr="00DD28F9">
        <w:rPr>
          <w:rFonts w:eastAsiaTheme="minorHAnsi" w:cs="Arial"/>
          <w:szCs w:val="18"/>
          <w:lang w:val="es-ES"/>
        </w:rPr>
        <w:lastRenderedPageBreak/>
        <w:t xml:space="preserve">Canaza F.A, 2018, </w:t>
      </w:r>
      <w:r w:rsidR="00F93AB2" w:rsidRPr="00DD28F9">
        <w:rPr>
          <w:rFonts w:eastAsiaTheme="minorHAnsi" w:cs="Arial"/>
          <w:szCs w:val="18"/>
          <w:lang w:val="es-ES"/>
        </w:rPr>
        <w:t xml:space="preserve">Environmental Justice vs. Global Capitalism Experiences, Debates and Conflicts in </w:t>
      </w:r>
      <w:r w:rsidR="000A267C" w:rsidRPr="00DD28F9">
        <w:rPr>
          <w:rFonts w:eastAsiaTheme="minorHAnsi" w:cs="Arial"/>
          <w:szCs w:val="18"/>
          <w:lang w:val="es-ES"/>
        </w:rPr>
        <w:t>Perú</w:t>
      </w:r>
      <w:r w:rsidR="00F93AB2" w:rsidRPr="00DD28F9">
        <w:rPr>
          <w:rFonts w:eastAsiaTheme="minorHAnsi" w:cs="Arial"/>
          <w:szCs w:val="18"/>
          <w:lang w:val="es-ES"/>
        </w:rPr>
        <w:t>, Revista de Investigaciones Altoandinas</w:t>
      </w:r>
      <w:r w:rsidRPr="00DD28F9">
        <w:rPr>
          <w:rFonts w:eastAsiaTheme="minorHAnsi" w:cs="Arial"/>
          <w:szCs w:val="18"/>
          <w:lang w:val="es-ES"/>
        </w:rPr>
        <w:t>, 20(3), 369­379.</w:t>
      </w:r>
    </w:p>
    <w:p w14:paraId="41A23E93" w14:textId="19B7DF65" w:rsidR="00523841" w:rsidRPr="00EC318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Chen J., Wang L., Wang M., Hung Y., Shammas N., 2016, </w:t>
      </w:r>
      <w:r w:rsidR="0098434D" w:rsidRPr="00DD28F9">
        <w:rPr>
          <w:rFonts w:eastAsiaTheme="minorHAnsi" w:cs="Arial"/>
          <w:szCs w:val="18"/>
          <w:lang w:val="en-GB"/>
        </w:rPr>
        <w:t>Remediation of heavy metals in the environment</w:t>
      </w:r>
      <w:r w:rsidRPr="00DD28F9">
        <w:rPr>
          <w:rFonts w:eastAsiaTheme="minorHAnsi" w:cs="Arial"/>
          <w:szCs w:val="18"/>
          <w:lang w:val="en-GB"/>
        </w:rPr>
        <w:t xml:space="preserve">. </w:t>
      </w:r>
      <w:r w:rsidRPr="00EC3189">
        <w:rPr>
          <w:rFonts w:eastAsiaTheme="minorHAnsi" w:cs="Arial"/>
          <w:szCs w:val="18"/>
          <w:lang w:val="en-GB"/>
        </w:rPr>
        <w:t>1ra ed. CRC Press, Boca Ratón</w:t>
      </w:r>
    </w:p>
    <w:p w14:paraId="084769A5" w14:textId="67989271"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Delgado S.M., Trujillo J.M., Torres M.A., 2017, </w:t>
      </w:r>
      <w:r w:rsidR="00003796" w:rsidRPr="00DD28F9">
        <w:rPr>
          <w:rFonts w:eastAsiaTheme="minorHAnsi" w:cs="Arial"/>
          <w:szCs w:val="18"/>
          <w:lang w:val="en-GB"/>
        </w:rPr>
        <w:t>Water management in rural communities, case study Guayuriba river basin, metaColombia, Luna Azul</w:t>
      </w:r>
      <w:r w:rsidRPr="00DD28F9">
        <w:rPr>
          <w:rFonts w:eastAsiaTheme="minorHAnsi" w:cs="Arial"/>
          <w:szCs w:val="18"/>
          <w:lang w:val="en-GB"/>
        </w:rPr>
        <w:t>, (45), pp. 59–70</w:t>
      </w:r>
    </w:p>
    <w:p w14:paraId="63C46A02" w14:textId="3A971D86" w:rsidR="00A31272" w:rsidRDefault="00A31272" w:rsidP="00C709E4">
      <w:pPr>
        <w:pStyle w:val="CETBodytext"/>
        <w:spacing w:line="276" w:lineRule="auto"/>
        <w:ind w:left="709" w:hanging="709"/>
        <w:rPr>
          <w:rFonts w:eastAsiaTheme="minorHAnsi" w:cs="Arial"/>
          <w:szCs w:val="18"/>
          <w:lang w:val="en-GB"/>
        </w:rPr>
      </w:pPr>
      <w:r w:rsidRPr="00A31272">
        <w:rPr>
          <w:rFonts w:eastAsiaTheme="minorHAnsi" w:cs="Arial"/>
          <w:szCs w:val="18"/>
          <w:lang w:val="en-GB"/>
        </w:rPr>
        <w:t>Dubey C., Marona V., Callelet D, 2021</w:t>
      </w:r>
      <w:r>
        <w:rPr>
          <w:rFonts w:eastAsiaTheme="minorHAnsi" w:cs="Arial"/>
          <w:szCs w:val="18"/>
          <w:lang w:val="en-GB"/>
        </w:rPr>
        <w:t xml:space="preserve">, </w:t>
      </w:r>
      <w:r w:rsidRPr="00A31272">
        <w:rPr>
          <w:rFonts w:eastAsiaTheme="minorHAnsi" w:cs="Arial"/>
          <w:szCs w:val="18"/>
          <w:lang w:val="en-GB"/>
        </w:rPr>
        <w:t>Bioremediation of heavy metals: mechanisms and microbial strategies. Bioremediation Journal, 25, 1-21.</w:t>
      </w:r>
    </w:p>
    <w:p w14:paraId="36AC830F" w14:textId="65A771C4"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Gastañaga M., 2018, </w:t>
      </w:r>
      <w:r w:rsidR="00003796" w:rsidRPr="00DD28F9">
        <w:rPr>
          <w:rFonts w:eastAsiaTheme="minorHAnsi" w:cs="Arial"/>
          <w:szCs w:val="18"/>
          <w:lang w:val="en-GB"/>
        </w:rPr>
        <w:t xml:space="preserve">Water, sanitation and health, Peruvian Journal of Experimental Medicine and Public Health, </w:t>
      </w:r>
      <w:r w:rsidRPr="00DD28F9">
        <w:rPr>
          <w:rFonts w:eastAsiaTheme="minorHAnsi" w:cs="Arial"/>
          <w:szCs w:val="18"/>
          <w:lang w:val="en-GB"/>
        </w:rPr>
        <w:t xml:space="preserve">35(2), pág. 181. </w:t>
      </w:r>
    </w:p>
    <w:p w14:paraId="132C9F0F" w14:textId="7DD8A814" w:rsidR="00523841" w:rsidRPr="00DD28F9" w:rsidRDefault="00523841" w:rsidP="00C709E4">
      <w:pPr>
        <w:pStyle w:val="CETBodytext"/>
        <w:spacing w:line="276" w:lineRule="auto"/>
        <w:ind w:left="709" w:hanging="709"/>
        <w:rPr>
          <w:rFonts w:eastAsiaTheme="minorHAnsi" w:cs="Arial"/>
          <w:szCs w:val="18"/>
          <w:highlight w:val="yellow"/>
          <w:lang w:val="en-GB"/>
        </w:rPr>
      </w:pPr>
      <w:r w:rsidRPr="00DD28F9">
        <w:rPr>
          <w:rFonts w:eastAsiaTheme="minorHAnsi" w:cs="Arial"/>
          <w:szCs w:val="18"/>
          <w:lang w:val="en-GB"/>
        </w:rPr>
        <w:t xml:space="preserve">Gonzales G, 2010, </w:t>
      </w:r>
      <w:r w:rsidR="00003796" w:rsidRPr="00DD28F9">
        <w:rPr>
          <w:rFonts w:eastAsiaTheme="minorHAnsi" w:cs="Arial"/>
          <w:szCs w:val="18"/>
          <w:lang w:val="en-GB"/>
        </w:rPr>
        <w:t>Inorganic Chemistry Guide - Faculty of Environmental and Agricultural Sciences - Rafael Landívar University- Guatemala.</w:t>
      </w:r>
    </w:p>
    <w:p w14:paraId="01B1AF0E" w14:textId="49F04280" w:rsidR="007362DD" w:rsidRDefault="007362DD" w:rsidP="00C709E4">
      <w:pPr>
        <w:pStyle w:val="CETBodytext"/>
        <w:spacing w:line="276" w:lineRule="auto"/>
        <w:ind w:left="709" w:hanging="709"/>
        <w:rPr>
          <w:rFonts w:eastAsiaTheme="minorHAnsi" w:cs="Arial"/>
          <w:szCs w:val="18"/>
          <w:lang w:val="en-GB"/>
        </w:rPr>
      </w:pPr>
      <w:r w:rsidRPr="006B4C79">
        <w:rPr>
          <w:rFonts w:eastAsiaTheme="minorHAnsi" w:cs="Arial"/>
          <w:szCs w:val="18"/>
          <w:lang w:val="en-GB"/>
        </w:rPr>
        <w:t>Jiang W., Yang</w:t>
      </w:r>
      <w:r w:rsidRPr="007362DD">
        <w:rPr>
          <w:rFonts w:eastAsiaTheme="minorHAnsi" w:cs="Arial"/>
          <w:szCs w:val="18"/>
          <w:lang w:val="en-GB"/>
        </w:rPr>
        <w:t xml:space="preserve"> X., Li X., Zhang Y., Liu L., Li Z</w:t>
      </w:r>
      <w:r>
        <w:rPr>
          <w:rFonts w:eastAsiaTheme="minorHAnsi" w:cs="Arial"/>
          <w:szCs w:val="18"/>
          <w:lang w:val="en-GB"/>
        </w:rPr>
        <w:t xml:space="preserve">, </w:t>
      </w:r>
      <w:r w:rsidRPr="007362DD">
        <w:rPr>
          <w:rFonts w:eastAsiaTheme="minorHAnsi" w:cs="Arial"/>
          <w:szCs w:val="18"/>
          <w:lang w:val="en-GB"/>
        </w:rPr>
        <w:t>2021</w:t>
      </w:r>
      <w:r>
        <w:rPr>
          <w:rFonts w:eastAsiaTheme="minorHAnsi" w:cs="Arial"/>
          <w:szCs w:val="18"/>
          <w:lang w:val="en-GB"/>
        </w:rPr>
        <w:t>,</w:t>
      </w:r>
      <w:r w:rsidRPr="007362DD">
        <w:rPr>
          <w:rFonts w:eastAsiaTheme="minorHAnsi" w:cs="Arial"/>
          <w:szCs w:val="18"/>
          <w:lang w:val="en-GB"/>
        </w:rPr>
        <w:t xml:space="preserve"> Effect of mountain microorganisms on nitrogen and phosphorus removal in a laboratory-scale constructed wetland. Ecological Engineering, 168, 106391.</w:t>
      </w:r>
    </w:p>
    <w:p w14:paraId="0DA5D9D7" w14:textId="12848A13" w:rsidR="00DD3FDD" w:rsidRDefault="00DD3FDD" w:rsidP="00C709E4">
      <w:pPr>
        <w:pStyle w:val="CETBodytext"/>
        <w:spacing w:line="276" w:lineRule="auto"/>
        <w:ind w:left="709" w:hanging="709"/>
        <w:rPr>
          <w:rFonts w:eastAsiaTheme="minorHAnsi" w:cs="Arial"/>
          <w:szCs w:val="18"/>
          <w:lang w:val="en-GB"/>
        </w:rPr>
      </w:pPr>
      <w:r w:rsidRPr="00DD3FDD">
        <w:rPr>
          <w:rFonts w:eastAsiaTheme="minorHAnsi" w:cs="Arial"/>
          <w:szCs w:val="18"/>
          <w:lang w:val="en-GB"/>
        </w:rPr>
        <w:t>Joergensen R.G., Wichern F.</w:t>
      </w:r>
      <w:r>
        <w:rPr>
          <w:rFonts w:eastAsiaTheme="minorHAnsi" w:cs="Arial"/>
          <w:szCs w:val="18"/>
          <w:lang w:val="en-GB"/>
        </w:rPr>
        <w:t xml:space="preserve">, </w:t>
      </w:r>
      <w:r w:rsidRPr="00DD3FDD">
        <w:rPr>
          <w:rFonts w:eastAsiaTheme="minorHAnsi" w:cs="Arial"/>
          <w:szCs w:val="18"/>
          <w:lang w:val="en-GB"/>
        </w:rPr>
        <w:t>2018</w:t>
      </w:r>
      <w:r>
        <w:rPr>
          <w:rFonts w:eastAsiaTheme="minorHAnsi" w:cs="Arial"/>
          <w:szCs w:val="18"/>
          <w:lang w:val="en-GB"/>
        </w:rPr>
        <w:t>,</w:t>
      </w:r>
      <w:r w:rsidRPr="00DD3FDD">
        <w:rPr>
          <w:rFonts w:eastAsiaTheme="minorHAnsi" w:cs="Arial"/>
          <w:szCs w:val="18"/>
          <w:lang w:val="en-GB"/>
        </w:rPr>
        <w:t xml:space="preserve"> Quantitative assessment of the fungal contribution to microbial tissue in soil. Soil Biology and Biochemistry, 117, 72-79.</w:t>
      </w:r>
    </w:p>
    <w:p w14:paraId="31DEB64D" w14:textId="7184C5D1"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Latorre A.M y Tovar M.H, 2017, </w:t>
      </w:r>
      <w:r w:rsidR="00CD2EE2" w:rsidRPr="00DD28F9">
        <w:rPr>
          <w:rFonts w:eastAsiaTheme="minorHAnsi" w:cs="Arial"/>
          <w:szCs w:val="18"/>
          <w:lang w:val="en-GB"/>
        </w:rPr>
        <w:t>Mining and its environmental and health impacts, The case of Potosí in Bogotá, Saúde em Debate</w:t>
      </w:r>
      <w:r w:rsidRPr="00DD28F9">
        <w:rPr>
          <w:rFonts w:eastAsiaTheme="minorHAnsi" w:cs="Arial"/>
          <w:szCs w:val="18"/>
          <w:lang w:val="en-GB"/>
        </w:rPr>
        <w:t>, 41, 77­91.</w:t>
      </w:r>
    </w:p>
    <w:p w14:paraId="4804761F" w14:textId="3F30D8B0"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Li D y Liu S., 2019, </w:t>
      </w:r>
      <w:r w:rsidR="007869BD" w:rsidRPr="00DD28F9">
        <w:rPr>
          <w:rFonts w:eastAsiaTheme="minorHAnsi" w:cs="Arial"/>
          <w:szCs w:val="18"/>
          <w:lang w:val="en-GB"/>
        </w:rPr>
        <w:t xml:space="preserve">Sensors in Water Quality Monitoring, in Water Quality Monitoring and Management. </w:t>
      </w:r>
      <w:r w:rsidRPr="00DD28F9">
        <w:rPr>
          <w:rFonts w:eastAsiaTheme="minorHAnsi" w:cs="Arial"/>
          <w:szCs w:val="18"/>
          <w:lang w:val="en-GB"/>
        </w:rPr>
        <w:t xml:space="preserve">Elsevier, pp. 1–54. </w:t>
      </w:r>
    </w:p>
    <w:p w14:paraId="6E346E68" w14:textId="3FB3A191" w:rsidR="00523841" w:rsidRPr="00DD28F9" w:rsidRDefault="00C709E4"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Ministry of Agriculture and Irrigation, National Protocol for Monitoring the Quality of Water Resources, Supreme Decree </w:t>
      </w:r>
      <w:r w:rsidR="00523841" w:rsidRPr="00DD28F9">
        <w:rPr>
          <w:rFonts w:eastAsiaTheme="minorHAnsi" w:cs="Arial"/>
          <w:szCs w:val="18"/>
          <w:lang w:val="en-GB"/>
        </w:rPr>
        <w:t xml:space="preserve">010-2016, </w:t>
      </w:r>
      <w:r w:rsidRPr="00DD28F9">
        <w:rPr>
          <w:rFonts w:eastAsiaTheme="minorHAnsi" w:cs="Arial"/>
          <w:szCs w:val="18"/>
          <w:lang w:val="en-GB"/>
        </w:rPr>
        <w:t>National Water Authority</w:t>
      </w:r>
      <w:r w:rsidR="00523841" w:rsidRPr="00DD28F9">
        <w:rPr>
          <w:rFonts w:eastAsiaTheme="minorHAnsi" w:cs="Arial"/>
          <w:szCs w:val="18"/>
          <w:lang w:val="en-GB"/>
        </w:rPr>
        <w:t>.</w:t>
      </w:r>
    </w:p>
    <w:p w14:paraId="6C7C823E" w14:textId="31E16CA1" w:rsidR="00523841" w:rsidRPr="00DD28F9" w:rsidRDefault="00C709E4"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Environment ministry</w:t>
      </w:r>
      <w:r w:rsidR="00523841" w:rsidRPr="00DD28F9">
        <w:rPr>
          <w:rFonts w:eastAsiaTheme="minorHAnsi" w:cs="Arial"/>
          <w:szCs w:val="18"/>
          <w:lang w:val="en-GB"/>
        </w:rPr>
        <w:t>, 2017</w:t>
      </w:r>
      <w:r w:rsidRPr="00DD28F9">
        <w:rPr>
          <w:rFonts w:eastAsiaTheme="minorHAnsi" w:cs="Arial"/>
          <w:szCs w:val="18"/>
          <w:lang w:val="en-GB"/>
        </w:rPr>
        <w:t xml:space="preserve">, Supreme decret </w:t>
      </w:r>
      <w:r w:rsidR="00523841" w:rsidRPr="00DD28F9">
        <w:rPr>
          <w:rFonts w:eastAsiaTheme="minorHAnsi" w:cs="Arial"/>
          <w:szCs w:val="18"/>
          <w:lang w:val="en-GB"/>
        </w:rPr>
        <w:t xml:space="preserve">N° 004 ­ 2017 ­ MINAM, </w:t>
      </w:r>
      <w:r w:rsidRPr="00DD28F9">
        <w:rPr>
          <w:rFonts w:eastAsiaTheme="minorHAnsi" w:cs="Arial"/>
          <w:szCs w:val="18"/>
          <w:lang w:val="en-GB"/>
        </w:rPr>
        <w:t xml:space="preserve">Environmental Quality Standards for water </w:t>
      </w:r>
      <w:r w:rsidR="00523841" w:rsidRPr="00DD28F9">
        <w:rPr>
          <w:rFonts w:eastAsiaTheme="minorHAnsi" w:cs="Arial"/>
          <w:szCs w:val="18"/>
          <w:lang w:val="en-GB"/>
        </w:rPr>
        <w:t>(ECA)</w:t>
      </w:r>
      <w:r w:rsidRPr="00DD28F9">
        <w:rPr>
          <w:rFonts w:eastAsiaTheme="minorHAnsi" w:cs="Arial"/>
          <w:szCs w:val="18"/>
          <w:lang w:val="en-GB"/>
        </w:rPr>
        <w:t>.</w:t>
      </w:r>
    </w:p>
    <w:p w14:paraId="2630C90E" w14:textId="77777777" w:rsidR="00A31272" w:rsidRPr="00A31272" w:rsidRDefault="00A31272" w:rsidP="00A31272">
      <w:pPr>
        <w:spacing w:line="276" w:lineRule="auto"/>
        <w:ind w:left="709" w:hanging="709"/>
        <w:rPr>
          <w:rFonts w:cs="Arial"/>
          <w:szCs w:val="18"/>
          <w:lang w:val="en-US"/>
        </w:rPr>
      </w:pPr>
      <w:r w:rsidRPr="00A31272">
        <w:rPr>
          <w:rFonts w:cs="Arial"/>
          <w:szCs w:val="18"/>
        </w:rPr>
        <w:t xml:space="preserve">Sari T., Vela M., Gaona L., </w:t>
      </w:r>
      <w:r w:rsidRPr="00A31272">
        <w:rPr>
          <w:rFonts w:cs="Arial"/>
          <w:szCs w:val="18"/>
          <w:lang w:val="en-US"/>
        </w:rPr>
        <w:t>2021, Mountain microorganisms in removal of heavy metals from wastewater: a review. Environmental Science and Pollution Research, 28, 24507-24520.</w:t>
      </w:r>
    </w:p>
    <w:p w14:paraId="7F9D651A" w14:textId="3E6036B8" w:rsidR="00523841" w:rsidRPr="003004A0" w:rsidRDefault="00523841" w:rsidP="00C709E4">
      <w:pPr>
        <w:pStyle w:val="CETBodytext"/>
        <w:spacing w:line="276" w:lineRule="auto"/>
        <w:ind w:left="709" w:hanging="709"/>
        <w:rPr>
          <w:rFonts w:eastAsiaTheme="minorHAnsi" w:cs="Arial"/>
          <w:szCs w:val="18"/>
          <w:lang w:val="en-GB"/>
        </w:rPr>
      </w:pPr>
      <w:r w:rsidRPr="003004A0">
        <w:rPr>
          <w:rFonts w:eastAsiaTheme="minorHAnsi" w:cs="Arial"/>
          <w:szCs w:val="18"/>
          <w:lang w:val="en-GB"/>
        </w:rPr>
        <w:t xml:space="preserve">Schweitzer L y Noblet J., 2018, </w:t>
      </w:r>
      <w:r w:rsidR="00C709E4" w:rsidRPr="003004A0">
        <w:rPr>
          <w:rFonts w:eastAsiaTheme="minorHAnsi" w:cs="Arial"/>
          <w:szCs w:val="18"/>
          <w:lang w:val="en-GB"/>
        </w:rPr>
        <w:t>Pollution and contamination of water, in Green Chemistry</w:t>
      </w:r>
      <w:r w:rsidRPr="003004A0">
        <w:rPr>
          <w:rFonts w:eastAsiaTheme="minorHAnsi" w:cs="Arial"/>
          <w:szCs w:val="18"/>
          <w:lang w:val="en-GB"/>
        </w:rPr>
        <w:t>. Elsevier, pp. 261–290</w:t>
      </w:r>
    </w:p>
    <w:p w14:paraId="1973DCD7" w14:textId="310126CB" w:rsidR="00D34DFD" w:rsidRDefault="00D34DFD" w:rsidP="00C709E4">
      <w:pPr>
        <w:pStyle w:val="CETBodytext"/>
        <w:spacing w:line="276" w:lineRule="auto"/>
        <w:ind w:left="709" w:hanging="709"/>
        <w:rPr>
          <w:rFonts w:eastAsiaTheme="minorHAnsi" w:cs="Arial"/>
          <w:szCs w:val="18"/>
          <w:lang w:val="en-GB"/>
        </w:rPr>
      </w:pPr>
      <w:r w:rsidRPr="003004A0">
        <w:rPr>
          <w:rFonts w:eastAsiaTheme="minorHAnsi" w:cs="Arial"/>
          <w:szCs w:val="18"/>
          <w:lang w:val="en-GB"/>
        </w:rPr>
        <w:t>Singh G., Garg A.K., Kachhwaha S.</w:t>
      </w:r>
      <w:r w:rsidR="003004A0" w:rsidRPr="003004A0">
        <w:rPr>
          <w:rFonts w:eastAsiaTheme="minorHAnsi" w:cs="Arial"/>
          <w:szCs w:val="18"/>
          <w:lang w:val="en-GB"/>
        </w:rPr>
        <w:t xml:space="preserve">, </w:t>
      </w:r>
      <w:r w:rsidRPr="003004A0">
        <w:rPr>
          <w:rFonts w:eastAsiaTheme="minorHAnsi" w:cs="Arial"/>
          <w:szCs w:val="18"/>
          <w:lang w:val="en-GB"/>
        </w:rPr>
        <w:t>2017</w:t>
      </w:r>
      <w:r w:rsidR="003004A0" w:rsidRPr="003004A0">
        <w:rPr>
          <w:rFonts w:eastAsiaTheme="minorHAnsi" w:cs="Arial"/>
          <w:szCs w:val="18"/>
          <w:lang w:val="en-GB"/>
        </w:rPr>
        <w:t xml:space="preserve">, </w:t>
      </w:r>
      <w:r w:rsidRPr="003004A0">
        <w:rPr>
          <w:rFonts w:eastAsiaTheme="minorHAnsi" w:cs="Arial"/>
          <w:szCs w:val="18"/>
          <w:lang w:val="en-GB"/>
        </w:rPr>
        <w:t>Isolation and characterization of hydrocarbon-degrading bacteria from high altitude soil samples for bioremediation of crude oil. Environmental Science and Pollution Research, 24(16), 14134-14146.</w:t>
      </w:r>
    </w:p>
    <w:p w14:paraId="543C9BE4" w14:textId="0BFA3946"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Sun Z., Chen J., Wang X., 2016, </w:t>
      </w:r>
      <w:r w:rsidR="00C709E4" w:rsidRPr="00DD28F9">
        <w:rPr>
          <w:rFonts w:eastAsiaTheme="minorHAnsi" w:cs="Arial"/>
          <w:szCs w:val="18"/>
          <w:lang w:val="en-GB"/>
        </w:rPr>
        <w:t xml:space="preserve">Heavy metal accumulation in native plants at a Chinese metallurgical waste dump. engineering magazine </w:t>
      </w:r>
      <w:r w:rsidRPr="00DD28F9">
        <w:rPr>
          <w:rFonts w:eastAsiaTheme="minorHAnsi" w:cs="Arial"/>
          <w:szCs w:val="18"/>
          <w:lang w:val="en-GB"/>
        </w:rPr>
        <w:t>pp. 60­68.</w:t>
      </w:r>
    </w:p>
    <w:p w14:paraId="34356700" w14:textId="77777777" w:rsidR="00523841" w:rsidRPr="0053508F" w:rsidRDefault="00523841" w:rsidP="00C709E4">
      <w:pPr>
        <w:pStyle w:val="CETBodytext"/>
        <w:spacing w:line="276" w:lineRule="auto"/>
        <w:ind w:left="709" w:hanging="709"/>
        <w:rPr>
          <w:rFonts w:eastAsiaTheme="minorHAnsi" w:cs="Arial"/>
          <w:szCs w:val="18"/>
          <w:lang w:val="en-GB"/>
        </w:rPr>
      </w:pPr>
      <w:r w:rsidRPr="0053508F">
        <w:rPr>
          <w:rFonts w:eastAsiaTheme="minorHAnsi" w:cs="Arial"/>
          <w:szCs w:val="18"/>
          <w:lang w:val="en-GB"/>
        </w:rPr>
        <w:t>Tejeda L., Mallarino L., Castellón C, 2022, Phytoremediation to Remove Pollutants from Water, Lixiviados y Suelos, Chemical Engineering Transactions, 92, 553­ 558</w:t>
      </w:r>
    </w:p>
    <w:p w14:paraId="7FBD376C" w14:textId="1E18B333" w:rsidR="00523841" w:rsidRPr="006D5847" w:rsidRDefault="00523841" w:rsidP="00C709E4">
      <w:pPr>
        <w:pStyle w:val="CETBodytext"/>
        <w:spacing w:line="276" w:lineRule="auto"/>
        <w:ind w:left="709" w:hanging="709"/>
        <w:rPr>
          <w:rFonts w:eastAsiaTheme="minorHAnsi" w:cs="Arial"/>
          <w:szCs w:val="18"/>
          <w:lang w:val="en-GB"/>
        </w:rPr>
      </w:pPr>
      <w:r w:rsidRPr="006D5847">
        <w:rPr>
          <w:rFonts w:eastAsiaTheme="minorHAnsi" w:cs="Arial"/>
          <w:szCs w:val="18"/>
          <w:lang w:val="en-GB"/>
        </w:rPr>
        <w:t xml:space="preserve">Wan X., Lei M., Chen T., 2016, </w:t>
      </w:r>
      <w:r w:rsidR="00C709E4" w:rsidRPr="006D5847">
        <w:rPr>
          <w:rFonts w:eastAsiaTheme="minorHAnsi" w:cs="Arial"/>
          <w:szCs w:val="18"/>
          <w:lang w:val="en-GB"/>
        </w:rPr>
        <w:t>Cost-benefit calculation of phytoremediation technology for the heavy metal environment</w:t>
      </w:r>
      <w:r w:rsidRPr="006D5847">
        <w:rPr>
          <w:rFonts w:eastAsiaTheme="minorHAnsi" w:cs="Arial"/>
          <w:szCs w:val="18"/>
          <w:lang w:val="en-GB"/>
        </w:rPr>
        <w:t xml:space="preserve">, 796–802. </w:t>
      </w:r>
      <w:r w:rsidR="00C709E4" w:rsidRPr="006D5847">
        <w:rPr>
          <w:rFonts w:eastAsiaTheme="minorHAnsi" w:cs="Arial"/>
          <w:szCs w:val="18"/>
          <w:lang w:val="en-GB"/>
        </w:rPr>
        <w:t xml:space="preserve">Contaminated Total Science </w:t>
      </w:r>
      <w:r w:rsidRPr="006D5847">
        <w:rPr>
          <w:rFonts w:eastAsiaTheme="minorHAnsi" w:cs="Arial"/>
          <w:szCs w:val="18"/>
          <w:lang w:val="en-GB"/>
        </w:rPr>
        <w:t>563–564,</w:t>
      </w:r>
    </w:p>
    <w:p w14:paraId="63E2EE6C" w14:textId="2DBA6F17" w:rsidR="007362DD" w:rsidRPr="006D5847" w:rsidRDefault="007362DD" w:rsidP="00C709E4">
      <w:pPr>
        <w:pStyle w:val="CETBodytext"/>
        <w:spacing w:line="276" w:lineRule="auto"/>
        <w:ind w:left="709" w:hanging="709"/>
        <w:rPr>
          <w:rFonts w:eastAsiaTheme="minorHAnsi" w:cs="Arial"/>
          <w:szCs w:val="18"/>
          <w:lang w:val="en-GB"/>
        </w:rPr>
      </w:pPr>
      <w:r w:rsidRPr="006D5847">
        <w:rPr>
          <w:rFonts w:eastAsiaTheme="minorHAnsi" w:cs="Arial"/>
          <w:szCs w:val="18"/>
          <w:lang w:val="en-GB"/>
        </w:rPr>
        <w:t>Wang J., Li Y., Zhang L., Li X., Zhou Y, 2020, Application of mountain microorganisms in wastewater treatment: a review. Environmental Science and Pollution Research, 27(14), 16103-16114.</w:t>
      </w:r>
    </w:p>
    <w:p w14:paraId="190434EE" w14:textId="21340650" w:rsidR="00523841" w:rsidRPr="00DD28F9" w:rsidRDefault="00523841" w:rsidP="00C709E4">
      <w:pPr>
        <w:pStyle w:val="CETBodytext"/>
        <w:spacing w:line="276" w:lineRule="auto"/>
        <w:ind w:left="709" w:hanging="709"/>
        <w:rPr>
          <w:rFonts w:eastAsiaTheme="minorHAnsi" w:cs="Arial"/>
          <w:szCs w:val="18"/>
          <w:lang w:val="en-GB"/>
        </w:rPr>
      </w:pPr>
      <w:r w:rsidRPr="006D5847">
        <w:rPr>
          <w:rFonts w:eastAsiaTheme="minorHAnsi" w:cs="Arial"/>
          <w:szCs w:val="18"/>
          <w:lang w:val="en-GB"/>
        </w:rPr>
        <w:t xml:space="preserve">Willscher S., Jablonski L., Fona Z., Rahmi R y Wittig J., 2017, </w:t>
      </w:r>
      <w:r w:rsidR="0020595D" w:rsidRPr="006D5847">
        <w:rPr>
          <w:rFonts w:eastAsiaTheme="minorHAnsi" w:cs="Arial"/>
          <w:szCs w:val="18"/>
          <w:lang w:val="en-GB"/>
        </w:rPr>
        <w:t>Phytoremediation experiments with Helianthus tuberosus under different pH and heavy metal concentrations in the soil. hydrometallurgy</w:t>
      </w:r>
      <w:r w:rsidRPr="006D5847">
        <w:rPr>
          <w:rFonts w:eastAsiaTheme="minorHAnsi" w:cs="Arial"/>
          <w:szCs w:val="18"/>
          <w:lang w:val="en-GB"/>
        </w:rPr>
        <w:t>, 168, 153–158</w:t>
      </w:r>
    </w:p>
    <w:p w14:paraId="516F4A54" w14:textId="0647A76C" w:rsidR="00523841" w:rsidRPr="00DD28F9"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WWAP (</w:t>
      </w:r>
      <w:r w:rsidR="0020595D" w:rsidRPr="00DD28F9">
        <w:rPr>
          <w:rFonts w:eastAsiaTheme="minorHAnsi" w:cs="Arial"/>
          <w:szCs w:val="18"/>
          <w:lang w:val="en-GB"/>
        </w:rPr>
        <w:t>United Nations World Water Assessment Program</w:t>
      </w:r>
      <w:r w:rsidRPr="00DD28F9">
        <w:rPr>
          <w:rFonts w:eastAsiaTheme="minorHAnsi" w:cs="Arial"/>
          <w:szCs w:val="18"/>
          <w:lang w:val="en-GB"/>
        </w:rPr>
        <w:t>), 2017</w:t>
      </w:r>
      <w:r w:rsidR="0020595D" w:rsidRPr="00DD28F9">
        <w:rPr>
          <w:rFonts w:eastAsiaTheme="minorHAnsi" w:cs="Arial"/>
          <w:szCs w:val="18"/>
          <w:lang w:val="en-GB"/>
        </w:rPr>
        <w:t>United Nations World Water Development Report, Wastewater: The Wasted Resource, Paris</w:t>
      </w:r>
      <w:r w:rsidRPr="00DD28F9">
        <w:rPr>
          <w:rFonts w:eastAsiaTheme="minorHAnsi" w:cs="Arial"/>
          <w:szCs w:val="18"/>
          <w:lang w:val="en-GB"/>
        </w:rPr>
        <w:t>, UNESCO.</w:t>
      </w:r>
    </w:p>
    <w:p w14:paraId="35835760" w14:textId="2B93B95D" w:rsidR="00523841" w:rsidRPr="003004A0" w:rsidRDefault="00523841" w:rsidP="00C709E4">
      <w:pPr>
        <w:pStyle w:val="CETBodytext"/>
        <w:spacing w:line="276" w:lineRule="auto"/>
        <w:ind w:left="709" w:hanging="709"/>
        <w:rPr>
          <w:rFonts w:eastAsiaTheme="minorHAnsi" w:cs="Arial"/>
          <w:szCs w:val="18"/>
          <w:lang w:val="en-GB"/>
        </w:rPr>
      </w:pPr>
      <w:r w:rsidRPr="00DD28F9">
        <w:rPr>
          <w:rFonts w:eastAsiaTheme="minorHAnsi" w:cs="Arial"/>
          <w:szCs w:val="18"/>
          <w:lang w:val="en-GB"/>
        </w:rPr>
        <w:t xml:space="preserve">Xue P., </w:t>
      </w:r>
      <w:r w:rsidRPr="003004A0">
        <w:rPr>
          <w:rFonts w:eastAsiaTheme="minorHAnsi" w:cs="Arial"/>
          <w:szCs w:val="18"/>
          <w:lang w:val="en-GB"/>
        </w:rPr>
        <w:t xml:space="preserve">Zhao Y., Chi M., Yin Y., Xuan Y., Wang X., 2021, </w:t>
      </w:r>
      <w:r w:rsidR="0020595D" w:rsidRPr="003004A0">
        <w:rPr>
          <w:rFonts w:eastAsiaTheme="minorHAnsi" w:cs="Arial"/>
          <w:szCs w:val="18"/>
          <w:lang w:val="en-GB"/>
        </w:rPr>
        <w:t>Mutagenicity, health risk, and disease burden from exposure to organic micropollutants in water from a drinking water treatment plant in the Yangtze River Delta, China. Ecotoxicology and environmental safety</w:t>
      </w:r>
      <w:r w:rsidRPr="003004A0">
        <w:rPr>
          <w:rFonts w:eastAsiaTheme="minorHAnsi" w:cs="Arial"/>
          <w:szCs w:val="18"/>
          <w:lang w:val="en-GB"/>
        </w:rPr>
        <w:t>, 221.</w:t>
      </w:r>
    </w:p>
    <w:p w14:paraId="63101BFF" w14:textId="696315B4" w:rsidR="00523841" w:rsidRPr="003004A0" w:rsidRDefault="00D34DFD" w:rsidP="000E50D9">
      <w:pPr>
        <w:spacing w:line="276" w:lineRule="auto"/>
        <w:ind w:left="709" w:hanging="709"/>
        <w:rPr>
          <w:rFonts w:cs="Arial"/>
          <w:szCs w:val="18"/>
          <w:lang w:val="en-US"/>
        </w:rPr>
      </w:pPr>
      <w:r w:rsidRPr="003004A0">
        <w:rPr>
          <w:rFonts w:cs="Arial"/>
          <w:szCs w:val="18"/>
          <w:lang w:val="en-US"/>
        </w:rPr>
        <w:t>Xue Y., Gao H., Wang Y., Chen Y.</w:t>
      </w:r>
      <w:r w:rsidR="003004A0" w:rsidRPr="003004A0">
        <w:rPr>
          <w:rFonts w:cs="Arial"/>
          <w:szCs w:val="18"/>
          <w:lang w:val="en-US"/>
        </w:rPr>
        <w:t xml:space="preserve">, </w:t>
      </w:r>
      <w:r w:rsidRPr="003004A0">
        <w:rPr>
          <w:rFonts w:cs="Arial"/>
          <w:szCs w:val="18"/>
          <w:lang w:val="en-US"/>
        </w:rPr>
        <w:t>2018</w:t>
      </w:r>
      <w:r w:rsidR="003004A0" w:rsidRPr="003004A0">
        <w:rPr>
          <w:rFonts w:cs="Arial"/>
          <w:szCs w:val="18"/>
          <w:lang w:val="en-US"/>
        </w:rPr>
        <w:t xml:space="preserve">, </w:t>
      </w:r>
      <w:r w:rsidRPr="003004A0">
        <w:rPr>
          <w:rFonts w:cs="Arial"/>
          <w:szCs w:val="18"/>
          <w:lang w:val="en-US"/>
        </w:rPr>
        <w:t>Bioremediation of petroleum-contaminated soil by microorganisms isolated from high altitude cold mountainous areas. Journal of Environmental Sciences, 67, 111-118.</w:t>
      </w:r>
    </w:p>
    <w:sectPr w:rsidR="00523841" w:rsidRPr="00300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3C1"/>
    <w:rsid w:val="00003796"/>
    <w:rsid w:val="000276C0"/>
    <w:rsid w:val="00051405"/>
    <w:rsid w:val="00071248"/>
    <w:rsid w:val="000A267C"/>
    <w:rsid w:val="000E50D9"/>
    <w:rsid w:val="000E7C37"/>
    <w:rsid w:val="00107580"/>
    <w:rsid w:val="00107818"/>
    <w:rsid w:val="00136065"/>
    <w:rsid w:val="00142BBA"/>
    <w:rsid w:val="0015364E"/>
    <w:rsid w:val="00166634"/>
    <w:rsid w:val="001C72C0"/>
    <w:rsid w:val="0020007A"/>
    <w:rsid w:val="0020595D"/>
    <w:rsid w:val="00270B8B"/>
    <w:rsid w:val="002A0D02"/>
    <w:rsid w:val="002A755C"/>
    <w:rsid w:val="002C325A"/>
    <w:rsid w:val="002C654C"/>
    <w:rsid w:val="002D22EE"/>
    <w:rsid w:val="002E0123"/>
    <w:rsid w:val="002F56D1"/>
    <w:rsid w:val="003004A0"/>
    <w:rsid w:val="00340143"/>
    <w:rsid w:val="003832CA"/>
    <w:rsid w:val="003B2DF2"/>
    <w:rsid w:val="004319E4"/>
    <w:rsid w:val="0043777D"/>
    <w:rsid w:val="004672A7"/>
    <w:rsid w:val="0047264D"/>
    <w:rsid w:val="004F6F5F"/>
    <w:rsid w:val="00523841"/>
    <w:rsid w:val="00532CC0"/>
    <w:rsid w:val="0053508F"/>
    <w:rsid w:val="005D6ECC"/>
    <w:rsid w:val="00611A2A"/>
    <w:rsid w:val="006318E5"/>
    <w:rsid w:val="00693720"/>
    <w:rsid w:val="006B4C79"/>
    <w:rsid w:val="006D0D2F"/>
    <w:rsid w:val="006D5847"/>
    <w:rsid w:val="006E21C0"/>
    <w:rsid w:val="0070546F"/>
    <w:rsid w:val="007362DD"/>
    <w:rsid w:val="0078522D"/>
    <w:rsid w:val="007869BD"/>
    <w:rsid w:val="007A06AA"/>
    <w:rsid w:val="007A505C"/>
    <w:rsid w:val="007B1857"/>
    <w:rsid w:val="00821EB4"/>
    <w:rsid w:val="00843E08"/>
    <w:rsid w:val="00890922"/>
    <w:rsid w:val="008C5816"/>
    <w:rsid w:val="008D557D"/>
    <w:rsid w:val="008E23C1"/>
    <w:rsid w:val="00974E8F"/>
    <w:rsid w:val="0098434D"/>
    <w:rsid w:val="00A1490F"/>
    <w:rsid w:val="00A31272"/>
    <w:rsid w:val="00A87113"/>
    <w:rsid w:val="00AF0739"/>
    <w:rsid w:val="00B1368A"/>
    <w:rsid w:val="00B238BB"/>
    <w:rsid w:val="00BB2A28"/>
    <w:rsid w:val="00BC165D"/>
    <w:rsid w:val="00BD4703"/>
    <w:rsid w:val="00C03570"/>
    <w:rsid w:val="00C404E7"/>
    <w:rsid w:val="00C4095F"/>
    <w:rsid w:val="00C700A8"/>
    <w:rsid w:val="00C709E4"/>
    <w:rsid w:val="00C70D81"/>
    <w:rsid w:val="00C850D5"/>
    <w:rsid w:val="00CA2F33"/>
    <w:rsid w:val="00CD2EE2"/>
    <w:rsid w:val="00D018F9"/>
    <w:rsid w:val="00D11E86"/>
    <w:rsid w:val="00D34DFD"/>
    <w:rsid w:val="00D5065B"/>
    <w:rsid w:val="00D55110"/>
    <w:rsid w:val="00D61AA1"/>
    <w:rsid w:val="00DB4E20"/>
    <w:rsid w:val="00DC0EF2"/>
    <w:rsid w:val="00DD28F9"/>
    <w:rsid w:val="00DD3FDD"/>
    <w:rsid w:val="00E30D6F"/>
    <w:rsid w:val="00E479E2"/>
    <w:rsid w:val="00E85734"/>
    <w:rsid w:val="00E92AB8"/>
    <w:rsid w:val="00E960E8"/>
    <w:rsid w:val="00EC3189"/>
    <w:rsid w:val="00EE39B9"/>
    <w:rsid w:val="00F40B86"/>
    <w:rsid w:val="00F44258"/>
    <w:rsid w:val="00F93AB2"/>
    <w:rsid w:val="00FD3BC6"/>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4B03"/>
  <w15:chartTrackingRefBased/>
  <w15:docId w15:val="{5772ECA4-77FB-4EC8-AA11-FFADF979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8E23C1"/>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1"/>
    <w:qFormat/>
    <w:rsid w:val="00532CC0"/>
    <w:pPr>
      <w:tabs>
        <w:tab w:val="clear" w:pos="360"/>
        <w:tab w:val="right" w:pos="7100"/>
      </w:tabs>
      <w:jc w:val="both"/>
      <w:outlineLvl w:val="0"/>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E23C1"/>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8E23C1"/>
    <w:rPr>
      <w:rFonts w:ascii="Consolas" w:eastAsia="Times New Roman" w:hAnsi="Consolas" w:cs="Consolas"/>
      <w:sz w:val="18"/>
      <w:szCs w:val="20"/>
      <w:lang w:val="en-GB"/>
    </w:rPr>
  </w:style>
  <w:style w:type="character" w:customStyle="1" w:styleId="y2iqfc">
    <w:name w:val="y2iqfc"/>
    <w:basedOn w:val="Fuentedeprrafopredeter"/>
    <w:rsid w:val="008E23C1"/>
  </w:style>
  <w:style w:type="paragraph" w:customStyle="1" w:styleId="CETBodytext">
    <w:name w:val="CET Body text"/>
    <w:link w:val="CETBodytextCarattere"/>
    <w:qFormat/>
    <w:rsid w:val="008E23C1"/>
    <w:pPr>
      <w:tabs>
        <w:tab w:val="right" w:pos="7100"/>
      </w:tabs>
      <w:spacing w:after="0" w:line="264" w:lineRule="auto"/>
      <w:jc w:val="both"/>
    </w:pPr>
    <w:rPr>
      <w:rFonts w:ascii="Arial" w:eastAsia="Times New Roman" w:hAnsi="Arial" w:cs="Times New Roman"/>
      <w:sz w:val="18"/>
      <w:szCs w:val="20"/>
    </w:rPr>
  </w:style>
  <w:style w:type="character" w:customStyle="1" w:styleId="CETBodytextCarattere">
    <w:name w:val="CET Body text Carattere"/>
    <w:link w:val="CETBodytext"/>
    <w:rsid w:val="008E23C1"/>
    <w:rPr>
      <w:rFonts w:ascii="Arial" w:eastAsia="Times New Roman" w:hAnsi="Arial" w:cs="Times New Roman"/>
      <w:sz w:val="18"/>
      <w:szCs w:val="20"/>
    </w:rPr>
  </w:style>
  <w:style w:type="paragraph" w:customStyle="1" w:styleId="CETHeading1">
    <w:name w:val="CET Heading1"/>
    <w:next w:val="CETBodytext"/>
    <w:qFormat/>
    <w:rsid w:val="006318E5"/>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headingx">
    <w:name w:val="CET headingx"/>
    <w:next w:val="CETBodytext"/>
    <w:autoRedefine/>
    <w:qFormat/>
    <w:rsid w:val="006318E5"/>
    <w:pPr>
      <w:keepNext/>
      <w:numPr>
        <w:ilvl w:val="2"/>
        <w:numId w:val="1"/>
      </w:numPr>
      <w:suppressAutoHyphens/>
      <w:spacing w:before="120" w:after="120" w:line="240" w:lineRule="auto"/>
    </w:pPr>
    <w:rPr>
      <w:rFonts w:ascii="Arial" w:eastAsia="Times New Roman" w:hAnsi="Arial" w:cs="Times New Roman"/>
      <w:b/>
      <w:sz w:val="18"/>
      <w:szCs w:val="20"/>
    </w:rPr>
  </w:style>
  <w:style w:type="table" w:styleId="Tablabsica1">
    <w:name w:val="Table Simple 1"/>
    <w:basedOn w:val="Tablanormal"/>
    <w:semiHidden/>
    <w:rsid w:val="006318E5"/>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uiPriority w:val="1"/>
    <w:rsid w:val="00532CC0"/>
    <w:rPr>
      <w:rFonts w:ascii="Arial" w:eastAsia="Times New Roman" w:hAnsi="Arial" w:cs="Times New Roman"/>
      <w:b/>
      <w:sz w:val="20"/>
      <w:szCs w:val="20"/>
      <w:lang w:val="en-GB"/>
    </w:rPr>
  </w:style>
  <w:style w:type="table" w:styleId="Tablaconcuadrcula">
    <w:name w:val="Table Grid"/>
    <w:basedOn w:val="Tablanormal"/>
    <w:uiPriority w:val="39"/>
    <w:rsid w:val="00DB4E20"/>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20007A"/>
    <w:pPr>
      <w:spacing w:after="0" w:line="240" w:lineRule="auto"/>
    </w:pPr>
    <w:rPr>
      <w:color w:val="000000"/>
      <w:lang w:val="es-P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Descripcin">
    <w:name w:val="caption"/>
    <w:basedOn w:val="Normal"/>
    <w:next w:val="Normal"/>
    <w:link w:val="DescripcinCar"/>
    <w:uiPriority w:val="35"/>
    <w:unhideWhenUsed/>
    <w:qFormat/>
    <w:rsid w:val="00C850D5"/>
    <w:pPr>
      <w:spacing w:line="240" w:lineRule="auto"/>
    </w:pPr>
    <w:rPr>
      <w:b/>
      <w:bCs/>
      <w:color w:val="5B9BD5" w:themeColor="accent1"/>
      <w:szCs w:val="18"/>
    </w:rPr>
  </w:style>
  <w:style w:type="character" w:customStyle="1" w:styleId="DescripcinCar">
    <w:name w:val="Descripción Car"/>
    <w:basedOn w:val="Fuentedeprrafopredeter"/>
    <w:link w:val="Descripcin"/>
    <w:uiPriority w:val="35"/>
    <w:rsid w:val="00C850D5"/>
    <w:rPr>
      <w:rFonts w:ascii="Arial" w:eastAsia="Times New Roman" w:hAnsi="Arial" w:cs="Times New Roman"/>
      <w:b/>
      <w:bCs/>
      <w:color w:val="5B9BD5" w:themeColor="accent1"/>
      <w:sz w:val="18"/>
      <w:szCs w:val="18"/>
      <w:lang w:val="en-GB"/>
    </w:rPr>
  </w:style>
  <w:style w:type="paragraph" w:customStyle="1" w:styleId="CETAuthors">
    <w:name w:val="CET Authors"/>
    <w:basedOn w:val="Normal"/>
    <w:link w:val="CETAuthorsCarattere"/>
    <w:qFormat/>
    <w:rsid w:val="00DC0EF2"/>
    <w:pPr>
      <w:keepNext/>
      <w:suppressAutoHyphens/>
      <w:spacing w:after="120"/>
    </w:pPr>
    <w:rPr>
      <w:noProof/>
      <w:sz w:val="24"/>
    </w:rPr>
  </w:style>
  <w:style w:type="character" w:customStyle="1" w:styleId="CETAuthorsCarattere">
    <w:name w:val="CET Authors Carattere"/>
    <w:link w:val="CETAuthors"/>
    <w:rsid w:val="00DC0EF2"/>
    <w:rPr>
      <w:rFonts w:ascii="Arial" w:eastAsia="Times New Roman" w:hAnsi="Arial" w:cs="Times New Roman"/>
      <w:noProof/>
      <w:sz w:val="24"/>
      <w:szCs w:val="20"/>
      <w:lang w:val="en-GB"/>
    </w:rPr>
  </w:style>
  <w:style w:type="character" w:styleId="Hipervnculo">
    <w:name w:val="Hyperlink"/>
    <w:basedOn w:val="Fuentedeprrafopredeter"/>
    <w:uiPriority w:val="99"/>
    <w:unhideWhenUsed/>
    <w:rsid w:val="00DC0EF2"/>
    <w:rPr>
      <w:color w:val="0563C1" w:themeColor="hyperlink"/>
      <w:u w:val="single"/>
    </w:rPr>
  </w:style>
  <w:style w:type="character" w:customStyle="1" w:styleId="Mencinsinresolver1">
    <w:name w:val="Mención sin resolver1"/>
    <w:basedOn w:val="Fuentedeprrafopredeter"/>
    <w:uiPriority w:val="99"/>
    <w:semiHidden/>
    <w:unhideWhenUsed/>
    <w:rsid w:val="00107818"/>
    <w:rPr>
      <w:color w:val="605E5C"/>
      <w:shd w:val="clear" w:color="auto" w:fill="E1DFDD"/>
    </w:rPr>
  </w:style>
  <w:style w:type="character" w:styleId="Mencinsinresolver">
    <w:name w:val="Unresolved Mention"/>
    <w:basedOn w:val="Fuentedeprrafopredeter"/>
    <w:uiPriority w:val="99"/>
    <w:semiHidden/>
    <w:unhideWhenUsed/>
    <w:rsid w:val="0015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kmendozal@ucv.ed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2022\ART&#205;CULOS\POR%20PUBLICAR%202023\FLORENCIA\SUELOS-TRADUCIDO\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2022\ART&#205;CULOS\POR%20PUBLICAR%202023\FLORENCIA\SUELOS-TRADUCIDO\Libro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0683475171664"/>
          <c:y val="0.14678640660113565"/>
          <c:w val="0.85630443181072236"/>
          <c:h val="0.6535244368963683"/>
        </c:manualLayout>
      </c:layout>
      <c:lineChart>
        <c:grouping val="standard"/>
        <c:varyColors val="0"/>
        <c:ser>
          <c:idx val="1"/>
          <c:order val="0"/>
          <c:tx>
            <c:strRef>
              <c:f>Hoja2!$B$1</c:f>
              <c:strCache>
                <c:ptCount val="1"/>
                <c:pt idx="0">
                  <c:v>T1: MM 300 mL</c:v>
                </c:pt>
              </c:strCache>
            </c:strRef>
          </c:tx>
          <c:spPr>
            <a:ln w="25400" cap="flat" cmpd="sng" algn="ctr">
              <a:solidFill>
                <a:schemeClr val="accent6"/>
              </a:solidFill>
              <a:prstDash val="solid"/>
              <a:round/>
            </a:ln>
            <a:effectLst/>
          </c:spPr>
          <c:marker>
            <c:symbol val="circle"/>
            <c:size val="5"/>
            <c:spPr>
              <a:noFill/>
              <a:ln w="25400" cap="flat" cmpd="sng" algn="ctr">
                <a:solidFill>
                  <a:schemeClr val="accent6"/>
                </a:solidFill>
                <a:prstDash val="solid"/>
              </a:ln>
              <a:effectLst/>
            </c:spPr>
          </c:marker>
          <c:dLbls>
            <c:dLbl>
              <c:idx val="0"/>
              <c:layout>
                <c:manualLayout>
                  <c:x val="-3.7220528429421459E-2"/>
                  <c:y val="-2.178649237472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2E-407D-8BF9-996B290C68FC}"/>
                </c:ext>
              </c:extLst>
            </c:dLbl>
            <c:dLbl>
              <c:idx val="1"/>
              <c:layout>
                <c:manualLayout>
                  <c:x val="-3.4634878784948211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2E-407D-8BF9-996B290C68FC}"/>
                </c:ext>
              </c:extLst>
            </c:dLbl>
            <c:dLbl>
              <c:idx val="2"/>
              <c:layout>
                <c:manualLayout>
                  <c:x val="-3.2049229140475088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2E-407D-8BF9-996B290C68FC}"/>
                </c:ext>
              </c:extLst>
            </c:dLbl>
            <c:dLbl>
              <c:idx val="3"/>
              <c:layout>
                <c:manualLayout>
                  <c:x val="-3.2049229140475088E-2"/>
                  <c:y val="-1.742919389978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2E-407D-8BF9-996B290C68FC}"/>
                </c:ext>
              </c:extLst>
            </c:dLbl>
            <c:dLbl>
              <c:idx val="4"/>
              <c:layout>
                <c:manualLayout>
                  <c:x val="-3.463487878494826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2E-407D-8BF9-996B290C68F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Hoja2!$A$3:$A$7</c:f>
              <c:strCache>
                <c:ptCount val="5"/>
                <c:pt idx="0">
                  <c:v>Aluminum (mg/L)</c:v>
                </c:pt>
                <c:pt idx="1">
                  <c:v>Cadmium (mg/L)</c:v>
                </c:pt>
                <c:pt idx="2">
                  <c:v>Copper (mg/L)</c:v>
                </c:pt>
                <c:pt idx="3">
                  <c:v>Chrome  (mg/L)</c:v>
                </c:pt>
                <c:pt idx="4">
                  <c:v>Zinc (mg/L)</c:v>
                </c:pt>
              </c:strCache>
            </c:strRef>
          </c:cat>
          <c:val>
            <c:numRef>
              <c:f>Hoja2!$B$3:$B$7</c:f>
              <c:numCache>
                <c:formatCode>General</c:formatCode>
                <c:ptCount val="5"/>
                <c:pt idx="0">
                  <c:v>25</c:v>
                </c:pt>
                <c:pt idx="1">
                  <c:v>22</c:v>
                </c:pt>
                <c:pt idx="2">
                  <c:v>32</c:v>
                </c:pt>
                <c:pt idx="3">
                  <c:v>29</c:v>
                </c:pt>
                <c:pt idx="4">
                  <c:v>39</c:v>
                </c:pt>
              </c:numCache>
            </c:numRef>
          </c:val>
          <c:smooth val="0"/>
          <c:extLst>
            <c:ext xmlns:c16="http://schemas.microsoft.com/office/drawing/2014/chart" uri="{C3380CC4-5D6E-409C-BE32-E72D297353CC}">
              <c16:uniqueId val="{00000005-6F2E-407D-8BF9-996B290C68FC}"/>
            </c:ext>
          </c:extLst>
        </c:ser>
        <c:ser>
          <c:idx val="2"/>
          <c:order val="1"/>
          <c:tx>
            <c:strRef>
              <c:f>Hoja2!$C$1</c:f>
              <c:strCache>
                <c:ptCount val="1"/>
                <c:pt idx="0">
                  <c:v>T2: MM 400mL</c:v>
                </c:pt>
              </c:strCache>
            </c:strRef>
          </c:tx>
          <c:spPr>
            <a:ln w="25400" cap="flat" cmpd="sng" algn="ctr">
              <a:solidFill>
                <a:schemeClr val="accent2"/>
              </a:solidFill>
              <a:prstDash val="solid"/>
              <a:round/>
            </a:ln>
            <a:effectLst/>
          </c:spPr>
          <c:marker>
            <c:symbol val="circle"/>
            <c:size val="5"/>
            <c:spPr>
              <a:solidFill>
                <a:schemeClr val="lt1"/>
              </a:solidFill>
              <a:ln w="25400" cap="flat" cmpd="sng" algn="ctr">
                <a:solidFill>
                  <a:schemeClr val="accent2"/>
                </a:solidFill>
                <a:prstDash val="solid"/>
              </a:ln>
              <a:effectLst/>
            </c:spPr>
          </c:marker>
          <c:dLbls>
            <c:dLbl>
              <c:idx val="0"/>
              <c:layout>
                <c:manualLayout>
                  <c:x val="-3.4634878784948288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2E-407D-8BF9-996B290C68FC}"/>
                </c:ext>
              </c:extLst>
            </c:dLbl>
            <c:dLbl>
              <c:idx val="1"/>
              <c:layout>
                <c:manualLayout>
                  <c:x val="-3.204922914047504E-2"/>
                  <c:y val="-1.742919389978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2E-407D-8BF9-996B290C68FC}"/>
                </c:ext>
              </c:extLst>
            </c:dLbl>
            <c:dLbl>
              <c:idx val="2"/>
              <c:layout>
                <c:manualLayout>
                  <c:x val="-2.9463579496001913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2E-407D-8BF9-996B290C68FC}"/>
                </c:ext>
              </c:extLst>
            </c:dLbl>
            <c:dLbl>
              <c:idx val="3"/>
              <c:layout>
                <c:manualLayout>
                  <c:x val="-2.6877929851528835E-2"/>
                  <c:y val="-2.17864923747277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2E-407D-8BF9-996B290C68FC}"/>
                </c:ext>
              </c:extLst>
            </c:dLbl>
            <c:dLbl>
              <c:idx val="4"/>
              <c:layout>
                <c:manualLayout>
                  <c:x val="-3.2049229140475088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F2E-407D-8BF9-996B290C68F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Hoja2!$A$3:$A$7</c:f>
              <c:strCache>
                <c:ptCount val="5"/>
                <c:pt idx="0">
                  <c:v>Aluminum (mg/L)</c:v>
                </c:pt>
                <c:pt idx="1">
                  <c:v>Cadmium (mg/L)</c:v>
                </c:pt>
                <c:pt idx="2">
                  <c:v>Copper (mg/L)</c:v>
                </c:pt>
                <c:pt idx="3">
                  <c:v>Chrome  (mg/L)</c:v>
                </c:pt>
                <c:pt idx="4">
                  <c:v>Zinc (mg/L)</c:v>
                </c:pt>
              </c:strCache>
            </c:strRef>
          </c:cat>
          <c:val>
            <c:numRef>
              <c:f>Hoja2!$C$3:$C$7</c:f>
              <c:numCache>
                <c:formatCode>General</c:formatCode>
                <c:ptCount val="5"/>
                <c:pt idx="0">
                  <c:v>55</c:v>
                </c:pt>
                <c:pt idx="1">
                  <c:v>68</c:v>
                </c:pt>
                <c:pt idx="2">
                  <c:v>61</c:v>
                </c:pt>
                <c:pt idx="3">
                  <c:v>54</c:v>
                </c:pt>
                <c:pt idx="4">
                  <c:v>65</c:v>
                </c:pt>
              </c:numCache>
            </c:numRef>
          </c:val>
          <c:smooth val="0"/>
          <c:extLst>
            <c:ext xmlns:c16="http://schemas.microsoft.com/office/drawing/2014/chart" uri="{C3380CC4-5D6E-409C-BE32-E72D297353CC}">
              <c16:uniqueId val="{0000000B-6F2E-407D-8BF9-996B290C68FC}"/>
            </c:ext>
          </c:extLst>
        </c:ser>
        <c:ser>
          <c:idx val="3"/>
          <c:order val="2"/>
          <c:tx>
            <c:strRef>
              <c:f>Hoja2!$D$1</c:f>
              <c:strCache>
                <c:ptCount val="1"/>
                <c:pt idx="0">
                  <c:v>T3: NaOH 20%</c:v>
                </c:pt>
              </c:strCache>
            </c:strRef>
          </c:tx>
          <c:spPr>
            <a:ln w="25400" cap="flat" cmpd="sng" algn="ctr">
              <a:solidFill>
                <a:srgbClr val="7030A0"/>
              </a:solidFill>
              <a:prstDash val="solid"/>
              <a:round/>
            </a:ln>
            <a:effectLst/>
          </c:spPr>
          <c:marker>
            <c:symbol val="circle"/>
            <c:size val="5"/>
            <c:spPr>
              <a:noFill/>
              <a:ln w="25400" cap="flat" cmpd="sng" algn="ctr">
                <a:solidFill>
                  <a:srgbClr val="7030A0"/>
                </a:solidFill>
                <a:prstDash val="solid"/>
              </a:ln>
              <a:effectLst/>
            </c:spPr>
          </c:marker>
          <c:dLbls>
            <c:dLbl>
              <c:idx val="0"/>
              <c:layout>
                <c:manualLayout>
                  <c:x val="-3.7220438464609401E-2"/>
                  <c:y val="2.7119193676371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F2E-407D-8BF9-996B290C68FC}"/>
                </c:ext>
              </c:extLst>
            </c:dLbl>
            <c:dLbl>
              <c:idx val="1"/>
              <c:layout>
                <c:manualLayout>
                  <c:x val="-3.2049240204197776E-2"/>
                  <c:y val="2.760674174449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F2E-407D-8BF9-996B290C68FC}"/>
                </c:ext>
              </c:extLst>
            </c:dLbl>
            <c:dLbl>
              <c:idx val="2"/>
              <c:layout>
                <c:manualLayout>
                  <c:x val="-3.2049240204197776E-2"/>
                  <c:y val="4.6499038637612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F2E-407D-8BF9-996B290C68FC}"/>
                </c:ext>
              </c:extLst>
            </c:dLbl>
            <c:dLbl>
              <c:idx val="3"/>
              <c:layout>
                <c:manualLayout>
                  <c:x val="-2.9463641073992065E-2"/>
                  <c:y val="3.1964154916681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F2E-407D-8BF9-996B290C68FC}"/>
                </c:ext>
              </c:extLst>
            </c:dLbl>
            <c:dLbl>
              <c:idx val="4"/>
              <c:layout>
                <c:manualLayout>
                  <c:x val="-3.2049240204197776E-2"/>
                  <c:y val="5.61889611182322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F2E-407D-8BF9-996B290C68F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Hoja2!$A$3:$A$7</c:f>
              <c:strCache>
                <c:ptCount val="5"/>
                <c:pt idx="0">
                  <c:v>Aluminum (mg/L)</c:v>
                </c:pt>
                <c:pt idx="1">
                  <c:v>Cadmium (mg/L)</c:v>
                </c:pt>
                <c:pt idx="2">
                  <c:v>Copper (mg/L)</c:v>
                </c:pt>
                <c:pt idx="3">
                  <c:v>Chrome  (mg/L)</c:v>
                </c:pt>
                <c:pt idx="4">
                  <c:v>Zinc (mg/L)</c:v>
                </c:pt>
              </c:strCache>
            </c:strRef>
          </c:cat>
          <c:val>
            <c:numRef>
              <c:f>Hoja2!$D$3:$D$7</c:f>
              <c:numCache>
                <c:formatCode>General</c:formatCode>
                <c:ptCount val="5"/>
                <c:pt idx="0">
                  <c:v>18</c:v>
                </c:pt>
                <c:pt idx="1">
                  <c:v>13</c:v>
                </c:pt>
                <c:pt idx="2">
                  <c:v>25</c:v>
                </c:pt>
                <c:pt idx="3">
                  <c:v>21</c:v>
                </c:pt>
                <c:pt idx="4">
                  <c:v>29</c:v>
                </c:pt>
              </c:numCache>
            </c:numRef>
          </c:val>
          <c:smooth val="0"/>
          <c:extLst>
            <c:ext xmlns:c16="http://schemas.microsoft.com/office/drawing/2014/chart" uri="{C3380CC4-5D6E-409C-BE32-E72D297353CC}">
              <c16:uniqueId val="{00000011-6F2E-407D-8BF9-996B290C68FC}"/>
            </c:ext>
          </c:extLst>
        </c:ser>
        <c:dLbls>
          <c:showLegendKey val="0"/>
          <c:showVal val="0"/>
          <c:showCatName val="0"/>
          <c:showSerName val="0"/>
          <c:showPercent val="0"/>
          <c:showBubbleSize val="0"/>
        </c:dLbls>
        <c:marker val="1"/>
        <c:smooth val="0"/>
        <c:axId val="2031796848"/>
        <c:axId val="2031796432"/>
      </c:lineChart>
      <c:catAx>
        <c:axId val="203179684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Inorganic metals at different experimental treatments</a:t>
                </a:r>
              </a:p>
            </c:rich>
          </c:tx>
          <c:layout>
            <c:manualLayout>
              <c:xMode val="edge"/>
              <c:yMode val="edge"/>
              <c:x val="0.19846464646464648"/>
              <c:y val="0.9321699003310860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2031796432"/>
        <c:crosses val="autoZero"/>
        <c:auto val="1"/>
        <c:lblAlgn val="ctr"/>
        <c:lblOffset val="100"/>
        <c:noMultiLvlLbl val="0"/>
      </c:catAx>
      <c:valAx>
        <c:axId val="203179643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Removal efficiency (%)</a:t>
                </a:r>
              </a:p>
            </c:rich>
          </c:tx>
          <c:layout>
            <c:manualLayout>
              <c:xMode val="edge"/>
              <c:yMode val="edge"/>
              <c:x val="1.4860627270076089E-2"/>
              <c:y val="0.2229821762475769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2031796848"/>
        <c:crosses val="autoZero"/>
        <c:crossBetween val="between"/>
      </c:valAx>
      <c:spPr>
        <a:noFill/>
        <a:ln>
          <a:noFill/>
        </a:ln>
        <a:effectLst/>
      </c:spPr>
    </c:plotArea>
    <c:legend>
      <c:legendPos val="b"/>
      <c:layout>
        <c:manualLayout>
          <c:xMode val="edge"/>
          <c:yMode val="edge"/>
          <c:x val="9.1876242742384456E-2"/>
          <c:y val="1.2216218070780365E-2"/>
          <c:w val="0.74211035837714845"/>
          <c:h val="6.4686669068327249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95332340214228"/>
          <c:y val="0.15277777777777779"/>
          <c:w val="0.85043964890922297"/>
          <c:h val="0.64121609798775148"/>
        </c:manualLayout>
      </c:layout>
      <c:lineChart>
        <c:grouping val="standard"/>
        <c:varyColors val="0"/>
        <c:ser>
          <c:idx val="1"/>
          <c:order val="0"/>
          <c:tx>
            <c:strRef>
              <c:f>Hoja2!$L$1</c:f>
              <c:strCache>
                <c:ptCount val="1"/>
                <c:pt idx="0">
                  <c:v>T1: MM 300 mL</c:v>
                </c:pt>
              </c:strCache>
            </c:strRef>
          </c:tx>
          <c:spPr>
            <a:ln w="25400" cap="flat" cmpd="sng" algn="ctr">
              <a:solidFill>
                <a:srgbClr val="00B050"/>
              </a:solidFill>
              <a:prstDash val="solid"/>
              <a:round/>
            </a:ln>
            <a:effectLst/>
          </c:spPr>
          <c:marker>
            <c:symbol val="circle"/>
            <c:size val="5"/>
            <c:spPr>
              <a:solidFill>
                <a:schemeClr val="lt1"/>
              </a:solidFill>
              <a:ln w="25400" cap="flat" cmpd="sng" algn="ctr">
                <a:solidFill>
                  <a:srgbClr val="00B050"/>
                </a:solidFill>
                <a:prstDash val="solid"/>
              </a:ln>
              <a:effectLst/>
            </c:spPr>
          </c:marker>
          <c:dLbls>
            <c:dLbl>
              <c:idx val="0"/>
              <c:layout>
                <c:manualLayout>
                  <c:x val="-3.229426433915214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51-4699-B78F-A9EC303DDC50}"/>
                </c:ext>
              </c:extLst>
            </c:dLbl>
            <c:dLbl>
              <c:idx val="1"/>
              <c:layout>
                <c:manualLayout>
                  <c:x val="-3.2294264339152119E-2"/>
                  <c:y val="-2.314814814814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51-4699-B78F-A9EC303DDC50}"/>
                </c:ext>
              </c:extLst>
            </c:dLbl>
            <c:dLbl>
              <c:idx val="2"/>
              <c:layout>
                <c:manualLayout>
                  <c:x val="-3.2294264339152119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51-4699-B78F-A9EC303DDC50}"/>
                </c:ext>
              </c:extLst>
            </c:dLbl>
            <c:dLbl>
              <c:idx val="3"/>
              <c:layout>
                <c:manualLayout>
                  <c:x val="-3.2294264339152119E-2"/>
                  <c:y val="-2.314814814814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51-4699-B78F-A9EC303DDC50}"/>
                </c:ext>
              </c:extLst>
            </c:dLbl>
            <c:dLbl>
              <c:idx val="4"/>
              <c:layout>
                <c:manualLayout>
                  <c:x val="-3.22942643391523E-2"/>
                  <c:y val="-2.314814814814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51-4699-B78F-A9EC303DDC50}"/>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Hoja2!$K$3:$K$7</c:f>
              <c:strCache>
                <c:ptCount val="5"/>
                <c:pt idx="0">
                  <c:v>Aluminum (mg/L)</c:v>
                </c:pt>
                <c:pt idx="1">
                  <c:v>Cadmium (mg/L)</c:v>
                </c:pt>
                <c:pt idx="2">
                  <c:v>Copper (mg/L)</c:v>
                </c:pt>
                <c:pt idx="3">
                  <c:v>Chrome (mg/L)</c:v>
                </c:pt>
                <c:pt idx="4">
                  <c:v>Zinc (mg/L)</c:v>
                </c:pt>
              </c:strCache>
            </c:strRef>
          </c:cat>
          <c:val>
            <c:numRef>
              <c:f>Hoja2!$L$3:$L$7</c:f>
              <c:numCache>
                <c:formatCode>General</c:formatCode>
                <c:ptCount val="5"/>
                <c:pt idx="0">
                  <c:v>57</c:v>
                </c:pt>
                <c:pt idx="1">
                  <c:v>63</c:v>
                </c:pt>
                <c:pt idx="2">
                  <c:v>57</c:v>
                </c:pt>
                <c:pt idx="3">
                  <c:v>67</c:v>
                </c:pt>
                <c:pt idx="4">
                  <c:v>63</c:v>
                </c:pt>
              </c:numCache>
            </c:numRef>
          </c:val>
          <c:smooth val="0"/>
          <c:extLst>
            <c:ext xmlns:c16="http://schemas.microsoft.com/office/drawing/2014/chart" uri="{C3380CC4-5D6E-409C-BE32-E72D297353CC}">
              <c16:uniqueId val="{00000005-7C51-4699-B78F-A9EC303DDC50}"/>
            </c:ext>
          </c:extLst>
        </c:ser>
        <c:ser>
          <c:idx val="2"/>
          <c:order val="1"/>
          <c:tx>
            <c:strRef>
              <c:f>Hoja2!$M$1</c:f>
              <c:strCache>
                <c:ptCount val="1"/>
                <c:pt idx="0">
                  <c:v>T2: MM 400mL</c:v>
                </c:pt>
              </c:strCache>
            </c:strRef>
          </c:tx>
          <c:spPr>
            <a:ln w="25400" cap="flat" cmpd="sng" algn="ctr">
              <a:solidFill>
                <a:schemeClr val="accent2"/>
              </a:solidFill>
              <a:prstDash val="solid"/>
              <a:round/>
            </a:ln>
            <a:effectLst/>
          </c:spPr>
          <c:marker>
            <c:symbol val="circle"/>
            <c:size val="5"/>
            <c:spPr>
              <a:solidFill>
                <a:schemeClr val="lt1"/>
              </a:solidFill>
              <a:ln w="25400" cap="flat" cmpd="sng" algn="ctr">
                <a:solidFill>
                  <a:schemeClr val="accent2"/>
                </a:solidFill>
                <a:prstDash val="solid"/>
              </a:ln>
              <a:effectLst/>
            </c:spPr>
          </c:marker>
          <c:dLbls>
            <c:dLbl>
              <c:idx val="0"/>
              <c:layout>
                <c:manualLayout>
                  <c:x val="-3.7281795511221946E-2"/>
                  <c:y val="-2.7777777777777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51-4699-B78F-A9EC303DDC50}"/>
                </c:ext>
              </c:extLst>
            </c:dLbl>
            <c:dLbl>
              <c:idx val="1"/>
              <c:layout>
                <c:manualLayout>
                  <c:x val="-3.2294264339152119E-2"/>
                  <c:y val="-1.8518518518518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51-4699-B78F-A9EC303DDC50}"/>
                </c:ext>
              </c:extLst>
            </c:dLbl>
            <c:dLbl>
              <c:idx val="2"/>
              <c:layout>
                <c:manualLayout>
                  <c:x val="-3.2294264339152119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51-4699-B78F-A9EC303DDC50}"/>
                </c:ext>
              </c:extLst>
            </c:dLbl>
            <c:dLbl>
              <c:idx val="3"/>
              <c:layout>
                <c:manualLayout>
                  <c:x val="-3.2294264339152119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51-4699-B78F-A9EC303DDC50}"/>
                </c:ext>
              </c:extLst>
            </c:dLbl>
            <c:dLbl>
              <c:idx val="4"/>
              <c:layout>
                <c:manualLayout>
                  <c:x val="-3.22942643391523E-2"/>
                  <c:y val="9.25925925925921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51-4699-B78F-A9EC303DDC50}"/>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Hoja2!$K$3:$K$7</c:f>
              <c:strCache>
                <c:ptCount val="5"/>
                <c:pt idx="0">
                  <c:v>Aluminum (mg/L)</c:v>
                </c:pt>
                <c:pt idx="1">
                  <c:v>Cadmium (mg/L)</c:v>
                </c:pt>
                <c:pt idx="2">
                  <c:v>Copper (mg/L)</c:v>
                </c:pt>
                <c:pt idx="3">
                  <c:v>Chrome (mg/L)</c:v>
                </c:pt>
                <c:pt idx="4">
                  <c:v>Zinc (mg/L)</c:v>
                </c:pt>
              </c:strCache>
            </c:strRef>
          </c:cat>
          <c:val>
            <c:numRef>
              <c:f>Hoja2!$M$3:$M$7</c:f>
              <c:numCache>
                <c:formatCode>General</c:formatCode>
                <c:ptCount val="5"/>
                <c:pt idx="0">
                  <c:v>86</c:v>
                </c:pt>
                <c:pt idx="1">
                  <c:v>99</c:v>
                </c:pt>
                <c:pt idx="2">
                  <c:v>89</c:v>
                </c:pt>
                <c:pt idx="3">
                  <c:v>92</c:v>
                </c:pt>
                <c:pt idx="4">
                  <c:v>79</c:v>
                </c:pt>
              </c:numCache>
            </c:numRef>
          </c:val>
          <c:smooth val="0"/>
          <c:extLst>
            <c:ext xmlns:c16="http://schemas.microsoft.com/office/drawing/2014/chart" uri="{C3380CC4-5D6E-409C-BE32-E72D297353CC}">
              <c16:uniqueId val="{0000000B-7C51-4699-B78F-A9EC303DDC50}"/>
            </c:ext>
          </c:extLst>
        </c:ser>
        <c:ser>
          <c:idx val="3"/>
          <c:order val="2"/>
          <c:tx>
            <c:strRef>
              <c:f>Hoja2!$N$1</c:f>
              <c:strCache>
                <c:ptCount val="1"/>
                <c:pt idx="0">
                  <c:v>T3: NaOH 20%</c:v>
                </c:pt>
              </c:strCache>
            </c:strRef>
          </c:tx>
          <c:spPr>
            <a:ln w="25400" cap="flat" cmpd="sng" algn="ctr">
              <a:solidFill>
                <a:srgbClr val="7030A0"/>
              </a:solidFill>
              <a:prstDash val="solid"/>
              <a:round/>
            </a:ln>
            <a:effectLst/>
          </c:spPr>
          <c:marker>
            <c:symbol val="circle"/>
            <c:size val="5"/>
            <c:spPr>
              <a:solidFill>
                <a:schemeClr val="lt1"/>
              </a:solidFill>
              <a:ln w="25400" cap="flat" cmpd="sng" algn="ctr">
                <a:solidFill>
                  <a:srgbClr val="7030A0"/>
                </a:solidFill>
                <a:prstDash val="solid"/>
              </a:ln>
              <a:effectLst/>
            </c:spPr>
          </c:marker>
          <c:dLbls>
            <c:dLbl>
              <c:idx val="0"/>
              <c:layout>
                <c:manualLayout>
                  <c:x val="-3.4788029925187029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C51-4699-B78F-A9EC303DDC50}"/>
                </c:ext>
              </c:extLst>
            </c:dLbl>
            <c:dLbl>
              <c:idx val="1"/>
              <c:layout>
                <c:manualLayout>
                  <c:x val="-3.2294264339152119E-2"/>
                  <c:y val="-3.2407407407407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C51-4699-B78F-A9EC303DDC50}"/>
                </c:ext>
              </c:extLst>
            </c:dLbl>
            <c:dLbl>
              <c:idx val="2"/>
              <c:layout>
                <c:manualLayout>
                  <c:x val="-3.2294264339152119E-2"/>
                  <c:y val="-2.314814814814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C51-4699-B78F-A9EC303DDC50}"/>
                </c:ext>
              </c:extLst>
            </c:dLbl>
            <c:dLbl>
              <c:idx val="3"/>
              <c:layout>
                <c:manualLayout>
                  <c:x val="-3.2294264339152119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C51-4699-B78F-A9EC303DDC50}"/>
                </c:ext>
              </c:extLst>
            </c:dLbl>
            <c:dLbl>
              <c:idx val="4"/>
              <c:layout>
                <c:manualLayout>
                  <c:x val="-3.22942643391523E-2"/>
                  <c:y val="-2.314814814814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C51-4699-B78F-A9EC303DDC50}"/>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Hoja2!$K$3:$K$7</c:f>
              <c:strCache>
                <c:ptCount val="5"/>
                <c:pt idx="0">
                  <c:v>Aluminum (mg/L)</c:v>
                </c:pt>
                <c:pt idx="1">
                  <c:v>Cadmium (mg/L)</c:v>
                </c:pt>
                <c:pt idx="2">
                  <c:v>Copper (mg/L)</c:v>
                </c:pt>
                <c:pt idx="3">
                  <c:v>Chrome (mg/L)</c:v>
                </c:pt>
                <c:pt idx="4">
                  <c:v>Zinc (mg/L)</c:v>
                </c:pt>
              </c:strCache>
            </c:strRef>
          </c:cat>
          <c:val>
            <c:numRef>
              <c:f>Hoja2!$N$3:$N$7</c:f>
              <c:numCache>
                <c:formatCode>General</c:formatCode>
                <c:ptCount val="5"/>
                <c:pt idx="0">
                  <c:v>32</c:v>
                </c:pt>
                <c:pt idx="1">
                  <c:v>41</c:v>
                </c:pt>
                <c:pt idx="2">
                  <c:v>39</c:v>
                </c:pt>
                <c:pt idx="3">
                  <c:v>33</c:v>
                </c:pt>
                <c:pt idx="4">
                  <c:v>43</c:v>
                </c:pt>
              </c:numCache>
            </c:numRef>
          </c:val>
          <c:smooth val="0"/>
          <c:extLst>
            <c:ext xmlns:c16="http://schemas.microsoft.com/office/drawing/2014/chart" uri="{C3380CC4-5D6E-409C-BE32-E72D297353CC}">
              <c16:uniqueId val="{00000011-7C51-4699-B78F-A9EC303DDC50}"/>
            </c:ext>
          </c:extLst>
        </c:ser>
        <c:dLbls>
          <c:showLegendKey val="0"/>
          <c:showVal val="0"/>
          <c:showCatName val="0"/>
          <c:showSerName val="0"/>
          <c:showPercent val="0"/>
          <c:showBubbleSize val="0"/>
        </c:dLbls>
        <c:marker val="1"/>
        <c:smooth val="0"/>
        <c:axId val="2049275680"/>
        <c:axId val="2049272768"/>
      </c:lineChart>
      <c:catAx>
        <c:axId val="204927568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sz="900"/>
                  <a:t>Inorganic metals at different experimental treatments</a:t>
                </a:r>
              </a:p>
            </c:rich>
          </c:tx>
          <c:layout>
            <c:manualLayout>
              <c:xMode val="edge"/>
              <c:yMode val="edge"/>
              <c:x val="0.23148106486689163"/>
              <c:y val="0.93499708369787105"/>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2049272768"/>
        <c:crosses val="autoZero"/>
        <c:auto val="1"/>
        <c:lblAlgn val="ctr"/>
        <c:lblOffset val="100"/>
        <c:noMultiLvlLbl val="0"/>
      </c:catAx>
      <c:valAx>
        <c:axId val="2049272768"/>
        <c:scaling>
          <c:orientation val="minMax"/>
          <c:max val="100"/>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Removal efficiency (%)</a:t>
                </a:r>
              </a:p>
            </c:rich>
          </c:tx>
          <c:layout>
            <c:manualLayout>
              <c:xMode val="edge"/>
              <c:yMode val="edge"/>
              <c:x val="2.4125709348675552E-2"/>
              <c:y val="0.2358778480651240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2049275680"/>
        <c:crosses val="autoZero"/>
        <c:crossBetween val="between"/>
      </c:valAx>
      <c:spPr>
        <a:noFill/>
        <a:ln>
          <a:noFill/>
        </a:ln>
        <a:effectLst/>
      </c:spPr>
    </c:plotArea>
    <c:legend>
      <c:legendPos val="b"/>
      <c:layout>
        <c:manualLayout>
          <c:xMode val="edge"/>
          <c:yMode val="edge"/>
          <c:x val="0.16150427142553128"/>
          <c:y val="1.9233377077865325E-2"/>
          <c:w val="0.73876751892499926"/>
          <c:h val="6.8729585885097699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2672</Words>
  <Characters>14700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53</cp:revision>
  <dcterms:created xsi:type="dcterms:W3CDTF">2023-02-16T21:17:00Z</dcterms:created>
  <dcterms:modified xsi:type="dcterms:W3CDTF">2023-09-11T18:08:00Z</dcterms:modified>
</cp:coreProperties>
</file>