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1E0" w:firstRow="1" w:lastRow="1" w:firstColumn="1" w:lastColumn="1" w:noHBand="0" w:noVBand="0"/>
      </w:tblPr>
      <w:tblGrid>
        <w:gridCol w:w="6940"/>
        <w:gridCol w:w="1842"/>
      </w:tblGrid>
      <w:tr w:rsidR="00346AD4" w:rsidRPr="00B57B36" w14:paraId="6DF87C8A" w14:textId="77777777" w:rsidTr="00346AD4">
        <w:trPr>
          <w:trHeight w:val="852"/>
        </w:trPr>
        <w:tc>
          <w:tcPr>
            <w:tcW w:w="6940" w:type="dxa"/>
            <w:vMerge w:val="restart"/>
            <w:tcBorders>
              <w:right w:val="single" w:sz="4" w:space="0" w:color="auto"/>
            </w:tcBorders>
          </w:tcPr>
          <w:p w14:paraId="4547E419" w14:textId="77777777" w:rsidR="00346AD4" w:rsidRPr="00B57B36" w:rsidRDefault="00346AD4" w:rsidP="00CE0107">
            <w:pPr>
              <w:tabs>
                <w:tab w:val="left" w:pos="-108"/>
              </w:tabs>
              <w:spacing w:after="0"/>
              <w:ind w:left="-108"/>
              <w:rPr>
                <w:rFonts w:cs="Arial"/>
                <w:b/>
                <w:bCs/>
                <w:i/>
                <w:iCs/>
                <w:color w:val="000066"/>
                <w:sz w:val="12"/>
                <w:szCs w:val="12"/>
                <w:lang w:eastAsia="it-IT"/>
              </w:rPr>
            </w:pPr>
            <w:r w:rsidRPr="00B57B36">
              <w:rPr>
                <w:rFonts w:ascii="AdvP6960" w:hAnsi="AdvP6960" w:cs="AdvP6960"/>
                <w:noProof/>
                <w:color w:val="241F20"/>
                <w:szCs w:val="18"/>
              </w:rPr>
              <w:drawing>
                <wp:inline distT="0" distB="0" distL="0" distR="0" wp14:anchorId="34EC52A8" wp14:editId="692BBDF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2066726" w14:textId="77777777" w:rsidR="00346AD4" w:rsidRPr="00B57B36" w:rsidRDefault="00346AD4" w:rsidP="00CE0107">
            <w:pPr>
              <w:tabs>
                <w:tab w:val="left" w:pos="-108"/>
              </w:tabs>
              <w:spacing w:after="0"/>
              <w:ind w:left="-108"/>
              <w:rPr>
                <w:rFonts w:cs="Arial"/>
                <w:b/>
                <w:bCs/>
                <w:i/>
                <w:iCs/>
                <w:color w:val="000066"/>
                <w:lang w:eastAsia="it-IT"/>
              </w:rPr>
            </w:pPr>
            <w:r w:rsidRPr="00B57B36">
              <w:rPr>
                <w:rFonts w:cs="Arial"/>
                <w:b/>
                <w:bCs/>
                <w:i/>
                <w:iCs/>
                <w:color w:val="000066"/>
                <w:lang w:eastAsia="it-IT"/>
              </w:rPr>
              <w:t xml:space="preserve">VOL. </w:t>
            </w:r>
            <w:r>
              <w:rPr>
                <w:rFonts w:cs="Arial"/>
                <w:b/>
                <w:bCs/>
                <w:i/>
                <w:iCs/>
                <w:color w:val="000066"/>
                <w:lang w:eastAsia="it-IT"/>
              </w:rPr>
              <w:t xml:space="preserve">   , 2023</w:t>
            </w:r>
          </w:p>
        </w:tc>
        <w:tc>
          <w:tcPr>
            <w:tcW w:w="1842" w:type="dxa"/>
            <w:tcBorders>
              <w:left w:val="single" w:sz="4" w:space="0" w:color="auto"/>
              <w:bottom w:val="nil"/>
              <w:right w:val="single" w:sz="4" w:space="0" w:color="auto"/>
            </w:tcBorders>
          </w:tcPr>
          <w:p w14:paraId="7AB0155C" w14:textId="77777777" w:rsidR="00346AD4" w:rsidRPr="00B57B36" w:rsidRDefault="00346AD4" w:rsidP="00CE0107">
            <w:pPr>
              <w:spacing w:after="0" w:line="140" w:lineRule="atLeast"/>
              <w:jc w:val="right"/>
              <w:rPr>
                <w:rFonts w:cs="Arial"/>
                <w:sz w:val="14"/>
                <w:szCs w:val="14"/>
              </w:rPr>
            </w:pPr>
            <w:r w:rsidRPr="00B57B36">
              <w:rPr>
                <w:rFonts w:cs="Arial"/>
                <w:sz w:val="14"/>
                <w:szCs w:val="14"/>
              </w:rPr>
              <w:t>A publication of</w:t>
            </w:r>
          </w:p>
          <w:p w14:paraId="503074AA" w14:textId="77777777" w:rsidR="00346AD4" w:rsidRPr="00B57B36" w:rsidRDefault="00346AD4" w:rsidP="00CE0107">
            <w:pPr>
              <w:spacing w:after="0"/>
              <w:jc w:val="right"/>
            </w:pPr>
            <w:r w:rsidRPr="00B57B36">
              <w:rPr>
                <w:noProof/>
              </w:rPr>
              <w:drawing>
                <wp:inline distT="0" distB="0" distL="0" distR="0" wp14:anchorId="4E246D46" wp14:editId="6680F28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346AD4" w:rsidRPr="00B57B36" w14:paraId="5FD8B35D" w14:textId="77777777" w:rsidTr="00346AD4">
        <w:trPr>
          <w:trHeight w:val="567"/>
        </w:trPr>
        <w:tc>
          <w:tcPr>
            <w:tcW w:w="6940" w:type="dxa"/>
            <w:vMerge/>
            <w:tcBorders>
              <w:right w:val="single" w:sz="4" w:space="0" w:color="auto"/>
            </w:tcBorders>
          </w:tcPr>
          <w:p w14:paraId="70CEB1B7" w14:textId="77777777" w:rsidR="00346AD4" w:rsidRPr="00B57B36" w:rsidRDefault="00346AD4" w:rsidP="00CE0107">
            <w:pPr>
              <w:tabs>
                <w:tab w:val="left" w:pos="-108"/>
              </w:tabs>
              <w:spacing w:after="0"/>
            </w:pPr>
          </w:p>
        </w:tc>
        <w:tc>
          <w:tcPr>
            <w:tcW w:w="1842" w:type="dxa"/>
            <w:tcBorders>
              <w:left w:val="single" w:sz="4" w:space="0" w:color="auto"/>
              <w:bottom w:val="nil"/>
              <w:right w:val="single" w:sz="4" w:space="0" w:color="auto"/>
            </w:tcBorders>
          </w:tcPr>
          <w:p w14:paraId="4484B5C9" w14:textId="77777777" w:rsidR="00346AD4" w:rsidRPr="00B57B36" w:rsidRDefault="00346AD4" w:rsidP="00CE0107">
            <w:pPr>
              <w:spacing w:after="0" w:line="140" w:lineRule="atLeast"/>
              <w:jc w:val="right"/>
              <w:rPr>
                <w:rFonts w:cs="Arial"/>
                <w:sz w:val="14"/>
                <w:szCs w:val="14"/>
              </w:rPr>
            </w:pPr>
            <w:r w:rsidRPr="00B57B36">
              <w:rPr>
                <w:rFonts w:cs="Arial"/>
                <w:sz w:val="14"/>
                <w:szCs w:val="14"/>
              </w:rPr>
              <w:t>The Italian Association</w:t>
            </w:r>
          </w:p>
          <w:p w14:paraId="323EC70C" w14:textId="77777777" w:rsidR="00346AD4" w:rsidRPr="00B57B36" w:rsidRDefault="00346AD4" w:rsidP="00CE0107">
            <w:pPr>
              <w:spacing w:after="0" w:line="140" w:lineRule="atLeast"/>
              <w:jc w:val="right"/>
              <w:rPr>
                <w:rFonts w:cs="Arial"/>
                <w:sz w:val="14"/>
                <w:szCs w:val="14"/>
              </w:rPr>
            </w:pPr>
            <w:r w:rsidRPr="00B57B36">
              <w:rPr>
                <w:rFonts w:cs="Arial"/>
                <w:sz w:val="14"/>
                <w:szCs w:val="14"/>
              </w:rPr>
              <w:t>of Chemical Engineering</w:t>
            </w:r>
          </w:p>
          <w:p w14:paraId="2D66E7D5" w14:textId="77777777" w:rsidR="00346AD4" w:rsidRPr="000D0268" w:rsidRDefault="00346AD4" w:rsidP="00CE0107">
            <w:pPr>
              <w:spacing w:after="0" w:line="140" w:lineRule="atLeast"/>
              <w:jc w:val="right"/>
              <w:rPr>
                <w:rFonts w:cs="Arial"/>
                <w:sz w:val="13"/>
                <w:szCs w:val="13"/>
              </w:rPr>
            </w:pPr>
            <w:r w:rsidRPr="000D0268">
              <w:rPr>
                <w:rFonts w:cs="Arial"/>
                <w:sz w:val="13"/>
                <w:szCs w:val="13"/>
              </w:rPr>
              <w:t>Online at www.cetjournal.it</w:t>
            </w:r>
          </w:p>
        </w:tc>
      </w:tr>
      <w:tr w:rsidR="00346AD4" w:rsidRPr="00B57B36" w14:paraId="67C19535" w14:textId="77777777" w:rsidTr="00346AD4">
        <w:trPr>
          <w:trHeight w:val="68"/>
        </w:trPr>
        <w:tc>
          <w:tcPr>
            <w:tcW w:w="8782" w:type="dxa"/>
            <w:gridSpan w:val="2"/>
          </w:tcPr>
          <w:p w14:paraId="1765E096" w14:textId="77777777" w:rsidR="00346AD4" w:rsidRPr="003A6FC6" w:rsidRDefault="00346AD4" w:rsidP="00CE0107">
            <w:pPr>
              <w:spacing w:after="0"/>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Laura Piazza, M</w:t>
            </w:r>
            <w:r>
              <w:rPr>
                <w:rFonts w:ascii="Tahoma" w:hAnsi="Tahoma" w:cs="Tahoma"/>
                <w:color w:val="000000"/>
                <w:sz w:val="14"/>
                <w:szCs w:val="14"/>
                <w:shd w:val="clear" w:color="auto" w:fill="FFFFFF"/>
                <w:lang w:val="it-IT"/>
              </w:rPr>
              <w:t>auro Moresi, Francesco Donsì</w:t>
            </w:r>
          </w:p>
          <w:p w14:paraId="3A65A040" w14:textId="77777777" w:rsidR="00346AD4" w:rsidRPr="00B57B36" w:rsidRDefault="00346AD4" w:rsidP="00CE0107">
            <w:pPr>
              <w:tabs>
                <w:tab w:val="left" w:pos="-108"/>
              </w:tabs>
              <w:spacing w:after="0" w:line="140" w:lineRule="atLeast"/>
              <w:ind w:left="-107"/>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81206-01-4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88609EB" w14:textId="77777777" w:rsidR="00346AD4" w:rsidRDefault="00346AD4" w:rsidP="00346AD4">
      <w:pPr>
        <w:rPr>
          <w:b/>
        </w:rPr>
      </w:pPr>
    </w:p>
    <w:p w14:paraId="193732EC" w14:textId="7FE3756B" w:rsidR="00346AD4" w:rsidRDefault="00346AD4" w:rsidP="00346AD4">
      <w:pPr>
        <w:pStyle w:val="CETAuthors"/>
        <w:spacing w:line="240" w:lineRule="auto"/>
        <w:jc w:val="center"/>
        <w:rPr>
          <w:rFonts w:cs="Arial"/>
          <w:noProof w:val="0"/>
          <w:sz w:val="30"/>
          <w:szCs w:val="30"/>
        </w:rPr>
      </w:pPr>
      <w:r w:rsidRPr="0097754B">
        <w:rPr>
          <w:rFonts w:cs="Arial"/>
          <w:noProof w:val="0"/>
          <w:sz w:val="30"/>
          <w:szCs w:val="30"/>
        </w:rPr>
        <w:t>Bioremediation of agricultural soils applying vegetable activated carbon and mountain microorganisms in the Peruvian jungle</w:t>
      </w:r>
    </w:p>
    <w:p w14:paraId="541C928A" w14:textId="77777777" w:rsidR="00776758" w:rsidRPr="0097754B" w:rsidRDefault="00776758" w:rsidP="00A539B9">
      <w:pPr>
        <w:pStyle w:val="CETAuthors"/>
        <w:spacing w:after="0" w:line="240" w:lineRule="auto"/>
        <w:jc w:val="center"/>
        <w:rPr>
          <w:rFonts w:cs="Arial"/>
          <w:noProof w:val="0"/>
          <w:sz w:val="30"/>
          <w:szCs w:val="30"/>
        </w:rPr>
      </w:pPr>
    </w:p>
    <w:p w14:paraId="149629FA" w14:textId="1E214A5C" w:rsidR="003571AA" w:rsidRPr="00C60995" w:rsidRDefault="00776758" w:rsidP="003571AA">
      <w:pPr>
        <w:pStyle w:val="CETAuthors"/>
        <w:rPr>
          <w:rFonts w:cs="Arial"/>
          <w:iCs/>
          <w:color w:val="000000"/>
          <w:szCs w:val="24"/>
          <w:lang w:val="es-ES"/>
        </w:rPr>
      </w:pPr>
      <w:bookmarkStart w:id="0" w:name="_Hlk141505351"/>
      <w:r w:rsidRPr="00871F7E">
        <w:rPr>
          <w:rFonts w:cs="Arial"/>
          <w:iCs/>
          <w:color w:val="000000"/>
          <w:szCs w:val="24"/>
          <w:lang w:val="es-ES"/>
        </w:rPr>
        <w:t>Ana N. Sandoval</w:t>
      </w:r>
      <w:r w:rsidRPr="00871F7E">
        <w:rPr>
          <w:rFonts w:cs="Arial"/>
          <w:iCs/>
          <w:color w:val="000000"/>
          <w:szCs w:val="24"/>
          <w:vertAlign w:val="superscript"/>
          <w:lang w:val="es-ES"/>
        </w:rPr>
        <w:t>a</w:t>
      </w:r>
      <w:r w:rsidRPr="00871F7E">
        <w:rPr>
          <w:rFonts w:cs="Arial"/>
          <w:iCs/>
          <w:color w:val="000000"/>
          <w:szCs w:val="24"/>
          <w:lang w:val="es-ES"/>
        </w:rPr>
        <w:t>, Karla L. Mendoza*</w:t>
      </w:r>
      <w:r w:rsidR="00FF6C70" w:rsidRPr="00871F7E">
        <w:rPr>
          <w:rFonts w:cs="Arial"/>
          <w:iCs/>
          <w:color w:val="000000"/>
          <w:szCs w:val="24"/>
          <w:vertAlign w:val="superscript"/>
          <w:lang w:val="es-ES"/>
        </w:rPr>
        <w:t>a</w:t>
      </w:r>
      <w:r w:rsidRPr="00871F7E">
        <w:rPr>
          <w:rFonts w:cs="Arial"/>
          <w:iCs/>
          <w:color w:val="000000"/>
          <w:szCs w:val="24"/>
          <w:lang w:val="es-ES"/>
        </w:rPr>
        <w:t>, Ludwig N. Villanueva</w:t>
      </w:r>
      <w:r w:rsidR="00FF6C70" w:rsidRPr="00871F7E">
        <w:rPr>
          <w:rFonts w:cs="Arial"/>
          <w:iCs/>
          <w:color w:val="000000"/>
          <w:szCs w:val="24"/>
          <w:vertAlign w:val="superscript"/>
          <w:lang w:val="es-ES"/>
        </w:rPr>
        <w:t>a</w:t>
      </w:r>
      <w:r w:rsidRPr="00871F7E">
        <w:rPr>
          <w:rFonts w:cs="Arial"/>
          <w:iCs/>
          <w:color w:val="000000"/>
          <w:szCs w:val="24"/>
          <w:lang w:val="es-ES"/>
        </w:rPr>
        <w:t>, Elmer Benites-Alfaro</w:t>
      </w:r>
      <w:r w:rsidR="00FF6C70" w:rsidRPr="00871F7E">
        <w:rPr>
          <w:rFonts w:cs="Arial"/>
          <w:iCs/>
          <w:color w:val="000000"/>
          <w:szCs w:val="24"/>
          <w:vertAlign w:val="superscript"/>
          <w:lang w:val="es-ES"/>
        </w:rPr>
        <w:t>a</w:t>
      </w:r>
      <w:r w:rsidRPr="00871F7E">
        <w:rPr>
          <w:rFonts w:cs="Arial"/>
          <w:iCs/>
          <w:color w:val="000000"/>
          <w:szCs w:val="24"/>
          <w:lang w:val="es-ES"/>
        </w:rPr>
        <w:t xml:space="preserve">, </w:t>
      </w:r>
      <w:r w:rsidR="00A1608A" w:rsidRPr="00871F7E">
        <w:rPr>
          <w:rFonts w:cs="Arial"/>
          <w:iCs/>
          <w:color w:val="000000"/>
          <w:szCs w:val="24"/>
          <w:lang w:val="es-ES"/>
        </w:rPr>
        <w:t>Herry Lloclla</w:t>
      </w:r>
      <w:r w:rsidR="00A1608A" w:rsidRPr="00871F7E">
        <w:rPr>
          <w:rFonts w:cs="Arial"/>
          <w:iCs/>
          <w:color w:val="000000"/>
          <w:szCs w:val="24"/>
          <w:vertAlign w:val="superscript"/>
          <w:lang w:val="es-ES"/>
        </w:rPr>
        <w:t>a</w:t>
      </w:r>
      <w:r w:rsidR="00A1608A" w:rsidRPr="00871F7E">
        <w:rPr>
          <w:rFonts w:cs="Arial"/>
          <w:iCs/>
          <w:color w:val="000000"/>
          <w:szCs w:val="24"/>
          <w:lang w:val="es-ES"/>
        </w:rPr>
        <w:t xml:space="preserve">, </w:t>
      </w:r>
      <w:r w:rsidR="003571AA" w:rsidRPr="00871F7E">
        <w:rPr>
          <w:rFonts w:cs="Arial"/>
          <w:iCs/>
          <w:color w:val="000000"/>
          <w:szCs w:val="24"/>
          <w:lang w:val="es-ES"/>
        </w:rPr>
        <w:t>Kriss M. Calla</w:t>
      </w:r>
      <w:r w:rsidR="00A1608A" w:rsidRPr="00871F7E">
        <w:rPr>
          <w:rFonts w:cs="Arial"/>
          <w:iCs/>
          <w:color w:val="000000"/>
          <w:szCs w:val="24"/>
          <w:vertAlign w:val="superscript"/>
          <w:lang w:val="es-ES"/>
        </w:rPr>
        <w:t>b</w:t>
      </w:r>
      <w:r w:rsidR="00A1608A" w:rsidRPr="00871F7E">
        <w:rPr>
          <w:rFonts w:cs="Arial"/>
          <w:iCs/>
          <w:color w:val="000000"/>
          <w:szCs w:val="24"/>
          <w:lang w:val="es-ES"/>
        </w:rPr>
        <w:t>, Julia Lizet Torres Rivera</w:t>
      </w:r>
      <w:r w:rsidR="00871F7E">
        <w:rPr>
          <w:rFonts w:cs="Arial"/>
          <w:iCs/>
          <w:color w:val="000000"/>
          <w:szCs w:val="24"/>
          <w:vertAlign w:val="superscript"/>
          <w:lang w:val="es-ES"/>
        </w:rPr>
        <w:t>c</w:t>
      </w:r>
      <w:r w:rsidR="00C60995">
        <w:rPr>
          <w:rFonts w:cs="Arial"/>
          <w:iCs/>
          <w:color w:val="000000"/>
          <w:szCs w:val="24"/>
          <w:lang w:val="es-ES"/>
        </w:rPr>
        <w:t>, Segundo L. Estela</w:t>
      </w:r>
      <w:r w:rsidR="00705DEE">
        <w:rPr>
          <w:rFonts w:cs="Arial"/>
          <w:iCs/>
          <w:color w:val="000000"/>
          <w:szCs w:val="24"/>
          <w:vertAlign w:val="superscript"/>
          <w:lang w:val="es-ES"/>
        </w:rPr>
        <w:t>d</w:t>
      </w:r>
      <w:r w:rsidR="00C60995">
        <w:rPr>
          <w:rFonts w:cs="Arial"/>
          <w:iCs/>
          <w:color w:val="000000"/>
          <w:szCs w:val="24"/>
          <w:lang w:val="es-ES"/>
        </w:rPr>
        <w:t>.</w:t>
      </w:r>
    </w:p>
    <w:p w14:paraId="19DD11F4" w14:textId="5119843C" w:rsidR="00776758" w:rsidRPr="00871F7E" w:rsidRDefault="00FF6C70" w:rsidP="00776758">
      <w:pPr>
        <w:keepNext/>
        <w:keepLines/>
        <w:shd w:val="clear" w:color="auto" w:fill="FFFFFF"/>
        <w:spacing w:after="0"/>
        <w:outlineLvl w:val="1"/>
        <w:rPr>
          <w:rFonts w:ascii="Arial" w:eastAsiaTheme="majorEastAsia" w:hAnsi="Arial" w:cs="Arial"/>
          <w:bCs/>
          <w:sz w:val="16"/>
          <w:szCs w:val="16"/>
          <w:lang w:val="es-PE"/>
        </w:rPr>
      </w:pPr>
      <w:r w:rsidRPr="00871F7E">
        <w:rPr>
          <w:rFonts w:ascii="Arial" w:eastAsiaTheme="majorEastAsia" w:hAnsi="Arial" w:cs="Arial"/>
          <w:bCs/>
          <w:sz w:val="16"/>
          <w:szCs w:val="16"/>
          <w:vertAlign w:val="superscript"/>
          <w:lang w:val="es-PE"/>
        </w:rPr>
        <w:t>a</w:t>
      </w:r>
      <w:r w:rsidR="00776758" w:rsidRPr="00871F7E">
        <w:rPr>
          <w:rFonts w:ascii="Arial" w:eastAsiaTheme="majorEastAsia" w:hAnsi="Arial" w:cs="Arial"/>
          <w:bCs/>
          <w:sz w:val="16"/>
          <w:szCs w:val="16"/>
          <w:lang w:val="es-PE"/>
        </w:rPr>
        <w:t>Universidad César Vallejo. Perú</w:t>
      </w:r>
    </w:p>
    <w:p w14:paraId="291F49E9" w14:textId="26D69F80" w:rsidR="003571AA" w:rsidRPr="00871F7E" w:rsidRDefault="00A1608A" w:rsidP="003571AA">
      <w:pPr>
        <w:keepNext/>
        <w:keepLines/>
        <w:shd w:val="clear" w:color="auto" w:fill="FFFFFF"/>
        <w:spacing w:after="0"/>
        <w:outlineLvl w:val="1"/>
        <w:rPr>
          <w:rFonts w:ascii="Arial" w:eastAsiaTheme="majorEastAsia" w:hAnsi="Arial" w:cs="Arial"/>
          <w:bCs/>
          <w:sz w:val="16"/>
          <w:szCs w:val="16"/>
          <w:lang w:val="es-PE"/>
        </w:rPr>
      </w:pPr>
      <w:r w:rsidRPr="00871F7E">
        <w:rPr>
          <w:rFonts w:ascii="Arial" w:eastAsiaTheme="majorEastAsia" w:hAnsi="Arial" w:cs="Arial"/>
          <w:bCs/>
          <w:sz w:val="16"/>
          <w:szCs w:val="16"/>
          <w:vertAlign w:val="superscript"/>
          <w:lang w:val="es-PE"/>
        </w:rPr>
        <w:t>b</w:t>
      </w:r>
      <w:r w:rsidR="003571AA" w:rsidRPr="00871F7E">
        <w:rPr>
          <w:rFonts w:ascii="Arial" w:eastAsiaTheme="majorEastAsia" w:hAnsi="Arial" w:cs="Arial"/>
          <w:bCs/>
          <w:sz w:val="16"/>
          <w:szCs w:val="16"/>
          <w:lang w:val="es-PE"/>
        </w:rPr>
        <w:t>Universidad Enrique Guzmán y Valle</w:t>
      </w:r>
      <w:r w:rsidR="00C60995">
        <w:rPr>
          <w:rFonts w:ascii="Arial" w:eastAsiaTheme="majorEastAsia" w:hAnsi="Arial" w:cs="Arial"/>
          <w:bCs/>
          <w:sz w:val="16"/>
          <w:szCs w:val="16"/>
          <w:lang w:val="es-PE"/>
        </w:rPr>
        <w:t>. Perú</w:t>
      </w:r>
    </w:p>
    <w:p w14:paraId="7236E25A" w14:textId="44DAFCFF" w:rsidR="00871F7E" w:rsidRDefault="00871F7E" w:rsidP="003571AA">
      <w:pPr>
        <w:keepNext/>
        <w:keepLines/>
        <w:shd w:val="clear" w:color="auto" w:fill="FFFFFF"/>
        <w:spacing w:after="0"/>
        <w:outlineLvl w:val="1"/>
        <w:rPr>
          <w:rFonts w:ascii="Arial" w:eastAsiaTheme="majorEastAsia" w:hAnsi="Arial" w:cs="Arial"/>
          <w:bCs/>
          <w:sz w:val="16"/>
          <w:szCs w:val="16"/>
          <w:lang w:val="es-PE"/>
        </w:rPr>
      </w:pPr>
      <w:r w:rsidRPr="00871F7E">
        <w:rPr>
          <w:rFonts w:ascii="Arial" w:eastAsiaTheme="majorEastAsia" w:hAnsi="Arial" w:cs="Arial"/>
          <w:bCs/>
          <w:sz w:val="16"/>
          <w:szCs w:val="16"/>
          <w:vertAlign w:val="superscript"/>
          <w:lang w:val="es-PE"/>
        </w:rPr>
        <w:t>c</w:t>
      </w:r>
      <w:r w:rsidRPr="00871F7E">
        <w:rPr>
          <w:rFonts w:ascii="Arial" w:eastAsiaTheme="majorEastAsia" w:hAnsi="Arial" w:cs="Arial"/>
          <w:bCs/>
          <w:sz w:val="16"/>
          <w:szCs w:val="16"/>
          <w:lang w:val="es-PE"/>
        </w:rPr>
        <w:t>Universidad Tecnológica del Perú</w:t>
      </w:r>
    </w:p>
    <w:p w14:paraId="2028A372" w14:textId="12B1BA8F" w:rsidR="00C60995" w:rsidRDefault="00C60995" w:rsidP="003571AA">
      <w:pPr>
        <w:keepNext/>
        <w:keepLines/>
        <w:shd w:val="clear" w:color="auto" w:fill="FFFFFF"/>
        <w:spacing w:after="0"/>
        <w:outlineLvl w:val="1"/>
        <w:rPr>
          <w:rFonts w:ascii="Arial" w:eastAsiaTheme="majorEastAsia" w:hAnsi="Arial" w:cs="Arial"/>
          <w:bCs/>
          <w:sz w:val="16"/>
          <w:szCs w:val="16"/>
          <w:lang w:val="es-PE"/>
        </w:rPr>
      </w:pPr>
      <w:r>
        <w:rPr>
          <w:rFonts w:ascii="Arial" w:eastAsiaTheme="majorEastAsia" w:hAnsi="Arial" w:cs="Arial"/>
          <w:bCs/>
          <w:sz w:val="16"/>
          <w:szCs w:val="16"/>
          <w:vertAlign w:val="superscript"/>
          <w:lang w:val="es-PE"/>
        </w:rPr>
        <w:t>d</w:t>
      </w:r>
      <w:r>
        <w:rPr>
          <w:rFonts w:ascii="Arial" w:eastAsiaTheme="majorEastAsia" w:hAnsi="Arial" w:cs="Arial"/>
          <w:bCs/>
          <w:sz w:val="16"/>
          <w:szCs w:val="16"/>
          <w:lang w:val="es-PE"/>
        </w:rPr>
        <w:t>Universidad Científica del Perú</w:t>
      </w:r>
    </w:p>
    <w:p w14:paraId="0A36A423" w14:textId="77777777" w:rsidR="00871F7E" w:rsidRPr="00871F7E" w:rsidRDefault="00871F7E" w:rsidP="003571AA">
      <w:pPr>
        <w:keepNext/>
        <w:keepLines/>
        <w:shd w:val="clear" w:color="auto" w:fill="FFFFFF"/>
        <w:spacing w:after="0"/>
        <w:outlineLvl w:val="1"/>
        <w:rPr>
          <w:rFonts w:ascii="Arial" w:eastAsiaTheme="majorEastAsia" w:hAnsi="Arial" w:cs="Arial"/>
          <w:bCs/>
          <w:sz w:val="16"/>
          <w:szCs w:val="16"/>
          <w:lang w:val="es-PE"/>
        </w:rPr>
      </w:pPr>
    </w:p>
    <w:p w14:paraId="510675D6" w14:textId="77777777" w:rsidR="00776758" w:rsidRPr="00871F7E" w:rsidRDefault="006C040F" w:rsidP="00776758">
      <w:pPr>
        <w:spacing w:after="0" w:line="276" w:lineRule="auto"/>
        <w:jc w:val="both"/>
        <w:rPr>
          <w:sz w:val="20"/>
          <w:szCs w:val="20"/>
          <w:lang w:val="es-PE"/>
        </w:rPr>
      </w:pPr>
      <w:hyperlink r:id="rId8" w:tgtFrame="_blank" w:history="1">
        <w:r w:rsidR="00776758" w:rsidRPr="00871F7E">
          <w:rPr>
            <w:rStyle w:val="Hipervnculo"/>
            <w:rFonts w:ascii="Helvetica" w:hAnsi="Helvetica" w:cs="Helvetica"/>
            <w:color w:val="auto"/>
            <w:sz w:val="18"/>
            <w:szCs w:val="20"/>
            <w:shd w:val="clear" w:color="auto" w:fill="FFFFFF"/>
            <w:lang w:val="es-PE"/>
          </w:rPr>
          <w:t>kmendozal@ucv.edu.pe</w:t>
        </w:r>
      </w:hyperlink>
    </w:p>
    <w:bookmarkEnd w:id="0"/>
    <w:p w14:paraId="20B1D8C4" w14:textId="75B69B4B" w:rsidR="0097754B" w:rsidRPr="00871F7E" w:rsidRDefault="0097754B" w:rsidP="0097754B">
      <w:pPr>
        <w:pStyle w:val="CETAuthors"/>
        <w:spacing w:after="0" w:line="240" w:lineRule="auto"/>
        <w:rPr>
          <w:rFonts w:cs="Arial"/>
          <w:iCs/>
          <w:color w:val="000000"/>
          <w:szCs w:val="24"/>
          <w:lang w:val="es-PE"/>
        </w:rPr>
      </w:pPr>
    </w:p>
    <w:p w14:paraId="122DF79D" w14:textId="6C1B39FA" w:rsidR="0035116E" w:rsidRDefault="0035116E" w:rsidP="0097754B">
      <w:pPr>
        <w:spacing w:after="0" w:line="276" w:lineRule="auto"/>
        <w:jc w:val="both"/>
        <w:rPr>
          <w:rFonts w:ascii="Arial" w:hAnsi="Arial" w:cs="Arial"/>
          <w:sz w:val="18"/>
          <w:szCs w:val="18"/>
        </w:rPr>
      </w:pPr>
      <w:r w:rsidRPr="0035116E">
        <w:rPr>
          <w:rFonts w:ascii="Arial" w:hAnsi="Arial" w:cs="Arial"/>
          <w:sz w:val="18"/>
          <w:szCs w:val="18"/>
        </w:rPr>
        <w:t xml:space="preserve">Remediation is the set of operations carried out to reduce the level of contaminants in the soil and/or subsoil. The objective of the study was to bioremediate contaminated agricultural soils using activated carbon from Cocos nucifera and mountain microorganisms to improve physicochemical parameters and reduce cadmium in Peruvian Amazon soils. For the methodology, a total area of ​​2000 m2 was used. Four monitoring points with 30 cm deep pits were used and 1 kg of soil was extracted from each sampling point. For the physicochemical analysis, activated carbon and mountain microorganisms were prepared. The treatments were arranged in a completely randomized design with a total of 7 treatments and 3 repetitions each: T1: soil without treatment or control group (GC); T2: activated carbon (AC) 100g; T3: activated carbon (AC) 200g; T4: activated carbon (AC) 300g; T5: mountain microorganisms (MM) 100 mL; T6: mountain microorganisms (MM) 200 mL; T7: mountain microorganisms (MM) 300 </w:t>
      </w:r>
      <w:proofErr w:type="spellStart"/>
      <w:r w:rsidRPr="0035116E">
        <w:rPr>
          <w:rFonts w:ascii="Arial" w:hAnsi="Arial" w:cs="Arial"/>
          <w:sz w:val="18"/>
          <w:szCs w:val="18"/>
        </w:rPr>
        <w:t>mL.</w:t>
      </w:r>
      <w:proofErr w:type="spellEnd"/>
      <w:r w:rsidRPr="0035116E">
        <w:rPr>
          <w:rFonts w:ascii="Arial" w:hAnsi="Arial" w:cs="Arial"/>
          <w:sz w:val="18"/>
          <w:szCs w:val="18"/>
        </w:rPr>
        <w:t xml:space="preserve"> The results show that T</w:t>
      </w:r>
      <w:r>
        <w:rPr>
          <w:rFonts w:ascii="Arial" w:hAnsi="Arial" w:cs="Arial"/>
          <w:sz w:val="18"/>
          <w:szCs w:val="18"/>
        </w:rPr>
        <w:t>1</w:t>
      </w:r>
      <w:r w:rsidRPr="0035116E">
        <w:rPr>
          <w:rFonts w:ascii="Arial" w:hAnsi="Arial" w:cs="Arial"/>
          <w:sz w:val="18"/>
          <w:szCs w:val="18"/>
        </w:rPr>
        <w:t xml:space="preserve"> and T4 improve the physicochemical properties of the soil and absorb cadmium, while mountain microorganisms are only evident in T7.</w:t>
      </w:r>
    </w:p>
    <w:p w14:paraId="36CBC1FF" w14:textId="77777777" w:rsidR="004E2AD3" w:rsidRPr="00AB7DE9" w:rsidRDefault="004E2AD3" w:rsidP="007D7D65">
      <w:pPr>
        <w:pStyle w:val="CETHeading1"/>
        <w:spacing w:line="276" w:lineRule="auto"/>
        <w:rPr>
          <w:rFonts w:cs="Arial"/>
          <w:lang w:val="en-GB"/>
        </w:rPr>
      </w:pPr>
      <w:r w:rsidRPr="00AB7DE9">
        <w:rPr>
          <w:rFonts w:cs="Arial"/>
          <w:lang w:val="en-GB"/>
        </w:rPr>
        <w:t>Introduction</w:t>
      </w:r>
    </w:p>
    <w:p w14:paraId="41DE1ECA" w14:textId="77777777" w:rsidR="004E2AD3" w:rsidRPr="00AB7DE9" w:rsidRDefault="004E2AD3" w:rsidP="007D7D65">
      <w:pPr>
        <w:pStyle w:val="CETBodytext"/>
        <w:spacing w:line="276" w:lineRule="auto"/>
        <w:rPr>
          <w:rFonts w:cs="Arial"/>
          <w:szCs w:val="18"/>
        </w:rPr>
      </w:pPr>
      <w:r w:rsidRPr="00AB7DE9">
        <w:rPr>
          <w:rFonts w:cs="Arial"/>
          <w:szCs w:val="18"/>
        </w:rPr>
        <w:t>Soil contamination has increased considerably in recent years due to human activities such as deforestation, poor solid waste management, excessive use of fertilizers in the soil damaging its physical, chemical and biological properties. These factors influence nutritional requirements and food security (Shobhit et al., 2017).</w:t>
      </w:r>
      <w:r w:rsidR="00FD281F" w:rsidRPr="00AB7DE9">
        <w:rPr>
          <w:rFonts w:cs="Arial"/>
          <w:szCs w:val="18"/>
        </w:rPr>
        <w:t xml:space="preserve"> </w:t>
      </w:r>
      <w:r w:rsidRPr="00AB7DE9">
        <w:rPr>
          <w:rFonts w:cs="Arial"/>
          <w:szCs w:val="18"/>
        </w:rPr>
        <w:t>In addition, the environmental impact of industrial activities is progressively being subjected to stricter controls in order to limit pollution in the soil resource, using norms with quality parameters or standards (Elessawy et al., 2020).</w:t>
      </w:r>
    </w:p>
    <w:p w14:paraId="76F64117" w14:textId="77777777" w:rsidR="007D7D65" w:rsidRPr="00AB7DE9" w:rsidRDefault="00FD281F" w:rsidP="007D7D65">
      <w:pPr>
        <w:pStyle w:val="CETBodytext"/>
        <w:spacing w:line="276" w:lineRule="auto"/>
        <w:rPr>
          <w:rFonts w:cs="Arial"/>
          <w:szCs w:val="18"/>
        </w:rPr>
      </w:pPr>
      <w:r w:rsidRPr="00AB7DE9">
        <w:rPr>
          <w:rFonts w:cs="Arial"/>
          <w:szCs w:val="18"/>
        </w:rPr>
        <w:t xml:space="preserve">Soil has a variety of nutrients that favor its metabolism. However, there are sources of heavy metal contamination caused by anthropogenic activities, such as poor agricultural practices, fertilization without dosage and many of these chemical inputs contain in their composition heavy metals such as cadmium (Cd), zinc (Zn), copper (Cu) and lead (Pb) that contribute to the accumulation in the soil.  Cd is one of those elements with the highest toxicity to humans, causing severe toxicity even at low concentrations (Roberts, 2014). </w:t>
      </w:r>
    </w:p>
    <w:p w14:paraId="141EAC85" w14:textId="77777777" w:rsidR="00FD281F" w:rsidRPr="00AB7DE9" w:rsidRDefault="00FD281F" w:rsidP="007D7D65">
      <w:pPr>
        <w:pStyle w:val="CETBodytext"/>
        <w:spacing w:line="276" w:lineRule="auto"/>
        <w:rPr>
          <w:rFonts w:cs="Arial"/>
          <w:szCs w:val="18"/>
        </w:rPr>
      </w:pPr>
      <w:r w:rsidRPr="00AB7DE9">
        <w:rPr>
          <w:rFonts w:cs="Arial"/>
          <w:szCs w:val="18"/>
        </w:rPr>
        <w:t xml:space="preserve">To eliminate heavy metals and improve the nutrients in the soil, research was conducted using methods that helped to recover the degraded soil, including the use of nitrogen-fixing microorganisms, plants that absorb heavy metals, application of </w:t>
      </w:r>
      <w:r w:rsidRPr="00AB7DE9">
        <w:rPr>
          <w:rFonts w:cs="Arial"/>
          <w:i/>
          <w:szCs w:val="18"/>
        </w:rPr>
        <w:t>Trichoderma sp</w:t>
      </w:r>
      <w:r w:rsidRPr="00AB7DE9">
        <w:rPr>
          <w:rFonts w:cs="Arial"/>
          <w:szCs w:val="18"/>
        </w:rPr>
        <w:t>, activated carbon from organic waste, among others, highlighting the values obtained before and after applying the experiments (Yaacoubi et al., 2014, Sandoval et al., 2021).</w:t>
      </w:r>
    </w:p>
    <w:p w14:paraId="77CD195E" w14:textId="77777777" w:rsidR="007D7D65" w:rsidRPr="00AB7DE9" w:rsidRDefault="007D7D65" w:rsidP="007D7D65">
      <w:pPr>
        <w:pStyle w:val="CETBodytext"/>
        <w:spacing w:line="276" w:lineRule="auto"/>
        <w:rPr>
          <w:rFonts w:cs="Arial"/>
          <w:szCs w:val="18"/>
        </w:rPr>
      </w:pPr>
    </w:p>
    <w:p w14:paraId="12532E0D" w14:textId="77777777" w:rsidR="00FD281F" w:rsidRPr="00AB7DE9" w:rsidRDefault="00FD281F" w:rsidP="00AB7DE9">
      <w:pPr>
        <w:spacing w:after="0" w:line="276" w:lineRule="auto"/>
        <w:jc w:val="both"/>
        <w:rPr>
          <w:rFonts w:ascii="Arial" w:hAnsi="Arial" w:cs="Arial"/>
          <w:sz w:val="18"/>
          <w:szCs w:val="18"/>
        </w:rPr>
      </w:pPr>
      <w:r w:rsidRPr="00AB7DE9">
        <w:rPr>
          <w:rFonts w:ascii="Arial" w:hAnsi="Arial" w:cs="Arial"/>
          <w:sz w:val="18"/>
          <w:szCs w:val="18"/>
        </w:rPr>
        <w:lastRenderedPageBreak/>
        <w:t>A promising alternative is to transform organic waste into activated carbon for environmental protection, especially for heavy metal adsorption, being affordable and eco-friendly methods for the environment (Yan et al., 2019, Abdul et al., 2019).</w:t>
      </w:r>
    </w:p>
    <w:p w14:paraId="1C1A68CA" w14:textId="77777777" w:rsidR="00FD281F" w:rsidRPr="00AB7DE9" w:rsidRDefault="00FD281F" w:rsidP="00AB7DE9">
      <w:pPr>
        <w:spacing w:after="0" w:line="276" w:lineRule="auto"/>
        <w:jc w:val="both"/>
        <w:rPr>
          <w:rFonts w:ascii="Arial" w:hAnsi="Arial" w:cs="Arial"/>
          <w:sz w:val="18"/>
          <w:szCs w:val="18"/>
        </w:rPr>
      </w:pPr>
      <w:r w:rsidRPr="00AB7DE9">
        <w:rPr>
          <w:rFonts w:ascii="Arial" w:hAnsi="Arial" w:cs="Arial"/>
          <w:sz w:val="18"/>
          <w:szCs w:val="18"/>
        </w:rPr>
        <w:t xml:space="preserve">On the other hand, mountain microorganisms </w:t>
      </w:r>
      <w:proofErr w:type="gramStart"/>
      <w:r w:rsidRPr="00AB7DE9">
        <w:rPr>
          <w:rFonts w:ascii="Arial" w:hAnsi="Arial" w:cs="Arial"/>
          <w:sz w:val="18"/>
          <w:szCs w:val="18"/>
        </w:rPr>
        <w:t>is</w:t>
      </w:r>
      <w:proofErr w:type="gramEnd"/>
      <w:r w:rsidRPr="00AB7DE9">
        <w:rPr>
          <w:rFonts w:ascii="Arial" w:hAnsi="Arial" w:cs="Arial"/>
          <w:sz w:val="18"/>
          <w:szCs w:val="18"/>
        </w:rPr>
        <w:t xml:space="preserve"> another technique that favors the recovery of degraded soils, consisting of a consortium of liquid inoculants containing beneficial fermentation microorganisms such as lactic acid, yeast, photosynthetic bacteria, actinomycetes and fermenting fungi, favoring their proliferation in the soil, in addition to generating the mineralization of soil organic matter. In this sense, it is widely studied to improve soil quality and health (Olle and Williams, 2013).</w:t>
      </w:r>
    </w:p>
    <w:p w14:paraId="3C32CC79" w14:textId="1449EF54" w:rsidR="00FD45F1" w:rsidRDefault="00FD45F1" w:rsidP="00AB7DE9">
      <w:pPr>
        <w:spacing w:after="0" w:line="276" w:lineRule="auto"/>
        <w:jc w:val="both"/>
        <w:rPr>
          <w:rFonts w:ascii="Arial" w:hAnsi="Arial" w:cs="Arial"/>
          <w:sz w:val="18"/>
          <w:szCs w:val="18"/>
        </w:rPr>
      </w:pPr>
      <w:r w:rsidRPr="00AB7DE9">
        <w:rPr>
          <w:rFonts w:ascii="Arial" w:hAnsi="Arial" w:cs="Arial"/>
          <w:sz w:val="18"/>
          <w:szCs w:val="18"/>
        </w:rPr>
        <w:t xml:space="preserve">For this reason, the present research proposes an eco-friendly and efficient methodology for bioremediation of contaminated agricultural soils using </w:t>
      </w:r>
      <w:r w:rsidRPr="00AB7DE9">
        <w:rPr>
          <w:rFonts w:ascii="Arial" w:hAnsi="Arial" w:cs="Arial"/>
          <w:i/>
          <w:sz w:val="18"/>
          <w:szCs w:val="18"/>
        </w:rPr>
        <w:t>Cocos nucifera</w:t>
      </w:r>
      <w:r w:rsidRPr="00AB7DE9">
        <w:rPr>
          <w:rFonts w:ascii="Arial" w:hAnsi="Arial" w:cs="Arial"/>
          <w:sz w:val="18"/>
          <w:szCs w:val="18"/>
        </w:rPr>
        <w:t xml:space="preserve"> activated carbon and mountain microorganisms with the objective of improving their physicochemical parameters and reducing cadmium in the soil of the Peruvian Amazon.</w:t>
      </w:r>
    </w:p>
    <w:p w14:paraId="03DB158D" w14:textId="77777777" w:rsidR="00FD45F1" w:rsidRPr="00AB7DE9" w:rsidRDefault="00FD45F1" w:rsidP="00FD45F1">
      <w:pPr>
        <w:pStyle w:val="Ttulo1"/>
        <w:rPr>
          <w:rFonts w:cs="Arial"/>
          <w:lang w:val="es-MX"/>
        </w:rPr>
      </w:pPr>
      <w:r w:rsidRPr="00AB7DE9">
        <w:rPr>
          <w:rFonts w:cs="Arial"/>
          <w:lang w:val="es-MX"/>
        </w:rPr>
        <w:t xml:space="preserve">Method </w:t>
      </w:r>
    </w:p>
    <w:p w14:paraId="6E5F6F53" w14:textId="77777777" w:rsidR="00FD45F1" w:rsidRPr="003D68BE" w:rsidRDefault="00FD45F1" w:rsidP="00AB7DE9">
      <w:pPr>
        <w:spacing w:after="0" w:line="276" w:lineRule="auto"/>
        <w:rPr>
          <w:rFonts w:ascii="Arial" w:hAnsi="Arial" w:cs="Arial"/>
          <w:b/>
          <w:bCs/>
          <w:sz w:val="18"/>
          <w:szCs w:val="18"/>
        </w:rPr>
      </w:pPr>
      <w:r w:rsidRPr="003D68BE">
        <w:rPr>
          <w:rFonts w:ascii="Arial" w:hAnsi="Arial" w:cs="Arial"/>
          <w:b/>
          <w:bCs/>
          <w:sz w:val="18"/>
          <w:szCs w:val="18"/>
        </w:rPr>
        <w:t>2.1. Measurements of the Study Area</w:t>
      </w:r>
    </w:p>
    <w:p w14:paraId="5E3EAC80" w14:textId="325DE9EF" w:rsidR="00FD45F1" w:rsidRPr="00AB7DE9" w:rsidRDefault="00FD45F1" w:rsidP="00AB7DE9">
      <w:pPr>
        <w:spacing w:after="0" w:line="276" w:lineRule="auto"/>
        <w:jc w:val="both"/>
        <w:rPr>
          <w:rFonts w:ascii="Arial" w:hAnsi="Arial" w:cs="Arial"/>
          <w:sz w:val="18"/>
          <w:szCs w:val="18"/>
        </w:rPr>
      </w:pPr>
      <w:r w:rsidRPr="003D68BE">
        <w:rPr>
          <w:rFonts w:ascii="Arial" w:hAnsi="Arial" w:cs="Arial"/>
          <w:sz w:val="18"/>
          <w:szCs w:val="18"/>
        </w:rPr>
        <w:t xml:space="preserve">The study was carried out in the </w:t>
      </w:r>
      <w:r w:rsidR="003D68BE" w:rsidRPr="003D68BE">
        <w:rPr>
          <w:rFonts w:ascii="Arial" w:hAnsi="Arial" w:cs="Arial"/>
          <w:sz w:val="18"/>
          <w:szCs w:val="18"/>
        </w:rPr>
        <w:t xml:space="preserve">Cacatachi </w:t>
      </w:r>
      <w:r w:rsidRPr="003D68BE">
        <w:rPr>
          <w:rFonts w:ascii="Arial" w:hAnsi="Arial" w:cs="Arial"/>
          <w:sz w:val="18"/>
          <w:szCs w:val="18"/>
        </w:rPr>
        <w:t>district located in the San Martin region. The study area was 2000 m</w:t>
      </w:r>
      <w:r w:rsidRPr="003D68BE">
        <w:rPr>
          <w:rFonts w:ascii="Arial" w:hAnsi="Arial" w:cs="Arial"/>
          <w:sz w:val="18"/>
          <w:szCs w:val="18"/>
          <w:vertAlign w:val="superscript"/>
        </w:rPr>
        <w:t>2</w:t>
      </w:r>
      <w:r w:rsidRPr="003D68BE">
        <w:rPr>
          <w:rFonts w:ascii="Arial" w:hAnsi="Arial" w:cs="Arial"/>
          <w:sz w:val="18"/>
          <w:szCs w:val="18"/>
        </w:rPr>
        <w:t>, 50 m long x 40 m wide.</w:t>
      </w:r>
    </w:p>
    <w:p w14:paraId="2999E8F7" w14:textId="77777777" w:rsidR="00AB7DE9" w:rsidRPr="00AB7DE9" w:rsidRDefault="00AB7DE9" w:rsidP="00AB7DE9">
      <w:pPr>
        <w:spacing w:after="0" w:line="276" w:lineRule="auto"/>
        <w:jc w:val="both"/>
        <w:rPr>
          <w:rFonts w:ascii="Arial" w:hAnsi="Arial" w:cs="Arial"/>
          <w:sz w:val="18"/>
          <w:szCs w:val="18"/>
        </w:rPr>
      </w:pPr>
    </w:p>
    <w:p w14:paraId="256C9354" w14:textId="77777777" w:rsidR="00FD45F1" w:rsidRPr="00AB7DE9" w:rsidRDefault="00FD45F1" w:rsidP="00AB7DE9">
      <w:pPr>
        <w:spacing w:after="0" w:line="276" w:lineRule="auto"/>
        <w:rPr>
          <w:rFonts w:ascii="Arial" w:hAnsi="Arial" w:cs="Arial"/>
          <w:b/>
          <w:bCs/>
          <w:sz w:val="18"/>
          <w:szCs w:val="18"/>
        </w:rPr>
      </w:pPr>
      <w:r w:rsidRPr="00AB7DE9">
        <w:rPr>
          <w:rFonts w:ascii="Arial" w:hAnsi="Arial" w:cs="Arial"/>
          <w:b/>
          <w:bCs/>
          <w:sz w:val="18"/>
          <w:szCs w:val="18"/>
        </w:rPr>
        <w:t>2.2. Sampling and collection of a degraded soil sample</w:t>
      </w:r>
    </w:p>
    <w:p w14:paraId="515CB569" w14:textId="5B73D3AA" w:rsidR="00FD45F1" w:rsidRDefault="00FD45F1" w:rsidP="00AB7DE9">
      <w:pPr>
        <w:spacing w:after="0" w:line="276" w:lineRule="auto"/>
        <w:jc w:val="both"/>
        <w:rPr>
          <w:rFonts w:ascii="Arial" w:hAnsi="Arial" w:cs="Arial"/>
          <w:bCs/>
          <w:sz w:val="18"/>
          <w:szCs w:val="18"/>
        </w:rPr>
      </w:pPr>
      <w:r w:rsidRPr="00AB7DE9">
        <w:rPr>
          <w:rFonts w:ascii="Arial" w:hAnsi="Arial" w:cs="Arial"/>
          <w:bCs/>
          <w:sz w:val="18"/>
          <w:szCs w:val="18"/>
        </w:rPr>
        <w:t xml:space="preserve">For soil sampling, 4 monitoring points were used, 30 cm deep soil pits were dug and 1 kg of soil was extracted from each sampling point; the sample was placed in a labeled container to be transported to the </w:t>
      </w:r>
      <w:r w:rsidR="002A18FB">
        <w:rPr>
          <w:rFonts w:ascii="Arial" w:hAnsi="Arial" w:cs="Arial"/>
          <w:bCs/>
          <w:sz w:val="18"/>
          <w:szCs w:val="18"/>
        </w:rPr>
        <w:t>“</w:t>
      </w:r>
      <w:r w:rsidRPr="00AB7DE9">
        <w:rPr>
          <w:rFonts w:ascii="Arial" w:hAnsi="Arial" w:cs="Arial"/>
          <w:bCs/>
          <w:sz w:val="18"/>
          <w:szCs w:val="18"/>
        </w:rPr>
        <w:t>SGS</w:t>
      </w:r>
      <w:r w:rsidR="002A18FB">
        <w:rPr>
          <w:rFonts w:ascii="Arial" w:hAnsi="Arial" w:cs="Arial"/>
          <w:bCs/>
          <w:sz w:val="18"/>
          <w:szCs w:val="18"/>
        </w:rPr>
        <w:t xml:space="preserve">” </w:t>
      </w:r>
      <w:r w:rsidRPr="00AB7DE9">
        <w:rPr>
          <w:rFonts w:ascii="Arial" w:hAnsi="Arial" w:cs="Arial"/>
          <w:bCs/>
          <w:sz w:val="18"/>
          <w:szCs w:val="18"/>
        </w:rPr>
        <w:t>laboratory for physicochemical analysis.</w:t>
      </w:r>
    </w:p>
    <w:p w14:paraId="6C956CA1" w14:textId="77777777" w:rsidR="00AB7DE9" w:rsidRPr="00AB7DE9" w:rsidRDefault="00AB7DE9" w:rsidP="00AB7DE9">
      <w:pPr>
        <w:spacing w:after="0" w:line="276" w:lineRule="auto"/>
        <w:jc w:val="both"/>
        <w:rPr>
          <w:rFonts w:ascii="Arial" w:hAnsi="Arial" w:cs="Arial"/>
          <w:bCs/>
          <w:sz w:val="18"/>
          <w:szCs w:val="18"/>
        </w:rPr>
      </w:pPr>
    </w:p>
    <w:p w14:paraId="6CA86A50" w14:textId="77777777" w:rsidR="00FD45F1" w:rsidRPr="00863B51" w:rsidRDefault="00FD45F1" w:rsidP="00FD45F1">
      <w:pPr>
        <w:rPr>
          <w:rFonts w:ascii="Arial" w:hAnsi="Arial" w:cs="Arial"/>
          <w:i/>
          <w:iCs/>
          <w:sz w:val="18"/>
          <w:szCs w:val="18"/>
        </w:rPr>
      </w:pPr>
      <w:r w:rsidRPr="00863B51">
        <w:rPr>
          <w:rFonts w:ascii="Arial" w:hAnsi="Arial" w:cs="Arial"/>
          <w:i/>
          <w:iCs/>
          <w:sz w:val="18"/>
          <w:szCs w:val="18"/>
        </w:rPr>
        <w:t>Table 1: Coordinates of the sampling points of the experimentation site</w:t>
      </w:r>
    </w:p>
    <w:tbl>
      <w:tblPr>
        <w:tblStyle w:val="Tablaconcuadrcula"/>
        <w:tblW w:w="0" w:type="auto"/>
        <w:tblLook w:val="04A0" w:firstRow="1" w:lastRow="0" w:firstColumn="1" w:lastColumn="0" w:noHBand="0" w:noVBand="1"/>
      </w:tblPr>
      <w:tblGrid>
        <w:gridCol w:w="1129"/>
        <w:gridCol w:w="1276"/>
        <w:gridCol w:w="1134"/>
        <w:gridCol w:w="1276"/>
        <w:gridCol w:w="1134"/>
        <w:gridCol w:w="1134"/>
        <w:gridCol w:w="992"/>
      </w:tblGrid>
      <w:tr w:rsidR="005947A2" w:rsidRPr="00AB7DE9" w14:paraId="1C89B0C0" w14:textId="77777777" w:rsidTr="00CE0107">
        <w:tc>
          <w:tcPr>
            <w:tcW w:w="1129" w:type="dxa"/>
            <w:tcBorders>
              <w:top w:val="single" w:sz="12" w:space="0" w:color="00B050"/>
              <w:left w:val="single" w:sz="4" w:space="0" w:color="FFFFFF" w:themeColor="background1"/>
              <w:bottom w:val="single" w:sz="8" w:space="0" w:color="00B050"/>
              <w:right w:val="single" w:sz="4" w:space="0" w:color="FFFFFF" w:themeColor="background1"/>
            </w:tcBorders>
          </w:tcPr>
          <w:p w14:paraId="140371DB" w14:textId="77777777" w:rsidR="00FD45F1" w:rsidRPr="00AB7DE9" w:rsidRDefault="00FD45F1" w:rsidP="00CE0107">
            <w:pPr>
              <w:jc w:val="center"/>
              <w:rPr>
                <w:rFonts w:ascii="Arial" w:hAnsi="Arial" w:cs="Arial"/>
                <w:b/>
                <w:bCs/>
                <w:sz w:val="18"/>
                <w:szCs w:val="18"/>
                <w:highlight w:val="yellow"/>
              </w:rPr>
            </w:pPr>
            <w:r w:rsidRPr="00AB7DE9">
              <w:rPr>
                <w:rFonts w:ascii="Arial" w:hAnsi="Arial" w:cs="Arial"/>
                <w:b/>
                <w:bCs/>
                <w:sz w:val="18"/>
                <w:szCs w:val="18"/>
              </w:rPr>
              <w:t>Sample collection</w:t>
            </w:r>
          </w:p>
        </w:tc>
        <w:tc>
          <w:tcPr>
            <w:tcW w:w="1276"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63339C86" w14:textId="77777777" w:rsidR="00FD45F1" w:rsidRPr="00AB7DE9" w:rsidRDefault="00FD45F1" w:rsidP="00CE0107">
            <w:pPr>
              <w:jc w:val="center"/>
              <w:rPr>
                <w:rFonts w:ascii="Arial" w:hAnsi="Arial" w:cs="Arial"/>
                <w:b/>
                <w:bCs/>
                <w:sz w:val="18"/>
                <w:szCs w:val="18"/>
                <w:highlight w:val="yellow"/>
              </w:rPr>
            </w:pPr>
            <w:r w:rsidRPr="00AB7DE9">
              <w:rPr>
                <w:rFonts w:ascii="Arial" w:hAnsi="Arial" w:cs="Arial"/>
                <w:b/>
                <w:bCs/>
                <w:sz w:val="18"/>
                <w:szCs w:val="18"/>
              </w:rPr>
              <w:t>Latitude</w:t>
            </w:r>
          </w:p>
        </w:tc>
        <w:tc>
          <w:tcPr>
            <w:tcW w:w="1134"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4E08A2D6" w14:textId="77777777" w:rsidR="00FD45F1" w:rsidRPr="00AB7DE9" w:rsidRDefault="00FD45F1" w:rsidP="00CE0107">
            <w:pPr>
              <w:jc w:val="center"/>
              <w:rPr>
                <w:rFonts w:ascii="Arial" w:hAnsi="Arial" w:cs="Arial"/>
                <w:b/>
                <w:bCs/>
                <w:sz w:val="18"/>
                <w:szCs w:val="18"/>
                <w:highlight w:val="yellow"/>
              </w:rPr>
            </w:pPr>
            <w:r w:rsidRPr="00AB7DE9">
              <w:rPr>
                <w:rFonts w:ascii="Arial" w:hAnsi="Arial" w:cs="Arial"/>
                <w:b/>
                <w:bCs/>
                <w:sz w:val="18"/>
                <w:szCs w:val="18"/>
              </w:rPr>
              <w:t>Length</w:t>
            </w:r>
          </w:p>
        </w:tc>
        <w:tc>
          <w:tcPr>
            <w:tcW w:w="1276"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3C5BC3A2" w14:textId="77777777" w:rsidR="00FD45F1" w:rsidRPr="00AB7DE9" w:rsidRDefault="00FD45F1" w:rsidP="00CE0107">
            <w:pPr>
              <w:jc w:val="center"/>
              <w:rPr>
                <w:rFonts w:ascii="Arial" w:hAnsi="Arial" w:cs="Arial"/>
                <w:b/>
                <w:bCs/>
                <w:sz w:val="18"/>
                <w:szCs w:val="18"/>
              </w:rPr>
            </w:pPr>
            <w:r w:rsidRPr="00AB7DE9">
              <w:rPr>
                <w:rFonts w:ascii="Arial" w:hAnsi="Arial" w:cs="Arial"/>
                <w:b/>
                <w:bCs/>
                <w:sz w:val="18"/>
                <w:szCs w:val="18"/>
              </w:rPr>
              <w:t>Elevation</w:t>
            </w:r>
          </w:p>
        </w:tc>
        <w:tc>
          <w:tcPr>
            <w:tcW w:w="1134"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276CFA2A" w14:textId="77777777" w:rsidR="00FD45F1" w:rsidRPr="00AB7DE9" w:rsidRDefault="00FD45F1" w:rsidP="00CE0107">
            <w:pPr>
              <w:jc w:val="center"/>
              <w:rPr>
                <w:rFonts w:ascii="Arial" w:hAnsi="Arial" w:cs="Arial"/>
                <w:b/>
                <w:bCs/>
                <w:sz w:val="18"/>
                <w:szCs w:val="18"/>
                <w:highlight w:val="yellow"/>
              </w:rPr>
            </w:pPr>
            <w:r w:rsidRPr="00AB7DE9">
              <w:rPr>
                <w:rFonts w:ascii="Arial" w:hAnsi="Arial" w:cs="Arial"/>
                <w:b/>
                <w:bCs/>
                <w:sz w:val="18"/>
                <w:szCs w:val="18"/>
              </w:rPr>
              <w:t>Precision</w:t>
            </w:r>
          </w:p>
        </w:tc>
        <w:tc>
          <w:tcPr>
            <w:tcW w:w="1134"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1AC5EEB5" w14:textId="77777777" w:rsidR="00FD45F1" w:rsidRPr="00AB7DE9" w:rsidRDefault="00FD45F1" w:rsidP="00CE0107">
            <w:pPr>
              <w:jc w:val="center"/>
              <w:rPr>
                <w:rFonts w:ascii="Arial" w:hAnsi="Arial" w:cs="Arial"/>
                <w:b/>
                <w:bCs/>
                <w:sz w:val="18"/>
                <w:szCs w:val="18"/>
              </w:rPr>
            </w:pPr>
            <w:r w:rsidRPr="00AB7DE9">
              <w:rPr>
                <w:rFonts w:ascii="Arial" w:hAnsi="Arial" w:cs="Arial"/>
                <w:b/>
                <w:bCs/>
                <w:sz w:val="18"/>
                <w:szCs w:val="18"/>
              </w:rPr>
              <w:t>Date</w:t>
            </w:r>
          </w:p>
        </w:tc>
        <w:tc>
          <w:tcPr>
            <w:tcW w:w="992" w:type="dxa"/>
            <w:tcBorders>
              <w:top w:val="single" w:sz="12" w:space="0" w:color="00B050"/>
              <w:left w:val="single" w:sz="4" w:space="0" w:color="FFFFFF" w:themeColor="background1"/>
              <w:bottom w:val="single" w:sz="8" w:space="0" w:color="00B050"/>
              <w:right w:val="single" w:sz="4" w:space="0" w:color="FFFFFF" w:themeColor="background1"/>
            </w:tcBorders>
            <w:vAlign w:val="center"/>
          </w:tcPr>
          <w:p w14:paraId="36635A3D" w14:textId="77777777" w:rsidR="00FD45F1" w:rsidRPr="00AB7DE9" w:rsidRDefault="00FD45F1" w:rsidP="00CE0107">
            <w:pPr>
              <w:jc w:val="center"/>
              <w:rPr>
                <w:rFonts w:ascii="Arial" w:hAnsi="Arial" w:cs="Arial"/>
                <w:b/>
                <w:bCs/>
                <w:sz w:val="18"/>
                <w:szCs w:val="18"/>
              </w:rPr>
            </w:pPr>
            <w:r w:rsidRPr="00AB7DE9">
              <w:rPr>
                <w:rFonts w:ascii="Arial" w:hAnsi="Arial" w:cs="Arial"/>
                <w:b/>
                <w:bCs/>
                <w:sz w:val="18"/>
                <w:szCs w:val="18"/>
              </w:rPr>
              <w:t>Time</w:t>
            </w:r>
          </w:p>
        </w:tc>
      </w:tr>
      <w:tr w:rsidR="005947A2" w:rsidRPr="00AB7DE9" w14:paraId="30C36E67" w14:textId="77777777" w:rsidTr="00CE0107">
        <w:trPr>
          <w:trHeight w:val="313"/>
        </w:trPr>
        <w:tc>
          <w:tcPr>
            <w:tcW w:w="1129"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694E8060"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w:t>
            </w:r>
          </w:p>
        </w:tc>
        <w:tc>
          <w:tcPr>
            <w:tcW w:w="1276"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039FDFC9"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-6.729674</w:t>
            </w:r>
          </w:p>
        </w:tc>
        <w:tc>
          <w:tcPr>
            <w:tcW w:w="1134"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2758CDA1"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-2.637347</w:t>
            </w:r>
          </w:p>
        </w:tc>
        <w:tc>
          <w:tcPr>
            <w:tcW w:w="1276"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14D56864"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461.6</w:t>
            </w:r>
            <w:r w:rsidRPr="00AB7DE9">
              <w:rPr>
                <w:rFonts w:ascii="Arial" w:hAnsi="Arial" w:cs="Arial"/>
                <w:sz w:val="18"/>
                <w:szCs w:val="18"/>
                <w:lang w:val="es-MX"/>
              </w:rPr>
              <w:t>±2 m</w:t>
            </w:r>
          </w:p>
        </w:tc>
        <w:tc>
          <w:tcPr>
            <w:tcW w:w="1134"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5A128211"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1.2 m</w:t>
            </w:r>
          </w:p>
        </w:tc>
        <w:tc>
          <w:tcPr>
            <w:tcW w:w="1134"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1314B9CB"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24.09.2022</w:t>
            </w:r>
          </w:p>
        </w:tc>
        <w:tc>
          <w:tcPr>
            <w:tcW w:w="992" w:type="dxa"/>
            <w:tcBorders>
              <w:top w:val="single" w:sz="8" w:space="0" w:color="00B050"/>
              <w:left w:val="single" w:sz="4" w:space="0" w:color="FFFFFF" w:themeColor="background1"/>
              <w:bottom w:val="single" w:sz="4" w:space="0" w:color="FFFFFF" w:themeColor="background1"/>
              <w:right w:val="single" w:sz="4" w:space="0" w:color="FFFFFF" w:themeColor="background1"/>
            </w:tcBorders>
          </w:tcPr>
          <w:p w14:paraId="1D285EA4"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11:52 am</w:t>
            </w:r>
          </w:p>
        </w:tc>
      </w:tr>
      <w:tr w:rsidR="005947A2" w:rsidRPr="00AB7DE9" w14:paraId="51141ECD" w14:textId="77777777" w:rsidTr="00CE0107">
        <w:trPr>
          <w:trHeight w:val="272"/>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F416E"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DF4E6"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-6.729746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8F086"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-2.637244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01DC6"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451.5</w:t>
            </w:r>
            <w:r w:rsidRPr="00AB7DE9">
              <w:rPr>
                <w:rFonts w:ascii="Arial" w:hAnsi="Arial" w:cs="Arial"/>
                <w:sz w:val="18"/>
                <w:szCs w:val="18"/>
                <w:lang w:val="es-MX"/>
              </w:rPr>
              <w:t>±2 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2E748"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1.3 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3F9165"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24.09.2022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B9A5A3"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12:05 pm</w:t>
            </w:r>
          </w:p>
        </w:tc>
      </w:tr>
      <w:tr w:rsidR="005947A2" w:rsidRPr="00AB7DE9" w14:paraId="17A1535D" w14:textId="77777777" w:rsidTr="00CE0107">
        <w:trPr>
          <w:trHeight w:val="275"/>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E8E58"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D780B6"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-6.729747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1AF8B"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-2.637152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6830C7" w14:textId="77777777" w:rsidR="00FD45F1" w:rsidRPr="00AB7DE9" w:rsidRDefault="00FD45F1" w:rsidP="00CE0107">
            <w:pPr>
              <w:rPr>
                <w:rFonts w:ascii="Arial" w:hAnsi="Arial" w:cs="Arial"/>
                <w:sz w:val="18"/>
                <w:szCs w:val="18"/>
              </w:rPr>
            </w:pPr>
            <w:r w:rsidRPr="00AB7DE9">
              <w:rPr>
                <w:rFonts w:ascii="Arial" w:hAnsi="Arial" w:cs="Arial"/>
                <w:sz w:val="18"/>
                <w:szCs w:val="18"/>
              </w:rPr>
              <w:t xml:space="preserve">  458.5</w:t>
            </w:r>
            <w:r w:rsidRPr="00AB7DE9">
              <w:rPr>
                <w:rFonts w:ascii="Arial" w:hAnsi="Arial" w:cs="Arial"/>
                <w:sz w:val="18"/>
                <w:szCs w:val="18"/>
                <w:lang w:val="es-MX"/>
              </w:rPr>
              <w:t>±2 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240E7F"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1.3 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CED90"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24.09.2022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427578"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12:08 pm</w:t>
            </w:r>
          </w:p>
        </w:tc>
      </w:tr>
      <w:tr w:rsidR="00FD45F1" w:rsidRPr="00AB7DE9" w14:paraId="08C6D1E5" w14:textId="77777777" w:rsidTr="00CE0107">
        <w:trPr>
          <w:trHeight w:val="280"/>
        </w:trPr>
        <w:tc>
          <w:tcPr>
            <w:tcW w:w="1129"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2307D74D"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4</w:t>
            </w:r>
          </w:p>
        </w:tc>
        <w:tc>
          <w:tcPr>
            <w:tcW w:w="1276"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7EDB6781"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-6.729752</w:t>
            </w:r>
          </w:p>
        </w:tc>
        <w:tc>
          <w:tcPr>
            <w:tcW w:w="1134"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421ECB74"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-2.637359</w:t>
            </w:r>
          </w:p>
        </w:tc>
        <w:tc>
          <w:tcPr>
            <w:tcW w:w="1276"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32700A44" w14:textId="77777777" w:rsidR="00FD45F1" w:rsidRPr="00AB7DE9" w:rsidRDefault="00FD45F1" w:rsidP="00CE0107">
            <w:pPr>
              <w:rPr>
                <w:rFonts w:ascii="Arial" w:hAnsi="Arial" w:cs="Arial"/>
                <w:sz w:val="18"/>
                <w:szCs w:val="18"/>
              </w:rPr>
            </w:pPr>
            <w:r w:rsidRPr="00AB7DE9">
              <w:rPr>
                <w:rFonts w:ascii="Arial" w:hAnsi="Arial" w:cs="Arial"/>
                <w:sz w:val="18"/>
                <w:szCs w:val="18"/>
              </w:rPr>
              <w:t xml:space="preserve">  457.6</w:t>
            </w:r>
            <w:r w:rsidRPr="00AB7DE9">
              <w:rPr>
                <w:rFonts w:ascii="Arial" w:hAnsi="Arial" w:cs="Arial"/>
                <w:sz w:val="18"/>
                <w:szCs w:val="18"/>
                <w:lang w:val="es-MX"/>
              </w:rPr>
              <w:t>±2 m</w:t>
            </w:r>
          </w:p>
        </w:tc>
        <w:tc>
          <w:tcPr>
            <w:tcW w:w="1134"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0F46A67A"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1.3 m</w:t>
            </w:r>
          </w:p>
        </w:tc>
        <w:tc>
          <w:tcPr>
            <w:tcW w:w="1134"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246D4CA5"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24.09.2022</w:t>
            </w:r>
          </w:p>
        </w:tc>
        <w:tc>
          <w:tcPr>
            <w:tcW w:w="992" w:type="dxa"/>
            <w:tcBorders>
              <w:top w:val="single" w:sz="4" w:space="0" w:color="FFFFFF" w:themeColor="background1"/>
              <w:left w:val="single" w:sz="4" w:space="0" w:color="FFFFFF" w:themeColor="background1"/>
              <w:bottom w:val="single" w:sz="4" w:space="0" w:color="00B050"/>
              <w:right w:val="single" w:sz="4" w:space="0" w:color="FFFFFF" w:themeColor="background1"/>
            </w:tcBorders>
          </w:tcPr>
          <w:p w14:paraId="102223DF" w14:textId="77777777" w:rsidR="00FD45F1" w:rsidRPr="00AB7DE9" w:rsidRDefault="00FD45F1" w:rsidP="00CE0107">
            <w:pPr>
              <w:jc w:val="center"/>
              <w:rPr>
                <w:rFonts w:ascii="Arial" w:hAnsi="Arial" w:cs="Arial"/>
                <w:sz w:val="18"/>
                <w:szCs w:val="18"/>
              </w:rPr>
            </w:pPr>
            <w:r w:rsidRPr="00AB7DE9">
              <w:rPr>
                <w:rFonts w:ascii="Arial" w:hAnsi="Arial" w:cs="Arial"/>
                <w:sz w:val="18"/>
                <w:szCs w:val="18"/>
              </w:rPr>
              <w:t>12:33 pm</w:t>
            </w:r>
          </w:p>
        </w:tc>
      </w:tr>
    </w:tbl>
    <w:p w14:paraId="0C47F7F0" w14:textId="77777777" w:rsidR="00863B51" w:rsidRDefault="00863B51" w:rsidP="00863B51">
      <w:pPr>
        <w:spacing w:after="0" w:line="276" w:lineRule="auto"/>
        <w:rPr>
          <w:rFonts w:ascii="Arial" w:hAnsi="Arial" w:cs="Arial"/>
          <w:b/>
          <w:bCs/>
          <w:sz w:val="18"/>
          <w:szCs w:val="18"/>
        </w:rPr>
      </w:pPr>
    </w:p>
    <w:p w14:paraId="119E9A45" w14:textId="662A9FF9" w:rsidR="00460AB4" w:rsidRPr="00863B51" w:rsidRDefault="00460AB4" w:rsidP="00863B51">
      <w:pPr>
        <w:spacing w:after="0" w:line="276" w:lineRule="auto"/>
        <w:rPr>
          <w:rFonts w:ascii="Arial" w:hAnsi="Arial" w:cs="Arial"/>
          <w:b/>
          <w:bCs/>
          <w:sz w:val="18"/>
          <w:szCs w:val="18"/>
        </w:rPr>
      </w:pPr>
      <w:r w:rsidRPr="00863B51">
        <w:rPr>
          <w:rFonts w:ascii="Arial" w:hAnsi="Arial" w:cs="Arial"/>
          <w:b/>
          <w:bCs/>
          <w:sz w:val="18"/>
          <w:szCs w:val="18"/>
        </w:rPr>
        <w:t>2.3</w:t>
      </w:r>
      <w:r w:rsidR="005947A2" w:rsidRPr="00863B51">
        <w:rPr>
          <w:rFonts w:ascii="Arial" w:hAnsi="Arial" w:cs="Arial"/>
          <w:b/>
          <w:bCs/>
          <w:sz w:val="18"/>
          <w:szCs w:val="18"/>
        </w:rPr>
        <w:t>. Preparation and activation of carbon</w:t>
      </w:r>
    </w:p>
    <w:p w14:paraId="0C910550" w14:textId="77777777" w:rsidR="00460AB4" w:rsidRPr="00AB7DE9" w:rsidRDefault="00460AB4" w:rsidP="00863B51">
      <w:pPr>
        <w:shd w:val="clear" w:color="auto" w:fill="FFFFFF"/>
        <w:spacing w:after="0" w:line="276" w:lineRule="auto"/>
        <w:jc w:val="both"/>
        <w:outlineLvl w:val="1"/>
        <w:rPr>
          <w:rFonts w:ascii="Arial" w:hAnsi="Arial" w:cs="Arial"/>
          <w:bCs/>
          <w:sz w:val="18"/>
          <w:szCs w:val="18"/>
        </w:rPr>
      </w:pPr>
      <w:r w:rsidRPr="00AB7DE9">
        <w:rPr>
          <w:rFonts w:ascii="Arial" w:hAnsi="Arial" w:cs="Arial"/>
          <w:bCs/>
          <w:sz w:val="18"/>
          <w:szCs w:val="18"/>
        </w:rPr>
        <w:t xml:space="preserve">250 g of </w:t>
      </w:r>
      <w:r w:rsidRPr="00AB7DE9">
        <w:rPr>
          <w:rFonts w:ascii="Arial" w:hAnsi="Arial" w:cs="Arial"/>
          <w:bCs/>
          <w:i/>
          <w:sz w:val="18"/>
          <w:szCs w:val="18"/>
        </w:rPr>
        <w:t>Cocos nucifera</w:t>
      </w:r>
      <w:r w:rsidRPr="00AB7DE9">
        <w:rPr>
          <w:rFonts w:ascii="Arial" w:hAnsi="Arial" w:cs="Arial"/>
          <w:bCs/>
          <w:sz w:val="18"/>
          <w:szCs w:val="18"/>
        </w:rPr>
        <w:t xml:space="preserve"> endocarp were weighed on an electronic balance (FX - 300i, AND), washed and left to dry for 48 h at 35°C. After that, it was carbonized in the soil laboratory of the Universidad Nacional de San Martin located in Tarapoto, using a muffle (NABERTHERM, N3P), at 700°C for 45 min (Ahiduzzaman and Sadrul, 2016; Grima et al., 2016). Each sample was deposited in a mortar to refine the particles and sieved to separate the carbon from the ashes, obtaining 125g of </w:t>
      </w:r>
      <w:r w:rsidRPr="00AB7DE9">
        <w:rPr>
          <w:rFonts w:ascii="Arial" w:hAnsi="Arial" w:cs="Arial"/>
          <w:bCs/>
          <w:i/>
          <w:sz w:val="18"/>
          <w:szCs w:val="18"/>
        </w:rPr>
        <w:t>Cocos nucifera</w:t>
      </w:r>
      <w:r w:rsidRPr="00AB7DE9">
        <w:rPr>
          <w:rFonts w:ascii="Arial" w:hAnsi="Arial" w:cs="Arial"/>
          <w:bCs/>
          <w:sz w:val="18"/>
          <w:szCs w:val="18"/>
        </w:rPr>
        <w:t xml:space="preserve"> as the final product.</w:t>
      </w:r>
    </w:p>
    <w:p w14:paraId="3285830A" w14:textId="77777777" w:rsidR="0039137E" w:rsidRPr="00AB7DE9" w:rsidRDefault="0039137E" w:rsidP="00863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18"/>
          <w:szCs w:val="18"/>
        </w:rPr>
      </w:pPr>
      <w:r w:rsidRPr="00AB7DE9">
        <w:rPr>
          <w:rFonts w:ascii="Arial" w:hAnsi="Arial" w:cs="Arial"/>
          <w:sz w:val="18"/>
          <w:szCs w:val="18"/>
        </w:rPr>
        <w:t>Phosphoric acid (H</w:t>
      </w:r>
      <w:r w:rsidRPr="002A18FB">
        <w:rPr>
          <w:rFonts w:ascii="Arial" w:hAnsi="Arial" w:cs="Arial"/>
          <w:sz w:val="18"/>
          <w:szCs w:val="18"/>
          <w:vertAlign w:val="subscript"/>
        </w:rPr>
        <w:t>3</w:t>
      </w:r>
      <w:r w:rsidRPr="00AB7DE9">
        <w:rPr>
          <w:rFonts w:ascii="Arial" w:hAnsi="Arial" w:cs="Arial"/>
          <w:sz w:val="18"/>
          <w:szCs w:val="18"/>
        </w:rPr>
        <w:t>PO</w:t>
      </w:r>
      <w:r w:rsidRPr="002A18FB">
        <w:rPr>
          <w:rFonts w:ascii="Arial" w:hAnsi="Arial" w:cs="Arial"/>
          <w:sz w:val="18"/>
          <w:szCs w:val="18"/>
          <w:vertAlign w:val="subscript"/>
        </w:rPr>
        <w:t>4</w:t>
      </w:r>
      <w:r w:rsidRPr="00AB7DE9">
        <w:rPr>
          <w:rFonts w:ascii="Arial" w:hAnsi="Arial" w:cs="Arial"/>
          <w:sz w:val="18"/>
          <w:szCs w:val="18"/>
        </w:rPr>
        <w:t xml:space="preserve">) was chosen as activating agent, in a 1:1 ratio until obtaining a 50% activating agent (Obregón and Sun, 2014). In a glass container, 125g of </w:t>
      </w:r>
      <w:r w:rsidRPr="00AB7DE9">
        <w:rPr>
          <w:rFonts w:ascii="Arial" w:hAnsi="Arial" w:cs="Arial"/>
          <w:i/>
          <w:sz w:val="18"/>
          <w:szCs w:val="18"/>
        </w:rPr>
        <w:t>Cocos nucifera</w:t>
      </w:r>
      <w:r w:rsidRPr="00AB7DE9">
        <w:rPr>
          <w:rFonts w:ascii="Arial" w:hAnsi="Arial" w:cs="Arial"/>
          <w:sz w:val="18"/>
          <w:szCs w:val="18"/>
        </w:rPr>
        <w:t xml:space="preserve"> was placed, adding 5ml of H</w:t>
      </w:r>
      <w:r w:rsidRPr="002A18FB">
        <w:rPr>
          <w:rFonts w:ascii="Arial" w:hAnsi="Arial" w:cs="Arial"/>
          <w:sz w:val="18"/>
          <w:szCs w:val="18"/>
          <w:vertAlign w:val="subscript"/>
        </w:rPr>
        <w:t>3</w:t>
      </w:r>
      <w:r w:rsidRPr="00AB7DE9">
        <w:rPr>
          <w:rFonts w:ascii="Arial" w:hAnsi="Arial" w:cs="Arial"/>
          <w:sz w:val="18"/>
          <w:szCs w:val="18"/>
        </w:rPr>
        <w:t>PO</w:t>
      </w:r>
      <w:r w:rsidRPr="002A18FB">
        <w:rPr>
          <w:rFonts w:ascii="Arial" w:hAnsi="Arial" w:cs="Arial"/>
          <w:sz w:val="18"/>
          <w:szCs w:val="18"/>
          <w:vertAlign w:val="subscript"/>
        </w:rPr>
        <w:t>4</w:t>
      </w:r>
      <w:r w:rsidRPr="00AB7DE9">
        <w:rPr>
          <w:rFonts w:ascii="Arial" w:hAnsi="Arial" w:cs="Arial"/>
          <w:sz w:val="18"/>
          <w:szCs w:val="18"/>
        </w:rPr>
        <w:t xml:space="preserve"> to the container for the solution to permeate the carbon (activation process) for 1 hour at 35 ° C. After activation, it was washed with distilled water to eliminate excess acid, leaving it to dry for 4 hours at 35 ° C, obtaining activated carbon with a diameter of 2-5mm of </w:t>
      </w:r>
      <w:r w:rsidRPr="00AB7DE9">
        <w:rPr>
          <w:rFonts w:ascii="Arial" w:hAnsi="Arial" w:cs="Arial"/>
          <w:i/>
          <w:sz w:val="18"/>
          <w:szCs w:val="18"/>
        </w:rPr>
        <w:t>Cocos nucifera</w:t>
      </w:r>
      <w:r w:rsidRPr="00AB7DE9">
        <w:rPr>
          <w:rFonts w:ascii="Arial" w:hAnsi="Arial" w:cs="Arial"/>
          <w:sz w:val="18"/>
          <w:szCs w:val="18"/>
        </w:rPr>
        <w:t>, measuring the particles in a digital Vernier (Stanley). (Sandoval et al., 2021).</w:t>
      </w:r>
    </w:p>
    <w:p w14:paraId="4700DA38" w14:textId="77777777" w:rsidR="0039137E" w:rsidRPr="00AB7DE9" w:rsidRDefault="0039137E" w:rsidP="00863B51">
      <w:pPr>
        <w:spacing w:after="0" w:line="276" w:lineRule="auto"/>
        <w:contextualSpacing/>
        <w:rPr>
          <w:rFonts w:ascii="Arial" w:eastAsia="Calibri" w:hAnsi="Arial" w:cs="Arial"/>
          <w:b/>
          <w:bCs/>
          <w:iCs/>
          <w:sz w:val="18"/>
          <w:szCs w:val="18"/>
        </w:rPr>
      </w:pPr>
      <w:r w:rsidRPr="00AB7DE9">
        <w:rPr>
          <w:rFonts w:ascii="Arial" w:eastAsia="Calibri" w:hAnsi="Arial" w:cs="Arial"/>
          <w:b/>
          <w:bCs/>
          <w:iCs/>
          <w:sz w:val="18"/>
          <w:szCs w:val="18"/>
        </w:rPr>
        <w:t>2.4. Activation of Mountain Microorganisms</w:t>
      </w:r>
    </w:p>
    <w:p w14:paraId="1EB0D75A" w14:textId="77777777" w:rsidR="0039137E" w:rsidRPr="00AB7DE9" w:rsidRDefault="0039137E" w:rsidP="00863B51">
      <w:pPr>
        <w:spacing w:after="0" w:line="276" w:lineRule="auto"/>
        <w:jc w:val="both"/>
        <w:rPr>
          <w:rFonts w:ascii="Arial" w:hAnsi="Arial" w:cs="Arial"/>
          <w:sz w:val="18"/>
          <w:szCs w:val="18"/>
        </w:rPr>
      </w:pPr>
      <w:r w:rsidRPr="00AB7DE9">
        <w:rPr>
          <w:rFonts w:ascii="Arial" w:hAnsi="Arial" w:cs="Arial"/>
          <w:sz w:val="18"/>
          <w:szCs w:val="18"/>
        </w:rPr>
        <w:t>Activation was carried out with 20 L of distilled water; 1 L of mountain microorganisms and 0.5 L of molasses were added, and then the mixture was left to stand for 5 days. Finally, the mountain microorganisms were activated and were ready to be used (Ngilangil and Vilar, 2020).</w:t>
      </w:r>
    </w:p>
    <w:p w14:paraId="014269BF" w14:textId="66D2BAC2" w:rsidR="005947A2" w:rsidRDefault="005947A2" w:rsidP="005947A2">
      <w:pPr>
        <w:spacing w:after="0" w:line="276" w:lineRule="auto"/>
        <w:jc w:val="both"/>
        <w:rPr>
          <w:rFonts w:ascii="Arial" w:hAnsi="Arial" w:cs="Arial"/>
          <w:sz w:val="18"/>
          <w:szCs w:val="18"/>
        </w:rPr>
      </w:pPr>
    </w:p>
    <w:p w14:paraId="3D538EA7" w14:textId="49945EE8" w:rsidR="007021A8" w:rsidRDefault="007021A8" w:rsidP="005947A2">
      <w:pPr>
        <w:spacing w:after="0" w:line="276" w:lineRule="auto"/>
        <w:jc w:val="both"/>
        <w:rPr>
          <w:rFonts w:ascii="Arial" w:hAnsi="Arial" w:cs="Arial"/>
          <w:sz w:val="18"/>
          <w:szCs w:val="18"/>
        </w:rPr>
      </w:pPr>
    </w:p>
    <w:p w14:paraId="5C09B3A2" w14:textId="7B3D4762" w:rsidR="007021A8" w:rsidRDefault="007021A8" w:rsidP="005947A2">
      <w:pPr>
        <w:spacing w:after="0" w:line="276" w:lineRule="auto"/>
        <w:jc w:val="both"/>
        <w:rPr>
          <w:rFonts w:ascii="Arial" w:hAnsi="Arial" w:cs="Arial"/>
          <w:sz w:val="18"/>
          <w:szCs w:val="18"/>
        </w:rPr>
      </w:pPr>
    </w:p>
    <w:p w14:paraId="78E86C44" w14:textId="078E5BAD" w:rsidR="007021A8" w:rsidRDefault="007021A8" w:rsidP="005947A2">
      <w:pPr>
        <w:spacing w:after="0" w:line="276" w:lineRule="auto"/>
        <w:jc w:val="both"/>
        <w:rPr>
          <w:rFonts w:ascii="Arial" w:hAnsi="Arial" w:cs="Arial"/>
          <w:sz w:val="18"/>
          <w:szCs w:val="18"/>
        </w:rPr>
      </w:pPr>
    </w:p>
    <w:p w14:paraId="7B5FAFC5" w14:textId="77777777" w:rsidR="007021A8" w:rsidRDefault="007021A8" w:rsidP="005947A2">
      <w:pPr>
        <w:spacing w:after="0" w:line="276" w:lineRule="auto"/>
        <w:jc w:val="both"/>
        <w:rPr>
          <w:rFonts w:ascii="Arial" w:hAnsi="Arial" w:cs="Arial"/>
          <w:sz w:val="18"/>
          <w:szCs w:val="18"/>
        </w:rPr>
      </w:pPr>
    </w:p>
    <w:p w14:paraId="6BDF73E4" w14:textId="77777777" w:rsidR="0039137E" w:rsidRPr="00AB7DE9" w:rsidRDefault="0039137E" w:rsidP="00863B51">
      <w:pPr>
        <w:spacing w:after="0" w:line="276" w:lineRule="auto"/>
        <w:rPr>
          <w:rFonts w:ascii="Arial" w:hAnsi="Arial" w:cs="Arial"/>
          <w:b/>
          <w:bCs/>
          <w:sz w:val="18"/>
          <w:szCs w:val="18"/>
        </w:rPr>
      </w:pPr>
      <w:r w:rsidRPr="00AB7DE9">
        <w:rPr>
          <w:rFonts w:ascii="Arial" w:hAnsi="Arial" w:cs="Arial"/>
          <w:b/>
          <w:bCs/>
          <w:sz w:val="18"/>
          <w:szCs w:val="18"/>
        </w:rPr>
        <w:lastRenderedPageBreak/>
        <w:t>2.5. Experimental treatments of activated carbon and mountain microorganisms.</w:t>
      </w:r>
    </w:p>
    <w:p w14:paraId="766DD1CF" w14:textId="77777777" w:rsidR="0039137E" w:rsidRPr="00AB7DE9" w:rsidRDefault="0039137E" w:rsidP="00863B51">
      <w:pPr>
        <w:spacing w:after="0" w:line="276" w:lineRule="auto"/>
        <w:jc w:val="both"/>
        <w:rPr>
          <w:rFonts w:ascii="Arial" w:eastAsia="Calibri" w:hAnsi="Arial" w:cs="Arial"/>
          <w:bCs/>
          <w:iCs/>
          <w:sz w:val="18"/>
          <w:szCs w:val="18"/>
        </w:rPr>
      </w:pPr>
      <w:r w:rsidRPr="00AB7DE9">
        <w:rPr>
          <w:rFonts w:ascii="Arial" w:hAnsi="Arial" w:cs="Arial"/>
          <w:sz w:val="18"/>
          <w:szCs w:val="18"/>
        </w:rPr>
        <w:t xml:space="preserve">The 21 pots were adapted for the experimental units with a capacity of 5 kg of degraded agricultural soil contaminated with cadmium. The treatments were arranged in a completely randomized design with a total of 7 treatments and 3 repetitions each. T1: soil without treatment or control group (CG); T2: activated carbon (AC) 100g; T3: activated carbon (AC) 200g, T4: activated carbon (AC) 300g; T5: mountain microorganisms (MM) 100 mL; T6: mountain microorganisms (MM) 200 mL; T7: mountain microorganisms (MM) 300 </w:t>
      </w:r>
      <w:proofErr w:type="spellStart"/>
      <w:r w:rsidRPr="00AB7DE9">
        <w:rPr>
          <w:rFonts w:ascii="Arial" w:hAnsi="Arial" w:cs="Arial"/>
          <w:sz w:val="18"/>
          <w:szCs w:val="18"/>
        </w:rPr>
        <w:t>mL.</w:t>
      </w:r>
      <w:proofErr w:type="spellEnd"/>
      <w:r w:rsidRPr="00AB7DE9">
        <w:rPr>
          <w:rFonts w:ascii="Arial" w:hAnsi="Arial" w:cs="Arial"/>
          <w:sz w:val="18"/>
          <w:szCs w:val="18"/>
        </w:rPr>
        <w:t xml:space="preserve"> </w:t>
      </w:r>
      <w:r w:rsidRPr="00AB7DE9">
        <w:rPr>
          <w:rFonts w:ascii="Arial" w:eastAsia="Calibri" w:hAnsi="Arial" w:cs="Arial"/>
          <w:bCs/>
          <w:iCs/>
          <w:sz w:val="18"/>
          <w:szCs w:val="18"/>
        </w:rPr>
        <w:t>After application, the contents of the pots were mixed to homogenize and ensure adequate distribution. After 20 days, 1 kg of soil was collected for physicochemical analysis.</w:t>
      </w:r>
    </w:p>
    <w:p w14:paraId="6E16F1CD" w14:textId="77777777" w:rsidR="0039137E" w:rsidRPr="00AB7DE9" w:rsidRDefault="0039137E" w:rsidP="0039137E">
      <w:pPr>
        <w:spacing w:line="276" w:lineRule="auto"/>
        <w:jc w:val="both"/>
        <w:rPr>
          <w:rFonts w:ascii="Arial" w:eastAsia="Calibri" w:hAnsi="Arial" w:cs="Arial"/>
          <w:bCs/>
          <w:iCs/>
          <w:color w:val="00B0F0"/>
          <w:sz w:val="18"/>
          <w:szCs w:val="18"/>
        </w:rPr>
      </w:pPr>
      <w:r w:rsidRPr="00AB7DE9">
        <w:rPr>
          <w:rFonts w:ascii="Arial" w:hAnsi="Arial" w:cs="Arial"/>
          <w:noProof/>
          <w:sz w:val="18"/>
          <w:szCs w:val="18"/>
        </w:rPr>
        <w:drawing>
          <wp:inline distT="0" distB="0" distL="0" distR="0" wp14:anchorId="7BE494DB" wp14:editId="255ED5EF">
            <wp:extent cx="4418965" cy="2409596"/>
            <wp:effectExtent l="19050" t="19050" r="26670" b="152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968" t="45731" r="36158" b="31907"/>
                    <a:stretch/>
                  </pic:blipFill>
                  <pic:spPr bwMode="auto">
                    <a:xfrm>
                      <a:off x="0" y="0"/>
                      <a:ext cx="4418965" cy="240959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01472C34" w14:textId="77777777" w:rsidR="0039137E" w:rsidRPr="00AB7DE9" w:rsidRDefault="0039137E" w:rsidP="0039137E">
      <w:pPr>
        <w:spacing w:line="276" w:lineRule="auto"/>
        <w:jc w:val="both"/>
        <w:rPr>
          <w:rFonts w:ascii="Arial" w:hAnsi="Arial" w:cs="Arial"/>
          <w:i/>
          <w:sz w:val="18"/>
          <w:szCs w:val="18"/>
        </w:rPr>
      </w:pPr>
      <w:r w:rsidRPr="00AB7DE9">
        <w:rPr>
          <w:rFonts w:ascii="Arial" w:hAnsi="Arial" w:cs="Arial"/>
          <w:sz w:val="18"/>
          <w:szCs w:val="18"/>
        </w:rPr>
        <w:t>Figure 1</w:t>
      </w:r>
      <w:r w:rsidRPr="00AB7DE9">
        <w:rPr>
          <w:rFonts w:ascii="Arial" w:hAnsi="Arial" w:cs="Arial"/>
          <w:i/>
          <w:sz w:val="18"/>
          <w:szCs w:val="18"/>
        </w:rPr>
        <w:t>. Experimental design with treatments</w:t>
      </w:r>
    </w:p>
    <w:p w14:paraId="22777B91" w14:textId="77777777" w:rsidR="000C3C16" w:rsidRPr="00AB7DE9" w:rsidRDefault="000C3C16" w:rsidP="00703289">
      <w:pPr>
        <w:spacing w:after="0" w:line="276" w:lineRule="auto"/>
        <w:rPr>
          <w:rFonts w:ascii="Arial" w:hAnsi="Arial" w:cs="Arial"/>
          <w:b/>
          <w:sz w:val="18"/>
          <w:szCs w:val="18"/>
        </w:rPr>
      </w:pPr>
      <w:r w:rsidRPr="00AB7DE9">
        <w:rPr>
          <w:rFonts w:ascii="Arial" w:hAnsi="Arial" w:cs="Arial"/>
          <w:b/>
          <w:sz w:val="18"/>
          <w:szCs w:val="18"/>
        </w:rPr>
        <w:t>2.6. Statistical analysis</w:t>
      </w:r>
    </w:p>
    <w:p w14:paraId="5CCC37C0" w14:textId="1C2C9D7E" w:rsidR="000C3C16" w:rsidRPr="00AB7DE9" w:rsidRDefault="00D36F08" w:rsidP="00D36F08">
      <w:pPr>
        <w:shd w:val="clear" w:color="auto" w:fill="FFFFFF"/>
        <w:spacing w:after="0" w:line="276" w:lineRule="auto"/>
        <w:jc w:val="both"/>
        <w:outlineLvl w:val="1"/>
        <w:rPr>
          <w:rFonts w:ascii="Arial" w:hAnsi="Arial" w:cs="Arial"/>
          <w:bCs/>
          <w:iCs/>
          <w:sz w:val="18"/>
          <w:szCs w:val="18"/>
        </w:rPr>
      </w:pPr>
      <w:r w:rsidRPr="00D36F08">
        <w:rPr>
          <w:rFonts w:ascii="Arial" w:hAnsi="Arial" w:cs="Arial"/>
          <w:bCs/>
          <w:iCs/>
          <w:sz w:val="18"/>
          <w:szCs w:val="18"/>
        </w:rPr>
        <w:t>DUNCAN analysis was applied, which determined the significant differences between the experimental treatments.</w:t>
      </w:r>
    </w:p>
    <w:p w14:paraId="2183B06F" w14:textId="77777777" w:rsidR="000C3C16" w:rsidRPr="00703289" w:rsidRDefault="000C3C16" w:rsidP="000C3C16">
      <w:pPr>
        <w:pStyle w:val="CETHeading1"/>
        <w:rPr>
          <w:rFonts w:cs="Arial"/>
        </w:rPr>
      </w:pPr>
      <w:r w:rsidRPr="00703289">
        <w:rPr>
          <w:rFonts w:cs="Arial"/>
        </w:rPr>
        <w:t>Results</w:t>
      </w:r>
    </w:p>
    <w:p w14:paraId="2A226B7F" w14:textId="77777777" w:rsidR="000C3C16" w:rsidRPr="00AB7DE9" w:rsidRDefault="000C3C16" w:rsidP="005947A2">
      <w:pPr>
        <w:shd w:val="clear" w:color="auto" w:fill="FFFFFF"/>
        <w:spacing w:after="0" w:line="276" w:lineRule="auto"/>
        <w:outlineLvl w:val="1"/>
        <w:rPr>
          <w:rFonts w:ascii="Arial" w:hAnsi="Arial" w:cs="Arial"/>
          <w:bCs/>
          <w:i/>
          <w:iCs/>
          <w:sz w:val="18"/>
          <w:szCs w:val="18"/>
        </w:rPr>
      </w:pPr>
      <w:r w:rsidRPr="007021A8">
        <w:rPr>
          <w:rFonts w:ascii="Arial" w:hAnsi="Arial" w:cs="Arial"/>
          <w:bCs/>
          <w:i/>
          <w:sz w:val="18"/>
          <w:szCs w:val="18"/>
        </w:rPr>
        <w:t>Table 2:</w:t>
      </w:r>
      <w:r w:rsidRPr="00AB7DE9">
        <w:rPr>
          <w:rFonts w:ascii="Arial" w:hAnsi="Arial" w:cs="Arial"/>
          <w:bCs/>
          <w:iCs/>
          <w:sz w:val="18"/>
          <w:szCs w:val="18"/>
        </w:rPr>
        <w:t xml:space="preserve"> </w:t>
      </w:r>
      <w:r w:rsidRPr="00AB7DE9">
        <w:rPr>
          <w:rFonts w:ascii="Arial" w:hAnsi="Arial" w:cs="Arial"/>
          <w:bCs/>
          <w:i/>
          <w:iCs/>
          <w:sz w:val="18"/>
          <w:szCs w:val="18"/>
        </w:rPr>
        <w:t>Analysis of physicochemical parameters of soil without treatment</w:t>
      </w: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833"/>
        <w:gridCol w:w="1275"/>
      </w:tblGrid>
      <w:tr w:rsidR="005947A2" w:rsidRPr="00AB7DE9" w14:paraId="4E0EBF78" w14:textId="77777777" w:rsidTr="00CE0107">
        <w:trPr>
          <w:trHeight w:val="406"/>
        </w:trPr>
        <w:tc>
          <w:tcPr>
            <w:tcW w:w="2972" w:type="dxa"/>
            <w:tcBorders>
              <w:top w:val="single" w:sz="8" w:space="0" w:color="00B050"/>
              <w:left w:val="single" w:sz="4" w:space="0" w:color="FFFFFF" w:themeColor="background1"/>
              <w:bottom w:val="single" w:sz="4" w:space="0" w:color="00B050"/>
              <w:right w:val="single" w:sz="4" w:space="0" w:color="FFFFFF" w:themeColor="background1"/>
            </w:tcBorders>
            <w:shd w:val="clear" w:color="auto" w:fill="auto"/>
            <w:vAlign w:val="center"/>
            <w:hideMark/>
          </w:tcPr>
          <w:p w14:paraId="0582C09B"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Parameter</w:t>
            </w:r>
          </w:p>
        </w:tc>
        <w:tc>
          <w:tcPr>
            <w:tcW w:w="1833" w:type="dxa"/>
            <w:tcBorders>
              <w:top w:val="single" w:sz="8" w:space="0" w:color="00B050"/>
              <w:left w:val="single" w:sz="4" w:space="0" w:color="FFFFFF" w:themeColor="background1"/>
              <w:bottom w:val="single" w:sz="4" w:space="0" w:color="00B050"/>
              <w:right w:val="single" w:sz="4" w:space="0" w:color="FFFFFF" w:themeColor="background1"/>
            </w:tcBorders>
            <w:shd w:val="clear" w:color="auto" w:fill="auto"/>
            <w:vAlign w:val="center"/>
          </w:tcPr>
          <w:p w14:paraId="0423A925"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Unit of measurement</w:t>
            </w:r>
          </w:p>
        </w:tc>
        <w:tc>
          <w:tcPr>
            <w:tcW w:w="1275" w:type="dxa"/>
            <w:tcBorders>
              <w:top w:val="single" w:sz="8" w:space="0" w:color="00B050"/>
              <w:left w:val="single" w:sz="4" w:space="0" w:color="FFFFFF" w:themeColor="background1"/>
              <w:bottom w:val="single" w:sz="4" w:space="0" w:color="00B050"/>
              <w:right w:val="single" w:sz="4" w:space="0" w:color="FFFFFF" w:themeColor="background1"/>
            </w:tcBorders>
            <w:shd w:val="clear" w:color="auto" w:fill="auto"/>
            <w:vAlign w:val="center"/>
          </w:tcPr>
          <w:p w14:paraId="671C91B5"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Value</w:t>
            </w:r>
          </w:p>
        </w:tc>
      </w:tr>
      <w:tr w:rsidR="005947A2" w:rsidRPr="00AB7DE9" w14:paraId="36E8C74D" w14:textId="77777777" w:rsidTr="00CE0107">
        <w:trPr>
          <w:trHeight w:val="265"/>
        </w:trPr>
        <w:tc>
          <w:tcPr>
            <w:tcW w:w="2972" w:type="dxa"/>
            <w:tcBorders>
              <w:top w:val="single" w:sz="4" w:space="0" w:color="00B050"/>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6D43BF5"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Phosphorus</w:t>
            </w:r>
          </w:p>
        </w:tc>
        <w:tc>
          <w:tcPr>
            <w:tcW w:w="1833" w:type="dxa"/>
            <w:tcBorders>
              <w:top w:val="single" w:sz="4" w:space="0" w:color="00B050"/>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70CE5EB"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val="es-PE"/>
              </w:rPr>
              <w:t>ppm</w:t>
            </w:r>
          </w:p>
        </w:tc>
        <w:tc>
          <w:tcPr>
            <w:tcW w:w="1275" w:type="dxa"/>
            <w:tcBorders>
              <w:top w:val="single" w:sz="4" w:space="0" w:color="00B050"/>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4DD3FE4" w14:textId="77777777" w:rsidR="000C3C16" w:rsidRPr="00AB7DE9" w:rsidRDefault="000C3C16" w:rsidP="005947A2">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2.45</w:t>
            </w:r>
          </w:p>
        </w:tc>
      </w:tr>
      <w:tr w:rsidR="005947A2" w:rsidRPr="00AB7DE9" w14:paraId="4D23CEE6" w14:textId="77777777" w:rsidTr="00CE0107">
        <w:trPr>
          <w:trHeight w:val="254"/>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B3294AA"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Nitrogen</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E7E005E"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Percentage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E10258" w14:textId="77777777" w:rsidR="000C3C16" w:rsidRPr="00AB7DE9" w:rsidRDefault="000C3C16" w:rsidP="005947A2">
            <w:pPr>
              <w:spacing w:after="0" w:line="240" w:lineRule="auto"/>
              <w:jc w:val="center"/>
              <w:rPr>
                <w:rFonts w:ascii="Arial" w:hAnsi="Arial" w:cs="Arial"/>
                <w:bCs/>
                <w:sz w:val="18"/>
                <w:szCs w:val="18"/>
                <w:highlight w:val="cyan"/>
                <w:lang w:eastAsia="es-PE"/>
              </w:rPr>
            </w:pPr>
            <w:r w:rsidRPr="00AB7DE9">
              <w:rPr>
                <w:rFonts w:ascii="Arial" w:hAnsi="Arial" w:cs="Arial"/>
                <w:bCs/>
                <w:sz w:val="18"/>
                <w:szCs w:val="18"/>
                <w:lang w:eastAsia="es-PE"/>
              </w:rPr>
              <w:t>0.85</w:t>
            </w:r>
          </w:p>
        </w:tc>
      </w:tr>
      <w:tr w:rsidR="005947A2" w:rsidRPr="00AB7DE9" w14:paraId="1CAED62E" w14:textId="77777777" w:rsidTr="00CE0107">
        <w:trPr>
          <w:trHeight w:val="259"/>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1C51ABA"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Potassium</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9F5538"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ppm</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89524BA" w14:textId="77777777" w:rsidR="000C3C16" w:rsidRPr="00AB7DE9" w:rsidRDefault="000C3C16" w:rsidP="005947A2">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19.70</w:t>
            </w:r>
          </w:p>
        </w:tc>
      </w:tr>
      <w:tr w:rsidR="005947A2" w:rsidRPr="00AB7DE9" w14:paraId="20D76E56" w14:textId="77777777" w:rsidTr="00CE0107">
        <w:trPr>
          <w:trHeight w:val="262"/>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A5B57AF"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Cation exchange capacity</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D3FBE86"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Meq/100g</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7CEE87"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5.28</w:t>
            </w:r>
          </w:p>
        </w:tc>
      </w:tr>
      <w:tr w:rsidR="005947A2" w:rsidRPr="00AB7DE9" w14:paraId="490D179E" w14:textId="77777777" w:rsidTr="00CE0107">
        <w:trPr>
          <w:trHeight w:val="196"/>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3B0A30D"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pH</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A6BD9FA"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69624C4"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5.14</w:t>
            </w:r>
          </w:p>
        </w:tc>
      </w:tr>
      <w:tr w:rsidR="005947A2" w:rsidRPr="00AB7DE9" w14:paraId="5717CB95" w14:textId="77777777" w:rsidTr="00CE0107">
        <w:trPr>
          <w:trHeight w:val="266"/>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64FECE1"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Magnesium</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33F3D79"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Meq/100g</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C25F43D"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0.82</w:t>
            </w:r>
          </w:p>
        </w:tc>
      </w:tr>
      <w:tr w:rsidR="005947A2" w:rsidRPr="00AB7DE9" w14:paraId="62191AE5" w14:textId="77777777" w:rsidTr="00CE0107">
        <w:trPr>
          <w:trHeight w:val="266"/>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6EA040C"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Organic matter</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AAA0FF0"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Percentage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93219EC"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1.02</w:t>
            </w:r>
          </w:p>
        </w:tc>
      </w:tr>
      <w:tr w:rsidR="005947A2" w:rsidRPr="00AB7DE9" w14:paraId="5E22F1E1" w14:textId="77777777" w:rsidTr="00CE0107">
        <w:trPr>
          <w:trHeight w:val="266"/>
        </w:trPr>
        <w:tc>
          <w:tcPr>
            <w:tcW w:w="2972" w:type="dxa"/>
            <w:tcBorders>
              <w:top w:val="single" w:sz="4" w:space="0" w:color="FFFFFF" w:themeColor="background1"/>
              <w:left w:val="single" w:sz="4" w:space="0" w:color="FFFFFF" w:themeColor="background1"/>
              <w:bottom w:val="single" w:sz="4" w:space="0" w:color="00B050"/>
              <w:right w:val="single" w:sz="4" w:space="0" w:color="FFFFFF" w:themeColor="background1"/>
            </w:tcBorders>
            <w:shd w:val="clear" w:color="auto" w:fill="auto"/>
            <w:noWrap/>
            <w:vAlign w:val="center"/>
          </w:tcPr>
          <w:p w14:paraId="7829AAD0" w14:textId="77777777" w:rsidR="000C3C16" w:rsidRPr="00AB7DE9" w:rsidRDefault="000C3C16" w:rsidP="005947A2">
            <w:pPr>
              <w:spacing w:after="0" w:line="240" w:lineRule="auto"/>
              <w:rPr>
                <w:rFonts w:ascii="Arial" w:hAnsi="Arial" w:cs="Arial"/>
                <w:sz w:val="18"/>
                <w:szCs w:val="18"/>
                <w:lang w:eastAsia="es-PE"/>
              </w:rPr>
            </w:pPr>
            <w:r w:rsidRPr="00AB7DE9">
              <w:rPr>
                <w:rFonts w:ascii="Arial" w:hAnsi="Arial" w:cs="Arial"/>
                <w:sz w:val="18"/>
                <w:szCs w:val="18"/>
                <w:lang w:eastAsia="es-PE"/>
              </w:rPr>
              <w:t>Cadmium</w:t>
            </w:r>
          </w:p>
        </w:tc>
        <w:tc>
          <w:tcPr>
            <w:tcW w:w="1833" w:type="dxa"/>
            <w:tcBorders>
              <w:top w:val="single" w:sz="4" w:space="0" w:color="FFFFFF" w:themeColor="background1"/>
              <w:left w:val="single" w:sz="4" w:space="0" w:color="FFFFFF" w:themeColor="background1"/>
              <w:bottom w:val="single" w:sz="4" w:space="0" w:color="00B050"/>
              <w:right w:val="single" w:sz="4" w:space="0" w:color="FFFFFF" w:themeColor="background1"/>
            </w:tcBorders>
            <w:shd w:val="clear" w:color="auto" w:fill="auto"/>
            <w:noWrap/>
            <w:vAlign w:val="center"/>
          </w:tcPr>
          <w:p w14:paraId="718AF5C8"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ppm</w:t>
            </w:r>
          </w:p>
        </w:tc>
        <w:tc>
          <w:tcPr>
            <w:tcW w:w="1275" w:type="dxa"/>
            <w:tcBorders>
              <w:top w:val="single" w:sz="4" w:space="0" w:color="FFFFFF" w:themeColor="background1"/>
              <w:left w:val="single" w:sz="4" w:space="0" w:color="FFFFFF" w:themeColor="background1"/>
              <w:bottom w:val="single" w:sz="4" w:space="0" w:color="00B050"/>
              <w:right w:val="single" w:sz="4" w:space="0" w:color="FFFFFF" w:themeColor="background1"/>
            </w:tcBorders>
            <w:shd w:val="clear" w:color="auto" w:fill="auto"/>
            <w:noWrap/>
            <w:vAlign w:val="center"/>
          </w:tcPr>
          <w:p w14:paraId="7B03DC2F" w14:textId="77777777" w:rsidR="000C3C16" w:rsidRPr="00AB7DE9" w:rsidRDefault="000C3C16" w:rsidP="005947A2">
            <w:pPr>
              <w:spacing w:after="0" w:line="240" w:lineRule="auto"/>
              <w:jc w:val="center"/>
              <w:rPr>
                <w:rFonts w:ascii="Arial" w:hAnsi="Arial" w:cs="Arial"/>
                <w:sz w:val="18"/>
                <w:szCs w:val="18"/>
                <w:lang w:eastAsia="es-PE"/>
              </w:rPr>
            </w:pPr>
            <w:r w:rsidRPr="00AB7DE9">
              <w:rPr>
                <w:rFonts w:ascii="Arial" w:hAnsi="Arial" w:cs="Arial"/>
                <w:sz w:val="18"/>
                <w:szCs w:val="18"/>
                <w:lang w:eastAsia="es-PE"/>
              </w:rPr>
              <w:t>5.74</w:t>
            </w:r>
          </w:p>
        </w:tc>
      </w:tr>
    </w:tbl>
    <w:p w14:paraId="7DA639D9" w14:textId="77777777" w:rsidR="000C3C16" w:rsidRPr="00AB7DE9" w:rsidRDefault="000C3C16" w:rsidP="000C3C16">
      <w:pPr>
        <w:shd w:val="clear" w:color="auto" w:fill="FFFFFF"/>
        <w:spacing w:line="276" w:lineRule="auto"/>
        <w:outlineLvl w:val="1"/>
        <w:rPr>
          <w:rFonts w:ascii="Arial" w:hAnsi="Arial" w:cs="Arial"/>
          <w:bCs/>
          <w:i/>
          <w:iCs/>
          <w:sz w:val="18"/>
          <w:szCs w:val="18"/>
        </w:rPr>
      </w:pPr>
    </w:p>
    <w:p w14:paraId="6D06365C" w14:textId="77777777" w:rsidR="0039137E" w:rsidRPr="00AB7DE9" w:rsidRDefault="0039137E" w:rsidP="0039137E">
      <w:pPr>
        <w:spacing w:line="276" w:lineRule="auto"/>
        <w:jc w:val="both"/>
        <w:rPr>
          <w:rFonts w:ascii="Arial" w:hAnsi="Arial" w:cs="Arial"/>
          <w:sz w:val="18"/>
          <w:szCs w:val="18"/>
        </w:rPr>
      </w:pPr>
    </w:p>
    <w:p w14:paraId="2260636E" w14:textId="77777777" w:rsidR="00FD45F1" w:rsidRPr="00AB7DE9" w:rsidRDefault="00FD45F1" w:rsidP="00FD45F1">
      <w:pPr>
        <w:spacing w:line="276" w:lineRule="auto"/>
        <w:jc w:val="both"/>
        <w:rPr>
          <w:rFonts w:ascii="Arial" w:hAnsi="Arial" w:cs="Arial"/>
          <w:sz w:val="18"/>
          <w:szCs w:val="18"/>
        </w:rPr>
      </w:pPr>
    </w:p>
    <w:p w14:paraId="66D33E1D" w14:textId="77777777" w:rsidR="00FD281F" w:rsidRPr="00AB7DE9" w:rsidRDefault="00FD281F" w:rsidP="00FD281F">
      <w:pPr>
        <w:jc w:val="both"/>
        <w:rPr>
          <w:rFonts w:ascii="Arial" w:hAnsi="Arial" w:cs="Arial"/>
          <w:sz w:val="18"/>
          <w:szCs w:val="18"/>
        </w:rPr>
      </w:pPr>
    </w:p>
    <w:p w14:paraId="5102BF7E" w14:textId="77777777" w:rsidR="00FD281F" w:rsidRPr="00AB7DE9" w:rsidRDefault="00FD281F" w:rsidP="004E2AD3">
      <w:pPr>
        <w:jc w:val="both"/>
        <w:rPr>
          <w:rFonts w:ascii="Arial" w:hAnsi="Arial" w:cs="Arial"/>
          <w:sz w:val="18"/>
          <w:szCs w:val="18"/>
        </w:rPr>
      </w:pPr>
    </w:p>
    <w:p w14:paraId="71792042" w14:textId="77777777" w:rsidR="004E2AD3" w:rsidRPr="00AB7DE9" w:rsidRDefault="004E2AD3" w:rsidP="00346AD4">
      <w:pPr>
        <w:jc w:val="both"/>
        <w:rPr>
          <w:rFonts w:ascii="Arial" w:hAnsi="Arial" w:cs="Arial"/>
          <w:sz w:val="18"/>
          <w:szCs w:val="18"/>
        </w:rPr>
      </w:pPr>
    </w:p>
    <w:p w14:paraId="4ED77BDC" w14:textId="77777777" w:rsidR="00346AD4" w:rsidRPr="00AB7DE9" w:rsidRDefault="00346AD4" w:rsidP="00346AD4">
      <w:pPr>
        <w:rPr>
          <w:rFonts w:ascii="Arial" w:hAnsi="Arial" w:cs="Arial"/>
          <w:b/>
          <w:sz w:val="18"/>
          <w:szCs w:val="18"/>
        </w:rPr>
      </w:pPr>
    </w:p>
    <w:p w14:paraId="6A97A352" w14:textId="77777777" w:rsidR="00703289" w:rsidRDefault="00703289" w:rsidP="00FF289A">
      <w:pPr>
        <w:pStyle w:val="CETBodytext"/>
        <w:spacing w:line="276" w:lineRule="auto"/>
        <w:rPr>
          <w:rFonts w:cs="Arial"/>
          <w:szCs w:val="18"/>
          <w:lang w:eastAsia="es-PE"/>
        </w:rPr>
      </w:pPr>
    </w:p>
    <w:p w14:paraId="3BB798BD" w14:textId="58DB44D4" w:rsidR="00FF289A" w:rsidRPr="00AB7DE9" w:rsidRDefault="00FF289A" w:rsidP="00FF289A">
      <w:pPr>
        <w:pStyle w:val="CETBodytext"/>
        <w:spacing w:line="276" w:lineRule="auto"/>
        <w:rPr>
          <w:rFonts w:cs="Arial"/>
          <w:szCs w:val="18"/>
          <w:lang w:eastAsia="es-PE"/>
        </w:rPr>
      </w:pPr>
      <w:r w:rsidRPr="00AB7DE9">
        <w:rPr>
          <w:rFonts w:cs="Arial"/>
          <w:szCs w:val="18"/>
          <w:lang w:eastAsia="es-PE"/>
        </w:rPr>
        <w:t>A physicochemical study was carried out on a soil sample without applying treatments and was compared with the environmental quality standards for the soil resource; the resulting values were: phosphorus 2.45 ppm (deficient), nitrogen 0. 85 % (deficient), potassium 19.70 ppm (deficient), cation exchange capacity 5.28 Meq/100g (poor), pH 5.14 (acid), magnesium 0.82 Meq/100g (deficient), organic matter 1.</w:t>
      </w:r>
      <w:r w:rsidR="00D35DF4">
        <w:rPr>
          <w:rFonts w:cs="Arial"/>
          <w:szCs w:val="18"/>
          <w:lang w:eastAsia="es-PE"/>
        </w:rPr>
        <w:t>02</w:t>
      </w:r>
      <w:r w:rsidRPr="00AB7DE9">
        <w:rPr>
          <w:rFonts w:cs="Arial"/>
          <w:szCs w:val="18"/>
          <w:lang w:eastAsia="es-PE"/>
        </w:rPr>
        <w:t xml:space="preserve"> % (poor) and cadmium 5.74 ppm (high). (MINAN, 2017)</w:t>
      </w:r>
    </w:p>
    <w:p w14:paraId="0D6B6121" w14:textId="20E7140D" w:rsidR="00FF289A" w:rsidRDefault="00FF289A" w:rsidP="00FF289A">
      <w:pPr>
        <w:spacing w:line="276" w:lineRule="auto"/>
        <w:jc w:val="both"/>
        <w:rPr>
          <w:rFonts w:ascii="Arial" w:hAnsi="Arial" w:cs="Arial"/>
          <w:color w:val="FF0000"/>
          <w:sz w:val="18"/>
          <w:szCs w:val="18"/>
        </w:rPr>
      </w:pPr>
    </w:p>
    <w:p w14:paraId="5BF8F762" w14:textId="7937616F" w:rsidR="007021A8" w:rsidRDefault="007021A8" w:rsidP="00FF289A">
      <w:pPr>
        <w:spacing w:line="276" w:lineRule="auto"/>
        <w:jc w:val="both"/>
        <w:rPr>
          <w:rFonts w:ascii="Arial" w:hAnsi="Arial" w:cs="Arial"/>
          <w:color w:val="FF0000"/>
          <w:sz w:val="18"/>
          <w:szCs w:val="18"/>
        </w:rPr>
      </w:pPr>
    </w:p>
    <w:p w14:paraId="6B79F9FD" w14:textId="77777777" w:rsidR="00FF289A" w:rsidRPr="007021A8" w:rsidRDefault="00116A0B" w:rsidP="00973932">
      <w:pPr>
        <w:spacing w:after="0"/>
        <w:rPr>
          <w:rFonts w:ascii="Arial" w:hAnsi="Arial" w:cs="Arial"/>
          <w:bCs/>
          <w:i/>
          <w:sz w:val="18"/>
          <w:szCs w:val="18"/>
        </w:rPr>
      </w:pPr>
      <w:r w:rsidRPr="007021A8">
        <w:rPr>
          <w:rFonts w:ascii="Arial" w:hAnsi="Arial" w:cs="Arial"/>
          <w:bCs/>
          <w:i/>
          <w:iCs/>
          <w:sz w:val="18"/>
          <w:szCs w:val="18"/>
        </w:rPr>
        <w:lastRenderedPageBreak/>
        <w:t>Table 3</w:t>
      </w:r>
      <w:r w:rsidRPr="007021A8">
        <w:rPr>
          <w:rFonts w:ascii="Arial" w:hAnsi="Arial" w:cs="Arial"/>
          <w:bCs/>
          <w:sz w:val="18"/>
          <w:szCs w:val="18"/>
        </w:rPr>
        <w:t xml:space="preserve">: </w:t>
      </w:r>
      <w:r w:rsidRPr="007021A8">
        <w:rPr>
          <w:rFonts w:ascii="Arial" w:hAnsi="Arial" w:cs="Arial"/>
          <w:bCs/>
          <w:i/>
          <w:sz w:val="18"/>
          <w:szCs w:val="18"/>
        </w:rPr>
        <w:t>Analysis of soil physicochemical parameters with Cocos nucifera activated carbon.</w:t>
      </w:r>
    </w:p>
    <w:tbl>
      <w:tblPr>
        <w:tblpPr w:leftFromText="141" w:rightFromText="141" w:vertAnchor="text" w:horzAnchor="margin" w:tblpY="40"/>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9"/>
        <w:gridCol w:w="851"/>
        <w:gridCol w:w="992"/>
        <w:gridCol w:w="992"/>
        <w:gridCol w:w="993"/>
      </w:tblGrid>
      <w:tr w:rsidR="005947A2" w:rsidRPr="00AB7DE9" w14:paraId="702AFF97" w14:textId="77777777" w:rsidTr="00577ADB">
        <w:trPr>
          <w:trHeight w:val="262"/>
        </w:trPr>
        <w:tc>
          <w:tcPr>
            <w:tcW w:w="3959" w:type="dxa"/>
            <w:vMerge w:val="restart"/>
            <w:tcBorders>
              <w:top w:val="single" w:sz="8" w:space="0" w:color="00B050"/>
              <w:left w:val="single" w:sz="8" w:space="0" w:color="FFFFFF" w:themeColor="background1"/>
              <w:right w:val="single" w:sz="8" w:space="0" w:color="FFFFFF" w:themeColor="background1"/>
            </w:tcBorders>
            <w:shd w:val="clear" w:color="auto" w:fill="auto"/>
            <w:vAlign w:val="center"/>
          </w:tcPr>
          <w:p w14:paraId="4178584B"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Parameters</w:t>
            </w:r>
          </w:p>
        </w:tc>
        <w:tc>
          <w:tcPr>
            <w:tcW w:w="3828" w:type="dxa"/>
            <w:gridSpan w:val="4"/>
            <w:tcBorders>
              <w:top w:val="single" w:sz="8" w:space="0" w:color="00B050"/>
              <w:left w:val="single" w:sz="8" w:space="0" w:color="FFFFFF" w:themeColor="background1"/>
              <w:bottom w:val="single" w:sz="4" w:space="0" w:color="00B050"/>
              <w:right w:val="single" w:sz="8" w:space="0" w:color="FFFFFF" w:themeColor="background1"/>
            </w:tcBorders>
            <w:shd w:val="clear" w:color="auto" w:fill="auto"/>
            <w:vAlign w:val="center"/>
          </w:tcPr>
          <w:p w14:paraId="40E018FA"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Treatments</w:t>
            </w:r>
          </w:p>
        </w:tc>
      </w:tr>
      <w:tr w:rsidR="005947A2" w:rsidRPr="00AB7DE9" w14:paraId="08A1917C" w14:textId="77777777" w:rsidTr="00577ADB">
        <w:trPr>
          <w:trHeight w:val="420"/>
        </w:trPr>
        <w:tc>
          <w:tcPr>
            <w:tcW w:w="3959" w:type="dxa"/>
            <w:vMerge/>
            <w:tcBorders>
              <w:left w:val="single" w:sz="8" w:space="0" w:color="FFFFFF" w:themeColor="background1"/>
              <w:bottom w:val="single" w:sz="4" w:space="0" w:color="00B050"/>
              <w:right w:val="single" w:sz="8" w:space="0" w:color="FFFFFF" w:themeColor="background1"/>
            </w:tcBorders>
            <w:shd w:val="clear" w:color="auto" w:fill="auto"/>
            <w:vAlign w:val="center"/>
            <w:hideMark/>
          </w:tcPr>
          <w:p w14:paraId="3C9C3CB7" w14:textId="77777777" w:rsidR="00116A0B" w:rsidRPr="00AB7DE9" w:rsidRDefault="00116A0B" w:rsidP="00116A0B">
            <w:pPr>
              <w:spacing w:after="0" w:line="240" w:lineRule="auto"/>
              <w:rPr>
                <w:rFonts w:ascii="Arial" w:hAnsi="Arial" w:cs="Arial"/>
                <w:sz w:val="18"/>
                <w:szCs w:val="18"/>
                <w:lang w:eastAsia="es-PE"/>
              </w:rPr>
            </w:pPr>
          </w:p>
        </w:tc>
        <w:tc>
          <w:tcPr>
            <w:tcW w:w="851" w:type="dxa"/>
            <w:tcBorders>
              <w:top w:val="single" w:sz="4" w:space="0" w:color="00B050"/>
              <w:left w:val="single" w:sz="8" w:space="0" w:color="FFFFFF" w:themeColor="background1"/>
              <w:bottom w:val="single" w:sz="4" w:space="0" w:color="00B050"/>
              <w:right w:val="single" w:sz="8" w:space="0" w:color="FFFFFF" w:themeColor="background1"/>
            </w:tcBorders>
            <w:shd w:val="clear" w:color="auto" w:fill="auto"/>
            <w:vAlign w:val="center"/>
            <w:hideMark/>
          </w:tcPr>
          <w:p w14:paraId="50D211DF"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T1</w:t>
            </w:r>
            <w:r w:rsidRPr="00AB7DE9">
              <w:rPr>
                <w:rFonts w:ascii="Arial" w:hAnsi="Arial" w:cs="Arial"/>
                <w:sz w:val="18"/>
                <w:szCs w:val="18"/>
                <w:lang w:eastAsia="es-PE"/>
              </w:rPr>
              <w:br/>
              <w:t>Control</w:t>
            </w:r>
          </w:p>
        </w:tc>
        <w:tc>
          <w:tcPr>
            <w:tcW w:w="992" w:type="dxa"/>
            <w:tcBorders>
              <w:top w:val="single" w:sz="4" w:space="0" w:color="00B050"/>
              <w:left w:val="single" w:sz="8" w:space="0" w:color="FFFFFF" w:themeColor="background1"/>
              <w:bottom w:val="single" w:sz="4" w:space="0" w:color="00B050"/>
              <w:right w:val="single" w:sz="8" w:space="0" w:color="FFFFFF" w:themeColor="background1"/>
            </w:tcBorders>
            <w:shd w:val="clear" w:color="auto" w:fill="auto"/>
            <w:vAlign w:val="center"/>
            <w:hideMark/>
          </w:tcPr>
          <w:p w14:paraId="2604663D"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T2</w:t>
            </w:r>
            <w:r w:rsidRPr="00AB7DE9">
              <w:rPr>
                <w:rFonts w:ascii="Arial" w:hAnsi="Arial" w:cs="Arial"/>
                <w:sz w:val="18"/>
                <w:szCs w:val="18"/>
                <w:lang w:eastAsia="es-PE"/>
              </w:rPr>
              <w:br/>
              <w:t>CA: 100g</w:t>
            </w:r>
          </w:p>
        </w:tc>
        <w:tc>
          <w:tcPr>
            <w:tcW w:w="992" w:type="dxa"/>
            <w:tcBorders>
              <w:top w:val="single" w:sz="4" w:space="0" w:color="00B050"/>
              <w:left w:val="single" w:sz="8" w:space="0" w:color="FFFFFF" w:themeColor="background1"/>
              <w:bottom w:val="single" w:sz="4" w:space="0" w:color="00B050"/>
              <w:right w:val="single" w:sz="8" w:space="0" w:color="FFFFFF" w:themeColor="background1"/>
            </w:tcBorders>
            <w:shd w:val="clear" w:color="auto" w:fill="auto"/>
            <w:vAlign w:val="center"/>
            <w:hideMark/>
          </w:tcPr>
          <w:p w14:paraId="11D2FDEA"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T3</w:t>
            </w:r>
            <w:r w:rsidRPr="00AB7DE9">
              <w:rPr>
                <w:rFonts w:ascii="Arial" w:hAnsi="Arial" w:cs="Arial"/>
                <w:sz w:val="18"/>
                <w:szCs w:val="18"/>
                <w:lang w:eastAsia="es-PE"/>
              </w:rPr>
              <w:br/>
              <w:t>CA: 200g</w:t>
            </w:r>
          </w:p>
        </w:tc>
        <w:tc>
          <w:tcPr>
            <w:tcW w:w="993" w:type="dxa"/>
            <w:tcBorders>
              <w:top w:val="single" w:sz="4" w:space="0" w:color="00B050"/>
              <w:left w:val="single" w:sz="8" w:space="0" w:color="FFFFFF" w:themeColor="background1"/>
              <w:bottom w:val="single" w:sz="4" w:space="0" w:color="00B050"/>
              <w:right w:val="single" w:sz="8" w:space="0" w:color="FFFFFF" w:themeColor="background1"/>
            </w:tcBorders>
            <w:shd w:val="clear" w:color="auto" w:fill="auto"/>
            <w:vAlign w:val="center"/>
            <w:hideMark/>
          </w:tcPr>
          <w:p w14:paraId="6663C5FC"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T4</w:t>
            </w:r>
          </w:p>
          <w:p w14:paraId="1CAF356E"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CA: 300g</w:t>
            </w:r>
          </w:p>
        </w:tc>
      </w:tr>
      <w:tr w:rsidR="005947A2" w:rsidRPr="00AB7DE9" w14:paraId="5FE1074C" w14:textId="77777777" w:rsidTr="00B11644">
        <w:trPr>
          <w:trHeight w:val="275"/>
        </w:trPr>
        <w:tc>
          <w:tcPr>
            <w:tcW w:w="3959" w:type="dxa"/>
            <w:tcBorders>
              <w:top w:val="single" w:sz="4" w:space="0" w:color="00B050"/>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3956F154"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val="es-PE"/>
              </w:rPr>
              <w:t>Phosphorus (ppm)</w:t>
            </w:r>
          </w:p>
        </w:tc>
        <w:tc>
          <w:tcPr>
            <w:tcW w:w="851" w:type="dxa"/>
            <w:tcBorders>
              <w:top w:val="single" w:sz="4" w:space="0" w:color="00B050"/>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774EE98"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2.45</w:t>
            </w:r>
          </w:p>
        </w:tc>
        <w:tc>
          <w:tcPr>
            <w:tcW w:w="992" w:type="dxa"/>
            <w:tcBorders>
              <w:top w:val="single" w:sz="4" w:space="0" w:color="00B050"/>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3BF21735"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4.52</w:t>
            </w:r>
          </w:p>
        </w:tc>
        <w:tc>
          <w:tcPr>
            <w:tcW w:w="992" w:type="dxa"/>
            <w:tcBorders>
              <w:top w:val="single" w:sz="4" w:space="0" w:color="00B050"/>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1712BDD"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5.45</w:t>
            </w:r>
          </w:p>
        </w:tc>
        <w:tc>
          <w:tcPr>
            <w:tcW w:w="993" w:type="dxa"/>
            <w:tcBorders>
              <w:top w:val="single" w:sz="4" w:space="0" w:color="00B050"/>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7DAC8E6E"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9.95</w:t>
            </w:r>
          </w:p>
        </w:tc>
      </w:tr>
      <w:tr w:rsidR="005947A2" w:rsidRPr="00AB7DE9" w14:paraId="296D9DC4" w14:textId="77777777" w:rsidTr="00B11644">
        <w:trPr>
          <w:trHeight w:val="254"/>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6E1D9D5"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Nitrogen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6E9772"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bCs/>
                <w:sz w:val="18"/>
                <w:szCs w:val="18"/>
                <w:lang w:eastAsia="es-PE"/>
              </w:rPr>
              <w:t>0.85</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7AB4CCCC" w14:textId="77777777" w:rsidR="00116A0B" w:rsidRPr="00AB7DE9" w:rsidRDefault="00116A0B" w:rsidP="00116A0B">
            <w:pPr>
              <w:spacing w:after="0" w:line="240" w:lineRule="auto"/>
              <w:jc w:val="center"/>
              <w:rPr>
                <w:rFonts w:ascii="Arial" w:hAnsi="Arial" w:cs="Arial"/>
                <w:bCs/>
                <w:sz w:val="18"/>
                <w:szCs w:val="18"/>
                <w:lang w:eastAsia="es-PE"/>
              </w:rPr>
            </w:pPr>
            <w:r w:rsidRPr="00AB7DE9">
              <w:rPr>
                <w:rFonts w:ascii="Arial" w:hAnsi="Arial" w:cs="Arial"/>
                <w:bCs/>
                <w:sz w:val="18"/>
                <w:szCs w:val="18"/>
                <w:lang w:eastAsia="es-PE"/>
              </w:rPr>
              <w:t>1.15</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521ACE4" w14:textId="77777777" w:rsidR="00116A0B" w:rsidRPr="00AB7DE9" w:rsidRDefault="00116A0B" w:rsidP="00116A0B">
            <w:pPr>
              <w:spacing w:after="0" w:line="240" w:lineRule="auto"/>
              <w:jc w:val="center"/>
              <w:rPr>
                <w:rFonts w:ascii="Arial" w:hAnsi="Arial" w:cs="Arial"/>
                <w:bCs/>
                <w:sz w:val="18"/>
                <w:szCs w:val="18"/>
                <w:lang w:eastAsia="es-PE"/>
              </w:rPr>
            </w:pPr>
            <w:r w:rsidRPr="00AB7DE9">
              <w:rPr>
                <w:rFonts w:ascii="Arial" w:hAnsi="Arial" w:cs="Arial"/>
                <w:bCs/>
                <w:sz w:val="18"/>
                <w:szCs w:val="18"/>
                <w:lang w:eastAsia="es-PE"/>
              </w:rPr>
              <w:t>1.84</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77F26730" w14:textId="77777777" w:rsidR="00116A0B" w:rsidRPr="00AB7DE9" w:rsidRDefault="00116A0B" w:rsidP="00116A0B">
            <w:pPr>
              <w:spacing w:after="0" w:line="240" w:lineRule="auto"/>
              <w:jc w:val="center"/>
              <w:rPr>
                <w:rFonts w:ascii="Arial" w:hAnsi="Arial" w:cs="Arial"/>
                <w:bCs/>
                <w:sz w:val="18"/>
                <w:szCs w:val="18"/>
                <w:lang w:eastAsia="es-PE"/>
              </w:rPr>
            </w:pPr>
            <w:r w:rsidRPr="00AB7DE9">
              <w:rPr>
                <w:rFonts w:ascii="Arial" w:hAnsi="Arial" w:cs="Arial"/>
                <w:bCs/>
                <w:sz w:val="18"/>
                <w:szCs w:val="18"/>
                <w:lang w:eastAsia="es-PE"/>
              </w:rPr>
              <w:t>2.78</w:t>
            </w:r>
          </w:p>
        </w:tc>
      </w:tr>
      <w:tr w:rsidR="005947A2" w:rsidRPr="00AB7DE9" w14:paraId="259CFCCC" w14:textId="77777777" w:rsidTr="00B11644">
        <w:trPr>
          <w:trHeight w:val="259"/>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6D4A2F75"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Potassium (ppm)</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0B91BD"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19.70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0E2F1C7"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28.8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3D622B45"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39.7</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7A22D6F2"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48.4</w:t>
            </w:r>
          </w:p>
        </w:tc>
      </w:tr>
      <w:tr w:rsidR="005947A2" w:rsidRPr="00AB7DE9" w14:paraId="6F1FA679" w14:textId="77777777" w:rsidTr="00266F5D">
        <w:trPr>
          <w:trHeight w:val="278"/>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D85FE31" w14:textId="10DACF01" w:rsidR="00116A0B" w:rsidRPr="00AB7DE9" w:rsidRDefault="00116A0B" w:rsidP="00266F5D">
            <w:pPr>
              <w:spacing w:after="0" w:line="240" w:lineRule="auto"/>
              <w:rPr>
                <w:rFonts w:ascii="Arial" w:hAnsi="Arial" w:cs="Arial"/>
                <w:sz w:val="18"/>
                <w:szCs w:val="18"/>
                <w:lang w:eastAsia="es-PE"/>
              </w:rPr>
            </w:pPr>
            <w:r w:rsidRPr="00AB7DE9">
              <w:rPr>
                <w:rFonts w:ascii="Arial" w:hAnsi="Arial" w:cs="Arial"/>
                <w:sz w:val="18"/>
                <w:szCs w:val="18"/>
                <w:lang w:eastAsia="es-PE"/>
              </w:rPr>
              <w:t>Cation exchange capacity</w:t>
            </w:r>
            <w:r w:rsidR="00266F5D">
              <w:rPr>
                <w:rFonts w:ascii="Arial" w:hAnsi="Arial" w:cs="Arial"/>
                <w:sz w:val="18"/>
                <w:szCs w:val="18"/>
                <w:lang w:eastAsia="es-PE"/>
              </w:rPr>
              <w:t xml:space="preserve"> </w:t>
            </w:r>
            <w:r w:rsidRPr="00AB7DE9">
              <w:rPr>
                <w:rFonts w:ascii="Arial" w:hAnsi="Arial" w:cs="Arial"/>
                <w:sz w:val="18"/>
                <w:szCs w:val="18"/>
                <w:lang w:eastAsia="es-PE"/>
              </w:rPr>
              <w:t xml:space="preserve">(Meq/100g)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87577C9"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5.28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4D815FFE"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9.47</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774C646B"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15.25</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48B55235"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21.8</w:t>
            </w:r>
          </w:p>
        </w:tc>
      </w:tr>
      <w:tr w:rsidR="005947A2" w:rsidRPr="00AB7DE9" w14:paraId="5C93EA29" w14:textId="77777777" w:rsidTr="00B11644">
        <w:trPr>
          <w:trHeight w:val="268"/>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C426D63"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pH</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B6B4B81"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5.14</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2E3C53DA"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6.18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B69B0AE"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6.88</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0ABDEED"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7.33</w:t>
            </w:r>
          </w:p>
        </w:tc>
      </w:tr>
      <w:tr w:rsidR="005947A2" w:rsidRPr="00AB7DE9" w14:paraId="5768ED01" w14:textId="77777777" w:rsidTr="00B11644">
        <w:trPr>
          <w:trHeight w:val="271"/>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318B0C5A"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Magnesium (Meq/100g)</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E659563"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0.82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5A20D5BF"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38B4F7F9"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2.4</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1199E167"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2.8</w:t>
            </w:r>
          </w:p>
        </w:tc>
      </w:tr>
      <w:tr w:rsidR="005947A2" w:rsidRPr="00AB7DE9" w14:paraId="5C235C24" w14:textId="77777777" w:rsidTr="00B11644">
        <w:trPr>
          <w:trHeight w:val="248"/>
        </w:trPr>
        <w:tc>
          <w:tcPr>
            <w:tcW w:w="3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6F592F3B"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Organic matter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B75CB8A"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1.02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010E5690"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1.21</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1E1B753B"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1.74</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tcPr>
          <w:p w14:paraId="1E6D24A4"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2.28</w:t>
            </w:r>
          </w:p>
        </w:tc>
      </w:tr>
      <w:tr w:rsidR="005947A2" w:rsidRPr="00AB7DE9" w14:paraId="57859A89" w14:textId="77777777" w:rsidTr="00577ADB">
        <w:trPr>
          <w:trHeight w:val="391"/>
        </w:trPr>
        <w:tc>
          <w:tcPr>
            <w:tcW w:w="3959" w:type="dxa"/>
            <w:tcBorders>
              <w:top w:val="single" w:sz="8" w:space="0" w:color="FFFFFF" w:themeColor="background1"/>
              <w:left w:val="single" w:sz="8" w:space="0" w:color="FFFFFF" w:themeColor="background1"/>
              <w:bottom w:val="single" w:sz="4" w:space="0" w:color="00B050"/>
              <w:right w:val="single" w:sz="8" w:space="0" w:color="FFFFFF" w:themeColor="background1"/>
            </w:tcBorders>
            <w:shd w:val="clear" w:color="auto" w:fill="auto"/>
            <w:noWrap/>
            <w:vAlign w:val="center"/>
          </w:tcPr>
          <w:p w14:paraId="5392A7E2" w14:textId="77777777" w:rsidR="00116A0B" w:rsidRPr="00AB7DE9" w:rsidRDefault="00116A0B" w:rsidP="00116A0B">
            <w:pPr>
              <w:spacing w:after="0" w:line="240" w:lineRule="auto"/>
              <w:rPr>
                <w:rFonts w:ascii="Arial" w:hAnsi="Arial" w:cs="Arial"/>
                <w:sz w:val="18"/>
                <w:szCs w:val="18"/>
                <w:lang w:eastAsia="es-PE"/>
              </w:rPr>
            </w:pPr>
            <w:r w:rsidRPr="00AB7DE9">
              <w:rPr>
                <w:rFonts w:ascii="Arial" w:hAnsi="Arial" w:cs="Arial"/>
                <w:sz w:val="18"/>
                <w:szCs w:val="18"/>
                <w:lang w:eastAsia="es-PE"/>
              </w:rPr>
              <w:t>Cadmium (ppm)</w:t>
            </w:r>
          </w:p>
        </w:tc>
        <w:tc>
          <w:tcPr>
            <w:tcW w:w="851" w:type="dxa"/>
            <w:tcBorders>
              <w:top w:val="single" w:sz="4" w:space="0" w:color="FFFFFF" w:themeColor="background1"/>
              <w:left w:val="single" w:sz="4" w:space="0" w:color="FFFFFF" w:themeColor="background1"/>
              <w:bottom w:val="single" w:sz="4" w:space="0" w:color="00B050"/>
              <w:right w:val="single" w:sz="4" w:space="0" w:color="FFFFFF" w:themeColor="background1"/>
            </w:tcBorders>
            <w:shd w:val="clear" w:color="auto" w:fill="auto"/>
            <w:noWrap/>
            <w:vAlign w:val="center"/>
          </w:tcPr>
          <w:p w14:paraId="3C3F6052"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5.74</w:t>
            </w:r>
          </w:p>
        </w:tc>
        <w:tc>
          <w:tcPr>
            <w:tcW w:w="992" w:type="dxa"/>
            <w:tcBorders>
              <w:top w:val="single" w:sz="8" w:space="0" w:color="FFFFFF" w:themeColor="background1"/>
              <w:left w:val="single" w:sz="8" w:space="0" w:color="FFFFFF" w:themeColor="background1"/>
              <w:bottom w:val="single" w:sz="4" w:space="0" w:color="00B050"/>
              <w:right w:val="single" w:sz="8" w:space="0" w:color="FFFFFF" w:themeColor="background1"/>
            </w:tcBorders>
            <w:shd w:val="clear" w:color="auto" w:fill="auto"/>
            <w:noWrap/>
            <w:vAlign w:val="center"/>
          </w:tcPr>
          <w:p w14:paraId="665EEDBF"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3.01</w:t>
            </w:r>
          </w:p>
        </w:tc>
        <w:tc>
          <w:tcPr>
            <w:tcW w:w="992" w:type="dxa"/>
            <w:tcBorders>
              <w:top w:val="single" w:sz="8" w:space="0" w:color="FFFFFF" w:themeColor="background1"/>
              <w:left w:val="single" w:sz="8" w:space="0" w:color="FFFFFF" w:themeColor="background1"/>
              <w:bottom w:val="single" w:sz="4" w:space="0" w:color="00B050"/>
              <w:right w:val="single" w:sz="8" w:space="0" w:color="FFFFFF" w:themeColor="background1"/>
            </w:tcBorders>
            <w:shd w:val="clear" w:color="auto" w:fill="auto"/>
            <w:noWrap/>
            <w:vAlign w:val="center"/>
          </w:tcPr>
          <w:p w14:paraId="62D3AEEC" w14:textId="77777777"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2.18</w:t>
            </w:r>
          </w:p>
        </w:tc>
        <w:tc>
          <w:tcPr>
            <w:tcW w:w="993" w:type="dxa"/>
            <w:tcBorders>
              <w:top w:val="single" w:sz="8" w:space="0" w:color="FFFFFF" w:themeColor="background1"/>
              <w:left w:val="single" w:sz="8" w:space="0" w:color="FFFFFF" w:themeColor="background1"/>
              <w:bottom w:val="single" w:sz="4" w:space="0" w:color="00B050"/>
              <w:right w:val="single" w:sz="8" w:space="0" w:color="FFFFFF" w:themeColor="background1"/>
            </w:tcBorders>
            <w:shd w:val="clear" w:color="auto" w:fill="auto"/>
            <w:noWrap/>
            <w:vAlign w:val="center"/>
          </w:tcPr>
          <w:p w14:paraId="6DEA7B35" w14:textId="41D6D116" w:rsidR="00116A0B" w:rsidRPr="00AB7DE9" w:rsidRDefault="00116A0B" w:rsidP="00116A0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1.2</w:t>
            </w:r>
          </w:p>
        </w:tc>
      </w:tr>
    </w:tbl>
    <w:p w14:paraId="3B866465" w14:textId="77777777" w:rsidR="00116A0B" w:rsidRPr="00AB7DE9" w:rsidRDefault="00116A0B" w:rsidP="00346AD4">
      <w:pPr>
        <w:rPr>
          <w:rFonts w:ascii="Arial" w:hAnsi="Arial" w:cs="Arial"/>
          <w:b/>
          <w:sz w:val="18"/>
          <w:szCs w:val="18"/>
        </w:rPr>
      </w:pPr>
    </w:p>
    <w:p w14:paraId="2DC63C60" w14:textId="77777777" w:rsidR="00116A0B" w:rsidRPr="00AB7DE9" w:rsidRDefault="00116A0B" w:rsidP="00346AD4">
      <w:pPr>
        <w:rPr>
          <w:rFonts w:ascii="Arial" w:hAnsi="Arial" w:cs="Arial"/>
          <w:b/>
          <w:sz w:val="18"/>
          <w:szCs w:val="18"/>
        </w:rPr>
      </w:pPr>
    </w:p>
    <w:p w14:paraId="290705DE" w14:textId="77777777" w:rsidR="00116A0B" w:rsidRPr="00AB7DE9" w:rsidRDefault="00116A0B" w:rsidP="00346AD4">
      <w:pPr>
        <w:rPr>
          <w:rFonts w:ascii="Arial" w:hAnsi="Arial" w:cs="Arial"/>
          <w:b/>
          <w:sz w:val="18"/>
          <w:szCs w:val="18"/>
        </w:rPr>
      </w:pPr>
    </w:p>
    <w:p w14:paraId="0D78EB12" w14:textId="77777777" w:rsidR="00116A0B" w:rsidRPr="00AB7DE9" w:rsidRDefault="00116A0B" w:rsidP="00346AD4">
      <w:pPr>
        <w:rPr>
          <w:rFonts w:ascii="Arial" w:hAnsi="Arial" w:cs="Arial"/>
          <w:b/>
          <w:sz w:val="18"/>
          <w:szCs w:val="18"/>
        </w:rPr>
      </w:pPr>
    </w:p>
    <w:p w14:paraId="72DEC7B6" w14:textId="77777777" w:rsidR="00116A0B" w:rsidRPr="00AB7DE9" w:rsidRDefault="00116A0B" w:rsidP="00346AD4">
      <w:pPr>
        <w:rPr>
          <w:rFonts w:ascii="Arial" w:hAnsi="Arial" w:cs="Arial"/>
          <w:b/>
          <w:sz w:val="18"/>
          <w:szCs w:val="18"/>
        </w:rPr>
      </w:pPr>
    </w:p>
    <w:p w14:paraId="67A07778" w14:textId="77777777" w:rsidR="00116A0B" w:rsidRPr="00AB7DE9" w:rsidRDefault="00116A0B" w:rsidP="00346AD4">
      <w:pPr>
        <w:rPr>
          <w:rFonts w:ascii="Arial" w:hAnsi="Arial" w:cs="Arial"/>
          <w:b/>
          <w:sz w:val="18"/>
          <w:szCs w:val="18"/>
        </w:rPr>
      </w:pPr>
    </w:p>
    <w:p w14:paraId="1214153B" w14:textId="77777777" w:rsidR="00116A0B" w:rsidRPr="00AB7DE9" w:rsidRDefault="00116A0B" w:rsidP="00346AD4">
      <w:pPr>
        <w:rPr>
          <w:rFonts w:ascii="Arial" w:hAnsi="Arial" w:cs="Arial"/>
          <w:b/>
          <w:sz w:val="18"/>
          <w:szCs w:val="18"/>
        </w:rPr>
      </w:pPr>
    </w:p>
    <w:p w14:paraId="277F3BB9" w14:textId="77777777" w:rsidR="00116A0B" w:rsidRPr="00AB7DE9" w:rsidRDefault="00116A0B" w:rsidP="00346AD4">
      <w:pPr>
        <w:rPr>
          <w:rFonts w:ascii="Arial" w:hAnsi="Arial" w:cs="Arial"/>
          <w:b/>
          <w:sz w:val="18"/>
          <w:szCs w:val="18"/>
        </w:rPr>
      </w:pPr>
    </w:p>
    <w:p w14:paraId="030FF5F2" w14:textId="77777777" w:rsidR="00266F5D" w:rsidRDefault="00266F5D" w:rsidP="00C67EE6">
      <w:pPr>
        <w:pStyle w:val="CETBodytext"/>
        <w:rPr>
          <w:rFonts w:eastAsiaTheme="minorHAnsi" w:cs="Arial"/>
          <w:szCs w:val="18"/>
        </w:rPr>
      </w:pPr>
    </w:p>
    <w:p w14:paraId="3BEBEED5" w14:textId="78482713" w:rsidR="007021A8" w:rsidRPr="005202A2" w:rsidRDefault="0066013A" w:rsidP="00C67EE6">
      <w:pPr>
        <w:pStyle w:val="CETBodytext"/>
        <w:rPr>
          <w:rFonts w:eastAsiaTheme="minorHAnsi" w:cs="Arial"/>
          <w:szCs w:val="18"/>
          <w:lang w:val="en-GB"/>
        </w:rPr>
      </w:pPr>
      <w:r w:rsidRPr="0066013A">
        <w:rPr>
          <w:rFonts w:eastAsiaTheme="minorHAnsi" w:cs="Arial"/>
          <w:szCs w:val="18"/>
        </w:rPr>
        <w:t xml:space="preserve">The physicochemical study was carried out on a soil sample with activated carbon treatment of </w:t>
      </w:r>
      <w:r w:rsidRPr="00A01BC4">
        <w:rPr>
          <w:rFonts w:eastAsiaTheme="minorHAnsi" w:cs="Arial"/>
          <w:i/>
          <w:iCs/>
          <w:szCs w:val="18"/>
        </w:rPr>
        <w:t>Cocos nucifera</w:t>
      </w:r>
      <w:r w:rsidRPr="0066013A">
        <w:rPr>
          <w:rFonts w:eastAsiaTheme="minorHAnsi" w:cs="Arial"/>
          <w:szCs w:val="18"/>
        </w:rPr>
        <w:t xml:space="preserve"> at different concentrations, it is observed that T4 (CA: 300 g) improved the parameters of phosphorus 9.95 ppm, nitrogen 2.78%, potassium 48.4 ppm, cation exchange capacity 21.8 Meq/100g, pH 7.33, magnesium 2.8 Meq/100g, organic matter 2.28% and the cadmium level decreased to 1.2 ppm.</w:t>
      </w:r>
      <w:r w:rsidR="0083464E">
        <w:rPr>
          <w:rFonts w:eastAsiaTheme="minorHAnsi" w:cs="Arial"/>
          <w:szCs w:val="18"/>
        </w:rPr>
        <w:t xml:space="preserve"> </w:t>
      </w:r>
      <w:r w:rsidR="005202A2" w:rsidRPr="005202A2">
        <w:rPr>
          <w:rFonts w:eastAsiaTheme="minorHAnsi" w:cs="Arial"/>
          <w:szCs w:val="18"/>
          <w:lang w:val="en-GB"/>
        </w:rPr>
        <w:t>The use of activated carbon is an efficient and economical alternative to recover contaminated soils (López et al., 2019); the method contributes to the use of by-products to generate added value that minimizes negative impacts on the environment (</w:t>
      </w:r>
      <w:r w:rsidR="005202A2" w:rsidRPr="005202A2">
        <w:rPr>
          <w:lang w:val="en-GB"/>
        </w:rPr>
        <w:t>Mallick and Mohanty, 2019</w:t>
      </w:r>
      <w:r w:rsidR="005202A2" w:rsidRPr="005202A2">
        <w:rPr>
          <w:rFonts w:eastAsiaTheme="minorHAnsi" w:cs="Arial"/>
          <w:szCs w:val="18"/>
          <w:lang w:val="en-GB"/>
        </w:rPr>
        <w:t>)</w:t>
      </w:r>
    </w:p>
    <w:p w14:paraId="23CCA482" w14:textId="1458C100" w:rsidR="0066013A" w:rsidRPr="005202A2" w:rsidRDefault="0066013A" w:rsidP="00C67EE6">
      <w:pPr>
        <w:pStyle w:val="CETBodytext"/>
        <w:rPr>
          <w:rFonts w:eastAsiaTheme="minorHAnsi" w:cs="Arial"/>
          <w:szCs w:val="18"/>
          <w:lang w:val="en-GB"/>
        </w:rPr>
      </w:pPr>
    </w:p>
    <w:p w14:paraId="721C6BE8" w14:textId="4622541F" w:rsidR="00AD5AE1" w:rsidRPr="00474156" w:rsidRDefault="00AD5AE1" w:rsidP="00474156">
      <w:pPr>
        <w:pStyle w:val="CETBodytext"/>
        <w:tabs>
          <w:tab w:val="clear" w:pos="7100"/>
          <w:tab w:val="left" w:pos="284"/>
        </w:tabs>
        <w:jc w:val="left"/>
        <w:rPr>
          <w:i/>
          <w:iCs/>
          <w:lang w:val="en-GB"/>
        </w:rPr>
      </w:pPr>
      <w:r w:rsidRPr="006B19C4">
        <w:rPr>
          <w:i/>
          <w:iCs/>
          <w:lang w:val="en-GB"/>
        </w:rPr>
        <w:t>Tabl</w:t>
      </w:r>
      <w:r w:rsidR="006B19C4" w:rsidRPr="006B19C4">
        <w:rPr>
          <w:i/>
          <w:iCs/>
          <w:lang w:val="en-GB"/>
        </w:rPr>
        <w:t>e</w:t>
      </w:r>
      <w:r w:rsidRPr="006B19C4">
        <w:rPr>
          <w:i/>
          <w:iCs/>
          <w:lang w:val="en-GB"/>
        </w:rPr>
        <w:t xml:space="preserve"> 4: </w:t>
      </w:r>
      <w:r w:rsidR="006B19C4" w:rsidRPr="006B19C4">
        <w:rPr>
          <w:rFonts w:cs="Arial"/>
          <w:i/>
          <w:iCs/>
          <w:lang w:val="en-GB"/>
        </w:rPr>
        <w:t>Duncan's multiple comparison test for significant differences between treatments</w:t>
      </w:r>
      <w:r w:rsidRPr="006B19C4">
        <w:rPr>
          <w:rFonts w:cs="Arial"/>
          <w:i/>
          <w:iCs/>
          <w:lang w:val="en-GB"/>
        </w:rPr>
        <w:t>.</w:t>
      </w:r>
    </w:p>
    <w:tbl>
      <w:tblPr>
        <w:tblW w:w="7994" w:type="dxa"/>
        <w:tblInd w:w="-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CellMar>
          <w:left w:w="70" w:type="dxa"/>
          <w:right w:w="70" w:type="dxa"/>
        </w:tblCellMar>
        <w:tblLook w:val="04A0" w:firstRow="1" w:lastRow="0" w:firstColumn="1" w:lastColumn="0" w:noHBand="0" w:noVBand="1"/>
      </w:tblPr>
      <w:tblGrid>
        <w:gridCol w:w="2914"/>
        <w:gridCol w:w="1756"/>
        <w:gridCol w:w="1425"/>
        <w:gridCol w:w="1899"/>
      </w:tblGrid>
      <w:tr w:rsidR="00AD5AE1" w:rsidRPr="00F04506" w14:paraId="79766E16" w14:textId="77777777" w:rsidTr="00973932">
        <w:trPr>
          <w:trHeight w:val="140"/>
        </w:trPr>
        <w:tc>
          <w:tcPr>
            <w:tcW w:w="7994" w:type="dxa"/>
            <w:gridSpan w:val="4"/>
            <w:tcBorders>
              <w:top w:val="single" w:sz="2" w:space="0" w:color="00B050"/>
              <w:left w:val="single" w:sz="6" w:space="0" w:color="FFFFFF" w:themeColor="background1"/>
              <w:bottom w:val="single" w:sz="6" w:space="0" w:color="00B050"/>
              <w:right w:val="single" w:sz="6" w:space="0" w:color="FFFFFF" w:themeColor="background1"/>
            </w:tcBorders>
            <w:shd w:val="clear" w:color="auto" w:fill="auto"/>
            <w:noWrap/>
            <w:vAlign w:val="bottom"/>
          </w:tcPr>
          <w:p w14:paraId="47649A0B" w14:textId="77777777" w:rsidR="00AD5AE1" w:rsidRPr="00AD5AE1" w:rsidRDefault="00AD5AE1" w:rsidP="00AD5AE1">
            <w:pPr>
              <w:spacing w:after="0" w:line="240" w:lineRule="auto"/>
              <w:jc w:val="center"/>
              <w:rPr>
                <w:rFonts w:ascii="Arial" w:hAnsi="Arial" w:cs="Arial"/>
                <w:noProof/>
                <w:lang w:eastAsia="es-PE"/>
              </w:rPr>
            </w:pPr>
            <w:r w:rsidRPr="00AD5AE1">
              <w:rPr>
                <w:rFonts w:ascii="Arial" w:hAnsi="Arial" w:cs="Arial"/>
                <w:noProof/>
                <w:sz w:val="18"/>
                <w:szCs w:val="18"/>
                <w:lang w:eastAsia="es-PE"/>
              </w:rPr>
              <w:t>Duncans honestly significant difference α = 0.05</w:t>
            </w:r>
          </w:p>
        </w:tc>
      </w:tr>
      <w:tr w:rsidR="00AD5AE1" w:rsidRPr="004C0E65" w14:paraId="5D176EE0" w14:textId="77777777" w:rsidTr="00AD5AE1">
        <w:trPr>
          <w:trHeight w:val="314"/>
        </w:trPr>
        <w:tc>
          <w:tcPr>
            <w:tcW w:w="2914"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4F6A36E1" w14:textId="77777777" w:rsidR="00AD5AE1" w:rsidRPr="00AD5AE1" w:rsidRDefault="00AD5AE1" w:rsidP="00AD5AE1">
            <w:pPr>
              <w:spacing w:after="0" w:line="240" w:lineRule="auto"/>
              <w:rPr>
                <w:rFonts w:ascii="Arial" w:hAnsi="Arial" w:cs="Arial"/>
                <w:sz w:val="18"/>
                <w:szCs w:val="18"/>
                <w:lang w:eastAsia="es-PE"/>
              </w:rPr>
            </w:pPr>
            <w:r w:rsidRPr="00AD5AE1">
              <w:rPr>
                <w:rFonts w:ascii="Arial" w:hAnsi="Arial" w:cs="Arial"/>
                <w:sz w:val="18"/>
                <w:szCs w:val="18"/>
                <w:lang w:eastAsia="es-PE"/>
              </w:rPr>
              <w:t>T</w:t>
            </w:r>
            <w:r w:rsidRPr="00AD5AE1">
              <w:rPr>
                <w:rFonts w:ascii="Arial" w:hAnsi="Arial" w:cs="Arial"/>
                <w:sz w:val="18"/>
                <w:szCs w:val="18"/>
                <w:vertAlign w:val="subscript"/>
                <w:lang w:eastAsia="es-PE"/>
              </w:rPr>
              <w:t>i</w:t>
            </w:r>
            <w:r w:rsidRPr="00AD5AE1">
              <w:rPr>
                <w:rFonts w:ascii="Arial" w:hAnsi="Arial" w:cs="Arial"/>
                <w:sz w:val="18"/>
                <w:szCs w:val="18"/>
                <w:lang w:eastAsia="es-PE"/>
              </w:rPr>
              <w:t xml:space="preserve"> – T</w:t>
            </w:r>
            <w:r w:rsidRPr="00AD5AE1">
              <w:rPr>
                <w:rFonts w:ascii="Arial" w:hAnsi="Arial" w:cs="Arial"/>
                <w:sz w:val="18"/>
                <w:szCs w:val="18"/>
                <w:vertAlign w:val="subscript"/>
                <w:lang w:eastAsia="es-PE"/>
              </w:rPr>
              <w:t>j</w:t>
            </w:r>
          </w:p>
        </w:tc>
        <w:tc>
          <w:tcPr>
            <w:tcW w:w="1756"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38C83D5D"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noProof/>
                <w:sz w:val="18"/>
                <w:szCs w:val="18"/>
              </w:rPr>
              <w:drawing>
                <wp:inline distT="0" distB="0" distL="0" distR="0" wp14:anchorId="08A23FD8" wp14:editId="5377F3BF">
                  <wp:extent cx="609600" cy="281940"/>
                  <wp:effectExtent l="0" t="0" r="0" b="3810"/>
                  <wp:docPr id="1898" name="Imagen 1898">
                    <a:extLst xmlns:a="http://schemas.openxmlformats.org/drawingml/2006/main">
                      <a:ext uri="{FF2B5EF4-FFF2-40B4-BE49-F238E27FC236}">
                        <a16:creationId xmlns:a16="http://schemas.microsoft.com/office/drawing/2014/main" id="{6EA8DA1B-9619-4985-A52B-D7D33729770C}"/>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FF2B5EF4-FFF2-40B4-BE49-F238E27FC236}">
                                <a16:creationId xmlns:a16="http://schemas.microsoft.com/office/drawing/2014/main" id="{6EA8DA1B-9619-4985-A52B-D7D33729770C}"/>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9600" cy="281940"/>
                          </a:xfrm>
                          <a:prstGeom prst="rect">
                            <a:avLst/>
                          </a:prstGeom>
                        </pic:spPr>
                      </pic:pic>
                    </a:graphicData>
                  </a:graphic>
                </wp:inline>
              </w:drawing>
            </w:r>
          </w:p>
        </w:tc>
        <w:tc>
          <w:tcPr>
            <w:tcW w:w="1425"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74E6FAA3"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i/>
                <w:iCs/>
                <w:sz w:val="18"/>
                <w:szCs w:val="18"/>
                <w:lang w:eastAsia="es-PE"/>
              </w:rPr>
              <w:t>w</w:t>
            </w:r>
          </w:p>
        </w:tc>
        <w:tc>
          <w:tcPr>
            <w:tcW w:w="1899"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5C2A47F5"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noProof/>
                <w:sz w:val="18"/>
                <w:szCs w:val="18"/>
              </w:rPr>
              <w:drawing>
                <wp:inline distT="0" distB="0" distL="0" distR="0" wp14:anchorId="3BCEBBA8" wp14:editId="0501EAA3">
                  <wp:extent cx="1005840" cy="281940"/>
                  <wp:effectExtent l="0" t="0" r="3810" b="3810"/>
                  <wp:docPr id="1899" name="Imagen 1899">
                    <a:extLst xmlns:a="http://schemas.openxmlformats.org/drawingml/2006/main">
                      <a:ext uri="{FF2B5EF4-FFF2-40B4-BE49-F238E27FC236}">
                        <a16:creationId xmlns:a16="http://schemas.microsoft.com/office/drawing/2014/main" id="{4CAA97D5-9E5A-4B1A-A906-63C8E918577A}"/>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FF2B5EF4-FFF2-40B4-BE49-F238E27FC236}">
                                <a16:creationId xmlns:a16="http://schemas.microsoft.com/office/drawing/2014/main" id="{4CAA97D5-9E5A-4B1A-A906-63C8E918577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05840" cy="281940"/>
                          </a:xfrm>
                          <a:prstGeom prst="rect">
                            <a:avLst/>
                          </a:prstGeom>
                        </pic:spPr>
                      </pic:pic>
                    </a:graphicData>
                  </a:graphic>
                </wp:inline>
              </w:drawing>
            </w:r>
          </w:p>
        </w:tc>
      </w:tr>
      <w:tr w:rsidR="00AD5AE1" w:rsidRPr="004C0E65" w14:paraId="4DB4FE36" w14:textId="77777777" w:rsidTr="00AD5AE1">
        <w:trPr>
          <w:trHeight w:val="166"/>
        </w:trPr>
        <w:tc>
          <w:tcPr>
            <w:tcW w:w="2914"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67055E4A"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T2</w:t>
            </w:r>
          </w:p>
        </w:tc>
        <w:tc>
          <w:tcPr>
            <w:tcW w:w="1756"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53FF31B2" w14:textId="623E8262" w:rsidR="00AD5AE1" w:rsidRPr="00AD5AE1" w:rsidRDefault="00FB6C9B" w:rsidP="00AD5AE1">
            <w:pPr>
              <w:spacing w:after="0" w:line="240" w:lineRule="auto"/>
              <w:jc w:val="center"/>
              <w:rPr>
                <w:rFonts w:ascii="Arial" w:hAnsi="Arial" w:cs="Arial"/>
                <w:sz w:val="18"/>
                <w:szCs w:val="18"/>
                <w:lang w:eastAsia="es-PE"/>
              </w:rPr>
            </w:pPr>
            <w:r>
              <w:rPr>
                <w:rFonts w:ascii="Arial" w:hAnsi="Arial" w:cs="Arial"/>
                <w:color w:val="000000"/>
                <w:sz w:val="18"/>
                <w:szCs w:val="18"/>
                <w:lang w:eastAsia="es-PE"/>
              </w:rPr>
              <w:t>10</w:t>
            </w:r>
            <w:r w:rsidR="00AD5AE1" w:rsidRPr="00AD5AE1">
              <w:rPr>
                <w:rFonts w:ascii="Arial" w:hAnsi="Arial" w:cs="Arial"/>
                <w:color w:val="000000"/>
                <w:sz w:val="18"/>
                <w:szCs w:val="18"/>
                <w:lang w:eastAsia="es-PE"/>
              </w:rPr>
              <w:t>.</w:t>
            </w:r>
            <w:r>
              <w:rPr>
                <w:rFonts w:ascii="Arial" w:hAnsi="Arial" w:cs="Arial"/>
                <w:color w:val="000000"/>
                <w:sz w:val="18"/>
                <w:szCs w:val="18"/>
                <w:lang w:eastAsia="es-PE"/>
              </w:rPr>
              <w:t>451</w:t>
            </w:r>
          </w:p>
        </w:tc>
        <w:tc>
          <w:tcPr>
            <w:tcW w:w="1425"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0225A53" w14:textId="697354A4"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0.5</w:t>
            </w:r>
            <w:r w:rsidR="00FB6C9B">
              <w:rPr>
                <w:rFonts w:ascii="Arial" w:hAnsi="Arial" w:cs="Arial"/>
                <w:color w:val="000000"/>
                <w:sz w:val="18"/>
                <w:szCs w:val="18"/>
                <w:lang w:eastAsia="es-PE"/>
              </w:rPr>
              <w:t>518</w:t>
            </w:r>
          </w:p>
        </w:tc>
        <w:tc>
          <w:tcPr>
            <w:tcW w:w="1899"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40EFE1C4"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AD5AE1" w:rsidRPr="004C0E65" w14:paraId="0539D4D7" w14:textId="77777777" w:rsidTr="00AD5AE1">
        <w:trPr>
          <w:trHeight w:val="199"/>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338935F5"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T2 y T3</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31E7D7C3" w14:textId="28B617B5"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11.9</w:t>
            </w:r>
            <w:r w:rsidR="00FB6C9B">
              <w:rPr>
                <w:rFonts w:ascii="Arial" w:hAnsi="Arial" w:cs="Arial"/>
                <w:color w:val="000000"/>
                <w:sz w:val="18"/>
                <w:szCs w:val="18"/>
                <w:lang w:eastAsia="es-PE"/>
              </w:rPr>
              <w:t>54</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264D32ED" w14:textId="72480E4A"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0.576</w:t>
            </w:r>
            <w:r w:rsidR="00FB6C9B">
              <w:rPr>
                <w:rFonts w:ascii="Arial" w:hAnsi="Arial" w:cs="Arial"/>
                <w:color w:val="000000"/>
                <w:sz w:val="18"/>
                <w:szCs w:val="18"/>
                <w:lang w:eastAsia="es-PE"/>
              </w:rPr>
              <w:t>9</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AA774D4"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AD5AE1" w:rsidRPr="004C0E65" w14:paraId="1147BEAB" w14:textId="77777777" w:rsidTr="00AD5AE1">
        <w:trPr>
          <w:trHeight w:val="211"/>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16A6FE45"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T3 y T4</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1F755F75" w14:textId="1BFE6551"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1</w:t>
            </w:r>
            <w:r w:rsidR="00FB6C9B">
              <w:rPr>
                <w:rFonts w:ascii="Arial" w:hAnsi="Arial" w:cs="Arial"/>
                <w:color w:val="000000"/>
                <w:sz w:val="18"/>
                <w:szCs w:val="18"/>
                <w:lang w:eastAsia="es-PE"/>
              </w:rPr>
              <w:t>4</w:t>
            </w:r>
            <w:r w:rsidRPr="00AD5AE1">
              <w:rPr>
                <w:rFonts w:ascii="Arial" w:hAnsi="Arial" w:cs="Arial"/>
                <w:color w:val="000000"/>
                <w:sz w:val="18"/>
                <w:szCs w:val="18"/>
                <w:lang w:eastAsia="es-PE"/>
              </w:rPr>
              <w:t>.</w:t>
            </w:r>
            <w:r w:rsidR="00FB6C9B">
              <w:rPr>
                <w:rFonts w:ascii="Arial" w:hAnsi="Arial" w:cs="Arial"/>
                <w:color w:val="000000"/>
                <w:sz w:val="18"/>
                <w:szCs w:val="18"/>
                <w:lang w:eastAsia="es-PE"/>
              </w:rPr>
              <w:t>971</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4DBBC6E" w14:textId="740F7B2E"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0.5</w:t>
            </w:r>
            <w:r w:rsidR="00FB6C9B">
              <w:rPr>
                <w:rFonts w:ascii="Arial" w:hAnsi="Arial" w:cs="Arial"/>
                <w:color w:val="000000"/>
                <w:sz w:val="18"/>
                <w:szCs w:val="18"/>
                <w:lang w:eastAsia="es-PE"/>
              </w:rPr>
              <w:t>810</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2CD8B941"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AD5AE1" w:rsidRPr="004C0E65" w14:paraId="7851559B" w14:textId="77777777" w:rsidTr="00AD5AE1">
        <w:trPr>
          <w:trHeight w:val="95"/>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86A679D"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T3</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5159C11" w14:textId="36106296"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14.45</w:t>
            </w:r>
            <w:r w:rsidR="00FB6C9B">
              <w:rPr>
                <w:rFonts w:ascii="Arial" w:hAnsi="Arial" w:cs="Arial"/>
                <w:color w:val="000000"/>
                <w:sz w:val="18"/>
                <w:szCs w:val="18"/>
                <w:lang w:eastAsia="es-PE"/>
              </w:rPr>
              <w:t>2</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5911348E"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0.5971</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41A1982"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AD5AE1" w:rsidRPr="004C0E65" w14:paraId="416C9990" w14:textId="77777777" w:rsidTr="00AD5AE1">
        <w:trPr>
          <w:trHeight w:val="65"/>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634E2327"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T2 y T4</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47A77525" w14:textId="5D703221"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12.2</w:t>
            </w:r>
            <w:r w:rsidR="00FB6C9B">
              <w:rPr>
                <w:rFonts w:ascii="Arial" w:hAnsi="Arial" w:cs="Arial"/>
                <w:color w:val="000000"/>
                <w:sz w:val="18"/>
                <w:szCs w:val="18"/>
                <w:lang w:eastAsia="es-PE"/>
              </w:rPr>
              <w:t>0</w:t>
            </w:r>
            <w:r w:rsidRPr="00AD5AE1">
              <w:rPr>
                <w:rFonts w:ascii="Arial" w:hAnsi="Arial" w:cs="Arial"/>
                <w:color w:val="000000"/>
                <w:sz w:val="18"/>
                <w:szCs w:val="18"/>
                <w:lang w:eastAsia="es-PE"/>
              </w:rPr>
              <w:t>8</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E45EE72" w14:textId="165065F9"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0.57</w:t>
            </w:r>
            <w:r w:rsidR="00FB6C9B">
              <w:rPr>
                <w:rFonts w:ascii="Arial" w:hAnsi="Arial" w:cs="Arial"/>
                <w:color w:val="000000"/>
                <w:sz w:val="18"/>
                <w:szCs w:val="18"/>
                <w:lang w:eastAsia="es-PE"/>
              </w:rPr>
              <w:t>6</w:t>
            </w:r>
            <w:r w:rsidRPr="00AD5AE1">
              <w:rPr>
                <w:rFonts w:ascii="Arial" w:hAnsi="Arial" w:cs="Arial"/>
                <w:color w:val="000000"/>
                <w:sz w:val="18"/>
                <w:szCs w:val="18"/>
                <w:lang w:eastAsia="es-PE"/>
              </w:rPr>
              <w:t>1</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5BD97BBB"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AD5AE1" w:rsidRPr="004C0E65" w14:paraId="201596BB" w14:textId="77777777" w:rsidTr="00AD5AE1">
        <w:trPr>
          <w:trHeight w:val="65"/>
        </w:trPr>
        <w:tc>
          <w:tcPr>
            <w:tcW w:w="2914"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7E4C00FA" w14:textId="77777777" w:rsidR="00AD5AE1" w:rsidRPr="00AD5AE1" w:rsidRDefault="00AD5AE1" w:rsidP="00AD5AE1">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T4</w:t>
            </w:r>
          </w:p>
        </w:tc>
        <w:tc>
          <w:tcPr>
            <w:tcW w:w="175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44CE6497" w14:textId="5DEC0873"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1</w:t>
            </w:r>
            <w:r w:rsidR="00FB6C9B">
              <w:rPr>
                <w:rFonts w:ascii="Arial" w:hAnsi="Arial" w:cs="Arial"/>
                <w:color w:val="000000"/>
                <w:sz w:val="18"/>
                <w:szCs w:val="18"/>
                <w:lang w:eastAsia="es-PE"/>
              </w:rPr>
              <w:t>6</w:t>
            </w:r>
            <w:r w:rsidRPr="00AD5AE1">
              <w:rPr>
                <w:rFonts w:ascii="Arial" w:hAnsi="Arial" w:cs="Arial"/>
                <w:color w:val="000000"/>
                <w:sz w:val="18"/>
                <w:szCs w:val="18"/>
                <w:lang w:eastAsia="es-PE"/>
              </w:rPr>
              <w:t>.7</w:t>
            </w:r>
            <w:r w:rsidR="00FB6C9B">
              <w:rPr>
                <w:rFonts w:ascii="Arial" w:hAnsi="Arial" w:cs="Arial"/>
                <w:color w:val="000000"/>
                <w:sz w:val="18"/>
                <w:szCs w:val="18"/>
                <w:lang w:eastAsia="es-PE"/>
              </w:rPr>
              <w:t>5</w:t>
            </w:r>
            <w:r w:rsidRPr="00AD5AE1">
              <w:rPr>
                <w:rFonts w:ascii="Arial" w:hAnsi="Arial" w:cs="Arial"/>
                <w:color w:val="000000"/>
                <w:sz w:val="18"/>
                <w:szCs w:val="18"/>
                <w:lang w:eastAsia="es-PE"/>
              </w:rPr>
              <w:t>5</w:t>
            </w:r>
          </w:p>
        </w:tc>
        <w:tc>
          <w:tcPr>
            <w:tcW w:w="142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3CF5D2BE" w14:textId="64987B6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0.7</w:t>
            </w:r>
            <w:r w:rsidR="00FB6C9B">
              <w:rPr>
                <w:rFonts w:ascii="Arial" w:hAnsi="Arial" w:cs="Arial"/>
                <w:color w:val="000000"/>
                <w:sz w:val="18"/>
                <w:szCs w:val="18"/>
                <w:lang w:eastAsia="es-PE"/>
              </w:rPr>
              <w:t>612</w:t>
            </w:r>
          </w:p>
        </w:tc>
        <w:tc>
          <w:tcPr>
            <w:tcW w:w="1899"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3DA28D5A" w14:textId="77777777" w:rsidR="00AD5AE1" w:rsidRPr="00AD5AE1" w:rsidRDefault="00AD5AE1" w:rsidP="00AD5AE1">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 xml:space="preserve">Significant </w:t>
            </w:r>
          </w:p>
        </w:tc>
      </w:tr>
    </w:tbl>
    <w:p w14:paraId="53AD6E9C" w14:textId="1E72CC6D" w:rsidR="00B91CE0" w:rsidRDefault="00EF2E47" w:rsidP="00F30902">
      <w:pPr>
        <w:pStyle w:val="CETBodytext"/>
        <w:spacing w:line="276" w:lineRule="auto"/>
        <w:rPr>
          <w:lang w:val="en-GB"/>
        </w:rPr>
      </w:pPr>
      <w:r w:rsidRPr="00EF2E47">
        <w:rPr>
          <w:lang w:val="en-GB"/>
        </w:rPr>
        <w:t>It is observed that there is a significant difference between the treatments with activated carbon; however, treatment 1, which was the control group compared to treatment 4, improved soil parameters as well as higher cadmium removal.</w:t>
      </w:r>
    </w:p>
    <w:p w14:paraId="3EA0B527" w14:textId="77777777" w:rsidR="00EF2E47" w:rsidRPr="00B91CE0" w:rsidRDefault="00EF2E47" w:rsidP="00AD5AE1">
      <w:pPr>
        <w:pStyle w:val="CETBodytext"/>
        <w:rPr>
          <w:sz w:val="12"/>
          <w:szCs w:val="14"/>
          <w:lang w:val="en-GB"/>
        </w:rPr>
      </w:pPr>
    </w:p>
    <w:p w14:paraId="0000BCD8" w14:textId="53042E88" w:rsidR="00C67EE6" w:rsidRPr="00AB7DE9" w:rsidRDefault="00C67EE6" w:rsidP="00C67EE6">
      <w:pPr>
        <w:pStyle w:val="CETBodytext"/>
        <w:rPr>
          <w:rFonts w:cs="Arial"/>
          <w:i/>
          <w:iCs/>
          <w:szCs w:val="18"/>
        </w:rPr>
      </w:pPr>
      <w:r w:rsidRPr="007021A8">
        <w:rPr>
          <w:rFonts w:cs="Arial"/>
          <w:i/>
          <w:szCs w:val="18"/>
        </w:rPr>
        <w:t xml:space="preserve">Table </w:t>
      </w:r>
      <w:r w:rsidR="00AD5AE1">
        <w:rPr>
          <w:rFonts w:cs="Arial"/>
          <w:i/>
          <w:szCs w:val="18"/>
        </w:rPr>
        <w:t>5</w:t>
      </w:r>
      <w:r w:rsidRPr="007021A8">
        <w:rPr>
          <w:rFonts w:cs="Arial"/>
          <w:i/>
          <w:szCs w:val="18"/>
        </w:rPr>
        <w:t>:</w:t>
      </w:r>
      <w:r w:rsidRPr="00AB7DE9">
        <w:rPr>
          <w:rFonts w:cs="Arial"/>
          <w:i/>
          <w:iCs/>
          <w:szCs w:val="18"/>
        </w:rPr>
        <w:t xml:space="preserve"> Analysis of the physicochemical parameters of soil with mountain microorganisms</w:t>
      </w: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9"/>
        <w:gridCol w:w="850"/>
        <w:gridCol w:w="1134"/>
        <w:gridCol w:w="1134"/>
        <w:gridCol w:w="1276"/>
      </w:tblGrid>
      <w:tr w:rsidR="00F23E87" w:rsidRPr="00AB7DE9" w14:paraId="28454675" w14:textId="77777777" w:rsidTr="00577ADB">
        <w:trPr>
          <w:trHeight w:val="263"/>
        </w:trPr>
        <w:tc>
          <w:tcPr>
            <w:tcW w:w="3959" w:type="dxa"/>
            <w:vMerge w:val="restart"/>
            <w:tcBorders>
              <w:top w:val="single" w:sz="8" w:space="0" w:color="00B050"/>
              <w:left w:val="single" w:sz="8" w:space="0" w:color="FFFFFF"/>
              <w:right w:val="single" w:sz="8" w:space="0" w:color="FFFFFF"/>
            </w:tcBorders>
            <w:shd w:val="clear" w:color="auto" w:fill="auto"/>
            <w:vAlign w:val="center"/>
          </w:tcPr>
          <w:p w14:paraId="37596C7B"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Parameters</w:t>
            </w:r>
          </w:p>
        </w:tc>
        <w:tc>
          <w:tcPr>
            <w:tcW w:w="4394" w:type="dxa"/>
            <w:gridSpan w:val="4"/>
            <w:tcBorders>
              <w:top w:val="single" w:sz="8" w:space="0" w:color="00B050"/>
              <w:left w:val="single" w:sz="8" w:space="0" w:color="FFFFFF"/>
              <w:bottom w:val="single" w:sz="4" w:space="0" w:color="00B050"/>
              <w:right w:val="single" w:sz="8" w:space="0" w:color="FFFFFF"/>
            </w:tcBorders>
            <w:shd w:val="clear" w:color="auto" w:fill="auto"/>
            <w:vAlign w:val="center"/>
          </w:tcPr>
          <w:p w14:paraId="7CA3857F"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Treatments</w:t>
            </w:r>
          </w:p>
        </w:tc>
      </w:tr>
      <w:tr w:rsidR="00F23E87" w:rsidRPr="00AB7DE9" w14:paraId="43A53247" w14:textId="77777777" w:rsidTr="00577ADB">
        <w:trPr>
          <w:trHeight w:val="421"/>
        </w:trPr>
        <w:tc>
          <w:tcPr>
            <w:tcW w:w="3959" w:type="dxa"/>
            <w:vMerge/>
            <w:tcBorders>
              <w:left w:val="single" w:sz="8" w:space="0" w:color="FFFFFF"/>
              <w:bottom w:val="single" w:sz="4" w:space="0" w:color="00B050"/>
              <w:right w:val="single" w:sz="8" w:space="0" w:color="FFFFFF"/>
            </w:tcBorders>
            <w:shd w:val="clear" w:color="auto" w:fill="auto"/>
            <w:vAlign w:val="center"/>
            <w:hideMark/>
          </w:tcPr>
          <w:p w14:paraId="04ACD0F2" w14:textId="77777777" w:rsidR="00C67EE6" w:rsidRPr="00AB7DE9" w:rsidRDefault="00C67EE6" w:rsidP="00577ADB">
            <w:pPr>
              <w:spacing w:after="0" w:line="240" w:lineRule="auto"/>
              <w:rPr>
                <w:rFonts w:ascii="Arial" w:hAnsi="Arial" w:cs="Arial"/>
                <w:sz w:val="18"/>
                <w:szCs w:val="18"/>
                <w:lang w:eastAsia="es-PE"/>
              </w:rPr>
            </w:pPr>
          </w:p>
        </w:tc>
        <w:tc>
          <w:tcPr>
            <w:tcW w:w="850" w:type="dxa"/>
            <w:tcBorders>
              <w:top w:val="single" w:sz="4" w:space="0" w:color="00B050"/>
              <w:left w:val="single" w:sz="8" w:space="0" w:color="FFFFFF"/>
              <w:bottom w:val="single" w:sz="4" w:space="0" w:color="00B050"/>
              <w:right w:val="single" w:sz="8" w:space="0" w:color="FFFFFF"/>
            </w:tcBorders>
            <w:shd w:val="clear" w:color="auto" w:fill="auto"/>
            <w:vAlign w:val="center"/>
            <w:hideMark/>
          </w:tcPr>
          <w:p w14:paraId="74D8909A"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T1</w:t>
            </w:r>
            <w:r w:rsidRPr="00AB7DE9">
              <w:rPr>
                <w:rFonts w:ascii="Arial" w:hAnsi="Arial" w:cs="Arial"/>
                <w:sz w:val="18"/>
                <w:szCs w:val="18"/>
                <w:lang w:eastAsia="es-PE"/>
              </w:rPr>
              <w:br/>
              <w:t>Control</w:t>
            </w:r>
          </w:p>
        </w:tc>
        <w:tc>
          <w:tcPr>
            <w:tcW w:w="1134" w:type="dxa"/>
            <w:tcBorders>
              <w:top w:val="single" w:sz="4" w:space="0" w:color="00B050"/>
              <w:left w:val="single" w:sz="8" w:space="0" w:color="FFFFFF"/>
              <w:bottom w:val="single" w:sz="4" w:space="0" w:color="00B050"/>
              <w:right w:val="single" w:sz="8" w:space="0" w:color="FFFFFF"/>
            </w:tcBorders>
            <w:shd w:val="clear" w:color="auto" w:fill="auto"/>
            <w:vAlign w:val="center"/>
            <w:hideMark/>
          </w:tcPr>
          <w:p w14:paraId="33306918"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T5</w:t>
            </w:r>
            <w:r w:rsidRPr="00AB7DE9">
              <w:rPr>
                <w:rFonts w:ascii="Arial" w:hAnsi="Arial" w:cs="Arial"/>
                <w:sz w:val="18"/>
                <w:szCs w:val="18"/>
                <w:lang w:eastAsia="es-PE"/>
              </w:rPr>
              <w:br/>
              <w:t>MM: 100mL</w:t>
            </w:r>
          </w:p>
        </w:tc>
        <w:tc>
          <w:tcPr>
            <w:tcW w:w="1134" w:type="dxa"/>
            <w:tcBorders>
              <w:top w:val="single" w:sz="4" w:space="0" w:color="00B050"/>
              <w:left w:val="single" w:sz="8" w:space="0" w:color="FFFFFF"/>
              <w:bottom w:val="single" w:sz="4" w:space="0" w:color="00B050"/>
              <w:right w:val="single" w:sz="8" w:space="0" w:color="FFFFFF"/>
            </w:tcBorders>
            <w:shd w:val="clear" w:color="auto" w:fill="auto"/>
            <w:vAlign w:val="center"/>
            <w:hideMark/>
          </w:tcPr>
          <w:p w14:paraId="633C8F04"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T6</w:t>
            </w:r>
            <w:r w:rsidRPr="00AB7DE9">
              <w:rPr>
                <w:rFonts w:ascii="Arial" w:hAnsi="Arial" w:cs="Arial"/>
                <w:sz w:val="18"/>
                <w:szCs w:val="18"/>
                <w:lang w:eastAsia="es-PE"/>
              </w:rPr>
              <w:br/>
              <w:t>MM: 200mL</w:t>
            </w:r>
          </w:p>
        </w:tc>
        <w:tc>
          <w:tcPr>
            <w:tcW w:w="1276" w:type="dxa"/>
            <w:tcBorders>
              <w:top w:val="single" w:sz="4" w:space="0" w:color="00B050"/>
              <w:left w:val="single" w:sz="8" w:space="0" w:color="FFFFFF"/>
              <w:bottom w:val="single" w:sz="4" w:space="0" w:color="00B050"/>
              <w:right w:val="single" w:sz="8" w:space="0" w:color="FFFFFF"/>
            </w:tcBorders>
            <w:shd w:val="clear" w:color="auto" w:fill="auto"/>
            <w:vAlign w:val="center"/>
            <w:hideMark/>
          </w:tcPr>
          <w:p w14:paraId="2547695E"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T7</w:t>
            </w:r>
          </w:p>
          <w:p w14:paraId="3FA1F79E"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MM: 300mL</w:t>
            </w:r>
          </w:p>
        </w:tc>
      </w:tr>
      <w:tr w:rsidR="00F23E87" w:rsidRPr="00AB7DE9" w14:paraId="2A3AEF1F" w14:textId="77777777" w:rsidTr="007021A8">
        <w:trPr>
          <w:trHeight w:val="268"/>
        </w:trPr>
        <w:tc>
          <w:tcPr>
            <w:tcW w:w="3959" w:type="dxa"/>
            <w:tcBorders>
              <w:top w:val="single" w:sz="4" w:space="0" w:color="00B050"/>
              <w:left w:val="single" w:sz="8" w:space="0" w:color="FFFFFF"/>
              <w:bottom w:val="single" w:sz="8" w:space="0" w:color="FFFFFF"/>
              <w:right w:val="single" w:sz="8" w:space="0" w:color="FFFFFF"/>
            </w:tcBorders>
            <w:shd w:val="clear" w:color="auto" w:fill="auto"/>
            <w:noWrap/>
            <w:vAlign w:val="center"/>
          </w:tcPr>
          <w:p w14:paraId="3386AB61" w14:textId="77777777" w:rsidR="00C67EE6" w:rsidRPr="00AB7DE9" w:rsidRDefault="00C67EE6" w:rsidP="00577ADB">
            <w:pPr>
              <w:spacing w:after="0" w:line="240" w:lineRule="auto"/>
              <w:rPr>
                <w:rFonts w:ascii="Arial" w:hAnsi="Arial" w:cs="Arial"/>
                <w:sz w:val="18"/>
                <w:szCs w:val="18"/>
                <w:lang w:eastAsia="es-PE"/>
              </w:rPr>
            </w:pPr>
            <w:r w:rsidRPr="00AB7DE9">
              <w:rPr>
                <w:rFonts w:ascii="Arial" w:hAnsi="Arial" w:cs="Arial"/>
                <w:sz w:val="18"/>
                <w:szCs w:val="18"/>
                <w:lang w:val="es-PE"/>
              </w:rPr>
              <w:t>Phosphorus (ppm)</w:t>
            </w:r>
          </w:p>
        </w:tc>
        <w:tc>
          <w:tcPr>
            <w:tcW w:w="850" w:type="dxa"/>
            <w:tcBorders>
              <w:top w:val="single" w:sz="4" w:space="0" w:color="00B050"/>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0697D0E"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2.45</w:t>
            </w:r>
          </w:p>
        </w:tc>
        <w:tc>
          <w:tcPr>
            <w:tcW w:w="1134" w:type="dxa"/>
            <w:tcBorders>
              <w:top w:val="single" w:sz="4" w:space="0" w:color="00B050"/>
              <w:left w:val="single" w:sz="8" w:space="0" w:color="FFFFFF"/>
              <w:bottom w:val="single" w:sz="8" w:space="0" w:color="FFFFFF"/>
              <w:right w:val="single" w:sz="8" w:space="0" w:color="FFFFFF"/>
            </w:tcBorders>
            <w:shd w:val="clear" w:color="auto" w:fill="auto"/>
            <w:noWrap/>
            <w:vAlign w:val="center"/>
          </w:tcPr>
          <w:p w14:paraId="79EF7399"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2.14</w:t>
            </w:r>
          </w:p>
        </w:tc>
        <w:tc>
          <w:tcPr>
            <w:tcW w:w="1134" w:type="dxa"/>
            <w:tcBorders>
              <w:top w:val="single" w:sz="4" w:space="0" w:color="00B050"/>
              <w:left w:val="single" w:sz="8" w:space="0" w:color="FFFFFF"/>
              <w:bottom w:val="single" w:sz="8" w:space="0" w:color="FFFFFF"/>
              <w:right w:val="single" w:sz="8" w:space="0" w:color="FFFFFF"/>
            </w:tcBorders>
            <w:shd w:val="clear" w:color="auto" w:fill="auto"/>
            <w:noWrap/>
            <w:vAlign w:val="center"/>
          </w:tcPr>
          <w:p w14:paraId="7232BBE6"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3.15</w:t>
            </w:r>
          </w:p>
        </w:tc>
        <w:tc>
          <w:tcPr>
            <w:tcW w:w="1276" w:type="dxa"/>
            <w:tcBorders>
              <w:top w:val="single" w:sz="4" w:space="0" w:color="00B050"/>
              <w:left w:val="single" w:sz="8" w:space="0" w:color="FFFFFF"/>
              <w:bottom w:val="single" w:sz="8" w:space="0" w:color="FFFFFF"/>
              <w:right w:val="single" w:sz="8" w:space="0" w:color="FFFFFF"/>
            </w:tcBorders>
            <w:shd w:val="clear" w:color="auto" w:fill="auto"/>
            <w:noWrap/>
            <w:vAlign w:val="center"/>
          </w:tcPr>
          <w:p w14:paraId="1F5F688F"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6.45</w:t>
            </w:r>
          </w:p>
        </w:tc>
      </w:tr>
      <w:tr w:rsidR="00F23E87" w:rsidRPr="00AB7DE9" w14:paraId="5878E7ED" w14:textId="77777777" w:rsidTr="00EF2E47">
        <w:trPr>
          <w:trHeight w:val="124"/>
        </w:trPr>
        <w:tc>
          <w:tcPr>
            <w:tcW w:w="3959"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1F44271" w14:textId="77777777" w:rsidR="00C67EE6" w:rsidRPr="00AB7DE9" w:rsidRDefault="00C67EE6" w:rsidP="00577ADB">
            <w:pPr>
              <w:spacing w:after="0" w:line="240" w:lineRule="auto"/>
              <w:rPr>
                <w:rFonts w:ascii="Arial" w:hAnsi="Arial" w:cs="Arial"/>
                <w:sz w:val="18"/>
                <w:szCs w:val="18"/>
                <w:lang w:eastAsia="es-PE"/>
              </w:rPr>
            </w:pPr>
            <w:r w:rsidRPr="00AB7DE9">
              <w:rPr>
                <w:rFonts w:ascii="Arial" w:hAnsi="Arial" w:cs="Arial"/>
                <w:sz w:val="18"/>
                <w:szCs w:val="18"/>
                <w:lang w:eastAsia="es-PE"/>
              </w:rPr>
              <w:t>Nitrogen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2A5BC26"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bCs/>
                <w:sz w:val="18"/>
                <w:szCs w:val="18"/>
                <w:lang w:eastAsia="es-PE"/>
              </w:rPr>
              <w:t>0.85</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2B2FC224" w14:textId="77777777" w:rsidR="00C67EE6" w:rsidRPr="00AB7DE9" w:rsidRDefault="00C67EE6" w:rsidP="00577ADB">
            <w:pPr>
              <w:spacing w:after="0" w:line="240" w:lineRule="auto"/>
              <w:jc w:val="center"/>
              <w:rPr>
                <w:rFonts w:ascii="Arial" w:hAnsi="Arial" w:cs="Arial"/>
                <w:bCs/>
                <w:sz w:val="18"/>
                <w:szCs w:val="18"/>
                <w:highlight w:val="cyan"/>
                <w:lang w:eastAsia="es-PE"/>
              </w:rPr>
            </w:pPr>
            <w:r w:rsidRPr="00AB7DE9">
              <w:rPr>
                <w:rFonts w:ascii="Arial" w:hAnsi="Arial" w:cs="Arial"/>
                <w:bCs/>
                <w:sz w:val="18"/>
                <w:szCs w:val="18"/>
                <w:lang w:eastAsia="es-PE"/>
              </w:rPr>
              <w:t>0.24</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6237ABBB" w14:textId="77777777" w:rsidR="00C67EE6" w:rsidRPr="00AB7DE9" w:rsidRDefault="00C67EE6" w:rsidP="00577ADB">
            <w:pPr>
              <w:spacing w:after="0" w:line="240" w:lineRule="auto"/>
              <w:jc w:val="center"/>
              <w:rPr>
                <w:rFonts w:ascii="Arial" w:hAnsi="Arial" w:cs="Arial"/>
                <w:bCs/>
                <w:sz w:val="18"/>
                <w:szCs w:val="18"/>
                <w:lang w:eastAsia="es-PE"/>
              </w:rPr>
            </w:pPr>
            <w:r w:rsidRPr="00AB7DE9">
              <w:rPr>
                <w:rFonts w:ascii="Arial" w:hAnsi="Arial" w:cs="Arial"/>
                <w:bCs/>
                <w:sz w:val="18"/>
                <w:szCs w:val="18"/>
                <w:lang w:eastAsia="es-PE"/>
              </w:rPr>
              <w:t>0.81</w:t>
            </w:r>
          </w:p>
        </w:tc>
        <w:tc>
          <w:tcPr>
            <w:tcW w:w="1276"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0CC40ED0" w14:textId="77777777" w:rsidR="00C67EE6" w:rsidRPr="00AB7DE9" w:rsidRDefault="00C67EE6" w:rsidP="00577ADB">
            <w:pPr>
              <w:spacing w:after="0" w:line="240" w:lineRule="auto"/>
              <w:jc w:val="center"/>
              <w:rPr>
                <w:rFonts w:ascii="Arial" w:hAnsi="Arial" w:cs="Arial"/>
                <w:bCs/>
                <w:sz w:val="18"/>
                <w:szCs w:val="18"/>
                <w:lang w:eastAsia="es-PE"/>
              </w:rPr>
            </w:pPr>
            <w:r w:rsidRPr="00AB7DE9">
              <w:rPr>
                <w:rFonts w:ascii="Arial" w:hAnsi="Arial" w:cs="Arial"/>
                <w:bCs/>
                <w:sz w:val="18"/>
                <w:szCs w:val="18"/>
                <w:lang w:eastAsia="es-PE"/>
              </w:rPr>
              <w:t>1.52</w:t>
            </w:r>
          </w:p>
        </w:tc>
      </w:tr>
      <w:tr w:rsidR="00F23E87" w:rsidRPr="00AB7DE9" w14:paraId="39BDBB31" w14:textId="77777777" w:rsidTr="00266F5D">
        <w:trPr>
          <w:trHeight w:val="172"/>
        </w:trPr>
        <w:tc>
          <w:tcPr>
            <w:tcW w:w="3959"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16648F0" w14:textId="77777777" w:rsidR="00C67EE6" w:rsidRPr="00AB7DE9" w:rsidRDefault="00C67EE6" w:rsidP="00577ADB">
            <w:pPr>
              <w:spacing w:after="0" w:line="240" w:lineRule="auto"/>
              <w:rPr>
                <w:rFonts w:ascii="Arial" w:hAnsi="Arial" w:cs="Arial"/>
                <w:sz w:val="18"/>
                <w:szCs w:val="18"/>
                <w:lang w:eastAsia="es-PE"/>
              </w:rPr>
            </w:pPr>
            <w:r w:rsidRPr="00AB7DE9">
              <w:rPr>
                <w:rFonts w:ascii="Arial" w:hAnsi="Arial" w:cs="Arial"/>
                <w:sz w:val="18"/>
                <w:szCs w:val="18"/>
                <w:lang w:eastAsia="es-PE"/>
              </w:rPr>
              <w:t>Potassium (ppm)</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C08F0DC"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19.70</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E0D0150"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21.2</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13F8284A"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29.8</w:t>
            </w:r>
          </w:p>
        </w:tc>
        <w:tc>
          <w:tcPr>
            <w:tcW w:w="1276"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22E6AA3"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39.1</w:t>
            </w:r>
          </w:p>
        </w:tc>
      </w:tr>
      <w:tr w:rsidR="00F23E87" w:rsidRPr="00AB7DE9" w14:paraId="2E3906C8" w14:textId="77777777" w:rsidTr="00266F5D">
        <w:trPr>
          <w:trHeight w:val="206"/>
        </w:trPr>
        <w:tc>
          <w:tcPr>
            <w:tcW w:w="3959"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5FD63917" w14:textId="7C291C96" w:rsidR="00C67EE6" w:rsidRPr="00AB7DE9" w:rsidRDefault="00833584" w:rsidP="00266F5D">
            <w:pPr>
              <w:spacing w:after="0" w:line="240" w:lineRule="auto"/>
              <w:rPr>
                <w:rFonts w:ascii="Arial" w:hAnsi="Arial" w:cs="Arial"/>
                <w:sz w:val="18"/>
                <w:szCs w:val="18"/>
                <w:lang w:eastAsia="es-PE"/>
              </w:rPr>
            </w:pPr>
            <w:r w:rsidRPr="00AB7DE9">
              <w:rPr>
                <w:rFonts w:ascii="Arial" w:hAnsi="Arial" w:cs="Arial"/>
                <w:sz w:val="18"/>
                <w:szCs w:val="18"/>
                <w:lang w:eastAsia="es-PE"/>
              </w:rPr>
              <w:t>Cation exchange capacity</w:t>
            </w:r>
            <w:r w:rsidR="00266F5D">
              <w:rPr>
                <w:rFonts w:ascii="Arial" w:hAnsi="Arial" w:cs="Arial"/>
                <w:sz w:val="18"/>
                <w:szCs w:val="18"/>
                <w:lang w:eastAsia="es-PE"/>
              </w:rPr>
              <w:t xml:space="preserve"> </w:t>
            </w:r>
            <w:r w:rsidRPr="00AB7DE9">
              <w:rPr>
                <w:rFonts w:ascii="Arial" w:hAnsi="Arial" w:cs="Arial"/>
                <w:sz w:val="18"/>
                <w:szCs w:val="18"/>
                <w:lang w:eastAsia="es-PE"/>
              </w:rPr>
              <w:t>(Meq/100g)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859235D"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5.28</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4EAE71DD"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7.17</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15530547"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9.85</w:t>
            </w:r>
          </w:p>
        </w:tc>
        <w:tc>
          <w:tcPr>
            <w:tcW w:w="1276"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2CFE2E0A"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14.74</w:t>
            </w:r>
          </w:p>
        </w:tc>
      </w:tr>
      <w:tr w:rsidR="00F23E87" w:rsidRPr="00AB7DE9" w14:paraId="3C6DC925" w14:textId="77777777" w:rsidTr="00266F5D">
        <w:trPr>
          <w:trHeight w:val="150"/>
        </w:trPr>
        <w:tc>
          <w:tcPr>
            <w:tcW w:w="3959"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5CC5F5A1" w14:textId="77777777" w:rsidR="00C67EE6" w:rsidRPr="00AB7DE9" w:rsidRDefault="00C67EE6" w:rsidP="00577ADB">
            <w:pPr>
              <w:spacing w:after="0" w:line="240" w:lineRule="auto"/>
              <w:rPr>
                <w:rFonts w:ascii="Arial" w:hAnsi="Arial" w:cs="Arial"/>
                <w:sz w:val="18"/>
                <w:szCs w:val="18"/>
                <w:lang w:eastAsia="es-PE"/>
              </w:rPr>
            </w:pPr>
            <w:r w:rsidRPr="00AB7DE9">
              <w:rPr>
                <w:rFonts w:ascii="Arial" w:hAnsi="Arial" w:cs="Arial"/>
                <w:sz w:val="18"/>
                <w:szCs w:val="18"/>
                <w:lang w:eastAsia="es-PE"/>
              </w:rPr>
              <w:t>pH</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6D0C90"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5.14</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3F87B971"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5.28</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54E208AE"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6.18</w:t>
            </w:r>
          </w:p>
        </w:tc>
        <w:tc>
          <w:tcPr>
            <w:tcW w:w="1276"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7E73D2E0"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6.98</w:t>
            </w:r>
          </w:p>
        </w:tc>
      </w:tr>
      <w:tr w:rsidR="00F23E87" w:rsidRPr="00AB7DE9" w14:paraId="5B4F569B" w14:textId="77777777" w:rsidTr="007021A8">
        <w:trPr>
          <w:trHeight w:val="120"/>
        </w:trPr>
        <w:tc>
          <w:tcPr>
            <w:tcW w:w="3959"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5ACA6E53" w14:textId="77777777" w:rsidR="00C67EE6" w:rsidRPr="00AB7DE9" w:rsidRDefault="00833584" w:rsidP="00577ADB">
            <w:pPr>
              <w:spacing w:after="0" w:line="240" w:lineRule="auto"/>
              <w:rPr>
                <w:rFonts w:ascii="Arial" w:hAnsi="Arial" w:cs="Arial"/>
                <w:sz w:val="18"/>
                <w:szCs w:val="18"/>
                <w:lang w:eastAsia="es-PE"/>
              </w:rPr>
            </w:pPr>
            <w:r w:rsidRPr="00AB7DE9">
              <w:rPr>
                <w:rFonts w:ascii="Arial" w:hAnsi="Arial" w:cs="Arial"/>
                <w:sz w:val="18"/>
                <w:szCs w:val="18"/>
                <w:lang w:eastAsia="es-PE"/>
              </w:rPr>
              <w:t>Magnesium (Meq/100g)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2F756D9"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0.82</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05CB7D81"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0.98</w:t>
            </w:r>
          </w:p>
        </w:tc>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6A9A79F4"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1.3</w:t>
            </w:r>
          </w:p>
        </w:tc>
        <w:tc>
          <w:tcPr>
            <w:tcW w:w="1276" w:type="dxa"/>
            <w:tcBorders>
              <w:top w:val="single" w:sz="8" w:space="0" w:color="FFFFFF"/>
              <w:left w:val="single" w:sz="8" w:space="0" w:color="FFFFFF"/>
              <w:bottom w:val="single" w:sz="8" w:space="0" w:color="FFFFFF"/>
              <w:right w:val="single" w:sz="8" w:space="0" w:color="FFFFFF"/>
            </w:tcBorders>
            <w:shd w:val="clear" w:color="auto" w:fill="auto"/>
            <w:noWrap/>
            <w:vAlign w:val="center"/>
          </w:tcPr>
          <w:p w14:paraId="43457968"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2.1</w:t>
            </w:r>
          </w:p>
        </w:tc>
      </w:tr>
      <w:tr w:rsidR="00F23E87" w:rsidRPr="00AB7DE9" w14:paraId="2AC7AEE4" w14:textId="77777777" w:rsidTr="00554BC8">
        <w:trPr>
          <w:trHeight w:val="313"/>
        </w:trPr>
        <w:tc>
          <w:tcPr>
            <w:tcW w:w="3959"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0DBA719F" w14:textId="77777777" w:rsidR="00C67EE6" w:rsidRPr="00AB7DE9" w:rsidRDefault="00833584" w:rsidP="00577ADB">
            <w:pPr>
              <w:spacing w:after="0" w:line="240" w:lineRule="auto"/>
              <w:rPr>
                <w:rFonts w:ascii="Arial" w:hAnsi="Arial" w:cs="Arial"/>
                <w:sz w:val="18"/>
                <w:szCs w:val="18"/>
                <w:lang w:eastAsia="es-PE"/>
              </w:rPr>
            </w:pPr>
            <w:r w:rsidRPr="00AB7DE9">
              <w:rPr>
                <w:rFonts w:ascii="Arial" w:hAnsi="Arial" w:cs="Arial"/>
                <w:sz w:val="18"/>
                <w:szCs w:val="18"/>
                <w:lang w:eastAsia="es-PE"/>
              </w:rPr>
              <w:t>Organic matter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4A59729"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1.02</w:t>
            </w:r>
          </w:p>
        </w:tc>
        <w:tc>
          <w:tcPr>
            <w:tcW w:w="1134"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1FA4D4CA"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1.01</w:t>
            </w:r>
          </w:p>
        </w:tc>
        <w:tc>
          <w:tcPr>
            <w:tcW w:w="1134"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11841B82"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1.42</w:t>
            </w:r>
          </w:p>
        </w:tc>
        <w:tc>
          <w:tcPr>
            <w:tcW w:w="1276"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142000B4"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1.94</w:t>
            </w:r>
          </w:p>
        </w:tc>
      </w:tr>
      <w:tr w:rsidR="00F23E87" w:rsidRPr="00AB7DE9" w14:paraId="484D8E2C" w14:textId="77777777" w:rsidTr="00266F5D">
        <w:trPr>
          <w:trHeight w:val="151"/>
        </w:trPr>
        <w:tc>
          <w:tcPr>
            <w:tcW w:w="3959"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498D2ED4" w14:textId="77777777" w:rsidR="00C67EE6" w:rsidRPr="00AB7DE9" w:rsidRDefault="00833584" w:rsidP="00577ADB">
            <w:pPr>
              <w:spacing w:after="0" w:line="240" w:lineRule="auto"/>
              <w:rPr>
                <w:rFonts w:ascii="Arial" w:hAnsi="Arial" w:cs="Arial"/>
                <w:sz w:val="18"/>
                <w:szCs w:val="18"/>
                <w:lang w:eastAsia="es-PE"/>
              </w:rPr>
            </w:pPr>
            <w:r w:rsidRPr="00AB7DE9">
              <w:rPr>
                <w:rFonts w:ascii="Arial" w:hAnsi="Arial" w:cs="Arial"/>
                <w:sz w:val="18"/>
                <w:szCs w:val="18"/>
                <w:lang w:eastAsia="es-PE"/>
              </w:rPr>
              <w:t>Cadmium (ppm)</w:t>
            </w:r>
          </w:p>
        </w:tc>
        <w:tc>
          <w:tcPr>
            <w:tcW w:w="850" w:type="dxa"/>
            <w:tcBorders>
              <w:top w:val="single" w:sz="4" w:space="0" w:color="FFFFFF" w:themeColor="background1"/>
              <w:left w:val="single" w:sz="4" w:space="0" w:color="FFFFFF" w:themeColor="background1"/>
              <w:bottom w:val="single" w:sz="4" w:space="0" w:color="00B050"/>
              <w:right w:val="single" w:sz="4" w:space="0" w:color="FFFFFF" w:themeColor="background1"/>
            </w:tcBorders>
            <w:shd w:val="clear" w:color="auto" w:fill="auto"/>
            <w:noWrap/>
            <w:vAlign w:val="center"/>
          </w:tcPr>
          <w:p w14:paraId="484A583A" w14:textId="77777777"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5.74</w:t>
            </w:r>
          </w:p>
        </w:tc>
        <w:tc>
          <w:tcPr>
            <w:tcW w:w="1134"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67278169" w14:textId="77777777" w:rsidR="00C67EE6" w:rsidRPr="00AB7DE9" w:rsidRDefault="00C67EE6" w:rsidP="00577ADB">
            <w:pPr>
              <w:spacing w:after="0" w:line="240" w:lineRule="auto"/>
              <w:jc w:val="center"/>
              <w:rPr>
                <w:rFonts w:ascii="Arial" w:hAnsi="Arial" w:cs="Arial"/>
                <w:sz w:val="18"/>
                <w:szCs w:val="18"/>
                <w:highlight w:val="cyan"/>
                <w:lang w:eastAsia="es-PE"/>
              </w:rPr>
            </w:pPr>
            <w:r w:rsidRPr="00AB7DE9">
              <w:rPr>
                <w:rFonts w:ascii="Arial" w:hAnsi="Arial" w:cs="Arial"/>
                <w:sz w:val="18"/>
                <w:szCs w:val="18"/>
                <w:lang w:eastAsia="es-PE"/>
              </w:rPr>
              <w:t>4.11</w:t>
            </w:r>
          </w:p>
        </w:tc>
        <w:tc>
          <w:tcPr>
            <w:tcW w:w="1134"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719C78E6" w14:textId="717C1FA4" w:rsidR="00C67EE6" w:rsidRPr="00AB7DE9" w:rsidRDefault="00C67EE6" w:rsidP="00577ADB">
            <w:pPr>
              <w:spacing w:after="0" w:line="240" w:lineRule="auto"/>
              <w:jc w:val="center"/>
              <w:rPr>
                <w:rFonts w:ascii="Arial" w:hAnsi="Arial" w:cs="Arial"/>
                <w:sz w:val="18"/>
                <w:szCs w:val="18"/>
                <w:lang w:eastAsia="es-PE"/>
              </w:rPr>
            </w:pPr>
            <w:r w:rsidRPr="00AB7DE9">
              <w:rPr>
                <w:rFonts w:ascii="Arial" w:hAnsi="Arial" w:cs="Arial"/>
                <w:sz w:val="18"/>
                <w:szCs w:val="18"/>
                <w:lang w:eastAsia="es-PE"/>
              </w:rPr>
              <w:t>3.</w:t>
            </w:r>
            <w:r w:rsidR="00BD1F3C">
              <w:rPr>
                <w:rFonts w:ascii="Arial" w:hAnsi="Arial" w:cs="Arial"/>
                <w:sz w:val="18"/>
                <w:szCs w:val="18"/>
                <w:lang w:eastAsia="es-PE"/>
              </w:rPr>
              <w:t>4</w:t>
            </w:r>
            <w:r w:rsidRPr="00AB7DE9">
              <w:rPr>
                <w:rFonts w:ascii="Arial" w:hAnsi="Arial" w:cs="Arial"/>
                <w:sz w:val="18"/>
                <w:szCs w:val="18"/>
                <w:lang w:eastAsia="es-PE"/>
              </w:rPr>
              <w:t>5</w:t>
            </w:r>
          </w:p>
        </w:tc>
        <w:tc>
          <w:tcPr>
            <w:tcW w:w="1276" w:type="dxa"/>
            <w:tcBorders>
              <w:top w:val="single" w:sz="8" w:space="0" w:color="FFFFFF"/>
              <w:left w:val="single" w:sz="8" w:space="0" w:color="FFFFFF"/>
              <w:bottom w:val="single" w:sz="4" w:space="0" w:color="00B050"/>
              <w:right w:val="single" w:sz="8" w:space="0" w:color="FFFFFF"/>
            </w:tcBorders>
            <w:shd w:val="clear" w:color="auto" w:fill="auto"/>
            <w:noWrap/>
            <w:vAlign w:val="center"/>
          </w:tcPr>
          <w:p w14:paraId="1AD71501" w14:textId="2F402600" w:rsidR="00C67EE6" w:rsidRPr="00AB7DE9" w:rsidRDefault="00A159AF" w:rsidP="00577ADB">
            <w:pPr>
              <w:spacing w:after="0" w:line="240" w:lineRule="auto"/>
              <w:jc w:val="center"/>
              <w:rPr>
                <w:rFonts w:ascii="Arial" w:hAnsi="Arial" w:cs="Arial"/>
                <w:sz w:val="18"/>
                <w:szCs w:val="18"/>
                <w:lang w:eastAsia="es-PE"/>
              </w:rPr>
            </w:pPr>
            <w:r>
              <w:rPr>
                <w:rFonts w:ascii="Arial" w:hAnsi="Arial" w:cs="Arial"/>
                <w:sz w:val="18"/>
                <w:szCs w:val="18"/>
                <w:lang w:eastAsia="es-PE"/>
              </w:rPr>
              <w:t>2.1</w:t>
            </w:r>
          </w:p>
        </w:tc>
      </w:tr>
    </w:tbl>
    <w:p w14:paraId="2704B1C2" w14:textId="31545490" w:rsidR="005202A2" w:rsidRPr="00F30902" w:rsidRDefault="005061EF" w:rsidP="00C67EE6">
      <w:pPr>
        <w:spacing w:after="0" w:line="276" w:lineRule="auto"/>
        <w:jc w:val="both"/>
        <w:rPr>
          <w:rFonts w:ascii="Arial" w:hAnsi="Arial" w:cs="Arial"/>
          <w:sz w:val="18"/>
          <w:szCs w:val="18"/>
          <w:lang w:val="en-GB"/>
        </w:rPr>
      </w:pPr>
      <w:r w:rsidRPr="005061EF">
        <w:rPr>
          <w:rFonts w:ascii="Arial" w:hAnsi="Arial" w:cs="Arial"/>
          <w:sz w:val="18"/>
          <w:szCs w:val="18"/>
        </w:rPr>
        <w:t xml:space="preserve">The physicochemical study of a soil sample with the treatment of mountain microorganisms at different concentrations: in T7 (MM: 300 mL) it improves the parameters of phosphorus 6.45 ppm, nitrogen 1.52%, </w:t>
      </w:r>
      <w:r w:rsidR="00A01BC4">
        <w:rPr>
          <w:rFonts w:ascii="Arial" w:hAnsi="Arial" w:cs="Arial"/>
          <w:sz w:val="18"/>
          <w:szCs w:val="18"/>
        </w:rPr>
        <w:t>p</w:t>
      </w:r>
      <w:r w:rsidRPr="005061EF">
        <w:rPr>
          <w:rFonts w:ascii="Arial" w:hAnsi="Arial" w:cs="Arial"/>
          <w:sz w:val="18"/>
          <w:szCs w:val="18"/>
        </w:rPr>
        <w:t>otassium 39.1 ppm, cation exchange capacity 14.74 Meq/100g, pH 6.98, magnesium 2.1 Meq/100g, organic matter 1.</w:t>
      </w:r>
      <w:r w:rsidR="00C21414">
        <w:rPr>
          <w:rFonts w:ascii="Arial" w:hAnsi="Arial" w:cs="Arial"/>
          <w:sz w:val="18"/>
          <w:szCs w:val="18"/>
        </w:rPr>
        <w:t>9</w:t>
      </w:r>
      <w:r w:rsidRPr="005061EF">
        <w:rPr>
          <w:rFonts w:ascii="Arial" w:hAnsi="Arial" w:cs="Arial"/>
          <w:sz w:val="18"/>
          <w:szCs w:val="18"/>
        </w:rPr>
        <w:t xml:space="preserve">4% and the cadmium level decreased to </w:t>
      </w:r>
      <w:r w:rsidR="00A159AF">
        <w:rPr>
          <w:rFonts w:ascii="Arial" w:hAnsi="Arial" w:cs="Arial"/>
          <w:sz w:val="18"/>
          <w:szCs w:val="18"/>
        </w:rPr>
        <w:t>2</w:t>
      </w:r>
      <w:r w:rsidRPr="005061EF">
        <w:rPr>
          <w:rFonts w:ascii="Arial" w:hAnsi="Arial" w:cs="Arial"/>
          <w:sz w:val="18"/>
          <w:szCs w:val="18"/>
        </w:rPr>
        <w:t>.</w:t>
      </w:r>
      <w:r w:rsidR="00A159AF">
        <w:rPr>
          <w:rFonts w:ascii="Arial" w:hAnsi="Arial" w:cs="Arial"/>
          <w:sz w:val="18"/>
          <w:szCs w:val="18"/>
        </w:rPr>
        <w:t>1</w:t>
      </w:r>
      <w:r w:rsidRPr="005061EF">
        <w:rPr>
          <w:rFonts w:ascii="Arial" w:hAnsi="Arial" w:cs="Arial"/>
          <w:sz w:val="18"/>
          <w:szCs w:val="18"/>
        </w:rPr>
        <w:t xml:space="preserve"> ppm.</w:t>
      </w:r>
      <w:r w:rsidR="00F30902">
        <w:rPr>
          <w:rFonts w:ascii="Arial" w:hAnsi="Arial" w:cs="Arial"/>
          <w:sz w:val="18"/>
          <w:szCs w:val="18"/>
        </w:rPr>
        <w:t xml:space="preserve"> </w:t>
      </w:r>
      <w:r w:rsidR="00F30902" w:rsidRPr="00F30902">
        <w:rPr>
          <w:rFonts w:ascii="Arial" w:hAnsi="Arial" w:cs="Arial"/>
          <w:sz w:val="18"/>
          <w:szCs w:val="18"/>
          <w:lang w:val="en-GB"/>
        </w:rPr>
        <w:t>Mountain microorganisms are future proposals that, through meticulous analysis and exhaustive treatments, can significantly contribute to the recovery of contaminated soil.</w:t>
      </w:r>
      <w:r w:rsidR="00F30902">
        <w:rPr>
          <w:rFonts w:ascii="Arial" w:hAnsi="Arial" w:cs="Arial"/>
          <w:sz w:val="18"/>
          <w:szCs w:val="18"/>
          <w:lang w:val="en-GB"/>
        </w:rPr>
        <w:t xml:space="preserve"> </w:t>
      </w:r>
      <w:r w:rsidR="00611A8C">
        <w:rPr>
          <w:rFonts w:ascii="Arial" w:hAnsi="Arial" w:cs="Arial"/>
          <w:sz w:val="18"/>
          <w:szCs w:val="18"/>
          <w:lang w:val="en-GB"/>
        </w:rPr>
        <w:t>(Xue et al., 2018)</w:t>
      </w:r>
    </w:p>
    <w:p w14:paraId="566A9145" w14:textId="4CBAE200" w:rsidR="00EF2E47" w:rsidRPr="00973932" w:rsidRDefault="00EF2E47" w:rsidP="00EF2E47">
      <w:pPr>
        <w:pStyle w:val="CETBodytext"/>
        <w:tabs>
          <w:tab w:val="clear" w:pos="7100"/>
          <w:tab w:val="left" w:pos="284"/>
        </w:tabs>
        <w:jc w:val="left"/>
        <w:rPr>
          <w:rFonts w:cs="Arial"/>
          <w:i/>
          <w:iCs/>
          <w:lang w:val="en-GB"/>
        </w:rPr>
      </w:pPr>
      <w:r w:rsidRPr="006B19C4">
        <w:rPr>
          <w:i/>
          <w:iCs/>
          <w:lang w:val="en-GB"/>
        </w:rPr>
        <w:lastRenderedPageBreak/>
        <w:t xml:space="preserve">Table </w:t>
      </w:r>
      <w:r>
        <w:rPr>
          <w:i/>
          <w:iCs/>
          <w:lang w:val="en-GB"/>
        </w:rPr>
        <w:t>6</w:t>
      </w:r>
      <w:r w:rsidRPr="006B19C4">
        <w:rPr>
          <w:i/>
          <w:iCs/>
          <w:lang w:val="en-GB"/>
        </w:rPr>
        <w:t xml:space="preserve">: </w:t>
      </w:r>
      <w:r w:rsidRPr="00EF2E47">
        <w:rPr>
          <w:rFonts w:cs="Arial"/>
          <w:i/>
          <w:iCs/>
          <w:lang w:val="en-GB"/>
        </w:rPr>
        <w:t>Duncan's multiple comparison test for significant differences between treatments with mountain microorganisms.</w:t>
      </w:r>
    </w:p>
    <w:tbl>
      <w:tblPr>
        <w:tblW w:w="7994" w:type="dxa"/>
        <w:tblInd w:w="-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CellMar>
          <w:left w:w="70" w:type="dxa"/>
          <w:right w:w="70" w:type="dxa"/>
        </w:tblCellMar>
        <w:tblLook w:val="04A0" w:firstRow="1" w:lastRow="0" w:firstColumn="1" w:lastColumn="0" w:noHBand="0" w:noVBand="1"/>
      </w:tblPr>
      <w:tblGrid>
        <w:gridCol w:w="2914"/>
        <w:gridCol w:w="1756"/>
        <w:gridCol w:w="1425"/>
        <w:gridCol w:w="1899"/>
      </w:tblGrid>
      <w:tr w:rsidR="00EF2E47" w:rsidRPr="00F04506" w14:paraId="67F75BAD" w14:textId="77777777" w:rsidTr="00973932">
        <w:trPr>
          <w:trHeight w:val="140"/>
        </w:trPr>
        <w:tc>
          <w:tcPr>
            <w:tcW w:w="7994" w:type="dxa"/>
            <w:gridSpan w:val="4"/>
            <w:tcBorders>
              <w:top w:val="single" w:sz="2" w:space="0" w:color="00B050"/>
              <w:left w:val="single" w:sz="6" w:space="0" w:color="FFFFFF" w:themeColor="background1"/>
              <w:bottom w:val="single" w:sz="6" w:space="0" w:color="00B050"/>
              <w:right w:val="single" w:sz="6" w:space="0" w:color="FFFFFF" w:themeColor="background1"/>
            </w:tcBorders>
            <w:shd w:val="clear" w:color="auto" w:fill="auto"/>
            <w:noWrap/>
            <w:vAlign w:val="bottom"/>
          </w:tcPr>
          <w:p w14:paraId="411F4719" w14:textId="77777777" w:rsidR="00EF2E47" w:rsidRPr="00AD5AE1" w:rsidRDefault="00EF2E47" w:rsidP="00DF4096">
            <w:pPr>
              <w:spacing w:after="0" w:line="240" w:lineRule="auto"/>
              <w:jc w:val="center"/>
              <w:rPr>
                <w:rFonts w:ascii="Arial" w:hAnsi="Arial" w:cs="Arial"/>
                <w:noProof/>
                <w:lang w:eastAsia="es-PE"/>
              </w:rPr>
            </w:pPr>
            <w:r w:rsidRPr="00AD5AE1">
              <w:rPr>
                <w:rFonts w:ascii="Arial" w:hAnsi="Arial" w:cs="Arial"/>
                <w:noProof/>
                <w:sz w:val="18"/>
                <w:szCs w:val="18"/>
                <w:lang w:eastAsia="es-PE"/>
              </w:rPr>
              <w:t>Duncans honestly significant difference α = 0.05</w:t>
            </w:r>
          </w:p>
        </w:tc>
      </w:tr>
      <w:tr w:rsidR="00EF2E47" w:rsidRPr="004C0E65" w14:paraId="053C06C9" w14:textId="77777777" w:rsidTr="00DF4096">
        <w:trPr>
          <w:trHeight w:val="314"/>
        </w:trPr>
        <w:tc>
          <w:tcPr>
            <w:tcW w:w="2914"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1784F4A3" w14:textId="77777777" w:rsidR="00EF2E47" w:rsidRPr="00AD5AE1" w:rsidRDefault="00EF2E47" w:rsidP="00DF4096">
            <w:pPr>
              <w:spacing w:after="0" w:line="240" w:lineRule="auto"/>
              <w:rPr>
                <w:rFonts w:ascii="Arial" w:hAnsi="Arial" w:cs="Arial"/>
                <w:sz w:val="18"/>
                <w:szCs w:val="18"/>
                <w:lang w:eastAsia="es-PE"/>
              </w:rPr>
            </w:pPr>
            <w:r w:rsidRPr="00AD5AE1">
              <w:rPr>
                <w:rFonts w:ascii="Arial" w:hAnsi="Arial" w:cs="Arial"/>
                <w:sz w:val="18"/>
                <w:szCs w:val="18"/>
                <w:lang w:eastAsia="es-PE"/>
              </w:rPr>
              <w:t>T</w:t>
            </w:r>
            <w:r w:rsidRPr="00AD5AE1">
              <w:rPr>
                <w:rFonts w:ascii="Arial" w:hAnsi="Arial" w:cs="Arial"/>
                <w:sz w:val="18"/>
                <w:szCs w:val="18"/>
                <w:vertAlign w:val="subscript"/>
                <w:lang w:eastAsia="es-PE"/>
              </w:rPr>
              <w:t>i</w:t>
            </w:r>
            <w:r w:rsidRPr="00AD5AE1">
              <w:rPr>
                <w:rFonts w:ascii="Arial" w:hAnsi="Arial" w:cs="Arial"/>
                <w:sz w:val="18"/>
                <w:szCs w:val="18"/>
                <w:lang w:eastAsia="es-PE"/>
              </w:rPr>
              <w:t xml:space="preserve"> – T</w:t>
            </w:r>
            <w:r w:rsidRPr="00AD5AE1">
              <w:rPr>
                <w:rFonts w:ascii="Arial" w:hAnsi="Arial" w:cs="Arial"/>
                <w:sz w:val="18"/>
                <w:szCs w:val="18"/>
                <w:vertAlign w:val="subscript"/>
                <w:lang w:eastAsia="es-PE"/>
              </w:rPr>
              <w:t>j</w:t>
            </w:r>
          </w:p>
        </w:tc>
        <w:tc>
          <w:tcPr>
            <w:tcW w:w="1756"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62A9BD32"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noProof/>
                <w:sz w:val="18"/>
                <w:szCs w:val="18"/>
              </w:rPr>
              <w:drawing>
                <wp:inline distT="0" distB="0" distL="0" distR="0" wp14:anchorId="60B222AC" wp14:editId="2CE9033E">
                  <wp:extent cx="609600" cy="281940"/>
                  <wp:effectExtent l="0" t="0" r="0" b="3810"/>
                  <wp:docPr id="3" name="Imagen 3">
                    <a:extLst xmlns:a="http://schemas.openxmlformats.org/drawingml/2006/main">
                      <a:ext uri="{FF2B5EF4-FFF2-40B4-BE49-F238E27FC236}">
                        <a16:creationId xmlns:a16="http://schemas.microsoft.com/office/drawing/2014/main" id="{6EA8DA1B-9619-4985-A52B-D7D33729770C}"/>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FF2B5EF4-FFF2-40B4-BE49-F238E27FC236}">
                                <a16:creationId xmlns:a16="http://schemas.microsoft.com/office/drawing/2014/main" id="{6EA8DA1B-9619-4985-A52B-D7D33729770C}"/>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9600" cy="281940"/>
                          </a:xfrm>
                          <a:prstGeom prst="rect">
                            <a:avLst/>
                          </a:prstGeom>
                        </pic:spPr>
                      </pic:pic>
                    </a:graphicData>
                  </a:graphic>
                </wp:inline>
              </w:drawing>
            </w:r>
          </w:p>
        </w:tc>
        <w:tc>
          <w:tcPr>
            <w:tcW w:w="1425"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24CC18E8"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i/>
                <w:iCs/>
                <w:sz w:val="18"/>
                <w:szCs w:val="18"/>
                <w:lang w:eastAsia="es-PE"/>
              </w:rPr>
              <w:t>w</w:t>
            </w:r>
          </w:p>
        </w:tc>
        <w:tc>
          <w:tcPr>
            <w:tcW w:w="1899" w:type="dxa"/>
            <w:tcBorders>
              <w:top w:val="single" w:sz="6" w:space="0" w:color="00B050"/>
              <w:left w:val="single" w:sz="6" w:space="0" w:color="FFFFFF" w:themeColor="background1"/>
              <w:bottom w:val="single" w:sz="6" w:space="0" w:color="00B050"/>
              <w:right w:val="single" w:sz="6" w:space="0" w:color="FFFFFF" w:themeColor="background1"/>
            </w:tcBorders>
            <w:shd w:val="clear" w:color="auto" w:fill="auto"/>
            <w:noWrap/>
            <w:vAlign w:val="center"/>
          </w:tcPr>
          <w:p w14:paraId="44E44BC8"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noProof/>
                <w:sz w:val="18"/>
                <w:szCs w:val="18"/>
              </w:rPr>
              <w:drawing>
                <wp:inline distT="0" distB="0" distL="0" distR="0" wp14:anchorId="022E2470" wp14:editId="3F389808">
                  <wp:extent cx="1005840" cy="281940"/>
                  <wp:effectExtent l="0" t="0" r="3810" b="3810"/>
                  <wp:docPr id="4" name="Imagen 4">
                    <a:extLst xmlns:a="http://schemas.openxmlformats.org/drawingml/2006/main">
                      <a:ext uri="{FF2B5EF4-FFF2-40B4-BE49-F238E27FC236}">
                        <a16:creationId xmlns:a16="http://schemas.microsoft.com/office/drawing/2014/main" id="{4CAA97D5-9E5A-4B1A-A906-63C8E918577A}"/>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FF2B5EF4-FFF2-40B4-BE49-F238E27FC236}">
                                <a16:creationId xmlns:a16="http://schemas.microsoft.com/office/drawing/2014/main" id="{4CAA97D5-9E5A-4B1A-A906-63C8E918577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05840" cy="281940"/>
                          </a:xfrm>
                          <a:prstGeom prst="rect">
                            <a:avLst/>
                          </a:prstGeom>
                        </pic:spPr>
                      </pic:pic>
                    </a:graphicData>
                  </a:graphic>
                </wp:inline>
              </w:drawing>
            </w:r>
          </w:p>
        </w:tc>
      </w:tr>
      <w:tr w:rsidR="00EF2E47" w:rsidRPr="004C0E65" w14:paraId="6190DFBD" w14:textId="77777777" w:rsidTr="00DF4096">
        <w:trPr>
          <w:trHeight w:val="166"/>
        </w:trPr>
        <w:tc>
          <w:tcPr>
            <w:tcW w:w="2914"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6ADCF94D" w14:textId="45BE6E3D"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w:t>
            </w:r>
            <w:r w:rsidR="00E06637">
              <w:rPr>
                <w:rFonts w:ascii="Arial" w:hAnsi="Arial" w:cs="Arial"/>
                <w:sz w:val="18"/>
                <w:szCs w:val="18"/>
                <w:lang w:val="es-PE" w:eastAsia="es-PE"/>
              </w:rPr>
              <w:t>5</w:t>
            </w:r>
          </w:p>
        </w:tc>
        <w:tc>
          <w:tcPr>
            <w:tcW w:w="1756"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3A54E639" w14:textId="660C5D59"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1</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154</w:t>
            </w:r>
          </w:p>
        </w:tc>
        <w:tc>
          <w:tcPr>
            <w:tcW w:w="1425"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6610FE3C" w14:textId="7B435D95"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612</w:t>
            </w:r>
            <w:r w:rsidRPr="00575893">
              <w:rPr>
                <w:rFonts w:ascii="Arial" w:hAnsi="Arial" w:cs="Arial"/>
                <w:color w:val="000000"/>
                <w:sz w:val="18"/>
                <w:szCs w:val="18"/>
                <w:lang w:eastAsia="es-PE"/>
              </w:rPr>
              <w:t>8</w:t>
            </w:r>
          </w:p>
        </w:tc>
        <w:tc>
          <w:tcPr>
            <w:tcW w:w="1899" w:type="dxa"/>
            <w:tcBorders>
              <w:top w:val="single" w:sz="6" w:space="0" w:color="00B050"/>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34F6225B"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EF2E47" w:rsidRPr="004C0E65" w14:paraId="63BAA6E4" w14:textId="77777777" w:rsidTr="00DF4096">
        <w:trPr>
          <w:trHeight w:val="199"/>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DE437F8" w14:textId="3EA9F035"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w:t>
            </w:r>
            <w:r w:rsidR="00E06637">
              <w:rPr>
                <w:rFonts w:ascii="Arial" w:hAnsi="Arial" w:cs="Arial"/>
                <w:sz w:val="18"/>
                <w:szCs w:val="18"/>
                <w:lang w:val="es-PE" w:eastAsia="es-PE"/>
              </w:rPr>
              <w:t>5</w:t>
            </w:r>
            <w:r w:rsidRPr="00AD5AE1">
              <w:rPr>
                <w:rFonts w:ascii="Arial" w:hAnsi="Arial" w:cs="Arial"/>
                <w:sz w:val="18"/>
                <w:szCs w:val="18"/>
                <w:lang w:val="es-PE" w:eastAsia="es-PE"/>
              </w:rPr>
              <w:t xml:space="preserve"> y T</w:t>
            </w:r>
            <w:r w:rsidR="00E06637">
              <w:rPr>
                <w:rFonts w:ascii="Arial" w:hAnsi="Arial" w:cs="Arial"/>
                <w:sz w:val="18"/>
                <w:szCs w:val="18"/>
                <w:lang w:val="es-PE" w:eastAsia="es-PE"/>
              </w:rPr>
              <w:t>6</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743E490" w14:textId="50E0B759"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2</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579</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52A41605" w14:textId="393C34EF"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647</w:t>
            </w:r>
            <w:r w:rsidRPr="00575893">
              <w:rPr>
                <w:rFonts w:ascii="Arial" w:hAnsi="Arial" w:cs="Arial"/>
                <w:color w:val="000000"/>
                <w:sz w:val="18"/>
                <w:szCs w:val="18"/>
                <w:lang w:eastAsia="es-PE"/>
              </w:rPr>
              <w:t>9</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BED9002"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EF2E47" w:rsidRPr="004C0E65" w14:paraId="7145A7C4" w14:textId="77777777" w:rsidTr="00DF4096">
        <w:trPr>
          <w:trHeight w:val="211"/>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AA176F0" w14:textId="082E8862"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w:t>
            </w:r>
            <w:r w:rsidR="00E06637">
              <w:rPr>
                <w:rFonts w:ascii="Arial" w:hAnsi="Arial" w:cs="Arial"/>
                <w:sz w:val="18"/>
                <w:szCs w:val="18"/>
                <w:lang w:val="es-PE" w:eastAsia="es-PE"/>
              </w:rPr>
              <w:t>6</w:t>
            </w:r>
            <w:r w:rsidRPr="00AD5AE1">
              <w:rPr>
                <w:rFonts w:ascii="Arial" w:hAnsi="Arial" w:cs="Arial"/>
                <w:sz w:val="18"/>
                <w:szCs w:val="18"/>
                <w:lang w:val="es-PE" w:eastAsia="es-PE"/>
              </w:rPr>
              <w:t xml:space="preserve"> y T</w:t>
            </w:r>
            <w:r w:rsidR="00E06637">
              <w:rPr>
                <w:rFonts w:ascii="Arial" w:hAnsi="Arial" w:cs="Arial"/>
                <w:sz w:val="18"/>
                <w:szCs w:val="18"/>
                <w:lang w:val="es-PE" w:eastAsia="es-PE"/>
              </w:rPr>
              <w:t>7</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6F5C7D32" w14:textId="69FAF17A"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5</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812</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4A3BE737" w14:textId="20D9CF44"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6</w:t>
            </w:r>
            <w:r w:rsidRPr="00575893">
              <w:rPr>
                <w:rFonts w:ascii="Arial" w:hAnsi="Arial" w:cs="Arial"/>
                <w:color w:val="000000"/>
                <w:sz w:val="18"/>
                <w:szCs w:val="18"/>
                <w:lang w:eastAsia="es-PE"/>
              </w:rPr>
              <w:t>8</w:t>
            </w:r>
            <w:r w:rsidR="00575893" w:rsidRPr="00575893">
              <w:rPr>
                <w:rFonts w:ascii="Arial" w:hAnsi="Arial" w:cs="Arial"/>
                <w:color w:val="000000"/>
                <w:sz w:val="18"/>
                <w:szCs w:val="18"/>
                <w:lang w:eastAsia="es-PE"/>
              </w:rPr>
              <w:t>7</w:t>
            </w:r>
            <w:r w:rsidRPr="00575893">
              <w:rPr>
                <w:rFonts w:ascii="Arial" w:hAnsi="Arial" w:cs="Arial"/>
                <w:color w:val="000000"/>
                <w:sz w:val="18"/>
                <w:szCs w:val="18"/>
                <w:lang w:eastAsia="es-PE"/>
              </w:rPr>
              <w:t>0</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7221327"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EF2E47" w:rsidRPr="004C0E65" w14:paraId="1281E0A2" w14:textId="77777777" w:rsidTr="00DF4096">
        <w:trPr>
          <w:trHeight w:val="95"/>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1841F9ED" w14:textId="422A2C83"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w:t>
            </w:r>
            <w:r w:rsidR="00E06637">
              <w:rPr>
                <w:rFonts w:ascii="Arial" w:hAnsi="Arial" w:cs="Arial"/>
                <w:sz w:val="18"/>
                <w:szCs w:val="18"/>
                <w:lang w:val="es-PE" w:eastAsia="es-PE"/>
              </w:rPr>
              <w:t>6</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361DA5FB" w14:textId="14D51EB3"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6</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579</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2A756075" w14:textId="2CDBAA15"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781</w:t>
            </w:r>
            <w:r w:rsidRPr="00575893">
              <w:rPr>
                <w:rFonts w:ascii="Arial" w:hAnsi="Arial" w:cs="Arial"/>
                <w:color w:val="000000"/>
                <w:sz w:val="18"/>
                <w:szCs w:val="18"/>
                <w:lang w:eastAsia="es-PE"/>
              </w:rPr>
              <w:t>1</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4022CE9"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EF2E47" w:rsidRPr="004C0E65" w14:paraId="6C7F3688" w14:textId="77777777" w:rsidTr="00DF4096">
        <w:trPr>
          <w:trHeight w:val="65"/>
        </w:trPr>
        <w:tc>
          <w:tcPr>
            <w:tcW w:w="29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1B934F3E" w14:textId="2779721D"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w:t>
            </w:r>
            <w:r w:rsidR="00E06637">
              <w:rPr>
                <w:rFonts w:ascii="Arial" w:hAnsi="Arial" w:cs="Arial"/>
                <w:sz w:val="18"/>
                <w:szCs w:val="18"/>
                <w:lang w:val="es-PE" w:eastAsia="es-PE"/>
              </w:rPr>
              <w:t>5</w:t>
            </w:r>
            <w:r w:rsidRPr="00AD5AE1">
              <w:rPr>
                <w:rFonts w:ascii="Arial" w:hAnsi="Arial" w:cs="Arial"/>
                <w:sz w:val="18"/>
                <w:szCs w:val="18"/>
                <w:lang w:val="es-PE" w:eastAsia="es-PE"/>
              </w:rPr>
              <w:t xml:space="preserve"> y T</w:t>
            </w:r>
            <w:r w:rsidR="00E06637">
              <w:rPr>
                <w:rFonts w:ascii="Arial" w:hAnsi="Arial" w:cs="Arial"/>
                <w:sz w:val="18"/>
                <w:szCs w:val="18"/>
                <w:lang w:val="es-PE" w:eastAsia="es-PE"/>
              </w:rPr>
              <w:t>7</w:t>
            </w:r>
          </w:p>
        </w:tc>
        <w:tc>
          <w:tcPr>
            <w:tcW w:w="17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D53AD53" w14:textId="5326CA0A"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6</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586</w:t>
            </w:r>
          </w:p>
        </w:tc>
        <w:tc>
          <w:tcPr>
            <w:tcW w:w="1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0E2D4503" w14:textId="12C221A0"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799</w:t>
            </w:r>
            <w:r w:rsidRPr="00575893">
              <w:rPr>
                <w:rFonts w:ascii="Arial" w:hAnsi="Arial" w:cs="Arial"/>
                <w:color w:val="000000"/>
                <w:sz w:val="18"/>
                <w:szCs w:val="18"/>
                <w:lang w:eastAsia="es-PE"/>
              </w:rPr>
              <w:t>1</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79BD414E"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Significant</w:t>
            </w:r>
          </w:p>
        </w:tc>
      </w:tr>
      <w:tr w:rsidR="00EF2E47" w:rsidRPr="004C0E65" w14:paraId="3A9E29B0" w14:textId="77777777" w:rsidTr="00DF4096">
        <w:trPr>
          <w:trHeight w:val="65"/>
        </w:trPr>
        <w:tc>
          <w:tcPr>
            <w:tcW w:w="2914"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675C0081" w14:textId="31D5315C" w:rsidR="00EF2E47" w:rsidRPr="00AD5AE1" w:rsidRDefault="00EF2E47" w:rsidP="00DF4096">
            <w:pPr>
              <w:spacing w:after="0" w:line="240" w:lineRule="auto"/>
              <w:rPr>
                <w:rFonts w:ascii="Arial" w:hAnsi="Arial" w:cs="Arial"/>
                <w:sz w:val="18"/>
                <w:szCs w:val="18"/>
                <w:lang w:val="es-PE" w:eastAsia="es-PE"/>
              </w:rPr>
            </w:pPr>
            <w:r w:rsidRPr="00AD5AE1">
              <w:rPr>
                <w:rFonts w:ascii="Arial" w:hAnsi="Arial" w:cs="Arial"/>
                <w:sz w:val="18"/>
                <w:szCs w:val="18"/>
                <w:lang w:val="es-PE" w:eastAsia="es-PE"/>
              </w:rPr>
              <w:t>Difference de T1 y T</w:t>
            </w:r>
            <w:r w:rsidR="00E06637">
              <w:rPr>
                <w:rFonts w:ascii="Arial" w:hAnsi="Arial" w:cs="Arial"/>
                <w:sz w:val="18"/>
                <w:szCs w:val="18"/>
                <w:lang w:val="es-PE" w:eastAsia="es-PE"/>
              </w:rPr>
              <w:t>7</w:t>
            </w:r>
          </w:p>
        </w:tc>
        <w:tc>
          <w:tcPr>
            <w:tcW w:w="1756"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4F8C53DE" w14:textId="01E4DD11"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1</w:t>
            </w:r>
            <w:r w:rsidR="009A6BAE" w:rsidRPr="00575893">
              <w:rPr>
                <w:rFonts w:ascii="Arial" w:hAnsi="Arial" w:cs="Arial"/>
                <w:color w:val="000000"/>
                <w:sz w:val="18"/>
                <w:szCs w:val="18"/>
                <w:lang w:eastAsia="es-PE"/>
              </w:rPr>
              <w:t>9</w:t>
            </w:r>
            <w:r w:rsidRPr="00575893">
              <w:rPr>
                <w:rFonts w:ascii="Arial" w:hAnsi="Arial" w:cs="Arial"/>
                <w:color w:val="000000"/>
                <w:sz w:val="18"/>
                <w:szCs w:val="18"/>
                <w:lang w:eastAsia="es-PE"/>
              </w:rPr>
              <w:t>.</w:t>
            </w:r>
            <w:r w:rsidR="009A6BAE" w:rsidRPr="00575893">
              <w:rPr>
                <w:rFonts w:ascii="Arial" w:hAnsi="Arial" w:cs="Arial"/>
                <w:color w:val="000000"/>
                <w:sz w:val="18"/>
                <w:szCs w:val="18"/>
                <w:lang w:eastAsia="es-PE"/>
              </w:rPr>
              <w:t>421</w:t>
            </w:r>
          </w:p>
        </w:tc>
        <w:tc>
          <w:tcPr>
            <w:tcW w:w="1425"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557A40EA" w14:textId="6E607199" w:rsidR="00EF2E47" w:rsidRPr="00575893" w:rsidRDefault="00EF2E47" w:rsidP="00DF4096">
            <w:pPr>
              <w:spacing w:after="0" w:line="240" w:lineRule="auto"/>
              <w:jc w:val="center"/>
              <w:rPr>
                <w:rFonts w:ascii="Arial" w:hAnsi="Arial" w:cs="Arial"/>
                <w:sz w:val="18"/>
                <w:szCs w:val="18"/>
                <w:lang w:eastAsia="es-PE"/>
              </w:rPr>
            </w:pPr>
            <w:r w:rsidRPr="00575893">
              <w:rPr>
                <w:rFonts w:ascii="Arial" w:hAnsi="Arial" w:cs="Arial"/>
                <w:color w:val="000000"/>
                <w:sz w:val="18"/>
                <w:szCs w:val="18"/>
                <w:lang w:eastAsia="es-PE"/>
              </w:rPr>
              <w:t>0.</w:t>
            </w:r>
            <w:r w:rsidR="00575893" w:rsidRPr="00575893">
              <w:rPr>
                <w:rFonts w:ascii="Arial" w:hAnsi="Arial" w:cs="Arial"/>
                <w:color w:val="000000"/>
                <w:sz w:val="18"/>
                <w:szCs w:val="18"/>
                <w:lang w:eastAsia="es-PE"/>
              </w:rPr>
              <w:t>971</w:t>
            </w:r>
            <w:r w:rsidRPr="00575893">
              <w:rPr>
                <w:rFonts w:ascii="Arial" w:hAnsi="Arial" w:cs="Arial"/>
                <w:color w:val="000000"/>
                <w:sz w:val="18"/>
                <w:szCs w:val="18"/>
                <w:lang w:eastAsia="es-PE"/>
              </w:rPr>
              <w:t>2</w:t>
            </w:r>
          </w:p>
        </w:tc>
        <w:tc>
          <w:tcPr>
            <w:tcW w:w="1899" w:type="dxa"/>
            <w:tcBorders>
              <w:top w:val="single" w:sz="6" w:space="0" w:color="FFFFFF" w:themeColor="background1"/>
              <w:left w:val="single" w:sz="6" w:space="0" w:color="FFFFFF" w:themeColor="background1"/>
              <w:bottom w:val="single" w:sz="6" w:space="0" w:color="00B050"/>
              <w:right w:val="single" w:sz="6" w:space="0" w:color="FFFFFF" w:themeColor="background1"/>
            </w:tcBorders>
            <w:shd w:val="clear" w:color="auto" w:fill="auto"/>
            <w:noWrap/>
            <w:vAlign w:val="bottom"/>
            <w:hideMark/>
          </w:tcPr>
          <w:p w14:paraId="4E1945F8" w14:textId="77777777" w:rsidR="00EF2E47" w:rsidRPr="00AD5AE1" w:rsidRDefault="00EF2E47" w:rsidP="00DF4096">
            <w:pPr>
              <w:spacing w:after="0" w:line="240" w:lineRule="auto"/>
              <w:jc w:val="center"/>
              <w:rPr>
                <w:rFonts w:ascii="Arial" w:hAnsi="Arial" w:cs="Arial"/>
                <w:sz w:val="18"/>
                <w:szCs w:val="18"/>
                <w:lang w:eastAsia="es-PE"/>
              </w:rPr>
            </w:pPr>
            <w:r w:rsidRPr="00AD5AE1">
              <w:rPr>
                <w:rFonts w:ascii="Arial" w:hAnsi="Arial" w:cs="Arial"/>
                <w:color w:val="000000"/>
                <w:sz w:val="18"/>
                <w:szCs w:val="18"/>
                <w:lang w:eastAsia="es-PE"/>
              </w:rPr>
              <w:t xml:space="preserve">Significant </w:t>
            </w:r>
          </w:p>
        </w:tc>
      </w:tr>
    </w:tbl>
    <w:p w14:paraId="17E55704" w14:textId="2EC91B0A" w:rsidR="00E06637" w:rsidRDefault="00E06637" w:rsidP="00E06637">
      <w:pPr>
        <w:pStyle w:val="CETBodytext"/>
        <w:rPr>
          <w:lang w:val="en-GB"/>
        </w:rPr>
      </w:pPr>
      <w:r w:rsidRPr="00EF2E47">
        <w:rPr>
          <w:lang w:val="en-GB"/>
        </w:rPr>
        <w:t xml:space="preserve">It is observed that there is a significant difference between the treatments; however, treatment 1, which was the control group compared to treatment </w:t>
      </w:r>
      <w:r w:rsidR="001B2813">
        <w:rPr>
          <w:lang w:val="en-GB"/>
        </w:rPr>
        <w:t>7</w:t>
      </w:r>
      <w:r w:rsidRPr="00EF2E47">
        <w:rPr>
          <w:lang w:val="en-GB"/>
        </w:rPr>
        <w:t>, improved soil parameters as well as higher cadmium removal.</w:t>
      </w:r>
    </w:p>
    <w:p w14:paraId="5FD23F09" w14:textId="6279FBF5" w:rsidR="00E7596D" w:rsidRPr="00E06637" w:rsidRDefault="00E7596D" w:rsidP="00C67EE6">
      <w:pPr>
        <w:spacing w:after="0" w:line="276" w:lineRule="auto"/>
        <w:jc w:val="both"/>
        <w:rPr>
          <w:rFonts w:ascii="Arial" w:hAnsi="Arial" w:cs="Arial"/>
          <w:color w:val="00B0F0"/>
          <w:sz w:val="18"/>
          <w:szCs w:val="18"/>
          <w:lang w:val="en-GB"/>
        </w:rPr>
      </w:pPr>
    </w:p>
    <w:p w14:paraId="035BBF94" w14:textId="4E8B4525" w:rsidR="00E7596D" w:rsidRPr="00AB7DE9" w:rsidRDefault="005061EF" w:rsidP="00C67EE6">
      <w:pPr>
        <w:spacing w:after="0" w:line="276" w:lineRule="auto"/>
        <w:jc w:val="both"/>
        <w:rPr>
          <w:rFonts w:ascii="Arial" w:hAnsi="Arial" w:cs="Arial"/>
          <w:color w:val="00B0F0"/>
          <w:sz w:val="18"/>
          <w:szCs w:val="18"/>
        </w:rPr>
      </w:pPr>
      <w:r w:rsidRPr="00AB7DE9">
        <w:rPr>
          <w:rFonts w:ascii="Arial" w:hAnsi="Arial" w:cs="Arial"/>
          <w:noProof/>
          <w:sz w:val="18"/>
          <w:szCs w:val="18"/>
        </w:rPr>
        <w:drawing>
          <wp:anchor distT="0" distB="0" distL="114300" distR="114300" simplePos="0" relativeHeight="251659264" behindDoc="1" locked="0" layoutInCell="1" allowOverlap="1" wp14:anchorId="3A383B1B" wp14:editId="5D786CF0">
            <wp:simplePos x="0" y="0"/>
            <wp:positionH relativeFrom="column">
              <wp:posOffset>-1905</wp:posOffset>
            </wp:positionH>
            <wp:positionV relativeFrom="paragraph">
              <wp:posOffset>113030</wp:posOffset>
            </wp:positionV>
            <wp:extent cx="5046345" cy="2432050"/>
            <wp:effectExtent l="0" t="0" r="1905" b="6350"/>
            <wp:wrapTight wrapText="bothSides">
              <wp:wrapPolygon edited="0">
                <wp:start x="0" y="0"/>
                <wp:lineTo x="0" y="21487"/>
                <wp:lineTo x="21527" y="21487"/>
                <wp:lineTo x="21527" y="0"/>
                <wp:lineTo x="0" y="0"/>
              </wp:wrapPolygon>
            </wp:wrapTight>
            <wp:docPr id="1" name="Gráfico 1">
              <a:extLst xmlns:a="http://schemas.openxmlformats.org/drawingml/2006/main">
                <a:ext uri="{FF2B5EF4-FFF2-40B4-BE49-F238E27FC236}">
                  <a16:creationId xmlns:a16="http://schemas.microsoft.com/office/drawing/2014/main" id="{E8746DEC-36D5-45AE-B4F7-CA1175C34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1D131E2" w14:textId="77777777" w:rsidR="00E7596D" w:rsidRPr="00AB7DE9" w:rsidRDefault="00E7596D" w:rsidP="00C67EE6">
      <w:pPr>
        <w:spacing w:after="0" w:line="276" w:lineRule="auto"/>
        <w:jc w:val="both"/>
        <w:rPr>
          <w:rFonts w:ascii="Arial" w:hAnsi="Arial" w:cs="Arial"/>
          <w:color w:val="00B0F0"/>
          <w:sz w:val="18"/>
          <w:szCs w:val="18"/>
        </w:rPr>
      </w:pPr>
    </w:p>
    <w:p w14:paraId="01738FE2" w14:textId="77777777" w:rsidR="00E7596D" w:rsidRPr="00AB7DE9" w:rsidRDefault="00E7596D" w:rsidP="00C67EE6">
      <w:pPr>
        <w:spacing w:after="0" w:line="276" w:lineRule="auto"/>
        <w:jc w:val="both"/>
        <w:rPr>
          <w:rFonts w:ascii="Arial" w:hAnsi="Arial" w:cs="Arial"/>
          <w:color w:val="00B0F0"/>
          <w:sz w:val="18"/>
          <w:szCs w:val="18"/>
        </w:rPr>
      </w:pPr>
    </w:p>
    <w:p w14:paraId="4963906A" w14:textId="77777777" w:rsidR="00E7596D" w:rsidRPr="00AB7DE9" w:rsidRDefault="00E7596D" w:rsidP="00C67EE6">
      <w:pPr>
        <w:spacing w:after="0" w:line="276" w:lineRule="auto"/>
        <w:jc w:val="both"/>
        <w:rPr>
          <w:rFonts w:ascii="Arial" w:hAnsi="Arial" w:cs="Arial"/>
          <w:color w:val="00B0F0"/>
          <w:sz w:val="18"/>
          <w:szCs w:val="18"/>
        </w:rPr>
      </w:pPr>
    </w:p>
    <w:p w14:paraId="0BA81F02" w14:textId="77777777" w:rsidR="00E7596D" w:rsidRPr="00AB7DE9" w:rsidRDefault="00E7596D" w:rsidP="00C67EE6">
      <w:pPr>
        <w:spacing w:after="0" w:line="276" w:lineRule="auto"/>
        <w:jc w:val="both"/>
        <w:rPr>
          <w:rFonts w:ascii="Arial" w:hAnsi="Arial" w:cs="Arial"/>
          <w:color w:val="00B0F0"/>
          <w:sz w:val="18"/>
          <w:szCs w:val="18"/>
        </w:rPr>
      </w:pPr>
    </w:p>
    <w:p w14:paraId="4BBA4F44" w14:textId="77777777" w:rsidR="00E7596D" w:rsidRPr="00AB7DE9" w:rsidRDefault="00E7596D" w:rsidP="00C67EE6">
      <w:pPr>
        <w:spacing w:after="0" w:line="276" w:lineRule="auto"/>
        <w:jc w:val="both"/>
        <w:rPr>
          <w:rFonts w:ascii="Arial" w:hAnsi="Arial" w:cs="Arial"/>
          <w:color w:val="00B0F0"/>
          <w:sz w:val="18"/>
          <w:szCs w:val="18"/>
        </w:rPr>
      </w:pPr>
    </w:p>
    <w:p w14:paraId="457FBEBE" w14:textId="77777777" w:rsidR="00E7596D" w:rsidRPr="00AB7DE9" w:rsidRDefault="00E7596D" w:rsidP="00C67EE6">
      <w:pPr>
        <w:spacing w:after="0" w:line="276" w:lineRule="auto"/>
        <w:jc w:val="both"/>
        <w:rPr>
          <w:rFonts w:ascii="Arial" w:hAnsi="Arial" w:cs="Arial"/>
          <w:color w:val="00B0F0"/>
          <w:sz w:val="18"/>
          <w:szCs w:val="18"/>
        </w:rPr>
      </w:pPr>
    </w:p>
    <w:p w14:paraId="50C54D19" w14:textId="77777777" w:rsidR="00E7596D" w:rsidRPr="00AB7DE9" w:rsidRDefault="00E7596D" w:rsidP="00C67EE6">
      <w:pPr>
        <w:spacing w:after="0" w:line="276" w:lineRule="auto"/>
        <w:jc w:val="both"/>
        <w:rPr>
          <w:rFonts w:ascii="Arial" w:hAnsi="Arial" w:cs="Arial"/>
          <w:color w:val="00B0F0"/>
          <w:sz w:val="18"/>
          <w:szCs w:val="18"/>
        </w:rPr>
      </w:pPr>
    </w:p>
    <w:p w14:paraId="3C2B9C43" w14:textId="77777777" w:rsidR="00E7596D" w:rsidRPr="00AB7DE9" w:rsidRDefault="00E7596D" w:rsidP="00C67EE6">
      <w:pPr>
        <w:spacing w:after="0" w:line="276" w:lineRule="auto"/>
        <w:jc w:val="both"/>
        <w:rPr>
          <w:rFonts w:ascii="Arial" w:hAnsi="Arial" w:cs="Arial"/>
          <w:color w:val="00B0F0"/>
          <w:sz w:val="18"/>
          <w:szCs w:val="18"/>
        </w:rPr>
      </w:pPr>
    </w:p>
    <w:p w14:paraId="70168A8E" w14:textId="77777777" w:rsidR="00E7596D" w:rsidRPr="00AB7DE9" w:rsidRDefault="00E7596D" w:rsidP="00C67EE6">
      <w:pPr>
        <w:spacing w:after="0" w:line="276" w:lineRule="auto"/>
        <w:jc w:val="both"/>
        <w:rPr>
          <w:rFonts w:ascii="Arial" w:hAnsi="Arial" w:cs="Arial"/>
          <w:color w:val="00B0F0"/>
          <w:sz w:val="18"/>
          <w:szCs w:val="18"/>
        </w:rPr>
      </w:pPr>
    </w:p>
    <w:p w14:paraId="2BCE7015" w14:textId="77777777" w:rsidR="00E7596D" w:rsidRPr="00AB7DE9" w:rsidRDefault="00E7596D" w:rsidP="00C67EE6">
      <w:pPr>
        <w:spacing w:after="0" w:line="276" w:lineRule="auto"/>
        <w:jc w:val="both"/>
        <w:rPr>
          <w:rFonts w:ascii="Arial" w:hAnsi="Arial" w:cs="Arial"/>
          <w:color w:val="00B0F0"/>
          <w:sz w:val="18"/>
          <w:szCs w:val="18"/>
        </w:rPr>
      </w:pPr>
    </w:p>
    <w:p w14:paraId="29AEB145" w14:textId="77777777" w:rsidR="00E7596D" w:rsidRPr="00AB7DE9" w:rsidRDefault="00E7596D" w:rsidP="00C67EE6">
      <w:pPr>
        <w:spacing w:after="0" w:line="276" w:lineRule="auto"/>
        <w:jc w:val="both"/>
        <w:rPr>
          <w:rFonts w:ascii="Arial" w:hAnsi="Arial" w:cs="Arial"/>
          <w:color w:val="00B0F0"/>
          <w:sz w:val="18"/>
          <w:szCs w:val="18"/>
        </w:rPr>
      </w:pPr>
    </w:p>
    <w:p w14:paraId="5E7156CF" w14:textId="77777777" w:rsidR="007021A8" w:rsidRDefault="007021A8" w:rsidP="00E7596D">
      <w:pPr>
        <w:tabs>
          <w:tab w:val="left" w:pos="284"/>
        </w:tabs>
        <w:rPr>
          <w:rFonts w:ascii="Arial" w:hAnsi="Arial" w:cs="Arial"/>
          <w:sz w:val="18"/>
          <w:szCs w:val="18"/>
        </w:rPr>
      </w:pPr>
    </w:p>
    <w:p w14:paraId="7EE58883" w14:textId="77777777" w:rsidR="007021A8" w:rsidRDefault="007021A8" w:rsidP="00E7596D">
      <w:pPr>
        <w:tabs>
          <w:tab w:val="left" w:pos="284"/>
        </w:tabs>
        <w:rPr>
          <w:rFonts w:ascii="Arial" w:hAnsi="Arial" w:cs="Arial"/>
          <w:sz w:val="18"/>
          <w:szCs w:val="18"/>
        </w:rPr>
      </w:pPr>
    </w:p>
    <w:p w14:paraId="5B6C3B02" w14:textId="77777777" w:rsidR="007021A8" w:rsidRDefault="007021A8" w:rsidP="00E7596D">
      <w:pPr>
        <w:tabs>
          <w:tab w:val="left" w:pos="284"/>
        </w:tabs>
        <w:rPr>
          <w:rFonts w:ascii="Arial" w:hAnsi="Arial" w:cs="Arial"/>
          <w:sz w:val="18"/>
          <w:szCs w:val="18"/>
        </w:rPr>
      </w:pPr>
    </w:p>
    <w:p w14:paraId="1AD9A207" w14:textId="77777777" w:rsidR="007021A8" w:rsidRDefault="007021A8" w:rsidP="007021A8">
      <w:pPr>
        <w:tabs>
          <w:tab w:val="left" w:pos="284"/>
        </w:tabs>
        <w:spacing w:after="0"/>
        <w:rPr>
          <w:rFonts w:ascii="Arial" w:hAnsi="Arial" w:cs="Arial"/>
          <w:sz w:val="18"/>
          <w:szCs w:val="18"/>
        </w:rPr>
      </w:pPr>
    </w:p>
    <w:p w14:paraId="2DD35D2A" w14:textId="34968C1C" w:rsidR="00E7596D" w:rsidRPr="00AB7DE9" w:rsidRDefault="00E7596D" w:rsidP="00E7596D">
      <w:pPr>
        <w:tabs>
          <w:tab w:val="left" w:pos="284"/>
        </w:tabs>
        <w:rPr>
          <w:rFonts w:ascii="Arial" w:hAnsi="Arial" w:cs="Arial"/>
          <w:i/>
          <w:sz w:val="18"/>
          <w:szCs w:val="18"/>
        </w:rPr>
      </w:pPr>
      <w:r w:rsidRPr="007021A8">
        <w:rPr>
          <w:rFonts w:ascii="Arial" w:hAnsi="Arial" w:cs="Arial"/>
          <w:i/>
          <w:iCs/>
          <w:sz w:val="18"/>
          <w:szCs w:val="18"/>
        </w:rPr>
        <w:t>Figure 2.</w:t>
      </w:r>
      <w:r w:rsidRPr="00AB7DE9">
        <w:rPr>
          <w:rFonts w:ascii="Arial" w:hAnsi="Arial" w:cs="Arial"/>
          <w:i/>
          <w:sz w:val="18"/>
          <w:szCs w:val="18"/>
        </w:rPr>
        <w:t xml:space="preserve"> Removal of cadmium with activated carbon and mountain microorganisms.</w:t>
      </w:r>
    </w:p>
    <w:p w14:paraId="7A9F0885" w14:textId="023AA480" w:rsidR="00182579" w:rsidRPr="00871F7E" w:rsidRDefault="00695323" w:rsidP="00C67EE6">
      <w:pPr>
        <w:spacing w:after="0" w:line="276" w:lineRule="auto"/>
        <w:jc w:val="both"/>
        <w:rPr>
          <w:rFonts w:ascii="Arial" w:hAnsi="Arial" w:cs="Arial"/>
          <w:sz w:val="18"/>
          <w:szCs w:val="18"/>
        </w:rPr>
      </w:pPr>
      <w:r>
        <w:rPr>
          <w:rFonts w:ascii="Arial" w:hAnsi="Arial" w:cs="Arial"/>
          <w:sz w:val="18"/>
          <w:szCs w:val="18"/>
        </w:rPr>
        <w:t>T</w:t>
      </w:r>
      <w:r w:rsidRPr="00695323">
        <w:rPr>
          <w:rFonts w:ascii="Arial" w:hAnsi="Arial" w:cs="Arial"/>
          <w:sz w:val="18"/>
          <w:szCs w:val="18"/>
        </w:rPr>
        <w:t>he treatment of activated charcoal from Cocos nucifera at different concentrations: at T2 (CA: 100 g) cadmium removal 3.01 ppm; in T3 (CA: 200 g) cadmium removal 2.18 ppm and in T4 (CA: 300 g) higher cadmium removal 1.2 ppm; the treatment of mountain microorganisms at different concentrations: at T5 (MM: 100 mL) cadmium removal 4.11 ppm; in T6 (MM: 200 mL) cadmium removal 3.45 ppm and in T7 (MM: 300 mL) higher cadmium removal 2.10 ppm.</w:t>
      </w:r>
      <w:r w:rsidR="00611A8C">
        <w:rPr>
          <w:rFonts w:ascii="Arial" w:hAnsi="Arial" w:cs="Arial"/>
          <w:sz w:val="18"/>
          <w:szCs w:val="18"/>
        </w:rPr>
        <w:t xml:space="preserve"> </w:t>
      </w:r>
      <w:r w:rsidR="00AD50B8">
        <w:rPr>
          <w:rFonts w:ascii="Arial" w:hAnsi="Arial" w:cs="Arial"/>
          <w:sz w:val="18"/>
          <w:szCs w:val="18"/>
        </w:rPr>
        <w:t xml:space="preserve"> </w:t>
      </w:r>
      <w:r w:rsidR="00871F7E" w:rsidRPr="00871F7E">
        <w:rPr>
          <w:rFonts w:ascii="Arial" w:hAnsi="Arial" w:cs="Arial"/>
          <w:sz w:val="18"/>
          <w:szCs w:val="18"/>
        </w:rPr>
        <w:t>Cadmium is a heavy metal that causes health problems and its presence in agricultural soils is of concern due to its mobility and absorption by plants; however, activated carbon shows greater removal, probably due to its chemical composition and its conjugation capacity</w:t>
      </w:r>
      <w:r w:rsidR="006148A9" w:rsidRPr="00871F7E">
        <w:rPr>
          <w:rFonts w:ascii="Arial" w:hAnsi="Arial" w:cs="Arial"/>
          <w:sz w:val="18"/>
          <w:szCs w:val="18"/>
        </w:rPr>
        <w:t xml:space="preserve"> (Park et al., 2018); </w:t>
      </w:r>
      <w:r w:rsidR="00871F7E" w:rsidRPr="00871F7E">
        <w:rPr>
          <w:rFonts w:ascii="Arial" w:hAnsi="Arial" w:cs="Arial"/>
          <w:sz w:val="18"/>
          <w:szCs w:val="18"/>
        </w:rPr>
        <w:t xml:space="preserve">mountain microorganisms play a fundamental role in the removal of cadmium, but at a higher concentration a significant result would be expected. </w:t>
      </w:r>
      <w:r w:rsidR="006148A9" w:rsidRPr="00871F7E">
        <w:rPr>
          <w:rFonts w:ascii="Arial" w:hAnsi="Arial" w:cs="Arial"/>
          <w:sz w:val="18"/>
          <w:szCs w:val="18"/>
        </w:rPr>
        <w:t>(Li et al., 2018)</w:t>
      </w:r>
    </w:p>
    <w:p w14:paraId="556ECAFC" w14:textId="77777777" w:rsidR="00695323" w:rsidRPr="00871F7E" w:rsidRDefault="00695323" w:rsidP="00C67EE6">
      <w:pPr>
        <w:spacing w:after="0" w:line="276" w:lineRule="auto"/>
        <w:jc w:val="both"/>
        <w:rPr>
          <w:rFonts w:ascii="Arial" w:hAnsi="Arial" w:cs="Arial"/>
          <w:color w:val="00B0F0"/>
          <w:sz w:val="18"/>
          <w:szCs w:val="18"/>
        </w:rPr>
      </w:pPr>
    </w:p>
    <w:p w14:paraId="4216CCDA" w14:textId="77777777" w:rsidR="00182579" w:rsidRPr="00871F7E" w:rsidRDefault="00182579" w:rsidP="007021A8">
      <w:pPr>
        <w:pStyle w:val="CETHeading1"/>
        <w:spacing w:before="0" w:after="0" w:line="276" w:lineRule="auto"/>
        <w:rPr>
          <w:rFonts w:cs="Arial"/>
        </w:rPr>
      </w:pPr>
      <w:r w:rsidRPr="00871F7E">
        <w:rPr>
          <w:rFonts w:cs="Arial"/>
        </w:rPr>
        <w:t xml:space="preserve">Conclusions </w:t>
      </w:r>
    </w:p>
    <w:p w14:paraId="7FFACDD3" w14:textId="395A56F1" w:rsidR="004E116E" w:rsidRPr="00AB7DE9" w:rsidRDefault="004E116E" w:rsidP="007021A8">
      <w:pPr>
        <w:pStyle w:val="Prrafode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cs="Arial"/>
          <w:szCs w:val="18"/>
          <w:lang w:val="en-US"/>
        </w:rPr>
      </w:pPr>
      <w:r w:rsidRPr="00AB7DE9">
        <w:rPr>
          <w:rFonts w:cs="Arial"/>
          <w:szCs w:val="18"/>
          <w:lang w:val="en-US"/>
        </w:rPr>
        <w:t>Activated carbon is a natural by-product used for various purposes such as industry, technology, medicine, ecology, etc. Its different functions can make an environment less polluted and thus contribute to new proposals for the recovery of contaminated agricultural soils.</w:t>
      </w:r>
      <w:r w:rsidR="005202A2">
        <w:rPr>
          <w:rFonts w:cs="Arial"/>
          <w:szCs w:val="18"/>
          <w:lang w:val="en-US"/>
        </w:rPr>
        <w:t xml:space="preserve"> </w:t>
      </w:r>
      <w:r w:rsidRPr="00AB7DE9">
        <w:rPr>
          <w:rFonts w:cs="Arial"/>
          <w:szCs w:val="18"/>
          <w:lang w:val="en-US"/>
        </w:rPr>
        <w:t>The use of mountain microorganisms would be an alternative to improve soil quality because among their metabolic functions are decomposition of organic matter, hormonal effects, promote foliage, flowering, degrade toxic substances and in some cases absorb heavy metals.</w:t>
      </w:r>
    </w:p>
    <w:p w14:paraId="45A70994" w14:textId="77777777" w:rsidR="0061797F" w:rsidRDefault="0061797F" w:rsidP="0061797F">
      <w:pPr>
        <w:spacing w:after="0" w:line="276" w:lineRule="auto"/>
        <w:jc w:val="both"/>
        <w:rPr>
          <w:rFonts w:ascii="Arial" w:eastAsia="Times New Roman" w:hAnsi="Arial" w:cs="Arial"/>
          <w:sz w:val="18"/>
          <w:szCs w:val="18"/>
        </w:rPr>
      </w:pPr>
      <w:r w:rsidRPr="0061797F">
        <w:rPr>
          <w:rFonts w:ascii="Arial" w:eastAsia="Times New Roman" w:hAnsi="Arial" w:cs="Arial"/>
          <w:sz w:val="18"/>
          <w:szCs w:val="18"/>
        </w:rPr>
        <w:t>The highest cadmium bioremoval capacity in degraded agricultural soils and quality improvement with respect to its physicochemical properties was with Cocos nucifera activated carbon in treatment T3 (CA: 200 g) and treatment T4 (CA: 300 g). On the other hand, in the use of mountain microorganisms, improvements in their nutrients and cadmium removal were observed in the T7 treatment (MM: 300 mL).</w:t>
      </w:r>
    </w:p>
    <w:p w14:paraId="410763B3" w14:textId="25338CA3" w:rsidR="004E116E" w:rsidRDefault="004E116E" w:rsidP="0061797F">
      <w:pPr>
        <w:spacing w:after="0" w:line="276" w:lineRule="auto"/>
        <w:jc w:val="both"/>
        <w:rPr>
          <w:rFonts w:ascii="Arial" w:hAnsi="Arial" w:cs="Arial"/>
          <w:sz w:val="18"/>
          <w:szCs w:val="18"/>
        </w:rPr>
      </w:pPr>
      <w:r w:rsidRPr="00AB7DE9">
        <w:rPr>
          <w:rFonts w:ascii="Arial" w:hAnsi="Arial" w:cs="Arial"/>
          <w:sz w:val="18"/>
          <w:szCs w:val="18"/>
        </w:rPr>
        <w:lastRenderedPageBreak/>
        <w:t>The bioremediation method or technique could be a proposal to mitigate the negative environmental impacts caused by human activities, as these technologies are non-invasive, economical and environmentally friendly.</w:t>
      </w:r>
    </w:p>
    <w:p w14:paraId="061A220A" w14:textId="2361E163" w:rsidR="009740DF" w:rsidRDefault="009740DF" w:rsidP="009740DF">
      <w:pPr>
        <w:pStyle w:val="CETBodytext"/>
        <w:rPr>
          <w:rFonts w:eastAsiaTheme="minorHAnsi" w:cs="Arial"/>
          <w:szCs w:val="18"/>
          <w:lang w:val="en-GB"/>
        </w:rPr>
      </w:pPr>
      <w:r w:rsidRPr="009740DF">
        <w:rPr>
          <w:rFonts w:eastAsiaTheme="minorHAnsi" w:cs="Arial"/>
          <w:szCs w:val="18"/>
          <w:lang w:val="en-GB"/>
        </w:rPr>
        <w:t>The use of activated carbon is fundamental in different areas such as industry, technology, medicine and ecology, among others. Its multiple applications can contribute to the reduction of soil contamination and, therefore, promote new initiatives for a sustainable ecosystem. Other materials are more expensive and can generate some negative impact that contributes to pollution in the environment.</w:t>
      </w:r>
    </w:p>
    <w:p w14:paraId="7D105E0A" w14:textId="77777777" w:rsidR="006148A9" w:rsidRDefault="006148A9" w:rsidP="009740DF">
      <w:pPr>
        <w:pStyle w:val="CETBodytext"/>
        <w:rPr>
          <w:rFonts w:eastAsiaTheme="minorHAnsi" w:cs="Arial"/>
          <w:szCs w:val="18"/>
          <w:lang w:val="en-GB"/>
        </w:rPr>
      </w:pPr>
    </w:p>
    <w:p w14:paraId="3B3176C3" w14:textId="33989FEB" w:rsidR="009E1E33" w:rsidRPr="007021A8" w:rsidRDefault="009E1E33" w:rsidP="009E1E33">
      <w:pPr>
        <w:pStyle w:val="CETBodytext"/>
        <w:jc w:val="left"/>
        <w:rPr>
          <w:rFonts w:eastAsiaTheme="minorHAnsi" w:cs="Arial"/>
          <w:b/>
          <w:bCs/>
          <w:sz w:val="20"/>
        </w:rPr>
      </w:pPr>
      <w:r w:rsidRPr="007021A8">
        <w:rPr>
          <w:rFonts w:eastAsiaTheme="minorHAnsi" w:cs="Arial"/>
          <w:b/>
          <w:bCs/>
          <w:sz w:val="20"/>
        </w:rPr>
        <w:t>References</w:t>
      </w:r>
    </w:p>
    <w:p w14:paraId="73A5EA28" w14:textId="77777777" w:rsidR="009E1E33" w:rsidRPr="00AB7DE9" w:rsidRDefault="009E1E33" w:rsidP="009E1E33">
      <w:pPr>
        <w:pStyle w:val="CETBodytext"/>
        <w:jc w:val="left"/>
        <w:rPr>
          <w:rFonts w:eastAsiaTheme="minorHAnsi" w:cs="Arial"/>
          <w:b/>
          <w:bCs/>
          <w:szCs w:val="18"/>
        </w:rPr>
      </w:pPr>
    </w:p>
    <w:p w14:paraId="3F150022" w14:textId="77777777" w:rsidR="009E1E33" w:rsidRPr="00AB7DE9" w:rsidRDefault="009E1E33" w:rsidP="00582313">
      <w:pPr>
        <w:autoSpaceDE w:val="0"/>
        <w:autoSpaceDN w:val="0"/>
        <w:adjustRightInd w:val="0"/>
        <w:spacing w:after="0" w:line="276" w:lineRule="auto"/>
        <w:ind w:left="709" w:hanging="709"/>
        <w:jc w:val="both"/>
        <w:rPr>
          <w:rFonts w:ascii="Arial" w:hAnsi="Arial" w:cs="Arial"/>
          <w:sz w:val="18"/>
          <w:szCs w:val="18"/>
        </w:rPr>
      </w:pPr>
      <w:r w:rsidRPr="00AB7DE9">
        <w:rPr>
          <w:rFonts w:ascii="Arial" w:hAnsi="Arial" w:cs="Arial"/>
          <w:sz w:val="18"/>
          <w:szCs w:val="18"/>
        </w:rPr>
        <w:t>Abdul A.R., Rabat N.E., Johari K., Saman N., Mat H., 2019, Removal of lead (ii) ions from aqueous solution using desiccated coconut waste as low-cost adsorbent, Chemical Engineering Transactions, 72, 169-174</w:t>
      </w:r>
    </w:p>
    <w:p w14:paraId="23B2FF15" w14:textId="77777777" w:rsidR="009E1E33" w:rsidRPr="00D35DF4" w:rsidRDefault="009E1E33" w:rsidP="00582313">
      <w:pPr>
        <w:autoSpaceDE w:val="0"/>
        <w:autoSpaceDN w:val="0"/>
        <w:adjustRightInd w:val="0"/>
        <w:spacing w:after="0" w:line="276" w:lineRule="auto"/>
        <w:ind w:left="709" w:hanging="709"/>
        <w:jc w:val="both"/>
        <w:rPr>
          <w:rFonts w:ascii="Arial" w:hAnsi="Arial" w:cs="Arial"/>
          <w:sz w:val="18"/>
          <w:szCs w:val="18"/>
          <w:lang w:val="en-GB"/>
        </w:rPr>
      </w:pPr>
      <w:r w:rsidRPr="00AB7DE9">
        <w:rPr>
          <w:rFonts w:ascii="Arial" w:hAnsi="Arial" w:cs="Arial"/>
          <w:sz w:val="18"/>
          <w:szCs w:val="18"/>
        </w:rPr>
        <w:t xml:space="preserve">Ahiduzzaman M y Sadrul A.K., 2016, Preparation of porous bio-char and activated carbon from rice husk by leaching ash and chemical activation. </w:t>
      </w:r>
      <w:r w:rsidRPr="00D35DF4">
        <w:rPr>
          <w:rFonts w:ascii="Arial" w:hAnsi="Arial" w:cs="Arial"/>
          <w:i/>
          <w:iCs/>
          <w:sz w:val="18"/>
          <w:szCs w:val="18"/>
          <w:lang w:val="en-GB"/>
        </w:rPr>
        <w:t>Springerplus</w:t>
      </w:r>
      <w:r w:rsidRPr="00D35DF4">
        <w:rPr>
          <w:rFonts w:ascii="Arial" w:hAnsi="Arial" w:cs="Arial"/>
          <w:sz w:val="18"/>
          <w:szCs w:val="18"/>
          <w:lang w:val="en-GB"/>
        </w:rPr>
        <w:t>, 5 (1):1248.</w:t>
      </w:r>
    </w:p>
    <w:p w14:paraId="24F07D3B" w14:textId="0EF86D15" w:rsidR="009E1E33" w:rsidRPr="00C65729" w:rsidRDefault="009E1E33" w:rsidP="00F30902">
      <w:pPr>
        <w:autoSpaceDE w:val="0"/>
        <w:autoSpaceDN w:val="0"/>
        <w:adjustRightInd w:val="0"/>
        <w:spacing w:after="0" w:line="276" w:lineRule="auto"/>
        <w:ind w:left="709" w:hanging="709"/>
        <w:jc w:val="both"/>
        <w:rPr>
          <w:rStyle w:val="title-text"/>
          <w:rFonts w:ascii="Arial" w:hAnsi="Arial" w:cs="Arial"/>
          <w:bCs/>
          <w:sz w:val="18"/>
          <w:szCs w:val="18"/>
          <w:lang w:val="en-GB"/>
        </w:rPr>
      </w:pPr>
      <w:r w:rsidRPr="00C65729">
        <w:rPr>
          <w:rStyle w:val="title-text"/>
          <w:rFonts w:ascii="Arial" w:hAnsi="Arial" w:cs="Arial"/>
          <w:bCs/>
          <w:sz w:val="18"/>
          <w:szCs w:val="18"/>
          <w:lang w:val="en-GB"/>
        </w:rPr>
        <w:t>Elessawy N.A, El</w:t>
      </w:r>
      <w:r w:rsidRPr="00C65729">
        <w:rPr>
          <w:rStyle w:val="title-text"/>
          <w:rFonts w:ascii="Arial" w:hAnsi="Arial" w:cs="Arial"/>
          <w:bCs/>
          <w:sz w:val="18"/>
          <w:szCs w:val="18"/>
          <w:lang w:val="en-GB"/>
        </w:rPr>
        <w:softHyphen/>
        <w:t xml:space="preserve">Sayed E.M, Ali S., Elkady M.F, Elnouby M., Hamad H.A, 2020, </w:t>
      </w:r>
      <w:r w:rsidR="00C65729" w:rsidRPr="00C65729">
        <w:rPr>
          <w:rStyle w:val="title-text"/>
          <w:rFonts w:ascii="Arial" w:hAnsi="Arial" w:cs="Arial"/>
          <w:bCs/>
          <w:sz w:val="18"/>
          <w:szCs w:val="18"/>
          <w:lang w:val="en-GB"/>
        </w:rPr>
        <w:t>Green synthesis in a magnetic nanocomposite vessel for adsorption characteristics,</w:t>
      </w:r>
      <w:r w:rsidR="00C65729">
        <w:rPr>
          <w:rStyle w:val="title-text"/>
          <w:rFonts w:ascii="Arial" w:hAnsi="Arial" w:cs="Arial"/>
          <w:bCs/>
          <w:sz w:val="18"/>
          <w:szCs w:val="18"/>
          <w:lang w:val="en-GB"/>
        </w:rPr>
        <w:t xml:space="preserve"> </w:t>
      </w:r>
      <w:r w:rsidRPr="00C65729">
        <w:rPr>
          <w:rStyle w:val="title-text"/>
          <w:rFonts w:ascii="Arial" w:hAnsi="Arial" w:cs="Arial"/>
          <w:bCs/>
          <w:sz w:val="18"/>
          <w:szCs w:val="18"/>
          <w:lang w:val="en-GB"/>
        </w:rPr>
        <w:t>Journal of Water Process Engineering, 34, 101047.</w:t>
      </w:r>
    </w:p>
    <w:p w14:paraId="3901078B" w14:textId="77777777" w:rsidR="009E1E33" w:rsidRPr="00AB7DE9" w:rsidRDefault="009E1E33" w:rsidP="00F30902">
      <w:pPr>
        <w:autoSpaceDE w:val="0"/>
        <w:autoSpaceDN w:val="0"/>
        <w:adjustRightInd w:val="0"/>
        <w:spacing w:after="0" w:line="276" w:lineRule="auto"/>
        <w:ind w:left="709" w:hanging="709"/>
        <w:jc w:val="both"/>
        <w:rPr>
          <w:rFonts w:ascii="Arial" w:hAnsi="Arial" w:cs="Arial"/>
          <w:sz w:val="18"/>
          <w:szCs w:val="18"/>
        </w:rPr>
      </w:pPr>
      <w:r w:rsidRPr="00AB7DE9">
        <w:rPr>
          <w:rFonts w:ascii="Arial" w:hAnsi="Arial" w:cs="Arial"/>
          <w:sz w:val="18"/>
          <w:szCs w:val="18"/>
        </w:rPr>
        <w:t xml:space="preserve">Grima O.C., Ramírez G.Á., Gómez L.D., Clemente J.C., 2016, Activated carbon from flash pyrolysis of eucalyptus residue, Journal </w:t>
      </w:r>
      <w:r w:rsidRPr="004F1C0B">
        <w:rPr>
          <w:rFonts w:ascii="Arial" w:hAnsi="Arial" w:cs="Arial"/>
          <w:sz w:val="18"/>
          <w:szCs w:val="18"/>
        </w:rPr>
        <w:t xml:space="preserve">Heliyon, </w:t>
      </w:r>
      <w:r w:rsidRPr="00AB7DE9">
        <w:rPr>
          <w:rFonts w:ascii="Arial" w:hAnsi="Arial" w:cs="Arial"/>
          <w:sz w:val="18"/>
          <w:szCs w:val="18"/>
        </w:rPr>
        <w:t>2 (9).</w:t>
      </w:r>
    </w:p>
    <w:p w14:paraId="6DEE46DB" w14:textId="050A0242" w:rsidR="00E91BC6" w:rsidRDefault="00E91BC6" w:rsidP="00582313">
      <w:pPr>
        <w:autoSpaceDE w:val="0"/>
        <w:autoSpaceDN w:val="0"/>
        <w:adjustRightInd w:val="0"/>
        <w:spacing w:after="0" w:line="276" w:lineRule="auto"/>
        <w:ind w:left="709" w:hanging="709"/>
        <w:jc w:val="both"/>
        <w:rPr>
          <w:rFonts w:ascii="Arial" w:hAnsi="Arial" w:cs="Arial"/>
          <w:sz w:val="18"/>
          <w:szCs w:val="18"/>
          <w:lang w:val="en-GB"/>
        </w:rPr>
      </w:pPr>
      <w:r w:rsidRPr="00E91BC6">
        <w:rPr>
          <w:rFonts w:ascii="Arial" w:hAnsi="Arial" w:cs="Arial"/>
          <w:sz w:val="18"/>
          <w:szCs w:val="18"/>
          <w:lang w:val="en-GB"/>
        </w:rPr>
        <w:t>Li J., Li L., Xiong X., Zhang R., Li W.</w:t>
      </w:r>
      <w:r>
        <w:rPr>
          <w:rFonts w:ascii="Arial" w:hAnsi="Arial" w:cs="Arial"/>
          <w:sz w:val="18"/>
          <w:szCs w:val="18"/>
          <w:lang w:val="en-GB"/>
        </w:rPr>
        <w:t xml:space="preserve">, </w:t>
      </w:r>
      <w:r w:rsidRPr="00E91BC6">
        <w:rPr>
          <w:rFonts w:ascii="Arial" w:hAnsi="Arial" w:cs="Arial"/>
          <w:sz w:val="18"/>
          <w:szCs w:val="18"/>
          <w:lang w:val="en-GB"/>
        </w:rPr>
        <w:t>2017</w:t>
      </w:r>
      <w:r>
        <w:rPr>
          <w:rFonts w:ascii="Arial" w:hAnsi="Arial" w:cs="Arial"/>
          <w:sz w:val="18"/>
          <w:szCs w:val="18"/>
          <w:lang w:val="en-GB"/>
        </w:rPr>
        <w:t>,</w:t>
      </w:r>
      <w:r w:rsidRPr="00E91BC6">
        <w:rPr>
          <w:rFonts w:ascii="Arial" w:hAnsi="Arial" w:cs="Arial"/>
          <w:sz w:val="18"/>
          <w:szCs w:val="18"/>
          <w:lang w:val="en-GB"/>
        </w:rPr>
        <w:t xml:space="preserve"> Remediation of cadmium-contaminated soils by phytoremediation using Sedum alfredii Hance: Growth response, cadmium uptake and soil microbial community. Ecotoxicology and Environmental Safety, 145, 512-519.</w:t>
      </w:r>
    </w:p>
    <w:p w14:paraId="3C9BA71B" w14:textId="710BD4C4" w:rsidR="005202A2" w:rsidRDefault="005202A2" w:rsidP="00582313">
      <w:pPr>
        <w:autoSpaceDE w:val="0"/>
        <w:autoSpaceDN w:val="0"/>
        <w:adjustRightInd w:val="0"/>
        <w:spacing w:after="0" w:line="276" w:lineRule="auto"/>
        <w:ind w:left="709" w:hanging="709"/>
        <w:jc w:val="both"/>
        <w:rPr>
          <w:rFonts w:ascii="Arial" w:hAnsi="Arial" w:cs="Arial"/>
          <w:sz w:val="18"/>
          <w:szCs w:val="18"/>
          <w:lang w:val="en-GB"/>
        </w:rPr>
      </w:pPr>
      <w:r w:rsidRPr="002F750E">
        <w:rPr>
          <w:rFonts w:ascii="Arial" w:hAnsi="Arial" w:cs="Arial"/>
          <w:sz w:val="18"/>
          <w:szCs w:val="18"/>
          <w:lang w:val="en-GB"/>
        </w:rPr>
        <w:t>López M., Cervantes D., Juárez C., Alarcón A., Espinoza F.</w:t>
      </w:r>
      <w:r w:rsidR="002F750E" w:rsidRPr="002F750E">
        <w:rPr>
          <w:rFonts w:ascii="Arial" w:hAnsi="Arial" w:cs="Arial"/>
          <w:sz w:val="18"/>
          <w:szCs w:val="18"/>
          <w:lang w:val="en-GB"/>
        </w:rPr>
        <w:t>,</w:t>
      </w:r>
      <w:r w:rsidRPr="002F750E">
        <w:rPr>
          <w:rFonts w:ascii="Arial" w:hAnsi="Arial" w:cs="Arial"/>
          <w:sz w:val="18"/>
          <w:szCs w:val="18"/>
          <w:lang w:val="en-GB"/>
        </w:rPr>
        <w:t xml:space="preserve"> 2019</w:t>
      </w:r>
      <w:r w:rsidR="002F750E" w:rsidRPr="002F750E">
        <w:rPr>
          <w:rFonts w:ascii="Arial" w:hAnsi="Arial" w:cs="Arial"/>
          <w:sz w:val="18"/>
          <w:szCs w:val="18"/>
          <w:lang w:val="en-GB"/>
        </w:rPr>
        <w:t>,</w:t>
      </w:r>
      <w:r w:rsidRPr="002F750E">
        <w:rPr>
          <w:rFonts w:ascii="Arial" w:hAnsi="Arial" w:cs="Arial"/>
          <w:sz w:val="18"/>
          <w:szCs w:val="18"/>
          <w:lang w:val="en-GB"/>
        </w:rPr>
        <w:t xml:space="preserve"> </w:t>
      </w:r>
      <w:r w:rsidRPr="005202A2">
        <w:rPr>
          <w:rFonts w:ascii="Arial" w:hAnsi="Arial" w:cs="Arial"/>
          <w:sz w:val="18"/>
          <w:szCs w:val="18"/>
          <w:lang w:val="en-GB"/>
        </w:rPr>
        <w:t>Bioremediation of soils contaminated with hydrocarbons using a bioproduct and activated carbon. International Journal of Environmental Pollution, 35(4), 711-720.</w:t>
      </w:r>
    </w:p>
    <w:p w14:paraId="778B216E" w14:textId="298A6043" w:rsidR="009E1E33" w:rsidRPr="00C65729" w:rsidRDefault="009E1E33" w:rsidP="00582313">
      <w:pPr>
        <w:autoSpaceDE w:val="0"/>
        <w:autoSpaceDN w:val="0"/>
        <w:adjustRightInd w:val="0"/>
        <w:spacing w:after="0" w:line="276" w:lineRule="auto"/>
        <w:ind w:left="709" w:hanging="709"/>
        <w:jc w:val="both"/>
        <w:rPr>
          <w:rFonts w:ascii="Arial" w:hAnsi="Arial" w:cs="Arial"/>
          <w:sz w:val="18"/>
          <w:szCs w:val="18"/>
          <w:lang w:val="en-GB"/>
        </w:rPr>
      </w:pPr>
      <w:r w:rsidRPr="00C65729">
        <w:rPr>
          <w:rFonts w:ascii="Arial" w:hAnsi="Arial" w:cs="Arial"/>
          <w:sz w:val="18"/>
          <w:szCs w:val="18"/>
          <w:lang w:val="en-GB"/>
        </w:rPr>
        <w:t xml:space="preserve">Ministerio del Ambiente., 2017, </w:t>
      </w:r>
      <w:r w:rsidR="00C65729" w:rsidRPr="00C65729">
        <w:rPr>
          <w:rFonts w:ascii="Arial" w:hAnsi="Arial" w:cs="Arial"/>
          <w:sz w:val="18"/>
          <w:szCs w:val="18"/>
          <w:lang w:val="en-GB"/>
        </w:rPr>
        <w:t xml:space="preserve">Environmental Quality Standards for soil. Supreme decret </w:t>
      </w:r>
      <w:r w:rsidRPr="00C65729">
        <w:rPr>
          <w:rFonts w:ascii="Arial" w:hAnsi="Arial" w:cs="Arial"/>
          <w:sz w:val="18"/>
          <w:szCs w:val="18"/>
          <w:lang w:val="en-GB"/>
        </w:rPr>
        <w:t>N° 011-2017</w:t>
      </w:r>
    </w:p>
    <w:p w14:paraId="5229997A" w14:textId="7518D004" w:rsidR="005202A2" w:rsidRDefault="005202A2" w:rsidP="00582313">
      <w:pPr>
        <w:autoSpaceDE w:val="0"/>
        <w:autoSpaceDN w:val="0"/>
        <w:adjustRightInd w:val="0"/>
        <w:spacing w:after="0" w:line="276" w:lineRule="auto"/>
        <w:ind w:left="709" w:hanging="709"/>
        <w:jc w:val="both"/>
        <w:rPr>
          <w:rFonts w:ascii="Arial" w:hAnsi="Arial" w:cs="Arial"/>
          <w:sz w:val="18"/>
          <w:szCs w:val="18"/>
          <w:lang w:val="en-GB"/>
        </w:rPr>
      </w:pPr>
      <w:r w:rsidRPr="005202A2">
        <w:rPr>
          <w:rFonts w:ascii="Arial" w:hAnsi="Arial" w:cs="Arial"/>
          <w:sz w:val="18"/>
          <w:szCs w:val="18"/>
          <w:lang w:val="en-GB"/>
        </w:rPr>
        <w:t>Mallick S., Mohanty M.</w:t>
      </w:r>
      <w:r w:rsidR="003A6A66">
        <w:rPr>
          <w:rFonts w:ascii="Arial" w:hAnsi="Arial" w:cs="Arial"/>
          <w:sz w:val="18"/>
          <w:szCs w:val="18"/>
          <w:lang w:val="en-GB"/>
        </w:rPr>
        <w:t xml:space="preserve">, </w:t>
      </w:r>
      <w:r w:rsidRPr="005202A2">
        <w:rPr>
          <w:rFonts w:ascii="Arial" w:hAnsi="Arial" w:cs="Arial"/>
          <w:sz w:val="18"/>
          <w:szCs w:val="18"/>
          <w:lang w:val="en-GB"/>
        </w:rPr>
        <w:t>2019</w:t>
      </w:r>
      <w:r w:rsidR="003A6A66">
        <w:rPr>
          <w:rFonts w:ascii="Arial" w:hAnsi="Arial" w:cs="Arial"/>
          <w:sz w:val="18"/>
          <w:szCs w:val="18"/>
          <w:lang w:val="en-GB"/>
        </w:rPr>
        <w:t>,</w:t>
      </w:r>
      <w:r w:rsidRPr="005202A2">
        <w:rPr>
          <w:rFonts w:ascii="Arial" w:hAnsi="Arial" w:cs="Arial"/>
          <w:sz w:val="18"/>
          <w:szCs w:val="18"/>
          <w:lang w:val="en-GB"/>
        </w:rPr>
        <w:t xml:space="preserve"> Bioremediation of polycyclic aromatic hydrocarbon contaminated soil using activated carbon and bacteria. Bioremediation Journal, 23(2), 110-123.</w:t>
      </w:r>
    </w:p>
    <w:p w14:paraId="2F8E732C" w14:textId="4A5FA429" w:rsidR="009E1E33" w:rsidRPr="00C65729" w:rsidRDefault="009E1E33" w:rsidP="00582313">
      <w:pPr>
        <w:autoSpaceDE w:val="0"/>
        <w:autoSpaceDN w:val="0"/>
        <w:adjustRightInd w:val="0"/>
        <w:spacing w:after="0" w:line="276" w:lineRule="auto"/>
        <w:ind w:left="709" w:hanging="709"/>
        <w:jc w:val="both"/>
        <w:rPr>
          <w:rFonts w:ascii="Arial" w:hAnsi="Arial" w:cs="Arial"/>
          <w:sz w:val="18"/>
          <w:szCs w:val="18"/>
          <w:lang w:val="en-GB"/>
        </w:rPr>
      </w:pPr>
      <w:r w:rsidRPr="00C65729">
        <w:rPr>
          <w:rFonts w:ascii="Arial" w:hAnsi="Arial" w:cs="Arial"/>
          <w:sz w:val="18"/>
          <w:szCs w:val="18"/>
          <w:lang w:val="en-GB"/>
        </w:rPr>
        <w:t>Ngilangil L.E, Vilar D.A, 2020</w:t>
      </w:r>
      <w:r w:rsidR="00C65729">
        <w:rPr>
          <w:rFonts w:ascii="Arial" w:hAnsi="Arial" w:cs="Arial"/>
          <w:sz w:val="18"/>
          <w:szCs w:val="18"/>
          <w:lang w:val="en-GB"/>
        </w:rPr>
        <w:t xml:space="preserve">, </w:t>
      </w:r>
      <w:r w:rsidR="00C65729" w:rsidRPr="00C65729">
        <w:rPr>
          <w:rFonts w:ascii="Arial" w:hAnsi="Arial" w:cs="Arial"/>
          <w:sz w:val="18"/>
          <w:szCs w:val="18"/>
          <w:lang w:val="en-GB"/>
        </w:rPr>
        <w:t>Effective microorganisms as a remedy for marginal soils in the Philippines, Chemical Engineering Transactions</w:t>
      </w:r>
      <w:r w:rsidRPr="00C65729">
        <w:rPr>
          <w:rFonts w:ascii="Arial" w:hAnsi="Arial" w:cs="Arial"/>
          <w:sz w:val="18"/>
          <w:szCs w:val="18"/>
          <w:lang w:val="en-GB"/>
        </w:rPr>
        <w:t>, 78, 253­258</w:t>
      </w:r>
    </w:p>
    <w:p w14:paraId="06E51C5B" w14:textId="77777777" w:rsidR="009E1E33" w:rsidRPr="00AB7DE9" w:rsidRDefault="009E1E33" w:rsidP="00582313">
      <w:pPr>
        <w:autoSpaceDE w:val="0"/>
        <w:autoSpaceDN w:val="0"/>
        <w:adjustRightInd w:val="0"/>
        <w:spacing w:after="0" w:line="276" w:lineRule="auto"/>
        <w:ind w:left="709" w:hanging="709"/>
        <w:jc w:val="both"/>
        <w:rPr>
          <w:rFonts w:ascii="Arial" w:hAnsi="Arial" w:cs="Arial"/>
          <w:sz w:val="18"/>
          <w:szCs w:val="18"/>
        </w:rPr>
      </w:pPr>
      <w:r w:rsidRPr="00AB7DE9">
        <w:rPr>
          <w:rFonts w:ascii="Arial" w:hAnsi="Arial" w:cs="Arial"/>
          <w:sz w:val="18"/>
          <w:szCs w:val="18"/>
        </w:rPr>
        <w:t>Obregón V.D y Sun K.M., 2014, Comparative cadmium adsorption study on activated carbon prepared from aguaje (</w:t>
      </w:r>
      <w:r w:rsidRPr="00AB7DE9">
        <w:rPr>
          <w:rFonts w:ascii="Arial" w:hAnsi="Arial" w:cs="Arial"/>
          <w:i/>
          <w:iCs/>
          <w:sz w:val="18"/>
          <w:szCs w:val="18"/>
        </w:rPr>
        <w:t>Mauritia flexuosa</w:t>
      </w:r>
      <w:r w:rsidRPr="00AB7DE9">
        <w:rPr>
          <w:rFonts w:ascii="Arial" w:hAnsi="Arial" w:cs="Arial"/>
          <w:sz w:val="18"/>
          <w:szCs w:val="18"/>
        </w:rPr>
        <w:t>) and olive fruit stones (</w:t>
      </w:r>
      <w:r w:rsidRPr="00AB7DE9">
        <w:rPr>
          <w:rFonts w:ascii="Arial" w:hAnsi="Arial" w:cs="Arial"/>
          <w:i/>
          <w:iCs/>
          <w:sz w:val="18"/>
          <w:szCs w:val="18"/>
        </w:rPr>
        <w:t xml:space="preserve">Olea europaea </w:t>
      </w:r>
      <w:r w:rsidRPr="00AB7DE9">
        <w:rPr>
          <w:rFonts w:ascii="Arial" w:hAnsi="Arial" w:cs="Arial"/>
          <w:sz w:val="18"/>
          <w:szCs w:val="18"/>
        </w:rPr>
        <w:t>L.), Journal of Environmental Chemical Engineering, 2, 2280 - 2288.</w:t>
      </w:r>
    </w:p>
    <w:p w14:paraId="1E7D7978" w14:textId="34938DF4" w:rsidR="009E1E33" w:rsidRPr="00C65729" w:rsidRDefault="009E1E33" w:rsidP="00582313">
      <w:pPr>
        <w:pStyle w:val="CETBodytext"/>
        <w:spacing w:line="276" w:lineRule="auto"/>
        <w:ind w:left="709" w:hanging="709"/>
        <w:rPr>
          <w:rFonts w:cs="Arial"/>
          <w:szCs w:val="18"/>
          <w:lang w:val="en-GB"/>
        </w:rPr>
      </w:pPr>
      <w:r w:rsidRPr="00C65729">
        <w:rPr>
          <w:rFonts w:cs="Arial"/>
          <w:szCs w:val="18"/>
          <w:lang w:val="en-GB"/>
        </w:rPr>
        <w:t>Olle M., Williams I.H, 2013, </w:t>
      </w:r>
      <w:r w:rsidR="00C65729" w:rsidRPr="00C65729">
        <w:rPr>
          <w:rFonts w:cs="Arial"/>
          <w:szCs w:val="18"/>
          <w:lang w:val="en-GB"/>
        </w:rPr>
        <w:t>Effective microorganisms and their influence on plant production – A review, Journal of Horticultural Science and Biotechnology</w:t>
      </w:r>
      <w:r w:rsidRPr="00C65729">
        <w:rPr>
          <w:rFonts w:cs="Arial"/>
          <w:szCs w:val="18"/>
          <w:lang w:val="en-GB"/>
        </w:rPr>
        <w:t>, 88 (4), 380­386.</w:t>
      </w:r>
    </w:p>
    <w:p w14:paraId="6225DF7F" w14:textId="0E1A07B7" w:rsidR="00CF5111" w:rsidRDefault="00CF5111" w:rsidP="00582313">
      <w:pPr>
        <w:pStyle w:val="CETBodytext"/>
        <w:spacing w:line="276" w:lineRule="auto"/>
        <w:ind w:left="709" w:hanging="709"/>
        <w:rPr>
          <w:rFonts w:cs="Arial"/>
          <w:szCs w:val="18"/>
          <w:lang w:val="en-GB"/>
        </w:rPr>
      </w:pPr>
      <w:r w:rsidRPr="00CF5111">
        <w:rPr>
          <w:rFonts w:cs="Arial"/>
          <w:szCs w:val="18"/>
          <w:lang w:val="en-GB"/>
        </w:rPr>
        <w:t>Park J.H., Lee J.S., Shin W.S.</w:t>
      </w:r>
      <w:r>
        <w:rPr>
          <w:rFonts w:cs="Arial"/>
          <w:szCs w:val="18"/>
          <w:lang w:val="en-GB"/>
        </w:rPr>
        <w:t xml:space="preserve">, </w:t>
      </w:r>
      <w:r w:rsidRPr="00CF5111">
        <w:rPr>
          <w:rFonts w:cs="Arial"/>
          <w:szCs w:val="18"/>
          <w:lang w:val="en-GB"/>
        </w:rPr>
        <w:t>2018</w:t>
      </w:r>
      <w:r>
        <w:rPr>
          <w:rFonts w:cs="Arial"/>
          <w:szCs w:val="18"/>
          <w:lang w:val="en-GB"/>
        </w:rPr>
        <w:t>,</w:t>
      </w:r>
      <w:r w:rsidRPr="00CF5111">
        <w:rPr>
          <w:rFonts w:cs="Arial"/>
          <w:szCs w:val="18"/>
          <w:lang w:val="en-GB"/>
        </w:rPr>
        <w:t xml:space="preserve"> Cadmium removal from aqueous solution using bamboo-based activated carbon. Korean Journal of Chemical Engineering, 35(2), 489-494.</w:t>
      </w:r>
    </w:p>
    <w:p w14:paraId="4EA9C317" w14:textId="7BFE3435" w:rsidR="009E1E33" w:rsidRPr="00C65729" w:rsidRDefault="009E1E33" w:rsidP="00582313">
      <w:pPr>
        <w:pStyle w:val="CETBodytext"/>
        <w:spacing w:line="276" w:lineRule="auto"/>
        <w:ind w:left="709" w:hanging="709"/>
        <w:rPr>
          <w:rFonts w:cs="Arial"/>
          <w:szCs w:val="18"/>
          <w:lang w:val="en-GB"/>
        </w:rPr>
      </w:pPr>
      <w:r w:rsidRPr="00C65729">
        <w:rPr>
          <w:rFonts w:cs="Arial"/>
          <w:szCs w:val="18"/>
          <w:lang w:val="en-GB"/>
        </w:rPr>
        <w:t xml:space="preserve">Roberts T.L, 2014, </w:t>
      </w:r>
      <w:r w:rsidR="00C65729" w:rsidRPr="00C65729">
        <w:rPr>
          <w:rFonts w:cs="Arial"/>
          <w:szCs w:val="18"/>
          <w:lang w:val="en-GB"/>
        </w:rPr>
        <w:t>Cadmium Phosphorus Fertilizers: The Issues and the Science</w:t>
      </w:r>
      <w:r w:rsidRPr="00C65729">
        <w:rPr>
          <w:rFonts w:cs="Arial"/>
          <w:szCs w:val="18"/>
          <w:lang w:val="en-GB"/>
        </w:rPr>
        <w:t>, Procedia Engineering, 83, 52­59.</w:t>
      </w:r>
    </w:p>
    <w:p w14:paraId="61AE22AB" w14:textId="77777777" w:rsidR="009E1E33" w:rsidRPr="00AB7DE9" w:rsidRDefault="006C040F" w:rsidP="00582313">
      <w:pPr>
        <w:autoSpaceDE w:val="0"/>
        <w:autoSpaceDN w:val="0"/>
        <w:adjustRightInd w:val="0"/>
        <w:spacing w:after="0" w:line="276" w:lineRule="auto"/>
        <w:ind w:left="709" w:hanging="709"/>
        <w:jc w:val="both"/>
        <w:rPr>
          <w:rStyle w:val="title-text"/>
          <w:rFonts w:ascii="Arial" w:hAnsi="Arial" w:cs="Arial"/>
          <w:bCs/>
          <w:sz w:val="18"/>
          <w:szCs w:val="18"/>
        </w:rPr>
      </w:pPr>
      <w:hyperlink r:id="rId13" w:anchor="!" w:history="1">
        <w:r w:rsidR="009E1E33" w:rsidRPr="00AB7DE9">
          <w:rPr>
            <w:rStyle w:val="text"/>
            <w:rFonts w:ascii="Arial" w:hAnsi="Arial" w:cs="Arial"/>
            <w:bCs/>
            <w:sz w:val="18"/>
            <w:szCs w:val="18"/>
          </w:rPr>
          <w:t>Shobhit R.V</w:t>
        </w:r>
      </w:hyperlink>
      <w:bookmarkStart w:id="1" w:name="bau20"/>
      <w:r w:rsidR="009E1E33" w:rsidRPr="00AB7DE9">
        <w:rPr>
          <w:rFonts w:ascii="Arial" w:hAnsi="Arial" w:cs="Arial"/>
          <w:bCs/>
          <w:sz w:val="18"/>
          <w:szCs w:val="18"/>
        </w:rPr>
        <w:t xml:space="preserve">., </w:t>
      </w:r>
      <w:hyperlink r:id="rId14" w:anchor="!" w:history="1">
        <w:r w:rsidR="009E1E33" w:rsidRPr="00AB7DE9">
          <w:rPr>
            <w:rStyle w:val="text"/>
            <w:rFonts w:ascii="Arial" w:hAnsi="Arial" w:cs="Arial"/>
            <w:bCs/>
            <w:sz w:val="18"/>
            <w:szCs w:val="18"/>
          </w:rPr>
          <w:t xml:space="preserve">Jay S.S., </w:t>
        </w:r>
      </w:hyperlink>
      <w:bookmarkStart w:id="2" w:name="bau30"/>
      <w:bookmarkEnd w:id="1"/>
      <w:r w:rsidR="009E1E33" w:rsidRPr="00AB7DE9">
        <w:rPr>
          <w:rFonts w:ascii="Arial" w:hAnsi="Arial" w:cs="Arial"/>
          <w:b/>
          <w:bCs/>
          <w:sz w:val="18"/>
          <w:szCs w:val="18"/>
        </w:rPr>
        <w:fldChar w:fldCharType="begin"/>
      </w:r>
      <w:r w:rsidR="009E1E33" w:rsidRPr="00AB7DE9">
        <w:rPr>
          <w:rFonts w:ascii="Arial" w:hAnsi="Arial" w:cs="Arial"/>
          <w:bCs/>
          <w:sz w:val="18"/>
          <w:szCs w:val="18"/>
        </w:rPr>
        <w:instrText xml:space="preserve"> HYPERLINK "https://www.sciencedirect.com/science/article/abs/pii/S1002016017603096?via%3Dihub" \l "!" </w:instrText>
      </w:r>
      <w:r w:rsidR="009E1E33" w:rsidRPr="00AB7DE9">
        <w:rPr>
          <w:rFonts w:ascii="Arial" w:hAnsi="Arial" w:cs="Arial"/>
          <w:b/>
          <w:bCs/>
          <w:sz w:val="18"/>
          <w:szCs w:val="18"/>
        </w:rPr>
        <w:fldChar w:fldCharType="separate"/>
      </w:r>
      <w:r w:rsidR="009E1E33" w:rsidRPr="00AB7DE9">
        <w:rPr>
          <w:rStyle w:val="text"/>
          <w:rFonts w:ascii="Arial" w:hAnsi="Arial" w:cs="Arial"/>
          <w:bCs/>
          <w:sz w:val="18"/>
          <w:szCs w:val="18"/>
        </w:rPr>
        <w:t xml:space="preserve">Naveen K.A, </w:t>
      </w:r>
      <w:r w:rsidR="009E1E33" w:rsidRPr="00AB7DE9">
        <w:rPr>
          <w:rFonts w:ascii="Arial" w:hAnsi="Arial" w:cs="Arial"/>
          <w:b/>
          <w:bCs/>
          <w:sz w:val="18"/>
          <w:szCs w:val="18"/>
        </w:rPr>
        <w:fldChar w:fldCharType="end"/>
      </w:r>
      <w:bookmarkStart w:id="3" w:name="bau40"/>
      <w:bookmarkEnd w:id="2"/>
      <w:r w:rsidR="009E1E33" w:rsidRPr="00AB7DE9">
        <w:rPr>
          <w:rFonts w:ascii="Arial" w:hAnsi="Arial" w:cs="Arial"/>
          <w:b/>
          <w:bCs/>
          <w:sz w:val="18"/>
          <w:szCs w:val="18"/>
        </w:rPr>
        <w:fldChar w:fldCharType="begin"/>
      </w:r>
      <w:r w:rsidR="009E1E33" w:rsidRPr="00AB7DE9">
        <w:rPr>
          <w:rFonts w:ascii="Arial" w:hAnsi="Arial" w:cs="Arial"/>
          <w:bCs/>
          <w:sz w:val="18"/>
          <w:szCs w:val="18"/>
        </w:rPr>
        <w:instrText xml:space="preserve"> HYPERLINK "https://www.sciencedirect.com/science/article/abs/pii/S1002016017603096?via%3Dihub" \l "!" </w:instrText>
      </w:r>
      <w:r w:rsidR="009E1E33" w:rsidRPr="00AB7DE9">
        <w:rPr>
          <w:rFonts w:ascii="Arial" w:hAnsi="Arial" w:cs="Arial"/>
          <w:b/>
          <w:bCs/>
          <w:sz w:val="18"/>
          <w:szCs w:val="18"/>
        </w:rPr>
        <w:fldChar w:fldCharType="separate"/>
      </w:r>
      <w:r w:rsidR="009E1E33" w:rsidRPr="00AB7DE9">
        <w:rPr>
          <w:rStyle w:val="text"/>
          <w:rFonts w:ascii="Arial" w:hAnsi="Arial" w:cs="Arial"/>
          <w:bCs/>
          <w:sz w:val="18"/>
          <w:szCs w:val="18"/>
        </w:rPr>
        <w:t xml:space="preserve">Surendra S., </w:t>
      </w:r>
      <w:r w:rsidR="009E1E33" w:rsidRPr="00AB7DE9">
        <w:rPr>
          <w:rFonts w:ascii="Arial" w:hAnsi="Arial" w:cs="Arial"/>
          <w:b/>
          <w:bCs/>
          <w:sz w:val="18"/>
          <w:szCs w:val="18"/>
        </w:rPr>
        <w:fldChar w:fldCharType="end"/>
      </w:r>
      <w:bookmarkEnd w:id="3"/>
      <w:r w:rsidR="009E1E33" w:rsidRPr="00AB7DE9">
        <w:rPr>
          <w:rFonts w:ascii="Arial" w:hAnsi="Arial" w:cs="Arial"/>
          <w:bCs/>
          <w:sz w:val="18"/>
          <w:szCs w:val="18"/>
        </w:rPr>
        <w:t xml:space="preserve">2017, </w:t>
      </w:r>
      <w:r w:rsidR="009E1E33" w:rsidRPr="00AB7DE9">
        <w:rPr>
          <w:rStyle w:val="title-text"/>
          <w:rFonts w:ascii="Arial" w:hAnsi="Arial" w:cs="Arial"/>
          <w:bCs/>
          <w:sz w:val="18"/>
          <w:szCs w:val="18"/>
        </w:rPr>
        <w:t>Soil-Plant-Microbe Interactions in Stressed Agriculture Management: A Review, Pedosphere, 27, 177 – 192</w:t>
      </w:r>
    </w:p>
    <w:p w14:paraId="7074E7BD" w14:textId="77777777" w:rsidR="009E1E33" w:rsidRPr="00AB7DE9" w:rsidRDefault="009E1E33" w:rsidP="00582313">
      <w:pPr>
        <w:autoSpaceDE w:val="0"/>
        <w:autoSpaceDN w:val="0"/>
        <w:adjustRightInd w:val="0"/>
        <w:spacing w:after="0" w:line="276" w:lineRule="auto"/>
        <w:ind w:left="709" w:hanging="709"/>
        <w:jc w:val="both"/>
        <w:rPr>
          <w:rFonts w:ascii="Arial" w:hAnsi="Arial" w:cs="Arial"/>
          <w:sz w:val="18"/>
          <w:szCs w:val="18"/>
        </w:rPr>
      </w:pPr>
      <w:r w:rsidRPr="00AB7DE9">
        <w:rPr>
          <w:rFonts w:ascii="Arial" w:hAnsi="Arial" w:cs="Arial"/>
          <w:sz w:val="18"/>
          <w:szCs w:val="18"/>
        </w:rPr>
        <w:t xml:space="preserve">Sandoval A.N., Sanchez L.J., Saavedra Y.M., Calla K.M., Alba R.A., Lloclla H., 2021, Reduction of Imidacloprid and Tebuconazole in Oryza Sativa Plantation Applying Strains of </w:t>
      </w:r>
      <w:r w:rsidRPr="007D4915">
        <w:rPr>
          <w:rFonts w:ascii="Arial" w:hAnsi="Arial" w:cs="Arial"/>
          <w:i/>
          <w:iCs/>
          <w:sz w:val="18"/>
          <w:szCs w:val="18"/>
        </w:rPr>
        <w:t xml:space="preserve">Trichoderma </w:t>
      </w:r>
      <w:r w:rsidRPr="00AB7DE9">
        <w:rPr>
          <w:rFonts w:ascii="Arial" w:hAnsi="Arial" w:cs="Arial"/>
          <w:sz w:val="18"/>
          <w:szCs w:val="18"/>
        </w:rPr>
        <w:t>Spp., Chemical Engineering Transactions, 87, 631-636</w:t>
      </w:r>
    </w:p>
    <w:p w14:paraId="4FEB33E5" w14:textId="77777777" w:rsidR="009E1E33" w:rsidRPr="00AB7DE9" w:rsidRDefault="009E1E33" w:rsidP="00582313">
      <w:pPr>
        <w:autoSpaceDE w:val="0"/>
        <w:autoSpaceDN w:val="0"/>
        <w:adjustRightInd w:val="0"/>
        <w:spacing w:after="0" w:line="276" w:lineRule="auto"/>
        <w:ind w:left="709" w:hanging="709"/>
        <w:jc w:val="both"/>
        <w:rPr>
          <w:rFonts w:ascii="Arial" w:hAnsi="Arial" w:cs="Arial"/>
          <w:sz w:val="18"/>
          <w:szCs w:val="18"/>
        </w:rPr>
      </w:pPr>
      <w:r w:rsidRPr="00AB7DE9">
        <w:rPr>
          <w:rFonts w:ascii="Arial" w:hAnsi="Arial" w:cs="Arial"/>
          <w:sz w:val="18"/>
          <w:szCs w:val="18"/>
        </w:rPr>
        <w:t xml:space="preserve">Sandoval A.N., Tavera J., Vela F., Calla K.M., Alba R.A., Lloclla H., Valverde Flores J.W., 2021, Adsorption of Gases by Internal Combustion of Trimobiles Using Activated Carbon Filter of </w:t>
      </w:r>
      <w:r w:rsidRPr="007D4915">
        <w:rPr>
          <w:rFonts w:ascii="Arial" w:hAnsi="Arial" w:cs="Arial"/>
          <w:i/>
          <w:iCs/>
          <w:sz w:val="18"/>
          <w:szCs w:val="18"/>
        </w:rPr>
        <w:t>Mauritia Flexuosa</w:t>
      </w:r>
      <w:r w:rsidRPr="00AB7DE9">
        <w:rPr>
          <w:rFonts w:ascii="Arial" w:hAnsi="Arial" w:cs="Arial"/>
          <w:sz w:val="18"/>
          <w:szCs w:val="18"/>
        </w:rPr>
        <w:t xml:space="preserve"> and </w:t>
      </w:r>
      <w:r w:rsidRPr="007D4915">
        <w:rPr>
          <w:rFonts w:ascii="Arial" w:hAnsi="Arial" w:cs="Arial"/>
          <w:i/>
          <w:iCs/>
          <w:sz w:val="18"/>
          <w:szCs w:val="18"/>
        </w:rPr>
        <w:t>Cocos Nucifera</w:t>
      </w:r>
      <w:r w:rsidRPr="00AB7DE9">
        <w:rPr>
          <w:rFonts w:ascii="Arial" w:hAnsi="Arial" w:cs="Arial"/>
          <w:sz w:val="18"/>
          <w:szCs w:val="18"/>
        </w:rPr>
        <w:t>, Chemical Engineering Transactions, 85, 157-162.</w:t>
      </w:r>
    </w:p>
    <w:p w14:paraId="23996396" w14:textId="002E7920" w:rsidR="00611A8C" w:rsidRDefault="00611A8C" w:rsidP="00582313">
      <w:pPr>
        <w:pStyle w:val="CETBodytext"/>
        <w:tabs>
          <w:tab w:val="clear" w:pos="7100"/>
          <w:tab w:val="right" w:pos="8787"/>
        </w:tabs>
        <w:spacing w:line="276" w:lineRule="auto"/>
        <w:ind w:left="709" w:hanging="709"/>
        <w:rPr>
          <w:rFonts w:cs="Arial"/>
          <w:szCs w:val="18"/>
          <w:lang w:val="en-GB"/>
        </w:rPr>
      </w:pPr>
      <w:r w:rsidRPr="00611A8C">
        <w:rPr>
          <w:rFonts w:cs="Arial"/>
          <w:szCs w:val="18"/>
          <w:lang w:val="en-GB"/>
        </w:rPr>
        <w:t>Xue Y., Gao H., Wang Y., Chen Y.</w:t>
      </w:r>
      <w:r w:rsidR="00116307">
        <w:rPr>
          <w:rFonts w:cs="Arial"/>
          <w:szCs w:val="18"/>
          <w:lang w:val="en-GB"/>
        </w:rPr>
        <w:t>,</w:t>
      </w:r>
      <w:r w:rsidRPr="00611A8C">
        <w:rPr>
          <w:rFonts w:cs="Arial"/>
          <w:szCs w:val="18"/>
          <w:lang w:val="en-GB"/>
        </w:rPr>
        <w:t xml:space="preserve"> 2018</w:t>
      </w:r>
      <w:r w:rsidR="00881830">
        <w:rPr>
          <w:rFonts w:cs="Arial"/>
          <w:szCs w:val="18"/>
          <w:lang w:val="en-GB"/>
        </w:rPr>
        <w:t>,</w:t>
      </w:r>
      <w:r w:rsidRPr="00611A8C">
        <w:rPr>
          <w:rFonts w:cs="Arial"/>
          <w:szCs w:val="18"/>
          <w:lang w:val="en-GB"/>
        </w:rPr>
        <w:t xml:space="preserve"> Bioremediation of petroleum-contaminated soil by microorganisms isolated from high altitude cold mountainous areas. Journal of Environmental Sciences, 67, 111-118.</w:t>
      </w:r>
    </w:p>
    <w:p w14:paraId="0D32CA50" w14:textId="3A95E5B0" w:rsidR="009E1E33" w:rsidRPr="00C65729" w:rsidRDefault="009E1E33" w:rsidP="00582313">
      <w:pPr>
        <w:pStyle w:val="CETBodytext"/>
        <w:tabs>
          <w:tab w:val="clear" w:pos="7100"/>
          <w:tab w:val="right" w:pos="8787"/>
        </w:tabs>
        <w:spacing w:line="276" w:lineRule="auto"/>
        <w:ind w:left="709" w:hanging="709"/>
        <w:rPr>
          <w:rFonts w:cs="Arial"/>
          <w:szCs w:val="18"/>
          <w:lang w:val="en-GB"/>
        </w:rPr>
      </w:pPr>
      <w:r w:rsidRPr="00C65729">
        <w:rPr>
          <w:rFonts w:cs="Arial"/>
          <w:szCs w:val="18"/>
          <w:lang w:val="en-GB"/>
        </w:rPr>
        <w:t>Yaacoubi., Zidani O., Mouflih M., Gourai M., Sebti S., 2014, </w:t>
      </w:r>
      <w:r w:rsidR="00C65729" w:rsidRPr="00C65729">
        <w:rPr>
          <w:rFonts w:cs="Arial"/>
          <w:szCs w:val="18"/>
          <w:lang w:val="en-GB"/>
        </w:rPr>
        <w:t>Removal of cadmium from water using natural phosphate as an adsorbent,</w:t>
      </w:r>
      <w:r w:rsidRPr="00C65729">
        <w:rPr>
          <w:rFonts w:cs="Arial"/>
          <w:szCs w:val="18"/>
          <w:lang w:val="en-GB"/>
        </w:rPr>
        <w:t> Procedía Engineering, 83, 386­393.</w:t>
      </w:r>
    </w:p>
    <w:p w14:paraId="2D2841BB" w14:textId="6892B181" w:rsidR="004E116E" w:rsidRPr="004E116E" w:rsidRDefault="009E1E33" w:rsidP="005202A2">
      <w:pPr>
        <w:autoSpaceDE w:val="0"/>
        <w:autoSpaceDN w:val="0"/>
        <w:adjustRightInd w:val="0"/>
        <w:spacing w:after="0" w:line="276" w:lineRule="auto"/>
        <w:ind w:left="709" w:hanging="709"/>
        <w:jc w:val="both"/>
        <w:rPr>
          <w:rFonts w:ascii="Times New Roman" w:hAnsi="Times New Roman"/>
          <w:color w:val="00B0F0"/>
          <w:sz w:val="24"/>
          <w:szCs w:val="24"/>
        </w:rPr>
      </w:pPr>
      <w:r w:rsidRPr="00AB7DE9">
        <w:rPr>
          <w:rFonts w:ascii="Arial" w:hAnsi="Arial" w:cs="Arial"/>
          <w:sz w:val="18"/>
          <w:szCs w:val="18"/>
        </w:rPr>
        <w:t xml:space="preserve">Yan K.Z., Ahmad M.A., Arsad A., Nasri N.S., 2019, Rubber seed shell based activated carbon by physical activation for phenol removal, Chemical Engineering Transactions, 72, 151 </w:t>
      </w:r>
      <w:r w:rsidR="005202A2">
        <w:rPr>
          <w:rFonts w:ascii="Arial" w:hAnsi="Arial" w:cs="Arial"/>
          <w:sz w:val="18"/>
          <w:szCs w:val="18"/>
        </w:rPr>
        <w:t>–</w:t>
      </w:r>
      <w:r w:rsidRPr="00AB7DE9">
        <w:rPr>
          <w:rFonts w:ascii="Arial" w:hAnsi="Arial" w:cs="Arial"/>
          <w:sz w:val="18"/>
          <w:szCs w:val="18"/>
        </w:rPr>
        <w:t xml:space="preserve"> 156</w:t>
      </w:r>
      <w:r w:rsidR="005202A2">
        <w:rPr>
          <w:rFonts w:ascii="Arial" w:hAnsi="Arial" w:cs="Arial"/>
          <w:sz w:val="18"/>
          <w:szCs w:val="18"/>
        </w:rPr>
        <w:t>.</w:t>
      </w:r>
    </w:p>
    <w:p w14:paraId="7C6E7786" w14:textId="77777777" w:rsidR="004E116E" w:rsidRPr="004E116E" w:rsidRDefault="004E116E" w:rsidP="00C67EE6">
      <w:pPr>
        <w:spacing w:after="0" w:line="276" w:lineRule="auto"/>
        <w:jc w:val="both"/>
        <w:rPr>
          <w:rFonts w:ascii="Times New Roman" w:hAnsi="Times New Roman" w:cs="Times New Roman"/>
          <w:color w:val="FF0000"/>
          <w:sz w:val="24"/>
          <w:szCs w:val="24"/>
        </w:rPr>
      </w:pPr>
    </w:p>
    <w:sectPr w:rsidR="004E116E" w:rsidRPr="004E11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37"/>
    <w:rsid w:val="00014509"/>
    <w:rsid w:val="000270AA"/>
    <w:rsid w:val="00027999"/>
    <w:rsid w:val="00072364"/>
    <w:rsid w:val="000C3C16"/>
    <w:rsid w:val="000E3B2F"/>
    <w:rsid w:val="00116307"/>
    <w:rsid w:val="00116A0B"/>
    <w:rsid w:val="0013613E"/>
    <w:rsid w:val="00182579"/>
    <w:rsid w:val="001B2813"/>
    <w:rsid w:val="002003FE"/>
    <w:rsid w:val="00266F5D"/>
    <w:rsid w:val="002A18FB"/>
    <w:rsid w:val="002F750E"/>
    <w:rsid w:val="00310E45"/>
    <w:rsid w:val="003343B4"/>
    <w:rsid w:val="00346AD4"/>
    <w:rsid w:val="0035116E"/>
    <w:rsid w:val="003571AA"/>
    <w:rsid w:val="00362841"/>
    <w:rsid w:val="00374494"/>
    <w:rsid w:val="0038067C"/>
    <w:rsid w:val="0039137E"/>
    <w:rsid w:val="003A4C92"/>
    <w:rsid w:val="003A6A66"/>
    <w:rsid w:val="003D68BE"/>
    <w:rsid w:val="0044495F"/>
    <w:rsid w:val="00460AB4"/>
    <w:rsid w:val="00474156"/>
    <w:rsid w:val="00475243"/>
    <w:rsid w:val="004D4596"/>
    <w:rsid w:val="004E116E"/>
    <w:rsid w:val="004E2AD3"/>
    <w:rsid w:val="004F1C0B"/>
    <w:rsid w:val="005061EF"/>
    <w:rsid w:val="005202A2"/>
    <w:rsid w:val="00524274"/>
    <w:rsid w:val="00531C99"/>
    <w:rsid w:val="005462EF"/>
    <w:rsid w:val="00554BC8"/>
    <w:rsid w:val="00575893"/>
    <w:rsid w:val="00582313"/>
    <w:rsid w:val="005947A2"/>
    <w:rsid w:val="00596909"/>
    <w:rsid w:val="005C1CCB"/>
    <w:rsid w:val="00611A8C"/>
    <w:rsid w:val="00613C96"/>
    <w:rsid w:val="006148A9"/>
    <w:rsid w:val="0061797F"/>
    <w:rsid w:val="006218EE"/>
    <w:rsid w:val="006354E6"/>
    <w:rsid w:val="0066013A"/>
    <w:rsid w:val="00670484"/>
    <w:rsid w:val="00695323"/>
    <w:rsid w:val="00696338"/>
    <w:rsid w:val="006B19C4"/>
    <w:rsid w:val="006C040F"/>
    <w:rsid w:val="007021A8"/>
    <w:rsid w:val="00703289"/>
    <w:rsid w:val="00705DEE"/>
    <w:rsid w:val="007738A0"/>
    <w:rsid w:val="00776758"/>
    <w:rsid w:val="007C0E3C"/>
    <w:rsid w:val="007D4915"/>
    <w:rsid w:val="007D52ED"/>
    <w:rsid w:val="007D7D65"/>
    <w:rsid w:val="00833584"/>
    <w:rsid w:val="0083464E"/>
    <w:rsid w:val="0083579D"/>
    <w:rsid w:val="00863B51"/>
    <w:rsid w:val="00867AB1"/>
    <w:rsid w:val="00871F7E"/>
    <w:rsid w:val="00881830"/>
    <w:rsid w:val="00895B72"/>
    <w:rsid w:val="008F76F5"/>
    <w:rsid w:val="00900459"/>
    <w:rsid w:val="00917704"/>
    <w:rsid w:val="00926B53"/>
    <w:rsid w:val="00945139"/>
    <w:rsid w:val="0096307F"/>
    <w:rsid w:val="00973932"/>
    <w:rsid w:val="009740DF"/>
    <w:rsid w:val="00977250"/>
    <w:rsid w:val="0097754B"/>
    <w:rsid w:val="00993028"/>
    <w:rsid w:val="009A6BAE"/>
    <w:rsid w:val="009E1E33"/>
    <w:rsid w:val="00A01BC4"/>
    <w:rsid w:val="00A14615"/>
    <w:rsid w:val="00A159AF"/>
    <w:rsid w:val="00A1608A"/>
    <w:rsid w:val="00A20FC3"/>
    <w:rsid w:val="00A539B9"/>
    <w:rsid w:val="00A901AC"/>
    <w:rsid w:val="00AB7DE9"/>
    <w:rsid w:val="00AD107B"/>
    <w:rsid w:val="00AD50B8"/>
    <w:rsid w:val="00AD5AE1"/>
    <w:rsid w:val="00B11644"/>
    <w:rsid w:val="00B34637"/>
    <w:rsid w:val="00B83323"/>
    <w:rsid w:val="00B91CE0"/>
    <w:rsid w:val="00BC7A0A"/>
    <w:rsid w:val="00BD1F3C"/>
    <w:rsid w:val="00C21414"/>
    <w:rsid w:val="00C60995"/>
    <w:rsid w:val="00C65729"/>
    <w:rsid w:val="00C67EE6"/>
    <w:rsid w:val="00C76DE0"/>
    <w:rsid w:val="00CD5906"/>
    <w:rsid w:val="00CF5111"/>
    <w:rsid w:val="00D17724"/>
    <w:rsid w:val="00D35DF4"/>
    <w:rsid w:val="00D36F08"/>
    <w:rsid w:val="00D822DB"/>
    <w:rsid w:val="00DD4E34"/>
    <w:rsid w:val="00E06637"/>
    <w:rsid w:val="00E7033B"/>
    <w:rsid w:val="00E7596D"/>
    <w:rsid w:val="00E91BC6"/>
    <w:rsid w:val="00EB4B84"/>
    <w:rsid w:val="00EF2E47"/>
    <w:rsid w:val="00F21B22"/>
    <w:rsid w:val="00F23E87"/>
    <w:rsid w:val="00F30902"/>
    <w:rsid w:val="00F50090"/>
    <w:rsid w:val="00FB6C9B"/>
    <w:rsid w:val="00FD281F"/>
    <w:rsid w:val="00FD45F1"/>
    <w:rsid w:val="00FF289A"/>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713F"/>
  <w15:chartTrackingRefBased/>
  <w15:docId w15:val="{F7E2D48B-833C-47E9-9285-1608592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CETHeading1"/>
    <w:next w:val="Normal"/>
    <w:link w:val="Ttulo1Car"/>
    <w:uiPriority w:val="1"/>
    <w:qFormat/>
    <w:rsid w:val="00FD45F1"/>
    <w:pPr>
      <w:tabs>
        <w:tab w:val="clear" w:pos="360"/>
        <w:tab w:val="right" w:pos="7100"/>
      </w:tabs>
      <w:jc w:val="both"/>
      <w:outlineLvl w:val="0"/>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Normal"/>
    <w:link w:val="CETAuthorsCarattere"/>
    <w:qFormat/>
    <w:rsid w:val="00346AD4"/>
    <w:pPr>
      <w:keepNext/>
      <w:tabs>
        <w:tab w:val="right" w:pos="7100"/>
      </w:tabs>
      <w:suppressAutoHyphens/>
      <w:spacing w:after="120" w:line="264" w:lineRule="auto"/>
      <w:jc w:val="both"/>
    </w:pPr>
    <w:rPr>
      <w:rFonts w:ascii="Arial" w:eastAsia="Times New Roman" w:hAnsi="Arial" w:cs="Times New Roman"/>
      <w:noProof/>
      <w:sz w:val="24"/>
      <w:szCs w:val="20"/>
      <w:lang w:val="en-GB"/>
    </w:rPr>
  </w:style>
  <w:style w:type="character" w:customStyle="1" w:styleId="CETAuthorsCarattere">
    <w:name w:val="CET Authors Carattere"/>
    <w:link w:val="CETAuthors"/>
    <w:rsid w:val="00346AD4"/>
    <w:rPr>
      <w:rFonts w:ascii="Arial" w:eastAsia="Times New Roman" w:hAnsi="Arial" w:cs="Times New Roman"/>
      <w:noProof/>
      <w:sz w:val="24"/>
      <w:szCs w:val="20"/>
      <w:lang w:val="en-GB"/>
    </w:rPr>
  </w:style>
  <w:style w:type="paragraph" w:customStyle="1" w:styleId="CETHeading1">
    <w:name w:val="CET Heading1"/>
    <w:next w:val="Normal"/>
    <w:qFormat/>
    <w:rsid w:val="004E2AD3"/>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headingx">
    <w:name w:val="CET headingx"/>
    <w:next w:val="Normal"/>
    <w:autoRedefine/>
    <w:qFormat/>
    <w:rsid w:val="004E2AD3"/>
    <w:pPr>
      <w:keepNext/>
      <w:numPr>
        <w:ilvl w:val="2"/>
        <w:numId w:val="1"/>
      </w:numPr>
      <w:suppressAutoHyphens/>
      <w:spacing w:before="120" w:after="120" w:line="240" w:lineRule="auto"/>
    </w:pPr>
    <w:rPr>
      <w:rFonts w:ascii="Arial" w:eastAsia="Times New Roman" w:hAnsi="Arial" w:cs="Times New Roman"/>
      <w:b/>
      <w:sz w:val="18"/>
      <w:szCs w:val="20"/>
    </w:rPr>
  </w:style>
  <w:style w:type="table" w:styleId="Tablabsica1">
    <w:name w:val="Table Simple 1"/>
    <w:basedOn w:val="Tablanormal"/>
    <w:semiHidden/>
    <w:rsid w:val="004E2AD3"/>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Bodytext">
    <w:name w:val="CET Body text"/>
    <w:link w:val="CETBodytextCarattere"/>
    <w:qFormat/>
    <w:rsid w:val="004E2AD3"/>
    <w:pPr>
      <w:tabs>
        <w:tab w:val="right" w:pos="7100"/>
      </w:tabs>
      <w:spacing w:after="0" w:line="264" w:lineRule="auto"/>
      <w:jc w:val="both"/>
    </w:pPr>
    <w:rPr>
      <w:rFonts w:ascii="Arial" w:eastAsia="Times New Roman" w:hAnsi="Arial" w:cs="Times New Roman"/>
      <w:sz w:val="18"/>
      <w:szCs w:val="20"/>
    </w:rPr>
  </w:style>
  <w:style w:type="character" w:customStyle="1" w:styleId="CETBodytextCarattere">
    <w:name w:val="CET Body text Carattere"/>
    <w:link w:val="CETBodytext"/>
    <w:rsid w:val="004E2AD3"/>
    <w:rPr>
      <w:rFonts w:ascii="Arial" w:eastAsia="Times New Roman" w:hAnsi="Arial" w:cs="Times New Roman"/>
      <w:sz w:val="18"/>
      <w:szCs w:val="20"/>
    </w:rPr>
  </w:style>
  <w:style w:type="character" w:customStyle="1" w:styleId="Ttulo1Car">
    <w:name w:val="Título 1 Car"/>
    <w:basedOn w:val="Fuentedeprrafopredeter"/>
    <w:link w:val="Ttulo1"/>
    <w:uiPriority w:val="1"/>
    <w:rsid w:val="00FD45F1"/>
    <w:rPr>
      <w:rFonts w:ascii="Arial" w:eastAsia="Times New Roman" w:hAnsi="Arial" w:cs="Times New Roman"/>
      <w:b/>
      <w:sz w:val="20"/>
      <w:szCs w:val="20"/>
      <w:lang w:val="en-GB"/>
    </w:rPr>
  </w:style>
  <w:style w:type="table" w:styleId="Tablaconcuadrcula">
    <w:name w:val="Table Grid"/>
    <w:basedOn w:val="Tablanormal"/>
    <w:uiPriority w:val="39"/>
    <w:rsid w:val="00FD45F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4E116E"/>
    <w:pPr>
      <w:tabs>
        <w:tab w:val="right" w:pos="7100"/>
      </w:tabs>
      <w:spacing w:after="0" w:line="264" w:lineRule="auto"/>
      <w:ind w:left="720"/>
      <w:contextualSpacing/>
      <w:jc w:val="both"/>
    </w:pPr>
    <w:rPr>
      <w:rFonts w:ascii="Arial" w:eastAsia="Times New Roman" w:hAnsi="Arial" w:cs="Times New Roman"/>
      <w:sz w:val="18"/>
      <w:szCs w:val="20"/>
      <w:lang w:val="en-GB"/>
    </w:rPr>
  </w:style>
  <w:style w:type="character" w:customStyle="1" w:styleId="text">
    <w:name w:val="text"/>
    <w:basedOn w:val="Fuentedeprrafopredeter"/>
    <w:rsid w:val="009E1E33"/>
  </w:style>
  <w:style w:type="character" w:customStyle="1" w:styleId="title-text">
    <w:name w:val="title-text"/>
    <w:basedOn w:val="Fuentedeprrafopredeter"/>
    <w:rsid w:val="009E1E33"/>
  </w:style>
  <w:style w:type="character" w:styleId="Hipervnculo">
    <w:name w:val="Hyperlink"/>
    <w:basedOn w:val="Fuentedeprrafopredeter"/>
    <w:uiPriority w:val="99"/>
    <w:unhideWhenUsed/>
    <w:rsid w:val="000E3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endozal@ucv.edu.pe" TargetMode="External"/><Relationship Id="rId13" Type="http://schemas.openxmlformats.org/officeDocument/2006/relationships/hyperlink" Target="https://www.sciencedirect.com/science/article/abs/pii/S1002016017603096?via%3Dihub"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sciencedirect.com/science/article/abs/pii/S1002016017603096?via%3Dihub"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2022\ART&#205;CULOS\POR%20PUBLICAR%202023\FLORENCIA\SUELOS-TRADUCIDO\Libro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Hoja1!$A$4</c:f>
              <c:strCache>
                <c:ptCount val="1"/>
                <c:pt idx="0">
                  <c:v>Cadmio</c:v>
                </c:pt>
              </c:strCache>
            </c:strRef>
          </c:tx>
          <c:spPr>
            <a:ln w="25400" cap="flat" cmpd="sng" algn="ctr">
              <a:solidFill>
                <a:srgbClr val="0070C0"/>
              </a:solidFill>
              <a:prstDash val="solid"/>
              <a:round/>
            </a:ln>
            <a:effectLst/>
          </c:spPr>
          <c:marker>
            <c:symbol val="circle"/>
            <c:size val="5"/>
            <c:spPr>
              <a:solidFill>
                <a:schemeClr val="lt1"/>
              </a:solidFill>
              <a:ln w="25400" cap="flat" cmpd="sng" algn="ctr">
                <a:solidFill>
                  <a:srgbClr val="0070C0"/>
                </a:solidFill>
                <a:prstDash val="solid"/>
              </a:ln>
              <a:effectLst/>
            </c:spPr>
          </c:marker>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Hoja1!$B$2:$G$3</c:f>
              <c:multiLvlStrCache>
                <c:ptCount val="6"/>
                <c:lvl>
                  <c:pt idx="0">
                    <c:v>CA: 100g</c:v>
                  </c:pt>
                  <c:pt idx="1">
                    <c:v>MM: 100mL</c:v>
                  </c:pt>
                  <c:pt idx="2">
                    <c:v>CA: 200g</c:v>
                  </c:pt>
                  <c:pt idx="3">
                    <c:v>MM: 200mL</c:v>
                  </c:pt>
                  <c:pt idx="4">
                    <c:v>CA: 300g</c:v>
                  </c:pt>
                  <c:pt idx="5">
                    <c:v>MM: 300mL</c:v>
                  </c:pt>
                </c:lvl>
                <c:lvl>
                  <c:pt idx="0">
                    <c:v>T2</c:v>
                  </c:pt>
                  <c:pt idx="1">
                    <c:v>T5</c:v>
                  </c:pt>
                  <c:pt idx="2">
                    <c:v>T3</c:v>
                  </c:pt>
                  <c:pt idx="3">
                    <c:v>T6</c:v>
                  </c:pt>
                  <c:pt idx="4">
                    <c:v>T4</c:v>
                  </c:pt>
                  <c:pt idx="5">
                    <c:v>T7</c:v>
                  </c:pt>
                </c:lvl>
              </c:multiLvlStrCache>
            </c:multiLvlStrRef>
          </c:cat>
          <c:val>
            <c:numRef>
              <c:f>Hoja1!$B$4:$G$4</c:f>
              <c:numCache>
                <c:formatCode>General</c:formatCode>
                <c:ptCount val="6"/>
                <c:pt idx="0">
                  <c:v>3.01</c:v>
                </c:pt>
                <c:pt idx="1">
                  <c:v>4.1100000000000003</c:v>
                </c:pt>
                <c:pt idx="2">
                  <c:v>2.1800000000000002</c:v>
                </c:pt>
                <c:pt idx="3">
                  <c:v>3.45</c:v>
                </c:pt>
                <c:pt idx="4">
                  <c:v>1.2</c:v>
                </c:pt>
                <c:pt idx="5">
                  <c:v>2.1</c:v>
                </c:pt>
              </c:numCache>
            </c:numRef>
          </c:val>
          <c:smooth val="0"/>
          <c:extLst>
            <c:ext xmlns:c16="http://schemas.microsoft.com/office/drawing/2014/chart" uri="{C3380CC4-5D6E-409C-BE32-E72D297353CC}">
              <c16:uniqueId val="{00000000-C098-4D8C-A9C7-02B7A5237B99}"/>
            </c:ext>
          </c:extLst>
        </c:ser>
        <c:dLbls>
          <c:showLegendKey val="0"/>
          <c:showVal val="0"/>
          <c:showCatName val="0"/>
          <c:showSerName val="0"/>
          <c:showPercent val="0"/>
          <c:showBubbleSize val="0"/>
        </c:dLbls>
        <c:marker val="1"/>
        <c:smooth val="0"/>
        <c:axId val="856391439"/>
        <c:axId val="856392687"/>
      </c:lineChart>
      <c:catAx>
        <c:axId val="856391439"/>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Treatments with activated carbon and mountain microorganisms </a:t>
                </a:r>
              </a:p>
            </c:rich>
          </c:tx>
          <c:layout>
            <c:manualLayout>
              <c:xMode val="edge"/>
              <c:yMode val="edge"/>
              <c:x val="0.18169444444444441"/>
              <c:y val="0.924328521434820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856392687"/>
        <c:crosses val="autoZero"/>
        <c:auto val="1"/>
        <c:lblAlgn val="ctr"/>
        <c:lblOffset val="100"/>
        <c:noMultiLvlLbl val="0"/>
      </c:catAx>
      <c:valAx>
        <c:axId val="856392687"/>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Cadmium concentration</a:t>
                </a:r>
              </a:p>
            </c:rich>
          </c:tx>
          <c:layout>
            <c:manualLayout>
              <c:xMode val="edge"/>
              <c:yMode val="edge"/>
              <c:x val="1.3888888888888888E-2"/>
              <c:y val="0.1531131525226013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856391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2EB2-2009-41C0-9F40-CB14900B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2889</Words>
  <Characters>15893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99</cp:revision>
  <dcterms:created xsi:type="dcterms:W3CDTF">2023-02-16T21:04:00Z</dcterms:created>
  <dcterms:modified xsi:type="dcterms:W3CDTF">2023-09-11T17:59:00Z</dcterms:modified>
</cp:coreProperties>
</file>