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3A51F3"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3A51F3" w:rsidRDefault="000A03B2" w:rsidP="00DE264A">
            <w:pPr>
              <w:tabs>
                <w:tab w:val="left" w:pos="-108"/>
              </w:tabs>
              <w:ind w:left="-108"/>
              <w:jc w:val="left"/>
              <w:rPr>
                <w:rFonts w:cs="Arial"/>
                <w:b/>
                <w:bCs/>
                <w:i/>
                <w:iCs/>
                <w:color w:val="000066"/>
                <w:sz w:val="12"/>
                <w:szCs w:val="12"/>
                <w:lang w:eastAsia="it-IT"/>
              </w:rPr>
            </w:pPr>
            <w:r w:rsidRPr="003A51F3">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3A51F3">
              <w:rPr>
                <w:rFonts w:ascii="AdvP6960" w:hAnsi="AdvP6960" w:cs="AdvP6960"/>
                <w:color w:val="241F20"/>
                <w:szCs w:val="18"/>
                <w:lang w:eastAsia="it-IT"/>
              </w:rPr>
              <w:t xml:space="preserve"> </w:t>
            </w:r>
            <w:r w:rsidRPr="003A51F3">
              <w:rPr>
                <w:rFonts w:cs="Arial"/>
                <w:b/>
                <w:bCs/>
                <w:i/>
                <w:iCs/>
                <w:color w:val="000066"/>
                <w:sz w:val="24"/>
                <w:szCs w:val="24"/>
                <w:lang w:eastAsia="it-IT"/>
              </w:rPr>
              <w:t>CHEMICAL ENGINEERING</w:t>
            </w:r>
            <w:r w:rsidRPr="003A51F3">
              <w:rPr>
                <w:rFonts w:cs="Arial"/>
                <w:b/>
                <w:bCs/>
                <w:i/>
                <w:iCs/>
                <w:color w:val="0033FF"/>
                <w:sz w:val="24"/>
                <w:szCs w:val="24"/>
                <w:lang w:eastAsia="it-IT"/>
              </w:rPr>
              <w:t xml:space="preserve"> </w:t>
            </w:r>
            <w:r w:rsidRPr="003A51F3">
              <w:rPr>
                <w:rFonts w:cs="Arial"/>
                <w:b/>
                <w:bCs/>
                <w:i/>
                <w:iCs/>
                <w:color w:val="666666"/>
                <w:sz w:val="24"/>
                <w:szCs w:val="24"/>
                <w:lang w:eastAsia="it-IT"/>
              </w:rPr>
              <w:t>TRANSACTIONS</w:t>
            </w:r>
            <w:r w:rsidRPr="003A51F3">
              <w:rPr>
                <w:color w:val="333333"/>
                <w:sz w:val="24"/>
                <w:szCs w:val="24"/>
                <w:lang w:eastAsia="it-IT"/>
              </w:rPr>
              <w:t xml:space="preserve"> </w:t>
            </w:r>
            <w:r w:rsidRPr="003A51F3">
              <w:rPr>
                <w:rFonts w:cs="Arial"/>
                <w:b/>
                <w:bCs/>
                <w:i/>
                <w:iCs/>
                <w:color w:val="000066"/>
                <w:sz w:val="27"/>
                <w:szCs w:val="27"/>
                <w:lang w:eastAsia="it-IT"/>
              </w:rPr>
              <w:br/>
            </w:r>
          </w:p>
          <w:p w14:paraId="4B780582" w14:textId="530285EB" w:rsidR="000A03B2" w:rsidRPr="003A51F3" w:rsidRDefault="00A76EFC" w:rsidP="001D21AF">
            <w:pPr>
              <w:tabs>
                <w:tab w:val="left" w:pos="-108"/>
              </w:tabs>
              <w:ind w:left="-108"/>
              <w:rPr>
                <w:rFonts w:cs="Arial"/>
                <w:b/>
                <w:bCs/>
                <w:i/>
                <w:iCs/>
                <w:color w:val="000066"/>
                <w:sz w:val="22"/>
                <w:szCs w:val="22"/>
                <w:lang w:eastAsia="it-IT"/>
              </w:rPr>
            </w:pPr>
            <w:r w:rsidRPr="003A51F3">
              <w:rPr>
                <w:rFonts w:cs="Arial"/>
                <w:b/>
                <w:bCs/>
                <w:i/>
                <w:iCs/>
                <w:color w:val="000066"/>
                <w:sz w:val="22"/>
                <w:szCs w:val="22"/>
                <w:lang w:eastAsia="it-IT"/>
              </w:rPr>
              <w:t xml:space="preserve">VOL. </w:t>
            </w:r>
            <w:r w:rsidR="0030152C" w:rsidRPr="003A51F3">
              <w:rPr>
                <w:rFonts w:cs="Arial"/>
                <w:b/>
                <w:bCs/>
                <w:i/>
                <w:iCs/>
                <w:color w:val="000066"/>
                <w:sz w:val="22"/>
                <w:szCs w:val="22"/>
                <w:lang w:eastAsia="it-IT"/>
              </w:rPr>
              <w:t xml:space="preserve"> </w:t>
            </w:r>
            <w:proofErr w:type="gramStart"/>
            <w:r w:rsidR="0030152C" w:rsidRPr="003A51F3">
              <w:rPr>
                <w:rFonts w:cs="Arial"/>
                <w:b/>
                <w:bCs/>
                <w:i/>
                <w:iCs/>
                <w:color w:val="000066"/>
                <w:sz w:val="22"/>
                <w:szCs w:val="22"/>
                <w:lang w:eastAsia="it-IT"/>
              </w:rPr>
              <w:t xml:space="preserve">  </w:t>
            </w:r>
            <w:r w:rsidR="007B48F9" w:rsidRPr="003A51F3">
              <w:rPr>
                <w:rFonts w:cs="Arial"/>
                <w:b/>
                <w:bCs/>
                <w:i/>
                <w:iCs/>
                <w:color w:val="000066"/>
                <w:sz w:val="22"/>
                <w:szCs w:val="22"/>
                <w:lang w:eastAsia="it-IT"/>
              </w:rPr>
              <w:t>,</w:t>
            </w:r>
            <w:proofErr w:type="gramEnd"/>
            <w:r w:rsidR="00FA5F5F" w:rsidRPr="003A51F3">
              <w:rPr>
                <w:rFonts w:cs="Arial"/>
                <w:b/>
                <w:bCs/>
                <w:i/>
                <w:iCs/>
                <w:color w:val="000066"/>
                <w:sz w:val="22"/>
                <w:szCs w:val="22"/>
                <w:lang w:eastAsia="it-IT"/>
              </w:rPr>
              <w:t xml:space="preserve"> </w:t>
            </w:r>
            <w:r w:rsidR="0030152C" w:rsidRPr="003A51F3">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3A51F3" w:rsidRDefault="000A03B2" w:rsidP="00CD5FE2">
            <w:pPr>
              <w:spacing w:line="140" w:lineRule="atLeast"/>
              <w:jc w:val="right"/>
              <w:rPr>
                <w:rFonts w:cs="Arial"/>
                <w:sz w:val="14"/>
                <w:szCs w:val="14"/>
              </w:rPr>
            </w:pPr>
            <w:r w:rsidRPr="003A51F3">
              <w:rPr>
                <w:rFonts w:cs="Arial"/>
                <w:sz w:val="14"/>
                <w:szCs w:val="14"/>
              </w:rPr>
              <w:t>A publication of</w:t>
            </w:r>
          </w:p>
          <w:p w14:paraId="599E5441" w14:textId="77777777" w:rsidR="000A03B2" w:rsidRPr="003A51F3" w:rsidRDefault="000A03B2" w:rsidP="00CD5FE2">
            <w:pPr>
              <w:jc w:val="right"/>
            </w:pPr>
            <w:r w:rsidRPr="003A51F3">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800ECB" w14:paraId="380FA3CD" w14:textId="77777777" w:rsidTr="00DE264A">
        <w:trPr>
          <w:trHeight w:val="567"/>
          <w:jc w:val="center"/>
        </w:trPr>
        <w:tc>
          <w:tcPr>
            <w:tcW w:w="6946" w:type="dxa"/>
            <w:vMerge/>
            <w:tcBorders>
              <w:right w:val="single" w:sz="4" w:space="0" w:color="auto"/>
            </w:tcBorders>
          </w:tcPr>
          <w:p w14:paraId="39E5E4C1" w14:textId="77777777" w:rsidR="000A03B2" w:rsidRPr="003A51F3"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3A51F3" w:rsidRDefault="000A03B2" w:rsidP="00CD5FE2">
            <w:pPr>
              <w:spacing w:line="140" w:lineRule="atLeast"/>
              <w:jc w:val="right"/>
              <w:rPr>
                <w:rFonts w:cs="Arial"/>
                <w:sz w:val="14"/>
                <w:szCs w:val="14"/>
              </w:rPr>
            </w:pPr>
            <w:r w:rsidRPr="003A51F3">
              <w:rPr>
                <w:rFonts w:cs="Arial"/>
                <w:sz w:val="14"/>
                <w:szCs w:val="14"/>
              </w:rPr>
              <w:t>The Italian Association</w:t>
            </w:r>
          </w:p>
          <w:p w14:paraId="7522B1D2" w14:textId="77777777" w:rsidR="000A03B2" w:rsidRPr="003A51F3" w:rsidRDefault="000A03B2" w:rsidP="00CD5FE2">
            <w:pPr>
              <w:spacing w:line="140" w:lineRule="atLeast"/>
              <w:jc w:val="right"/>
              <w:rPr>
                <w:rFonts w:cs="Arial"/>
                <w:sz w:val="14"/>
                <w:szCs w:val="14"/>
              </w:rPr>
            </w:pPr>
            <w:r w:rsidRPr="003A51F3">
              <w:rPr>
                <w:rFonts w:cs="Arial"/>
                <w:sz w:val="14"/>
                <w:szCs w:val="14"/>
              </w:rPr>
              <w:t>of Chemical Engineering</w:t>
            </w:r>
          </w:p>
          <w:p w14:paraId="4F0CC5DE" w14:textId="47FDB2FC" w:rsidR="000A03B2" w:rsidRPr="00800ECB" w:rsidRDefault="000D0268" w:rsidP="00CD5FE2">
            <w:pPr>
              <w:spacing w:line="140" w:lineRule="atLeast"/>
              <w:jc w:val="right"/>
              <w:rPr>
                <w:rFonts w:cs="Arial"/>
                <w:sz w:val="13"/>
                <w:szCs w:val="13"/>
              </w:rPr>
            </w:pPr>
            <w:r w:rsidRPr="00800ECB">
              <w:rPr>
                <w:rFonts w:cs="Arial"/>
                <w:sz w:val="13"/>
                <w:szCs w:val="13"/>
              </w:rPr>
              <w:t>Online at www.cetjournal.it</w:t>
            </w:r>
          </w:p>
        </w:tc>
      </w:tr>
      <w:tr w:rsidR="000A03B2" w:rsidRPr="00800ECB" w14:paraId="2D1B7169" w14:textId="77777777" w:rsidTr="00DE264A">
        <w:trPr>
          <w:trHeight w:val="68"/>
          <w:jc w:val="center"/>
        </w:trPr>
        <w:tc>
          <w:tcPr>
            <w:tcW w:w="8789" w:type="dxa"/>
            <w:gridSpan w:val="2"/>
          </w:tcPr>
          <w:p w14:paraId="1D8DD3C9" w14:textId="10669D10" w:rsidR="00AA7D26" w:rsidRPr="003A51F3" w:rsidRDefault="00AA7D26" w:rsidP="00AA7D26">
            <w:pPr>
              <w:ind w:left="-107"/>
              <w:outlineLvl w:val="2"/>
              <w:rPr>
                <w:rFonts w:ascii="Tahoma" w:hAnsi="Tahoma" w:cs="Tahoma"/>
                <w:bCs/>
                <w:color w:val="000000"/>
                <w:sz w:val="14"/>
                <w:szCs w:val="14"/>
                <w:lang w:val="it-IT" w:eastAsia="it-IT"/>
              </w:rPr>
            </w:pPr>
            <w:r w:rsidRPr="003A51F3">
              <w:rPr>
                <w:rFonts w:ascii="Tahoma" w:hAnsi="Tahoma" w:cs="Tahoma"/>
                <w:iCs/>
                <w:color w:val="333333"/>
                <w:sz w:val="14"/>
                <w:szCs w:val="14"/>
                <w:lang w:val="it-IT" w:eastAsia="it-IT"/>
              </w:rPr>
              <w:t>Guest Editors:</w:t>
            </w:r>
            <w:r w:rsidRPr="003A51F3">
              <w:rPr>
                <w:rFonts w:ascii="Tahoma" w:hAnsi="Tahoma" w:cs="Tahoma"/>
                <w:color w:val="000000"/>
                <w:sz w:val="14"/>
                <w:szCs w:val="14"/>
                <w:shd w:val="clear" w:color="auto" w:fill="FFFFFF"/>
                <w:lang w:val="it-IT"/>
              </w:rPr>
              <w:t xml:space="preserve"> </w:t>
            </w:r>
            <w:r w:rsidR="005E7C48" w:rsidRPr="003A51F3">
              <w:rPr>
                <w:sz w:val="14"/>
                <w:szCs w:val="14"/>
                <w:lang w:val="it-IT"/>
              </w:rPr>
              <w:t>David Bogle, Flavio Manenti, Piero Salatino</w:t>
            </w:r>
          </w:p>
          <w:p w14:paraId="1B0F1814" w14:textId="6981DC84" w:rsidR="000A03B2" w:rsidRPr="00800ECB" w:rsidRDefault="00AA7D26" w:rsidP="00AA7D26">
            <w:pPr>
              <w:tabs>
                <w:tab w:val="left" w:pos="-108"/>
              </w:tabs>
              <w:spacing w:line="140" w:lineRule="atLeast"/>
              <w:ind w:left="-107"/>
              <w:jc w:val="left"/>
            </w:pPr>
            <w:r w:rsidRPr="00800ECB">
              <w:rPr>
                <w:rFonts w:ascii="Tahoma" w:hAnsi="Tahoma" w:cs="Tahoma"/>
                <w:iCs/>
                <w:color w:val="333333"/>
                <w:sz w:val="14"/>
                <w:szCs w:val="14"/>
                <w:lang w:eastAsia="it-IT"/>
              </w:rPr>
              <w:t xml:space="preserve">Copyright © 2023, AIDIC </w:t>
            </w:r>
            <w:proofErr w:type="spellStart"/>
            <w:r w:rsidRPr="00800ECB">
              <w:rPr>
                <w:rFonts w:ascii="Tahoma" w:hAnsi="Tahoma" w:cs="Tahoma"/>
                <w:iCs/>
                <w:color w:val="333333"/>
                <w:sz w:val="14"/>
                <w:szCs w:val="14"/>
                <w:lang w:eastAsia="it-IT"/>
              </w:rPr>
              <w:t>Servizi</w:t>
            </w:r>
            <w:proofErr w:type="spellEnd"/>
            <w:r w:rsidRPr="00800ECB">
              <w:rPr>
                <w:rFonts w:ascii="Tahoma" w:hAnsi="Tahoma" w:cs="Tahoma"/>
                <w:iCs/>
                <w:color w:val="333333"/>
                <w:sz w:val="14"/>
                <w:szCs w:val="14"/>
                <w:lang w:eastAsia="it-IT"/>
              </w:rPr>
              <w:t xml:space="preserve"> </w:t>
            </w:r>
            <w:proofErr w:type="spellStart"/>
            <w:r w:rsidRPr="00800ECB">
              <w:rPr>
                <w:rFonts w:ascii="Tahoma" w:hAnsi="Tahoma" w:cs="Tahoma"/>
                <w:iCs/>
                <w:color w:val="333333"/>
                <w:sz w:val="14"/>
                <w:szCs w:val="14"/>
                <w:lang w:eastAsia="it-IT"/>
              </w:rPr>
              <w:t>S.r.l</w:t>
            </w:r>
            <w:proofErr w:type="spellEnd"/>
            <w:r w:rsidRPr="00800ECB">
              <w:rPr>
                <w:rFonts w:ascii="Tahoma" w:hAnsi="Tahoma" w:cs="Tahoma"/>
                <w:iCs/>
                <w:color w:val="333333"/>
                <w:sz w:val="14"/>
                <w:szCs w:val="14"/>
                <w:lang w:eastAsia="it-IT"/>
              </w:rPr>
              <w:t>.</w:t>
            </w:r>
            <w:r w:rsidRPr="00800ECB">
              <w:rPr>
                <w:rFonts w:ascii="Tahoma" w:hAnsi="Tahoma" w:cs="Tahoma"/>
                <w:iCs/>
                <w:color w:val="333333"/>
                <w:sz w:val="14"/>
                <w:szCs w:val="14"/>
                <w:lang w:eastAsia="it-IT"/>
              </w:rPr>
              <w:br/>
            </w:r>
            <w:r w:rsidRPr="00800ECB">
              <w:rPr>
                <w:rFonts w:ascii="Tahoma" w:hAnsi="Tahoma" w:cs="Tahoma"/>
                <w:b/>
                <w:iCs/>
                <w:color w:val="000000"/>
                <w:sz w:val="14"/>
                <w:szCs w:val="14"/>
                <w:lang w:eastAsia="it-IT"/>
              </w:rPr>
              <w:t>ISBN</w:t>
            </w:r>
            <w:r w:rsidRPr="00800ECB">
              <w:rPr>
                <w:rFonts w:ascii="Tahoma" w:hAnsi="Tahoma" w:cs="Tahoma"/>
                <w:iCs/>
                <w:color w:val="000000"/>
                <w:sz w:val="14"/>
                <w:szCs w:val="14"/>
                <w:lang w:eastAsia="it-IT"/>
              </w:rPr>
              <w:t xml:space="preserve"> </w:t>
            </w:r>
            <w:r w:rsidR="008B7C03" w:rsidRPr="00800ECB">
              <w:rPr>
                <w:rFonts w:ascii="Tahoma" w:hAnsi="Tahoma" w:cs="Tahoma"/>
                <w:sz w:val="14"/>
                <w:szCs w:val="14"/>
              </w:rPr>
              <w:t>979-12-81206</w:t>
            </w:r>
            <w:r w:rsidRPr="00800ECB">
              <w:rPr>
                <w:rFonts w:ascii="Tahoma" w:hAnsi="Tahoma" w:cs="Tahoma"/>
                <w:sz w:val="14"/>
                <w:szCs w:val="14"/>
              </w:rPr>
              <w:t>-</w:t>
            </w:r>
            <w:r w:rsidR="00E33DD7" w:rsidRPr="00800ECB">
              <w:rPr>
                <w:rFonts w:ascii="Tahoma" w:hAnsi="Tahoma" w:cs="Tahoma"/>
                <w:sz w:val="14"/>
                <w:szCs w:val="14"/>
              </w:rPr>
              <w:t>0</w:t>
            </w:r>
            <w:r w:rsidR="005E7C48" w:rsidRPr="00800ECB">
              <w:rPr>
                <w:rFonts w:ascii="Tahoma" w:hAnsi="Tahoma" w:cs="Tahoma"/>
                <w:sz w:val="14"/>
                <w:szCs w:val="14"/>
              </w:rPr>
              <w:t>4</w:t>
            </w:r>
            <w:r w:rsidRPr="00800ECB">
              <w:rPr>
                <w:rFonts w:ascii="Tahoma" w:hAnsi="Tahoma" w:cs="Tahoma"/>
                <w:sz w:val="14"/>
                <w:szCs w:val="14"/>
              </w:rPr>
              <w:t>-</w:t>
            </w:r>
            <w:r w:rsidR="005E7C48" w:rsidRPr="00800ECB">
              <w:rPr>
                <w:rFonts w:ascii="Tahoma" w:hAnsi="Tahoma" w:cs="Tahoma"/>
                <w:sz w:val="14"/>
                <w:szCs w:val="14"/>
              </w:rPr>
              <w:t>5</w:t>
            </w:r>
            <w:r w:rsidRPr="00800ECB">
              <w:rPr>
                <w:rFonts w:ascii="Tahoma" w:hAnsi="Tahoma" w:cs="Tahoma"/>
                <w:iCs/>
                <w:color w:val="333333"/>
                <w:sz w:val="14"/>
                <w:szCs w:val="14"/>
                <w:lang w:eastAsia="it-IT"/>
              </w:rPr>
              <w:t xml:space="preserve">; </w:t>
            </w:r>
            <w:r w:rsidRPr="00800ECB">
              <w:rPr>
                <w:rFonts w:ascii="Tahoma" w:hAnsi="Tahoma" w:cs="Tahoma"/>
                <w:b/>
                <w:iCs/>
                <w:color w:val="333333"/>
                <w:sz w:val="14"/>
                <w:szCs w:val="14"/>
                <w:lang w:eastAsia="it-IT"/>
              </w:rPr>
              <w:t>ISSN</w:t>
            </w:r>
            <w:r w:rsidRPr="00800ECB">
              <w:rPr>
                <w:rFonts w:ascii="Tahoma" w:hAnsi="Tahoma" w:cs="Tahoma"/>
                <w:iCs/>
                <w:color w:val="333333"/>
                <w:sz w:val="14"/>
                <w:szCs w:val="14"/>
                <w:lang w:eastAsia="it-IT"/>
              </w:rPr>
              <w:t xml:space="preserve"> 2283-9216</w:t>
            </w:r>
          </w:p>
        </w:tc>
      </w:tr>
    </w:tbl>
    <w:p w14:paraId="2E667253" w14:textId="3A1417D1" w:rsidR="00E978D0" w:rsidRPr="003A51F3" w:rsidRDefault="00405E10" w:rsidP="00E978D0">
      <w:pPr>
        <w:pStyle w:val="CETTitle"/>
      </w:pPr>
      <w:r w:rsidRPr="003A51F3">
        <w:t>Risk assessment for hydrogen fuelling station</w:t>
      </w:r>
      <w:r w:rsidR="00B4643F">
        <w:t>s</w:t>
      </w:r>
      <w:r w:rsidRPr="003A51F3">
        <w:t xml:space="preserve">: Public perception versus </w:t>
      </w:r>
      <w:proofErr w:type="gramStart"/>
      <w:r w:rsidRPr="003A51F3">
        <w:t>reality</w:t>
      </w:r>
      <w:proofErr w:type="gramEnd"/>
    </w:p>
    <w:p w14:paraId="0488FED2" w14:textId="0BBBD868" w:rsidR="00B57E6F" w:rsidRPr="003A51F3" w:rsidRDefault="00405E10" w:rsidP="00B57E6F">
      <w:pPr>
        <w:pStyle w:val="CETAuthors"/>
      </w:pPr>
      <w:r w:rsidRPr="003A51F3">
        <w:t>Ning Huan</w:t>
      </w:r>
      <w:r w:rsidR="00B57E6F" w:rsidRPr="003A51F3">
        <w:rPr>
          <w:vertAlign w:val="superscript"/>
        </w:rPr>
        <w:t>a</w:t>
      </w:r>
      <w:r w:rsidRPr="003A51F3">
        <w:rPr>
          <w:vertAlign w:val="superscript"/>
        </w:rPr>
        <w:t>,</w:t>
      </w:r>
      <w:r w:rsidRPr="003A51F3">
        <w:t>*</w:t>
      </w:r>
      <w:r w:rsidR="00B57E6F" w:rsidRPr="003A51F3">
        <w:t xml:space="preserve">, </w:t>
      </w:r>
      <w:r w:rsidRPr="003A51F3">
        <w:t>Toshiyuki Yamamoto</w:t>
      </w:r>
      <w:r w:rsidRPr="003A51F3">
        <w:rPr>
          <w:vertAlign w:val="superscript"/>
        </w:rPr>
        <w:t>a</w:t>
      </w:r>
      <w:r w:rsidR="00B57E6F" w:rsidRPr="003A51F3">
        <w:t xml:space="preserve">, </w:t>
      </w:r>
      <w:r w:rsidRPr="003A51F3">
        <w:t>Hitomi Sato</w:t>
      </w:r>
      <w:r w:rsidRPr="003A51F3">
        <w:rPr>
          <w:vertAlign w:val="superscript"/>
        </w:rPr>
        <w:t>b</w:t>
      </w:r>
      <w:r w:rsidRPr="003A51F3">
        <w:t>, Dimitrios Tzioutzios</w:t>
      </w:r>
      <w:r w:rsidRPr="003A51F3">
        <w:rPr>
          <w:vertAlign w:val="superscript"/>
        </w:rPr>
        <w:t>c</w:t>
      </w:r>
      <w:r w:rsidRPr="003A51F3">
        <w:t>, Roser Sala</w:t>
      </w:r>
      <w:r w:rsidRPr="003A51F3">
        <w:rPr>
          <w:vertAlign w:val="superscript"/>
        </w:rPr>
        <w:t>d</w:t>
      </w:r>
      <w:r w:rsidRPr="003A51F3">
        <w:t>, Lila Goncalves</w:t>
      </w:r>
      <w:r w:rsidRPr="003A51F3">
        <w:rPr>
          <w:vertAlign w:val="superscript"/>
        </w:rPr>
        <w:t>d</w:t>
      </w:r>
      <w:r w:rsidRPr="003A51F3">
        <w:t>, Wojciech Kosman</w:t>
      </w:r>
      <w:r w:rsidRPr="003A51F3">
        <w:rPr>
          <w:vertAlign w:val="superscript"/>
        </w:rPr>
        <w:t>e</w:t>
      </w:r>
      <w:r w:rsidRPr="003A51F3">
        <w:t>, Katarzyna Stolecka-Antczak</w:t>
      </w:r>
      <w:r w:rsidRPr="003A51F3">
        <w:rPr>
          <w:vertAlign w:val="superscript"/>
        </w:rPr>
        <w:t>e</w:t>
      </w:r>
    </w:p>
    <w:p w14:paraId="6B2D21B3" w14:textId="2BE93E5D" w:rsidR="00B57E6F" w:rsidRPr="003A51F3" w:rsidRDefault="00B57E6F" w:rsidP="00B57E6F">
      <w:pPr>
        <w:pStyle w:val="CETAddress"/>
        <w:rPr>
          <w:rFonts w:eastAsiaTheme="minorEastAsia"/>
          <w:lang w:eastAsia="zh-CN"/>
        </w:rPr>
      </w:pPr>
      <w:r w:rsidRPr="003A51F3">
        <w:rPr>
          <w:vertAlign w:val="superscript"/>
        </w:rPr>
        <w:t>a</w:t>
      </w:r>
      <w:r w:rsidR="00405E10" w:rsidRPr="003A51F3">
        <w:t>Institute of Materials and Systems for Sustainability, Nagoya University, Nagoya 464-8603, Japan</w:t>
      </w:r>
    </w:p>
    <w:p w14:paraId="3D72B0B0" w14:textId="318B1869" w:rsidR="00B57E6F" w:rsidRPr="003A51F3" w:rsidRDefault="00B57E6F" w:rsidP="00B57E6F">
      <w:pPr>
        <w:pStyle w:val="CETAddress"/>
      </w:pPr>
      <w:r w:rsidRPr="003A51F3">
        <w:rPr>
          <w:vertAlign w:val="superscript"/>
        </w:rPr>
        <w:t>b</w:t>
      </w:r>
      <w:r w:rsidR="00405E10" w:rsidRPr="003A51F3">
        <w:t>Institute</w:t>
      </w:r>
      <w:r w:rsidR="005435C4">
        <w:t>s</w:t>
      </w:r>
      <w:r w:rsidR="00405E10" w:rsidRPr="003A51F3">
        <w:t xml:space="preserve"> of Innovation for Future Society, Nagoya University, Nagoya 464-8603, Japan</w:t>
      </w:r>
    </w:p>
    <w:p w14:paraId="184B9C48" w14:textId="2538DA4C" w:rsidR="00405E10" w:rsidRPr="003A51F3" w:rsidRDefault="00D417EF" w:rsidP="00B57E6F">
      <w:pPr>
        <w:pStyle w:val="CETAddress"/>
      </w:pPr>
      <w:r w:rsidRPr="003A51F3">
        <w:rPr>
          <w:vertAlign w:val="superscript"/>
        </w:rPr>
        <w:t>c</w:t>
      </w:r>
      <w:r w:rsidRPr="003A51F3">
        <w:t>Department of Mechanical and Industrial Engineering, Norwegian University of Science and Technology (NTNU), Trondheim 7034, Norway</w:t>
      </w:r>
    </w:p>
    <w:p w14:paraId="31779BBD" w14:textId="64392454" w:rsidR="00405E10" w:rsidRPr="005435C4" w:rsidRDefault="00D417EF" w:rsidP="00B57E6F">
      <w:pPr>
        <w:pStyle w:val="CETAddress"/>
        <w:rPr>
          <w:lang w:val="es-ES"/>
        </w:rPr>
      </w:pPr>
      <w:r w:rsidRPr="005435C4">
        <w:rPr>
          <w:vertAlign w:val="superscript"/>
          <w:lang w:val="es-ES"/>
        </w:rPr>
        <w:t>d</w:t>
      </w:r>
      <w:r w:rsidRPr="005435C4">
        <w:rPr>
          <w:lang w:val="es-ES"/>
        </w:rPr>
        <w:t>Socio-Technical Research Centre, Centro de Investigaciones Energéticas, Medioambientales y Tecnológicas (CIEMAT), Universitat Autònoma de Barcelona, Barcelona 08193, Spain</w:t>
      </w:r>
    </w:p>
    <w:p w14:paraId="523E86B0" w14:textId="779FDAC3" w:rsidR="00405E10" w:rsidRPr="003A51F3" w:rsidRDefault="00D417EF" w:rsidP="00B57E6F">
      <w:pPr>
        <w:pStyle w:val="CETAddress"/>
      </w:pPr>
      <w:r w:rsidRPr="003A51F3">
        <w:rPr>
          <w:vertAlign w:val="superscript"/>
        </w:rPr>
        <w:t>e</w:t>
      </w:r>
      <w:r w:rsidRPr="003A51F3">
        <w:t>Silesian University of Technology, Akademicka 2a, Gliwice 44-100, Poland</w:t>
      </w:r>
    </w:p>
    <w:p w14:paraId="73F1267A" w14:textId="6B44F323" w:rsidR="00B57E6F" w:rsidRPr="003A51F3" w:rsidRDefault="00D417EF" w:rsidP="00B57E6F">
      <w:pPr>
        <w:pStyle w:val="CETemail"/>
        <w:rPr>
          <w:rFonts w:eastAsia="MS Mincho"/>
          <w:lang w:eastAsia="ja-JP"/>
        </w:rPr>
      </w:pPr>
      <w:r w:rsidRPr="003A51F3">
        <w:t>huan.n</w:t>
      </w:r>
      <w:r w:rsidR="00B57E6F" w:rsidRPr="003A51F3">
        <w:t>@</w:t>
      </w:r>
      <w:r w:rsidRPr="003A51F3">
        <w:t>outlook</w:t>
      </w:r>
      <w:r w:rsidR="00B57E6F" w:rsidRPr="003A51F3">
        <w:t>.com</w:t>
      </w:r>
    </w:p>
    <w:p w14:paraId="36106FD6" w14:textId="2CAD8262" w:rsidR="00972741" w:rsidRPr="003A51F3" w:rsidRDefault="00EF0C65" w:rsidP="00972741">
      <w:pPr>
        <w:pStyle w:val="CETBodytext"/>
        <w:rPr>
          <w:lang w:val="en-GB"/>
        </w:rPr>
      </w:pPr>
      <w:r w:rsidRPr="003A51F3">
        <w:rPr>
          <w:lang w:val="en-GB"/>
        </w:rPr>
        <w:t>Deploying hydrogen fuelling facilities plays a critical role in providing easy access to refuelling services for hydrogen fuel cell products. This study aims to uncover how people from different countries perceive accident risk from hydrogen fuelling stations (HFSs) and discern the gap between general cognition and reality.</w:t>
      </w:r>
      <w:r w:rsidR="00163042" w:rsidRPr="003A51F3">
        <w:rPr>
          <w:lang w:val="en-GB"/>
        </w:rPr>
        <w:t xml:space="preserve"> </w:t>
      </w:r>
      <w:r w:rsidRPr="003A51F3">
        <w:rPr>
          <w:lang w:val="en-GB"/>
        </w:rPr>
        <w:t>A cross-country investigation was simultaneously implemented in Japan, Spain, and Norway in December 2022 to observe the public’s risk attitude towards technical procedures of HFS operations</w:t>
      </w:r>
      <w:r w:rsidR="00163042" w:rsidRPr="003A51F3">
        <w:rPr>
          <w:rFonts w:ascii="宋体" w:eastAsia="宋体" w:hAnsi="宋体" w:cs="宋体"/>
          <w:lang w:val="en-GB" w:eastAsia="zh-CN"/>
        </w:rPr>
        <w:t>,</w:t>
      </w:r>
      <w:r w:rsidR="00163042" w:rsidRPr="003A51F3">
        <w:rPr>
          <w:lang w:val="en-GB"/>
        </w:rPr>
        <w:t xml:space="preserve"> i.e., hydrogen production, transportation, storage, and dispensing. A total of 2,500 participants from the three countries completed the web-based questionnaires, evaluating their level of perceived risk towards HFSs in terms of risk probability and consequence. </w:t>
      </w:r>
      <w:r w:rsidR="00D211BA" w:rsidRPr="003A51F3">
        <w:rPr>
          <w:lang w:val="en-GB"/>
        </w:rPr>
        <w:t xml:space="preserve">The investigation results demonstrated differentiated risk perception towards HFSs across countries, stimulating a reflection on the </w:t>
      </w:r>
      <w:r w:rsidR="008D7CFC" w:rsidRPr="003A51F3">
        <w:rPr>
          <w:lang w:val="en-GB"/>
        </w:rPr>
        <w:t>essential</w:t>
      </w:r>
      <w:r w:rsidR="00D211BA" w:rsidRPr="003A51F3">
        <w:rPr>
          <w:lang w:val="en-GB"/>
        </w:rPr>
        <w:t xml:space="preserve"> elements of societal risk perception. Moreover, </w:t>
      </w:r>
      <w:r w:rsidRPr="003A51F3">
        <w:rPr>
          <w:lang w:val="en-GB"/>
        </w:rPr>
        <w:t xml:space="preserve">this study emphasises the gap between cognitive and actual risk by employing </w:t>
      </w:r>
      <w:r w:rsidR="00D211BA" w:rsidRPr="003A51F3">
        <w:rPr>
          <w:lang w:val="en-GB"/>
        </w:rPr>
        <w:t xml:space="preserve">event tree analysis </w:t>
      </w:r>
      <w:r w:rsidRPr="003A51F3">
        <w:rPr>
          <w:lang w:val="en-GB"/>
        </w:rPr>
        <w:t>of standard HFS equipment</w:t>
      </w:r>
      <w:r w:rsidR="00D211BA" w:rsidRPr="003A51F3">
        <w:rPr>
          <w:lang w:val="en-GB"/>
        </w:rPr>
        <w:t>. T</w:t>
      </w:r>
      <w:r w:rsidRPr="003A51F3">
        <w:rPr>
          <w:lang w:val="en-GB"/>
        </w:rPr>
        <w:t xml:space="preserve">he empirical </w:t>
      </w:r>
      <w:r w:rsidR="00D211BA" w:rsidRPr="003A51F3">
        <w:rPr>
          <w:lang w:val="en-GB"/>
        </w:rPr>
        <w:t>frequencies</w:t>
      </w:r>
      <w:r w:rsidRPr="003A51F3">
        <w:rPr>
          <w:lang w:val="en-GB"/>
        </w:rPr>
        <w:t xml:space="preserve"> of </w:t>
      </w:r>
      <w:r w:rsidR="00D211BA" w:rsidRPr="003A51F3">
        <w:rPr>
          <w:lang w:val="en-GB"/>
        </w:rPr>
        <w:t xml:space="preserve">failure, e.g., the </w:t>
      </w:r>
      <w:r w:rsidRPr="003A51F3">
        <w:rPr>
          <w:lang w:val="en-GB"/>
        </w:rPr>
        <w:t>rupture and leakage occurring at the compressor</w:t>
      </w:r>
      <w:r w:rsidR="00D211BA" w:rsidRPr="003A51F3">
        <w:rPr>
          <w:lang w:val="en-GB"/>
        </w:rPr>
        <w:t>s</w:t>
      </w:r>
      <w:r w:rsidRPr="003A51F3">
        <w:rPr>
          <w:lang w:val="en-GB"/>
        </w:rPr>
        <w:t>, trailer</w:t>
      </w:r>
      <w:r w:rsidR="00D211BA" w:rsidRPr="003A51F3">
        <w:rPr>
          <w:lang w:val="en-GB"/>
        </w:rPr>
        <w:t>s</w:t>
      </w:r>
      <w:r w:rsidRPr="003A51F3">
        <w:rPr>
          <w:lang w:val="en-GB"/>
        </w:rPr>
        <w:t xml:space="preserve">, </w:t>
      </w:r>
      <w:r w:rsidR="00D211BA" w:rsidRPr="003A51F3">
        <w:rPr>
          <w:lang w:val="en-GB"/>
        </w:rPr>
        <w:t>vessels</w:t>
      </w:r>
      <w:r w:rsidRPr="003A51F3">
        <w:rPr>
          <w:lang w:val="en-GB"/>
        </w:rPr>
        <w:t xml:space="preserve">, </w:t>
      </w:r>
      <w:r w:rsidR="00D211BA" w:rsidRPr="003A51F3">
        <w:rPr>
          <w:lang w:val="en-GB"/>
        </w:rPr>
        <w:t>dispensers, and pipes</w:t>
      </w:r>
      <w:r w:rsidR="008D7CFC" w:rsidRPr="003A51F3">
        <w:rPr>
          <w:lang w:val="en-GB"/>
        </w:rPr>
        <w:t>,</w:t>
      </w:r>
      <w:r w:rsidR="00972741" w:rsidRPr="003A51F3">
        <w:rPr>
          <w:lang w:val="en-GB"/>
        </w:rPr>
        <w:t xml:space="preserve"> are summarised as a baseline. The comparative results indicate that the public tends to overestimate the risks of hydrogen transportation and underestimate the risks of production, identifying perceptual inaccuracies and suggesting directions for future hydrogen knowledge dissemination from a practical point of view.</w:t>
      </w:r>
    </w:p>
    <w:p w14:paraId="476B2F2E" w14:textId="77777777" w:rsidR="00600535" w:rsidRPr="003A51F3" w:rsidRDefault="00600535" w:rsidP="00600535">
      <w:pPr>
        <w:pStyle w:val="CETHeading1"/>
        <w:rPr>
          <w:lang w:val="en-GB"/>
        </w:rPr>
      </w:pPr>
      <w:r w:rsidRPr="003A51F3">
        <w:rPr>
          <w:lang w:val="en-GB"/>
        </w:rPr>
        <w:t>Introduction</w:t>
      </w:r>
    </w:p>
    <w:p w14:paraId="0DEE7885" w14:textId="315A62E4" w:rsidR="000518CB" w:rsidRPr="003A51F3" w:rsidRDefault="00163042" w:rsidP="000518CB">
      <w:pPr>
        <w:pStyle w:val="CETListbullets"/>
        <w:ind w:left="0" w:firstLine="0"/>
      </w:pPr>
      <w:r w:rsidRPr="003A51F3">
        <w:t>With growing concern on promoting the sustainable energy transition towards a low-carbon economy worldwide, hydrogen has been widely recognised as a promising multi-functional renewable energy carrier for achieving industrial decarbonisation targets.</w:t>
      </w:r>
      <w:r w:rsidR="00363C4C" w:rsidRPr="003A51F3">
        <w:t xml:space="preserve"> </w:t>
      </w:r>
      <w:r w:rsidR="008D7CFC" w:rsidRPr="003A51F3">
        <w:t>Green h</w:t>
      </w:r>
      <w:r w:rsidR="00B4067D" w:rsidRPr="003A51F3">
        <w:t xml:space="preserve">ydrogen </w:t>
      </w:r>
      <w:r w:rsidR="00E15922">
        <w:t>is</w:t>
      </w:r>
      <w:r w:rsidR="00B4067D" w:rsidRPr="003A51F3">
        <w:t xml:space="preserve"> produced </w:t>
      </w:r>
      <w:r w:rsidR="00B969F5">
        <w:t xml:space="preserve">sustainably, </w:t>
      </w:r>
      <w:r w:rsidR="00E15922">
        <w:t>utilising</w:t>
      </w:r>
      <w:r w:rsidR="00B969F5">
        <w:t xml:space="preserve"> </w:t>
      </w:r>
      <w:r w:rsidR="00B4067D" w:rsidRPr="003A51F3">
        <w:t xml:space="preserve">renewable </w:t>
      </w:r>
      <w:r w:rsidR="00B969F5">
        <w:t xml:space="preserve">energy and </w:t>
      </w:r>
      <w:r w:rsidR="00B4067D" w:rsidRPr="003A51F3">
        <w:t>resources</w:t>
      </w:r>
      <w:r w:rsidR="00E33CC7">
        <w:t>,</w:t>
      </w:r>
      <w:r w:rsidR="00B4067D" w:rsidRPr="003A51F3">
        <w:t xml:space="preserve"> such as </w:t>
      </w:r>
      <w:r w:rsidR="009F3099" w:rsidRPr="003A51F3">
        <w:t>water</w:t>
      </w:r>
      <w:r w:rsidR="008D7CFC" w:rsidRPr="003A51F3">
        <w:t xml:space="preserve"> </w:t>
      </w:r>
      <w:r w:rsidR="00B4067D" w:rsidRPr="003A51F3">
        <w:t xml:space="preserve">electrolysis. </w:t>
      </w:r>
      <w:r w:rsidR="00D62F57">
        <w:t>Hydrogen f</w:t>
      </w:r>
      <w:r w:rsidR="00B4067D" w:rsidRPr="003A51F3">
        <w:t>uel cells</w:t>
      </w:r>
      <w:r w:rsidR="00240963">
        <w:t xml:space="preserve"> </w:t>
      </w:r>
      <w:r w:rsidR="00D62F57">
        <w:t xml:space="preserve">can </w:t>
      </w:r>
      <w:r w:rsidR="00E15922" w:rsidRPr="003A51F3">
        <w:t>convert</w:t>
      </w:r>
      <w:r w:rsidR="00B4067D" w:rsidRPr="003A51F3">
        <w:t xml:space="preserve"> it</w:t>
      </w:r>
      <w:r w:rsidR="008551DB">
        <w:t>s chemical energy</w:t>
      </w:r>
      <w:r w:rsidR="00B4067D" w:rsidRPr="003A51F3">
        <w:t xml:space="preserve"> back into electricity and </w:t>
      </w:r>
      <w:r w:rsidR="00E15922" w:rsidRPr="003A51F3">
        <w:t>ha</w:t>
      </w:r>
      <w:r w:rsidR="00E15922">
        <w:t>ve</w:t>
      </w:r>
      <w:r w:rsidR="00E15922" w:rsidRPr="003A51F3">
        <w:t xml:space="preserve"> </w:t>
      </w:r>
      <w:r w:rsidR="00B4067D" w:rsidRPr="003A51F3">
        <w:t>been widely applied in various sectors, including transportation, power generation, and heating</w:t>
      </w:r>
      <w:r w:rsidR="00AA0C05" w:rsidRPr="003A51F3">
        <w:t xml:space="preserve"> (</w:t>
      </w:r>
      <w:r w:rsidR="00AA0C05" w:rsidRPr="003A51F3">
        <w:rPr>
          <w:rFonts w:hint="eastAsia"/>
        </w:rPr>
        <w:t>İ</w:t>
      </w:r>
      <w:r w:rsidR="00AA0C05" w:rsidRPr="003A51F3">
        <w:t xml:space="preserve">nci, 2022), </w:t>
      </w:r>
      <w:r w:rsidR="00B4067D" w:rsidRPr="003A51F3">
        <w:t xml:space="preserve">due to </w:t>
      </w:r>
      <w:r w:rsidR="00E15922">
        <w:t>their</w:t>
      </w:r>
      <w:r w:rsidR="00E15922" w:rsidRPr="003A51F3">
        <w:t xml:space="preserve"> </w:t>
      </w:r>
      <w:r w:rsidR="00B4067D" w:rsidRPr="003A51F3">
        <w:t>high efficiency, zero carbon emissions, and versatility</w:t>
      </w:r>
      <w:r w:rsidR="00AA0C05" w:rsidRPr="003A51F3">
        <w:t xml:space="preserve"> (</w:t>
      </w:r>
      <w:proofErr w:type="spellStart"/>
      <w:r w:rsidR="00AA0C05" w:rsidRPr="003A51F3">
        <w:t>Ajanovic</w:t>
      </w:r>
      <w:proofErr w:type="spellEnd"/>
      <w:r w:rsidR="00AA0C05" w:rsidRPr="003A51F3">
        <w:t xml:space="preserve"> and Haas, 2021).</w:t>
      </w:r>
    </w:p>
    <w:p w14:paraId="12D304F3" w14:textId="0E7FD3A8" w:rsidR="00BA1457" w:rsidRPr="003A51F3" w:rsidRDefault="000518CB" w:rsidP="00BA1457">
      <w:pPr>
        <w:pStyle w:val="CETListbullets"/>
        <w:ind w:left="0" w:firstLine="0"/>
      </w:pPr>
      <w:r w:rsidRPr="003A51F3">
        <w:t xml:space="preserve">Hydrogen fuelling stations </w:t>
      </w:r>
      <w:r w:rsidR="00BA1457" w:rsidRPr="003A51F3">
        <w:t xml:space="preserve">(HFSs) </w:t>
      </w:r>
      <w:r w:rsidRPr="003A51F3">
        <w:t>are essential infrastructure for hydrogen fuel cell applications, serving as physical facilities that provide equipment and locations for hydrogen refuelling</w:t>
      </w:r>
      <w:r w:rsidR="00AA0C05" w:rsidRPr="003A51F3">
        <w:t xml:space="preserve"> (Alazemi and Andrews, 2015)</w:t>
      </w:r>
      <w:r w:rsidRPr="003A51F3">
        <w:t xml:space="preserve">. </w:t>
      </w:r>
      <w:r w:rsidR="000E32FB" w:rsidRPr="003A51F3">
        <w:t xml:space="preserve">As of 2019, there were 375 </w:t>
      </w:r>
      <w:r w:rsidR="00BA1457" w:rsidRPr="003A51F3">
        <w:t>HFSs</w:t>
      </w:r>
      <w:r w:rsidR="000E32FB" w:rsidRPr="003A51F3">
        <w:t xml:space="preserve"> </w:t>
      </w:r>
      <w:r w:rsidR="008D7CFC" w:rsidRPr="003A51F3">
        <w:t>in operation</w:t>
      </w:r>
      <w:r w:rsidR="000E32FB" w:rsidRPr="003A51F3">
        <w:t xml:space="preserve"> worldwide, compared to 320 in 2017. </w:t>
      </w:r>
      <w:proofErr w:type="gramStart"/>
      <w:r w:rsidR="000E32FB" w:rsidRPr="003A51F3">
        <w:t>The majority of</w:t>
      </w:r>
      <w:proofErr w:type="gramEnd"/>
      <w:r w:rsidR="000E32FB" w:rsidRPr="003A51F3">
        <w:t xml:space="preserve"> these stations are accessible to the public.</w:t>
      </w:r>
      <w:r w:rsidR="00BA1457" w:rsidRPr="003A51F3">
        <w:t xml:space="preserve"> As reported by</w:t>
      </w:r>
      <w:r w:rsidR="00AA0C05" w:rsidRPr="003A51F3">
        <w:t xml:space="preserve"> Apostolou and Xydis (2019)</w:t>
      </w:r>
      <w:r w:rsidR="00BA1457" w:rsidRPr="003A51F3">
        <w:t xml:space="preserve">, </w:t>
      </w:r>
      <w:r w:rsidR="00461504">
        <w:t>by</w:t>
      </w:r>
      <w:r w:rsidR="00BA1457" w:rsidRPr="003A51F3">
        <w:t xml:space="preserve"> the end of 2018, Europe had the highest number of HFSs, tota</w:t>
      </w:r>
      <w:r w:rsidR="008D7CFC" w:rsidRPr="003A51F3">
        <w:t>l</w:t>
      </w:r>
      <w:r w:rsidR="00BA1457" w:rsidRPr="003A51F3">
        <w:t xml:space="preserve">ling 170, followed by Asia with 130, with </w:t>
      </w:r>
      <w:r w:rsidR="00A612FD" w:rsidRPr="003A51F3">
        <w:t>most of</w:t>
      </w:r>
      <w:r w:rsidR="00BA1457" w:rsidRPr="003A51F3">
        <w:t xml:space="preserve"> them located in Japan. The Americas ranked third with over 70 stations, </w:t>
      </w:r>
      <w:r w:rsidR="008D7CFC" w:rsidRPr="003A51F3">
        <w:t>primari</w:t>
      </w:r>
      <w:r w:rsidR="00BA1457" w:rsidRPr="003A51F3">
        <w:t>ly concentrated in the USA.</w:t>
      </w:r>
    </w:p>
    <w:p w14:paraId="7C05CD41" w14:textId="655F6AB9" w:rsidR="00774B5C" w:rsidRPr="003A51F3" w:rsidRDefault="00BA1457" w:rsidP="00BA1457">
      <w:pPr>
        <w:pStyle w:val="CETListbullets"/>
        <w:ind w:left="0" w:firstLine="0"/>
      </w:pPr>
      <w:r w:rsidRPr="003A51F3">
        <w:t xml:space="preserve">As the construction of HFSs accelerates worldwide, their safety concerns have </w:t>
      </w:r>
      <w:r w:rsidR="00496758">
        <w:t>started to a</w:t>
      </w:r>
      <w:r w:rsidRPr="003A51F3">
        <w:t xml:space="preserve">ttract increasing attention. </w:t>
      </w:r>
      <w:proofErr w:type="spellStart"/>
      <w:r w:rsidR="00AA0C05" w:rsidRPr="003A51F3">
        <w:t>Vereš</w:t>
      </w:r>
      <w:proofErr w:type="spellEnd"/>
      <w:r w:rsidR="00AA0C05" w:rsidRPr="003A51F3">
        <w:t xml:space="preserve"> et al. (2022) </w:t>
      </w:r>
      <w:r w:rsidRPr="003A51F3">
        <w:t xml:space="preserve">suggested that the potential hazard sources at the HFS include </w:t>
      </w:r>
      <w:r w:rsidR="00740DB8" w:rsidRPr="003A51F3">
        <w:t xml:space="preserve">on-site production </w:t>
      </w:r>
      <w:r w:rsidR="00740DB8" w:rsidRPr="003A51F3">
        <w:lastRenderedPageBreak/>
        <w:t>unit</w:t>
      </w:r>
      <w:r w:rsidR="008D7CFC" w:rsidRPr="003A51F3">
        <w:t>s</w:t>
      </w:r>
      <w:r w:rsidR="00740DB8" w:rsidRPr="003A51F3">
        <w:t>, e.g., electrolyser</w:t>
      </w:r>
      <w:r w:rsidR="008D7CFC" w:rsidRPr="003A51F3">
        <w:t>s</w:t>
      </w:r>
      <w:r w:rsidR="00740DB8" w:rsidRPr="003A51F3">
        <w:t>, compressors, dispensers, pipes, and delivery systems. Nonetheless, most of the existing studies have been devoted to analysing and controlling the actual risk with emphas</w:t>
      </w:r>
      <w:r w:rsidR="008D7CFC" w:rsidRPr="003A51F3">
        <w:t>i</w:t>
      </w:r>
      <w:r w:rsidR="00740DB8" w:rsidRPr="003A51F3">
        <w:t>s on improving hydrogen safety,</w:t>
      </w:r>
      <w:r w:rsidR="008D7CFC" w:rsidRPr="003A51F3">
        <w:t xml:space="preserve"> and</w:t>
      </w:r>
      <w:r w:rsidR="00740DB8" w:rsidRPr="003A51F3">
        <w:t xml:space="preserve"> limited attention has been paid to </w:t>
      </w:r>
      <w:r w:rsidR="008D7CFC" w:rsidRPr="003A51F3">
        <w:t xml:space="preserve">risk </w:t>
      </w:r>
      <w:r w:rsidR="00740DB8" w:rsidRPr="003A51F3">
        <w:t xml:space="preserve">perception </w:t>
      </w:r>
      <w:r w:rsidR="008D7CFC" w:rsidRPr="003A51F3">
        <w:t xml:space="preserve">towards </w:t>
      </w:r>
      <w:r w:rsidR="00740DB8" w:rsidRPr="003A51F3">
        <w:t>HFS</w:t>
      </w:r>
      <w:r w:rsidR="00500ECD">
        <w:t>s</w:t>
      </w:r>
      <w:r w:rsidR="00740DB8" w:rsidRPr="003A51F3">
        <w:t xml:space="preserve">. </w:t>
      </w:r>
      <w:r w:rsidR="00761912" w:rsidRPr="003A51F3">
        <w:t xml:space="preserve">As users of hydrogen fuelling services, </w:t>
      </w:r>
      <w:r w:rsidR="008D7CFC" w:rsidRPr="003A51F3">
        <w:t xml:space="preserve">the </w:t>
      </w:r>
      <w:r w:rsidR="00761912" w:rsidRPr="003A51F3">
        <w:t>public</w:t>
      </w:r>
      <w:r w:rsidR="008D7CFC" w:rsidRPr="003A51F3">
        <w:t>’s</w:t>
      </w:r>
      <w:r w:rsidR="00761912" w:rsidRPr="003A51F3">
        <w:t xml:space="preserve"> awareness and perception of this emerging technology are </w:t>
      </w:r>
      <w:r w:rsidR="008D7CFC" w:rsidRPr="003A51F3">
        <w:t>essential</w:t>
      </w:r>
      <w:r w:rsidR="00761912" w:rsidRPr="003A51F3">
        <w:t xml:space="preserve"> considerations in the planning and deploy</w:t>
      </w:r>
      <w:r w:rsidR="008D7CFC" w:rsidRPr="003A51F3">
        <w:t>ing</w:t>
      </w:r>
      <w:r w:rsidR="00761912" w:rsidRPr="003A51F3">
        <w:t xml:space="preserve"> HFSs. Public support is a significant social force in integrating HFSs into local communities. Therefore, in recent years, many scholars have begun investigating the </w:t>
      </w:r>
      <w:r w:rsidR="00E15922" w:rsidRPr="003A51F3">
        <w:t>public</w:t>
      </w:r>
      <w:r w:rsidR="00E15922">
        <w:t>’</w:t>
      </w:r>
      <w:r w:rsidR="00E15922" w:rsidRPr="003A51F3">
        <w:t xml:space="preserve">s </w:t>
      </w:r>
      <w:r w:rsidR="00761912" w:rsidRPr="003A51F3">
        <w:t>evaluation of HFS</w:t>
      </w:r>
      <w:r w:rsidR="00CF324C" w:rsidRPr="003A51F3">
        <w:t>s, e.g., in terms of public</w:t>
      </w:r>
      <w:r w:rsidR="00AA0C05" w:rsidRPr="003A51F3">
        <w:t xml:space="preserve"> acceptance (Ono and </w:t>
      </w:r>
      <w:proofErr w:type="spellStart"/>
      <w:r w:rsidR="00AA0C05" w:rsidRPr="003A51F3">
        <w:t>Tsunemi</w:t>
      </w:r>
      <w:proofErr w:type="spellEnd"/>
      <w:r w:rsidR="00AA0C05" w:rsidRPr="003A51F3">
        <w:t>, 2017)</w:t>
      </w:r>
      <w:r w:rsidR="00CF324C" w:rsidRPr="003A51F3">
        <w:t xml:space="preserve">, and </w:t>
      </w:r>
      <w:r w:rsidR="008D7CFC" w:rsidRPr="003A51F3">
        <w:t xml:space="preserve">the </w:t>
      </w:r>
      <w:r w:rsidR="00CF324C" w:rsidRPr="003A51F3">
        <w:t>intention to act towards local hydrogen facilities</w:t>
      </w:r>
      <w:r w:rsidR="00AA0C05" w:rsidRPr="003A51F3">
        <w:t xml:space="preserve"> (</w:t>
      </w:r>
      <w:proofErr w:type="spellStart"/>
      <w:r w:rsidR="00AA0C05" w:rsidRPr="003A51F3">
        <w:t>Huijts</w:t>
      </w:r>
      <w:proofErr w:type="spellEnd"/>
      <w:r w:rsidR="00AA0C05" w:rsidRPr="003A51F3">
        <w:t xml:space="preserve"> et al., 2013).</w:t>
      </w:r>
    </w:p>
    <w:p w14:paraId="6D925265" w14:textId="09D0B7BE" w:rsidR="00B5446F" w:rsidRPr="003A51F3" w:rsidRDefault="00CF324C" w:rsidP="00740DB8">
      <w:pPr>
        <w:pStyle w:val="CETListbullets"/>
        <w:ind w:left="0" w:firstLine="0"/>
      </w:pPr>
      <w:r w:rsidRPr="003A51F3">
        <w:t xml:space="preserve">In this study, </w:t>
      </w:r>
      <w:r w:rsidR="00B5446F" w:rsidRPr="003A51F3">
        <w:t xml:space="preserve">we adopt a cross-national research perspective to investigate public perception of risk associated with HFSs, which is </w:t>
      </w:r>
      <w:r w:rsidR="008D7CFC" w:rsidRPr="003A51F3">
        <w:t xml:space="preserve">also deemed as </w:t>
      </w:r>
      <w:r w:rsidR="00B5446F" w:rsidRPr="003A51F3">
        <w:t>a major source of negative emotions towards HFS installation. Th</w:t>
      </w:r>
      <w:r w:rsidR="008D7CFC" w:rsidRPr="003A51F3">
        <w:t>e findings</w:t>
      </w:r>
      <w:r w:rsidR="00B5446F" w:rsidRPr="003A51F3">
        <w:t xml:space="preserve"> serve as a foundation for understanding the perceived risk and the gap with reality, as well as a key behavio</w:t>
      </w:r>
      <w:r w:rsidR="00F1583A">
        <w:t>u</w:t>
      </w:r>
      <w:r w:rsidR="00B5446F" w:rsidRPr="003A51F3">
        <w:t>ral basis for enhancing public acceptance towards hydrogen applications.</w:t>
      </w:r>
    </w:p>
    <w:p w14:paraId="5741900F" w14:textId="466D94EB" w:rsidR="00453E24" w:rsidRPr="003A51F3" w:rsidRDefault="008305A4" w:rsidP="00453E24">
      <w:pPr>
        <w:pStyle w:val="CETHeading1"/>
      </w:pPr>
      <w:r w:rsidRPr="003A51F3">
        <w:t>Investigation of public risk perception</w:t>
      </w:r>
    </w:p>
    <w:p w14:paraId="1D334730" w14:textId="63B59B2D" w:rsidR="00B5446F" w:rsidRPr="003A51F3" w:rsidRDefault="00303A15" w:rsidP="00453E24">
      <w:pPr>
        <w:pStyle w:val="CETBodytext"/>
      </w:pPr>
      <w:r w:rsidRPr="003A51F3">
        <w:t xml:space="preserve">This section introduces the cross-country survey conducted </w:t>
      </w:r>
      <w:r w:rsidR="008D7CFC" w:rsidRPr="003A51F3">
        <w:t>to collect</w:t>
      </w:r>
      <w:r w:rsidRPr="003A51F3">
        <w:t xml:space="preserve"> the public risk perception</w:t>
      </w:r>
      <w:r w:rsidR="008305A4" w:rsidRPr="003A51F3">
        <w:t xml:space="preserve"> towards HFSs, and the statistical results of the survey.</w:t>
      </w:r>
    </w:p>
    <w:p w14:paraId="0636B784" w14:textId="78B3D8FB" w:rsidR="00453E24" w:rsidRPr="003A51F3" w:rsidRDefault="008305A4" w:rsidP="006236FD">
      <w:pPr>
        <w:pStyle w:val="CETheadingx"/>
      </w:pPr>
      <w:r w:rsidRPr="003A51F3">
        <w:t>S</w:t>
      </w:r>
      <w:r w:rsidR="00EE464B" w:rsidRPr="003A51F3">
        <w:t xml:space="preserve">urvey </w:t>
      </w:r>
      <w:r w:rsidRPr="003A51F3">
        <w:t xml:space="preserve">design and </w:t>
      </w:r>
      <w:r w:rsidR="00EE464B" w:rsidRPr="003A51F3">
        <w:t>implementation</w:t>
      </w:r>
    </w:p>
    <w:p w14:paraId="010AAB98" w14:textId="2CD5D646" w:rsidR="00444DE7" w:rsidRPr="003A51F3" w:rsidRDefault="000E4F1A" w:rsidP="00453E24">
      <w:pPr>
        <w:pStyle w:val="CETBodytext"/>
        <w:rPr>
          <w:rFonts w:eastAsiaTheme="minorEastAsia"/>
          <w:lang w:eastAsia="zh-CN"/>
        </w:rPr>
      </w:pPr>
      <w:r w:rsidRPr="003A51F3">
        <w:t>Regarding the categories of HFSs, on-site and off-site HFSs are widely regarded as two representative forms of hydrogen stations</w:t>
      </w:r>
      <w:r w:rsidR="008D7CFC" w:rsidRPr="003A51F3">
        <w:t>. The main difference is</w:t>
      </w:r>
      <w:r w:rsidRPr="003A51F3">
        <w:t xml:space="preserve"> whether they are equipped with electrolytic production equipment for hydrogen.</w:t>
      </w:r>
      <w:r w:rsidR="00FC75A7" w:rsidRPr="003A51F3">
        <w:t xml:space="preserve"> </w:t>
      </w:r>
      <w:r w:rsidR="00444DE7" w:rsidRPr="003A51F3">
        <w:rPr>
          <w:rFonts w:eastAsiaTheme="minorEastAsia"/>
          <w:lang w:eastAsia="zh-CN"/>
        </w:rPr>
        <w:t>Considering the limited public awareness of HFS</w:t>
      </w:r>
      <w:r w:rsidR="00444DE7" w:rsidRPr="003A51F3">
        <w:rPr>
          <w:rFonts w:eastAsiaTheme="minorEastAsia" w:hint="eastAsia"/>
          <w:lang w:eastAsia="zh-CN"/>
        </w:rPr>
        <w:t>s</w:t>
      </w:r>
      <w:r w:rsidR="00444DE7" w:rsidRPr="003A51F3">
        <w:rPr>
          <w:rFonts w:eastAsiaTheme="minorEastAsia"/>
          <w:lang w:eastAsia="zh-CN"/>
        </w:rPr>
        <w:t xml:space="preserve">, this survey began by introducing the two </w:t>
      </w:r>
      <w:r w:rsidR="008D7CFC" w:rsidRPr="003A51F3">
        <w:rPr>
          <w:rFonts w:eastAsiaTheme="minorEastAsia"/>
          <w:lang w:eastAsia="zh-CN"/>
        </w:rPr>
        <w:t>categories above</w:t>
      </w:r>
      <w:r w:rsidR="00444DE7" w:rsidRPr="003A51F3">
        <w:rPr>
          <w:rFonts w:eastAsiaTheme="minorEastAsia"/>
          <w:lang w:eastAsia="zh-CN"/>
        </w:rPr>
        <w:t xml:space="preserve"> and their main differences to participants, followed by an overview of the four operational processes of hydrogen stations: hydrogen production, transportation, storage, and dispensing, as in Figure 1.</w:t>
      </w:r>
    </w:p>
    <w:p w14:paraId="0597A495" w14:textId="1511B723" w:rsidR="00163042" w:rsidRPr="003A51F3" w:rsidRDefault="00444DE7" w:rsidP="00D108A7">
      <w:pPr>
        <w:pStyle w:val="CETBodytext"/>
        <w:rPr>
          <w:lang w:val="en-GB"/>
        </w:rPr>
      </w:pPr>
      <w:r w:rsidRPr="003A51F3">
        <w:rPr>
          <w:rFonts w:eastAsiaTheme="minorEastAsia"/>
          <w:lang w:eastAsia="zh-CN"/>
        </w:rPr>
        <w:tab/>
      </w:r>
      <w:r w:rsidR="00D108A7" w:rsidRPr="003A51F3">
        <w:rPr>
          <w:rFonts w:eastAsiaTheme="minorEastAsia"/>
          <w:lang w:eastAsia="zh-CN"/>
        </w:rPr>
        <w:t xml:space="preserve">The literature includes research on measuring the </w:t>
      </w:r>
      <w:r w:rsidR="002578EE" w:rsidRPr="003A51F3">
        <w:rPr>
          <w:rFonts w:eastAsiaTheme="minorEastAsia"/>
          <w:lang w:eastAsia="zh-CN"/>
        </w:rPr>
        <w:t>public</w:t>
      </w:r>
      <w:r w:rsidR="002578EE">
        <w:rPr>
          <w:rFonts w:eastAsiaTheme="minorEastAsia"/>
          <w:lang w:eastAsia="zh-CN"/>
        </w:rPr>
        <w:t>’</w:t>
      </w:r>
      <w:r w:rsidR="002578EE" w:rsidRPr="003A51F3">
        <w:rPr>
          <w:rFonts w:eastAsiaTheme="minorEastAsia"/>
          <w:lang w:eastAsia="zh-CN"/>
        </w:rPr>
        <w:t xml:space="preserve">s </w:t>
      </w:r>
      <w:r w:rsidR="00D108A7" w:rsidRPr="003A51F3">
        <w:rPr>
          <w:rFonts w:eastAsiaTheme="minorEastAsia"/>
          <w:lang w:eastAsia="zh-CN"/>
        </w:rPr>
        <w:t>perceived risk towards HFS</w:t>
      </w:r>
      <w:r w:rsidR="00D108A7" w:rsidRPr="003A51F3">
        <w:rPr>
          <w:rFonts w:eastAsiaTheme="minorEastAsia" w:hint="eastAsia"/>
          <w:lang w:eastAsia="zh-CN"/>
        </w:rPr>
        <w:t>s</w:t>
      </w:r>
      <w:r w:rsidR="00D108A7" w:rsidRPr="003A51F3">
        <w:rPr>
          <w:rFonts w:eastAsiaTheme="minorEastAsia"/>
          <w:lang w:eastAsia="zh-CN"/>
        </w:rPr>
        <w:t>. For example, in the study conducted</w:t>
      </w:r>
      <w:r w:rsidR="006B4A65" w:rsidRPr="003A51F3">
        <w:rPr>
          <w:rFonts w:eastAsiaTheme="minorEastAsia"/>
          <w:lang w:eastAsia="zh-CN"/>
        </w:rPr>
        <w:t xml:space="preserve"> by </w:t>
      </w:r>
      <w:proofErr w:type="spellStart"/>
      <w:r w:rsidR="006B4A65" w:rsidRPr="003A51F3">
        <w:rPr>
          <w:rFonts w:eastAsiaTheme="minorEastAsia"/>
          <w:lang w:eastAsia="zh-CN"/>
        </w:rPr>
        <w:t>Huijts</w:t>
      </w:r>
      <w:proofErr w:type="spellEnd"/>
      <w:r w:rsidR="006B4A65" w:rsidRPr="003A51F3">
        <w:rPr>
          <w:rFonts w:eastAsiaTheme="minorEastAsia"/>
          <w:lang w:eastAsia="zh-CN"/>
        </w:rPr>
        <w:t xml:space="preserve"> et al. (2015)</w:t>
      </w:r>
      <w:r w:rsidR="00D108A7" w:rsidRPr="003A51F3">
        <w:rPr>
          <w:rFonts w:eastAsiaTheme="minorEastAsia"/>
          <w:lang w:eastAsia="zh-CN"/>
        </w:rPr>
        <w:t xml:space="preserve">, perceived risk was considered as a holistic evaluation. This study intends to further reveal the connotations of risk from different perspectives. Thus, </w:t>
      </w:r>
      <w:r w:rsidRPr="003A51F3">
        <w:rPr>
          <w:rFonts w:eastAsiaTheme="minorEastAsia"/>
          <w:lang w:eastAsia="zh-CN"/>
        </w:rPr>
        <w:t xml:space="preserve">based on </w:t>
      </w:r>
      <w:r w:rsidR="00D108A7" w:rsidRPr="003A51F3">
        <w:rPr>
          <w:rFonts w:eastAsiaTheme="minorEastAsia"/>
          <w:lang w:eastAsia="zh-CN"/>
        </w:rPr>
        <w:t>the</w:t>
      </w:r>
      <w:r w:rsidRPr="003A51F3">
        <w:rPr>
          <w:rFonts w:eastAsiaTheme="minorEastAsia"/>
          <w:lang w:eastAsia="zh-CN"/>
        </w:rPr>
        <w:t xml:space="preserve"> background information provided, we guided respondents to answer their risk assessment of each process. Specifically, this survey described risks as accidents that may cause physical injury and property damage to nearby residents. </w:t>
      </w:r>
      <w:r w:rsidR="00D6609B" w:rsidRPr="00D6609B">
        <w:rPr>
          <w:rFonts w:eastAsiaTheme="minorEastAsia"/>
          <w:lang w:eastAsia="zh-CN"/>
        </w:rPr>
        <w:t>Following the risk dimensions suggested by Wilson et al. (2019), perceived risk in this study is measured in terms of probability and consequence using five-level Likert scale questions</w:t>
      </w:r>
      <w:r w:rsidR="00D108A7" w:rsidRPr="003A51F3">
        <w:rPr>
          <w:rFonts w:eastAsiaTheme="minorEastAsia"/>
          <w:lang w:eastAsia="zh-CN"/>
        </w:rPr>
        <w:t>.</w:t>
      </w:r>
    </w:p>
    <w:p w14:paraId="53BC7DA5" w14:textId="7E670C9C" w:rsidR="00A241B5" w:rsidRPr="003A51F3" w:rsidRDefault="005530C4" w:rsidP="00453E24">
      <w:pPr>
        <w:pStyle w:val="CETBodytext"/>
      </w:pPr>
      <w:r w:rsidRPr="003A51F3">
        <w:rPr>
          <w:noProof/>
        </w:rPr>
        <w:drawing>
          <wp:inline distT="0" distB="0" distL="0" distR="0" wp14:anchorId="58CDD802" wp14:editId="544E6B4F">
            <wp:extent cx="4678877" cy="2929799"/>
            <wp:effectExtent l="0" t="0" r="7620" b="4445"/>
            <wp:docPr id="629783838"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783838" name="Picture 1" descr="Table&#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589" t="-3970"/>
                    <a:stretch/>
                  </pic:blipFill>
                  <pic:spPr bwMode="auto">
                    <a:xfrm>
                      <a:off x="0" y="0"/>
                      <a:ext cx="4753860" cy="2976752"/>
                    </a:xfrm>
                    <a:prstGeom prst="rect">
                      <a:avLst/>
                    </a:prstGeom>
                    <a:noFill/>
                    <a:ln>
                      <a:noFill/>
                    </a:ln>
                    <a:extLst>
                      <a:ext uri="{53640926-AAD7-44D8-BBD7-CCE9431645EC}">
                        <a14:shadowObscured xmlns:a14="http://schemas.microsoft.com/office/drawing/2010/main"/>
                      </a:ext>
                    </a:extLst>
                  </pic:spPr>
                </pic:pic>
              </a:graphicData>
            </a:graphic>
          </wp:inline>
        </w:drawing>
      </w:r>
    </w:p>
    <w:p w14:paraId="67C5163E" w14:textId="53AB50FF" w:rsidR="005530C4" w:rsidRPr="003A51F3" w:rsidRDefault="005530C4" w:rsidP="005530C4">
      <w:pPr>
        <w:pStyle w:val="CETCaption"/>
        <w:rPr>
          <w:rStyle w:val="CETCaptionCarattere"/>
          <w:i/>
        </w:rPr>
      </w:pPr>
      <w:r w:rsidRPr="003A51F3">
        <w:rPr>
          <w:rStyle w:val="CETCaptionCarattere"/>
          <w:i/>
        </w:rPr>
        <w:t>Figure 1: Questionnaire design</w:t>
      </w:r>
    </w:p>
    <w:p w14:paraId="2E6A9A22" w14:textId="4540718B" w:rsidR="008305A4" w:rsidRPr="003A51F3" w:rsidRDefault="008305A4" w:rsidP="008305A4">
      <w:pPr>
        <w:pStyle w:val="CETBodytext"/>
      </w:pPr>
      <w:r w:rsidRPr="003A51F3">
        <w:t>The web-based questionnaire survey</w:t>
      </w:r>
      <w:r w:rsidR="00AE3454" w:rsidRPr="003A51F3">
        <w:t xml:space="preserve"> was implemented</w:t>
      </w:r>
      <w:r w:rsidRPr="003A51F3">
        <w:t xml:space="preserve"> in Japa</w:t>
      </w:r>
      <w:r w:rsidR="00384695" w:rsidRPr="003A51F3">
        <w:t>n (JP)</w:t>
      </w:r>
      <w:r w:rsidRPr="003A51F3">
        <w:t>, Spain</w:t>
      </w:r>
      <w:r w:rsidR="00384695" w:rsidRPr="003A51F3">
        <w:t xml:space="preserve"> (ES)</w:t>
      </w:r>
      <w:r w:rsidRPr="003A51F3">
        <w:t>, and Norway</w:t>
      </w:r>
      <w:r w:rsidR="00384695" w:rsidRPr="003A51F3">
        <w:t xml:space="preserve"> (NO)</w:t>
      </w:r>
      <w:r w:rsidR="00AE3454" w:rsidRPr="003A51F3">
        <w:t xml:space="preserve"> in December 2022. </w:t>
      </w:r>
      <w:r w:rsidR="007805C2" w:rsidRPr="003A51F3">
        <w:t xml:space="preserve">The sample sizes in the three countries mentioned above are 1000, 1000, and 500, respectively. To ensure that the sampling conforms to the demographic characteristics of the local population, constraints </w:t>
      </w:r>
      <w:r w:rsidR="00B315B5">
        <w:t>we</w:t>
      </w:r>
      <w:r w:rsidR="00B315B5" w:rsidRPr="003A51F3">
        <w:t xml:space="preserve">re </w:t>
      </w:r>
      <w:r w:rsidR="007805C2" w:rsidRPr="003A51F3">
        <w:t>imposed on the sample sizes for gender and age groups, as shown in Table 1.</w:t>
      </w:r>
    </w:p>
    <w:p w14:paraId="0513CFBD" w14:textId="6E4F1ED3" w:rsidR="008305A4" w:rsidRPr="003A51F3" w:rsidRDefault="008305A4" w:rsidP="008305A4">
      <w:pPr>
        <w:pStyle w:val="CETTabletitle"/>
      </w:pPr>
      <w:r w:rsidRPr="003A51F3">
        <w:lastRenderedPageBreak/>
        <w:t>Table 1: Sample size per age group</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683"/>
        <w:gridCol w:w="1293"/>
        <w:gridCol w:w="1276"/>
        <w:gridCol w:w="1134"/>
        <w:gridCol w:w="1135"/>
        <w:gridCol w:w="1132"/>
        <w:gridCol w:w="1134"/>
      </w:tblGrid>
      <w:tr w:rsidR="007805C2" w:rsidRPr="003A51F3" w14:paraId="30BE5E47" w14:textId="77777777" w:rsidTr="00A57C4A">
        <w:tc>
          <w:tcPr>
            <w:tcW w:w="958" w:type="pct"/>
            <w:vMerge w:val="restart"/>
            <w:tcBorders>
              <w:top w:val="single" w:sz="12" w:space="0" w:color="008000"/>
            </w:tcBorders>
            <w:shd w:val="clear" w:color="auto" w:fill="FFFFFF"/>
          </w:tcPr>
          <w:p w14:paraId="641532D7" w14:textId="77777777" w:rsidR="008305A4" w:rsidRPr="003A51F3" w:rsidRDefault="008305A4" w:rsidP="00A57C4A">
            <w:pPr>
              <w:pStyle w:val="CETBodytext"/>
              <w:ind w:right="-1"/>
              <w:jc w:val="left"/>
            </w:pPr>
            <w:r w:rsidRPr="003A51F3">
              <w:t>Age group</w:t>
            </w:r>
          </w:p>
        </w:tc>
        <w:tc>
          <w:tcPr>
            <w:tcW w:w="1462" w:type="pct"/>
            <w:gridSpan w:val="2"/>
            <w:tcBorders>
              <w:top w:val="single" w:sz="12" w:space="0" w:color="008000"/>
              <w:bottom w:val="single" w:sz="4" w:space="0" w:color="008000"/>
            </w:tcBorders>
            <w:shd w:val="clear" w:color="auto" w:fill="FFFFFF"/>
          </w:tcPr>
          <w:p w14:paraId="1C4C5041" w14:textId="77777777" w:rsidR="008305A4" w:rsidRPr="003A51F3" w:rsidRDefault="008305A4" w:rsidP="00A57C4A">
            <w:pPr>
              <w:pStyle w:val="CETBodytext"/>
              <w:ind w:right="-1"/>
              <w:jc w:val="left"/>
            </w:pPr>
            <w:r w:rsidRPr="003A51F3">
              <w:t>Japan</w:t>
            </w:r>
          </w:p>
        </w:tc>
        <w:tc>
          <w:tcPr>
            <w:tcW w:w="1291" w:type="pct"/>
            <w:gridSpan w:val="2"/>
            <w:tcBorders>
              <w:top w:val="single" w:sz="12" w:space="0" w:color="008000"/>
              <w:bottom w:val="single" w:sz="4" w:space="0" w:color="008000"/>
            </w:tcBorders>
            <w:shd w:val="clear" w:color="auto" w:fill="FFFFFF"/>
          </w:tcPr>
          <w:p w14:paraId="36AF818A" w14:textId="77777777" w:rsidR="008305A4" w:rsidRPr="003A51F3" w:rsidRDefault="008305A4" w:rsidP="00A57C4A">
            <w:pPr>
              <w:pStyle w:val="CETBodytext"/>
              <w:ind w:right="-1"/>
              <w:jc w:val="left"/>
            </w:pPr>
            <w:r w:rsidRPr="003A51F3">
              <w:t>Spain</w:t>
            </w:r>
          </w:p>
        </w:tc>
        <w:tc>
          <w:tcPr>
            <w:tcW w:w="1289" w:type="pct"/>
            <w:gridSpan w:val="2"/>
            <w:tcBorders>
              <w:top w:val="single" w:sz="12" w:space="0" w:color="008000"/>
              <w:bottom w:val="single" w:sz="4" w:space="0" w:color="008000"/>
            </w:tcBorders>
            <w:shd w:val="clear" w:color="auto" w:fill="FFFFFF"/>
          </w:tcPr>
          <w:p w14:paraId="06096041" w14:textId="77777777" w:rsidR="008305A4" w:rsidRPr="003A51F3" w:rsidRDefault="008305A4" w:rsidP="00A57C4A">
            <w:pPr>
              <w:pStyle w:val="CETBodytext"/>
              <w:ind w:right="-1"/>
              <w:jc w:val="left"/>
            </w:pPr>
            <w:r w:rsidRPr="003A51F3">
              <w:t>Norway</w:t>
            </w:r>
          </w:p>
        </w:tc>
      </w:tr>
      <w:tr w:rsidR="007805C2" w:rsidRPr="003A51F3" w14:paraId="6407082D" w14:textId="77777777" w:rsidTr="00A57C4A">
        <w:tc>
          <w:tcPr>
            <w:tcW w:w="958" w:type="pct"/>
            <w:vMerge/>
            <w:tcBorders>
              <w:bottom w:val="single" w:sz="6" w:space="0" w:color="008000"/>
            </w:tcBorders>
            <w:shd w:val="clear" w:color="auto" w:fill="FFFFFF"/>
          </w:tcPr>
          <w:p w14:paraId="12339A45" w14:textId="77777777" w:rsidR="008305A4" w:rsidRPr="003A51F3" w:rsidRDefault="008305A4" w:rsidP="00A57C4A">
            <w:pPr>
              <w:pStyle w:val="CETBodytext"/>
              <w:ind w:right="-1"/>
              <w:jc w:val="left"/>
            </w:pPr>
          </w:p>
        </w:tc>
        <w:tc>
          <w:tcPr>
            <w:tcW w:w="736" w:type="pct"/>
            <w:tcBorders>
              <w:top w:val="single" w:sz="4" w:space="0" w:color="008000"/>
              <w:bottom w:val="single" w:sz="6" w:space="0" w:color="008000"/>
            </w:tcBorders>
            <w:shd w:val="clear" w:color="auto" w:fill="FFFFFF"/>
          </w:tcPr>
          <w:p w14:paraId="60B1FFB0" w14:textId="77777777" w:rsidR="008305A4" w:rsidRPr="003A51F3" w:rsidRDefault="008305A4" w:rsidP="00A57C4A">
            <w:pPr>
              <w:pStyle w:val="CETBodytext"/>
              <w:ind w:right="-1"/>
              <w:jc w:val="left"/>
            </w:pPr>
            <w:r w:rsidRPr="003A51F3">
              <w:t>Male</w:t>
            </w:r>
          </w:p>
        </w:tc>
        <w:tc>
          <w:tcPr>
            <w:tcW w:w="726" w:type="pct"/>
            <w:tcBorders>
              <w:top w:val="single" w:sz="4" w:space="0" w:color="008000"/>
              <w:bottom w:val="single" w:sz="6" w:space="0" w:color="008000"/>
            </w:tcBorders>
            <w:shd w:val="clear" w:color="auto" w:fill="FFFFFF"/>
          </w:tcPr>
          <w:p w14:paraId="27AAECBD" w14:textId="77777777" w:rsidR="008305A4" w:rsidRPr="003A51F3" w:rsidRDefault="008305A4" w:rsidP="00A57C4A">
            <w:pPr>
              <w:pStyle w:val="CETBodytext"/>
              <w:ind w:right="-1"/>
              <w:jc w:val="left"/>
            </w:pPr>
            <w:r w:rsidRPr="003A51F3">
              <w:t>Female</w:t>
            </w:r>
          </w:p>
        </w:tc>
        <w:tc>
          <w:tcPr>
            <w:tcW w:w="645" w:type="pct"/>
            <w:tcBorders>
              <w:top w:val="single" w:sz="4" w:space="0" w:color="008000"/>
              <w:bottom w:val="single" w:sz="6" w:space="0" w:color="008000"/>
            </w:tcBorders>
            <w:shd w:val="clear" w:color="auto" w:fill="FFFFFF"/>
          </w:tcPr>
          <w:p w14:paraId="6348D46B" w14:textId="77777777" w:rsidR="008305A4" w:rsidRPr="003A51F3" w:rsidRDefault="008305A4" w:rsidP="00A57C4A">
            <w:pPr>
              <w:pStyle w:val="CETBodytext"/>
              <w:ind w:right="-1"/>
              <w:jc w:val="left"/>
            </w:pPr>
            <w:r w:rsidRPr="003A51F3">
              <w:t>Male</w:t>
            </w:r>
          </w:p>
        </w:tc>
        <w:tc>
          <w:tcPr>
            <w:tcW w:w="646" w:type="pct"/>
            <w:tcBorders>
              <w:top w:val="single" w:sz="4" w:space="0" w:color="008000"/>
              <w:bottom w:val="single" w:sz="6" w:space="0" w:color="008000"/>
            </w:tcBorders>
            <w:shd w:val="clear" w:color="auto" w:fill="FFFFFF"/>
          </w:tcPr>
          <w:p w14:paraId="7C09EAD4" w14:textId="77777777" w:rsidR="008305A4" w:rsidRPr="003A51F3" w:rsidRDefault="008305A4" w:rsidP="00A57C4A">
            <w:pPr>
              <w:pStyle w:val="CETBodytext"/>
              <w:ind w:right="-1"/>
              <w:jc w:val="left"/>
            </w:pPr>
            <w:r w:rsidRPr="003A51F3">
              <w:t>Female</w:t>
            </w:r>
          </w:p>
        </w:tc>
        <w:tc>
          <w:tcPr>
            <w:tcW w:w="644" w:type="pct"/>
            <w:tcBorders>
              <w:top w:val="single" w:sz="4" w:space="0" w:color="008000"/>
              <w:bottom w:val="single" w:sz="6" w:space="0" w:color="008000"/>
            </w:tcBorders>
            <w:shd w:val="clear" w:color="auto" w:fill="FFFFFF"/>
          </w:tcPr>
          <w:p w14:paraId="2382BEAE" w14:textId="77777777" w:rsidR="008305A4" w:rsidRPr="003A51F3" w:rsidRDefault="008305A4" w:rsidP="00A57C4A">
            <w:pPr>
              <w:pStyle w:val="CETBodytext"/>
              <w:ind w:right="-1"/>
              <w:jc w:val="left"/>
            </w:pPr>
            <w:r w:rsidRPr="003A51F3">
              <w:t>Male</w:t>
            </w:r>
          </w:p>
        </w:tc>
        <w:tc>
          <w:tcPr>
            <w:tcW w:w="645" w:type="pct"/>
            <w:tcBorders>
              <w:top w:val="single" w:sz="4" w:space="0" w:color="008000"/>
              <w:bottom w:val="single" w:sz="6" w:space="0" w:color="008000"/>
            </w:tcBorders>
            <w:shd w:val="clear" w:color="auto" w:fill="FFFFFF"/>
          </w:tcPr>
          <w:p w14:paraId="69D9CFD5" w14:textId="77777777" w:rsidR="008305A4" w:rsidRPr="003A51F3" w:rsidRDefault="008305A4" w:rsidP="00A57C4A">
            <w:pPr>
              <w:pStyle w:val="CETBodytext"/>
              <w:ind w:right="-1"/>
              <w:jc w:val="left"/>
            </w:pPr>
            <w:r w:rsidRPr="003A51F3">
              <w:t>Female</w:t>
            </w:r>
          </w:p>
        </w:tc>
      </w:tr>
      <w:tr w:rsidR="007805C2" w:rsidRPr="003A51F3" w14:paraId="0FB2424A" w14:textId="77777777" w:rsidTr="00A57C4A">
        <w:tc>
          <w:tcPr>
            <w:tcW w:w="958" w:type="pct"/>
            <w:shd w:val="clear" w:color="auto" w:fill="FFFFFF"/>
          </w:tcPr>
          <w:p w14:paraId="7CD19277" w14:textId="77777777" w:rsidR="008305A4" w:rsidRPr="003A51F3" w:rsidRDefault="008305A4" w:rsidP="00A57C4A">
            <w:pPr>
              <w:pStyle w:val="CETBodytext"/>
              <w:ind w:right="-1"/>
              <w:jc w:val="left"/>
            </w:pPr>
            <w:r w:rsidRPr="003A51F3">
              <w:t>18-19</w:t>
            </w:r>
          </w:p>
        </w:tc>
        <w:tc>
          <w:tcPr>
            <w:tcW w:w="736" w:type="pct"/>
            <w:shd w:val="clear" w:color="auto" w:fill="FFFFFF"/>
          </w:tcPr>
          <w:p w14:paraId="0EECE38F" w14:textId="77777777" w:rsidR="008305A4" w:rsidRPr="003A51F3" w:rsidRDefault="008305A4" w:rsidP="00A57C4A">
            <w:pPr>
              <w:pStyle w:val="CETBodytext"/>
              <w:ind w:right="-1"/>
              <w:jc w:val="left"/>
            </w:pPr>
            <w:r w:rsidRPr="003A51F3">
              <w:t>15</w:t>
            </w:r>
          </w:p>
        </w:tc>
        <w:tc>
          <w:tcPr>
            <w:tcW w:w="726" w:type="pct"/>
            <w:shd w:val="clear" w:color="auto" w:fill="FFFFFF"/>
          </w:tcPr>
          <w:p w14:paraId="30E29009" w14:textId="77777777" w:rsidR="008305A4" w:rsidRPr="003A51F3" w:rsidRDefault="008305A4" w:rsidP="00A57C4A">
            <w:pPr>
              <w:pStyle w:val="CETBodytext"/>
              <w:ind w:right="-1"/>
              <w:jc w:val="left"/>
            </w:pPr>
            <w:r w:rsidRPr="003A51F3">
              <w:t>14</w:t>
            </w:r>
          </w:p>
        </w:tc>
        <w:tc>
          <w:tcPr>
            <w:tcW w:w="645" w:type="pct"/>
            <w:shd w:val="clear" w:color="auto" w:fill="FFFFFF"/>
          </w:tcPr>
          <w:p w14:paraId="7EBC6DC0" w14:textId="77777777" w:rsidR="008305A4" w:rsidRPr="003A51F3" w:rsidRDefault="008305A4" w:rsidP="00A57C4A">
            <w:pPr>
              <w:pStyle w:val="CETBodytext"/>
              <w:ind w:right="-1"/>
              <w:jc w:val="left"/>
            </w:pPr>
            <w:r w:rsidRPr="003A51F3">
              <w:t>14</w:t>
            </w:r>
          </w:p>
        </w:tc>
        <w:tc>
          <w:tcPr>
            <w:tcW w:w="646" w:type="pct"/>
            <w:shd w:val="clear" w:color="auto" w:fill="FFFFFF"/>
          </w:tcPr>
          <w:p w14:paraId="1DCB5FB4" w14:textId="77777777" w:rsidR="008305A4" w:rsidRPr="003A51F3" w:rsidRDefault="008305A4" w:rsidP="00A57C4A">
            <w:pPr>
              <w:pStyle w:val="CETBodytext"/>
              <w:ind w:right="-1"/>
              <w:jc w:val="left"/>
            </w:pPr>
            <w:r w:rsidRPr="003A51F3">
              <w:t>14</w:t>
            </w:r>
          </w:p>
        </w:tc>
        <w:tc>
          <w:tcPr>
            <w:tcW w:w="644" w:type="pct"/>
            <w:shd w:val="clear" w:color="auto" w:fill="FFFFFF"/>
          </w:tcPr>
          <w:p w14:paraId="1E234719" w14:textId="77777777" w:rsidR="008305A4" w:rsidRPr="003A51F3" w:rsidRDefault="008305A4" w:rsidP="00A57C4A">
            <w:pPr>
              <w:pStyle w:val="CETBodytext"/>
              <w:ind w:right="-1"/>
              <w:jc w:val="left"/>
            </w:pPr>
            <w:r w:rsidRPr="003A51F3">
              <w:t>9</w:t>
            </w:r>
          </w:p>
        </w:tc>
        <w:tc>
          <w:tcPr>
            <w:tcW w:w="645" w:type="pct"/>
            <w:shd w:val="clear" w:color="auto" w:fill="FFFFFF"/>
          </w:tcPr>
          <w:p w14:paraId="4A6B413B" w14:textId="77777777" w:rsidR="008305A4" w:rsidRPr="003A51F3" w:rsidRDefault="008305A4" w:rsidP="00A57C4A">
            <w:pPr>
              <w:pStyle w:val="CETBodytext"/>
              <w:ind w:right="-1"/>
              <w:jc w:val="left"/>
            </w:pPr>
            <w:r w:rsidRPr="003A51F3">
              <w:t>9</w:t>
            </w:r>
          </w:p>
        </w:tc>
      </w:tr>
      <w:tr w:rsidR="007805C2" w:rsidRPr="003A51F3" w14:paraId="357F6ECC" w14:textId="77777777" w:rsidTr="00A57C4A">
        <w:tc>
          <w:tcPr>
            <w:tcW w:w="958" w:type="pct"/>
            <w:shd w:val="clear" w:color="auto" w:fill="FFFFFF"/>
          </w:tcPr>
          <w:p w14:paraId="44A5B9CB" w14:textId="77777777" w:rsidR="008305A4" w:rsidRPr="003A51F3" w:rsidRDefault="008305A4" w:rsidP="00A57C4A">
            <w:pPr>
              <w:pStyle w:val="CETBodytext"/>
              <w:ind w:right="-1"/>
              <w:jc w:val="left"/>
            </w:pPr>
            <w:r w:rsidRPr="003A51F3">
              <w:t>20-29</w:t>
            </w:r>
          </w:p>
        </w:tc>
        <w:tc>
          <w:tcPr>
            <w:tcW w:w="736" w:type="pct"/>
            <w:shd w:val="clear" w:color="auto" w:fill="FFFFFF"/>
          </w:tcPr>
          <w:p w14:paraId="24D58155" w14:textId="77777777" w:rsidR="008305A4" w:rsidRPr="003A51F3" w:rsidRDefault="008305A4" w:rsidP="00A57C4A">
            <w:pPr>
              <w:pStyle w:val="CETBodytext"/>
              <w:ind w:right="-1"/>
              <w:jc w:val="left"/>
            </w:pPr>
            <w:r w:rsidRPr="003A51F3">
              <w:t>78</w:t>
            </w:r>
          </w:p>
        </w:tc>
        <w:tc>
          <w:tcPr>
            <w:tcW w:w="726" w:type="pct"/>
            <w:shd w:val="clear" w:color="auto" w:fill="FFFFFF"/>
          </w:tcPr>
          <w:p w14:paraId="2DCF5287" w14:textId="77777777" w:rsidR="008305A4" w:rsidRPr="003A51F3" w:rsidRDefault="008305A4" w:rsidP="00A57C4A">
            <w:pPr>
              <w:pStyle w:val="CETBodytext"/>
              <w:ind w:right="-1"/>
              <w:jc w:val="left"/>
            </w:pPr>
            <w:r w:rsidRPr="003A51F3">
              <w:t>74</w:t>
            </w:r>
          </w:p>
        </w:tc>
        <w:tc>
          <w:tcPr>
            <w:tcW w:w="645" w:type="pct"/>
            <w:shd w:val="clear" w:color="auto" w:fill="FFFFFF"/>
          </w:tcPr>
          <w:p w14:paraId="059DC4D0" w14:textId="77777777" w:rsidR="008305A4" w:rsidRPr="003A51F3" w:rsidRDefault="008305A4" w:rsidP="00A57C4A">
            <w:pPr>
              <w:pStyle w:val="CETBodytext"/>
              <w:ind w:right="-1"/>
              <w:jc w:val="left"/>
            </w:pPr>
            <w:r w:rsidRPr="003A51F3">
              <w:t>74</w:t>
            </w:r>
          </w:p>
        </w:tc>
        <w:tc>
          <w:tcPr>
            <w:tcW w:w="646" w:type="pct"/>
            <w:shd w:val="clear" w:color="auto" w:fill="FFFFFF"/>
          </w:tcPr>
          <w:p w14:paraId="109402C8" w14:textId="77777777" w:rsidR="008305A4" w:rsidRPr="003A51F3" w:rsidRDefault="008305A4" w:rsidP="00A57C4A">
            <w:pPr>
              <w:pStyle w:val="CETBodytext"/>
              <w:ind w:right="-1"/>
              <w:jc w:val="left"/>
            </w:pPr>
            <w:r w:rsidRPr="003A51F3">
              <w:t>72</w:t>
            </w:r>
          </w:p>
        </w:tc>
        <w:tc>
          <w:tcPr>
            <w:tcW w:w="644" w:type="pct"/>
            <w:shd w:val="clear" w:color="auto" w:fill="FFFFFF"/>
          </w:tcPr>
          <w:p w14:paraId="193B745F" w14:textId="77777777" w:rsidR="008305A4" w:rsidRPr="003A51F3" w:rsidRDefault="008305A4" w:rsidP="00A57C4A">
            <w:pPr>
              <w:pStyle w:val="CETBodytext"/>
              <w:ind w:right="-1"/>
              <w:jc w:val="left"/>
            </w:pPr>
            <w:r w:rsidRPr="003A51F3">
              <w:t>51</w:t>
            </w:r>
          </w:p>
        </w:tc>
        <w:tc>
          <w:tcPr>
            <w:tcW w:w="645" w:type="pct"/>
            <w:shd w:val="clear" w:color="auto" w:fill="FFFFFF"/>
          </w:tcPr>
          <w:p w14:paraId="18EC1F74" w14:textId="77777777" w:rsidR="008305A4" w:rsidRPr="003A51F3" w:rsidRDefault="008305A4" w:rsidP="00A57C4A">
            <w:pPr>
              <w:pStyle w:val="CETBodytext"/>
              <w:ind w:right="-1"/>
              <w:jc w:val="left"/>
            </w:pPr>
            <w:r w:rsidRPr="003A51F3">
              <w:t>49</w:t>
            </w:r>
          </w:p>
        </w:tc>
      </w:tr>
      <w:tr w:rsidR="007805C2" w:rsidRPr="003A51F3" w14:paraId="6AA4C6DA" w14:textId="77777777" w:rsidTr="00A57C4A">
        <w:tc>
          <w:tcPr>
            <w:tcW w:w="958" w:type="pct"/>
            <w:shd w:val="clear" w:color="auto" w:fill="FFFFFF"/>
          </w:tcPr>
          <w:p w14:paraId="74CA50C9" w14:textId="77777777" w:rsidR="008305A4" w:rsidRPr="003A51F3" w:rsidRDefault="008305A4" w:rsidP="00A57C4A">
            <w:pPr>
              <w:pStyle w:val="CETBodytext"/>
              <w:ind w:right="-1"/>
              <w:jc w:val="left"/>
            </w:pPr>
            <w:r w:rsidRPr="003A51F3">
              <w:t>30-39</w:t>
            </w:r>
          </w:p>
        </w:tc>
        <w:tc>
          <w:tcPr>
            <w:tcW w:w="736" w:type="pct"/>
            <w:shd w:val="clear" w:color="auto" w:fill="FFFFFF"/>
          </w:tcPr>
          <w:p w14:paraId="108A3691" w14:textId="77777777" w:rsidR="008305A4" w:rsidRPr="003A51F3" w:rsidRDefault="008305A4" w:rsidP="00A57C4A">
            <w:pPr>
              <w:pStyle w:val="CETBodytext"/>
              <w:ind w:right="-1"/>
              <w:jc w:val="left"/>
            </w:pPr>
            <w:r w:rsidRPr="003A51F3">
              <w:t>94</w:t>
            </w:r>
          </w:p>
        </w:tc>
        <w:tc>
          <w:tcPr>
            <w:tcW w:w="726" w:type="pct"/>
            <w:shd w:val="clear" w:color="auto" w:fill="FFFFFF"/>
          </w:tcPr>
          <w:p w14:paraId="215C22C8" w14:textId="77777777" w:rsidR="008305A4" w:rsidRPr="003A51F3" w:rsidRDefault="008305A4" w:rsidP="00A57C4A">
            <w:pPr>
              <w:pStyle w:val="CETBodytext"/>
              <w:ind w:right="-1"/>
              <w:jc w:val="left"/>
            </w:pPr>
            <w:r w:rsidRPr="003A51F3">
              <w:t>89</w:t>
            </w:r>
          </w:p>
        </w:tc>
        <w:tc>
          <w:tcPr>
            <w:tcW w:w="645" w:type="pct"/>
            <w:shd w:val="clear" w:color="auto" w:fill="FFFFFF"/>
          </w:tcPr>
          <w:p w14:paraId="66AF1EC8" w14:textId="77777777" w:rsidR="008305A4" w:rsidRPr="003A51F3" w:rsidRDefault="008305A4" w:rsidP="00A57C4A">
            <w:pPr>
              <w:pStyle w:val="CETBodytext"/>
              <w:ind w:right="-1"/>
              <w:jc w:val="left"/>
            </w:pPr>
            <w:r w:rsidRPr="003A51F3">
              <w:t>97</w:t>
            </w:r>
          </w:p>
        </w:tc>
        <w:tc>
          <w:tcPr>
            <w:tcW w:w="646" w:type="pct"/>
            <w:shd w:val="clear" w:color="auto" w:fill="FFFFFF"/>
          </w:tcPr>
          <w:p w14:paraId="673CCD79" w14:textId="77777777" w:rsidR="008305A4" w:rsidRPr="003A51F3" w:rsidRDefault="008305A4" w:rsidP="00A57C4A">
            <w:pPr>
              <w:pStyle w:val="CETBodytext"/>
              <w:ind w:right="-1"/>
              <w:jc w:val="left"/>
            </w:pPr>
            <w:r w:rsidRPr="003A51F3">
              <w:t>97</w:t>
            </w:r>
          </w:p>
        </w:tc>
        <w:tc>
          <w:tcPr>
            <w:tcW w:w="644" w:type="pct"/>
            <w:shd w:val="clear" w:color="auto" w:fill="FFFFFF"/>
          </w:tcPr>
          <w:p w14:paraId="22A38D99" w14:textId="77777777" w:rsidR="008305A4" w:rsidRPr="003A51F3" w:rsidRDefault="008305A4" w:rsidP="00A57C4A">
            <w:pPr>
              <w:pStyle w:val="CETBodytext"/>
              <w:ind w:right="-1"/>
              <w:jc w:val="left"/>
            </w:pPr>
            <w:r w:rsidRPr="003A51F3">
              <w:t>52</w:t>
            </w:r>
          </w:p>
        </w:tc>
        <w:tc>
          <w:tcPr>
            <w:tcW w:w="645" w:type="pct"/>
            <w:shd w:val="clear" w:color="auto" w:fill="FFFFFF"/>
          </w:tcPr>
          <w:p w14:paraId="777BFCF9" w14:textId="77777777" w:rsidR="008305A4" w:rsidRPr="003A51F3" w:rsidRDefault="008305A4" w:rsidP="00A57C4A">
            <w:pPr>
              <w:pStyle w:val="CETBodytext"/>
              <w:ind w:right="-1"/>
              <w:jc w:val="left"/>
            </w:pPr>
            <w:r w:rsidRPr="003A51F3">
              <w:t>49</w:t>
            </w:r>
          </w:p>
        </w:tc>
      </w:tr>
      <w:tr w:rsidR="007805C2" w:rsidRPr="003A51F3" w14:paraId="160FEB9E" w14:textId="77777777" w:rsidTr="00A57C4A">
        <w:tc>
          <w:tcPr>
            <w:tcW w:w="958" w:type="pct"/>
            <w:shd w:val="clear" w:color="auto" w:fill="FFFFFF"/>
          </w:tcPr>
          <w:p w14:paraId="4E6D96B3" w14:textId="77777777" w:rsidR="008305A4" w:rsidRPr="003A51F3" w:rsidRDefault="008305A4" w:rsidP="00A57C4A">
            <w:pPr>
              <w:pStyle w:val="CETBodytext"/>
              <w:ind w:right="-1"/>
              <w:jc w:val="left"/>
            </w:pPr>
            <w:r w:rsidRPr="003A51F3">
              <w:t>40-49</w:t>
            </w:r>
          </w:p>
        </w:tc>
        <w:tc>
          <w:tcPr>
            <w:tcW w:w="736" w:type="pct"/>
            <w:shd w:val="clear" w:color="auto" w:fill="FFFFFF"/>
          </w:tcPr>
          <w:p w14:paraId="5D3B3461" w14:textId="77777777" w:rsidR="008305A4" w:rsidRPr="003A51F3" w:rsidRDefault="008305A4" w:rsidP="00A57C4A">
            <w:pPr>
              <w:pStyle w:val="CETBodytext"/>
              <w:ind w:right="-1"/>
              <w:jc w:val="left"/>
            </w:pPr>
            <w:r w:rsidRPr="003A51F3">
              <w:t>118</w:t>
            </w:r>
          </w:p>
        </w:tc>
        <w:tc>
          <w:tcPr>
            <w:tcW w:w="726" w:type="pct"/>
            <w:shd w:val="clear" w:color="auto" w:fill="FFFFFF"/>
          </w:tcPr>
          <w:p w14:paraId="435567E5" w14:textId="77777777" w:rsidR="008305A4" w:rsidRPr="003A51F3" w:rsidRDefault="008305A4" w:rsidP="00A57C4A">
            <w:pPr>
              <w:pStyle w:val="CETBodytext"/>
              <w:ind w:right="-1"/>
              <w:jc w:val="left"/>
            </w:pPr>
            <w:r w:rsidRPr="003A51F3">
              <w:t>114</w:t>
            </w:r>
          </w:p>
        </w:tc>
        <w:tc>
          <w:tcPr>
            <w:tcW w:w="645" w:type="pct"/>
            <w:shd w:val="clear" w:color="auto" w:fill="FFFFFF"/>
          </w:tcPr>
          <w:p w14:paraId="3E7FA34B" w14:textId="77777777" w:rsidR="008305A4" w:rsidRPr="003A51F3" w:rsidRDefault="008305A4" w:rsidP="00A57C4A">
            <w:pPr>
              <w:pStyle w:val="CETBodytext"/>
              <w:ind w:right="-1"/>
              <w:jc w:val="left"/>
            </w:pPr>
            <w:r w:rsidRPr="003A51F3">
              <w:t>127</w:t>
            </w:r>
          </w:p>
        </w:tc>
        <w:tc>
          <w:tcPr>
            <w:tcW w:w="646" w:type="pct"/>
            <w:shd w:val="clear" w:color="auto" w:fill="FFFFFF"/>
          </w:tcPr>
          <w:p w14:paraId="41A84BB0" w14:textId="77777777" w:rsidR="008305A4" w:rsidRPr="003A51F3" w:rsidRDefault="008305A4" w:rsidP="00A57C4A">
            <w:pPr>
              <w:pStyle w:val="CETBodytext"/>
              <w:ind w:right="-1"/>
              <w:jc w:val="left"/>
            </w:pPr>
            <w:r w:rsidRPr="003A51F3">
              <w:t>122</w:t>
            </w:r>
          </w:p>
        </w:tc>
        <w:tc>
          <w:tcPr>
            <w:tcW w:w="644" w:type="pct"/>
            <w:shd w:val="clear" w:color="auto" w:fill="FFFFFF"/>
          </w:tcPr>
          <w:p w14:paraId="706C77CD" w14:textId="77777777" w:rsidR="008305A4" w:rsidRPr="003A51F3" w:rsidRDefault="008305A4" w:rsidP="00A57C4A">
            <w:pPr>
              <w:pStyle w:val="CETBodytext"/>
              <w:ind w:right="-1"/>
              <w:jc w:val="left"/>
            </w:pPr>
            <w:r w:rsidRPr="003A51F3">
              <w:t>52</w:t>
            </w:r>
          </w:p>
        </w:tc>
        <w:tc>
          <w:tcPr>
            <w:tcW w:w="645" w:type="pct"/>
            <w:shd w:val="clear" w:color="auto" w:fill="FFFFFF"/>
          </w:tcPr>
          <w:p w14:paraId="0C3CDDA6" w14:textId="77777777" w:rsidR="008305A4" w:rsidRPr="003A51F3" w:rsidRDefault="008305A4" w:rsidP="00A57C4A">
            <w:pPr>
              <w:pStyle w:val="CETBodytext"/>
              <w:ind w:right="-1"/>
              <w:jc w:val="left"/>
            </w:pPr>
            <w:r w:rsidRPr="003A51F3">
              <w:t>49</w:t>
            </w:r>
          </w:p>
        </w:tc>
      </w:tr>
      <w:tr w:rsidR="007805C2" w:rsidRPr="003A51F3" w14:paraId="4A155D15" w14:textId="77777777" w:rsidTr="00A57C4A">
        <w:tc>
          <w:tcPr>
            <w:tcW w:w="958" w:type="pct"/>
            <w:shd w:val="clear" w:color="auto" w:fill="FFFFFF"/>
          </w:tcPr>
          <w:p w14:paraId="7BCEDCB8" w14:textId="77777777" w:rsidR="008305A4" w:rsidRPr="003A51F3" w:rsidRDefault="008305A4" w:rsidP="00A57C4A">
            <w:pPr>
              <w:pStyle w:val="CETBodytext"/>
              <w:ind w:right="-1"/>
              <w:jc w:val="left"/>
            </w:pPr>
            <w:r w:rsidRPr="003A51F3">
              <w:t>50-59</w:t>
            </w:r>
          </w:p>
        </w:tc>
        <w:tc>
          <w:tcPr>
            <w:tcW w:w="736" w:type="pct"/>
            <w:shd w:val="clear" w:color="auto" w:fill="FFFFFF"/>
          </w:tcPr>
          <w:p w14:paraId="49F67442" w14:textId="77777777" w:rsidR="008305A4" w:rsidRPr="003A51F3" w:rsidRDefault="008305A4" w:rsidP="00A57C4A">
            <w:pPr>
              <w:pStyle w:val="CETBodytext"/>
              <w:ind w:right="-1"/>
              <w:jc w:val="left"/>
            </w:pPr>
            <w:r w:rsidRPr="003A51F3">
              <w:t>101</w:t>
            </w:r>
          </w:p>
        </w:tc>
        <w:tc>
          <w:tcPr>
            <w:tcW w:w="726" w:type="pct"/>
            <w:shd w:val="clear" w:color="auto" w:fill="FFFFFF"/>
          </w:tcPr>
          <w:p w14:paraId="0ED6D3BB" w14:textId="77777777" w:rsidR="008305A4" w:rsidRPr="003A51F3" w:rsidRDefault="008305A4" w:rsidP="00A57C4A">
            <w:pPr>
              <w:pStyle w:val="CETBodytext"/>
              <w:ind w:right="-1"/>
              <w:jc w:val="left"/>
            </w:pPr>
            <w:r w:rsidRPr="003A51F3">
              <w:t>100</w:t>
            </w:r>
          </w:p>
        </w:tc>
        <w:tc>
          <w:tcPr>
            <w:tcW w:w="645" w:type="pct"/>
            <w:shd w:val="clear" w:color="auto" w:fill="FFFFFF"/>
          </w:tcPr>
          <w:p w14:paraId="628578E9" w14:textId="77777777" w:rsidR="008305A4" w:rsidRPr="003A51F3" w:rsidRDefault="008305A4" w:rsidP="00A57C4A">
            <w:pPr>
              <w:pStyle w:val="CETBodytext"/>
              <w:ind w:right="-1"/>
              <w:jc w:val="left"/>
            </w:pPr>
            <w:r w:rsidRPr="003A51F3">
              <w:t>109</w:t>
            </w:r>
          </w:p>
        </w:tc>
        <w:tc>
          <w:tcPr>
            <w:tcW w:w="646" w:type="pct"/>
            <w:shd w:val="clear" w:color="auto" w:fill="FFFFFF"/>
          </w:tcPr>
          <w:p w14:paraId="357C6387" w14:textId="77777777" w:rsidR="008305A4" w:rsidRPr="003A51F3" w:rsidRDefault="008305A4" w:rsidP="00A57C4A">
            <w:pPr>
              <w:pStyle w:val="CETBodytext"/>
              <w:ind w:right="-1"/>
              <w:jc w:val="left"/>
            </w:pPr>
            <w:r w:rsidRPr="003A51F3">
              <w:t>110</w:t>
            </w:r>
          </w:p>
        </w:tc>
        <w:tc>
          <w:tcPr>
            <w:tcW w:w="644" w:type="pct"/>
            <w:shd w:val="clear" w:color="auto" w:fill="FFFFFF"/>
          </w:tcPr>
          <w:p w14:paraId="00030691" w14:textId="77777777" w:rsidR="008305A4" w:rsidRPr="003A51F3" w:rsidRDefault="008305A4" w:rsidP="00A57C4A">
            <w:pPr>
              <w:pStyle w:val="CETBodytext"/>
              <w:ind w:right="-1"/>
              <w:jc w:val="left"/>
            </w:pPr>
            <w:r w:rsidRPr="003A51F3">
              <w:t>50</w:t>
            </w:r>
          </w:p>
        </w:tc>
        <w:tc>
          <w:tcPr>
            <w:tcW w:w="645" w:type="pct"/>
            <w:shd w:val="clear" w:color="auto" w:fill="FFFFFF"/>
          </w:tcPr>
          <w:p w14:paraId="0F1F97F5" w14:textId="77777777" w:rsidR="008305A4" w:rsidRPr="003A51F3" w:rsidRDefault="008305A4" w:rsidP="00A57C4A">
            <w:pPr>
              <w:pStyle w:val="CETBodytext"/>
              <w:ind w:right="-1"/>
              <w:jc w:val="left"/>
            </w:pPr>
            <w:r w:rsidRPr="003A51F3">
              <w:t>47</w:t>
            </w:r>
          </w:p>
        </w:tc>
      </w:tr>
      <w:tr w:rsidR="007805C2" w:rsidRPr="003A51F3" w14:paraId="1A5EC155" w14:textId="77777777" w:rsidTr="00A57C4A">
        <w:tc>
          <w:tcPr>
            <w:tcW w:w="958" w:type="pct"/>
            <w:shd w:val="clear" w:color="auto" w:fill="FFFFFF"/>
          </w:tcPr>
          <w:p w14:paraId="30A0D671" w14:textId="77777777" w:rsidR="008305A4" w:rsidRPr="003A51F3" w:rsidRDefault="008305A4" w:rsidP="00A57C4A">
            <w:pPr>
              <w:pStyle w:val="CETBodytext"/>
              <w:ind w:right="-1"/>
              <w:jc w:val="left"/>
            </w:pPr>
            <w:r w:rsidRPr="003A51F3">
              <w:t>60-69</w:t>
            </w:r>
          </w:p>
        </w:tc>
        <w:tc>
          <w:tcPr>
            <w:tcW w:w="736" w:type="pct"/>
            <w:shd w:val="clear" w:color="auto" w:fill="FFFFFF"/>
          </w:tcPr>
          <w:p w14:paraId="254F8D1C" w14:textId="77777777" w:rsidR="008305A4" w:rsidRPr="003A51F3" w:rsidRDefault="008305A4" w:rsidP="00A57C4A">
            <w:pPr>
              <w:pStyle w:val="CETBodytext"/>
              <w:ind w:right="-1"/>
              <w:jc w:val="left"/>
            </w:pPr>
            <w:r w:rsidRPr="003A51F3">
              <w:t>100</w:t>
            </w:r>
          </w:p>
        </w:tc>
        <w:tc>
          <w:tcPr>
            <w:tcW w:w="726" w:type="pct"/>
            <w:shd w:val="clear" w:color="auto" w:fill="FFFFFF"/>
          </w:tcPr>
          <w:p w14:paraId="77E53FC3" w14:textId="77777777" w:rsidR="008305A4" w:rsidRPr="003A51F3" w:rsidRDefault="008305A4" w:rsidP="00A57C4A">
            <w:pPr>
              <w:pStyle w:val="CETBodytext"/>
              <w:ind w:right="-1"/>
              <w:jc w:val="left"/>
            </w:pPr>
            <w:r w:rsidRPr="003A51F3">
              <w:t>103</w:t>
            </w:r>
          </w:p>
        </w:tc>
        <w:tc>
          <w:tcPr>
            <w:tcW w:w="645" w:type="pct"/>
            <w:shd w:val="clear" w:color="auto" w:fill="FFFFFF"/>
          </w:tcPr>
          <w:p w14:paraId="30CC1ED1" w14:textId="77777777" w:rsidR="008305A4" w:rsidRPr="003A51F3" w:rsidRDefault="008305A4" w:rsidP="00A57C4A">
            <w:pPr>
              <w:pStyle w:val="CETBodytext"/>
              <w:ind w:right="-1"/>
              <w:jc w:val="left"/>
            </w:pPr>
            <w:r w:rsidRPr="003A51F3">
              <w:t>79</w:t>
            </w:r>
          </w:p>
        </w:tc>
        <w:tc>
          <w:tcPr>
            <w:tcW w:w="646" w:type="pct"/>
            <w:shd w:val="clear" w:color="auto" w:fill="FFFFFF"/>
          </w:tcPr>
          <w:p w14:paraId="21C6FEE3" w14:textId="77777777" w:rsidR="008305A4" w:rsidRPr="003A51F3" w:rsidRDefault="008305A4" w:rsidP="00A57C4A">
            <w:pPr>
              <w:pStyle w:val="CETBodytext"/>
              <w:ind w:right="-1"/>
              <w:jc w:val="left"/>
            </w:pPr>
            <w:r w:rsidRPr="003A51F3">
              <w:t>85</w:t>
            </w:r>
          </w:p>
        </w:tc>
        <w:tc>
          <w:tcPr>
            <w:tcW w:w="644" w:type="pct"/>
            <w:shd w:val="clear" w:color="auto" w:fill="FFFFFF"/>
          </w:tcPr>
          <w:p w14:paraId="6A2CFE76" w14:textId="77777777" w:rsidR="008305A4" w:rsidRPr="003A51F3" w:rsidRDefault="008305A4" w:rsidP="00A57C4A">
            <w:pPr>
              <w:pStyle w:val="CETBodytext"/>
              <w:ind w:right="-1"/>
              <w:jc w:val="left"/>
            </w:pPr>
            <w:r w:rsidRPr="003A51F3">
              <w:t>41</w:t>
            </w:r>
          </w:p>
        </w:tc>
        <w:tc>
          <w:tcPr>
            <w:tcW w:w="645" w:type="pct"/>
            <w:shd w:val="clear" w:color="auto" w:fill="FFFFFF"/>
          </w:tcPr>
          <w:p w14:paraId="5B2AF751" w14:textId="77777777" w:rsidR="008305A4" w:rsidRPr="003A51F3" w:rsidRDefault="008305A4" w:rsidP="00A57C4A">
            <w:pPr>
              <w:pStyle w:val="CETBodytext"/>
              <w:ind w:right="-1"/>
              <w:jc w:val="left"/>
            </w:pPr>
            <w:r w:rsidRPr="003A51F3">
              <w:t>40</w:t>
            </w:r>
          </w:p>
        </w:tc>
      </w:tr>
    </w:tbl>
    <w:p w14:paraId="18BAFA6F" w14:textId="676268AA" w:rsidR="00453E24" w:rsidRPr="003A51F3" w:rsidRDefault="00EE464B" w:rsidP="006236FD">
      <w:pPr>
        <w:pStyle w:val="CETheadingx"/>
      </w:pPr>
      <w:r w:rsidRPr="003A51F3">
        <w:t xml:space="preserve">Statistics of </w:t>
      </w:r>
      <w:r w:rsidR="007805C2" w:rsidRPr="003A51F3">
        <w:t>attitudinal responses</w:t>
      </w:r>
    </w:p>
    <w:p w14:paraId="3CB39D5A" w14:textId="6C32E827" w:rsidR="00A114B7" w:rsidRPr="003A51F3" w:rsidRDefault="00CB7AD0" w:rsidP="00BB491A">
      <w:pPr>
        <w:pStyle w:val="CETBodytext"/>
        <w:spacing w:after="240"/>
        <w:rPr>
          <w:lang w:val="en-GB"/>
        </w:rPr>
      </w:pPr>
      <w:r w:rsidRPr="003A51F3">
        <w:rPr>
          <w:lang w:val="en-GB"/>
        </w:rPr>
        <w:t xml:space="preserve">Regarding </w:t>
      </w:r>
      <w:r w:rsidR="008D7CFC" w:rsidRPr="003A51F3">
        <w:rPr>
          <w:lang w:val="en-GB"/>
        </w:rPr>
        <w:t xml:space="preserve">the </w:t>
      </w:r>
      <w:r w:rsidRPr="003A51F3">
        <w:rPr>
          <w:lang w:val="en-GB"/>
        </w:rPr>
        <w:t xml:space="preserve">perceived </w:t>
      </w:r>
      <w:r w:rsidR="007D7BE9">
        <w:rPr>
          <w:rStyle w:val="CETCaptionCarattere"/>
          <w:i w:val="0"/>
        </w:rPr>
        <w:t>accident</w:t>
      </w:r>
      <w:r w:rsidR="007D7BE9" w:rsidRPr="003A51F3">
        <w:rPr>
          <w:rStyle w:val="CETCaptionCarattere"/>
        </w:rPr>
        <w:t xml:space="preserve"> </w:t>
      </w:r>
      <w:r w:rsidRPr="003A51F3">
        <w:rPr>
          <w:lang w:val="en-GB"/>
        </w:rPr>
        <w:t xml:space="preserve">probability </w:t>
      </w:r>
      <w:r w:rsidRPr="003A51F3">
        <w:rPr>
          <w:rFonts w:hint="eastAsia"/>
          <w:lang w:val="en-GB"/>
        </w:rPr>
        <w:t>of</w:t>
      </w:r>
      <w:r w:rsidRPr="003A51F3">
        <w:rPr>
          <w:lang w:val="en-GB"/>
        </w:rPr>
        <w:t xml:space="preserve"> the four operational processes</w:t>
      </w:r>
      <w:r w:rsidR="00A114B7" w:rsidRPr="003A51F3">
        <w:rPr>
          <w:lang w:val="en-GB"/>
        </w:rPr>
        <w:t xml:space="preserve">, the average </w:t>
      </w:r>
      <w:r w:rsidR="00A23FA3" w:rsidRPr="003A51F3">
        <w:rPr>
          <w:lang w:val="en-GB"/>
        </w:rPr>
        <w:t>p</w:t>
      </w:r>
      <w:r w:rsidR="00A23FA3">
        <w:rPr>
          <w:lang w:val="en-GB"/>
        </w:rPr>
        <w:t>ercentage</w:t>
      </w:r>
      <w:r w:rsidR="00A23FA3" w:rsidRPr="003A51F3">
        <w:rPr>
          <w:lang w:val="en-GB"/>
        </w:rPr>
        <w:t xml:space="preserve">s </w:t>
      </w:r>
      <w:r w:rsidR="00A114B7" w:rsidRPr="003A51F3">
        <w:rPr>
          <w:lang w:val="en-GB"/>
        </w:rPr>
        <w:t xml:space="preserve">of Japanese respondents who perceive the risk levels of HFSs as low, moderate, and high are 16.6%, 65.0%, and 18.4%, respectively. In Spain, the </w:t>
      </w:r>
      <w:r w:rsidR="00A23FA3" w:rsidRPr="003A51F3">
        <w:rPr>
          <w:lang w:val="en-GB"/>
        </w:rPr>
        <w:t>p</w:t>
      </w:r>
      <w:r w:rsidR="00A23FA3">
        <w:rPr>
          <w:lang w:val="en-GB"/>
        </w:rPr>
        <w:t>ercentage</w:t>
      </w:r>
      <w:r w:rsidR="00A23FA3" w:rsidRPr="003A51F3">
        <w:rPr>
          <w:lang w:val="en-GB"/>
        </w:rPr>
        <w:t>s</w:t>
      </w:r>
      <w:r w:rsidR="00A114B7" w:rsidRPr="003A51F3">
        <w:rPr>
          <w:lang w:val="en-GB"/>
        </w:rPr>
        <w:t xml:space="preserve"> are 44.8%, 38.8%, and 16.4%</w:t>
      </w:r>
      <w:r w:rsidR="008D7CFC" w:rsidRPr="003A51F3">
        <w:rPr>
          <w:lang w:val="en-GB"/>
        </w:rPr>
        <w:t>;</w:t>
      </w:r>
      <w:r w:rsidR="00A114B7" w:rsidRPr="003A51F3">
        <w:rPr>
          <w:lang w:val="en-GB"/>
        </w:rPr>
        <w:t xml:space="preserve"> in Norway, they are 42.6%, 42.1%, and 15.3%, respectively, as shown in Figure 2.</w:t>
      </w:r>
    </w:p>
    <w:p w14:paraId="5D4F694A" w14:textId="11A3970D" w:rsidR="00EE464B" w:rsidRPr="003A51F3" w:rsidRDefault="00BB491A" w:rsidP="00EE464B">
      <w:pPr>
        <w:pStyle w:val="CETBodytext"/>
      </w:pPr>
      <w:r w:rsidRPr="003A51F3">
        <w:rPr>
          <w:noProof/>
        </w:rPr>
        <w:drawing>
          <wp:inline distT="0" distB="0" distL="0" distR="0" wp14:anchorId="41320C8A" wp14:editId="71ACBEB2">
            <wp:extent cx="4635795" cy="1594832"/>
            <wp:effectExtent l="0" t="0" r="0" b="5715"/>
            <wp:docPr id="9902270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3411" b="4884"/>
                    <a:stretch/>
                  </pic:blipFill>
                  <pic:spPr bwMode="auto">
                    <a:xfrm>
                      <a:off x="0" y="0"/>
                      <a:ext cx="4672690" cy="1607525"/>
                    </a:xfrm>
                    <a:prstGeom prst="rect">
                      <a:avLst/>
                    </a:prstGeom>
                    <a:noFill/>
                    <a:ln>
                      <a:noFill/>
                    </a:ln>
                    <a:extLst>
                      <a:ext uri="{53640926-AAD7-44D8-BBD7-CCE9431645EC}">
                        <a14:shadowObscured xmlns:a14="http://schemas.microsoft.com/office/drawing/2010/main"/>
                      </a:ext>
                    </a:extLst>
                  </pic:spPr>
                </pic:pic>
              </a:graphicData>
            </a:graphic>
          </wp:inline>
        </w:drawing>
      </w:r>
    </w:p>
    <w:p w14:paraId="4A8722E9" w14:textId="7FE80511" w:rsidR="00EE464B" w:rsidRPr="003A51F3" w:rsidRDefault="00EE464B" w:rsidP="00EE464B">
      <w:pPr>
        <w:pStyle w:val="CETCaption"/>
        <w:rPr>
          <w:rStyle w:val="CETCaptionCarattere"/>
          <w:i/>
        </w:rPr>
      </w:pPr>
      <w:bookmarkStart w:id="0" w:name="OLE_LINK2"/>
      <w:r w:rsidRPr="003A51F3">
        <w:rPr>
          <w:rStyle w:val="CETCaptionCarattere"/>
          <w:i/>
        </w:rPr>
        <w:t xml:space="preserve">Figure </w:t>
      </w:r>
      <w:r w:rsidR="00F204A7" w:rsidRPr="003A51F3">
        <w:rPr>
          <w:rStyle w:val="CETCaptionCarattere"/>
          <w:i/>
        </w:rPr>
        <w:t>2</w:t>
      </w:r>
      <w:r w:rsidRPr="003A51F3">
        <w:rPr>
          <w:rStyle w:val="CETCaptionCarattere"/>
          <w:i/>
        </w:rPr>
        <w:t xml:space="preserve">: Perceived </w:t>
      </w:r>
      <w:r w:rsidR="00216B20">
        <w:rPr>
          <w:rStyle w:val="CETCaptionCarattere"/>
          <w:i/>
        </w:rPr>
        <w:t>accident</w:t>
      </w:r>
      <w:r w:rsidRPr="003A51F3">
        <w:rPr>
          <w:rStyle w:val="CETCaptionCarattere"/>
          <w:i/>
        </w:rPr>
        <w:t xml:space="preserve"> probability of respondents from the three countries</w:t>
      </w:r>
    </w:p>
    <w:bookmarkEnd w:id="0"/>
    <w:p w14:paraId="375DFCE3" w14:textId="4A244500" w:rsidR="00EE464B" w:rsidRPr="003A51F3" w:rsidRDefault="00A114B7" w:rsidP="00BB491A">
      <w:pPr>
        <w:pStyle w:val="CETBodytext"/>
        <w:spacing w:after="240"/>
        <w:rPr>
          <w:noProof/>
        </w:rPr>
      </w:pPr>
      <w:r w:rsidRPr="003A51F3">
        <w:rPr>
          <w:lang w:val="en-GB"/>
        </w:rPr>
        <w:t xml:space="preserve">Compared to the Japanese population, the </w:t>
      </w:r>
      <w:proofErr w:type="gramStart"/>
      <w:r w:rsidRPr="003A51F3">
        <w:rPr>
          <w:lang w:val="en-GB"/>
        </w:rPr>
        <w:t>general public</w:t>
      </w:r>
      <w:proofErr w:type="gramEnd"/>
      <w:r w:rsidRPr="003A51F3">
        <w:rPr>
          <w:lang w:val="en-GB"/>
        </w:rPr>
        <w:t xml:space="preserve"> in the two European countries </w:t>
      </w:r>
      <w:r w:rsidR="008D7CFC" w:rsidRPr="003A51F3">
        <w:rPr>
          <w:lang w:val="en-GB"/>
        </w:rPr>
        <w:t>is</w:t>
      </w:r>
      <w:r w:rsidRPr="003A51F3">
        <w:rPr>
          <w:lang w:val="en-GB"/>
        </w:rPr>
        <w:t xml:space="preserve"> more optimistic about the likelihood of accidents at </w:t>
      </w:r>
      <w:r w:rsidR="009D019D" w:rsidRPr="003A51F3">
        <w:rPr>
          <w:lang w:val="en-GB"/>
        </w:rPr>
        <w:t>HFSs</w:t>
      </w:r>
      <w:r w:rsidRPr="003A51F3">
        <w:rPr>
          <w:lang w:val="en-GB"/>
        </w:rPr>
        <w:t xml:space="preserve">. The Japanese population holds a noticeably neutral stance on the risk. </w:t>
      </w:r>
      <w:r w:rsidR="009D019D" w:rsidRPr="003A51F3">
        <w:rPr>
          <w:lang w:val="en-GB"/>
        </w:rPr>
        <w:t>O</w:t>
      </w:r>
      <w:r w:rsidRPr="003A51F3">
        <w:rPr>
          <w:lang w:val="en-GB"/>
        </w:rPr>
        <w:t xml:space="preserve">verall, the </w:t>
      </w:r>
      <w:r w:rsidR="00D1381D" w:rsidRPr="003A51F3">
        <w:rPr>
          <w:lang w:val="en-GB"/>
        </w:rPr>
        <w:t>p</w:t>
      </w:r>
      <w:r w:rsidR="00D1381D">
        <w:rPr>
          <w:lang w:val="en-GB"/>
        </w:rPr>
        <w:t>ercentage</w:t>
      </w:r>
      <w:r w:rsidR="00D1381D" w:rsidRPr="003A51F3">
        <w:rPr>
          <w:lang w:val="en-GB"/>
        </w:rPr>
        <w:t xml:space="preserve">s </w:t>
      </w:r>
      <w:r w:rsidRPr="003A51F3">
        <w:rPr>
          <w:lang w:val="en-GB"/>
        </w:rPr>
        <w:t xml:space="preserve">with a negative attitude </w:t>
      </w:r>
      <w:r w:rsidR="009D019D" w:rsidRPr="003A51F3">
        <w:rPr>
          <w:lang w:val="en-GB"/>
        </w:rPr>
        <w:t>in the three countries are</w:t>
      </w:r>
      <w:r w:rsidRPr="003A51F3">
        <w:rPr>
          <w:lang w:val="en-GB"/>
        </w:rPr>
        <w:t xml:space="preserve"> consistently below 20%, indirectly indicating a relatively high </w:t>
      </w:r>
      <w:r w:rsidR="003A3521" w:rsidRPr="003A51F3">
        <w:rPr>
          <w:lang w:val="en-GB"/>
        </w:rPr>
        <w:t>acceptability</w:t>
      </w:r>
      <w:r w:rsidRPr="003A51F3">
        <w:rPr>
          <w:lang w:val="en-GB"/>
        </w:rPr>
        <w:t xml:space="preserve"> of </w:t>
      </w:r>
      <w:r w:rsidR="009D019D" w:rsidRPr="003A51F3">
        <w:rPr>
          <w:lang w:val="en-GB"/>
        </w:rPr>
        <w:t>HFSs</w:t>
      </w:r>
      <w:r w:rsidR="003A3521" w:rsidRPr="003A51F3">
        <w:rPr>
          <w:lang w:val="en-GB"/>
        </w:rPr>
        <w:t xml:space="preserve"> </w:t>
      </w:r>
      <w:r w:rsidR="003A3521" w:rsidRPr="003A51F3">
        <w:t>(</w:t>
      </w:r>
      <w:proofErr w:type="spellStart"/>
      <w:r w:rsidR="003A3521" w:rsidRPr="003A51F3">
        <w:t>Huijts</w:t>
      </w:r>
      <w:proofErr w:type="spellEnd"/>
      <w:r w:rsidR="003A3521" w:rsidRPr="003A51F3">
        <w:t xml:space="preserve"> et al., 2019)</w:t>
      </w:r>
      <w:r w:rsidRPr="003A51F3">
        <w:rPr>
          <w:lang w:val="en-GB"/>
        </w:rPr>
        <w:t>.</w:t>
      </w:r>
      <w:r w:rsidR="009D019D" w:rsidRPr="003A51F3">
        <w:rPr>
          <w:lang w:val="en-GB"/>
        </w:rPr>
        <w:t xml:space="preserve"> With respect to the perception differences between processes, </w:t>
      </w:r>
      <w:r w:rsidR="00C230C8" w:rsidRPr="003A51F3">
        <w:rPr>
          <w:lang w:val="en-GB"/>
        </w:rPr>
        <w:t xml:space="preserve">the general trend is that transportation is perceived as </w:t>
      </w:r>
      <w:r w:rsidR="00D1381D">
        <w:rPr>
          <w:lang w:val="en-GB"/>
        </w:rPr>
        <w:t xml:space="preserve">the </w:t>
      </w:r>
      <w:r w:rsidR="00766830">
        <w:rPr>
          <w:lang w:val="en-GB"/>
        </w:rPr>
        <w:t xml:space="preserve">most likely </w:t>
      </w:r>
      <w:r w:rsidR="00D1381D">
        <w:rPr>
          <w:lang w:val="en-GB"/>
        </w:rPr>
        <w:t xml:space="preserve">one </w:t>
      </w:r>
      <w:r w:rsidR="00766830">
        <w:rPr>
          <w:lang w:val="en-GB"/>
        </w:rPr>
        <w:t>to involve</w:t>
      </w:r>
      <w:r w:rsidR="00D1381D">
        <w:rPr>
          <w:lang w:val="en-GB"/>
        </w:rPr>
        <w:t xml:space="preserve"> accidents</w:t>
      </w:r>
      <w:r w:rsidR="00C230C8" w:rsidRPr="003A51F3">
        <w:rPr>
          <w:lang w:val="en-GB"/>
        </w:rPr>
        <w:t xml:space="preserve">, while production is </w:t>
      </w:r>
      <w:r w:rsidR="008D7CFC" w:rsidRPr="003A51F3">
        <w:rPr>
          <w:lang w:val="en-GB"/>
        </w:rPr>
        <w:t>considered</w:t>
      </w:r>
      <w:r w:rsidR="00C230C8" w:rsidRPr="003A51F3">
        <w:rPr>
          <w:lang w:val="en-GB"/>
        </w:rPr>
        <w:t xml:space="preserve"> as </w:t>
      </w:r>
      <w:r w:rsidR="00D1381D">
        <w:rPr>
          <w:lang w:val="en-GB"/>
        </w:rPr>
        <w:t>the least likely</w:t>
      </w:r>
      <w:r w:rsidR="00855330">
        <w:rPr>
          <w:lang w:val="en-GB"/>
        </w:rPr>
        <w:t xml:space="preserve"> one</w:t>
      </w:r>
      <w:r w:rsidR="00C230C8" w:rsidRPr="003A51F3">
        <w:rPr>
          <w:lang w:val="en-GB"/>
        </w:rPr>
        <w:t xml:space="preserve">. In the same format, Figure 3 presents the results for </w:t>
      </w:r>
      <w:r w:rsidR="00855330">
        <w:rPr>
          <w:lang w:val="en-GB"/>
        </w:rPr>
        <w:t xml:space="preserve">the </w:t>
      </w:r>
      <w:r w:rsidR="00855330" w:rsidRPr="003A51F3">
        <w:rPr>
          <w:lang w:val="en-GB"/>
        </w:rPr>
        <w:t>measurement</w:t>
      </w:r>
      <w:r w:rsidR="00855330" w:rsidRPr="003A51F3" w:rsidDel="00855330">
        <w:rPr>
          <w:lang w:val="en-GB"/>
        </w:rPr>
        <w:t xml:space="preserve"> </w:t>
      </w:r>
      <w:r w:rsidR="00855330">
        <w:rPr>
          <w:lang w:val="en-GB"/>
        </w:rPr>
        <w:t>of perceived</w:t>
      </w:r>
      <w:r w:rsidR="00855330" w:rsidRPr="003A51F3">
        <w:rPr>
          <w:lang w:val="en-GB"/>
        </w:rPr>
        <w:t xml:space="preserve"> </w:t>
      </w:r>
      <w:r w:rsidR="00C230C8" w:rsidRPr="003A51F3">
        <w:rPr>
          <w:lang w:val="en-GB"/>
        </w:rPr>
        <w:t>consequence</w:t>
      </w:r>
      <w:r w:rsidR="00855330">
        <w:rPr>
          <w:lang w:val="en-GB"/>
        </w:rPr>
        <w:t>s</w:t>
      </w:r>
      <w:r w:rsidR="00C230C8" w:rsidRPr="003A51F3">
        <w:rPr>
          <w:lang w:val="en-GB"/>
        </w:rPr>
        <w:t>.</w:t>
      </w:r>
    </w:p>
    <w:p w14:paraId="4894824A" w14:textId="456B8E98" w:rsidR="00BB491A" w:rsidRPr="003A51F3" w:rsidRDefault="00BB491A" w:rsidP="00EE464B">
      <w:pPr>
        <w:pStyle w:val="CETBodytext"/>
      </w:pPr>
      <w:r w:rsidRPr="003A51F3">
        <w:rPr>
          <w:noProof/>
        </w:rPr>
        <w:drawing>
          <wp:inline distT="0" distB="0" distL="0" distR="0" wp14:anchorId="68AFA5F8" wp14:editId="67CA21C8">
            <wp:extent cx="4635500" cy="1636626"/>
            <wp:effectExtent l="0" t="0" r="0" b="1905"/>
            <wp:docPr id="3857322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extLst>
                        <a:ext uri="{28A0092B-C50C-407E-A947-70E740481C1C}">
                          <a14:useLocalDpi xmlns:a14="http://schemas.microsoft.com/office/drawing/2010/main" val="0"/>
                        </a:ext>
                      </a:extLst>
                    </a:blip>
                    <a:srcRect t="2507" b="4247"/>
                    <a:stretch/>
                  </pic:blipFill>
                  <pic:spPr bwMode="auto">
                    <a:xfrm>
                      <a:off x="0" y="0"/>
                      <a:ext cx="4691693" cy="1656466"/>
                    </a:xfrm>
                    <a:prstGeom prst="rect">
                      <a:avLst/>
                    </a:prstGeom>
                    <a:noFill/>
                    <a:ln>
                      <a:noFill/>
                    </a:ln>
                    <a:extLst>
                      <a:ext uri="{53640926-AAD7-44D8-BBD7-CCE9431645EC}">
                        <a14:shadowObscured xmlns:a14="http://schemas.microsoft.com/office/drawing/2010/main"/>
                      </a:ext>
                    </a:extLst>
                  </pic:spPr>
                </pic:pic>
              </a:graphicData>
            </a:graphic>
          </wp:inline>
        </w:drawing>
      </w:r>
    </w:p>
    <w:p w14:paraId="2BBB53E7" w14:textId="52280CDE" w:rsidR="00EE464B" w:rsidRPr="003A51F3" w:rsidRDefault="00EE464B" w:rsidP="00EE464B">
      <w:pPr>
        <w:pStyle w:val="CETCaption"/>
        <w:rPr>
          <w:rStyle w:val="CETCaptionCarattere"/>
          <w:i/>
        </w:rPr>
      </w:pPr>
      <w:r w:rsidRPr="003A51F3">
        <w:rPr>
          <w:rStyle w:val="CETCaptionCarattere"/>
          <w:i/>
        </w:rPr>
        <w:t xml:space="preserve">Figure </w:t>
      </w:r>
      <w:r w:rsidR="00F204A7" w:rsidRPr="003A51F3">
        <w:rPr>
          <w:rStyle w:val="CETCaptionCarattere"/>
          <w:i/>
        </w:rPr>
        <w:t>3</w:t>
      </w:r>
      <w:r w:rsidRPr="003A51F3">
        <w:rPr>
          <w:rStyle w:val="CETCaptionCarattere"/>
          <w:i/>
        </w:rPr>
        <w:t xml:space="preserve">: Perceived </w:t>
      </w:r>
      <w:r w:rsidR="00216B20">
        <w:rPr>
          <w:rStyle w:val="CETCaptionCarattere"/>
          <w:i/>
        </w:rPr>
        <w:t>accident</w:t>
      </w:r>
      <w:r w:rsidR="00216B20" w:rsidRPr="003A51F3">
        <w:rPr>
          <w:rStyle w:val="CETCaptionCarattere"/>
          <w:i/>
        </w:rPr>
        <w:t xml:space="preserve"> </w:t>
      </w:r>
      <w:r w:rsidRPr="003A51F3">
        <w:rPr>
          <w:rStyle w:val="CETCaptionCarattere"/>
          <w:i/>
        </w:rPr>
        <w:t>consequence of respondents from the three countries</w:t>
      </w:r>
    </w:p>
    <w:p w14:paraId="08C20B43" w14:textId="28BD08E4" w:rsidR="00505430" w:rsidRPr="003A51F3" w:rsidRDefault="00183DE7" w:rsidP="00453E24">
      <w:pPr>
        <w:pStyle w:val="CETBodytext"/>
        <w:rPr>
          <w:lang w:val="en-GB"/>
        </w:rPr>
      </w:pPr>
      <w:r w:rsidRPr="003A51F3">
        <w:rPr>
          <w:lang w:val="en-GB"/>
        </w:rPr>
        <w:t xml:space="preserve">The proportions of respondents who perceive </w:t>
      </w:r>
      <w:r w:rsidR="00F6109E">
        <w:rPr>
          <w:rStyle w:val="CETCaptionCarattere"/>
          <w:i w:val="0"/>
        </w:rPr>
        <w:t>accident</w:t>
      </w:r>
      <w:r w:rsidRPr="003A51F3">
        <w:rPr>
          <w:lang w:val="en-GB"/>
        </w:rPr>
        <w:t xml:space="preserve"> consequences as low, moderate, and high are 15.0%, 58.2%, and 26.8% in Japan, 35.2%, 38.4%, and 26.4% in Spain, and 35.6%, 37.8%, and 26.6% in Norway, respectively. </w:t>
      </w:r>
      <w:r w:rsidR="00044FA4">
        <w:rPr>
          <w:lang w:val="en-GB"/>
        </w:rPr>
        <w:t>A similar pattern of European optimism was detected for consequences.</w:t>
      </w:r>
      <w:r w:rsidR="00842338">
        <w:rPr>
          <w:lang w:val="en-GB"/>
        </w:rPr>
        <w:t xml:space="preserve"> </w:t>
      </w:r>
      <w:r w:rsidR="00044FA4">
        <w:rPr>
          <w:lang w:val="en-GB"/>
        </w:rPr>
        <w:t>Also, i</w:t>
      </w:r>
      <w:r w:rsidRPr="003A51F3">
        <w:rPr>
          <w:rFonts w:hint="eastAsia"/>
          <w:lang w:val="en-GB"/>
        </w:rPr>
        <w:t>t</w:t>
      </w:r>
      <w:r w:rsidRPr="003A51F3">
        <w:rPr>
          <w:lang w:val="en-GB"/>
        </w:rPr>
        <w:t xml:space="preserve"> could be observed that</w:t>
      </w:r>
      <w:r w:rsidRPr="009F7EC3">
        <w:rPr>
          <w:lang w:val="en-GB"/>
        </w:rPr>
        <w:t xml:space="preserve"> </w:t>
      </w:r>
      <w:r w:rsidRPr="003A51F3">
        <w:rPr>
          <w:lang w:val="en-GB"/>
        </w:rPr>
        <w:t xml:space="preserve">the public’s perception of </w:t>
      </w:r>
      <w:r w:rsidR="00842338">
        <w:rPr>
          <w:lang w:val="en-GB"/>
        </w:rPr>
        <w:t xml:space="preserve">the </w:t>
      </w:r>
      <w:r w:rsidRPr="003A51F3">
        <w:rPr>
          <w:lang w:val="en-GB"/>
        </w:rPr>
        <w:t xml:space="preserve">consequences is higher than that of </w:t>
      </w:r>
      <w:r w:rsidR="00842338">
        <w:rPr>
          <w:lang w:val="en-GB"/>
        </w:rPr>
        <w:t xml:space="preserve">the perceived accident </w:t>
      </w:r>
      <w:r w:rsidRPr="003A51F3">
        <w:rPr>
          <w:lang w:val="en-GB"/>
        </w:rPr>
        <w:t>probabilities.</w:t>
      </w:r>
    </w:p>
    <w:p w14:paraId="677EBFF0" w14:textId="13200C5A" w:rsidR="00600535" w:rsidRPr="003A51F3" w:rsidRDefault="00236C30" w:rsidP="00600535">
      <w:pPr>
        <w:pStyle w:val="CETHeading1"/>
        <w:tabs>
          <w:tab w:val="clear" w:pos="360"/>
          <w:tab w:val="right" w:pos="7100"/>
        </w:tabs>
        <w:jc w:val="both"/>
        <w:rPr>
          <w:lang w:val="en-GB"/>
        </w:rPr>
      </w:pPr>
      <w:r w:rsidRPr="003A51F3">
        <w:rPr>
          <w:lang w:val="en-GB"/>
        </w:rPr>
        <w:lastRenderedPageBreak/>
        <w:t xml:space="preserve">Comparison of public perception and </w:t>
      </w:r>
      <w:r w:rsidR="00183DE7" w:rsidRPr="003A51F3">
        <w:t>empirical risk</w:t>
      </w:r>
    </w:p>
    <w:p w14:paraId="04963A06" w14:textId="705550E5" w:rsidR="00600535" w:rsidRPr="003A51F3" w:rsidRDefault="00183DE7" w:rsidP="006236FD">
      <w:pPr>
        <w:pStyle w:val="CETheadingx"/>
      </w:pPr>
      <w:r w:rsidRPr="003A51F3">
        <w:t>Empirical risk analysis</w:t>
      </w:r>
    </w:p>
    <w:p w14:paraId="50DA995A" w14:textId="647050D6" w:rsidR="006E22CE" w:rsidRPr="009F7EC3" w:rsidRDefault="00183DE7" w:rsidP="006E22CE">
      <w:pPr>
        <w:pStyle w:val="CETListbullets"/>
        <w:ind w:left="0" w:firstLine="0"/>
      </w:pPr>
      <w:r w:rsidRPr="009F7EC3">
        <w:t>T</w:t>
      </w:r>
      <w:r w:rsidR="00505430" w:rsidRPr="009F7EC3">
        <w:t xml:space="preserve">he failure probability of various components in </w:t>
      </w:r>
      <w:r w:rsidRPr="009F7EC3">
        <w:t xml:space="preserve">HFSs </w:t>
      </w:r>
      <w:r w:rsidR="00505430" w:rsidRPr="009F7EC3">
        <w:t xml:space="preserve">is summarised </w:t>
      </w:r>
      <w:proofErr w:type="gramStart"/>
      <w:r w:rsidR="00505430" w:rsidRPr="009F7EC3">
        <w:t>in light of</w:t>
      </w:r>
      <w:proofErr w:type="gramEnd"/>
      <w:r w:rsidR="00505430" w:rsidRPr="009F7EC3">
        <w:t xml:space="preserve"> failure</w:t>
      </w:r>
      <w:r w:rsidR="006B4A65" w:rsidRPr="009F7EC3">
        <w:t xml:space="preserve"> types (Pan et al., 2016)</w:t>
      </w:r>
      <w:r w:rsidR="00505430" w:rsidRPr="009F7EC3">
        <w:t>, as in Table 2. Generally, rupture and leakage of the equipment are typically defined</w:t>
      </w:r>
      <w:r w:rsidR="00A865C2">
        <w:t xml:space="preserve"> respectively</w:t>
      </w:r>
      <w:r w:rsidR="00505430" w:rsidRPr="009F7EC3">
        <w:t xml:space="preserve"> as catastrophic and minor levels of failure. </w:t>
      </w:r>
      <w:r w:rsidR="00A865C2">
        <w:t xml:space="preserve">Moreover, </w:t>
      </w:r>
      <w:r w:rsidR="008D7CFC" w:rsidRPr="009F7EC3">
        <w:t>failure</w:t>
      </w:r>
      <w:r w:rsidR="00DD6BB7" w:rsidRPr="009F7EC3">
        <w:t>s</w:t>
      </w:r>
      <w:r w:rsidR="008D7CFC" w:rsidRPr="009F7EC3">
        <w:t xml:space="preserve"> </w:t>
      </w:r>
      <w:r w:rsidR="00A865C2">
        <w:t>i</w:t>
      </w:r>
      <w:r w:rsidR="00A865C2" w:rsidRPr="00F71C3F">
        <w:t>n pipework</w:t>
      </w:r>
      <w:r w:rsidR="00A865C2">
        <w:t xml:space="preserve">, </w:t>
      </w:r>
      <w:r w:rsidR="008D7CFC" w:rsidRPr="009F7EC3">
        <w:t>such as the full-bore rupture of a flexible hose</w:t>
      </w:r>
      <w:r w:rsidR="00A865C2">
        <w:t>,</w:t>
      </w:r>
      <w:r w:rsidR="008D7CFC" w:rsidRPr="009F7EC3">
        <w:t xml:space="preserve"> </w:t>
      </w:r>
      <w:r w:rsidR="00A865C2">
        <w:t>are</w:t>
      </w:r>
      <w:r w:rsidR="00A865C2" w:rsidRPr="009F7EC3">
        <w:t xml:space="preserve"> </w:t>
      </w:r>
      <w:r w:rsidR="00A865C2">
        <w:t xml:space="preserve">also </w:t>
      </w:r>
      <w:r w:rsidR="008D7CFC" w:rsidRPr="009F7EC3">
        <w:t>considered</w:t>
      </w:r>
      <w:r w:rsidR="00505430" w:rsidRPr="009F7EC3">
        <w:t xml:space="preserve"> </w:t>
      </w:r>
      <w:r w:rsidR="008D7CFC" w:rsidRPr="009F7EC3">
        <w:t xml:space="preserve">a </w:t>
      </w:r>
      <w:r w:rsidR="00505430" w:rsidRPr="009F7EC3">
        <w:t>minor</w:t>
      </w:r>
      <w:r w:rsidR="008D7CFC" w:rsidRPr="009F7EC3">
        <w:t>-</w:t>
      </w:r>
      <w:r w:rsidR="00505430" w:rsidRPr="009F7EC3">
        <w:t>level failure in this study.</w:t>
      </w:r>
    </w:p>
    <w:p w14:paraId="63AA8E22" w14:textId="43DA015A" w:rsidR="006E22CE" w:rsidRPr="003A51F3" w:rsidRDefault="006E22CE" w:rsidP="006E22CE">
      <w:pPr>
        <w:pStyle w:val="CETTabletitle"/>
      </w:pPr>
      <w:r w:rsidRPr="003A51F3">
        <w:t xml:space="preserve">Table </w:t>
      </w:r>
      <w:r w:rsidR="00F204A7" w:rsidRPr="003A51F3">
        <w:t>2</w:t>
      </w:r>
      <w:r w:rsidRPr="003A51F3">
        <w:t xml:space="preserve">: </w:t>
      </w:r>
      <w:r w:rsidR="00BB7AF9" w:rsidRPr="003A51F3">
        <w:t>Typical failure event frequenc</w:t>
      </w:r>
      <w:r w:rsidR="00F204A7" w:rsidRPr="003A51F3">
        <w:t>y</w:t>
      </w:r>
    </w:p>
    <w:tbl>
      <w:tblPr>
        <w:tblW w:w="8789"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2694"/>
        <w:gridCol w:w="1842"/>
        <w:gridCol w:w="1843"/>
        <w:gridCol w:w="1134"/>
        <w:gridCol w:w="1276"/>
      </w:tblGrid>
      <w:tr w:rsidR="00FF37C7" w:rsidRPr="003A51F3" w14:paraId="340D5141" w14:textId="537493CA" w:rsidTr="00CD3870">
        <w:tc>
          <w:tcPr>
            <w:tcW w:w="2694" w:type="dxa"/>
            <w:tcBorders>
              <w:top w:val="single" w:sz="12" w:space="0" w:color="008000"/>
              <w:bottom w:val="single" w:sz="6" w:space="0" w:color="008000"/>
            </w:tcBorders>
            <w:shd w:val="clear" w:color="auto" w:fill="FFFFFF"/>
          </w:tcPr>
          <w:p w14:paraId="211B99CD" w14:textId="3AECC7C9" w:rsidR="006E22CE" w:rsidRPr="003A51F3" w:rsidRDefault="006E22CE" w:rsidP="006E22CE">
            <w:pPr>
              <w:pStyle w:val="CETBodytext"/>
              <w:jc w:val="left"/>
              <w:rPr>
                <w:lang w:val="en-GB"/>
              </w:rPr>
            </w:pPr>
            <w:r w:rsidRPr="003A51F3">
              <w:t>Equipment</w:t>
            </w:r>
          </w:p>
        </w:tc>
        <w:tc>
          <w:tcPr>
            <w:tcW w:w="1842" w:type="dxa"/>
            <w:tcBorders>
              <w:top w:val="single" w:sz="12" w:space="0" w:color="008000"/>
              <w:bottom w:val="single" w:sz="6" w:space="0" w:color="008000"/>
            </w:tcBorders>
            <w:shd w:val="clear" w:color="auto" w:fill="FFFFFF"/>
          </w:tcPr>
          <w:p w14:paraId="3AE81315" w14:textId="1C4AB2C0" w:rsidR="006E22CE" w:rsidRPr="003A51F3" w:rsidRDefault="00FF37C7" w:rsidP="006E22CE">
            <w:pPr>
              <w:pStyle w:val="CETBodytext"/>
              <w:jc w:val="left"/>
              <w:rPr>
                <w:lang w:val="en-GB"/>
              </w:rPr>
            </w:pPr>
            <w:r w:rsidRPr="003A51F3">
              <w:t>O</w:t>
            </w:r>
            <w:r w:rsidR="006E22CE" w:rsidRPr="003A51F3">
              <w:t>perational process</w:t>
            </w:r>
          </w:p>
        </w:tc>
        <w:tc>
          <w:tcPr>
            <w:tcW w:w="1843" w:type="dxa"/>
            <w:tcBorders>
              <w:top w:val="single" w:sz="12" w:space="0" w:color="008000"/>
              <w:bottom w:val="single" w:sz="6" w:space="0" w:color="008000"/>
            </w:tcBorders>
            <w:shd w:val="clear" w:color="auto" w:fill="FFFFFF"/>
          </w:tcPr>
          <w:p w14:paraId="7430DCA6" w14:textId="0F31C1F2" w:rsidR="006E22CE" w:rsidRPr="003A51F3" w:rsidRDefault="006E22CE" w:rsidP="006E22CE">
            <w:pPr>
              <w:pStyle w:val="CETBodytext"/>
              <w:jc w:val="left"/>
              <w:rPr>
                <w:lang w:val="en-GB"/>
              </w:rPr>
            </w:pPr>
            <w:r w:rsidRPr="003A51F3">
              <w:t>Failure description</w:t>
            </w:r>
          </w:p>
        </w:tc>
        <w:tc>
          <w:tcPr>
            <w:tcW w:w="1134" w:type="dxa"/>
            <w:tcBorders>
              <w:top w:val="single" w:sz="12" w:space="0" w:color="008000"/>
              <w:bottom w:val="single" w:sz="6" w:space="0" w:color="008000"/>
            </w:tcBorders>
            <w:shd w:val="clear" w:color="auto" w:fill="FFFFFF"/>
          </w:tcPr>
          <w:p w14:paraId="118DCC36" w14:textId="21480979" w:rsidR="006E22CE" w:rsidRPr="003A51F3" w:rsidRDefault="006E22CE" w:rsidP="006E22CE">
            <w:pPr>
              <w:pStyle w:val="CETBodytext"/>
              <w:ind w:right="-1"/>
              <w:jc w:val="left"/>
              <w:rPr>
                <w:rFonts w:cs="Arial"/>
                <w:szCs w:val="18"/>
                <w:lang w:val="en-GB"/>
              </w:rPr>
            </w:pPr>
            <w:r w:rsidRPr="003A51F3">
              <w:rPr>
                <w:rFonts w:cs="Arial"/>
                <w:szCs w:val="18"/>
                <w:lang w:val="en-GB"/>
              </w:rPr>
              <w:t>Failure level</w:t>
            </w:r>
          </w:p>
        </w:tc>
        <w:tc>
          <w:tcPr>
            <w:tcW w:w="1276" w:type="dxa"/>
            <w:tcBorders>
              <w:top w:val="single" w:sz="12" w:space="0" w:color="008000"/>
              <w:bottom w:val="single" w:sz="6" w:space="0" w:color="008000"/>
            </w:tcBorders>
            <w:shd w:val="clear" w:color="auto" w:fill="FFFFFF"/>
          </w:tcPr>
          <w:p w14:paraId="07DFE97F" w14:textId="79DC1CEE" w:rsidR="006E22CE" w:rsidRPr="003A51F3" w:rsidRDefault="006E22CE" w:rsidP="006E22CE">
            <w:pPr>
              <w:pStyle w:val="CETBodytext"/>
              <w:ind w:right="-1"/>
              <w:jc w:val="left"/>
              <w:rPr>
                <w:rFonts w:cs="Arial"/>
                <w:szCs w:val="18"/>
                <w:lang w:val="en-GB"/>
              </w:rPr>
            </w:pPr>
            <w:r w:rsidRPr="003A51F3">
              <w:t>Frequency/year</w:t>
            </w:r>
          </w:p>
        </w:tc>
      </w:tr>
      <w:tr w:rsidR="00FF37C7" w:rsidRPr="003A51F3" w14:paraId="4BDA91CE" w14:textId="27D4C2F0" w:rsidTr="00CD3870">
        <w:tc>
          <w:tcPr>
            <w:tcW w:w="2694" w:type="dxa"/>
            <w:vMerge w:val="restart"/>
            <w:shd w:val="clear" w:color="auto" w:fill="FFFFFF"/>
          </w:tcPr>
          <w:p w14:paraId="7DF2F337" w14:textId="617E40BB" w:rsidR="006E22CE" w:rsidRPr="003410E3" w:rsidRDefault="006E22CE" w:rsidP="006E22CE">
            <w:pPr>
              <w:pStyle w:val="CETBodytext"/>
              <w:jc w:val="left"/>
              <w:rPr>
                <w:lang w:val="en-GB"/>
              </w:rPr>
            </w:pPr>
            <w:r w:rsidRPr="003410E3">
              <w:rPr>
                <w:lang w:val="en-GB"/>
              </w:rPr>
              <w:t>Reaction vessel of electrolyser</w:t>
            </w:r>
          </w:p>
        </w:tc>
        <w:tc>
          <w:tcPr>
            <w:tcW w:w="1842" w:type="dxa"/>
            <w:vMerge w:val="restart"/>
            <w:shd w:val="clear" w:color="auto" w:fill="FFFFFF"/>
          </w:tcPr>
          <w:p w14:paraId="6C69858E" w14:textId="3FDE70DE" w:rsidR="006E22CE" w:rsidRPr="003410E3" w:rsidRDefault="006E22CE" w:rsidP="006E22CE">
            <w:pPr>
              <w:pStyle w:val="CETBodytext"/>
              <w:jc w:val="left"/>
              <w:rPr>
                <w:lang w:val="en-GB"/>
              </w:rPr>
            </w:pPr>
            <w:r w:rsidRPr="003410E3">
              <w:rPr>
                <w:lang w:val="en-GB"/>
              </w:rPr>
              <w:t>Production</w:t>
            </w:r>
          </w:p>
        </w:tc>
        <w:tc>
          <w:tcPr>
            <w:tcW w:w="1843" w:type="dxa"/>
            <w:shd w:val="clear" w:color="auto" w:fill="FFFFFF"/>
          </w:tcPr>
          <w:p w14:paraId="27358D1A" w14:textId="32FED63F" w:rsidR="006E22CE" w:rsidRPr="003410E3" w:rsidRDefault="006E22CE" w:rsidP="006E22CE">
            <w:pPr>
              <w:pStyle w:val="CETBodytext"/>
              <w:jc w:val="left"/>
              <w:rPr>
                <w:lang w:val="en-GB"/>
              </w:rPr>
            </w:pPr>
            <w:r w:rsidRPr="003410E3">
              <w:rPr>
                <w:lang w:val="en-GB"/>
              </w:rPr>
              <w:t>Rupture</w:t>
            </w:r>
          </w:p>
        </w:tc>
        <w:tc>
          <w:tcPr>
            <w:tcW w:w="1134" w:type="dxa"/>
            <w:shd w:val="clear" w:color="auto" w:fill="FFFFFF"/>
          </w:tcPr>
          <w:p w14:paraId="4C72E34E" w14:textId="2396A6F9" w:rsidR="006E22CE" w:rsidRPr="003410E3" w:rsidRDefault="006E22CE" w:rsidP="006E22CE">
            <w:pPr>
              <w:pStyle w:val="CETBodytext"/>
              <w:ind w:right="-1"/>
              <w:jc w:val="left"/>
              <w:rPr>
                <w:rFonts w:cs="Arial"/>
                <w:szCs w:val="18"/>
                <w:lang w:val="en-GB"/>
              </w:rPr>
            </w:pPr>
            <w:r w:rsidRPr="003410E3">
              <w:rPr>
                <w:lang w:val="en-GB"/>
              </w:rPr>
              <w:t>Catastrophic</w:t>
            </w:r>
          </w:p>
        </w:tc>
        <w:tc>
          <w:tcPr>
            <w:tcW w:w="1276" w:type="dxa"/>
            <w:shd w:val="clear" w:color="auto" w:fill="FFFFFF"/>
          </w:tcPr>
          <w:p w14:paraId="6E86FE66" w14:textId="0190A4C3" w:rsidR="006E22CE" w:rsidRPr="003410E3" w:rsidRDefault="006E22CE" w:rsidP="006E22CE">
            <w:pPr>
              <w:pStyle w:val="CETBodytext"/>
              <w:ind w:right="-1"/>
              <w:jc w:val="left"/>
              <w:rPr>
                <w:rFonts w:cs="Arial"/>
                <w:szCs w:val="18"/>
                <w:lang w:val="en-GB"/>
              </w:rPr>
            </w:pPr>
            <w:r w:rsidRPr="003410E3">
              <w:rPr>
                <w:rFonts w:cs="Arial"/>
                <w:szCs w:val="18"/>
                <w:lang w:val="en-GB"/>
              </w:rPr>
              <w:t>5.00*10</w:t>
            </w:r>
            <w:r w:rsidRPr="003410E3">
              <w:rPr>
                <w:rFonts w:cs="Arial"/>
                <w:szCs w:val="18"/>
                <w:vertAlign w:val="superscript"/>
                <w:lang w:val="en-GB"/>
              </w:rPr>
              <w:t>-6</w:t>
            </w:r>
          </w:p>
        </w:tc>
      </w:tr>
      <w:tr w:rsidR="00FF37C7" w:rsidRPr="003A51F3" w14:paraId="4F026DD9" w14:textId="4DA0F08F" w:rsidTr="00CD3870">
        <w:tc>
          <w:tcPr>
            <w:tcW w:w="2694" w:type="dxa"/>
            <w:vMerge/>
            <w:shd w:val="clear" w:color="auto" w:fill="FFFFFF"/>
          </w:tcPr>
          <w:p w14:paraId="1B186454" w14:textId="1B341C1F" w:rsidR="006E22CE" w:rsidRPr="003410E3" w:rsidRDefault="006E22CE" w:rsidP="006E22CE">
            <w:pPr>
              <w:pStyle w:val="CETBodytext"/>
              <w:ind w:right="-1"/>
              <w:jc w:val="left"/>
              <w:rPr>
                <w:rFonts w:cs="Arial"/>
                <w:szCs w:val="18"/>
                <w:lang w:val="en-GB"/>
              </w:rPr>
            </w:pPr>
          </w:p>
        </w:tc>
        <w:tc>
          <w:tcPr>
            <w:tcW w:w="1842" w:type="dxa"/>
            <w:vMerge/>
            <w:shd w:val="clear" w:color="auto" w:fill="FFFFFF"/>
          </w:tcPr>
          <w:p w14:paraId="11CDB1DA" w14:textId="7340E23C" w:rsidR="006E22CE" w:rsidRPr="003410E3" w:rsidRDefault="006E22CE" w:rsidP="006E22CE">
            <w:pPr>
              <w:pStyle w:val="CETBodytext"/>
              <w:ind w:right="-1"/>
              <w:jc w:val="left"/>
              <w:rPr>
                <w:rFonts w:cs="Arial"/>
                <w:szCs w:val="18"/>
                <w:lang w:val="en-GB"/>
              </w:rPr>
            </w:pPr>
          </w:p>
        </w:tc>
        <w:tc>
          <w:tcPr>
            <w:tcW w:w="1843" w:type="dxa"/>
            <w:shd w:val="clear" w:color="auto" w:fill="FFFFFF"/>
          </w:tcPr>
          <w:p w14:paraId="1B2CA8AD" w14:textId="6E9A138F" w:rsidR="006E22CE" w:rsidRPr="003410E3" w:rsidRDefault="006E22CE" w:rsidP="006E22CE">
            <w:pPr>
              <w:pStyle w:val="CETBodytext"/>
              <w:ind w:right="-1"/>
              <w:jc w:val="left"/>
              <w:rPr>
                <w:rFonts w:cs="Arial"/>
                <w:szCs w:val="18"/>
                <w:lang w:val="en-GB"/>
              </w:rPr>
            </w:pPr>
            <w:r w:rsidRPr="003410E3">
              <w:rPr>
                <w:rFonts w:cs="Arial"/>
                <w:szCs w:val="18"/>
                <w:lang w:val="en-GB"/>
              </w:rPr>
              <w:t>Leakage</w:t>
            </w:r>
          </w:p>
        </w:tc>
        <w:tc>
          <w:tcPr>
            <w:tcW w:w="1134" w:type="dxa"/>
            <w:shd w:val="clear" w:color="auto" w:fill="FFFFFF"/>
          </w:tcPr>
          <w:p w14:paraId="1B4FBC55" w14:textId="1D11CF52" w:rsidR="006E22CE" w:rsidRPr="003410E3" w:rsidRDefault="006E22CE" w:rsidP="006E22CE">
            <w:pPr>
              <w:pStyle w:val="CETBodytext"/>
              <w:ind w:right="-1"/>
              <w:jc w:val="left"/>
              <w:rPr>
                <w:rFonts w:cs="Arial"/>
                <w:szCs w:val="18"/>
                <w:lang w:val="en-GB"/>
              </w:rPr>
            </w:pPr>
            <w:r w:rsidRPr="003410E3">
              <w:rPr>
                <w:rFonts w:cs="Arial"/>
                <w:szCs w:val="18"/>
                <w:lang w:val="en-GB"/>
              </w:rPr>
              <w:t>Minor</w:t>
            </w:r>
          </w:p>
        </w:tc>
        <w:tc>
          <w:tcPr>
            <w:tcW w:w="1276" w:type="dxa"/>
            <w:shd w:val="clear" w:color="auto" w:fill="FFFFFF"/>
          </w:tcPr>
          <w:p w14:paraId="5CF8C74B" w14:textId="31E5FF5D" w:rsidR="006E22CE" w:rsidRPr="003410E3" w:rsidRDefault="006E22CE" w:rsidP="006E22CE">
            <w:pPr>
              <w:pStyle w:val="CETBodytext"/>
              <w:ind w:right="-1"/>
              <w:jc w:val="left"/>
              <w:rPr>
                <w:rFonts w:cs="Arial"/>
                <w:szCs w:val="18"/>
                <w:lang w:val="en-GB"/>
              </w:rPr>
            </w:pPr>
            <w:r w:rsidRPr="003410E3">
              <w:rPr>
                <w:rFonts w:cs="Arial"/>
                <w:szCs w:val="18"/>
                <w:lang w:val="en-GB"/>
              </w:rPr>
              <w:t>1.00</w:t>
            </w:r>
            <w:r w:rsidR="00BB7AF9" w:rsidRPr="003410E3">
              <w:rPr>
                <w:rFonts w:cs="Arial"/>
                <w:szCs w:val="18"/>
                <w:lang w:val="en-GB"/>
              </w:rPr>
              <w:t>*10</w:t>
            </w:r>
            <w:r w:rsidR="00BB7AF9" w:rsidRPr="003410E3">
              <w:rPr>
                <w:rFonts w:cs="Arial"/>
                <w:szCs w:val="18"/>
                <w:vertAlign w:val="superscript"/>
                <w:lang w:val="en-GB"/>
              </w:rPr>
              <w:t>-4</w:t>
            </w:r>
          </w:p>
        </w:tc>
      </w:tr>
      <w:tr w:rsidR="00FF37C7" w:rsidRPr="003A51F3" w14:paraId="5F0B0C60" w14:textId="5F9BCA3D" w:rsidTr="00CD3870">
        <w:tc>
          <w:tcPr>
            <w:tcW w:w="2694" w:type="dxa"/>
            <w:vMerge w:val="restart"/>
            <w:shd w:val="clear" w:color="auto" w:fill="FFFFFF"/>
          </w:tcPr>
          <w:p w14:paraId="266B3F93" w14:textId="3B8A1FBF" w:rsidR="00CD3870" w:rsidRPr="003410E3" w:rsidRDefault="00CD3870" w:rsidP="00CD3870">
            <w:pPr>
              <w:pStyle w:val="CETBodytext"/>
              <w:ind w:right="-1"/>
              <w:jc w:val="left"/>
              <w:rPr>
                <w:rFonts w:cs="Arial"/>
                <w:szCs w:val="18"/>
                <w:lang w:val="en-GB"/>
              </w:rPr>
            </w:pPr>
            <w:r w:rsidRPr="003410E3">
              <w:rPr>
                <w:rFonts w:cs="Arial"/>
                <w:szCs w:val="18"/>
                <w:lang w:val="en-GB"/>
              </w:rPr>
              <w:t>Compressor (6 h per day)</w:t>
            </w:r>
          </w:p>
        </w:tc>
        <w:tc>
          <w:tcPr>
            <w:tcW w:w="1842" w:type="dxa"/>
            <w:vMerge w:val="restart"/>
            <w:shd w:val="clear" w:color="auto" w:fill="FFFFFF"/>
          </w:tcPr>
          <w:p w14:paraId="7B729FBF" w14:textId="4099E49A" w:rsidR="00CD3870" w:rsidRPr="003410E3" w:rsidRDefault="00CD3870" w:rsidP="00CD3870">
            <w:pPr>
              <w:pStyle w:val="CETBodytext"/>
              <w:ind w:right="-1"/>
              <w:jc w:val="left"/>
              <w:rPr>
                <w:rFonts w:cs="Arial"/>
                <w:szCs w:val="18"/>
                <w:lang w:val="en-GB"/>
              </w:rPr>
            </w:pPr>
            <w:r w:rsidRPr="003410E3">
              <w:rPr>
                <w:rFonts w:cs="Arial"/>
                <w:szCs w:val="18"/>
                <w:lang w:val="en-GB"/>
              </w:rPr>
              <w:t>Production &amp; Storage</w:t>
            </w:r>
          </w:p>
        </w:tc>
        <w:tc>
          <w:tcPr>
            <w:tcW w:w="1843" w:type="dxa"/>
            <w:shd w:val="clear" w:color="auto" w:fill="FFFFFF"/>
          </w:tcPr>
          <w:p w14:paraId="77676F2D" w14:textId="5ABD007D" w:rsidR="00CD3870" w:rsidRPr="003410E3" w:rsidRDefault="00CD3870" w:rsidP="00CD3870">
            <w:pPr>
              <w:pStyle w:val="CETBodytext"/>
              <w:ind w:right="-1"/>
              <w:jc w:val="left"/>
              <w:rPr>
                <w:rFonts w:cs="Arial"/>
                <w:szCs w:val="18"/>
                <w:lang w:val="en-GB"/>
              </w:rPr>
            </w:pPr>
            <w:r w:rsidRPr="003410E3">
              <w:rPr>
                <w:lang w:val="en-GB"/>
              </w:rPr>
              <w:t>Rupture</w:t>
            </w:r>
          </w:p>
        </w:tc>
        <w:tc>
          <w:tcPr>
            <w:tcW w:w="1134" w:type="dxa"/>
            <w:shd w:val="clear" w:color="auto" w:fill="FFFFFF"/>
          </w:tcPr>
          <w:p w14:paraId="5620F6E0" w14:textId="6683909E" w:rsidR="00CD3870" w:rsidRPr="003410E3" w:rsidRDefault="00CD3870" w:rsidP="00CD3870">
            <w:pPr>
              <w:pStyle w:val="CETBodytext"/>
              <w:ind w:right="-1"/>
              <w:jc w:val="left"/>
              <w:rPr>
                <w:rFonts w:cs="Arial"/>
                <w:szCs w:val="18"/>
                <w:lang w:val="en-GB"/>
              </w:rPr>
            </w:pPr>
            <w:r w:rsidRPr="003410E3">
              <w:rPr>
                <w:lang w:val="en-GB"/>
              </w:rPr>
              <w:t>Catastrophic</w:t>
            </w:r>
          </w:p>
        </w:tc>
        <w:tc>
          <w:tcPr>
            <w:tcW w:w="1276" w:type="dxa"/>
            <w:shd w:val="clear" w:color="auto" w:fill="FFFFFF"/>
          </w:tcPr>
          <w:p w14:paraId="49ABCE02" w14:textId="586EE8CE" w:rsidR="00CD3870" w:rsidRPr="003410E3" w:rsidRDefault="00CD3870" w:rsidP="00CD3870">
            <w:pPr>
              <w:pStyle w:val="CETBodytext"/>
              <w:ind w:right="-1"/>
              <w:jc w:val="left"/>
              <w:rPr>
                <w:rFonts w:cs="Arial"/>
                <w:szCs w:val="18"/>
                <w:lang w:val="en-GB"/>
              </w:rPr>
            </w:pPr>
            <w:r w:rsidRPr="003410E3">
              <w:rPr>
                <w:rFonts w:cs="Arial"/>
                <w:szCs w:val="18"/>
                <w:lang w:val="en-GB"/>
              </w:rPr>
              <w:t>1.90</w:t>
            </w:r>
            <w:r w:rsidR="00BB7AF9" w:rsidRPr="003410E3">
              <w:rPr>
                <w:rFonts w:cs="Arial"/>
                <w:szCs w:val="18"/>
                <w:lang w:val="en-GB"/>
              </w:rPr>
              <w:t>*10</w:t>
            </w:r>
            <w:r w:rsidR="00BB7AF9" w:rsidRPr="003410E3">
              <w:rPr>
                <w:rFonts w:cs="Arial"/>
                <w:szCs w:val="18"/>
                <w:vertAlign w:val="superscript"/>
                <w:lang w:val="en-GB"/>
              </w:rPr>
              <w:t>-3</w:t>
            </w:r>
          </w:p>
        </w:tc>
      </w:tr>
      <w:tr w:rsidR="00FF37C7" w:rsidRPr="003A51F3" w14:paraId="1690A2BE" w14:textId="01A1CCA2" w:rsidTr="00CD3870">
        <w:tc>
          <w:tcPr>
            <w:tcW w:w="2694" w:type="dxa"/>
            <w:vMerge/>
            <w:shd w:val="clear" w:color="auto" w:fill="FFFFFF"/>
          </w:tcPr>
          <w:p w14:paraId="45E69D0F" w14:textId="77777777" w:rsidR="00CD3870" w:rsidRPr="003410E3" w:rsidRDefault="00CD3870" w:rsidP="00CD3870">
            <w:pPr>
              <w:pStyle w:val="CETBodytext"/>
              <w:ind w:right="-1"/>
              <w:jc w:val="left"/>
              <w:rPr>
                <w:rFonts w:cs="Arial"/>
                <w:szCs w:val="18"/>
                <w:lang w:val="en-GB"/>
              </w:rPr>
            </w:pPr>
          </w:p>
        </w:tc>
        <w:tc>
          <w:tcPr>
            <w:tcW w:w="1842" w:type="dxa"/>
            <w:vMerge/>
            <w:shd w:val="clear" w:color="auto" w:fill="FFFFFF"/>
          </w:tcPr>
          <w:p w14:paraId="3B242EA7" w14:textId="77777777" w:rsidR="00CD3870" w:rsidRPr="003410E3" w:rsidRDefault="00CD3870" w:rsidP="00CD3870">
            <w:pPr>
              <w:pStyle w:val="CETBodytext"/>
              <w:ind w:right="-1"/>
              <w:jc w:val="left"/>
              <w:rPr>
                <w:rFonts w:cs="Arial"/>
                <w:szCs w:val="18"/>
                <w:lang w:val="en-GB"/>
              </w:rPr>
            </w:pPr>
          </w:p>
        </w:tc>
        <w:tc>
          <w:tcPr>
            <w:tcW w:w="1843" w:type="dxa"/>
            <w:shd w:val="clear" w:color="auto" w:fill="FFFFFF"/>
          </w:tcPr>
          <w:p w14:paraId="761E8D37" w14:textId="6E181E27" w:rsidR="00CD3870" w:rsidRPr="003410E3" w:rsidRDefault="00CD3870" w:rsidP="00CD3870">
            <w:pPr>
              <w:pStyle w:val="CETBodytext"/>
              <w:ind w:right="-1"/>
              <w:jc w:val="left"/>
              <w:rPr>
                <w:rFonts w:cs="Arial"/>
                <w:szCs w:val="18"/>
                <w:lang w:val="en-GB"/>
              </w:rPr>
            </w:pPr>
            <w:r w:rsidRPr="003410E3">
              <w:rPr>
                <w:rFonts w:cs="Arial"/>
                <w:szCs w:val="18"/>
                <w:lang w:val="en-GB"/>
              </w:rPr>
              <w:t>Leakage</w:t>
            </w:r>
          </w:p>
        </w:tc>
        <w:tc>
          <w:tcPr>
            <w:tcW w:w="1134" w:type="dxa"/>
            <w:shd w:val="clear" w:color="auto" w:fill="FFFFFF"/>
          </w:tcPr>
          <w:p w14:paraId="0D1C5AF0" w14:textId="604FE459" w:rsidR="00CD3870" w:rsidRPr="003410E3" w:rsidRDefault="00CD3870" w:rsidP="00CD3870">
            <w:pPr>
              <w:pStyle w:val="CETBodytext"/>
              <w:ind w:right="-1"/>
              <w:jc w:val="left"/>
              <w:rPr>
                <w:rFonts w:cs="Arial"/>
                <w:szCs w:val="18"/>
                <w:lang w:val="en-GB"/>
              </w:rPr>
            </w:pPr>
            <w:r w:rsidRPr="003410E3">
              <w:rPr>
                <w:rFonts w:cs="Arial"/>
                <w:szCs w:val="18"/>
                <w:lang w:val="en-GB"/>
              </w:rPr>
              <w:t>Minor</w:t>
            </w:r>
          </w:p>
        </w:tc>
        <w:tc>
          <w:tcPr>
            <w:tcW w:w="1276" w:type="dxa"/>
            <w:shd w:val="clear" w:color="auto" w:fill="FFFFFF"/>
          </w:tcPr>
          <w:p w14:paraId="13D968A8" w14:textId="33582ACE" w:rsidR="00CD3870" w:rsidRPr="003410E3" w:rsidRDefault="00CD3870" w:rsidP="00CD3870">
            <w:pPr>
              <w:pStyle w:val="CETBodytext"/>
              <w:ind w:right="-1"/>
              <w:jc w:val="left"/>
              <w:rPr>
                <w:rFonts w:cs="Arial"/>
                <w:szCs w:val="18"/>
                <w:lang w:val="en-GB"/>
              </w:rPr>
            </w:pPr>
            <w:r w:rsidRPr="003410E3">
              <w:rPr>
                <w:rFonts w:cs="Arial"/>
                <w:szCs w:val="18"/>
                <w:lang w:val="en-GB"/>
              </w:rPr>
              <w:t>1.90</w:t>
            </w:r>
            <w:r w:rsidR="00BB7AF9" w:rsidRPr="003410E3">
              <w:rPr>
                <w:rFonts w:cs="Arial"/>
                <w:szCs w:val="18"/>
                <w:lang w:val="en-GB"/>
              </w:rPr>
              <w:t>*10</w:t>
            </w:r>
            <w:r w:rsidR="00BB7AF9" w:rsidRPr="003410E3">
              <w:rPr>
                <w:rFonts w:cs="Arial"/>
                <w:szCs w:val="18"/>
                <w:vertAlign w:val="superscript"/>
                <w:lang w:val="en-GB"/>
              </w:rPr>
              <w:t>-2</w:t>
            </w:r>
          </w:p>
        </w:tc>
      </w:tr>
      <w:tr w:rsidR="00FF37C7" w:rsidRPr="003A51F3" w14:paraId="756FBAEF" w14:textId="63243361" w:rsidTr="00CD3870">
        <w:tc>
          <w:tcPr>
            <w:tcW w:w="2694" w:type="dxa"/>
            <w:vMerge w:val="restart"/>
            <w:shd w:val="clear" w:color="auto" w:fill="FFFFFF"/>
          </w:tcPr>
          <w:p w14:paraId="0850B074" w14:textId="77777777" w:rsidR="00CD3870" w:rsidRPr="003410E3" w:rsidRDefault="00CD3870" w:rsidP="00CD3870">
            <w:pPr>
              <w:pStyle w:val="CETBodytext"/>
              <w:ind w:right="-1"/>
              <w:jc w:val="left"/>
              <w:rPr>
                <w:rFonts w:cs="Arial"/>
                <w:szCs w:val="18"/>
                <w:lang w:val="en-GB"/>
              </w:rPr>
            </w:pPr>
            <w:r w:rsidRPr="003410E3">
              <w:rPr>
                <w:rFonts w:cs="Arial"/>
                <w:szCs w:val="18"/>
                <w:lang w:val="en-GB"/>
              </w:rPr>
              <w:t>Tube trailer</w:t>
            </w:r>
          </w:p>
          <w:p w14:paraId="45BFFEDB" w14:textId="77777777" w:rsidR="00CD3870" w:rsidRPr="003410E3" w:rsidRDefault="00CD3870" w:rsidP="00CD3870">
            <w:pPr>
              <w:pStyle w:val="CETBodytext"/>
              <w:ind w:right="-1"/>
              <w:jc w:val="left"/>
              <w:rPr>
                <w:rFonts w:cs="Arial"/>
                <w:szCs w:val="18"/>
                <w:lang w:val="en-GB"/>
              </w:rPr>
            </w:pPr>
          </w:p>
        </w:tc>
        <w:tc>
          <w:tcPr>
            <w:tcW w:w="1842" w:type="dxa"/>
            <w:vMerge w:val="restart"/>
            <w:shd w:val="clear" w:color="auto" w:fill="FFFFFF"/>
          </w:tcPr>
          <w:p w14:paraId="71A0FB5C" w14:textId="3317C42F" w:rsidR="00CD3870" w:rsidRPr="003410E3" w:rsidRDefault="00CD3870" w:rsidP="00CD3870">
            <w:pPr>
              <w:pStyle w:val="CETBodytext"/>
              <w:ind w:right="-1"/>
              <w:jc w:val="left"/>
              <w:rPr>
                <w:rFonts w:cs="Arial"/>
                <w:szCs w:val="18"/>
                <w:lang w:val="en-GB"/>
              </w:rPr>
            </w:pPr>
            <w:r w:rsidRPr="003410E3">
              <w:rPr>
                <w:rFonts w:cs="Arial"/>
                <w:szCs w:val="18"/>
                <w:lang w:val="en-GB"/>
              </w:rPr>
              <w:t>Transportation</w:t>
            </w:r>
          </w:p>
        </w:tc>
        <w:tc>
          <w:tcPr>
            <w:tcW w:w="1843" w:type="dxa"/>
            <w:shd w:val="clear" w:color="auto" w:fill="FFFFFF"/>
          </w:tcPr>
          <w:p w14:paraId="47D7F687" w14:textId="51745C30" w:rsidR="00CD3870" w:rsidRPr="003410E3" w:rsidRDefault="00CD3870" w:rsidP="00CD3870">
            <w:pPr>
              <w:pStyle w:val="CETBodytext"/>
              <w:ind w:right="-1"/>
              <w:jc w:val="left"/>
              <w:rPr>
                <w:rFonts w:cs="Arial"/>
                <w:szCs w:val="18"/>
                <w:lang w:val="en-GB"/>
              </w:rPr>
            </w:pPr>
            <w:r w:rsidRPr="003410E3">
              <w:rPr>
                <w:lang w:val="en-GB"/>
              </w:rPr>
              <w:t>Rupture</w:t>
            </w:r>
          </w:p>
        </w:tc>
        <w:tc>
          <w:tcPr>
            <w:tcW w:w="1134" w:type="dxa"/>
            <w:shd w:val="clear" w:color="auto" w:fill="FFFFFF"/>
          </w:tcPr>
          <w:p w14:paraId="4319677E" w14:textId="39703329" w:rsidR="00CD3870" w:rsidRPr="003410E3" w:rsidRDefault="00CD3870" w:rsidP="00CD3870">
            <w:pPr>
              <w:pStyle w:val="CETBodytext"/>
              <w:ind w:right="-1"/>
              <w:jc w:val="left"/>
              <w:rPr>
                <w:rFonts w:cs="Arial"/>
                <w:szCs w:val="18"/>
                <w:lang w:val="en-GB"/>
              </w:rPr>
            </w:pPr>
            <w:r w:rsidRPr="003410E3">
              <w:rPr>
                <w:lang w:val="en-GB"/>
              </w:rPr>
              <w:t>Catastrophic</w:t>
            </w:r>
          </w:p>
        </w:tc>
        <w:tc>
          <w:tcPr>
            <w:tcW w:w="1276" w:type="dxa"/>
            <w:shd w:val="clear" w:color="auto" w:fill="FFFFFF"/>
            <w:vAlign w:val="bottom"/>
          </w:tcPr>
          <w:p w14:paraId="40A42D6E" w14:textId="23B35F35" w:rsidR="00CD3870" w:rsidRPr="003410E3" w:rsidRDefault="00CD3870" w:rsidP="00CD3870">
            <w:pPr>
              <w:pStyle w:val="CETBodytext"/>
              <w:ind w:right="-1"/>
              <w:jc w:val="left"/>
              <w:rPr>
                <w:rFonts w:cs="Arial"/>
                <w:szCs w:val="18"/>
                <w:lang w:val="en-GB"/>
              </w:rPr>
            </w:pPr>
            <w:r w:rsidRPr="003410E3">
              <w:rPr>
                <w:rFonts w:cs="Arial"/>
                <w:szCs w:val="18"/>
                <w:lang w:val="en-GB"/>
              </w:rPr>
              <w:t>1.10</w:t>
            </w:r>
            <w:r w:rsidR="00BB7AF9" w:rsidRPr="003410E3">
              <w:rPr>
                <w:rFonts w:cs="Arial"/>
                <w:szCs w:val="18"/>
                <w:lang w:val="en-GB"/>
              </w:rPr>
              <w:t>*10</w:t>
            </w:r>
            <w:r w:rsidR="00BB7AF9" w:rsidRPr="003410E3">
              <w:rPr>
                <w:rFonts w:cs="Arial"/>
                <w:szCs w:val="18"/>
                <w:vertAlign w:val="superscript"/>
                <w:lang w:val="en-GB"/>
              </w:rPr>
              <w:t>-5</w:t>
            </w:r>
          </w:p>
        </w:tc>
      </w:tr>
      <w:tr w:rsidR="00FF37C7" w:rsidRPr="003A51F3" w14:paraId="4B0413C8" w14:textId="242F22C6" w:rsidTr="00CD3870">
        <w:tc>
          <w:tcPr>
            <w:tcW w:w="2694" w:type="dxa"/>
            <w:vMerge/>
            <w:shd w:val="clear" w:color="auto" w:fill="FFFFFF"/>
          </w:tcPr>
          <w:p w14:paraId="71644349" w14:textId="77777777" w:rsidR="00CD3870" w:rsidRPr="003410E3" w:rsidRDefault="00CD3870" w:rsidP="00CD3870">
            <w:pPr>
              <w:pStyle w:val="CETBodytext"/>
              <w:ind w:right="-1"/>
              <w:jc w:val="left"/>
              <w:rPr>
                <w:rFonts w:cs="Arial"/>
                <w:szCs w:val="18"/>
                <w:lang w:val="en-GB"/>
              </w:rPr>
            </w:pPr>
          </w:p>
        </w:tc>
        <w:tc>
          <w:tcPr>
            <w:tcW w:w="1842" w:type="dxa"/>
            <w:vMerge/>
            <w:shd w:val="clear" w:color="auto" w:fill="FFFFFF"/>
          </w:tcPr>
          <w:p w14:paraId="2E7634C4" w14:textId="77777777" w:rsidR="00CD3870" w:rsidRPr="003410E3" w:rsidRDefault="00CD3870" w:rsidP="00CD3870">
            <w:pPr>
              <w:pStyle w:val="CETBodytext"/>
              <w:ind w:right="-1"/>
              <w:jc w:val="left"/>
              <w:rPr>
                <w:rFonts w:cs="Arial"/>
                <w:szCs w:val="18"/>
                <w:lang w:val="en-GB"/>
              </w:rPr>
            </w:pPr>
          </w:p>
        </w:tc>
        <w:tc>
          <w:tcPr>
            <w:tcW w:w="1843" w:type="dxa"/>
            <w:shd w:val="clear" w:color="auto" w:fill="FFFFFF"/>
          </w:tcPr>
          <w:p w14:paraId="07D316C0" w14:textId="1610C3BC" w:rsidR="00CD3870" w:rsidRPr="003410E3" w:rsidRDefault="00CD3870" w:rsidP="00CD3870">
            <w:pPr>
              <w:pStyle w:val="CETBodytext"/>
              <w:ind w:right="-1"/>
              <w:jc w:val="left"/>
              <w:rPr>
                <w:rFonts w:cs="Arial"/>
                <w:szCs w:val="18"/>
                <w:lang w:val="en-GB"/>
              </w:rPr>
            </w:pPr>
            <w:r w:rsidRPr="003410E3">
              <w:rPr>
                <w:rFonts w:cs="Arial"/>
                <w:szCs w:val="18"/>
                <w:lang w:val="en-GB"/>
              </w:rPr>
              <w:t>Leakage from fittings</w:t>
            </w:r>
          </w:p>
        </w:tc>
        <w:tc>
          <w:tcPr>
            <w:tcW w:w="1134" w:type="dxa"/>
            <w:shd w:val="clear" w:color="auto" w:fill="FFFFFF"/>
          </w:tcPr>
          <w:p w14:paraId="481C8B88" w14:textId="2067704E" w:rsidR="00CD3870" w:rsidRPr="003410E3" w:rsidRDefault="00CD3870" w:rsidP="00CD3870">
            <w:pPr>
              <w:pStyle w:val="CETBodytext"/>
              <w:ind w:right="-1"/>
              <w:jc w:val="left"/>
              <w:rPr>
                <w:rFonts w:cs="Arial"/>
                <w:szCs w:val="18"/>
                <w:lang w:val="en-GB"/>
              </w:rPr>
            </w:pPr>
            <w:r w:rsidRPr="003410E3">
              <w:rPr>
                <w:rFonts w:cs="Arial"/>
                <w:szCs w:val="18"/>
                <w:lang w:val="en-GB"/>
              </w:rPr>
              <w:t>Minor</w:t>
            </w:r>
          </w:p>
        </w:tc>
        <w:tc>
          <w:tcPr>
            <w:tcW w:w="1276" w:type="dxa"/>
            <w:shd w:val="clear" w:color="auto" w:fill="FFFFFF"/>
            <w:vAlign w:val="bottom"/>
          </w:tcPr>
          <w:p w14:paraId="0A21BAB3" w14:textId="00CF1709" w:rsidR="00CD3870" w:rsidRPr="003410E3" w:rsidRDefault="00CD3870" w:rsidP="00CD3870">
            <w:pPr>
              <w:pStyle w:val="CETBodytext"/>
              <w:ind w:right="-1"/>
              <w:jc w:val="left"/>
              <w:rPr>
                <w:rFonts w:cs="Arial"/>
                <w:szCs w:val="18"/>
                <w:lang w:val="en-GB"/>
              </w:rPr>
            </w:pPr>
            <w:r w:rsidRPr="003410E3">
              <w:rPr>
                <w:rFonts w:cs="Arial"/>
                <w:szCs w:val="18"/>
                <w:lang w:val="en-GB"/>
              </w:rPr>
              <w:t>2.20</w:t>
            </w:r>
            <w:r w:rsidR="00BB7AF9" w:rsidRPr="003410E3">
              <w:rPr>
                <w:rFonts w:cs="Arial"/>
                <w:szCs w:val="18"/>
                <w:lang w:val="en-GB"/>
              </w:rPr>
              <w:t>*10</w:t>
            </w:r>
            <w:r w:rsidR="00BB7AF9" w:rsidRPr="003410E3">
              <w:rPr>
                <w:rFonts w:cs="Arial"/>
                <w:szCs w:val="18"/>
                <w:vertAlign w:val="superscript"/>
                <w:lang w:val="en-GB"/>
              </w:rPr>
              <w:t>-4</w:t>
            </w:r>
          </w:p>
        </w:tc>
      </w:tr>
      <w:tr w:rsidR="00FF37C7" w:rsidRPr="003A51F3" w14:paraId="04EDDD49" w14:textId="59F27735" w:rsidTr="00CD3870">
        <w:tc>
          <w:tcPr>
            <w:tcW w:w="2694" w:type="dxa"/>
            <w:vMerge w:val="restart"/>
            <w:shd w:val="clear" w:color="auto" w:fill="FFFFFF"/>
          </w:tcPr>
          <w:p w14:paraId="7677C6AE" w14:textId="79E51B8B" w:rsidR="00CD3870" w:rsidRPr="003410E3" w:rsidRDefault="00CD3870" w:rsidP="00CD3870">
            <w:pPr>
              <w:pStyle w:val="CETBodytext"/>
              <w:ind w:right="-1"/>
              <w:jc w:val="left"/>
              <w:rPr>
                <w:rFonts w:cs="Arial"/>
                <w:szCs w:val="18"/>
                <w:lang w:val="en-GB"/>
              </w:rPr>
            </w:pPr>
            <w:r w:rsidRPr="003410E3">
              <w:rPr>
                <w:rFonts w:cs="Arial"/>
                <w:szCs w:val="18"/>
                <w:lang w:val="en-GB"/>
              </w:rPr>
              <w:t>Low- and high-pressure vessels</w:t>
            </w:r>
          </w:p>
        </w:tc>
        <w:tc>
          <w:tcPr>
            <w:tcW w:w="1842" w:type="dxa"/>
            <w:vMerge w:val="restart"/>
            <w:shd w:val="clear" w:color="auto" w:fill="FFFFFF"/>
          </w:tcPr>
          <w:p w14:paraId="6C0DF80B" w14:textId="78C3F964" w:rsidR="00CD3870" w:rsidRPr="003410E3" w:rsidRDefault="00CD3870" w:rsidP="00CD3870">
            <w:pPr>
              <w:pStyle w:val="CETBodytext"/>
              <w:ind w:right="-1"/>
              <w:jc w:val="left"/>
              <w:rPr>
                <w:rFonts w:cs="Arial"/>
                <w:szCs w:val="18"/>
                <w:lang w:val="en-GB"/>
              </w:rPr>
            </w:pPr>
            <w:r w:rsidRPr="003410E3">
              <w:rPr>
                <w:rFonts w:cs="Arial"/>
                <w:szCs w:val="18"/>
                <w:lang w:val="en-GB"/>
              </w:rPr>
              <w:t>Storage</w:t>
            </w:r>
          </w:p>
        </w:tc>
        <w:tc>
          <w:tcPr>
            <w:tcW w:w="1843" w:type="dxa"/>
            <w:shd w:val="clear" w:color="auto" w:fill="FFFFFF"/>
          </w:tcPr>
          <w:p w14:paraId="6EF1C17E" w14:textId="026FD939" w:rsidR="00CD3870" w:rsidRPr="003410E3" w:rsidRDefault="00CD3870" w:rsidP="00CD3870">
            <w:pPr>
              <w:pStyle w:val="CETBodytext"/>
              <w:ind w:right="-1"/>
              <w:jc w:val="left"/>
              <w:rPr>
                <w:rFonts w:cs="Arial"/>
                <w:szCs w:val="18"/>
                <w:lang w:val="en-GB"/>
              </w:rPr>
            </w:pPr>
            <w:r w:rsidRPr="003410E3">
              <w:rPr>
                <w:lang w:val="en-GB"/>
              </w:rPr>
              <w:t>Rupture</w:t>
            </w:r>
          </w:p>
        </w:tc>
        <w:tc>
          <w:tcPr>
            <w:tcW w:w="1134" w:type="dxa"/>
            <w:shd w:val="clear" w:color="auto" w:fill="FFFFFF"/>
          </w:tcPr>
          <w:p w14:paraId="4B98F695" w14:textId="6FE4E8BF" w:rsidR="00CD3870" w:rsidRPr="003410E3" w:rsidRDefault="00CD3870" w:rsidP="00CD3870">
            <w:pPr>
              <w:pStyle w:val="CETBodytext"/>
              <w:ind w:right="-1"/>
              <w:jc w:val="left"/>
              <w:rPr>
                <w:rFonts w:cs="Arial"/>
                <w:szCs w:val="18"/>
                <w:lang w:val="en-GB"/>
              </w:rPr>
            </w:pPr>
            <w:r w:rsidRPr="003410E3">
              <w:rPr>
                <w:lang w:val="en-GB"/>
              </w:rPr>
              <w:t>Catastrophic</w:t>
            </w:r>
          </w:p>
        </w:tc>
        <w:tc>
          <w:tcPr>
            <w:tcW w:w="1276" w:type="dxa"/>
            <w:shd w:val="clear" w:color="auto" w:fill="FFFFFF"/>
            <w:vAlign w:val="bottom"/>
          </w:tcPr>
          <w:p w14:paraId="46389D0D" w14:textId="0CF7283B" w:rsidR="00CD3870" w:rsidRPr="003410E3" w:rsidRDefault="00CD3870" w:rsidP="00CD3870">
            <w:pPr>
              <w:pStyle w:val="CETBodytext"/>
              <w:ind w:right="-1"/>
              <w:jc w:val="left"/>
              <w:rPr>
                <w:rFonts w:cs="Arial"/>
                <w:szCs w:val="18"/>
                <w:lang w:val="en-GB"/>
              </w:rPr>
            </w:pPr>
            <w:r w:rsidRPr="003410E3">
              <w:rPr>
                <w:rFonts w:cs="Arial"/>
                <w:szCs w:val="18"/>
                <w:lang w:val="en-GB"/>
              </w:rPr>
              <w:t>2.00</w:t>
            </w:r>
            <w:r w:rsidR="00BB7AF9" w:rsidRPr="003410E3">
              <w:rPr>
                <w:rFonts w:cs="Arial"/>
                <w:szCs w:val="18"/>
                <w:lang w:val="en-GB"/>
              </w:rPr>
              <w:t>*10</w:t>
            </w:r>
            <w:r w:rsidR="00BB7AF9" w:rsidRPr="003410E3">
              <w:rPr>
                <w:rFonts w:cs="Arial"/>
                <w:szCs w:val="18"/>
                <w:vertAlign w:val="superscript"/>
                <w:lang w:val="en-GB"/>
              </w:rPr>
              <w:t>-6</w:t>
            </w:r>
          </w:p>
        </w:tc>
      </w:tr>
      <w:tr w:rsidR="00FF37C7" w:rsidRPr="003A51F3" w14:paraId="1DBB334B" w14:textId="72455506" w:rsidTr="00CD3870">
        <w:tc>
          <w:tcPr>
            <w:tcW w:w="2694" w:type="dxa"/>
            <w:vMerge/>
            <w:shd w:val="clear" w:color="auto" w:fill="FFFFFF"/>
          </w:tcPr>
          <w:p w14:paraId="344ED9AA" w14:textId="77777777" w:rsidR="00CD3870" w:rsidRPr="003410E3" w:rsidRDefault="00CD3870" w:rsidP="00CD3870">
            <w:pPr>
              <w:pStyle w:val="CETBodytext"/>
              <w:ind w:right="-1"/>
              <w:jc w:val="left"/>
              <w:rPr>
                <w:rFonts w:cs="Arial"/>
                <w:szCs w:val="18"/>
                <w:lang w:val="en-GB"/>
              </w:rPr>
            </w:pPr>
          </w:p>
        </w:tc>
        <w:tc>
          <w:tcPr>
            <w:tcW w:w="1842" w:type="dxa"/>
            <w:vMerge/>
            <w:shd w:val="clear" w:color="auto" w:fill="FFFFFF"/>
          </w:tcPr>
          <w:p w14:paraId="500125AD" w14:textId="77777777" w:rsidR="00CD3870" w:rsidRPr="003410E3" w:rsidRDefault="00CD3870" w:rsidP="00CD3870">
            <w:pPr>
              <w:pStyle w:val="CETBodytext"/>
              <w:ind w:right="-1"/>
              <w:jc w:val="left"/>
              <w:rPr>
                <w:rFonts w:cs="Arial"/>
                <w:szCs w:val="18"/>
                <w:lang w:val="en-GB"/>
              </w:rPr>
            </w:pPr>
          </w:p>
        </w:tc>
        <w:tc>
          <w:tcPr>
            <w:tcW w:w="1843" w:type="dxa"/>
            <w:shd w:val="clear" w:color="auto" w:fill="FFFFFF"/>
          </w:tcPr>
          <w:p w14:paraId="570F2C4C" w14:textId="17ED016D" w:rsidR="00CD3870" w:rsidRPr="003410E3" w:rsidRDefault="00CD3870" w:rsidP="00CD3870">
            <w:pPr>
              <w:pStyle w:val="CETBodytext"/>
              <w:ind w:right="-1"/>
              <w:jc w:val="left"/>
              <w:rPr>
                <w:rFonts w:cs="Arial"/>
                <w:szCs w:val="18"/>
                <w:lang w:val="en-GB"/>
              </w:rPr>
            </w:pPr>
            <w:r w:rsidRPr="003410E3">
              <w:rPr>
                <w:rFonts w:cs="Arial"/>
                <w:szCs w:val="18"/>
                <w:lang w:val="en-GB"/>
              </w:rPr>
              <w:t>Leakage from fittings</w:t>
            </w:r>
          </w:p>
        </w:tc>
        <w:tc>
          <w:tcPr>
            <w:tcW w:w="1134" w:type="dxa"/>
            <w:shd w:val="clear" w:color="auto" w:fill="FFFFFF"/>
          </w:tcPr>
          <w:p w14:paraId="7C234043" w14:textId="3BC1C80C" w:rsidR="00CD3870" w:rsidRPr="003410E3" w:rsidRDefault="00CD3870" w:rsidP="00CD3870">
            <w:pPr>
              <w:pStyle w:val="CETBodytext"/>
              <w:ind w:right="-1"/>
              <w:jc w:val="left"/>
              <w:rPr>
                <w:rFonts w:cs="Arial"/>
                <w:szCs w:val="18"/>
                <w:lang w:val="en-GB"/>
              </w:rPr>
            </w:pPr>
            <w:r w:rsidRPr="003410E3">
              <w:rPr>
                <w:rFonts w:cs="Arial"/>
                <w:szCs w:val="18"/>
                <w:lang w:val="en-GB"/>
              </w:rPr>
              <w:t>Minor</w:t>
            </w:r>
          </w:p>
        </w:tc>
        <w:tc>
          <w:tcPr>
            <w:tcW w:w="1276" w:type="dxa"/>
            <w:shd w:val="clear" w:color="auto" w:fill="FFFFFF"/>
            <w:vAlign w:val="bottom"/>
          </w:tcPr>
          <w:p w14:paraId="6F6556AE" w14:textId="4FC9D4D7" w:rsidR="00CD3870" w:rsidRPr="003410E3" w:rsidRDefault="00CD3870" w:rsidP="00CD3870">
            <w:pPr>
              <w:pStyle w:val="CETBodytext"/>
              <w:ind w:right="-1"/>
              <w:jc w:val="left"/>
              <w:rPr>
                <w:rFonts w:cs="Arial"/>
                <w:szCs w:val="18"/>
                <w:lang w:val="en-GB"/>
              </w:rPr>
            </w:pPr>
            <w:r w:rsidRPr="003410E3">
              <w:rPr>
                <w:rFonts w:cs="Arial"/>
                <w:szCs w:val="18"/>
                <w:lang w:val="en-GB"/>
              </w:rPr>
              <w:t>4.00</w:t>
            </w:r>
            <w:r w:rsidR="00BB7AF9" w:rsidRPr="003410E3">
              <w:rPr>
                <w:rFonts w:cs="Arial"/>
                <w:szCs w:val="18"/>
                <w:lang w:val="en-GB"/>
              </w:rPr>
              <w:t>*10</w:t>
            </w:r>
            <w:r w:rsidR="00BB7AF9" w:rsidRPr="003410E3">
              <w:rPr>
                <w:rFonts w:cs="Arial"/>
                <w:szCs w:val="18"/>
                <w:vertAlign w:val="superscript"/>
                <w:lang w:val="en-GB"/>
              </w:rPr>
              <w:t>-5</w:t>
            </w:r>
          </w:p>
        </w:tc>
      </w:tr>
      <w:tr w:rsidR="00FF37C7" w:rsidRPr="003A51F3" w14:paraId="0B26A06A" w14:textId="539C3F6A" w:rsidTr="00CD3870">
        <w:tc>
          <w:tcPr>
            <w:tcW w:w="2694" w:type="dxa"/>
            <w:shd w:val="clear" w:color="auto" w:fill="FFFFFF"/>
          </w:tcPr>
          <w:p w14:paraId="31AB953F" w14:textId="7F6C87C3" w:rsidR="006E22CE" w:rsidRPr="003410E3" w:rsidRDefault="00BB7AF9" w:rsidP="006E22CE">
            <w:pPr>
              <w:pStyle w:val="CETBodytext"/>
              <w:ind w:right="-1"/>
              <w:jc w:val="left"/>
              <w:rPr>
                <w:rFonts w:cs="Arial"/>
                <w:szCs w:val="18"/>
                <w:lang w:val="en-GB"/>
              </w:rPr>
            </w:pPr>
            <w:r w:rsidRPr="003410E3">
              <w:rPr>
                <w:rFonts w:cs="Arial"/>
                <w:szCs w:val="18"/>
                <w:lang w:val="en-GB"/>
              </w:rPr>
              <w:t>Dispenser (50 vehicles per day)</w:t>
            </w:r>
          </w:p>
        </w:tc>
        <w:tc>
          <w:tcPr>
            <w:tcW w:w="1842" w:type="dxa"/>
            <w:shd w:val="clear" w:color="auto" w:fill="FFFFFF"/>
          </w:tcPr>
          <w:p w14:paraId="1E8952ED" w14:textId="5DE00210" w:rsidR="006E22CE" w:rsidRPr="003410E3" w:rsidRDefault="00BB7AF9" w:rsidP="006E22CE">
            <w:pPr>
              <w:pStyle w:val="CETBodytext"/>
              <w:ind w:right="-1"/>
              <w:jc w:val="left"/>
              <w:rPr>
                <w:rFonts w:cs="Arial"/>
                <w:szCs w:val="18"/>
                <w:lang w:val="en-GB"/>
              </w:rPr>
            </w:pPr>
            <w:r w:rsidRPr="003410E3">
              <w:rPr>
                <w:rFonts w:cs="Arial"/>
                <w:szCs w:val="18"/>
                <w:lang w:val="en-GB"/>
              </w:rPr>
              <w:t>Dispensing</w:t>
            </w:r>
          </w:p>
        </w:tc>
        <w:tc>
          <w:tcPr>
            <w:tcW w:w="1843" w:type="dxa"/>
            <w:shd w:val="clear" w:color="auto" w:fill="FFFFFF"/>
          </w:tcPr>
          <w:p w14:paraId="153F1B0D" w14:textId="52A6BB78" w:rsidR="006E22CE" w:rsidRPr="003410E3" w:rsidRDefault="00BB7AF9" w:rsidP="006E22CE">
            <w:pPr>
              <w:pStyle w:val="CETBodytext"/>
              <w:ind w:right="-1"/>
              <w:jc w:val="left"/>
              <w:rPr>
                <w:rFonts w:cs="Arial"/>
                <w:szCs w:val="18"/>
                <w:lang w:val="en-GB"/>
              </w:rPr>
            </w:pPr>
            <w:r w:rsidRPr="003410E3">
              <w:rPr>
                <w:lang w:val="en-GB"/>
              </w:rPr>
              <w:t>Rupture</w:t>
            </w:r>
          </w:p>
        </w:tc>
        <w:tc>
          <w:tcPr>
            <w:tcW w:w="1134" w:type="dxa"/>
            <w:shd w:val="clear" w:color="auto" w:fill="FFFFFF"/>
          </w:tcPr>
          <w:p w14:paraId="30FD8A1B" w14:textId="396C9236" w:rsidR="006E22CE" w:rsidRPr="003410E3" w:rsidRDefault="00BB7AF9" w:rsidP="006E22CE">
            <w:pPr>
              <w:pStyle w:val="CETBodytext"/>
              <w:ind w:right="-1"/>
              <w:jc w:val="left"/>
              <w:rPr>
                <w:rFonts w:cs="Arial"/>
                <w:szCs w:val="18"/>
                <w:lang w:val="en-GB"/>
              </w:rPr>
            </w:pPr>
            <w:r w:rsidRPr="003410E3">
              <w:rPr>
                <w:lang w:val="en-GB"/>
              </w:rPr>
              <w:t>Catastrophic</w:t>
            </w:r>
          </w:p>
        </w:tc>
        <w:tc>
          <w:tcPr>
            <w:tcW w:w="1276" w:type="dxa"/>
            <w:shd w:val="clear" w:color="auto" w:fill="FFFFFF"/>
          </w:tcPr>
          <w:p w14:paraId="09A7F31F" w14:textId="6F0C8EA9" w:rsidR="006E22CE" w:rsidRPr="003410E3" w:rsidRDefault="00BB7AF9" w:rsidP="00BB7AF9">
            <w:pPr>
              <w:tabs>
                <w:tab w:val="clear" w:pos="7100"/>
              </w:tabs>
              <w:spacing w:line="240" w:lineRule="auto"/>
              <w:jc w:val="left"/>
              <w:rPr>
                <w:rFonts w:cs="Arial"/>
                <w:szCs w:val="18"/>
              </w:rPr>
            </w:pPr>
            <w:r w:rsidRPr="003410E3">
              <w:rPr>
                <w:rFonts w:cs="Arial"/>
                <w:szCs w:val="18"/>
              </w:rPr>
              <w:t>1.00*10</w:t>
            </w:r>
            <w:r w:rsidRPr="003410E3">
              <w:rPr>
                <w:rFonts w:cs="Arial"/>
                <w:szCs w:val="18"/>
                <w:vertAlign w:val="superscript"/>
              </w:rPr>
              <w:t>-5</w:t>
            </w:r>
          </w:p>
        </w:tc>
      </w:tr>
      <w:tr w:rsidR="00FF37C7" w:rsidRPr="003A51F3" w14:paraId="114DF319" w14:textId="3C186EAF" w:rsidTr="00FF37C7">
        <w:tc>
          <w:tcPr>
            <w:tcW w:w="2694" w:type="dxa"/>
            <w:shd w:val="clear" w:color="auto" w:fill="FFFFFF"/>
          </w:tcPr>
          <w:p w14:paraId="63E4C62B" w14:textId="69ADA9F4" w:rsidR="00BB7AF9" w:rsidRPr="003410E3" w:rsidRDefault="00BB7AF9" w:rsidP="00BB7AF9">
            <w:pPr>
              <w:pStyle w:val="CETBodytext"/>
              <w:ind w:right="-1"/>
              <w:jc w:val="left"/>
              <w:rPr>
                <w:rFonts w:cs="Arial"/>
                <w:szCs w:val="18"/>
                <w:lang w:val="en-GB"/>
              </w:rPr>
            </w:pPr>
            <w:r w:rsidRPr="003410E3">
              <w:rPr>
                <w:lang w:val="en-GB"/>
              </w:rPr>
              <w:t>Pipe between electrolyser to compressors</w:t>
            </w:r>
          </w:p>
        </w:tc>
        <w:tc>
          <w:tcPr>
            <w:tcW w:w="1842" w:type="dxa"/>
            <w:shd w:val="clear" w:color="auto" w:fill="FFFFFF"/>
          </w:tcPr>
          <w:p w14:paraId="5A933A48" w14:textId="6364B7C8" w:rsidR="00BB7AF9" w:rsidRPr="003410E3" w:rsidRDefault="00BB7AF9" w:rsidP="00BB7AF9">
            <w:pPr>
              <w:pStyle w:val="CETBodytext"/>
              <w:ind w:right="-1"/>
              <w:jc w:val="left"/>
              <w:rPr>
                <w:rFonts w:cs="Arial"/>
                <w:szCs w:val="18"/>
                <w:lang w:val="en-GB"/>
              </w:rPr>
            </w:pPr>
            <w:r w:rsidRPr="003410E3">
              <w:rPr>
                <w:lang w:val="en-GB"/>
              </w:rPr>
              <w:t>Production &amp; Storage</w:t>
            </w:r>
          </w:p>
        </w:tc>
        <w:tc>
          <w:tcPr>
            <w:tcW w:w="1843" w:type="dxa"/>
            <w:shd w:val="clear" w:color="auto" w:fill="FFFFFF"/>
          </w:tcPr>
          <w:p w14:paraId="5D2FD41D" w14:textId="5F077789" w:rsidR="00BB7AF9" w:rsidRPr="003410E3" w:rsidRDefault="00BB7AF9" w:rsidP="00BB7AF9">
            <w:pPr>
              <w:pStyle w:val="CETBodytext"/>
              <w:ind w:right="-1"/>
              <w:jc w:val="left"/>
              <w:rPr>
                <w:rFonts w:cs="Arial"/>
                <w:szCs w:val="18"/>
                <w:lang w:val="en-GB"/>
              </w:rPr>
            </w:pPr>
            <w:r w:rsidRPr="003410E3">
              <w:rPr>
                <w:lang w:val="en-GB"/>
              </w:rPr>
              <w:t>Full bore rupture of flexible hose</w:t>
            </w:r>
          </w:p>
        </w:tc>
        <w:tc>
          <w:tcPr>
            <w:tcW w:w="1134" w:type="dxa"/>
            <w:shd w:val="clear" w:color="auto" w:fill="FFFFFF"/>
          </w:tcPr>
          <w:p w14:paraId="0EE95553" w14:textId="551D02A9" w:rsidR="00BB7AF9" w:rsidRPr="003410E3" w:rsidRDefault="00BB7AF9" w:rsidP="00BB7AF9">
            <w:pPr>
              <w:pStyle w:val="CETBodytext"/>
              <w:ind w:right="-1"/>
              <w:jc w:val="left"/>
              <w:rPr>
                <w:rFonts w:cs="Arial"/>
                <w:szCs w:val="18"/>
                <w:lang w:val="en-GB"/>
              </w:rPr>
            </w:pPr>
            <w:r w:rsidRPr="003410E3">
              <w:rPr>
                <w:rFonts w:cs="Arial"/>
                <w:szCs w:val="18"/>
                <w:lang w:val="en-GB"/>
              </w:rPr>
              <w:t>Minor</w:t>
            </w:r>
          </w:p>
        </w:tc>
        <w:tc>
          <w:tcPr>
            <w:tcW w:w="1276" w:type="dxa"/>
            <w:shd w:val="clear" w:color="auto" w:fill="FFFFFF"/>
          </w:tcPr>
          <w:p w14:paraId="287AFD23" w14:textId="65BF181A" w:rsidR="00BB7AF9" w:rsidRPr="003410E3" w:rsidRDefault="00BB7AF9" w:rsidP="00FF37C7">
            <w:pPr>
              <w:pStyle w:val="CETBodytext"/>
              <w:ind w:right="-1"/>
              <w:jc w:val="left"/>
              <w:rPr>
                <w:rFonts w:cs="Arial"/>
                <w:szCs w:val="18"/>
                <w:lang w:val="en-GB"/>
              </w:rPr>
            </w:pPr>
            <w:r w:rsidRPr="003410E3">
              <w:rPr>
                <w:rFonts w:cs="Arial"/>
                <w:szCs w:val="18"/>
                <w:lang w:val="en-GB"/>
              </w:rPr>
              <w:t>1.00*10</w:t>
            </w:r>
            <w:r w:rsidRPr="003410E3">
              <w:rPr>
                <w:rFonts w:cs="Arial"/>
                <w:szCs w:val="18"/>
                <w:vertAlign w:val="superscript"/>
                <w:lang w:val="en-GB"/>
              </w:rPr>
              <w:t>-5</w:t>
            </w:r>
          </w:p>
        </w:tc>
      </w:tr>
      <w:tr w:rsidR="00FF37C7" w:rsidRPr="003A51F3" w14:paraId="0BD47070" w14:textId="77777777" w:rsidTr="00FF37C7">
        <w:tc>
          <w:tcPr>
            <w:tcW w:w="2694" w:type="dxa"/>
            <w:shd w:val="clear" w:color="auto" w:fill="FFFFFF"/>
          </w:tcPr>
          <w:p w14:paraId="52E13707" w14:textId="465DF4CB" w:rsidR="00BB7AF9" w:rsidRPr="003410E3" w:rsidRDefault="00BB7AF9" w:rsidP="00BB7AF9">
            <w:pPr>
              <w:pStyle w:val="CETBodytext"/>
              <w:ind w:right="-1"/>
              <w:jc w:val="left"/>
              <w:rPr>
                <w:rFonts w:cs="Arial"/>
                <w:szCs w:val="18"/>
                <w:lang w:val="en-GB"/>
              </w:rPr>
            </w:pPr>
            <w:r w:rsidRPr="003410E3">
              <w:rPr>
                <w:lang w:val="en-GB"/>
              </w:rPr>
              <w:t>Pipe between tube trailer to compressors</w:t>
            </w:r>
          </w:p>
        </w:tc>
        <w:tc>
          <w:tcPr>
            <w:tcW w:w="1842" w:type="dxa"/>
            <w:shd w:val="clear" w:color="auto" w:fill="FFFFFF"/>
          </w:tcPr>
          <w:p w14:paraId="2508E01C" w14:textId="4683EAB8" w:rsidR="00BB7AF9" w:rsidRPr="003410E3" w:rsidRDefault="00BB7AF9" w:rsidP="00BB7AF9">
            <w:pPr>
              <w:pStyle w:val="CETBodytext"/>
              <w:ind w:right="-1"/>
              <w:jc w:val="left"/>
              <w:rPr>
                <w:rFonts w:cs="Arial"/>
                <w:szCs w:val="18"/>
                <w:lang w:val="en-GB"/>
              </w:rPr>
            </w:pPr>
            <w:r w:rsidRPr="003410E3">
              <w:rPr>
                <w:lang w:val="en-GB"/>
              </w:rPr>
              <w:t>Transportation &amp; Storage</w:t>
            </w:r>
          </w:p>
        </w:tc>
        <w:tc>
          <w:tcPr>
            <w:tcW w:w="1843" w:type="dxa"/>
            <w:shd w:val="clear" w:color="auto" w:fill="FFFFFF"/>
          </w:tcPr>
          <w:p w14:paraId="608A6078" w14:textId="3C81BD21" w:rsidR="00BB7AF9" w:rsidRPr="003410E3" w:rsidRDefault="00BB7AF9" w:rsidP="00BB7AF9">
            <w:pPr>
              <w:pStyle w:val="CETBodytext"/>
              <w:ind w:right="-1"/>
              <w:jc w:val="left"/>
              <w:rPr>
                <w:rFonts w:cs="Arial"/>
                <w:szCs w:val="18"/>
                <w:lang w:val="en-GB"/>
              </w:rPr>
            </w:pPr>
            <w:r w:rsidRPr="003410E3">
              <w:rPr>
                <w:lang w:val="en-GB"/>
              </w:rPr>
              <w:t>Full bore rupture of flexible hose</w:t>
            </w:r>
          </w:p>
        </w:tc>
        <w:tc>
          <w:tcPr>
            <w:tcW w:w="1134" w:type="dxa"/>
            <w:shd w:val="clear" w:color="auto" w:fill="FFFFFF"/>
          </w:tcPr>
          <w:p w14:paraId="37A3D4AE" w14:textId="54FBFAF0" w:rsidR="00BB7AF9" w:rsidRPr="003410E3" w:rsidRDefault="00BB7AF9" w:rsidP="00BB7AF9">
            <w:pPr>
              <w:pStyle w:val="CETBodytext"/>
              <w:ind w:right="-1"/>
              <w:jc w:val="left"/>
              <w:rPr>
                <w:rFonts w:cs="Arial"/>
                <w:szCs w:val="18"/>
                <w:lang w:val="en-GB"/>
              </w:rPr>
            </w:pPr>
            <w:r w:rsidRPr="003410E3">
              <w:rPr>
                <w:rFonts w:cs="Arial"/>
                <w:szCs w:val="18"/>
                <w:lang w:val="en-GB"/>
              </w:rPr>
              <w:t>Minor</w:t>
            </w:r>
          </w:p>
        </w:tc>
        <w:tc>
          <w:tcPr>
            <w:tcW w:w="1276" w:type="dxa"/>
            <w:shd w:val="clear" w:color="auto" w:fill="FFFFFF"/>
          </w:tcPr>
          <w:p w14:paraId="2322DF12" w14:textId="5D50C7A4" w:rsidR="00BB7AF9" w:rsidRPr="003410E3" w:rsidRDefault="00BB7AF9" w:rsidP="00FF37C7">
            <w:pPr>
              <w:pStyle w:val="CETBodytext"/>
              <w:ind w:right="-1"/>
              <w:jc w:val="left"/>
              <w:rPr>
                <w:rFonts w:cs="Arial"/>
                <w:szCs w:val="18"/>
                <w:lang w:val="en-GB"/>
              </w:rPr>
            </w:pPr>
            <w:r w:rsidRPr="003410E3">
              <w:rPr>
                <w:rFonts w:cs="Arial"/>
                <w:szCs w:val="18"/>
                <w:lang w:val="en-GB"/>
              </w:rPr>
              <w:t>3.00*10</w:t>
            </w:r>
            <w:r w:rsidRPr="003410E3">
              <w:rPr>
                <w:rFonts w:cs="Arial"/>
                <w:szCs w:val="18"/>
                <w:vertAlign w:val="superscript"/>
                <w:lang w:val="en-GB"/>
              </w:rPr>
              <w:t>-5</w:t>
            </w:r>
          </w:p>
        </w:tc>
      </w:tr>
      <w:tr w:rsidR="00FF37C7" w:rsidRPr="003A51F3" w14:paraId="69D5B160" w14:textId="0C6E7CBF" w:rsidTr="00FF37C7">
        <w:tc>
          <w:tcPr>
            <w:tcW w:w="2694" w:type="dxa"/>
            <w:shd w:val="clear" w:color="auto" w:fill="FFFFFF"/>
          </w:tcPr>
          <w:p w14:paraId="7673AF37" w14:textId="5E9F960F" w:rsidR="00BB7AF9" w:rsidRPr="003410E3" w:rsidRDefault="00BB7AF9" w:rsidP="00BB7AF9">
            <w:pPr>
              <w:pStyle w:val="CETBodytext"/>
              <w:ind w:right="-1"/>
              <w:jc w:val="left"/>
              <w:rPr>
                <w:rFonts w:cs="Arial"/>
                <w:szCs w:val="18"/>
                <w:lang w:val="en-GB"/>
              </w:rPr>
            </w:pPr>
            <w:r w:rsidRPr="003410E3">
              <w:rPr>
                <w:lang w:val="en-GB"/>
              </w:rPr>
              <w:t>Pipe between storage vessel</w:t>
            </w:r>
            <w:r w:rsidR="009817F4" w:rsidRPr="003410E3">
              <w:rPr>
                <w:lang w:val="en-GB"/>
              </w:rPr>
              <w:t>s</w:t>
            </w:r>
            <w:r w:rsidRPr="003410E3">
              <w:rPr>
                <w:lang w:val="en-GB"/>
              </w:rPr>
              <w:t xml:space="preserve"> to dispensers</w:t>
            </w:r>
          </w:p>
        </w:tc>
        <w:tc>
          <w:tcPr>
            <w:tcW w:w="1842" w:type="dxa"/>
            <w:shd w:val="clear" w:color="auto" w:fill="FFFFFF"/>
          </w:tcPr>
          <w:p w14:paraId="4F15C678" w14:textId="4E6715F0" w:rsidR="00BB7AF9" w:rsidRPr="003410E3" w:rsidRDefault="00BB7AF9" w:rsidP="00BB7AF9">
            <w:pPr>
              <w:pStyle w:val="CETBodytext"/>
              <w:ind w:right="-1"/>
              <w:jc w:val="left"/>
              <w:rPr>
                <w:rFonts w:cs="Arial"/>
                <w:szCs w:val="18"/>
                <w:lang w:val="en-GB"/>
              </w:rPr>
            </w:pPr>
            <w:r w:rsidRPr="003410E3">
              <w:rPr>
                <w:lang w:val="en-GB"/>
              </w:rPr>
              <w:t>Dispensing &amp; Storage</w:t>
            </w:r>
          </w:p>
        </w:tc>
        <w:tc>
          <w:tcPr>
            <w:tcW w:w="1843" w:type="dxa"/>
            <w:shd w:val="clear" w:color="auto" w:fill="FFFFFF"/>
          </w:tcPr>
          <w:p w14:paraId="116BBC3E" w14:textId="58416637" w:rsidR="00BB7AF9" w:rsidRPr="003410E3" w:rsidRDefault="00BB7AF9" w:rsidP="00BB7AF9">
            <w:pPr>
              <w:pStyle w:val="CETBodytext"/>
              <w:ind w:right="-1"/>
              <w:jc w:val="left"/>
              <w:rPr>
                <w:rFonts w:cs="Arial"/>
                <w:szCs w:val="18"/>
                <w:lang w:val="en-GB"/>
              </w:rPr>
            </w:pPr>
            <w:r w:rsidRPr="003410E3">
              <w:rPr>
                <w:lang w:val="en-GB"/>
              </w:rPr>
              <w:t>Full bore rupture of flexible hose</w:t>
            </w:r>
          </w:p>
        </w:tc>
        <w:tc>
          <w:tcPr>
            <w:tcW w:w="1134" w:type="dxa"/>
            <w:shd w:val="clear" w:color="auto" w:fill="FFFFFF"/>
          </w:tcPr>
          <w:p w14:paraId="6D215769" w14:textId="61D6B874" w:rsidR="00BB7AF9" w:rsidRPr="003410E3" w:rsidRDefault="00BB7AF9" w:rsidP="00BB7AF9">
            <w:pPr>
              <w:pStyle w:val="CETBodytext"/>
              <w:ind w:right="-1"/>
              <w:jc w:val="left"/>
              <w:rPr>
                <w:rFonts w:cs="Arial"/>
                <w:szCs w:val="18"/>
                <w:lang w:val="en-GB"/>
              </w:rPr>
            </w:pPr>
            <w:r w:rsidRPr="003410E3">
              <w:rPr>
                <w:rFonts w:cs="Arial"/>
                <w:szCs w:val="18"/>
                <w:lang w:val="en-GB"/>
              </w:rPr>
              <w:t>Minor</w:t>
            </w:r>
          </w:p>
        </w:tc>
        <w:tc>
          <w:tcPr>
            <w:tcW w:w="1276" w:type="dxa"/>
            <w:shd w:val="clear" w:color="auto" w:fill="FFFFFF"/>
          </w:tcPr>
          <w:p w14:paraId="33233C86" w14:textId="7F07B531" w:rsidR="00BB7AF9" w:rsidRPr="003410E3" w:rsidRDefault="00BB7AF9" w:rsidP="00FF37C7">
            <w:pPr>
              <w:pStyle w:val="CETBodytext"/>
              <w:ind w:right="-1"/>
              <w:jc w:val="left"/>
              <w:rPr>
                <w:rFonts w:cs="Arial"/>
                <w:szCs w:val="18"/>
                <w:lang w:val="en-GB"/>
              </w:rPr>
            </w:pPr>
            <w:r w:rsidRPr="003410E3">
              <w:rPr>
                <w:rFonts w:cs="Arial"/>
                <w:szCs w:val="18"/>
                <w:lang w:val="en-GB"/>
              </w:rPr>
              <w:t>1.50*10</w:t>
            </w:r>
            <w:r w:rsidRPr="003410E3">
              <w:rPr>
                <w:rFonts w:cs="Arial"/>
                <w:szCs w:val="18"/>
                <w:vertAlign w:val="superscript"/>
                <w:lang w:val="en-GB"/>
              </w:rPr>
              <w:t>-5</w:t>
            </w:r>
          </w:p>
        </w:tc>
      </w:tr>
    </w:tbl>
    <w:p w14:paraId="16C9099F" w14:textId="20E5D4C6" w:rsidR="00505430" w:rsidRPr="003A51F3" w:rsidRDefault="006236FD" w:rsidP="000D6C17">
      <w:pPr>
        <w:pStyle w:val="CETListbullets"/>
        <w:spacing w:before="240"/>
        <w:ind w:left="0" w:firstLine="0"/>
      </w:pPr>
      <w:r w:rsidRPr="003A51F3">
        <w:t xml:space="preserve">According to the failure event frequency of each </w:t>
      </w:r>
      <w:r w:rsidR="008D7CFC" w:rsidRPr="003A51F3">
        <w:t xml:space="preserve">piece of </w:t>
      </w:r>
      <w:r w:rsidRPr="003A51F3">
        <w:t>equipment,</w:t>
      </w:r>
      <w:r w:rsidR="00505430" w:rsidRPr="003A51F3">
        <w:t xml:space="preserve"> </w:t>
      </w:r>
      <w:r w:rsidRPr="003A51F3">
        <w:t>t</w:t>
      </w:r>
      <w:r w:rsidR="00505430" w:rsidRPr="003A51F3">
        <w:t>he total frequencies of catastrophic and minor failure</w:t>
      </w:r>
      <w:r w:rsidR="008D7CFC" w:rsidRPr="003A51F3">
        <w:t>s</w:t>
      </w:r>
      <w:r w:rsidR="00505430" w:rsidRPr="003A51F3">
        <w:t xml:space="preserve"> </w:t>
      </w:r>
      <w:r w:rsidR="002B040A">
        <w:t>potentially</w:t>
      </w:r>
      <w:r w:rsidR="002B040A" w:rsidRPr="003A51F3">
        <w:t xml:space="preserve"> </w:t>
      </w:r>
      <w:r w:rsidR="00505430" w:rsidRPr="003A51F3">
        <w:t xml:space="preserve">occurring in each operational process are </w:t>
      </w:r>
      <w:r w:rsidRPr="003A51F3">
        <w:t xml:space="preserve">calculated and </w:t>
      </w:r>
      <w:r w:rsidR="00505430" w:rsidRPr="003A51F3">
        <w:t xml:space="preserve">reported in Table 3, along with the equipment that constitutes the primary source of </w:t>
      </w:r>
      <w:r w:rsidR="00EC4030">
        <w:t>hazard</w:t>
      </w:r>
      <w:r w:rsidR="00505430" w:rsidRPr="003A51F3">
        <w:t>.</w:t>
      </w:r>
    </w:p>
    <w:p w14:paraId="32E7193B" w14:textId="6D046DC1" w:rsidR="009817F4" w:rsidRPr="003A51F3" w:rsidRDefault="009817F4" w:rsidP="009817F4">
      <w:pPr>
        <w:pStyle w:val="CETTabletitle"/>
      </w:pPr>
      <w:r w:rsidRPr="003A51F3">
        <w:t xml:space="preserve">Table </w:t>
      </w:r>
      <w:r w:rsidR="00F204A7" w:rsidRPr="003A51F3">
        <w:t>3</w:t>
      </w:r>
      <w:r w:rsidRPr="003A51F3">
        <w:t xml:space="preserve">: Statistical results for failure frequency </w:t>
      </w:r>
      <w:r w:rsidR="00A643BA">
        <w:t>of each</w:t>
      </w:r>
      <w:r w:rsidR="00A643BA" w:rsidRPr="003A51F3">
        <w:t xml:space="preserve"> </w:t>
      </w:r>
      <w:r w:rsidRPr="003A51F3">
        <w:t>operational process</w:t>
      </w:r>
    </w:p>
    <w:tbl>
      <w:tblPr>
        <w:tblW w:w="8789"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2268"/>
        <w:gridCol w:w="1276"/>
        <w:gridCol w:w="1701"/>
        <w:gridCol w:w="1276"/>
        <w:gridCol w:w="2268"/>
      </w:tblGrid>
      <w:tr w:rsidR="006236FD" w:rsidRPr="003A51F3" w14:paraId="16B52408" w14:textId="77777777" w:rsidTr="009817F4">
        <w:tc>
          <w:tcPr>
            <w:tcW w:w="2268" w:type="dxa"/>
            <w:vMerge w:val="restart"/>
            <w:tcBorders>
              <w:top w:val="single" w:sz="12" w:space="0" w:color="008000"/>
            </w:tcBorders>
            <w:shd w:val="clear" w:color="auto" w:fill="FFFFFF"/>
          </w:tcPr>
          <w:p w14:paraId="1047D50C" w14:textId="4284B42C" w:rsidR="009817F4" w:rsidRPr="003A51F3" w:rsidRDefault="009817F4" w:rsidP="009817F4">
            <w:pPr>
              <w:pStyle w:val="CETBodytext"/>
              <w:jc w:val="left"/>
              <w:rPr>
                <w:lang w:val="en-GB"/>
              </w:rPr>
            </w:pPr>
            <w:r w:rsidRPr="003A51F3">
              <w:rPr>
                <w:lang w:val="en-GB"/>
              </w:rPr>
              <w:t>Operational process</w:t>
            </w:r>
          </w:p>
        </w:tc>
        <w:tc>
          <w:tcPr>
            <w:tcW w:w="2977" w:type="dxa"/>
            <w:gridSpan w:val="2"/>
            <w:tcBorders>
              <w:top w:val="single" w:sz="12" w:space="0" w:color="008000"/>
              <w:bottom w:val="single" w:sz="4" w:space="0" w:color="008000"/>
            </w:tcBorders>
            <w:shd w:val="clear" w:color="auto" w:fill="FFFFFF"/>
          </w:tcPr>
          <w:p w14:paraId="51B8C600" w14:textId="5CFAF968" w:rsidR="009817F4" w:rsidRPr="003A51F3" w:rsidRDefault="009817F4" w:rsidP="009817F4">
            <w:pPr>
              <w:pStyle w:val="CETBodytext"/>
              <w:jc w:val="left"/>
              <w:rPr>
                <w:lang w:val="en-GB"/>
              </w:rPr>
            </w:pPr>
            <w:r w:rsidRPr="003A51F3">
              <w:rPr>
                <w:lang w:val="en-GB"/>
              </w:rPr>
              <w:t>Catastrophic failure</w:t>
            </w:r>
          </w:p>
        </w:tc>
        <w:tc>
          <w:tcPr>
            <w:tcW w:w="3544" w:type="dxa"/>
            <w:gridSpan w:val="2"/>
            <w:tcBorders>
              <w:top w:val="single" w:sz="12" w:space="0" w:color="008000"/>
              <w:bottom w:val="single" w:sz="4" w:space="0" w:color="008000"/>
            </w:tcBorders>
            <w:shd w:val="clear" w:color="auto" w:fill="FFFFFF"/>
          </w:tcPr>
          <w:p w14:paraId="26188BBA" w14:textId="2E49DED6" w:rsidR="009817F4" w:rsidRPr="003A51F3" w:rsidRDefault="009817F4" w:rsidP="009817F4">
            <w:pPr>
              <w:pStyle w:val="CETBodytext"/>
              <w:ind w:right="-1"/>
              <w:jc w:val="left"/>
              <w:rPr>
                <w:lang w:val="en-GB"/>
              </w:rPr>
            </w:pPr>
            <w:r w:rsidRPr="003A51F3">
              <w:rPr>
                <w:lang w:val="en-GB"/>
              </w:rPr>
              <w:t>Minor failure</w:t>
            </w:r>
          </w:p>
        </w:tc>
      </w:tr>
      <w:tr w:rsidR="006236FD" w:rsidRPr="003A51F3" w14:paraId="189C1263" w14:textId="77777777" w:rsidTr="009817F4">
        <w:tc>
          <w:tcPr>
            <w:tcW w:w="2268" w:type="dxa"/>
            <w:vMerge/>
            <w:tcBorders>
              <w:bottom w:val="single" w:sz="6" w:space="0" w:color="008000"/>
            </w:tcBorders>
            <w:shd w:val="clear" w:color="auto" w:fill="FFFFFF"/>
          </w:tcPr>
          <w:p w14:paraId="66BFB51D" w14:textId="79D6DA61" w:rsidR="009817F4" w:rsidRPr="003A51F3" w:rsidRDefault="009817F4" w:rsidP="009817F4">
            <w:pPr>
              <w:pStyle w:val="CETBodytext"/>
              <w:jc w:val="left"/>
              <w:rPr>
                <w:lang w:val="en-GB"/>
              </w:rPr>
            </w:pPr>
          </w:p>
        </w:tc>
        <w:tc>
          <w:tcPr>
            <w:tcW w:w="1276" w:type="dxa"/>
            <w:tcBorders>
              <w:top w:val="single" w:sz="4" w:space="0" w:color="008000"/>
              <w:bottom w:val="single" w:sz="6" w:space="0" w:color="008000"/>
            </w:tcBorders>
            <w:shd w:val="clear" w:color="auto" w:fill="FFFFFF"/>
          </w:tcPr>
          <w:p w14:paraId="6393FAB7" w14:textId="261539F3" w:rsidR="009817F4" w:rsidRPr="003A51F3" w:rsidRDefault="009817F4" w:rsidP="009817F4">
            <w:pPr>
              <w:pStyle w:val="CETBodytext"/>
              <w:jc w:val="left"/>
              <w:rPr>
                <w:lang w:val="en-GB"/>
              </w:rPr>
            </w:pPr>
            <w:r w:rsidRPr="003A51F3">
              <w:rPr>
                <w:lang w:val="en-GB"/>
              </w:rPr>
              <w:t>Frequency</w:t>
            </w:r>
          </w:p>
        </w:tc>
        <w:tc>
          <w:tcPr>
            <w:tcW w:w="1701" w:type="dxa"/>
            <w:tcBorders>
              <w:top w:val="single" w:sz="4" w:space="0" w:color="008000"/>
              <w:bottom w:val="single" w:sz="6" w:space="0" w:color="008000"/>
            </w:tcBorders>
            <w:shd w:val="clear" w:color="auto" w:fill="FFFFFF"/>
          </w:tcPr>
          <w:p w14:paraId="3F062EE0" w14:textId="64076E7E" w:rsidR="009817F4" w:rsidRPr="003A51F3" w:rsidRDefault="009817F4" w:rsidP="009817F4">
            <w:pPr>
              <w:pStyle w:val="CETBodytext"/>
              <w:jc w:val="left"/>
              <w:rPr>
                <w:lang w:val="en-GB"/>
              </w:rPr>
            </w:pPr>
            <w:r w:rsidRPr="003A51F3">
              <w:rPr>
                <w:lang w:val="en-GB"/>
              </w:rPr>
              <w:t>Main source</w:t>
            </w:r>
          </w:p>
        </w:tc>
        <w:tc>
          <w:tcPr>
            <w:tcW w:w="1276" w:type="dxa"/>
            <w:tcBorders>
              <w:top w:val="single" w:sz="4" w:space="0" w:color="008000"/>
              <w:bottom w:val="single" w:sz="6" w:space="0" w:color="008000"/>
            </w:tcBorders>
            <w:shd w:val="clear" w:color="auto" w:fill="FFFFFF"/>
          </w:tcPr>
          <w:p w14:paraId="6B410C88" w14:textId="45C5EB32" w:rsidR="009817F4" w:rsidRPr="003A51F3" w:rsidRDefault="009817F4" w:rsidP="009817F4">
            <w:pPr>
              <w:pStyle w:val="CETBodytext"/>
              <w:ind w:right="-1"/>
              <w:jc w:val="left"/>
              <w:rPr>
                <w:lang w:val="en-GB"/>
              </w:rPr>
            </w:pPr>
            <w:r w:rsidRPr="003A51F3">
              <w:rPr>
                <w:lang w:val="en-GB"/>
              </w:rPr>
              <w:t>Frequency</w:t>
            </w:r>
          </w:p>
        </w:tc>
        <w:tc>
          <w:tcPr>
            <w:tcW w:w="2268" w:type="dxa"/>
            <w:tcBorders>
              <w:top w:val="single" w:sz="4" w:space="0" w:color="008000"/>
              <w:bottom w:val="single" w:sz="6" w:space="0" w:color="008000"/>
            </w:tcBorders>
            <w:shd w:val="clear" w:color="auto" w:fill="FFFFFF"/>
          </w:tcPr>
          <w:p w14:paraId="398AB059" w14:textId="3234953C" w:rsidR="009817F4" w:rsidRPr="003A51F3" w:rsidRDefault="009817F4" w:rsidP="009817F4">
            <w:pPr>
              <w:pStyle w:val="CETBodytext"/>
              <w:ind w:right="-1"/>
              <w:jc w:val="left"/>
              <w:rPr>
                <w:lang w:val="en-GB"/>
              </w:rPr>
            </w:pPr>
            <w:r w:rsidRPr="003A51F3">
              <w:rPr>
                <w:lang w:val="en-GB"/>
              </w:rPr>
              <w:t>Main source</w:t>
            </w:r>
          </w:p>
        </w:tc>
      </w:tr>
      <w:tr w:rsidR="006236FD" w:rsidRPr="003A51F3" w14:paraId="2CD62FD0" w14:textId="77777777" w:rsidTr="009817F4">
        <w:tc>
          <w:tcPr>
            <w:tcW w:w="2268" w:type="dxa"/>
            <w:shd w:val="clear" w:color="auto" w:fill="FFFFFF"/>
          </w:tcPr>
          <w:p w14:paraId="15E3DD6C" w14:textId="130C319C" w:rsidR="009817F4" w:rsidRPr="003A51F3" w:rsidRDefault="009817F4" w:rsidP="009817F4">
            <w:pPr>
              <w:pStyle w:val="CETBodytext"/>
              <w:ind w:right="-1"/>
              <w:jc w:val="left"/>
              <w:rPr>
                <w:rFonts w:cs="Arial"/>
                <w:szCs w:val="18"/>
                <w:lang w:val="en-GB"/>
              </w:rPr>
            </w:pPr>
            <w:r w:rsidRPr="003A51F3">
              <w:t>Production</w:t>
            </w:r>
          </w:p>
        </w:tc>
        <w:tc>
          <w:tcPr>
            <w:tcW w:w="1276" w:type="dxa"/>
            <w:shd w:val="clear" w:color="auto" w:fill="FFFFFF"/>
          </w:tcPr>
          <w:p w14:paraId="61B2251D" w14:textId="6A0E41B5" w:rsidR="009817F4" w:rsidRPr="003A51F3" w:rsidRDefault="009817F4" w:rsidP="009817F4">
            <w:pPr>
              <w:pStyle w:val="CETBodytext"/>
              <w:ind w:right="-1"/>
              <w:jc w:val="left"/>
              <w:rPr>
                <w:rFonts w:cs="Arial"/>
                <w:szCs w:val="18"/>
                <w:lang w:val="en-GB"/>
              </w:rPr>
            </w:pPr>
            <w:r w:rsidRPr="003A51F3">
              <w:t>1.91</w:t>
            </w:r>
            <w:r w:rsidRPr="003A51F3">
              <w:rPr>
                <w:rFonts w:cs="Arial"/>
                <w:szCs w:val="18"/>
                <w:lang w:val="en-GB"/>
              </w:rPr>
              <w:t>*</w:t>
            </w:r>
            <w:r w:rsidRPr="003A51F3">
              <w:rPr>
                <w:rFonts w:cs="Arial"/>
                <w:szCs w:val="18"/>
              </w:rPr>
              <w:t>10</w:t>
            </w:r>
            <w:r w:rsidRPr="003A51F3">
              <w:rPr>
                <w:rFonts w:cs="Arial"/>
                <w:szCs w:val="18"/>
                <w:vertAlign w:val="superscript"/>
              </w:rPr>
              <w:t>-3</w:t>
            </w:r>
          </w:p>
        </w:tc>
        <w:tc>
          <w:tcPr>
            <w:tcW w:w="1701" w:type="dxa"/>
            <w:shd w:val="clear" w:color="auto" w:fill="FFFFFF"/>
          </w:tcPr>
          <w:p w14:paraId="0A46C22C" w14:textId="54727129" w:rsidR="009817F4" w:rsidRPr="003A51F3" w:rsidRDefault="009817F4" w:rsidP="009817F4">
            <w:pPr>
              <w:pStyle w:val="CETBodytext"/>
              <w:ind w:right="-1"/>
              <w:jc w:val="left"/>
              <w:rPr>
                <w:rFonts w:cs="Arial"/>
                <w:szCs w:val="18"/>
                <w:lang w:val="en-GB"/>
              </w:rPr>
            </w:pPr>
            <w:r w:rsidRPr="003A51F3">
              <w:t>Compressor</w:t>
            </w:r>
          </w:p>
        </w:tc>
        <w:tc>
          <w:tcPr>
            <w:tcW w:w="1276" w:type="dxa"/>
            <w:shd w:val="clear" w:color="auto" w:fill="FFFFFF"/>
          </w:tcPr>
          <w:p w14:paraId="5793D665" w14:textId="5FEEB9A3" w:rsidR="009817F4" w:rsidRPr="003A51F3" w:rsidRDefault="009817F4" w:rsidP="009817F4">
            <w:pPr>
              <w:pStyle w:val="CETBodytext"/>
              <w:ind w:right="-1"/>
              <w:jc w:val="left"/>
              <w:rPr>
                <w:rFonts w:cs="Arial"/>
                <w:szCs w:val="18"/>
                <w:lang w:val="en-GB"/>
              </w:rPr>
            </w:pPr>
            <w:r w:rsidRPr="003A51F3">
              <w:t>1.91</w:t>
            </w:r>
            <w:r w:rsidRPr="003A51F3">
              <w:rPr>
                <w:rFonts w:cs="Arial"/>
                <w:szCs w:val="18"/>
                <w:lang w:val="en-GB"/>
              </w:rPr>
              <w:t>*</w:t>
            </w:r>
            <w:r w:rsidRPr="003A51F3">
              <w:rPr>
                <w:rFonts w:cs="Arial"/>
                <w:szCs w:val="18"/>
              </w:rPr>
              <w:t>10</w:t>
            </w:r>
            <w:r w:rsidRPr="003A51F3">
              <w:rPr>
                <w:rFonts w:cs="Arial"/>
                <w:szCs w:val="18"/>
                <w:vertAlign w:val="superscript"/>
              </w:rPr>
              <w:t>-2</w:t>
            </w:r>
          </w:p>
        </w:tc>
        <w:tc>
          <w:tcPr>
            <w:tcW w:w="2268" w:type="dxa"/>
            <w:shd w:val="clear" w:color="auto" w:fill="FFFFFF"/>
          </w:tcPr>
          <w:p w14:paraId="5D94B44F" w14:textId="5C27E72F" w:rsidR="009817F4" w:rsidRPr="003A51F3" w:rsidRDefault="009817F4" w:rsidP="009817F4">
            <w:pPr>
              <w:pStyle w:val="CETBodytext"/>
              <w:ind w:right="-1"/>
              <w:jc w:val="left"/>
              <w:rPr>
                <w:rFonts w:cs="Arial"/>
                <w:szCs w:val="18"/>
                <w:lang w:val="en-GB"/>
              </w:rPr>
            </w:pPr>
            <w:r w:rsidRPr="003A51F3">
              <w:t>Compressor</w:t>
            </w:r>
          </w:p>
        </w:tc>
      </w:tr>
      <w:tr w:rsidR="006236FD" w:rsidRPr="003A51F3" w14:paraId="0834B572" w14:textId="77777777" w:rsidTr="009817F4">
        <w:tc>
          <w:tcPr>
            <w:tcW w:w="2268" w:type="dxa"/>
            <w:shd w:val="clear" w:color="auto" w:fill="FFFFFF"/>
          </w:tcPr>
          <w:p w14:paraId="4BE21EEA" w14:textId="01DCE220" w:rsidR="009817F4" w:rsidRPr="003A51F3" w:rsidRDefault="009817F4" w:rsidP="009817F4">
            <w:pPr>
              <w:pStyle w:val="CETBodytext"/>
              <w:ind w:right="-1"/>
              <w:jc w:val="left"/>
            </w:pPr>
            <w:r w:rsidRPr="003A51F3">
              <w:t>Transportation</w:t>
            </w:r>
          </w:p>
        </w:tc>
        <w:tc>
          <w:tcPr>
            <w:tcW w:w="1276" w:type="dxa"/>
            <w:shd w:val="clear" w:color="auto" w:fill="FFFFFF"/>
          </w:tcPr>
          <w:p w14:paraId="3CC8E288" w14:textId="27314A89" w:rsidR="009817F4" w:rsidRPr="003A51F3" w:rsidRDefault="009817F4" w:rsidP="009817F4">
            <w:pPr>
              <w:pStyle w:val="CETBodytext"/>
              <w:ind w:right="-1"/>
              <w:jc w:val="left"/>
            </w:pPr>
            <w:r w:rsidRPr="003A51F3">
              <w:t>1.10</w:t>
            </w:r>
            <w:r w:rsidRPr="003A51F3">
              <w:rPr>
                <w:rFonts w:cs="Arial"/>
                <w:szCs w:val="18"/>
                <w:lang w:val="en-GB"/>
              </w:rPr>
              <w:t>*</w:t>
            </w:r>
            <w:r w:rsidRPr="003A51F3">
              <w:rPr>
                <w:rFonts w:cs="Arial"/>
                <w:szCs w:val="18"/>
              </w:rPr>
              <w:t>10</w:t>
            </w:r>
            <w:r w:rsidRPr="003A51F3">
              <w:rPr>
                <w:rFonts w:cs="Arial"/>
                <w:szCs w:val="18"/>
                <w:vertAlign w:val="superscript"/>
              </w:rPr>
              <w:t>-5</w:t>
            </w:r>
          </w:p>
        </w:tc>
        <w:tc>
          <w:tcPr>
            <w:tcW w:w="1701" w:type="dxa"/>
            <w:shd w:val="clear" w:color="auto" w:fill="FFFFFF"/>
          </w:tcPr>
          <w:p w14:paraId="01A747FD" w14:textId="30201109" w:rsidR="009817F4" w:rsidRPr="003A51F3" w:rsidRDefault="009817F4" w:rsidP="009817F4">
            <w:pPr>
              <w:pStyle w:val="CETBodytext"/>
              <w:ind w:right="-1"/>
              <w:jc w:val="left"/>
            </w:pPr>
            <w:r w:rsidRPr="003A51F3">
              <w:t>Tube trailer</w:t>
            </w:r>
          </w:p>
        </w:tc>
        <w:tc>
          <w:tcPr>
            <w:tcW w:w="1276" w:type="dxa"/>
            <w:shd w:val="clear" w:color="auto" w:fill="FFFFFF"/>
          </w:tcPr>
          <w:p w14:paraId="09815A74" w14:textId="3F741EBE" w:rsidR="009817F4" w:rsidRPr="003A51F3" w:rsidRDefault="009817F4" w:rsidP="009817F4">
            <w:pPr>
              <w:pStyle w:val="CETBodytext"/>
              <w:ind w:right="-1"/>
              <w:jc w:val="left"/>
              <w:rPr>
                <w:rFonts w:cs="Arial"/>
                <w:szCs w:val="18"/>
                <w:lang w:val="en-GB"/>
              </w:rPr>
            </w:pPr>
            <w:r w:rsidRPr="003A51F3">
              <w:t>2.50</w:t>
            </w:r>
            <w:r w:rsidRPr="003A51F3">
              <w:rPr>
                <w:rFonts w:cs="Arial"/>
                <w:szCs w:val="18"/>
                <w:lang w:val="en-GB"/>
              </w:rPr>
              <w:t>*</w:t>
            </w:r>
            <w:r w:rsidRPr="003A51F3">
              <w:rPr>
                <w:rFonts w:cs="Arial"/>
                <w:szCs w:val="18"/>
              </w:rPr>
              <w:t>10</w:t>
            </w:r>
            <w:r w:rsidRPr="003A51F3">
              <w:rPr>
                <w:rFonts w:cs="Arial"/>
                <w:szCs w:val="18"/>
                <w:vertAlign w:val="superscript"/>
              </w:rPr>
              <w:t>-4</w:t>
            </w:r>
          </w:p>
        </w:tc>
        <w:tc>
          <w:tcPr>
            <w:tcW w:w="2268" w:type="dxa"/>
            <w:shd w:val="clear" w:color="auto" w:fill="FFFFFF"/>
          </w:tcPr>
          <w:p w14:paraId="4277C7B1" w14:textId="2DA019B4" w:rsidR="009817F4" w:rsidRPr="003A51F3" w:rsidRDefault="009817F4" w:rsidP="009817F4">
            <w:pPr>
              <w:pStyle w:val="CETBodytext"/>
              <w:ind w:right="-1"/>
              <w:jc w:val="left"/>
              <w:rPr>
                <w:rFonts w:cs="Arial"/>
                <w:szCs w:val="18"/>
              </w:rPr>
            </w:pPr>
            <w:r w:rsidRPr="003A51F3">
              <w:t>Tube trailer</w:t>
            </w:r>
          </w:p>
        </w:tc>
      </w:tr>
      <w:tr w:rsidR="006236FD" w:rsidRPr="003A51F3" w14:paraId="3867EB25" w14:textId="77777777" w:rsidTr="009817F4">
        <w:tc>
          <w:tcPr>
            <w:tcW w:w="2268" w:type="dxa"/>
            <w:shd w:val="clear" w:color="auto" w:fill="FFFFFF"/>
          </w:tcPr>
          <w:p w14:paraId="1D915574" w14:textId="7206C755" w:rsidR="009817F4" w:rsidRPr="003A51F3" w:rsidRDefault="009817F4" w:rsidP="009817F4">
            <w:pPr>
              <w:pStyle w:val="CETBodytext"/>
              <w:ind w:right="-1"/>
              <w:jc w:val="left"/>
            </w:pPr>
            <w:r w:rsidRPr="003A51F3">
              <w:t>Storage</w:t>
            </w:r>
          </w:p>
        </w:tc>
        <w:tc>
          <w:tcPr>
            <w:tcW w:w="1276" w:type="dxa"/>
            <w:shd w:val="clear" w:color="auto" w:fill="FFFFFF"/>
          </w:tcPr>
          <w:p w14:paraId="6B88145D" w14:textId="50F3950D" w:rsidR="009817F4" w:rsidRPr="003A51F3" w:rsidRDefault="009817F4" w:rsidP="009817F4">
            <w:pPr>
              <w:pStyle w:val="CETBodytext"/>
              <w:ind w:right="-1"/>
              <w:jc w:val="left"/>
            </w:pPr>
            <w:r w:rsidRPr="003A51F3">
              <w:t>1.90</w:t>
            </w:r>
            <w:r w:rsidRPr="003A51F3">
              <w:rPr>
                <w:rFonts w:cs="Arial"/>
                <w:szCs w:val="18"/>
                <w:lang w:val="en-GB"/>
              </w:rPr>
              <w:t>*</w:t>
            </w:r>
            <w:r w:rsidRPr="003A51F3">
              <w:rPr>
                <w:rFonts w:cs="Arial"/>
                <w:szCs w:val="18"/>
              </w:rPr>
              <w:t>10</w:t>
            </w:r>
            <w:r w:rsidRPr="003A51F3">
              <w:rPr>
                <w:rFonts w:cs="Arial"/>
                <w:szCs w:val="18"/>
                <w:vertAlign w:val="superscript"/>
              </w:rPr>
              <w:t>-3</w:t>
            </w:r>
          </w:p>
        </w:tc>
        <w:tc>
          <w:tcPr>
            <w:tcW w:w="1701" w:type="dxa"/>
            <w:shd w:val="clear" w:color="auto" w:fill="FFFFFF"/>
          </w:tcPr>
          <w:p w14:paraId="5E82153A" w14:textId="46F9DC46" w:rsidR="009817F4" w:rsidRPr="003A51F3" w:rsidRDefault="009817F4" w:rsidP="009817F4">
            <w:pPr>
              <w:pStyle w:val="CETBodytext"/>
              <w:ind w:right="-1"/>
              <w:jc w:val="left"/>
            </w:pPr>
            <w:r w:rsidRPr="003A51F3">
              <w:t>Compressor</w:t>
            </w:r>
          </w:p>
        </w:tc>
        <w:tc>
          <w:tcPr>
            <w:tcW w:w="1276" w:type="dxa"/>
            <w:shd w:val="clear" w:color="auto" w:fill="FFFFFF"/>
          </w:tcPr>
          <w:p w14:paraId="3F7547C8" w14:textId="7E393B06" w:rsidR="009817F4" w:rsidRPr="003A51F3" w:rsidRDefault="009817F4" w:rsidP="009817F4">
            <w:pPr>
              <w:pStyle w:val="CETBodytext"/>
              <w:ind w:right="-1"/>
              <w:jc w:val="left"/>
              <w:rPr>
                <w:rFonts w:cs="Arial"/>
                <w:szCs w:val="18"/>
                <w:lang w:val="en-GB"/>
              </w:rPr>
            </w:pPr>
            <w:r w:rsidRPr="003A51F3">
              <w:t>1.91</w:t>
            </w:r>
            <w:r w:rsidRPr="003A51F3">
              <w:rPr>
                <w:rFonts w:cs="Arial"/>
                <w:szCs w:val="18"/>
                <w:lang w:val="en-GB"/>
              </w:rPr>
              <w:t>*</w:t>
            </w:r>
            <w:r w:rsidRPr="003A51F3">
              <w:rPr>
                <w:rFonts w:cs="Arial"/>
                <w:szCs w:val="18"/>
              </w:rPr>
              <w:t>10</w:t>
            </w:r>
            <w:r w:rsidRPr="003A51F3">
              <w:rPr>
                <w:rFonts w:cs="Arial"/>
                <w:szCs w:val="18"/>
                <w:vertAlign w:val="superscript"/>
              </w:rPr>
              <w:t>-2</w:t>
            </w:r>
          </w:p>
        </w:tc>
        <w:tc>
          <w:tcPr>
            <w:tcW w:w="2268" w:type="dxa"/>
            <w:shd w:val="clear" w:color="auto" w:fill="FFFFFF"/>
          </w:tcPr>
          <w:p w14:paraId="114FAB36" w14:textId="3CBCBAC5" w:rsidR="009817F4" w:rsidRPr="003A51F3" w:rsidRDefault="009817F4" w:rsidP="009817F4">
            <w:pPr>
              <w:pStyle w:val="CETBodytext"/>
              <w:ind w:right="-1"/>
              <w:jc w:val="left"/>
              <w:rPr>
                <w:rFonts w:cs="Arial"/>
                <w:szCs w:val="18"/>
              </w:rPr>
            </w:pPr>
            <w:r w:rsidRPr="003A51F3">
              <w:t>Compressor</w:t>
            </w:r>
          </w:p>
        </w:tc>
      </w:tr>
      <w:tr w:rsidR="006236FD" w:rsidRPr="003A51F3" w14:paraId="7253BA88" w14:textId="77777777" w:rsidTr="009817F4">
        <w:tc>
          <w:tcPr>
            <w:tcW w:w="2268" w:type="dxa"/>
            <w:shd w:val="clear" w:color="auto" w:fill="FFFFFF"/>
          </w:tcPr>
          <w:p w14:paraId="05B4AA95" w14:textId="2F55DBFA" w:rsidR="009817F4" w:rsidRPr="003A51F3" w:rsidRDefault="009817F4" w:rsidP="009817F4">
            <w:pPr>
              <w:pStyle w:val="CETBodytext"/>
              <w:ind w:right="-1"/>
              <w:jc w:val="left"/>
            </w:pPr>
            <w:r w:rsidRPr="003A51F3">
              <w:t>Dispensing</w:t>
            </w:r>
          </w:p>
        </w:tc>
        <w:tc>
          <w:tcPr>
            <w:tcW w:w="1276" w:type="dxa"/>
            <w:shd w:val="clear" w:color="auto" w:fill="FFFFFF"/>
          </w:tcPr>
          <w:p w14:paraId="7F00DC2F" w14:textId="2BA06BF6" w:rsidR="009817F4" w:rsidRPr="003A51F3" w:rsidRDefault="009817F4" w:rsidP="009817F4">
            <w:pPr>
              <w:pStyle w:val="CETBodytext"/>
              <w:ind w:right="-1"/>
              <w:jc w:val="left"/>
            </w:pPr>
            <w:r w:rsidRPr="003A51F3">
              <w:t>1.00</w:t>
            </w:r>
            <w:r w:rsidRPr="003A51F3">
              <w:rPr>
                <w:rFonts w:cs="Arial"/>
                <w:szCs w:val="18"/>
                <w:lang w:val="en-GB"/>
              </w:rPr>
              <w:t>*</w:t>
            </w:r>
            <w:r w:rsidRPr="003A51F3">
              <w:rPr>
                <w:rFonts w:cs="Arial"/>
                <w:szCs w:val="18"/>
              </w:rPr>
              <w:t>10</w:t>
            </w:r>
            <w:r w:rsidRPr="003A51F3">
              <w:rPr>
                <w:rFonts w:cs="Arial"/>
                <w:szCs w:val="18"/>
                <w:vertAlign w:val="superscript"/>
              </w:rPr>
              <w:t>-5</w:t>
            </w:r>
          </w:p>
        </w:tc>
        <w:tc>
          <w:tcPr>
            <w:tcW w:w="1701" w:type="dxa"/>
            <w:shd w:val="clear" w:color="auto" w:fill="FFFFFF"/>
          </w:tcPr>
          <w:p w14:paraId="5F0BF0E8" w14:textId="657692CC" w:rsidR="009817F4" w:rsidRPr="003A51F3" w:rsidRDefault="009817F4" w:rsidP="009817F4">
            <w:pPr>
              <w:pStyle w:val="CETBodytext"/>
              <w:ind w:right="-1"/>
              <w:jc w:val="left"/>
            </w:pPr>
            <w:r w:rsidRPr="003A51F3">
              <w:t>Dispenser</w:t>
            </w:r>
          </w:p>
        </w:tc>
        <w:tc>
          <w:tcPr>
            <w:tcW w:w="1276" w:type="dxa"/>
            <w:shd w:val="clear" w:color="auto" w:fill="FFFFFF"/>
          </w:tcPr>
          <w:p w14:paraId="6825DB9B" w14:textId="6E846215" w:rsidR="009817F4" w:rsidRPr="003A51F3" w:rsidRDefault="009817F4" w:rsidP="009817F4">
            <w:pPr>
              <w:pStyle w:val="CETBodytext"/>
              <w:ind w:right="-1"/>
              <w:jc w:val="left"/>
              <w:rPr>
                <w:rFonts w:cs="Arial"/>
                <w:szCs w:val="18"/>
                <w:lang w:val="en-GB"/>
              </w:rPr>
            </w:pPr>
            <w:r w:rsidRPr="003A51F3">
              <w:t>1.50</w:t>
            </w:r>
            <w:r w:rsidRPr="003A51F3">
              <w:rPr>
                <w:rFonts w:cs="Arial"/>
                <w:szCs w:val="18"/>
                <w:lang w:val="en-GB"/>
              </w:rPr>
              <w:t>*</w:t>
            </w:r>
            <w:r w:rsidRPr="003A51F3">
              <w:rPr>
                <w:rFonts w:cs="Arial"/>
                <w:szCs w:val="18"/>
              </w:rPr>
              <w:t>10</w:t>
            </w:r>
            <w:r w:rsidRPr="003A51F3">
              <w:rPr>
                <w:rFonts w:cs="Arial"/>
                <w:szCs w:val="18"/>
                <w:vertAlign w:val="superscript"/>
              </w:rPr>
              <w:t>-5</w:t>
            </w:r>
          </w:p>
        </w:tc>
        <w:tc>
          <w:tcPr>
            <w:tcW w:w="2268" w:type="dxa"/>
            <w:shd w:val="clear" w:color="auto" w:fill="FFFFFF"/>
          </w:tcPr>
          <w:p w14:paraId="0F66B5A8" w14:textId="12EEA113" w:rsidR="009817F4" w:rsidRPr="003A51F3" w:rsidRDefault="009817F4" w:rsidP="009817F4">
            <w:pPr>
              <w:pStyle w:val="CETBodytext"/>
              <w:ind w:right="-1"/>
              <w:jc w:val="left"/>
              <w:rPr>
                <w:rFonts w:cs="Arial"/>
                <w:szCs w:val="18"/>
              </w:rPr>
            </w:pPr>
            <w:r w:rsidRPr="003A51F3">
              <w:t>Pipe between storage vessels to dispensers</w:t>
            </w:r>
          </w:p>
        </w:tc>
      </w:tr>
    </w:tbl>
    <w:p w14:paraId="4CAA7482" w14:textId="5DD60355" w:rsidR="00505430" w:rsidRPr="003A51F3" w:rsidRDefault="006236FD" w:rsidP="000D6C17">
      <w:pPr>
        <w:pStyle w:val="CETListbullets"/>
        <w:spacing w:before="240"/>
        <w:ind w:left="0" w:firstLine="0"/>
      </w:pPr>
      <w:r w:rsidRPr="003A51F3">
        <w:t>From a realistic point of view</w:t>
      </w:r>
      <w:r w:rsidR="00505430" w:rsidRPr="003A51F3">
        <w:t xml:space="preserve">, not all failures necessarily result in </w:t>
      </w:r>
      <w:r w:rsidR="00EC4030">
        <w:t>accidents</w:t>
      </w:r>
      <w:r w:rsidR="00505430" w:rsidRPr="003A51F3">
        <w:t xml:space="preserve">. Another </w:t>
      </w:r>
      <w:r w:rsidRPr="003A51F3">
        <w:t>necessary</w:t>
      </w:r>
      <w:r w:rsidR="00505430" w:rsidRPr="003A51F3">
        <w:t xml:space="preserve"> risk factor is ignition, whether it is immediate ignition or delayed ignition. The former may cause a jet fire, while the latter may result in the release of flammable gas </w:t>
      </w:r>
      <w:r w:rsidR="008D7CFC" w:rsidRPr="003A51F3">
        <w:t>accumulating</w:t>
      </w:r>
      <w:r w:rsidR="00505430" w:rsidRPr="003A51F3">
        <w:t xml:space="preserve"> to an explosive concentration, leading to a flash fire or even an explosion. Based on </w:t>
      </w:r>
      <w:r w:rsidRPr="003A51F3">
        <w:t>the event trees depicted in Figure 4</w:t>
      </w:r>
      <w:r w:rsidR="00EA2D7C">
        <w:t xml:space="preserve"> </w:t>
      </w:r>
      <w:r w:rsidR="00EA2D7C" w:rsidRPr="009F7EC3">
        <w:t>(Pan et al., 2016)</w:t>
      </w:r>
      <w:r w:rsidRPr="003A51F3">
        <w:t xml:space="preserve">, </w:t>
      </w:r>
      <w:r w:rsidR="00505430" w:rsidRPr="003A51F3">
        <w:t>the</w:t>
      </w:r>
      <w:r w:rsidRPr="003A51F3">
        <w:t xml:space="preserve"> empirical</w:t>
      </w:r>
      <w:r w:rsidR="00505430" w:rsidRPr="003A51F3">
        <w:t xml:space="preserve"> risk </w:t>
      </w:r>
      <w:r w:rsidRPr="003A51F3">
        <w:t>probabili</w:t>
      </w:r>
      <w:r w:rsidR="008D7CFC" w:rsidRPr="003A51F3">
        <w:t>ties</w:t>
      </w:r>
      <w:r w:rsidRPr="003A51F3">
        <w:t xml:space="preserve"> of the four operational proces</w:t>
      </w:r>
      <w:r w:rsidR="008D7CFC" w:rsidRPr="003A51F3">
        <w:t>se</w:t>
      </w:r>
      <w:r w:rsidRPr="003A51F3">
        <w:t xml:space="preserve">s </w:t>
      </w:r>
      <w:r w:rsidR="00505430" w:rsidRPr="003A51F3">
        <w:t xml:space="preserve">are </w:t>
      </w:r>
      <w:r w:rsidRPr="003A51F3">
        <w:t>shown in Table 4</w:t>
      </w:r>
      <w:r w:rsidR="00505430" w:rsidRPr="003A51F3">
        <w:t>.</w:t>
      </w:r>
    </w:p>
    <w:p w14:paraId="5664415A" w14:textId="3BA77C00" w:rsidR="003E4CC3" w:rsidRPr="003A51F3" w:rsidRDefault="000C76CA" w:rsidP="000C76CA">
      <w:pPr>
        <w:pStyle w:val="CETListbullets"/>
        <w:spacing w:before="240"/>
        <w:ind w:left="0" w:firstLine="0"/>
      </w:pPr>
      <w:r w:rsidRPr="003A51F3">
        <w:rPr>
          <w:noProof/>
        </w:rPr>
        <w:drawing>
          <wp:inline distT="0" distB="0" distL="0" distR="0" wp14:anchorId="3E6FE33D" wp14:editId="472041F0">
            <wp:extent cx="5579745" cy="1254760"/>
            <wp:effectExtent l="0" t="0" r="1905" b="2540"/>
            <wp:docPr id="2050877192"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877192" name="Picture 1"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9745" cy="1254760"/>
                    </a:xfrm>
                    <a:prstGeom prst="rect">
                      <a:avLst/>
                    </a:prstGeom>
                    <a:noFill/>
                    <a:ln>
                      <a:noFill/>
                    </a:ln>
                  </pic:spPr>
                </pic:pic>
              </a:graphicData>
            </a:graphic>
          </wp:inline>
        </w:drawing>
      </w:r>
    </w:p>
    <w:p w14:paraId="64D95210" w14:textId="7EA100B4" w:rsidR="00F204A7" w:rsidRPr="003A51F3" w:rsidRDefault="00F204A7" w:rsidP="00F204A7">
      <w:pPr>
        <w:pStyle w:val="CETCaption"/>
        <w:rPr>
          <w:rStyle w:val="CETCaptionCarattere"/>
          <w:i/>
        </w:rPr>
      </w:pPr>
      <w:r w:rsidRPr="003A51F3">
        <w:rPr>
          <w:rStyle w:val="CETCaptionCarattere"/>
          <w:i/>
        </w:rPr>
        <w:t xml:space="preserve">Figure 4: </w:t>
      </w:r>
      <w:r w:rsidR="00BE1B55">
        <w:rPr>
          <w:rStyle w:val="CETCaptionCarattere"/>
          <w:i/>
        </w:rPr>
        <w:t>Event</w:t>
      </w:r>
      <w:r w:rsidR="00701B38" w:rsidRPr="003A51F3">
        <w:rPr>
          <w:rStyle w:val="CETCaptionCarattere"/>
          <w:i/>
        </w:rPr>
        <w:t xml:space="preserve"> trees </w:t>
      </w:r>
      <w:r w:rsidR="00BE1B55">
        <w:rPr>
          <w:rStyle w:val="CETCaptionCarattere"/>
          <w:i/>
        </w:rPr>
        <w:t>of</w:t>
      </w:r>
      <w:r w:rsidR="00701B38" w:rsidRPr="003A51F3">
        <w:rPr>
          <w:rStyle w:val="CETCaptionCarattere"/>
          <w:i/>
        </w:rPr>
        <w:t xml:space="preserve"> rupture and leakage failure</w:t>
      </w:r>
    </w:p>
    <w:p w14:paraId="719108F3" w14:textId="4F6486CB" w:rsidR="003E4CC3" w:rsidRPr="003A51F3" w:rsidRDefault="003E4CC3" w:rsidP="003E4CC3">
      <w:pPr>
        <w:pStyle w:val="CETTabletitle"/>
      </w:pPr>
      <w:r w:rsidRPr="003A51F3">
        <w:lastRenderedPageBreak/>
        <w:t xml:space="preserve">Table </w:t>
      </w:r>
      <w:r w:rsidR="00F204A7" w:rsidRPr="003A51F3">
        <w:t>4</w:t>
      </w:r>
      <w:r w:rsidRPr="003A51F3">
        <w:t xml:space="preserve">: </w:t>
      </w:r>
      <w:r w:rsidR="00F204A7" w:rsidRPr="003A51F3">
        <w:t>Estimated</w:t>
      </w:r>
      <w:r w:rsidRPr="003A51F3">
        <w:t xml:space="preserve"> </w:t>
      </w:r>
      <w:r w:rsidR="00B82509">
        <w:t>accident scenario</w:t>
      </w:r>
      <w:r w:rsidR="00B82509" w:rsidRPr="003A51F3">
        <w:t xml:space="preserve"> </w:t>
      </w:r>
      <w:r w:rsidRPr="003A51F3">
        <w:t xml:space="preserve">probabilities </w:t>
      </w:r>
      <w:r w:rsidR="00B82509">
        <w:t>for each</w:t>
      </w:r>
      <w:r w:rsidR="00B82509" w:rsidRPr="003A51F3">
        <w:t xml:space="preserve"> </w:t>
      </w:r>
      <w:r w:rsidRPr="003A51F3">
        <w:t>operational process</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683"/>
        <w:gridCol w:w="1293"/>
        <w:gridCol w:w="1276"/>
        <w:gridCol w:w="1134"/>
        <w:gridCol w:w="1135"/>
        <w:gridCol w:w="1132"/>
        <w:gridCol w:w="1134"/>
      </w:tblGrid>
      <w:tr w:rsidR="006236FD" w:rsidRPr="003A51F3" w14:paraId="4BD02580" w14:textId="6977731F" w:rsidTr="003E4CC3">
        <w:tc>
          <w:tcPr>
            <w:tcW w:w="958" w:type="pct"/>
            <w:vMerge w:val="restart"/>
            <w:tcBorders>
              <w:top w:val="single" w:sz="12" w:space="0" w:color="008000"/>
            </w:tcBorders>
            <w:shd w:val="clear" w:color="auto" w:fill="FFFFFF"/>
          </w:tcPr>
          <w:p w14:paraId="47CE275E" w14:textId="4DFA0482" w:rsidR="003E4CC3" w:rsidRPr="003A51F3" w:rsidRDefault="003E4CC3" w:rsidP="003E4CC3">
            <w:pPr>
              <w:pStyle w:val="CETBodytext"/>
              <w:ind w:right="-1"/>
              <w:jc w:val="left"/>
            </w:pPr>
            <w:r w:rsidRPr="003A51F3">
              <w:t>Operational process</w:t>
            </w:r>
          </w:p>
        </w:tc>
        <w:tc>
          <w:tcPr>
            <w:tcW w:w="1462" w:type="pct"/>
            <w:gridSpan w:val="2"/>
            <w:tcBorders>
              <w:top w:val="single" w:sz="12" w:space="0" w:color="008000"/>
              <w:bottom w:val="single" w:sz="4" w:space="0" w:color="008000"/>
            </w:tcBorders>
            <w:shd w:val="clear" w:color="auto" w:fill="FFFFFF"/>
          </w:tcPr>
          <w:p w14:paraId="1DC7487C" w14:textId="6756AAFD" w:rsidR="003E4CC3" w:rsidRPr="003A51F3" w:rsidRDefault="003E4CC3" w:rsidP="003E4CC3">
            <w:pPr>
              <w:pStyle w:val="CETBodytext"/>
              <w:ind w:right="-1"/>
              <w:jc w:val="left"/>
            </w:pPr>
            <w:r w:rsidRPr="003A51F3">
              <w:t>Caused by catastrophic failure</w:t>
            </w:r>
          </w:p>
        </w:tc>
        <w:tc>
          <w:tcPr>
            <w:tcW w:w="1291" w:type="pct"/>
            <w:gridSpan w:val="2"/>
            <w:tcBorders>
              <w:top w:val="single" w:sz="12" w:space="0" w:color="008000"/>
              <w:bottom w:val="single" w:sz="4" w:space="0" w:color="008000"/>
            </w:tcBorders>
            <w:shd w:val="clear" w:color="auto" w:fill="FFFFFF"/>
          </w:tcPr>
          <w:p w14:paraId="55B6405D" w14:textId="12660A37" w:rsidR="003E4CC3" w:rsidRPr="003A51F3" w:rsidRDefault="003E4CC3" w:rsidP="003E4CC3">
            <w:pPr>
              <w:pStyle w:val="CETBodytext"/>
              <w:ind w:right="-1"/>
              <w:jc w:val="left"/>
            </w:pPr>
            <w:r w:rsidRPr="003A51F3">
              <w:t>Caused by minor failure</w:t>
            </w:r>
          </w:p>
        </w:tc>
        <w:tc>
          <w:tcPr>
            <w:tcW w:w="1289" w:type="pct"/>
            <w:gridSpan w:val="2"/>
            <w:tcBorders>
              <w:top w:val="single" w:sz="12" w:space="0" w:color="008000"/>
              <w:bottom w:val="single" w:sz="4" w:space="0" w:color="008000"/>
            </w:tcBorders>
            <w:shd w:val="clear" w:color="auto" w:fill="FFFFFF"/>
          </w:tcPr>
          <w:p w14:paraId="57184C8B" w14:textId="6F08CE07" w:rsidR="003E4CC3" w:rsidRPr="003A51F3" w:rsidRDefault="003E4CC3" w:rsidP="003E4CC3">
            <w:pPr>
              <w:pStyle w:val="CETBodytext"/>
              <w:ind w:right="-1"/>
              <w:jc w:val="left"/>
            </w:pPr>
            <w:r w:rsidRPr="003A51F3">
              <w:t>Total</w:t>
            </w:r>
          </w:p>
        </w:tc>
      </w:tr>
      <w:tr w:rsidR="006236FD" w:rsidRPr="003A51F3" w14:paraId="340A3B8B" w14:textId="77777777" w:rsidTr="003E4CC3">
        <w:tc>
          <w:tcPr>
            <w:tcW w:w="958" w:type="pct"/>
            <w:vMerge/>
            <w:tcBorders>
              <w:bottom w:val="single" w:sz="6" w:space="0" w:color="008000"/>
            </w:tcBorders>
            <w:shd w:val="clear" w:color="auto" w:fill="FFFFFF"/>
          </w:tcPr>
          <w:p w14:paraId="3BF26596" w14:textId="77777777" w:rsidR="003E4CC3" w:rsidRPr="003A51F3" w:rsidRDefault="003E4CC3" w:rsidP="003E4CC3">
            <w:pPr>
              <w:pStyle w:val="CETBodytext"/>
              <w:ind w:right="-1"/>
              <w:jc w:val="left"/>
            </w:pPr>
          </w:p>
        </w:tc>
        <w:tc>
          <w:tcPr>
            <w:tcW w:w="736" w:type="pct"/>
            <w:tcBorders>
              <w:top w:val="single" w:sz="4" w:space="0" w:color="008000"/>
              <w:bottom w:val="single" w:sz="6" w:space="0" w:color="008000"/>
            </w:tcBorders>
            <w:shd w:val="clear" w:color="auto" w:fill="FFFFFF"/>
          </w:tcPr>
          <w:p w14:paraId="5D2FFF8F" w14:textId="7A05AC0A" w:rsidR="003E4CC3" w:rsidRPr="003A51F3" w:rsidRDefault="003E4CC3" w:rsidP="003E4CC3">
            <w:pPr>
              <w:pStyle w:val="CETBodytext"/>
              <w:ind w:right="-1"/>
              <w:jc w:val="left"/>
            </w:pPr>
            <w:r w:rsidRPr="003A51F3">
              <w:t>Jet fire</w:t>
            </w:r>
          </w:p>
        </w:tc>
        <w:tc>
          <w:tcPr>
            <w:tcW w:w="726" w:type="pct"/>
            <w:tcBorders>
              <w:top w:val="single" w:sz="4" w:space="0" w:color="008000"/>
              <w:bottom w:val="single" w:sz="6" w:space="0" w:color="008000"/>
            </w:tcBorders>
            <w:shd w:val="clear" w:color="auto" w:fill="FFFFFF"/>
          </w:tcPr>
          <w:p w14:paraId="156C0983" w14:textId="46A600A1" w:rsidR="003E4CC3" w:rsidRPr="003A51F3" w:rsidRDefault="003E4CC3" w:rsidP="003E4CC3">
            <w:pPr>
              <w:pStyle w:val="CETBodytext"/>
              <w:ind w:right="-1"/>
              <w:jc w:val="left"/>
            </w:pPr>
            <w:r w:rsidRPr="003A51F3">
              <w:t>Flash fire or explosion</w:t>
            </w:r>
          </w:p>
        </w:tc>
        <w:tc>
          <w:tcPr>
            <w:tcW w:w="645" w:type="pct"/>
            <w:tcBorders>
              <w:top w:val="single" w:sz="4" w:space="0" w:color="008000"/>
              <w:bottom w:val="single" w:sz="6" w:space="0" w:color="008000"/>
            </w:tcBorders>
            <w:shd w:val="clear" w:color="auto" w:fill="FFFFFF"/>
          </w:tcPr>
          <w:p w14:paraId="6CB5A407" w14:textId="69730A36" w:rsidR="003E4CC3" w:rsidRPr="003A51F3" w:rsidRDefault="003E4CC3" w:rsidP="003E4CC3">
            <w:pPr>
              <w:pStyle w:val="CETBodytext"/>
              <w:ind w:right="-1"/>
              <w:jc w:val="left"/>
            </w:pPr>
            <w:r w:rsidRPr="003A51F3">
              <w:t>Jet fire</w:t>
            </w:r>
          </w:p>
        </w:tc>
        <w:tc>
          <w:tcPr>
            <w:tcW w:w="646" w:type="pct"/>
            <w:tcBorders>
              <w:top w:val="single" w:sz="4" w:space="0" w:color="008000"/>
              <w:bottom w:val="single" w:sz="6" w:space="0" w:color="008000"/>
            </w:tcBorders>
            <w:shd w:val="clear" w:color="auto" w:fill="FFFFFF"/>
          </w:tcPr>
          <w:p w14:paraId="0F629EA7" w14:textId="7D5B9EC4" w:rsidR="003E4CC3" w:rsidRPr="003A51F3" w:rsidRDefault="003E4CC3" w:rsidP="003E4CC3">
            <w:pPr>
              <w:pStyle w:val="CETBodytext"/>
              <w:ind w:right="-1"/>
              <w:jc w:val="left"/>
            </w:pPr>
            <w:r w:rsidRPr="003A51F3">
              <w:t>Flash fire or explosion</w:t>
            </w:r>
          </w:p>
        </w:tc>
        <w:tc>
          <w:tcPr>
            <w:tcW w:w="644" w:type="pct"/>
            <w:tcBorders>
              <w:top w:val="single" w:sz="4" w:space="0" w:color="008000"/>
              <w:bottom w:val="single" w:sz="6" w:space="0" w:color="008000"/>
            </w:tcBorders>
            <w:shd w:val="clear" w:color="auto" w:fill="FFFFFF"/>
          </w:tcPr>
          <w:p w14:paraId="556D14C1" w14:textId="3EE6CDA6" w:rsidR="003E4CC3" w:rsidRPr="003A51F3" w:rsidRDefault="003E4CC3" w:rsidP="003E4CC3">
            <w:pPr>
              <w:pStyle w:val="CETBodytext"/>
              <w:ind w:right="-1"/>
              <w:jc w:val="left"/>
            </w:pPr>
            <w:r w:rsidRPr="003A51F3">
              <w:t>Jet fire</w:t>
            </w:r>
          </w:p>
        </w:tc>
        <w:tc>
          <w:tcPr>
            <w:tcW w:w="645" w:type="pct"/>
            <w:tcBorders>
              <w:top w:val="single" w:sz="4" w:space="0" w:color="008000"/>
              <w:bottom w:val="single" w:sz="6" w:space="0" w:color="008000"/>
            </w:tcBorders>
            <w:shd w:val="clear" w:color="auto" w:fill="FFFFFF"/>
          </w:tcPr>
          <w:p w14:paraId="54C210C5" w14:textId="376C2A4E" w:rsidR="003E4CC3" w:rsidRPr="003A51F3" w:rsidRDefault="003E4CC3" w:rsidP="003E4CC3">
            <w:pPr>
              <w:pStyle w:val="CETBodytext"/>
              <w:ind w:right="-1"/>
              <w:jc w:val="left"/>
            </w:pPr>
            <w:r w:rsidRPr="003A51F3">
              <w:t>Flash fire or explosion</w:t>
            </w:r>
          </w:p>
        </w:tc>
      </w:tr>
      <w:tr w:rsidR="006236FD" w:rsidRPr="003A51F3" w14:paraId="0F9D3986" w14:textId="77777777" w:rsidTr="003E4CC3">
        <w:tc>
          <w:tcPr>
            <w:tcW w:w="958" w:type="pct"/>
            <w:shd w:val="clear" w:color="auto" w:fill="FFFFFF"/>
          </w:tcPr>
          <w:p w14:paraId="01E2989E" w14:textId="046319BA" w:rsidR="003E4CC3" w:rsidRPr="003A51F3" w:rsidRDefault="003E4CC3" w:rsidP="003E4CC3">
            <w:pPr>
              <w:pStyle w:val="CETBodytext"/>
              <w:ind w:right="-1"/>
              <w:jc w:val="left"/>
            </w:pPr>
            <w:r w:rsidRPr="003A51F3">
              <w:t>Production</w:t>
            </w:r>
          </w:p>
        </w:tc>
        <w:tc>
          <w:tcPr>
            <w:tcW w:w="736" w:type="pct"/>
            <w:shd w:val="clear" w:color="auto" w:fill="FFFFFF"/>
          </w:tcPr>
          <w:p w14:paraId="6D058803" w14:textId="56A368F1" w:rsidR="003E4CC3" w:rsidRPr="003A51F3" w:rsidRDefault="003E4CC3" w:rsidP="003E4CC3">
            <w:pPr>
              <w:pStyle w:val="CETBodytext"/>
              <w:ind w:right="-1"/>
              <w:jc w:val="left"/>
            </w:pPr>
            <w:r w:rsidRPr="003A51F3">
              <w:t>4.38</w:t>
            </w:r>
            <w:r w:rsidRPr="003A51F3">
              <w:rPr>
                <w:rFonts w:cs="Arial"/>
                <w:szCs w:val="18"/>
                <w:lang w:val="en-GB"/>
              </w:rPr>
              <w:t>*</w:t>
            </w:r>
            <w:r w:rsidRPr="003A51F3">
              <w:rPr>
                <w:rFonts w:cs="Arial"/>
                <w:szCs w:val="18"/>
              </w:rPr>
              <w:t>10</w:t>
            </w:r>
            <w:r w:rsidRPr="003A51F3">
              <w:rPr>
                <w:rFonts w:cs="Arial"/>
                <w:szCs w:val="18"/>
                <w:vertAlign w:val="superscript"/>
              </w:rPr>
              <w:t>-4</w:t>
            </w:r>
          </w:p>
        </w:tc>
        <w:tc>
          <w:tcPr>
            <w:tcW w:w="726" w:type="pct"/>
            <w:shd w:val="clear" w:color="auto" w:fill="FFFFFF"/>
          </w:tcPr>
          <w:p w14:paraId="083FD827" w14:textId="54E52749" w:rsidR="003E4CC3" w:rsidRPr="003A51F3" w:rsidRDefault="003E4CC3" w:rsidP="003E4CC3">
            <w:pPr>
              <w:pStyle w:val="CETBodytext"/>
              <w:ind w:right="-1"/>
              <w:jc w:val="left"/>
            </w:pPr>
            <w:r w:rsidRPr="003A51F3">
              <w:t>8.80</w:t>
            </w:r>
            <w:r w:rsidRPr="003A51F3">
              <w:rPr>
                <w:rFonts w:cs="Arial"/>
                <w:szCs w:val="18"/>
                <w:lang w:val="en-GB"/>
              </w:rPr>
              <w:t>*</w:t>
            </w:r>
            <w:r w:rsidRPr="003A51F3">
              <w:rPr>
                <w:rFonts w:cs="Arial"/>
                <w:szCs w:val="18"/>
              </w:rPr>
              <w:t>10</w:t>
            </w:r>
            <w:r w:rsidRPr="003A51F3">
              <w:rPr>
                <w:rFonts w:cs="Arial"/>
                <w:szCs w:val="18"/>
                <w:vertAlign w:val="superscript"/>
              </w:rPr>
              <w:t>-5</w:t>
            </w:r>
          </w:p>
        </w:tc>
        <w:tc>
          <w:tcPr>
            <w:tcW w:w="645" w:type="pct"/>
            <w:shd w:val="clear" w:color="auto" w:fill="FFFFFF"/>
          </w:tcPr>
          <w:p w14:paraId="1453FA5B" w14:textId="3BEA9EB6" w:rsidR="003E4CC3" w:rsidRPr="003A51F3" w:rsidRDefault="003E4CC3" w:rsidP="003E4CC3">
            <w:pPr>
              <w:pStyle w:val="CETBodytext"/>
              <w:ind w:right="-1"/>
              <w:jc w:val="left"/>
            </w:pPr>
            <w:r w:rsidRPr="003A51F3">
              <w:t>1.53</w:t>
            </w:r>
            <w:r w:rsidRPr="003A51F3">
              <w:rPr>
                <w:rFonts w:cs="Arial"/>
                <w:szCs w:val="18"/>
                <w:lang w:val="en-GB"/>
              </w:rPr>
              <w:t>*</w:t>
            </w:r>
            <w:r w:rsidRPr="003A51F3">
              <w:rPr>
                <w:rFonts w:cs="Arial"/>
                <w:szCs w:val="18"/>
              </w:rPr>
              <w:t>10</w:t>
            </w:r>
            <w:r w:rsidRPr="003A51F3">
              <w:rPr>
                <w:rFonts w:cs="Arial"/>
                <w:szCs w:val="18"/>
                <w:vertAlign w:val="superscript"/>
              </w:rPr>
              <w:t>-4</w:t>
            </w:r>
          </w:p>
        </w:tc>
        <w:tc>
          <w:tcPr>
            <w:tcW w:w="646" w:type="pct"/>
            <w:shd w:val="clear" w:color="auto" w:fill="FFFFFF"/>
          </w:tcPr>
          <w:p w14:paraId="74B832A6" w14:textId="5A60C005" w:rsidR="003E4CC3" w:rsidRPr="003A51F3" w:rsidRDefault="003E4CC3" w:rsidP="003E4CC3">
            <w:pPr>
              <w:pStyle w:val="CETBodytext"/>
              <w:ind w:right="-1"/>
              <w:jc w:val="left"/>
            </w:pPr>
            <w:r w:rsidRPr="003A51F3">
              <w:t>3.79</w:t>
            </w:r>
            <w:r w:rsidRPr="003A51F3">
              <w:rPr>
                <w:rFonts w:cs="Arial"/>
                <w:szCs w:val="18"/>
                <w:lang w:val="en-GB"/>
              </w:rPr>
              <w:t>*</w:t>
            </w:r>
            <w:r w:rsidRPr="003A51F3">
              <w:rPr>
                <w:rFonts w:cs="Arial"/>
                <w:szCs w:val="18"/>
              </w:rPr>
              <w:t>10</w:t>
            </w:r>
            <w:r w:rsidRPr="003A51F3">
              <w:rPr>
                <w:rFonts w:cs="Arial"/>
                <w:szCs w:val="18"/>
                <w:vertAlign w:val="superscript"/>
              </w:rPr>
              <w:t>-5</w:t>
            </w:r>
          </w:p>
        </w:tc>
        <w:tc>
          <w:tcPr>
            <w:tcW w:w="644" w:type="pct"/>
            <w:shd w:val="clear" w:color="auto" w:fill="FFFFFF"/>
          </w:tcPr>
          <w:p w14:paraId="597BEFFB" w14:textId="1D0047DB" w:rsidR="003E4CC3" w:rsidRPr="003A51F3" w:rsidRDefault="003E4CC3" w:rsidP="003E4CC3">
            <w:pPr>
              <w:pStyle w:val="CETBodytext"/>
              <w:ind w:right="-1"/>
              <w:jc w:val="left"/>
            </w:pPr>
            <w:r w:rsidRPr="003A51F3">
              <w:t>5.91</w:t>
            </w:r>
            <w:r w:rsidRPr="003A51F3">
              <w:rPr>
                <w:rFonts w:cs="Arial"/>
                <w:szCs w:val="18"/>
                <w:lang w:val="en-GB"/>
              </w:rPr>
              <w:t>*</w:t>
            </w:r>
            <w:r w:rsidRPr="003A51F3">
              <w:rPr>
                <w:rFonts w:cs="Arial"/>
                <w:szCs w:val="18"/>
              </w:rPr>
              <w:t>10</w:t>
            </w:r>
            <w:r w:rsidRPr="003A51F3">
              <w:rPr>
                <w:rFonts w:cs="Arial"/>
                <w:szCs w:val="18"/>
                <w:vertAlign w:val="superscript"/>
              </w:rPr>
              <w:t>-4</w:t>
            </w:r>
          </w:p>
        </w:tc>
        <w:tc>
          <w:tcPr>
            <w:tcW w:w="645" w:type="pct"/>
            <w:shd w:val="clear" w:color="auto" w:fill="FFFFFF"/>
          </w:tcPr>
          <w:p w14:paraId="02B25CC2" w14:textId="0FC33A51" w:rsidR="003E4CC3" w:rsidRPr="003A51F3" w:rsidRDefault="003E4CC3" w:rsidP="003E4CC3">
            <w:pPr>
              <w:pStyle w:val="CETBodytext"/>
              <w:ind w:right="-1"/>
              <w:jc w:val="left"/>
            </w:pPr>
            <w:r w:rsidRPr="003A51F3">
              <w:t>1.26</w:t>
            </w:r>
            <w:r w:rsidRPr="003A51F3">
              <w:rPr>
                <w:rFonts w:cs="Arial"/>
                <w:szCs w:val="18"/>
                <w:lang w:val="en-GB"/>
              </w:rPr>
              <w:t>*</w:t>
            </w:r>
            <w:r w:rsidRPr="003A51F3">
              <w:rPr>
                <w:rFonts w:cs="Arial"/>
                <w:szCs w:val="18"/>
              </w:rPr>
              <w:t>10</w:t>
            </w:r>
            <w:r w:rsidRPr="003A51F3">
              <w:rPr>
                <w:rFonts w:cs="Arial"/>
                <w:szCs w:val="18"/>
                <w:vertAlign w:val="superscript"/>
              </w:rPr>
              <w:t>-4</w:t>
            </w:r>
          </w:p>
        </w:tc>
      </w:tr>
      <w:tr w:rsidR="006236FD" w:rsidRPr="003A51F3" w14:paraId="026A27E1" w14:textId="77777777" w:rsidTr="003E4CC3">
        <w:tc>
          <w:tcPr>
            <w:tcW w:w="958" w:type="pct"/>
            <w:shd w:val="clear" w:color="auto" w:fill="FFFFFF"/>
          </w:tcPr>
          <w:p w14:paraId="1DB48241" w14:textId="68DEAC64" w:rsidR="003E4CC3" w:rsidRPr="003A51F3" w:rsidRDefault="003E4CC3" w:rsidP="003E4CC3">
            <w:pPr>
              <w:pStyle w:val="CETBodytext"/>
              <w:ind w:right="-1"/>
              <w:jc w:val="left"/>
            </w:pPr>
            <w:r w:rsidRPr="003A51F3">
              <w:t>Transportation</w:t>
            </w:r>
          </w:p>
        </w:tc>
        <w:tc>
          <w:tcPr>
            <w:tcW w:w="736" w:type="pct"/>
            <w:shd w:val="clear" w:color="auto" w:fill="FFFFFF"/>
          </w:tcPr>
          <w:p w14:paraId="30F5C76A" w14:textId="4157BEC0" w:rsidR="003E4CC3" w:rsidRPr="003A51F3" w:rsidRDefault="003E4CC3" w:rsidP="003E4CC3">
            <w:pPr>
              <w:pStyle w:val="CETBodytext"/>
              <w:ind w:right="-1"/>
              <w:jc w:val="left"/>
            </w:pPr>
            <w:r w:rsidRPr="003A51F3">
              <w:t>2.53</w:t>
            </w:r>
            <w:r w:rsidRPr="003A51F3">
              <w:rPr>
                <w:rFonts w:cs="Arial"/>
                <w:szCs w:val="18"/>
                <w:lang w:val="en-GB"/>
              </w:rPr>
              <w:t>*</w:t>
            </w:r>
            <w:r w:rsidRPr="003A51F3">
              <w:rPr>
                <w:rFonts w:cs="Arial"/>
                <w:szCs w:val="18"/>
              </w:rPr>
              <w:t>10</w:t>
            </w:r>
            <w:r w:rsidRPr="003A51F3">
              <w:rPr>
                <w:rFonts w:cs="Arial"/>
                <w:szCs w:val="18"/>
                <w:vertAlign w:val="superscript"/>
              </w:rPr>
              <w:t>-6</w:t>
            </w:r>
          </w:p>
        </w:tc>
        <w:tc>
          <w:tcPr>
            <w:tcW w:w="726" w:type="pct"/>
            <w:shd w:val="clear" w:color="auto" w:fill="FFFFFF"/>
          </w:tcPr>
          <w:p w14:paraId="5FEFF224" w14:textId="4646C48B" w:rsidR="003E4CC3" w:rsidRPr="003A51F3" w:rsidRDefault="003E4CC3" w:rsidP="003E4CC3">
            <w:pPr>
              <w:pStyle w:val="CETBodytext"/>
              <w:ind w:right="-1"/>
              <w:jc w:val="left"/>
            </w:pPr>
            <w:r w:rsidRPr="003A51F3">
              <w:t>5.08</w:t>
            </w:r>
            <w:r w:rsidRPr="003A51F3">
              <w:rPr>
                <w:rFonts w:cs="Arial"/>
                <w:szCs w:val="18"/>
                <w:lang w:val="en-GB"/>
              </w:rPr>
              <w:t>*</w:t>
            </w:r>
            <w:r w:rsidRPr="003A51F3">
              <w:rPr>
                <w:rFonts w:cs="Arial"/>
                <w:szCs w:val="18"/>
              </w:rPr>
              <w:t>10</w:t>
            </w:r>
            <w:r w:rsidRPr="003A51F3">
              <w:rPr>
                <w:rFonts w:cs="Arial"/>
                <w:szCs w:val="18"/>
                <w:vertAlign w:val="superscript"/>
              </w:rPr>
              <w:t>-7</w:t>
            </w:r>
          </w:p>
        </w:tc>
        <w:tc>
          <w:tcPr>
            <w:tcW w:w="645" w:type="pct"/>
            <w:shd w:val="clear" w:color="auto" w:fill="FFFFFF"/>
          </w:tcPr>
          <w:p w14:paraId="1329379B" w14:textId="117FC3A3" w:rsidR="003E4CC3" w:rsidRPr="003A51F3" w:rsidRDefault="003E4CC3" w:rsidP="003E4CC3">
            <w:pPr>
              <w:pStyle w:val="CETBodytext"/>
              <w:ind w:right="-1"/>
              <w:jc w:val="left"/>
            </w:pPr>
            <w:r w:rsidRPr="003A51F3">
              <w:t>2.00</w:t>
            </w:r>
            <w:r w:rsidRPr="003A51F3">
              <w:rPr>
                <w:rFonts w:cs="Arial"/>
                <w:szCs w:val="18"/>
                <w:lang w:val="en-GB"/>
              </w:rPr>
              <w:t>*</w:t>
            </w:r>
            <w:r w:rsidRPr="003A51F3">
              <w:rPr>
                <w:rFonts w:cs="Arial"/>
                <w:szCs w:val="18"/>
              </w:rPr>
              <w:t>10</w:t>
            </w:r>
            <w:r w:rsidRPr="003A51F3">
              <w:rPr>
                <w:rFonts w:cs="Arial"/>
                <w:szCs w:val="18"/>
                <w:vertAlign w:val="superscript"/>
              </w:rPr>
              <w:t>-6</w:t>
            </w:r>
          </w:p>
        </w:tc>
        <w:tc>
          <w:tcPr>
            <w:tcW w:w="646" w:type="pct"/>
            <w:shd w:val="clear" w:color="auto" w:fill="FFFFFF"/>
          </w:tcPr>
          <w:p w14:paraId="2F46F7B2" w14:textId="61937672" w:rsidR="003E4CC3" w:rsidRPr="003A51F3" w:rsidRDefault="003E4CC3" w:rsidP="003E4CC3">
            <w:pPr>
              <w:pStyle w:val="CETBodytext"/>
              <w:ind w:right="-1"/>
              <w:jc w:val="left"/>
            </w:pPr>
            <w:r w:rsidRPr="003A51F3">
              <w:t>4.96</w:t>
            </w:r>
            <w:r w:rsidRPr="003A51F3">
              <w:rPr>
                <w:rFonts w:cs="Arial"/>
                <w:szCs w:val="18"/>
                <w:lang w:val="en-GB"/>
              </w:rPr>
              <w:t>*</w:t>
            </w:r>
            <w:r w:rsidRPr="003A51F3">
              <w:rPr>
                <w:rFonts w:cs="Arial"/>
                <w:szCs w:val="18"/>
              </w:rPr>
              <w:t>10</w:t>
            </w:r>
            <w:r w:rsidRPr="003A51F3">
              <w:rPr>
                <w:rFonts w:cs="Arial"/>
                <w:szCs w:val="18"/>
                <w:vertAlign w:val="superscript"/>
              </w:rPr>
              <w:t>-7</w:t>
            </w:r>
          </w:p>
        </w:tc>
        <w:tc>
          <w:tcPr>
            <w:tcW w:w="644" w:type="pct"/>
            <w:shd w:val="clear" w:color="auto" w:fill="FFFFFF"/>
          </w:tcPr>
          <w:p w14:paraId="50993EF4" w14:textId="68E627D4" w:rsidR="003E4CC3" w:rsidRPr="003A51F3" w:rsidRDefault="003E4CC3" w:rsidP="003E4CC3">
            <w:pPr>
              <w:pStyle w:val="CETBodytext"/>
              <w:ind w:right="-1"/>
              <w:jc w:val="left"/>
            </w:pPr>
            <w:r w:rsidRPr="003A51F3">
              <w:t>4.53</w:t>
            </w:r>
            <w:r w:rsidRPr="003A51F3">
              <w:rPr>
                <w:rFonts w:cs="Arial"/>
                <w:szCs w:val="18"/>
                <w:lang w:val="en-GB"/>
              </w:rPr>
              <w:t>*</w:t>
            </w:r>
            <w:r w:rsidRPr="003A51F3">
              <w:rPr>
                <w:rFonts w:cs="Arial"/>
                <w:szCs w:val="18"/>
              </w:rPr>
              <w:t>10</w:t>
            </w:r>
            <w:r w:rsidRPr="003A51F3">
              <w:rPr>
                <w:rFonts w:cs="Arial"/>
                <w:szCs w:val="18"/>
                <w:vertAlign w:val="superscript"/>
              </w:rPr>
              <w:t>-6</w:t>
            </w:r>
          </w:p>
        </w:tc>
        <w:tc>
          <w:tcPr>
            <w:tcW w:w="645" w:type="pct"/>
            <w:shd w:val="clear" w:color="auto" w:fill="FFFFFF"/>
          </w:tcPr>
          <w:p w14:paraId="221107EF" w14:textId="57963EC4" w:rsidR="003E4CC3" w:rsidRPr="003A51F3" w:rsidRDefault="003E4CC3" w:rsidP="003E4CC3">
            <w:pPr>
              <w:pStyle w:val="CETBodytext"/>
              <w:ind w:right="-1"/>
              <w:jc w:val="left"/>
            </w:pPr>
            <w:r w:rsidRPr="003A51F3">
              <w:t>1.00</w:t>
            </w:r>
            <w:r w:rsidRPr="003A51F3">
              <w:rPr>
                <w:rFonts w:cs="Arial"/>
                <w:szCs w:val="18"/>
                <w:lang w:val="en-GB"/>
              </w:rPr>
              <w:t>*</w:t>
            </w:r>
            <w:r w:rsidRPr="003A51F3">
              <w:rPr>
                <w:rFonts w:cs="Arial"/>
                <w:szCs w:val="18"/>
              </w:rPr>
              <w:t>10</w:t>
            </w:r>
            <w:r w:rsidRPr="003A51F3">
              <w:rPr>
                <w:rFonts w:cs="Arial"/>
                <w:szCs w:val="18"/>
                <w:vertAlign w:val="superscript"/>
              </w:rPr>
              <w:t>-6</w:t>
            </w:r>
          </w:p>
        </w:tc>
      </w:tr>
      <w:tr w:rsidR="006236FD" w:rsidRPr="003A51F3" w14:paraId="3DD0872F" w14:textId="5A3D6083" w:rsidTr="003E4CC3">
        <w:tc>
          <w:tcPr>
            <w:tcW w:w="958" w:type="pct"/>
            <w:shd w:val="clear" w:color="auto" w:fill="FFFFFF"/>
          </w:tcPr>
          <w:p w14:paraId="0B3B6C28" w14:textId="41885E88" w:rsidR="003E4CC3" w:rsidRPr="003A51F3" w:rsidRDefault="003E4CC3" w:rsidP="003E4CC3">
            <w:pPr>
              <w:pStyle w:val="CETBodytext"/>
              <w:ind w:right="-1"/>
              <w:jc w:val="left"/>
            </w:pPr>
            <w:r w:rsidRPr="003A51F3">
              <w:t>Storage</w:t>
            </w:r>
          </w:p>
        </w:tc>
        <w:tc>
          <w:tcPr>
            <w:tcW w:w="736" w:type="pct"/>
            <w:shd w:val="clear" w:color="auto" w:fill="FFFFFF"/>
          </w:tcPr>
          <w:p w14:paraId="01B0E70B" w14:textId="1DA8ABEC" w:rsidR="003E4CC3" w:rsidRPr="003A51F3" w:rsidRDefault="003E4CC3" w:rsidP="003E4CC3">
            <w:pPr>
              <w:pStyle w:val="CETBodytext"/>
              <w:ind w:right="-1"/>
              <w:jc w:val="left"/>
            </w:pPr>
            <w:r w:rsidRPr="003A51F3">
              <w:t>4.37</w:t>
            </w:r>
            <w:r w:rsidRPr="003A51F3">
              <w:rPr>
                <w:rFonts w:cs="Arial"/>
                <w:szCs w:val="18"/>
                <w:lang w:val="en-GB"/>
              </w:rPr>
              <w:t>*</w:t>
            </w:r>
            <w:r w:rsidRPr="003A51F3">
              <w:rPr>
                <w:rFonts w:cs="Arial"/>
                <w:szCs w:val="18"/>
              </w:rPr>
              <w:t>10</w:t>
            </w:r>
            <w:r w:rsidRPr="003A51F3">
              <w:rPr>
                <w:rFonts w:cs="Arial"/>
                <w:szCs w:val="18"/>
                <w:vertAlign w:val="superscript"/>
              </w:rPr>
              <w:t>-4</w:t>
            </w:r>
          </w:p>
        </w:tc>
        <w:tc>
          <w:tcPr>
            <w:tcW w:w="726" w:type="pct"/>
            <w:shd w:val="clear" w:color="auto" w:fill="FFFFFF"/>
          </w:tcPr>
          <w:p w14:paraId="7A9C406C" w14:textId="27E54731" w:rsidR="003E4CC3" w:rsidRPr="003A51F3" w:rsidRDefault="003E4CC3" w:rsidP="003E4CC3">
            <w:pPr>
              <w:pStyle w:val="CETBodytext"/>
              <w:ind w:right="-1"/>
              <w:jc w:val="left"/>
            </w:pPr>
            <w:r w:rsidRPr="003A51F3">
              <w:t>8.79</w:t>
            </w:r>
            <w:r w:rsidRPr="003A51F3">
              <w:rPr>
                <w:rFonts w:cs="Arial"/>
                <w:szCs w:val="18"/>
                <w:lang w:val="en-GB"/>
              </w:rPr>
              <w:t>*</w:t>
            </w:r>
            <w:r w:rsidRPr="003A51F3">
              <w:rPr>
                <w:rFonts w:cs="Arial"/>
                <w:szCs w:val="18"/>
              </w:rPr>
              <w:t>10</w:t>
            </w:r>
            <w:r w:rsidRPr="003A51F3">
              <w:rPr>
                <w:rFonts w:cs="Arial"/>
                <w:szCs w:val="18"/>
                <w:vertAlign w:val="superscript"/>
              </w:rPr>
              <w:t>-5</w:t>
            </w:r>
          </w:p>
        </w:tc>
        <w:tc>
          <w:tcPr>
            <w:tcW w:w="645" w:type="pct"/>
            <w:shd w:val="clear" w:color="auto" w:fill="FFFFFF"/>
          </w:tcPr>
          <w:p w14:paraId="57606E9D" w14:textId="6FA6EC38" w:rsidR="003E4CC3" w:rsidRPr="003A51F3" w:rsidRDefault="003E4CC3" w:rsidP="003E4CC3">
            <w:pPr>
              <w:pStyle w:val="CETBodytext"/>
              <w:ind w:right="-1"/>
              <w:jc w:val="left"/>
            </w:pPr>
            <w:r w:rsidRPr="003A51F3">
              <w:t>1.53</w:t>
            </w:r>
            <w:r w:rsidRPr="003A51F3">
              <w:rPr>
                <w:rFonts w:cs="Arial"/>
                <w:szCs w:val="18"/>
                <w:lang w:val="en-GB"/>
              </w:rPr>
              <w:t>*</w:t>
            </w:r>
            <w:r w:rsidRPr="003A51F3">
              <w:rPr>
                <w:rFonts w:cs="Arial"/>
                <w:szCs w:val="18"/>
              </w:rPr>
              <w:t>10</w:t>
            </w:r>
            <w:r w:rsidRPr="003A51F3">
              <w:rPr>
                <w:rFonts w:cs="Arial"/>
                <w:szCs w:val="18"/>
                <w:vertAlign w:val="superscript"/>
              </w:rPr>
              <w:t>-4</w:t>
            </w:r>
          </w:p>
        </w:tc>
        <w:tc>
          <w:tcPr>
            <w:tcW w:w="646" w:type="pct"/>
            <w:shd w:val="clear" w:color="auto" w:fill="FFFFFF"/>
          </w:tcPr>
          <w:p w14:paraId="298065DD" w14:textId="4D90B82D" w:rsidR="003E4CC3" w:rsidRPr="003A51F3" w:rsidRDefault="003E4CC3" w:rsidP="003E4CC3">
            <w:pPr>
              <w:pStyle w:val="CETBodytext"/>
              <w:ind w:right="-1"/>
              <w:jc w:val="left"/>
            </w:pPr>
            <w:r w:rsidRPr="003A51F3">
              <w:t>3.79</w:t>
            </w:r>
            <w:r w:rsidRPr="003A51F3">
              <w:rPr>
                <w:rFonts w:cs="Arial"/>
                <w:szCs w:val="18"/>
                <w:lang w:val="en-GB"/>
              </w:rPr>
              <w:t>*</w:t>
            </w:r>
            <w:r w:rsidRPr="003A51F3">
              <w:rPr>
                <w:rFonts w:cs="Arial"/>
                <w:szCs w:val="18"/>
              </w:rPr>
              <w:t>10</w:t>
            </w:r>
            <w:r w:rsidRPr="003A51F3">
              <w:rPr>
                <w:rFonts w:cs="Arial"/>
                <w:szCs w:val="18"/>
                <w:vertAlign w:val="superscript"/>
              </w:rPr>
              <w:t>-5</w:t>
            </w:r>
          </w:p>
        </w:tc>
        <w:tc>
          <w:tcPr>
            <w:tcW w:w="644" w:type="pct"/>
            <w:shd w:val="clear" w:color="auto" w:fill="FFFFFF"/>
          </w:tcPr>
          <w:p w14:paraId="7FAC70A1" w14:textId="5900EE98" w:rsidR="003E4CC3" w:rsidRPr="003A51F3" w:rsidRDefault="003E4CC3" w:rsidP="003E4CC3">
            <w:pPr>
              <w:pStyle w:val="CETBodytext"/>
              <w:ind w:right="-1"/>
              <w:jc w:val="left"/>
            </w:pPr>
            <w:r w:rsidRPr="003A51F3">
              <w:t>5.90</w:t>
            </w:r>
            <w:r w:rsidRPr="003A51F3">
              <w:rPr>
                <w:rFonts w:cs="Arial"/>
                <w:szCs w:val="18"/>
                <w:lang w:val="en-GB"/>
              </w:rPr>
              <w:t>*</w:t>
            </w:r>
            <w:r w:rsidRPr="003A51F3">
              <w:rPr>
                <w:rFonts w:cs="Arial"/>
                <w:szCs w:val="18"/>
              </w:rPr>
              <w:t>10</w:t>
            </w:r>
            <w:r w:rsidRPr="003A51F3">
              <w:rPr>
                <w:rFonts w:cs="Arial"/>
                <w:szCs w:val="18"/>
                <w:vertAlign w:val="superscript"/>
              </w:rPr>
              <w:t>-4</w:t>
            </w:r>
          </w:p>
        </w:tc>
        <w:tc>
          <w:tcPr>
            <w:tcW w:w="645" w:type="pct"/>
            <w:shd w:val="clear" w:color="auto" w:fill="FFFFFF"/>
          </w:tcPr>
          <w:p w14:paraId="1569D809" w14:textId="6C00B94A" w:rsidR="003E4CC3" w:rsidRPr="003A51F3" w:rsidRDefault="003E4CC3" w:rsidP="003E4CC3">
            <w:pPr>
              <w:pStyle w:val="CETBodytext"/>
              <w:ind w:right="-1"/>
              <w:jc w:val="left"/>
            </w:pPr>
            <w:r w:rsidRPr="003A51F3">
              <w:t>1.26</w:t>
            </w:r>
            <w:r w:rsidRPr="003A51F3">
              <w:rPr>
                <w:rFonts w:cs="Arial"/>
                <w:szCs w:val="18"/>
                <w:lang w:val="en-GB"/>
              </w:rPr>
              <w:t>*</w:t>
            </w:r>
            <w:r w:rsidRPr="003A51F3">
              <w:rPr>
                <w:rFonts w:cs="Arial"/>
                <w:szCs w:val="18"/>
              </w:rPr>
              <w:t>10</w:t>
            </w:r>
            <w:r w:rsidRPr="003A51F3">
              <w:rPr>
                <w:rFonts w:cs="Arial"/>
                <w:szCs w:val="18"/>
                <w:vertAlign w:val="superscript"/>
              </w:rPr>
              <w:t>-4</w:t>
            </w:r>
          </w:p>
        </w:tc>
      </w:tr>
      <w:tr w:rsidR="006236FD" w:rsidRPr="003A51F3" w14:paraId="0B37F0B1" w14:textId="77777777" w:rsidTr="003E4CC3">
        <w:tc>
          <w:tcPr>
            <w:tcW w:w="958" w:type="pct"/>
            <w:shd w:val="clear" w:color="auto" w:fill="FFFFFF"/>
          </w:tcPr>
          <w:p w14:paraId="19F2EEEB" w14:textId="279F57F5" w:rsidR="003E4CC3" w:rsidRPr="003A51F3" w:rsidRDefault="003E4CC3" w:rsidP="003E4CC3">
            <w:pPr>
              <w:pStyle w:val="CETBodytext"/>
              <w:ind w:right="-1"/>
              <w:jc w:val="left"/>
            </w:pPr>
            <w:r w:rsidRPr="003A51F3">
              <w:t>Dispensing</w:t>
            </w:r>
          </w:p>
        </w:tc>
        <w:tc>
          <w:tcPr>
            <w:tcW w:w="736" w:type="pct"/>
            <w:shd w:val="clear" w:color="auto" w:fill="FFFFFF"/>
          </w:tcPr>
          <w:p w14:paraId="17C45DA1" w14:textId="54D2DACE" w:rsidR="003E4CC3" w:rsidRPr="003A51F3" w:rsidRDefault="003E4CC3" w:rsidP="003E4CC3">
            <w:pPr>
              <w:pStyle w:val="CETBodytext"/>
              <w:ind w:right="-1"/>
              <w:jc w:val="left"/>
            </w:pPr>
            <w:r w:rsidRPr="003A51F3">
              <w:t>2.30</w:t>
            </w:r>
            <w:r w:rsidRPr="003A51F3">
              <w:rPr>
                <w:rFonts w:cs="Arial"/>
                <w:szCs w:val="18"/>
                <w:lang w:val="en-GB"/>
              </w:rPr>
              <w:t>*</w:t>
            </w:r>
            <w:r w:rsidRPr="003A51F3">
              <w:rPr>
                <w:rFonts w:cs="Arial"/>
                <w:szCs w:val="18"/>
              </w:rPr>
              <w:t>10</w:t>
            </w:r>
            <w:r w:rsidRPr="003A51F3">
              <w:rPr>
                <w:rFonts w:cs="Arial"/>
                <w:szCs w:val="18"/>
                <w:vertAlign w:val="superscript"/>
              </w:rPr>
              <w:t>-6</w:t>
            </w:r>
          </w:p>
        </w:tc>
        <w:tc>
          <w:tcPr>
            <w:tcW w:w="726" w:type="pct"/>
            <w:shd w:val="clear" w:color="auto" w:fill="FFFFFF"/>
          </w:tcPr>
          <w:p w14:paraId="63489C10" w14:textId="67B924F5" w:rsidR="003E4CC3" w:rsidRPr="003A51F3" w:rsidRDefault="003E4CC3" w:rsidP="003E4CC3">
            <w:pPr>
              <w:pStyle w:val="CETBodytext"/>
              <w:ind w:right="-1"/>
              <w:jc w:val="left"/>
            </w:pPr>
            <w:r w:rsidRPr="003A51F3">
              <w:t>4.62</w:t>
            </w:r>
            <w:r w:rsidRPr="003A51F3">
              <w:rPr>
                <w:rFonts w:cs="Arial"/>
                <w:szCs w:val="18"/>
                <w:lang w:val="en-GB"/>
              </w:rPr>
              <w:t>*</w:t>
            </w:r>
            <w:r w:rsidRPr="003A51F3">
              <w:rPr>
                <w:rFonts w:cs="Arial"/>
                <w:szCs w:val="18"/>
              </w:rPr>
              <w:t>10</w:t>
            </w:r>
            <w:r w:rsidRPr="003A51F3">
              <w:rPr>
                <w:rFonts w:cs="Arial"/>
                <w:szCs w:val="18"/>
                <w:vertAlign w:val="superscript"/>
              </w:rPr>
              <w:t>-7</w:t>
            </w:r>
          </w:p>
        </w:tc>
        <w:tc>
          <w:tcPr>
            <w:tcW w:w="645" w:type="pct"/>
            <w:shd w:val="clear" w:color="auto" w:fill="FFFFFF"/>
          </w:tcPr>
          <w:p w14:paraId="739802F4" w14:textId="7BFF69E4" w:rsidR="003E4CC3" w:rsidRPr="003A51F3" w:rsidRDefault="003E4CC3" w:rsidP="003E4CC3">
            <w:pPr>
              <w:pStyle w:val="CETBodytext"/>
              <w:ind w:right="-1"/>
              <w:jc w:val="left"/>
            </w:pPr>
            <w:r w:rsidRPr="003A51F3">
              <w:t>1.20</w:t>
            </w:r>
            <w:r w:rsidRPr="003A51F3">
              <w:rPr>
                <w:rFonts w:cs="Arial"/>
                <w:szCs w:val="18"/>
                <w:lang w:val="en-GB"/>
              </w:rPr>
              <w:t>*</w:t>
            </w:r>
            <w:r w:rsidRPr="003A51F3">
              <w:rPr>
                <w:rFonts w:cs="Arial"/>
                <w:szCs w:val="18"/>
              </w:rPr>
              <w:t>10</w:t>
            </w:r>
            <w:r w:rsidRPr="003A51F3">
              <w:rPr>
                <w:rFonts w:cs="Arial"/>
                <w:szCs w:val="18"/>
                <w:vertAlign w:val="superscript"/>
              </w:rPr>
              <w:t>-7</w:t>
            </w:r>
          </w:p>
        </w:tc>
        <w:tc>
          <w:tcPr>
            <w:tcW w:w="646" w:type="pct"/>
            <w:shd w:val="clear" w:color="auto" w:fill="FFFFFF"/>
          </w:tcPr>
          <w:p w14:paraId="29B62F1F" w14:textId="032DA3E5" w:rsidR="003E4CC3" w:rsidRPr="003A51F3" w:rsidRDefault="003E4CC3" w:rsidP="003E4CC3">
            <w:pPr>
              <w:pStyle w:val="CETBodytext"/>
              <w:ind w:right="-1"/>
              <w:jc w:val="left"/>
            </w:pPr>
            <w:r w:rsidRPr="003A51F3">
              <w:t>2.98</w:t>
            </w:r>
            <w:r w:rsidRPr="003A51F3">
              <w:rPr>
                <w:rFonts w:cs="Arial"/>
                <w:szCs w:val="18"/>
                <w:lang w:val="en-GB"/>
              </w:rPr>
              <w:t>*</w:t>
            </w:r>
            <w:r w:rsidRPr="003A51F3">
              <w:rPr>
                <w:rFonts w:cs="Arial"/>
                <w:szCs w:val="18"/>
              </w:rPr>
              <w:t>10</w:t>
            </w:r>
            <w:r w:rsidRPr="003A51F3">
              <w:rPr>
                <w:rFonts w:cs="Arial"/>
                <w:szCs w:val="18"/>
                <w:vertAlign w:val="superscript"/>
              </w:rPr>
              <w:t>-8</w:t>
            </w:r>
          </w:p>
        </w:tc>
        <w:tc>
          <w:tcPr>
            <w:tcW w:w="644" w:type="pct"/>
            <w:shd w:val="clear" w:color="auto" w:fill="FFFFFF"/>
          </w:tcPr>
          <w:p w14:paraId="4D3A8211" w14:textId="1DC72DA3" w:rsidR="003E4CC3" w:rsidRPr="003A51F3" w:rsidRDefault="003E4CC3" w:rsidP="003E4CC3">
            <w:pPr>
              <w:pStyle w:val="CETBodytext"/>
              <w:ind w:right="-1"/>
              <w:jc w:val="left"/>
            </w:pPr>
            <w:r w:rsidRPr="003A51F3">
              <w:t>2.42</w:t>
            </w:r>
            <w:r w:rsidRPr="003A51F3">
              <w:rPr>
                <w:rFonts w:cs="Arial"/>
                <w:szCs w:val="18"/>
                <w:lang w:val="en-GB"/>
              </w:rPr>
              <w:t>*</w:t>
            </w:r>
            <w:r w:rsidRPr="003A51F3">
              <w:rPr>
                <w:rFonts w:cs="Arial"/>
                <w:szCs w:val="18"/>
              </w:rPr>
              <w:t>10</w:t>
            </w:r>
            <w:r w:rsidRPr="003A51F3">
              <w:rPr>
                <w:rFonts w:cs="Arial"/>
                <w:szCs w:val="18"/>
                <w:vertAlign w:val="superscript"/>
              </w:rPr>
              <w:t>-6</w:t>
            </w:r>
          </w:p>
        </w:tc>
        <w:tc>
          <w:tcPr>
            <w:tcW w:w="645" w:type="pct"/>
            <w:shd w:val="clear" w:color="auto" w:fill="FFFFFF"/>
          </w:tcPr>
          <w:p w14:paraId="589C9CCB" w14:textId="43E257EA" w:rsidR="003E4CC3" w:rsidRPr="003A51F3" w:rsidRDefault="003E4CC3" w:rsidP="003E4CC3">
            <w:pPr>
              <w:pStyle w:val="CETBodytext"/>
              <w:ind w:right="-1"/>
              <w:jc w:val="left"/>
            </w:pPr>
            <w:r w:rsidRPr="003A51F3">
              <w:t>4.92</w:t>
            </w:r>
            <w:r w:rsidRPr="003A51F3">
              <w:rPr>
                <w:rFonts w:cs="Arial"/>
                <w:szCs w:val="18"/>
                <w:lang w:val="en-GB"/>
              </w:rPr>
              <w:t>*</w:t>
            </w:r>
            <w:r w:rsidRPr="003A51F3">
              <w:rPr>
                <w:rFonts w:cs="Arial"/>
                <w:szCs w:val="18"/>
              </w:rPr>
              <w:t>10</w:t>
            </w:r>
            <w:r w:rsidRPr="003A51F3">
              <w:rPr>
                <w:rFonts w:cs="Arial"/>
                <w:szCs w:val="18"/>
                <w:vertAlign w:val="superscript"/>
              </w:rPr>
              <w:t>-7</w:t>
            </w:r>
          </w:p>
        </w:tc>
      </w:tr>
    </w:tbl>
    <w:p w14:paraId="1F96CA21" w14:textId="66C0471B" w:rsidR="00600535" w:rsidRPr="003A51F3" w:rsidRDefault="00183DE7" w:rsidP="006236FD">
      <w:pPr>
        <w:pStyle w:val="CETheadingx"/>
      </w:pPr>
      <w:r w:rsidRPr="003A51F3">
        <w:t xml:space="preserve">Risk ranking of operational </w:t>
      </w:r>
      <w:proofErr w:type="gramStart"/>
      <w:r w:rsidRPr="003A51F3">
        <w:t>processes</w:t>
      </w:r>
      <w:proofErr w:type="gramEnd"/>
    </w:p>
    <w:p w14:paraId="5C4A4814" w14:textId="6A5C4BB0" w:rsidR="00500C7F" w:rsidRPr="003A51F3" w:rsidRDefault="00500C7F" w:rsidP="000C76CA">
      <w:pPr>
        <w:pStyle w:val="CETListbullets"/>
        <w:ind w:left="0" w:firstLine="0"/>
      </w:pPr>
      <w:r w:rsidRPr="003A51F3">
        <w:rPr>
          <w:lang w:val="en-US"/>
        </w:rPr>
        <w:t>Given the estimated</w:t>
      </w:r>
      <w:r w:rsidRPr="003A51F3">
        <w:t xml:space="preserve"> risk probabilities, the actual risk ranking from high to low is production and storage, followed by transportation, with dispensing being the lowest.</w:t>
      </w:r>
      <w:r w:rsidR="00C93FFB" w:rsidRPr="003A51F3">
        <w:t xml:space="preserve"> </w:t>
      </w:r>
      <w:r w:rsidRPr="003A51F3">
        <w:t xml:space="preserve">Figure 5 presents the </w:t>
      </w:r>
      <w:r w:rsidR="00C93FFB" w:rsidRPr="003A51F3">
        <w:t>ranking of risk perception based on the survey data</w:t>
      </w:r>
      <w:r w:rsidRPr="003A51F3">
        <w:t xml:space="preserve">. </w:t>
      </w:r>
      <w:r w:rsidR="008D7CFC" w:rsidRPr="003A51F3">
        <w:t>Around</w:t>
      </w:r>
      <w:r w:rsidRPr="003A51F3">
        <w:t xml:space="preserve"> half of the respondents cannot perceive the differences in risk among these processes, with 68.0%, 40.3%, and 48.6%</w:t>
      </w:r>
      <w:r w:rsidR="00C93FFB" w:rsidRPr="003A51F3">
        <w:t xml:space="preserve"> of samples</w:t>
      </w:r>
      <w:r w:rsidRPr="003A51F3">
        <w:t xml:space="preserve"> in Japan, Spain, and Norway </w:t>
      </w:r>
      <w:r w:rsidR="00C93FFB" w:rsidRPr="003A51F3">
        <w:t xml:space="preserve">expressing </w:t>
      </w:r>
      <w:r w:rsidR="00CD19FD">
        <w:t>similar</w:t>
      </w:r>
      <w:r w:rsidRPr="003A51F3">
        <w:t xml:space="preserve"> perception</w:t>
      </w:r>
      <w:r w:rsidR="00CD19FD">
        <w:t>s</w:t>
      </w:r>
      <w:r w:rsidRPr="003A51F3">
        <w:t xml:space="preserve"> of risk probability. This </w:t>
      </w:r>
      <w:r w:rsidR="00CD19FD" w:rsidRPr="003A51F3">
        <w:t>p</w:t>
      </w:r>
      <w:r w:rsidR="00CD19FD">
        <w:t>ercentage</w:t>
      </w:r>
      <w:r w:rsidR="00CD19FD" w:rsidRPr="003A51F3">
        <w:t xml:space="preserve"> </w:t>
      </w:r>
      <w:r w:rsidRPr="003A51F3">
        <w:t xml:space="preserve">increases to 72.0%, 47.0%, and 49.8% </w:t>
      </w:r>
      <w:r w:rsidR="008D7CFC" w:rsidRPr="003A51F3">
        <w:t>regarding</w:t>
      </w:r>
      <w:r w:rsidRPr="003A51F3">
        <w:t xml:space="preserve"> </w:t>
      </w:r>
      <w:r w:rsidR="00C93FFB" w:rsidRPr="003A51F3">
        <w:t>the</w:t>
      </w:r>
      <w:r w:rsidR="00CD19FD">
        <w:t xml:space="preserve"> perceived</w:t>
      </w:r>
      <w:r w:rsidRPr="003A51F3">
        <w:t xml:space="preserve"> consequences.</w:t>
      </w:r>
    </w:p>
    <w:p w14:paraId="088A134E" w14:textId="428ABBD9" w:rsidR="00600535" w:rsidRPr="003A51F3" w:rsidRDefault="00384695" w:rsidP="00BD077D">
      <w:pPr>
        <w:pStyle w:val="CETCaption"/>
      </w:pPr>
      <w:r w:rsidRPr="003A51F3">
        <w:rPr>
          <w:noProof/>
        </w:rPr>
        <w:drawing>
          <wp:inline distT="0" distB="0" distL="0" distR="0" wp14:anchorId="116C8635" wp14:editId="282DA669">
            <wp:extent cx="3902133" cy="1911139"/>
            <wp:effectExtent l="0" t="0" r="3175" b="0"/>
            <wp:docPr id="31371968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4">
                      <a:extLst>
                        <a:ext uri="{28A0092B-C50C-407E-A947-70E740481C1C}">
                          <a14:useLocalDpi xmlns:a14="http://schemas.microsoft.com/office/drawing/2010/main" val="0"/>
                        </a:ext>
                      </a:extLst>
                    </a:blip>
                    <a:srcRect t="2008" b="3677"/>
                    <a:stretch/>
                  </pic:blipFill>
                  <pic:spPr bwMode="auto">
                    <a:xfrm>
                      <a:off x="0" y="0"/>
                      <a:ext cx="3917734" cy="1918780"/>
                    </a:xfrm>
                    <a:prstGeom prst="rect">
                      <a:avLst/>
                    </a:prstGeom>
                    <a:noFill/>
                    <a:ln>
                      <a:noFill/>
                    </a:ln>
                    <a:extLst>
                      <a:ext uri="{53640926-AAD7-44D8-BBD7-CCE9431645EC}">
                        <a14:shadowObscured xmlns:a14="http://schemas.microsoft.com/office/drawing/2010/main"/>
                      </a:ext>
                    </a:extLst>
                  </pic:spPr>
                </pic:pic>
              </a:graphicData>
            </a:graphic>
          </wp:inline>
        </w:drawing>
      </w:r>
    </w:p>
    <w:p w14:paraId="65E73FAD" w14:textId="71D07C12" w:rsidR="00600535" w:rsidRPr="003A51F3" w:rsidRDefault="00600535" w:rsidP="00BD077D">
      <w:pPr>
        <w:pStyle w:val="CETCaption"/>
        <w:rPr>
          <w:rStyle w:val="CETCaptionCarattere"/>
          <w:i/>
        </w:rPr>
      </w:pPr>
      <w:r w:rsidRPr="003A51F3">
        <w:rPr>
          <w:rStyle w:val="CETCaptionCarattere"/>
          <w:i/>
        </w:rPr>
        <w:t xml:space="preserve">Figure </w:t>
      </w:r>
      <w:r w:rsidR="00701B38" w:rsidRPr="003A51F3">
        <w:rPr>
          <w:rStyle w:val="CETCaptionCarattere"/>
          <w:i/>
        </w:rPr>
        <w:t>5</w:t>
      </w:r>
      <w:r w:rsidRPr="003A51F3">
        <w:rPr>
          <w:rStyle w:val="CETCaptionCarattere"/>
          <w:i/>
        </w:rPr>
        <w:t xml:space="preserve">: </w:t>
      </w:r>
      <w:r w:rsidR="00500C7F" w:rsidRPr="003A51F3">
        <w:rPr>
          <w:rStyle w:val="CETCaptionCarattere"/>
          <w:i/>
        </w:rPr>
        <w:t xml:space="preserve">Proportion of </w:t>
      </w:r>
      <w:r w:rsidR="00C93FFB" w:rsidRPr="003A51F3">
        <w:rPr>
          <w:rStyle w:val="CETCaptionCarattere"/>
          <w:i/>
        </w:rPr>
        <w:t>assessing each o</w:t>
      </w:r>
      <w:r w:rsidR="00D1160C" w:rsidRPr="003A51F3">
        <w:rPr>
          <w:rStyle w:val="CETCaptionCarattere"/>
          <w:i/>
        </w:rPr>
        <w:t>perational process</w:t>
      </w:r>
      <w:r w:rsidR="00C93FFB" w:rsidRPr="003A51F3">
        <w:rPr>
          <w:rStyle w:val="CETCaptionCarattere"/>
          <w:i/>
        </w:rPr>
        <w:t xml:space="preserve"> as having the highest </w:t>
      </w:r>
      <w:proofErr w:type="gramStart"/>
      <w:r w:rsidR="00C93FFB" w:rsidRPr="003A51F3">
        <w:rPr>
          <w:rStyle w:val="CETCaptionCarattere"/>
          <w:i/>
        </w:rPr>
        <w:t>risk</w:t>
      </w:r>
      <w:proofErr w:type="gramEnd"/>
    </w:p>
    <w:p w14:paraId="48745D39" w14:textId="245EA0FE" w:rsidR="00C30FD1" w:rsidRPr="003A51F3" w:rsidRDefault="000306B1" w:rsidP="00BD077D">
      <w:pPr>
        <w:pStyle w:val="CETCaption"/>
        <w:rPr>
          <w:i w:val="0"/>
        </w:rPr>
      </w:pPr>
      <w:r>
        <w:rPr>
          <w:i w:val="0"/>
        </w:rPr>
        <w:t>Moreover</w:t>
      </w:r>
      <w:r w:rsidR="00267109" w:rsidRPr="003A51F3">
        <w:rPr>
          <w:i w:val="0"/>
        </w:rPr>
        <w:t xml:space="preserve">, the respondents in all three countries perceive transportation as the technical procedure with the highest </w:t>
      </w:r>
      <w:r>
        <w:rPr>
          <w:i w:val="0"/>
        </w:rPr>
        <w:t xml:space="preserve">accident </w:t>
      </w:r>
      <w:r w:rsidR="00267109" w:rsidRPr="003A51F3">
        <w:rPr>
          <w:i w:val="0"/>
        </w:rPr>
        <w:t>risk, accounting for 18.6%, 36.2%, and 31.0%, respectively. Spanish respondents also consider transportation</w:t>
      </w:r>
      <w:r>
        <w:rPr>
          <w:i w:val="0"/>
        </w:rPr>
        <w:t>-related accidents</w:t>
      </w:r>
      <w:r w:rsidR="00267109" w:rsidRPr="003A51F3">
        <w:rPr>
          <w:i w:val="0"/>
        </w:rPr>
        <w:t xml:space="preserve"> to have the </w:t>
      </w:r>
      <w:r>
        <w:rPr>
          <w:i w:val="0"/>
        </w:rPr>
        <w:t>most severe</w:t>
      </w:r>
      <w:r w:rsidR="00267109" w:rsidRPr="003A51F3">
        <w:rPr>
          <w:i w:val="0"/>
        </w:rPr>
        <w:t xml:space="preserve"> consequence</w:t>
      </w:r>
      <w:r>
        <w:rPr>
          <w:i w:val="0"/>
        </w:rPr>
        <w:t>s</w:t>
      </w:r>
      <w:r w:rsidR="00267109" w:rsidRPr="003A51F3">
        <w:rPr>
          <w:i w:val="0"/>
        </w:rPr>
        <w:t xml:space="preserve">, with a </w:t>
      </w:r>
      <w:r w:rsidRPr="003A51F3">
        <w:rPr>
          <w:i w:val="0"/>
        </w:rPr>
        <w:t>p</w:t>
      </w:r>
      <w:r>
        <w:rPr>
          <w:i w:val="0"/>
        </w:rPr>
        <w:t>ercentage</w:t>
      </w:r>
      <w:r w:rsidRPr="003A51F3">
        <w:rPr>
          <w:i w:val="0"/>
        </w:rPr>
        <w:t xml:space="preserve"> </w:t>
      </w:r>
      <w:r w:rsidR="00267109" w:rsidRPr="003A51F3">
        <w:rPr>
          <w:i w:val="0"/>
        </w:rPr>
        <w:t>of 27.0%</w:t>
      </w:r>
      <w:r w:rsidR="008D7CFC" w:rsidRPr="003A51F3">
        <w:rPr>
          <w:i w:val="0"/>
        </w:rPr>
        <w:t>. In contrast,</w:t>
      </w:r>
      <w:r w:rsidR="00267109" w:rsidRPr="003A51F3">
        <w:rPr>
          <w:i w:val="0"/>
        </w:rPr>
        <w:t xml:space="preserve"> Japanese and Norwegian respondents believe that storage</w:t>
      </w:r>
      <w:r>
        <w:rPr>
          <w:i w:val="0"/>
        </w:rPr>
        <w:t>-related ones</w:t>
      </w:r>
      <w:r w:rsidR="00267109" w:rsidRPr="003A51F3">
        <w:rPr>
          <w:i w:val="0"/>
        </w:rPr>
        <w:t xml:space="preserve"> </w:t>
      </w:r>
      <w:r w:rsidRPr="003A51F3">
        <w:rPr>
          <w:i w:val="0"/>
        </w:rPr>
        <w:t>ha</w:t>
      </w:r>
      <w:r>
        <w:rPr>
          <w:i w:val="0"/>
        </w:rPr>
        <w:t>ve</w:t>
      </w:r>
      <w:r w:rsidRPr="003A51F3">
        <w:rPr>
          <w:i w:val="0"/>
        </w:rPr>
        <w:t xml:space="preserve"> </w:t>
      </w:r>
      <w:r w:rsidR="00267109" w:rsidRPr="003A51F3">
        <w:rPr>
          <w:i w:val="0"/>
        </w:rPr>
        <w:t xml:space="preserve">the </w:t>
      </w:r>
      <w:r>
        <w:rPr>
          <w:i w:val="0"/>
        </w:rPr>
        <w:t>most severe</w:t>
      </w:r>
      <w:r w:rsidRPr="003A51F3">
        <w:rPr>
          <w:i w:val="0"/>
        </w:rPr>
        <w:t xml:space="preserve"> effects</w:t>
      </w:r>
      <w:r w:rsidR="00267109" w:rsidRPr="003A51F3">
        <w:rPr>
          <w:i w:val="0"/>
        </w:rPr>
        <w:t xml:space="preserve">, with </w:t>
      </w:r>
      <w:r w:rsidRPr="003A51F3">
        <w:rPr>
          <w:i w:val="0"/>
        </w:rPr>
        <w:t>p</w:t>
      </w:r>
      <w:r>
        <w:rPr>
          <w:i w:val="0"/>
        </w:rPr>
        <w:t>ercentages</w:t>
      </w:r>
      <w:r w:rsidR="00267109" w:rsidRPr="003A51F3">
        <w:rPr>
          <w:i w:val="0"/>
        </w:rPr>
        <w:t xml:space="preserve"> of 16.0% and 23.4%</w:t>
      </w:r>
      <w:r w:rsidR="008D7CFC" w:rsidRPr="003A51F3">
        <w:rPr>
          <w:i w:val="0"/>
        </w:rPr>
        <w:t>,</w:t>
      </w:r>
      <w:r w:rsidR="00267109" w:rsidRPr="003A51F3">
        <w:rPr>
          <w:i w:val="0"/>
        </w:rPr>
        <w:t xml:space="preserve"> respectively. Figure 6 </w:t>
      </w:r>
      <w:r w:rsidR="00147EBA" w:rsidRPr="003A51F3">
        <w:rPr>
          <w:i w:val="0"/>
        </w:rPr>
        <w:t xml:space="preserve">depicts </w:t>
      </w:r>
      <w:r w:rsidR="00267109" w:rsidRPr="003A51F3">
        <w:rPr>
          <w:i w:val="0"/>
        </w:rPr>
        <w:t>the</w:t>
      </w:r>
      <w:r>
        <w:rPr>
          <w:i w:val="0"/>
        </w:rPr>
        <w:t>se</w:t>
      </w:r>
      <w:r w:rsidR="00267109" w:rsidRPr="003A51F3">
        <w:rPr>
          <w:i w:val="0"/>
        </w:rPr>
        <w:t xml:space="preserve"> perceived and actual risk rankings.</w:t>
      </w:r>
    </w:p>
    <w:p w14:paraId="66CE9C5E" w14:textId="527ED153" w:rsidR="007C5F8D" w:rsidRPr="003A51F3" w:rsidRDefault="003A51F3" w:rsidP="00E35C53">
      <w:pPr>
        <w:pStyle w:val="CETCaption"/>
        <w:rPr>
          <w:rStyle w:val="CETCaptionCarattere"/>
          <w:iCs/>
        </w:rPr>
      </w:pPr>
      <w:r w:rsidRPr="003A51F3">
        <w:rPr>
          <w:noProof/>
        </w:rPr>
        <w:drawing>
          <wp:inline distT="0" distB="0" distL="0" distR="0" wp14:anchorId="00AB8FA0" wp14:editId="4E482967">
            <wp:extent cx="4668928" cy="2387864"/>
            <wp:effectExtent l="0" t="0" r="0" b="0"/>
            <wp:docPr id="208572704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727041" name="Picture 1" descr="Tabl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88577" cy="2397913"/>
                    </a:xfrm>
                    <a:prstGeom prst="rect">
                      <a:avLst/>
                    </a:prstGeom>
                    <a:noFill/>
                    <a:ln>
                      <a:noFill/>
                    </a:ln>
                  </pic:spPr>
                </pic:pic>
              </a:graphicData>
            </a:graphic>
          </wp:inline>
        </w:drawing>
      </w:r>
    </w:p>
    <w:p w14:paraId="1CF82F8A" w14:textId="55FFC879" w:rsidR="00701B38" w:rsidRPr="003A51F3" w:rsidRDefault="00701B38" w:rsidP="00701B38">
      <w:pPr>
        <w:pStyle w:val="CETCaption"/>
        <w:rPr>
          <w:rStyle w:val="CETCaptionCarattere"/>
          <w:iCs/>
        </w:rPr>
      </w:pPr>
      <w:r w:rsidRPr="003A51F3">
        <w:rPr>
          <w:rStyle w:val="CETCaptionCarattere"/>
          <w:i/>
        </w:rPr>
        <w:t xml:space="preserve">Figure </w:t>
      </w:r>
      <w:r w:rsidR="00626E2B" w:rsidRPr="003A51F3">
        <w:rPr>
          <w:rStyle w:val="CETCaptionCarattere"/>
          <w:i/>
        </w:rPr>
        <w:t>6</w:t>
      </w:r>
      <w:r w:rsidRPr="003A51F3">
        <w:rPr>
          <w:rStyle w:val="CETCaptionCarattere"/>
          <w:i/>
        </w:rPr>
        <w:t>: Overall comparison of perceived and</w:t>
      </w:r>
      <w:r w:rsidR="00456EA9" w:rsidRPr="00456EA9">
        <w:rPr>
          <w:rStyle w:val="CETCaptionCarattere"/>
          <w:i/>
        </w:rPr>
        <w:t xml:space="preserve"> </w:t>
      </w:r>
      <w:r w:rsidR="00456EA9">
        <w:rPr>
          <w:rStyle w:val="CETCaptionCarattere"/>
          <w:i/>
        </w:rPr>
        <w:t xml:space="preserve">actual </w:t>
      </w:r>
      <w:r w:rsidR="00456EA9" w:rsidRPr="003A51F3">
        <w:rPr>
          <w:rStyle w:val="CETCaptionCarattere"/>
          <w:i/>
        </w:rPr>
        <w:t>risk</w:t>
      </w:r>
    </w:p>
    <w:p w14:paraId="1E186E30" w14:textId="134BC680" w:rsidR="007C5F8D" w:rsidRPr="003A51F3" w:rsidRDefault="00505430" w:rsidP="00505430">
      <w:pPr>
        <w:pStyle w:val="CETBodytext"/>
        <w:rPr>
          <w:lang w:val="en-GB"/>
        </w:rPr>
      </w:pPr>
      <w:r w:rsidRPr="003A51F3">
        <w:rPr>
          <w:lang w:val="en-GB"/>
        </w:rPr>
        <w:lastRenderedPageBreak/>
        <w:t xml:space="preserve">There are differences in </w:t>
      </w:r>
      <w:r w:rsidR="00147EBA" w:rsidRPr="003A51F3">
        <w:rPr>
          <w:lang w:val="en-GB"/>
        </w:rPr>
        <w:t xml:space="preserve">risk </w:t>
      </w:r>
      <w:r w:rsidR="00EA2D7C">
        <w:rPr>
          <w:lang w:val="en-GB"/>
        </w:rPr>
        <w:t xml:space="preserve">likelihood </w:t>
      </w:r>
      <w:r w:rsidRPr="003A51F3">
        <w:rPr>
          <w:lang w:val="en-GB"/>
        </w:rPr>
        <w:t xml:space="preserve">perception among people from different countries, but overall, a similar trend is observed. </w:t>
      </w:r>
      <w:r w:rsidR="00147EBA" w:rsidRPr="003A51F3">
        <w:rPr>
          <w:lang w:val="en-GB"/>
        </w:rPr>
        <w:t xml:space="preserve">By comparing it with </w:t>
      </w:r>
      <w:r w:rsidRPr="003A51F3">
        <w:rPr>
          <w:lang w:val="en-GB"/>
        </w:rPr>
        <w:t>actual risk</w:t>
      </w:r>
      <w:r w:rsidR="00147EBA" w:rsidRPr="003A51F3">
        <w:rPr>
          <w:lang w:val="en-GB"/>
        </w:rPr>
        <w:t>s</w:t>
      </w:r>
      <w:r w:rsidRPr="003A51F3">
        <w:rPr>
          <w:lang w:val="en-GB"/>
        </w:rPr>
        <w:t xml:space="preserve">, the following </w:t>
      </w:r>
      <w:r w:rsidR="00CE3358">
        <w:rPr>
          <w:lang w:val="en-GB"/>
        </w:rPr>
        <w:t>observations</w:t>
      </w:r>
      <w:r w:rsidR="00CE3358" w:rsidRPr="003A51F3">
        <w:rPr>
          <w:lang w:val="en-GB"/>
        </w:rPr>
        <w:t xml:space="preserve"> </w:t>
      </w:r>
      <w:r w:rsidRPr="003A51F3">
        <w:rPr>
          <w:lang w:val="en-GB"/>
        </w:rPr>
        <w:t xml:space="preserve">can be </w:t>
      </w:r>
      <w:r w:rsidR="00147EBA" w:rsidRPr="003A51F3">
        <w:rPr>
          <w:lang w:val="en-GB"/>
        </w:rPr>
        <w:t>made</w:t>
      </w:r>
      <w:r w:rsidR="00CE3358">
        <w:rPr>
          <w:lang w:val="en-GB"/>
        </w:rPr>
        <w:t>.</w:t>
      </w:r>
      <w:r w:rsidR="00CE3358" w:rsidRPr="003A51F3">
        <w:rPr>
          <w:lang w:val="en-GB"/>
        </w:rPr>
        <w:t xml:space="preserve"> </w:t>
      </w:r>
      <w:r w:rsidR="008D7CFC" w:rsidRPr="003A51F3">
        <w:rPr>
          <w:lang w:val="en-GB"/>
        </w:rPr>
        <w:t xml:space="preserve">a) Approximately half of the public can perceive the differences in risk associated with different operational processes, which may result in </w:t>
      </w:r>
      <w:r w:rsidR="00654B24" w:rsidRPr="003A51F3">
        <w:rPr>
          <w:lang w:val="en-GB"/>
        </w:rPr>
        <w:t>differenti</w:t>
      </w:r>
      <w:r w:rsidR="00654B24">
        <w:rPr>
          <w:lang w:val="en-GB"/>
        </w:rPr>
        <w:t>ated</w:t>
      </w:r>
      <w:r w:rsidR="00654B24" w:rsidRPr="003A51F3">
        <w:rPr>
          <w:lang w:val="en-GB"/>
        </w:rPr>
        <w:t xml:space="preserve"> </w:t>
      </w:r>
      <w:r w:rsidR="008D7CFC" w:rsidRPr="003A51F3">
        <w:rPr>
          <w:lang w:val="en-GB"/>
        </w:rPr>
        <w:t>acceptance of on-site and off-site HFSs. b</w:t>
      </w:r>
      <w:r w:rsidRPr="003A51F3">
        <w:rPr>
          <w:lang w:val="en-GB"/>
        </w:rPr>
        <w:t>) People tend to overestimate the risk probability of transportation</w:t>
      </w:r>
      <w:r w:rsidR="00654B24">
        <w:rPr>
          <w:lang w:val="en-GB"/>
        </w:rPr>
        <w:t>-related accidents</w:t>
      </w:r>
      <w:r w:rsidRPr="003A51F3">
        <w:rPr>
          <w:lang w:val="en-GB"/>
        </w:rPr>
        <w:t xml:space="preserve"> and underestimate that of hydrogen production</w:t>
      </w:r>
      <w:r w:rsidR="00654B24">
        <w:rPr>
          <w:lang w:val="en-GB"/>
        </w:rPr>
        <w:t>-related accidents</w:t>
      </w:r>
      <w:r w:rsidRPr="003A51F3">
        <w:rPr>
          <w:lang w:val="en-GB"/>
        </w:rPr>
        <w:t xml:space="preserve">, </w:t>
      </w:r>
      <w:r w:rsidR="00D7107A" w:rsidRPr="003A51F3">
        <w:rPr>
          <w:lang w:val="en-GB"/>
        </w:rPr>
        <w:t xml:space="preserve">which is speculated to be related to the higher </w:t>
      </w:r>
      <w:r w:rsidR="00182680">
        <w:rPr>
          <w:lang w:val="en-GB"/>
        </w:rPr>
        <w:t>exposure</w:t>
      </w:r>
      <w:r w:rsidR="00182680" w:rsidRPr="003A51F3">
        <w:rPr>
          <w:lang w:val="en-GB"/>
        </w:rPr>
        <w:t xml:space="preserve"> </w:t>
      </w:r>
      <w:r w:rsidR="00D7107A" w:rsidRPr="003A51F3">
        <w:rPr>
          <w:lang w:val="en-GB"/>
        </w:rPr>
        <w:t>of the public to transportation</w:t>
      </w:r>
      <w:r w:rsidR="00654B24">
        <w:rPr>
          <w:lang w:val="en-GB"/>
        </w:rPr>
        <w:t>-related accidents</w:t>
      </w:r>
      <w:r w:rsidR="00D7107A" w:rsidRPr="003A51F3">
        <w:rPr>
          <w:lang w:val="en-GB"/>
        </w:rPr>
        <w:t xml:space="preserve"> and </w:t>
      </w:r>
      <w:r w:rsidR="008D7CFC" w:rsidRPr="003A51F3">
        <w:rPr>
          <w:lang w:val="en-GB"/>
        </w:rPr>
        <w:t>relatively</w:t>
      </w:r>
      <w:r w:rsidR="00D7107A" w:rsidRPr="003A51F3">
        <w:rPr>
          <w:lang w:val="en-GB"/>
        </w:rPr>
        <w:t xml:space="preserve"> limited exposure to </w:t>
      </w:r>
      <w:r w:rsidR="00182680">
        <w:rPr>
          <w:lang w:val="en-GB"/>
        </w:rPr>
        <w:t>th</w:t>
      </w:r>
      <w:r w:rsidR="004754F0">
        <w:rPr>
          <w:lang w:val="en-GB"/>
        </w:rPr>
        <w:t>ose</w:t>
      </w:r>
      <w:r w:rsidR="00182680">
        <w:rPr>
          <w:lang w:val="en-GB"/>
        </w:rPr>
        <w:t xml:space="preserve"> of </w:t>
      </w:r>
      <w:r w:rsidR="00D7107A" w:rsidRPr="003A51F3">
        <w:rPr>
          <w:lang w:val="en-GB"/>
        </w:rPr>
        <w:t>other processes.</w:t>
      </w:r>
      <w:r w:rsidR="001F6816" w:rsidRPr="003A51F3">
        <w:rPr>
          <w:lang w:val="en-GB"/>
        </w:rPr>
        <w:t xml:space="preserve"> </w:t>
      </w:r>
      <w:r w:rsidR="008D7CFC" w:rsidRPr="003A51F3">
        <w:rPr>
          <w:lang w:val="en-GB"/>
        </w:rPr>
        <w:t>c</w:t>
      </w:r>
      <w:r w:rsidRPr="003A51F3">
        <w:rPr>
          <w:lang w:val="en-GB"/>
        </w:rPr>
        <w:t>) People generally perceive that the consequence</w:t>
      </w:r>
      <w:r w:rsidR="00654B24">
        <w:rPr>
          <w:lang w:val="en-GB"/>
        </w:rPr>
        <w:t>s</w:t>
      </w:r>
      <w:r w:rsidRPr="003A51F3">
        <w:rPr>
          <w:lang w:val="en-GB"/>
        </w:rPr>
        <w:t xml:space="preserve"> of hydrogen storage</w:t>
      </w:r>
      <w:r w:rsidR="00654B24">
        <w:rPr>
          <w:lang w:val="en-GB"/>
        </w:rPr>
        <w:t>-related accidents</w:t>
      </w:r>
      <w:r w:rsidRPr="003A51F3">
        <w:rPr>
          <w:lang w:val="en-GB"/>
        </w:rPr>
        <w:t xml:space="preserve"> </w:t>
      </w:r>
      <w:r w:rsidR="00654B24">
        <w:rPr>
          <w:lang w:val="en-GB"/>
        </w:rPr>
        <w:t>are</w:t>
      </w:r>
      <w:r w:rsidR="00654B24" w:rsidRPr="003A51F3">
        <w:rPr>
          <w:lang w:val="en-GB"/>
        </w:rPr>
        <w:t xml:space="preserve"> </w:t>
      </w:r>
      <w:r w:rsidRPr="003A51F3">
        <w:rPr>
          <w:lang w:val="en-GB"/>
        </w:rPr>
        <w:t xml:space="preserve">the greatest while underestimating that of hydrogen production. </w:t>
      </w:r>
      <w:proofErr w:type="gramStart"/>
      <w:r w:rsidRPr="003A51F3">
        <w:rPr>
          <w:lang w:val="en-GB"/>
        </w:rPr>
        <w:t xml:space="preserve">In reality, </w:t>
      </w:r>
      <w:r w:rsidR="00654B24">
        <w:rPr>
          <w:lang w:val="en-GB"/>
        </w:rPr>
        <w:t>accidents</w:t>
      </w:r>
      <w:proofErr w:type="gramEnd"/>
      <w:r w:rsidR="00654B24" w:rsidRPr="003A51F3">
        <w:rPr>
          <w:lang w:val="en-GB"/>
        </w:rPr>
        <w:t xml:space="preserve"> </w:t>
      </w:r>
      <w:r w:rsidR="001F6816" w:rsidRPr="003A51F3">
        <w:rPr>
          <w:lang w:val="en-GB"/>
        </w:rPr>
        <w:t>in</w:t>
      </w:r>
      <w:r w:rsidRPr="003A51F3">
        <w:rPr>
          <w:lang w:val="en-GB"/>
        </w:rPr>
        <w:t xml:space="preserve"> the production and storage processes are similar</w:t>
      </w:r>
      <w:r w:rsidR="008D7CFC" w:rsidRPr="003A51F3">
        <w:rPr>
          <w:lang w:val="en-GB"/>
        </w:rPr>
        <w:t>,</w:t>
      </w:r>
      <w:r w:rsidRPr="003A51F3">
        <w:rPr>
          <w:lang w:val="en-GB"/>
        </w:rPr>
        <w:t xml:space="preserve"> </w:t>
      </w:r>
      <w:r w:rsidR="008D7CFC" w:rsidRPr="003A51F3">
        <w:rPr>
          <w:lang w:val="en-GB"/>
        </w:rPr>
        <w:t xml:space="preserve">both </w:t>
      </w:r>
      <w:r w:rsidRPr="003A51F3">
        <w:rPr>
          <w:lang w:val="en-GB"/>
        </w:rPr>
        <w:t xml:space="preserve">mainly from compressors. </w:t>
      </w:r>
      <w:r w:rsidR="008D7CFC" w:rsidRPr="003A51F3">
        <w:rPr>
          <w:lang w:val="en-GB"/>
        </w:rPr>
        <w:t>d</w:t>
      </w:r>
      <w:r w:rsidRPr="003A51F3">
        <w:rPr>
          <w:lang w:val="en-GB"/>
        </w:rPr>
        <w:t xml:space="preserve">) </w:t>
      </w:r>
      <w:proofErr w:type="gramStart"/>
      <w:r w:rsidR="001F6816" w:rsidRPr="003A51F3">
        <w:rPr>
          <w:lang w:val="en-GB"/>
        </w:rPr>
        <w:t>Public</w:t>
      </w:r>
      <w:proofErr w:type="gramEnd"/>
      <w:r w:rsidRPr="003A51F3">
        <w:rPr>
          <w:lang w:val="en-GB"/>
        </w:rPr>
        <w:t xml:space="preserve"> perception of risks regarding hydrogen dispensing is consistent with the actual situation, with pipework being the main source of </w:t>
      </w:r>
      <w:r w:rsidR="00654B24">
        <w:rPr>
          <w:lang w:val="en-GB"/>
        </w:rPr>
        <w:t>accidents</w:t>
      </w:r>
      <w:r w:rsidR="008D7CFC" w:rsidRPr="003A51F3">
        <w:rPr>
          <w:lang w:val="en-GB"/>
        </w:rPr>
        <w:t>. However,</w:t>
      </w:r>
      <w:r w:rsidRPr="003A51F3">
        <w:rPr>
          <w:lang w:val="en-GB"/>
        </w:rPr>
        <w:t xml:space="preserve"> the </w:t>
      </w:r>
      <w:r w:rsidR="003A51F3">
        <w:rPr>
          <w:lang w:val="en-GB"/>
        </w:rPr>
        <w:t>risk</w:t>
      </w:r>
      <w:r w:rsidRPr="003A51F3">
        <w:rPr>
          <w:lang w:val="en-GB"/>
        </w:rPr>
        <w:t xml:space="preserve"> </w:t>
      </w:r>
      <w:r w:rsidR="003A51F3">
        <w:rPr>
          <w:lang w:val="en-GB"/>
        </w:rPr>
        <w:t xml:space="preserve">probability and </w:t>
      </w:r>
      <w:r w:rsidRPr="003A51F3">
        <w:rPr>
          <w:lang w:val="en-GB"/>
        </w:rPr>
        <w:t xml:space="preserve">consequence </w:t>
      </w:r>
      <w:r w:rsidR="003A51F3">
        <w:rPr>
          <w:lang w:val="en-GB"/>
        </w:rPr>
        <w:t xml:space="preserve">are at </w:t>
      </w:r>
      <w:r w:rsidRPr="003A51F3">
        <w:rPr>
          <w:lang w:val="en-GB"/>
        </w:rPr>
        <w:t>relatively low</w:t>
      </w:r>
      <w:r w:rsidR="003A51F3">
        <w:rPr>
          <w:lang w:val="en-GB"/>
        </w:rPr>
        <w:t xml:space="preserve"> levels</w:t>
      </w:r>
      <w:r w:rsidRPr="003A51F3">
        <w:rPr>
          <w:lang w:val="en-GB"/>
        </w:rPr>
        <w:t>.</w:t>
      </w:r>
    </w:p>
    <w:p w14:paraId="0DB9AE78" w14:textId="2616B7D8" w:rsidR="00012F49" w:rsidRPr="003A51F3" w:rsidRDefault="00505430" w:rsidP="00505430">
      <w:pPr>
        <w:pStyle w:val="CETHeading1"/>
        <w:rPr>
          <w:lang w:val="en-GB"/>
        </w:rPr>
      </w:pPr>
      <w:r w:rsidRPr="003A51F3">
        <w:rPr>
          <w:lang w:val="en-GB"/>
        </w:rPr>
        <w:t>Conclusions</w:t>
      </w:r>
    </w:p>
    <w:p w14:paraId="1289A9FD" w14:textId="666308A9" w:rsidR="00505430" w:rsidRPr="003A51F3" w:rsidRDefault="00012F49" w:rsidP="00505430">
      <w:pPr>
        <w:pStyle w:val="CETBodytext"/>
      </w:pPr>
      <w:r w:rsidRPr="003A51F3">
        <w:t xml:space="preserve">Based on the comparison of public perception and actual risks, this study found that hydrogen transportation is the technical procedure of HFS operations that the public is most concerned about, despite its lower </w:t>
      </w:r>
      <w:r w:rsidRPr="003A51F3">
        <w:rPr>
          <w:rFonts w:hint="eastAsia"/>
        </w:rPr>
        <w:t>empirical</w:t>
      </w:r>
      <w:r w:rsidRPr="003A51F3">
        <w:t xml:space="preserve"> risk compared to hydrogen production and storage. In this regard, researchers and practitioners should adopt different strategies to enhance public acceptance and </w:t>
      </w:r>
      <w:r w:rsidRPr="003A51F3">
        <w:rPr>
          <w:rFonts w:hint="eastAsia"/>
        </w:rPr>
        <w:t>hydrogen</w:t>
      </w:r>
      <w:r w:rsidRPr="003A51F3">
        <w:t xml:space="preserve"> technology </w:t>
      </w:r>
      <w:r w:rsidR="008D7CFC" w:rsidRPr="003A51F3">
        <w:t xml:space="preserve">safety </w:t>
      </w:r>
      <w:r w:rsidRPr="003A51F3">
        <w:t>due to the perception gaps.</w:t>
      </w:r>
      <w:r w:rsidR="003E0277" w:rsidRPr="003A51F3">
        <w:t xml:space="preserve"> As the process that </w:t>
      </w:r>
      <w:r w:rsidR="005E1C4B" w:rsidRPr="003A51F3">
        <w:t xml:space="preserve">the public </w:t>
      </w:r>
      <w:r w:rsidR="003E0277" w:rsidRPr="003A51F3">
        <w:t xml:space="preserve">is most </w:t>
      </w:r>
      <w:r w:rsidR="005E1C4B">
        <w:t>frequently</w:t>
      </w:r>
      <w:r w:rsidR="005E1C4B" w:rsidRPr="003A51F3">
        <w:t xml:space="preserve"> </w:t>
      </w:r>
      <w:r w:rsidR="003E0277" w:rsidRPr="003A51F3">
        <w:t>exposed to, transportation</w:t>
      </w:r>
      <w:r w:rsidR="00505430" w:rsidRPr="003A51F3">
        <w:t xml:space="preserve"> is a window that reflects the safety of hydrogen application, </w:t>
      </w:r>
      <w:r w:rsidR="008D7CFC" w:rsidRPr="003A51F3">
        <w:t>main</w:t>
      </w:r>
      <w:r w:rsidR="00505430" w:rsidRPr="003A51F3">
        <w:t xml:space="preserve">ly shaping the image of </w:t>
      </w:r>
      <w:r w:rsidR="003E0277" w:rsidRPr="003A51F3">
        <w:t>HFSs</w:t>
      </w:r>
      <w:r w:rsidR="00505430" w:rsidRPr="003A51F3">
        <w:t xml:space="preserve"> in the </w:t>
      </w:r>
      <w:r w:rsidR="005E1C4B" w:rsidRPr="003A51F3">
        <w:t>public</w:t>
      </w:r>
      <w:r w:rsidR="005E1C4B">
        <w:t>’</w:t>
      </w:r>
      <w:r w:rsidR="005E1C4B" w:rsidRPr="003A51F3">
        <w:t xml:space="preserve">s </w:t>
      </w:r>
      <w:r w:rsidR="00505430" w:rsidRPr="003A51F3">
        <w:t xml:space="preserve">perception. </w:t>
      </w:r>
      <w:r w:rsidR="008D7CFC" w:rsidRPr="003A51F3">
        <w:t>I</w:t>
      </w:r>
      <w:r w:rsidR="00505430" w:rsidRPr="003A51F3">
        <w:t xml:space="preserve">mproving transportation safety and promoting knowledge, such as incorporating safety technology promotions on the bodies of heavy-duty trucks, can be an effective </w:t>
      </w:r>
      <w:r w:rsidR="008D7CFC" w:rsidRPr="003A51F3">
        <w:t>measure</w:t>
      </w:r>
      <w:r w:rsidR="00505430" w:rsidRPr="003A51F3">
        <w:t xml:space="preserve"> to increase public acceptance of hydrogen energy.</w:t>
      </w:r>
    </w:p>
    <w:p w14:paraId="0281FC7D" w14:textId="00501982" w:rsidR="006B4A65" w:rsidRPr="003A51F3" w:rsidRDefault="000E36D7" w:rsidP="00505430">
      <w:pPr>
        <w:pStyle w:val="CETBodytext"/>
        <w:rPr>
          <w:lang w:eastAsia="zh-CN"/>
        </w:rPr>
      </w:pPr>
      <w:r w:rsidRPr="003A51F3">
        <w:rPr>
          <w:lang w:eastAsia="zh-CN"/>
        </w:rPr>
        <w:t xml:space="preserve">This study also explored risk perception differences in three countries, and the results suggest that hydrogen technology promotion </w:t>
      </w:r>
      <w:r w:rsidR="008D7CFC" w:rsidRPr="003A51F3">
        <w:rPr>
          <w:lang w:eastAsia="zh-CN"/>
        </w:rPr>
        <w:t>demands consideration of</w:t>
      </w:r>
      <w:r w:rsidRPr="003A51F3">
        <w:rPr>
          <w:lang w:eastAsia="zh-CN"/>
        </w:rPr>
        <w:t xml:space="preserve"> the local public</w:t>
      </w:r>
      <w:r w:rsidR="00762DAC">
        <w:rPr>
          <w:lang w:eastAsia="zh-CN"/>
        </w:rPr>
        <w:t>’</w:t>
      </w:r>
      <w:r w:rsidRPr="003A51F3">
        <w:rPr>
          <w:lang w:eastAsia="zh-CN"/>
        </w:rPr>
        <w:t xml:space="preserve">s psychological perception. The high proportion of neutral attitudes reflects the lack of </w:t>
      </w:r>
      <w:r w:rsidR="008D7CFC" w:rsidRPr="003A51F3">
        <w:rPr>
          <w:lang w:eastAsia="zh-CN"/>
        </w:rPr>
        <w:t xml:space="preserve">public </w:t>
      </w:r>
      <w:r w:rsidRPr="003A51F3">
        <w:rPr>
          <w:lang w:eastAsia="zh-CN"/>
        </w:rPr>
        <w:t xml:space="preserve">confidence </w:t>
      </w:r>
      <w:r w:rsidR="008D7CFC" w:rsidRPr="003A51F3">
        <w:rPr>
          <w:lang w:eastAsia="zh-CN"/>
        </w:rPr>
        <w:t>in</w:t>
      </w:r>
      <w:r w:rsidRPr="003A51F3">
        <w:rPr>
          <w:lang w:eastAsia="zh-CN"/>
        </w:rPr>
        <w:t xml:space="preserve"> HFS safety, </w:t>
      </w:r>
      <w:r w:rsidR="008D7CFC" w:rsidRPr="003A51F3">
        <w:rPr>
          <w:lang w:eastAsia="zh-CN"/>
        </w:rPr>
        <w:t xml:space="preserve">also </w:t>
      </w:r>
      <w:r w:rsidRPr="003A51F3">
        <w:rPr>
          <w:lang w:eastAsia="zh-CN"/>
        </w:rPr>
        <w:t>impl</w:t>
      </w:r>
      <w:r w:rsidR="008D7CFC" w:rsidRPr="003A51F3">
        <w:rPr>
          <w:lang w:eastAsia="zh-CN"/>
        </w:rPr>
        <w:t>ying</w:t>
      </w:r>
      <w:r w:rsidRPr="003A51F3">
        <w:rPr>
          <w:lang w:eastAsia="zh-CN"/>
        </w:rPr>
        <w:t xml:space="preserve"> an </w:t>
      </w:r>
      <w:r w:rsidR="008D7CFC" w:rsidRPr="003A51F3">
        <w:rPr>
          <w:lang w:eastAsia="zh-CN"/>
        </w:rPr>
        <w:t>excellen</w:t>
      </w:r>
      <w:r w:rsidR="0020713D" w:rsidRPr="003A51F3">
        <w:rPr>
          <w:lang w:eastAsia="zh-CN"/>
        </w:rPr>
        <w:t>t</w:t>
      </w:r>
      <w:r w:rsidRPr="003A51F3">
        <w:rPr>
          <w:lang w:eastAsia="zh-CN"/>
        </w:rPr>
        <w:t xml:space="preserve"> opportunity to raise social awareness of HFSs and related technologies</w:t>
      </w:r>
      <w:r w:rsidR="008D7CFC" w:rsidRPr="003A51F3">
        <w:rPr>
          <w:lang w:eastAsia="zh-CN"/>
        </w:rPr>
        <w:t xml:space="preserve"> to gain broad public support</w:t>
      </w:r>
      <w:r w:rsidRPr="003A51F3">
        <w:rPr>
          <w:lang w:eastAsia="zh-CN"/>
        </w:rPr>
        <w:t>. This could effectively reduce public concerns and</w:t>
      </w:r>
      <w:r w:rsidR="00762DAC">
        <w:rPr>
          <w:lang w:eastAsia="zh-CN"/>
        </w:rPr>
        <w:t xml:space="preserve"> </w:t>
      </w:r>
      <w:r w:rsidR="002578EE">
        <w:rPr>
          <w:lang w:eastAsia="zh-CN"/>
        </w:rPr>
        <w:t>hence</w:t>
      </w:r>
      <w:r w:rsidRPr="003A51F3">
        <w:rPr>
          <w:lang w:eastAsia="zh-CN"/>
        </w:rPr>
        <w:t xml:space="preserve"> is of great societal significance for the future adoption of hydrogen energy.</w:t>
      </w:r>
    </w:p>
    <w:p w14:paraId="459D05E6" w14:textId="77777777" w:rsidR="00600535" w:rsidRPr="003A51F3" w:rsidRDefault="00600535" w:rsidP="00600535">
      <w:pPr>
        <w:pStyle w:val="CETAcknowledgementstitle"/>
      </w:pPr>
      <w:r w:rsidRPr="003A51F3">
        <w:t>Acknowledgments</w:t>
      </w:r>
    </w:p>
    <w:p w14:paraId="33F8138F" w14:textId="654872E0" w:rsidR="00600535" w:rsidRPr="003A51F3" w:rsidRDefault="00EF0C65" w:rsidP="00600535">
      <w:pPr>
        <w:pStyle w:val="CETBodytext"/>
        <w:rPr>
          <w:lang w:val="en-GB"/>
        </w:rPr>
      </w:pPr>
      <w:r w:rsidRPr="003A51F3">
        <w:rPr>
          <w:lang w:val="en-GB"/>
        </w:rPr>
        <w:t>This work was supported by JST SICORP Grant Number JPMJSC21C5, Japan, through the European Interest Group (EIG) CONCERT-Japan platform (Grant Number 334340).</w:t>
      </w:r>
    </w:p>
    <w:p w14:paraId="4F1327F8" w14:textId="77777777" w:rsidR="00600535" w:rsidRPr="003A51F3" w:rsidRDefault="00600535" w:rsidP="00600535">
      <w:pPr>
        <w:pStyle w:val="CETReference"/>
      </w:pPr>
      <w:r w:rsidRPr="003A51F3">
        <w:t>References</w:t>
      </w:r>
    </w:p>
    <w:p w14:paraId="440A8465" w14:textId="0782E461" w:rsidR="003E0277" w:rsidRPr="003A51F3" w:rsidRDefault="003E0277" w:rsidP="003E0277">
      <w:pPr>
        <w:pStyle w:val="CETReferencetext"/>
      </w:pPr>
      <w:proofErr w:type="spellStart"/>
      <w:r w:rsidRPr="003A51F3">
        <w:t>Ajanovic</w:t>
      </w:r>
      <w:proofErr w:type="spellEnd"/>
      <w:r w:rsidRPr="003A51F3">
        <w:t xml:space="preserve"> A., Haas R.</w:t>
      </w:r>
      <w:r w:rsidR="006B4A65" w:rsidRPr="003A51F3">
        <w:t>,</w:t>
      </w:r>
      <w:r w:rsidRPr="003A51F3">
        <w:t xml:space="preserve"> 2021</w:t>
      </w:r>
      <w:r w:rsidR="006B4A65" w:rsidRPr="003A51F3">
        <w:t>,</w:t>
      </w:r>
      <w:r w:rsidRPr="003A51F3">
        <w:t xml:space="preserve"> Prospects and impediments for hydrogen and fuel cell vehicles in the transport sector. International Journal of Hydrogen Energy, 46(16), 10049–10058.</w:t>
      </w:r>
    </w:p>
    <w:p w14:paraId="6285E657" w14:textId="66B9441E" w:rsidR="003E0277" w:rsidRPr="003A51F3" w:rsidRDefault="003E0277" w:rsidP="003E0277">
      <w:pPr>
        <w:pStyle w:val="CETReferencetext"/>
      </w:pPr>
      <w:r w:rsidRPr="003A51F3">
        <w:t>Alazemi J., Andrews J.</w:t>
      </w:r>
      <w:r w:rsidR="006B4A65" w:rsidRPr="003A51F3">
        <w:t>,</w:t>
      </w:r>
      <w:r w:rsidRPr="003A51F3">
        <w:t xml:space="preserve"> 2015</w:t>
      </w:r>
      <w:r w:rsidR="006B4A65" w:rsidRPr="003A51F3">
        <w:t xml:space="preserve">, </w:t>
      </w:r>
      <w:r w:rsidRPr="003A51F3">
        <w:t>Automotive hydrogen fuelling stations: An international review. Renewable and Sustainable Energy Reviews</w:t>
      </w:r>
      <w:r w:rsidR="008D7CFC" w:rsidRPr="003A51F3">
        <w:t xml:space="preserve">, </w:t>
      </w:r>
      <w:r w:rsidRPr="003A51F3">
        <w:t>48</w:t>
      </w:r>
      <w:r w:rsidR="008D7CFC" w:rsidRPr="003A51F3">
        <w:t>,</w:t>
      </w:r>
      <w:r w:rsidRPr="003A51F3">
        <w:t xml:space="preserve"> 483–499.</w:t>
      </w:r>
    </w:p>
    <w:p w14:paraId="45E274AB" w14:textId="7EE7986C" w:rsidR="003E0277" w:rsidRPr="003A51F3" w:rsidRDefault="003E0277" w:rsidP="003E0277">
      <w:pPr>
        <w:pStyle w:val="CETReferencetext"/>
      </w:pPr>
      <w:r w:rsidRPr="003A51F3">
        <w:t>Apostolou D., Xydis G.</w:t>
      </w:r>
      <w:r w:rsidR="006B4A65" w:rsidRPr="003A51F3">
        <w:t>,</w:t>
      </w:r>
      <w:r w:rsidRPr="003A51F3">
        <w:t xml:space="preserve"> 2019</w:t>
      </w:r>
      <w:r w:rsidR="006B4A65" w:rsidRPr="003A51F3">
        <w:t>,</w:t>
      </w:r>
      <w:r w:rsidRPr="003A51F3">
        <w:t xml:space="preserve"> A literature review on hydrogen refuelling stations and infrastructure. </w:t>
      </w:r>
      <w:proofErr w:type="gramStart"/>
      <w:r w:rsidRPr="003A51F3">
        <w:t>Current status</w:t>
      </w:r>
      <w:proofErr w:type="gramEnd"/>
      <w:r w:rsidRPr="003A51F3">
        <w:t xml:space="preserve"> and future prospects. In Renewable and Sustainable Energy Reviews</w:t>
      </w:r>
      <w:r w:rsidR="008D7CFC" w:rsidRPr="003A51F3">
        <w:t>,</w:t>
      </w:r>
      <w:r w:rsidRPr="003A51F3">
        <w:t xml:space="preserve"> 113</w:t>
      </w:r>
      <w:r w:rsidR="008D7CFC" w:rsidRPr="003A51F3">
        <w:t>, 109292.</w:t>
      </w:r>
    </w:p>
    <w:p w14:paraId="1BA28E87" w14:textId="5D2DB681" w:rsidR="003E0277" w:rsidRPr="003A51F3" w:rsidRDefault="003E0277" w:rsidP="003E0277">
      <w:pPr>
        <w:pStyle w:val="CETReferencetext"/>
      </w:pPr>
      <w:proofErr w:type="spellStart"/>
      <w:r w:rsidRPr="003A51F3">
        <w:t>Huijts</w:t>
      </w:r>
      <w:proofErr w:type="spellEnd"/>
      <w:r w:rsidRPr="003A51F3">
        <w:t xml:space="preserve"> N. M. A., De Groot J. I. M., Molin E. J. E., Wee B.</w:t>
      </w:r>
      <w:r w:rsidR="006B4A65" w:rsidRPr="003A51F3">
        <w:t xml:space="preserve"> V.,</w:t>
      </w:r>
      <w:r w:rsidRPr="003A51F3">
        <w:t xml:space="preserve"> 2013</w:t>
      </w:r>
      <w:r w:rsidR="006B4A65" w:rsidRPr="003A51F3">
        <w:t>,</w:t>
      </w:r>
      <w:r w:rsidRPr="003A51F3">
        <w:t xml:space="preserve"> Intention to act towards a local hydrogen </w:t>
      </w:r>
      <w:proofErr w:type="spellStart"/>
      <w:r w:rsidRPr="003A51F3">
        <w:t>refueling</w:t>
      </w:r>
      <w:proofErr w:type="spellEnd"/>
      <w:r w:rsidRPr="003A51F3">
        <w:t xml:space="preserve"> facility: Moral considerations versus self-interest. Transportation Research Part A: Policy and Practice, 48, 63–74.</w:t>
      </w:r>
    </w:p>
    <w:p w14:paraId="464292AE" w14:textId="5A4AE7D2" w:rsidR="003E0277" w:rsidRPr="003A51F3" w:rsidRDefault="003E0277" w:rsidP="003E0277">
      <w:pPr>
        <w:pStyle w:val="CETReferencetext"/>
      </w:pPr>
      <w:proofErr w:type="spellStart"/>
      <w:r w:rsidRPr="003A51F3">
        <w:t>Huijts</w:t>
      </w:r>
      <w:proofErr w:type="spellEnd"/>
      <w:r w:rsidRPr="003A51F3">
        <w:t xml:space="preserve"> N. M. A., De Groot J. I. M., Molin E. J. E., </w:t>
      </w:r>
      <w:r w:rsidR="006B4A65" w:rsidRPr="003A51F3">
        <w:t>Wee B. V.,</w:t>
      </w:r>
      <w:r w:rsidRPr="003A51F3">
        <w:t xml:space="preserve"> 2015</w:t>
      </w:r>
      <w:r w:rsidR="006B4A65" w:rsidRPr="003A51F3">
        <w:t>,</w:t>
      </w:r>
      <w:r w:rsidRPr="003A51F3">
        <w:t xml:space="preserve"> The evaluation of hydrogen fuel stations by citizens: The interrelated effects of socio-demographic, spatial and psychological variables. International Journal of Hydrogen Energy, 40(33), 10367–10381.</w:t>
      </w:r>
    </w:p>
    <w:p w14:paraId="31FF4688" w14:textId="7C40C504" w:rsidR="003A3521" w:rsidRPr="003A51F3" w:rsidRDefault="003A3521" w:rsidP="003E0277">
      <w:pPr>
        <w:pStyle w:val="CETReferencetext"/>
      </w:pPr>
      <w:proofErr w:type="spellStart"/>
      <w:r w:rsidRPr="00800ECB">
        <w:t>Huijts</w:t>
      </w:r>
      <w:proofErr w:type="spellEnd"/>
      <w:r w:rsidRPr="00800ECB">
        <w:t xml:space="preserve"> N. M. A., De Groot J. I. M., Molin E. J. E., 2019</w:t>
      </w:r>
      <w:r w:rsidRPr="003A51F3">
        <w:t>,</w:t>
      </w:r>
      <w:r w:rsidRPr="00800ECB">
        <w:t xml:space="preserve"> </w:t>
      </w:r>
      <w:r w:rsidRPr="003A51F3">
        <w:t>A positive shift in the public acceptability of a low-carbon energy project after implementation: The case of a hydrogen fuel station. Sustainability, 11(8): 2220.</w:t>
      </w:r>
    </w:p>
    <w:p w14:paraId="0301FB8D" w14:textId="29C58F9E" w:rsidR="003E0277" w:rsidRPr="003A51F3" w:rsidRDefault="003E0277" w:rsidP="003E0277">
      <w:pPr>
        <w:pStyle w:val="CETReferencetext"/>
      </w:pPr>
      <w:r w:rsidRPr="003A51F3">
        <w:rPr>
          <w:rFonts w:hint="eastAsia"/>
        </w:rPr>
        <w:t>İ</w:t>
      </w:r>
      <w:r w:rsidRPr="003A51F3">
        <w:t>nci M.</w:t>
      </w:r>
      <w:r w:rsidR="006B4A65" w:rsidRPr="003A51F3">
        <w:t>,</w:t>
      </w:r>
      <w:r w:rsidRPr="003A51F3">
        <w:t xml:space="preserve"> 2022</w:t>
      </w:r>
      <w:r w:rsidR="006B4A65" w:rsidRPr="003A51F3">
        <w:t>,</w:t>
      </w:r>
      <w:r w:rsidRPr="003A51F3">
        <w:t xml:space="preserve"> Future vision of hydrogen fuel cells: A statistical review and research on applications, socio-economic impacts and forecasting prospects. Sustainable Energy Technologies and Assessments, 53</w:t>
      </w:r>
      <w:r w:rsidR="008D7CFC" w:rsidRPr="003A51F3">
        <w:t>, 102939.</w:t>
      </w:r>
    </w:p>
    <w:p w14:paraId="7E1BF7A2" w14:textId="1C309B1F" w:rsidR="003E0277" w:rsidRPr="003A51F3" w:rsidRDefault="003E0277" w:rsidP="003E0277">
      <w:pPr>
        <w:pStyle w:val="CETReferencetext"/>
      </w:pPr>
      <w:r w:rsidRPr="003A51F3">
        <w:t xml:space="preserve">Ono K., </w:t>
      </w:r>
      <w:proofErr w:type="spellStart"/>
      <w:r w:rsidRPr="003A51F3">
        <w:t>Tsunemi</w:t>
      </w:r>
      <w:proofErr w:type="spellEnd"/>
      <w:r w:rsidRPr="003A51F3">
        <w:t xml:space="preserve"> K.</w:t>
      </w:r>
      <w:r w:rsidR="006B4A65" w:rsidRPr="003A51F3">
        <w:t>,</w:t>
      </w:r>
      <w:r w:rsidRPr="003A51F3">
        <w:t xml:space="preserve"> 2017</w:t>
      </w:r>
      <w:r w:rsidR="006B4A65" w:rsidRPr="003A51F3">
        <w:t>,</w:t>
      </w:r>
      <w:r w:rsidRPr="003A51F3">
        <w:t xml:space="preserve"> Identification of public acceptance factors with risk perception scales on hydrogen </w:t>
      </w:r>
      <w:proofErr w:type="spellStart"/>
      <w:r w:rsidRPr="003A51F3">
        <w:t>fueling</w:t>
      </w:r>
      <w:proofErr w:type="spellEnd"/>
      <w:r w:rsidRPr="003A51F3">
        <w:t xml:space="preserve"> stations in Japan. International Journal of Hydrogen Energy, 42(16), 10697–10707.</w:t>
      </w:r>
    </w:p>
    <w:p w14:paraId="6FD31A05" w14:textId="147EA510" w:rsidR="003E0277" w:rsidRDefault="003E0277" w:rsidP="003E0277">
      <w:pPr>
        <w:pStyle w:val="CETReferencetext"/>
      </w:pPr>
      <w:r w:rsidRPr="00800ECB">
        <w:t xml:space="preserve">Pan X., Li Z., Zhang C., </w:t>
      </w:r>
      <w:proofErr w:type="spellStart"/>
      <w:r w:rsidRPr="00800ECB">
        <w:t>Lv</w:t>
      </w:r>
      <w:proofErr w:type="spellEnd"/>
      <w:r w:rsidRPr="00800ECB">
        <w:t xml:space="preserve"> H., Liu S., Ma J.</w:t>
      </w:r>
      <w:r w:rsidR="006B4A65" w:rsidRPr="00800ECB">
        <w:t>,</w:t>
      </w:r>
      <w:r w:rsidRPr="00800ECB">
        <w:t xml:space="preserve"> 2016</w:t>
      </w:r>
      <w:r w:rsidR="006B4A65">
        <w:t>,</w:t>
      </w:r>
      <w:r w:rsidRPr="00800ECB">
        <w:t xml:space="preserve"> </w:t>
      </w:r>
      <w:r>
        <w:t>Safety study of a wind–solar hybrid renewable hydrogen refuelling station in China. International Journal of Hydrogen Energy, 41(30), 13315–13321.</w:t>
      </w:r>
    </w:p>
    <w:p w14:paraId="109A2DC0" w14:textId="7459C595" w:rsidR="003E0277" w:rsidRDefault="003E0277" w:rsidP="003E0277">
      <w:pPr>
        <w:pStyle w:val="CETReferencetext"/>
      </w:pPr>
      <w:proofErr w:type="spellStart"/>
      <w:r w:rsidRPr="00800ECB">
        <w:t>Vereš</w:t>
      </w:r>
      <w:proofErr w:type="spellEnd"/>
      <w:r w:rsidRPr="00800ECB">
        <w:t xml:space="preserve"> J., </w:t>
      </w:r>
      <w:proofErr w:type="spellStart"/>
      <w:r w:rsidRPr="00800ECB">
        <w:t>Ochodek</w:t>
      </w:r>
      <w:proofErr w:type="spellEnd"/>
      <w:r w:rsidRPr="00800ECB">
        <w:t xml:space="preserve"> T., </w:t>
      </w:r>
      <w:proofErr w:type="spellStart"/>
      <w:r w:rsidRPr="00800ECB">
        <w:t>Koloničný</w:t>
      </w:r>
      <w:proofErr w:type="spellEnd"/>
      <w:r w:rsidRPr="00800ECB">
        <w:t xml:space="preserve"> J.</w:t>
      </w:r>
      <w:r w:rsidR="006B4A65" w:rsidRPr="00800ECB">
        <w:t>,</w:t>
      </w:r>
      <w:r w:rsidRPr="00800ECB">
        <w:t xml:space="preserve"> 2022</w:t>
      </w:r>
      <w:r w:rsidR="006B4A65">
        <w:t>,</w:t>
      </w:r>
      <w:r w:rsidRPr="00800ECB">
        <w:t xml:space="preserve"> </w:t>
      </w:r>
      <w:r>
        <w:t>Safety Aspects of Hydrogen Fuelling Stations. Chemical Engineering Transactions, 91, 49–54.</w:t>
      </w:r>
    </w:p>
    <w:p w14:paraId="01809B4F" w14:textId="1184088D" w:rsidR="000C3CD2" w:rsidRDefault="000C3CD2" w:rsidP="00AB4FD0">
      <w:pPr>
        <w:pStyle w:val="CETReferencetext"/>
      </w:pPr>
      <w:r w:rsidRPr="00AB4FD0">
        <w:t>Wilson R</w:t>
      </w:r>
      <w:r w:rsidR="00932DF4">
        <w:t>.</w:t>
      </w:r>
      <w:r w:rsidRPr="00AB4FD0">
        <w:t xml:space="preserve"> S., </w:t>
      </w:r>
      <w:proofErr w:type="spellStart"/>
      <w:r w:rsidRPr="00AB4FD0">
        <w:t>Zwickle</w:t>
      </w:r>
      <w:proofErr w:type="spellEnd"/>
      <w:r w:rsidR="00932DF4">
        <w:t xml:space="preserve"> A.</w:t>
      </w:r>
      <w:r w:rsidRPr="00AB4FD0">
        <w:t>, Walpole</w:t>
      </w:r>
      <w:r w:rsidR="00932DF4">
        <w:t xml:space="preserve"> H.,</w:t>
      </w:r>
      <w:r w:rsidRPr="00AB4FD0">
        <w:t xml:space="preserve"> 2019</w:t>
      </w:r>
      <w:r w:rsidR="00932DF4">
        <w:t>,</w:t>
      </w:r>
      <w:r w:rsidRPr="00AB4FD0">
        <w:t xml:space="preserve"> Developing a </w:t>
      </w:r>
      <w:r w:rsidR="00932DF4">
        <w:t>b</w:t>
      </w:r>
      <w:r w:rsidRPr="00AB4FD0">
        <w:t xml:space="preserve">roadly </w:t>
      </w:r>
      <w:r w:rsidR="00932DF4">
        <w:t>a</w:t>
      </w:r>
      <w:r w:rsidRPr="00AB4FD0">
        <w:t xml:space="preserve">pplicable </w:t>
      </w:r>
      <w:r w:rsidR="00932DF4">
        <w:t>m</w:t>
      </w:r>
      <w:r w:rsidRPr="00AB4FD0">
        <w:t xml:space="preserve">easure of </w:t>
      </w:r>
      <w:r w:rsidR="00932DF4">
        <w:t>r</w:t>
      </w:r>
      <w:r w:rsidRPr="00AB4FD0">
        <w:t xml:space="preserve">isk </w:t>
      </w:r>
      <w:r w:rsidR="00932DF4">
        <w:t>p</w:t>
      </w:r>
      <w:r w:rsidRPr="00AB4FD0">
        <w:t>erception. Risk Analysis</w:t>
      </w:r>
      <w:r w:rsidR="00932DF4">
        <w:t>,</w:t>
      </w:r>
      <w:r w:rsidRPr="00AB4FD0">
        <w:t xml:space="preserve"> 39 (4)</w:t>
      </w:r>
      <w:r w:rsidR="00932DF4">
        <w:t>,</w:t>
      </w:r>
      <w:r w:rsidRPr="00AB4FD0">
        <w:t xml:space="preserve"> 777–91.</w:t>
      </w:r>
    </w:p>
    <w:sectPr w:rsidR="000C3CD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ADAF3" w14:textId="77777777" w:rsidR="00CD02C4" w:rsidRDefault="00CD02C4" w:rsidP="004F5E36">
      <w:r>
        <w:separator/>
      </w:r>
    </w:p>
  </w:endnote>
  <w:endnote w:type="continuationSeparator" w:id="0">
    <w:p w14:paraId="3A856BBA" w14:textId="77777777" w:rsidR="00CD02C4" w:rsidRDefault="00CD02C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dvP6960">
    <w:altName w:val="Cambri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D7F54" w14:textId="77777777" w:rsidR="00CD02C4" w:rsidRDefault="00CD02C4" w:rsidP="004F5E36">
      <w:r>
        <w:separator/>
      </w:r>
    </w:p>
  </w:footnote>
  <w:footnote w:type="continuationSeparator" w:id="0">
    <w:p w14:paraId="5BC3AC44" w14:textId="77777777" w:rsidR="00CD02C4" w:rsidRDefault="00CD02C4"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8B4C7EA"/>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B174B3B"/>
    <w:multiLevelType w:val="multilevel"/>
    <w:tmpl w:val="B956A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7"/>
  </w:num>
  <w:num w:numId="13" w16cid:durableId="695733619">
    <w:abstractNumId w:val="12"/>
  </w:num>
  <w:num w:numId="14" w16cid:durableId="145903400">
    <w:abstractNumId w:val="18"/>
  </w:num>
  <w:num w:numId="15" w16cid:durableId="19162326">
    <w:abstractNumId w:val="21"/>
  </w:num>
  <w:num w:numId="16" w16cid:durableId="1977102699">
    <w:abstractNumId w:val="20"/>
  </w:num>
  <w:num w:numId="17" w16cid:durableId="860774865">
    <w:abstractNumId w:val="11"/>
  </w:num>
  <w:num w:numId="18" w16cid:durableId="313221457">
    <w:abstractNumId w:val="12"/>
    <w:lvlOverride w:ilvl="0">
      <w:startOverride w:val="1"/>
    </w:lvlOverride>
  </w:num>
  <w:num w:numId="19" w16cid:durableId="534971577">
    <w:abstractNumId w:val="16"/>
  </w:num>
  <w:num w:numId="20" w16cid:durableId="1150947773">
    <w:abstractNumId w:val="15"/>
  </w:num>
  <w:num w:numId="21" w16cid:durableId="124660497">
    <w:abstractNumId w:val="14"/>
  </w:num>
  <w:num w:numId="22" w16cid:durableId="2099861471">
    <w:abstractNumId w:val="13"/>
  </w:num>
  <w:num w:numId="23" w16cid:durableId="4233812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Mq0FAHYl1OMtAAAA"/>
  </w:docVars>
  <w:rsids>
    <w:rsidRoot w:val="000E414A"/>
    <w:rsid w:val="000027C0"/>
    <w:rsid w:val="000052FB"/>
    <w:rsid w:val="00006ED8"/>
    <w:rsid w:val="000117CB"/>
    <w:rsid w:val="00012F49"/>
    <w:rsid w:val="00023E8B"/>
    <w:rsid w:val="000306B1"/>
    <w:rsid w:val="00030926"/>
    <w:rsid w:val="0003148D"/>
    <w:rsid w:val="00031EEC"/>
    <w:rsid w:val="00036A52"/>
    <w:rsid w:val="000437BB"/>
    <w:rsid w:val="00044FA4"/>
    <w:rsid w:val="00051566"/>
    <w:rsid w:val="000518CB"/>
    <w:rsid w:val="000562A9"/>
    <w:rsid w:val="00062A9A"/>
    <w:rsid w:val="00063F7B"/>
    <w:rsid w:val="00065058"/>
    <w:rsid w:val="00086C39"/>
    <w:rsid w:val="000A03B2"/>
    <w:rsid w:val="000A4BB7"/>
    <w:rsid w:val="000C3CD2"/>
    <w:rsid w:val="000C76CA"/>
    <w:rsid w:val="000D0268"/>
    <w:rsid w:val="000D34BE"/>
    <w:rsid w:val="000D6C17"/>
    <w:rsid w:val="000E102F"/>
    <w:rsid w:val="000E32FB"/>
    <w:rsid w:val="000E36D7"/>
    <w:rsid w:val="000E36F1"/>
    <w:rsid w:val="000E3A73"/>
    <w:rsid w:val="000E414A"/>
    <w:rsid w:val="000E4F1A"/>
    <w:rsid w:val="000F093C"/>
    <w:rsid w:val="000F787B"/>
    <w:rsid w:val="0012091F"/>
    <w:rsid w:val="00126BC2"/>
    <w:rsid w:val="001308B6"/>
    <w:rsid w:val="0013121F"/>
    <w:rsid w:val="00131FE6"/>
    <w:rsid w:val="0013263F"/>
    <w:rsid w:val="001331DF"/>
    <w:rsid w:val="00134DE4"/>
    <w:rsid w:val="0014034D"/>
    <w:rsid w:val="0014402A"/>
    <w:rsid w:val="00144D16"/>
    <w:rsid w:val="00145095"/>
    <w:rsid w:val="00147EBA"/>
    <w:rsid w:val="00150E59"/>
    <w:rsid w:val="00152DE3"/>
    <w:rsid w:val="00163042"/>
    <w:rsid w:val="00164CF9"/>
    <w:rsid w:val="001667A6"/>
    <w:rsid w:val="001738E1"/>
    <w:rsid w:val="00182680"/>
    <w:rsid w:val="00183DE7"/>
    <w:rsid w:val="00184AD6"/>
    <w:rsid w:val="001A2555"/>
    <w:rsid w:val="001A4AF7"/>
    <w:rsid w:val="001B0349"/>
    <w:rsid w:val="001B1E93"/>
    <w:rsid w:val="001B65C1"/>
    <w:rsid w:val="001C241F"/>
    <w:rsid w:val="001C684B"/>
    <w:rsid w:val="001D0CFB"/>
    <w:rsid w:val="001D21AF"/>
    <w:rsid w:val="001D53FC"/>
    <w:rsid w:val="001F241A"/>
    <w:rsid w:val="001F42A5"/>
    <w:rsid w:val="001F6816"/>
    <w:rsid w:val="001F6837"/>
    <w:rsid w:val="001F7B9D"/>
    <w:rsid w:val="00201C93"/>
    <w:rsid w:val="00202228"/>
    <w:rsid w:val="0020681D"/>
    <w:rsid w:val="0020713D"/>
    <w:rsid w:val="00216B20"/>
    <w:rsid w:val="002224B4"/>
    <w:rsid w:val="00236C30"/>
    <w:rsid w:val="00240963"/>
    <w:rsid w:val="002447EF"/>
    <w:rsid w:val="0024633A"/>
    <w:rsid w:val="00251550"/>
    <w:rsid w:val="0025234F"/>
    <w:rsid w:val="002578EE"/>
    <w:rsid w:val="00263B05"/>
    <w:rsid w:val="00267109"/>
    <w:rsid w:val="0027221A"/>
    <w:rsid w:val="00275B61"/>
    <w:rsid w:val="0028020B"/>
    <w:rsid w:val="00280FAF"/>
    <w:rsid w:val="00281C63"/>
    <w:rsid w:val="00281DDF"/>
    <w:rsid w:val="00282656"/>
    <w:rsid w:val="00296B83"/>
    <w:rsid w:val="002B040A"/>
    <w:rsid w:val="002B4015"/>
    <w:rsid w:val="002B78CE"/>
    <w:rsid w:val="002C2FB6"/>
    <w:rsid w:val="002D158E"/>
    <w:rsid w:val="002D7C91"/>
    <w:rsid w:val="002E5FA7"/>
    <w:rsid w:val="002F3309"/>
    <w:rsid w:val="003008CE"/>
    <w:rsid w:val="003009B7"/>
    <w:rsid w:val="00300E56"/>
    <w:rsid w:val="0030152C"/>
    <w:rsid w:val="00301E5B"/>
    <w:rsid w:val="00303A15"/>
    <w:rsid w:val="0030469C"/>
    <w:rsid w:val="00321CA6"/>
    <w:rsid w:val="00323763"/>
    <w:rsid w:val="00323C5F"/>
    <w:rsid w:val="00334C09"/>
    <w:rsid w:val="003410E3"/>
    <w:rsid w:val="00363C4C"/>
    <w:rsid w:val="003706C7"/>
    <w:rsid w:val="003723D4"/>
    <w:rsid w:val="00381905"/>
    <w:rsid w:val="00384695"/>
    <w:rsid w:val="00384CC8"/>
    <w:rsid w:val="00385F78"/>
    <w:rsid w:val="003871FD"/>
    <w:rsid w:val="003A0280"/>
    <w:rsid w:val="003A1E30"/>
    <w:rsid w:val="003A2829"/>
    <w:rsid w:val="003A3521"/>
    <w:rsid w:val="003A51F3"/>
    <w:rsid w:val="003A6FC6"/>
    <w:rsid w:val="003A7D1C"/>
    <w:rsid w:val="003B304B"/>
    <w:rsid w:val="003B3146"/>
    <w:rsid w:val="003D50F7"/>
    <w:rsid w:val="003E0277"/>
    <w:rsid w:val="003E4CC3"/>
    <w:rsid w:val="003F015E"/>
    <w:rsid w:val="00400414"/>
    <w:rsid w:val="00405E10"/>
    <w:rsid w:val="004110EE"/>
    <w:rsid w:val="0041446B"/>
    <w:rsid w:val="0044071E"/>
    <w:rsid w:val="0044329C"/>
    <w:rsid w:val="00444DE7"/>
    <w:rsid w:val="00453E24"/>
    <w:rsid w:val="00456EA9"/>
    <w:rsid w:val="00457456"/>
    <w:rsid w:val="004577FE"/>
    <w:rsid w:val="00457B9C"/>
    <w:rsid w:val="00461504"/>
    <w:rsid w:val="0046164A"/>
    <w:rsid w:val="004628D2"/>
    <w:rsid w:val="00462DCD"/>
    <w:rsid w:val="004648AD"/>
    <w:rsid w:val="004703A9"/>
    <w:rsid w:val="004754F0"/>
    <w:rsid w:val="004760DE"/>
    <w:rsid w:val="004763D7"/>
    <w:rsid w:val="0049532E"/>
    <w:rsid w:val="00496758"/>
    <w:rsid w:val="004A004E"/>
    <w:rsid w:val="004A24CF"/>
    <w:rsid w:val="004C3D1D"/>
    <w:rsid w:val="004C3D84"/>
    <w:rsid w:val="004C7913"/>
    <w:rsid w:val="004E4DD6"/>
    <w:rsid w:val="004F2576"/>
    <w:rsid w:val="004F5E36"/>
    <w:rsid w:val="00500C7F"/>
    <w:rsid w:val="00500ECD"/>
    <w:rsid w:val="00505430"/>
    <w:rsid w:val="00507B47"/>
    <w:rsid w:val="00507BEF"/>
    <w:rsid w:val="00507CC9"/>
    <w:rsid w:val="005119A5"/>
    <w:rsid w:val="00516AAC"/>
    <w:rsid w:val="005213F3"/>
    <w:rsid w:val="00526536"/>
    <w:rsid w:val="005278B7"/>
    <w:rsid w:val="00530409"/>
    <w:rsid w:val="00532016"/>
    <w:rsid w:val="005346C8"/>
    <w:rsid w:val="005435C4"/>
    <w:rsid w:val="00543E7D"/>
    <w:rsid w:val="00547A68"/>
    <w:rsid w:val="005530C4"/>
    <w:rsid w:val="005531C9"/>
    <w:rsid w:val="00570C43"/>
    <w:rsid w:val="005A2902"/>
    <w:rsid w:val="005B2110"/>
    <w:rsid w:val="005B5850"/>
    <w:rsid w:val="005B61E6"/>
    <w:rsid w:val="005C77E1"/>
    <w:rsid w:val="005D24A8"/>
    <w:rsid w:val="005D668A"/>
    <w:rsid w:val="005D6A2F"/>
    <w:rsid w:val="005E1A82"/>
    <w:rsid w:val="005E1C4B"/>
    <w:rsid w:val="005E7017"/>
    <w:rsid w:val="005E794C"/>
    <w:rsid w:val="005E7C48"/>
    <w:rsid w:val="005F021C"/>
    <w:rsid w:val="005F0A28"/>
    <w:rsid w:val="005F0E5E"/>
    <w:rsid w:val="00600535"/>
    <w:rsid w:val="00610CD6"/>
    <w:rsid w:val="006125D7"/>
    <w:rsid w:val="00620DEE"/>
    <w:rsid w:val="00621F92"/>
    <w:rsid w:val="0062280A"/>
    <w:rsid w:val="006236FD"/>
    <w:rsid w:val="00625639"/>
    <w:rsid w:val="006256D1"/>
    <w:rsid w:val="00626E2B"/>
    <w:rsid w:val="00631B33"/>
    <w:rsid w:val="0064184D"/>
    <w:rsid w:val="006422CC"/>
    <w:rsid w:val="00654B24"/>
    <w:rsid w:val="00660E3E"/>
    <w:rsid w:val="00662E74"/>
    <w:rsid w:val="00673F48"/>
    <w:rsid w:val="00680C23"/>
    <w:rsid w:val="00693766"/>
    <w:rsid w:val="006A3281"/>
    <w:rsid w:val="006B4888"/>
    <w:rsid w:val="006B4A65"/>
    <w:rsid w:val="006C2E45"/>
    <w:rsid w:val="006C359C"/>
    <w:rsid w:val="006C5579"/>
    <w:rsid w:val="006D6E8B"/>
    <w:rsid w:val="006E22CE"/>
    <w:rsid w:val="006E737D"/>
    <w:rsid w:val="006F6269"/>
    <w:rsid w:val="00701B38"/>
    <w:rsid w:val="00713973"/>
    <w:rsid w:val="00720A24"/>
    <w:rsid w:val="00722399"/>
    <w:rsid w:val="00732386"/>
    <w:rsid w:val="007346B7"/>
    <w:rsid w:val="0073514D"/>
    <w:rsid w:val="00740DB8"/>
    <w:rsid w:val="007447F3"/>
    <w:rsid w:val="0075499F"/>
    <w:rsid w:val="00761912"/>
    <w:rsid w:val="00762DAC"/>
    <w:rsid w:val="007661C8"/>
    <w:rsid w:val="00766830"/>
    <w:rsid w:val="0077098D"/>
    <w:rsid w:val="00774B5C"/>
    <w:rsid w:val="007805C2"/>
    <w:rsid w:val="007931FA"/>
    <w:rsid w:val="007A4861"/>
    <w:rsid w:val="007A7BBA"/>
    <w:rsid w:val="007B0C50"/>
    <w:rsid w:val="007B48F9"/>
    <w:rsid w:val="007B4CA4"/>
    <w:rsid w:val="007C1A43"/>
    <w:rsid w:val="007C5F8D"/>
    <w:rsid w:val="007C6BD1"/>
    <w:rsid w:val="007D0951"/>
    <w:rsid w:val="007D1BEB"/>
    <w:rsid w:val="007D7BE9"/>
    <w:rsid w:val="0080013E"/>
    <w:rsid w:val="00800ECB"/>
    <w:rsid w:val="00813288"/>
    <w:rsid w:val="008168FC"/>
    <w:rsid w:val="00816984"/>
    <w:rsid w:val="008305A4"/>
    <w:rsid w:val="00830996"/>
    <w:rsid w:val="00833CE4"/>
    <w:rsid w:val="008345F1"/>
    <w:rsid w:val="00842338"/>
    <w:rsid w:val="008551DB"/>
    <w:rsid w:val="00855330"/>
    <w:rsid w:val="00865B07"/>
    <w:rsid w:val="008667EA"/>
    <w:rsid w:val="00867A59"/>
    <w:rsid w:val="008757A6"/>
    <w:rsid w:val="0087637F"/>
    <w:rsid w:val="00892AD5"/>
    <w:rsid w:val="008958EF"/>
    <w:rsid w:val="008A1512"/>
    <w:rsid w:val="008B7C03"/>
    <w:rsid w:val="008C35B5"/>
    <w:rsid w:val="008C66C2"/>
    <w:rsid w:val="008D32B9"/>
    <w:rsid w:val="008D433B"/>
    <w:rsid w:val="008D4A16"/>
    <w:rsid w:val="008D7CFC"/>
    <w:rsid w:val="008E43B8"/>
    <w:rsid w:val="008E566E"/>
    <w:rsid w:val="0090161A"/>
    <w:rsid w:val="00901EB6"/>
    <w:rsid w:val="00904C62"/>
    <w:rsid w:val="009172BD"/>
    <w:rsid w:val="00922BA8"/>
    <w:rsid w:val="00924DAC"/>
    <w:rsid w:val="00927058"/>
    <w:rsid w:val="00932DF4"/>
    <w:rsid w:val="00942750"/>
    <w:rsid w:val="009450CE"/>
    <w:rsid w:val="009459BB"/>
    <w:rsid w:val="00947179"/>
    <w:rsid w:val="0095164B"/>
    <w:rsid w:val="00953831"/>
    <w:rsid w:val="00954090"/>
    <w:rsid w:val="009573E7"/>
    <w:rsid w:val="00963E05"/>
    <w:rsid w:val="00964A45"/>
    <w:rsid w:val="00967843"/>
    <w:rsid w:val="00967D54"/>
    <w:rsid w:val="00971028"/>
    <w:rsid w:val="00972741"/>
    <w:rsid w:val="009817F4"/>
    <w:rsid w:val="00992C7A"/>
    <w:rsid w:val="00993B84"/>
    <w:rsid w:val="00996483"/>
    <w:rsid w:val="00996F5A"/>
    <w:rsid w:val="009B041A"/>
    <w:rsid w:val="009C37C3"/>
    <w:rsid w:val="009C7C86"/>
    <w:rsid w:val="009D019D"/>
    <w:rsid w:val="009D2FF7"/>
    <w:rsid w:val="009E7884"/>
    <w:rsid w:val="009E788A"/>
    <w:rsid w:val="009F0E08"/>
    <w:rsid w:val="009F3099"/>
    <w:rsid w:val="009F580B"/>
    <w:rsid w:val="009F7EC3"/>
    <w:rsid w:val="00A114B7"/>
    <w:rsid w:val="00A1763D"/>
    <w:rsid w:val="00A17CEC"/>
    <w:rsid w:val="00A23FA3"/>
    <w:rsid w:val="00A241B5"/>
    <w:rsid w:val="00A26B7A"/>
    <w:rsid w:val="00A27EF0"/>
    <w:rsid w:val="00A42361"/>
    <w:rsid w:val="00A50B20"/>
    <w:rsid w:val="00A51390"/>
    <w:rsid w:val="00A60D13"/>
    <w:rsid w:val="00A612FD"/>
    <w:rsid w:val="00A643BA"/>
    <w:rsid w:val="00A7223D"/>
    <w:rsid w:val="00A72745"/>
    <w:rsid w:val="00A76EFC"/>
    <w:rsid w:val="00A80B0A"/>
    <w:rsid w:val="00A834B4"/>
    <w:rsid w:val="00A865C2"/>
    <w:rsid w:val="00A87D50"/>
    <w:rsid w:val="00A91010"/>
    <w:rsid w:val="00A97F29"/>
    <w:rsid w:val="00AA0C05"/>
    <w:rsid w:val="00AA702E"/>
    <w:rsid w:val="00AA7D26"/>
    <w:rsid w:val="00AB0964"/>
    <w:rsid w:val="00AB4FD0"/>
    <w:rsid w:val="00AB5011"/>
    <w:rsid w:val="00AC0270"/>
    <w:rsid w:val="00AC5891"/>
    <w:rsid w:val="00AC7368"/>
    <w:rsid w:val="00AD16B9"/>
    <w:rsid w:val="00AE3454"/>
    <w:rsid w:val="00AE377D"/>
    <w:rsid w:val="00AF0EBA"/>
    <w:rsid w:val="00B02C8A"/>
    <w:rsid w:val="00B17FBD"/>
    <w:rsid w:val="00B26674"/>
    <w:rsid w:val="00B315A6"/>
    <w:rsid w:val="00B315B5"/>
    <w:rsid w:val="00B31813"/>
    <w:rsid w:val="00B32891"/>
    <w:rsid w:val="00B33365"/>
    <w:rsid w:val="00B4067D"/>
    <w:rsid w:val="00B4643F"/>
    <w:rsid w:val="00B5446F"/>
    <w:rsid w:val="00B57B36"/>
    <w:rsid w:val="00B57E6F"/>
    <w:rsid w:val="00B659B7"/>
    <w:rsid w:val="00B7225A"/>
    <w:rsid w:val="00B82509"/>
    <w:rsid w:val="00B8686D"/>
    <w:rsid w:val="00B92F29"/>
    <w:rsid w:val="00B93F69"/>
    <w:rsid w:val="00B95566"/>
    <w:rsid w:val="00B969F5"/>
    <w:rsid w:val="00BA1457"/>
    <w:rsid w:val="00BA1A97"/>
    <w:rsid w:val="00BB1DDC"/>
    <w:rsid w:val="00BB491A"/>
    <w:rsid w:val="00BB7AF9"/>
    <w:rsid w:val="00BC0C75"/>
    <w:rsid w:val="00BC30C9"/>
    <w:rsid w:val="00BC79DF"/>
    <w:rsid w:val="00BD077D"/>
    <w:rsid w:val="00BE00BE"/>
    <w:rsid w:val="00BE1B55"/>
    <w:rsid w:val="00BE3E58"/>
    <w:rsid w:val="00C01616"/>
    <w:rsid w:val="00C0162B"/>
    <w:rsid w:val="00C068ED"/>
    <w:rsid w:val="00C22E0C"/>
    <w:rsid w:val="00C230C8"/>
    <w:rsid w:val="00C25479"/>
    <w:rsid w:val="00C30FD1"/>
    <w:rsid w:val="00C330C6"/>
    <w:rsid w:val="00C345B1"/>
    <w:rsid w:val="00C40142"/>
    <w:rsid w:val="00C43EBB"/>
    <w:rsid w:val="00C52C3C"/>
    <w:rsid w:val="00C57182"/>
    <w:rsid w:val="00C57863"/>
    <w:rsid w:val="00C604F2"/>
    <w:rsid w:val="00C640AF"/>
    <w:rsid w:val="00C655FD"/>
    <w:rsid w:val="00C75407"/>
    <w:rsid w:val="00C870A8"/>
    <w:rsid w:val="00C8732A"/>
    <w:rsid w:val="00C91BA8"/>
    <w:rsid w:val="00C93FFB"/>
    <w:rsid w:val="00C94434"/>
    <w:rsid w:val="00CA0D4A"/>
    <w:rsid w:val="00CA0D75"/>
    <w:rsid w:val="00CA1C95"/>
    <w:rsid w:val="00CA5A9C"/>
    <w:rsid w:val="00CA6A0A"/>
    <w:rsid w:val="00CB7AD0"/>
    <w:rsid w:val="00CC4C20"/>
    <w:rsid w:val="00CD02C4"/>
    <w:rsid w:val="00CD19FD"/>
    <w:rsid w:val="00CD3517"/>
    <w:rsid w:val="00CD3870"/>
    <w:rsid w:val="00CD5FE2"/>
    <w:rsid w:val="00CE3358"/>
    <w:rsid w:val="00CE7C68"/>
    <w:rsid w:val="00CF324C"/>
    <w:rsid w:val="00CF4C32"/>
    <w:rsid w:val="00D02808"/>
    <w:rsid w:val="00D02B4C"/>
    <w:rsid w:val="00D040C4"/>
    <w:rsid w:val="00D108A7"/>
    <w:rsid w:val="00D1160C"/>
    <w:rsid w:val="00D1381D"/>
    <w:rsid w:val="00D20AD1"/>
    <w:rsid w:val="00D211BA"/>
    <w:rsid w:val="00D417EF"/>
    <w:rsid w:val="00D46B7E"/>
    <w:rsid w:val="00D57C84"/>
    <w:rsid w:val="00D6057D"/>
    <w:rsid w:val="00D62F57"/>
    <w:rsid w:val="00D631EE"/>
    <w:rsid w:val="00D648EC"/>
    <w:rsid w:val="00D6609B"/>
    <w:rsid w:val="00D66E3B"/>
    <w:rsid w:val="00D7107A"/>
    <w:rsid w:val="00D71640"/>
    <w:rsid w:val="00D836C5"/>
    <w:rsid w:val="00D84576"/>
    <w:rsid w:val="00DA1399"/>
    <w:rsid w:val="00DA221F"/>
    <w:rsid w:val="00DA24C6"/>
    <w:rsid w:val="00DA3BFC"/>
    <w:rsid w:val="00DA4D7B"/>
    <w:rsid w:val="00DB5AD4"/>
    <w:rsid w:val="00DD271C"/>
    <w:rsid w:val="00DD6BB7"/>
    <w:rsid w:val="00DE264A"/>
    <w:rsid w:val="00DF5072"/>
    <w:rsid w:val="00E02D18"/>
    <w:rsid w:val="00E03D3F"/>
    <w:rsid w:val="00E041E7"/>
    <w:rsid w:val="00E15922"/>
    <w:rsid w:val="00E23CA1"/>
    <w:rsid w:val="00E33CC7"/>
    <w:rsid w:val="00E33DD7"/>
    <w:rsid w:val="00E35C53"/>
    <w:rsid w:val="00E409A8"/>
    <w:rsid w:val="00E50C12"/>
    <w:rsid w:val="00E65B91"/>
    <w:rsid w:val="00E66A9C"/>
    <w:rsid w:val="00E7209D"/>
    <w:rsid w:val="00E72EAD"/>
    <w:rsid w:val="00E76439"/>
    <w:rsid w:val="00E77223"/>
    <w:rsid w:val="00E8528B"/>
    <w:rsid w:val="00E85B94"/>
    <w:rsid w:val="00E874B1"/>
    <w:rsid w:val="00E978D0"/>
    <w:rsid w:val="00EA2D7C"/>
    <w:rsid w:val="00EA4613"/>
    <w:rsid w:val="00EA7F91"/>
    <w:rsid w:val="00EB1523"/>
    <w:rsid w:val="00EC0E49"/>
    <w:rsid w:val="00EC101F"/>
    <w:rsid w:val="00EC1D9F"/>
    <w:rsid w:val="00EC4030"/>
    <w:rsid w:val="00ED5D7D"/>
    <w:rsid w:val="00ED6F2F"/>
    <w:rsid w:val="00EE0131"/>
    <w:rsid w:val="00EE17B0"/>
    <w:rsid w:val="00EE464B"/>
    <w:rsid w:val="00EF06D9"/>
    <w:rsid w:val="00EF0C65"/>
    <w:rsid w:val="00F01DD3"/>
    <w:rsid w:val="00F1583A"/>
    <w:rsid w:val="00F204A7"/>
    <w:rsid w:val="00F3049E"/>
    <w:rsid w:val="00F30C64"/>
    <w:rsid w:val="00F32BA2"/>
    <w:rsid w:val="00F32CDB"/>
    <w:rsid w:val="00F52DE4"/>
    <w:rsid w:val="00F55EBB"/>
    <w:rsid w:val="00F565FE"/>
    <w:rsid w:val="00F6109E"/>
    <w:rsid w:val="00F63A70"/>
    <w:rsid w:val="00F63D8C"/>
    <w:rsid w:val="00F7534E"/>
    <w:rsid w:val="00F91591"/>
    <w:rsid w:val="00F93EDF"/>
    <w:rsid w:val="00FA1802"/>
    <w:rsid w:val="00FA21D0"/>
    <w:rsid w:val="00FA433F"/>
    <w:rsid w:val="00FA5F5F"/>
    <w:rsid w:val="00FB130F"/>
    <w:rsid w:val="00FB2C8A"/>
    <w:rsid w:val="00FB730C"/>
    <w:rsid w:val="00FC2695"/>
    <w:rsid w:val="00FC3E03"/>
    <w:rsid w:val="00FC3FC1"/>
    <w:rsid w:val="00FC4C4F"/>
    <w:rsid w:val="00FC75A7"/>
    <w:rsid w:val="00FF1932"/>
    <w:rsid w:val="00FF37C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6236FD"/>
    <w:pPr>
      <w:keepNext/>
      <w:numPr>
        <w:ilvl w:val="2"/>
        <w:numId w:val="1"/>
      </w:numPr>
      <w:suppressAutoHyphens/>
      <w:spacing w:before="24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6236FD"/>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color w:val="0070C0"/>
      <w:sz w:val="18"/>
      <w:szCs w:val="20"/>
      <w:lang w:val="en-US"/>
    </w:rPr>
  </w:style>
  <w:style w:type="paragraph" w:styleId="ListParagraph">
    <w:name w:val="List Paragraph"/>
    <w:basedOn w:val="Normal"/>
    <w:uiPriority w:val="34"/>
    <w:rsid w:val="00280FAF"/>
    <w:pPr>
      <w:ind w:left="720"/>
      <w:contextualSpacing/>
    </w:pPr>
  </w:style>
  <w:style w:type="character" w:styleId="PlaceholderText">
    <w:name w:val="Placeholder Text"/>
    <w:basedOn w:val="DefaultParagraphFont"/>
    <w:uiPriority w:val="99"/>
    <w:semiHidden/>
    <w:rsid w:val="00B4067D"/>
    <w:rPr>
      <w:color w:val="808080"/>
    </w:rPr>
  </w:style>
  <w:style w:type="paragraph" w:styleId="Revision">
    <w:name w:val="Revision"/>
    <w:hidden/>
    <w:uiPriority w:val="99"/>
    <w:semiHidden/>
    <w:rsid w:val="001F241A"/>
    <w:pPr>
      <w:spacing w:after="0" w:line="240" w:lineRule="auto"/>
    </w:pPr>
    <w:rPr>
      <w:rFonts w:ascii="Arial" w:eastAsia="Times New Roman" w:hAnsi="Arial" w:cs="Times New Roman"/>
      <w:sz w:val="18"/>
      <w:szCs w:val="20"/>
      <w:lang w:val="en-GB"/>
    </w:rPr>
  </w:style>
  <w:style w:type="character" w:styleId="UnresolvedMention">
    <w:name w:val="Unresolved Mention"/>
    <w:basedOn w:val="DefaultParagraphFont"/>
    <w:uiPriority w:val="99"/>
    <w:semiHidden/>
    <w:unhideWhenUsed/>
    <w:rsid w:val="00385F78"/>
    <w:rPr>
      <w:color w:val="605E5C"/>
      <w:shd w:val="clear" w:color="auto" w:fill="E1DFDD"/>
    </w:rPr>
  </w:style>
  <w:style w:type="paragraph" w:customStyle="1" w:styleId="pf0">
    <w:name w:val="pf0"/>
    <w:basedOn w:val="Normal"/>
    <w:rsid w:val="000C3CD2"/>
    <w:pPr>
      <w:tabs>
        <w:tab w:val="clear" w:pos="7100"/>
      </w:tabs>
      <w:spacing w:before="100" w:beforeAutospacing="1" w:after="100" w:afterAutospacing="1" w:line="240" w:lineRule="auto"/>
      <w:ind w:left="40"/>
      <w:jc w:val="left"/>
    </w:pPr>
    <w:rPr>
      <w:rFonts w:ascii="Times New Roman" w:hAnsi="Times New Roman"/>
      <w:sz w:val="24"/>
      <w:szCs w:val="24"/>
      <w:lang w:eastAsia="zh-CN"/>
    </w:rPr>
  </w:style>
  <w:style w:type="character" w:customStyle="1" w:styleId="cf01">
    <w:name w:val="cf01"/>
    <w:basedOn w:val="DefaultParagraphFont"/>
    <w:rsid w:val="000C3CD2"/>
    <w:rPr>
      <w:rFonts w:ascii="Segoe UI" w:hAnsi="Segoe UI" w:cs="Segoe UI" w:hint="default"/>
      <w:sz w:val="18"/>
      <w:szCs w:val="18"/>
    </w:rPr>
  </w:style>
  <w:style w:type="character" w:customStyle="1" w:styleId="cf11">
    <w:name w:val="cf11"/>
    <w:basedOn w:val="DefaultParagraphFont"/>
    <w:rsid w:val="000C3CD2"/>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80265">
      <w:bodyDiv w:val="1"/>
      <w:marLeft w:val="0"/>
      <w:marRight w:val="0"/>
      <w:marTop w:val="0"/>
      <w:marBottom w:val="0"/>
      <w:divBdr>
        <w:top w:val="none" w:sz="0" w:space="0" w:color="auto"/>
        <w:left w:val="none" w:sz="0" w:space="0" w:color="auto"/>
        <w:bottom w:val="none" w:sz="0" w:space="0" w:color="auto"/>
        <w:right w:val="none" w:sz="0" w:space="0" w:color="auto"/>
      </w:divBdr>
    </w:div>
    <w:div w:id="87389805">
      <w:bodyDiv w:val="1"/>
      <w:marLeft w:val="0"/>
      <w:marRight w:val="0"/>
      <w:marTop w:val="0"/>
      <w:marBottom w:val="0"/>
      <w:divBdr>
        <w:top w:val="none" w:sz="0" w:space="0" w:color="auto"/>
        <w:left w:val="none" w:sz="0" w:space="0" w:color="auto"/>
        <w:bottom w:val="none" w:sz="0" w:space="0" w:color="auto"/>
        <w:right w:val="none" w:sz="0" w:space="0" w:color="auto"/>
      </w:divBdr>
    </w:div>
    <w:div w:id="88821110">
      <w:bodyDiv w:val="1"/>
      <w:marLeft w:val="0"/>
      <w:marRight w:val="0"/>
      <w:marTop w:val="0"/>
      <w:marBottom w:val="0"/>
      <w:divBdr>
        <w:top w:val="none" w:sz="0" w:space="0" w:color="auto"/>
        <w:left w:val="none" w:sz="0" w:space="0" w:color="auto"/>
        <w:bottom w:val="none" w:sz="0" w:space="0" w:color="auto"/>
        <w:right w:val="none" w:sz="0" w:space="0" w:color="auto"/>
      </w:divBdr>
    </w:div>
    <w:div w:id="88934893">
      <w:bodyDiv w:val="1"/>
      <w:marLeft w:val="0"/>
      <w:marRight w:val="0"/>
      <w:marTop w:val="0"/>
      <w:marBottom w:val="0"/>
      <w:divBdr>
        <w:top w:val="none" w:sz="0" w:space="0" w:color="auto"/>
        <w:left w:val="none" w:sz="0" w:space="0" w:color="auto"/>
        <w:bottom w:val="none" w:sz="0" w:space="0" w:color="auto"/>
        <w:right w:val="none" w:sz="0" w:space="0" w:color="auto"/>
      </w:divBdr>
    </w:div>
    <w:div w:id="97065809">
      <w:bodyDiv w:val="1"/>
      <w:marLeft w:val="0"/>
      <w:marRight w:val="0"/>
      <w:marTop w:val="0"/>
      <w:marBottom w:val="0"/>
      <w:divBdr>
        <w:top w:val="none" w:sz="0" w:space="0" w:color="auto"/>
        <w:left w:val="none" w:sz="0" w:space="0" w:color="auto"/>
        <w:bottom w:val="none" w:sz="0" w:space="0" w:color="auto"/>
        <w:right w:val="none" w:sz="0" w:space="0" w:color="auto"/>
      </w:divBdr>
    </w:div>
    <w:div w:id="137918894">
      <w:bodyDiv w:val="1"/>
      <w:marLeft w:val="0"/>
      <w:marRight w:val="0"/>
      <w:marTop w:val="0"/>
      <w:marBottom w:val="0"/>
      <w:divBdr>
        <w:top w:val="none" w:sz="0" w:space="0" w:color="auto"/>
        <w:left w:val="none" w:sz="0" w:space="0" w:color="auto"/>
        <w:bottom w:val="none" w:sz="0" w:space="0" w:color="auto"/>
        <w:right w:val="none" w:sz="0" w:space="0" w:color="auto"/>
      </w:divBdr>
    </w:div>
    <w:div w:id="141892364">
      <w:bodyDiv w:val="1"/>
      <w:marLeft w:val="0"/>
      <w:marRight w:val="0"/>
      <w:marTop w:val="0"/>
      <w:marBottom w:val="0"/>
      <w:divBdr>
        <w:top w:val="none" w:sz="0" w:space="0" w:color="auto"/>
        <w:left w:val="none" w:sz="0" w:space="0" w:color="auto"/>
        <w:bottom w:val="none" w:sz="0" w:space="0" w:color="auto"/>
        <w:right w:val="none" w:sz="0" w:space="0" w:color="auto"/>
      </w:divBdr>
    </w:div>
    <w:div w:id="151027384">
      <w:bodyDiv w:val="1"/>
      <w:marLeft w:val="0"/>
      <w:marRight w:val="0"/>
      <w:marTop w:val="0"/>
      <w:marBottom w:val="0"/>
      <w:divBdr>
        <w:top w:val="none" w:sz="0" w:space="0" w:color="auto"/>
        <w:left w:val="none" w:sz="0" w:space="0" w:color="auto"/>
        <w:bottom w:val="none" w:sz="0" w:space="0" w:color="auto"/>
        <w:right w:val="none" w:sz="0" w:space="0" w:color="auto"/>
      </w:divBdr>
      <w:divsChild>
        <w:div w:id="748498374">
          <w:marLeft w:val="0"/>
          <w:marRight w:val="0"/>
          <w:marTop w:val="0"/>
          <w:marBottom w:val="0"/>
          <w:divBdr>
            <w:top w:val="none" w:sz="0" w:space="0" w:color="auto"/>
            <w:left w:val="none" w:sz="0" w:space="0" w:color="auto"/>
            <w:bottom w:val="none" w:sz="0" w:space="0" w:color="auto"/>
            <w:right w:val="none" w:sz="0" w:space="0" w:color="auto"/>
          </w:divBdr>
        </w:div>
      </w:divsChild>
    </w:div>
    <w:div w:id="187835874">
      <w:bodyDiv w:val="1"/>
      <w:marLeft w:val="0"/>
      <w:marRight w:val="0"/>
      <w:marTop w:val="0"/>
      <w:marBottom w:val="0"/>
      <w:divBdr>
        <w:top w:val="none" w:sz="0" w:space="0" w:color="auto"/>
        <w:left w:val="none" w:sz="0" w:space="0" w:color="auto"/>
        <w:bottom w:val="none" w:sz="0" w:space="0" w:color="auto"/>
        <w:right w:val="none" w:sz="0" w:space="0" w:color="auto"/>
      </w:divBdr>
    </w:div>
    <w:div w:id="197622010">
      <w:bodyDiv w:val="1"/>
      <w:marLeft w:val="0"/>
      <w:marRight w:val="0"/>
      <w:marTop w:val="0"/>
      <w:marBottom w:val="0"/>
      <w:divBdr>
        <w:top w:val="none" w:sz="0" w:space="0" w:color="auto"/>
        <w:left w:val="none" w:sz="0" w:space="0" w:color="auto"/>
        <w:bottom w:val="none" w:sz="0" w:space="0" w:color="auto"/>
        <w:right w:val="none" w:sz="0" w:space="0" w:color="auto"/>
      </w:divBdr>
      <w:divsChild>
        <w:div w:id="1472137777">
          <w:marLeft w:val="480"/>
          <w:marRight w:val="0"/>
          <w:marTop w:val="0"/>
          <w:marBottom w:val="0"/>
          <w:divBdr>
            <w:top w:val="none" w:sz="0" w:space="0" w:color="auto"/>
            <w:left w:val="none" w:sz="0" w:space="0" w:color="auto"/>
            <w:bottom w:val="none" w:sz="0" w:space="0" w:color="auto"/>
            <w:right w:val="none" w:sz="0" w:space="0" w:color="auto"/>
          </w:divBdr>
        </w:div>
      </w:divsChild>
    </w:div>
    <w:div w:id="241450476">
      <w:bodyDiv w:val="1"/>
      <w:marLeft w:val="0"/>
      <w:marRight w:val="0"/>
      <w:marTop w:val="0"/>
      <w:marBottom w:val="0"/>
      <w:divBdr>
        <w:top w:val="none" w:sz="0" w:space="0" w:color="auto"/>
        <w:left w:val="none" w:sz="0" w:space="0" w:color="auto"/>
        <w:bottom w:val="none" w:sz="0" w:space="0" w:color="auto"/>
        <w:right w:val="none" w:sz="0" w:space="0" w:color="auto"/>
      </w:divBdr>
    </w:div>
    <w:div w:id="268123028">
      <w:bodyDiv w:val="1"/>
      <w:marLeft w:val="0"/>
      <w:marRight w:val="0"/>
      <w:marTop w:val="0"/>
      <w:marBottom w:val="0"/>
      <w:divBdr>
        <w:top w:val="none" w:sz="0" w:space="0" w:color="auto"/>
        <w:left w:val="none" w:sz="0" w:space="0" w:color="auto"/>
        <w:bottom w:val="none" w:sz="0" w:space="0" w:color="auto"/>
        <w:right w:val="none" w:sz="0" w:space="0" w:color="auto"/>
      </w:divBdr>
    </w:div>
    <w:div w:id="274023768">
      <w:bodyDiv w:val="1"/>
      <w:marLeft w:val="0"/>
      <w:marRight w:val="0"/>
      <w:marTop w:val="0"/>
      <w:marBottom w:val="0"/>
      <w:divBdr>
        <w:top w:val="none" w:sz="0" w:space="0" w:color="auto"/>
        <w:left w:val="none" w:sz="0" w:space="0" w:color="auto"/>
        <w:bottom w:val="none" w:sz="0" w:space="0" w:color="auto"/>
        <w:right w:val="none" w:sz="0" w:space="0" w:color="auto"/>
      </w:divBdr>
    </w:div>
    <w:div w:id="297876895">
      <w:bodyDiv w:val="1"/>
      <w:marLeft w:val="0"/>
      <w:marRight w:val="0"/>
      <w:marTop w:val="0"/>
      <w:marBottom w:val="0"/>
      <w:divBdr>
        <w:top w:val="none" w:sz="0" w:space="0" w:color="auto"/>
        <w:left w:val="none" w:sz="0" w:space="0" w:color="auto"/>
        <w:bottom w:val="none" w:sz="0" w:space="0" w:color="auto"/>
        <w:right w:val="none" w:sz="0" w:space="0" w:color="auto"/>
      </w:divBdr>
      <w:divsChild>
        <w:div w:id="444009695">
          <w:marLeft w:val="480"/>
          <w:marRight w:val="0"/>
          <w:marTop w:val="0"/>
          <w:marBottom w:val="0"/>
          <w:divBdr>
            <w:top w:val="none" w:sz="0" w:space="0" w:color="auto"/>
            <w:left w:val="none" w:sz="0" w:space="0" w:color="auto"/>
            <w:bottom w:val="none" w:sz="0" w:space="0" w:color="auto"/>
            <w:right w:val="none" w:sz="0" w:space="0" w:color="auto"/>
          </w:divBdr>
        </w:div>
        <w:div w:id="1176847148">
          <w:marLeft w:val="480"/>
          <w:marRight w:val="0"/>
          <w:marTop w:val="0"/>
          <w:marBottom w:val="0"/>
          <w:divBdr>
            <w:top w:val="none" w:sz="0" w:space="0" w:color="auto"/>
            <w:left w:val="none" w:sz="0" w:space="0" w:color="auto"/>
            <w:bottom w:val="none" w:sz="0" w:space="0" w:color="auto"/>
            <w:right w:val="none" w:sz="0" w:space="0" w:color="auto"/>
          </w:divBdr>
        </w:div>
      </w:divsChild>
    </w:div>
    <w:div w:id="319430045">
      <w:bodyDiv w:val="1"/>
      <w:marLeft w:val="0"/>
      <w:marRight w:val="0"/>
      <w:marTop w:val="0"/>
      <w:marBottom w:val="0"/>
      <w:divBdr>
        <w:top w:val="none" w:sz="0" w:space="0" w:color="auto"/>
        <w:left w:val="none" w:sz="0" w:space="0" w:color="auto"/>
        <w:bottom w:val="none" w:sz="0" w:space="0" w:color="auto"/>
        <w:right w:val="none" w:sz="0" w:space="0" w:color="auto"/>
      </w:divBdr>
    </w:div>
    <w:div w:id="321666491">
      <w:bodyDiv w:val="1"/>
      <w:marLeft w:val="0"/>
      <w:marRight w:val="0"/>
      <w:marTop w:val="0"/>
      <w:marBottom w:val="0"/>
      <w:divBdr>
        <w:top w:val="none" w:sz="0" w:space="0" w:color="auto"/>
        <w:left w:val="none" w:sz="0" w:space="0" w:color="auto"/>
        <w:bottom w:val="none" w:sz="0" w:space="0" w:color="auto"/>
        <w:right w:val="none" w:sz="0" w:space="0" w:color="auto"/>
      </w:divBdr>
      <w:divsChild>
        <w:div w:id="1158814112">
          <w:marLeft w:val="480"/>
          <w:marRight w:val="0"/>
          <w:marTop w:val="0"/>
          <w:marBottom w:val="0"/>
          <w:divBdr>
            <w:top w:val="none" w:sz="0" w:space="0" w:color="auto"/>
            <w:left w:val="none" w:sz="0" w:space="0" w:color="auto"/>
            <w:bottom w:val="none" w:sz="0" w:space="0" w:color="auto"/>
            <w:right w:val="none" w:sz="0" w:space="0" w:color="auto"/>
          </w:divBdr>
        </w:div>
      </w:divsChild>
    </w:div>
    <w:div w:id="334039748">
      <w:bodyDiv w:val="1"/>
      <w:marLeft w:val="0"/>
      <w:marRight w:val="0"/>
      <w:marTop w:val="0"/>
      <w:marBottom w:val="0"/>
      <w:divBdr>
        <w:top w:val="none" w:sz="0" w:space="0" w:color="auto"/>
        <w:left w:val="none" w:sz="0" w:space="0" w:color="auto"/>
        <w:bottom w:val="none" w:sz="0" w:space="0" w:color="auto"/>
        <w:right w:val="none" w:sz="0" w:space="0" w:color="auto"/>
      </w:divBdr>
    </w:div>
    <w:div w:id="351227316">
      <w:bodyDiv w:val="1"/>
      <w:marLeft w:val="0"/>
      <w:marRight w:val="0"/>
      <w:marTop w:val="0"/>
      <w:marBottom w:val="0"/>
      <w:divBdr>
        <w:top w:val="none" w:sz="0" w:space="0" w:color="auto"/>
        <w:left w:val="none" w:sz="0" w:space="0" w:color="auto"/>
        <w:bottom w:val="none" w:sz="0" w:space="0" w:color="auto"/>
        <w:right w:val="none" w:sz="0" w:space="0" w:color="auto"/>
      </w:divBdr>
      <w:divsChild>
        <w:div w:id="623582463">
          <w:marLeft w:val="480"/>
          <w:marRight w:val="0"/>
          <w:marTop w:val="0"/>
          <w:marBottom w:val="0"/>
          <w:divBdr>
            <w:top w:val="none" w:sz="0" w:space="0" w:color="auto"/>
            <w:left w:val="none" w:sz="0" w:space="0" w:color="auto"/>
            <w:bottom w:val="none" w:sz="0" w:space="0" w:color="auto"/>
            <w:right w:val="none" w:sz="0" w:space="0" w:color="auto"/>
          </w:divBdr>
        </w:div>
        <w:div w:id="95567252">
          <w:marLeft w:val="480"/>
          <w:marRight w:val="0"/>
          <w:marTop w:val="0"/>
          <w:marBottom w:val="0"/>
          <w:divBdr>
            <w:top w:val="none" w:sz="0" w:space="0" w:color="auto"/>
            <w:left w:val="none" w:sz="0" w:space="0" w:color="auto"/>
            <w:bottom w:val="none" w:sz="0" w:space="0" w:color="auto"/>
            <w:right w:val="none" w:sz="0" w:space="0" w:color="auto"/>
          </w:divBdr>
        </w:div>
        <w:div w:id="1773697436">
          <w:marLeft w:val="480"/>
          <w:marRight w:val="0"/>
          <w:marTop w:val="0"/>
          <w:marBottom w:val="0"/>
          <w:divBdr>
            <w:top w:val="none" w:sz="0" w:space="0" w:color="auto"/>
            <w:left w:val="none" w:sz="0" w:space="0" w:color="auto"/>
            <w:bottom w:val="none" w:sz="0" w:space="0" w:color="auto"/>
            <w:right w:val="none" w:sz="0" w:space="0" w:color="auto"/>
          </w:divBdr>
        </w:div>
        <w:div w:id="216211996">
          <w:marLeft w:val="480"/>
          <w:marRight w:val="0"/>
          <w:marTop w:val="0"/>
          <w:marBottom w:val="0"/>
          <w:divBdr>
            <w:top w:val="none" w:sz="0" w:space="0" w:color="auto"/>
            <w:left w:val="none" w:sz="0" w:space="0" w:color="auto"/>
            <w:bottom w:val="none" w:sz="0" w:space="0" w:color="auto"/>
            <w:right w:val="none" w:sz="0" w:space="0" w:color="auto"/>
          </w:divBdr>
        </w:div>
        <w:div w:id="706837270">
          <w:marLeft w:val="480"/>
          <w:marRight w:val="0"/>
          <w:marTop w:val="0"/>
          <w:marBottom w:val="0"/>
          <w:divBdr>
            <w:top w:val="none" w:sz="0" w:space="0" w:color="auto"/>
            <w:left w:val="none" w:sz="0" w:space="0" w:color="auto"/>
            <w:bottom w:val="none" w:sz="0" w:space="0" w:color="auto"/>
            <w:right w:val="none" w:sz="0" w:space="0" w:color="auto"/>
          </w:divBdr>
        </w:div>
        <w:div w:id="765997924">
          <w:marLeft w:val="480"/>
          <w:marRight w:val="0"/>
          <w:marTop w:val="0"/>
          <w:marBottom w:val="0"/>
          <w:divBdr>
            <w:top w:val="none" w:sz="0" w:space="0" w:color="auto"/>
            <w:left w:val="none" w:sz="0" w:space="0" w:color="auto"/>
            <w:bottom w:val="none" w:sz="0" w:space="0" w:color="auto"/>
            <w:right w:val="none" w:sz="0" w:space="0" w:color="auto"/>
          </w:divBdr>
        </w:div>
        <w:div w:id="524100149">
          <w:marLeft w:val="480"/>
          <w:marRight w:val="0"/>
          <w:marTop w:val="0"/>
          <w:marBottom w:val="0"/>
          <w:divBdr>
            <w:top w:val="none" w:sz="0" w:space="0" w:color="auto"/>
            <w:left w:val="none" w:sz="0" w:space="0" w:color="auto"/>
            <w:bottom w:val="none" w:sz="0" w:space="0" w:color="auto"/>
            <w:right w:val="none" w:sz="0" w:space="0" w:color="auto"/>
          </w:divBdr>
        </w:div>
        <w:div w:id="1767386454">
          <w:marLeft w:val="480"/>
          <w:marRight w:val="0"/>
          <w:marTop w:val="0"/>
          <w:marBottom w:val="0"/>
          <w:divBdr>
            <w:top w:val="none" w:sz="0" w:space="0" w:color="auto"/>
            <w:left w:val="none" w:sz="0" w:space="0" w:color="auto"/>
            <w:bottom w:val="none" w:sz="0" w:space="0" w:color="auto"/>
            <w:right w:val="none" w:sz="0" w:space="0" w:color="auto"/>
          </w:divBdr>
        </w:div>
        <w:div w:id="1081489312">
          <w:marLeft w:val="480"/>
          <w:marRight w:val="0"/>
          <w:marTop w:val="0"/>
          <w:marBottom w:val="0"/>
          <w:divBdr>
            <w:top w:val="none" w:sz="0" w:space="0" w:color="auto"/>
            <w:left w:val="none" w:sz="0" w:space="0" w:color="auto"/>
            <w:bottom w:val="none" w:sz="0" w:space="0" w:color="auto"/>
            <w:right w:val="none" w:sz="0" w:space="0" w:color="auto"/>
          </w:divBdr>
        </w:div>
      </w:divsChild>
    </w:div>
    <w:div w:id="354114700">
      <w:bodyDiv w:val="1"/>
      <w:marLeft w:val="0"/>
      <w:marRight w:val="0"/>
      <w:marTop w:val="0"/>
      <w:marBottom w:val="0"/>
      <w:divBdr>
        <w:top w:val="none" w:sz="0" w:space="0" w:color="auto"/>
        <w:left w:val="none" w:sz="0" w:space="0" w:color="auto"/>
        <w:bottom w:val="none" w:sz="0" w:space="0" w:color="auto"/>
        <w:right w:val="none" w:sz="0" w:space="0" w:color="auto"/>
      </w:divBdr>
    </w:div>
    <w:div w:id="356659087">
      <w:bodyDiv w:val="1"/>
      <w:marLeft w:val="0"/>
      <w:marRight w:val="0"/>
      <w:marTop w:val="0"/>
      <w:marBottom w:val="0"/>
      <w:divBdr>
        <w:top w:val="none" w:sz="0" w:space="0" w:color="auto"/>
        <w:left w:val="none" w:sz="0" w:space="0" w:color="auto"/>
        <w:bottom w:val="none" w:sz="0" w:space="0" w:color="auto"/>
        <w:right w:val="none" w:sz="0" w:space="0" w:color="auto"/>
      </w:divBdr>
    </w:div>
    <w:div w:id="361446216">
      <w:bodyDiv w:val="1"/>
      <w:marLeft w:val="0"/>
      <w:marRight w:val="0"/>
      <w:marTop w:val="0"/>
      <w:marBottom w:val="0"/>
      <w:divBdr>
        <w:top w:val="none" w:sz="0" w:space="0" w:color="auto"/>
        <w:left w:val="none" w:sz="0" w:space="0" w:color="auto"/>
        <w:bottom w:val="none" w:sz="0" w:space="0" w:color="auto"/>
        <w:right w:val="none" w:sz="0" w:space="0" w:color="auto"/>
      </w:divBdr>
    </w:div>
    <w:div w:id="371420274">
      <w:bodyDiv w:val="1"/>
      <w:marLeft w:val="0"/>
      <w:marRight w:val="0"/>
      <w:marTop w:val="0"/>
      <w:marBottom w:val="0"/>
      <w:divBdr>
        <w:top w:val="none" w:sz="0" w:space="0" w:color="auto"/>
        <w:left w:val="none" w:sz="0" w:space="0" w:color="auto"/>
        <w:bottom w:val="none" w:sz="0" w:space="0" w:color="auto"/>
        <w:right w:val="none" w:sz="0" w:space="0" w:color="auto"/>
      </w:divBdr>
      <w:divsChild>
        <w:div w:id="1684354826">
          <w:marLeft w:val="480"/>
          <w:marRight w:val="0"/>
          <w:marTop w:val="0"/>
          <w:marBottom w:val="0"/>
          <w:divBdr>
            <w:top w:val="none" w:sz="0" w:space="0" w:color="auto"/>
            <w:left w:val="none" w:sz="0" w:space="0" w:color="auto"/>
            <w:bottom w:val="none" w:sz="0" w:space="0" w:color="auto"/>
            <w:right w:val="none" w:sz="0" w:space="0" w:color="auto"/>
          </w:divBdr>
        </w:div>
      </w:divsChild>
    </w:div>
    <w:div w:id="438138595">
      <w:bodyDiv w:val="1"/>
      <w:marLeft w:val="0"/>
      <w:marRight w:val="0"/>
      <w:marTop w:val="0"/>
      <w:marBottom w:val="0"/>
      <w:divBdr>
        <w:top w:val="none" w:sz="0" w:space="0" w:color="auto"/>
        <w:left w:val="none" w:sz="0" w:space="0" w:color="auto"/>
        <w:bottom w:val="none" w:sz="0" w:space="0" w:color="auto"/>
        <w:right w:val="none" w:sz="0" w:space="0" w:color="auto"/>
      </w:divBdr>
    </w:div>
    <w:div w:id="473765514">
      <w:bodyDiv w:val="1"/>
      <w:marLeft w:val="0"/>
      <w:marRight w:val="0"/>
      <w:marTop w:val="0"/>
      <w:marBottom w:val="0"/>
      <w:divBdr>
        <w:top w:val="none" w:sz="0" w:space="0" w:color="auto"/>
        <w:left w:val="none" w:sz="0" w:space="0" w:color="auto"/>
        <w:bottom w:val="none" w:sz="0" w:space="0" w:color="auto"/>
        <w:right w:val="none" w:sz="0" w:space="0" w:color="auto"/>
      </w:divBdr>
      <w:divsChild>
        <w:div w:id="1105273072">
          <w:marLeft w:val="480"/>
          <w:marRight w:val="0"/>
          <w:marTop w:val="0"/>
          <w:marBottom w:val="0"/>
          <w:divBdr>
            <w:top w:val="none" w:sz="0" w:space="0" w:color="auto"/>
            <w:left w:val="none" w:sz="0" w:space="0" w:color="auto"/>
            <w:bottom w:val="none" w:sz="0" w:space="0" w:color="auto"/>
            <w:right w:val="none" w:sz="0" w:space="0" w:color="auto"/>
          </w:divBdr>
        </w:div>
      </w:divsChild>
    </w:div>
    <w:div w:id="479927368">
      <w:bodyDiv w:val="1"/>
      <w:marLeft w:val="0"/>
      <w:marRight w:val="0"/>
      <w:marTop w:val="0"/>
      <w:marBottom w:val="0"/>
      <w:divBdr>
        <w:top w:val="none" w:sz="0" w:space="0" w:color="auto"/>
        <w:left w:val="none" w:sz="0" w:space="0" w:color="auto"/>
        <w:bottom w:val="none" w:sz="0" w:space="0" w:color="auto"/>
        <w:right w:val="none" w:sz="0" w:space="0" w:color="auto"/>
      </w:divBdr>
    </w:div>
    <w:div w:id="514268327">
      <w:bodyDiv w:val="1"/>
      <w:marLeft w:val="0"/>
      <w:marRight w:val="0"/>
      <w:marTop w:val="0"/>
      <w:marBottom w:val="0"/>
      <w:divBdr>
        <w:top w:val="none" w:sz="0" w:space="0" w:color="auto"/>
        <w:left w:val="none" w:sz="0" w:space="0" w:color="auto"/>
        <w:bottom w:val="none" w:sz="0" w:space="0" w:color="auto"/>
        <w:right w:val="none" w:sz="0" w:space="0" w:color="auto"/>
      </w:divBdr>
    </w:div>
    <w:div w:id="542788470">
      <w:bodyDiv w:val="1"/>
      <w:marLeft w:val="0"/>
      <w:marRight w:val="0"/>
      <w:marTop w:val="0"/>
      <w:marBottom w:val="0"/>
      <w:divBdr>
        <w:top w:val="none" w:sz="0" w:space="0" w:color="auto"/>
        <w:left w:val="none" w:sz="0" w:space="0" w:color="auto"/>
        <w:bottom w:val="none" w:sz="0" w:space="0" w:color="auto"/>
        <w:right w:val="none" w:sz="0" w:space="0" w:color="auto"/>
      </w:divBdr>
      <w:divsChild>
        <w:div w:id="504906170">
          <w:marLeft w:val="0"/>
          <w:marRight w:val="0"/>
          <w:marTop w:val="0"/>
          <w:marBottom w:val="0"/>
          <w:divBdr>
            <w:top w:val="none" w:sz="0" w:space="0" w:color="auto"/>
            <w:left w:val="none" w:sz="0" w:space="0" w:color="auto"/>
            <w:bottom w:val="none" w:sz="0" w:space="0" w:color="auto"/>
            <w:right w:val="none" w:sz="0" w:space="0" w:color="auto"/>
          </w:divBdr>
        </w:div>
      </w:divsChild>
    </w:div>
    <w:div w:id="567037022">
      <w:bodyDiv w:val="1"/>
      <w:marLeft w:val="0"/>
      <w:marRight w:val="0"/>
      <w:marTop w:val="0"/>
      <w:marBottom w:val="0"/>
      <w:divBdr>
        <w:top w:val="none" w:sz="0" w:space="0" w:color="auto"/>
        <w:left w:val="none" w:sz="0" w:space="0" w:color="auto"/>
        <w:bottom w:val="none" w:sz="0" w:space="0" w:color="auto"/>
        <w:right w:val="none" w:sz="0" w:space="0" w:color="auto"/>
      </w:divBdr>
    </w:div>
    <w:div w:id="590116802">
      <w:bodyDiv w:val="1"/>
      <w:marLeft w:val="0"/>
      <w:marRight w:val="0"/>
      <w:marTop w:val="0"/>
      <w:marBottom w:val="0"/>
      <w:divBdr>
        <w:top w:val="none" w:sz="0" w:space="0" w:color="auto"/>
        <w:left w:val="none" w:sz="0" w:space="0" w:color="auto"/>
        <w:bottom w:val="none" w:sz="0" w:space="0" w:color="auto"/>
        <w:right w:val="none" w:sz="0" w:space="0" w:color="auto"/>
      </w:divBdr>
    </w:div>
    <w:div w:id="605508092">
      <w:bodyDiv w:val="1"/>
      <w:marLeft w:val="0"/>
      <w:marRight w:val="0"/>
      <w:marTop w:val="0"/>
      <w:marBottom w:val="0"/>
      <w:divBdr>
        <w:top w:val="none" w:sz="0" w:space="0" w:color="auto"/>
        <w:left w:val="none" w:sz="0" w:space="0" w:color="auto"/>
        <w:bottom w:val="none" w:sz="0" w:space="0" w:color="auto"/>
        <w:right w:val="none" w:sz="0" w:space="0" w:color="auto"/>
      </w:divBdr>
    </w:div>
    <w:div w:id="634871514">
      <w:bodyDiv w:val="1"/>
      <w:marLeft w:val="0"/>
      <w:marRight w:val="0"/>
      <w:marTop w:val="0"/>
      <w:marBottom w:val="0"/>
      <w:divBdr>
        <w:top w:val="none" w:sz="0" w:space="0" w:color="auto"/>
        <w:left w:val="none" w:sz="0" w:space="0" w:color="auto"/>
        <w:bottom w:val="none" w:sz="0" w:space="0" w:color="auto"/>
        <w:right w:val="none" w:sz="0" w:space="0" w:color="auto"/>
      </w:divBdr>
      <w:divsChild>
        <w:div w:id="795486503">
          <w:marLeft w:val="480"/>
          <w:marRight w:val="0"/>
          <w:marTop w:val="0"/>
          <w:marBottom w:val="0"/>
          <w:divBdr>
            <w:top w:val="none" w:sz="0" w:space="0" w:color="auto"/>
            <w:left w:val="none" w:sz="0" w:space="0" w:color="auto"/>
            <w:bottom w:val="none" w:sz="0" w:space="0" w:color="auto"/>
            <w:right w:val="none" w:sz="0" w:space="0" w:color="auto"/>
          </w:divBdr>
        </w:div>
        <w:div w:id="1468473880">
          <w:marLeft w:val="480"/>
          <w:marRight w:val="0"/>
          <w:marTop w:val="0"/>
          <w:marBottom w:val="0"/>
          <w:divBdr>
            <w:top w:val="none" w:sz="0" w:space="0" w:color="auto"/>
            <w:left w:val="none" w:sz="0" w:space="0" w:color="auto"/>
            <w:bottom w:val="none" w:sz="0" w:space="0" w:color="auto"/>
            <w:right w:val="none" w:sz="0" w:space="0" w:color="auto"/>
          </w:divBdr>
        </w:div>
        <w:div w:id="253174689">
          <w:marLeft w:val="480"/>
          <w:marRight w:val="0"/>
          <w:marTop w:val="0"/>
          <w:marBottom w:val="0"/>
          <w:divBdr>
            <w:top w:val="none" w:sz="0" w:space="0" w:color="auto"/>
            <w:left w:val="none" w:sz="0" w:space="0" w:color="auto"/>
            <w:bottom w:val="none" w:sz="0" w:space="0" w:color="auto"/>
            <w:right w:val="none" w:sz="0" w:space="0" w:color="auto"/>
          </w:divBdr>
        </w:div>
        <w:div w:id="1610622734">
          <w:marLeft w:val="480"/>
          <w:marRight w:val="0"/>
          <w:marTop w:val="0"/>
          <w:marBottom w:val="0"/>
          <w:divBdr>
            <w:top w:val="none" w:sz="0" w:space="0" w:color="auto"/>
            <w:left w:val="none" w:sz="0" w:space="0" w:color="auto"/>
            <w:bottom w:val="none" w:sz="0" w:space="0" w:color="auto"/>
            <w:right w:val="none" w:sz="0" w:space="0" w:color="auto"/>
          </w:divBdr>
        </w:div>
        <w:div w:id="1487896346">
          <w:marLeft w:val="480"/>
          <w:marRight w:val="0"/>
          <w:marTop w:val="0"/>
          <w:marBottom w:val="0"/>
          <w:divBdr>
            <w:top w:val="none" w:sz="0" w:space="0" w:color="auto"/>
            <w:left w:val="none" w:sz="0" w:space="0" w:color="auto"/>
            <w:bottom w:val="none" w:sz="0" w:space="0" w:color="auto"/>
            <w:right w:val="none" w:sz="0" w:space="0" w:color="auto"/>
          </w:divBdr>
        </w:div>
      </w:divsChild>
    </w:div>
    <w:div w:id="645931834">
      <w:bodyDiv w:val="1"/>
      <w:marLeft w:val="0"/>
      <w:marRight w:val="0"/>
      <w:marTop w:val="0"/>
      <w:marBottom w:val="0"/>
      <w:divBdr>
        <w:top w:val="none" w:sz="0" w:space="0" w:color="auto"/>
        <w:left w:val="none" w:sz="0" w:space="0" w:color="auto"/>
        <w:bottom w:val="none" w:sz="0" w:space="0" w:color="auto"/>
        <w:right w:val="none" w:sz="0" w:space="0" w:color="auto"/>
      </w:divBdr>
    </w:div>
    <w:div w:id="673453602">
      <w:bodyDiv w:val="1"/>
      <w:marLeft w:val="0"/>
      <w:marRight w:val="0"/>
      <w:marTop w:val="0"/>
      <w:marBottom w:val="0"/>
      <w:divBdr>
        <w:top w:val="none" w:sz="0" w:space="0" w:color="auto"/>
        <w:left w:val="none" w:sz="0" w:space="0" w:color="auto"/>
        <w:bottom w:val="none" w:sz="0" w:space="0" w:color="auto"/>
        <w:right w:val="none" w:sz="0" w:space="0" w:color="auto"/>
      </w:divBdr>
      <w:divsChild>
        <w:div w:id="65735962">
          <w:marLeft w:val="480"/>
          <w:marRight w:val="0"/>
          <w:marTop w:val="0"/>
          <w:marBottom w:val="0"/>
          <w:divBdr>
            <w:top w:val="none" w:sz="0" w:space="0" w:color="auto"/>
            <w:left w:val="none" w:sz="0" w:space="0" w:color="auto"/>
            <w:bottom w:val="none" w:sz="0" w:space="0" w:color="auto"/>
            <w:right w:val="none" w:sz="0" w:space="0" w:color="auto"/>
          </w:divBdr>
        </w:div>
        <w:div w:id="458836258">
          <w:marLeft w:val="480"/>
          <w:marRight w:val="0"/>
          <w:marTop w:val="0"/>
          <w:marBottom w:val="0"/>
          <w:divBdr>
            <w:top w:val="none" w:sz="0" w:space="0" w:color="auto"/>
            <w:left w:val="none" w:sz="0" w:space="0" w:color="auto"/>
            <w:bottom w:val="none" w:sz="0" w:space="0" w:color="auto"/>
            <w:right w:val="none" w:sz="0" w:space="0" w:color="auto"/>
          </w:divBdr>
        </w:div>
      </w:divsChild>
    </w:div>
    <w:div w:id="701129104">
      <w:bodyDiv w:val="1"/>
      <w:marLeft w:val="0"/>
      <w:marRight w:val="0"/>
      <w:marTop w:val="0"/>
      <w:marBottom w:val="0"/>
      <w:divBdr>
        <w:top w:val="none" w:sz="0" w:space="0" w:color="auto"/>
        <w:left w:val="none" w:sz="0" w:space="0" w:color="auto"/>
        <w:bottom w:val="none" w:sz="0" w:space="0" w:color="auto"/>
        <w:right w:val="none" w:sz="0" w:space="0" w:color="auto"/>
      </w:divBdr>
    </w:div>
    <w:div w:id="703138111">
      <w:bodyDiv w:val="1"/>
      <w:marLeft w:val="0"/>
      <w:marRight w:val="0"/>
      <w:marTop w:val="0"/>
      <w:marBottom w:val="0"/>
      <w:divBdr>
        <w:top w:val="none" w:sz="0" w:space="0" w:color="auto"/>
        <w:left w:val="none" w:sz="0" w:space="0" w:color="auto"/>
        <w:bottom w:val="none" w:sz="0" w:space="0" w:color="auto"/>
        <w:right w:val="none" w:sz="0" w:space="0" w:color="auto"/>
      </w:divBdr>
    </w:div>
    <w:div w:id="707484930">
      <w:bodyDiv w:val="1"/>
      <w:marLeft w:val="0"/>
      <w:marRight w:val="0"/>
      <w:marTop w:val="0"/>
      <w:marBottom w:val="0"/>
      <w:divBdr>
        <w:top w:val="none" w:sz="0" w:space="0" w:color="auto"/>
        <w:left w:val="none" w:sz="0" w:space="0" w:color="auto"/>
        <w:bottom w:val="none" w:sz="0" w:space="0" w:color="auto"/>
        <w:right w:val="none" w:sz="0" w:space="0" w:color="auto"/>
      </w:divBdr>
    </w:div>
    <w:div w:id="733358361">
      <w:bodyDiv w:val="1"/>
      <w:marLeft w:val="0"/>
      <w:marRight w:val="0"/>
      <w:marTop w:val="0"/>
      <w:marBottom w:val="0"/>
      <w:divBdr>
        <w:top w:val="none" w:sz="0" w:space="0" w:color="auto"/>
        <w:left w:val="none" w:sz="0" w:space="0" w:color="auto"/>
        <w:bottom w:val="none" w:sz="0" w:space="0" w:color="auto"/>
        <w:right w:val="none" w:sz="0" w:space="0" w:color="auto"/>
      </w:divBdr>
    </w:div>
    <w:div w:id="738214208">
      <w:bodyDiv w:val="1"/>
      <w:marLeft w:val="0"/>
      <w:marRight w:val="0"/>
      <w:marTop w:val="0"/>
      <w:marBottom w:val="0"/>
      <w:divBdr>
        <w:top w:val="none" w:sz="0" w:space="0" w:color="auto"/>
        <w:left w:val="none" w:sz="0" w:space="0" w:color="auto"/>
        <w:bottom w:val="none" w:sz="0" w:space="0" w:color="auto"/>
        <w:right w:val="none" w:sz="0" w:space="0" w:color="auto"/>
      </w:divBdr>
      <w:divsChild>
        <w:div w:id="1878274579">
          <w:marLeft w:val="480"/>
          <w:marRight w:val="0"/>
          <w:marTop w:val="0"/>
          <w:marBottom w:val="0"/>
          <w:divBdr>
            <w:top w:val="none" w:sz="0" w:space="0" w:color="auto"/>
            <w:left w:val="none" w:sz="0" w:space="0" w:color="auto"/>
            <w:bottom w:val="none" w:sz="0" w:space="0" w:color="auto"/>
            <w:right w:val="none" w:sz="0" w:space="0" w:color="auto"/>
          </w:divBdr>
        </w:div>
        <w:div w:id="290135220">
          <w:marLeft w:val="480"/>
          <w:marRight w:val="0"/>
          <w:marTop w:val="0"/>
          <w:marBottom w:val="0"/>
          <w:divBdr>
            <w:top w:val="none" w:sz="0" w:space="0" w:color="auto"/>
            <w:left w:val="none" w:sz="0" w:space="0" w:color="auto"/>
            <w:bottom w:val="none" w:sz="0" w:space="0" w:color="auto"/>
            <w:right w:val="none" w:sz="0" w:space="0" w:color="auto"/>
          </w:divBdr>
        </w:div>
        <w:div w:id="766195560">
          <w:marLeft w:val="480"/>
          <w:marRight w:val="0"/>
          <w:marTop w:val="0"/>
          <w:marBottom w:val="0"/>
          <w:divBdr>
            <w:top w:val="none" w:sz="0" w:space="0" w:color="auto"/>
            <w:left w:val="none" w:sz="0" w:space="0" w:color="auto"/>
            <w:bottom w:val="none" w:sz="0" w:space="0" w:color="auto"/>
            <w:right w:val="none" w:sz="0" w:space="0" w:color="auto"/>
          </w:divBdr>
        </w:div>
        <w:div w:id="678194108">
          <w:marLeft w:val="480"/>
          <w:marRight w:val="0"/>
          <w:marTop w:val="0"/>
          <w:marBottom w:val="0"/>
          <w:divBdr>
            <w:top w:val="none" w:sz="0" w:space="0" w:color="auto"/>
            <w:left w:val="none" w:sz="0" w:space="0" w:color="auto"/>
            <w:bottom w:val="none" w:sz="0" w:space="0" w:color="auto"/>
            <w:right w:val="none" w:sz="0" w:space="0" w:color="auto"/>
          </w:divBdr>
        </w:div>
        <w:div w:id="1133593178">
          <w:marLeft w:val="480"/>
          <w:marRight w:val="0"/>
          <w:marTop w:val="0"/>
          <w:marBottom w:val="0"/>
          <w:divBdr>
            <w:top w:val="none" w:sz="0" w:space="0" w:color="auto"/>
            <w:left w:val="none" w:sz="0" w:space="0" w:color="auto"/>
            <w:bottom w:val="none" w:sz="0" w:space="0" w:color="auto"/>
            <w:right w:val="none" w:sz="0" w:space="0" w:color="auto"/>
          </w:divBdr>
        </w:div>
        <w:div w:id="584263241">
          <w:marLeft w:val="480"/>
          <w:marRight w:val="0"/>
          <w:marTop w:val="0"/>
          <w:marBottom w:val="0"/>
          <w:divBdr>
            <w:top w:val="none" w:sz="0" w:space="0" w:color="auto"/>
            <w:left w:val="none" w:sz="0" w:space="0" w:color="auto"/>
            <w:bottom w:val="none" w:sz="0" w:space="0" w:color="auto"/>
            <w:right w:val="none" w:sz="0" w:space="0" w:color="auto"/>
          </w:divBdr>
        </w:div>
        <w:div w:id="1567259520">
          <w:marLeft w:val="480"/>
          <w:marRight w:val="0"/>
          <w:marTop w:val="0"/>
          <w:marBottom w:val="0"/>
          <w:divBdr>
            <w:top w:val="none" w:sz="0" w:space="0" w:color="auto"/>
            <w:left w:val="none" w:sz="0" w:space="0" w:color="auto"/>
            <w:bottom w:val="none" w:sz="0" w:space="0" w:color="auto"/>
            <w:right w:val="none" w:sz="0" w:space="0" w:color="auto"/>
          </w:divBdr>
        </w:div>
        <w:div w:id="2007396215">
          <w:marLeft w:val="480"/>
          <w:marRight w:val="0"/>
          <w:marTop w:val="0"/>
          <w:marBottom w:val="0"/>
          <w:divBdr>
            <w:top w:val="none" w:sz="0" w:space="0" w:color="auto"/>
            <w:left w:val="none" w:sz="0" w:space="0" w:color="auto"/>
            <w:bottom w:val="none" w:sz="0" w:space="0" w:color="auto"/>
            <w:right w:val="none" w:sz="0" w:space="0" w:color="auto"/>
          </w:divBdr>
        </w:div>
        <w:div w:id="1529877630">
          <w:marLeft w:val="480"/>
          <w:marRight w:val="0"/>
          <w:marTop w:val="0"/>
          <w:marBottom w:val="0"/>
          <w:divBdr>
            <w:top w:val="none" w:sz="0" w:space="0" w:color="auto"/>
            <w:left w:val="none" w:sz="0" w:space="0" w:color="auto"/>
            <w:bottom w:val="none" w:sz="0" w:space="0" w:color="auto"/>
            <w:right w:val="none" w:sz="0" w:space="0" w:color="auto"/>
          </w:divBdr>
        </w:div>
      </w:divsChild>
    </w:div>
    <w:div w:id="742261667">
      <w:bodyDiv w:val="1"/>
      <w:marLeft w:val="0"/>
      <w:marRight w:val="0"/>
      <w:marTop w:val="0"/>
      <w:marBottom w:val="0"/>
      <w:divBdr>
        <w:top w:val="none" w:sz="0" w:space="0" w:color="auto"/>
        <w:left w:val="none" w:sz="0" w:space="0" w:color="auto"/>
        <w:bottom w:val="none" w:sz="0" w:space="0" w:color="auto"/>
        <w:right w:val="none" w:sz="0" w:space="0" w:color="auto"/>
      </w:divBdr>
    </w:div>
    <w:div w:id="758520719">
      <w:bodyDiv w:val="1"/>
      <w:marLeft w:val="0"/>
      <w:marRight w:val="0"/>
      <w:marTop w:val="0"/>
      <w:marBottom w:val="0"/>
      <w:divBdr>
        <w:top w:val="none" w:sz="0" w:space="0" w:color="auto"/>
        <w:left w:val="none" w:sz="0" w:space="0" w:color="auto"/>
        <w:bottom w:val="none" w:sz="0" w:space="0" w:color="auto"/>
        <w:right w:val="none" w:sz="0" w:space="0" w:color="auto"/>
      </w:divBdr>
    </w:div>
    <w:div w:id="77721655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53715">
      <w:bodyDiv w:val="1"/>
      <w:marLeft w:val="0"/>
      <w:marRight w:val="0"/>
      <w:marTop w:val="0"/>
      <w:marBottom w:val="0"/>
      <w:divBdr>
        <w:top w:val="none" w:sz="0" w:space="0" w:color="auto"/>
        <w:left w:val="none" w:sz="0" w:space="0" w:color="auto"/>
        <w:bottom w:val="none" w:sz="0" w:space="0" w:color="auto"/>
        <w:right w:val="none" w:sz="0" w:space="0" w:color="auto"/>
      </w:divBdr>
    </w:div>
    <w:div w:id="788474048">
      <w:bodyDiv w:val="1"/>
      <w:marLeft w:val="0"/>
      <w:marRight w:val="0"/>
      <w:marTop w:val="0"/>
      <w:marBottom w:val="0"/>
      <w:divBdr>
        <w:top w:val="none" w:sz="0" w:space="0" w:color="auto"/>
        <w:left w:val="none" w:sz="0" w:space="0" w:color="auto"/>
        <w:bottom w:val="none" w:sz="0" w:space="0" w:color="auto"/>
        <w:right w:val="none" w:sz="0" w:space="0" w:color="auto"/>
      </w:divBdr>
      <w:divsChild>
        <w:div w:id="1033265115">
          <w:marLeft w:val="480"/>
          <w:marRight w:val="0"/>
          <w:marTop w:val="0"/>
          <w:marBottom w:val="0"/>
          <w:divBdr>
            <w:top w:val="none" w:sz="0" w:space="0" w:color="auto"/>
            <w:left w:val="none" w:sz="0" w:space="0" w:color="auto"/>
            <w:bottom w:val="none" w:sz="0" w:space="0" w:color="auto"/>
            <w:right w:val="none" w:sz="0" w:space="0" w:color="auto"/>
          </w:divBdr>
        </w:div>
        <w:div w:id="1803426443">
          <w:marLeft w:val="480"/>
          <w:marRight w:val="0"/>
          <w:marTop w:val="0"/>
          <w:marBottom w:val="0"/>
          <w:divBdr>
            <w:top w:val="none" w:sz="0" w:space="0" w:color="auto"/>
            <w:left w:val="none" w:sz="0" w:space="0" w:color="auto"/>
            <w:bottom w:val="none" w:sz="0" w:space="0" w:color="auto"/>
            <w:right w:val="none" w:sz="0" w:space="0" w:color="auto"/>
          </w:divBdr>
        </w:div>
        <w:div w:id="1147553496">
          <w:marLeft w:val="480"/>
          <w:marRight w:val="0"/>
          <w:marTop w:val="0"/>
          <w:marBottom w:val="0"/>
          <w:divBdr>
            <w:top w:val="none" w:sz="0" w:space="0" w:color="auto"/>
            <w:left w:val="none" w:sz="0" w:space="0" w:color="auto"/>
            <w:bottom w:val="none" w:sz="0" w:space="0" w:color="auto"/>
            <w:right w:val="none" w:sz="0" w:space="0" w:color="auto"/>
          </w:divBdr>
        </w:div>
        <w:div w:id="1664116215">
          <w:marLeft w:val="480"/>
          <w:marRight w:val="0"/>
          <w:marTop w:val="0"/>
          <w:marBottom w:val="0"/>
          <w:divBdr>
            <w:top w:val="none" w:sz="0" w:space="0" w:color="auto"/>
            <w:left w:val="none" w:sz="0" w:space="0" w:color="auto"/>
            <w:bottom w:val="none" w:sz="0" w:space="0" w:color="auto"/>
            <w:right w:val="none" w:sz="0" w:space="0" w:color="auto"/>
          </w:divBdr>
        </w:div>
        <w:div w:id="1300190217">
          <w:marLeft w:val="480"/>
          <w:marRight w:val="0"/>
          <w:marTop w:val="0"/>
          <w:marBottom w:val="0"/>
          <w:divBdr>
            <w:top w:val="none" w:sz="0" w:space="0" w:color="auto"/>
            <w:left w:val="none" w:sz="0" w:space="0" w:color="auto"/>
            <w:bottom w:val="none" w:sz="0" w:space="0" w:color="auto"/>
            <w:right w:val="none" w:sz="0" w:space="0" w:color="auto"/>
          </w:divBdr>
        </w:div>
        <w:div w:id="69009563">
          <w:marLeft w:val="480"/>
          <w:marRight w:val="0"/>
          <w:marTop w:val="0"/>
          <w:marBottom w:val="0"/>
          <w:divBdr>
            <w:top w:val="none" w:sz="0" w:space="0" w:color="auto"/>
            <w:left w:val="none" w:sz="0" w:space="0" w:color="auto"/>
            <w:bottom w:val="none" w:sz="0" w:space="0" w:color="auto"/>
            <w:right w:val="none" w:sz="0" w:space="0" w:color="auto"/>
          </w:divBdr>
        </w:div>
        <w:div w:id="1404571852">
          <w:marLeft w:val="480"/>
          <w:marRight w:val="0"/>
          <w:marTop w:val="0"/>
          <w:marBottom w:val="0"/>
          <w:divBdr>
            <w:top w:val="none" w:sz="0" w:space="0" w:color="auto"/>
            <w:left w:val="none" w:sz="0" w:space="0" w:color="auto"/>
            <w:bottom w:val="none" w:sz="0" w:space="0" w:color="auto"/>
            <w:right w:val="none" w:sz="0" w:space="0" w:color="auto"/>
          </w:divBdr>
        </w:div>
        <w:div w:id="1994139583">
          <w:marLeft w:val="480"/>
          <w:marRight w:val="0"/>
          <w:marTop w:val="0"/>
          <w:marBottom w:val="0"/>
          <w:divBdr>
            <w:top w:val="none" w:sz="0" w:space="0" w:color="auto"/>
            <w:left w:val="none" w:sz="0" w:space="0" w:color="auto"/>
            <w:bottom w:val="none" w:sz="0" w:space="0" w:color="auto"/>
            <w:right w:val="none" w:sz="0" w:space="0" w:color="auto"/>
          </w:divBdr>
        </w:div>
        <w:div w:id="1575696876">
          <w:marLeft w:val="480"/>
          <w:marRight w:val="0"/>
          <w:marTop w:val="0"/>
          <w:marBottom w:val="0"/>
          <w:divBdr>
            <w:top w:val="none" w:sz="0" w:space="0" w:color="auto"/>
            <w:left w:val="none" w:sz="0" w:space="0" w:color="auto"/>
            <w:bottom w:val="none" w:sz="0" w:space="0" w:color="auto"/>
            <w:right w:val="none" w:sz="0" w:space="0" w:color="auto"/>
          </w:divBdr>
        </w:div>
      </w:divsChild>
    </w:div>
    <w:div w:id="857546624">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5412338">
      <w:bodyDiv w:val="1"/>
      <w:marLeft w:val="0"/>
      <w:marRight w:val="0"/>
      <w:marTop w:val="0"/>
      <w:marBottom w:val="0"/>
      <w:divBdr>
        <w:top w:val="none" w:sz="0" w:space="0" w:color="auto"/>
        <w:left w:val="none" w:sz="0" w:space="0" w:color="auto"/>
        <w:bottom w:val="none" w:sz="0" w:space="0" w:color="auto"/>
        <w:right w:val="none" w:sz="0" w:space="0" w:color="auto"/>
      </w:divBdr>
    </w:div>
    <w:div w:id="875431191">
      <w:bodyDiv w:val="1"/>
      <w:marLeft w:val="0"/>
      <w:marRight w:val="0"/>
      <w:marTop w:val="0"/>
      <w:marBottom w:val="0"/>
      <w:divBdr>
        <w:top w:val="none" w:sz="0" w:space="0" w:color="auto"/>
        <w:left w:val="none" w:sz="0" w:space="0" w:color="auto"/>
        <w:bottom w:val="none" w:sz="0" w:space="0" w:color="auto"/>
        <w:right w:val="none" w:sz="0" w:space="0" w:color="auto"/>
      </w:divBdr>
    </w:div>
    <w:div w:id="894850569">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01992">
      <w:bodyDiv w:val="1"/>
      <w:marLeft w:val="0"/>
      <w:marRight w:val="0"/>
      <w:marTop w:val="0"/>
      <w:marBottom w:val="0"/>
      <w:divBdr>
        <w:top w:val="none" w:sz="0" w:space="0" w:color="auto"/>
        <w:left w:val="none" w:sz="0" w:space="0" w:color="auto"/>
        <w:bottom w:val="none" w:sz="0" w:space="0" w:color="auto"/>
        <w:right w:val="none" w:sz="0" w:space="0" w:color="auto"/>
      </w:divBdr>
      <w:divsChild>
        <w:div w:id="2083326629">
          <w:marLeft w:val="480"/>
          <w:marRight w:val="0"/>
          <w:marTop w:val="0"/>
          <w:marBottom w:val="0"/>
          <w:divBdr>
            <w:top w:val="none" w:sz="0" w:space="0" w:color="auto"/>
            <w:left w:val="none" w:sz="0" w:space="0" w:color="auto"/>
            <w:bottom w:val="none" w:sz="0" w:space="0" w:color="auto"/>
            <w:right w:val="none" w:sz="0" w:space="0" w:color="auto"/>
          </w:divBdr>
        </w:div>
        <w:div w:id="1408578927">
          <w:marLeft w:val="480"/>
          <w:marRight w:val="0"/>
          <w:marTop w:val="0"/>
          <w:marBottom w:val="0"/>
          <w:divBdr>
            <w:top w:val="none" w:sz="0" w:space="0" w:color="auto"/>
            <w:left w:val="none" w:sz="0" w:space="0" w:color="auto"/>
            <w:bottom w:val="none" w:sz="0" w:space="0" w:color="auto"/>
            <w:right w:val="none" w:sz="0" w:space="0" w:color="auto"/>
          </w:divBdr>
        </w:div>
        <w:div w:id="1861700922">
          <w:marLeft w:val="480"/>
          <w:marRight w:val="0"/>
          <w:marTop w:val="0"/>
          <w:marBottom w:val="0"/>
          <w:divBdr>
            <w:top w:val="none" w:sz="0" w:space="0" w:color="auto"/>
            <w:left w:val="none" w:sz="0" w:space="0" w:color="auto"/>
            <w:bottom w:val="none" w:sz="0" w:space="0" w:color="auto"/>
            <w:right w:val="none" w:sz="0" w:space="0" w:color="auto"/>
          </w:divBdr>
        </w:div>
        <w:div w:id="1239947695">
          <w:marLeft w:val="480"/>
          <w:marRight w:val="0"/>
          <w:marTop w:val="0"/>
          <w:marBottom w:val="0"/>
          <w:divBdr>
            <w:top w:val="none" w:sz="0" w:space="0" w:color="auto"/>
            <w:left w:val="none" w:sz="0" w:space="0" w:color="auto"/>
            <w:bottom w:val="none" w:sz="0" w:space="0" w:color="auto"/>
            <w:right w:val="none" w:sz="0" w:space="0" w:color="auto"/>
          </w:divBdr>
        </w:div>
        <w:div w:id="1365520845">
          <w:marLeft w:val="480"/>
          <w:marRight w:val="0"/>
          <w:marTop w:val="0"/>
          <w:marBottom w:val="0"/>
          <w:divBdr>
            <w:top w:val="none" w:sz="0" w:space="0" w:color="auto"/>
            <w:left w:val="none" w:sz="0" w:space="0" w:color="auto"/>
            <w:bottom w:val="none" w:sz="0" w:space="0" w:color="auto"/>
            <w:right w:val="none" w:sz="0" w:space="0" w:color="auto"/>
          </w:divBdr>
        </w:div>
        <w:div w:id="477575898">
          <w:marLeft w:val="480"/>
          <w:marRight w:val="0"/>
          <w:marTop w:val="0"/>
          <w:marBottom w:val="0"/>
          <w:divBdr>
            <w:top w:val="none" w:sz="0" w:space="0" w:color="auto"/>
            <w:left w:val="none" w:sz="0" w:space="0" w:color="auto"/>
            <w:bottom w:val="none" w:sz="0" w:space="0" w:color="auto"/>
            <w:right w:val="none" w:sz="0" w:space="0" w:color="auto"/>
          </w:divBdr>
        </w:div>
        <w:div w:id="1188718905">
          <w:marLeft w:val="480"/>
          <w:marRight w:val="0"/>
          <w:marTop w:val="0"/>
          <w:marBottom w:val="0"/>
          <w:divBdr>
            <w:top w:val="none" w:sz="0" w:space="0" w:color="auto"/>
            <w:left w:val="none" w:sz="0" w:space="0" w:color="auto"/>
            <w:bottom w:val="none" w:sz="0" w:space="0" w:color="auto"/>
            <w:right w:val="none" w:sz="0" w:space="0" w:color="auto"/>
          </w:divBdr>
        </w:div>
        <w:div w:id="1148982987">
          <w:marLeft w:val="480"/>
          <w:marRight w:val="0"/>
          <w:marTop w:val="0"/>
          <w:marBottom w:val="0"/>
          <w:divBdr>
            <w:top w:val="none" w:sz="0" w:space="0" w:color="auto"/>
            <w:left w:val="none" w:sz="0" w:space="0" w:color="auto"/>
            <w:bottom w:val="none" w:sz="0" w:space="0" w:color="auto"/>
            <w:right w:val="none" w:sz="0" w:space="0" w:color="auto"/>
          </w:divBdr>
        </w:div>
        <w:div w:id="2086680069">
          <w:marLeft w:val="480"/>
          <w:marRight w:val="0"/>
          <w:marTop w:val="0"/>
          <w:marBottom w:val="0"/>
          <w:divBdr>
            <w:top w:val="none" w:sz="0" w:space="0" w:color="auto"/>
            <w:left w:val="none" w:sz="0" w:space="0" w:color="auto"/>
            <w:bottom w:val="none" w:sz="0" w:space="0" w:color="auto"/>
            <w:right w:val="none" w:sz="0" w:space="0" w:color="auto"/>
          </w:divBdr>
        </w:div>
        <w:div w:id="2108186762">
          <w:marLeft w:val="480"/>
          <w:marRight w:val="0"/>
          <w:marTop w:val="0"/>
          <w:marBottom w:val="0"/>
          <w:divBdr>
            <w:top w:val="none" w:sz="0" w:space="0" w:color="auto"/>
            <w:left w:val="none" w:sz="0" w:space="0" w:color="auto"/>
            <w:bottom w:val="none" w:sz="0" w:space="0" w:color="auto"/>
            <w:right w:val="none" w:sz="0" w:space="0" w:color="auto"/>
          </w:divBdr>
        </w:div>
      </w:divsChild>
    </w:div>
    <w:div w:id="964236728">
      <w:bodyDiv w:val="1"/>
      <w:marLeft w:val="0"/>
      <w:marRight w:val="0"/>
      <w:marTop w:val="0"/>
      <w:marBottom w:val="0"/>
      <w:divBdr>
        <w:top w:val="none" w:sz="0" w:space="0" w:color="auto"/>
        <w:left w:val="none" w:sz="0" w:space="0" w:color="auto"/>
        <w:bottom w:val="none" w:sz="0" w:space="0" w:color="auto"/>
        <w:right w:val="none" w:sz="0" w:space="0" w:color="auto"/>
      </w:divBdr>
      <w:divsChild>
        <w:div w:id="1515607864">
          <w:marLeft w:val="480"/>
          <w:marRight w:val="0"/>
          <w:marTop w:val="0"/>
          <w:marBottom w:val="0"/>
          <w:divBdr>
            <w:top w:val="none" w:sz="0" w:space="0" w:color="auto"/>
            <w:left w:val="none" w:sz="0" w:space="0" w:color="auto"/>
            <w:bottom w:val="none" w:sz="0" w:space="0" w:color="auto"/>
            <w:right w:val="none" w:sz="0" w:space="0" w:color="auto"/>
          </w:divBdr>
        </w:div>
        <w:div w:id="242221737">
          <w:marLeft w:val="480"/>
          <w:marRight w:val="0"/>
          <w:marTop w:val="0"/>
          <w:marBottom w:val="0"/>
          <w:divBdr>
            <w:top w:val="none" w:sz="0" w:space="0" w:color="auto"/>
            <w:left w:val="none" w:sz="0" w:space="0" w:color="auto"/>
            <w:bottom w:val="none" w:sz="0" w:space="0" w:color="auto"/>
            <w:right w:val="none" w:sz="0" w:space="0" w:color="auto"/>
          </w:divBdr>
        </w:div>
        <w:div w:id="185094719">
          <w:marLeft w:val="480"/>
          <w:marRight w:val="0"/>
          <w:marTop w:val="0"/>
          <w:marBottom w:val="0"/>
          <w:divBdr>
            <w:top w:val="none" w:sz="0" w:space="0" w:color="auto"/>
            <w:left w:val="none" w:sz="0" w:space="0" w:color="auto"/>
            <w:bottom w:val="none" w:sz="0" w:space="0" w:color="auto"/>
            <w:right w:val="none" w:sz="0" w:space="0" w:color="auto"/>
          </w:divBdr>
        </w:div>
        <w:div w:id="1840466592">
          <w:marLeft w:val="480"/>
          <w:marRight w:val="0"/>
          <w:marTop w:val="0"/>
          <w:marBottom w:val="0"/>
          <w:divBdr>
            <w:top w:val="none" w:sz="0" w:space="0" w:color="auto"/>
            <w:left w:val="none" w:sz="0" w:space="0" w:color="auto"/>
            <w:bottom w:val="none" w:sz="0" w:space="0" w:color="auto"/>
            <w:right w:val="none" w:sz="0" w:space="0" w:color="auto"/>
          </w:divBdr>
        </w:div>
        <w:div w:id="1909223821">
          <w:marLeft w:val="480"/>
          <w:marRight w:val="0"/>
          <w:marTop w:val="0"/>
          <w:marBottom w:val="0"/>
          <w:divBdr>
            <w:top w:val="none" w:sz="0" w:space="0" w:color="auto"/>
            <w:left w:val="none" w:sz="0" w:space="0" w:color="auto"/>
            <w:bottom w:val="none" w:sz="0" w:space="0" w:color="auto"/>
            <w:right w:val="none" w:sz="0" w:space="0" w:color="auto"/>
          </w:divBdr>
        </w:div>
        <w:div w:id="1754621397">
          <w:marLeft w:val="480"/>
          <w:marRight w:val="0"/>
          <w:marTop w:val="0"/>
          <w:marBottom w:val="0"/>
          <w:divBdr>
            <w:top w:val="none" w:sz="0" w:space="0" w:color="auto"/>
            <w:left w:val="none" w:sz="0" w:space="0" w:color="auto"/>
            <w:bottom w:val="none" w:sz="0" w:space="0" w:color="auto"/>
            <w:right w:val="none" w:sz="0" w:space="0" w:color="auto"/>
          </w:divBdr>
        </w:div>
        <w:div w:id="1034037377">
          <w:marLeft w:val="480"/>
          <w:marRight w:val="0"/>
          <w:marTop w:val="0"/>
          <w:marBottom w:val="0"/>
          <w:divBdr>
            <w:top w:val="none" w:sz="0" w:space="0" w:color="auto"/>
            <w:left w:val="none" w:sz="0" w:space="0" w:color="auto"/>
            <w:bottom w:val="none" w:sz="0" w:space="0" w:color="auto"/>
            <w:right w:val="none" w:sz="0" w:space="0" w:color="auto"/>
          </w:divBdr>
        </w:div>
        <w:div w:id="2028173758">
          <w:marLeft w:val="480"/>
          <w:marRight w:val="0"/>
          <w:marTop w:val="0"/>
          <w:marBottom w:val="0"/>
          <w:divBdr>
            <w:top w:val="none" w:sz="0" w:space="0" w:color="auto"/>
            <w:left w:val="none" w:sz="0" w:space="0" w:color="auto"/>
            <w:bottom w:val="none" w:sz="0" w:space="0" w:color="auto"/>
            <w:right w:val="none" w:sz="0" w:space="0" w:color="auto"/>
          </w:divBdr>
        </w:div>
        <w:div w:id="303773658">
          <w:marLeft w:val="480"/>
          <w:marRight w:val="0"/>
          <w:marTop w:val="0"/>
          <w:marBottom w:val="0"/>
          <w:divBdr>
            <w:top w:val="none" w:sz="0" w:space="0" w:color="auto"/>
            <w:left w:val="none" w:sz="0" w:space="0" w:color="auto"/>
            <w:bottom w:val="none" w:sz="0" w:space="0" w:color="auto"/>
            <w:right w:val="none" w:sz="0" w:space="0" w:color="auto"/>
          </w:divBdr>
        </w:div>
      </w:divsChild>
    </w:div>
    <w:div w:id="967661925">
      <w:bodyDiv w:val="1"/>
      <w:marLeft w:val="0"/>
      <w:marRight w:val="0"/>
      <w:marTop w:val="0"/>
      <w:marBottom w:val="0"/>
      <w:divBdr>
        <w:top w:val="none" w:sz="0" w:space="0" w:color="auto"/>
        <w:left w:val="none" w:sz="0" w:space="0" w:color="auto"/>
        <w:bottom w:val="none" w:sz="0" w:space="0" w:color="auto"/>
        <w:right w:val="none" w:sz="0" w:space="0" w:color="auto"/>
      </w:divBdr>
      <w:divsChild>
        <w:div w:id="1535342608">
          <w:marLeft w:val="480"/>
          <w:marRight w:val="0"/>
          <w:marTop w:val="0"/>
          <w:marBottom w:val="0"/>
          <w:divBdr>
            <w:top w:val="none" w:sz="0" w:space="0" w:color="auto"/>
            <w:left w:val="none" w:sz="0" w:space="0" w:color="auto"/>
            <w:bottom w:val="none" w:sz="0" w:space="0" w:color="auto"/>
            <w:right w:val="none" w:sz="0" w:space="0" w:color="auto"/>
          </w:divBdr>
        </w:div>
      </w:divsChild>
    </w:div>
    <w:div w:id="1035276379">
      <w:bodyDiv w:val="1"/>
      <w:marLeft w:val="0"/>
      <w:marRight w:val="0"/>
      <w:marTop w:val="0"/>
      <w:marBottom w:val="0"/>
      <w:divBdr>
        <w:top w:val="none" w:sz="0" w:space="0" w:color="auto"/>
        <w:left w:val="none" w:sz="0" w:space="0" w:color="auto"/>
        <w:bottom w:val="none" w:sz="0" w:space="0" w:color="auto"/>
        <w:right w:val="none" w:sz="0" w:space="0" w:color="auto"/>
      </w:divBdr>
      <w:divsChild>
        <w:div w:id="254829599">
          <w:marLeft w:val="480"/>
          <w:marRight w:val="0"/>
          <w:marTop w:val="0"/>
          <w:marBottom w:val="0"/>
          <w:divBdr>
            <w:top w:val="none" w:sz="0" w:space="0" w:color="auto"/>
            <w:left w:val="none" w:sz="0" w:space="0" w:color="auto"/>
            <w:bottom w:val="none" w:sz="0" w:space="0" w:color="auto"/>
            <w:right w:val="none" w:sz="0" w:space="0" w:color="auto"/>
          </w:divBdr>
        </w:div>
        <w:div w:id="655232893">
          <w:marLeft w:val="480"/>
          <w:marRight w:val="0"/>
          <w:marTop w:val="0"/>
          <w:marBottom w:val="0"/>
          <w:divBdr>
            <w:top w:val="none" w:sz="0" w:space="0" w:color="auto"/>
            <w:left w:val="none" w:sz="0" w:space="0" w:color="auto"/>
            <w:bottom w:val="none" w:sz="0" w:space="0" w:color="auto"/>
            <w:right w:val="none" w:sz="0" w:space="0" w:color="auto"/>
          </w:divBdr>
        </w:div>
        <w:div w:id="1304500748">
          <w:marLeft w:val="480"/>
          <w:marRight w:val="0"/>
          <w:marTop w:val="0"/>
          <w:marBottom w:val="0"/>
          <w:divBdr>
            <w:top w:val="none" w:sz="0" w:space="0" w:color="auto"/>
            <w:left w:val="none" w:sz="0" w:space="0" w:color="auto"/>
            <w:bottom w:val="none" w:sz="0" w:space="0" w:color="auto"/>
            <w:right w:val="none" w:sz="0" w:space="0" w:color="auto"/>
          </w:divBdr>
        </w:div>
        <w:div w:id="1068572468">
          <w:marLeft w:val="480"/>
          <w:marRight w:val="0"/>
          <w:marTop w:val="0"/>
          <w:marBottom w:val="0"/>
          <w:divBdr>
            <w:top w:val="none" w:sz="0" w:space="0" w:color="auto"/>
            <w:left w:val="none" w:sz="0" w:space="0" w:color="auto"/>
            <w:bottom w:val="none" w:sz="0" w:space="0" w:color="auto"/>
            <w:right w:val="none" w:sz="0" w:space="0" w:color="auto"/>
          </w:divBdr>
        </w:div>
        <w:div w:id="595478187">
          <w:marLeft w:val="480"/>
          <w:marRight w:val="0"/>
          <w:marTop w:val="0"/>
          <w:marBottom w:val="0"/>
          <w:divBdr>
            <w:top w:val="none" w:sz="0" w:space="0" w:color="auto"/>
            <w:left w:val="none" w:sz="0" w:space="0" w:color="auto"/>
            <w:bottom w:val="none" w:sz="0" w:space="0" w:color="auto"/>
            <w:right w:val="none" w:sz="0" w:space="0" w:color="auto"/>
          </w:divBdr>
        </w:div>
        <w:div w:id="548225420">
          <w:marLeft w:val="480"/>
          <w:marRight w:val="0"/>
          <w:marTop w:val="0"/>
          <w:marBottom w:val="0"/>
          <w:divBdr>
            <w:top w:val="none" w:sz="0" w:space="0" w:color="auto"/>
            <w:left w:val="none" w:sz="0" w:space="0" w:color="auto"/>
            <w:bottom w:val="none" w:sz="0" w:space="0" w:color="auto"/>
            <w:right w:val="none" w:sz="0" w:space="0" w:color="auto"/>
          </w:divBdr>
        </w:div>
        <w:div w:id="1175001999">
          <w:marLeft w:val="480"/>
          <w:marRight w:val="0"/>
          <w:marTop w:val="0"/>
          <w:marBottom w:val="0"/>
          <w:divBdr>
            <w:top w:val="none" w:sz="0" w:space="0" w:color="auto"/>
            <w:left w:val="none" w:sz="0" w:space="0" w:color="auto"/>
            <w:bottom w:val="none" w:sz="0" w:space="0" w:color="auto"/>
            <w:right w:val="none" w:sz="0" w:space="0" w:color="auto"/>
          </w:divBdr>
        </w:div>
      </w:divsChild>
    </w:div>
    <w:div w:id="1036543712">
      <w:bodyDiv w:val="1"/>
      <w:marLeft w:val="0"/>
      <w:marRight w:val="0"/>
      <w:marTop w:val="0"/>
      <w:marBottom w:val="0"/>
      <w:divBdr>
        <w:top w:val="none" w:sz="0" w:space="0" w:color="auto"/>
        <w:left w:val="none" w:sz="0" w:space="0" w:color="auto"/>
        <w:bottom w:val="none" w:sz="0" w:space="0" w:color="auto"/>
        <w:right w:val="none" w:sz="0" w:space="0" w:color="auto"/>
      </w:divBdr>
    </w:div>
    <w:div w:id="1061364561">
      <w:bodyDiv w:val="1"/>
      <w:marLeft w:val="0"/>
      <w:marRight w:val="0"/>
      <w:marTop w:val="0"/>
      <w:marBottom w:val="0"/>
      <w:divBdr>
        <w:top w:val="none" w:sz="0" w:space="0" w:color="auto"/>
        <w:left w:val="none" w:sz="0" w:space="0" w:color="auto"/>
        <w:bottom w:val="none" w:sz="0" w:space="0" w:color="auto"/>
        <w:right w:val="none" w:sz="0" w:space="0" w:color="auto"/>
      </w:divBdr>
    </w:div>
    <w:div w:id="1090201962">
      <w:bodyDiv w:val="1"/>
      <w:marLeft w:val="0"/>
      <w:marRight w:val="0"/>
      <w:marTop w:val="0"/>
      <w:marBottom w:val="0"/>
      <w:divBdr>
        <w:top w:val="none" w:sz="0" w:space="0" w:color="auto"/>
        <w:left w:val="none" w:sz="0" w:space="0" w:color="auto"/>
        <w:bottom w:val="none" w:sz="0" w:space="0" w:color="auto"/>
        <w:right w:val="none" w:sz="0" w:space="0" w:color="auto"/>
      </w:divBdr>
    </w:div>
    <w:div w:id="1114329584">
      <w:bodyDiv w:val="1"/>
      <w:marLeft w:val="0"/>
      <w:marRight w:val="0"/>
      <w:marTop w:val="0"/>
      <w:marBottom w:val="0"/>
      <w:divBdr>
        <w:top w:val="none" w:sz="0" w:space="0" w:color="auto"/>
        <w:left w:val="none" w:sz="0" w:space="0" w:color="auto"/>
        <w:bottom w:val="none" w:sz="0" w:space="0" w:color="auto"/>
        <w:right w:val="none" w:sz="0" w:space="0" w:color="auto"/>
      </w:divBdr>
      <w:divsChild>
        <w:div w:id="1537424094">
          <w:marLeft w:val="480"/>
          <w:marRight w:val="0"/>
          <w:marTop w:val="0"/>
          <w:marBottom w:val="0"/>
          <w:divBdr>
            <w:top w:val="none" w:sz="0" w:space="0" w:color="auto"/>
            <w:left w:val="none" w:sz="0" w:space="0" w:color="auto"/>
            <w:bottom w:val="none" w:sz="0" w:space="0" w:color="auto"/>
            <w:right w:val="none" w:sz="0" w:space="0" w:color="auto"/>
          </w:divBdr>
        </w:div>
        <w:div w:id="1597598423">
          <w:marLeft w:val="480"/>
          <w:marRight w:val="0"/>
          <w:marTop w:val="0"/>
          <w:marBottom w:val="0"/>
          <w:divBdr>
            <w:top w:val="none" w:sz="0" w:space="0" w:color="auto"/>
            <w:left w:val="none" w:sz="0" w:space="0" w:color="auto"/>
            <w:bottom w:val="none" w:sz="0" w:space="0" w:color="auto"/>
            <w:right w:val="none" w:sz="0" w:space="0" w:color="auto"/>
          </w:divBdr>
        </w:div>
        <w:div w:id="1571888342">
          <w:marLeft w:val="480"/>
          <w:marRight w:val="0"/>
          <w:marTop w:val="0"/>
          <w:marBottom w:val="0"/>
          <w:divBdr>
            <w:top w:val="none" w:sz="0" w:space="0" w:color="auto"/>
            <w:left w:val="none" w:sz="0" w:space="0" w:color="auto"/>
            <w:bottom w:val="none" w:sz="0" w:space="0" w:color="auto"/>
            <w:right w:val="none" w:sz="0" w:space="0" w:color="auto"/>
          </w:divBdr>
        </w:div>
      </w:divsChild>
    </w:div>
    <w:div w:id="1114709748">
      <w:bodyDiv w:val="1"/>
      <w:marLeft w:val="0"/>
      <w:marRight w:val="0"/>
      <w:marTop w:val="0"/>
      <w:marBottom w:val="0"/>
      <w:divBdr>
        <w:top w:val="none" w:sz="0" w:space="0" w:color="auto"/>
        <w:left w:val="none" w:sz="0" w:space="0" w:color="auto"/>
        <w:bottom w:val="none" w:sz="0" w:space="0" w:color="auto"/>
        <w:right w:val="none" w:sz="0" w:space="0" w:color="auto"/>
      </w:divBdr>
      <w:divsChild>
        <w:div w:id="996958503">
          <w:marLeft w:val="480"/>
          <w:marRight w:val="0"/>
          <w:marTop w:val="0"/>
          <w:marBottom w:val="0"/>
          <w:divBdr>
            <w:top w:val="none" w:sz="0" w:space="0" w:color="auto"/>
            <w:left w:val="none" w:sz="0" w:space="0" w:color="auto"/>
            <w:bottom w:val="none" w:sz="0" w:space="0" w:color="auto"/>
            <w:right w:val="none" w:sz="0" w:space="0" w:color="auto"/>
          </w:divBdr>
        </w:div>
        <w:div w:id="793213195">
          <w:marLeft w:val="480"/>
          <w:marRight w:val="0"/>
          <w:marTop w:val="0"/>
          <w:marBottom w:val="0"/>
          <w:divBdr>
            <w:top w:val="none" w:sz="0" w:space="0" w:color="auto"/>
            <w:left w:val="none" w:sz="0" w:space="0" w:color="auto"/>
            <w:bottom w:val="none" w:sz="0" w:space="0" w:color="auto"/>
            <w:right w:val="none" w:sz="0" w:space="0" w:color="auto"/>
          </w:divBdr>
        </w:div>
        <w:div w:id="1430588290">
          <w:marLeft w:val="480"/>
          <w:marRight w:val="0"/>
          <w:marTop w:val="0"/>
          <w:marBottom w:val="0"/>
          <w:divBdr>
            <w:top w:val="none" w:sz="0" w:space="0" w:color="auto"/>
            <w:left w:val="none" w:sz="0" w:space="0" w:color="auto"/>
            <w:bottom w:val="none" w:sz="0" w:space="0" w:color="auto"/>
            <w:right w:val="none" w:sz="0" w:space="0" w:color="auto"/>
          </w:divBdr>
        </w:div>
        <w:div w:id="321930810">
          <w:marLeft w:val="480"/>
          <w:marRight w:val="0"/>
          <w:marTop w:val="0"/>
          <w:marBottom w:val="0"/>
          <w:divBdr>
            <w:top w:val="none" w:sz="0" w:space="0" w:color="auto"/>
            <w:left w:val="none" w:sz="0" w:space="0" w:color="auto"/>
            <w:bottom w:val="none" w:sz="0" w:space="0" w:color="auto"/>
            <w:right w:val="none" w:sz="0" w:space="0" w:color="auto"/>
          </w:divBdr>
        </w:div>
        <w:div w:id="1008752150">
          <w:marLeft w:val="480"/>
          <w:marRight w:val="0"/>
          <w:marTop w:val="0"/>
          <w:marBottom w:val="0"/>
          <w:divBdr>
            <w:top w:val="none" w:sz="0" w:space="0" w:color="auto"/>
            <w:left w:val="none" w:sz="0" w:space="0" w:color="auto"/>
            <w:bottom w:val="none" w:sz="0" w:space="0" w:color="auto"/>
            <w:right w:val="none" w:sz="0" w:space="0" w:color="auto"/>
          </w:divBdr>
        </w:div>
        <w:div w:id="756054692">
          <w:marLeft w:val="480"/>
          <w:marRight w:val="0"/>
          <w:marTop w:val="0"/>
          <w:marBottom w:val="0"/>
          <w:divBdr>
            <w:top w:val="none" w:sz="0" w:space="0" w:color="auto"/>
            <w:left w:val="none" w:sz="0" w:space="0" w:color="auto"/>
            <w:bottom w:val="none" w:sz="0" w:space="0" w:color="auto"/>
            <w:right w:val="none" w:sz="0" w:space="0" w:color="auto"/>
          </w:divBdr>
        </w:div>
        <w:div w:id="39400293">
          <w:marLeft w:val="480"/>
          <w:marRight w:val="0"/>
          <w:marTop w:val="0"/>
          <w:marBottom w:val="0"/>
          <w:divBdr>
            <w:top w:val="none" w:sz="0" w:space="0" w:color="auto"/>
            <w:left w:val="none" w:sz="0" w:space="0" w:color="auto"/>
            <w:bottom w:val="none" w:sz="0" w:space="0" w:color="auto"/>
            <w:right w:val="none" w:sz="0" w:space="0" w:color="auto"/>
          </w:divBdr>
        </w:div>
      </w:divsChild>
    </w:div>
    <w:div w:id="1145124049">
      <w:bodyDiv w:val="1"/>
      <w:marLeft w:val="0"/>
      <w:marRight w:val="0"/>
      <w:marTop w:val="0"/>
      <w:marBottom w:val="0"/>
      <w:divBdr>
        <w:top w:val="none" w:sz="0" w:space="0" w:color="auto"/>
        <w:left w:val="none" w:sz="0" w:space="0" w:color="auto"/>
        <w:bottom w:val="none" w:sz="0" w:space="0" w:color="auto"/>
        <w:right w:val="none" w:sz="0" w:space="0" w:color="auto"/>
      </w:divBdr>
      <w:divsChild>
        <w:div w:id="1282342940">
          <w:marLeft w:val="480"/>
          <w:marRight w:val="0"/>
          <w:marTop w:val="0"/>
          <w:marBottom w:val="0"/>
          <w:divBdr>
            <w:top w:val="none" w:sz="0" w:space="0" w:color="auto"/>
            <w:left w:val="none" w:sz="0" w:space="0" w:color="auto"/>
            <w:bottom w:val="none" w:sz="0" w:space="0" w:color="auto"/>
            <w:right w:val="none" w:sz="0" w:space="0" w:color="auto"/>
          </w:divBdr>
        </w:div>
      </w:divsChild>
    </w:div>
    <w:div w:id="1162038642">
      <w:bodyDiv w:val="1"/>
      <w:marLeft w:val="0"/>
      <w:marRight w:val="0"/>
      <w:marTop w:val="0"/>
      <w:marBottom w:val="0"/>
      <w:divBdr>
        <w:top w:val="none" w:sz="0" w:space="0" w:color="auto"/>
        <w:left w:val="none" w:sz="0" w:space="0" w:color="auto"/>
        <w:bottom w:val="none" w:sz="0" w:space="0" w:color="auto"/>
        <w:right w:val="none" w:sz="0" w:space="0" w:color="auto"/>
      </w:divBdr>
      <w:divsChild>
        <w:div w:id="2091080510">
          <w:marLeft w:val="480"/>
          <w:marRight w:val="0"/>
          <w:marTop w:val="0"/>
          <w:marBottom w:val="0"/>
          <w:divBdr>
            <w:top w:val="none" w:sz="0" w:space="0" w:color="auto"/>
            <w:left w:val="none" w:sz="0" w:space="0" w:color="auto"/>
            <w:bottom w:val="none" w:sz="0" w:space="0" w:color="auto"/>
            <w:right w:val="none" w:sz="0" w:space="0" w:color="auto"/>
          </w:divBdr>
        </w:div>
        <w:div w:id="1928877203">
          <w:marLeft w:val="480"/>
          <w:marRight w:val="0"/>
          <w:marTop w:val="0"/>
          <w:marBottom w:val="0"/>
          <w:divBdr>
            <w:top w:val="none" w:sz="0" w:space="0" w:color="auto"/>
            <w:left w:val="none" w:sz="0" w:space="0" w:color="auto"/>
            <w:bottom w:val="none" w:sz="0" w:space="0" w:color="auto"/>
            <w:right w:val="none" w:sz="0" w:space="0" w:color="auto"/>
          </w:divBdr>
        </w:div>
        <w:div w:id="524752863">
          <w:marLeft w:val="480"/>
          <w:marRight w:val="0"/>
          <w:marTop w:val="0"/>
          <w:marBottom w:val="0"/>
          <w:divBdr>
            <w:top w:val="none" w:sz="0" w:space="0" w:color="auto"/>
            <w:left w:val="none" w:sz="0" w:space="0" w:color="auto"/>
            <w:bottom w:val="none" w:sz="0" w:space="0" w:color="auto"/>
            <w:right w:val="none" w:sz="0" w:space="0" w:color="auto"/>
          </w:divBdr>
        </w:div>
      </w:divsChild>
    </w:div>
    <w:div w:id="1170757246">
      <w:bodyDiv w:val="1"/>
      <w:marLeft w:val="0"/>
      <w:marRight w:val="0"/>
      <w:marTop w:val="0"/>
      <w:marBottom w:val="0"/>
      <w:divBdr>
        <w:top w:val="none" w:sz="0" w:space="0" w:color="auto"/>
        <w:left w:val="none" w:sz="0" w:space="0" w:color="auto"/>
        <w:bottom w:val="none" w:sz="0" w:space="0" w:color="auto"/>
        <w:right w:val="none" w:sz="0" w:space="0" w:color="auto"/>
      </w:divBdr>
      <w:divsChild>
        <w:div w:id="375394832">
          <w:marLeft w:val="480"/>
          <w:marRight w:val="0"/>
          <w:marTop w:val="0"/>
          <w:marBottom w:val="0"/>
          <w:divBdr>
            <w:top w:val="none" w:sz="0" w:space="0" w:color="auto"/>
            <w:left w:val="none" w:sz="0" w:space="0" w:color="auto"/>
            <w:bottom w:val="none" w:sz="0" w:space="0" w:color="auto"/>
            <w:right w:val="none" w:sz="0" w:space="0" w:color="auto"/>
          </w:divBdr>
        </w:div>
        <w:div w:id="39938303">
          <w:marLeft w:val="480"/>
          <w:marRight w:val="0"/>
          <w:marTop w:val="0"/>
          <w:marBottom w:val="0"/>
          <w:divBdr>
            <w:top w:val="none" w:sz="0" w:space="0" w:color="auto"/>
            <w:left w:val="none" w:sz="0" w:space="0" w:color="auto"/>
            <w:bottom w:val="none" w:sz="0" w:space="0" w:color="auto"/>
            <w:right w:val="none" w:sz="0" w:space="0" w:color="auto"/>
          </w:divBdr>
        </w:div>
        <w:div w:id="506868674">
          <w:marLeft w:val="480"/>
          <w:marRight w:val="0"/>
          <w:marTop w:val="0"/>
          <w:marBottom w:val="0"/>
          <w:divBdr>
            <w:top w:val="none" w:sz="0" w:space="0" w:color="auto"/>
            <w:left w:val="none" w:sz="0" w:space="0" w:color="auto"/>
            <w:bottom w:val="none" w:sz="0" w:space="0" w:color="auto"/>
            <w:right w:val="none" w:sz="0" w:space="0" w:color="auto"/>
          </w:divBdr>
        </w:div>
        <w:div w:id="660086382">
          <w:marLeft w:val="480"/>
          <w:marRight w:val="0"/>
          <w:marTop w:val="0"/>
          <w:marBottom w:val="0"/>
          <w:divBdr>
            <w:top w:val="none" w:sz="0" w:space="0" w:color="auto"/>
            <w:left w:val="none" w:sz="0" w:space="0" w:color="auto"/>
            <w:bottom w:val="none" w:sz="0" w:space="0" w:color="auto"/>
            <w:right w:val="none" w:sz="0" w:space="0" w:color="auto"/>
          </w:divBdr>
        </w:div>
        <w:div w:id="1955087569">
          <w:marLeft w:val="480"/>
          <w:marRight w:val="0"/>
          <w:marTop w:val="0"/>
          <w:marBottom w:val="0"/>
          <w:divBdr>
            <w:top w:val="none" w:sz="0" w:space="0" w:color="auto"/>
            <w:left w:val="none" w:sz="0" w:space="0" w:color="auto"/>
            <w:bottom w:val="none" w:sz="0" w:space="0" w:color="auto"/>
            <w:right w:val="none" w:sz="0" w:space="0" w:color="auto"/>
          </w:divBdr>
        </w:div>
        <w:div w:id="304091388">
          <w:marLeft w:val="480"/>
          <w:marRight w:val="0"/>
          <w:marTop w:val="0"/>
          <w:marBottom w:val="0"/>
          <w:divBdr>
            <w:top w:val="none" w:sz="0" w:space="0" w:color="auto"/>
            <w:left w:val="none" w:sz="0" w:space="0" w:color="auto"/>
            <w:bottom w:val="none" w:sz="0" w:space="0" w:color="auto"/>
            <w:right w:val="none" w:sz="0" w:space="0" w:color="auto"/>
          </w:divBdr>
        </w:div>
        <w:div w:id="391465235">
          <w:marLeft w:val="480"/>
          <w:marRight w:val="0"/>
          <w:marTop w:val="0"/>
          <w:marBottom w:val="0"/>
          <w:divBdr>
            <w:top w:val="none" w:sz="0" w:space="0" w:color="auto"/>
            <w:left w:val="none" w:sz="0" w:space="0" w:color="auto"/>
            <w:bottom w:val="none" w:sz="0" w:space="0" w:color="auto"/>
            <w:right w:val="none" w:sz="0" w:space="0" w:color="auto"/>
          </w:divBdr>
        </w:div>
        <w:div w:id="135728623">
          <w:marLeft w:val="480"/>
          <w:marRight w:val="0"/>
          <w:marTop w:val="0"/>
          <w:marBottom w:val="0"/>
          <w:divBdr>
            <w:top w:val="none" w:sz="0" w:space="0" w:color="auto"/>
            <w:left w:val="none" w:sz="0" w:space="0" w:color="auto"/>
            <w:bottom w:val="none" w:sz="0" w:space="0" w:color="auto"/>
            <w:right w:val="none" w:sz="0" w:space="0" w:color="auto"/>
          </w:divBdr>
        </w:div>
        <w:div w:id="475490193">
          <w:marLeft w:val="480"/>
          <w:marRight w:val="0"/>
          <w:marTop w:val="0"/>
          <w:marBottom w:val="0"/>
          <w:divBdr>
            <w:top w:val="none" w:sz="0" w:space="0" w:color="auto"/>
            <w:left w:val="none" w:sz="0" w:space="0" w:color="auto"/>
            <w:bottom w:val="none" w:sz="0" w:space="0" w:color="auto"/>
            <w:right w:val="none" w:sz="0" w:space="0" w:color="auto"/>
          </w:divBdr>
        </w:div>
      </w:divsChild>
    </w:div>
    <w:div w:id="1205562463">
      <w:bodyDiv w:val="1"/>
      <w:marLeft w:val="0"/>
      <w:marRight w:val="0"/>
      <w:marTop w:val="0"/>
      <w:marBottom w:val="0"/>
      <w:divBdr>
        <w:top w:val="none" w:sz="0" w:space="0" w:color="auto"/>
        <w:left w:val="none" w:sz="0" w:space="0" w:color="auto"/>
        <w:bottom w:val="none" w:sz="0" w:space="0" w:color="auto"/>
        <w:right w:val="none" w:sz="0" w:space="0" w:color="auto"/>
      </w:divBdr>
    </w:div>
    <w:div w:id="1317415946">
      <w:bodyDiv w:val="1"/>
      <w:marLeft w:val="0"/>
      <w:marRight w:val="0"/>
      <w:marTop w:val="0"/>
      <w:marBottom w:val="0"/>
      <w:divBdr>
        <w:top w:val="none" w:sz="0" w:space="0" w:color="auto"/>
        <w:left w:val="none" w:sz="0" w:space="0" w:color="auto"/>
        <w:bottom w:val="none" w:sz="0" w:space="0" w:color="auto"/>
        <w:right w:val="none" w:sz="0" w:space="0" w:color="auto"/>
      </w:divBdr>
    </w:div>
    <w:div w:id="1321733952">
      <w:bodyDiv w:val="1"/>
      <w:marLeft w:val="0"/>
      <w:marRight w:val="0"/>
      <w:marTop w:val="0"/>
      <w:marBottom w:val="0"/>
      <w:divBdr>
        <w:top w:val="none" w:sz="0" w:space="0" w:color="auto"/>
        <w:left w:val="none" w:sz="0" w:space="0" w:color="auto"/>
        <w:bottom w:val="none" w:sz="0" w:space="0" w:color="auto"/>
        <w:right w:val="none" w:sz="0" w:space="0" w:color="auto"/>
      </w:divBdr>
    </w:div>
    <w:div w:id="1327978258">
      <w:bodyDiv w:val="1"/>
      <w:marLeft w:val="0"/>
      <w:marRight w:val="0"/>
      <w:marTop w:val="0"/>
      <w:marBottom w:val="0"/>
      <w:divBdr>
        <w:top w:val="none" w:sz="0" w:space="0" w:color="auto"/>
        <w:left w:val="none" w:sz="0" w:space="0" w:color="auto"/>
        <w:bottom w:val="none" w:sz="0" w:space="0" w:color="auto"/>
        <w:right w:val="none" w:sz="0" w:space="0" w:color="auto"/>
      </w:divBdr>
    </w:div>
    <w:div w:id="1358653171">
      <w:bodyDiv w:val="1"/>
      <w:marLeft w:val="0"/>
      <w:marRight w:val="0"/>
      <w:marTop w:val="0"/>
      <w:marBottom w:val="0"/>
      <w:divBdr>
        <w:top w:val="none" w:sz="0" w:space="0" w:color="auto"/>
        <w:left w:val="none" w:sz="0" w:space="0" w:color="auto"/>
        <w:bottom w:val="none" w:sz="0" w:space="0" w:color="auto"/>
        <w:right w:val="none" w:sz="0" w:space="0" w:color="auto"/>
      </w:divBdr>
      <w:divsChild>
        <w:div w:id="457651223">
          <w:marLeft w:val="480"/>
          <w:marRight w:val="0"/>
          <w:marTop w:val="0"/>
          <w:marBottom w:val="0"/>
          <w:divBdr>
            <w:top w:val="none" w:sz="0" w:space="0" w:color="auto"/>
            <w:left w:val="none" w:sz="0" w:space="0" w:color="auto"/>
            <w:bottom w:val="none" w:sz="0" w:space="0" w:color="auto"/>
            <w:right w:val="none" w:sz="0" w:space="0" w:color="auto"/>
          </w:divBdr>
        </w:div>
        <w:div w:id="1675719934">
          <w:marLeft w:val="480"/>
          <w:marRight w:val="0"/>
          <w:marTop w:val="0"/>
          <w:marBottom w:val="0"/>
          <w:divBdr>
            <w:top w:val="none" w:sz="0" w:space="0" w:color="auto"/>
            <w:left w:val="none" w:sz="0" w:space="0" w:color="auto"/>
            <w:bottom w:val="none" w:sz="0" w:space="0" w:color="auto"/>
            <w:right w:val="none" w:sz="0" w:space="0" w:color="auto"/>
          </w:divBdr>
        </w:div>
        <w:div w:id="1357150400">
          <w:marLeft w:val="480"/>
          <w:marRight w:val="0"/>
          <w:marTop w:val="0"/>
          <w:marBottom w:val="0"/>
          <w:divBdr>
            <w:top w:val="none" w:sz="0" w:space="0" w:color="auto"/>
            <w:left w:val="none" w:sz="0" w:space="0" w:color="auto"/>
            <w:bottom w:val="none" w:sz="0" w:space="0" w:color="auto"/>
            <w:right w:val="none" w:sz="0" w:space="0" w:color="auto"/>
          </w:divBdr>
        </w:div>
        <w:div w:id="471364975">
          <w:marLeft w:val="480"/>
          <w:marRight w:val="0"/>
          <w:marTop w:val="0"/>
          <w:marBottom w:val="0"/>
          <w:divBdr>
            <w:top w:val="none" w:sz="0" w:space="0" w:color="auto"/>
            <w:left w:val="none" w:sz="0" w:space="0" w:color="auto"/>
            <w:bottom w:val="none" w:sz="0" w:space="0" w:color="auto"/>
            <w:right w:val="none" w:sz="0" w:space="0" w:color="auto"/>
          </w:divBdr>
        </w:div>
        <w:div w:id="1301308463">
          <w:marLeft w:val="480"/>
          <w:marRight w:val="0"/>
          <w:marTop w:val="0"/>
          <w:marBottom w:val="0"/>
          <w:divBdr>
            <w:top w:val="none" w:sz="0" w:space="0" w:color="auto"/>
            <w:left w:val="none" w:sz="0" w:space="0" w:color="auto"/>
            <w:bottom w:val="none" w:sz="0" w:space="0" w:color="auto"/>
            <w:right w:val="none" w:sz="0" w:space="0" w:color="auto"/>
          </w:divBdr>
        </w:div>
        <w:div w:id="1969894786">
          <w:marLeft w:val="480"/>
          <w:marRight w:val="0"/>
          <w:marTop w:val="0"/>
          <w:marBottom w:val="0"/>
          <w:divBdr>
            <w:top w:val="none" w:sz="0" w:space="0" w:color="auto"/>
            <w:left w:val="none" w:sz="0" w:space="0" w:color="auto"/>
            <w:bottom w:val="none" w:sz="0" w:space="0" w:color="auto"/>
            <w:right w:val="none" w:sz="0" w:space="0" w:color="auto"/>
          </w:divBdr>
        </w:div>
        <w:div w:id="1345791638">
          <w:marLeft w:val="480"/>
          <w:marRight w:val="0"/>
          <w:marTop w:val="0"/>
          <w:marBottom w:val="0"/>
          <w:divBdr>
            <w:top w:val="none" w:sz="0" w:space="0" w:color="auto"/>
            <w:left w:val="none" w:sz="0" w:space="0" w:color="auto"/>
            <w:bottom w:val="none" w:sz="0" w:space="0" w:color="auto"/>
            <w:right w:val="none" w:sz="0" w:space="0" w:color="auto"/>
          </w:divBdr>
        </w:div>
        <w:div w:id="1794208025">
          <w:marLeft w:val="480"/>
          <w:marRight w:val="0"/>
          <w:marTop w:val="0"/>
          <w:marBottom w:val="0"/>
          <w:divBdr>
            <w:top w:val="none" w:sz="0" w:space="0" w:color="auto"/>
            <w:left w:val="none" w:sz="0" w:space="0" w:color="auto"/>
            <w:bottom w:val="none" w:sz="0" w:space="0" w:color="auto"/>
            <w:right w:val="none" w:sz="0" w:space="0" w:color="auto"/>
          </w:divBdr>
        </w:div>
        <w:div w:id="2133012108">
          <w:marLeft w:val="480"/>
          <w:marRight w:val="0"/>
          <w:marTop w:val="0"/>
          <w:marBottom w:val="0"/>
          <w:divBdr>
            <w:top w:val="none" w:sz="0" w:space="0" w:color="auto"/>
            <w:left w:val="none" w:sz="0" w:space="0" w:color="auto"/>
            <w:bottom w:val="none" w:sz="0" w:space="0" w:color="auto"/>
            <w:right w:val="none" w:sz="0" w:space="0" w:color="auto"/>
          </w:divBdr>
        </w:div>
      </w:divsChild>
    </w:div>
    <w:div w:id="1386875197">
      <w:bodyDiv w:val="1"/>
      <w:marLeft w:val="0"/>
      <w:marRight w:val="0"/>
      <w:marTop w:val="0"/>
      <w:marBottom w:val="0"/>
      <w:divBdr>
        <w:top w:val="none" w:sz="0" w:space="0" w:color="auto"/>
        <w:left w:val="none" w:sz="0" w:space="0" w:color="auto"/>
        <w:bottom w:val="none" w:sz="0" w:space="0" w:color="auto"/>
        <w:right w:val="none" w:sz="0" w:space="0" w:color="auto"/>
      </w:divBdr>
    </w:div>
    <w:div w:id="1395424650">
      <w:bodyDiv w:val="1"/>
      <w:marLeft w:val="0"/>
      <w:marRight w:val="0"/>
      <w:marTop w:val="0"/>
      <w:marBottom w:val="0"/>
      <w:divBdr>
        <w:top w:val="none" w:sz="0" w:space="0" w:color="auto"/>
        <w:left w:val="none" w:sz="0" w:space="0" w:color="auto"/>
        <w:bottom w:val="none" w:sz="0" w:space="0" w:color="auto"/>
        <w:right w:val="none" w:sz="0" w:space="0" w:color="auto"/>
      </w:divBdr>
    </w:div>
    <w:div w:id="1397128708">
      <w:bodyDiv w:val="1"/>
      <w:marLeft w:val="0"/>
      <w:marRight w:val="0"/>
      <w:marTop w:val="0"/>
      <w:marBottom w:val="0"/>
      <w:divBdr>
        <w:top w:val="none" w:sz="0" w:space="0" w:color="auto"/>
        <w:left w:val="none" w:sz="0" w:space="0" w:color="auto"/>
        <w:bottom w:val="none" w:sz="0" w:space="0" w:color="auto"/>
        <w:right w:val="none" w:sz="0" w:space="0" w:color="auto"/>
      </w:divBdr>
    </w:div>
    <w:div w:id="1416975472">
      <w:bodyDiv w:val="1"/>
      <w:marLeft w:val="0"/>
      <w:marRight w:val="0"/>
      <w:marTop w:val="0"/>
      <w:marBottom w:val="0"/>
      <w:divBdr>
        <w:top w:val="none" w:sz="0" w:space="0" w:color="auto"/>
        <w:left w:val="none" w:sz="0" w:space="0" w:color="auto"/>
        <w:bottom w:val="none" w:sz="0" w:space="0" w:color="auto"/>
        <w:right w:val="none" w:sz="0" w:space="0" w:color="auto"/>
      </w:divBdr>
    </w:div>
    <w:div w:id="1428580275">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62920914">
      <w:bodyDiv w:val="1"/>
      <w:marLeft w:val="0"/>
      <w:marRight w:val="0"/>
      <w:marTop w:val="0"/>
      <w:marBottom w:val="0"/>
      <w:divBdr>
        <w:top w:val="none" w:sz="0" w:space="0" w:color="auto"/>
        <w:left w:val="none" w:sz="0" w:space="0" w:color="auto"/>
        <w:bottom w:val="none" w:sz="0" w:space="0" w:color="auto"/>
        <w:right w:val="none" w:sz="0" w:space="0" w:color="auto"/>
      </w:divBdr>
    </w:div>
    <w:div w:id="1488591151">
      <w:bodyDiv w:val="1"/>
      <w:marLeft w:val="0"/>
      <w:marRight w:val="0"/>
      <w:marTop w:val="0"/>
      <w:marBottom w:val="0"/>
      <w:divBdr>
        <w:top w:val="none" w:sz="0" w:space="0" w:color="auto"/>
        <w:left w:val="none" w:sz="0" w:space="0" w:color="auto"/>
        <w:bottom w:val="none" w:sz="0" w:space="0" w:color="auto"/>
        <w:right w:val="none" w:sz="0" w:space="0" w:color="auto"/>
      </w:divBdr>
      <w:divsChild>
        <w:div w:id="233588894">
          <w:marLeft w:val="480"/>
          <w:marRight w:val="0"/>
          <w:marTop w:val="0"/>
          <w:marBottom w:val="0"/>
          <w:divBdr>
            <w:top w:val="none" w:sz="0" w:space="0" w:color="auto"/>
            <w:left w:val="none" w:sz="0" w:space="0" w:color="auto"/>
            <w:bottom w:val="none" w:sz="0" w:space="0" w:color="auto"/>
            <w:right w:val="none" w:sz="0" w:space="0" w:color="auto"/>
          </w:divBdr>
        </w:div>
        <w:div w:id="1858542773">
          <w:marLeft w:val="480"/>
          <w:marRight w:val="0"/>
          <w:marTop w:val="0"/>
          <w:marBottom w:val="0"/>
          <w:divBdr>
            <w:top w:val="none" w:sz="0" w:space="0" w:color="auto"/>
            <w:left w:val="none" w:sz="0" w:space="0" w:color="auto"/>
            <w:bottom w:val="none" w:sz="0" w:space="0" w:color="auto"/>
            <w:right w:val="none" w:sz="0" w:space="0" w:color="auto"/>
          </w:divBdr>
        </w:div>
      </w:divsChild>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17426869">
      <w:bodyDiv w:val="1"/>
      <w:marLeft w:val="0"/>
      <w:marRight w:val="0"/>
      <w:marTop w:val="0"/>
      <w:marBottom w:val="0"/>
      <w:divBdr>
        <w:top w:val="none" w:sz="0" w:space="0" w:color="auto"/>
        <w:left w:val="none" w:sz="0" w:space="0" w:color="auto"/>
        <w:bottom w:val="none" w:sz="0" w:space="0" w:color="auto"/>
        <w:right w:val="none" w:sz="0" w:space="0" w:color="auto"/>
      </w:divBdr>
      <w:divsChild>
        <w:div w:id="136533554">
          <w:marLeft w:val="480"/>
          <w:marRight w:val="0"/>
          <w:marTop w:val="0"/>
          <w:marBottom w:val="0"/>
          <w:divBdr>
            <w:top w:val="none" w:sz="0" w:space="0" w:color="auto"/>
            <w:left w:val="none" w:sz="0" w:space="0" w:color="auto"/>
            <w:bottom w:val="none" w:sz="0" w:space="0" w:color="auto"/>
            <w:right w:val="none" w:sz="0" w:space="0" w:color="auto"/>
          </w:divBdr>
        </w:div>
        <w:div w:id="1613439383">
          <w:marLeft w:val="480"/>
          <w:marRight w:val="0"/>
          <w:marTop w:val="0"/>
          <w:marBottom w:val="0"/>
          <w:divBdr>
            <w:top w:val="none" w:sz="0" w:space="0" w:color="auto"/>
            <w:left w:val="none" w:sz="0" w:space="0" w:color="auto"/>
            <w:bottom w:val="none" w:sz="0" w:space="0" w:color="auto"/>
            <w:right w:val="none" w:sz="0" w:space="0" w:color="auto"/>
          </w:divBdr>
        </w:div>
        <w:div w:id="633416111">
          <w:marLeft w:val="480"/>
          <w:marRight w:val="0"/>
          <w:marTop w:val="0"/>
          <w:marBottom w:val="0"/>
          <w:divBdr>
            <w:top w:val="none" w:sz="0" w:space="0" w:color="auto"/>
            <w:left w:val="none" w:sz="0" w:space="0" w:color="auto"/>
            <w:bottom w:val="none" w:sz="0" w:space="0" w:color="auto"/>
            <w:right w:val="none" w:sz="0" w:space="0" w:color="auto"/>
          </w:divBdr>
        </w:div>
        <w:div w:id="928121427">
          <w:marLeft w:val="480"/>
          <w:marRight w:val="0"/>
          <w:marTop w:val="0"/>
          <w:marBottom w:val="0"/>
          <w:divBdr>
            <w:top w:val="none" w:sz="0" w:space="0" w:color="auto"/>
            <w:left w:val="none" w:sz="0" w:space="0" w:color="auto"/>
            <w:bottom w:val="none" w:sz="0" w:space="0" w:color="auto"/>
            <w:right w:val="none" w:sz="0" w:space="0" w:color="auto"/>
          </w:divBdr>
        </w:div>
        <w:div w:id="613169183">
          <w:marLeft w:val="480"/>
          <w:marRight w:val="0"/>
          <w:marTop w:val="0"/>
          <w:marBottom w:val="0"/>
          <w:divBdr>
            <w:top w:val="none" w:sz="0" w:space="0" w:color="auto"/>
            <w:left w:val="none" w:sz="0" w:space="0" w:color="auto"/>
            <w:bottom w:val="none" w:sz="0" w:space="0" w:color="auto"/>
            <w:right w:val="none" w:sz="0" w:space="0" w:color="auto"/>
          </w:divBdr>
        </w:div>
        <w:div w:id="275530008">
          <w:marLeft w:val="480"/>
          <w:marRight w:val="0"/>
          <w:marTop w:val="0"/>
          <w:marBottom w:val="0"/>
          <w:divBdr>
            <w:top w:val="none" w:sz="0" w:space="0" w:color="auto"/>
            <w:left w:val="none" w:sz="0" w:space="0" w:color="auto"/>
            <w:bottom w:val="none" w:sz="0" w:space="0" w:color="auto"/>
            <w:right w:val="none" w:sz="0" w:space="0" w:color="auto"/>
          </w:divBdr>
        </w:div>
      </w:divsChild>
    </w:div>
    <w:div w:id="1524977226">
      <w:bodyDiv w:val="1"/>
      <w:marLeft w:val="0"/>
      <w:marRight w:val="0"/>
      <w:marTop w:val="0"/>
      <w:marBottom w:val="0"/>
      <w:divBdr>
        <w:top w:val="none" w:sz="0" w:space="0" w:color="auto"/>
        <w:left w:val="none" w:sz="0" w:space="0" w:color="auto"/>
        <w:bottom w:val="none" w:sz="0" w:space="0" w:color="auto"/>
        <w:right w:val="none" w:sz="0" w:space="0" w:color="auto"/>
      </w:divBdr>
    </w:div>
    <w:div w:id="1554267355">
      <w:bodyDiv w:val="1"/>
      <w:marLeft w:val="0"/>
      <w:marRight w:val="0"/>
      <w:marTop w:val="0"/>
      <w:marBottom w:val="0"/>
      <w:divBdr>
        <w:top w:val="none" w:sz="0" w:space="0" w:color="auto"/>
        <w:left w:val="none" w:sz="0" w:space="0" w:color="auto"/>
        <w:bottom w:val="none" w:sz="0" w:space="0" w:color="auto"/>
        <w:right w:val="none" w:sz="0" w:space="0" w:color="auto"/>
      </w:divBdr>
    </w:div>
    <w:div w:id="1623610641">
      <w:bodyDiv w:val="1"/>
      <w:marLeft w:val="0"/>
      <w:marRight w:val="0"/>
      <w:marTop w:val="0"/>
      <w:marBottom w:val="0"/>
      <w:divBdr>
        <w:top w:val="none" w:sz="0" w:space="0" w:color="auto"/>
        <w:left w:val="none" w:sz="0" w:space="0" w:color="auto"/>
        <w:bottom w:val="none" w:sz="0" w:space="0" w:color="auto"/>
        <w:right w:val="none" w:sz="0" w:space="0" w:color="auto"/>
      </w:divBdr>
    </w:div>
    <w:div w:id="1631668339">
      <w:bodyDiv w:val="1"/>
      <w:marLeft w:val="0"/>
      <w:marRight w:val="0"/>
      <w:marTop w:val="0"/>
      <w:marBottom w:val="0"/>
      <w:divBdr>
        <w:top w:val="none" w:sz="0" w:space="0" w:color="auto"/>
        <w:left w:val="none" w:sz="0" w:space="0" w:color="auto"/>
        <w:bottom w:val="none" w:sz="0" w:space="0" w:color="auto"/>
        <w:right w:val="none" w:sz="0" w:space="0" w:color="auto"/>
      </w:divBdr>
      <w:divsChild>
        <w:div w:id="104663393">
          <w:marLeft w:val="480"/>
          <w:marRight w:val="0"/>
          <w:marTop w:val="0"/>
          <w:marBottom w:val="0"/>
          <w:divBdr>
            <w:top w:val="none" w:sz="0" w:space="0" w:color="auto"/>
            <w:left w:val="none" w:sz="0" w:space="0" w:color="auto"/>
            <w:bottom w:val="none" w:sz="0" w:space="0" w:color="auto"/>
            <w:right w:val="none" w:sz="0" w:space="0" w:color="auto"/>
          </w:divBdr>
        </w:div>
        <w:div w:id="1553073695">
          <w:marLeft w:val="480"/>
          <w:marRight w:val="0"/>
          <w:marTop w:val="0"/>
          <w:marBottom w:val="0"/>
          <w:divBdr>
            <w:top w:val="none" w:sz="0" w:space="0" w:color="auto"/>
            <w:left w:val="none" w:sz="0" w:space="0" w:color="auto"/>
            <w:bottom w:val="none" w:sz="0" w:space="0" w:color="auto"/>
            <w:right w:val="none" w:sz="0" w:space="0" w:color="auto"/>
          </w:divBdr>
        </w:div>
        <w:div w:id="1514420659">
          <w:marLeft w:val="480"/>
          <w:marRight w:val="0"/>
          <w:marTop w:val="0"/>
          <w:marBottom w:val="0"/>
          <w:divBdr>
            <w:top w:val="none" w:sz="0" w:space="0" w:color="auto"/>
            <w:left w:val="none" w:sz="0" w:space="0" w:color="auto"/>
            <w:bottom w:val="none" w:sz="0" w:space="0" w:color="auto"/>
            <w:right w:val="none" w:sz="0" w:space="0" w:color="auto"/>
          </w:divBdr>
        </w:div>
        <w:div w:id="491220529">
          <w:marLeft w:val="480"/>
          <w:marRight w:val="0"/>
          <w:marTop w:val="0"/>
          <w:marBottom w:val="0"/>
          <w:divBdr>
            <w:top w:val="none" w:sz="0" w:space="0" w:color="auto"/>
            <w:left w:val="none" w:sz="0" w:space="0" w:color="auto"/>
            <w:bottom w:val="none" w:sz="0" w:space="0" w:color="auto"/>
            <w:right w:val="none" w:sz="0" w:space="0" w:color="auto"/>
          </w:divBdr>
        </w:div>
        <w:div w:id="1672567664">
          <w:marLeft w:val="480"/>
          <w:marRight w:val="0"/>
          <w:marTop w:val="0"/>
          <w:marBottom w:val="0"/>
          <w:divBdr>
            <w:top w:val="none" w:sz="0" w:space="0" w:color="auto"/>
            <w:left w:val="none" w:sz="0" w:space="0" w:color="auto"/>
            <w:bottom w:val="none" w:sz="0" w:space="0" w:color="auto"/>
            <w:right w:val="none" w:sz="0" w:space="0" w:color="auto"/>
          </w:divBdr>
        </w:div>
        <w:div w:id="2092268877">
          <w:marLeft w:val="480"/>
          <w:marRight w:val="0"/>
          <w:marTop w:val="0"/>
          <w:marBottom w:val="0"/>
          <w:divBdr>
            <w:top w:val="none" w:sz="0" w:space="0" w:color="auto"/>
            <w:left w:val="none" w:sz="0" w:space="0" w:color="auto"/>
            <w:bottom w:val="none" w:sz="0" w:space="0" w:color="auto"/>
            <w:right w:val="none" w:sz="0" w:space="0" w:color="auto"/>
          </w:divBdr>
        </w:div>
        <w:div w:id="586616391">
          <w:marLeft w:val="480"/>
          <w:marRight w:val="0"/>
          <w:marTop w:val="0"/>
          <w:marBottom w:val="0"/>
          <w:divBdr>
            <w:top w:val="none" w:sz="0" w:space="0" w:color="auto"/>
            <w:left w:val="none" w:sz="0" w:space="0" w:color="auto"/>
            <w:bottom w:val="none" w:sz="0" w:space="0" w:color="auto"/>
            <w:right w:val="none" w:sz="0" w:space="0" w:color="auto"/>
          </w:divBdr>
        </w:div>
        <w:div w:id="995570834">
          <w:marLeft w:val="480"/>
          <w:marRight w:val="0"/>
          <w:marTop w:val="0"/>
          <w:marBottom w:val="0"/>
          <w:divBdr>
            <w:top w:val="none" w:sz="0" w:space="0" w:color="auto"/>
            <w:left w:val="none" w:sz="0" w:space="0" w:color="auto"/>
            <w:bottom w:val="none" w:sz="0" w:space="0" w:color="auto"/>
            <w:right w:val="none" w:sz="0" w:space="0" w:color="auto"/>
          </w:divBdr>
        </w:div>
      </w:divsChild>
    </w:div>
    <w:div w:id="1636182631">
      <w:bodyDiv w:val="1"/>
      <w:marLeft w:val="0"/>
      <w:marRight w:val="0"/>
      <w:marTop w:val="0"/>
      <w:marBottom w:val="0"/>
      <w:divBdr>
        <w:top w:val="none" w:sz="0" w:space="0" w:color="auto"/>
        <w:left w:val="none" w:sz="0" w:space="0" w:color="auto"/>
        <w:bottom w:val="none" w:sz="0" w:space="0" w:color="auto"/>
        <w:right w:val="none" w:sz="0" w:space="0" w:color="auto"/>
      </w:divBdr>
    </w:div>
    <w:div w:id="1655908682">
      <w:bodyDiv w:val="1"/>
      <w:marLeft w:val="0"/>
      <w:marRight w:val="0"/>
      <w:marTop w:val="0"/>
      <w:marBottom w:val="0"/>
      <w:divBdr>
        <w:top w:val="none" w:sz="0" w:space="0" w:color="auto"/>
        <w:left w:val="none" w:sz="0" w:space="0" w:color="auto"/>
        <w:bottom w:val="none" w:sz="0" w:space="0" w:color="auto"/>
        <w:right w:val="none" w:sz="0" w:space="0" w:color="auto"/>
      </w:divBdr>
    </w:div>
    <w:div w:id="1663969643">
      <w:bodyDiv w:val="1"/>
      <w:marLeft w:val="0"/>
      <w:marRight w:val="0"/>
      <w:marTop w:val="0"/>
      <w:marBottom w:val="0"/>
      <w:divBdr>
        <w:top w:val="none" w:sz="0" w:space="0" w:color="auto"/>
        <w:left w:val="none" w:sz="0" w:space="0" w:color="auto"/>
        <w:bottom w:val="none" w:sz="0" w:space="0" w:color="auto"/>
        <w:right w:val="none" w:sz="0" w:space="0" w:color="auto"/>
      </w:divBdr>
      <w:divsChild>
        <w:div w:id="19625282">
          <w:marLeft w:val="480"/>
          <w:marRight w:val="0"/>
          <w:marTop w:val="0"/>
          <w:marBottom w:val="0"/>
          <w:divBdr>
            <w:top w:val="none" w:sz="0" w:space="0" w:color="auto"/>
            <w:left w:val="none" w:sz="0" w:space="0" w:color="auto"/>
            <w:bottom w:val="none" w:sz="0" w:space="0" w:color="auto"/>
            <w:right w:val="none" w:sz="0" w:space="0" w:color="auto"/>
          </w:divBdr>
        </w:div>
        <w:div w:id="547301992">
          <w:marLeft w:val="480"/>
          <w:marRight w:val="0"/>
          <w:marTop w:val="0"/>
          <w:marBottom w:val="0"/>
          <w:divBdr>
            <w:top w:val="none" w:sz="0" w:space="0" w:color="auto"/>
            <w:left w:val="none" w:sz="0" w:space="0" w:color="auto"/>
            <w:bottom w:val="none" w:sz="0" w:space="0" w:color="auto"/>
            <w:right w:val="none" w:sz="0" w:space="0" w:color="auto"/>
          </w:divBdr>
        </w:div>
        <w:div w:id="1741126653">
          <w:marLeft w:val="480"/>
          <w:marRight w:val="0"/>
          <w:marTop w:val="0"/>
          <w:marBottom w:val="0"/>
          <w:divBdr>
            <w:top w:val="none" w:sz="0" w:space="0" w:color="auto"/>
            <w:left w:val="none" w:sz="0" w:space="0" w:color="auto"/>
            <w:bottom w:val="none" w:sz="0" w:space="0" w:color="auto"/>
            <w:right w:val="none" w:sz="0" w:space="0" w:color="auto"/>
          </w:divBdr>
        </w:div>
        <w:div w:id="1161893099">
          <w:marLeft w:val="480"/>
          <w:marRight w:val="0"/>
          <w:marTop w:val="0"/>
          <w:marBottom w:val="0"/>
          <w:divBdr>
            <w:top w:val="none" w:sz="0" w:space="0" w:color="auto"/>
            <w:left w:val="none" w:sz="0" w:space="0" w:color="auto"/>
            <w:bottom w:val="none" w:sz="0" w:space="0" w:color="auto"/>
            <w:right w:val="none" w:sz="0" w:space="0" w:color="auto"/>
          </w:divBdr>
        </w:div>
        <w:div w:id="2080322736">
          <w:marLeft w:val="480"/>
          <w:marRight w:val="0"/>
          <w:marTop w:val="0"/>
          <w:marBottom w:val="0"/>
          <w:divBdr>
            <w:top w:val="none" w:sz="0" w:space="0" w:color="auto"/>
            <w:left w:val="none" w:sz="0" w:space="0" w:color="auto"/>
            <w:bottom w:val="none" w:sz="0" w:space="0" w:color="auto"/>
            <w:right w:val="none" w:sz="0" w:space="0" w:color="auto"/>
          </w:divBdr>
        </w:div>
        <w:div w:id="1437016753">
          <w:marLeft w:val="480"/>
          <w:marRight w:val="0"/>
          <w:marTop w:val="0"/>
          <w:marBottom w:val="0"/>
          <w:divBdr>
            <w:top w:val="none" w:sz="0" w:space="0" w:color="auto"/>
            <w:left w:val="none" w:sz="0" w:space="0" w:color="auto"/>
            <w:bottom w:val="none" w:sz="0" w:space="0" w:color="auto"/>
            <w:right w:val="none" w:sz="0" w:space="0" w:color="auto"/>
          </w:divBdr>
        </w:div>
        <w:div w:id="2103646293">
          <w:marLeft w:val="480"/>
          <w:marRight w:val="0"/>
          <w:marTop w:val="0"/>
          <w:marBottom w:val="0"/>
          <w:divBdr>
            <w:top w:val="none" w:sz="0" w:space="0" w:color="auto"/>
            <w:left w:val="none" w:sz="0" w:space="0" w:color="auto"/>
            <w:bottom w:val="none" w:sz="0" w:space="0" w:color="auto"/>
            <w:right w:val="none" w:sz="0" w:space="0" w:color="auto"/>
          </w:divBdr>
        </w:div>
        <w:div w:id="309484030">
          <w:marLeft w:val="480"/>
          <w:marRight w:val="0"/>
          <w:marTop w:val="0"/>
          <w:marBottom w:val="0"/>
          <w:divBdr>
            <w:top w:val="none" w:sz="0" w:space="0" w:color="auto"/>
            <w:left w:val="none" w:sz="0" w:space="0" w:color="auto"/>
            <w:bottom w:val="none" w:sz="0" w:space="0" w:color="auto"/>
            <w:right w:val="none" w:sz="0" w:space="0" w:color="auto"/>
          </w:divBdr>
        </w:div>
        <w:div w:id="425925917">
          <w:marLeft w:val="480"/>
          <w:marRight w:val="0"/>
          <w:marTop w:val="0"/>
          <w:marBottom w:val="0"/>
          <w:divBdr>
            <w:top w:val="none" w:sz="0" w:space="0" w:color="auto"/>
            <w:left w:val="none" w:sz="0" w:space="0" w:color="auto"/>
            <w:bottom w:val="none" w:sz="0" w:space="0" w:color="auto"/>
            <w:right w:val="none" w:sz="0" w:space="0" w:color="auto"/>
          </w:divBdr>
        </w:div>
      </w:divsChild>
    </w:div>
    <w:div w:id="1673484088">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68614">
      <w:bodyDiv w:val="1"/>
      <w:marLeft w:val="0"/>
      <w:marRight w:val="0"/>
      <w:marTop w:val="0"/>
      <w:marBottom w:val="0"/>
      <w:divBdr>
        <w:top w:val="none" w:sz="0" w:space="0" w:color="auto"/>
        <w:left w:val="none" w:sz="0" w:space="0" w:color="auto"/>
        <w:bottom w:val="none" w:sz="0" w:space="0" w:color="auto"/>
        <w:right w:val="none" w:sz="0" w:space="0" w:color="auto"/>
      </w:divBdr>
    </w:div>
    <w:div w:id="1793136455">
      <w:bodyDiv w:val="1"/>
      <w:marLeft w:val="0"/>
      <w:marRight w:val="0"/>
      <w:marTop w:val="0"/>
      <w:marBottom w:val="0"/>
      <w:divBdr>
        <w:top w:val="none" w:sz="0" w:space="0" w:color="auto"/>
        <w:left w:val="none" w:sz="0" w:space="0" w:color="auto"/>
        <w:bottom w:val="none" w:sz="0" w:space="0" w:color="auto"/>
        <w:right w:val="none" w:sz="0" w:space="0" w:color="auto"/>
      </w:divBdr>
      <w:divsChild>
        <w:div w:id="1249802146">
          <w:marLeft w:val="480"/>
          <w:marRight w:val="0"/>
          <w:marTop w:val="0"/>
          <w:marBottom w:val="0"/>
          <w:divBdr>
            <w:top w:val="none" w:sz="0" w:space="0" w:color="auto"/>
            <w:left w:val="none" w:sz="0" w:space="0" w:color="auto"/>
            <w:bottom w:val="none" w:sz="0" w:space="0" w:color="auto"/>
            <w:right w:val="none" w:sz="0" w:space="0" w:color="auto"/>
          </w:divBdr>
        </w:div>
        <w:div w:id="877815323">
          <w:marLeft w:val="480"/>
          <w:marRight w:val="0"/>
          <w:marTop w:val="0"/>
          <w:marBottom w:val="0"/>
          <w:divBdr>
            <w:top w:val="none" w:sz="0" w:space="0" w:color="auto"/>
            <w:left w:val="none" w:sz="0" w:space="0" w:color="auto"/>
            <w:bottom w:val="none" w:sz="0" w:space="0" w:color="auto"/>
            <w:right w:val="none" w:sz="0" w:space="0" w:color="auto"/>
          </w:divBdr>
        </w:div>
        <w:div w:id="1259945416">
          <w:marLeft w:val="480"/>
          <w:marRight w:val="0"/>
          <w:marTop w:val="0"/>
          <w:marBottom w:val="0"/>
          <w:divBdr>
            <w:top w:val="none" w:sz="0" w:space="0" w:color="auto"/>
            <w:left w:val="none" w:sz="0" w:space="0" w:color="auto"/>
            <w:bottom w:val="none" w:sz="0" w:space="0" w:color="auto"/>
            <w:right w:val="none" w:sz="0" w:space="0" w:color="auto"/>
          </w:divBdr>
        </w:div>
        <w:div w:id="1016998567">
          <w:marLeft w:val="480"/>
          <w:marRight w:val="0"/>
          <w:marTop w:val="0"/>
          <w:marBottom w:val="0"/>
          <w:divBdr>
            <w:top w:val="none" w:sz="0" w:space="0" w:color="auto"/>
            <w:left w:val="none" w:sz="0" w:space="0" w:color="auto"/>
            <w:bottom w:val="none" w:sz="0" w:space="0" w:color="auto"/>
            <w:right w:val="none" w:sz="0" w:space="0" w:color="auto"/>
          </w:divBdr>
        </w:div>
      </w:divsChild>
    </w:div>
    <w:div w:id="1795829721">
      <w:bodyDiv w:val="1"/>
      <w:marLeft w:val="0"/>
      <w:marRight w:val="0"/>
      <w:marTop w:val="0"/>
      <w:marBottom w:val="0"/>
      <w:divBdr>
        <w:top w:val="none" w:sz="0" w:space="0" w:color="auto"/>
        <w:left w:val="none" w:sz="0" w:space="0" w:color="auto"/>
        <w:bottom w:val="none" w:sz="0" w:space="0" w:color="auto"/>
        <w:right w:val="none" w:sz="0" w:space="0" w:color="auto"/>
      </w:divBdr>
    </w:div>
    <w:div w:id="1802993123">
      <w:bodyDiv w:val="1"/>
      <w:marLeft w:val="0"/>
      <w:marRight w:val="0"/>
      <w:marTop w:val="0"/>
      <w:marBottom w:val="0"/>
      <w:divBdr>
        <w:top w:val="none" w:sz="0" w:space="0" w:color="auto"/>
        <w:left w:val="none" w:sz="0" w:space="0" w:color="auto"/>
        <w:bottom w:val="none" w:sz="0" w:space="0" w:color="auto"/>
        <w:right w:val="none" w:sz="0" w:space="0" w:color="auto"/>
      </w:divBdr>
    </w:div>
    <w:div w:id="1809785974">
      <w:bodyDiv w:val="1"/>
      <w:marLeft w:val="0"/>
      <w:marRight w:val="0"/>
      <w:marTop w:val="0"/>
      <w:marBottom w:val="0"/>
      <w:divBdr>
        <w:top w:val="none" w:sz="0" w:space="0" w:color="auto"/>
        <w:left w:val="none" w:sz="0" w:space="0" w:color="auto"/>
        <w:bottom w:val="none" w:sz="0" w:space="0" w:color="auto"/>
        <w:right w:val="none" w:sz="0" w:space="0" w:color="auto"/>
      </w:divBdr>
    </w:div>
    <w:div w:id="1889410281">
      <w:bodyDiv w:val="1"/>
      <w:marLeft w:val="0"/>
      <w:marRight w:val="0"/>
      <w:marTop w:val="0"/>
      <w:marBottom w:val="0"/>
      <w:divBdr>
        <w:top w:val="none" w:sz="0" w:space="0" w:color="auto"/>
        <w:left w:val="none" w:sz="0" w:space="0" w:color="auto"/>
        <w:bottom w:val="none" w:sz="0" w:space="0" w:color="auto"/>
        <w:right w:val="none" w:sz="0" w:space="0" w:color="auto"/>
      </w:divBdr>
    </w:div>
    <w:div w:id="1894539006">
      <w:bodyDiv w:val="1"/>
      <w:marLeft w:val="0"/>
      <w:marRight w:val="0"/>
      <w:marTop w:val="0"/>
      <w:marBottom w:val="0"/>
      <w:divBdr>
        <w:top w:val="none" w:sz="0" w:space="0" w:color="auto"/>
        <w:left w:val="none" w:sz="0" w:space="0" w:color="auto"/>
        <w:bottom w:val="none" w:sz="0" w:space="0" w:color="auto"/>
        <w:right w:val="none" w:sz="0" w:space="0" w:color="auto"/>
      </w:divBdr>
      <w:divsChild>
        <w:div w:id="538208166">
          <w:marLeft w:val="480"/>
          <w:marRight w:val="0"/>
          <w:marTop w:val="0"/>
          <w:marBottom w:val="0"/>
          <w:divBdr>
            <w:top w:val="none" w:sz="0" w:space="0" w:color="auto"/>
            <w:left w:val="none" w:sz="0" w:space="0" w:color="auto"/>
            <w:bottom w:val="none" w:sz="0" w:space="0" w:color="auto"/>
            <w:right w:val="none" w:sz="0" w:space="0" w:color="auto"/>
          </w:divBdr>
        </w:div>
        <w:div w:id="1956712759">
          <w:marLeft w:val="480"/>
          <w:marRight w:val="0"/>
          <w:marTop w:val="0"/>
          <w:marBottom w:val="0"/>
          <w:divBdr>
            <w:top w:val="none" w:sz="0" w:space="0" w:color="auto"/>
            <w:left w:val="none" w:sz="0" w:space="0" w:color="auto"/>
            <w:bottom w:val="none" w:sz="0" w:space="0" w:color="auto"/>
            <w:right w:val="none" w:sz="0" w:space="0" w:color="auto"/>
          </w:divBdr>
        </w:div>
        <w:div w:id="2065836588">
          <w:marLeft w:val="480"/>
          <w:marRight w:val="0"/>
          <w:marTop w:val="0"/>
          <w:marBottom w:val="0"/>
          <w:divBdr>
            <w:top w:val="none" w:sz="0" w:space="0" w:color="auto"/>
            <w:left w:val="none" w:sz="0" w:space="0" w:color="auto"/>
            <w:bottom w:val="none" w:sz="0" w:space="0" w:color="auto"/>
            <w:right w:val="none" w:sz="0" w:space="0" w:color="auto"/>
          </w:divBdr>
        </w:div>
        <w:div w:id="1745250885">
          <w:marLeft w:val="480"/>
          <w:marRight w:val="0"/>
          <w:marTop w:val="0"/>
          <w:marBottom w:val="0"/>
          <w:divBdr>
            <w:top w:val="none" w:sz="0" w:space="0" w:color="auto"/>
            <w:left w:val="none" w:sz="0" w:space="0" w:color="auto"/>
            <w:bottom w:val="none" w:sz="0" w:space="0" w:color="auto"/>
            <w:right w:val="none" w:sz="0" w:space="0" w:color="auto"/>
          </w:divBdr>
        </w:div>
      </w:divsChild>
    </w:div>
    <w:div w:id="1922568347">
      <w:bodyDiv w:val="1"/>
      <w:marLeft w:val="0"/>
      <w:marRight w:val="0"/>
      <w:marTop w:val="0"/>
      <w:marBottom w:val="0"/>
      <w:divBdr>
        <w:top w:val="none" w:sz="0" w:space="0" w:color="auto"/>
        <w:left w:val="none" w:sz="0" w:space="0" w:color="auto"/>
        <w:bottom w:val="none" w:sz="0" w:space="0" w:color="auto"/>
        <w:right w:val="none" w:sz="0" w:space="0" w:color="auto"/>
      </w:divBdr>
    </w:div>
    <w:div w:id="1953128021">
      <w:bodyDiv w:val="1"/>
      <w:marLeft w:val="0"/>
      <w:marRight w:val="0"/>
      <w:marTop w:val="0"/>
      <w:marBottom w:val="0"/>
      <w:divBdr>
        <w:top w:val="none" w:sz="0" w:space="0" w:color="auto"/>
        <w:left w:val="none" w:sz="0" w:space="0" w:color="auto"/>
        <w:bottom w:val="none" w:sz="0" w:space="0" w:color="auto"/>
        <w:right w:val="none" w:sz="0" w:space="0" w:color="auto"/>
      </w:divBdr>
      <w:divsChild>
        <w:div w:id="1400057455">
          <w:marLeft w:val="480"/>
          <w:marRight w:val="0"/>
          <w:marTop w:val="0"/>
          <w:marBottom w:val="0"/>
          <w:divBdr>
            <w:top w:val="none" w:sz="0" w:space="0" w:color="auto"/>
            <w:left w:val="none" w:sz="0" w:space="0" w:color="auto"/>
            <w:bottom w:val="none" w:sz="0" w:space="0" w:color="auto"/>
            <w:right w:val="none" w:sz="0" w:space="0" w:color="auto"/>
          </w:divBdr>
        </w:div>
        <w:div w:id="1989170845">
          <w:marLeft w:val="480"/>
          <w:marRight w:val="0"/>
          <w:marTop w:val="0"/>
          <w:marBottom w:val="0"/>
          <w:divBdr>
            <w:top w:val="none" w:sz="0" w:space="0" w:color="auto"/>
            <w:left w:val="none" w:sz="0" w:space="0" w:color="auto"/>
            <w:bottom w:val="none" w:sz="0" w:space="0" w:color="auto"/>
            <w:right w:val="none" w:sz="0" w:space="0" w:color="auto"/>
          </w:divBdr>
        </w:div>
      </w:divsChild>
    </w:div>
    <w:div w:id="1993755189">
      <w:bodyDiv w:val="1"/>
      <w:marLeft w:val="0"/>
      <w:marRight w:val="0"/>
      <w:marTop w:val="0"/>
      <w:marBottom w:val="0"/>
      <w:divBdr>
        <w:top w:val="none" w:sz="0" w:space="0" w:color="auto"/>
        <w:left w:val="none" w:sz="0" w:space="0" w:color="auto"/>
        <w:bottom w:val="none" w:sz="0" w:space="0" w:color="auto"/>
        <w:right w:val="none" w:sz="0" w:space="0" w:color="auto"/>
      </w:divBdr>
      <w:divsChild>
        <w:div w:id="505484507">
          <w:marLeft w:val="480"/>
          <w:marRight w:val="0"/>
          <w:marTop w:val="0"/>
          <w:marBottom w:val="0"/>
          <w:divBdr>
            <w:top w:val="none" w:sz="0" w:space="0" w:color="auto"/>
            <w:left w:val="none" w:sz="0" w:space="0" w:color="auto"/>
            <w:bottom w:val="none" w:sz="0" w:space="0" w:color="auto"/>
            <w:right w:val="none" w:sz="0" w:space="0" w:color="auto"/>
          </w:divBdr>
        </w:div>
        <w:div w:id="878476625">
          <w:marLeft w:val="480"/>
          <w:marRight w:val="0"/>
          <w:marTop w:val="0"/>
          <w:marBottom w:val="0"/>
          <w:divBdr>
            <w:top w:val="none" w:sz="0" w:space="0" w:color="auto"/>
            <w:left w:val="none" w:sz="0" w:space="0" w:color="auto"/>
            <w:bottom w:val="none" w:sz="0" w:space="0" w:color="auto"/>
            <w:right w:val="none" w:sz="0" w:space="0" w:color="auto"/>
          </w:divBdr>
        </w:div>
        <w:div w:id="842428281">
          <w:marLeft w:val="480"/>
          <w:marRight w:val="0"/>
          <w:marTop w:val="0"/>
          <w:marBottom w:val="0"/>
          <w:divBdr>
            <w:top w:val="none" w:sz="0" w:space="0" w:color="auto"/>
            <w:left w:val="none" w:sz="0" w:space="0" w:color="auto"/>
            <w:bottom w:val="none" w:sz="0" w:space="0" w:color="auto"/>
            <w:right w:val="none" w:sz="0" w:space="0" w:color="auto"/>
          </w:divBdr>
        </w:div>
        <w:div w:id="578683041">
          <w:marLeft w:val="480"/>
          <w:marRight w:val="0"/>
          <w:marTop w:val="0"/>
          <w:marBottom w:val="0"/>
          <w:divBdr>
            <w:top w:val="none" w:sz="0" w:space="0" w:color="auto"/>
            <w:left w:val="none" w:sz="0" w:space="0" w:color="auto"/>
            <w:bottom w:val="none" w:sz="0" w:space="0" w:color="auto"/>
            <w:right w:val="none" w:sz="0" w:space="0" w:color="auto"/>
          </w:divBdr>
        </w:div>
        <w:div w:id="482309540">
          <w:marLeft w:val="480"/>
          <w:marRight w:val="0"/>
          <w:marTop w:val="0"/>
          <w:marBottom w:val="0"/>
          <w:divBdr>
            <w:top w:val="none" w:sz="0" w:space="0" w:color="auto"/>
            <w:left w:val="none" w:sz="0" w:space="0" w:color="auto"/>
            <w:bottom w:val="none" w:sz="0" w:space="0" w:color="auto"/>
            <w:right w:val="none" w:sz="0" w:space="0" w:color="auto"/>
          </w:divBdr>
        </w:div>
        <w:div w:id="1169055630">
          <w:marLeft w:val="480"/>
          <w:marRight w:val="0"/>
          <w:marTop w:val="0"/>
          <w:marBottom w:val="0"/>
          <w:divBdr>
            <w:top w:val="none" w:sz="0" w:space="0" w:color="auto"/>
            <w:left w:val="none" w:sz="0" w:space="0" w:color="auto"/>
            <w:bottom w:val="none" w:sz="0" w:space="0" w:color="auto"/>
            <w:right w:val="none" w:sz="0" w:space="0" w:color="auto"/>
          </w:divBdr>
        </w:div>
        <w:div w:id="2093818705">
          <w:marLeft w:val="480"/>
          <w:marRight w:val="0"/>
          <w:marTop w:val="0"/>
          <w:marBottom w:val="0"/>
          <w:divBdr>
            <w:top w:val="none" w:sz="0" w:space="0" w:color="auto"/>
            <w:left w:val="none" w:sz="0" w:space="0" w:color="auto"/>
            <w:bottom w:val="none" w:sz="0" w:space="0" w:color="auto"/>
            <w:right w:val="none" w:sz="0" w:space="0" w:color="auto"/>
          </w:divBdr>
        </w:div>
      </w:divsChild>
    </w:div>
    <w:div w:id="2016417657">
      <w:bodyDiv w:val="1"/>
      <w:marLeft w:val="0"/>
      <w:marRight w:val="0"/>
      <w:marTop w:val="0"/>
      <w:marBottom w:val="0"/>
      <w:divBdr>
        <w:top w:val="none" w:sz="0" w:space="0" w:color="auto"/>
        <w:left w:val="none" w:sz="0" w:space="0" w:color="auto"/>
        <w:bottom w:val="none" w:sz="0" w:space="0" w:color="auto"/>
        <w:right w:val="none" w:sz="0" w:space="0" w:color="auto"/>
      </w:divBdr>
    </w:div>
    <w:div w:id="2099132594">
      <w:bodyDiv w:val="1"/>
      <w:marLeft w:val="0"/>
      <w:marRight w:val="0"/>
      <w:marTop w:val="0"/>
      <w:marBottom w:val="0"/>
      <w:divBdr>
        <w:top w:val="none" w:sz="0" w:space="0" w:color="auto"/>
        <w:left w:val="none" w:sz="0" w:space="0" w:color="auto"/>
        <w:bottom w:val="none" w:sz="0" w:space="0" w:color="auto"/>
        <w:right w:val="none" w:sz="0" w:space="0" w:color="auto"/>
      </w:divBdr>
    </w:div>
    <w:div w:id="2106421292">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1435132">
      <w:bodyDiv w:val="1"/>
      <w:marLeft w:val="0"/>
      <w:marRight w:val="0"/>
      <w:marTop w:val="0"/>
      <w:marBottom w:val="0"/>
      <w:divBdr>
        <w:top w:val="none" w:sz="0" w:space="0" w:color="auto"/>
        <w:left w:val="none" w:sz="0" w:space="0" w:color="auto"/>
        <w:bottom w:val="none" w:sz="0" w:space="0" w:color="auto"/>
        <w:right w:val="none" w:sz="0" w:space="0" w:color="auto"/>
      </w:divBdr>
    </w:div>
    <w:div w:id="213381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09DCB6C-92E8-4DED-A50D-774EF75CAEDA}">
  <we:reference id="wa104381909" version="3.5.1.0" store="en-US" storeType="OMEX"/>
  <we:alternateReferences>
    <we:reference id="wa104381909" version="3.5.1.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10F797AE-F6D8-44BA-AF2F-99E9B4517A3B}">
  <we:reference id="wa104382081" version="1.55.1.0" store="zh-CN" storeType="OMEX"/>
  <we:alternateReferences>
    <we:reference id="wa104382081" version="1.55.1.0" store="" storeType="OMEX"/>
  </we:alternateReferences>
  <we:properties>
    <we:property name="MENDELEY_CITATIONS" value="[]"/>
    <we:property name="MENDELEY_CITATIONS_LOCALE_CODE" value="&quot;en-US&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6</Pages>
  <Words>2808</Words>
  <Characters>16012</Characters>
  <Application>Microsoft Office Word</Application>
  <DocSecurity>0</DocSecurity>
  <Lines>133</Lines>
  <Paragraphs>37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HUAN Ning</cp:lastModifiedBy>
  <cp:revision>159</cp:revision>
  <cp:lastPrinted>2015-05-12T18:31:00Z</cp:lastPrinted>
  <dcterms:created xsi:type="dcterms:W3CDTF">2022-09-21T08:52:00Z</dcterms:created>
  <dcterms:modified xsi:type="dcterms:W3CDTF">2023-07-11T04:50:00Z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