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CBDEB5E" w:rsidR="00E978D0" w:rsidRPr="00B57B36" w:rsidRDefault="00D02678" w:rsidP="00E978D0">
      <w:pPr>
        <w:pStyle w:val="CETTitle"/>
      </w:pPr>
      <w:r>
        <w:t xml:space="preserve">A Project to Context Decarbonization Analysis (PCDA) to select the best </w:t>
      </w:r>
      <w:r w:rsidR="00EF5F35">
        <w:t>e</w:t>
      </w:r>
      <w:r>
        <w:t xml:space="preserve">nergy </w:t>
      </w:r>
      <w:r w:rsidR="00EF5F35">
        <w:t>t</w:t>
      </w:r>
      <w:r>
        <w:t xml:space="preserve">ransition </w:t>
      </w:r>
      <w:r w:rsidR="00EF5F35">
        <w:t>s</w:t>
      </w:r>
      <w:r>
        <w:t xml:space="preserve">olution </w:t>
      </w:r>
      <w:r w:rsidR="00EF5F35">
        <w:t>f</w:t>
      </w:r>
      <w:r>
        <w:t>it for</w:t>
      </w:r>
      <w:r w:rsidR="00EF5F35">
        <w:t xml:space="preserve"> f</w:t>
      </w:r>
      <w:r>
        <w:t>unding</w:t>
      </w:r>
    </w:p>
    <w:p w14:paraId="0488FED2" w14:textId="2C6F391A" w:rsidR="00B57E6F" w:rsidRPr="00D02678" w:rsidRDefault="00D02678" w:rsidP="00B57E6F">
      <w:pPr>
        <w:pStyle w:val="CETAuthors"/>
        <w:rPr>
          <w:lang w:val="it-IT"/>
        </w:rPr>
      </w:pPr>
      <w:r w:rsidRPr="00D02678">
        <w:rPr>
          <w:lang w:val="it-IT"/>
        </w:rPr>
        <w:t>Maria Valeria Ermini</w:t>
      </w:r>
      <w:r w:rsidR="00B57E6F" w:rsidRPr="00D02678">
        <w:rPr>
          <w:vertAlign w:val="superscript"/>
          <w:lang w:val="it-IT"/>
        </w:rPr>
        <w:t>a</w:t>
      </w:r>
      <w:r>
        <w:rPr>
          <w:lang w:val="it-IT"/>
        </w:rPr>
        <w:t>*,</w:t>
      </w:r>
      <w:r w:rsidR="00B57E6F" w:rsidRPr="00D02678">
        <w:rPr>
          <w:lang w:val="it-IT"/>
        </w:rPr>
        <w:t xml:space="preserve"> </w:t>
      </w:r>
      <w:r w:rsidRPr="00D02678">
        <w:rPr>
          <w:lang w:val="it-IT"/>
        </w:rPr>
        <w:t>Valeria Bernardini</w:t>
      </w:r>
      <w:r w:rsidRPr="00D02678">
        <w:rPr>
          <w:vertAlign w:val="superscript"/>
          <w:lang w:val="it-IT"/>
        </w:rPr>
        <w:t>a</w:t>
      </w:r>
      <w:r w:rsidRPr="00D02678">
        <w:rPr>
          <w:lang w:val="it-IT"/>
        </w:rPr>
        <w:t>, Marco Verna</w:t>
      </w:r>
      <w:r w:rsidRPr="00D02678">
        <w:rPr>
          <w:vertAlign w:val="superscript"/>
          <w:lang w:val="it-IT"/>
        </w:rPr>
        <w:t>a</w:t>
      </w:r>
      <w:r w:rsidRPr="00D02678">
        <w:rPr>
          <w:lang w:val="it-IT"/>
        </w:rPr>
        <w:t>, Luca G. Campana</w:t>
      </w:r>
      <w:r w:rsidRPr="00D02678">
        <w:rPr>
          <w:vertAlign w:val="superscript"/>
          <w:lang w:val="it-IT"/>
        </w:rPr>
        <w:t>a</w:t>
      </w:r>
      <w:r w:rsidRPr="00D02678">
        <w:rPr>
          <w:lang w:val="it-IT"/>
        </w:rPr>
        <w:t>, Arzu Abdullaeva</w:t>
      </w:r>
      <w:r w:rsidR="00B57E6F" w:rsidRPr="00D02678">
        <w:rPr>
          <w:vertAlign w:val="superscript"/>
          <w:lang w:val="it-IT"/>
        </w:rPr>
        <w:t>b</w:t>
      </w:r>
      <w:r>
        <w:rPr>
          <w:vertAlign w:val="superscript"/>
          <w:lang w:val="it-IT"/>
        </w:rPr>
        <w:t xml:space="preserve"> </w:t>
      </w:r>
      <w:r w:rsidRPr="00D02678">
        <w:rPr>
          <w:lang w:val="it-IT"/>
        </w:rPr>
        <w:t xml:space="preserve">, </w:t>
      </w:r>
      <w:r>
        <w:rPr>
          <w:lang w:val="it-IT"/>
        </w:rPr>
        <w:t>Luigi Fiorentino</w:t>
      </w:r>
      <w:r w:rsidRPr="00D02678">
        <w:rPr>
          <w:vertAlign w:val="superscript"/>
          <w:lang w:val="it-IT"/>
        </w:rPr>
        <w:t>b</w:t>
      </w:r>
      <w:r w:rsidRPr="00D02678">
        <w:rPr>
          <w:lang w:val="it-IT"/>
        </w:rPr>
        <w:t xml:space="preserve">, </w:t>
      </w:r>
      <w:r>
        <w:rPr>
          <w:lang w:val="it-IT"/>
        </w:rPr>
        <w:t>Gianluca Florio</w:t>
      </w:r>
      <w:r w:rsidRPr="00D02678">
        <w:rPr>
          <w:vertAlign w:val="superscript"/>
          <w:lang w:val="it-IT"/>
        </w:rPr>
        <w:t>b</w:t>
      </w:r>
    </w:p>
    <w:p w14:paraId="2FF7AE54" w14:textId="77777777" w:rsidR="00D02678" w:rsidRPr="00A02DBF" w:rsidRDefault="00B57E6F" w:rsidP="00B57E6F">
      <w:pPr>
        <w:pStyle w:val="CETAddress"/>
        <w:rPr>
          <w:lang w:val="it-IT"/>
        </w:rPr>
      </w:pPr>
      <w:r w:rsidRPr="00A02DBF">
        <w:rPr>
          <w:vertAlign w:val="superscript"/>
          <w:lang w:val="it-IT"/>
        </w:rPr>
        <w:t>a</w:t>
      </w:r>
      <w:r w:rsidR="00D02678" w:rsidRPr="00A02DBF">
        <w:rPr>
          <w:lang w:val="it-IT"/>
        </w:rPr>
        <w:t xml:space="preserve"> GENESIS Italy Viale Castello della Magliana 68 00148 Roma ITALY </w:t>
      </w:r>
    </w:p>
    <w:p w14:paraId="73F1267A" w14:textId="71315DDE" w:rsidR="00B57E6F" w:rsidRDefault="00B57E6F" w:rsidP="00D02678">
      <w:pPr>
        <w:pStyle w:val="CETAddress"/>
      </w:pPr>
      <w:r w:rsidRPr="00B57B36">
        <w:rPr>
          <w:vertAlign w:val="superscript"/>
        </w:rPr>
        <w:t>b</w:t>
      </w:r>
      <w:r w:rsidR="00D02678" w:rsidRPr="00D02678">
        <w:t xml:space="preserve"> TECHNIP ENERGIES ITALY – BAKU Office Uzeyir Hajibayov Street 62, Baku, Azerbaijan AZ1095</w:t>
      </w:r>
      <w:r>
        <w:t xml:space="preserve"> </w:t>
      </w:r>
      <w:r w:rsidR="00D02678" w:rsidRPr="00A02DBF">
        <w:t>mariavaleria.ermini@technipenergies.com</w:t>
      </w:r>
      <w:r w:rsidR="00D02678">
        <w:t xml:space="preserve"> </w:t>
      </w:r>
    </w:p>
    <w:p w14:paraId="163B4635" w14:textId="77777777" w:rsidR="00D02678" w:rsidRPr="00B57B36" w:rsidRDefault="00D02678" w:rsidP="00D02678">
      <w:pPr>
        <w:pStyle w:val="CETAddress"/>
      </w:pPr>
    </w:p>
    <w:p w14:paraId="22E0AB59" w14:textId="4787775B" w:rsidR="00D02678" w:rsidRPr="00D02678" w:rsidRDefault="00D02678" w:rsidP="00D02678">
      <w:pPr>
        <w:pStyle w:val="CETBodytext"/>
        <w:rPr>
          <w:lang w:val="en-GB"/>
        </w:rPr>
      </w:pPr>
      <w:r w:rsidRPr="00D02678">
        <w:rPr>
          <w:lang w:val="en-GB"/>
        </w:rPr>
        <w:t xml:space="preserve">An Energy Transition </w:t>
      </w:r>
      <w:r w:rsidR="00EF5F35">
        <w:rPr>
          <w:lang w:val="en-GB"/>
        </w:rPr>
        <w:t>(ET) s</w:t>
      </w:r>
      <w:r w:rsidRPr="00D02678">
        <w:rPr>
          <w:lang w:val="en-GB"/>
        </w:rPr>
        <w:t xml:space="preserve">olutions </w:t>
      </w:r>
      <w:r w:rsidR="00EF5F35">
        <w:rPr>
          <w:lang w:val="en-GB"/>
        </w:rPr>
        <w:t>s</w:t>
      </w:r>
      <w:r w:rsidRPr="00D02678">
        <w:rPr>
          <w:lang w:val="en-GB"/>
        </w:rPr>
        <w:t>creening has been performed in a near-E</w:t>
      </w:r>
      <w:r w:rsidR="00EF5F35">
        <w:rPr>
          <w:lang w:val="en-GB"/>
        </w:rPr>
        <w:t>urope (EU)</w:t>
      </w:r>
      <w:r w:rsidRPr="00D02678">
        <w:rPr>
          <w:lang w:val="en-GB"/>
        </w:rPr>
        <w:t xml:space="preserve"> geography (Central Asia) to assess the sustainability of investment opportunities on green technologies in line with </w:t>
      </w:r>
      <w:r w:rsidR="00EF5F35">
        <w:rPr>
          <w:lang w:val="en-GB"/>
        </w:rPr>
        <w:t>Environmental, Social and Governance (</w:t>
      </w:r>
      <w:r w:rsidRPr="00D02678">
        <w:rPr>
          <w:lang w:val="en-GB"/>
        </w:rPr>
        <w:t>ESG</w:t>
      </w:r>
      <w:r w:rsidR="00EF5F35">
        <w:rPr>
          <w:lang w:val="en-GB"/>
        </w:rPr>
        <w:t>)</w:t>
      </w:r>
      <w:r w:rsidRPr="00D02678">
        <w:rPr>
          <w:lang w:val="en-GB"/>
        </w:rPr>
        <w:t xml:space="preserve"> criteria, EU </w:t>
      </w:r>
      <w:r w:rsidR="00EF5F35">
        <w:rPr>
          <w:lang w:val="en-GB"/>
        </w:rPr>
        <w:t>c</w:t>
      </w:r>
      <w:r w:rsidRPr="00D02678">
        <w:rPr>
          <w:lang w:val="en-GB"/>
        </w:rPr>
        <w:t xml:space="preserve">limate </w:t>
      </w:r>
      <w:r w:rsidR="00EF5F35">
        <w:rPr>
          <w:lang w:val="en-GB"/>
        </w:rPr>
        <w:t>a</w:t>
      </w:r>
      <w:r w:rsidRPr="00D02678">
        <w:rPr>
          <w:lang w:val="en-GB"/>
        </w:rPr>
        <w:t xml:space="preserve">mbition, </w:t>
      </w:r>
      <w:r w:rsidR="00EF5F35">
        <w:rPr>
          <w:lang w:val="en-GB"/>
        </w:rPr>
        <w:t>m</w:t>
      </w:r>
      <w:r w:rsidRPr="00D02678">
        <w:rPr>
          <w:lang w:val="en-GB"/>
        </w:rPr>
        <w:t xml:space="preserve">arket </w:t>
      </w:r>
      <w:r w:rsidR="00EF5F35">
        <w:rPr>
          <w:lang w:val="en-GB"/>
        </w:rPr>
        <w:t>t</w:t>
      </w:r>
      <w:r w:rsidRPr="00D02678">
        <w:rPr>
          <w:lang w:val="en-GB"/>
        </w:rPr>
        <w:t xml:space="preserve">rends and Technology </w:t>
      </w:r>
      <w:r w:rsidR="00EF5F35">
        <w:rPr>
          <w:lang w:val="en-GB"/>
        </w:rPr>
        <w:t>R</w:t>
      </w:r>
      <w:r w:rsidRPr="00D02678">
        <w:rPr>
          <w:lang w:val="en-GB"/>
        </w:rPr>
        <w:t xml:space="preserve">eadiness </w:t>
      </w:r>
      <w:r w:rsidR="00EF5F35">
        <w:rPr>
          <w:lang w:val="en-GB"/>
        </w:rPr>
        <w:t>L</w:t>
      </w:r>
      <w:r w:rsidRPr="00D02678">
        <w:rPr>
          <w:lang w:val="en-GB"/>
        </w:rPr>
        <w:t>evel</w:t>
      </w:r>
      <w:r w:rsidR="00EF5F35">
        <w:rPr>
          <w:lang w:val="en-GB"/>
        </w:rPr>
        <w:t xml:space="preserve"> (TRL)</w:t>
      </w:r>
      <w:r w:rsidRPr="00D02678">
        <w:rPr>
          <w:lang w:val="en-GB"/>
        </w:rPr>
        <w:t>.</w:t>
      </w:r>
      <w:r w:rsidR="00EF5F35">
        <w:rPr>
          <w:lang w:val="en-GB"/>
        </w:rPr>
        <w:t xml:space="preserve"> </w:t>
      </w:r>
      <w:r w:rsidRPr="00D02678">
        <w:rPr>
          <w:lang w:val="en-GB"/>
        </w:rPr>
        <w:t xml:space="preserve">Several </w:t>
      </w:r>
      <w:r w:rsidR="00EF5F35">
        <w:rPr>
          <w:lang w:val="en-GB"/>
        </w:rPr>
        <w:t>c</w:t>
      </w:r>
      <w:r w:rsidRPr="00D02678">
        <w:rPr>
          <w:lang w:val="en-GB"/>
        </w:rPr>
        <w:t xml:space="preserve">onfigurations, namely a </w:t>
      </w:r>
      <w:r w:rsidR="00EF5F35">
        <w:rPr>
          <w:lang w:val="en-GB"/>
        </w:rPr>
        <w:t>t</w:t>
      </w:r>
      <w:r w:rsidRPr="00D02678">
        <w:rPr>
          <w:lang w:val="en-GB"/>
        </w:rPr>
        <w:t>echnological solution contextualized in its Life Cycle Assessment</w:t>
      </w:r>
      <w:r w:rsidR="00EF5F35">
        <w:rPr>
          <w:lang w:val="en-GB"/>
        </w:rPr>
        <w:t xml:space="preserve"> (LCA)</w:t>
      </w:r>
      <w:r w:rsidRPr="00D02678">
        <w:rPr>
          <w:lang w:val="en-GB"/>
        </w:rPr>
        <w:t xml:space="preserve"> perspective by the overall value chain</w:t>
      </w:r>
      <w:r w:rsidR="00EF5F35">
        <w:rPr>
          <w:lang w:val="en-GB"/>
        </w:rPr>
        <w:t>,</w:t>
      </w:r>
      <w:r w:rsidRPr="00D02678">
        <w:rPr>
          <w:lang w:val="en-GB"/>
        </w:rPr>
        <w:t xml:space="preserve"> have been studied, analysed and compared through a Carbon Energy Environmental and Cost Model (CEE&amp;C) in a Project to Context Decarbonization Analysis (PCDA).  The outcome of this study allowed to select the best set of </w:t>
      </w:r>
      <w:r w:rsidR="00EF5F35">
        <w:rPr>
          <w:lang w:val="en-GB"/>
        </w:rPr>
        <w:t>ET</w:t>
      </w:r>
      <w:r w:rsidRPr="00D02678">
        <w:rPr>
          <w:lang w:val="en-GB"/>
        </w:rPr>
        <w:t xml:space="preserve"> Solution </w:t>
      </w:r>
      <w:r w:rsidR="00EF5F35">
        <w:rPr>
          <w:lang w:val="en-GB"/>
        </w:rPr>
        <w:t>f</w:t>
      </w:r>
      <w:r w:rsidRPr="00D02678">
        <w:rPr>
          <w:lang w:val="en-GB"/>
        </w:rPr>
        <w:t xml:space="preserve">it for the Central Asia </w:t>
      </w:r>
      <w:r w:rsidR="00851630">
        <w:rPr>
          <w:lang w:val="en-GB"/>
        </w:rPr>
        <w:t>c</w:t>
      </w:r>
      <w:r w:rsidRPr="00D02678">
        <w:rPr>
          <w:lang w:val="en-GB"/>
        </w:rPr>
        <w:t>ontext and attractive for climate funding framework.</w:t>
      </w:r>
    </w:p>
    <w:p w14:paraId="616C19BF" w14:textId="77777777" w:rsidR="00D02678" w:rsidRDefault="00D02678" w:rsidP="00D02678">
      <w:pPr>
        <w:pStyle w:val="CETBodytext"/>
        <w:rPr>
          <w:lang w:val="en-GB"/>
        </w:rPr>
      </w:pPr>
    </w:p>
    <w:p w14:paraId="201A3D57" w14:textId="1C50437C" w:rsidR="00D02678" w:rsidRPr="00D02678" w:rsidRDefault="00D02678" w:rsidP="00D02678">
      <w:pPr>
        <w:pStyle w:val="CETBodytext"/>
        <w:rPr>
          <w:lang w:val="en-GB"/>
        </w:rPr>
      </w:pPr>
      <w:r w:rsidRPr="00D02678">
        <w:rPr>
          <w:lang w:val="en-GB"/>
        </w:rPr>
        <w:t xml:space="preserve">7 typical ET </w:t>
      </w:r>
      <w:r w:rsidR="00EF5F35">
        <w:rPr>
          <w:lang w:val="en-GB"/>
        </w:rPr>
        <w:t>t</w:t>
      </w:r>
      <w:r w:rsidRPr="00D02678">
        <w:rPr>
          <w:lang w:val="en-GB"/>
        </w:rPr>
        <w:t xml:space="preserve">echnologies with 3 to 6 different decarbonization scenarios for a total of 40+ </w:t>
      </w:r>
      <w:r w:rsidR="00EF5F35">
        <w:rPr>
          <w:lang w:val="en-GB"/>
        </w:rPr>
        <w:t>c</w:t>
      </w:r>
      <w:r w:rsidRPr="00D02678">
        <w:rPr>
          <w:lang w:val="en-GB"/>
        </w:rPr>
        <w:t>onfigurations have been considered</w:t>
      </w:r>
      <w:r w:rsidR="00EF5F35">
        <w:rPr>
          <w:lang w:val="en-GB"/>
        </w:rPr>
        <w:t xml:space="preserve">, </w:t>
      </w:r>
      <w:r w:rsidRPr="00D02678">
        <w:rPr>
          <w:lang w:val="en-GB"/>
        </w:rPr>
        <w:t xml:space="preserve">ranked and tested against strategic </w:t>
      </w:r>
      <w:r w:rsidR="00336334" w:rsidRPr="00D02678">
        <w:rPr>
          <w:lang w:val="en-GB"/>
        </w:rPr>
        <w:t>stakeholders’</w:t>
      </w:r>
      <w:r w:rsidRPr="00D02678">
        <w:rPr>
          <w:lang w:val="en-GB"/>
        </w:rPr>
        <w:t xml:space="preserve"> engagement criteria (</w:t>
      </w:r>
      <w:r w:rsidR="00EF5F35">
        <w:rPr>
          <w:lang w:val="en-GB"/>
        </w:rPr>
        <w:t>i</w:t>
      </w:r>
      <w:r w:rsidRPr="00D02678">
        <w:rPr>
          <w:lang w:val="en-GB"/>
        </w:rPr>
        <w:t xml:space="preserve">ndustrial partner, state investments, feedstock provider, off-taker, financing institutions) and economic </w:t>
      </w:r>
      <w:r w:rsidR="00EF5F35">
        <w:rPr>
          <w:lang w:val="en-GB"/>
        </w:rPr>
        <w:t>and</w:t>
      </w:r>
      <w:r w:rsidRPr="00D02678">
        <w:rPr>
          <w:lang w:val="en-GB"/>
        </w:rPr>
        <w:t xml:space="preserve"> financial criteria (project authorizations, feedstock guarantee, fiscal incentives, etc.). </w:t>
      </w:r>
      <w:r w:rsidR="00EF5F35">
        <w:rPr>
          <w:lang w:val="en-GB"/>
        </w:rPr>
        <w:t>Key Performance Indicators (</w:t>
      </w:r>
      <w:r w:rsidRPr="00D02678">
        <w:rPr>
          <w:lang w:val="en-GB"/>
        </w:rPr>
        <w:t>KPIs</w:t>
      </w:r>
      <w:r w:rsidR="00EF5F35">
        <w:rPr>
          <w:lang w:val="en-GB"/>
        </w:rPr>
        <w:t>)</w:t>
      </w:r>
      <w:r w:rsidRPr="00D02678">
        <w:rPr>
          <w:lang w:val="en-GB"/>
        </w:rPr>
        <w:t xml:space="preserve"> considered for the </w:t>
      </w:r>
      <w:r w:rsidR="00EF5F35">
        <w:rPr>
          <w:lang w:val="en-GB"/>
        </w:rPr>
        <w:t>r</w:t>
      </w:r>
      <w:r w:rsidRPr="00D02678">
        <w:rPr>
          <w:lang w:val="en-GB"/>
        </w:rPr>
        <w:t xml:space="preserve">anking of </w:t>
      </w:r>
      <w:r w:rsidR="00EF5F35">
        <w:rPr>
          <w:lang w:val="en-GB"/>
        </w:rPr>
        <w:t>c</w:t>
      </w:r>
      <w:r w:rsidRPr="00D02678">
        <w:rPr>
          <w:lang w:val="en-GB"/>
        </w:rPr>
        <w:t>onfiguration are Product Carbon Footprint (CTG), G</w:t>
      </w:r>
      <w:r w:rsidR="00EF5F35">
        <w:rPr>
          <w:lang w:val="en-GB"/>
        </w:rPr>
        <w:t>reenhouse Gas (GHG)</w:t>
      </w:r>
      <w:r w:rsidRPr="00D02678">
        <w:rPr>
          <w:lang w:val="en-GB"/>
        </w:rPr>
        <w:t xml:space="preserve"> </w:t>
      </w:r>
      <w:r w:rsidR="00EF5F35">
        <w:rPr>
          <w:lang w:val="en-GB"/>
        </w:rPr>
        <w:t>a</w:t>
      </w:r>
      <w:r w:rsidRPr="00D02678">
        <w:rPr>
          <w:lang w:val="en-GB"/>
        </w:rPr>
        <w:t xml:space="preserve">voidance, </w:t>
      </w:r>
      <w:r w:rsidR="00D11408" w:rsidRPr="00D02678">
        <w:rPr>
          <w:lang w:val="en-GB"/>
        </w:rPr>
        <w:t>Levelized</w:t>
      </w:r>
      <w:r w:rsidRPr="00D02678">
        <w:rPr>
          <w:lang w:val="en-GB"/>
        </w:rPr>
        <w:t xml:space="preserve"> Cost of Carbon (LCOC) by </w:t>
      </w:r>
      <w:r w:rsidR="00EF5F35">
        <w:rPr>
          <w:lang w:val="en-GB"/>
        </w:rPr>
        <w:t>p</w:t>
      </w:r>
      <w:r w:rsidRPr="00D02678">
        <w:rPr>
          <w:lang w:val="en-GB"/>
        </w:rPr>
        <w:t>roject C</w:t>
      </w:r>
      <w:r w:rsidR="00EF5F35">
        <w:rPr>
          <w:lang w:val="en-GB"/>
        </w:rPr>
        <w:t>apital Expenditures (CAPEX)</w:t>
      </w:r>
      <w:r w:rsidRPr="00D02678">
        <w:rPr>
          <w:lang w:val="en-GB"/>
        </w:rPr>
        <w:t xml:space="preserve"> and LCOC by </w:t>
      </w:r>
      <w:r w:rsidR="007272D5">
        <w:rPr>
          <w:lang w:val="en-GB"/>
        </w:rPr>
        <w:t>c</w:t>
      </w:r>
      <w:r w:rsidRPr="00D02678">
        <w:rPr>
          <w:lang w:val="en-GB"/>
        </w:rPr>
        <w:t xml:space="preserve">ost </w:t>
      </w:r>
      <w:r w:rsidR="007272D5">
        <w:rPr>
          <w:lang w:val="en-GB"/>
        </w:rPr>
        <w:t>e</w:t>
      </w:r>
      <w:r w:rsidRPr="00D02678">
        <w:rPr>
          <w:lang w:val="en-GB"/>
        </w:rPr>
        <w:t>fficiency.</w:t>
      </w:r>
    </w:p>
    <w:p w14:paraId="175C771F" w14:textId="77777777" w:rsidR="00D02678" w:rsidRDefault="00D02678" w:rsidP="00D02678">
      <w:pPr>
        <w:pStyle w:val="CETBodytext"/>
        <w:rPr>
          <w:lang w:val="en-GB"/>
        </w:rPr>
      </w:pPr>
    </w:p>
    <w:p w14:paraId="0A8C8554" w14:textId="0DDE6DEF" w:rsidR="00D02678" w:rsidRPr="00B57B36" w:rsidRDefault="00D02678" w:rsidP="00D02678">
      <w:pPr>
        <w:pStyle w:val="CETBodytext"/>
        <w:rPr>
          <w:lang w:val="en-GB"/>
        </w:rPr>
      </w:pPr>
      <w:r w:rsidRPr="00D02678">
        <w:rPr>
          <w:lang w:val="en-GB"/>
        </w:rPr>
        <w:t xml:space="preserve">Our proposed paper intends to show how the results of the CEE&amp;C model with the LCOC in a PCDA </w:t>
      </w:r>
      <w:r w:rsidR="00031AA3">
        <w:rPr>
          <w:lang w:val="en-GB"/>
        </w:rPr>
        <w:t>s</w:t>
      </w:r>
      <w:r w:rsidRPr="00D02678">
        <w:rPr>
          <w:lang w:val="en-GB"/>
        </w:rPr>
        <w:t xml:space="preserve">tudy can support stakeholders and investors to implement their geographical </w:t>
      </w:r>
      <w:r w:rsidR="00031AA3">
        <w:rPr>
          <w:lang w:val="en-GB"/>
        </w:rPr>
        <w:t>d</w:t>
      </w:r>
      <w:r w:rsidRPr="00D02678">
        <w:rPr>
          <w:lang w:val="en-GB"/>
        </w:rPr>
        <w:t>ecarbonization ambition and strategy.</w:t>
      </w:r>
    </w:p>
    <w:p w14:paraId="476B2F2E" w14:textId="77777777" w:rsidR="00600535" w:rsidRPr="00B57B36" w:rsidRDefault="00600535" w:rsidP="00600535">
      <w:pPr>
        <w:pStyle w:val="CETHeading1"/>
        <w:rPr>
          <w:lang w:val="en-GB"/>
        </w:rPr>
      </w:pPr>
      <w:r w:rsidRPr="00B57B36">
        <w:rPr>
          <w:lang w:val="en-GB"/>
        </w:rPr>
        <w:t>Introduction</w:t>
      </w:r>
    </w:p>
    <w:p w14:paraId="464758BD" w14:textId="52928551" w:rsidR="0033572F" w:rsidRDefault="00C6295C" w:rsidP="00D20501">
      <w:pPr>
        <w:pStyle w:val="CETBodytext"/>
        <w:rPr>
          <w:lang w:val="en-GB"/>
        </w:rPr>
      </w:pPr>
      <w:r w:rsidRPr="00C6295C">
        <w:rPr>
          <w:lang w:val="en-GB"/>
        </w:rPr>
        <w:t xml:space="preserve">Climate Change is driving the </w:t>
      </w:r>
      <w:r w:rsidR="00F97378">
        <w:rPr>
          <w:lang w:val="en-GB"/>
        </w:rPr>
        <w:t xml:space="preserve">ET </w:t>
      </w:r>
      <w:r w:rsidRPr="00C6295C">
        <w:rPr>
          <w:lang w:val="en-GB"/>
        </w:rPr>
        <w:t xml:space="preserve">and </w:t>
      </w:r>
      <w:r w:rsidR="00EF5F35">
        <w:rPr>
          <w:lang w:val="en-GB"/>
        </w:rPr>
        <w:t xml:space="preserve">it’s </w:t>
      </w:r>
      <w:r w:rsidRPr="00C6295C">
        <w:rPr>
          <w:lang w:val="en-GB"/>
        </w:rPr>
        <w:t>pos</w:t>
      </w:r>
      <w:r w:rsidR="00EF5F35">
        <w:rPr>
          <w:lang w:val="en-GB"/>
        </w:rPr>
        <w:t>ing</w:t>
      </w:r>
      <w:r w:rsidRPr="00C6295C">
        <w:rPr>
          <w:lang w:val="en-GB"/>
        </w:rPr>
        <w:t xml:space="preserve"> risks and opportunities </w:t>
      </w:r>
      <w:r w:rsidR="00EF5F35">
        <w:rPr>
          <w:lang w:val="en-GB"/>
        </w:rPr>
        <w:t>for European and non-European b</w:t>
      </w:r>
      <w:r w:rsidRPr="00C6295C">
        <w:rPr>
          <w:lang w:val="en-GB"/>
        </w:rPr>
        <w:t xml:space="preserve">usinesses </w:t>
      </w:r>
      <w:r w:rsidR="00EF5F35">
        <w:rPr>
          <w:lang w:val="en-GB"/>
        </w:rPr>
        <w:t>and c</w:t>
      </w:r>
      <w:r w:rsidRPr="00C6295C">
        <w:rPr>
          <w:lang w:val="en-GB"/>
        </w:rPr>
        <w:t>ompanies</w:t>
      </w:r>
      <w:r w:rsidR="00EF5F35">
        <w:rPr>
          <w:lang w:val="en-GB"/>
        </w:rPr>
        <w:t>, of either small, medium, or large size,</w:t>
      </w:r>
      <w:r w:rsidRPr="00C6295C">
        <w:rPr>
          <w:lang w:val="en-GB"/>
        </w:rPr>
        <w:t xml:space="preserve"> that have to</w:t>
      </w:r>
      <w:r w:rsidR="00EF5F35" w:rsidRPr="00EF5F35">
        <w:rPr>
          <w:lang w:val="en-GB"/>
        </w:rPr>
        <w:t xml:space="preserve"> </w:t>
      </w:r>
      <w:r w:rsidRPr="00C6295C">
        <w:rPr>
          <w:lang w:val="en-GB"/>
        </w:rPr>
        <w:t xml:space="preserve">adapt </w:t>
      </w:r>
      <w:r w:rsidR="00EF5F35" w:rsidRPr="00C6295C">
        <w:rPr>
          <w:lang w:val="en-GB"/>
        </w:rPr>
        <w:t xml:space="preserve">quickly </w:t>
      </w:r>
      <w:r w:rsidRPr="00C6295C">
        <w:rPr>
          <w:lang w:val="en-GB"/>
        </w:rPr>
        <w:t xml:space="preserve">to the </w:t>
      </w:r>
      <w:r w:rsidR="001A255C">
        <w:rPr>
          <w:lang w:val="en-GB"/>
        </w:rPr>
        <w:t>m</w:t>
      </w:r>
      <w:r w:rsidRPr="00C6295C">
        <w:rPr>
          <w:lang w:val="en-GB"/>
        </w:rPr>
        <w:t xml:space="preserve">arket </w:t>
      </w:r>
      <w:r w:rsidR="001A255C">
        <w:rPr>
          <w:lang w:val="en-GB"/>
        </w:rPr>
        <w:t>e</w:t>
      </w:r>
      <w:r w:rsidRPr="00C6295C">
        <w:rPr>
          <w:lang w:val="en-GB"/>
        </w:rPr>
        <w:t>volution.</w:t>
      </w:r>
    </w:p>
    <w:p w14:paraId="26B7BC41" w14:textId="18C50F83" w:rsidR="0033572F" w:rsidRDefault="0033572F" w:rsidP="00D20501">
      <w:pPr>
        <w:pStyle w:val="CETBodytext"/>
        <w:rPr>
          <w:lang w:val="en-GB"/>
        </w:rPr>
      </w:pPr>
      <w:r w:rsidRPr="00C6295C">
        <w:rPr>
          <w:lang w:val="en-GB"/>
        </w:rPr>
        <w:t xml:space="preserve">The global </w:t>
      </w:r>
      <w:r w:rsidR="007D18F0">
        <w:rPr>
          <w:lang w:val="en-GB"/>
        </w:rPr>
        <w:t>i</w:t>
      </w:r>
      <w:r w:rsidRPr="00C6295C">
        <w:rPr>
          <w:lang w:val="en-GB"/>
        </w:rPr>
        <w:t>ndustry interest is raising for the following key challenges</w:t>
      </w:r>
      <w:r w:rsidR="00FE0845">
        <w:rPr>
          <w:lang w:val="en-GB"/>
        </w:rPr>
        <w:t xml:space="preserve"> (Figure 1)</w:t>
      </w:r>
      <w:r w:rsidRPr="00C6295C">
        <w:rPr>
          <w:lang w:val="en-GB"/>
        </w:rPr>
        <w:t>:</w:t>
      </w:r>
    </w:p>
    <w:p w14:paraId="69820CE6" w14:textId="5B050AAC" w:rsidR="00C6295C" w:rsidRPr="0033572F" w:rsidRDefault="007D18F0" w:rsidP="00D20501">
      <w:pPr>
        <w:pStyle w:val="CETListbullets"/>
        <w:numPr>
          <w:ilvl w:val="0"/>
          <w:numId w:val="13"/>
        </w:numPr>
      </w:pPr>
      <w:r>
        <w:rPr>
          <w:bCs/>
        </w:rPr>
        <w:t>P</w:t>
      </w:r>
      <w:r w:rsidRPr="0033572F">
        <w:rPr>
          <w:bCs/>
        </w:rPr>
        <w:t xml:space="preserve">hysical </w:t>
      </w:r>
      <w:r>
        <w:rPr>
          <w:bCs/>
        </w:rPr>
        <w:t>c</w:t>
      </w:r>
      <w:r w:rsidRPr="0033572F">
        <w:rPr>
          <w:bCs/>
        </w:rPr>
        <w:t>limate</w:t>
      </w:r>
      <w:r w:rsidRPr="0033572F">
        <w:rPr>
          <w:b/>
        </w:rPr>
        <w:t xml:space="preserve"> </w:t>
      </w:r>
      <w:r>
        <w:t>r</w:t>
      </w:r>
      <w:r w:rsidRPr="0033572F">
        <w:t xml:space="preserve">isks as key element of </w:t>
      </w:r>
      <w:r>
        <w:t>a</w:t>
      </w:r>
      <w:r w:rsidRPr="0033572F">
        <w:t xml:space="preserve">sset </w:t>
      </w:r>
      <w:r>
        <w:t>m</w:t>
      </w:r>
      <w:r w:rsidRPr="0033572F">
        <w:t>anagement and new investments</w:t>
      </w:r>
      <w:r>
        <w:rPr>
          <w:b/>
        </w:rPr>
        <w:t>.</w:t>
      </w:r>
    </w:p>
    <w:p w14:paraId="492B686B" w14:textId="5D48CD02" w:rsidR="0033572F" w:rsidRPr="0033572F" w:rsidRDefault="007D18F0" w:rsidP="00D20501">
      <w:pPr>
        <w:pStyle w:val="CETnumberingbullets"/>
        <w:jc w:val="both"/>
      </w:pPr>
      <w:r>
        <w:t>M</w:t>
      </w:r>
      <w:r w:rsidRPr="0033572F">
        <w:t>ore and more challenging product carbon intensity benchmark</w:t>
      </w:r>
      <w:r>
        <w:t>.</w:t>
      </w:r>
    </w:p>
    <w:p w14:paraId="2F9A36C2" w14:textId="34D2AA44" w:rsidR="0033572F" w:rsidRPr="0033572F" w:rsidRDefault="007D18F0" w:rsidP="00D20501">
      <w:pPr>
        <w:pStyle w:val="CETnumberingbullets"/>
        <w:jc w:val="both"/>
      </w:pPr>
      <w:r>
        <w:t>E</w:t>
      </w:r>
      <w:r w:rsidRPr="0033572F">
        <w:t>nergy market shift towards carbon free energy, availability, and costs</w:t>
      </w:r>
      <w:r>
        <w:t>.</w:t>
      </w:r>
    </w:p>
    <w:p w14:paraId="577D33BC" w14:textId="256D8AAC" w:rsidR="0033572F" w:rsidRDefault="007D18F0" w:rsidP="00D20501">
      <w:pPr>
        <w:pStyle w:val="CETListbullets"/>
        <w:numPr>
          <w:ilvl w:val="0"/>
          <w:numId w:val="13"/>
        </w:numPr>
      </w:pPr>
      <w:r>
        <w:t>C</w:t>
      </w:r>
      <w:r w:rsidRPr="0033572F">
        <w:t>arbon Border Adjustment Mechanism</w:t>
      </w:r>
      <w:r>
        <w:t xml:space="preserve"> (CBAM)</w:t>
      </w:r>
      <w:r w:rsidRPr="0033572F">
        <w:t xml:space="preserve"> impact on the </w:t>
      </w:r>
      <w:r>
        <w:t>r</w:t>
      </w:r>
      <w:r w:rsidRPr="0033572F">
        <w:t>aw material and business services</w:t>
      </w:r>
      <w:r>
        <w:t>.</w:t>
      </w:r>
    </w:p>
    <w:p w14:paraId="1F1F9FC8" w14:textId="7524B690" w:rsidR="00C6295C" w:rsidRPr="0033572F" w:rsidRDefault="007D18F0" w:rsidP="00D20501">
      <w:pPr>
        <w:pStyle w:val="CETListbullets"/>
        <w:numPr>
          <w:ilvl w:val="0"/>
          <w:numId w:val="13"/>
        </w:numPr>
      </w:pPr>
      <w:r>
        <w:t>C</w:t>
      </w:r>
      <w:r w:rsidRPr="0033572F">
        <w:t xml:space="preserve">limate finance trends, risks and opportunities and funding access for </w:t>
      </w:r>
      <w:r>
        <w:t>ET</w:t>
      </w:r>
      <w:r w:rsidRPr="0033572F">
        <w:t xml:space="preserve"> solutions</w:t>
      </w:r>
      <w:r w:rsidR="00C6295C" w:rsidRPr="0033572F">
        <w:t>.</w:t>
      </w:r>
    </w:p>
    <w:p w14:paraId="5E9A03AA" w14:textId="77777777" w:rsidR="00463D3D" w:rsidRDefault="00463D3D" w:rsidP="00463D3D">
      <w:pPr>
        <w:pStyle w:val="CETnumberingbullets"/>
        <w:numPr>
          <w:ilvl w:val="0"/>
          <w:numId w:val="0"/>
        </w:numPr>
      </w:pPr>
    </w:p>
    <w:p w14:paraId="69EE613F" w14:textId="77777777" w:rsidR="007D18F0" w:rsidRDefault="00463D3D" w:rsidP="007D18F0">
      <w:pPr>
        <w:pStyle w:val="CETnumberingbullets"/>
        <w:numPr>
          <w:ilvl w:val="0"/>
          <w:numId w:val="0"/>
        </w:numPr>
        <w:rPr>
          <w:rStyle w:val="CETCaptionCarattere"/>
        </w:rPr>
      </w:pPr>
      <w:r>
        <w:rPr>
          <w:noProof/>
        </w:rPr>
        <w:drawing>
          <wp:inline distT="0" distB="0" distL="0" distR="0" wp14:anchorId="5B2A74C8" wp14:editId="24556263">
            <wp:extent cx="5348377" cy="628015"/>
            <wp:effectExtent l="0" t="0" r="5080" b="635"/>
            <wp:docPr id="72851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6071"/>
                    <a:stretch/>
                  </pic:blipFill>
                  <pic:spPr bwMode="auto">
                    <a:xfrm>
                      <a:off x="0" y="0"/>
                      <a:ext cx="5348377" cy="628015"/>
                    </a:xfrm>
                    <a:prstGeom prst="rect">
                      <a:avLst/>
                    </a:prstGeom>
                    <a:noFill/>
                    <a:ln>
                      <a:noFill/>
                    </a:ln>
                    <a:extLst>
                      <a:ext uri="{53640926-AAD7-44D8-BBD7-CCE9431645EC}">
                        <a14:shadowObscured xmlns:a14="http://schemas.microsoft.com/office/drawing/2010/main"/>
                      </a:ext>
                    </a:extLst>
                  </pic:spPr>
                </pic:pic>
              </a:graphicData>
            </a:graphic>
          </wp:inline>
        </w:drawing>
      </w:r>
      <w:r w:rsidRPr="00BD077D">
        <w:rPr>
          <w:rStyle w:val="CETCaptionCarattere"/>
        </w:rPr>
        <w:t xml:space="preserve">Figure 1: </w:t>
      </w:r>
      <w:r w:rsidR="0051532B">
        <w:rPr>
          <w:rStyle w:val="CETCaptionCarattere"/>
        </w:rPr>
        <w:t>Actions Flow Diagram</w:t>
      </w:r>
    </w:p>
    <w:p w14:paraId="4306173D" w14:textId="07987F55" w:rsidR="00CE24A5" w:rsidRPr="00C6295C" w:rsidRDefault="00CE24A5" w:rsidP="00D20501">
      <w:pPr>
        <w:pStyle w:val="CETnumberingbullets"/>
        <w:numPr>
          <w:ilvl w:val="0"/>
          <w:numId w:val="0"/>
        </w:numPr>
        <w:jc w:val="both"/>
      </w:pPr>
      <w:r w:rsidRPr="00C6295C">
        <w:lastRenderedPageBreak/>
        <w:t>Current indicators and key performance metrics are not suitable to forecast the mid or long term, to allow companies the adjustment of their business trajectories.</w:t>
      </w:r>
      <w:r>
        <w:t xml:space="preserve"> </w:t>
      </w:r>
      <w:r w:rsidRPr="00C6295C">
        <w:t xml:space="preserve">A new way to integrate technical economical and carbon information is needed to adapt to the climate change challenge and take the great opportunity of the </w:t>
      </w:r>
      <w:r w:rsidR="00D20501">
        <w:t>ET</w:t>
      </w:r>
      <w:r w:rsidRPr="00C6295C">
        <w:t>.</w:t>
      </w:r>
    </w:p>
    <w:p w14:paraId="04ED38F6" w14:textId="77777777" w:rsidR="00D20501" w:rsidRDefault="00D20501" w:rsidP="00D20501">
      <w:pPr>
        <w:pStyle w:val="CETBodytext"/>
        <w:rPr>
          <w:lang w:val="en-GB"/>
        </w:rPr>
      </w:pPr>
    </w:p>
    <w:p w14:paraId="7CB22FFB" w14:textId="0059826D" w:rsidR="00CE24A5" w:rsidRPr="00C6295C" w:rsidRDefault="00CE24A5" w:rsidP="00D20501">
      <w:pPr>
        <w:pStyle w:val="CETBodytext"/>
        <w:rPr>
          <w:lang w:val="en-GB"/>
        </w:rPr>
      </w:pPr>
      <w:r w:rsidRPr="00C6295C">
        <w:rPr>
          <w:lang w:val="en-GB"/>
        </w:rPr>
        <w:t>A country ET Screening opportunit</w:t>
      </w:r>
      <w:r>
        <w:rPr>
          <w:lang w:val="en-GB"/>
        </w:rPr>
        <w:t>y</w:t>
      </w:r>
      <w:r w:rsidRPr="00C6295C">
        <w:rPr>
          <w:lang w:val="en-GB"/>
        </w:rPr>
        <w:t xml:space="preserve"> has been rolled out by the Authors to:</w:t>
      </w:r>
    </w:p>
    <w:p w14:paraId="5AE7A5BF" w14:textId="3CC874CA" w:rsidR="00CE24A5" w:rsidRPr="0033572F" w:rsidRDefault="00CE24A5" w:rsidP="00D20501">
      <w:pPr>
        <w:pStyle w:val="CETnumberingbullets"/>
        <w:jc w:val="both"/>
      </w:pPr>
      <w:r w:rsidRPr="0033572F">
        <w:rPr>
          <w:bCs/>
        </w:rPr>
        <w:t xml:space="preserve">Identify possible green projects to be studied in line with a </w:t>
      </w:r>
      <w:r w:rsidR="00D20501">
        <w:rPr>
          <w:bCs/>
        </w:rPr>
        <w:t>C</w:t>
      </w:r>
      <w:r w:rsidRPr="0033572F">
        <w:rPr>
          <w:bCs/>
        </w:rPr>
        <w:t>ompany’s technology strategy and market trend</w:t>
      </w:r>
      <w:r>
        <w:rPr>
          <w:bCs/>
        </w:rPr>
        <w:t>s</w:t>
      </w:r>
      <w:r w:rsidR="00D20501">
        <w:rPr>
          <w:bCs/>
        </w:rPr>
        <w:t>.</w:t>
      </w:r>
    </w:p>
    <w:p w14:paraId="03CE6A14" w14:textId="71352C8E" w:rsidR="00CE24A5" w:rsidRDefault="00CE24A5" w:rsidP="00D20501">
      <w:pPr>
        <w:pStyle w:val="CETnumberingbullets"/>
        <w:jc w:val="both"/>
      </w:pPr>
      <w:r w:rsidRPr="0033572F">
        <w:t>Align with strategic stakeholders to engage in the project structure (</w:t>
      </w:r>
      <w:r>
        <w:t>i</w:t>
      </w:r>
      <w:r w:rsidRPr="0033572F">
        <w:t>ndustrial partner, state investments, feedstock provider, off-taker, financing institutions)</w:t>
      </w:r>
      <w:r w:rsidR="00D20501">
        <w:t>.</w:t>
      </w:r>
    </w:p>
    <w:p w14:paraId="093EA329" w14:textId="1BCDDA36" w:rsidR="00CE24A5" w:rsidRDefault="00CE24A5" w:rsidP="00D20501">
      <w:pPr>
        <w:pStyle w:val="CETnumberingbullets"/>
        <w:jc w:val="both"/>
      </w:pPr>
      <w:r w:rsidRPr="0033572F">
        <w:t>Define key element to secure economic success (project authorizations, feedstock guarantee, fiscal incentives, etc.)</w:t>
      </w:r>
      <w:r>
        <w:t>.</w:t>
      </w:r>
    </w:p>
    <w:p w14:paraId="61A9B77A" w14:textId="0E146DFB" w:rsidR="00600535" w:rsidRPr="00B57B36" w:rsidRDefault="00463D3D" w:rsidP="00FA5F5F">
      <w:pPr>
        <w:pStyle w:val="CETheadingx"/>
      </w:pPr>
      <w:r>
        <w:t>Methodology</w:t>
      </w:r>
    </w:p>
    <w:p w14:paraId="2BC42C4C" w14:textId="5D28502C" w:rsidR="00463D3D" w:rsidRDefault="00463D3D" w:rsidP="00463D3D">
      <w:pPr>
        <w:pStyle w:val="CETBodytext"/>
      </w:pPr>
      <w:r>
        <w:t xml:space="preserve">In this study, the shortlisted configurations have been studied, </w:t>
      </w:r>
      <w:r w:rsidR="00AB07AE">
        <w:t>analyzed</w:t>
      </w:r>
      <w:r>
        <w:t xml:space="preserve"> and compared through a CEE&amp;C</w:t>
      </w:r>
      <w:r w:rsidR="00DB4866">
        <w:t xml:space="preserve"> Model</w:t>
      </w:r>
      <w:r>
        <w:t xml:space="preserve"> in a </w:t>
      </w:r>
      <w:r w:rsidR="00D20501">
        <w:t>PCDA</w:t>
      </w:r>
      <w:r w:rsidR="00DB4866">
        <w:t>.</w:t>
      </w:r>
      <w:r>
        <w:t xml:space="preserve"> Modelling Economic </w:t>
      </w:r>
      <w:r w:rsidR="00D20501">
        <w:t xml:space="preserve">and </w:t>
      </w:r>
      <w:r>
        <w:t>Financial (MEF) tool has been used to develop differential economic analysis for all the analyzed configurations</w:t>
      </w:r>
      <w:r w:rsidR="00D20501">
        <w:t xml:space="preserve">. The </w:t>
      </w:r>
      <w:r>
        <w:t>calculate</w:t>
      </w:r>
      <w:r w:rsidR="00D20501">
        <w:t>d</w:t>
      </w:r>
      <w:r>
        <w:t xml:space="preserve"> CAPE</w:t>
      </w:r>
      <w:r w:rsidR="00D20501">
        <w:t>X</w:t>
      </w:r>
      <w:r>
        <w:t xml:space="preserve"> and</w:t>
      </w:r>
      <w:r w:rsidR="00FE0845">
        <w:t xml:space="preserve"> Operational Expenditure</w:t>
      </w:r>
      <w:r>
        <w:t xml:space="preserve"> </w:t>
      </w:r>
      <w:r w:rsidR="00FE0845">
        <w:t>(</w:t>
      </w:r>
      <w:r>
        <w:t>OPEX</w:t>
      </w:r>
      <w:r w:rsidR="00FE0845">
        <w:t>)</w:t>
      </w:r>
      <w:r>
        <w:t xml:space="preserve"> </w:t>
      </w:r>
      <w:r w:rsidR="00D20501">
        <w:t>values</w:t>
      </w:r>
      <w:r>
        <w:t xml:space="preserve"> ha</w:t>
      </w:r>
      <w:r w:rsidR="00D20501">
        <w:t>ve</w:t>
      </w:r>
      <w:r>
        <w:t xml:space="preserve"> been incorporated with a sound basis of detail to the CEE&amp;C </w:t>
      </w:r>
      <w:r w:rsidR="00D20501">
        <w:t>m</w:t>
      </w:r>
      <w:r>
        <w:t xml:space="preserve">odel and verified against the EU </w:t>
      </w:r>
      <w:r w:rsidR="00FE0845">
        <w:t xml:space="preserve">Innovation Fund (IF) </w:t>
      </w:r>
      <w:r>
        <w:t>Levelized Cost of Product</w:t>
      </w:r>
      <w:r w:rsidR="00FE0845">
        <w:t xml:space="preserve"> (LCOP)</w:t>
      </w:r>
      <w:r>
        <w:t xml:space="preserve"> </w:t>
      </w:r>
      <w:r w:rsidR="00D20501">
        <w:t>m</w:t>
      </w:r>
      <w:r>
        <w:t xml:space="preserve">odel. </w:t>
      </w:r>
    </w:p>
    <w:p w14:paraId="1FE438C7" w14:textId="77777777" w:rsidR="00463D3D" w:rsidRDefault="00463D3D" w:rsidP="00463D3D">
      <w:pPr>
        <w:pStyle w:val="CETBodytext"/>
      </w:pPr>
    </w:p>
    <w:p w14:paraId="1162E39E" w14:textId="0AC61EA6" w:rsidR="00463D3D" w:rsidRDefault="00D20501" w:rsidP="00463D3D">
      <w:pPr>
        <w:pStyle w:val="CETBodytext"/>
      </w:pPr>
      <w:r>
        <w:t>The s</w:t>
      </w:r>
      <w:r w:rsidR="00463D3D">
        <w:t xml:space="preserve">hortlisted options </w:t>
      </w:r>
      <w:r>
        <w:t>were</w:t>
      </w:r>
      <w:r w:rsidR="00463D3D">
        <w:t xml:space="preserve"> </w:t>
      </w:r>
      <w:r>
        <w:t>preliminarily assessed basing on an e</w:t>
      </w:r>
      <w:r w:rsidR="00463D3D">
        <w:t xml:space="preserve">nergy and </w:t>
      </w:r>
      <w:r>
        <w:t>c</w:t>
      </w:r>
      <w:r w:rsidR="00463D3D">
        <w:t xml:space="preserve">limate screening </w:t>
      </w:r>
      <w:r w:rsidR="00FE0845">
        <w:t xml:space="preserve">criteria </w:t>
      </w:r>
      <w:r w:rsidR="00463D3D">
        <w:t xml:space="preserve">designed to identify the primary energy factors and GHG contributors </w:t>
      </w:r>
      <w:r w:rsidR="00D5368B">
        <w:t>via</w:t>
      </w:r>
      <w:r w:rsidR="00463D3D">
        <w:t xml:space="preserve"> </w:t>
      </w:r>
      <w:r w:rsidR="00DB4866">
        <w:t>k</w:t>
      </w:r>
      <w:r w:rsidR="00463D3D">
        <w:t xml:space="preserve">ey </w:t>
      </w:r>
      <w:r>
        <w:t>e</w:t>
      </w:r>
      <w:r w:rsidR="00463D3D">
        <w:t>nergy and</w:t>
      </w:r>
      <w:r>
        <w:t xml:space="preserve"> CO</w:t>
      </w:r>
      <w:r w:rsidRPr="00463D3D">
        <w:rPr>
          <w:vertAlign w:val="subscript"/>
        </w:rPr>
        <w:t>2</w:t>
      </w:r>
      <w:r>
        <w:rPr>
          <w:vertAlign w:val="subscript"/>
        </w:rPr>
        <w:t xml:space="preserve"> </w:t>
      </w:r>
      <w:r w:rsidRPr="00D20501">
        <w:t>equivalent</w:t>
      </w:r>
      <w:r w:rsidR="00463D3D">
        <w:t xml:space="preserve"> </w:t>
      </w:r>
      <w:r>
        <w:t>(</w:t>
      </w:r>
      <w:r w:rsidR="00463D3D">
        <w:t>CO</w:t>
      </w:r>
      <w:r w:rsidR="00463D3D" w:rsidRPr="00463D3D">
        <w:rPr>
          <w:vertAlign w:val="subscript"/>
        </w:rPr>
        <w:t>2eq</w:t>
      </w:r>
      <w:r>
        <w:t xml:space="preserve">) </w:t>
      </w:r>
      <w:r w:rsidR="00463D3D">
        <w:t xml:space="preserve">emission </w:t>
      </w:r>
      <w:r w:rsidR="00D5368B">
        <w:t>i</w:t>
      </w:r>
      <w:r w:rsidR="00463D3D">
        <w:t>ndicators by Scope (</w:t>
      </w:r>
      <w:r w:rsidR="00D5368B">
        <w:t>a</w:t>
      </w:r>
      <w:r w:rsidR="00463D3D">
        <w:t xml:space="preserve">bsolute and </w:t>
      </w:r>
      <w:r w:rsidR="00D5368B">
        <w:t>i</w:t>
      </w:r>
      <w:r w:rsidR="00463D3D">
        <w:t xml:space="preserve">ntensity </w:t>
      </w:r>
      <w:r w:rsidR="00FE0845">
        <w:t>KPIs</w:t>
      </w:r>
      <w:r w:rsidR="00463D3D">
        <w:t>).</w:t>
      </w:r>
    </w:p>
    <w:p w14:paraId="475C7D84" w14:textId="77777777" w:rsidR="00CE24A5" w:rsidRDefault="00CE24A5" w:rsidP="00463D3D">
      <w:pPr>
        <w:pStyle w:val="CETBodytext"/>
      </w:pPr>
    </w:p>
    <w:p w14:paraId="629E6105" w14:textId="26F2B027" w:rsidR="00463D3D" w:rsidRDefault="00463D3D" w:rsidP="00463D3D">
      <w:pPr>
        <w:pStyle w:val="CETBodytext"/>
      </w:pPr>
      <w:r>
        <w:t>Energy impact criteria is assessed by considering:</w:t>
      </w:r>
    </w:p>
    <w:p w14:paraId="11770F0F" w14:textId="751191DE" w:rsidR="00463D3D" w:rsidRDefault="00463D3D" w:rsidP="00463D3D">
      <w:pPr>
        <w:pStyle w:val="CETListbullets"/>
        <w:numPr>
          <w:ilvl w:val="0"/>
          <w:numId w:val="13"/>
        </w:numPr>
      </w:pPr>
      <w:r>
        <w:t xml:space="preserve">Energy </w:t>
      </w:r>
      <w:r w:rsidR="001613B7">
        <w:t>and</w:t>
      </w:r>
      <w:r>
        <w:t xml:space="preserve"> </w:t>
      </w:r>
      <w:r w:rsidR="00D5368B">
        <w:t>f</w:t>
      </w:r>
      <w:r>
        <w:t>uel streams by type and origin</w:t>
      </w:r>
      <w:r w:rsidR="00D5368B">
        <w:t>.</w:t>
      </w:r>
    </w:p>
    <w:p w14:paraId="31673E50" w14:textId="5A33C27F" w:rsidR="00463D3D" w:rsidRDefault="00463D3D" w:rsidP="00463D3D">
      <w:pPr>
        <w:pStyle w:val="CETListbullets"/>
        <w:numPr>
          <w:ilvl w:val="0"/>
          <w:numId w:val="13"/>
        </w:numPr>
      </w:pPr>
      <w:r>
        <w:t>Energy (</w:t>
      </w:r>
      <w:r w:rsidR="00D5368B">
        <w:t>h</w:t>
      </w:r>
      <w:r>
        <w:t xml:space="preserve">eat, </w:t>
      </w:r>
      <w:r w:rsidR="00D5368B">
        <w:t>s</w:t>
      </w:r>
      <w:r>
        <w:t xml:space="preserve">team, </w:t>
      </w:r>
      <w:r w:rsidR="00D5368B">
        <w:t>e</w:t>
      </w:r>
      <w:r>
        <w:t xml:space="preserve">lectric </w:t>
      </w:r>
      <w:r w:rsidR="00D5368B">
        <w:t>e</w:t>
      </w:r>
      <w:r>
        <w:t xml:space="preserve">nergy) </w:t>
      </w:r>
      <w:r w:rsidR="001613B7">
        <w:t>and</w:t>
      </w:r>
      <w:r>
        <w:t xml:space="preserve"> </w:t>
      </w:r>
      <w:r w:rsidR="00D5368B">
        <w:t>f</w:t>
      </w:r>
      <w:r>
        <w:t>uel consumption and emissions.</w:t>
      </w:r>
    </w:p>
    <w:p w14:paraId="60CE5329" w14:textId="77777777" w:rsidR="00463D3D" w:rsidRDefault="00463D3D" w:rsidP="00463D3D">
      <w:pPr>
        <w:pStyle w:val="CETBodytext"/>
      </w:pPr>
    </w:p>
    <w:p w14:paraId="06094376" w14:textId="4651DBBE" w:rsidR="00463D3D" w:rsidRDefault="00463D3D" w:rsidP="00463D3D">
      <w:pPr>
        <w:pStyle w:val="CETBodytext"/>
      </w:pPr>
      <w:r>
        <w:t xml:space="preserve">Climate impact criteria is consequently assessed on the above data through a high level GHG </w:t>
      </w:r>
      <w:r w:rsidR="00D5368B">
        <w:t>a</w:t>
      </w:r>
      <w:r>
        <w:t xml:space="preserve">nalysis </w:t>
      </w:r>
      <w:r w:rsidR="00D5368B">
        <w:t>m</w:t>
      </w:r>
      <w:r>
        <w:t xml:space="preserve">ethodology based on the </w:t>
      </w:r>
      <w:r w:rsidRPr="00D5368B">
        <w:rPr>
          <w:i/>
          <w:iCs/>
        </w:rPr>
        <w:t>International GHG Protocol</w:t>
      </w:r>
      <w:r>
        <w:t xml:space="preserve"> through the following steps:</w:t>
      </w:r>
    </w:p>
    <w:p w14:paraId="2745FBFA" w14:textId="6ECE7B60" w:rsidR="00463D3D" w:rsidRDefault="00463D3D" w:rsidP="00463D3D">
      <w:pPr>
        <w:pStyle w:val="CETListbullets"/>
        <w:numPr>
          <w:ilvl w:val="0"/>
          <w:numId w:val="13"/>
        </w:numPr>
      </w:pPr>
      <w:r>
        <w:t xml:space="preserve">Definition of GHG </w:t>
      </w:r>
      <w:r w:rsidR="00D5368B">
        <w:t>b</w:t>
      </w:r>
      <w:r>
        <w:t xml:space="preserve">oundary and appropriate geographical Emission </w:t>
      </w:r>
      <w:r w:rsidR="00D5368B">
        <w:t>F</w:t>
      </w:r>
      <w:r>
        <w:t>actors</w:t>
      </w:r>
      <w:r w:rsidR="00D5368B">
        <w:t xml:space="preserve"> (EF).</w:t>
      </w:r>
    </w:p>
    <w:p w14:paraId="21B9A280" w14:textId="62C4FB18" w:rsidR="007D0951" w:rsidRPr="00B57B36" w:rsidRDefault="00463D3D" w:rsidP="00CE24A5">
      <w:pPr>
        <w:pStyle w:val="CETListbullets"/>
        <w:numPr>
          <w:ilvl w:val="0"/>
          <w:numId w:val="13"/>
        </w:numPr>
      </w:pPr>
      <w:r>
        <w:t xml:space="preserve">Development of a comprehensive GHG </w:t>
      </w:r>
      <w:r w:rsidR="00D5368B">
        <w:t>a</w:t>
      </w:r>
      <w:r>
        <w:t xml:space="preserve">nalysis including Scope 1 direct GHG </w:t>
      </w:r>
      <w:r w:rsidR="00D5368B">
        <w:t>e</w:t>
      </w:r>
      <w:r>
        <w:t xml:space="preserve">missions and Scope 2 </w:t>
      </w:r>
      <w:r w:rsidR="00D5368B">
        <w:t>i</w:t>
      </w:r>
      <w:r>
        <w:t xml:space="preserve">ndirect GHG </w:t>
      </w:r>
      <w:r w:rsidR="00D5368B">
        <w:t>e</w:t>
      </w:r>
      <w:r>
        <w:t>missions.</w:t>
      </w:r>
    </w:p>
    <w:p w14:paraId="6B4C63E5" w14:textId="7520FBF9" w:rsidR="00600535" w:rsidRPr="00B57B36" w:rsidRDefault="00600535" w:rsidP="00FA5F5F">
      <w:pPr>
        <w:pStyle w:val="CETheadingx"/>
      </w:pPr>
      <w:r w:rsidRPr="00B57B36">
        <w:t>S</w:t>
      </w:r>
      <w:r w:rsidR="00463D3D">
        <w:t>implified Carbon Energy Environment &amp; Cost Abatement Model- CEE&amp;C Description</w:t>
      </w:r>
    </w:p>
    <w:p w14:paraId="7B1659BA" w14:textId="02DE50E0" w:rsidR="00463D3D" w:rsidRPr="00463D3D" w:rsidRDefault="00463D3D" w:rsidP="00463D3D">
      <w:pPr>
        <w:pStyle w:val="CETBodytext"/>
        <w:rPr>
          <w:lang w:val="en-GB"/>
        </w:rPr>
      </w:pPr>
      <w:r w:rsidRPr="00463D3D">
        <w:rPr>
          <w:lang w:val="en-GB"/>
        </w:rPr>
        <w:t>The CEE&amp;C Model is a LCA</w:t>
      </w:r>
      <w:r w:rsidR="00D5368B">
        <w:rPr>
          <w:lang w:val="en-GB"/>
        </w:rPr>
        <w:t xml:space="preserve"> e</w:t>
      </w:r>
      <w:r w:rsidRPr="00463D3D">
        <w:rPr>
          <w:lang w:val="en-GB"/>
        </w:rPr>
        <w:t>nvironmental</w:t>
      </w:r>
      <w:r w:rsidR="00D5368B">
        <w:rPr>
          <w:lang w:val="en-GB"/>
        </w:rPr>
        <w:t>, e</w:t>
      </w:r>
      <w:r w:rsidRPr="00463D3D">
        <w:rPr>
          <w:lang w:val="en-GB"/>
        </w:rPr>
        <w:t xml:space="preserve">nergy </w:t>
      </w:r>
      <w:r w:rsidR="00D5368B">
        <w:rPr>
          <w:lang w:val="en-GB"/>
        </w:rPr>
        <w:t>and</w:t>
      </w:r>
      <w:r w:rsidRPr="00463D3D">
        <w:rPr>
          <w:lang w:val="en-GB"/>
        </w:rPr>
        <w:t xml:space="preserve"> </w:t>
      </w:r>
      <w:r w:rsidR="00D5368B">
        <w:rPr>
          <w:lang w:val="en-GB"/>
        </w:rPr>
        <w:t>c</w:t>
      </w:r>
      <w:r w:rsidRPr="00463D3D">
        <w:rPr>
          <w:lang w:val="en-GB"/>
        </w:rPr>
        <w:t xml:space="preserve">limate </w:t>
      </w:r>
      <w:r w:rsidR="00D5368B">
        <w:rPr>
          <w:lang w:val="en-GB"/>
        </w:rPr>
        <w:t>f</w:t>
      </w:r>
      <w:r w:rsidRPr="00463D3D">
        <w:rPr>
          <w:lang w:val="en-GB"/>
        </w:rPr>
        <w:t xml:space="preserve">ootprint </w:t>
      </w:r>
      <w:r w:rsidR="00D5368B">
        <w:rPr>
          <w:lang w:val="en-GB"/>
        </w:rPr>
        <w:t xml:space="preserve">model </w:t>
      </w:r>
      <w:r w:rsidRPr="00463D3D">
        <w:rPr>
          <w:lang w:val="en-GB"/>
        </w:rPr>
        <w:t xml:space="preserve">with associated </w:t>
      </w:r>
      <w:r w:rsidR="00D5368B">
        <w:rPr>
          <w:lang w:val="en-GB"/>
        </w:rPr>
        <w:t>c</w:t>
      </w:r>
      <w:r w:rsidRPr="00463D3D">
        <w:rPr>
          <w:lang w:val="en-GB"/>
        </w:rPr>
        <w:t xml:space="preserve">osts </w:t>
      </w:r>
      <w:r w:rsidR="00D5368B">
        <w:rPr>
          <w:lang w:val="en-GB"/>
        </w:rPr>
        <w:t>m</w:t>
      </w:r>
      <w:r w:rsidRPr="00463D3D">
        <w:rPr>
          <w:lang w:val="en-GB"/>
        </w:rPr>
        <w:t xml:space="preserve">odel that can sustain a </w:t>
      </w:r>
      <w:r w:rsidR="00D5368B">
        <w:rPr>
          <w:lang w:val="en-GB"/>
        </w:rPr>
        <w:t>d</w:t>
      </w:r>
      <w:r w:rsidRPr="00463D3D">
        <w:rPr>
          <w:lang w:val="en-GB"/>
        </w:rPr>
        <w:t xml:space="preserve">ecarbonization and </w:t>
      </w:r>
      <w:r w:rsidR="00D5368B">
        <w:rPr>
          <w:lang w:val="en-GB"/>
        </w:rPr>
        <w:t>ET s</w:t>
      </w:r>
      <w:r w:rsidRPr="00463D3D">
        <w:rPr>
          <w:lang w:val="en-GB"/>
        </w:rPr>
        <w:t xml:space="preserve">trategy. Through </w:t>
      </w:r>
      <w:r w:rsidR="00D5368B">
        <w:rPr>
          <w:lang w:val="en-GB"/>
        </w:rPr>
        <w:t xml:space="preserve">the </w:t>
      </w:r>
      <w:r w:rsidRPr="00463D3D">
        <w:rPr>
          <w:lang w:val="en-GB"/>
        </w:rPr>
        <w:t xml:space="preserve">CEE&amp;C model, it is possible to identify the primary contributors to the project GHG impact and to valorise an optimal </w:t>
      </w:r>
      <w:r w:rsidR="00FE0845">
        <w:rPr>
          <w:lang w:val="en-GB"/>
        </w:rPr>
        <w:t>ET</w:t>
      </w:r>
      <w:r w:rsidRPr="00463D3D">
        <w:rPr>
          <w:lang w:val="en-GB"/>
        </w:rPr>
        <w:t xml:space="preserve"> solution in a </w:t>
      </w:r>
      <w:r w:rsidR="00D5368B">
        <w:rPr>
          <w:lang w:val="en-GB"/>
        </w:rPr>
        <w:t>c</w:t>
      </w:r>
      <w:r w:rsidRPr="00463D3D">
        <w:rPr>
          <w:lang w:val="en-GB"/>
        </w:rPr>
        <w:t xml:space="preserve">arbon </w:t>
      </w:r>
      <w:r w:rsidR="00D5368B">
        <w:rPr>
          <w:lang w:val="en-GB"/>
        </w:rPr>
        <w:t>f</w:t>
      </w:r>
      <w:r w:rsidRPr="00463D3D">
        <w:rPr>
          <w:lang w:val="en-GB"/>
        </w:rPr>
        <w:t xml:space="preserve">ootprint </w:t>
      </w:r>
      <w:r w:rsidR="00D5368B">
        <w:rPr>
          <w:lang w:val="en-GB"/>
        </w:rPr>
        <w:t>r</w:t>
      </w:r>
      <w:r w:rsidRPr="00463D3D">
        <w:rPr>
          <w:lang w:val="en-GB"/>
        </w:rPr>
        <w:t xml:space="preserve">eduction </w:t>
      </w:r>
      <w:r w:rsidR="00D5368B">
        <w:rPr>
          <w:lang w:val="en-GB"/>
        </w:rPr>
        <w:t>s</w:t>
      </w:r>
      <w:r w:rsidRPr="00463D3D">
        <w:rPr>
          <w:lang w:val="en-GB"/>
        </w:rPr>
        <w:t>trategy.</w:t>
      </w:r>
    </w:p>
    <w:p w14:paraId="237D3C0B" w14:textId="77777777" w:rsidR="00463D3D" w:rsidRPr="00463D3D" w:rsidRDefault="00463D3D" w:rsidP="00463D3D">
      <w:pPr>
        <w:pStyle w:val="CETBodytext"/>
        <w:rPr>
          <w:lang w:val="en-GB"/>
        </w:rPr>
      </w:pPr>
    </w:p>
    <w:p w14:paraId="5FF65722" w14:textId="06FE936A" w:rsidR="00463D3D" w:rsidRPr="00463D3D" w:rsidRDefault="00463D3D" w:rsidP="00463D3D">
      <w:pPr>
        <w:pStyle w:val="CETBodytext"/>
        <w:rPr>
          <w:lang w:val="en-GB"/>
        </w:rPr>
      </w:pPr>
      <w:r w:rsidRPr="00463D3D">
        <w:rPr>
          <w:lang w:val="en-GB"/>
        </w:rPr>
        <w:t xml:space="preserve">The CEE&amp;C </w:t>
      </w:r>
      <w:r w:rsidR="00D5368B">
        <w:rPr>
          <w:lang w:val="en-GB"/>
        </w:rPr>
        <w:t>m</w:t>
      </w:r>
      <w:r w:rsidRPr="00463D3D">
        <w:rPr>
          <w:lang w:val="en-GB"/>
        </w:rPr>
        <w:t xml:space="preserve">odel provides a quick assessment of the ET </w:t>
      </w:r>
      <w:r w:rsidR="00E06109">
        <w:rPr>
          <w:lang w:val="en-GB"/>
        </w:rPr>
        <w:t>t</w:t>
      </w:r>
      <w:r w:rsidRPr="00463D3D">
        <w:rPr>
          <w:lang w:val="en-GB"/>
        </w:rPr>
        <w:t xml:space="preserve">echnology into different </w:t>
      </w:r>
      <w:r w:rsidR="00E06109">
        <w:rPr>
          <w:lang w:val="en-GB"/>
        </w:rPr>
        <w:t>s</w:t>
      </w:r>
      <w:r w:rsidRPr="00463D3D">
        <w:rPr>
          <w:lang w:val="en-GB"/>
        </w:rPr>
        <w:t>ystems (</w:t>
      </w:r>
      <w:r w:rsidR="00E06109">
        <w:rPr>
          <w:lang w:val="en-GB"/>
        </w:rPr>
        <w:t>f</w:t>
      </w:r>
      <w:r w:rsidRPr="00463D3D">
        <w:rPr>
          <w:lang w:val="en-GB"/>
        </w:rPr>
        <w:t xml:space="preserve">ossil </w:t>
      </w:r>
      <w:r w:rsidR="00E06109">
        <w:rPr>
          <w:lang w:val="en-GB"/>
        </w:rPr>
        <w:t>f</w:t>
      </w:r>
      <w:r w:rsidRPr="00463D3D">
        <w:rPr>
          <w:lang w:val="en-GB"/>
        </w:rPr>
        <w:t xml:space="preserve">uel </w:t>
      </w:r>
      <w:r w:rsidR="00E06109">
        <w:rPr>
          <w:lang w:val="en-GB"/>
        </w:rPr>
        <w:t>s</w:t>
      </w:r>
      <w:r w:rsidRPr="00463D3D">
        <w:rPr>
          <w:lang w:val="en-GB"/>
        </w:rPr>
        <w:t xml:space="preserve">cenarios) and compare different sustainability solutions. The model is </w:t>
      </w:r>
      <w:r w:rsidR="004F255A">
        <w:rPr>
          <w:lang w:val="en-GB"/>
        </w:rPr>
        <w:t xml:space="preserve">aligned to the </w:t>
      </w:r>
      <w:r w:rsidRPr="004F255A">
        <w:rPr>
          <w:i/>
          <w:iCs/>
          <w:lang w:val="en-GB"/>
        </w:rPr>
        <w:t>GHG Protocol</w:t>
      </w:r>
      <w:r w:rsidRPr="00463D3D">
        <w:rPr>
          <w:lang w:val="en-GB"/>
        </w:rPr>
        <w:t xml:space="preserve"> and best </w:t>
      </w:r>
      <w:r w:rsidR="004F255A">
        <w:rPr>
          <w:lang w:val="en-GB"/>
        </w:rPr>
        <w:t>i</w:t>
      </w:r>
      <w:r w:rsidRPr="00463D3D">
        <w:rPr>
          <w:lang w:val="en-GB"/>
        </w:rPr>
        <w:t xml:space="preserve">nternational </w:t>
      </w:r>
      <w:r w:rsidR="004F255A">
        <w:rPr>
          <w:lang w:val="en-GB"/>
        </w:rPr>
        <w:t>s</w:t>
      </w:r>
      <w:r w:rsidRPr="00463D3D">
        <w:rPr>
          <w:lang w:val="en-GB"/>
        </w:rPr>
        <w:t xml:space="preserve">tandards (EU </w:t>
      </w:r>
      <w:r w:rsidR="00FE0845">
        <w:rPr>
          <w:lang w:val="en-GB"/>
        </w:rPr>
        <w:t>Emission Trading System</w:t>
      </w:r>
      <w:r w:rsidR="004F255A">
        <w:rPr>
          <w:lang w:val="en-GB"/>
        </w:rPr>
        <w:t xml:space="preserve"> (ETS)</w:t>
      </w:r>
      <w:r w:rsidR="00BE3E02">
        <w:rPr>
          <w:lang w:val="en-GB"/>
        </w:rPr>
        <w:t>;</w:t>
      </w:r>
      <w:r w:rsidRPr="00463D3D">
        <w:rPr>
          <w:lang w:val="en-GB"/>
        </w:rPr>
        <w:t xml:space="preserve"> EU Taxonomy</w:t>
      </w:r>
      <w:r w:rsidR="00BE3E02">
        <w:rPr>
          <w:lang w:val="en-GB"/>
        </w:rPr>
        <w:t>;</w:t>
      </w:r>
      <w:r w:rsidRPr="00463D3D">
        <w:rPr>
          <w:lang w:val="en-GB"/>
        </w:rPr>
        <w:t xml:space="preserve"> </w:t>
      </w:r>
      <w:r w:rsidR="004F255A">
        <w:rPr>
          <w:lang w:val="en-GB"/>
        </w:rPr>
        <w:t>UK</w:t>
      </w:r>
      <w:r w:rsidRPr="00463D3D">
        <w:rPr>
          <w:lang w:val="en-GB"/>
        </w:rPr>
        <w:t xml:space="preserve"> </w:t>
      </w:r>
      <w:r w:rsidR="00FE0845" w:rsidRPr="00FE0845">
        <w:rPr>
          <w:lang w:val="en-GB"/>
        </w:rPr>
        <w:t>Department for Environment, Food and Rural Affairs</w:t>
      </w:r>
      <w:r w:rsidR="00BE3E02">
        <w:rPr>
          <w:lang w:val="en-GB"/>
        </w:rPr>
        <w:t>;</w:t>
      </w:r>
      <w:r w:rsidRPr="00463D3D">
        <w:rPr>
          <w:lang w:val="en-GB"/>
        </w:rPr>
        <w:t xml:space="preserve"> </w:t>
      </w:r>
      <w:r w:rsidR="00BE3E02">
        <w:rPr>
          <w:lang w:val="en-GB"/>
        </w:rPr>
        <w:t xml:space="preserve">United States Environmental Protection Agency; </w:t>
      </w:r>
      <w:r w:rsidR="00BE3E02" w:rsidRPr="00BE3E02">
        <w:rPr>
          <w:lang w:val="en-GB"/>
        </w:rPr>
        <w:t>Intergovernmental Panel on Climate Change</w:t>
      </w:r>
      <w:r w:rsidRPr="00463D3D">
        <w:rPr>
          <w:lang w:val="en-GB"/>
        </w:rPr>
        <w:t xml:space="preserve">). It includes the </w:t>
      </w:r>
      <w:r w:rsidR="004F255A">
        <w:rPr>
          <w:lang w:val="en-GB"/>
        </w:rPr>
        <w:t>f</w:t>
      </w:r>
      <w:r w:rsidRPr="00463D3D">
        <w:rPr>
          <w:lang w:val="en-GB"/>
        </w:rPr>
        <w:t xml:space="preserve">easibility </w:t>
      </w:r>
      <w:r w:rsidR="004F255A">
        <w:rPr>
          <w:lang w:val="en-GB"/>
        </w:rPr>
        <w:t>d</w:t>
      </w:r>
      <w:r w:rsidRPr="00463D3D">
        <w:rPr>
          <w:lang w:val="en-GB"/>
        </w:rPr>
        <w:t>ata (</w:t>
      </w:r>
      <w:r w:rsidR="004F255A">
        <w:rPr>
          <w:lang w:val="en-GB"/>
        </w:rPr>
        <w:t>b</w:t>
      </w:r>
      <w:r w:rsidRPr="00463D3D">
        <w:rPr>
          <w:lang w:val="en-GB"/>
        </w:rPr>
        <w:t xml:space="preserve">asic design) into a preliminary </w:t>
      </w:r>
      <w:r w:rsidR="004F255A">
        <w:rPr>
          <w:lang w:val="en-GB"/>
        </w:rPr>
        <w:t>c</w:t>
      </w:r>
      <w:r w:rsidRPr="00463D3D">
        <w:rPr>
          <w:lang w:val="en-GB"/>
        </w:rPr>
        <w:t xml:space="preserve">limate </w:t>
      </w:r>
      <w:r w:rsidR="004F255A">
        <w:rPr>
          <w:lang w:val="en-GB"/>
        </w:rPr>
        <w:t>e</w:t>
      </w:r>
      <w:r w:rsidRPr="00463D3D">
        <w:rPr>
          <w:lang w:val="en-GB"/>
        </w:rPr>
        <w:t xml:space="preserve">nergy </w:t>
      </w:r>
      <w:r w:rsidR="004F255A">
        <w:rPr>
          <w:lang w:val="en-GB"/>
        </w:rPr>
        <w:t>e</w:t>
      </w:r>
      <w:r w:rsidRPr="00463D3D">
        <w:rPr>
          <w:lang w:val="en-GB"/>
        </w:rPr>
        <w:t xml:space="preserve">nvironmental </w:t>
      </w:r>
      <w:r w:rsidR="004F255A">
        <w:rPr>
          <w:lang w:val="en-GB"/>
        </w:rPr>
        <w:t>and c</w:t>
      </w:r>
      <w:r w:rsidRPr="00463D3D">
        <w:rPr>
          <w:lang w:val="en-GB"/>
        </w:rPr>
        <w:t xml:space="preserve">ost screening </w:t>
      </w:r>
      <w:r w:rsidR="004F255A">
        <w:rPr>
          <w:lang w:val="en-GB"/>
        </w:rPr>
        <w:t xml:space="preserve">criteria </w:t>
      </w:r>
      <w:r w:rsidRPr="00463D3D">
        <w:rPr>
          <w:lang w:val="en-GB"/>
        </w:rPr>
        <w:t xml:space="preserve">designed to identify the primary contributors and consolidate results in a </w:t>
      </w:r>
      <w:r w:rsidR="004F255A">
        <w:rPr>
          <w:lang w:val="en-GB"/>
        </w:rPr>
        <w:t>p</w:t>
      </w:r>
      <w:r w:rsidRPr="00463D3D">
        <w:rPr>
          <w:lang w:val="en-GB"/>
        </w:rPr>
        <w:t xml:space="preserve">erformance </w:t>
      </w:r>
      <w:r w:rsidR="004F255A">
        <w:rPr>
          <w:lang w:val="en-GB"/>
        </w:rPr>
        <w:t>r</w:t>
      </w:r>
      <w:r w:rsidRPr="00463D3D">
        <w:rPr>
          <w:lang w:val="en-GB"/>
        </w:rPr>
        <w:t xml:space="preserve">eduction </w:t>
      </w:r>
      <w:r w:rsidR="004F255A">
        <w:rPr>
          <w:lang w:val="en-GB"/>
        </w:rPr>
        <w:t>s</w:t>
      </w:r>
      <w:r w:rsidR="004F255A" w:rsidRPr="00463D3D">
        <w:rPr>
          <w:lang w:val="en-GB"/>
        </w:rPr>
        <w:t>trategy</w:t>
      </w:r>
      <w:r w:rsidRPr="00463D3D">
        <w:rPr>
          <w:lang w:val="en-GB"/>
        </w:rPr>
        <w:t>.</w:t>
      </w:r>
    </w:p>
    <w:p w14:paraId="0879A924" w14:textId="77777777" w:rsidR="00463D3D" w:rsidRPr="00463D3D" w:rsidRDefault="00463D3D" w:rsidP="00463D3D">
      <w:pPr>
        <w:pStyle w:val="CETBodytext"/>
        <w:rPr>
          <w:lang w:val="en-GB"/>
        </w:rPr>
      </w:pPr>
    </w:p>
    <w:p w14:paraId="3E5A923C" w14:textId="3043AD90" w:rsidR="00463D3D" w:rsidRPr="00463D3D" w:rsidRDefault="00463D3D" w:rsidP="00463D3D">
      <w:pPr>
        <w:pStyle w:val="CETBodytext"/>
        <w:rPr>
          <w:lang w:val="en-GB"/>
        </w:rPr>
      </w:pPr>
      <w:r w:rsidRPr="00463D3D">
        <w:rPr>
          <w:lang w:val="en-GB"/>
        </w:rPr>
        <w:t xml:space="preserve">The model allows to map the CAPEX/OPEX, as well as </w:t>
      </w:r>
      <w:r w:rsidR="004F255A">
        <w:rPr>
          <w:lang w:val="en-GB"/>
        </w:rPr>
        <w:t xml:space="preserve">the </w:t>
      </w:r>
      <w:r w:rsidRPr="00463D3D">
        <w:rPr>
          <w:lang w:val="en-GB"/>
        </w:rPr>
        <w:t xml:space="preserve">carbon footprint and </w:t>
      </w:r>
      <w:r w:rsidR="004F255A">
        <w:rPr>
          <w:lang w:val="en-GB"/>
        </w:rPr>
        <w:t>LCOC</w:t>
      </w:r>
      <w:r w:rsidRPr="00463D3D">
        <w:rPr>
          <w:lang w:val="en-GB"/>
        </w:rPr>
        <w:t xml:space="preserve"> abatement for different project scenarios, in the context of emissions reduction through displacement, efficiency, or CO</w:t>
      </w:r>
      <w:r w:rsidRPr="00463D3D">
        <w:rPr>
          <w:vertAlign w:val="subscript"/>
          <w:lang w:val="en-GB"/>
        </w:rPr>
        <w:t>2</w:t>
      </w:r>
      <w:r w:rsidRPr="00463D3D">
        <w:rPr>
          <w:lang w:val="en-GB"/>
        </w:rPr>
        <w:t xml:space="preserve"> removal. LCOC measures how much CO</w:t>
      </w:r>
      <w:r w:rsidRPr="00463D3D">
        <w:rPr>
          <w:vertAlign w:val="subscript"/>
          <w:lang w:val="en-GB"/>
        </w:rPr>
        <w:t>2e</w:t>
      </w:r>
      <w:r w:rsidRPr="00463D3D">
        <w:rPr>
          <w:lang w:val="en-GB"/>
        </w:rPr>
        <w:t xml:space="preserve"> can be reduced by a specific investment or policy, considering relevant factors related to geography and specific asset. The LCOC calculation model provides total investment costs per ton of emissions reduced.</w:t>
      </w:r>
    </w:p>
    <w:p w14:paraId="75996D15" w14:textId="77777777" w:rsidR="00463D3D" w:rsidRDefault="00463D3D" w:rsidP="00463D3D">
      <w:pPr>
        <w:pStyle w:val="CETBodytext"/>
        <w:rPr>
          <w:lang w:val="en-GB"/>
        </w:rPr>
      </w:pPr>
    </w:p>
    <w:p w14:paraId="706F2130" w14:textId="1FB1E8DE" w:rsidR="00463D3D" w:rsidRDefault="00463D3D" w:rsidP="00463D3D">
      <w:pPr>
        <w:pStyle w:val="CETBodytext"/>
        <w:rPr>
          <w:lang w:val="en-GB"/>
        </w:rPr>
      </w:pPr>
      <w:r w:rsidRPr="00463D3D">
        <w:rPr>
          <w:lang w:val="en-GB"/>
        </w:rPr>
        <w:t xml:space="preserve">The model considers two different LCA boundaries in a wider </w:t>
      </w:r>
      <w:r w:rsidR="004F255A">
        <w:rPr>
          <w:lang w:val="en-GB"/>
        </w:rPr>
        <w:t>p</w:t>
      </w:r>
      <w:r w:rsidRPr="00463D3D">
        <w:rPr>
          <w:lang w:val="en-GB"/>
        </w:rPr>
        <w:t xml:space="preserve">roject </w:t>
      </w:r>
      <w:r w:rsidR="004F255A" w:rsidRPr="00463D3D">
        <w:rPr>
          <w:lang w:val="en-GB"/>
        </w:rPr>
        <w:t>to context decarbonization assessment</w:t>
      </w:r>
      <w:r w:rsidR="00CE24A5">
        <w:rPr>
          <w:lang w:val="en-GB"/>
        </w:rPr>
        <w:t>:</w:t>
      </w:r>
    </w:p>
    <w:p w14:paraId="72591756" w14:textId="3A91CFC8" w:rsidR="00463D3D" w:rsidRDefault="00463D3D" w:rsidP="00463D3D">
      <w:pPr>
        <w:pStyle w:val="CETListbullets"/>
        <w:numPr>
          <w:ilvl w:val="0"/>
          <w:numId w:val="13"/>
        </w:numPr>
      </w:pPr>
      <w:r w:rsidRPr="00463D3D">
        <w:t xml:space="preserve">Unit </w:t>
      </w:r>
      <w:r w:rsidR="004F255A">
        <w:t>b</w:t>
      </w:r>
      <w:r w:rsidRPr="00463D3D">
        <w:t xml:space="preserve">oundary (such as </w:t>
      </w:r>
      <w:r w:rsidR="004F255A">
        <w:t>t</w:t>
      </w:r>
      <w:r w:rsidRPr="00463D3D">
        <w:t>echnology)</w:t>
      </w:r>
      <w:r w:rsidR="004F255A">
        <w:t>.</w:t>
      </w:r>
    </w:p>
    <w:p w14:paraId="6B3B60AC" w14:textId="6C55391F" w:rsidR="00CE24A5" w:rsidRDefault="00463D3D" w:rsidP="00600535">
      <w:pPr>
        <w:pStyle w:val="CETListbullets"/>
        <w:numPr>
          <w:ilvl w:val="0"/>
          <w:numId w:val="13"/>
        </w:numPr>
      </w:pPr>
      <w:r w:rsidRPr="00463D3D">
        <w:t xml:space="preserve">System </w:t>
      </w:r>
      <w:r w:rsidR="004F255A">
        <w:t>b</w:t>
      </w:r>
      <w:r w:rsidRPr="00463D3D">
        <w:t xml:space="preserve">oundary for </w:t>
      </w:r>
      <w:r w:rsidR="004F255A">
        <w:t xml:space="preserve">the </w:t>
      </w:r>
      <w:r w:rsidRPr="00463D3D">
        <w:t xml:space="preserve">decarbonization (such as ET </w:t>
      </w:r>
      <w:r w:rsidR="004F255A">
        <w:t>i</w:t>
      </w:r>
      <w:r w:rsidRPr="00463D3D">
        <w:t xml:space="preserve">ntegration in an existing </w:t>
      </w:r>
      <w:r w:rsidR="004F255A">
        <w:t>i</w:t>
      </w:r>
      <w:r w:rsidRPr="00463D3D">
        <w:t>ndustrial area and fossil fuel substitution)</w:t>
      </w:r>
      <w:r w:rsidR="004F255A">
        <w:t>.</w:t>
      </w:r>
    </w:p>
    <w:p w14:paraId="56997FAB" w14:textId="346BBDF5" w:rsidR="005B2FFA" w:rsidRDefault="00463D3D" w:rsidP="00CE24A5">
      <w:pPr>
        <w:pStyle w:val="CETListbullets"/>
        <w:ind w:left="113" w:firstLine="0"/>
      </w:pPr>
      <w:r w:rsidRPr="00CE24A5">
        <w:t xml:space="preserve">For more details, refer to Figure </w:t>
      </w:r>
      <w:r w:rsidR="00010725" w:rsidRPr="00CE24A5">
        <w:t>2</w:t>
      </w:r>
      <w:r w:rsidRPr="00CE24A5">
        <w:t xml:space="preserve"> as an example </w:t>
      </w:r>
      <w:r w:rsidR="004F255A">
        <w:t>of c</w:t>
      </w:r>
      <w:r w:rsidRPr="00CE24A5">
        <w:t xml:space="preserve">ase </w:t>
      </w:r>
      <w:r w:rsidR="004F255A">
        <w:t>s</w:t>
      </w:r>
      <w:r w:rsidRPr="00CE24A5">
        <w:t xml:space="preserve">tudy for </w:t>
      </w:r>
      <w:r w:rsidR="004F255A">
        <w:t>g</w:t>
      </w:r>
      <w:r w:rsidRPr="00CE24A5">
        <w:t xml:space="preserve">reen </w:t>
      </w:r>
      <w:r w:rsidR="004F255A">
        <w:t>h</w:t>
      </w:r>
      <w:r w:rsidRPr="00CE24A5">
        <w:t xml:space="preserve">ydrogen. </w:t>
      </w:r>
    </w:p>
    <w:p w14:paraId="2CA7C3CB" w14:textId="704CFE0B" w:rsidR="005B2FFA" w:rsidRDefault="005B2FFA" w:rsidP="00600535">
      <w:pPr>
        <w:pStyle w:val="CETBodytext"/>
        <w:rPr>
          <w:lang w:val="en-GB"/>
        </w:rPr>
      </w:pPr>
      <w:r w:rsidRPr="005B2FFA">
        <w:rPr>
          <w:noProof/>
          <w:lang w:val="en-GB"/>
        </w:rPr>
        <w:lastRenderedPageBreak/>
        <w:drawing>
          <wp:inline distT="0" distB="0" distL="0" distR="0" wp14:anchorId="54BAED3F" wp14:editId="3DE0F37A">
            <wp:extent cx="5591175" cy="3093694"/>
            <wp:effectExtent l="0" t="0" r="0" b="0"/>
            <wp:docPr id="391836910"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36910" name="Picture 1" descr="Diagram&#10;&#10;Description automatically generated"/>
                    <pic:cNvPicPr/>
                  </pic:nvPicPr>
                  <pic:blipFill>
                    <a:blip r:embed="rId11"/>
                    <a:stretch>
                      <a:fillRect/>
                    </a:stretch>
                  </pic:blipFill>
                  <pic:spPr>
                    <a:xfrm>
                      <a:off x="0" y="0"/>
                      <a:ext cx="5603984" cy="3100781"/>
                    </a:xfrm>
                    <a:prstGeom prst="rect">
                      <a:avLst/>
                    </a:prstGeom>
                  </pic:spPr>
                </pic:pic>
              </a:graphicData>
            </a:graphic>
          </wp:inline>
        </w:drawing>
      </w:r>
    </w:p>
    <w:p w14:paraId="4423EE39" w14:textId="128B334D" w:rsidR="00463D3D" w:rsidRPr="00010725" w:rsidRDefault="00010725" w:rsidP="005B2FFA">
      <w:pPr>
        <w:pStyle w:val="CETBodytext"/>
        <w:jc w:val="left"/>
        <w:rPr>
          <w:i/>
          <w:lang w:val="en-GB"/>
        </w:rPr>
      </w:pPr>
      <w:r w:rsidRPr="00010725">
        <w:rPr>
          <w:rStyle w:val="CETCaptionCarattere"/>
        </w:rPr>
        <w:t>Figure 2</w:t>
      </w:r>
      <w:r w:rsidR="00815457">
        <w:rPr>
          <w:rStyle w:val="CETCaptionCarattere"/>
        </w:rPr>
        <w:t>:</w:t>
      </w:r>
      <w:r>
        <w:rPr>
          <w:rStyle w:val="CETCaptionCarattere"/>
        </w:rPr>
        <w:t xml:space="preserve"> </w:t>
      </w:r>
      <w:r w:rsidR="004F255A">
        <w:rPr>
          <w:rStyle w:val="CETCaptionCarattere"/>
        </w:rPr>
        <w:t>s</w:t>
      </w:r>
      <w:r w:rsidRPr="00010725">
        <w:rPr>
          <w:rStyle w:val="CETCaptionCarattere"/>
        </w:rPr>
        <w:t xml:space="preserve">ystem boundaries of </w:t>
      </w:r>
      <w:r w:rsidRPr="009B4CDF">
        <w:rPr>
          <w:rStyle w:val="CETCaptionCarattere"/>
        </w:rPr>
        <w:t xml:space="preserve">the </w:t>
      </w:r>
      <w:r w:rsidR="004F255A">
        <w:rPr>
          <w:rStyle w:val="CETCaptionCarattere"/>
        </w:rPr>
        <w:t>h</w:t>
      </w:r>
      <w:r w:rsidRPr="009B4CDF">
        <w:rPr>
          <w:rStyle w:val="CETCaptionCarattere"/>
        </w:rPr>
        <w:t xml:space="preserve">ydrogen product benchmark </w:t>
      </w:r>
      <w:r w:rsidR="00AA7A63">
        <w:rPr>
          <w:rStyle w:val="CETCaptionCarattere"/>
        </w:rPr>
        <w:t xml:space="preserve">from </w:t>
      </w:r>
      <w:r w:rsidR="004F255A">
        <w:rPr>
          <w:rStyle w:val="CETCaptionCarattere"/>
        </w:rPr>
        <w:t>g</w:t>
      </w:r>
      <w:r w:rsidR="005B2FFA" w:rsidRPr="009B4CDF">
        <w:rPr>
          <w:rStyle w:val="CETCaptionCarattere"/>
        </w:rPr>
        <w:t xml:space="preserve">uidance </w:t>
      </w:r>
      <w:r w:rsidR="004F255A">
        <w:rPr>
          <w:rStyle w:val="CETCaptionCarattere"/>
        </w:rPr>
        <w:t>d</w:t>
      </w:r>
      <w:r w:rsidR="005B2FFA" w:rsidRPr="009B4CDF">
        <w:rPr>
          <w:rStyle w:val="CETCaptionCarattere"/>
        </w:rPr>
        <w:t>ocument n°9 on the harmonized free allocation methodology for the EU-ETS post 2012</w:t>
      </w:r>
      <w:r w:rsidR="009B4CDF" w:rsidRPr="009B4CDF">
        <w:rPr>
          <w:rStyle w:val="CETCaptionCarattere"/>
        </w:rPr>
        <w:t xml:space="preserve"> </w:t>
      </w:r>
      <w:r w:rsidR="00AA7A63">
        <w:rPr>
          <w:rStyle w:val="CETCaptionCarattere"/>
        </w:rPr>
        <w:t>(</w:t>
      </w:r>
      <w:r w:rsidR="005B2FFA" w:rsidRPr="009B4CDF">
        <w:rPr>
          <w:rStyle w:val="CETCaptionCarattere"/>
        </w:rPr>
        <w:t>European Commission</w:t>
      </w:r>
      <w:r w:rsidR="009B4CDF" w:rsidRPr="009B4CDF">
        <w:rPr>
          <w:rStyle w:val="CETCaptionCarattere"/>
        </w:rPr>
        <w:t>, 2011</w:t>
      </w:r>
      <w:r w:rsidRPr="009B4CDF">
        <w:rPr>
          <w:rStyle w:val="CETCaptionCarattere"/>
        </w:rPr>
        <w:t>)</w:t>
      </w:r>
    </w:p>
    <w:p w14:paraId="404775DE" w14:textId="77777777" w:rsidR="00486980" w:rsidRDefault="00486980" w:rsidP="00600535">
      <w:pPr>
        <w:pStyle w:val="CETBodytext"/>
        <w:rPr>
          <w:lang w:val="en-GB"/>
        </w:rPr>
      </w:pPr>
    </w:p>
    <w:p w14:paraId="19E3E7BC" w14:textId="08E2E14E" w:rsidR="00010725" w:rsidRPr="00CE24A5" w:rsidRDefault="00010725" w:rsidP="00CE24A5">
      <w:pPr>
        <w:pStyle w:val="CETBodytext"/>
        <w:rPr>
          <w:lang w:val="en-GB"/>
        </w:rPr>
      </w:pPr>
      <w:r w:rsidRPr="00010725">
        <w:rPr>
          <w:lang w:val="en-GB"/>
        </w:rPr>
        <w:t xml:space="preserve">The results of the model can be integrated in the </w:t>
      </w:r>
      <w:r w:rsidR="004F255A" w:rsidRPr="00010725">
        <w:rPr>
          <w:lang w:val="en-GB"/>
        </w:rPr>
        <w:t xml:space="preserve">carbon abatement cost analysis </w:t>
      </w:r>
      <w:r w:rsidRPr="00010725">
        <w:rPr>
          <w:lang w:val="en-GB"/>
        </w:rPr>
        <w:t xml:space="preserve">in support of </w:t>
      </w:r>
      <w:r w:rsidR="00DB4866">
        <w:rPr>
          <w:lang w:val="en-GB"/>
        </w:rPr>
        <w:t xml:space="preserve">the </w:t>
      </w:r>
      <w:r w:rsidR="004F255A">
        <w:rPr>
          <w:lang w:val="en-GB"/>
        </w:rPr>
        <w:t>c</w:t>
      </w:r>
      <w:r w:rsidRPr="00010725">
        <w:rPr>
          <w:lang w:val="en-GB"/>
        </w:rPr>
        <w:t xml:space="preserve">lient’s </w:t>
      </w:r>
      <w:r w:rsidR="004F255A" w:rsidRPr="00010725">
        <w:rPr>
          <w:lang w:val="en-GB"/>
        </w:rPr>
        <w:t>decarbonization strategy</w:t>
      </w:r>
      <w:r w:rsidR="004F255A">
        <w:rPr>
          <w:lang w:val="en-GB"/>
        </w:rPr>
        <w:t>,</w:t>
      </w:r>
      <w:r w:rsidR="004F255A" w:rsidRPr="00010725">
        <w:rPr>
          <w:lang w:val="en-GB"/>
        </w:rPr>
        <w:t xml:space="preserve"> </w:t>
      </w:r>
      <w:r w:rsidR="004F255A">
        <w:rPr>
          <w:lang w:val="en-GB"/>
        </w:rPr>
        <w:t>providing</w:t>
      </w:r>
      <w:r w:rsidR="004F255A" w:rsidRPr="00010725">
        <w:rPr>
          <w:lang w:val="en-GB"/>
        </w:rPr>
        <w:t xml:space="preserve"> insights into</w:t>
      </w:r>
      <w:r w:rsidR="004F255A">
        <w:rPr>
          <w:lang w:val="en-GB"/>
        </w:rPr>
        <w:t xml:space="preserve"> </w:t>
      </w:r>
      <w:r w:rsidR="004F255A">
        <w:t>t</w:t>
      </w:r>
      <w:r w:rsidR="004F255A" w:rsidRPr="00010725">
        <w:t>he highest value for carbon reduction</w:t>
      </w:r>
      <w:r w:rsidR="004F255A">
        <w:t>, t</w:t>
      </w:r>
      <w:r w:rsidR="004F255A" w:rsidRPr="00010725">
        <w:t xml:space="preserve">he ranking of costs </w:t>
      </w:r>
      <w:r w:rsidR="004F255A">
        <w:t>and</w:t>
      </w:r>
      <w:r w:rsidR="004F255A" w:rsidRPr="00010725">
        <w:t xml:space="preserve"> benefits for decarbonization </w:t>
      </w:r>
      <w:r w:rsidRPr="00010725">
        <w:t>options</w:t>
      </w:r>
      <w:r w:rsidR="00CE24A5">
        <w:t xml:space="preserve"> and t</w:t>
      </w:r>
      <w:r w:rsidRPr="00010725">
        <w:t>he potential shortfalls in policy or portfolio goals</w:t>
      </w:r>
      <w:r w:rsidR="00BE3E02">
        <w:t>.</w:t>
      </w:r>
    </w:p>
    <w:p w14:paraId="0559FB5E" w14:textId="4EEE6272" w:rsidR="00010725" w:rsidRPr="00CE24A5" w:rsidRDefault="00010725" w:rsidP="00CE24A5">
      <w:pPr>
        <w:pStyle w:val="CETBodytext"/>
        <w:rPr>
          <w:lang w:val="en-GB"/>
        </w:rPr>
      </w:pPr>
      <w:r w:rsidRPr="00010725">
        <w:rPr>
          <w:lang w:val="en-GB"/>
        </w:rPr>
        <w:t xml:space="preserve">The </w:t>
      </w:r>
      <w:r w:rsidR="004F255A" w:rsidRPr="00010725">
        <w:rPr>
          <w:lang w:val="en-GB"/>
        </w:rPr>
        <w:t xml:space="preserve">output </w:t>
      </w:r>
      <w:r w:rsidRPr="00010725">
        <w:rPr>
          <w:lang w:val="en-GB"/>
        </w:rPr>
        <w:t xml:space="preserve">of the model is a set of KPIs including </w:t>
      </w:r>
      <w:r w:rsidR="003256F9" w:rsidRPr="00010725">
        <w:rPr>
          <w:lang w:val="en-GB"/>
        </w:rPr>
        <w:t xml:space="preserve">key environmental, energy and carbon indicators by absolute avoidance, intensity, and cradle-to-gate/cradle-to-grave, as well as the </w:t>
      </w:r>
      <w:r w:rsidR="003256F9">
        <w:rPr>
          <w:lang w:val="en-GB"/>
        </w:rPr>
        <w:t>LCOC</w:t>
      </w:r>
      <w:r w:rsidR="003256F9" w:rsidRPr="00010725">
        <w:rPr>
          <w:lang w:val="en-GB"/>
        </w:rPr>
        <w:t xml:space="preserve"> abatement relevant and requested today by institutions and advisors</w:t>
      </w:r>
      <w:r w:rsidR="003256F9">
        <w:rPr>
          <w:lang w:val="en-GB"/>
        </w:rPr>
        <w:t xml:space="preserve"> </w:t>
      </w:r>
      <w:r w:rsidR="003256F9" w:rsidRPr="00010725">
        <w:rPr>
          <w:lang w:val="en-GB"/>
        </w:rPr>
        <w:t>to access to climate finance and funding opportunities</w:t>
      </w:r>
      <w:r w:rsidR="003256F9">
        <w:rPr>
          <w:lang w:val="en-GB"/>
        </w:rPr>
        <w:t>.</w:t>
      </w:r>
    </w:p>
    <w:p w14:paraId="680CFA6C" w14:textId="6D4309C4" w:rsidR="00010725" w:rsidRPr="00B57B36" w:rsidRDefault="00010725" w:rsidP="00010725">
      <w:pPr>
        <w:pStyle w:val="CETheadingx"/>
      </w:pPr>
      <w:r>
        <w:t>Modelling Economic &amp; Financial (MEF) Tool - Description</w:t>
      </w:r>
    </w:p>
    <w:p w14:paraId="103A4563" w14:textId="5841124C" w:rsidR="00010725" w:rsidRDefault="00010725" w:rsidP="00010725">
      <w:pPr>
        <w:pStyle w:val="CETBodytext"/>
        <w:rPr>
          <w:lang w:val="en-GB"/>
        </w:rPr>
      </w:pPr>
      <w:r w:rsidRPr="00010725">
        <w:rPr>
          <w:lang w:val="en-GB"/>
        </w:rPr>
        <w:t xml:space="preserve">Detailed </w:t>
      </w:r>
      <w:r w:rsidR="003256F9" w:rsidRPr="00010725">
        <w:rPr>
          <w:lang w:val="en-GB"/>
        </w:rPr>
        <w:t>profitability analysis and a differential cash flow analysis</w:t>
      </w:r>
      <w:r w:rsidRPr="00010725">
        <w:rPr>
          <w:lang w:val="en-GB"/>
        </w:rPr>
        <w:t xml:space="preserve"> are performed for all the </w:t>
      </w:r>
      <w:r w:rsidR="00BE3E02" w:rsidRPr="00010725">
        <w:rPr>
          <w:lang w:val="en-GB"/>
        </w:rPr>
        <w:t>analysed</w:t>
      </w:r>
      <w:r w:rsidRPr="00010725">
        <w:rPr>
          <w:lang w:val="en-GB"/>
        </w:rPr>
        <w:t xml:space="preserve"> configurations. Main profitability indicators like Internal Rate of Return (IRR), Net Present Value (NPV) and Pay-Out Time (POT) are calculated from the differential cash flow projections relevant to each configuration, on the basis of the assumptions detailed in the following points.</w:t>
      </w:r>
      <w:r w:rsidR="00CE24A5">
        <w:rPr>
          <w:lang w:val="en-GB"/>
        </w:rPr>
        <w:t xml:space="preserve"> </w:t>
      </w:r>
      <w:r w:rsidRPr="00010725">
        <w:rPr>
          <w:lang w:val="en-GB"/>
        </w:rPr>
        <w:t xml:space="preserve">All the </w:t>
      </w:r>
      <w:r w:rsidR="003256F9" w:rsidRPr="00010725">
        <w:rPr>
          <w:lang w:val="en-GB"/>
        </w:rPr>
        <w:t>economic bases and assumptions used to develop the differential economic analysis are based on information provided by the client and market study developer.</w:t>
      </w:r>
    </w:p>
    <w:p w14:paraId="537EDA88" w14:textId="77777777" w:rsidR="00010725" w:rsidRDefault="00010725" w:rsidP="00010725">
      <w:pPr>
        <w:pStyle w:val="CETBodytext"/>
        <w:rPr>
          <w:lang w:val="en-GB"/>
        </w:rPr>
      </w:pPr>
    </w:p>
    <w:p w14:paraId="1C757FD5" w14:textId="4F5A3A63" w:rsidR="00010725" w:rsidRDefault="00010725" w:rsidP="00010725">
      <w:pPr>
        <w:pStyle w:val="CETBodytext"/>
        <w:rPr>
          <w:lang w:val="en-GB"/>
        </w:rPr>
      </w:pPr>
      <w:r w:rsidRPr="00010725">
        <w:rPr>
          <w:lang w:val="en-GB"/>
        </w:rPr>
        <w:t>Economic Bases and Assumptions:</w:t>
      </w:r>
    </w:p>
    <w:p w14:paraId="089ADB72" w14:textId="3839CF62" w:rsidR="00010725" w:rsidRDefault="003256F9" w:rsidP="00010725">
      <w:pPr>
        <w:pStyle w:val="CETListbullets"/>
        <w:numPr>
          <w:ilvl w:val="0"/>
          <w:numId w:val="13"/>
        </w:numPr>
      </w:pPr>
      <w:r w:rsidRPr="00010725">
        <w:t>Project economic life</w:t>
      </w:r>
      <w:r>
        <w:t>.</w:t>
      </w:r>
    </w:p>
    <w:p w14:paraId="3AB219A8" w14:textId="1CD5C117" w:rsidR="00010725" w:rsidRDefault="003256F9" w:rsidP="00010725">
      <w:pPr>
        <w:pStyle w:val="CETListbullets"/>
        <w:numPr>
          <w:ilvl w:val="0"/>
          <w:numId w:val="13"/>
        </w:numPr>
      </w:pPr>
      <w:r w:rsidRPr="00010725">
        <w:t>Differential operating rate &amp; stream factor</w:t>
      </w:r>
      <w:r>
        <w:t>.</w:t>
      </w:r>
    </w:p>
    <w:p w14:paraId="450887F5" w14:textId="543099D1" w:rsidR="00010725" w:rsidRDefault="003256F9" w:rsidP="00010725">
      <w:pPr>
        <w:pStyle w:val="CETListbullets"/>
        <w:numPr>
          <w:ilvl w:val="0"/>
          <w:numId w:val="13"/>
        </w:numPr>
      </w:pPr>
      <w:r w:rsidRPr="00010725">
        <w:t>Total investment cost (</w:t>
      </w:r>
      <w:r>
        <w:t>TIC</w:t>
      </w:r>
      <w:r w:rsidRPr="00010725">
        <w:t>) estimate</w:t>
      </w:r>
      <w:r>
        <w:t>.</w:t>
      </w:r>
      <w:r w:rsidRPr="00010725">
        <w:t xml:space="preserve"> </w:t>
      </w:r>
    </w:p>
    <w:p w14:paraId="0DA3DBF7" w14:textId="7D59292A" w:rsidR="00010725" w:rsidRDefault="003256F9" w:rsidP="00010725">
      <w:pPr>
        <w:pStyle w:val="CETListbullets"/>
        <w:numPr>
          <w:ilvl w:val="0"/>
          <w:numId w:val="13"/>
        </w:numPr>
      </w:pPr>
      <w:r w:rsidRPr="00010725">
        <w:t>Differential total installed cost (CAPEX)</w:t>
      </w:r>
      <w:r>
        <w:t>.</w:t>
      </w:r>
    </w:p>
    <w:p w14:paraId="7846A381" w14:textId="608D2EF6" w:rsidR="00010725" w:rsidRDefault="003256F9" w:rsidP="00010725">
      <w:pPr>
        <w:pStyle w:val="CETListbullets"/>
        <w:numPr>
          <w:ilvl w:val="0"/>
          <w:numId w:val="13"/>
        </w:numPr>
      </w:pPr>
      <w:r w:rsidRPr="00010725">
        <w:t>Differential pre - operating expenses (POE)</w:t>
      </w:r>
      <w:r>
        <w:t>.</w:t>
      </w:r>
    </w:p>
    <w:p w14:paraId="56CA49EA" w14:textId="7EC24189" w:rsidR="00010725" w:rsidRDefault="003256F9" w:rsidP="00010725">
      <w:pPr>
        <w:pStyle w:val="CETListbullets"/>
        <w:numPr>
          <w:ilvl w:val="0"/>
          <w:numId w:val="13"/>
        </w:numPr>
      </w:pPr>
      <w:r w:rsidRPr="00010725">
        <w:t>Differential initial working capital</w:t>
      </w:r>
      <w:r>
        <w:t>.</w:t>
      </w:r>
    </w:p>
    <w:p w14:paraId="04195B2C" w14:textId="2EE9C0B8" w:rsidR="00010725" w:rsidRDefault="003256F9" w:rsidP="00010725">
      <w:pPr>
        <w:pStyle w:val="CETListbullets"/>
        <w:numPr>
          <w:ilvl w:val="0"/>
          <w:numId w:val="13"/>
        </w:numPr>
      </w:pPr>
      <w:r w:rsidRPr="00010725">
        <w:t>Disbursement curves (relevant to the estimated CAPEX and POE)</w:t>
      </w:r>
      <w:r>
        <w:t>.</w:t>
      </w:r>
    </w:p>
    <w:p w14:paraId="2AB380F5" w14:textId="7F9915E4" w:rsidR="00010725" w:rsidRDefault="003256F9" w:rsidP="00010725">
      <w:pPr>
        <w:pStyle w:val="CETListbullets"/>
        <w:numPr>
          <w:ilvl w:val="0"/>
          <w:numId w:val="13"/>
        </w:numPr>
      </w:pPr>
      <w:r w:rsidRPr="00010725">
        <w:t>Working capital (based on evaluation basis)</w:t>
      </w:r>
      <w:r>
        <w:t>.</w:t>
      </w:r>
    </w:p>
    <w:p w14:paraId="1BFF8ACE" w14:textId="577A0831" w:rsidR="00010725" w:rsidRDefault="003256F9" w:rsidP="00010725">
      <w:pPr>
        <w:pStyle w:val="CETListbullets"/>
        <w:numPr>
          <w:ilvl w:val="0"/>
          <w:numId w:val="13"/>
        </w:numPr>
      </w:pPr>
      <w:r w:rsidRPr="00010725">
        <w:t>Feedstocks and products price structure</w:t>
      </w:r>
      <w:r>
        <w:t>.</w:t>
      </w:r>
    </w:p>
    <w:p w14:paraId="1E913DB3" w14:textId="1B459536" w:rsidR="00010725" w:rsidRDefault="003256F9" w:rsidP="00010725">
      <w:pPr>
        <w:pStyle w:val="CETListbullets"/>
        <w:numPr>
          <w:ilvl w:val="0"/>
          <w:numId w:val="13"/>
        </w:numPr>
      </w:pPr>
      <w:r w:rsidRPr="00010725">
        <w:t>Utilities and cat</w:t>
      </w:r>
      <w:r>
        <w:t>alysts and</w:t>
      </w:r>
      <w:r w:rsidRPr="00010725">
        <w:t xml:space="preserve"> chem</w:t>
      </w:r>
      <w:r>
        <w:t xml:space="preserve">icals </w:t>
      </w:r>
      <w:r w:rsidRPr="00010725">
        <w:t>operating costs</w:t>
      </w:r>
      <w:r>
        <w:t>.</w:t>
      </w:r>
    </w:p>
    <w:p w14:paraId="64917BF2" w14:textId="52F4FAC7" w:rsidR="00010725" w:rsidRDefault="00010725" w:rsidP="00010725">
      <w:pPr>
        <w:pStyle w:val="CETListbullets"/>
        <w:numPr>
          <w:ilvl w:val="0"/>
          <w:numId w:val="13"/>
        </w:numPr>
      </w:pPr>
      <w:r w:rsidRPr="00010725">
        <w:t xml:space="preserve">Fixed </w:t>
      </w:r>
      <w:r w:rsidR="003256F9" w:rsidRPr="00010725">
        <w:t>operating costs (</w:t>
      </w:r>
      <w:r w:rsidR="003256F9">
        <w:t xml:space="preserve">such as </w:t>
      </w:r>
      <w:r w:rsidR="003256F9" w:rsidRPr="00010725">
        <w:t>land lease, personnel, general overheads, maintenance, industrial insurance)</w:t>
      </w:r>
      <w:r w:rsidR="003256F9">
        <w:t>.</w:t>
      </w:r>
    </w:p>
    <w:p w14:paraId="0E1D6EED" w14:textId="0E1F41B0" w:rsidR="00010725" w:rsidRDefault="00010725" w:rsidP="00010725">
      <w:pPr>
        <w:pStyle w:val="CETListbullets"/>
        <w:numPr>
          <w:ilvl w:val="0"/>
          <w:numId w:val="13"/>
        </w:numPr>
      </w:pPr>
      <w:r w:rsidRPr="00010725">
        <w:t>Taxation</w:t>
      </w:r>
      <w:r w:rsidR="003256F9">
        <w:t>.</w:t>
      </w:r>
    </w:p>
    <w:p w14:paraId="665E6BCB" w14:textId="6027BF06" w:rsidR="00010725" w:rsidRDefault="003256F9" w:rsidP="00CE24A5">
      <w:pPr>
        <w:pStyle w:val="CETListbullets"/>
        <w:numPr>
          <w:ilvl w:val="0"/>
          <w:numId w:val="13"/>
        </w:numPr>
      </w:pPr>
      <w:r w:rsidRPr="00010725">
        <w:t>Depreciation methodology</w:t>
      </w:r>
      <w:r>
        <w:t xml:space="preserve"> and residual value.</w:t>
      </w:r>
    </w:p>
    <w:p w14:paraId="20D1F2CD" w14:textId="6FD82AF5" w:rsidR="00010725" w:rsidRPr="00010725" w:rsidRDefault="003256F9" w:rsidP="00010725">
      <w:pPr>
        <w:pStyle w:val="CETListbullets"/>
        <w:numPr>
          <w:ilvl w:val="0"/>
          <w:numId w:val="13"/>
        </w:numPr>
      </w:pPr>
      <w:r w:rsidRPr="00010725">
        <w:t>Discount rate</w:t>
      </w:r>
      <w:r>
        <w:t>.</w:t>
      </w:r>
    </w:p>
    <w:p w14:paraId="4A459033" w14:textId="2BD53535" w:rsidR="00010725" w:rsidRPr="00B57B36" w:rsidRDefault="00010725" w:rsidP="00010725">
      <w:pPr>
        <w:pStyle w:val="CETTabletitle"/>
      </w:pPr>
      <w:r w:rsidRPr="00B57B36">
        <w:lastRenderedPageBreak/>
        <w:t xml:space="preserve">Table 1: </w:t>
      </w:r>
      <w:r>
        <w:t>Profitability Indexes Definition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4394"/>
      </w:tblGrid>
      <w:tr w:rsidR="00010725" w:rsidRPr="00B57B36" w14:paraId="3AFC329A" w14:textId="77777777" w:rsidTr="00010725">
        <w:tc>
          <w:tcPr>
            <w:tcW w:w="2552" w:type="dxa"/>
            <w:tcBorders>
              <w:top w:val="single" w:sz="12" w:space="0" w:color="008000"/>
              <w:bottom w:val="single" w:sz="6" w:space="0" w:color="008000"/>
            </w:tcBorders>
            <w:shd w:val="clear" w:color="auto" w:fill="FFFFFF"/>
          </w:tcPr>
          <w:p w14:paraId="69B9D2B6" w14:textId="1C0B2D9F" w:rsidR="00010725" w:rsidRPr="00B57B36" w:rsidRDefault="00010725" w:rsidP="00E53284">
            <w:pPr>
              <w:pStyle w:val="CETBodytext"/>
              <w:rPr>
                <w:lang w:val="en-GB"/>
              </w:rPr>
            </w:pPr>
            <w:r>
              <w:rPr>
                <w:lang w:val="en-GB"/>
              </w:rPr>
              <w:t>Profitability Indicators</w:t>
            </w:r>
            <w:r w:rsidRPr="00B57B36">
              <w:rPr>
                <w:lang w:val="en-GB"/>
              </w:rPr>
              <w:t xml:space="preserve"> </w:t>
            </w:r>
          </w:p>
        </w:tc>
        <w:tc>
          <w:tcPr>
            <w:tcW w:w="4394" w:type="dxa"/>
            <w:tcBorders>
              <w:top w:val="single" w:sz="12" w:space="0" w:color="008000"/>
              <w:bottom w:val="single" w:sz="6" w:space="0" w:color="008000"/>
            </w:tcBorders>
            <w:shd w:val="clear" w:color="auto" w:fill="FFFFFF"/>
          </w:tcPr>
          <w:p w14:paraId="18D57652" w14:textId="7D4D678B" w:rsidR="00010725" w:rsidRPr="00B57B36" w:rsidRDefault="00010725" w:rsidP="00E53284">
            <w:pPr>
              <w:pStyle w:val="CETBodytext"/>
              <w:rPr>
                <w:lang w:val="en-GB"/>
              </w:rPr>
            </w:pPr>
            <w:r>
              <w:rPr>
                <w:lang w:val="en-GB"/>
              </w:rPr>
              <w:t>Description</w:t>
            </w:r>
          </w:p>
        </w:tc>
      </w:tr>
      <w:tr w:rsidR="00010725" w:rsidRPr="00B57B36" w14:paraId="76E84DBE" w14:textId="77777777" w:rsidTr="00010725">
        <w:tc>
          <w:tcPr>
            <w:tcW w:w="2552" w:type="dxa"/>
            <w:shd w:val="clear" w:color="auto" w:fill="FFFFFF"/>
          </w:tcPr>
          <w:p w14:paraId="782E1861" w14:textId="1ACEE612" w:rsidR="00010725" w:rsidRPr="00B57B36" w:rsidRDefault="00010725" w:rsidP="00E53284">
            <w:pPr>
              <w:pStyle w:val="CETBodytext"/>
              <w:rPr>
                <w:lang w:val="en-GB"/>
              </w:rPr>
            </w:pPr>
            <w:r>
              <w:rPr>
                <w:lang w:val="en-GB"/>
              </w:rPr>
              <w:t>Internal Rate of Return (IRR)</w:t>
            </w:r>
          </w:p>
        </w:tc>
        <w:tc>
          <w:tcPr>
            <w:tcW w:w="4394" w:type="dxa"/>
            <w:shd w:val="clear" w:color="auto" w:fill="FFFFFF"/>
          </w:tcPr>
          <w:p w14:paraId="683B4182" w14:textId="77777777" w:rsidR="00010725" w:rsidRDefault="00010725" w:rsidP="00E53284">
            <w:pPr>
              <w:pStyle w:val="CETBodytext"/>
              <w:rPr>
                <w:lang w:val="en-GB"/>
              </w:rPr>
            </w:pPr>
            <w:r w:rsidRPr="00010725">
              <w:rPr>
                <w:lang w:val="en-GB"/>
              </w:rPr>
              <w:t>It is the discount rate at which the present value of cash inflows equals the present value of cash outflows or, in other words, it is the discounting rate at which the Net Present Value is zero.</w:t>
            </w:r>
          </w:p>
          <w:p w14:paraId="1B6A4AA9" w14:textId="177E6D7E" w:rsidR="00850205" w:rsidRPr="00B57B36" w:rsidRDefault="00850205" w:rsidP="00E53284">
            <w:pPr>
              <w:pStyle w:val="CETBodytext"/>
              <w:rPr>
                <w:lang w:val="en-GB"/>
              </w:rPr>
            </w:pPr>
          </w:p>
        </w:tc>
      </w:tr>
      <w:tr w:rsidR="00010725" w:rsidRPr="00B57B36" w14:paraId="19FF6D31" w14:textId="77777777" w:rsidTr="00010725">
        <w:tc>
          <w:tcPr>
            <w:tcW w:w="2552" w:type="dxa"/>
            <w:shd w:val="clear" w:color="auto" w:fill="FFFFFF"/>
          </w:tcPr>
          <w:p w14:paraId="48FB5AD9" w14:textId="1CD680EB" w:rsidR="00010725" w:rsidRPr="00B57B36" w:rsidRDefault="00010725" w:rsidP="00E53284">
            <w:pPr>
              <w:pStyle w:val="CETBodytext"/>
              <w:ind w:right="-1"/>
              <w:rPr>
                <w:rFonts w:cs="Arial"/>
                <w:szCs w:val="18"/>
                <w:lang w:val="en-GB"/>
              </w:rPr>
            </w:pPr>
            <w:r w:rsidRPr="00010725">
              <w:rPr>
                <w:rFonts w:cs="Arial"/>
                <w:szCs w:val="18"/>
                <w:lang w:val="en-GB"/>
              </w:rPr>
              <w:t>Net Present Value (NPV)</w:t>
            </w:r>
          </w:p>
        </w:tc>
        <w:tc>
          <w:tcPr>
            <w:tcW w:w="4394" w:type="dxa"/>
            <w:shd w:val="clear" w:color="auto" w:fill="FFFFFF"/>
          </w:tcPr>
          <w:p w14:paraId="5753E352" w14:textId="77777777" w:rsidR="00010725" w:rsidRDefault="00010725" w:rsidP="00E53284">
            <w:pPr>
              <w:pStyle w:val="CETBodytext"/>
              <w:ind w:right="-1"/>
              <w:rPr>
                <w:rFonts w:cs="Arial"/>
                <w:szCs w:val="18"/>
                <w:lang w:val="en-GB"/>
              </w:rPr>
            </w:pPr>
            <w:r w:rsidRPr="00010725">
              <w:rPr>
                <w:rFonts w:cs="Arial"/>
                <w:szCs w:val="18"/>
                <w:lang w:val="en-GB"/>
              </w:rPr>
              <w:t>It is defined as the algebraic sum of the values obtained by discounting, separately for each year, the difference of all cash outflows and inflows accruing throughout the life of the project at a fixed discounting rate. This difference is discounted to the point to which the implementation of the project is supposed to start.</w:t>
            </w:r>
          </w:p>
          <w:p w14:paraId="6DD9152A" w14:textId="444CF4B0" w:rsidR="00850205" w:rsidRPr="00B57B36" w:rsidRDefault="00850205" w:rsidP="00E53284">
            <w:pPr>
              <w:pStyle w:val="CETBodytext"/>
              <w:ind w:right="-1"/>
              <w:rPr>
                <w:rFonts w:cs="Arial"/>
                <w:szCs w:val="18"/>
                <w:lang w:val="en-GB"/>
              </w:rPr>
            </w:pPr>
          </w:p>
        </w:tc>
      </w:tr>
      <w:tr w:rsidR="00010725" w:rsidRPr="00B57B36" w14:paraId="4E38BC8F" w14:textId="77777777" w:rsidTr="00010725">
        <w:tc>
          <w:tcPr>
            <w:tcW w:w="2552" w:type="dxa"/>
            <w:shd w:val="clear" w:color="auto" w:fill="FFFFFF"/>
          </w:tcPr>
          <w:p w14:paraId="675CE41B" w14:textId="774C08A4" w:rsidR="00010725" w:rsidRPr="00B57B36" w:rsidRDefault="00850205" w:rsidP="00E53284">
            <w:pPr>
              <w:pStyle w:val="CETBodytext"/>
              <w:ind w:right="-1"/>
              <w:rPr>
                <w:rFonts w:cs="Arial"/>
                <w:szCs w:val="18"/>
                <w:lang w:val="en-GB"/>
              </w:rPr>
            </w:pPr>
            <w:r w:rsidRPr="00850205">
              <w:rPr>
                <w:rFonts w:cs="Arial"/>
                <w:szCs w:val="18"/>
                <w:lang w:val="en-GB"/>
              </w:rPr>
              <w:t>Pay-Out Time (POT)</w:t>
            </w:r>
          </w:p>
        </w:tc>
        <w:tc>
          <w:tcPr>
            <w:tcW w:w="4394" w:type="dxa"/>
            <w:shd w:val="clear" w:color="auto" w:fill="FFFFFF"/>
          </w:tcPr>
          <w:p w14:paraId="71A7D239" w14:textId="30C2887A" w:rsidR="00010725" w:rsidRPr="00B57B36" w:rsidRDefault="00850205" w:rsidP="00E53284">
            <w:pPr>
              <w:pStyle w:val="CETBodytext"/>
              <w:ind w:right="-1"/>
              <w:rPr>
                <w:rFonts w:cs="Arial"/>
                <w:szCs w:val="18"/>
                <w:lang w:val="en-GB"/>
              </w:rPr>
            </w:pPr>
            <w:r w:rsidRPr="00850205">
              <w:rPr>
                <w:rFonts w:cs="Arial"/>
                <w:szCs w:val="18"/>
                <w:lang w:val="en-GB"/>
              </w:rPr>
              <w:t>It is defined as the period (number of years) necessary to recover all the invested capital based on a free and discounted cash flow, starting from the beginning of the industrial operation.</w:t>
            </w:r>
          </w:p>
        </w:tc>
      </w:tr>
    </w:tbl>
    <w:p w14:paraId="14FE324F" w14:textId="77777777" w:rsidR="00010725" w:rsidRDefault="00010725" w:rsidP="00010725">
      <w:pPr>
        <w:pStyle w:val="CETBodytext"/>
        <w:rPr>
          <w:lang w:val="en-GB"/>
        </w:rPr>
      </w:pPr>
    </w:p>
    <w:p w14:paraId="5741900F" w14:textId="0EEB3161" w:rsidR="00453E24" w:rsidRDefault="00850205" w:rsidP="00453E24">
      <w:pPr>
        <w:pStyle w:val="CETHeading1"/>
      </w:pPr>
      <w:r>
        <w:t>Case Study Description</w:t>
      </w:r>
    </w:p>
    <w:p w14:paraId="63C577FC" w14:textId="1E74B807" w:rsidR="00850205" w:rsidRDefault="00850205" w:rsidP="00850205">
      <w:pPr>
        <w:pStyle w:val="CETBodytext"/>
      </w:pPr>
      <w:r>
        <w:t xml:space="preserve">As part of the dedicated </w:t>
      </w:r>
      <w:r w:rsidR="00B438B9">
        <w:t>s</w:t>
      </w:r>
      <w:r>
        <w:t>tudy, 7 ET Technologies with 3 to 6 different decarbonization scenarios (in total 40+ configurations) have been considered, ranked and tested against:</w:t>
      </w:r>
    </w:p>
    <w:p w14:paraId="5B71FAEA" w14:textId="0D7F3772" w:rsidR="00850205" w:rsidRDefault="00850205" w:rsidP="00850205">
      <w:pPr>
        <w:pStyle w:val="CETListbullets"/>
        <w:numPr>
          <w:ilvl w:val="0"/>
          <w:numId w:val="13"/>
        </w:numPr>
      </w:pPr>
      <w:r>
        <w:t>R</w:t>
      </w:r>
      <w:r w:rsidR="00BE3E02">
        <w:t xml:space="preserve">eturn </w:t>
      </w:r>
      <w:r w:rsidR="00B438B9">
        <w:t>O</w:t>
      </w:r>
      <w:r w:rsidR="00BE3E02">
        <w:t>n Investment (ROI)</w:t>
      </w:r>
      <w:r>
        <w:t xml:space="preserve"> of </w:t>
      </w:r>
      <w:r w:rsidR="00B438B9">
        <w:t>innovation activities.</w:t>
      </w:r>
    </w:p>
    <w:p w14:paraId="122672CC" w14:textId="23CACC9F" w:rsidR="00850205" w:rsidRDefault="00850205" w:rsidP="00850205">
      <w:pPr>
        <w:pStyle w:val="CETListbullets"/>
        <w:numPr>
          <w:ilvl w:val="0"/>
          <w:numId w:val="13"/>
        </w:numPr>
      </w:pPr>
      <w:r>
        <w:t>Revenue/</w:t>
      </w:r>
      <w:r w:rsidR="00B438B9">
        <w:t>profit growth from new low carbon/carbon net products.</w:t>
      </w:r>
    </w:p>
    <w:p w14:paraId="7204DBF9" w14:textId="32778447" w:rsidR="00850205" w:rsidRDefault="00850205" w:rsidP="00850205">
      <w:pPr>
        <w:pStyle w:val="CETListbullets"/>
        <w:numPr>
          <w:ilvl w:val="0"/>
          <w:numId w:val="13"/>
        </w:numPr>
      </w:pPr>
      <w:r>
        <w:t>Strategic stakeholders’ engagement criteria (</w:t>
      </w:r>
      <w:r w:rsidR="00BE3E02">
        <w:t>i</w:t>
      </w:r>
      <w:r>
        <w:t>ndustrial partnership, state investments, feedstock provider, off-taker, financing institutions)</w:t>
      </w:r>
      <w:r w:rsidR="00B438B9">
        <w:t>.</w:t>
      </w:r>
    </w:p>
    <w:p w14:paraId="44C28D52" w14:textId="2B353E19" w:rsidR="00850205" w:rsidRDefault="00850205" w:rsidP="00850205">
      <w:pPr>
        <w:pStyle w:val="CETListbullets"/>
        <w:numPr>
          <w:ilvl w:val="0"/>
          <w:numId w:val="13"/>
        </w:numPr>
      </w:pPr>
      <w:r>
        <w:t xml:space="preserve">Economic </w:t>
      </w:r>
      <w:r w:rsidR="00B438B9">
        <w:t>and</w:t>
      </w:r>
      <w:r>
        <w:t xml:space="preserve"> financial criteria (project authorizations, feedstock guarantee, fiscal incentives, etc.)</w:t>
      </w:r>
      <w:r w:rsidR="00B438B9">
        <w:t>.</w:t>
      </w:r>
    </w:p>
    <w:p w14:paraId="6979CE25" w14:textId="6089C160" w:rsidR="00850205" w:rsidRDefault="00850205" w:rsidP="00850205">
      <w:pPr>
        <w:pStyle w:val="CETListbullets"/>
        <w:numPr>
          <w:ilvl w:val="0"/>
          <w:numId w:val="13"/>
        </w:numPr>
      </w:pPr>
      <w:r>
        <w:t>GHG Avoidance</w:t>
      </w:r>
      <w:r w:rsidR="00B438B9">
        <w:t>.</w:t>
      </w:r>
    </w:p>
    <w:p w14:paraId="4D6E8E32" w14:textId="1FCC6D59" w:rsidR="00850205" w:rsidRDefault="00850205" w:rsidP="00850205">
      <w:pPr>
        <w:pStyle w:val="CETListbullets"/>
        <w:numPr>
          <w:ilvl w:val="0"/>
          <w:numId w:val="13"/>
        </w:numPr>
      </w:pPr>
      <w:r>
        <w:t>Final Product Carbon Intensity</w:t>
      </w:r>
      <w:r w:rsidR="00B438B9">
        <w:t>.</w:t>
      </w:r>
    </w:p>
    <w:p w14:paraId="74C23762" w14:textId="0131094E" w:rsidR="00850205" w:rsidRDefault="00850205" w:rsidP="00850205">
      <w:pPr>
        <w:pStyle w:val="CETListbullets"/>
        <w:numPr>
          <w:ilvl w:val="0"/>
          <w:numId w:val="13"/>
        </w:numPr>
      </w:pPr>
      <w:r>
        <w:t xml:space="preserve">LCOC by </w:t>
      </w:r>
      <w:r w:rsidR="00B438B9">
        <w:t>p</w:t>
      </w:r>
      <w:r>
        <w:t>roject CAPEX</w:t>
      </w:r>
      <w:r w:rsidR="00B438B9">
        <w:t>.</w:t>
      </w:r>
      <w:r>
        <w:t xml:space="preserve"> </w:t>
      </w:r>
    </w:p>
    <w:p w14:paraId="09406386" w14:textId="3DE94FB2" w:rsidR="00453E24" w:rsidRDefault="00850205" w:rsidP="00850205">
      <w:pPr>
        <w:pStyle w:val="CETListbullets"/>
        <w:numPr>
          <w:ilvl w:val="0"/>
          <w:numId w:val="13"/>
        </w:numPr>
      </w:pPr>
      <w:r>
        <w:t xml:space="preserve">LCOC by </w:t>
      </w:r>
      <w:r w:rsidR="00B438B9">
        <w:t>c</w:t>
      </w:r>
      <w:r>
        <w:t xml:space="preserve">ost </w:t>
      </w:r>
      <w:r w:rsidR="00B438B9">
        <w:t>e</w:t>
      </w:r>
      <w:r>
        <w:t>fficiency.</w:t>
      </w:r>
    </w:p>
    <w:p w14:paraId="2B57C5DB" w14:textId="77777777" w:rsidR="00850205" w:rsidRDefault="00850205" w:rsidP="00850205">
      <w:pPr>
        <w:pStyle w:val="CETListbullets"/>
        <w:ind w:left="0" w:firstLine="0"/>
      </w:pPr>
    </w:p>
    <w:p w14:paraId="0FAC9B09" w14:textId="44177188" w:rsidR="00850205" w:rsidRDefault="00850205" w:rsidP="00850205">
      <w:pPr>
        <w:pStyle w:val="CETBodytext"/>
      </w:pPr>
      <w:r>
        <w:t xml:space="preserve">14 Configurations </w:t>
      </w:r>
      <w:r w:rsidR="00B438B9">
        <w:t>were</w:t>
      </w:r>
      <w:r>
        <w:t xml:space="preserve"> identified in the first ranking and 7 Configurations shortlisted in the final ranking process for further development.</w:t>
      </w:r>
      <w:r w:rsidR="00CE24A5">
        <w:t xml:space="preserve"> </w:t>
      </w:r>
      <w:r>
        <w:t xml:space="preserve">CEE&amp;C has been used to support the </w:t>
      </w:r>
      <w:r w:rsidR="00B438B9">
        <w:t xml:space="preserve">ranking of configuration with </w:t>
      </w:r>
      <w:r>
        <w:t>the main KPIs of CT</w:t>
      </w:r>
      <w:r w:rsidR="00BE3E02">
        <w:t>G</w:t>
      </w:r>
      <w:r>
        <w:t>, GHG Avoidance,</w:t>
      </w:r>
      <w:r w:rsidR="00BE3E02">
        <w:t xml:space="preserve"> </w:t>
      </w:r>
      <w:r>
        <w:t xml:space="preserve">LCOC by </w:t>
      </w:r>
      <w:r w:rsidR="00B438B9">
        <w:t xml:space="preserve">project </w:t>
      </w:r>
      <w:r>
        <w:t xml:space="preserve">CAPEX </w:t>
      </w:r>
      <w:r w:rsidR="00AB07AE">
        <w:t>and LCOC</w:t>
      </w:r>
      <w:r>
        <w:t xml:space="preserve"> by </w:t>
      </w:r>
      <w:r w:rsidR="00B438B9">
        <w:t>cost efficiency.</w:t>
      </w:r>
    </w:p>
    <w:p w14:paraId="0636B784" w14:textId="0C4380C8" w:rsidR="00453E24" w:rsidRDefault="00850205" w:rsidP="00453E24">
      <w:pPr>
        <w:pStyle w:val="CETheadingx"/>
      </w:pPr>
      <w:r>
        <w:t>Input data to the CEE&amp;C Model</w:t>
      </w:r>
    </w:p>
    <w:p w14:paraId="7C2B0064" w14:textId="6FDB8D71" w:rsidR="00453E24" w:rsidRDefault="00850205" w:rsidP="00453E24">
      <w:pPr>
        <w:pStyle w:val="CETBodytext"/>
      </w:pPr>
      <w:r>
        <w:t>Input data to the Model as follow:</w:t>
      </w:r>
    </w:p>
    <w:p w14:paraId="043E738A" w14:textId="0067CD9C" w:rsidR="00850205" w:rsidRDefault="00850205" w:rsidP="00850205">
      <w:pPr>
        <w:pStyle w:val="CETBodytext"/>
        <w:numPr>
          <w:ilvl w:val="0"/>
          <w:numId w:val="24"/>
        </w:numPr>
      </w:pPr>
      <w:r>
        <w:t>Climate impact criteria</w:t>
      </w:r>
    </w:p>
    <w:p w14:paraId="39F0319E" w14:textId="1A254AA0" w:rsidR="00850205" w:rsidRDefault="00850205" w:rsidP="00850205">
      <w:pPr>
        <w:pStyle w:val="CETBodytext"/>
        <w:numPr>
          <w:ilvl w:val="0"/>
          <w:numId w:val="25"/>
        </w:numPr>
      </w:pPr>
      <w:r>
        <w:t xml:space="preserve">Definition of GHG </w:t>
      </w:r>
      <w:r w:rsidR="00B438B9">
        <w:t>b</w:t>
      </w:r>
      <w:r>
        <w:t xml:space="preserve">oundary and </w:t>
      </w:r>
      <w:r w:rsidR="00B438B9">
        <w:t>EF.</w:t>
      </w:r>
    </w:p>
    <w:p w14:paraId="6CBAF59D" w14:textId="07DD8A61" w:rsidR="00850205" w:rsidRDefault="00850205" w:rsidP="00330573">
      <w:pPr>
        <w:pStyle w:val="CETBodytext"/>
        <w:numPr>
          <w:ilvl w:val="0"/>
          <w:numId w:val="25"/>
        </w:numPr>
      </w:pPr>
      <w:r>
        <w:t xml:space="preserve">Development of a comprehensive GHG </w:t>
      </w:r>
      <w:r w:rsidR="00B438B9">
        <w:t>a</w:t>
      </w:r>
      <w:r>
        <w:t xml:space="preserve">nalysis including Scope 1 direct GHG </w:t>
      </w:r>
      <w:r w:rsidR="00B438B9">
        <w:t>e</w:t>
      </w:r>
      <w:r>
        <w:t xml:space="preserve">missions, Scope 2 indirect GHG </w:t>
      </w:r>
      <w:r w:rsidR="00B438B9">
        <w:t>e</w:t>
      </w:r>
      <w:r>
        <w:t xml:space="preserve">missions and Scope 3 </w:t>
      </w:r>
      <w:r w:rsidR="00B438B9">
        <w:t>e</w:t>
      </w:r>
      <w:r>
        <w:t>missions (upstream)</w:t>
      </w:r>
      <w:r w:rsidR="00B438B9">
        <w:t>.</w:t>
      </w:r>
    </w:p>
    <w:p w14:paraId="75D31B6F" w14:textId="77777777" w:rsidR="00850205" w:rsidRDefault="00850205" w:rsidP="00850205">
      <w:pPr>
        <w:pStyle w:val="CETBodytext"/>
        <w:numPr>
          <w:ilvl w:val="0"/>
          <w:numId w:val="24"/>
        </w:numPr>
      </w:pPr>
      <w:r>
        <w:t>Climate impact criteria</w:t>
      </w:r>
    </w:p>
    <w:p w14:paraId="17B3556B" w14:textId="0ABEE559" w:rsidR="00850205" w:rsidRDefault="00850205" w:rsidP="00850205">
      <w:pPr>
        <w:pStyle w:val="CETBodytext"/>
        <w:numPr>
          <w:ilvl w:val="0"/>
          <w:numId w:val="25"/>
        </w:numPr>
      </w:pPr>
      <w:r>
        <w:t>En</w:t>
      </w:r>
      <w:r w:rsidRPr="00CB4D95">
        <w:t xml:space="preserve">ergy </w:t>
      </w:r>
      <w:r w:rsidR="00BE3E02">
        <w:t>and</w:t>
      </w:r>
      <w:r w:rsidRPr="00CB4D95">
        <w:t xml:space="preserve"> </w:t>
      </w:r>
      <w:r w:rsidR="00B438B9">
        <w:t>f</w:t>
      </w:r>
      <w:r w:rsidRPr="00CB4D95">
        <w:t>uel streams by type and origin</w:t>
      </w:r>
      <w:r w:rsidR="00B438B9">
        <w:t>.</w:t>
      </w:r>
    </w:p>
    <w:p w14:paraId="49A7F1C1" w14:textId="47038EDD" w:rsidR="00850205" w:rsidRDefault="00850205" w:rsidP="00330573">
      <w:pPr>
        <w:pStyle w:val="CETBodytext"/>
        <w:numPr>
          <w:ilvl w:val="0"/>
          <w:numId w:val="25"/>
        </w:numPr>
      </w:pPr>
      <w:r w:rsidRPr="00CB4D95">
        <w:t>Energy (</w:t>
      </w:r>
      <w:r w:rsidR="00B438B9" w:rsidRPr="00CB4D95">
        <w:t xml:space="preserve">heat, steam, electric energy) </w:t>
      </w:r>
      <w:r w:rsidR="00B438B9">
        <w:t>and</w:t>
      </w:r>
      <w:r w:rsidR="00B438B9" w:rsidRPr="00CB4D95">
        <w:t xml:space="preserve"> fuel consumption and emissions</w:t>
      </w:r>
      <w:r w:rsidR="00B438B9">
        <w:t>.</w:t>
      </w:r>
    </w:p>
    <w:p w14:paraId="4EEA6986" w14:textId="61D836CF" w:rsidR="00850205" w:rsidRDefault="00850205" w:rsidP="00850205">
      <w:pPr>
        <w:pStyle w:val="CETBodytext"/>
        <w:numPr>
          <w:ilvl w:val="0"/>
          <w:numId w:val="24"/>
        </w:numPr>
      </w:pPr>
      <w:r>
        <w:t>Environmental impact criteria</w:t>
      </w:r>
    </w:p>
    <w:p w14:paraId="45BEA3AA" w14:textId="63F5B297" w:rsidR="00850205" w:rsidRPr="00CB4D95" w:rsidRDefault="00850205" w:rsidP="00850205">
      <w:pPr>
        <w:pStyle w:val="CETBodytext"/>
        <w:numPr>
          <w:ilvl w:val="0"/>
          <w:numId w:val="25"/>
        </w:numPr>
      </w:pPr>
      <w:r w:rsidRPr="00CB4D95">
        <w:t>Materials (</w:t>
      </w:r>
      <w:r w:rsidR="00B438B9">
        <w:t>f</w:t>
      </w:r>
      <w:r w:rsidR="00B438B9" w:rsidRPr="00CB4D95">
        <w:t xml:space="preserve">eedstock, </w:t>
      </w:r>
      <w:r w:rsidR="00B438B9">
        <w:t>r</w:t>
      </w:r>
      <w:r w:rsidR="00B438B9" w:rsidRPr="00CB4D95">
        <w:t xml:space="preserve">aw </w:t>
      </w:r>
      <w:r w:rsidR="00B438B9">
        <w:t>m</w:t>
      </w:r>
      <w:r w:rsidR="00B438B9" w:rsidRPr="00CB4D95">
        <w:t xml:space="preserve">aterials, </w:t>
      </w:r>
      <w:r w:rsidR="00B438B9">
        <w:t>c</w:t>
      </w:r>
      <w:r w:rsidR="00B438B9" w:rsidRPr="00CB4D95">
        <w:t>hemicals…) by type and origin</w:t>
      </w:r>
      <w:r w:rsidR="00B438B9">
        <w:t>.</w:t>
      </w:r>
    </w:p>
    <w:p w14:paraId="79F09732" w14:textId="63D13DB8" w:rsidR="00850205" w:rsidRPr="00CB4D95" w:rsidRDefault="00850205" w:rsidP="00850205">
      <w:pPr>
        <w:pStyle w:val="CETBodytext"/>
        <w:numPr>
          <w:ilvl w:val="0"/>
          <w:numId w:val="25"/>
        </w:numPr>
      </w:pPr>
      <w:r w:rsidRPr="00CB4D95">
        <w:t>Water streams by type, origin, consumption and emissions data</w:t>
      </w:r>
      <w:r w:rsidR="00B438B9">
        <w:t>.</w:t>
      </w:r>
    </w:p>
    <w:p w14:paraId="3935A1DF" w14:textId="1234A6E1" w:rsidR="00850205" w:rsidRDefault="00850205" w:rsidP="00850205">
      <w:pPr>
        <w:pStyle w:val="CETBodytext"/>
        <w:numPr>
          <w:ilvl w:val="0"/>
          <w:numId w:val="25"/>
        </w:numPr>
      </w:pPr>
      <w:r w:rsidRPr="00CB4D95">
        <w:t xml:space="preserve">Effluents and </w:t>
      </w:r>
      <w:r w:rsidR="00B438B9" w:rsidRPr="00CB4D95">
        <w:t>waste management data</w:t>
      </w:r>
      <w:r w:rsidR="00B438B9">
        <w:t>.</w:t>
      </w:r>
    </w:p>
    <w:p w14:paraId="0989ED17" w14:textId="77777777" w:rsidR="00850205" w:rsidRDefault="00850205" w:rsidP="00850205">
      <w:pPr>
        <w:pStyle w:val="CETBodytext"/>
        <w:numPr>
          <w:ilvl w:val="0"/>
          <w:numId w:val="24"/>
        </w:numPr>
      </w:pPr>
      <w:r>
        <w:t>Environmental impact criteria</w:t>
      </w:r>
    </w:p>
    <w:p w14:paraId="11F81891" w14:textId="775F898B" w:rsidR="00850205" w:rsidRDefault="00850205" w:rsidP="00850205">
      <w:pPr>
        <w:pStyle w:val="CETBodytext"/>
        <w:numPr>
          <w:ilvl w:val="0"/>
          <w:numId w:val="25"/>
        </w:numPr>
      </w:pPr>
      <w:r w:rsidRPr="00CB4D95">
        <w:t>Cash flow analysis, based on economic data and assumption</w:t>
      </w:r>
      <w:r>
        <w:t>.</w:t>
      </w:r>
    </w:p>
    <w:p w14:paraId="18BAFA6F" w14:textId="67D1FF39" w:rsidR="00453E24" w:rsidRPr="00B57B36" w:rsidRDefault="00815457" w:rsidP="00453E24">
      <w:pPr>
        <w:pStyle w:val="CETheadingx"/>
      </w:pPr>
      <w:r>
        <w:t>Output to the CEE&amp;C Analysis</w:t>
      </w:r>
    </w:p>
    <w:p w14:paraId="3355F683" w14:textId="012804E7" w:rsidR="00815457" w:rsidRDefault="00815457" w:rsidP="00453E24">
      <w:pPr>
        <w:pStyle w:val="CETBodytext"/>
        <w:rPr>
          <w:lang w:val="en-GB"/>
        </w:rPr>
      </w:pPr>
      <w:r w:rsidRPr="00815457">
        <w:rPr>
          <w:lang w:val="en-GB"/>
        </w:rPr>
        <w:t xml:space="preserve">The </w:t>
      </w:r>
      <w:r w:rsidR="00866ABB">
        <w:rPr>
          <w:lang w:val="en-GB"/>
        </w:rPr>
        <w:t>o</w:t>
      </w:r>
      <w:r w:rsidRPr="00815457">
        <w:rPr>
          <w:lang w:val="en-GB"/>
        </w:rPr>
        <w:t>utput of the model</w:t>
      </w:r>
      <w:r w:rsidR="00DB4866">
        <w:rPr>
          <w:lang w:val="en-GB"/>
        </w:rPr>
        <w:t xml:space="preserve">, as shown in Figure 3, </w:t>
      </w:r>
      <w:r w:rsidRPr="00815457">
        <w:rPr>
          <w:lang w:val="en-GB"/>
        </w:rPr>
        <w:t xml:space="preserve">is a LCA </w:t>
      </w:r>
      <w:r w:rsidR="00866ABB" w:rsidRPr="00815457">
        <w:rPr>
          <w:lang w:val="en-GB"/>
        </w:rPr>
        <w:t>environmental energy &amp; climate footprint with associated costs and a levelized cost of carbon indicator (cost efficiency criteria)</w:t>
      </w:r>
      <w:r w:rsidR="00866ABB">
        <w:rPr>
          <w:lang w:val="en-GB"/>
        </w:rPr>
        <w:t>:</w:t>
      </w:r>
    </w:p>
    <w:p w14:paraId="1C2D0153" w14:textId="2C9D3A07" w:rsidR="00815457" w:rsidRDefault="00815457" w:rsidP="00815457">
      <w:pPr>
        <w:pStyle w:val="CETnumberingbullets"/>
      </w:pPr>
      <w:r w:rsidRPr="00815457">
        <w:lastRenderedPageBreak/>
        <w:t xml:space="preserve">Product </w:t>
      </w:r>
      <w:r w:rsidR="00866ABB" w:rsidRPr="00815457">
        <w:t>carbon footprint vs</w:t>
      </w:r>
      <w:r w:rsidRPr="00815457">
        <w:t xml:space="preserve"> GHG </w:t>
      </w:r>
      <w:r w:rsidR="00866ABB" w:rsidRPr="00815457">
        <w:t>avoidance</w:t>
      </w:r>
      <w:r w:rsidR="00866ABB">
        <w:t>.</w:t>
      </w:r>
    </w:p>
    <w:p w14:paraId="7DA28B83" w14:textId="52382EB7" w:rsidR="00815457" w:rsidRDefault="00815457" w:rsidP="00815457">
      <w:pPr>
        <w:pStyle w:val="CETnumberingbullets"/>
      </w:pPr>
      <w:r w:rsidRPr="00815457">
        <w:t xml:space="preserve">LCOC by </w:t>
      </w:r>
      <w:r w:rsidR="00866ABB">
        <w:t>p</w:t>
      </w:r>
      <w:r w:rsidRPr="00815457">
        <w:t xml:space="preserve">roject CAPEX vs GHG </w:t>
      </w:r>
      <w:r w:rsidR="00866ABB" w:rsidRPr="00815457">
        <w:t>avoidance</w:t>
      </w:r>
      <w:r w:rsidR="00866ABB">
        <w:t>.</w:t>
      </w:r>
      <w:r w:rsidRPr="00815457">
        <w:t xml:space="preserve"> </w:t>
      </w:r>
    </w:p>
    <w:p w14:paraId="6D3B52E9" w14:textId="49C82C39" w:rsidR="00815457" w:rsidRDefault="00815457" w:rsidP="00815457">
      <w:pPr>
        <w:pStyle w:val="CETnumberingbullets"/>
      </w:pPr>
      <w:r w:rsidRPr="00DC7EE5">
        <w:t xml:space="preserve">LCOC by </w:t>
      </w:r>
      <w:r w:rsidR="00866ABB">
        <w:t>c</w:t>
      </w:r>
      <w:r w:rsidRPr="00DC7EE5">
        <w:t xml:space="preserve">ost </w:t>
      </w:r>
      <w:r w:rsidR="00866ABB" w:rsidRPr="00DC7EE5">
        <w:t>efficiency for funding access</w:t>
      </w:r>
      <w:r>
        <w:t>.</w:t>
      </w:r>
    </w:p>
    <w:p w14:paraId="472839B9" w14:textId="77777777" w:rsidR="00815457" w:rsidRDefault="00815457" w:rsidP="00815457">
      <w:pPr>
        <w:pStyle w:val="CETnumberingbullets"/>
        <w:numPr>
          <w:ilvl w:val="0"/>
          <w:numId w:val="0"/>
        </w:numPr>
        <w:ind w:left="340" w:hanging="227"/>
      </w:pPr>
    </w:p>
    <w:p w14:paraId="7C6CC46A" w14:textId="73B803E6" w:rsidR="00815457" w:rsidRDefault="00815457" w:rsidP="00815457">
      <w:pPr>
        <w:pStyle w:val="CETnumberingbullets"/>
        <w:numPr>
          <w:ilvl w:val="0"/>
          <w:numId w:val="0"/>
        </w:numPr>
        <w:ind w:left="340" w:hanging="227"/>
      </w:pPr>
      <w:r>
        <w:rPr>
          <w:noProof/>
        </w:rPr>
        <w:drawing>
          <wp:inline distT="0" distB="0" distL="0" distR="0" wp14:anchorId="757A963F" wp14:editId="58D6CDD3">
            <wp:extent cx="5579745" cy="2921161"/>
            <wp:effectExtent l="19050" t="19050" r="20955" b="12700"/>
            <wp:docPr id="4" name="Picture 4"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ubbl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2921161"/>
                    </a:xfrm>
                    <a:prstGeom prst="rect">
                      <a:avLst/>
                    </a:prstGeom>
                    <a:noFill/>
                    <a:ln>
                      <a:solidFill>
                        <a:schemeClr val="tx1"/>
                      </a:solidFill>
                    </a:ln>
                  </pic:spPr>
                </pic:pic>
              </a:graphicData>
            </a:graphic>
          </wp:inline>
        </w:drawing>
      </w:r>
    </w:p>
    <w:p w14:paraId="14880EA3" w14:textId="14AED872" w:rsidR="00815457" w:rsidRDefault="00815457" w:rsidP="00815457">
      <w:pPr>
        <w:pStyle w:val="CETnumberingbullets"/>
        <w:numPr>
          <w:ilvl w:val="0"/>
          <w:numId w:val="0"/>
        </w:numPr>
        <w:ind w:left="340" w:hanging="227"/>
      </w:pPr>
      <w:r w:rsidRPr="00010725">
        <w:rPr>
          <w:rStyle w:val="CETCaptionCarattere"/>
        </w:rPr>
        <w:t xml:space="preserve">Figure </w:t>
      </w:r>
      <w:r>
        <w:rPr>
          <w:rStyle w:val="CETCaptionCarattere"/>
        </w:rPr>
        <w:t xml:space="preserve">3: </w:t>
      </w:r>
      <w:r w:rsidRPr="00815457">
        <w:rPr>
          <w:rStyle w:val="CETCaptionCarattere"/>
        </w:rPr>
        <w:t>Output of the CEE&amp;C Analysis</w:t>
      </w:r>
    </w:p>
    <w:p w14:paraId="4065361C" w14:textId="77777777" w:rsidR="00815457" w:rsidRDefault="00815457" w:rsidP="00453E24">
      <w:pPr>
        <w:pStyle w:val="CETBodytext"/>
        <w:rPr>
          <w:lang w:val="en-GB"/>
        </w:rPr>
      </w:pPr>
    </w:p>
    <w:p w14:paraId="4EBFEFFD" w14:textId="45511A4A" w:rsidR="00815457" w:rsidRDefault="00815457" w:rsidP="00453E24">
      <w:pPr>
        <w:pStyle w:val="CETBodytext"/>
        <w:rPr>
          <w:lang w:val="en-GB"/>
        </w:rPr>
      </w:pPr>
      <w:r w:rsidRPr="00815457">
        <w:rPr>
          <w:lang w:val="en-GB"/>
        </w:rPr>
        <w:t xml:space="preserve">The resulting graph allows to plot and rank the best configurations against targeted financial and environmental KPI, which is particularly effective for a screening of </w:t>
      </w:r>
      <w:r w:rsidR="00866ABB" w:rsidRPr="00815457">
        <w:rPr>
          <w:lang w:val="en-GB"/>
        </w:rPr>
        <w:t xml:space="preserve">climate finance </w:t>
      </w:r>
      <w:r w:rsidRPr="00815457">
        <w:rPr>
          <w:lang w:val="en-GB"/>
        </w:rPr>
        <w:t xml:space="preserve">opportunities and selection of optimum </w:t>
      </w:r>
      <w:r w:rsidR="00866ABB" w:rsidRPr="00815457">
        <w:rPr>
          <w:lang w:val="en-GB"/>
        </w:rPr>
        <w:t>carbon footprint reduction strategy</w:t>
      </w:r>
      <w:r w:rsidRPr="00815457">
        <w:rPr>
          <w:lang w:val="en-GB"/>
        </w:rPr>
        <w:t>.</w:t>
      </w:r>
    </w:p>
    <w:p w14:paraId="15B5B4BE" w14:textId="526144A4" w:rsidR="00815457" w:rsidRDefault="00815457" w:rsidP="00453E24">
      <w:pPr>
        <w:pStyle w:val="CETBodytext"/>
        <w:rPr>
          <w:lang w:val="en-GB"/>
        </w:rPr>
      </w:pPr>
      <w:r w:rsidRPr="00815457">
        <w:rPr>
          <w:lang w:val="en-GB"/>
        </w:rPr>
        <w:t>Outp</w:t>
      </w:r>
      <w:r w:rsidR="00866ABB" w:rsidRPr="00815457">
        <w:rPr>
          <w:lang w:val="en-GB"/>
        </w:rPr>
        <w:t xml:space="preserve">ut indicators </w:t>
      </w:r>
      <w:r w:rsidRPr="00815457">
        <w:rPr>
          <w:lang w:val="en-GB"/>
        </w:rPr>
        <w:t xml:space="preserve">for the </w:t>
      </w:r>
      <w:r w:rsidR="00866ABB" w:rsidRPr="00815457">
        <w:rPr>
          <w:lang w:val="en-GB"/>
        </w:rPr>
        <w:t xml:space="preserve">study are also valorised in </w:t>
      </w:r>
      <w:r w:rsidRPr="00815457">
        <w:rPr>
          <w:lang w:val="en-GB"/>
        </w:rPr>
        <w:t>the following KPIs for each of the selected opportunities:</w:t>
      </w:r>
    </w:p>
    <w:p w14:paraId="7D00C69D" w14:textId="5C73DC7F" w:rsidR="00815457" w:rsidRDefault="00815457" w:rsidP="00D74950">
      <w:pPr>
        <w:pStyle w:val="CETListbullets"/>
        <w:numPr>
          <w:ilvl w:val="0"/>
          <w:numId w:val="13"/>
        </w:numPr>
      </w:pPr>
      <w:r w:rsidRPr="00815457">
        <w:t xml:space="preserve">Best </w:t>
      </w:r>
      <w:r w:rsidR="00866ABB" w:rsidRPr="00815457">
        <w:t>product price</w:t>
      </w:r>
      <w:r w:rsidR="00866ABB">
        <w:t>.</w:t>
      </w:r>
    </w:p>
    <w:p w14:paraId="1C72405A" w14:textId="70CF0461" w:rsidR="00815457" w:rsidRPr="00216167" w:rsidRDefault="00815457" w:rsidP="00815457">
      <w:pPr>
        <w:pStyle w:val="CETnumberingbullets"/>
      </w:pPr>
      <w:r w:rsidRPr="00216167">
        <w:t xml:space="preserve">Levelized </w:t>
      </w:r>
      <w:r w:rsidR="00866ABB" w:rsidRPr="00216167">
        <w:t>cost of carbon abatement</w:t>
      </w:r>
      <w:r w:rsidR="00866ABB">
        <w:t>.</w:t>
      </w:r>
    </w:p>
    <w:p w14:paraId="5A2D6334" w14:textId="3DCF6243" w:rsidR="00815457" w:rsidRPr="00216167" w:rsidRDefault="00815457" w:rsidP="00815457">
      <w:pPr>
        <w:pStyle w:val="CETnumberingbullets"/>
      </w:pPr>
      <w:r w:rsidRPr="00216167">
        <w:t xml:space="preserve">Carbon </w:t>
      </w:r>
      <w:r w:rsidR="00866ABB" w:rsidRPr="00216167">
        <w:t>price</w:t>
      </w:r>
      <w:r w:rsidR="00866ABB">
        <w:t>.</w:t>
      </w:r>
    </w:p>
    <w:p w14:paraId="2A2D06FF" w14:textId="2A3B7F98" w:rsidR="00815457" w:rsidRDefault="00815457" w:rsidP="00815457">
      <w:pPr>
        <w:pStyle w:val="CETnumberingbullets"/>
      </w:pPr>
      <w:r w:rsidRPr="00216167">
        <w:t xml:space="preserve">GHG </w:t>
      </w:r>
      <w:r w:rsidR="00866ABB" w:rsidRPr="00216167">
        <w:t>savings</w:t>
      </w:r>
      <w:r w:rsidR="00866ABB">
        <w:t>.</w:t>
      </w:r>
    </w:p>
    <w:p w14:paraId="27500534" w14:textId="77777777" w:rsidR="00330573" w:rsidRDefault="00330573" w:rsidP="00453E24">
      <w:pPr>
        <w:pStyle w:val="CETBodytext"/>
      </w:pPr>
    </w:p>
    <w:p w14:paraId="47232545" w14:textId="381FE129" w:rsidR="00815457" w:rsidRPr="00CE24A5" w:rsidRDefault="00815457" w:rsidP="00453E24">
      <w:pPr>
        <w:pStyle w:val="CETBodytext"/>
      </w:pPr>
      <w:r>
        <w:t xml:space="preserve">The </w:t>
      </w:r>
      <w:r w:rsidR="00866ABB">
        <w:t xml:space="preserve">results of the carbon abatement and cost study can be used to sustain the project or product decarbonization strategy; as driver in the climate finance screening </w:t>
      </w:r>
      <w:r>
        <w:t xml:space="preserve">(EU/Non-EU </w:t>
      </w:r>
      <w:r w:rsidR="00866ABB">
        <w:t>c</w:t>
      </w:r>
      <w:r>
        <w:t>ountries)</w:t>
      </w:r>
      <w:r w:rsidR="00CE24A5">
        <w:t xml:space="preserve"> and a</w:t>
      </w:r>
      <w:r>
        <w:t xml:space="preserve">s an integrated output in the EU </w:t>
      </w:r>
      <w:r w:rsidR="00866ABB">
        <w:t xml:space="preserve">climate finance and funding opportunities </w:t>
      </w:r>
      <w:r>
        <w:t xml:space="preserve">(such as the </w:t>
      </w:r>
      <w:r w:rsidR="00BE3E02">
        <w:t>IF</w:t>
      </w:r>
      <w:r>
        <w:t>)</w:t>
      </w:r>
      <w:r w:rsidR="00CE24A5">
        <w:t>.</w:t>
      </w:r>
    </w:p>
    <w:p w14:paraId="68D26B83" w14:textId="77777777" w:rsidR="00600535" w:rsidRPr="00B57B36" w:rsidRDefault="00600535" w:rsidP="00600535">
      <w:pPr>
        <w:pStyle w:val="CETHeading1"/>
        <w:rPr>
          <w:lang w:val="en-GB"/>
        </w:rPr>
      </w:pPr>
      <w:r w:rsidRPr="00B57B36">
        <w:rPr>
          <w:lang w:val="en-GB"/>
        </w:rPr>
        <w:t>Conclusions</w:t>
      </w:r>
    </w:p>
    <w:p w14:paraId="51C2647B" w14:textId="7428DB8B" w:rsidR="00F968C5" w:rsidRPr="00F968C5" w:rsidRDefault="000F3A4F" w:rsidP="00F968C5">
      <w:pPr>
        <w:pStyle w:val="CETBodytext"/>
      </w:pPr>
      <w:r>
        <w:rPr>
          <w:bCs/>
        </w:rPr>
        <w:t xml:space="preserve">The </w:t>
      </w:r>
      <w:r w:rsidRPr="000F3A4F">
        <w:rPr>
          <w:bCs/>
        </w:rPr>
        <w:t xml:space="preserve">Carbon Energy Environmental and Cost Model </w:t>
      </w:r>
      <w:r>
        <w:rPr>
          <w:bCs/>
        </w:rPr>
        <w:t xml:space="preserve">has been applied to perform a technological screening </w:t>
      </w:r>
      <w:r w:rsidRPr="000F3A4F">
        <w:rPr>
          <w:bCs/>
        </w:rPr>
        <w:t>in a Project to Context Decarbonization Analysis</w:t>
      </w:r>
      <w:r w:rsidR="00815457" w:rsidRPr="007A51DB">
        <w:rPr>
          <w:bCs/>
        </w:rPr>
        <w:t xml:space="preserve">. The </w:t>
      </w:r>
      <w:r>
        <w:rPr>
          <w:bCs/>
        </w:rPr>
        <w:t xml:space="preserve">output of the </w:t>
      </w:r>
      <w:r w:rsidR="00815457" w:rsidRPr="007A51DB">
        <w:rPr>
          <w:bCs/>
        </w:rPr>
        <w:t xml:space="preserve">CEE&amp;C and LCOC </w:t>
      </w:r>
      <w:r>
        <w:rPr>
          <w:bCs/>
        </w:rPr>
        <w:t>models</w:t>
      </w:r>
      <w:r w:rsidR="00815457" w:rsidRPr="007A51DB">
        <w:rPr>
          <w:bCs/>
        </w:rPr>
        <w:t xml:space="preserve"> ha</w:t>
      </w:r>
      <w:r w:rsidR="00F968C5">
        <w:rPr>
          <w:bCs/>
        </w:rPr>
        <w:t>s</w:t>
      </w:r>
      <w:r w:rsidR="00815457" w:rsidRPr="007A51DB">
        <w:rPr>
          <w:bCs/>
        </w:rPr>
        <w:t xml:space="preserve"> been integrated with other KPIs to</w:t>
      </w:r>
      <w:r>
        <w:rPr>
          <w:bCs/>
        </w:rPr>
        <w:t xml:space="preserve"> i</w:t>
      </w:r>
      <w:r w:rsidR="00815457">
        <w:t xml:space="preserve">dentify </w:t>
      </w:r>
      <w:r>
        <w:t xml:space="preserve">the </w:t>
      </w:r>
      <w:r w:rsidR="00815457" w:rsidRPr="007A51DB">
        <w:rPr>
          <w:bCs/>
        </w:rPr>
        <w:t xml:space="preserve">possible green projects to be studied in </w:t>
      </w:r>
      <w:r w:rsidR="00815457" w:rsidRPr="0051532B">
        <w:rPr>
          <w:bCs/>
        </w:rPr>
        <w:t xml:space="preserve">line with </w:t>
      </w:r>
      <w:r w:rsidR="00F968C5">
        <w:rPr>
          <w:bCs/>
        </w:rPr>
        <w:t>the company’s</w:t>
      </w:r>
      <w:r w:rsidR="00815457" w:rsidRPr="0051532B">
        <w:rPr>
          <w:bCs/>
        </w:rPr>
        <w:t xml:space="preserve"> technology</w:t>
      </w:r>
      <w:r w:rsidR="00815457" w:rsidRPr="007A51DB">
        <w:rPr>
          <w:bCs/>
        </w:rPr>
        <w:t xml:space="preserve"> strategy and market tren</w:t>
      </w:r>
      <w:r w:rsidR="00F968C5">
        <w:rPr>
          <w:bCs/>
        </w:rPr>
        <w:t>d and to</w:t>
      </w:r>
      <w:r w:rsidR="00F968C5" w:rsidRPr="007A51DB">
        <w:t xml:space="preserve"> </w:t>
      </w:r>
      <w:r w:rsidR="00F968C5">
        <w:t>a</w:t>
      </w:r>
      <w:r w:rsidR="00815457" w:rsidRPr="007A51DB">
        <w:t xml:space="preserve">lign with strategic stakeholders </w:t>
      </w:r>
      <w:r w:rsidR="00F968C5">
        <w:t xml:space="preserve">in order </w:t>
      </w:r>
      <w:r w:rsidR="00815457" w:rsidRPr="007A51DB">
        <w:t xml:space="preserve">to engage </w:t>
      </w:r>
      <w:r w:rsidR="00F968C5">
        <w:t xml:space="preserve">them </w:t>
      </w:r>
      <w:r w:rsidR="00815457" w:rsidRPr="007A51DB">
        <w:t xml:space="preserve">in the </w:t>
      </w:r>
      <w:r w:rsidR="00815457" w:rsidRPr="00F968C5">
        <w:t>project structure (</w:t>
      </w:r>
      <w:r w:rsidR="00F968C5" w:rsidRPr="00F968C5">
        <w:t>industrial partner</w:t>
      </w:r>
      <w:r w:rsidR="00815457" w:rsidRPr="00F968C5">
        <w:t>, state investments, feedstock provider, off-taker, financing institutions)</w:t>
      </w:r>
      <w:r w:rsidR="00866ABB" w:rsidRPr="00F968C5">
        <w:t>.</w:t>
      </w:r>
    </w:p>
    <w:p w14:paraId="3FAB5B53" w14:textId="77777777" w:rsidR="00F968C5" w:rsidRDefault="00F968C5" w:rsidP="00F968C5">
      <w:pPr>
        <w:pStyle w:val="CETBodytext"/>
      </w:pPr>
    </w:p>
    <w:p w14:paraId="073AC1C6" w14:textId="07B8D2C6" w:rsidR="00815457" w:rsidRPr="00F968C5" w:rsidRDefault="00F968C5" w:rsidP="00F968C5">
      <w:pPr>
        <w:pStyle w:val="CETBodytext"/>
        <w:rPr>
          <w:b/>
        </w:rPr>
      </w:pPr>
      <w:r w:rsidRPr="00F968C5">
        <w:t xml:space="preserve">The model </w:t>
      </w:r>
      <w:r w:rsidR="0023738F">
        <w:t>has also allowed</w:t>
      </w:r>
      <w:r w:rsidRPr="00F968C5">
        <w:t xml:space="preserve"> to d</w:t>
      </w:r>
      <w:r w:rsidR="00815457" w:rsidRPr="00F968C5">
        <w:t>efine</w:t>
      </w:r>
      <w:r w:rsidR="00815457" w:rsidRPr="007A51DB">
        <w:t xml:space="preserve"> key element</w:t>
      </w:r>
      <w:r>
        <w:t>s</w:t>
      </w:r>
      <w:r w:rsidR="00815457" w:rsidRPr="007A51DB">
        <w:t xml:space="preserve"> to secure economic success (project authorizations, feedstock guarantee, fiscal incentives, etc.)</w:t>
      </w:r>
      <w:r>
        <w:t xml:space="preserve"> and to s</w:t>
      </w:r>
      <w:r w:rsidR="00815457" w:rsidRPr="007A51DB">
        <w:rPr>
          <w:bCs/>
        </w:rPr>
        <w:t>elect the solution with most attractive economic profitability</w:t>
      </w:r>
      <w:r w:rsidR="00815457">
        <w:rPr>
          <w:bCs/>
        </w:rPr>
        <w:t>.</w:t>
      </w:r>
    </w:p>
    <w:p w14:paraId="4819314D" w14:textId="77777777" w:rsidR="00815457" w:rsidRDefault="00815457" w:rsidP="00815457">
      <w:pPr>
        <w:pStyle w:val="CETListbullets"/>
        <w:ind w:left="0" w:firstLine="0"/>
        <w:rPr>
          <w:bCs/>
        </w:rPr>
      </w:pPr>
    </w:p>
    <w:p w14:paraId="34BBBA62" w14:textId="77777777" w:rsidR="00211078" w:rsidRDefault="00815457" w:rsidP="00211078">
      <w:pPr>
        <w:pStyle w:val="CETBodytext"/>
        <w:rPr>
          <w:bCs/>
        </w:rPr>
      </w:pPr>
      <w:r>
        <w:t xml:space="preserve">The </w:t>
      </w:r>
      <w:r w:rsidR="00F968C5">
        <w:t>objective</w:t>
      </w:r>
      <w:r>
        <w:t xml:space="preserve"> of the CEE&amp;C and LCOC </w:t>
      </w:r>
      <w:r w:rsidR="00866ABB">
        <w:t>s</w:t>
      </w:r>
      <w:r>
        <w:t>creening is to</w:t>
      </w:r>
      <w:r w:rsidR="00F968C5">
        <w:t xml:space="preserve"> </w:t>
      </w:r>
      <w:r w:rsidR="00F968C5">
        <w:rPr>
          <w:bCs/>
        </w:rPr>
        <w:t>p</w:t>
      </w:r>
      <w:r w:rsidRPr="007A51DB">
        <w:rPr>
          <w:bCs/>
        </w:rPr>
        <w:t>lace</w:t>
      </w:r>
      <w:r w:rsidR="00F968C5">
        <w:rPr>
          <w:bCs/>
        </w:rPr>
        <w:t>,</w:t>
      </w:r>
      <w:r w:rsidR="00F968C5" w:rsidRPr="00F968C5">
        <w:rPr>
          <w:bCs/>
        </w:rPr>
        <w:t xml:space="preserve"> </w:t>
      </w:r>
      <w:r w:rsidR="00F968C5" w:rsidRPr="007A51DB">
        <w:rPr>
          <w:bCs/>
        </w:rPr>
        <w:t>for each market stream</w:t>
      </w:r>
      <w:r w:rsidR="00211078">
        <w:rPr>
          <w:bCs/>
        </w:rPr>
        <w:t>,</w:t>
      </w:r>
      <w:r w:rsidRPr="007A51DB">
        <w:rPr>
          <w:bCs/>
        </w:rPr>
        <w:t xml:space="preserve"> </w:t>
      </w:r>
      <w:r w:rsidR="00866ABB" w:rsidRPr="007A51DB">
        <w:rPr>
          <w:bCs/>
        </w:rPr>
        <w:t>the configuration in terms of product carbon performances</w:t>
      </w:r>
      <w:r w:rsidR="00211078">
        <w:rPr>
          <w:bCs/>
        </w:rPr>
        <w:t xml:space="preserve">, providing </w:t>
      </w:r>
      <w:r w:rsidR="00211078">
        <w:rPr>
          <w:bCs/>
          <w:lang w:val="en-GB"/>
        </w:rPr>
        <w:t>a</w:t>
      </w:r>
      <w:r w:rsidRPr="00815457">
        <w:rPr>
          <w:bCs/>
        </w:rPr>
        <w:t xml:space="preserve"> snapshot of the most appealing ET </w:t>
      </w:r>
      <w:r w:rsidR="00866ABB" w:rsidRPr="00815457">
        <w:rPr>
          <w:bCs/>
        </w:rPr>
        <w:t>configurations in te</w:t>
      </w:r>
      <w:r w:rsidRPr="00815457">
        <w:rPr>
          <w:bCs/>
        </w:rPr>
        <w:t xml:space="preserve">rms of GHG </w:t>
      </w:r>
      <w:r w:rsidR="00866ABB">
        <w:rPr>
          <w:bCs/>
        </w:rPr>
        <w:t>a</w:t>
      </w:r>
      <w:r w:rsidRPr="00815457">
        <w:rPr>
          <w:bCs/>
        </w:rPr>
        <w:t>voidance over a 20-year timeframe</w:t>
      </w:r>
      <w:r w:rsidR="00211078">
        <w:rPr>
          <w:bCs/>
        </w:rPr>
        <w:t xml:space="preserve"> is provided. The model also allows to </w:t>
      </w:r>
      <w:r w:rsidR="00211078">
        <w:t>c</w:t>
      </w:r>
      <w:r w:rsidRPr="007A51DB">
        <w:t xml:space="preserve">ontextualize </w:t>
      </w:r>
      <w:r w:rsidR="00211078">
        <w:t xml:space="preserve">the </w:t>
      </w:r>
      <w:r w:rsidRPr="007A51DB">
        <w:t xml:space="preserve">OPEX and </w:t>
      </w:r>
      <w:r w:rsidR="00866ABB" w:rsidRPr="007A51DB">
        <w:t>carbon pricing impact</w:t>
      </w:r>
      <w:r w:rsidR="00211078">
        <w:t xml:space="preserve"> and to f</w:t>
      </w:r>
      <w:r w:rsidRPr="007A51DB">
        <w:t xml:space="preserve">ocus </w:t>
      </w:r>
      <w:r w:rsidR="00866ABB" w:rsidRPr="007A51DB">
        <w:t>on climate finance accessibility</w:t>
      </w:r>
      <w:r w:rsidR="00866ABB">
        <w:t>.</w:t>
      </w:r>
    </w:p>
    <w:p w14:paraId="6AB0B6E0" w14:textId="77777777" w:rsidR="00211078" w:rsidRDefault="00211078" w:rsidP="00211078">
      <w:pPr>
        <w:pStyle w:val="CETBodytext"/>
        <w:rPr>
          <w:bCs/>
        </w:rPr>
      </w:pPr>
    </w:p>
    <w:p w14:paraId="21A4F50D" w14:textId="26B78B91" w:rsidR="00815457" w:rsidRDefault="00211078" w:rsidP="00211078">
      <w:pPr>
        <w:pStyle w:val="CETBodytext"/>
        <w:rPr>
          <w:b/>
        </w:rPr>
      </w:pPr>
      <w:r>
        <w:rPr>
          <w:bCs/>
        </w:rPr>
        <w:t xml:space="preserve">In conclusion, the </w:t>
      </w:r>
      <w:r w:rsidR="00815457" w:rsidRPr="007A51DB">
        <w:t xml:space="preserve">CEE&amp;C and LCOC </w:t>
      </w:r>
      <w:r w:rsidR="00866ABB" w:rsidRPr="007A51DB">
        <w:t xml:space="preserve">analysis is not </w:t>
      </w:r>
      <w:r>
        <w:t xml:space="preserve">only aimed at </w:t>
      </w:r>
      <w:r w:rsidR="00866ABB" w:rsidRPr="007A51DB">
        <w:t xml:space="preserve">ranking technologies but </w:t>
      </w:r>
      <w:r w:rsidR="00815457" w:rsidRPr="007A51DB">
        <w:t xml:space="preserve">ET </w:t>
      </w:r>
      <w:r w:rsidR="00866ABB" w:rsidRPr="007A51DB">
        <w:t>configurations in the decarbonization context</w:t>
      </w:r>
      <w:r>
        <w:t>.</w:t>
      </w:r>
    </w:p>
    <w:p w14:paraId="2DBAB89B" w14:textId="6F48D990" w:rsidR="00330573" w:rsidRPr="005F2EC9" w:rsidRDefault="00815457" w:rsidP="005F2EC9">
      <w:pPr>
        <w:pStyle w:val="CETBodytext"/>
      </w:pPr>
      <w:r>
        <w:lastRenderedPageBreak/>
        <w:t xml:space="preserve">For the selected option at the end of the Study the plan is the development of a </w:t>
      </w:r>
      <w:r w:rsidR="00DB4866">
        <w:t>Front-End</w:t>
      </w:r>
      <w:r w:rsidR="00BE3E02">
        <w:t xml:space="preserve"> Engineering </w:t>
      </w:r>
      <w:r w:rsidR="00DB4866">
        <w:t xml:space="preserve">and </w:t>
      </w:r>
      <w:r w:rsidR="00BE3E02">
        <w:t>Design (FEED)</w:t>
      </w:r>
      <w:r>
        <w:t xml:space="preserve"> and a more accurate Cost Estimate (CE) and </w:t>
      </w:r>
      <w:r w:rsidR="004052EE">
        <w:t>to align with the country investors and financing institution.</w:t>
      </w:r>
      <w:r w:rsidR="004052EE" w:rsidRPr="004052EE">
        <w:t xml:space="preserve"> Similar studies with the CEE&amp;C model results (LCOC in a PCDA) can support climate ambitions, stakeholders needs and investors expectation in the geographical Decarbonization ambition and strategy.</w:t>
      </w:r>
    </w:p>
    <w:p w14:paraId="74C7A28E" w14:textId="77777777" w:rsidR="005F2EC9" w:rsidRPr="00280FAF" w:rsidRDefault="005F2EC9" w:rsidP="005F2EC9">
      <w:pPr>
        <w:pStyle w:val="CETHeadingxx"/>
        <w:rPr>
          <w:lang w:val="en-GB"/>
        </w:rPr>
        <w:sectPr w:rsidR="005F2EC9" w:rsidRPr="00280FAF" w:rsidSect="007D0951">
          <w:type w:val="continuous"/>
          <w:pgSz w:w="11906" w:h="16838" w:code="9"/>
          <w:pgMar w:top="1701" w:right="1418" w:bottom="1701" w:left="1701" w:header="1701" w:footer="0" w:gutter="0"/>
          <w:cols w:space="708"/>
          <w:formProt w:val="0"/>
          <w:titlePg/>
          <w:docGrid w:linePitch="360"/>
        </w:sectPr>
      </w:pPr>
      <w:r>
        <w:t>Nomenclature</w:t>
      </w:r>
    </w:p>
    <w:p w14:paraId="0EC13427" w14:textId="068906EA" w:rsidR="005F2EC9" w:rsidRPr="00280FAF" w:rsidRDefault="00741A2C" w:rsidP="005F2EC9">
      <w:pPr>
        <w:pStyle w:val="CETBodytext"/>
        <w:jc w:val="left"/>
        <w:rPr>
          <w:rFonts w:eastAsia="SimSun"/>
        </w:rPr>
      </w:pPr>
      <w:r>
        <w:rPr>
          <w:rFonts w:eastAsia="SimSun"/>
        </w:rPr>
        <w:t>CAPEX</w:t>
      </w:r>
      <w:r w:rsidR="005F2EC9" w:rsidRPr="00280FAF">
        <w:rPr>
          <w:rFonts w:eastAsia="SimSun"/>
        </w:rPr>
        <w:t xml:space="preserve"> – </w:t>
      </w:r>
      <w:r>
        <w:rPr>
          <w:rFonts w:eastAsia="SimSun"/>
        </w:rPr>
        <w:t>Capital Expenditure</w:t>
      </w:r>
      <w:r w:rsidR="00330573">
        <w:rPr>
          <w:rFonts w:eastAsia="SimSun"/>
        </w:rPr>
        <w:t xml:space="preserve">                                               LCOC </w:t>
      </w:r>
      <w:r w:rsidR="00330573" w:rsidRPr="00280FAF">
        <w:rPr>
          <w:rFonts w:eastAsia="SimSun"/>
        </w:rPr>
        <w:t>–</w:t>
      </w:r>
      <w:r w:rsidR="00330573">
        <w:rPr>
          <w:rFonts w:eastAsia="SimSun"/>
        </w:rPr>
        <w:t xml:space="preserve"> Levelized Cost of Carbon</w:t>
      </w:r>
    </w:p>
    <w:p w14:paraId="7F13AD9B" w14:textId="70F203AA" w:rsidR="005F2EC9" w:rsidRPr="00280FAF" w:rsidRDefault="005F2EC9" w:rsidP="005F2EC9">
      <w:pPr>
        <w:pStyle w:val="CETBodytext"/>
        <w:jc w:val="left"/>
        <w:rPr>
          <w:rFonts w:eastAsia="SimSun"/>
        </w:rPr>
        <w:sectPr w:rsidR="005F2EC9" w:rsidRPr="00280FAF" w:rsidSect="0077098D">
          <w:type w:val="continuous"/>
          <w:pgSz w:w="11906" w:h="16838" w:code="9"/>
          <w:pgMar w:top="1701" w:right="1418" w:bottom="1701" w:left="1701" w:header="1701" w:footer="0" w:gutter="0"/>
          <w:cols w:space="708"/>
          <w:formProt w:val="0"/>
          <w:titlePg/>
          <w:docGrid w:linePitch="360"/>
        </w:sectPr>
      </w:pPr>
    </w:p>
    <w:p w14:paraId="65DA9B88" w14:textId="1585EC08" w:rsidR="00DB4866" w:rsidRDefault="00DB4866" w:rsidP="005F2EC9">
      <w:pPr>
        <w:pStyle w:val="CETBodytext"/>
        <w:jc w:val="left"/>
        <w:rPr>
          <w:rFonts w:eastAsia="SimSun"/>
        </w:rPr>
      </w:pPr>
      <w:r>
        <w:rPr>
          <w:rFonts w:eastAsia="SimSun"/>
        </w:rPr>
        <w:t>CEE&amp;C</w:t>
      </w:r>
      <w:r w:rsidRPr="00280FAF">
        <w:rPr>
          <w:rFonts w:eastAsia="SimSun"/>
        </w:rPr>
        <w:t xml:space="preserve"> – </w:t>
      </w:r>
      <w:r>
        <w:rPr>
          <w:rFonts w:eastAsia="SimSun"/>
        </w:rPr>
        <w:t xml:space="preserve">Carbon Energy Environmental </w:t>
      </w:r>
      <w:r w:rsidR="00330573">
        <w:rPr>
          <w:rFonts w:eastAsia="SimSun"/>
        </w:rPr>
        <w:t>&amp;</w:t>
      </w:r>
      <w:r>
        <w:rPr>
          <w:rFonts w:eastAsia="SimSun"/>
        </w:rPr>
        <w:t xml:space="preserve"> Cost</w:t>
      </w:r>
      <w:r w:rsidR="00330573">
        <w:rPr>
          <w:rFonts w:eastAsia="SimSun"/>
        </w:rPr>
        <w:t xml:space="preserve"> </w:t>
      </w:r>
      <w:r>
        <w:rPr>
          <w:rFonts w:eastAsia="SimSun"/>
        </w:rPr>
        <w:t>Model</w:t>
      </w:r>
    </w:p>
    <w:p w14:paraId="34E7D224" w14:textId="4143ECA7" w:rsidR="005F2EC9" w:rsidRDefault="005F2EC9" w:rsidP="005F2EC9">
      <w:pPr>
        <w:pStyle w:val="CETBodytext"/>
        <w:jc w:val="left"/>
        <w:rPr>
          <w:rFonts w:eastAsia="SimSun"/>
        </w:rPr>
      </w:pPr>
      <w:r>
        <w:rPr>
          <w:rFonts w:eastAsia="SimSun"/>
        </w:rPr>
        <w:t>CE – Cost Estimate</w:t>
      </w:r>
    </w:p>
    <w:p w14:paraId="05460335" w14:textId="77777777" w:rsidR="005F2EC9" w:rsidRPr="00280FAF" w:rsidRDefault="005F2EC9" w:rsidP="005F2EC9">
      <w:pPr>
        <w:pStyle w:val="CETBodytext"/>
        <w:jc w:val="left"/>
        <w:rPr>
          <w:rFonts w:eastAsia="SimSun"/>
        </w:rPr>
      </w:pPr>
      <w:r>
        <w:rPr>
          <w:rFonts w:eastAsia="SimSun"/>
        </w:rPr>
        <w:t>CTG</w:t>
      </w:r>
      <w:r w:rsidRPr="00280FAF">
        <w:rPr>
          <w:rFonts w:eastAsia="SimSun"/>
        </w:rPr>
        <w:t xml:space="preserve"> – </w:t>
      </w:r>
      <w:r>
        <w:rPr>
          <w:rFonts w:eastAsia="SimSun"/>
        </w:rPr>
        <w:t>Product Carbon Footprint</w:t>
      </w:r>
    </w:p>
    <w:p w14:paraId="160705E4" w14:textId="77777777" w:rsidR="005F2EC9" w:rsidRPr="00280FAF" w:rsidRDefault="005F2EC9" w:rsidP="005F2EC9">
      <w:pPr>
        <w:pStyle w:val="CETBodytext"/>
        <w:jc w:val="left"/>
        <w:rPr>
          <w:rFonts w:eastAsia="SimSun"/>
        </w:rPr>
      </w:pPr>
      <w:r>
        <w:rPr>
          <w:rFonts w:eastAsia="SimSun"/>
        </w:rPr>
        <w:t>ET</w:t>
      </w:r>
      <w:r w:rsidRPr="00280FAF">
        <w:rPr>
          <w:rFonts w:eastAsia="SimSun"/>
        </w:rPr>
        <w:t xml:space="preserve"> – </w:t>
      </w:r>
      <w:r>
        <w:rPr>
          <w:rFonts w:eastAsia="SimSun"/>
        </w:rPr>
        <w:t>Energy Transition</w:t>
      </w:r>
    </w:p>
    <w:p w14:paraId="23CE824F" w14:textId="77777777" w:rsidR="005F2EC9" w:rsidRDefault="005F2EC9" w:rsidP="005F2EC9">
      <w:pPr>
        <w:pStyle w:val="CETBodytext"/>
        <w:jc w:val="left"/>
        <w:rPr>
          <w:rFonts w:eastAsia="SimSun"/>
        </w:rPr>
      </w:pPr>
      <w:r>
        <w:rPr>
          <w:rFonts w:eastAsia="SimSun"/>
        </w:rPr>
        <w:t>FEED</w:t>
      </w:r>
      <w:r w:rsidRPr="00280FAF">
        <w:rPr>
          <w:rFonts w:eastAsia="SimSun"/>
        </w:rPr>
        <w:t xml:space="preserve"> – </w:t>
      </w:r>
      <w:r>
        <w:rPr>
          <w:rFonts w:eastAsia="SimSun"/>
        </w:rPr>
        <w:t>Front End Engineering Design</w:t>
      </w:r>
      <w:r w:rsidRPr="00280FAF">
        <w:rPr>
          <w:rFonts w:eastAsia="SimSun"/>
        </w:rPr>
        <w:t xml:space="preserve"> </w:t>
      </w:r>
    </w:p>
    <w:p w14:paraId="3C57E312" w14:textId="37C1EF09" w:rsidR="005F2EC9" w:rsidRDefault="005F2EC9" w:rsidP="005F2EC9">
      <w:pPr>
        <w:pStyle w:val="CETBodytext"/>
        <w:jc w:val="left"/>
        <w:rPr>
          <w:rFonts w:eastAsia="SimSun"/>
        </w:rPr>
      </w:pPr>
      <w:r>
        <w:rPr>
          <w:rFonts w:eastAsia="SimSun"/>
        </w:rPr>
        <w:t>GHG – Greenhouse Gas</w:t>
      </w:r>
    </w:p>
    <w:p w14:paraId="42CE0332" w14:textId="7EE3F08F" w:rsidR="00741A2C" w:rsidRDefault="00741A2C" w:rsidP="005F2EC9">
      <w:pPr>
        <w:pStyle w:val="CETBodytext"/>
        <w:jc w:val="left"/>
        <w:rPr>
          <w:rFonts w:eastAsia="SimSun"/>
        </w:rPr>
      </w:pPr>
      <w:r>
        <w:rPr>
          <w:rFonts w:eastAsia="SimSun"/>
        </w:rPr>
        <w:t xml:space="preserve">IF </w:t>
      </w:r>
      <w:r w:rsidRPr="00280FAF">
        <w:rPr>
          <w:rFonts w:eastAsia="SimSun"/>
        </w:rPr>
        <w:t>–</w:t>
      </w:r>
      <w:r>
        <w:rPr>
          <w:rFonts w:eastAsia="SimSun"/>
        </w:rPr>
        <w:t xml:space="preserve"> Innovation Fund</w:t>
      </w:r>
    </w:p>
    <w:p w14:paraId="3174ECE4" w14:textId="1A2DC9BD" w:rsidR="00741A2C" w:rsidRPr="00280FAF" w:rsidRDefault="00741A2C" w:rsidP="005F2EC9">
      <w:pPr>
        <w:pStyle w:val="CETBodytext"/>
        <w:jc w:val="left"/>
        <w:rPr>
          <w:rFonts w:eastAsia="SimSun"/>
        </w:rPr>
      </w:pPr>
      <w:r>
        <w:rPr>
          <w:rFonts w:eastAsia="SimSun"/>
        </w:rPr>
        <w:t xml:space="preserve">IRR </w:t>
      </w:r>
      <w:r w:rsidRPr="00280FAF">
        <w:rPr>
          <w:rFonts w:eastAsia="SimSun"/>
        </w:rPr>
        <w:t>–</w:t>
      </w:r>
      <w:r>
        <w:rPr>
          <w:rFonts w:eastAsia="SimSun"/>
        </w:rPr>
        <w:t xml:space="preserve"> Internal Rate of Return </w:t>
      </w:r>
    </w:p>
    <w:p w14:paraId="4CAEFDF2" w14:textId="77777777" w:rsidR="005F2EC9" w:rsidRDefault="005F2EC9" w:rsidP="005F2EC9">
      <w:pPr>
        <w:pStyle w:val="CETBodytext"/>
        <w:jc w:val="left"/>
        <w:rPr>
          <w:rFonts w:eastAsia="SimSun"/>
        </w:rPr>
      </w:pPr>
      <w:r>
        <w:rPr>
          <w:rFonts w:eastAsia="SimSun"/>
        </w:rPr>
        <w:t xml:space="preserve">KPI </w:t>
      </w:r>
      <w:r w:rsidRPr="00280FAF">
        <w:rPr>
          <w:rFonts w:eastAsia="SimSun"/>
        </w:rPr>
        <w:t>–</w:t>
      </w:r>
      <w:r>
        <w:rPr>
          <w:rFonts w:eastAsia="SimSun"/>
        </w:rPr>
        <w:t xml:space="preserve"> Key Performance Indicators</w:t>
      </w:r>
    </w:p>
    <w:p w14:paraId="6D4C6500" w14:textId="77777777" w:rsidR="005F2EC9" w:rsidRDefault="005F2EC9" w:rsidP="005F2EC9">
      <w:pPr>
        <w:pStyle w:val="CETBodytext"/>
        <w:jc w:val="left"/>
        <w:rPr>
          <w:rFonts w:eastAsia="SimSun"/>
        </w:rPr>
      </w:pPr>
      <w:r>
        <w:rPr>
          <w:rFonts w:eastAsia="SimSun"/>
        </w:rPr>
        <w:t xml:space="preserve">LCA </w:t>
      </w:r>
      <w:r w:rsidRPr="00280FAF">
        <w:rPr>
          <w:rFonts w:eastAsia="SimSun"/>
        </w:rPr>
        <w:t>–</w:t>
      </w:r>
      <w:r>
        <w:rPr>
          <w:rFonts w:eastAsia="SimSun"/>
        </w:rPr>
        <w:t xml:space="preserve"> Life Cycle Assessment</w:t>
      </w:r>
    </w:p>
    <w:p w14:paraId="08C015FF" w14:textId="584F7F8A" w:rsidR="00741A2C" w:rsidRDefault="00741A2C" w:rsidP="005F2EC9">
      <w:pPr>
        <w:pStyle w:val="CETBodytext"/>
        <w:jc w:val="left"/>
        <w:rPr>
          <w:rFonts w:eastAsia="SimSun"/>
        </w:rPr>
      </w:pPr>
      <w:r>
        <w:rPr>
          <w:rFonts w:eastAsia="SimSun"/>
        </w:rPr>
        <w:t xml:space="preserve">LCOP </w:t>
      </w:r>
      <w:r w:rsidRPr="00280FAF">
        <w:rPr>
          <w:rFonts w:eastAsia="SimSun"/>
        </w:rPr>
        <w:t>–</w:t>
      </w:r>
      <w:r>
        <w:rPr>
          <w:rFonts w:eastAsia="SimSun"/>
        </w:rPr>
        <w:t xml:space="preserve"> Levelized Cost of Product</w:t>
      </w:r>
    </w:p>
    <w:p w14:paraId="3D30B52B" w14:textId="0990880D" w:rsidR="005F2EC9" w:rsidRDefault="005F2EC9" w:rsidP="005F2EC9">
      <w:pPr>
        <w:pStyle w:val="CETBodytext"/>
        <w:jc w:val="left"/>
        <w:rPr>
          <w:rFonts w:eastAsia="SimSun"/>
        </w:rPr>
      </w:pPr>
      <w:r>
        <w:rPr>
          <w:rFonts w:eastAsia="SimSun"/>
        </w:rPr>
        <w:t>IRR</w:t>
      </w:r>
      <w:r w:rsidRPr="00280FAF">
        <w:rPr>
          <w:rFonts w:eastAsia="SimSun"/>
        </w:rPr>
        <w:t xml:space="preserve"> – </w:t>
      </w:r>
      <w:r>
        <w:rPr>
          <w:rFonts w:eastAsia="SimSun"/>
        </w:rPr>
        <w:t>Internal Rate of Return</w:t>
      </w:r>
    </w:p>
    <w:p w14:paraId="1CA18456" w14:textId="659F95EC" w:rsidR="005F2EC9" w:rsidRPr="00280FAF" w:rsidRDefault="005F2EC9" w:rsidP="005F2EC9">
      <w:pPr>
        <w:pStyle w:val="CETBodytext"/>
        <w:jc w:val="left"/>
        <w:rPr>
          <w:rFonts w:eastAsia="SimSun"/>
        </w:rPr>
      </w:pPr>
      <w:r>
        <w:rPr>
          <w:rFonts w:eastAsia="SimSun"/>
        </w:rPr>
        <w:t>MEF</w:t>
      </w:r>
      <w:r w:rsidRPr="00280FAF">
        <w:rPr>
          <w:rFonts w:eastAsia="SimSun"/>
        </w:rPr>
        <w:t xml:space="preserve"> – </w:t>
      </w:r>
      <w:r>
        <w:rPr>
          <w:rFonts w:eastAsia="SimSun"/>
        </w:rPr>
        <w:t>Modelling Economic &amp; Financial Tool</w:t>
      </w:r>
    </w:p>
    <w:p w14:paraId="6BDE3CE6" w14:textId="77777777" w:rsidR="005F2EC9" w:rsidRDefault="005F2EC9" w:rsidP="005F2EC9">
      <w:pPr>
        <w:pStyle w:val="CETBodytext"/>
        <w:jc w:val="left"/>
        <w:rPr>
          <w:rFonts w:eastAsia="SimSun"/>
        </w:rPr>
      </w:pPr>
      <w:r>
        <w:rPr>
          <w:rFonts w:eastAsia="SimSun"/>
        </w:rPr>
        <w:t xml:space="preserve">NPV </w:t>
      </w:r>
      <w:r w:rsidRPr="00280FAF">
        <w:rPr>
          <w:rFonts w:eastAsia="SimSun"/>
        </w:rPr>
        <w:t>–</w:t>
      </w:r>
      <w:r>
        <w:rPr>
          <w:rFonts w:eastAsia="SimSun"/>
        </w:rPr>
        <w:t xml:space="preserve"> Net Present Value</w:t>
      </w:r>
    </w:p>
    <w:p w14:paraId="00CD5CD3" w14:textId="0BB46457" w:rsidR="00741A2C" w:rsidRDefault="00741A2C" w:rsidP="005F2EC9">
      <w:pPr>
        <w:pStyle w:val="CETBodytext"/>
        <w:jc w:val="left"/>
        <w:rPr>
          <w:rFonts w:eastAsia="SimSun"/>
        </w:rPr>
      </w:pPr>
      <w:r>
        <w:rPr>
          <w:rFonts w:eastAsia="SimSun"/>
        </w:rPr>
        <w:t xml:space="preserve">OPEX </w:t>
      </w:r>
      <w:r w:rsidRPr="00280FAF">
        <w:rPr>
          <w:rFonts w:eastAsia="SimSun"/>
        </w:rPr>
        <w:t>–</w:t>
      </w:r>
      <w:r>
        <w:rPr>
          <w:rFonts w:eastAsia="SimSun"/>
        </w:rPr>
        <w:t xml:space="preserve"> Operational Expenditure</w:t>
      </w:r>
    </w:p>
    <w:p w14:paraId="1D1286E7" w14:textId="77777777" w:rsidR="005F2EC9" w:rsidRPr="00D72AA6" w:rsidRDefault="005F2EC9" w:rsidP="005F2EC9">
      <w:pPr>
        <w:pStyle w:val="CETBodytext"/>
        <w:jc w:val="left"/>
        <w:rPr>
          <w:rFonts w:eastAsia="SimSun"/>
        </w:rPr>
      </w:pPr>
      <w:r>
        <w:rPr>
          <w:rFonts w:eastAsia="SimSun"/>
        </w:rPr>
        <w:t xml:space="preserve">PCDA </w:t>
      </w:r>
      <w:r w:rsidRPr="00280FAF">
        <w:rPr>
          <w:rFonts w:eastAsia="SimSun"/>
        </w:rPr>
        <w:t>–</w:t>
      </w:r>
      <w:r>
        <w:rPr>
          <w:rFonts w:eastAsia="SimSun"/>
        </w:rPr>
        <w:t xml:space="preserve"> Project to Context Decarbonization Analysis</w:t>
      </w:r>
      <w:r w:rsidRPr="00D72AA6">
        <w:rPr>
          <w:rFonts w:eastAsia="SimSun"/>
        </w:rPr>
        <w:t xml:space="preserve"> </w:t>
      </w:r>
    </w:p>
    <w:p w14:paraId="582236C5" w14:textId="77777777" w:rsidR="005F2EC9" w:rsidRPr="00240B87" w:rsidRDefault="005F2EC9" w:rsidP="005F2EC9">
      <w:pPr>
        <w:pStyle w:val="CETBodytext"/>
        <w:jc w:val="left"/>
        <w:rPr>
          <w:rFonts w:eastAsia="SimSun"/>
        </w:rPr>
      </w:pPr>
      <w:r w:rsidRPr="00240B87">
        <w:rPr>
          <w:rFonts w:eastAsia="SimSun"/>
        </w:rPr>
        <w:t>POE – Pre-Operating</w:t>
      </w:r>
      <w:r>
        <w:rPr>
          <w:rFonts w:eastAsia="SimSun"/>
        </w:rPr>
        <w:t xml:space="preserve"> </w:t>
      </w:r>
      <w:r w:rsidRPr="00240B87">
        <w:rPr>
          <w:rFonts w:eastAsia="SimSun"/>
        </w:rPr>
        <w:t>Expenses</w:t>
      </w:r>
    </w:p>
    <w:p w14:paraId="056EACC3" w14:textId="77777777" w:rsidR="005F2EC9" w:rsidRPr="00240B87" w:rsidRDefault="005F2EC9" w:rsidP="005F2EC9">
      <w:pPr>
        <w:pStyle w:val="CETBodytext"/>
        <w:jc w:val="left"/>
        <w:rPr>
          <w:rFonts w:eastAsia="SimSun"/>
        </w:rPr>
      </w:pPr>
      <w:r w:rsidRPr="00240B87">
        <w:rPr>
          <w:rFonts w:eastAsia="SimSun"/>
        </w:rPr>
        <w:t xml:space="preserve">POT – </w:t>
      </w:r>
      <w:r>
        <w:rPr>
          <w:rFonts w:eastAsia="SimSun"/>
        </w:rPr>
        <w:t>Pay-Out Time</w:t>
      </w:r>
    </w:p>
    <w:p w14:paraId="1C7158B2" w14:textId="2AC7B76E" w:rsidR="00741A2C" w:rsidRDefault="00741A2C" w:rsidP="005F2EC9">
      <w:pPr>
        <w:pStyle w:val="CETBodytext"/>
        <w:jc w:val="left"/>
        <w:rPr>
          <w:rFonts w:eastAsia="SimSun"/>
        </w:rPr>
      </w:pPr>
      <w:r>
        <w:rPr>
          <w:rFonts w:eastAsia="SimSun"/>
        </w:rPr>
        <w:t xml:space="preserve">ROI </w:t>
      </w:r>
      <w:r w:rsidRPr="00280FAF">
        <w:rPr>
          <w:rFonts w:eastAsia="SimSun"/>
        </w:rPr>
        <w:t>–</w:t>
      </w:r>
      <w:r>
        <w:rPr>
          <w:rFonts w:eastAsia="SimSun"/>
        </w:rPr>
        <w:t xml:space="preserve"> Return on Investment</w:t>
      </w:r>
    </w:p>
    <w:p w14:paraId="53CED4B9" w14:textId="7CDCBF6D" w:rsidR="005F2EC9" w:rsidRPr="00E377D0" w:rsidRDefault="00741A2C" w:rsidP="005F2EC9">
      <w:pPr>
        <w:pStyle w:val="CETBodytext"/>
        <w:jc w:val="left"/>
        <w:rPr>
          <w:rFonts w:eastAsia="SimSun"/>
        </w:rPr>
        <w:sectPr w:rsidR="005F2EC9" w:rsidRPr="00E377D0" w:rsidSect="00200ECB">
          <w:type w:val="continuous"/>
          <w:pgSz w:w="11906" w:h="16838" w:code="9"/>
          <w:pgMar w:top="1701" w:right="1418" w:bottom="1701" w:left="1701" w:header="1701" w:footer="0" w:gutter="0"/>
          <w:cols w:num="2" w:space="708"/>
          <w:formProt w:val="0"/>
          <w:titlePg/>
          <w:docGrid w:linePitch="360"/>
        </w:sectPr>
      </w:pPr>
      <w:r w:rsidRPr="00741A2C">
        <w:rPr>
          <w:rFonts w:eastAsia="SimSun"/>
        </w:rPr>
        <w:t>TIC</w:t>
      </w:r>
      <w:r w:rsidR="005F2EC9" w:rsidRPr="00D72AA6">
        <w:rPr>
          <w:rFonts w:eastAsia="SimSun"/>
        </w:rPr>
        <w:t xml:space="preserve"> – </w:t>
      </w:r>
      <w:r>
        <w:rPr>
          <w:rFonts w:eastAsia="SimSun"/>
        </w:rPr>
        <w:t>Total Investment Cos</w:t>
      </w:r>
      <w:r w:rsidR="00330573">
        <w:rPr>
          <w:rFonts w:eastAsia="SimSun"/>
        </w:rPr>
        <w:t>t</w:t>
      </w:r>
    </w:p>
    <w:p w14:paraId="459D05E6" w14:textId="3B51863C" w:rsidR="00600535" w:rsidRPr="00B57B36" w:rsidRDefault="00600535" w:rsidP="00600535">
      <w:pPr>
        <w:pStyle w:val="CETAcknowledgementstitle"/>
      </w:pPr>
      <w:r w:rsidRPr="00B57B36">
        <w:t>Acknowledgments</w:t>
      </w:r>
    </w:p>
    <w:p w14:paraId="2E15D8BA" w14:textId="77777777" w:rsidR="004052EE" w:rsidRPr="004052EE" w:rsidRDefault="004052EE" w:rsidP="004052EE">
      <w:pPr>
        <w:pStyle w:val="CETBodytext"/>
      </w:pPr>
      <w:r w:rsidRPr="004052EE">
        <w:t>Valeria Bernardini: Conceptualization, Methodology, Supervision, Software, Validation.</w:t>
      </w:r>
    </w:p>
    <w:p w14:paraId="17282952" w14:textId="77777777" w:rsidR="004052EE" w:rsidRPr="004052EE" w:rsidRDefault="004052EE" w:rsidP="004052EE">
      <w:pPr>
        <w:pStyle w:val="CETBodytext"/>
      </w:pPr>
      <w:r w:rsidRPr="004052EE">
        <w:t>Maria Valeria Ermini: Data curation, Formal analysis, Writing - original draft.</w:t>
      </w:r>
    </w:p>
    <w:p w14:paraId="7AC5E8C8" w14:textId="77777777" w:rsidR="004052EE" w:rsidRPr="004052EE" w:rsidRDefault="004052EE" w:rsidP="004052EE">
      <w:pPr>
        <w:pStyle w:val="CETBodytext"/>
      </w:pPr>
      <w:r w:rsidRPr="004052EE">
        <w:t>Marco Verna: Conceptualization, Supervision, Software, Validation, Writing – review, Project administration.</w:t>
      </w:r>
    </w:p>
    <w:p w14:paraId="15803120" w14:textId="3DEF6E75" w:rsidR="004052EE" w:rsidRPr="004052EE" w:rsidRDefault="004052EE" w:rsidP="004052EE">
      <w:pPr>
        <w:pStyle w:val="CETBodytext"/>
      </w:pPr>
      <w:r w:rsidRPr="004052EE">
        <w:t xml:space="preserve">Luca </w:t>
      </w:r>
      <w:r>
        <w:t>G.</w:t>
      </w:r>
      <w:r w:rsidRPr="004052EE">
        <w:t xml:space="preserve"> Campana: Resources, Supervision, Project administration.</w:t>
      </w:r>
    </w:p>
    <w:p w14:paraId="71E964D3" w14:textId="77777777" w:rsidR="004052EE" w:rsidRPr="004052EE" w:rsidRDefault="004052EE" w:rsidP="004052EE">
      <w:pPr>
        <w:pStyle w:val="CETBodytext"/>
      </w:pPr>
      <w:r w:rsidRPr="004052EE">
        <w:t>Arzu Abdullaeva: Data curation, Writing - review &amp; editing.</w:t>
      </w:r>
    </w:p>
    <w:p w14:paraId="735AFF34" w14:textId="77777777" w:rsidR="004052EE" w:rsidRPr="004052EE" w:rsidRDefault="004052EE" w:rsidP="004052EE">
      <w:pPr>
        <w:pStyle w:val="CETBodytext"/>
      </w:pPr>
      <w:r w:rsidRPr="004052EE">
        <w:t xml:space="preserve">The authors would like to thank Helen Coleman, </w:t>
      </w:r>
      <w:r w:rsidRPr="004052EE">
        <w:rPr>
          <w:rStyle w:val="ui-provider"/>
        </w:rPr>
        <w:t xml:space="preserve">Luigi Fiorentino, Gianluca Florio, Samir Mammedov </w:t>
      </w:r>
      <w:r w:rsidRPr="004052EE">
        <w:t xml:space="preserve">for the opportunity provided, the constant support and their thorough review of the results. </w:t>
      </w:r>
    </w:p>
    <w:p w14:paraId="3A3E1931" w14:textId="6C61B639" w:rsidR="00D82784" w:rsidRDefault="004052EE" w:rsidP="00D82784">
      <w:pPr>
        <w:pStyle w:val="CETBodytext"/>
      </w:pPr>
      <w:r w:rsidRPr="004052EE">
        <w:t xml:space="preserve">The authors would also like to acknowledge the significant work and effort undertaken by all the involved Technip Energies technology experts. </w:t>
      </w:r>
    </w:p>
    <w:p w14:paraId="39748955" w14:textId="53A469C9" w:rsidR="004052EE" w:rsidRDefault="00600535" w:rsidP="005B0F5D">
      <w:pPr>
        <w:pStyle w:val="CETReference"/>
      </w:pPr>
      <w:r w:rsidRPr="00B57B36">
        <w:t>Reference</w:t>
      </w:r>
      <w:r w:rsidR="00F77646">
        <w:t>s</w:t>
      </w:r>
    </w:p>
    <w:p w14:paraId="558FAC13" w14:textId="6FAB8A8B" w:rsidR="00397EFD" w:rsidRPr="00CC3DA9" w:rsidRDefault="004052EE" w:rsidP="00397EFD">
      <w:pPr>
        <w:pStyle w:val="CETReferencetext"/>
      </w:pPr>
      <w:r w:rsidRPr="00CC3DA9">
        <w:t>European Commission,</w:t>
      </w:r>
      <w:r w:rsidR="00D82784">
        <w:t xml:space="preserve"> 2009,</w:t>
      </w:r>
      <w:r w:rsidRPr="00CC3DA9">
        <w:t xml:space="preserve"> Best Available Techniques (BAT) Reference Document for Energy Efficiency, European Commission – Joint Research Centre – Institute for Prospective Technological Studies, Luxembourg,</w:t>
      </w:r>
      <w:r w:rsidR="00D82784">
        <w:t xml:space="preserve"> </w:t>
      </w:r>
      <w:r w:rsidR="00A02DBF" w:rsidRPr="00CC3DA9">
        <w:t>&lt;</w:t>
      </w:r>
      <w:r w:rsidRPr="00CC3DA9">
        <w:t>eippcb.jrc.ec.europa.eu/sites/default/files/2021-09/ENE_Adopted_02-2009corrected20210914.pdf</w:t>
      </w:r>
      <w:r w:rsidR="00A02DBF" w:rsidRPr="00CC3DA9">
        <w:t>&gt;</w:t>
      </w:r>
    </w:p>
    <w:p w14:paraId="1593B5CA" w14:textId="6724AACE" w:rsidR="00397EFD" w:rsidRPr="00CC3DA9" w:rsidRDefault="004052EE" w:rsidP="00397EFD">
      <w:pPr>
        <w:pStyle w:val="CETReferencetext"/>
      </w:pPr>
      <w:r w:rsidRPr="00CC3DA9">
        <w:t>European Commission,</w:t>
      </w:r>
      <w:r w:rsidR="0009111A">
        <w:t xml:space="preserve"> 2015,</w:t>
      </w:r>
      <w:r w:rsidRPr="00CC3DA9">
        <w:t xml:space="preserve"> Best Available Techniques (BAT) Reference Document for the Refining of Mineral Oil and Gas, European Commission – Joint Research Centre – Institute for Prospective Technological Studies, Luxembourg</w:t>
      </w:r>
      <w:r w:rsidR="0009111A">
        <w:t xml:space="preserve"> </w:t>
      </w:r>
      <w:r w:rsidR="00A02DBF" w:rsidRPr="00CC3DA9">
        <w:t>&lt;</w:t>
      </w:r>
      <w:r w:rsidRPr="00CC3DA9">
        <w:t>eippcb.jrc.ec.europa.eu/sites/default/files/2019-11/REF_BREF_2015.pdf</w:t>
      </w:r>
      <w:r w:rsidR="00A02DBF" w:rsidRPr="00CC3DA9">
        <w:t>&gt;</w:t>
      </w:r>
    </w:p>
    <w:p w14:paraId="7486803A" w14:textId="77777777" w:rsidR="00397EFD" w:rsidRPr="00CC3DA9" w:rsidRDefault="004052EE" w:rsidP="00397EFD">
      <w:pPr>
        <w:pStyle w:val="CETReferencetext"/>
        <w:rPr>
          <w:lang w:val="en-US"/>
        </w:rPr>
      </w:pPr>
      <w:r w:rsidRPr="00CC3DA9">
        <w:rPr>
          <w:lang w:val="en-US"/>
        </w:rPr>
        <w:t>European Commission, EU Emission Trading System (EU ETS) Revision for phase 4 (2021-2030)</w:t>
      </w:r>
      <w:r w:rsidR="00A02DBF" w:rsidRPr="00CC3DA9">
        <w:rPr>
          <w:lang w:val="en-US"/>
        </w:rPr>
        <w:t xml:space="preserve"> &lt;</w:t>
      </w:r>
      <w:r w:rsidRPr="00CC3DA9">
        <w:rPr>
          <w:lang w:val="en-US"/>
        </w:rPr>
        <w:t>climate.ec.europa.eu/eu-action/eu-emissions-trading-system-eu-ets/revision-phase-4-2021-2030_en</w:t>
      </w:r>
      <w:r w:rsidR="00A02DBF" w:rsidRPr="00CC3DA9">
        <w:rPr>
          <w:lang w:val="en-US"/>
        </w:rPr>
        <w:t>&gt;</w:t>
      </w:r>
    </w:p>
    <w:p w14:paraId="58C395E9" w14:textId="5AA535F4" w:rsidR="00397EFD" w:rsidRDefault="004052EE" w:rsidP="00397EFD">
      <w:pPr>
        <w:pStyle w:val="CETReferencetext"/>
      </w:pPr>
      <w:r w:rsidRPr="00CC3DA9">
        <w:t xml:space="preserve">European Commission, </w:t>
      </w:r>
      <w:r w:rsidR="0009111A">
        <w:t xml:space="preserve">2022, </w:t>
      </w:r>
      <w:r w:rsidRPr="00CC3DA9">
        <w:t xml:space="preserve">EU Grants: </w:t>
      </w:r>
      <w:proofErr w:type="spellStart"/>
      <w:r w:rsidRPr="00CC3DA9">
        <w:t>InnovFund</w:t>
      </w:r>
      <w:proofErr w:type="spellEnd"/>
      <w:r w:rsidRPr="00CC3DA9">
        <w:t xml:space="preserve"> Relevant Cost Methodology: V1.0</w:t>
      </w:r>
      <w:r w:rsidR="0009111A">
        <w:t xml:space="preserve"> </w:t>
      </w:r>
      <w:r w:rsidR="00A02DBF" w:rsidRPr="00CC3DA9">
        <w:t>&lt;</w:t>
      </w:r>
      <w:r w:rsidRPr="00CC3DA9">
        <w:t>ec.europa.eu/info/funding-tenders/opportunities/docs/2021-2027/innovfund/guidance/relevant-cost-methodology_innovfund_v1.0_en.pdf</w:t>
      </w:r>
      <w:r w:rsidR="00A02DBF" w:rsidRPr="00CC3DA9">
        <w:t>&gt;</w:t>
      </w:r>
    </w:p>
    <w:p w14:paraId="012887C1" w14:textId="0D52AA11" w:rsidR="009B4CDF" w:rsidRPr="009B4CDF" w:rsidRDefault="009B4CDF" w:rsidP="009B4CDF">
      <w:pPr>
        <w:pStyle w:val="CETReferencetext"/>
        <w:rPr>
          <w:lang w:val="en-US"/>
        </w:rPr>
      </w:pPr>
      <w:r w:rsidRPr="009B4CDF">
        <w:rPr>
          <w:lang w:val="en-US"/>
        </w:rPr>
        <w:t>Europea</w:t>
      </w:r>
      <w:r>
        <w:rPr>
          <w:lang w:val="en-US"/>
        </w:rPr>
        <w:t>n</w:t>
      </w:r>
      <w:r w:rsidRPr="009B4CDF">
        <w:rPr>
          <w:lang w:val="en-US"/>
        </w:rPr>
        <w:t xml:space="preserve"> Commission, 2011, Guidance Document n°9</w:t>
      </w:r>
      <w:r>
        <w:t xml:space="preserve"> on the harmonized free allocation methodology for the EU-ETS post 2012. Sector-specific guidance</w:t>
      </w:r>
    </w:p>
    <w:p w14:paraId="192F7045" w14:textId="77777777" w:rsidR="00397EFD" w:rsidRPr="00CC3DA9" w:rsidRDefault="004052EE" w:rsidP="00397EFD">
      <w:pPr>
        <w:pStyle w:val="CETReferencetext"/>
        <w:rPr>
          <w:lang w:val="en-US"/>
        </w:rPr>
      </w:pPr>
      <w:r w:rsidRPr="00CC3DA9">
        <w:rPr>
          <w:lang w:val="en-US"/>
        </w:rPr>
        <w:t xml:space="preserve">European Commission, The Green Deal Industrial Plan </w:t>
      </w:r>
      <w:r w:rsidR="00A02DBF" w:rsidRPr="00CC3DA9">
        <w:rPr>
          <w:lang w:val="en-US"/>
        </w:rPr>
        <w:t>&lt;</w:t>
      </w:r>
      <w:r w:rsidRPr="00CC3DA9">
        <w:rPr>
          <w:lang w:val="en-US"/>
        </w:rPr>
        <w:t>commission.europa.eu/strategy-and-policy/priorities-2019-2024/european-green-deal/green-deal-industrial-plan_en</w:t>
      </w:r>
      <w:r w:rsidR="00A02DBF" w:rsidRPr="00CC3DA9">
        <w:rPr>
          <w:lang w:val="en-US"/>
        </w:rPr>
        <w:t>&gt;</w:t>
      </w:r>
    </w:p>
    <w:p w14:paraId="6834D9E7" w14:textId="735953E6" w:rsidR="00397EFD" w:rsidRPr="00CC3DA9" w:rsidRDefault="004052EE" w:rsidP="00397EFD">
      <w:pPr>
        <w:pStyle w:val="CETReferencetext"/>
      </w:pPr>
      <w:r w:rsidRPr="00CC3DA9">
        <w:t xml:space="preserve">IEA, </w:t>
      </w:r>
      <w:r w:rsidR="0009111A">
        <w:t xml:space="preserve">2022, </w:t>
      </w:r>
      <w:r w:rsidRPr="00CC3DA9">
        <w:t>Global Energy and Climate Model, Paris</w:t>
      </w:r>
      <w:r w:rsidR="0009111A">
        <w:t xml:space="preserve"> </w:t>
      </w:r>
      <w:r w:rsidR="00397EFD" w:rsidRPr="00CC3DA9">
        <w:t>&lt;www.iea.org/reports/global-energy-and-climate-model&gt;</w:t>
      </w:r>
    </w:p>
    <w:p w14:paraId="5EB2361F" w14:textId="37ABDE98" w:rsidR="004052EE" w:rsidRPr="00CC3DA9" w:rsidRDefault="004052EE" w:rsidP="003469F9">
      <w:pPr>
        <w:pStyle w:val="CETReferencetext"/>
      </w:pPr>
      <w:r w:rsidRPr="00CC3DA9">
        <w:t>IEA,</w:t>
      </w:r>
      <w:r w:rsidR="0009111A">
        <w:t xml:space="preserve"> 2022,</w:t>
      </w:r>
      <w:r w:rsidRPr="00CC3DA9">
        <w:t xml:space="preserve"> Renewable Energy Market Update Outlook for 2022 and 2023</w:t>
      </w:r>
      <w:r w:rsidR="0009111A">
        <w:t xml:space="preserve"> </w:t>
      </w:r>
      <w:r w:rsidR="00A02DBF" w:rsidRPr="00CC3DA9">
        <w:t>&lt;</w:t>
      </w:r>
      <w:r w:rsidRPr="00CC3DA9">
        <w:t>iea.blob.core.windows.net/assets/d6a7300d-7919-4136-b73a-3541c33f8bd7/RenewableEnergyMarketUpdate2022.pdf</w:t>
      </w:r>
      <w:r w:rsidR="00A02DBF" w:rsidRPr="00CC3DA9">
        <w:t>&gt;</w:t>
      </w:r>
    </w:p>
    <w:p w14:paraId="4EAFE698" w14:textId="03312324" w:rsidR="00CC3DA9" w:rsidRPr="00CC3DA9" w:rsidRDefault="00CC3DA9" w:rsidP="00CC3DA9">
      <w:pPr>
        <w:pStyle w:val="CETReferencetext"/>
      </w:pPr>
      <w:r w:rsidRPr="00CC3DA9">
        <w:t xml:space="preserve">IRENA, </w:t>
      </w:r>
      <w:r w:rsidR="0009111A">
        <w:t xml:space="preserve">2018, </w:t>
      </w:r>
      <w:r w:rsidRPr="00CC3DA9">
        <w:t>Hydrogen from renewable power: Technology outlook for the energy transition, International Renewable Energy Agency, Abu Dhabi</w:t>
      </w:r>
      <w:r w:rsidR="0009111A">
        <w:t xml:space="preserve"> </w:t>
      </w:r>
      <w:r w:rsidRPr="00CC3DA9">
        <w:t>&lt;www.irena.org/-/media/Files/IRENA/Agency/Publication/2018/Sep/IRENA_Hydrogen_from_renewable_power_2018.pdf?rev=817ffa3e16dd4aebb89098bdf69be6a8</w:t>
      </w:r>
    </w:p>
    <w:p w14:paraId="19C4FC68" w14:textId="37246851" w:rsidR="004628D2" w:rsidRDefault="00CC3DA9" w:rsidP="00741A2C">
      <w:pPr>
        <w:pStyle w:val="CETReferencetext"/>
      </w:pPr>
      <w:r w:rsidRPr="00CC3DA9">
        <w:t>Technip Energies,</w:t>
      </w:r>
      <w:r w:rsidR="0009111A">
        <w:t xml:space="preserve"> 2023,</w:t>
      </w:r>
      <w:r w:rsidRPr="00CC3DA9">
        <w:t xml:space="preserve"> Technip Energies Technology Handbook</w:t>
      </w:r>
      <w:r w:rsidR="0009111A">
        <w:t xml:space="preserve"> </w:t>
      </w:r>
      <w:r w:rsidRPr="00CC3DA9">
        <w:t>&lt;edition.pagesuite.com/html5/reader/production/default.aspx?pubname=&amp;pubid=9f345b4c-683a-40dc-b3b4-dbb8fce57a5b&gt;</w:t>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F4E0" w14:textId="77777777" w:rsidR="00811B4D" w:rsidRDefault="00811B4D" w:rsidP="004F5E36">
      <w:r>
        <w:separator/>
      </w:r>
    </w:p>
  </w:endnote>
  <w:endnote w:type="continuationSeparator" w:id="0">
    <w:p w14:paraId="2F518F12" w14:textId="77777777" w:rsidR="00811B4D" w:rsidRDefault="00811B4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0EC9" w14:textId="77777777" w:rsidR="00811B4D" w:rsidRDefault="00811B4D" w:rsidP="004F5E36">
      <w:r>
        <w:separator/>
      </w:r>
    </w:p>
  </w:footnote>
  <w:footnote w:type="continuationSeparator" w:id="0">
    <w:p w14:paraId="3B87C9C8" w14:textId="77777777" w:rsidR="00811B4D" w:rsidRDefault="00811B4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51E52"/>
    <w:multiLevelType w:val="hybridMultilevel"/>
    <w:tmpl w:val="A832F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E7B424E"/>
    <w:multiLevelType w:val="hybridMultilevel"/>
    <w:tmpl w:val="BC06D7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18F83DA8"/>
    <w:lvl w:ilvl="0" w:tplc="B6E27F30">
      <w:start w:val="1"/>
      <w:numFmt w:val="bullet"/>
      <w:pStyle w:val="CETnumberingbullets"/>
      <w:lvlText w:val=""/>
      <w:lvlJc w:val="left"/>
      <w:pPr>
        <w:ind w:left="567" w:hanging="227"/>
      </w:pPr>
      <w:rPr>
        <w:rFonts w:ascii="Symbol" w:hAnsi="Symbol" w:hint="default"/>
        <w:lang w:val="en-US"/>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abstractNum w:abstractNumId="15" w15:restartNumberingAfterBreak="0">
    <w:nsid w:val="35A52924"/>
    <w:multiLevelType w:val="hybridMultilevel"/>
    <w:tmpl w:val="CA7207B2"/>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2AA2A37"/>
    <w:multiLevelType w:val="hybridMultilevel"/>
    <w:tmpl w:val="45C03A8A"/>
    <w:lvl w:ilvl="0" w:tplc="04100019">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0F279FC"/>
    <w:multiLevelType w:val="hybridMultilevel"/>
    <w:tmpl w:val="13B44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F269E1"/>
    <w:multiLevelType w:val="hybridMultilevel"/>
    <w:tmpl w:val="35742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DD949C7"/>
    <w:multiLevelType w:val="hybridMultilevel"/>
    <w:tmpl w:val="304662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1"/>
  </w:num>
  <w:num w:numId="13" w16cid:durableId="695733619">
    <w:abstractNumId w:val="14"/>
  </w:num>
  <w:num w:numId="14" w16cid:durableId="145903400">
    <w:abstractNumId w:val="22"/>
  </w:num>
  <w:num w:numId="15" w16cid:durableId="19162326">
    <w:abstractNumId w:val="25"/>
  </w:num>
  <w:num w:numId="16" w16cid:durableId="1977102699">
    <w:abstractNumId w:val="24"/>
  </w:num>
  <w:num w:numId="17" w16cid:durableId="860774865">
    <w:abstractNumId w:val="13"/>
  </w:num>
  <w:num w:numId="18" w16cid:durableId="313221457">
    <w:abstractNumId w:val="14"/>
    <w:lvlOverride w:ilvl="0">
      <w:startOverride w:val="1"/>
    </w:lvlOverride>
  </w:num>
  <w:num w:numId="19" w16cid:durableId="534971577">
    <w:abstractNumId w:val="20"/>
  </w:num>
  <w:num w:numId="20" w16cid:durableId="1150947773">
    <w:abstractNumId w:val="19"/>
  </w:num>
  <w:num w:numId="21" w16cid:durableId="124660497">
    <w:abstractNumId w:val="17"/>
  </w:num>
  <w:num w:numId="22" w16cid:durableId="2099861471">
    <w:abstractNumId w:val="16"/>
  </w:num>
  <w:num w:numId="23" w16cid:durableId="613903272">
    <w:abstractNumId w:val="23"/>
  </w:num>
  <w:num w:numId="24" w16cid:durableId="1746800167">
    <w:abstractNumId w:val="18"/>
  </w:num>
  <w:num w:numId="25" w16cid:durableId="991329973">
    <w:abstractNumId w:val="15"/>
  </w:num>
  <w:num w:numId="26" w16cid:durableId="559562985">
    <w:abstractNumId w:val="11"/>
  </w:num>
  <w:num w:numId="27" w16cid:durableId="1207371614">
    <w:abstractNumId w:val="27"/>
  </w:num>
  <w:num w:numId="28" w16cid:durableId="988823164">
    <w:abstractNumId w:val="10"/>
  </w:num>
  <w:num w:numId="29" w16cid:durableId="7912471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725"/>
    <w:rsid w:val="000117CB"/>
    <w:rsid w:val="0002328B"/>
    <w:rsid w:val="0003148D"/>
    <w:rsid w:val="00031AA3"/>
    <w:rsid w:val="00031EEC"/>
    <w:rsid w:val="00051566"/>
    <w:rsid w:val="000562A9"/>
    <w:rsid w:val="00062A9A"/>
    <w:rsid w:val="00065058"/>
    <w:rsid w:val="00065DDA"/>
    <w:rsid w:val="00086C39"/>
    <w:rsid w:val="0009111A"/>
    <w:rsid w:val="000A03B2"/>
    <w:rsid w:val="000D0268"/>
    <w:rsid w:val="000D34BE"/>
    <w:rsid w:val="000E102F"/>
    <w:rsid w:val="000E36F1"/>
    <w:rsid w:val="000E3A73"/>
    <w:rsid w:val="000E414A"/>
    <w:rsid w:val="000F093C"/>
    <w:rsid w:val="000F3A4F"/>
    <w:rsid w:val="000F787B"/>
    <w:rsid w:val="0012091F"/>
    <w:rsid w:val="00126BC2"/>
    <w:rsid w:val="001308B6"/>
    <w:rsid w:val="0013121F"/>
    <w:rsid w:val="00131FE6"/>
    <w:rsid w:val="0013263F"/>
    <w:rsid w:val="001331DF"/>
    <w:rsid w:val="00134DE4"/>
    <w:rsid w:val="0014034D"/>
    <w:rsid w:val="00144D16"/>
    <w:rsid w:val="00150E59"/>
    <w:rsid w:val="00152DE3"/>
    <w:rsid w:val="001613B7"/>
    <w:rsid w:val="00164CF9"/>
    <w:rsid w:val="001667A6"/>
    <w:rsid w:val="00184AD6"/>
    <w:rsid w:val="001A255C"/>
    <w:rsid w:val="001A4AF7"/>
    <w:rsid w:val="001B0349"/>
    <w:rsid w:val="001B1E93"/>
    <w:rsid w:val="001B65C1"/>
    <w:rsid w:val="001C2851"/>
    <w:rsid w:val="001C41D1"/>
    <w:rsid w:val="001C684B"/>
    <w:rsid w:val="001D0CFB"/>
    <w:rsid w:val="001D21AF"/>
    <w:rsid w:val="001D53FC"/>
    <w:rsid w:val="001F42A5"/>
    <w:rsid w:val="001F7B9D"/>
    <w:rsid w:val="00201C93"/>
    <w:rsid w:val="00211078"/>
    <w:rsid w:val="002224B4"/>
    <w:rsid w:val="0023738F"/>
    <w:rsid w:val="00240B87"/>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256F9"/>
    <w:rsid w:val="00330573"/>
    <w:rsid w:val="00334C09"/>
    <w:rsid w:val="0033572F"/>
    <w:rsid w:val="00336334"/>
    <w:rsid w:val="003469F9"/>
    <w:rsid w:val="00372040"/>
    <w:rsid w:val="003723D4"/>
    <w:rsid w:val="00381905"/>
    <w:rsid w:val="00384CC8"/>
    <w:rsid w:val="003871FD"/>
    <w:rsid w:val="00397EFD"/>
    <w:rsid w:val="003A1E30"/>
    <w:rsid w:val="003A2829"/>
    <w:rsid w:val="003A6FC6"/>
    <w:rsid w:val="003A7D1C"/>
    <w:rsid w:val="003B304B"/>
    <w:rsid w:val="003B3146"/>
    <w:rsid w:val="003E4C58"/>
    <w:rsid w:val="003F015E"/>
    <w:rsid w:val="00400414"/>
    <w:rsid w:val="004052EE"/>
    <w:rsid w:val="0041446B"/>
    <w:rsid w:val="0044071E"/>
    <w:rsid w:val="0044329C"/>
    <w:rsid w:val="00453E24"/>
    <w:rsid w:val="00457456"/>
    <w:rsid w:val="004577FE"/>
    <w:rsid w:val="00457B9C"/>
    <w:rsid w:val="0046164A"/>
    <w:rsid w:val="004628D2"/>
    <w:rsid w:val="00462DCD"/>
    <w:rsid w:val="00463D3D"/>
    <w:rsid w:val="004648AD"/>
    <w:rsid w:val="004703A9"/>
    <w:rsid w:val="004760DE"/>
    <w:rsid w:val="004763D7"/>
    <w:rsid w:val="00486980"/>
    <w:rsid w:val="004A004E"/>
    <w:rsid w:val="004A24CF"/>
    <w:rsid w:val="004B77A6"/>
    <w:rsid w:val="004C3D1D"/>
    <w:rsid w:val="004C3D84"/>
    <w:rsid w:val="004C7913"/>
    <w:rsid w:val="004E4DD6"/>
    <w:rsid w:val="004F255A"/>
    <w:rsid w:val="004F5E36"/>
    <w:rsid w:val="00507B47"/>
    <w:rsid w:val="00507BEF"/>
    <w:rsid w:val="00507CC9"/>
    <w:rsid w:val="005119A5"/>
    <w:rsid w:val="0051532B"/>
    <w:rsid w:val="00516AAC"/>
    <w:rsid w:val="00522565"/>
    <w:rsid w:val="005278B7"/>
    <w:rsid w:val="00532016"/>
    <w:rsid w:val="005346C8"/>
    <w:rsid w:val="00543E7D"/>
    <w:rsid w:val="00547A68"/>
    <w:rsid w:val="005531C9"/>
    <w:rsid w:val="00570C43"/>
    <w:rsid w:val="005B0F5D"/>
    <w:rsid w:val="005B2110"/>
    <w:rsid w:val="005B2FFA"/>
    <w:rsid w:val="005B61E6"/>
    <w:rsid w:val="005C77E1"/>
    <w:rsid w:val="005D668A"/>
    <w:rsid w:val="005D6A2F"/>
    <w:rsid w:val="005E1A82"/>
    <w:rsid w:val="005E794C"/>
    <w:rsid w:val="005E7C48"/>
    <w:rsid w:val="005F0A28"/>
    <w:rsid w:val="005F0E5E"/>
    <w:rsid w:val="005F2EC9"/>
    <w:rsid w:val="00600535"/>
    <w:rsid w:val="00610CD6"/>
    <w:rsid w:val="00620DEE"/>
    <w:rsid w:val="00621F92"/>
    <w:rsid w:val="0062280A"/>
    <w:rsid w:val="00625639"/>
    <w:rsid w:val="00631B33"/>
    <w:rsid w:val="0064184D"/>
    <w:rsid w:val="006422CC"/>
    <w:rsid w:val="00660191"/>
    <w:rsid w:val="00660E3E"/>
    <w:rsid w:val="00662E74"/>
    <w:rsid w:val="00680C23"/>
    <w:rsid w:val="00693766"/>
    <w:rsid w:val="006A3281"/>
    <w:rsid w:val="006B4888"/>
    <w:rsid w:val="006C2E45"/>
    <w:rsid w:val="006C359C"/>
    <w:rsid w:val="006C5579"/>
    <w:rsid w:val="006D6E8B"/>
    <w:rsid w:val="006E737D"/>
    <w:rsid w:val="006F4FF1"/>
    <w:rsid w:val="007030DD"/>
    <w:rsid w:val="00713973"/>
    <w:rsid w:val="00720A24"/>
    <w:rsid w:val="00726C31"/>
    <w:rsid w:val="007272D5"/>
    <w:rsid w:val="00732386"/>
    <w:rsid w:val="0073514D"/>
    <w:rsid w:val="00741A2C"/>
    <w:rsid w:val="007447F3"/>
    <w:rsid w:val="0075499F"/>
    <w:rsid w:val="007661C8"/>
    <w:rsid w:val="0077098D"/>
    <w:rsid w:val="00791496"/>
    <w:rsid w:val="007931FA"/>
    <w:rsid w:val="007A4861"/>
    <w:rsid w:val="007A7BBA"/>
    <w:rsid w:val="007B0C50"/>
    <w:rsid w:val="007B48F9"/>
    <w:rsid w:val="007C1A43"/>
    <w:rsid w:val="007D0951"/>
    <w:rsid w:val="007D18F0"/>
    <w:rsid w:val="0080013E"/>
    <w:rsid w:val="00811B4D"/>
    <w:rsid w:val="00813288"/>
    <w:rsid w:val="00815457"/>
    <w:rsid w:val="008168FC"/>
    <w:rsid w:val="00830996"/>
    <w:rsid w:val="008345F1"/>
    <w:rsid w:val="008356DF"/>
    <w:rsid w:val="00850205"/>
    <w:rsid w:val="00851630"/>
    <w:rsid w:val="00865B07"/>
    <w:rsid w:val="008667EA"/>
    <w:rsid w:val="00866ABB"/>
    <w:rsid w:val="0087637F"/>
    <w:rsid w:val="00892AD5"/>
    <w:rsid w:val="008A1512"/>
    <w:rsid w:val="008B7C03"/>
    <w:rsid w:val="008D32B9"/>
    <w:rsid w:val="008D433B"/>
    <w:rsid w:val="008D4A16"/>
    <w:rsid w:val="008E566E"/>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A45"/>
    <w:rsid w:val="00966B0F"/>
    <w:rsid w:val="00967843"/>
    <w:rsid w:val="00967D54"/>
    <w:rsid w:val="00971028"/>
    <w:rsid w:val="00993B84"/>
    <w:rsid w:val="00996483"/>
    <w:rsid w:val="00996F5A"/>
    <w:rsid w:val="009B041A"/>
    <w:rsid w:val="009B4CDF"/>
    <w:rsid w:val="009C37C3"/>
    <w:rsid w:val="009C7C86"/>
    <w:rsid w:val="009D2FF7"/>
    <w:rsid w:val="009E7884"/>
    <w:rsid w:val="009E788A"/>
    <w:rsid w:val="009F0E08"/>
    <w:rsid w:val="00A02DBF"/>
    <w:rsid w:val="00A1763D"/>
    <w:rsid w:val="00A17CEC"/>
    <w:rsid w:val="00A27EF0"/>
    <w:rsid w:val="00A42361"/>
    <w:rsid w:val="00A50B20"/>
    <w:rsid w:val="00A51390"/>
    <w:rsid w:val="00A60D13"/>
    <w:rsid w:val="00A7223D"/>
    <w:rsid w:val="00A72745"/>
    <w:rsid w:val="00A75B12"/>
    <w:rsid w:val="00A76EFC"/>
    <w:rsid w:val="00A87D50"/>
    <w:rsid w:val="00A91010"/>
    <w:rsid w:val="00A97F29"/>
    <w:rsid w:val="00AA702E"/>
    <w:rsid w:val="00AA7A63"/>
    <w:rsid w:val="00AA7D26"/>
    <w:rsid w:val="00AB07AE"/>
    <w:rsid w:val="00AB0964"/>
    <w:rsid w:val="00AB5011"/>
    <w:rsid w:val="00AC7368"/>
    <w:rsid w:val="00AD16B9"/>
    <w:rsid w:val="00AE377D"/>
    <w:rsid w:val="00AF0EBA"/>
    <w:rsid w:val="00B02C8A"/>
    <w:rsid w:val="00B17FBD"/>
    <w:rsid w:val="00B315A6"/>
    <w:rsid w:val="00B31813"/>
    <w:rsid w:val="00B33365"/>
    <w:rsid w:val="00B438B9"/>
    <w:rsid w:val="00B57B36"/>
    <w:rsid w:val="00B57DA8"/>
    <w:rsid w:val="00B57E6F"/>
    <w:rsid w:val="00B8686D"/>
    <w:rsid w:val="00B93F69"/>
    <w:rsid w:val="00BB1DDC"/>
    <w:rsid w:val="00BC30C9"/>
    <w:rsid w:val="00BD077D"/>
    <w:rsid w:val="00BE000B"/>
    <w:rsid w:val="00BE3E02"/>
    <w:rsid w:val="00BE3E58"/>
    <w:rsid w:val="00C01616"/>
    <w:rsid w:val="00C0162B"/>
    <w:rsid w:val="00C068ED"/>
    <w:rsid w:val="00C22E0C"/>
    <w:rsid w:val="00C345B1"/>
    <w:rsid w:val="00C40142"/>
    <w:rsid w:val="00C52C3C"/>
    <w:rsid w:val="00C54088"/>
    <w:rsid w:val="00C57182"/>
    <w:rsid w:val="00C57863"/>
    <w:rsid w:val="00C6295C"/>
    <w:rsid w:val="00C640AF"/>
    <w:rsid w:val="00C655FD"/>
    <w:rsid w:val="00C75407"/>
    <w:rsid w:val="00C8624A"/>
    <w:rsid w:val="00C870A8"/>
    <w:rsid w:val="00C94434"/>
    <w:rsid w:val="00CA0D4A"/>
    <w:rsid w:val="00CA0D75"/>
    <w:rsid w:val="00CA1C95"/>
    <w:rsid w:val="00CA5A9C"/>
    <w:rsid w:val="00CC3DA9"/>
    <w:rsid w:val="00CC4C20"/>
    <w:rsid w:val="00CD3517"/>
    <w:rsid w:val="00CD5FE2"/>
    <w:rsid w:val="00CE24A5"/>
    <w:rsid w:val="00CE7C68"/>
    <w:rsid w:val="00D02678"/>
    <w:rsid w:val="00D02B4C"/>
    <w:rsid w:val="00D040C4"/>
    <w:rsid w:val="00D11408"/>
    <w:rsid w:val="00D20501"/>
    <w:rsid w:val="00D20AD1"/>
    <w:rsid w:val="00D46B7E"/>
    <w:rsid w:val="00D5368B"/>
    <w:rsid w:val="00D57C84"/>
    <w:rsid w:val="00D6057D"/>
    <w:rsid w:val="00D648EC"/>
    <w:rsid w:val="00D71640"/>
    <w:rsid w:val="00D72AA6"/>
    <w:rsid w:val="00D82784"/>
    <w:rsid w:val="00D836C5"/>
    <w:rsid w:val="00D84576"/>
    <w:rsid w:val="00DA1399"/>
    <w:rsid w:val="00DA24C6"/>
    <w:rsid w:val="00DA4D7B"/>
    <w:rsid w:val="00DB4866"/>
    <w:rsid w:val="00DD271C"/>
    <w:rsid w:val="00DE264A"/>
    <w:rsid w:val="00DF5072"/>
    <w:rsid w:val="00E02D18"/>
    <w:rsid w:val="00E03D3F"/>
    <w:rsid w:val="00E041E7"/>
    <w:rsid w:val="00E06109"/>
    <w:rsid w:val="00E23CA1"/>
    <w:rsid w:val="00E33DD7"/>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EF5F35"/>
    <w:rsid w:val="00F066ED"/>
    <w:rsid w:val="00F3049E"/>
    <w:rsid w:val="00F30C64"/>
    <w:rsid w:val="00F32BA2"/>
    <w:rsid w:val="00F32CDB"/>
    <w:rsid w:val="00F565FE"/>
    <w:rsid w:val="00F63A70"/>
    <w:rsid w:val="00F63D8C"/>
    <w:rsid w:val="00F7534E"/>
    <w:rsid w:val="00F77646"/>
    <w:rsid w:val="00F93EDF"/>
    <w:rsid w:val="00F968C5"/>
    <w:rsid w:val="00F97378"/>
    <w:rsid w:val="00FA1802"/>
    <w:rsid w:val="00FA21D0"/>
    <w:rsid w:val="00FA5F5F"/>
    <w:rsid w:val="00FB730C"/>
    <w:rsid w:val="00FC2695"/>
    <w:rsid w:val="00FC3E03"/>
    <w:rsid w:val="00FC3FC1"/>
    <w:rsid w:val="00FE084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D02678"/>
    <w:rPr>
      <w:color w:val="605E5C"/>
      <w:shd w:val="clear" w:color="auto" w:fill="E1DFDD"/>
    </w:rPr>
  </w:style>
  <w:style w:type="character" w:customStyle="1" w:styleId="ui-provider">
    <w:name w:val="ui-provider"/>
    <w:basedOn w:val="DefaultParagraphFont"/>
    <w:rsid w:val="00405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6</Pages>
  <Words>2706</Words>
  <Characters>15428</Characters>
  <Application>Microsoft Office Word</Application>
  <DocSecurity>0</DocSecurity>
  <Lines>128</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LUDOVICA TROTTA</cp:lastModifiedBy>
  <cp:revision>54</cp:revision>
  <cp:lastPrinted>2015-05-12T18:31:00Z</cp:lastPrinted>
  <dcterms:created xsi:type="dcterms:W3CDTF">2022-09-21T08:52:00Z</dcterms:created>
  <dcterms:modified xsi:type="dcterms:W3CDTF">2023-07-13T11:34:00Z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b29603fb-7fab-4bf6-8ed3-004985bb9d91_Enabled">
    <vt:lpwstr>true</vt:lpwstr>
  </property>
  <property fmtid="{D5CDD505-2E9C-101B-9397-08002B2CF9AE}" pid="5" name="MSIP_Label_b29603fb-7fab-4bf6-8ed3-004985bb9d91_SetDate">
    <vt:lpwstr>2023-04-18T07:30:40Z</vt:lpwstr>
  </property>
  <property fmtid="{D5CDD505-2E9C-101B-9397-08002B2CF9AE}" pid="6" name="MSIP_Label_b29603fb-7fab-4bf6-8ed3-004985bb9d91_Method">
    <vt:lpwstr>Standard</vt:lpwstr>
  </property>
  <property fmtid="{D5CDD505-2E9C-101B-9397-08002B2CF9AE}" pid="7" name="MSIP_Label_b29603fb-7fab-4bf6-8ed3-004985bb9d91_Name">
    <vt:lpwstr>Anyone - No Protection</vt:lpwstr>
  </property>
  <property fmtid="{D5CDD505-2E9C-101B-9397-08002B2CF9AE}" pid="8" name="MSIP_Label_b29603fb-7fab-4bf6-8ed3-004985bb9d91_SiteId">
    <vt:lpwstr>9179d01a-e94c-4488-b5f0-4554bc474f8c</vt:lpwstr>
  </property>
  <property fmtid="{D5CDD505-2E9C-101B-9397-08002B2CF9AE}" pid="9" name="MSIP_Label_b29603fb-7fab-4bf6-8ed3-004985bb9d91_ActionId">
    <vt:lpwstr>73282877-dee1-4753-93a9-630b8b2ade29</vt:lpwstr>
  </property>
  <property fmtid="{D5CDD505-2E9C-101B-9397-08002B2CF9AE}" pid="10" name="MSIP_Label_b29603fb-7fab-4bf6-8ed3-004985bb9d91_ContentBits">
    <vt:lpwstr>0</vt:lpwstr>
  </property>
</Properties>
</file>