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259CA">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67EB9" w14:paraId="380FA3CD" w14:textId="77777777" w:rsidTr="00E259CA">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95653D" w:rsidRDefault="000D0268" w:rsidP="00CD5FE2">
            <w:pPr>
              <w:spacing w:line="140" w:lineRule="atLeast"/>
              <w:jc w:val="right"/>
              <w:rPr>
                <w:rFonts w:cs="Arial"/>
                <w:sz w:val="13"/>
                <w:szCs w:val="13"/>
                <w:lang w:val="nb-NO"/>
              </w:rPr>
            </w:pPr>
            <w:r w:rsidRPr="0095653D">
              <w:rPr>
                <w:rFonts w:cs="Arial"/>
                <w:sz w:val="13"/>
                <w:szCs w:val="13"/>
                <w:lang w:val="nb-NO"/>
              </w:rPr>
              <w:t>Online at www.cetjournal.it</w:t>
            </w:r>
          </w:p>
        </w:tc>
      </w:tr>
      <w:tr w:rsidR="000A03B2" w:rsidRPr="00B57B36" w14:paraId="2D1B7169" w14:textId="77777777" w:rsidTr="00E259CA">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61ED23D" w:rsidR="00E978D0" w:rsidRPr="00854F6D" w:rsidRDefault="00E259CA" w:rsidP="00E978D0">
      <w:pPr>
        <w:pStyle w:val="CETTitle"/>
        <w:rPr>
          <w:lang w:val="en-US"/>
        </w:rPr>
      </w:pPr>
      <w:r w:rsidRPr="00E259CA">
        <w:t>Safety Evaluation of Hydrogen Pipeline Transport: An Approach Based on Machine Learning</w:t>
      </w:r>
    </w:p>
    <w:p w14:paraId="0488FED2" w14:textId="0E2CB107" w:rsidR="00B57E6F" w:rsidRPr="00E259CA" w:rsidRDefault="001E09B2" w:rsidP="00B57E6F">
      <w:pPr>
        <w:pStyle w:val="CETAuthors"/>
        <w:rPr>
          <w:lang w:val="en-US"/>
        </w:rPr>
      </w:pPr>
      <w:r w:rsidRPr="00E259CA">
        <w:rPr>
          <w:lang w:val="en-US"/>
        </w:rPr>
        <w:t>Abhishek Subedi</w:t>
      </w:r>
      <w:r w:rsidR="00B57E6F" w:rsidRPr="00E259CA">
        <w:rPr>
          <w:vertAlign w:val="superscript"/>
          <w:lang w:val="en-US"/>
        </w:rPr>
        <w:t>a</w:t>
      </w:r>
      <w:r w:rsidR="00E259CA" w:rsidRPr="00E259CA">
        <w:rPr>
          <w:vertAlign w:val="superscript"/>
          <w:lang w:val="en-US"/>
        </w:rPr>
        <w:t>,b</w:t>
      </w:r>
      <w:r w:rsidR="00B57E6F" w:rsidRPr="00E259CA">
        <w:rPr>
          <w:lang w:val="en-US"/>
        </w:rPr>
        <w:t xml:space="preserve">, </w:t>
      </w:r>
      <w:r w:rsidR="0095653D" w:rsidRPr="00E259CA">
        <w:rPr>
          <w:lang w:val="en-US"/>
        </w:rPr>
        <w:t>Alessandro Campari</w:t>
      </w:r>
      <w:r w:rsidR="00B57E6F" w:rsidRPr="00E259CA">
        <w:rPr>
          <w:vertAlign w:val="superscript"/>
          <w:lang w:val="en-US"/>
        </w:rPr>
        <w:t>b,</w:t>
      </w:r>
      <w:r w:rsidR="00B57E6F" w:rsidRPr="00E259CA">
        <w:rPr>
          <w:lang w:val="en-US"/>
        </w:rPr>
        <w:t xml:space="preserve">*, </w:t>
      </w:r>
      <w:r w:rsidR="001E21DC" w:rsidRPr="00E259CA">
        <w:rPr>
          <w:lang w:val="en-US"/>
        </w:rPr>
        <w:t>Biraj Singh Thapa</w:t>
      </w:r>
      <w:r w:rsidR="001E21DC" w:rsidRPr="00E259CA">
        <w:rPr>
          <w:vertAlign w:val="superscript"/>
          <w:lang w:val="en-US"/>
        </w:rPr>
        <w:t>a</w:t>
      </w:r>
      <w:r w:rsidR="001E21DC" w:rsidRPr="00E259CA">
        <w:rPr>
          <w:lang w:val="en-US"/>
        </w:rPr>
        <w:t xml:space="preserve">, </w:t>
      </w:r>
      <w:r w:rsidR="0095653D" w:rsidRPr="00E259CA">
        <w:rPr>
          <w:lang w:val="en-US"/>
        </w:rPr>
        <w:t>Nicola Paltrinieri</w:t>
      </w:r>
      <w:r w:rsidR="0095653D" w:rsidRPr="00E259CA">
        <w:rPr>
          <w:vertAlign w:val="superscript"/>
          <w:lang w:val="en-US"/>
        </w:rPr>
        <w:t>b</w:t>
      </w:r>
    </w:p>
    <w:p w14:paraId="6B2D21B3" w14:textId="4EF7FEE5" w:rsidR="00B57E6F" w:rsidRPr="00B57B36" w:rsidRDefault="00B57E6F" w:rsidP="00B57E6F">
      <w:pPr>
        <w:pStyle w:val="CETAddress"/>
      </w:pPr>
      <w:r w:rsidRPr="00B57B36">
        <w:rPr>
          <w:vertAlign w:val="superscript"/>
        </w:rPr>
        <w:t>a</w:t>
      </w:r>
      <w:r w:rsidR="0095653D">
        <w:t xml:space="preserve"> </w:t>
      </w:r>
      <w:r w:rsidR="005F4702" w:rsidRPr="005F4702">
        <w:t>Department of Mechanical Engineering, Kathmandu University, Dhulikhel, Nepal</w:t>
      </w:r>
    </w:p>
    <w:p w14:paraId="3D72B0B0" w14:textId="2A3F8639" w:rsidR="00B57E6F" w:rsidRPr="00B57B36" w:rsidRDefault="00B57E6F" w:rsidP="00B57E6F">
      <w:pPr>
        <w:pStyle w:val="CETAddress"/>
      </w:pPr>
      <w:r w:rsidRPr="00B57B36">
        <w:rPr>
          <w:vertAlign w:val="superscript"/>
        </w:rPr>
        <w:t>b</w:t>
      </w:r>
      <w:r w:rsidR="0095653D">
        <w:t xml:space="preserve"> </w:t>
      </w:r>
      <w:r w:rsidR="0095653D" w:rsidRPr="0095653D">
        <w:t>Department of Mechanical and Industrial Engineering, NTNU, Trondheim, Norway</w:t>
      </w:r>
    </w:p>
    <w:p w14:paraId="73F1267A" w14:textId="4212460B" w:rsidR="00B57E6F" w:rsidRPr="001B74EA" w:rsidRDefault="00B57E6F" w:rsidP="00B57E6F">
      <w:pPr>
        <w:pStyle w:val="CETemail"/>
        <w:rPr>
          <w:lang w:val="en-US"/>
        </w:rPr>
      </w:pPr>
      <w:r w:rsidRPr="0095653D">
        <w:rPr>
          <w:lang w:val="en-US"/>
        </w:rPr>
        <w:t xml:space="preserve"> </w:t>
      </w:r>
      <w:r w:rsidR="0095653D" w:rsidRPr="001B74EA">
        <w:rPr>
          <w:lang w:val="en-US"/>
        </w:rPr>
        <w:t>alessandro.campari@ntnu.no</w:t>
      </w:r>
    </w:p>
    <w:p w14:paraId="37A61FCE" w14:textId="3D8EB9DD" w:rsidR="00DA24C6" w:rsidRPr="0095653D" w:rsidRDefault="0031547C" w:rsidP="00AF6735">
      <w:pPr>
        <w:pStyle w:val="CETListbullets"/>
        <w:ind w:left="113" w:firstLine="0"/>
        <w:rPr>
          <w:lang w:val="en-US"/>
        </w:rPr>
      </w:pPr>
      <w:r w:rsidRPr="0031547C">
        <w:rPr>
          <w:lang w:val="en-US"/>
        </w:rPr>
        <w:t xml:space="preserve">The issue of global warming imposes a change of paradigm in the energy sector to mitigate the human impact on the environment. In this perspective, hydrogen can be produced through water electrolysis and used in fuel-cell systems with near-zero pollutant emissions. Nevertheless, the distribution system represents one of the main bottlenecks for a future transition to a hydrogen economy. The possibility of transporting hydrogen through the existing pipeline network is economically attractive. Nevertheless, most pipeline steels are prone to hydrogen-induced damage, and their mechanical properties are degraded by hydrogen gas to an extent that could result in sudden component failures. Hydrogen embrittlement can be responsible for undesired releases with potentially catastrophic consequences. This study evaluates the safety of existing European natural gas pipelines for hydrogen transport through machine learning tools. The material susceptibility to hydrogen embrittlement is predicted under different working conditions </w:t>
      </w:r>
      <w:proofErr w:type="gramStart"/>
      <w:r w:rsidRPr="0031547C">
        <w:rPr>
          <w:lang w:val="en-US"/>
        </w:rPr>
        <w:t>in order to</w:t>
      </w:r>
      <w:proofErr w:type="gramEnd"/>
      <w:r w:rsidRPr="0031547C">
        <w:rPr>
          <w:lang w:val="en-US"/>
        </w:rPr>
        <w:t xml:space="preserve"> prevent loss of material integrity and eventual releases. This study aims at bridging the gap between safety and material science, as it can optimize predictive maintenance of hydrogen pipelines, thus promoting the widespread utilization of hydrogen in the forthcoming years</w:t>
      </w:r>
      <w:r w:rsidR="0095653D" w:rsidRPr="0095653D">
        <w:rPr>
          <w:lang w:val="en-US"/>
        </w:rPr>
        <w:t>.</w:t>
      </w:r>
    </w:p>
    <w:p w14:paraId="00264097" w14:textId="77777777" w:rsidR="001349F8" w:rsidRPr="00B57B36" w:rsidRDefault="001349F8" w:rsidP="001349F8">
      <w:pPr>
        <w:pStyle w:val="CETHeading1"/>
        <w:rPr>
          <w:lang w:val="en-GB"/>
        </w:rPr>
      </w:pPr>
      <w:r w:rsidRPr="00B57B36">
        <w:rPr>
          <w:lang w:val="en-GB"/>
        </w:rPr>
        <w:t>Introduction</w:t>
      </w:r>
    </w:p>
    <w:p w14:paraId="568881BF" w14:textId="41FD2ABF" w:rsidR="001349F8" w:rsidRPr="00F64624" w:rsidRDefault="00C93308" w:rsidP="001349F8">
      <w:pPr>
        <w:pStyle w:val="CETBodytext"/>
        <w:rPr>
          <w:bCs/>
          <w:lang w:val="en-IN"/>
        </w:rPr>
      </w:pPr>
      <w:r w:rsidRPr="00C93308">
        <w:t xml:space="preserve">Hydrogen is considered one of the most promising energy carriers for a sustainable future </w:t>
      </w:r>
      <w:r w:rsidR="00837E1A">
        <w:t>in</w:t>
      </w:r>
      <w:r w:rsidRPr="00C93308">
        <w:t xml:space="preserve"> the energy sector (IEA, 2019). The need to face climate change by adopting clean and sustainable fuels is the key factor driving the increasing hydrogen utilization in the forthcoming years. This clean and versatile energy carrier can be produced from water electrolysis through renewable sources and efficiently used in fuel cells and conventional energy systems. It has the potential to decarbonize energy-intensive processes in transportation, </w:t>
      </w:r>
      <w:r w:rsidR="00634334">
        <w:t xml:space="preserve">the </w:t>
      </w:r>
      <w:r w:rsidRPr="00C93308">
        <w:t>manufacturing industry, and power generation. Furthermore, hydrogen can address the intermittency of most renewable energy sources by storing and transporting surplus energy. The need to distribute affordably and safely vast amounts of hydrogen over long distances requires an extensive infrastructure like the existing pipeline network. At present, there are 973,000 km of operating natural gas pipelines around the world, and approximately 12.5% of the total is in Europe (</w:t>
      </w:r>
      <w:proofErr w:type="spellStart"/>
      <w:r w:rsidRPr="00C93308">
        <w:t>Pluvinage</w:t>
      </w:r>
      <w:proofErr w:type="spellEnd"/>
      <w:r w:rsidRPr="00C93308">
        <w:t>, 2021). The use of the existing pipelines for hydrogen distribution is a cost-effective option and several research projects are investigating this possibility (</w:t>
      </w:r>
      <w:proofErr w:type="spellStart"/>
      <w:r w:rsidRPr="00C93308">
        <w:t>Topolsky</w:t>
      </w:r>
      <w:proofErr w:type="spellEnd"/>
      <w:r w:rsidRPr="00C93308">
        <w:t xml:space="preserve"> et al., 2022). However, most pipeline steels are prone to hydrogen-induced material degradations. Hydrogen penetrates the metal surface, permeates the lattice, and accumulates near internal defects and zones with high triaxial stress, thus facilitating crack initiation and propagation. Even if hydrogen embrittlement (HE) is a long-known phenomenon, it is still responsible for several industrial failures with potentially catastrophic consequences (Campari et al., 2023</w:t>
      </w:r>
      <w:r w:rsidR="007A737D">
        <w:t>a</w:t>
      </w:r>
      <w:r w:rsidRPr="00C93308">
        <w:t xml:space="preserve">). A recent study from the EU Agency for Cooperation of Energy Regulators highlights that there is no clear understanding regarding the relationship between steel grades and hydrogen embrittlement susceptibility (ACER, 2021). This study aims to develop a machine learning (ML) approach to evaluate </w:t>
      </w:r>
      <w:r w:rsidR="00791B53">
        <w:t>the influence of various</w:t>
      </w:r>
      <w:r w:rsidRPr="00C93308">
        <w:t xml:space="preserve"> </w:t>
      </w:r>
      <w:r w:rsidR="00D67EB9">
        <w:t xml:space="preserve">susceptibility </w:t>
      </w:r>
      <w:r w:rsidRPr="00C93308">
        <w:t xml:space="preserve">factors and </w:t>
      </w:r>
      <w:r w:rsidR="00791B53">
        <w:t xml:space="preserve">to </w:t>
      </w:r>
      <w:r w:rsidRPr="00C93308">
        <w:t xml:space="preserve">predict HE effects in several low-alloy steels. The purpose is to identify suitable materials for hydrogen transport via pipelines. A database has been created from several sources in the scientific literature and used to train and evaluate the ML model. The next section provides an overview of the safety issues associated with hydrogen transport pipelines. Then, the </w:t>
      </w:r>
      <w:r w:rsidRPr="00C93308">
        <w:lastRenderedPageBreak/>
        <w:t>methodology adopted is explained, focusing on the description of the database and the ML models. Finally, the results are presented and critically discussed to make recommendations for advancement in safety science through the risk-informed design of new pipelines and predictive maintenance of the existing infrastructure</w:t>
      </w:r>
      <w:r w:rsidR="001349F8">
        <w:rPr>
          <w:bCs/>
          <w:lang w:val="en-IN"/>
        </w:rPr>
        <w:t>.</w:t>
      </w:r>
      <w:r w:rsidR="00761567">
        <w:rPr>
          <w:bCs/>
          <w:lang w:val="en-IN"/>
        </w:rPr>
        <w:t xml:space="preserve"> The overall objective of this study is </w:t>
      </w:r>
      <w:r w:rsidR="00A75ACC">
        <w:rPr>
          <w:bCs/>
          <w:lang w:val="en-IN"/>
        </w:rPr>
        <w:t xml:space="preserve">to bridge the gap between material science and </w:t>
      </w:r>
      <w:r w:rsidR="00BC1749">
        <w:rPr>
          <w:bCs/>
          <w:lang w:val="en-IN"/>
        </w:rPr>
        <w:t>operational safety in the emerging hydrogen industry</w:t>
      </w:r>
      <w:r w:rsidR="00F64624">
        <w:rPr>
          <w:bCs/>
          <w:lang w:val="en-IN"/>
        </w:rPr>
        <w:t xml:space="preserve">. In this way, it will be possible to optimize predictive maintenance strategies of hydrogen transport and storage </w:t>
      </w:r>
      <w:r w:rsidR="003858EE">
        <w:rPr>
          <w:bCs/>
          <w:lang w:val="en-IN"/>
        </w:rPr>
        <w:t>equipment</w:t>
      </w:r>
      <w:r w:rsidR="00F64624">
        <w:rPr>
          <w:bCs/>
          <w:lang w:val="en-IN"/>
        </w:rPr>
        <w:t xml:space="preserve">, </w:t>
      </w:r>
      <w:r w:rsidR="00A75ACC" w:rsidRPr="00A75ACC">
        <w:rPr>
          <w:bCs/>
          <w:lang w:val="en-IN"/>
        </w:rPr>
        <w:t xml:space="preserve">thus promoting </w:t>
      </w:r>
      <w:r w:rsidR="003858EE">
        <w:rPr>
          <w:bCs/>
          <w:lang w:val="en-IN"/>
        </w:rPr>
        <w:t>its</w:t>
      </w:r>
      <w:r w:rsidR="00A75ACC" w:rsidRPr="00A75ACC">
        <w:rPr>
          <w:bCs/>
          <w:lang w:val="en-IN"/>
        </w:rPr>
        <w:t xml:space="preserve"> widespread utilization </w:t>
      </w:r>
      <w:r w:rsidR="00F64624">
        <w:rPr>
          <w:bCs/>
          <w:lang w:val="en-IN"/>
        </w:rPr>
        <w:t>in the long</w:t>
      </w:r>
      <w:r w:rsidR="00634334">
        <w:rPr>
          <w:bCs/>
          <w:lang w:val="en-IN"/>
        </w:rPr>
        <w:t xml:space="preserve"> </w:t>
      </w:r>
      <w:r w:rsidR="00F64624">
        <w:rPr>
          <w:bCs/>
          <w:lang w:val="en-IN"/>
        </w:rPr>
        <w:t>term</w:t>
      </w:r>
      <w:r w:rsidR="00A75ACC" w:rsidRPr="00A75ACC">
        <w:rPr>
          <w:bCs/>
          <w:lang w:val="en-IN"/>
        </w:rPr>
        <w:t>.</w:t>
      </w:r>
    </w:p>
    <w:p w14:paraId="48B5E13E" w14:textId="77777777" w:rsidR="00A31892" w:rsidRDefault="00A31892" w:rsidP="00A31892">
      <w:pPr>
        <w:pStyle w:val="CETHeading1"/>
      </w:pPr>
      <w:r>
        <w:t>Hydrogen transport pipeline</w:t>
      </w:r>
    </w:p>
    <w:p w14:paraId="764EF6A3" w14:textId="5D4D5E82" w:rsidR="00A31892" w:rsidRDefault="001C44BE" w:rsidP="00A31892">
      <w:pPr>
        <w:pStyle w:val="CETBodytext"/>
      </w:pPr>
      <w:r w:rsidRPr="001C44BE">
        <w:t>Gaseous hydrogen transportation includes three options: trucks, trains, and pipelines. The International Energy Agency analyzed the most viable methods for hydrogen transport and distribution, reaching the conclusion that pipelines are the most cost-effective delivery option for large amounts of H</w:t>
      </w:r>
      <w:r w:rsidRPr="001C44BE">
        <w:rPr>
          <w:vertAlign w:val="subscript"/>
        </w:rPr>
        <w:t>2</w:t>
      </w:r>
      <w:r w:rsidRPr="001C44BE">
        <w:t xml:space="preserve"> over distances larger than 500 km (IEA, 2019). In addition, the unbalanced distribution of production and end-use sites can be reconciled through an extensive pipeline network. Pipeline steels, classified by the American National Standards Institute, differ in microstructure, strength, and presence of micro-alloying elements. In Europe, 70% of the </w:t>
      </w:r>
      <w:r w:rsidR="00423BAC">
        <w:t xml:space="preserve">natural gas </w:t>
      </w:r>
      <w:r w:rsidRPr="001C44BE">
        <w:t>pipeline network is made of Grade B, X46, and X52 (</w:t>
      </w:r>
      <w:proofErr w:type="spellStart"/>
      <w:r w:rsidRPr="001C44BE">
        <w:t>Pluvinage</w:t>
      </w:r>
      <w:proofErr w:type="spellEnd"/>
      <w:r w:rsidRPr="001C44BE">
        <w:t xml:space="preserve">, 2021). However, the advancements in manufacturing techniques, grain engineering, and control of the chemical composition have stimulated the utilization of more performant steels in terms of strength, formability, and ductility. X60, X65, X70, X80, X100, and X120 are new pipeline steel grades developed for oil and gas transport in harsh environments. The American Petroleum Institute (API) has established that the Yield Strength (YS) to Ultimate Tensile Strength (UTS) ratio should be lower than 0.93 for pipeline applications (Tang and Stumpf, 2008). The Carbon Equivalent (CE) is a parameter related to the chemical composition of the steel and indicates its weldability and toughness. </w:t>
      </w:r>
      <w:r w:rsidR="00CC18E0">
        <w:t xml:space="preserve">The </w:t>
      </w:r>
      <w:r w:rsidRPr="001C44BE">
        <w:t xml:space="preserve">European Industrial Gases Association limits the CE of pipeline steels for hydrogen applications to 0.35 (EIGA, 2014). The microstructure influences the strength, toughness, and ductility of the materials. The </w:t>
      </w:r>
      <w:r w:rsidR="0044130F">
        <w:t>importance</w:t>
      </w:r>
      <w:r w:rsidRPr="001C44BE">
        <w:t xml:space="preserve"> of microstructural features for hydrogen-assisted degradation in pipeline steels has been largely investigated (</w:t>
      </w:r>
      <w:proofErr w:type="spellStart"/>
      <w:r w:rsidRPr="001C44BE">
        <w:t>Ohaeri</w:t>
      </w:r>
      <w:proofErr w:type="spellEnd"/>
      <w:r w:rsidRPr="001C44BE">
        <w:t xml:space="preserve"> et al., 2019</w:t>
      </w:r>
      <w:r w:rsidR="00532A55">
        <w:t>)</w:t>
      </w:r>
      <w:r w:rsidR="00A31892">
        <w:rPr>
          <w:color w:val="000000"/>
        </w:rPr>
        <w:t xml:space="preserve">. </w:t>
      </w:r>
      <w:r w:rsidR="00A31892">
        <w:fldChar w:fldCharType="begin"/>
      </w:r>
      <w:r w:rsidR="00A31892">
        <w:instrText xml:space="preserve"> REF _Ref134458416 \h </w:instrText>
      </w:r>
      <w:r w:rsidR="00A31892">
        <w:fldChar w:fldCharType="separate"/>
      </w:r>
      <w:r w:rsidR="00A31892">
        <w:t xml:space="preserve">Table </w:t>
      </w:r>
      <w:r w:rsidR="00A31892">
        <w:rPr>
          <w:noProof/>
        </w:rPr>
        <w:t>1</w:t>
      </w:r>
      <w:r w:rsidR="00A31892">
        <w:fldChar w:fldCharType="end"/>
      </w:r>
      <w:r w:rsidR="00A31892">
        <w:t xml:space="preserve"> presents the </w:t>
      </w:r>
      <w:r w:rsidR="004046FB">
        <w:t>most significant</w:t>
      </w:r>
      <w:r w:rsidR="00A31892">
        <w:t xml:space="preserve"> </w:t>
      </w:r>
      <w:r w:rsidR="006F6FD3">
        <w:t>characteristics</w:t>
      </w:r>
      <w:r w:rsidR="00A31892">
        <w:t xml:space="preserve"> of pipeline </w:t>
      </w:r>
      <w:r w:rsidR="006F6FD3">
        <w:t>steels</w:t>
      </w:r>
      <w:r w:rsidR="00A31892">
        <w:t>.</w:t>
      </w:r>
    </w:p>
    <w:p w14:paraId="4E58CE57" w14:textId="63D95359" w:rsidR="00A31892" w:rsidRDefault="00A31892" w:rsidP="00A31892">
      <w:pPr>
        <w:pStyle w:val="CETTabletitle"/>
      </w:pPr>
      <w:bookmarkStart w:id="0" w:name="_Ref134458416"/>
      <w:r>
        <w:t xml:space="preserve">Table </w:t>
      </w:r>
      <w:r>
        <w:fldChar w:fldCharType="begin"/>
      </w:r>
      <w:r>
        <w:instrText xml:space="preserve"> SEQ Table \* ARABIC </w:instrText>
      </w:r>
      <w:r>
        <w:fldChar w:fldCharType="separate"/>
      </w:r>
      <w:r w:rsidR="00703B31">
        <w:rPr>
          <w:noProof/>
        </w:rPr>
        <w:t>1</w:t>
      </w:r>
      <w:r>
        <w:fldChar w:fldCharType="end"/>
      </w:r>
      <w:bookmarkEnd w:id="0"/>
      <w:r w:rsidR="006F6FD3">
        <w:t>:</w:t>
      </w:r>
      <w:r>
        <w:t xml:space="preserve"> </w:t>
      </w:r>
      <w:r w:rsidR="006F6FD3">
        <w:t>Material p</w:t>
      </w:r>
      <w:r>
        <w:t xml:space="preserve">roperties of pipeline </w:t>
      </w:r>
      <w:r w:rsidR="006F6FD3">
        <w:t>steels</w:t>
      </w:r>
      <w:r w:rsidR="004046FB">
        <w:t xml:space="preserve"> </w:t>
      </w:r>
      <w:r w:rsidR="004046FB" w:rsidRPr="004046FB">
        <w:t>(API, 2018)</w:t>
      </w:r>
    </w:p>
    <w:tbl>
      <w:tblPr>
        <w:tblW w:w="873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0"/>
        <w:gridCol w:w="1170"/>
        <w:gridCol w:w="1260"/>
        <w:gridCol w:w="900"/>
        <w:gridCol w:w="630"/>
        <w:gridCol w:w="3780"/>
      </w:tblGrid>
      <w:tr w:rsidR="00A31892" w:rsidRPr="00B57B36" w14:paraId="7050220E" w14:textId="77777777" w:rsidTr="00B66D4B">
        <w:tc>
          <w:tcPr>
            <w:tcW w:w="990" w:type="dxa"/>
            <w:tcBorders>
              <w:top w:val="single" w:sz="12" w:space="0" w:color="008000"/>
              <w:bottom w:val="single" w:sz="12" w:space="0" w:color="008000"/>
            </w:tcBorders>
            <w:shd w:val="clear" w:color="auto" w:fill="FFFFFF"/>
          </w:tcPr>
          <w:p w14:paraId="3FF0B4A6" w14:textId="77777777" w:rsidR="00A31892" w:rsidRDefault="00A31892" w:rsidP="00307A4F">
            <w:pPr>
              <w:pStyle w:val="CETBodytext"/>
              <w:ind w:right="-1"/>
              <w:rPr>
                <w:rFonts w:cs="Arial"/>
                <w:szCs w:val="18"/>
                <w:lang w:val="en-GB"/>
              </w:rPr>
            </w:pPr>
            <w:r>
              <w:rPr>
                <w:rFonts w:cs="Arial"/>
                <w:szCs w:val="18"/>
                <w:lang w:val="en-GB"/>
              </w:rPr>
              <w:t>Material</w:t>
            </w:r>
          </w:p>
        </w:tc>
        <w:tc>
          <w:tcPr>
            <w:tcW w:w="1170" w:type="dxa"/>
            <w:tcBorders>
              <w:top w:val="single" w:sz="12" w:space="0" w:color="008000"/>
              <w:bottom w:val="single" w:sz="12" w:space="0" w:color="008000"/>
            </w:tcBorders>
            <w:shd w:val="clear" w:color="auto" w:fill="FFFFFF"/>
          </w:tcPr>
          <w:p w14:paraId="4732D861" w14:textId="754C08AD" w:rsidR="00A31892" w:rsidRDefault="00A31892" w:rsidP="00B66D4B">
            <w:pPr>
              <w:pStyle w:val="CETBodytext"/>
              <w:ind w:right="-1"/>
              <w:rPr>
                <w:rFonts w:cs="Arial"/>
                <w:szCs w:val="18"/>
                <w:lang w:val="en-GB"/>
              </w:rPr>
            </w:pPr>
            <w:r>
              <w:rPr>
                <w:rFonts w:cs="Arial"/>
                <w:szCs w:val="18"/>
                <w:lang w:val="en-GB"/>
              </w:rPr>
              <w:t>Y</w:t>
            </w:r>
            <w:r w:rsidR="00B66D4B">
              <w:rPr>
                <w:rFonts w:cs="Arial"/>
                <w:szCs w:val="18"/>
                <w:lang w:val="en-GB"/>
              </w:rPr>
              <w:t xml:space="preserve">S </w:t>
            </w:r>
            <w:r>
              <w:rPr>
                <w:rFonts w:cs="Arial"/>
                <w:szCs w:val="18"/>
                <w:lang w:val="en-GB"/>
              </w:rPr>
              <w:t>(MPa)</w:t>
            </w:r>
          </w:p>
        </w:tc>
        <w:tc>
          <w:tcPr>
            <w:tcW w:w="1260" w:type="dxa"/>
            <w:tcBorders>
              <w:top w:val="single" w:sz="12" w:space="0" w:color="008000"/>
              <w:bottom w:val="single" w:sz="12" w:space="0" w:color="008000"/>
            </w:tcBorders>
            <w:shd w:val="clear" w:color="auto" w:fill="FFFFFF"/>
          </w:tcPr>
          <w:p w14:paraId="04A3DDDB" w14:textId="7D6631D1" w:rsidR="00A31892" w:rsidRDefault="00B66D4B" w:rsidP="00307A4F">
            <w:pPr>
              <w:pStyle w:val="CETBodytext"/>
              <w:ind w:right="-1"/>
              <w:jc w:val="left"/>
              <w:rPr>
                <w:rFonts w:cs="Arial"/>
                <w:szCs w:val="18"/>
                <w:lang w:val="en-GB"/>
              </w:rPr>
            </w:pPr>
            <w:r>
              <w:rPr>
                <w:rFonts w:cs="Arial"/>
                <w:szCs w:val="18"/>
                <w:lang w:val="en-GB"/>
              </w:rPr>
              <w:t>UTS</w:t>
            </w:r>
            <w:r w:rsidR="00A31892">
              <w:rPr>
                <w:rFonts w:cs="Arial"/>
                <w:szCs w:val="18"/>
                <w:lang w:val="en-GB"/>
              </w:rPr>
              <w:t xml:space="preserve"> (MPa)</w:t>
            </w:r>
          </w:p>
        </w:tc>
        <w:tc>
          <w:tcPr>
            <w:tcW w:w="900" w:type="dxa"/>
            <w:tcBorders>
              <w:top w:val="single" w:sz="12" w:space="0" w:color="008000"/>
              <w:bottom w:val="single" w:sz="12" w:space="0" w:color="008000"/>
            </w:tcBorders>
            <w:shd w:val="clear" w:color="auto" w:fill="FFFFFF"/>
          </w:tcPr>
          <w:p w14:paraId="3B52A188" w14:textId="60C6BC27" w:rsidR="00A31892" w:rsidRDefault="00A31892" w:rsidP="00307A4F">
            <w:pPr>
              <w:pStyle w:val="CETBodytext"/>
              <w:ind w:right="-1"/>
              <w:rPr>
                <w:rFonts w:cs="Arial"/>
                <w:szCs w:val="18"/>
                <w:lang w:val="en-GB"/>
              </w:rPr>
            </w:pPr>
            <w:r>
              <w:rPr>
                <w:rFonts w:cs="Arial"/>
                <w:szCs w:val="18"/>
                <w:lang w:val="en-GB"/>
              </w:rPr>
              <w:t>YS/UTS</w:t>
            </w:r>
          </w:p>
        </w:tc>
        <w:tc>
          <w:tcPr>
            <w:tcW w:w="630" w:type="dxa"/>
            <w:tcBorders>
              <w:top w:val="single" w:sz="12" w:space="0" w:color="008000"/>
              <w:bottom w:val="single" w:sz="12" w:space="0" w:color="008000"/>
            </w:tcBorders>
            <w:shd w:val="clear" w:color="auto" w:fill="FFFFFF"/>
          </w:tcPr>
          <w:p w14:paraId="6C0BBA7E" w14:textId="77777777" w:rsidR="00A31892" w:rsidRDefault="00A31892" w:rsidP="00307A4F">
            <w:pPr>
              <w:pStyle w:val="CETBodytext"/>
              <w:ind w:right="-1"/>
              <w:rPr>
                <w:rFonts w:cs="Arial"/>
                <w:szCs w:val="18"/>
                <w:lang w:val="en-GB"/>
              </w:rPr>
            </w:pPr>
            <w:r>
              <w:rPr>
                <w:rFonts w:cs="Arial"/>
                <w:szCs w:val="18"/>
                <w:lang w:val="en-GB"/>
              </w:rPr>
              <w:t>CE</w:t>
            </w:r>
          </w:p>
        </w:tc>
        <w:tc>
          <w:tcPr>
            <w:tcW w:w="3780" w:type="dxa"/>
            <w:tcBorders>
              <w:top w:val="single" w:sz="12" w:space="0" w:color="008000"/>
              <w:bottom w:val="single" w:sz="12" w:space="0" w:color="008000"/>
            </w:tcBorders>
            <w:shd w:val="clear" w:color="auto" w:fill="FFFFFF"/>
          </w:tcPr>
          <w:p w14:paraId="18FE56AE" w14:textId="77777777" w:rsidR="00A31892" w:rsidRDefault="00A31892" w:rsidP="00307A4F">
            <w:pPr>
              <w:pStyle w:val="CETBodytext"/>
              <w:ind w:right="-1"/>
              <w:rPr>
                <w:rFonts w:cs="Arial"/>
                <w:szCs w:val="18"/>
                <w:lang w:val="en-GB"/>
              </w:rPr>
            </w:pPr>
            <w:r>
              <w:rPr>
                <w:rFonts w:cs="Arial"/>
                <w:szCs w:val="18"/>
                <w:lang w:val="en-GB"/>
              </w:rPr>
              <w:t>Microstructure</w:t>
            </w:r>
          </w:p>
        </w:tc>
      </w:tr>
      <w:tr w:rsidR="00A31892" w:rsidRPr="00B57B36" w14:paraId="4AC02F83" w14:textId="77777777" w:rsidTr="00B66D4B">
        <w:tc>
          <w:tcPr>
            <w:tcW w:w="990" w:type="dxa"/>
            <w:tcBorders>
              <w:top w:val="single" w:sz="12" w:space="0" w:color="008000"/>
              <w:bottom w:val="nil"/>
            </w:tcBorders>
            <w:shd w:val="clear" w:color="auto" w:fill="FFFFFF"/>
          </w:tcPr>
          <w:p w14:paraId="4D3772EA" w14:textId="77777777" w:rsidR="00A31892" w:rsidRDefault="00A31892" w:rsidP="00307A4F">
            <w:pPr>
              <w:pStyle w:val="CETBodytext"/>
              <w:ind w:right="-1"/>
              <w:rPr>
                <w:rFonts w:cs="Arial"/>
                <w:szCs w:val="18"/>
                <w:lang w:val="en-GB"/>
              </w:rPr>
            </w:pPr>
            <w:r>
              <w:rPr>
                <w:rFonts w:cs="Arial"/>
                <w:szCs w:val="18"/>
                <w:lang w:val="en-GB"/>
              </w:rPr>
              <w:t>Grade A</w:t>
            </w:r>
          </w:p>
        </w:tc>
        <w:tc>
          <w:tcPr>
            <w:tcW w:w="1170" w:type="dxa"/>
            <w:tcBorders>
              <w:top w:val="single" w:sz="12" w:space="0" w:color="008000"/>
              <w:bottom w:val="nil"/>
            </w:tcBorders>
            <w:shd w:val="clear" w:color="auto" w:fill="FFFFFF"/>
          </w:tcPr>
          <w:p w14:paraId="63405059" w14:textId="77777777" w:rsidR="00A31892" w:rsidRDefault="00A31892" w:rsidP="00307A4F">
            <w:pPr>
              <w:pStyle w:val="CETBodytext"/>
              <w:ind w:right="-1"/>
              <w:rPr>
                <w:rFonts w:cs="Arial"/>
                <w:szCs w:val="18"/>
                <w:lang w:val="en-GB"/>
              </w:rPr>
            </w:pPr>
            <w:r>
              <w:rPr>
                <w:rFonts w:cs="Arial"/>
                <w:szCs w:val="18"/>
                <w:lang w:val="en-GB"/>
              </w:rPr>
              <w:t>210</w:t>
            </w:r>
          </w:p>
        </w:tc>
        <w:tc>
          <w:tcPr>
            <w:tcW w:w="1260" w:type="dxa"/>
            <w:tcBorders>
              <w:top w:val="single" w:sz="12" w:space="0" w:color="008000"/>
              <w:bottom w:val="nil"/>
            </w:tcBorders>
            <w:shd w:val="clear" w:color="auto" w:fill="FFFFFF"/>
          </w:tcPr>
          <w:p w14:paraId="35576244" w14:textId="77777777" w:rsidR="00A31892" w:rsidRDefault="00A31892" w:rsidP="00307A4F">
            <w:pPr>
              <w:pStyle w:val="CETBodytext"/>
              <w:ind w:right="-1"/>
              <w:rPr>
                <w:rFonts w:cs="Arial"/>
                <w:szCs w:val="18"/>
                <w:lang w:val="en-GB"/>
              </w:rPr>
            </w:pPr>
            <w:r>
              <w:rPr>
                <w:rFonts w:cs="Arial"/>
                <w:szCs w:val="18"/>
                <w:lang w:val="en-GB"/>
              </w:rPr>
              <w:t>335</w:t>
            </w:r>
          </w:p>
        </w:tc>
        <w:tc>
          <w:tcPr>
            <w:tcW w:w="900" w:type="dxa"/>
            <w:tcBorders>
              <w:top w:val="single" w:sz="12" w:space="0" w:color="008000"/>
              <w:bottom w:val="nil"/>
            </w:tcBorders>
            <w:shd w:val="clear" w:color="auto" w:fill="FFFFFF"/>
          </w:tcPr>
          <w:p w14:paraId="74618ECF" w14:textId="77777777" w:rsidR="00A31892" w:rsidRDefault="00A31892" w:rsidP="00307A4F">
            <w:pPr>
              <w:pStyle w:val="CETBodytext"/>
              <w:ind w:right="-1"/>
              <w:rPr>
                <w:rFonts w:cs="Arial"/>
                <w:szCs w:val="18"/>
                <w:lang w:val="en-GB"/>
              </w:rPr>
            </w:pPr>
            <w:r>
              <w:rPr>
                <w:rFonts w:cs="Arial"/>
                <w:szCs w:val="18"/>
                <w:lang w:val="en-GB"/>
              </w:rPr>
              <w:t>0.63</w:t>
            </w:r>
          </w:p>
        </w:tc>
        <w:tc>
          <w:tcPr>
            <w:tcW w:w="630" w:type="dxa"/>
            <w:tcBorders>
              <w:top w:val="single" w:sz="12" w:space="0" w:color="008000"/>
              <w:bottom w:val="nil"/>
            </w:tcBorders>
            <w:shd w:val="clear" w:color="auto" w:fill="FFFFFF"/>
          </w:tcPr>
          <w:p w14:paraId="5DB09FAC" w14:textId="1E95B608" w:rsidR="00A31892" w:rsidRDefault="0012663B" w:rsidP="00307A4F">
            <w:pPr>
              <w:pStyle w:val="CETBodytext"/>
              <w:ind w:right="-1"/>
              <w:rPr>
                <w:rFonts w:cs="Arial"/>
                <w:szCs w:val="18"/>
                <w:lang w:val="en-GB"/>
              </w:rPr>
            </w:pPr>
            <w:proofErr w:type="spellStart"/>
            <w:r>
              <w:rPr>
                <w:rFonts w:cs="Arial"/>
                <w:szCs w:val="18"/>
                <w:lang w:val="en-GB"/>
              </w:rPr>
              <w:t>n.g</w:t>
            </w:r>
            <w:proofErr w:type="spellEnd"/>
            <w:r>
              <w:rPr>
                <w:rFonts w:cs="Arial"/>
                <w:szCs w:val="18"/>
                <w:lang w:val="en-GB"/>
              </w:rPr>
              <w:t>.</w:t>
            </w:r>
          </w:p>
        </w:tc>
        <w:tc>
          <w:tcPr>
            <w:tcW w:w="3780" w:type="dxa"/>
            <w:tcBorders>
              <w:top w:val="single" w:sz="12" w:space="0" w:color="008000"/>
              <w:bottom w:val="nil"/>
            </w:tcBorders>
            <w:shd w:val="clear" w:color="auto" w:fill="FFFFFF"/>
          </w:tcPr>
          <w:p w14:paraId="5BEA68B8" w14:textId="77777777" w:rsidR="00A31892" w:rsidRDefault="00A31892" w:rsidP="00307A4F">
            <w:pPr>
              <w:pStyle w:val="CETBodytext"/>
              <w:ind w:right="-1"/>
              <w:rPr>
                <w:rFonts w:cs="Arial"/>
                <w:szCs w:val="18"/>
                <w:lang w:val="en-GB"/>
              </w:rPr>
            </w:pPr>
            <w:r>
              <w:rPr>
                <w:rFonts w:cs="Arial"/>
                <w:szCs w:val="18"/>
                <w:lang w:val="en-GB"/>
              </w:rPr>
              <w:t>Ferritic</w:t>
            </w:r>
          </w:p>
        </w:tc>
      </w:tr>
      <w:tr w:rsidR="00A31892" w:rsidRPr="00E313B3" w14:paraId="72893558" w14:textId="77777777" w:rsidTr="00B66D4B">
        <w:tc>
          <w:tcPr>
            <w:tcW w:w="990" w:type="dxa"/>
            <w:tcBorders>
              <w:top w:val="nil"/>
            </w:tcBorders>
            <w:shd w:val="clear" w:color="auto" w:fill="FFFFFF"/>
          </w:tcPr>
          <w:p w14:paraId="49EB982B" w14:textId="77777777" w:rsidR="00A31892" w:rsidRPr="001E0644" w:rsidRDefault="00A31892" w:rsidP="00307A4F">
            <w:pPr>
              <w:pStyle w:val="CETBodytext"/>
              <w:ind w:right="-1"/>
              <w:rPr>
                <w:rFonts w:cs="Arial"/>
                <w:szCs w:val="18"/>
              </w:rPr>
            </w:pPr>
            <w:r>
              <w:rPr>
                <w:rFonts w:cs="Arial"/>
                <w:szCs w:val="18"/>
              </w:rPr>
              <w:t>Grade B</w:t>
            </w:r>
          </w:p>
        </w:tc>
        <w:tc>
          <w:tcPr>
            <w:tcW w:w="1170" w:type="dxa"/>
            <w:tcBorders>
              <w:top w:val="nil"/>
            </w:tcBorders>
            <w:shd w:val="clear" w:color="auto" w:fill="FFFFFF"/>
          </w:tcPr>
          <w:p w14:paraId="6E3992D1" w14:textId="77777777" w:rsidR="00A31892" w:rsidRDefault="00A31892" w:rsidP="00307A4F">
            <w:pPr>
              <w:pStyle w:val="CETBodytext"/>
              <w:ind w:right="-1"/>
              <w:rPr>
                <w:rFonts w:cs="Arial"/>
                <w:szCs w:val="18"/>
              </w:rPr>
            </w:pPr>
            <w:r>
              <w:rPr>
                <w:rFonts w:cs="Arial"/>
                <w:szCs w:val="18"/>
              </w:rPr>
              <w:t>245</w:t>
            </w:r>
          </w:p>
        </w:tc>
        <w:tc>
          <w:tcPr>
            <w:tcW w:w="1260" w:type="dxa"/>
            <w:tcBorders>
              <w:top w:val="nil"/>
            </w:tcBorders>
            <w:shd w:val="clear" w:color="auto" w:fill="FFFFFF"/>
          </w:tcPr>
          <w:p w14:paraId="31C25D07" w14:textId="77777777" w:rsidR="00A31892" w:rsidRDefault="00A31892" w:rsidP="00307A4F">
            <w:pPr>
              <w:pStyle w:val="CETBodytext"/>
              <w:ind w:right="-1"/>
              <w:rPr>
                <w:rFonts w:cs="Arial"/>
                <w:szCs w:val="18"/>
              </w:rPr>
            </w:pPr>
            <w:r>
              <w:rPr>
                <w:rFonts w:cs="Arial"/>
                <w:szCs w:val="18"/>
              </w:rPr>
              <w:t>415</w:t>
            </w:r>
          </w:p>
        </w:tc>
        <w:tc>
          <w:tcPr>
            <w:tcW w:w="900" w:type="dxa"/>
            <w:tcBorders>
              <w:top w:val="nil"/>
            </w:tcBorders>
            <w:shd w:val="clear" w:color="auto" w:fill="FFFFFF"/>
          </w:tcPr>
          <w:p w14:paraId="0877AE30" w14:textId="77777777" w:rsidR="00A31892" w:rsidRDefault="00A31892" w:rsidP="00307A4F">
            <w:pPr>
              <w:pStyle w:val="CETBodytext"/>
              <w:ind w:right="-1"/>
              <w:rPr>
                <w:rFonts w:cs="Arial"/>
                <w:szCs w:val="18"/>
              </w:rPr>
            </w:pPr>
            <w:r>
              <w:rPr>
                <w:rFonts w:cs="Arial"/>
                <w:szCs w:val="18"/>
              </w:rPr>
              <w:t>0.58</w:t>
            </w:r>
          </w:p>
        </w:tc>
        <w:tc>
          <w:tcPr>
            <w:tcW w:w="630" w:type="dxa"/>
            <w:tcBorders>
              <w:top w:val="nil"/>
            </w:tcBorders>
            <w:shd w:val="clear" w:color="auto" w:fill="FFFFFF"/>
          </w:tcPr>
          <w:p w14:paraId="72621657" w14:textId="77777777" w:rsidR="00A31892" w:rsidRDefault="00A31892" w:rsidP="00307A4F">
            <w:pPr>
              <w:pStyle w:val="CETBodytext"/>
              <w:ind w:right="-1"/>
              <w:rPr>
                <w:rFonts w:cs="Arial"/>
                <w:szCs w:val="18"/>
              </w:rPr>
            </w:pPr>
            <w:r>
              <w:rPr>
                <w:rFonts w:cs="Arial"/>
                <w:szCs w:val="18"/>
              </w:rPr>
              <w:t>0.39</w:t>
            </w:r>
          </w:p>
        </w:tc>
        <w:tc>
          <w:tcPr>
            <w:tcW w:w="3780" w:type="dxa"/>
            <w:tcBorders>
              <w:top w:val="nil"/>
            </w:tcBorders>
            <w:shd w:val="clear" w:color="auto" w:fill="FFFFFF"/>
          </w:tcPr>
          <w:p w14:paraId="37FFFC92" w14:textId="77777777" w:rsidR="00A31892" w:rsidRDefault="00A31892" w:rsidP="00307A4F">
            <w:pPr>
              <w:pStyle w:val="CETBodytext"/>
              <w:ind w:right="-1"/>
              <w:rPr>
                <w:rFonts w:cs="Arial"/>
                <w:szCs w:val="18"/>
              </w:rPr>
            </w:pPr>
            <w:r>
              <w:rPr>
                <w:rFonts w:cs="Arial"/>
                <w:szCs w:val="18"/>
              </w:rPr>
              <w:t>Ferritic</w:t>
            </w:r>
          </w:p>
        </w:tc>
      </w:tr>
      <w:tr w:rsidR="00A31892" w:rsidRPr="00E313B3" w14:paraId="793E5CDB" w14:textId="77777777" w:rsidTr="00B66D4B">
        <w:tc>
          <w:tcPr>
            <w:tcW w:w="990" w:type="dxa"/>
            <w:shd w:val="clear" w:color="auto" w:fill="FFFFFF"/>
          </w:tcPr>
          <w:p w14:paraId="14D055AD" w14:textId="77777777" w:rsidR="00A31892" w:rsidRDefault="00A31892" w:rsidP="00307A4F">
            <w:pPr>
              <w:pStyle w:val="CETBodytext"/>
              <w:ind w:right="-1"/>
              <w:rPr>
                <w:rFonts w:cs="Arial"/>
                <w:szCs w:val="18"/>
              </w:rPr>
            </w:pPr>
            <w:r>
              <w:rPr>
                <w:rFonts w:cs="Arial"/>
                <w:szCs w:val="18"/>
              </w:rPr>
              <w:t>X42</w:t>
            </w:r>
          </w:p>
        </w:tc>
        <w:tc>
          <w:tcPr>
            <w:tcW w:w="1170" w:type="dxa"/>
            <w:shd w:val="clear" w:color="auto" w:fill="FFFFFF"/>
          </w:tcPr>
          <w:p w14:paraId="1773861F" w14:textId="77777777" w:rsidR="00A31892" w:rsidRDefault="00A31892" w:rsidP="00307A4F">
            <w:pPr>
              <w:pStyle w:val="CETBodytext"/>
              <w:ind w:right="-1"/>
              <w:rPr>
                <w:rFonts w:cs="Arial"/>
                <w:szCs w:val="18"/>
              </w:rPr>
            </w:pPr>
            <w:r>
              <w:rPr>
                <w:rFonts w:cs="Arial"/>
                <w:szCs w:val="18"/>
              </w:rPr>
              <w:t>290-495</w:t>
            </w:r>
          </w:p>
        </w:tc>
        <w:tc>
          <w:tcPr>
            <w:tcW w:w="1260" w:type="dxa"/>
            <w:shd w:val="clear" w:color="auto" w:fill="FFFFFF"/>
          </w:tcPr>
          <w:p w14:paraId="45ED168C" w14:textId="77777777" w:rsidR="00A31892" w:rsidRDefault="00A31892" w:rsidP="00307A4F">
            <w:pPr>
              <w:pStyle w:val="CETBodytext"/>
              <w:ind w:right="-1"/>
              <w:rPr>
                <w:rFonts w:cs="Arial"/>
                <w:szCs w:val="18"/>
              </w:rPr>
            </w:pPr>
            <w:r>
              <w:rPr>
                <w:rFonts w:cs="Arial"/>
                <w:szCs w:val="18"/>
              </w:rPr>
              <w:t>415-655</w:t>
            </w:r>
          </w:p>
        </w:tc>
        <w:tc>
          <w:tcPr>
            <w:tcW w:w="900" w:type="dxa"/>
            <w:shd w:val="clear" w:color="auto" w:fill="FFFFFF"/>
          </w:tcPr>
          <w:p w14:paraId="3386D70C" w14:textId="77777777" w:rsidR="00A31892" w:rsidRDefault="00A31892" w:rsidP="00307A4F">
            <w:pPr>
              <w:pStyle w:val="CETBodytext"/>
              <w:ind w:right="-1"/>
              <w:rPr>
                <w:rFonts w:cs="Arial"/>
                <w:szCs w:val="18"/>
              </w:rPr>
            </w:pPr>
            <w:r>
              <w:rPr>
                <w:rFonts w:cs="Arial"/>
                <w:szCs w:val="18"/>
              </w:rPr>
              <w:t>0.73</w:t>
            </w:r>
          </w:p>
        </w:tc>
        <w:tc>
          <w:tcPr>
            <w:tcW w:w="630" w:type="dxa"/>
            <w:shd w:val="clear" w:color="auto" w:fill="FFFFFF"/>
          </w:tcPr>
          <w:p w14:paraId="56F4A732" w14:textId="77777777" w:rsidR="00A31892" w:rsidRDefault="00A31892" w:rsidP="00307A4F">
            <w:pPr>
              <w:pStyle w:val="CETBodytext"/>
              <w:ind w:right="-1"/>
              <w:rPr>
                <w:rFonts w:cs="Arial"/>
                <w:szCs w:val="18"/>
              </w:rPr>
            </w:pPr>
            <w:r>
              <w:rPr>
                <w:rFonts w:cs="Arial"/>
                <w:szCs w:val="18"/>
              </w:rPr>
              <w:t>0.40</w:t>
            </w:r>
          </w:p>
        </w:tc>
        <w:tc>
          <w:tcPr>
            <w:tcW w:w="3780" w:type="dxa"/>
            <w:shd w:val="clear" w:color="auto" w:fill="FFFFFF"/>
          </w:tcPr>
          <w:p w14:paraId="02BF2014" w14:textId="77777777" w:rsidR="00A31892" w:rsidRDefault="00A31892" w:rsidP="00307A4F">
            <w:pPr>
              <w:pStyle w:val="CETBodytext"/>
              <w:ind w:right="-1"/>
              <w:rPr>
                <w:rFonts w:cs="Arial"/>
                <w:szCs w:val="18"/>
              </w:rPr>
            </w:pPr>
            <w:r>
              <w:rPr>
                <w:rFonts w:cs="Arial"/>
                <w:szCs w:val="18"/>
              </w:rPr>
              <w:t>Ferritic, pearlitic</w:t>
            </w:r>
          </w:p>
        </w:tc>
      </w:tr>
      <w:tr w:rsidR="00A31892" w:rsidRPr="00E313B3" w14:paraId="3C7C05F7" w14:textId="77777777" w:rsidTr="00B66D4B">
        <w:tc>
          <w:tcPr>
            <w:tcW w:w="990" w:type="dxa"/>
            <w:shd w:val="clear" w:color="auto" w:fill="FFFFFF"/>
          </w:tcPr>
          <w:p w14:paraId="687D233D" w14:textId="77777777" w:rsidR="00A31892" w:rsidRPr="000F721E" w:rsidRDefault="00A31892" w:rsidP="00307A4F">
            <w:pPr>
              <w:pStyle w:val="CETBodytext"/>
              <w:ind w:right="-1"/>
              <w:rPr>
                <w:rFonts w:cs="Arial"/>
                <w:szCs w:val="18"/>
              </w:rPr>
            </w:pPr>
            <w:r>
              <w:rPr>
                <w:rFonts w:cs="Arial"/>
                <w:szCs w:val="18"/>
              </w:rPr>
              <w:t>X46</w:t>
            </w:r>
          </w:p>
        </w:tc>
        <w:tc>
          <w:tcPr>
            <w:tcW w:w="1170" w:type="dxa"/>
            <w:shd w:val="clear" w:color="auto" w:fill="FFFFFF"/>
          </w:tcPr>
          <w:p w14:paraId="23BDB84C" w14:textId="77777777" w:rsidR="00A31892" w:rsidRDefault="00A31892" w:rsidP="00307A4F">
            <w:pPr>
              <w:pStyle w:val="CETBodytext"/>
              <w:ind w:right="-1"/>
              <w:rPr>
                <w:rFonts w:cs="Arial"/>
                <w:szCs w:val="18"/>
              </w:rPr>
            </w:pPr>
            <w:r>
              <w:rPr>
                <w:rFonts w:cs="Arial"/>
                <w:szCs w:val="18"/>
              </w:rPr>
              <w:t>320-525</w:t>
            </w:r>
          </w:p>
        </w:tc>
        <w:tc>
          <w:tcPr>
            <w:tcW w:w="1260" w:type="dxa"/>
            <w:shd w:val="clear" w:color="auto" w:fill="FFFFFF"/>
          </w:tcPr>
          <w:p w14:paraId="40540CFB" w14:textId="77777777" w:rsidR="00A31892" w:rsidRDefault="00A31892" w:rsidP="00307A4F">
            <w:pPr>
              <w:pStyle w:val="CETBodytext"/>
              <w:ind w:right="-1"/>
              <w:rPr>
                <w:rFonts w:cs="Arial"/>
                <w:szCs w:val="18"/>
              </w:rPr>
            </w:pPr>
            <w:r>
              <w:rPr>
                <w:rFonts w:cs="Arial"/>
                <w:szCs w:val="18"/>
              </w:rPr>
              <w:t>435-655</w:t>
            </w:r>
          </w:p>
        </w:tc>
        <w:tc>
          <w:tcPr>
            <w:tcW w:w="900" w:type="dxa"/>
            <w:shd w:val="clear" w:color="auto" w:fill="FFFFFF"/>
          </w:tcPr>
          <w:p w14:paraId="7382DD0F" w14:textId="77777777" w:rsidR="00A31892" w:rsidRDefault="00A31892" w:rsidP="00307A4F">
            <w:pPr>
              <w:pStyle w:val="CETBodytext"/>
              <w:ind w:right="-1"/>
              <w:rPr>
                <w:rFonts w:cs="Arial"/>
                <w:szCs w:val="18"/>
              </w:rPr>
            </w:pPr>
            <w:r>
              <w:rPr>
                <w:rFonts w:cs="Arial"/>
                <w:szCs w:val="18"/>
              </w:rPr>
              <w:t>0.78</w:t>
            </w:r>
          </w:p>
        </w:tc>
        <w:tc>
          <w:tcPr>
            <w:tcW w:w="630" w:type="dxa"/>
            <w:shd w:val="clear" w:color="auto" w:fill="FFFFFF"/>
          </w:tcPr>
          <w:p w14:paraId="7E678D85" w14:textId="5469A617" w:rsidR="00A31892" w:rsidRDefault="0012663B" w:rsidP="00307A4F">
            <w:pPr>
              <w:pStyle w:val="CETBodytext"/>
              <w:ind w:right="-1"/>
              <w:rPr>
                <w:rFonts w:cs="Arial"/>
                <w:szCs w:val="18"/>
              </w:rPr>
            </w:pPr>
            <w:proofErr w:type="spellStart"/>
            <w:r>
              <w:rPr>
                <w:rFonts w:cs="Arial"/>
                <w:szCs w:val="18"/>
              </w:rPr>
              <w:t>n.g</w:t>
            </w:r>
            <w:proofErr w:type="spellEnd"/>
            <w:r>
              <w:rPr>
                <w:rFonts w:cs="Arial"/>
                <w:szCs w:val="18"/>
              </w:rPr>
              <w:t>.</w:t>
            </w:r>
          </w:p>
        </w:tc>
        <w:tc>
          <w:tcPr>
            <w:tcW w:w="3780" w:type="dxa"/>
            <w:shd w:val="clear" w:color="auto" w:fill="FFFFFF"/>
          </w:tcPr>
          <w:p w14:paraId="65AD17EF" w14:textId="77777777" w:rsidR="00A31892" w:rsidRDefault="00A31892" w:rsidP="00307A4F">
            <w:pPr>
              <w:pStyle w:val="CETBodytext"/>
              <w:ind w:right="-1"/>
              <w:rPr>
                <w:rFonts w:cs="Arial"/>
                <w:szCs w:val="18"/>
              </w:rPr>
            </w:pPr>
            <w:r>
              <w:rPr>
                <w:rFonts w:cs="Arial"/>
                <w:szCs w:val="18"/>
              </w:rPr>
              <w:t>Ferritic, pearlitic</w:t>
            </w:r>
          </w:p>
        </w:tc>
      </w:tr>
      <w:tr w:rsidR="00A31892" w:rsidRPr="00E313B3" w14:paraId="57BE8548" w14:textId="77777777" w:rsidTr="00B66D4B">
        <w:tc>
          <w:tcPr>
            <w:tcW w:w="990" w:type="dxa"/>
            <w:shd w:val="clear" w:color="auto" w:fill="FFFFFF"/>
          </w:tcPr>
          <w:p w14:paraId="7CFD9BE9" w14:textId="77777777" w:rsidR="00A31892" w:rsidRPr="000F721E" w:rsidRDefault="00A31892" w:rsidP="00307A4F">
            <w:pPr>
              <w:pStyle w:val="CETBodytext"/>
              <w:ind w:right="-1"/>
              <w:rPr>
                <w:rFonts w:cs="Arial"/>
                <w:szCs w:val="18"/>
              </w:rPr>
            </w:pPr>
            <w:r>
              <w:rPr>
                <w:rFonts w:cs="Arial"/>
                <w:szCs w:val="18"/>
              </w:rPr>
              <w:t>X52</w:t>
            </w:r>
          </w:p>
        </w:tc>
        <w:tc>
          <w:tcPr>
            <w:tcW w:w="1170" w:type="dxa"/>
            <w:shd w:val="clear" w:color="auto" w:fill="FFFFFF"/>
          </w:tcPr>
          <w:p w14:paraId="285328EA" w14:textId="77777777" w:rsidR="00A31892" w:rsidRDefault="00A31892" w:rsidP="00307A4F">
            <w:pPr>
              <w:pStyle w:val="CETBodytext"/>
              <w:ind w:right="-1"/>
              <w:rPr>
                <w:rFonts w:cs="Arial"/>
                <w:szCs w:val="18"/>
              </w:rPr>
            </w:pPr>
            <w:r>
              <w:rPr>
                <w:rFonts w:cs="Arial"/>
                <w:szCs w:val="18"/>
              </w:rPr>
              <w:t>360-530</w:t>
            </w:r>
          </w:p>
        </w:tc>
        <w:tc>
          <w:tcPr>
            <w:tcW w:w="1260" w:type="dxa"/>
            <w:shd w:val="clear" w:color="auto" w:fill="FFFFFF"/>
          </w:tcPr>
          <w:p w14:paraId="195568CF" w14:textId="77777777" w:rsidR="00A31892" w:rsidRDefault="00A31892" w:rsidP="00307A4F">
            <w:pPr>
              <w:pStyle w:val="CETBodytext"/>
              <w:ind w:right="-1"/>
              <w:rPr>
                <w:rFonts w:cs="Arial"/>
                <w:szCs w:val="18"/>
              </w:rPr>
            </w:pPr>
            <w:r>
              <w:rPr>
                <w:rFonts w:cs="Arial"/>
                <w:szCs w:val="18"/>
              </w:rPr>
              <w:t>460-760</w:t>
            </w:r>
          </w:p>
        </w:tc>
        <w:tc>
          <w:tcPr>
            <w:tcW w:w="900" w:type="dxa"/>
            <w:shd w:val="clear" w:color="auto" w:fill="FFFFFF"/>
          </w:tcPr>
          <w:p w14:paraId="7CA291D5" w14:textId="77777777" w:rsidR="00A31892" w:rsidRDefault="00A31892" w:rsidP="00307A4F">
            <w:pPr>
              <w:pStyle w:val="CETBodytext"/>
              <w:ind w:right="-1"/>
              <w:rPr>
                <w:rFonts w:cs="Arial"/>
                <w:szCs w:val="18"/>
              </w:rPr>
            </w:pPr>
            <w:r>
              <w:rPr>
                <w:rFonts w:cs="Arial"/>
                <w:szCs w:val="18"/>
              </w:rPr>
              <w:t>0.73</w:t>
            </w:r>
          </w:p>
        </w:tc>
        <w:tc>
          <w:tcPr>
            <w:tcW w:w="630" w:type="dxa"/>
            <w:shd w:val="clear" w:color="auto" w:fill="FFFFFF"/>
          </w:tcPr>
          <w:p w14:paraId="03C180E8" w14:textId="77777777" w:rsidR="00A31892" w:rsidRDefault="00A31892" w:rsidP="00307A4F">
            <w:pPr>
              <w:pStyle w:val="CETBodytext"/>
              <w:ind w:right="-1"/>
              <w:rPr>
                <w:rFonts w:cs="Arial"/>
                <w:szCs w:val="18"/>
              </w:rPr>
            </w:pPr>
            <w:r>
              <w:rPr>
                <w:rFonts w:cs="Arial"/>
                <w:szCs w:val="18"/>
              </w:rPr>
              <w:t>0.30</w:t>
            </w:r>
          </w:p>
        </w:tc>
        <w:tc>
          <w:tcPr>
            <w:tcW w:w="3780" w:type="dxa"/>
            <w:shd w:val="clear" w:color="auto" w:fill="FFFFFF"/>
          </w:tcPr>
          <w:p w14:paraId="317B06BE" w14:textId="77777777" w:rsidR="00A31892" w:rsidRDefault="00A31892" w:rsidP="00307A4F">
            <w:pPr>
              <w:pStyle w:val="CETBodytext"/>
              <w:ind w:right="-1"/>
              <w:rPr>
                <w:rFonts w:cs="Arial"/>
                <w:szCs w:val="18"/>
              </w:rPr>
            </w:pPr>
            <w:r>
              <w:rPr>
                <w:rFonts w:cs="Arial"/>
                <w:szCs w:val="18"/>
              </w:rPr>
              <w:t>Ferritic, pearlitic</w:t>
            </w:r>
          </w:p>
        </w:tc>
      </w:tr>
      <w:tr w:rsidR="00A31892" w:rsidRPr="00E313B3" w14:paraId="7671CCFF" w14:textId="77777777" w:rsidTr="00B66D4B">
        <w:tc>
          <w:tcPr>
            <w:tcW w:w="990" w:type="dxa"/>
            <w:shd w:val="clear" w:color="auto" w:fill="FFFFFF"/>
          </w:tcPr>
          <w:p w14:paraId="430C0854" w14:textId="77777777" w:rsidR="00A31892" w:rsidRDefault="00A31892" w:rsidP="00307A4F">
            <w:pPr>
              <w:pStyle w:val="CETBodytext"/>
              <w:ind w:right="-1"/>
              <w:rPr>
                <w:rFonts w:cs="Arial"/>
                <w:szCs w:val="18"/>
              </w:rPr>
            </w:pPr>
            <w:r>
              <w:rPr>
                <w:rFonts w:cs="Arial"/>
                <w:szCs w:val="18"/>
              </w:rPr>
              <w:t>X56</w:t>
            </w:r>
          </w:p>
        </w:tc>
        <w:tc>
          <w:tcPr>
            <w:tcW w:w="1170" w:type="dxa"/>
            <w:shd w:val="clear" w:color="auto" w:fill="FFFFFF"/>
          </w:tcPr>
          <w:p w14:paraId="3FA84AF1" w14:textId="77777777" w:rsidR="00A31892" w:rsidRDefault="00A31892" w:rsidP="00307A4F">
            <w:pPr>
              <w:pStyle w:val="CETBodytext"/>
              <w:ind w:right="-1"/>
              <w:rPr>
                <w:rFonts w:cs="Arial"/>
                <w:szCs w:val="18"/>
              </w:rPr>
            </w:pPr>
            <w:r>
              <w:rPr>
                <w:rFonts w:cs="Arial"/>
                <w:szCs w:val="18"/>
              </w:rPr>
              <w:t>390-545</w:t>
            </w:r>
          </w:p>
        </w:tc>
        <w:tc>
          <w:tcPr>
            <w:tcW w:w="1260" w:type="dxa"/>
            <w:shd w:val="clear" w:color="auto" w:fill="FFFFFF"/>
          </w:tcPr>
          <w:p w14:paraId="364FE3E1" w14:textId="77777777" w:rsidR="00A31892" w:rsidRDefault="00A31892" w:rsidP="00307A4F">
            <w:pPr>
              <w:pStyle w:val="CETBodytext"/>
              <w:ind w:right="-1"/>
              <w:rPr>
                <w:rFonts w:cs="Arial"/>
                <w:szCs w:val="18"/>
              </w:rPr>
            </w:pPr>
            <w:r>
              <w:rPr>
                <w:rFonts w:cs="Arial"/>
                <w:szCs w:val="18"/>
              </w:rPr>
              <w:t>490-760</w:t>
            </w:r>
          </w:p>
        </w:tc>
        <w:tc>
          <w:tcPr>
            <w:tcW w:w="900" w:type="dxa"/>
            <w:shd w:val="clear" w:color="auto" w:fill="FFFFFF"/>
          </w:tcPr>
          <w:p w14:paraId="31E610E5" w14:textId="77777777" w:rsidR="00A31892" w:rsidRDefault="00A31892" w:rsidP="00307A4F">
            <w:pPr>
              <w:pStyle w:val="CETBodytext"/>
              <w:ind w:right="-1"/>
              <w:rPr>
                <w:rFonts w:cs="Arial"/>
                <w:szCs w:val="18"/>
              </w:rPr>
            </w:pPr>
            <w:r>
              <w:rPr>
                <w:rFonts w:cs="Arial"/>
                <w:szCs w:val="18"/>
              </w:rPr>
              <w:t>0.75</w:t>
            </w:r>
          </w:p>
        </w:tc>
        <w:tc>
          <w:tcPr>
            <w:tcW w:w="630" w:type="dxa"/>
            <w:shd w:val="clear" w:color="auto" w:fill="FFFFFF"/>
          </w:tcPr>
          <w:p w14:paraId="6222F915" w14:textId="18EC6C3A" w:rsidR="00A31892" w:rsidRDefault="00A34402" w:rsidP="00307A4F">
            <w:pPr>
              <w:pStyle w:val="CETBodytext"/>
              <w:ind w:right="-1"/>
              <w:rPr>
                <w:rFonts w:cs="Arial"/>
                <w:szCs w:val="18"/>
              </w:rPr>
            </w:pPr>
            <w:r>
              <w:rPr>
                <w:rFonts w:cs="Arial"/>
                <w:szCs w:val="18"/>
              </w:rPr>
              <w:t>0.22</w:t>
            </w:r>
          </w:p>
        </w:tc>
        <w:tc>
          <w:tcPr>
            <w:tcW w:w="3780" w:type="dxa"/>
            <w:shd w:val="clear" w:color="auto" w:fill="FFFFFF"/>
          </w:tcPr>
          <w:p w14:paraId="72BA76F0" w14:textId="77777777" w:rsidR="00A31892" w:rsidRDefault="00A31892" w:rsidP="00307A4F">
            <w:pPr>
              <w:pStyle w:val="CETBodytext"/>
              <w:ind w:right="-1"/>
              <w:rPr>
                <w:rFonts w:cs="Arial"/>
                <w:szCs w:val="18"/>
              </w:rPr>
            </w:pPr>
            <w:r>
              <w:rPr>
                <w:rFonts w:cs="Arial"/>
                <w:szCs w:val="18"/>
              </w:rPr>
              <w:t>Ferritic, pearlitic</w:t>
            </w:r>
          </w:p>
        </w:tc>
      </w:tr>
      <w:tr w:rsidR="00A31892" w:rsidRPr="00E313B3" w14:paraId="54BFE648" w14:textId="77777777" w:rsidTr="00B66D4B">
        <w:tc>
          <w:tcPr>
            <w:tcW w:w="990" w:type="dxa"/>
            <w:shd w:val="clear" w:color="auto" w:fill="FFFFFF"/>
          </w:tcPr>
          <w:p w14:paraId="06D23D90" w14:textId="77777777" w:rsidR="00A31892" w:rsidRPr="000F721E" w:rsidRDefault="00A31892" w:rsidP="00307A4F">
            <w:pPr>
              <w:pStyle w:val="CETBodytext"/>
              <w:ind w:right="-1"/>
              <w:jc w:val="left"/>
              <w:rPr>
                <w:rFonts w:cs="Arial"/>
                <w:szCs w:val="18"/>
              </w:rPr>
            </w:pPr>
            <w:r>
              <w:rPr>
                <w:rFonts w:cs="Arial"/>
                <w:szCs w:val="18"/>
              </w:rPr>
              <w:t>X60</w:t>
            </w:r>
          </w:p>
        </w:tc>
        <w:tc>
          <w:tcPr>
            <w:tcW w:w="1170" w:type="dxa"/>
            <w:shd w:val="clear" w:color="auto" w:fill="FFFFFF"/>
          </w:tcPr>
          <w:p w14:paraId="4A907895" w14:textId="77777777" w:rsidR="00A31892" w:rsidRDefault="00A31892" w:rsidP="00307A4F">
            <w:pPr>
              <w:pStyle w:val="CETBodytext"/>
              <w:ind w:right="-1"/>
              <w:jc w:val="left"/>
              <w:rPr>
                <w:rFonts w:cs="Arial"/>
                <w:szCs w:val="18"/>
              </w:rPr>
            </w:pPr>
            <w:r>
              <w:rPr>
                <w:rFonts w:cs="Arial"/>
                <w:szCs w:val="18"/>
              </w:rPr>
              <w:t>415-565</w:t>
            </w:r>
          </w:p>
        </w:tc>
        <w:tc>
          <w:tcPr>
            <w:tcW w:w="1260" w:type="dxa"/>
            <w:shd w:val="clear" w:color="auto" w:fill="FFFFFF"/>
          </w:tcPr>
          <w:p w14:paraId="236EB99B" w14:textId="77777777" w:rsidR="00A31892" w:rsidRDefault="00A31892" w:rsidP="00307A4F">
            <w:pPr>
              <w:pStyle w:val="CETBodytext"/>
              <w:ind w:right="-1"/>
              <w:jc w:val="left"/>
              <w:rPr>
                <w:rFonts w:cs="Arial"/>
                <w:szCs w:val="18"/>
              </w:rPr>
            </w:pPr>
            <w:r>
              <w:rPr>
                <w:rFonts w:cs="Arial"/>
                <w:szCs w:val="18"/>
              </w:rPr>
              <w:t>520-760</w:t>
            </w:r>
          </w:p>
        </w:tc>
        <w:tc>
          <w:tcPr>
            <w:tcW w:w="900" w:type="dxa"/>
            <w:shd w:val="clear" w:color="auto" w:fill="FFFFFF"/>
          </w:tcPr>
          <w:p w14:paraId="69D3421A" w14:textId="77777777" w:rsidR="00A31892" w:rsidRDefault="00A31892" w:rsidP="00307A4F">
            <w:pPr>
              <w:pStyle w:val="CETBodytext"/>
              <w:ind w:right="-1"/>
              <w:jc w:val="left"/>
              <w:rPr>
                <w:rFonts w:cs="Arial"/>
                <w:szCs w:val="18"/>
              </w:rPr>
            </w:pPr>
            <w:r>
              <w:rPr>
                <w:rFonts w:cs="Arial"/>
                <w:szCs w:val="18"/>
              </w:rPr>
              <w:t>0.77</w:t>
            </w:r>
          </w:p>
        </w:tc>
        <w:tc>
          <w:tcPr>
            <w:tcW w:w="630" w:type="dxa"/>
            <w:shd w:val="clear" w:color="auto" w:fill="FFFFFF"/>
          </w:tcPr>
          <w:p w14:paraId="689BD4A2" w14:textId="77777777" w:rsidR="00A31892" w:rsidRDefault="00A31892" w:rsidP="00307A4F">
            <w:pPr>
              <w:pStyle w:val="CETBodytext"/>
              <w:ind w:right="-1"/>
              <w:jc w:val="left"/>
              <w:rPr>
                <w:rFonts w:cs="Arial"/>
                <w:szCs w:val="18"/>
              </w:rPr>
            </w:pPr>
            <w:r>
              <w:rPr>
                <w:rFonts w:cs="Arial"/>
                <w:szCs w:val="18"/>
              </w:rPr>
              <w:t>0.36</w:t>
            </w:r>
          </w:p>
        </w:tc>
        <w:tc>
          <w:tcPr>
            <w:tcW w:w="3780" w:type="dxa"/>
            <w:shd w:val="clear" w:color="auto" w:fill="FFFFFF"/>
          </w:tcPr>
          <w:p w14:paraId="3D3927FD" w14:textId="77777777" w:rsidR="00A31892" w:rsidRDefault="00A31892" w:rsidP="00307A4F">
            <w:pPr>
              <w:pStyle w:val="CETBodytext"/>
              <w:ind w:right="-1"/>
              <w:jc w:val="left"/>
              <w:rPr>
                <w:rFonts w:cs="Arial"/>
                <w:szCs w:val="18"/>
              </w:rPr>
            </w:pPr>
            <w:r>
              <w:rPr>
                <w:rFonts w:cs="Arial"/>
                <w:szCs w:val="18"/>
              </w:rPr>
              <w:t>Ferritic, pearlitic, austenitic</w:t>
            </w:r>
          </w:p>
        </w:tc>
      </w:tr>
      <w:tr w:rsidR="00A31892" w:rsidRPr="00E313B3" w14:paraId="0670AED9" w14:textId="77777777" w:rsidTr="00B66D4B">
        <w:tc>
          <w:tcPr>
            <w:tcW w:w="990" w:type="dxa"/>
            <w:shd w:val="clear" w:color="auto" w:fill="FFFFFF"/>
          </w:tcPr>
          <w:p w14:paraId="60F23C09" w14:textId="77777777" w:rsidR="00A31892" w:rsidRPr="000F721E" w:rsidRDefault="00A31892" w:rsidP="00307A4F">
            <w:pPr>
              <w:pStyle w:val="CETBodytext"/>
              <w:ind w:right="-1"/>
              <w:jc w:val="left"/>
              <w:rPr>
                <w:rFonts w:cs="Arial"/>
                <w:szCs w:val="18"/>
              </w:rPr>
            </w:pPr>
            <w:r>
              <w:rPr>
                <w:rFonts w:cs="Arial"/>
                <w:szCs w:val="18"/>
              </w:rPr>
              <w:t>X65</w:t>
            </w:r>
          </w:p>
        </w:tc>
        <w:tc>
          <w:tcPr>
            <w:tcW w:w="1170" w:type="dxa"/>
            <w:shd w:val="clear" w:color="auto" w:fill="FFFFFF"/>
          </w:tcPr>
          <w:p w14:paraId="47F603FB" w14:textId="77777777" w:rsidR="00A31892" w:rsidRDefault="00A31892" w:rsidP="00307A4F">
            <w:pPr>
              <w:pStyle w:val="CETBodytext"/>
              <w:ind w:right="-1"/>
              <w:jc w:val="left"/>
              <w:rPr>
                <w:rFonts w:cs="Arial"/>
                <w:szCs w:val="18"/>
              </w:rPr>
            </w:pPr>
            <w:r>
              <w:rPr>
                <w:rFonts w:cs="Arial"/>
                <w:szCs w:val="18"/>
              </w:rPr>
              <w:t>450-600</w:t>
            </w:r>
          </w:p>
        </w:tc>
        <w:tc>
          <w:tcPr>
            <w:tcW w:w="1260" w:type="dxa"/>
            <w:shd w:val="clear" w:color="auto" w:fill="FFFFFF"/>
          </w:tcPr>
          <w:p w14:paraId="44037E70" w14:textId="77777777" w:rsidR="00A31892" w:rsidRDefault="00A31892" w:rsidP="00307A4F">
            <w:pPr>
              <w:pStyle w:val="CETBodytext"/>
              <w:ind w:right="-1"/>
              <w:jc w:val="left"/>
              <w:rPr>
                <w:rFonts w:cs="Arial"/>
                <w:szCs w:val="18"/>
              </w:rPr>
            </w:pPr>
            <w:r>
              <w:rPr>
                <w:rFonts w:cs="Arial"/>
                <w:szCs w:val="18"/>
              </w:rPr>
              <w:t>535-760</w:t>
            </w:r>
          </w:p>
        </w:tc>
        <w:tc>
          <w:tcPr>
            <w:tcW w:w="900" w:type="dxa"/>
            <w:shd w:val="clear" w:color="auto" w:fill="FFFFFF"/>
          </w:tcPr>
          <w:p w14:paraId="551668C0" w14:textId="77777777" w:rsidR="00A31892" w:rsidRDefault="00A31892" w:rsidP="00307A4F">
            <w:pPr>
              <w:pStyle w:val="CETBodytext"/>
              <w:ind w:right="-1"/>
              <w:jc w:val="left"/>
              <w:rPr>
                <w:rFonts w:cs="Arial"/>
                <w:szCs w:val="18"/>
              </w:rPr>
            </w:pPr>
            <w:r>
              <w:rPr>
                <w:rFonts w:cs="Arial"/>
                <w:szCs w:val="18"/>
              </w:rPr>
              <w:t>0.81</w:t>
            </w:r>
          </w:p>
        </w:tc>
        <w:tc>
          <w:tcPr>
            <w:tcW w:w="630" w:type="dxa"/>
            <w:shd w:val="clear" w:color="auto" w:fill="FFFFFF"/>
          </w:tcPr>
          <w:p w14:paraId="57BD7453" w14:textId="77777777" w:rsidR="00A31892" w:rsidRDefault="00A31892" w:rsidP="00307A4F">
            <w:pPr>
              <w:pStyle w:val="CETBodytext"/>
              <w:ind w:right="-1"/>
              <w:jc w:val="left"/>
              <w:rPr>
                <w:rFonts w:cs="Arial"/>
                <w:szCs w:val="18"/>
              </w:rPr>
            </w:pPr>
            <w:r>
              <w:rPr>
                <w:rFonts w:cs="Arial"/>
                <w:szCs w:val="18"/>
              </w:rPr>
              <w:t>0.44</w:t>
            </w:r>
          </w:p>
        </w:tc>
        <w:tc>
          <w:tcPr>
            <w:tcW w:w="3780" w:type="dxa"/>
            <w:shd w:val="clear" w:color="auto" w:fill="FFFFFF"/>
          </w:tcPr>
          <w:p w14:paraId="1A24878B" w14:textId="77777777" w:rsidR="00A31892" w:rsidRDefault="00A31892" w:rsidP="00307A4F">
            <w:pPr>
              <w:pStyle w:val="CETBodytext"/>
              <w:ind w:right="-1"/>
              <w:jc w:val="left"/>
              <w:rPr>
                <w:rFonts w:cs="Arial"/>
                <w:szCs w:val="18"/>
              </w:rPr>
            </w:pPr>
            <w:r>
              <w:rPr>
                <w:rFonts w:cs="Arial"/>
                <w:szCs w:val="18"/>
              </w:rPr>
              <w:t>Ferritic, pearlitic</w:t>
            </w:r>
          </w:p>
        </w:tc>
      </w:tr>
      <w:tr w:rsidR="00A31892" w:rsidRPr="00E313B3" w14:paraId="1240A485" w14:textId="77777777" w:rsidTr="00B66D4B">
        <w:tc>
          <w:tcPr>
            <w:tcW w:w="990" w:type="dxa"/>
            <w:shd w:val="clear" w:color="auto" w:fill="FFFFFF"/>
          </w:tcPr>
          <w:p w14:paraId="2BF07C05" w14:textId="77777777" w:rsidR="00A31892" w:rsidRPr="000F721E" w:rsidRDefault="00A31892" w:rsidP="00307A4F">
            <w:pPr>
              <w:pStyle w:val="CETBodytext"/>
              <w:ind w:right="-1"/>
              <w:jc w:val="left"/>
              <w:rPr>
                <w:rFonts w:cs="Arial"/>
                <w:szCs w:val="18"/>
              </w:rPr>
            </w:pPr>
            <w:r>
              <w:rPr>
                <w:rFonts w:cs="Arial"/>
                <w:szCs w:val="18"/>
              </w:rPr>
              <w:t>X70</w:t>
            </w:r>
          </w:p>
        </w:tc>
        <w:tc>
          <w:tcPr>
            <w:tcW w:w="1170" w:type="dxa"/>
            <w:shd w:val="clear" w:color="auto" w:fill="FFFFFF"/>
          </w:tcPr>
          <w:p w14:paraId="43D2A6B4" w14:textId="77777777" w:rsidR="00A31892" w:rsidRDefault="00A31892" w:rsidP="00307A4F">
            <w:pPr>
              <w:pStyle w:val="CETBodytext"/>
              <w:ind w:right="-1"/>
              <w:jc w:val="left"/>
              <w:rPr>
                <w:rFonts w:cs="Arial"/>
                <w:szCs w:val="18"/>
              </w:rPr>
            </w:pPr>
            <w:r>
              <w:rPr>
                <w:rFonts w:cs="Arial"/>
                <w:szCs w:val="18"/>
              </w:rPr>
              <w:t>485-635</w:t>
            </w:r>
          </w:p>
        </w:tc>
        <w:tc>
          <w:tcPr>
            <w:tcW w:w="1260" w:type="dxa"/>
            <w:shd w:val="clear" w:color="auto" w:fill="FFFFFF"/>
          </w:tcPr>
          <w:p w14:paraId="03522DE6" w14:textId="77777777" w:rsidR="00A31892" w:rsidRDefault="00A31892" w:rsidP="00307A4F">
            <w:pPr>
              <w:pStyle w:val="CETBodytext"/>
              <w:ind w:right="-1"/>
              <w:jc w:val="left"/>
              <w:rPr>
                <w:rFonts w:cs="Arial"/>
                <w:szCs w:val="18"/>
              </w:rPr>
            </w:pPr>
            <w:r>
              <w:rPr>
                <w:rFonts w:cs="Arial"/>
                <w:szCs w:val="18"/>
              </w:rPr>
              <w:t>570-760</w:t>
            </w:r>
          </w:p>
        </w:tc>
        <w:tc>
          <w:tcPr>
            <w:tcW w:w="900" w:type="dxa"/>
            <w:shd w:val="clear" w:color="auto" w:fill="FFFFFF"/>
          </w:tcPr>
          <w:p w14:paraId="02B77041" w14:textId="77777777" w:rsidR="00A31892" w:rsidRDefault="00A31892" w:rsidP="00307A4F">
            <w:pPr>
              <w:pStyle w:val="CETBodytext"/>
              <w:ind w:right="-1"/>
              <w:jc w:val="left"/>
              <w:rPr>
                <w:rFonts w:cs="Arial"/>
                <w:szCs w:val="18"/>
              </w:rPr>
            </w:pPr>
            <w:r>
              <w:rPr>
                <w:rFonts w:cs="Arial"/>
                <w:szCs w:val="18"/>
              </w:rPr>
              <w:t>0.84</w:t>
            </w:r>
          </w:p>
        </w:tc>
        <w:tc>
          <w:tcPr>
            <w:tcW w:w="630" w:type="dxa"/>
            <w:shd w:val="clear" w:color="auto" w:fill="FFFFFF"/>
          </w:tcPr>
          <w:p w14:paraId="525A1AB9" w14:textId="77777777" w:rsidR="00A31892" w:rsidRDefault="00A31892" w:rsidP="00307A4F">
            <w:pPr>
              <w:pStyle w:val="CETBodytext"/>
              <w:ind w:right="-1"/>
              <w:jc w:val="left"/>
              <w:rPr>
                <w:rFonts w:cs="Arial"/>
                <w:szCs w:val="18"/>
              </w:rPr>
            </w:pPr>
            <w:r>
              <w:rPr>
                <w:rFonts w:cs="Arial"/>
                <w:szCs w:val="18"/>
              </w:rPr>
              <w:t>0.43</w:t>
            </w:r>
          </w:p>
        </w:tc>
        <w:tc>
          <w:tcPr>
            <w:tcW w:w="3780" w:type="dxa"/>
            <w:shd w:val="clear" w:color="auto" w:fill="FFFFFF"/>
          </w:tcPr>
          <w:p w14:paraId="65C00304" w14:textId="77777777" w:rsidR="00A31892" w:rsidRDefault="00A31892" w:rsidP="00307A4F">
            <w:pPr>
              <w:pStyle w:val="CETBodytext"/>
              <w:ind w:right="-1"/>
              <w:jc w:val="left"/>
              <w:rPr>
                <w:rFonts w:cs="Arial"/>
                <w:szCs w:val="18"/>
              </w:rPr>
            </w:pPr>
            <w:r>
              <w:rPr>
                <w:rFonts w:cs="Arial"/>
                <w:szCs w:val="18"/>
              </w:rPr>
              <w:t>Ferritic, bainitic, pearlitic, martensitic, austenitic</w:t>
            </w:r>
          </w:p>
        </w:tc>
      </w:tr>
      <w:tr w:rsidR="00A31892" w:rsidRPr="00E313B3" w14:paraId="0BD715A6" w14:textId="77777777" w:rsidTr="00B66D4B">
        <w:tc>
          <w:tcPr>
            <w:tcW w:w="990" w:type="dxa"/>
            <w:shd w:val="clear" w:color="auto" w:fill="FFFFFF"/>
          </w:tcPr>
          <w:p w14:paraId="54F443A7" w14:textId="77777777" w:rsidR="00A31892" w:rsidRDefault="00A31892" w:rsidP="00307A4F">
            <w:pPr>
              <w:pStyle w:val="CETBodytext"/>
              <w:ind w:right="-1"/>
              <w:jc w:val="left"/>
              <w:rPr>
                <w:rFonts w:cs="Arial"/>
                <w:szCs w:val="18"/>
              </w:rPr>
            </w:pPr>
            <w:r>
              <w:rPr>
                <w:rFonts w:cs="Arial"/>
                <w:szCs w:val="18"/>
              </w:rPr>
              <w:t>X80</w:t>
            </w:r>
          </w:p>
        </w:tc>
        <w:tc>
          <w:tcPr>
            <w:tcW w:w="1170" w:type="dxa"/>
            <w:shd w:val="clear" w:color="auto" w:fill="FFFFFF"/>
          </w:tcPr>
          <w:p w14:paraId="39D4467E" w14:textId="77777777" w:rsidR="00A31892" w:rsidRDefault="00A31892" w:rsidP="00307A4F">
            <w:pPr>
              <w:pStyle w:val="CETBodytext"/>
              <w:ind w:right="-1"/>
              <w:jc w:val="left"/>
              <w:rPr>
                <w:rFonts w:cs="Arial"/>
                <w:szCs w:val="18"/>
              </w:rPr>
            </w:pPr>
            <w:r>
              <w:rPr>
                <w:rFonts w:cs="Arial"/>
                <w:szCs w:val="18"/>
              </w:rPr>
              <w:t>555-705</w:t>
            </w:r>
          </w:p>
        </w:tc>
        <w:tc>
          <w:tcPr>
            <w:tcW w:w="1260" w:type="dxa"/>
            <w:shd w:val="clear" w:color="auto" w:fill="FFFFFF"/>
          </w:tcPr>
          <w:p w14:paraId="1FA12E09" w14:textId="77777777" w:rsidR="00A31892" w:rsidRDefault="00A31892" w:rsidP="00307A4F">
            <w:pPr>
              <w:pStyle w:val="CETBodytext"/>
              <w:ind w:right="-1"/>
              <w:jc w:val="left"/>
              <w:rPr>
                <w:rFonts w:cs="Arial"/>
                <w:szCs w:val="18"/>
              </w:rPr>
            </w:pPr>
            <w:r>
              <w:rPr>
                <w:rFonts w:cs="Arial"/>
                <w:szCs w:val="18"/>
              </w:rPr>
              <w:t>625-825</w:t>
            </w:r>
          </w:p>
        </w:tc>
        <w:tc>
          <w:tcPr>
            <w:tcW w:w="900" w:type="dxa"/>
            <w:shd w:val="clear" w:color="auto" w:fill="FFFFFF"/>
          </w:tcPr>
          <w:p w14:paraId="056FD615" w14:textId="77777777" w:rsidR="00A31892" w:rsidRDefault="00A31892" w:rsidP="00307A4F">
            <w:pPr>
              <w:pStyle w:val="CETBodytext"/>
              <w:ind w:right="-1"/>
              <w:jc w:val="left"/>
              <w:rPr>
                <w:rFonts w:cs="Arial"/>
                <w:szCs w:val="18"/>
              </w:rPr>
            </w:pPr>
            <w:r>
              <w:rPr>
                <w:rFonts w:cs="Arial"/>
                <w:szCs w:val="18"/>
              </w:rPr>
              <w:t>0.87</w:t>
            </w:r>
          </w:p>
        </w:tc>
        <w:tc>
          <w:tcPr>
            <w:tcW w:w="630" w:type="dxa"/>
            <w:shd w:val="clear" w:color="auto" w:fill="FFFFFF"/>
          </w:tcPr>
          <w:p w14:paraId="2E7489B2" w14:textId="77777777" w:rsidR="00A31892" w:rsidRDefault="00A31892" w:rsidP="00307A4F">
            <w:pPr>
              <w:pStyle w:val="CETBodytext"/>
              <w:ind w:right="-1"/>
              <w:jc w:val="left"/>
              <w:rPr>
                <w:rFonts w:cs="Arial"/>
                <w:szCs w:val="18"/>
              </w:rPr>
            </w:pPr>
            <w:r>
              <w:rPr>
                <w:rFonts w:cs="Arial"/>
                <w:szCs w:val="18"/>
              </w:rPr>
              <w:t>0.41</w:t>
            </w:r>
          </w:p>
        </w:tc>
        <w:tc>
          <w:tcPr>
            <w:tcW w:w="3780" w:type="dxa"/>
            <w:shd w:val="clear" w:color="auto" w:fill="FFFFFF"/>
          </w:tcPr>
          <w:p w14:paraId="47D32FA1" w14:textId="77777777" w:rsidR="00A31892" w:rsidRDefault="00A31892" w:rsidP="00307A4F">
            <w:pPr>
              <w:pStyle w:val="CETBodytext"/>
              <w:ind w:right="-1"/>
              <w:jc w:val="left"/>
              <w:rPr>
                <w:rFonts w:cs="Arial"/>
                <w:szCs w:val="18"/>
              </w:rPr>
            </w:pPr>
            <w:r>
              <w:rPr>
                <w:rFonts w:cs="Arial"/>
                <w:szCs w:val="18"/>
              </w:rPr>
              <w:t>Ferritic, bainitic, martensitic, austenitic</w:t>
            </w:r>
          </w:p>
        </w:tc>
      </w:tr>
      <w:tr w:rsidR="00A31892" w:rsidRPr="00E313B3" w14:paraId="3609FF8B" w14:textId="77777777" w:rsidTr="00B66D4B">
        <w:tc>
          <w:tcPr>
            <w:tcW w:w="990" w:type="dxa"/>
            <w:shd w:val="clear" w:color="auto" w:fill="FFFFFF"/>
          </w:tcPr>
          <w:p w14:paraId="556632D5" w14:textId="77777777" w:rsidR="00A31892" w:rsidRDefault="00A31892" w:rsidP="00307A4F">
            <w:pPr>
              <w:pStyle w:val="CETBodytext"/>
              <w:ind w:right="-1"/>
              <w:jc w:val="left"/>
              <w:rPr>
                <w:rFonts w:cs="Arial"/>
                <w:szCs w:val="18"/>
              </w:rPr>
            </w:pPr>
            <w:r>
              <w:rPr>
                <w:rFonts w:cs="Arial"/>
                <w:szCs w:val="18"/>
              </w:rPr>
              <w:t>X90</w:t>
            </w:r>
          </w:p>
        </w:tc>
        <w:tc>
          <w:tcPr>
            <w:tcW w:w="1170" w:type="dxa"/>
            <w:shd w:val="clear" w:color="auto" w:fill="FFFFFF"/>
          </w:tcPr>
          <w:p w14:paraId="4CB8F1B1" w14:textId="77777777" w:rsidR="00A31892" w:rsidRDefault="00A31892" w:rsidP="00307A4F">
            <w:pPr>
              <w:pStyle w:val="CETBodytext"/>
              <w:ind w:right="-1"/>
              <w:jc w:val="left"/>
              <w:rPr>
                <w:rFonts w:cs="Arial"/>
                <w:szCs w:val="18"/>
              </w:rPr>
            </w:pPr>
            <w:r>
              <w:rPr>
                <w:rFonts w:cs="Arial"/>
                <w:szCs w:val="18"/>
              </w:rPr>
              <w:t>625-775</w:t>
            </w:r>
          </w:p>
        </w:tc>
        <w:tc>
          <w:tcPr>
            <w:tcW w:w="1260" w:type="dxa"/>
            <w:shd w:val="clear" w:color="auto" w:fill="FFFFFF"/>
          </w:tcPr>
          <w:p w14:paraId="6E1CE4BF" w14:textId="77777777" w:rsidR="00A31892" w:rsidRDefault="00A31892" w:rsidP="00307A4F">
            <w:pPr>
              <w:pStyle w:val="CETBodytext"/>
              <w:ind w:right="-1"/>
              <w:jc w:val="left"/>
              <w:rPr>
                <w:rFonts w:cs="Arial"/>
                <w:szCs w:val="18"/>
              </w:rPr>
            </w:pPr>
            <w:r>
              <w:rPr>
                <w:rFonts w:cs="Arial"/>
                <w:szCs w:val="18"/>
              </w:rPr>
              <w:t>695-915</w:t>
            </w:r>
          </w:p>
        </w:tc>
        <w:tc>
          <w:tcPr>
            <w:tcW w:w="900" w:type="dxa"/>
            <w:shd w:val="clear" w:color="auto" w:fill="FFFFFF"/>
          </w:tcPr>
          <w:p w14:paraId="65805E3C" w14:textId="77777777" w:rsidR="00A31892" w:rsidRDefault="00A31892" w:rsidP="00307A4F">
            <w:pPr>
              <w:pStyle w:val="CETBodytext"/>
              <w:ind w:right="-1"/>
              <w:jc w:val="left"/>
              <w:rPr>
                <w:rFonts w:cs="Arial"/>
                <w:szCs w:val="18"/>
              </w:rPr>
            </w:pPr>
            <w:r>
              <w:rPr>
                <w:rFonts w:cs="Arial"/>
                <w:szCs w:val="18"/>
              </w:rPr>
              <w:t>0.87</w:t>
            </w:r>
          </w:p>
        </w:tc>
        <w:tc>
          <w:tcPr>
            <w:tcW w:w="630" w:type="dxa"/>
            <w:shd w:val="clear" w:color="auto" w:fill="FFFFFF"/>
          </w:tcPr>
          <w:p w14:paraId="08ABFE8A" w14:textId="086FD719" w:rsidR="00A31892" w:rsidRDefault="005E27B9" w:rsidP="00307A4F">
            <w:pPr>
              <w:pStyle w:val="CETBodytext"/>
              <w:ind w:right="-1"/>
              <w:jc w:val="left"/>
              <w:rPr>
                <w:rFonts w:cs="Arial"/>
                <w:szCs w:val="18"/>
              </w:rPr>
            </w:pPr>
            <w:r>
              <w:rPr>
                <w:rFonts w:cs="Arial"/>
                <w:szCs w:val="18"/>
              </w:rPr>
              <w:t>0.37</w:t>
            </w:r>
          </w:p>
        </w:tc>
        <w:tc>
          <w:tcPr>
            <w:tcW w:w="3780" w:type="dxa"/>
            <w:shd w:val="clear" w:color="auto" w:fill="FFFFFF"/>
          </w:tcPr>
          <w:p w14:paraId="4950A656" w14:textId="77777777" w:rsidR="00A31892" w:rsidRDefault="00A31892" w:rsidP="00307A4F">
            <w:pPr>
              <w:pStyle w:val="CETBodytext"/>
              <w:ind w:right="-1"/>
              <w:jc w:val="left"/>
              <w:rPr>
                <w:rFonts w:cs="Arial"/>
                <w:szCs w:val="18"/>
              </w:rPr>
            </w:pPr>
            <w:r>
              <w:rPr>
                <w:rFonts w:cs="Arial"/>
                <w:szCs w:val="18"/>
              </w:rPr>
              <w:t>Ferritic, bainitic, martensitic, austenitic</w:t>
            </w:r>
          </w:p>
        </w:tc>
      </w:tr>
      <w:tr w:rsidR="00A31892" w:rsidRPr="00E313B3" w14:paraId="22408AF9" w14:textId="77777777" w:rsidTr="00B66D4B">
        <w:tc>
          <w:tcPr>
            <w:tcW w:w="990" w:type="dxa"/>
            <w:shd w:val="clear" w:color="auto" w:fill="FFFFFF"/>
          </w:tcPr>
          <w:p w14:paraId="389D4A38" w14:textId="77777777" w:rsidR="00A31892" w:rsidRDefault="00A31892" w:rsidP="00307A4F">
            <w:pPr>
              <w:pStyle w:val="CETBodytext"/>
              <w:ind w:right="-1"/>
              <w:jc w:val="left"/>
              <w:rPr>
                <w:rFonts w:cs="Arial"/>
                <w:szCs w:val="18"/>
              </w:rPr>
            </w:pPr>
            <w:r>
              <w:rPr>
                <w:rFonts w:cs="Arial"/>
                <w:szCs w:val="18"/>
              </w:rPr>
              <w:t>X100</w:t>
            </w:r>
          </w:p>
        </w:tc>
        <w:tc>
          <w:tcPr>
            <w:tcW w:w="1170" w:type="dxa"/>
            <w:shd w:val="clear" w:color="auto" w:fill="FFFFFF"/>
          </w:tcPr>
          <w:p w14:paraId="05350E34" w14:textId="77777777" w:rsidR="00A31892" w:rsidRDefault="00A31892" w:rsidP="00307A4F">
            <w:pPr>
              <w:pStyle w:val="CETBodytext"/>
              <w:ind w:right="-1"/>
              <w:jc w:val="left"/>
              <w:rPr>
                <w:rFonts w:cs="Arial"/>
                <w:szCs w:val="18"/>
              </w:rPr>
            </w:pPr>
            <w:r>
              <w:rPr>
                <w:rFonts w:cs="Arial"/>
                <w:szCs w:val="18"/>
              </w:rPr>
              <w:t>690-840</w:t>
            </w:r>
          </w:p>
        </w:tc>
        <w:tc>
          <w:tcPr>
            <w:tcW w:w="1260" w:type="dxa"/>
            <w:shd w:val="clear" w:color="auto" w:fill="FFFFFF"/>
          </w:tcPr>
          <w:p w14:paraId="5F6E9BC8" w14:textId="77777777" w:rsidR="00A31892" w:rsidRDefault="00A31892" w:rsidP="00307A4F">
            <w:pPr>
              <w:pStyle w:val="CETBodytext"/>
              <w:ind w:right="-1"/>
              <w:jc w:val="left"/>
              <w:rPr>
                <w:rFonts w:cs="Arial"/>
                <w:szCs w:val="18"/>
              </w:rPr>
            </w:pPr>
            <w:r>
              <w:rPr>
                <w:rFonts w:cs="Arial"/>
                <w:szCs w:val="18"/>
              </w:rPr>
              <w:t>760-990</w:t>
            </w:r>
          </w:p>
        </w:tc>
        <w:tc>
          <w:tcPr>
            <w:tcW w:w="900" w:type="dxa"/>
            <w:shd w:val="clear" w:color="auto" w:fill="FFFFFF"/>
          </w:tcPr>
          <w:p w14:paraId="315B3F05" w14:textId="77777777" w:rsidR="00A31892" w:rsidRDefault="00A31892" w:rsidP="00307A4F">
            <w:pPr>
              <w:pStyle w:val="CETBodytext"/>
              <w:ind w:right="-1"/>
              <w:jc w:val="left"/>
              <w:rPr>
                <w:rFonts w:cs="Arial"/>
                <w:szCs w:val="18"/>
              </w:rPr>
            </w:pPr>
            <w:r>
              <w:rPr>
                <w:rFonts w:cs="Arial"/>
                <w:szCs w:val="18"/>
              </w:rPr>
              <w:t>0.87</w:t>
            </w:r>
          </w:p>
        </w:tc>
        <w:tc>
          <w:tcPr>
            <w:tcW w:w="630" w:type="dxa"/>
            <w:shd w:val="clear" w:color="auto" w:fill="FFFFFF"/>
          </w:tcPr>
          <w:p w14:paraId="148D63DB" w14:textId="77777777" w:rsidR="00A31892" w:rsidRDefault="00A31892" w:rsidP="00307A4F">
            <w:pPr>
              <w:pStyle w:val="CETBodytext"/>
              <w:ind w:right="-1"/>
              <w:jc w:val="left"/>
              <w:rPr>
                <w:rFonts w:cs="Arial"/>
                <w:szCs w:val="18"/>
              </w:rPr>
            </w:pPr>
            <w:r>
              <w:rPr>
                <w:rFonts w:cs="Arial"/>
                <w:szCs w:val="18"/>
              </w:rPr>
              <w:t>0.46</w:t>
            </w:r>
          </w:p>
        </w:tc>
        <w:tc>
          <w:tcPr>
            <w:tcW w:w="3780" w:type="dxa"/>
            <w:shd w:val="clear" w:color="auto" w:fill="FFFFFF"/>
          </w:tcPr>
          <w:p w14:paraId="0F3C9583" w14:textId="77777777" w:rsidR="00A31892" w:rsidRDefault="00A31892" w:rsidP="00307A4F">
            <w:pPr>
              <w:pStyle w:val="CETBodytext"/>
              <w:ind w:right="-1"/>
              <w:jc w:val="left"/>
              <w:rPr>
                <w:rFonts w:cs="Arial"/>
                <w:szCs w:val="18"/>
              </w:rPr>
            </w:pPr>
            <w:r>
              <w:rPr>
                <w:rFonts w:cs="Arial"/>
                <w:szCs w:val="18"/>
              </w:rPr>
              <w:t>Ferritic, bainitic, martensitic</w:t>
            </w:r>
          </w:p>
        </w:tc>
      </w:tr>
      <w:tr w:rsidR="00A31892" w:rsidRPr="00E313B3" w14:paraId="208AE18D" w14:textId="77777777" w:rsidTr="00B66D4B">
        <w:tc>
          <w:tcPr>
            <w:tcW w:w="990" w:type="dxa"/>
            <w:shd w:val="clear" w:color="auto" w:fill="FFFFFF"/>
          </w:tcPr>
          <w:p w14:paraId="212037C5" w14:textId="1DBF4793" w:rsidR="00A31892" w:rsidRDefault="001264E6" w:rsidP="00307A4F">
            <w:pPr>
              <w:pStyle w:val="CETBodytext"/>
              <w:ind w:right="-1"/>
              <w:jc w:val="left"/>
              <w:rPr>
                <w:rFonts w:cs="Arial"/>
                <w:szCs w:val="18"/>
              </w:rPr>
            </w:pPr>
            <w:r>
              <w:rPr>
                <w:rFonts w:cs="Arial"/>
                <w:szCs w:val="18"/>
              </w:rPr>
              <w:t>X</w:t>
            </w:r>
            <w:r w:rsidR="00A31892">
              <w:rPr>
                <w:rFonts w:cs="Arial"/>
                <w:szCs w:val="18"/>
              </w:rPr>
              <w:t>120</w:t>
            </w:r>
          </w:p>
        </w:tc>
        <w:tc>
          <w:tcPr>
            <w:tcW w:w="1170" w:type="dxa"/>
            <w:shd w:val="clear" w:color="auto" w:fill="FFFFFF"/>
          </w:tcPr>
          <w:p w14:paraId="6C0834B7" w14:textId="77777777" w:rsidR="00A31892" w:rsidRDefault="00A31892" w:rsidP="00307A4F">
            <w:pPr>
              <w:pStyle w:val="CETBodytext"/>
              <w:ind w:right="-1"/>
              <w:jc w:val="left"/>
              <w:rPr>
                <w:rFonts w:cs="Arial"/>
                <w:szCs w:val="18"/>
              </w:rPr>
            </w:pPr>
            <w:r>
              <w:rPr>
                <w:rFonts w:cs="Arial"/>
                <w:szCs w:val="18"/>
              </w:rPr>
              <w:t>830-1050</w:t>
            </w:r>
          </w:p>
        </w:tc>
        <w:tc>
          <w:tcPr>
            <w:tcW w:w="1260" w:type="dxa"/>
            <w:shd w:val="clear" w:color="auto" w:fill="FFFFFF"/>
          </w:tcPr>
          <w:p w14:paraId="11DB3A82" w14:textId="77777777" w:rsidR="00A31892" w:rsidRDefault="00A31892" w:rsidP="00307A4F">
            <w:pPr>
              <w:pStyle w:val="CETBodytext"/>
              <w:ind w:right="-1"/>
              <w:jc w:val="left"/>
              <w:rPr>
                <w:rFonts w:cs="Arial"/>
                <w:szCs w:val="18"/>
              </w:rPr>
            </w:pPr>
            <w:r>
              <w:rPr>
                <w:rFonts w:cs="Arial"/>
                <w:szCs w:val="18"/>
              </w:rPr>
              <w:t>915-1145</w:t>
            </w:r>
          </w:p>
        </w:tc>
        <w:tc>
          <w:tcPr>
            <w:tcW w:w="900" w:type="dxa"/>
            <w:shd w:val="clear" w:color="auto" w:fill="FFFFFF"/>
          </w:tcPr>
          <w:p w14:paraId="2260419B" w14:textId="77777777" w:rsidR="00A31892" w:rsidRDefault="00A31892" w:rsidP="00307A4F">
            <w:pPr>
              <w:pStyle w:val="CETBodytext"/>
              <w:ind w:right="-1"/>
              <w:jc w:val="left"/>
              <w:rPr>
                <w:rFonts w:cs="Arial"/>
                <w:szCs w:val="18"/>
              </w:rPr>
            </w:pPr>
            <w:r>
              <w:rPr>
                <w:rFonts w:cs="Arial"/>
                <w:szCs w:val="18"/>
              </w:rPr>
              <w:t>0.91</w:t>
            </w:r>
          </w:p>
        </w:tc>
        <w:tc>
          <w:tcPr>
            <w:tcW w:w="630" w:type="dxa"/>
            <w:shd w:val="clear" w:color="auto" w:fill="FFFFFF"/>
          </w:tcPr>
          <w:p w14:paraId="61C18982" w14:textId="77777777" w:rsidR="00A31892" w:rsidRDefault="00A31892" w:rsidP="00307A4F">
            <w:pPr>
              <w:pStyle w:val="CETBodytext"/>
              <w:ind w:right="-1"/>
              <w:jc w:val="left"/>
              <w:rPr>
                <w:rFonts w:cs="Arial"/>
                <w:szCs w:val="18"/>
              </w:rPr>
            </w:pPr>
            <w:r>
              <w:rPr>
                <w:rFonts w:cs="Arial"/>
                <w:szCs w:val="18"/>
              </w:rPr>
              <w:t>0.40</w:t>
            </w:r>
          </w:p>
        </w:tc>
        <w:tc>
          <w:tcPr>
            <w:tcW w:w="3780" w:type="dxa"/>
            <w:shd w:val="clear" w:color="auto" w:fill="FFFFFF"/>
          </w:tcPr>
          <w:p w14:paraId="58C534E4" w14:textId="77777777" w:rsidR="00A31892" w:rsidRDefault="00A31892" w:rsidP="00307A4F">
            <w:pPr>
              <w:pStyle w:val="CETBodytext"/>
              <w:ind w:right="-1"/>
              <w:jc w:val="left"/>
              <w:rPr>
                <w:rFonts w:cs="Arial"/>
                <w:szCs w:val="18"/>
              </w:rPr>
            </w:pPr>
            <w:r>
              <w:rPr>
                <w:rFonts w:cs="Arial"/>
                <w:szCs w:val="18"/>
              </w:rPr>
              <w:t>Ferritic, bainitic, martensitic</w:t>
            </w:r>
          </w:p>
        </w:tc>
      </w:tr>
    </w:tbl>
    <w:p w14:paraId="0AFBA615" w14:textId="77777777" w:rsidR="00A31892" w:rsidRDefault="00A31892" w:rsidP="00A31892">
      <w:pPr>
        <w:pStyle w:val="CETBodytext"/>
      </w:pPr>
    </w:p>
    <w:p w14:paraId="22B29FEF" w14:textId="294E42D0" w:rsidR="00B66D4B" w:rsidRDefault="002D1C75" w:rsidP="00A31892">
      <w:pPr>
        <w:pStyle w:val="CETBodytext"/>
      </w:pPr>
      <w:r w:rsidRPr="002D1C75">
        <w:t>In hydrogen environments, most ferritic steels are prone to hydrogen embrittlement degradation, which manifests itself as a reduction in tensile and fracture properties and an enhancement in fatigue crack growth rate. HE relies on the synergistic effect of three factors: environment, material, and load. The environmental severity depends on the hydrogen partial pressure, the temperature, and the hydrogen purity. On the other hand, the material susceptibility is influenced by the chemical composition, the microstructure, the yield and ultimate tensile strength, the presence of welds and heat-affected zones (HAZs). Finally, the loading conditions depend on the presence of stress concentrators (e.g., notches or cracks), the strain rate, and the frequency and amplitude of cyclic loads (Campari et a., 2023b).</w:t>
      </w:r>
      <w:r w:rsidR="00370504">
        <w:t xml:space="preserve"> In general, low-grade steels are </w:t>
      </w:r>
      <w:r w:rsidR="00F54ACD">
        <w:t>considered less susceptible to hydrogen embrittlement</w:t>
      </w:r>
      <w:r w:rsidR="009C4EB0">
        <w:t xml:space="preserve"> due to their lower strength and higher ductility. Nevertheless</w:t>
      </w:r>
      <w:r w:rsidR="00333C64">
        <w:t xml:space="preserve">, this strength dependence is not valid for cyclic </w:t>
      </w:r>
      <w:r w:rsidR="00357CDA">
        <w:t>loads,</w:t>
      </w:r>
      <w:r w:rsidR="00333C64">
        <w:t xml:space="preserve"> and</w:t>
      </w:r>
      <w:r w:rsidR="00357CDA">
        <w:t xml:space="preserve"> </w:t>
      </w:r>
      <w:r w:rsidR="00333C64">
        <w:t xml:space="preserve">no consensus has been reached regarding </w:t>
      </w:r>
      <w:r w:rsidR="00357CDA">
        <w:t xml:space="preserve">the most suitable </w:t>
      </w:r>
      <w:r w:rsidR="00357CDA" w:rsidRPr="00421DF8">
        <w:rPr>
          <w:lang w:val="en-GB"/>
        </w:rPr>
        <w:t xml:space="preserve">steels for hydrogen </w:t>
      </w:r>
      <w:r w:rsidR="00357CDA">
        <w:rPr>
          <w:lang w:val="en-GB"/>
        </w:rPr>
        <w:t>pipeline applications</w:t>
      </w:r>
      <w:r w:rsidR="00357CDA">
        <w:t xml:space="preserve"> </w:t>
      </w:r>
      <w:r w:rsidR="00C4559E">
        <w:t>(</w:t>
      </w:r>
      <w:proofErr w:type="spellStart"/>
      <w:r w:rsidR="00C4559E">
        <w:t>Somerday</w:t>
      </w:r>
      <w:proofErr w:type="spellEnd"/>
      <w:r w:rsidR="00C4559E">
        <w:t xml:space="preserve"> and San </w:t>
      </w:r>
      <w:proofErr w:type="spellStart"/>
      <w:r w:rsidR="00C4559E">
        <w:t>Marchi</w:t>
      </w:r>
      <w:proofErr w:type="spellEnd"/>
      <w:r w:rsidR="00C4559E">
        <w:t>, 2007)</w:t>
      </w:r>
      <w:r w:rsidR="00357CDA">
        <w:t>. I</w:t>
      </w:r>
      <w:r w:rsidR="00424B11">
        <w:t xml:space="preserve">n any case, all steel grades are </w:t>
      </w:r>
      <w:r w:rsidR="008F62DD">
        <w:t xml:space="preserve">susceptible to HE, even if to different extents, and </w:t>
      </w:r>
      <w:r w:rsidR="003F67D7">
        <w:t>should</w:t>
      </w:r>
      <w:r w:rsidR="00070947">
        <w:t xml:space="preserve"> be carefully assessed</w:t>
      </w:r>
      <w:r w:rsidR="00EA3ED9">
        <w:t xml:space="preserve"> in the design phase </w:t>
      </w:r>
      <w:r w:rsidR="00070947">
        <w:t xml:space="preserve">and inspected and maintained </w:t>
      </w:r>
      <w:r w:rsidR="00EA3ED9">
        <w:t>while in operation.</w:t>
      </w:r>
    </w:p>
    <w:p w14:paraId="12892354" w14:textId="77777777" w:rsidR="00A31892" w:rsidRDefault="00A31892" w:rsidP="00A31892">
      <w:pPr>
        <w:pStyle w:val="CETHeading1"/>
      </w:pPr>
      <w:r>
        <w:lastRenderedPageBreak/>
        <w:t>Methodology</w:t>
      </w:r>
    </w:p>
    <w:p w14:paraId="321CFB13" w14:textId="51B8041C" w:rsidR="00A31892" w:rsidRDefault="00A31892" w:rsidP="00A31892">
      <w:pPr>
        <w:pStyle w:val="CETBodytext"/>
      </w:pPr>
      <w:r>
        <w:t>The</w:t>
      </w:r>
      <w:r w:rsidR="003B7532">
        <w:t xml:space="preserve"> machine learning</w:t>
      </w:r>
      <w:r>
        <w:t xml:space="preserve"> prediction of HE effects in pipeline steels </w:t>
      </w:r>
      <w:r w:rsidR="003B7532">
        <w:t xml:space="preserve">consist </w:t>
      </w:r>
      <w:r w:rsidR="005910F1">
        <w:t>of</w:t>
      </w:r>
      <w:r w:rsidR="003B7532">
        <w:t xml:space="preserve"> </w:t>
      </w:r>
      <w:r w:rsidR="00E3139F">
        <w:t xml:space="preserve">two main steps: </w:t>
      </w:r>
      <w:r w:rsidR="003B7532">
        <w:t xml:space="preserve">the database creation and pre-processing and </w:t>
      </w:r>
      <w:r w:rsidR="007F6ECE">
        <w:t>the training and evaluation of the ML classifiers</w:t>
      </w:r>
      <w:r w:rsidR="001F1B75">
        <w:t>. The</w:t>
      </w:r>
      <w:r w:rsidR="00E3139F">
        <w:t xml:space="preserve"> methodology adopted is</w:t>
      </w:r>
      <w:r>
        <w:t xml:space="preserve"> described in the following section.</w:t>
      </w:r>
    </w:p>
    <w:p w14:paraId="1CD8CC2A" w14:textId="77777777" w:rsidR="00A31892" w:rsidRDefault="00A31892" w:rsidP="00A31892">
      <w:pPr>
        <w:pStyle w:val="CETheadingx"/>
      </w:pPr>
      <w:r>
        <w:t>Database creation and pre-processing</w:t>
      </w:r>
    </w:p>
    <w:p w14:paraId="3BCEE2D5" w14:textId="2D92C38A" w:rsidR="00F24A8B" w:rsidRDefault="00A31892" w:rsidP="00A31892">
      <w:pPr>
        <w:pStyle w:val="CETBodytext"/>
      </w:pPr>
      <w:r>
        <w:t>The database has been collected from peer-reviewed journals and publicly released reports</w:t>
      </w:r>
      <w:r w:rsidR="00090295">
        <w:t>,</w:t>
      </w:r>
      <w:r>
        <w:t xml:space="preserve"> such as </w:t>
      </w:r>
      <w:r w:rsidR="00090295">
        <w:t xml:space="preserve">the </w:t>
      </w:r>
      <w:r>
        <w:t>“Technical Reference for Hydrogen Compatibility of Materials”</w:t>
      </w:r>
      <w:r w:rsidR="00090295">
        <w:t xml:space="preserve"> (San </w:t>
      </w:r>
      <w:proofErr w:type="spellStart"/>
      <w:r w:rsidR="00090295">
        <w:t>Marchi</w:t>
      </w:r>
      <w:proofErr w:type="spellEnd"/>
      <w:r w:rsidR="00090295">
        <w:t xml:space="preserve"> and </w:t>
      </w:r>
      <w:proofErr w:type="spellStart"/>
      <w:r w:rsidR="00090295">
        <w:t>Somerday</w:t>
      </w:r>
      <w:proofErr w:type="spellEnd"/>
      <w:r w:rsidR="00090295">
        <w:t>, 2012)</w:t>
      </w:r>
      <w:r>
        <w:t xml:space="preserve">. It includes </w:t>
      </w:r>
      <w:r w:rsidR="003A4FAA">
        <w:t>the results of in-situ slow strain rate tests</w:t>
      </w:r>
      <w:r>
        <w:t xml:space="preserve"> conducted on </w:t>
      </w:r>
      <w:r w:rsidR="003A4FAA">
        <w:t>low-alloy</w:t>
      </w:r>
      <w:r>
        <w:t xml:space="preserve"> steels</w:t>
      </w:r>
      <w:r w:rsidR="003218A6">
        <w:t>.</w:t>
      </w:r>
      <w:r>
        <w:t xml:space="preserve"> The</w:t>
      </w:r>
      <w:r w:rsidR="003218A6">
        <w:t xml:space="preserve"> </w:t>
      </w:r>
      <w:r>
        <w:t xml:space="preserve">database consists of 132 tests and 35 features (10 categorical and 25 </w:t>
      </w:r>
      <w:r w:rsidR="003218A6">
        <w:t>n</w:t>
      </w:r>
      <w:r>
        <w:t xml:space="preserve">umerical). The </w:t>
      </w:r>
      <w:r w:rsidR="003218A6">
        <w:t xml:space="preserve">data </w:t>
      </w:r>
      <w:r>
        <w:t>ha</w:t>
      </w:r>
      <w:r w:rsidR="00C23408">
        <w:t>ve</w:t>
      </w:r>
      <w:r>
        <w:t xml:space="preserve"> been</w:t>
      </w:r>
      <w:r w:rsidR="003218A6">
        <w:t xml:space="preserve"> </w:t>
      </w:r>
      <w:r w:rsidR="00C23408">
        <w:t>pre-processed</w:t>
      </w:r>
      <w:r>
        <w:t xml:space="preserve"> to ensure </w:t>
      </w:r>
      <w:r w:rsidR="00C23408">
        <w:t xml:space="preserve">the </w:t>
      </w:r>
      <w:r>
        <w:t xml:space="preserve">clean and consistent format </w:t>
      </w:r>
      <w:r w:rsidR="00C23408">
        <w:t>required for</w:t>
      </w:r>
      <w:r w:rsidR="00F86E68">
        <w:t xml:space="preserve"> the</w:t>
      </w:r>
      <w:r>
        <w:t xml:space="preserve"> machine learning </w:t>
      </w:r>
      <w:r w:rsidR="00F24A8B">
        <w:t>classification.</w:t>
      </w:r>
      <w:r w:rsidR="00017608">
        <w:t xml:space="preserve"> The Embrittlement Index (EI) has been identified as the target to predict</w:t>
      </w:r>
      <w:r w:rsidR="003D1272">
        <w:t>. EI is defined by the following equation:</w:t>
      </w:r>
    </w:p>
    <w:tbl>
      <w:tblPr>
        <w:tblW w:w="5000" w:type="pct"/>
        <w:tblLook w:val="04A0" w:firstRow="1" w:lastRow="0" w:firstColumn="1" w:lastColumn="0" w:noHBand="0" w:noVBand="1"/>
      </w:tblPr>
      <w:tblGrid>
        <w:gridCol w:w="7993"/>
        <w:gridCol w:w="794"/>
      </w:tblGrid>
      <w:tr w:rsidR="00324FF0" w:rsidRPr="00EE0795" w14:paraId="779A46DF" w14:textId="77777777" w:rsidTr="001D0284">
        <w:tc>
          <w:tcPr>
            <w:tcW w:w="7993" w:type="dxa"/>
            <w:shd w:val="clear" w:color="auto" w:fill="auto"/>
            <w:vAlign w:val="center"/>
          </w:tcPr>
          <w:p w14:paraId="604FEE98" w14:textId="17A0A2B2" w:rsidR="00324FF0" w:rsidRPr="002144DE" w:rsidRDefault="002144DE" w:rsidP="001D0284">
            <w:pPr>
              <w:pStyle w:val="CETEquation"/>
            </w:pPr>
            <m:oMathPara>
              <m:oMathParaPr>
                <m:jc m:val="left"/>
              </m:oMathParaPr>
              <m:oMath>
                <m:r>
                  <m:rPr>
                    <m:sty m:val="p"/>
                  </m:rPr>
                  <w:rPr>
                    <w:rFonts w:ascii="Cambria Math" w:hAnsi="Cambria Math"/>
                  </w:rPr>
                  <m:t>EI=</m:t>
                </m:r>
                <m:f>
                  <m:fPr>
                    <m:ctrlPr>
                      <w:rPr>
                        <w:rFonts w:ascii="Cambria Math" w:hAnsi="Cambria Math"/>
                      </w:rPr>
                    </m:ctrlPr>
                  </m:fPr>
                  <m:num>
                    <m:sSub>
                      <m:sSubPr>
                        <m:ctrlPr>
                          <w:rPr>
                            <w:rFonts w:ascii="Cambria Math" w:hAnsi="Cambria Math"/>
                          </w:rPr>
                        </m:ctrlPr>
                      </m:sSubPr>
                      <m:e>
                        <m:r>
                          <m:rPr>
                            <m:sty m:val="p"/>
                          </m:rPr>
                          <w:rPr>
                            <w:rFonts w:ascii="Cambria Math" w:hAnsi="Cambria Math"/>
                          </w:rPr>
                          <m:t>RA</m:t>
                        </m:r>
                      </m:e>
                      <m:sub>
                        <m:r>
                          <m:rPr>
                            <m:sty m:val="p"/>
                          </m:rPr>
                          <w:rPr>
                            <w:rFonts w:ascii="Cambria Math" w:hAnsi="Cambria Math"/>
                          </w:rPr>
                          <m:t>ref</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RA</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ub>
                    </m:sSub>
                  </m:num>
                  <m:den>
                    <m:sSub>
                      <m:sSubPr>
                        <m:ctrlPr>
                          <w:rPr>
                            <w:rFonts w:ascii="Cambria Math" w:hAnsi="Cambria Math"/>
                          </w:rPr>
                        </m:ctrlPr>
                      </m:sSubPr>
                      <m:e>
                        <m:r>
                          <m:rPr>
                            <m:sty m:val="p"/>
                          </m:rPr>
                          <w:rPr>
                            <w:rFonts w:ascii="Cambria Math" w:hAnsi="Cambria Math"/>
                          </w:rPr>
                          <m:t>RA</m:t>
                        </m:r>
                      </m:e>
                      <m:sub>
                        <m:r>
                          <m:rPr>
                            <m:sty m:val="p"/>
                          </m:rPr>
                          <w:rPr>
                            <w:rFonts w:ascii="Cambria Math" w:hAnsi="Cambria Math"/>
                          </w:rPr>
                          <m:t>ref</m:t>
                        </m:r>
                      </m:sub>
                    </m:sSub>
                  </m:den>
                </m:f>
                <m:r>
                  <m:rPr>
                    <m:sty m:val="p"/>
                  </m:rPr>
                  <w:rPr>
                    <w:rFonts w:ascii="Cambria Math" w:hAnsi="Cambria Math"/>
                  </w:rPr>
                  <m:t>∙100=</m:t>
                </m:r>
                <m:f>
                  <m:fPr>
                    <m:ctrlPr>
                      <w:rPr>
                        <w:rFonts w:ascii="Cambria Math" w:hAnsi="Cambria Math"/>
                      </w:rPr>
                    </m:ctrlPr>
                  </m:fPr>
                  <m:num>
                    <m:sSub>
                      <m:sSubPr>
                        <m:ctrlPr>
                          <w:rPr>
                            <w:rFonts w:ascii="Cambria Math" w:hAnsi="Cambria Math"/>
                          </w:rPr>
                        </m:ctrlPr>
                      </m:sSubPr>
                      <m:e>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f</m:t>
                                        </m:r>
                                      </m:sub>
                                    </m:sSub>
                                  </m:e>
                                </m:d>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f</m:t>
                                    </m:r>
                                  </m:sub>
                                </m:sSub>
                              </m:den>
                            </m:f>
                          </m:e>
                        </m:d>
                      </m:e>
                      <m:sub>
                        <m:r>
                          <m:rPr>
                            <m:sty m:val="p"/>
                          </m:rPr>
                          <w:rPr>
                            <w:rFonts w:ascii="Cambria Math" w:hAnsi="Cambria Math"/>
                          </w:rPr>
                          <m:t>ref</m:t>
                        </m:r>
                      </m:sub>
                    </m:sSub>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f</m:t>
                                        </m:r>
                                      </m:sub>
                                    </m:sSub>
                                  </m:e>
                                </m:d>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f</m:t>
                                    </m:r>
                                  </m:sub>
                                </m:sSub>
                              </m:den>
                            </m:f>
                          </m:e>
                        </m:d>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ub>
                    </m:sSub>
                  </m:num>
                  <m:den>
                    <m:sSub>
                      <m:sSubPr>
                        <m:ctrlPr>
                          <w:rPr>
                            <w:rFonts w:ascii="Cambria Math" w:hAnsi="Cambria Math"/>
                          </w:rPr>
                        </m:ctrlPr>
                      </m:sSubPr>
                      <m:e>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f</m:t>
                                        </m:r>
                                      </m:sub>
                                    </m:sSub>
                                  </m:e>
                                </m:d>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f</m:t>
                                    </m:r>
                                  </m:sub>
                                </m:sSub>
                              </m:den>
                            </m:f>
                          </m:e>
                        </m:d>
                      </m:e>
                      <m:sub>
                        <m:r>
                          <m:rPr>
                            <m:sty m:val="p"/>
                          </m:rPr>
                          <w:rPr>
                            <w:rFonts w:ascii="Cambria Math" w:hAnsi="Cambria Math"/>
                          </w:rPr>
                          <m:t>ref</m:t>
                        </m:r>
                      </m:sub>
                    </m:sSub>
                  </m:den>
                </m:f>
                <m:r>
                  <m:rPr>
                    <m:sty m:val="p"/>
                  </m:rPr>
                  <w:rPr>
                    <w:rFonts w:ascii="Cambria Math" w:hAnsi="Cambria Math"/>
                  </w:rPr>
                  <m:t>∙100</m:t>
                </m:r>
              </m:oMath>
            </m:oMathPara>
          </w:p>
        </w:tc>
        <w:tc>
          <w:tcPr>
            <w:tcW w:w="794" w:type="dxa"/>
            <w:shd w:val="clear" w:color="auto" w:fill="auto"/>
            <w:vAlign w:val="center"/>
          </w:tcPr>
          <w:p w14:paraId="75812CA2" w14:textId="77777777" w:rsidR="00324FF0" w:rsidRPr="00EE0795" w:rsidRDefault="00324FF0" w:rsidP="001D0284">
            <w:pPr>
              <w:pStyle w:val="CETEquation"/>
              <w:jc w:val="right"/>
              <w:rPr>
                <w:iCs/>
              </w:rPr>
            </w:pPr>
            <w:r w:rsidRPr="00EE0795">
              <w:rPr>
                <w:iCs/>
              </w:rPr>
              <w:t>(1)</w:t>
            </w:r>
          </w:p>
        </w:tc>
      </w:tr>
    </w:tbl>
    <w:p w14:paraId="00C1CA24" w14:textId="1B21FBA5" w:rsidR="00A31892" w:rsidRDefault="00A31892" w:rsidP="00A31892">
      <w:pPr>
        <w:pStyle w:val="CETBodytext"/>
      </w:pPr>
      <w:proofErr w:type="spellStart"/>
      <w:r w:rsidRPr="00597E8A">
        <w:t>RA</w:t>
      </w:r>
      <w:r w:rsidRPr="00597E8A">
        <w:rPr>
          <w:vertAlign w:val="subscript"/>
        </w:rPr>
        <w:t>ref</w:t>
      </w:r>
      <w:proofErr w:type="spellEnd"/>
      <w:r w:rsidR="00597E8A">
        <w:rPr>
          <w:i/>
          <w:iCs/>
        </w:rPr>
        <w:t xml:space="preserve"> </w:t>
      </w:r>
      <w:r w:rsidRPr="00597E8A">
        <w:t>and</w:t>
      </w:r>
      <w:r w:rsidRPr="00394E64">
        <w:t xml:space="preserve"> RA</w:t>
      </w:r>
      <w:r w:rsidRPr="00394E64">
        <w:rPr>
          <w:vertAlign w:val="subscript"/>
        </w:rPr>
        <w:t>H2</w:t>
      </w:r>
      <w:r w:rsidRPr="00394E64">
        <w:t xml:space="preserve"> are </w:t>
      </w:r>
      <w:r w:rsidR="003D1272" w:rsidRPr="00394E64">
        <w:t xml:space="preserve">the </w:t>
      </w:r>
      <w:r w:rsidRPr="00394E64">
        <w:t>reduced area at fracture in a reference environment (</w:t>
      </w:r>
      <w:r w:rsidR="00D25047" w:rsidRPr="00394E64">
        <w:t>a</w:t>
      </w:r>
      <w:r w:rsidRPr="00394E64">
        <w:t>ir or inert gases) and hydrogen</w:t>
      </w:r>
      <w:r w:rsidR="00D25047" w:rsidRPr="00394E64">
        <w:t xml:space="preserve">, </w:t>
      </w:r>
      <w:r w:rsidR="00D25047" w:rsidRPr="00597E8A">
        <w:t>respectively</w:t>
      </w:r>
      <w:r w:rsidRPr="00597E8A">
        <w:t>. A</w:t>
      </w:r>
      <w:r w:rsidRPr="00597E8A">
        <w:rPr>
          <w:vertAlign w:val="subscript"/>
        </w:rPr>
        <w:t>i</w:t>
      </w:r>
      <w:r w:rsidRPr="00597E8A">
        <w:t xml:space="preserve"> and </w:t>
      </w:r>
      <w:r w:rsidRPr="00597E8A">
        <w:rPr>
          <w:vertAlign w:val="subscript"/>
        </w:rPr>
        <w:softHyphen/>
      </w:r>
      <w:proofErr w:type="spellStart"/>
      <w:r w:rsidRPr="00597E8A">
        <w:t>A</w:t>
      </w:r>
      <w:r w:rsidRPr="00597E8A">
        <w:rPr>
          <w:vertAlign w:val="subscript"/>
        </w:rPr>
        <w:t>f</w:t>
      </w:r>
      <w:proofErr w:type="spellEnd"/>
      <w:r w:rsidRPr="00597E8A">
        <w:rPr>
          <w:vertAlign w:val="subscript"/>
        </w:rPr>
        <w:t xml:space="preserve"> </w:t>
      </w:r>
      <w:r w:rsidRPr="00597E8A">
        <w:t xml:space="preserve">are </w:t>
      </w:r>
      <w:r w:rsidR="00D25047" w:rsidRPr="00597E8A">
        <w:t xml:space="preserve">the </w:t>
      </w:r>
      <w:r w:rsidRPr="00597E8A">
        <w:t>initial and final fracture areas</w:t>
      </w:r>
      <w:r w:rsidR="00D25047" w:rsidRPr="00597E8A">
        <w:t>,</w:t>
      </w:r>
      <w:r w:rsidRPr="00597E8A">
        <w:t xml:space="preserve"> respectively. The report NASA/TM-2016–218602</w:t>
      </w:r>
      <w:r w:rsidR="00A77111" w:rsidRPr="00394E64">
        <w:t xml:space="preserve"> (NASA, </w:t>
      </w:r>
      <w:r w:rsidR="00394E64" w:rsidRPr="00394E64">
        <w:t xml:space="preserve">2016) </w:t>
      </w:r>
      <w:r w:rsidRPr="00394E64">
        <w:t>has provided a basis for the classification of</w:t>
      </w:r>
      <w:r w:rsidR="00394E64">
        <w:t xml:space="preserve"> material</w:t>
      </w:r>
      <w:r w:rsidRPr="00394E64">
        <w:t xml:space="preserve"> susceptibility</w:t>
      </w:r>
      <w:r w:rsidR="008B1EFB">
        <w:t>, which has been adopted in this study to m</w:t>
      </w:r>
      <w:r w:rsidR="00C317F2">
        <w:t xml:space="preserve">ake the </w:t>
      </w:r>
      <w:r>
        <w:t>following classification: “</w:t>
      </w:r>
      <w:r w:rsidRPr="00F83C95">
        <w:t>Unsuitable</w:t>
      </w:r>
      <w:r>
        <w:t>”</w:t>
      </w:r>
      <w:r w:rsidR="00C317F2">
        <w:t xml:space="preserve"> (U)</w:t>
      </w:r>
      <w:r>
        <w:t xml:space="preserve"> and “</w:t>
      </w:r>
      <w:r w:rsidRPr="00F83C95">
        <w:t>Potentially suitable</w:t>
      </w:r>
      <w:r>
        <w:t>”</w:t>
      </w:r>
      <w:r w:rsidR="00C317F2">
        <w:t xml:space="preserve"> (PS) for hydrogen service</w:t>
      </w:r>
      <w:r>
        <w:t>.</w:t>
      </w:r>
      <w:r w:rsidR="009946D1">
        <w:t xml:space="preserve"> The </w:t>
      </w:r>
      <w:r w:rsidR="00C317F2">
        <w:t xml:space="preserve">U </w:t>
      </w:r>
      <w:r>
        <w:t xml:space="preserve">label </w:t>
      </w:r>
      <w:r w:rsidR="00394E64">
        <w:t>indicates</w:t>
      </w:r>
      <w:r>
        <w:t xml:space="preserve"> EI value</w:t>
      </w:r>
      <w:r w:rsidR="00665B7F">
        <w:t>s</w:t>
      </w:r>
      <w:r>
        <w:t xml:space="preserve"> higher than 50% and comprehends materials </w:t>
      </w:r>
      <w:r w:rsidR="006F5CAA">
        <w:t xml:space="preserve">that </w:t>
      </w:r>
      <w:r>
        <w:t xml:space="preserve">are not recommended for hydrogen applications </w:t>
      </w:r>
      <w:r w:rsidR="009946D1">
        <w:t xml:space="preserve">under the specified </w:t>
      </w:r>
      <w:r>
        <w:t>testing conditions.</w:t>
      </w:r>
      <w:r w:rsidR="009F31F8">
        <w:t xml:space="preserve"> In contrast</w:t>
      </w:r>
      <w:r>
        <w:t>,</w:t>
      </w:r>
      <w:r w:rsidR="009F31F8">
        <w:t xml:space="preserve"> the</w:t>
      </w:r>
      <w:r>
        <w:t xml:space="preserve"> </w:t>
      </w:r>
      <w:r w:rsidR="009F31F8">
        <w:t xml:space="preserve">PS </w:t>
      </w:r>
      <w:r>
        <w:t>label represents EI value</w:t>
      </w:r>
      <w:r w:rsidR="00FA110B">
        <w:t>s</w:t>
      </w:r>
      <w:r>
        <w:t xml:space="preserve"> lower than 50%. The missing values have been filled in by assuming </w:t>
      </w:r>
      <w:r w:rsidR="00332FA0">
        <w:t xml:space="preserve">an </w:t>
      </w:r>
      <w:r w:rsidRPr="00836B97">
        <w:t>ambient temperature of 22</w:t>
      </w:r>
      <w:r>
        <w:t xml:space="preserve"> </w:t>
      </w:r>
      <w:r w:rsidRPr="00836B97">
        <w:t xml:space="preserve">°C, strain rate of </w:t>
      </w:r>
      <w:r w:rsidR="00C24FD0">
        <w:t>10</w:t>
      </w:r>
      <w:r w:rsidR="00C24FD0" w:rsidRPr="00C24FD0">
        <w:rPr>
          <w:vertAlign w:val="superscript"/>
        </w:rPr>
        <w:t>-4</w:t>
      </w:r>
      <w:r w:rsidRPr="00836B97">
        <w:t xml:space="preserve"> s</w:t>
      </w:r>
      <w:r w:rsidRPr="00836B97">
        <w:rPr>
          <w:vertAlign w:val="superscript"/>
        </w:rPr>
        <w:t>−1</w:t>
      </w:r>
      <w:r w:rsidRPr="00836B97">
        <w:t>, stress concentration factor of 5.5 for notched specimens, nominal chemical composition</w:t>
      </w:r>
      <w:r>
        <w:t>, and</w:t>
      </w:r>
      <w:r w:rsidRPr="00836B97">
        <w:t xml:space="preserve"> average yield and ultimate tensile strengths in </w:t>
      </w:r>
      <w:r>
        <w:t xml:space="preserve">accordance with </w:t>
      </w:r>
      <w:r w:rsidRPr="00836B97">
        <w:t>ASME B31.</w:t>
      </w:r>
      <w:r w:rsidRPr="007E5205">
        <w:t xml:space="preserve">12 </w:t>
      </w:r>
      <w:r w:rsidR="00C24FD0">
        <w:rPr>
          <w:color w:val="000000"/>
        </w:rPr>
        <w:t>(ASME, 2019)</w:t>
      </w:r>
      <w:r>
        <w:t>.</w:t>
      </w:r>
    </w:p>
    <w:p w14:paraId="25748725" w14:textId="68F3DCBD" w:rsidR="00A31892" w:rsidRDefault="00A31892" w:rsidP="00A31892">
      <w:pPr>
        <w:pStyle w:val="CETheadingx"/>
      </w:pPr>
      <w:r>
        <w:t xml:space="preserve">Machine learning </w:t>
      </w:r>
      <w:r w:rsidR="00B92A09">
        <w:t>classification</w:t>
      </w:r>
    </w:p>
    <w:p w14:paraId="02715589" w14:textId="4CCA91BE" w:rsidR="00A31892" w:rsidRDefault="00A31892" w:rsidP="00A31892">
      <w:pPr>
        <w:pStyle w:val="CETBodytext"/>
        <w:spacing w:after="120"/>
      </w:pPr>
      <w:r>
        <w:t xml:space="preserve">Three </w:t>
      </w:r>
      <w:r w:rsidR="00FA0ACF">
        <w:t xml:space="preserve">ML </w:t>
      </w:r>
      <w:r>
        <w:t>algorithms</w:t>
      </w:r>
      <w:r w:rsidR="00FA0ACF">
        <w:t xml:space="preserve">, i.e., </w:t>
      </w:r>
      <w:r>
        <w:t>Random Forest (RF), Artificial Neural Network (ANN), and AdaBoost (AB)</w:t>
      </w:r>
      <w:r w:rsidR="00FA0ACF">
        <w:t>,</w:t>
      </w:r>
      <w:r>
        <w:t xml:space="preserve"> have been trained to predict</w:t>
      </w:r>
      <w:r w:rsidR="00FA0ACF">
        <w:t xml:space="preserve"> the</w:t>
      </w:r>
      <w:r>
        <w:t xml:space="preserve"> HE susceptibility of materials</w:t>
      </w:r>
      <w:r w:rsidR="006C5276">
        <w:t xml:space="preserve"> and their prediction capabilit</w:t>
      </w:r>
      <w:r w:rsidR="00B22B2A">
        <w:t>ies</w:t>
      </w:r>
      <w:r w:rsidR="006C5276">
        <w:t xml:space="preserve"> ha</w:t>
      </w:r>
      <w:r w:rsidR="00B22B2A">
        <w:t>ve</w:t>
      </w:r>
      <w:r w:rsidR="006C5276">
        <w:t xml:space="preserve"> been evaluated and compared</w:t>
      </w:r>
      <w:r>
        <w:t xml:space="preserve">. The training and evaluation process is shown in </w:t>
      </w:r>
      <w:r>
        <w:fldChar w:fldCharType="begin"/>
      </w:r>
      <w:r>
        <w:instrText xml:space="preserve"> REF _Ref134095628 \h </w:instrText>
      </w:r>
      <w:r>
        <w:fldChar w:fldCharType="separate"/>
      </w:r>
      <w:r>
        <w:t xml:space="preserve">Figure </w:t>
      </w:r>
      <w:r>
        <w:rPr>
          <w:noProof/>
        </w:rPr>
        <w:t>1</w:t>
      </w:r>
      <w:r>
        <w:fldChar w:fldCharType="end"/>
      </w:r>
      <w:r>
        <w:t>.</w:t>
      </w:r>
    </w:p>
    <w:p w14:paraId="7A50B657" w14:textId="77777777" w:rsidR="009D44FB" w:rsidRDefault="009D44FB" w:rsidP="009D44FB">
      <w:pPr>
        <w:pStyle w:val="CETBodytext"/>
        <w:keepNext/>
        <w:jc w:val="left"/>
      </w:pPr>
      <w:r>
        <w:rPr>
          <w:noProof/>
        </w:rPr>
        <w:drawing>
          <wp:inline distT="0" distB="0" distL="0" distR="0" wp14:anchorId="72B8609E" wp14:editId="4949DEAD">
            <wp:extent cx="3892550" cy="3121694"/>
            <wp:effectExtent l="0" t="0" r="0" b="2540"/>
            <wp:docPr id="1" name="Picture 1"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diagram, 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7636" cy="3133792"/>
                    </a:xfrm>
                    <a:prstGeom prst="rect">
                      <a:avLst/>
                    </a:prstGeom>
                    <a:noFill/>
                    <a:ln>
                      <a:noFill/>
                    </a:ln>
                  </pic:spPr>
                </pic:pic>
              </a:graphicData>
            </a:graphic>
          </wp:inline>
        </w:drawing>
      </w:r>
    </w:p>
    <w:p w14:paraId="50EB2580" w14:textId="44A98954" w:rsidR="00A31892" w:rsidRDefault="009D44FB" w:rsidP="009D44FB">
      <w:pPr>
        <w:pStyle w:val="CETCaption"/>
      </w:pPr>
      <w:bookmarkStart w:id="1" w:name="_Ref134954613"/>
      <w:r>
        <w:t xml:space="preserve">Figure </w:t>
      </w:r>
      <w:r>
        <w:fldChar w:fldCharType="begin"/>
      </w:r>
      <w:r>
        <w:instrText xml:space="preserve"> SEQ Figure \* ARABIC </w:instrText>
      </w:r>
      <w:r>
        <w:fldChar w:fldCharType="separate"/>
      </w:r>
      <w:r w:rsidR="0023035B">
        <w:rPr>
          <w:noProof/>
        </w:rPr>
        <w:t>1</w:t>
      </w:r>
      <w:r>
        <w:fldChar w:fldCharType="end"/>
      </w:r>
      <w:bookmarkEnd w:id="1"/>
      <w:r>
        <w:t xml:space="preserve">: </w:t>
      </w:r>
      <w:r w:rsidRPr="00065300">
        <w:t xml:space="preserve">Flow diagram of </w:t>
      </w:r>
      <w:r w:rsidR="00A92702">
        <w:t xml:space="preserve">the machine learning model based on </w:t>
      </w:r>
      <w:r w:rsidRPr="00065300">
        <w:t xml:space="preserve">RF, ANN, and AB </w:t>
      </w:r>
      <w:proofErr w:type="gramStart"/>
      <w:r w:rsidRPr="00065300">
        <w:t>classifier</w:t>
      </w:r>
      <w:r w:rsidR="00A92702">
        <w:t>s</w:t>
      </w:r>
      <w:proofErr w:type="gramEnd"/>
    </w:p>
    <w:p w14:paraId="734169CC" w14:textId="4345BA9C" w:rsidR="00A31892" w:rsidRDefault="00B74906" w:rsidP="00A31892">
      <w:pPr>
        <w:pStyle w:val="CETBodytext"/>
        <w:spacing w:before="120"/>
      </w:pPr>
      <w:r w:rsidRPr="00B74906">
        <w:t xml:space="preserve">The database is divided into training and evaluation databases in a ratio of 70:30. The 70% dataset is used to train three classification algorithms, while the 30% dataset is fed into the trained model to test its performance. RF and AB are extensions of the Decision Tree where several trees are ensembled and trained on random data </w:t>
      </w:r>
      <w:r w:rsidRPr="00B74906">
        <w:lastRenderedPageBreak/>
        <w:t xml:space="preserve">subsets. These trees are called weak classifiers because they iteratively get trained based on their misclassifications. Both RF and AB ensure low correlation among decision trees by generating a random subset of features. However, while in the Random Forest </w:t>
      </w:r>
      <w:r w:rsidR="000A1062">
        <w:t xml:space="preserve">algorithm </w:t>
      </w:r>
      <w:r w:rsidRPr="00B74906">
        <w:t>all the weak learners have the same importance, AdaBoost weights the weak classifiers based on their accuracy and performance (</w:t>
      </w:r>
      <w:proofErr w:type="spellStart"/>
      <w:r w:rsidRPr="00B74906">
        <w:t>Praveena</w:t>
      </w:r>
      <w:proofErr w:type="spellEnd"/>
      <w:r w:rsidRPr="00B74906">
        <w:t xml:space="preserve">, 2017). Thus, in the latter case, better-performing classifiers have more influence on the final classification. </w:t>
      </w:r>
      <w:r w:rsidR="000A1062">
        <w:t>A</w:t>
      </w:r>
      <w:r w:rsidRPr="00B74906">
        <w:t xml:space="preserve"> strong classifier is </w:t>
      </w:r>
      <w:r w:rsidR="00FA04E3">
        <w:t>obtained</w:t>
      </w:r>
      <w:r w:rsidRPr="00B74906">
        <w:t xml:space="preserve"> by the combination of the weak classifiers. In contrast, ANN is a representation of the human brain's functioning and establishes a non-linear mapping between features and targets. There are input layers, hidden layers, and output layers composed of neurons. These neurons are interconnected based on their significance for the classification task. The advantage of ANN over other algorithms is that it does not impose any constraints on training data. It can learn from the training data and independently predict new </w:t>
      </w:r>
      <w:r w:rsidR="003A2A9D">
        <w:t>outcomes</w:t>
      </w:r>
      <w:r w:rsidRPr="00B74906">
        <w:t xml:space="preserve"> (</w:t>
      </w:r>
      <w:proofErr w:type="spellStart"/>
      <w:r w:rsidRPr="00B74906">
        <w:t>Shanmugasundar</w:t>
      </w:r>
      <w:proofErr w:type="spellEnd"/>
      <w:r w:rsidRPr="00B74906">
        <w:t xml:space="preserve"> et al., 2021)</w:t>
      </w:r>
      <w:r w:rsidR="00A31892">
        <w:rPr>
          <w:color w:val="000000"/>
        </w:rPr>
        <w:t>.</w:t>
      </w:r>
    </w:p>
    <w:p w14:paraId="4D8C8193" w14:textId="77777777" w:rsidR="000F025A" w:rsidRDefault="000F025A" w:rsidP="000F025A">
      <w:pPr>
        <w:pStyle w:val="CETHeading1"/>
        <w:tabs>
          <w:tab w:val="clear" w:pos="360"/>
          <w:tab w:val="right" w:pos="7100"/>
        </w:tabs>
        <w:jc w:val="both"/>
        <w:rPr>
          <w:lang w:val="en-GB"/>
        </w:rPr>
      </w:pPr>
      <w:r>
        <w:rPr>
          <w:lang w:val="en-GB"/>
        </w:rPr>
        <w:t>Results and discussion</w:t>
      </w:r>
    </w:p>
    <w:p w14:paraId="41A771E5" w14:textId="593A73F4" w:rsidR="000F025A" w:rsidRDefault="000F025A" w:rsidP="00C043C6">
      <w:pPr>
        <w:pStyle w:val="CETBodytext"/>
        <w:rPr>
          <w:lang w:val="en-GB"/>
        </w:rPr>
      </w:pPr>
      <w:r>
        <w:rPr>
          <w:lang w:val="en-GB"/>
        </w:rPr>
        <w:t xml:space="preserve">The performance of the classifiers </w:t>
      </w:r>
      <w:r w:rsidR="00CB4F18">
        <w:rPr>
          <w:lang w:val="en-GB"/>
        </w:rPr>
        <w:t>has been</w:t>
      </w:r>
      <w:r>
        <w:rPr>
          <w:lang w:val="en-GB"/>
        </w:rPr>
        <w:t xml:space="preserve"> assessed </w:t>
      </w:r>
      <w:r w:rsidR="00CB4F18">
        <w:rPr>
          <w:lang w:val="en-GB"/>
        </w:rPr>
        <w:t>by three</w:t>
      </w:r>
      <w:r>
        <w:rPr>
          <w:lang w:val="en-GB"/>
        </w:rPr>
        <w:t xml:space="preserve"> evaluation metrics: accuracy, precision, and recall. A</w:t>
      </w:r>
      <w:r w:rsidRPr="00900973">
        <w:rPr>
          <w:lang w:val="en-GB"/>
        </w:rPr>
        <w:t xml:space="preserve">ccuracy refers to the </w:t>
      </w:r>
      <w:r w:rsidR="00B735B1">
        <w:rPr>
          <w:lang w:val="en-GB"/>
        </w:rPr>
        <w:t>fraction</w:t>
      </w:r>
      <w:r w:rsidRPr="00900973">
        <w:rPr>
          <w:lang w:val="en-GB"/>
        </w:rPr>
        <w:t xml:space="preserve"> of </w:t>
      </w:r>
      <w:r w:rsidR="00B735B1">
        <w:rPr>
          <w:lang w:val="en-GB"/>
        </w:rPr>
        <w:t xml:space="preserve">correct </w:t>
      </w:r>
      <w:r w:rsidRPr="00900973">
        <w:rPr>
          <w:lang w:val="en-GB"/>
        </w:rPr>
        <w:t xml:space="preserve">predictions. Precision </w:t>
      </w:r>
      <w:r w:rsidR="00B735B1">
        <w:rPr>
          <w:lang w:val="en-GB"/>
        </w:rPr>
        <w:t>indicates the fraction of</w:t>
      </w:r>
      <w:r w:rsidRPr="00900973">
        <w:rPr>
          <w:lang w:val="en-GB"/>
        </w:rPr>
        <w:t xml:space="preserve"> true positive predictions, while recall indicates the proportion of positive labels that have been </w:t>
      </w:r>
      <w:r w:rsidR="00795859">
        <w:rPr>
          <w:lang w:val="en-GB"/>
        </w:rPr>
        <w:t>correctly</w:t>
      </w:r>
      <w:r w:rsidRPr="00900973">
        <w:rPr>
          <w:lang w:val="en-GB"/>
        </w:rPr>
        <w:t xml:space="preserve"> predicted</w:t>
      </w:r>
      <w:r w:rsidR="00CB2F7A">
        <w:rPr>
          <w:lang w:val="en-GB"/>
        </w:rPr>
        <w:t xml:space="preserve"> (</w:t>
      </w:r>
      <w:proofErr w:type="spellStart"/>
      <w:r w:rsidR="00CB2F7A">
        <w:t>Tamascelli</w:t>
      </w:r>
      <w:proofErr w:type="spellEnd"/>
      <w:r w:rsidR="00CB2F7A" w:rsidRPr="00C93308">
        <w:t xml:space="preserve"> et al., 202</w:t>
      </w:r>
      <w:r w:rsidR="00DC43FF">
        <w:t>0</w:t>
      </w:r>
      <w:r w:rsidR="00CB2F7A">
        <w:t>)</w:t>
      </w:r>
      <w:r w:rsidR="00CB2F7A">
        <w:rPr>
          <w:lang w:val="en-GB"/>
        </w:rPr>
        <w:t xml:space="preserve">. </w:t>
      </w:r>
      <w:r>
        <w:rPr>
          <w:lang w:val="en-GB"/>
        </w:rPr>
        <w:t xml:space="preserve"> True positive (TP) and true negative (TN) indicate</w:t>
      </w:r>
      <w:r w:rsidR="00933D0A">
        <w:rPr>
          <w:lang w:val="en-GB"/>
        </w:rPr>
        <w:t xml:space="preserve"> the</w:t>
      </w:r>
      <w:r>
        <w:rPr>
          <w:lang w:val="en-GB"/>
        </w:rPr>
        <w:t xml:space="preserve"> correct predictions of “</w:t>
      </w:r>
      <w:r w:rsidRPr="00F83C95">
        <w:t>Potentially suitable</w:t>
      </w:r>
      <w:r>
        <w:rPr>
          <w:lang w:val="en-GB"/>
        </w:rPr>
        <w:t>” and “</w:t>
      </w:r>
      <w:r>
        <w:t>Unsuitable</w:t>
      </w:r>
      <w:r>
        <w:rPr>
          <w:lang w:val="en-GB"/>
        </w:rPr>
        <w:t xml:space="preserve">” </w:t>
      </w:r>
      <w:r w:rsidR="00933D0A">
        <w:rPr>
          <w:lang w:val="en-GB"/>
        </w:rPr>
        <w:t>materials,</w:t>
      </w:r>
      <w:r>
        <w:rPr>
          <w:lang w:val="en-GB"/>
        </w:rPr>
        <w:t xml:space="preserve"> respectively. Likewise, false positive (FP) and false negative (FN) indicate</w:t>
      </w:r>
      <w:r w:rsidR="00637E76">
        <w:rPr>
          <w:lang w:val="en-GB"/>
        </w:rPr>
        <w:t xml:space="preserve"> the</w:t>
      </w:r>
      <w:r>
        <w:rPr>
          <w:lang w:val="en-GB"/>
        </w:rPr>
        <w:t xml:space="preserve"> mislabelled “</w:t>
      </w:r>
      <w:r>
        <w:t>Unsuitable</w:t>
      </w:r>
      <w:r>
        <w:rPr>
          <w:lang w:val="en-GB"/>
        </w:rPr>
        <w:t>” and “</w:t>
      </w:r>
      <w:r w:rsidRPr="00F83C95">
        <w:t>Potentially suitable</w:t>
      </w:r>
      <w:r>
        <w:rPr>
          <w:lang w:val="en-GB"/>
        </w:rPr>
        <w:t xml:space="preserve">” </w:t>
      </w:r>
      <w:r w:rsidR="00637E76">
        <w:rPr>
          <w:lang w:val="en-GB"/>
        </w:rPr>
        <w:t>materials, respectively</w:t>
      </w:r>
      <w:r>
        <w:rPr>
          <w:lang w:val="en-GB"/>
        </w:rPr>
        <w:t>.</w:t>
      </w:r>
      <w:r w:rsidRPr="00900973">
        <w:rPr>
          <w:lang w:val="en-GB"/>
        </w:rPr>
        <w:t xml:space="preserve"> </w:t>
      </w:r>
      <w:r>
        <w:rPr>
          <w:lang w:val="en-GB"/>
        </w:rPr>
        <w:t>The evaluation</w:t>
      </w:r>
      <w:r w:rsidR="00BA71E2">
        <w:rPr>
          <w:lang w:val="en-GB"/>
        </w:rPr>
        <w:t xml:space="preserve"> metrics</w:t>
      </w:r>
      <w:r>
        <w:rPr>
          <w:lang w:val="en-GB"/>
        </w:rPr>
        <w:t xml:space="preserve"> of</w:t>
      </w:r>
      <w:r w:rsidR="00BA71E2">
        <w:rPr>
          <w:lang w:val="en-GB"/>
        </w:rPr>
        <w:t xml:space="preserve"> these three</w:t>
      </w:r>
      <w:r>
        <w:rPr>
          <w:lang w:val="en-GB"/>
        </w:rPr>
        <w:t xml:space="preserve"> algorithms </w:t>
      </w:r>
      <w:r w:rsidR="00BA71E2">
        <w:rPr>
          <w:lang w:val="en-GB"/>
        </w:rPr>
        <w:t>are</w:t>
      </w:r>
      <w:r>
        <w:rPr>
          <w:lang w:val="en-GB"/>
        </w:rPr>
        <w:t xml:space="preserve"> </w:t>
      </w:r>
      <w:r w:rsidR="00BA71E2">
        <w:rPr>
          <w:lang w:val="en-GB"/>
        </w:rPr>
        <w:t>report</w:t>
      </w:r>
      <w:r>
        <w:rPr>
          <w:lang w:val="en-GB"/>
        </w:rPr>
        <w:t xml:space="preserve">ed in </w:t>
      </w:r>
      <w:r>
        <w:rPr>
          <w:lang w:val="en-GB"/>
        </w:rPr>
        <w:fldChar w:fldCharType="begin"/>
      </w:r>
      <w:r>
        <w:rPr>
          <w:lang w:val="en-GB"/>
        </w:rPr>
        <w:instrText xml:space="preserve"> REF _Ref134100101 \h </w:instrText>
      </w:r>
      <w:r>
        <w:rPr>
          <w:lang w:val="en-GB"/>
        </w:rPr>
      </w:r>
      <w:r>
        <w:rPr>
          <w:lang w:val="en-GB"/>
        </w:rPr>
        <w:fldChar w:fldCharType="separate"/>
      </w:r>
      <w:r>
        <w:t xml:space="preserve">Table </w:t>
      </w:r>
      <w:r>
        <w:rPr>
          <w:noProof/>
        </w:rPr>
        <w:t>2</w:t>
      </w:r>
      <w:r>
        <w:rPr>
          <w:lang w:val="en-GB"/>
        </w:rPr>
        <w:fldChar w:fldCharType="end"/>
      </w:r>
      <w:r>
        <w:rPr>
          <w:lang w:val="en-GB"/>
        </w:rPr>
        <w:t>.</w:t>
      </w:r>
    </w:p>
    <w:p w14:paraId="79C0C808" w14:textId="327F40B1" w:rsidR="00703B31" w:rsidRDefault="00703B31" w:rsidP="00703B31">
      <w:pPr>
        <w:pStyle w:val="CETCaption"/>
      </w:pPr>
      <w:r>
        <w:t xml:space="preserve">Table </w:t>
      </w:r>
      <w:r>
        <w:fldChar w:fldCharType="begin"/>
      </w:r>
      <w:r>
        <w:instrText xml:space="preserve"> SEQ Table \* ARABIC </w:instrText>
      </w:r>
      <w:r>
        <w:fldChar w:fldCharType="separate"/>
      </w:r>
      <w:r>
        <w:rPr>
          <w:noProof/>
        </w:rPr>
        <w:t>2</w:t>
      </w:r>
      <w:r>
        <w:fldChar w:fldCharType="end"/>
      </w:r>
      <w:r>
        <w:t>: Accuracy, precision</w:t>
      </w:r>
      <w:r w:rsidR="00DC43FF">
        <w:t>,</w:t>
      </w:r>
      <w:r>
        <w:t xml:space="preserve"> and recall for Random Forest, AdaBoost, and Artificial Neural Network models</w:t>
      </w:r>
    </w:p>
    <w:tbl>
      <w:tblPr>
        <w:tblW w:w="639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10"/>
        <w:gridCol w:w="1710"/>
        <w:gridCol w:w="990"/>
        <w:gridCol w:w="990"/>
        <w:gridCol w:w="990"/>
      </w:tblGrid>
      <w:tr w:rsidR="00C043C6" w14:paraId="03CD46C5" w14:textId="77777777" w:rsidTr="00F274F3">
        <w:tc>
          <w:tcPr>
            <w:tcW w:w="1710" w:type="dxa"/>
            <w:tcBorders>
              <w:top w:val="single" w:sz="12" w:space="0" w:color="008000"/>
              <w:bottom w:val="single" w:sz="6" w:space="0" w:color="008000"/>
            </w:tcBorders>
            <w:shd w:val="clear" w:color="auto" w:fill="FFFFFF"/>
          </w:tcPr>
          <w:p w14:paraId="7E4D3941" w14:textId="3181033E" w:rsidR="00C043C6" w:rsidRPr="00B57B36" w:rsidRDefault="00C043C6" w:rsidP="001D0284">
            <w:pPr>
              <w:pStyle w:val="CETBodytext"/>
              <w:ind w:right="-1"/>
              <w:rPr>
                <w:rFonts w:cs="Arial"/>
                <w:szCs w:val="18"/>
                <w:lang w:val="en-GB"/>
              </w:rPr>
            </w:pPr>
            <w:r>
              <w:rPr>
                <w:rFonts w:cs="Arial"/>
                <w:szCs w:val="18"/>
                <w:lang w:val="en-GB"/>
              </w:rPr>
              <w:t>Evaluation metric</w:t>
            </w:r>
          </w:p>
        </w:tc>
        <w:tc>
          <w:tcPr>
            <w:tcW w:w="1710" w:type="dxa"/>
            <w:tcBorders>
              <w:top w:val="single" w:sz="12" w:space="0" w:color="008000"/>
              <w:bottom w:val="single" w:sz="6" w:space="0" w:color="008000"/>
            </w:tcBorders>
            <w:shd w:val="clear" w:color="auto" w:fill="FFFFFF"/>
          </w:tcPr>
          <w:p w14:paraId="739A78A8" w14:textId="06491AE5" w:rsidR="00C043C6" w:rsidRDefault="00C043C6" w:rsidP="001D0284">
            <w:pPr>
              <w:pStyle w:val="CETBodytext"/>
              <w:ind w:right="-1"/>
              <w:rPr>
                <w:rFonts w:cs="Arial"/>
                <w:szCs w:val="18"/>
                <w:lang w:val="en-GB"/>
              </w:rPr>
            </w:pPr>
            <w:r>
              <w:rPr>
                <w:rFonts w:cs="Arial"/>
                <w:szCs w:val="18"/>
                <w:lang w:val="en-GB"/>
              </w:rPr>
              <w:t>Formula</w:t>
            </w:r>
          </w:p>
        </w:tc>
        <w:tc>
          <w:tcPr>
            <w:tcW w:w="990" w:type="dxa"/>
            <w:tcBorders>
              <w:top w:val="single" w:sz="12" w:space="0" w:color="008000"/>
              <w:bottom w:val="single" w:sz="6" w:space="0" w:color="008000"/>
            </w:tcBorders>
            <w:shd w:val="clear" w:color="auto" w:fill="FFFFFF"/>
          </w:tcPr>
          <w:p w14:paraId="0813C397" w14:textId="0209A7A1" w:rsidR="00C043C6" w:rsidRDefault="00F274F3" w:rsidP="001D0284">
            <w:pPr>
              <w:pStyle w:val="CETBodytext"/>
              <w:ind w:right="-1"/>
              <w:rPr>
                <w:rFonts w:cs="Arial"/>
                <w:szCs w:val="18"/>
                <w:lang w:val="en-GB"/>
              </w:rPr>
            </w:pPr>
            <w:r>
              <w:rPr>
                <w:rFonts w:cs="Arial"/>
                <w:szCs w:val="18"/>
                <w:lang w:val="en-GB"/>
              </w:rPr>
              <w:t>RF</w:t>
            </w:r>
          </w:p>
        </w:tc>
        <w:tc>
          <w:tcPr>
            <w:tcW w:w="990" w:type="dxa"/>
            <w:tcBorders>
              <w:top w:val="single" w:sz="12" w:space="0" w:color="008000"/>
              <w:bottom w:val="single" w:sz="6" w:space="0" w:color="008000"/>
            </w:tcBorders>
            <w:shd w:val="clear" w:color="auto" w:fill="FFFFFF"/>
          </w:tcPr>
          <w:p w14:paraId="79432363" w14:textId="22AE8B69" w:rsidR="00C043C6" w:rsidRPr="007D016D" w:rsidRDefault="00C043C6" w:rsidP="001D0284">
            <w:pPr>
              <w:pStyle w:val="CETBodytext"/>
              <w:ind w:right="-1"/>
              <w:rPr>
                <w:rFonts w:cs="Arial"/>
                <w:szCs w:val="18"/>
                <w:lang w:val="en-GB"/>
              </w:rPr>
            </w:pPr>
            <w:r>
              <w:rPr>
                <w:rFonts w:cs="Arial"/>
                <w:szCs w:val="18"/>
                <w:lang w:val="en-GB"/>
              </w:rPr>
              <w:t>AB</w:t>
            </w:r>
          </w:p>
        </w:tc>
        <w:tc>
          <w:tcPr>
            <w:tcW w:w="990" w:type="dxa"/>
            <w:tcBorders>
              <w:top w:val="single" w:sz="12" w:space="0" w:color="008000"/>
              <w:bottom w:val="single" w:sz="6" w:space="0" w:color="008000"/>
            </w:tcBorders>
            <w:shd w:val="clear" w:color="auto" w:fill="FFFFFF"/>
          </w:tcPr>
          <w:p w14:paraId="76D27B33" w14:textId="410475FE" w:rsidR="00C043C6" w:rsidRDefault="00C043C6" w:rsidP="001D0284">
            <w:pPr>
              <w:pStyle w:val="CETBodytext"/>
              <w:ind w:right="-1"/>
              <w:jc w:val="left"/>
              <w:rPr>
                <w:rFonts w:cs="Arial"/>
                <w:szCs w:val="18"/>
                <w:lang w:val="en-GB"/>
              </w:rPr>
            </w:pPr>
            <w:r>
              <w:rPr>
                <w:rFonts w:cs="Arial"/>
                <w:szCs w:val="18"/>
                <w:lang w:val="en-GB"/>
              </w:rPr>
              <w:t>ANN</w:t>
            </w:r>
          </w:p>
        </w:tc>
      </w:tr>
      <w:tr w:rsidR="00C043C6" w14:paraId="5F631087" w14:textId="77777777" w:rsidTr="00401BE6">
        <w:trPr>
          <w:trHeight w:val="336"/>
        </w:trPr>
        <w:tc>
          <w:tcPr>
            <w:tcW w:w="1710" w:type="dxa"/>
            <w:shd w:val="clear" w:color="auto" w:fill="FFFFFF"/>
          </w:tcPr>
          <w:p w14:paraId="02D18A5C" w14:textId="0B2B77D2" w:rsidR="00C043C6" w:rsidRPr="00E313B3" w:rsidRDefault="00C043C6" w:rsidP="001D0284">
            <w:pPr>
              <w:pStyle w:val="CETBodytext"/>
              <w:ind w:right="-1"/>
              <w:rPr>
                <w:rFonts w:cs="Arial"/>
                <w:szCs w:val="18"/>
              </w:rPr>
            </w:pPr>
            <w:r>
              <w:rPr>
                <w:rFonts w:cs="Arial"/>
                <w:szCs w:val="18"/>
              </w:rPr>
              <w:t>Accuracy</w:t>
            </w:r>
          </w:p>
        </w:tc>
        <w:tc>
          <w:tcPr>
            <w:tcW w:w="1710" w:type="dxa"/>
            <w:shd w:val="clear" w:color="auto" w:fill="FFFFFF"/>
          </w:tcPr>
          <w:p w14:paraId="3BB5971B" w14:textId="2C0327B8" w:rsidR="00C043C6" w:rsidRPr="002C3CC8" w:rsidRDefault="00000000" w:rsidP="002C3CC8">
            <w:pPr>
              <w:pStyle w:val="CETBodytext"/>
              <w:ind w:right="-1"/>
              <w:jc w:val="left"/>
              <w:rPr>
                <w:rFonts w:cs="Arial"/>
                <w:sz w:val="16"/>
                <w:szCs w:val="18"/>
              </w:rPr>
            </w:pPr>
            <m:oMathPara>
              <m:oMathParaPr>
                <m:jc m:val="left"/>
              </m:oMathParaPr>
              <m:oMath>
                <m:f>
                  <m:fPr>
                    <m:ctrlPr>
                      <w:rPr>
                        <w:rFonts w:ascii="Cambria Math" w:hAnsi="Cambria Math" w:cs="Arial"/>
                        <w:iCs/>
                        <w:sz w:val="14"/>
                        <w:szCs w:val="16"/>
                      </w:rPr>
                    </m:ctrlPr>
                  </m:fPr>
                  <m:num>
                    <m:r>
                      <m:rPr>
                        <m:sty m:val="p"/>
                      </m:rPr>
                      <w:rPr>
                        <w:rFonts w:ascii="Cambria Math" w:hAnsi="Cambria Math" w:cs="Arial"/>
                        <w:sz w:val="14"/>
                        <w:szCs w:val="16"/>
                        <w:lang w:val="en-GB"/>
                      </w:rPr>
                      <m:t>TP+TN</m:t>
                    </m:r>
                  </m:num>
                  <m:den>
                    <m:r>
                      <m:rPr>
                        <m:sty m:val="p"/>
                      </m:rPr>
                      <w:rPr>
                        <w:rFonts w:ascii="Cambria Math" w:hAnsi="Cambria Math" w:cs="Arial"/>
                        <w:sz w:val="14"/>
                        <w:szCs w:val="16"/>
                        <w:lang w:val="en-GB"/>
                      </w:rPr>
                      <m:t>TP+TN+FP+FN</m:t>
                    </m:r>
                  </m:den>
                </m:f>
              </m:oMath>
            </m:oMathPara>
          </w:p>
        </w:tc>
        <w:tc>
          <w:tcPr>
            <w:tcW w:w="990" w:type="dxa"/>
            <w:shd w:val="clear" w:color="auto" w:fill="FFFFFF"/>
          </w:tcPr>
          <w:p w14:paraId="4072BCAE" w14:textId="3F29D340" w:rsidR="00C043C6" w:rsidRDefault="00C043C6" w:rsidP="001D0284">
            <w:pPr>
              <w:pStyle w:val="CETBodytext"/>
              <w:ind w:right="-1" w:firstLine="4"/>
              <w:rPr>
                <w:rFonts w:cs="Arial"/>
                <w:szCs w:val="18"/>
              </w:rPr>
            </w:pPr>
            <w:r>
              <w:t>0.840</w:t>
            </w:r>
          </w:p>
        </w:tc>
        <w:tc>
          <w:tcPr>
            <w:tcW w:w="990" w:type="dxa"/>
            <w:shd w:val="clear" w:color="auto" w:fill="FFFFFF"/>
          </w:tcPr>
          <w:p w14:paraId="0CBD2FD6" w14:textId="60AE8C89" w:rsidR="00C043C6" w:rsidRPr="007D016D" w:rsidRDefault="002250CA" w:rsidP="001D0284">
            <w:pPr>
              <w:pStyle w:val="CETBodytext"/>
              <w:ind w:right="-1"/>
              <w:rPr>
                <w:rFonts w:cs="Arial"/>
                <w:szCs w:val="18"/>
              </w:rPr>
            </w:pPr>
            <w:r>
              <w:t>0.845</w:t>
            </w:r>
          </w:p>
        </w:tc>
        <w:tc>
          <w:tcPr>
            <w:tcW w:w="990" w:type="dxa"/>
            <w:shd w:val="clear" w:color="auto" w:fill="FFFFFF"/>
          </w:tcPr>
          <w:p w14:paraId="50E0E94D" w14:textId="7D5DC630" w:rsidR="00C043C6" w:rsidRDefault="002250CA" w:rsidP="001D0284">
            <w:pPr>
              <w:pStyle w:val="CETBodytext"/>
              <w:ind w:right="-1"/>
              <w:rPr>
                <w:rFonts w:cs="Arial"/>
                <w:szCs w:val="18"/>
              </w:rPr>
            </w:pPr>
            <w:r>
              <w:t>0.775</w:t>
            </w:r>
          </w:p>
        </w:tc>
      </w:tr>
      <w:tr w:rsidR="00C043C6" w:rsidRPr="007D016D" w14:paraId="4D113477" w14:textId="77777777" w:rsidTr="00F274F3">
        <w:tc>
          <w:tcPr>
            <w:tcW w:w="1710" w:type="dxa"/>
            <w:shd w:val="clear" w:color="auto" w:fill="FFFFFF"/>
          </w:tcPr>
          <w:p w14:paraId="767DF7E9" w14:textId="6EF1D8CA" w:rsidR="00C043C6" w:rsidRDefault="00C043C6" w:rsidP="001D0284">
            <w:pPr>
              <w:pStyle w:val="CETBodytext"/>
              <w:ind w:right="-1"/>
              <w:rPr>
                <w:rFonts w:cs="Arial"/>
                <w:szCs w:val="18"/>
              </w:rPr>
            </w:pPr>
            <w:r>
              <w:t>Precision</w:t>
            </w:r>
          </w:p>
        </w:tc>
        <w:tc>
          <w:tcPr>
            <w:tcW w:w="1710" w:type="dxa"/>
            <w:shd w:val="clear" w:color="auto" w:fill="FFFFFF"/>
          </w:tcPr>
          <w:p w14:paraId="599CA2EC" w14:textId="4C718EF5" w:rsidR="00C043C6" w:rsidRPr="002C3CC8" w:rsidRDefault="00000000" w:rsidP="002C3CC8">
            <w:pPr>
              <w:pStyle w:val="CETBodytext"/>
              <w:ind w:right="-1"/>
              <w:jc w:val="left"/>
              <w:rPr>
                <w:rFonts w:cs="Arial"/>
                <w:sz w:val="16"/>
                <w:szCs w:val="18"/>
              </w:rPr>
            </w:pPr>
            <m:oMathPara>
              <m:oMathParaPr>
                <m:jc m:val="left"/>
              </m:oMathParaPr>
              <m:oMath>
                <m:f>
                  <m:fPr>
                    <m:ctrlPr>
                      <w:rPr>
                        <w:rFonts w:ascii="Cambria Math" w:hAnsi="Cambria Math" w:cs="Arial"/>
                        <w:iCs/>
                        <w:sz w:val="14"/>
                        <w:szCs w:val="16"/>
                      </w:rPr>
                    </m:ctrlPr>
                  </m:fPr>
                  <m:num>
                    <m:r>
                      <m:rPr>
                        <m:sty m:val="p"/>
                      </m:rPr>
                      <w:rPr>
                        <w:rFonts w:ascii="Cambria Math" w:hAnsi="Cambria Math" w:cs="Arial"/>
                        <w:sz w:val="14"/>
                        <w:szCs w:val="16"/>
                        <w:lang w:val="en-GB"/>
                      </w:rPr>
                      <m:t>TP</m:t>
                    </m:r>
                  </m:num>
                  <m:den>
                    <m:r>
                      <m:rPr>
                        <m:sty m:val="p"/>
                      </m:rPr>
                      <w:rPr>
                        <w:rFonts w:ascii="Cambria Math" w:hAnsi="Cambria Math" w:cs="Arial"/>
                        <w:sz w:val="14"/>
                        <w:szCs w:val="16"/>
                        <w:lang w:val="en-GB"/>
                      </w:rPr>
                      <m:t>TP+FP</m:t>
                    </m:r>
                  </m:den>
                </m:f>
              </m:oMath>
            </m:oMathPara>
          </w:p>
        </w:tc>
        <w:tc>
          <w:tcPr>
            <w:tcW w:w="990" w:type="dxa"/>
            <w:shd w:val="clear" w:color="auto" w:fill="FFFFFF"/>
          </w:tcPr>
          <w:p w14:paraId="69232C8C" w14:textId="671308E2" w:rsidR="00C043C6" w:rsidRDefault="00C043C6" w:rsidP="001D0284">
            <w:pPr>
              <w:pStyle w:val="CETBodytext"/>
              <w:ind w:right="-1" w:firstLine="4"/>
              <w:rPr>
                <w:rFonts w:cs="Arial"/>
                <w:szCs w:val="18"/>
              </w:rPr>
            </w:pPr>
            <w:r>
              <w:t>0.842</w:t>
            </w:r>
          </w:p>
        </w:tc>
        <w:tc>
          <w:tcPr>
            <w:tcW w:w="990" w:type="dxa"/>
            <w:shd w:val="clear" w:color="auto" w:fill="FFFFFF"/>
          </w:tcPr>
          <w:p w14:paraId="0570D785" w14:textId="1AC66D78" w:rsidR="00C043C6" w:rsidRPr="007D016D" w:rsidRDefault="002250CA" w:rsidP="001D0284">
            <w:pPr>
              <w:pStyle w:val="CETBodytext"/>
              <w:ind w:right="-1"/>
              <w:rPr>
                <w:rFonts w:cs="Arial"/>
                <w:szCs w:val="18"/>
              </w:rPr>
            </w:pPr>
            <w:r>
              <w:t>0.844</w:t>
            </w:r>
          </w:p>
        </w:tc>
        <w:tc>
          <w:tcPr>
            <w:tcW w:w="990" w:type="dxa"/>
            <w:shd w:val="clear" w:color="auto" w:fill="FFFFFF"/>
          </w:tcPr>
          <w:p w14:paraId="5508C8EE" w14:textId="2CB42679" w:rsidR="00C043C6" w:rsidRPr="007D016D" w:rsidRDefault="002250CA" w:rsidP="001D0284">
            <w:pPr>
              <w:pStyle w:val="CETBodytext"/>
              <w:ind w:right="-1"/>
              <w:rPr>
                <w:rFonts w:cs="Arial"/>
                <w:szCs w:val="18"/>
              </w:rPr>
            </w:pPr>
            <w:r>
              <w:t>0.773</w:t>
            </w:r>
          </w:p>
        </w:tc>
      </w:tr>
      <w:tr w:rsidR="00C043C6" w:rsidRPr="007D016D" w14:paraId="0571E55C" w14:textId="77777777" w:rsidTr="00F274F3">
        <w:tc>
          <w:tcPr>
            <w:tcW w:w="1710" w:type="dxa"/>
            <w:shd w:val="clear" w:color="auto" w:fill="FFFFFF"/>
          </w:tcPr>
          <w:p w14:paraId="592FC146" w14:textId="0A7A4A91" w:rsidR="00C043C6" w:rsidRDefault="00C043C6" w:rsidP="001D0284">
            <w:pPr>
              <w:pStyle w:val="CETBodytext"/>
              <w:ind w:right="-1"/>
              <w:jc w:val="left"/>
              <w:rPr>
                <w:rFonts w:cs="Arial"/>
                <w:szCs w:val="18"/>
              </w:rPr>
            </w:pPr>
            <w:r>
              <w:t>Recall</w:t>
            </w:r>
          </w:p>
        </w:tc>
        <w:tc>
          <w:tcPr>
            <w:tcW w:w="1710" w:type="dxa"/>
            <w:shd w:val="clear" w:color="auto" w:fill="FFFFFF"/>
          </w:tcPr>
          <w:p w14:paraId="18166EA7" w14:textId="5C051FF8" w:rsidR="00C043C6" w:rsidRPr="002C3CC8" w:rsidRDefault="00000000" w:rsidP="002C3CC8">
            <w:pPr>
              <w:pStyle w:val="CETBodytext"/>
              <w:ind w:right="-1"/>
              <w:jc w:val="left"/>
              <w:rPr>
                <w:rFonts w:cs="Arial"/>
                <w:sz w:val="16"/>
                <w:szCs w:val="18"/>
              </w:rPr>
            </w:pPr>
            <m:oMathPara>
              <m:oMathParaPr>
                <m:jc m:val="left"/>
              </m:oMathParaPr>
              <m:oMath>
                <m:f>
                  <m:fPr>
                    <m:ctrlPr>
                      <w:rPr>
                        <w:rFonts w:ascii="Cambria Math" w:hAnsi="Cambria Math" w:cs="Arial"/>
                        <w:iCs/>
                        <w:sz w:val="14"/>
                        <w:szCs w:val="16"/>
                      </w:rPr>
                    </m:ctrlPr>
                  </m:fPr>
                  <m:num>
                    <m:r>
                      <m:rPr>
                        <m:sty m:val="p"/>
                      </m:rPr>
                      <w:rPr>
                        <w:rFonts w:ascii="Cambria Math" w:hAnsi="Cambria Math" w:cs="Arial"/>
                        <w:sz w:val="14"/>
                        <w:szCs w:val="16"/>
                        <w:lang w:val="en-GB"/>
                      </w:rPr>
                      <m:t>TP</m:t>
                    </m:r>
                  </m:num>
                  <m:den>
                    <m:r>
                      <m:rPr>
                        <m:sty m:val="p"/>
                      </m:rPr>
                      <w:rPr>
                        <w:rFonts w:ascii="Cambria Math" w:hAnsi="Cambria Math" w:cs="Arial"/>
                        <w:sz w:val="14"/>
                        <w:szCs w:val="16"/>
                        <w:lang w:val="en-GB"/>
                      </w:rPr>
                      <m:t>TP+FN</m:t>
                    </m:r>
                  </m:den>
                </m:f>
              </m:oMath>
            </m:oMathPara>
          </w:p>
        </w:tc>
        <w:tc>
          <w:tcPr>
            <w:tcW w:w="990" w:type="dxa"/>
            <w:shd w:val="clear" w:color="auto" w:fill="FFFFFF"/>
          </w:tcPr>
          <w:p w14:paraId="2F9FB670" w14:textId="6B9AF1B9" w:rsidR="00C043C6" w:rsidRDefault="002250CA" w:rsidP="001D0284">
            <w:pPr>
              <w:pStyle w:val="CETBodytext"/>
              <w:ind w:right="-1" w:firstLine="4"/>
              <w:jc w:val="left"/>
              <w:rPr>
                <w:rFonts w:cs="Arial"/>
                <w:szCs w:val="18"/>
              </w:rPr>
            </w:pPr>
            <w:r>
              <w:t>0.840</w:t>
            </w:r>
          </w:p>
        </w:tc>
        <w:tc>
          <w:tcPr>
            <w:tcW w:w="990" w:type="dxa"/>
            <w:shd w:val="clear" w:color="auto" w:fill="FFFFFF"/>
          </w:tcPr>
          <w:p w14:paraId="1D26C241" w14:textId="3DBB9D11" w:rsidR="00C043C6" w:rsidRPr="007D016D" w:rsidRDefault="002250CA" w:rsidP="001D0284">
            <w:pPr>
              <w:pStyle w:val="CETBodytext"/>
              <w:ind w:right="-1"/>
              <w:jc w:val="left"/>
              <w:rPr>
                <w:rFonts w:cs="Arial"/>
                <w:szCs w:val="18"/>
              </w:rPr>
            </w:pPr>
            <w:r>
              <w:t>0.845</w:t>
            </w:r>
          </w:p>
        </w:tc>
        <w:tc>
          <w:tcPr>
            <w:tcW w:w="990" w:type="dxa"/>
            <w:shd w:val="clear" w:color="auto" w:fill="FFFFFF"/>
          </w:tcPr>
          <w:p w14:paraId="72F6E9BD" w14:textId="0DAB8564" w:rsidR="00C043C6" w:rsidRPr="007D016D" w:rsidRDefault="002250CA" w:rsidP="001D0284">
            <w:pPr>
              <w:pStyle w:val="CETBodytext"/>
              <w:ind w:right="-1"/>
              <w:jc w:val="left"/>
              <w:rPr>
                <w:rFonts w:cs="Arial"/>
                <w:szCs w:val="18"/>
              </w:rPr>
            </w:pPr>
            <w:r>
              <w:t>0.775</w:t>
            </w:r>
          </w:p>
        </w:tc>
      </w:tr>
    </w:tbl>
    <w:p w14:paraId="3764114C" w14:textId="262EBB9E" w:rsidR="009A31DA" w:rsidRDefault="009A31DA" w:rsidP="000F025A">
      <w:pPr>
        <w:pStyle w:val="CETBodytext"/>
        <w:rPr>
          <w:lang w:val="en-GB"/>
        </w:rPr>
      </w:pPr>
    </w:p>
    <w:p w14:paraId="69E06FDE" w14:textId="4B559DF5" w:rsidR="00F274F3" w:rsidRDefault="00F274F3" w:rsidP="000F025A">
      <w:pPr>
        <w:pStyle w:val="CETBodytext"/>
        <w:rPr>
          <w:lang w:val="en-GB"/>
        </w:rPr>
      </w:pPr>
      <w:r>
        <w:rPr>
          <w:lang w:val="en-GB"/>
        </w:rPr>
        <w:t xml:space="preserve">The confusion matrices for the three classification algorithms are represented in </w:t>
      </w:r>
      <w:r>
        <w:rPr>
          <w:lang w:val="en-GB"/>
        </w:rPr>
        <w:fldChar w:fldCharType="begin"/>
      </w:r>
      <w:r>
        <w:rPr>
          <w:lang w:val="en-GB"/>
        </w:rPr>
        <w:instrText xml:space="preserve"> REF _Ref134531851 \h </w:instrText>
      </w:r>
      <w:r>
        <w:rPr>
          <w:lang w:val="en-GB"/>
        </w:rPr>
      </w:r>
      <w:r>
        <w:rPr>
          <w:lang w:val="en-GB"/>
        </w:rPr>
        <w:fldChar w:fldCharType="separate"/>
      </w:r>
      <w:r>
        <w:t xml:space="preserve">Figure </w:t>
      </w:r>
      <w:r>
        <w:rPr>
          <w:noProof/>
        </w:rPr>
        <w:t>2</w:t>
      </w:r>
      <w:r>
        <w:rPr>
          <w:lang w:val="en-GB"/>
        </w:rPr>
        <w:fldChar w:fldCharType="end"/>
      </w:r>
      <w:r>
        <w:rPr>
          <w:lang w:val="en-GB"/>
        </w:rPr>
        <w:t>:</w:t>
      </w:r>
    </w:p>
    <w:p w14:paraId="3B890C4F" w14:textId="59629AED" w:rsidR="009A31DA" w:rsidRDefault="009A31DA" w:rsidP="000F025A">
      <w:pPr>
        <w:pStyle w:val="CETBodytext"/>
        <w:rPr>
          <w:lang w:val="en-GB"/>
        </w:rPr>
      </w:pPr>
      <w:r>
        <w:rPr>
          <w:noProof/>
        </w:rPr>
        <w:drawing>
          <wp:inline distT="0" distB="0" distL="0" distR="0" wp14:anchorId="3F105E2C" wp14:editId="6190EC67">
            <wp:extent cx="5540386" cy="1162050"/>
            <wp:effectExtent l="0" t="0" r="3175" b="0"/>
            <wp:docPr id="2" name="Picture 2" descr="A picture containing text, diagram,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agram, screenshot, fon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9856" cy="1172426"/>
                    </a:xfrm>
                    <a:prstGeom prst="rect">
                      <a:avLst/>
                    </a:prstGeom>
                    <a:noFill/>
                    <a:ln>
                      <a:noFill/>
                    </a:ln>
                  </pic:spPr>
                </pic:pic>
              </a:graphicData>
            </a:graphic>
          </wp:inline>
        </w:drawing>
      </w:r>
    </w:p>
    <w:p w14:paraId="1AF8A816" w14:textId="0F9947AC" w:rsidR="000F025A" w:rsidRDefault="000F025A" w:rsidP="000F025A">
      <w:pPr>
        <w:pStyle w:val="CETCaption"/>
      </w:pPr>
      <w:bookmarkStart w:id="2" w:name="_Ref134531851"/>
      <w:r>
        <w:t xml:space="preserve">Figure </w:t>
      </w:r>
      <w:r>
        <w:fldChar w:fldCharType="begin"/>
      </w:r>
      <w:r>
        <w:instrText xml:space="preserve"> SEQ Figure \* ARABIC </w:instrText>
      </w:r>
      <w:r>
        <w:fldChar w:fldCharType="separate"/>
      </w:r>
      <w:r w:rsidR="0023035B">
        <w:rPr>
          <w:noProof/>
        </w:rPr>
        <w:t>2</w:t>
      </w:r>
      <w:r>
        <w:fldChar w:fldCharType="end"/>
      </w:r>
      <w:bookmarkEnd w:id="2"/>
      <w:r>
        <w:t xml:space="preserve">: Confusion </w:t>
      </w:r>
      <w:r w:rsidR="00AE38EA">
        <w:t>m</w:t>
      </w:r>
      <w:r>
        <w:t>atr</w:t>
      </w:r>
      <w:r w:rsidR="00AE38EA">
        <w:t>ices</w:t>
      </w:r>
      <w:r>
        <w:t xml:space="preserve"> </w:t>
      </w:r>
      <w:r w:rsidR="00AE38EA">
        <w:t xml:space="preserve">for </w:t>
      </w:r>
      <w:r>
        <w:t>a) Random Forest, b) AdaBoost,</w:t>
      </w:r>
      <w:r w:rsidR="00AE38EA">
        <w:t xml:space="preserve"> and </w:t>
      </w:r>
      <w:r>
        <w:t>c) Artificial Neural Network</w:t>
      </w:r>
      <w:r w:rsidR="00AE38EA">
        <w:t xml:space="preserve"> models</w:t>
      </w:r>
    </w:p>
    <w:p w14:paraId="6D8D0467" w14:textId="3B9BDB32" w:rsidR="000F025A" w:rsidRDefault="004B4F22" w:rsidP="000F025A">
      <w:pPr>
        <w:pStyle w:val="CETBodytext"/>
        <w:rPr>
          <w:lang w:val="en-GB"/>
        </w:rPr>
      </w:pPr>
      <w:r w:rsidRPr="004B4F22">
        <w:rPr>
          <w:lang w:val="en-GB"/>
        </w:rPr>
        <w:t xml:space="preserve">The Random Forest algorithm could correctly classify 84% of the evaluation database, whereas AdaBoost is the most competitive with 84.5% accuracy. On the other hand, Artificial Neural Network could correctly classify only 77.5% of the evaluation datasets. In all cases, the values of accuracy, precision, and recall are similar. It is expectable since the model has been trained and evaluated on a balanced dataset; in other words, the share of “Unsuitable” and “Potentially suitable” labels are comparable. </w:t>
      </w:r>
      <w:r w:rsidR="00974E94" w:rsidRPr="00974E94">
        <w:rPr>
          <w:lang w:val="en-GB"/>
        </w:rPr>
        <w:t>It is worth mentioning that not all the evaluation metrics have the same importance. The incorrect prediction of an “Unsuitable” material, classified as a “Potentially suitable” one, has more implications than vice versa. This misclassification underestimates the hydrogen effect on the metal, thus leading to an improper material selection for pipeline applications and increasing the risk of failure. Hence, FP results should be minimized, and, co</w:t>
      </w:r>
      <w:r w:rsidR="00974E94">
        <w:rPr>
          <w:lang w:val="en-GB"/>
        </w:rPr>
        <w:t>n</w:t>
      </w:r>
      <w:r w:rsidR="00974E94" w:rsidRPr="00974E94">
        <w:rPr>
          <w:lang w:val="en-GB"/>
        </w:rPr>
        <w:t xml:space="preserve">sequently, precision is the most significant evaluation metric for this specific application. </w:t>
      </w:r>
      <w:r w:rsidRPr="004B4F22">
        <w:rPr>
          <w:lang w:val="en-GB"/>
        </w:rPr>
        <w:t>Considering the nature of the dataset, RF and AB have been identified as effective machine-learning techniques, compared to the ANN classifier. Despite the metrics, it is crucial to understand that HE depends on several other factors, such as internal defects, orientation during testing, and material’s anisotropy, which are not quantifiable through features in the database. In addition, a thorough assessment of fracture toughness and fatigue performance is needed for a decisive evaluation of materials based on HE susceptibility</w:t>
      </w:r>
      <w:r w:rsidR="000F025A">
        <w:rPr>
          <w:lang w:val="en-GB"/>
        </w:rPr>
        <w:t>.</w:t>
      </w:r>
      <w:r w:rsidR="00B549D8">
        <w:rPr>
          <w:lang w:val="en-GB"/>
        </w:rPr>
        <w:t xml:space="preserve"> </w:t>
      </w:r>
      <w:r w:rsidR="000F025A">
        <w:rPr>
          <w:lang w:val="en-GB"/>
        </w:rPr>
        <w:fldChar w:fldCharType="begin"/>
      </w:r>
      <w:r w:rsidR="000F025A">
        <w:rPr>
          <w:lang w:val="en-GB"/>
        </w:rPr>
        <w:instrText xml:space="preserve"> REF _Ref134103881 \h </w:instrText>
      </w:r>
      <w:r w:rsidR="000F025A">
        <w:rPr>
          <w:lang w:val="en-GB"/>
        </w:rPr>
      </w:r>
      <w:r w:rsidR="000F025A">
        <w:rPr>
          <w:lang w:val="en-GB"/>
        </w:rPr>
        <w:fldChar w:fldCharType="separate"/>
      </w:r>
      <w:r w:rsidR="000F025A">
        <w:t xml:space="preserve">Table </w:t>
      </w:r>
      <w:r w:rsidR="000F025A">
        <w:rPr>
          <w:noProof/>
        </w:rPr>
        <w:t>3</w:t>
      </w:r>
      <w:r w:rsidR="000F025A">
        <w:rPr>
          <w:lang w:val="en-GB"/>
        </w:rPr>
        <w:fldChar w:fldCharType="end"/>
      </w:r>
      <w:r w:rsidR="000F025A">
        <w:rPr>
          <w:lang w:val="en-GB"/>
        </w:rPr>
        <w:t xml:space="preserve"> </w:t>
      </w:r>
      <w:r w:rsidR="00B549D8">
        <w:rPr>
          <w:lang w:val="en-GB"/>
        </w:rPr>
        <w:t>ranks</w:t>
      </w:r>
      <w:r w:rsidR="00A4341E">
        <w:rPr>
          <w:lang w:val="en-GB"/>
        </w:rPr>
        <w:t xml:space="preserve"> the pipeline steels </w:t>
      </w:r>
      <w:r w:rsidR="0013088D">
        <w:rPr>
          <w:lang w:val="en-GB"/>
        </w:rPr>
        <w:t>based on the percentage</w:t>
      </w:r>
      <w:r w:rsidR="00A4341E">
        <w:rPr>
          <w:lang w:val="en-GB"/>
        </w:rPr>
        <w:t xml:space="preserve"> of </w:t>
      </w:r>
      <w:r w:rsidR="0013088D">
        <w:rPr>
          <w:lang w:val="en-GB"/>
        </w:rPr>
        <w:t>U</w:t>
      </w:r>
      <w:r w:rsidR="00A4341E">
        <w:rPr>
          <w:lang w:val="en-GB"/>
        </w:rPr>
        <w:t xml:space="preserve"> </w:t>
      </w:r>
      <w:r w:rsidR="00207F02">
        <w:rPr>
          <w:lang w:val="en-GB"/>
        </w:rPr>
        <w:t>labels</w:t>
      </w:r>
      <w:r w:rsidR="00FB380A">
        <w:rPr>
          <w:lang w:val="en-GB"/>
        </w:rPr>
        <w:t xml:space="preserve"> that </w:t>
      </w:r>
      <w:r w:rsidR="00FB380A">
        <w:rPr>
          <w:lang w:val="en-GB"/>
        </w:rPr>
        <w:lastRenderedPageBreak/>
        <w:t>have been predicted and</w:t>
      </w:r>
      <w:r w:rsidR="0013088D">
        <w:rPr>
          <w:lang w:val="en-GB"/>
        </w:rPr>
        <w:t xml:space="preserve"> indicates the </w:t>
      </w:r>
      <w:r w:rsidR="007563FC" w:rsidRPr="00A4341E">
        <w:rPr>
          <w:lang w:val="en-GB"/>
        </w:rPr>
        <w:t>share of the</w:t>
      </w:r>
      <w:r w:rsidR="0013088D">
        <w:rPr>
          <w:lang w:val="en-GB"/>
        </w:rPr>
        <w:t>se</w:t>
      </w:r>
      <w:r w:rsidR="007563FC" w:rsidRPr="00A4341E">
        <w:rPr>
          <w:lang w:val="en-GB"/>
        </w:rPr>
        <w:t xml:space="preserve"> materials in </w:t>
      </w:r>
      <w:r w:rsidR="0013088D">
        <w:rPr>
          <w:lang w:val="en-GB"/>
        </w:rPr>
        <w:t xml:space="preserve">the </w:t>
      </w:r>
      <w:r w:rsidR="007563FC" w:rsidRPr="00A4341E">
        <w:rPr>
          <w:lang w:val="en-GB"/>
        </w:rPr>
        <w:t>E</w:t>
      </w:r>
      <w:r w:rsidR="0013088D">
        <w:rPr>
          <w:lang w:val="en-GB"/>
        </w:rPr>
        <w:t>uropean</w:t>
      </w:r>
      <w:r w:rsidR="007563FC" w:rsidRPr="00A4341E">
        <w:rPr>
          <w:lang w:val="en-GB"/>
        </w:rPr>
        <w:t xml:space="preserve"> pipeline</w:t>
      </w:r>
      <w:r w:rsidR="0013088D">
        <w:rPr>
          <w:lang w:val="en-GB"/>
        </w:rPr>
        <w:t xml:space="preserve"> network</w:t>
      </w:r>
      <w:r w:rsidR="007563FC" w:rsidRPr="00A4341E">
        <w:rPr>
          <w:lang w:val="en-GB"/>
        </w:rPr>
        <w:t xml:space="preserve"> (</w:t>
      </w:r>
      <w:proofErr w:type="spellStart"/>
      <w:r w:rsidR="007563FC" w:rsidRPr="00A4341E">
        <w:rPr>
          <w:lang w:val="en-GB"/>
        </w:rPr>
        <w:t>Pluvinage</w:t>
      </w:r>
      <w:proofErr w:type="spellEnd"/>
      <w:r w:rsidR="007563FC" w:rsidRPr="00A4341E">
        <w:rPr>
          <w:lang w:val="en-GB"/>
        </w:rPr>
        <w:t>, 2021</w:t>
      </w:r>
      <w:r w:rsidR="007563FC">
        <w:rPr>
          <w:lang w:val="en-GB"/>
        </w:rPr>
        <w:t>)</w:t>
      </w:r>
      <w:r w:rsidR="007563FC" w:rsidRPr="00A4341E">
        <w:rPr>
          <w:lang w:val="en-GB"/>
        </w:rPr>
        <w:t>.</w:t>
      </w:r>
    </w:p>
    <w:p w14:paraId="4E563B89" w14:textId="77777777" w:rsidR="00F60296" w:rsidRDefault="00F60296" w:rsidP="00F60296">
      <w:pPr>
        <w:pStyle w:val="CETCaption"/>
      </w:pPr>
      <w:bookmarkStart w:id="3" w:name="_Ref134103881"/>
      <w:r>
        <w:t xml:space="preserve">Table </w:t>
      </w:r>
      <w:r>
        <w:fldChar w:fldCharType="begin"/>
      </w:r>
      <w:r>
        <w:instrText xml:space="preserve"> SEQ Table \* ARABIC </w:instrText>
      </w:r>
      <w:r>
        <w:fldChar w:fldCharType="separate"/>
      </w:r>
      <w:r>
        <w:rPr>
          <w:noProof/>
        </w:rPr>
        <w:t>3</w:t>
      </w:r>
      <w:r>
        <w:fldChar w:fldCharType="end"/>
      </w:r>
      <w:bookmarkEnd w:id="3"/>
      <w:r>
        <w:t>: Ranks of materials based on their susceptibility towards HE</w:t>
      </w:r>
    </w:p>
    <w:tbl>
      <w:tblPr>
        <w:tblW w:w="729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44"/>
        <w:gridCol w:w="1516"/>
        <w:gridCol w:w="2160"/>
        <w:gridCol w:w="1350"/>
        <w:gridCol w:w="1620"/>
      </w:tblGrid>
      <w:tr w:rsidR="00F67D83" w:rsidRPr="002E094E" w14:paraId="07C30496" w14:textId="77777777" w:rsidTr="00F67D83">
        <w:tc>
          <w:tcPr>
            <w:tcW w:w="644" w:type="dxa"/>
            <w:tcBorders>
              <w:top w:val="single" w:sz="12" w:space="0" w:color="008000"/>
              <w:bottom w:val="single" w:sz="6" w:space="0" w:color="008000"/>
            </w:tcBorders>
            <w:shd w:val="clear" w:color="auto" w:fill="FFFFFF"/>
          </w:tcPr>
          <w:p w14:paraId="5D36E882" w14:textId="77777777" w:rsidR="00F67D83" w:rsidRPr="00B57B36" w:rsidRDefault="00F67D83" w:rsidP="00F67D83">
            <w:pPr>
              <w:pStyle w:val="CETBodytext"/>
              <w:ind w:right="-1"/>
              <w:jc w:val="left"/>
              <w:rPr>
                <w:rFonts w:cs="Arial"/>
                <w:szCs w:val="18"/>
                <w:lang w:val="en-GB"/>
              </w:rPr>
            </w:pPr>
            <w:r>
              <w:rPr>
                <w:rFonts w:cs="Arial"/>
                <w:szCs w:val="18"/>
                <w:lang w:val="en-GB"/>
              </w:rPr>
              <w:t>Rank</w:t>
            </w:r>
          </w:p>
        </w:tc>
        <w:tc>
          <w:tcPr>
            <w:tcW w:w="1516" w:type="dxa"/>
            <w:tcBorders>
              <w:top w:val="single" w:sz="12" w:space="0" w:color="008000"/>
              <w:bottom w:val="single" w:sz="6" w:space="0" w:color="008000"/>
            </w:tcBorders>
            <w:shd w:val="clear" w:color="auto" w:fill="FFFFFF"/>
          </w:tcPr>
          <w:p w14:paraId="1E82B917" w14:textId="77777777" w:rsidR="00F67D83" w:rsidRDefault="00F67D83" w:rsidP="00F67D83">
            <w:pPr>
              <w:pStyle w:val="CETBodytext"/>
              <w:ind w:right="-1"/>
              <w:jc w:val="left"/>
              <w:rPr>
                <w:rFonts w:cs="Arial"/>
                <w:szCs w:val="18"/>
                <w:lang w:val="en-GB"/>
              </w:rPr>
            </w:pPr>
            <w:r>
              <w:rPr>
                <w:rFonts w:cs="Arial"/>
                <w:szCs w:val="18"/>
                <w:lang w:val="en-GB"/>
              </w:rPr>
              <w:t>Material</w:t>
            </w:r>
          </w:p>
        </w:tc>
        <w:tc>
          <w:tcPr>
            <w:tcW w:w="2160" w:type="dxa"/>
            <w:tcBorders>
              <w:top w:val="single" w:sz="12" w:space="0" w:color="008000"/>
              <w:bottom w:val="single" w:sz="6" w:space="0" w:color="008000"/>
            </w:tcBorders>
            <w:shd w:val="clear" w:color="auto" w:fill="FFFFFF"/>
          </w:tcPr>
          <w:p w14:paraId="57E51F54" w14:textId="77777777" w:rsidR="00F67D83" w:rsidRPr="002E094E" w:rsidRDefault="00F67D83" w:rsidP="00F67D83">
            <w:pPr>
              <w:pStyle w:val="CETBodytext"/>
              <w:ind w:right="-1"/>
              <w:jc w:val="left"/>
              <w:rPr>
                <w:rFonts w:cs="Arial"/>
                <w:szCs w:val="18"/>
              </w:rPr>
            </w:pPr>
            <w:r w:rsidRPr="002E094E">
              <w:rPr>
                <w:rFonts w:cs="Arial"/>
                <w:szCs w:val="18"/>
              </w:rPr>
              <w:t>Share in the European pipeline network</w:t>
            </w:r>
          </w:p>
        </w:tc>
        <w:tc>
          <w:tcPr>
            <w:tcW w:w="1350" w:type="dxa"/>
            <w:tcBorders>
              <w:top w:val="single" w:sz="12" w:space="0" w:color="008000"/>
              <w:bottom w:val="single" w:sz="6" w:space="0" w:color="008000"/>
            </w:tcBorders>
            <w:shd w:val="clear" w:color="auto" w:fill="FFFFFF"/>
          </w:tcPr>
          <w:p w14:paraId="6D32DA5A" w14:textId="60A443A7" w:rsidR="00F67D83" w:rsidRDefault="00F67D83" w:rsidP="00F67D83">
            <w:pPr>
              <w:pStyle w:val="CETBodytext"/>
              <w:ind w:right="-1"/>
              <w:jc w:val="left"/>
              <w:rPr>
                <w:rFonts w:cs="Arial"/>
                <w:szCs w:val="18"/>
              </w:rPr>
            </w:pPr>
            <w:r>
              <w:rPr>
                <w:rFonts w:cs="Arial"/>
                <w:szCs w:val="18"/>
                <w:lang w:val="en-GB"/>
              </w:rPr>
              <w:t>“Unsuitable” predictions</w:t>
            </w:r>
          </w:p>
        </w:tc>
        <w:tc>
          <w:tcPr>
            <w:tcW w:w="1620" w:type="dxa"/>
            <w:tcBorders>
              <w:top w:val="single" w:sz="12" w:space="0" w:color="008000"/>
              <w:bottom w:val="single" w:sz="6" w:space="0" w:color="008000"/>
            </w:tcBorders>
            <w:shd w:val="clear" w:color="auto" w:fill="FFFFFF"/>
          </w:tcPr>
          <w:p w14:paraId="0BEFC0C5" w14:textId="6609EF3A" w:rsidR="00F67D83" w:rsidRPr="002E094E" w:rsidRDefault="00F67D83" w:rsidP="00F67D83">
            <w:pPr>
              <w:pStyle w:val="CETBodytext"/>
              <w:ind w:right="-1"/>
              <w:jc w:val="left"/>
              <w:rPr>
                <w:rFonts w:cs="Arial"/>
                <w:szCs w:val="18"/>
              </w:rPr>
            </w:pPr>
            <w:r>
              <w:rPr>
                <w:rFonts w:cs="Arial"/>
                <w:szCs w:val="18"/>
              </w:rPr>
              <w:t>Hydrogen compatibility</w:t>
            </w:r>
          </w:p>
        </w:tc>
      </w:tr>
      <w:tr w:rsidR="00F67D83" w:rsidRPr="00E313B3" w14:paraId="0968E21C" w14:textId="77777777" w:rsidTr="00F67D83">
        <w:tc>
          <w:tcPr>
            <w:tcW w:w="644" w:type="dxa"/>
            <w:shd w:val="clear" w:color="auto" w:fill="FFFFFF"/>
          </w:tcPr>
          <w:p w14:paraId="5F9398C0" w14:textId="77777777" w:rsidR="00F67D83" w:rsidRPr="00E313B3" w:rsidRDefault="00F67D83" w:rsidP="00F67D83">
            <w:pPr>
              <w:pStyle w:val="CETBodytext"/>
              <w:ind w:right="-1"/>
              <w:rPr>
                <w:rFonts w:cs="Arial"/>
                <w:szCs w:val="18"/>
              </w:rPr>
            </w:pPr>
            <w:r>
              <w:rPr>
                <w:rFonts w:cs="Arial"/>
                <w:szCs w:val="18"/>
              </w:rPr>
              <w:t>1</w:t>
            </w:r>
          </w:p>
        </w:tc>
        <w:tc>
          <w:tcPr>
            <w:tcW w:w="1516" w:type="dxa"/>
            <w:shd w:val="clear" w:color="auto" w:fill="FFFFFF"/>
          </w:tcPr>
          <w:p w14:paraId="3C57E8AC" w14:textId="77777777" w:rsidR="00F67D83" w:rsidRPr="001E0644" w:rsidRDefault="00F67D83" w:rsidP="00F67D83">
            <w:pPr>
              <w:pStyle w:val="CETBodytext"/>
              <w:ind w:right="-1"/>
              <w:rPr>
                <w:rFonts w:cs="Arial"/>
                <w:szCs w:val="18"/>
              </w:rPr>
            </w:pPr>
            <w:r>
              <w:rPr>
                <w:rFonts w:cs="Arial"/>
                <w:szCs w:val="18"/>
              </w:rPr>
              <w:t>X100</w:t>
            </w:r>
          </w:p>
        </w:tc>
        <w:tc>
          <w:tcPr>
            <w:tcW w:w="2160" w:type="dxa"/>
            <w:shd w:val="clear" w:color="auto" w:fill="FFFFFF"/>
          </w:tcPr>
          <w:p w14:paraId="14569C82" w14:textId="77777777" w:rsidR="00F67D83" w:rsidRPr="007D016D" w:rsidRDefault="00F67D83" w:rsidP="00F67D83">
            <w:pPr>
              <w:pStyle w:val="CETBodytext"/>
              <w:ind w:right="-1"/>
              <w:rPr>
                <w:rFonts w:cs="Arial"/>
                <w:szCs w:val="18"/>
              </w:rPr>
            </w:pPr>
            <w:r>
              <w:rPr>
                <w:rFonts w:cs="Arial"/>
                <w:szCs w:val="18"/>
              </w:rPr>
              <w:t>0%</w:t>
            </w:r>
          </w:p>
        </w:tc>
        <w:tc>
          <w:tcPr>
            <w:tcW w:w="1350" w:type="dxa"/>
            <w:shd w:val="clear" w:color="auto" w:fill="FFFFFF"/>
          </w:tcPr>
          <w:p w14:paraId="08D29778" w14:textId="18C4582E" w:rsidR="00F67D83" w:rsidRDefault="00F67D83" w:rsidP="00F67D83">
            <w:pPr>
              <w:pStyle w:val="CETBodytext"/>
              <w:ind w:right="-1"/>
              <w:rPr>
                <w:rFonts w:cs="Arial"/>
                <w:szCs w:val="18"/>
              </w:rPr>
            </w:pPr>
            <w:r>
              <w:rPr>
                <w:rFonts w:cs="Arial"/>
                <w:szCs w:val="18"/>
              </w:rPr>
              <w:t>89%</w:t>
            </w:r>
          </w:p>
        </w:tc>
        <w:tc>
          <w:tcPr>
            <w:tcW w:w="1620" w:type="dxa"/>
            <w:shd w:val="clear" w:color="auto" w:fill="FFFFFF"/>
          </w:tcPr>
          <w:p w14:paraId="59BED7C7" w14:textId="60854A92" w:rsidR="00F67D83" w:rsidRDefault="00F67D83" w:rsidP="00F67D83">
            <w:pPr>
              <w:pStyle w:val="CETBodytext"/>
              <w:ind w:right="-1"/>
              <w:rPr>
                <w:rFonts w:cs="Arial"/>
                <w:szCs w:val="18"/>
              </w:rPr>
            </w:pPr>
            <w:r>
              <w:rPr>
                <w:rFonts w:cs="Arial"/>
                <w:szCs w:val="18"/>
              </w:rPr>
              <w:t>Extremely Low</w:t>
            </w:r>
          </w:p>
        </w:tc>
      </w:tr>
      <w:tr w:rsidR="00F67D83" w:rsidRPr="00E313B3" w14:paraId="5AB25252" w14:textId="77777777" w:rsidTr="00F67D83">
        <w:tc>
          <w:tcPr>
            <w:tcW w:w="644" w:type="dxa"/>
            <w:shd w:val="clear" w:color="auto" w:fill="FFFFFF"/>
          </w:tcPr>
          <w:p w14:paraId="17B70678" w14:textId="77777777" w:rsidR="00F67D83" w:rsidRDefault="00F67D83" w:rsidP="00F67D83">
            <w:pPr>
              <w:pStyle w:val="CETBodytext"/>
              <w:ind w:right="-1"/>
              <w:rPr>
                <w:rFonts w:cs="Arial"/>
                <w:szCs w:val="18"/>
              </w:rPr>
            </w:pPr>
            <w:r>
              <w:rPr>
                <w:rFonts w:cs="Arial"/>
                <w:szCs w:val="18"/>
              </w:rPr>
              <w:t>2</w:t>
            </w:r>
          </w:p>
        </w:tc>
        <w:tc>
          <w:tcPr>
            <w:tcW w:w="1516" w:type="dxa"/>
            <w:shd w:val="clear" w:color="auto" w:fill="FFFFFF"/>
          </w:tcPr>
          <w:p w14:paraId="637FE935" w14:textId="77777777" w:rsidR="00F67D83" w:rsidRPr="000F721E" w:rsidRDefault="00F67D83" w:rsidP="00F67D83">
            <w:pPr>
              <w:pStyle w:val="CETBodytext"/>
              <w:ind w:right="-1"/>
              <w:rPr>
                <w:rFonts w:cs="Arial"/>
                <w:szCs w:val="18"/>
              </w:rPr>
            </w:pPr>
            <w:r>
              <w:rPr>
                <w:rFonts w:cs="Arial"/>
                <w:szCs w:val="18"/>
              </w:rPr>
              <w:t>X70</w:t>
            </w:r>
          </w:p>
        </w:tc>
        <w:tc>
          <w:tcPr>
            <w:tcW w:w="2160" w:type="dxa"/>
            <w:shd w:val="clear" w:color="auto" w:fill="FFFFFF"/>
          </w:tcPr>
          <w:p w14:paraId="6E6C6C4B" w14:textId="77777777" w:rsidR="00F67D83" w:rsidRPr="007D016D" w:rsidRDefault="00F67D83" w:rsidP="00F67D83">
            <w:pPr>
              <w:pStyle w:val="CETBodytext"/>
              <w:ind w:right="-1"/>
              <w:rPr>
                <w:rFonts w:cs="Arial"/>
                <w:szCs w:val="18"/>
              </w:rPr>
            </w:pPr>
            <w:r w:rsidRPr="007D016D">
              <w:rPr>
                <w:rFonts w:cs="Arial"/>
                <w:szCs w:val="18"/>
              </w:rPr>
              <w:t>9%</w:t>
            </w:r>
          </w:p>
        </w:tc>
        <w:tc>
          <w:tcPr>
            <w:tcW w:w="1350" w:type="dxa"/>
            <w:shd w:val="clear" w:color="auto" w:fill="FFFFFF"/>
          </w:tcPr>
          <w:p w14:paraId="1214E1A9" w14:textId="3F778F83" w:rsidR="00F67D83" w:rsidRDefault="00F67D83" w:rsidP="00F67D83">
            <w:pPr>
              <w:pStyle w:val="CETBodytext"/>
              <w:ind w:right="-1"/>
              <w:rPr>
                <w:rFonts w:cs="Arial"/>
                <w:szCs w:val="18"/>
              </w:rPr>
            </w:pPr>
            <w:r>
              <w:rPr>
                <w:rFonts w:cs="Arial"/>
                <w:szCs w:val="18"/>
              </w:rPr>
              <w:t>79%</w:t>
            </w:r>
          </w:p>
        </w:tc>
        <w:tc>
          <w:tcPr>
            <w:tcW w:w="1620" w:type="dxa"/>
            <w:shd w:val="clear" w:color="auto" w:fill="FFFFFF"/>
          </w:tcPr>
          <w:p w14:paraId="50835DCD" w14:textId="33B992ED" w:rsidR="00F67D83" w:rsidRPr="007D016D" w:rsidRDefault="00F67D83" w:rsidP="00F67D83">
            <w:pPr>
              <w:pStyle w:val="CETBodytext"/>
              <w:ind w:right="-1"/>
              <w:rPr>
                <w:rFonts w:cs="Arial"/>
                <w:szCs w:val="18"/>
              </w:rPr>
            </w:pPr>
            <w:r>
              <w:rPr>
                <w:rFonts w:cs="Arial"/>
                <w:szCs w:val="18"/>
              </w:rPr>
              <w:t>Extremely Low</w:t>
            </w:r>
          </w:p>
        </w:tc>
      </w:tr>
      <w:tr w:rsidR="00F67D83" w:rsidRPr="00E313B3" w14:paraId="7044E085" w14:textId="77777777" w:rsidTr="00F67D83">
        <w:tc>
          <w:tcPr>
            <w:tcW w:w="644" w:type="dxa"/>
            <w:shd w:val="clear" w:color="auto" w:fill="FFFFFF"/>
          </w:tcPr>
          <w:p w14:paraId="060CED42" w14:textId="77777777" w:rsidR="00F67D83" w:rsidRDefault="00F67D83" w:rsidP="00F67D83">
            <w:pPr>
              <w:pStyle w:val="CETBodytext"/>
              <w:ind w:right="-1"/>
              <w:rPr>
                <w:rFonts w:cs="Arial"/>
                <w:szCs w:val="18"/>
              </w:rPr>
            </w:pPr>
            <w:r>
              <w:rPr>
                <w:rFonts w:cs="Arial"/>
                <w:szCs w:val="18"/>
              </w:rPr>
              <w:t>3</w:t>
            </w:r>
          </w:p>
        </w:tc>
        <w:tc>
          <w:tcPr>
            <w:tcW w:w="1516" w:type="dxa"/>
            <w:shd w:val="clear" w:color="auto" w:fill="FFFFFF"/>
          </w:tcPr>
          <w:p w14:paraId="38F6ABCF" w14:textId="64AF0B92" w:rsidR="00F67D83" w:rsidRPr="000F721E" w:rsidRDefault="00F67D83" w:rsidP="00F67D83">
            <w:pPr>
              <w:pStyle w:val="CETBodytext"/>
              <w:ind w:right="-1"/>
              <w:rPr>
                <w:rFonts w:cs="Arial"/>
                <w:szCs w:val="18"/>
              </w:rPr>
            </w:pPr>
            <w:r>
              <w:rPr>
                <w:rFonts w:cs="Arial"/>
                <w:szCs w:val="18"/>
              </w:rPr>
              <w:t>X52 – Grade B</w:t>
            </w:r>
          </w:p>
        </w:tc>
        <w:tc>
          <w:tcPr>
            <w:tcW w:w="2160" w:type="dxa"/>
            <w:shd w:val="clear" w:color="auto" w:fill="FFFFFF"/>
          </w:tcPr>
          <w:p w14:paraId="654916BB" w14:textId="552EA5D4" w:rsidR="00F67D83" w:rsidRPr="007D016D" w:rsidRDefault="00F67D83" w:rsidP="00F67D83">
            <w:pPr>
              <w:pStyle w:val="CETBodytext"/>
              <w:ind w:right="-1"/>
              <w:rPr>
                <w:rFonts w:cs="Arial"/>
                <w:szCs w:val="18"/>
              </w:rPr>
            </w:pPr>
            <w:r w:rsidRPr="007D016D">
              <w:rPr>
                <w:rFonts w:cs="Arial"/>
                <w:szCs w:val="18"/>
              </w:rPr>
              <w:t>25%</w:t>
            </w:r>
            <w:r>
              <w:rPr>
                <w:rFonts w:cs="Arial"/>
                <w:szCs w:val="18"/>
              </w:rPr>
              <w:t xml:space="preserve"> – 20%</w:t>
            </w:r>
          </w:p>
        </w:tc>
        <w:tc>
          <w:tcPr>
            <w:tcW w:w="1350" w:type="dxa"/>
            <w:shd w:val="clear" w:color="auto" w:fill="FFFFFF"/>
          </w:tcPr>
          <w:p w14:paraId="75F14E45" w14:textId="68C97445" w:rsidR="00F67D83" w:rsidRDefault="00F67D83" w:rsidP="00F67D83">
            <w:pPr>
              <w:pStyle w:val="CETBodytext"/>
              <w:ind w:right="-1"/>
              <w:rPr>
                <w:rFonts w:cs="Arial"/>
                <w:szCs w:val="18"/>
              </w:rPr>
            </w:pPr>
            <w:r>
              <w:rPr>
                <w:rFonts w:cs="Arial"/>
                <w:szCs w:val="18"/>
              </w:rPr>
              <w:t>50%</w:t>
            </w:r>
          </w:p>
        </w:tc>
        <w:tc>
          <w:tcPr>
            <w:tcW w:w="1620" w:type="dxa"/>
            <w:shd w:val="clear" w:color="auto" w:fill="FFFFFF"/>
          </w:tcPr>
          <w:p w14:paraId="3FF9E14B" w14:textId="0DC64CFD" w:rsidR="00F67D83" w:rsidRPr="007D016D" w:rsidRDefault="00F67D83" w:rsidP="00F67D83">
            <w:pPr>
              <w:pStyle w:val="CETBodytext"/>
              <w:ind w:right="-1"/>
              <w:rPr>
                <w:rFonts w:cs="Arial"/>
                <w:szCs w:val="18"/>
              </w:rPr>
            </w:pPr>
            <w:r>
              <w:rPr>
                <w:rFonts w:cs="Arial"/>
                <w:szCs w:val="18"/>
              </w:rPr>
              <w:t>Low</w:t>
            </w:r>
          </w:p>
        </w:tc>
      </w:tr>
      <w:tr w:rsidR="00F67D83" w:rsidRPr="00E313B3" w14:paraId="7A8EEE55" w14:textId="77777777" w:rsidTr="00F67D83">
        <w:tc>
          <w:tcPr>
            <w:tcW w:w="644" w:type="dxa"/>
            <w:shd w:val="clear" w:color="auto" w:fill="FFFFFF"/>
          </w:tcPr>
          <w:p w14:paraId="10CB1EDB" w14:textId="77777777" w:rsidR="00F67D83" w:rsidRDefault="00F67D83" w:rsidP="00F67D83">
            <w:pPr>
              <w:pStyle w:val="CETBodytext"/>
              <w:ind w:right="-1"/>
              <w:jc w:val="left"/>
              <w:rPr>
                <w:rFonts w:cs="Arial"/>
                <w:szCs w:val="18"/>
              </w:rPr>
            </w:pPr>
            <w:r>
              <w:rPr>
                <w:rFonts w:cs="Arial"/>
                <w:szCs w:val="18"/>
              </w:rPr>
              <w:t>4</w:t>
            </w:r>
          </w:p>
        </w:tc>
        <w:tc>
          <w:tcPr>
            <w:tcW w:w="1516" w:type="dxa"/>
            <w:shd w:val="clear" w:color="auto" w:fill="FFFFFF"/>
          </w:tcPr>
          <w:p w14:paraId="5B6B6770" w14:textId="77777777" w:rsidR="00F67D83" w:rsidRPr="000F721E" w:rsidRDefault="00F67D83" w:rsidP="00F67D83">
            <w:pPr>
              <w:pStyle w:val="CETBodytext"/>
              <w:ind w:right="-1"/>
              <w:jc w:val="left"/>
              <w:rPr>
                <w:rFonts w:cs="Arial"/>
                <w:szCs w:val="18"/>
              </w:rPr>
            </w:pPr>
            <w:r>
              <w:rPr>
                <w:rFonts w:cs="Arial"/>
                <w:szCs w:val="18"/>
              </w:rPr>
              <w:t>X80</w:t>
            </w:r>
          </w:p>
        </w:tc>
        <w:tc>
          <w:tcPr>
            <w:tcW w:w="2160" w:type="dxa"/>
            <w:shd w:val="clear" w:color="auto" w:fill="FFFFFF"/>
          </w:tcPr>
          <w:p w14:paraId="46B46130" w14:textId="77777777" w:rsidR="00F67D83" w:rsidRPr="007D016D" w:rsidRDefault="00F67D83" w:rsidP="00F67D83">
            <w:pPr>
              <w:pStyle w:val="CETBodytext"/>
              <w:ind w:right="-1"/>
              <w:jc w:val="left"/>
              <w:rPr>
                <w:rFonts w:cs="Arial"/>
                <w:szCs w:val="18"/>
              </w:rPr>
            </w:pPr>
            <w:r>
              <w:rPr>
                <w:rFonts w:cs="Arial"/>
                <w:szCs w:val="18"/>
              </w:rPr>
              <w:t>0%</w:t>
            </w:r>
          </w:p>
        </w:tc>
        <w:tc>
          <w:tcPr>
            <w:tcW w:w="1350" w:type="dxa"/>
            <w:shd w:val="clear" w:color="auto" w:fill="FFFFFF"/>
          </w:tcPr>
          <w:p w14:paraId="413E91A3" w14:textId="137E798C" w:rsidR="00F67D83" w:rsidRDefault="00F67D83" w:rsidP="00F67D83">
            <w:pPr>
              <w:pStyle w:val="CETBodytext"/>
              <w:ind w:right="-1"/>
              <w:jc w:val="left"/>
              <w:rPr>
                <w:rFonts w:cs="Arial"/>
                <w:szCs w:val="18"/>
              </w:rPr>
            </w:pPr>
            <w:r>
              <w:rPr>
                <w:rFonts w:cs="Arial"/>
                <w:szCs w:val="18"/>
              </w:rPr>
              <w:t>48%</w:t>
            </w:r>
          </w:p>
        </w:tc>
        <w:tc>
          <w:tcPr>
            <w:tcW w:w="1620" w:type="dxa"/>
            <w:shd w:val="clear" w:color="auto" w:fill="FFFFFF"/>
          </w:tcPr>
          <w:p w14:paraId="1101510C" w14:textId="060D768E" w:rsidR="00F67D83" w:rsidRDefault="00F67D83" w:rsidP="00F67D83">
            <w:pPr>
              <w:pStyle w:val="CETBodytext"/>
              <w:ind w:right="-1"/>
              <w:jc w:val="left"/>
              <w:rPr>
                <w:rFonts w:cs="Arial"/>
                <w:szCs w:val="18"/>
              </w:rPr>
            </w:pPr>
            <w:r>
              <w:rPr>
                <w:rFonts w:cs="Arial"/>
                <w:szCs w:val="18"/>
              </w:rPr>
              <w:t>Medium – Low</w:t>
            </w:r>
          </w:p>
        </w:tc>
      </w:tr>
      <w:tr w:rsidR="00F67D83" w:rsidRPr="00E313B3" w14:paraId="0244BAFA" w14:textId="77777777" w:rsidTr="00F67D83">
        <w:tc>
          <w:tcPr>
            <w:tcW w:w="644" w:type="dxa"/>
            <w:shd w:val="clear" w:color="auto" w:fill="FFFFFF"/>
          </w:tcPr>
          <w:p w14:paraId="585A1CD4" w14:textId="77777777" w:rsidR="00F67D83" w:rsidRDefault="00F67D83" w:rsidP="00F67D83">
            <w:pPr>
              <w:pStyle w:val="CETBodytext"/>
              <w:ind w:right="-1"/>
              <w:jc w:val="left"/>
              <w:rPr>
                <w:rFonts w:cs="Arial"/>
                <w:szCs w:val="18"/>
              </w:rPr>
            </w:pPr>
            <w:r>
              <w:rPr>
                <w:rFonts w:cs="Arial"/>
                <w:szCs w:val="18"/>
              </w:rPr>
              <w:t>5</w:t>
            </w:r>
          </w:p>
        </w:tc>
        <w:tc>
          <w:tcPr>
            <w:tcW w:w="1516" w:type="dxa"/>
            <w:shd w:val="clear" w:color="auto" w:fill="FFFFFF"/>
          </w:tcPr>
          <w:p w14:paraId="1410C4DD" w14:textId="77777777" w:rsidR="00F67D83" w:rsidRDefault="00F67D83" w:rsidP="00F67D83">
            <w:pPr>
              <w:pStyle w:val="CETBodytext"/>
              <w:ind w:right="-1"/>
              <w:jc w:val="left"/>
              <w:rPr>
                <w:rFonts w:cs="Arial"/>
                <w:szCs w:val="18"/>
              </w:rPr>
            </w:pPr>
            <w:r>
              <w:rPr>
                <w:rFonts w:cs="Arial"/>
                <w:szCs w:val="18"/>
              </w:rPr>
              <w:t>X65</w:t>
            </w:r>
          </w:p>
        </w:tc>
        <w:tc>
          <w:tcPr>
            <w:tcW w:w="2160" w:type="dxa"/>
            <w:shd w:val="clear" w:color="auto" w:fill="FFFFFF"/>
          </w:tcPr>
          <w:p w14:paraId="272B6A92" w14:textId="77777777" w:rsidR="00F67D83" w:rsidRDefault="00F67D83" w:rsidP="00F67D83">
            <w:pPr>
              <w:pStyle w:val="CETBodytext"/>
              <w:ind w:right="-1"/>
              <w:jc w:val="left"/>
              <w:rPr>
                <w:rFonts w:cs="Arial"/>
                <w:szCs w:val="18"/>
              </w:rPr>
            </w:pPr>
            <w:r>
              <w:rPr>
                <w:rFonts w:cs="Arial"/>
                <w:szCs w:val="18"/>
              </w:rPr>
              <w:t>7%</w:t>
            </w:r>
          </w:p>
        </w:tc>
        <w:tc>
          <w:tcPr>
            <w:tcW w:w="1350" w:type="dxa"/>
            <w:shd w:val="clear" w:color="auto" w:fill="FFFFFF"/>
          </w:tcPr>
          <w:p w14:paraId="40678760" w14:textId="7609BAB6" w:rsidR="00F67D83" w:rsidRDefault="00F67D83" w:rsidP="00F67D83">
            <w:pPr>
              <w:pStyle w:val="CETBodytext"/>
              <w:ind w:right="-1"/>
              <w:jc w:val="left"/>
              <w:rPr>
                <w:rFonts w:cs="Arial"/>
                <w:szCs w:val="18"/>
              </w:rPr>
            </w:pPr>
            <w:r>
              <w:rPr>
                <w:rFonts w:cs="Arial"/>
                <w:szCs w:val="18"/>
              </w:rPr>
              <w:t>25%</w:t>
            </w:r>
          </w:p>
        </w:tc>
        <w:tc>
          <w:tcPr>
            <w:tcW w:w="1620" w:type="dxa"/>
            <w:shd w:val="clear" w:color="auto" w:fill="FFFFFF"/>
          </w:tcPr>
          <w:p w14:paraId="47A439A8" w14:textId="2F8B3824" w:rsidR="00F67D83" w:rsidRDefault="00F67D83" w:rsidP="00F67D83">
            <w:pPr>
              <w:pStyle w:val="CETBodytext"/>
              <w:ind w:right="-1"/>
              <w:jc w:val="left"/>
              <w:rPr>
                <w:rFonts w:cs="Arial"/>
                <w:szCs w:val="18"/>
              </w:rPr>
            </w:pPr>
            <w:r>
              <w:rPr>
                <w:rFonts w:cs="Arial"/>
                <w:szCs w:val="18"/>
              </w:rPr>
              <w:t>Medium – High</w:t>
            </w:r>
          </w:p>
        </w:tc>
      </w:tr>
      <w:tr w:rsidR="00F67D83" w:rsidRPr="00E313B3" w14:paraId="3B94BD6B" w14:textId="77777777" w:rsidTr="00F67D83">
        <w:tc>
          <w:tcPr>
            <w:tcW w:w="644" w:type="dxa"/>
            <w:shd w:val="clear" w:color="auto" w:fill="FFFFFF"/>
          </w:tcPr>
          <w:p w14:paraId="21C5AD3D" w14:textId="77777777" w:rsidR="00F67D83" w:rsidRDefault="00F67D83" w:rsidP="00F67D83">
            <w:pPr>
              <w:pStyle w:val="CETBodytext"/>
              <w:ind w:right="-1"/>
              <w:jc w:val="left"/>
              <w:rPr>
                <w:rFonts w:cs="Arial"/>
                <w:szCs w:val="18"/>
              </w:rPr>
            </w:pPr>
            <w:r>
              <w:rPr>
                <w:rFonts w:cs="Arial"/>
                <w:szCs w:val="18"/>
              </w:rPr>
              <w:t>6</w:t>
            </w:r>
          </w:p>
        </w:tc>
        <w:tc>
          <w:tcPr>
            <w:tcW w:w="1516" w:type="dxa"/>
            <w:shd w:val="clear" w:color="auto" w:fill="FFFFFF"/>
          </w:tcPr>
          <w:p w14:paraId="3793BB47" w14:textId="77777777" w:rsidR="00F67D83" w:rsidRPr="000F721E" w:rsidRDefault="00F67D83" w:rsidP="00F67D83">
            <w:pPr>
              <w:pStyle w:val="CETBodytext"/>
              <w:ind w:right="-1"/>
              <w:jc w:val="left"/>
              <w:rPr>
                <w:rFonts w:cs="Arial"/>
                <w:szCs w:val="18"/>
              </w:rPr>
            </w:pPr>
            <w:r>
              <w:rPr>
                <w:rFonts w:cs="Arial"/>
                <w:szCs w:val="18"/>
              </w:rPr>
              <w:t>X60</w:t>
            </w:r>
          </w:p>
        </w:tc>
        <w:tc>
          <w:tcPr>
            <w:tcW w:w="2160" w:type="dxa"/>
            <w:shd w:val="clear" w:color="auto" w:fill="FFFFFF"/>
          </w:tcPr>
          <w:p w14:paraId="2950C8A1" w14:textId="77777777" w:rsidR="00F67D83" w:rsidRPr="007D016D" w:rsidRDefault="00F67D83" w:rsidP="00F67D83">
            <w:pPr>
              <w:pStyle w:val="CETBodytext"/>
              <w:ind w:right="-1"/>
              <w:jc w:val="left"/>
              <w:rPr>
                <w:rFonts w:cs="Arial"/>
                <w:szCs w:val="18"/>
              </w:rPr>
            </w:pPr>
            <w:r w:rsidRPr="007D016D">
              <w:rPr>
                <w:rFonts w:cs="Arial"/>
                <w:szCs w:val="18"/>
              </w:rPr>
              <w:t>23%</w:t>
            </w:r>
          </w:p>
        </w:tc>
        <w:tc>
          <w:tcPr>
            <w:tcW w:w="1350" w:type="dxa"/>
            <w:shd w:val="clear" w:color="auto" w:fill="FFFFFF"/>
          </w:tcPr>
          <w:p w14:paraId="6EE182B5" w14:textId="6E4CC390" w:rsidR="00F67D83" w:rsidRDefault="00F67D83" w:rsidP="00F67D83">
            <w:pPr>
              <w:pStyle w:val="CETBodytext"/>
              <w:ind w:right="-1"/>
              <w:jc w:val="left"/>
              <w:rPr>
                <w:rFonts w:cs="Arial"/>
                <w:szCs w:val="18"/>
              </w:rPr>
            </w:pPr>
            <w:r>
              <w:rPr>
                <w:rFonts w:cs="Arial"/>
                <w:szCs w:val="18"/>
              </w:rPr>
              <w:t>22%</w:t>
            </w:r>
          </w:p>
        </w:tc>
        <w:tc>
          <w:tcPr>
            <w:tcW w:w="1620" w:type="dxa"/>
            <w:shd w:val="clear" w:color="auto" w:fill="FFFFFF"/>
          </w:tcPr>
          <w:p w14:paraId="1B2D8003" w14:textId="7FA8F1DF" w:rsidR="00F67D83" w:rsidRPr="007D016D" w:rsidRDefault="00F67D83" w:rsidP="00F67D83">
            <w:pPr>
              <w:pStyle w:val="CETBodytext"/>
              <w:ind w:right="-1"/>
              <w:jc w:val="left"/>
              <w:rPr>
                <w:rFonts w:cs="Arial"/>
                <w:szCs w:val="18"/>
              </w:rPr>
            </w:pPr>
            <w:r>
              <w:rPr>
                <w:rFonts w:cs="Arial"/>
                <w:szCs w:val="18"/>
              </w:rPr>
              <w:t>Medium – High</w:t>
            </w:r>
          </w:p>
        </w:tc>
      </w:tr>
      <w:tr w:rsidR="00F67D83" w:rsidRPr="00E313B3" w14:paraId="7DBB0B83" w14:textId="77777777" w:rsidTr="00F67D83">
        <w:tc>
          <w:tcPr>
            <w:tcW w:w="644" w:type="dxa"/>
            <w:shd w:val="clear" w:color="auto" w:fill="FFFFFF"/>
          </w:tcPr>
          <w:p w14:paraId="543392E7" w14:textId="77777777" w:rsidR="00F67D83" w:rsidRDefault="00F67D83" w:rsidP="00F67D83">
            <w:pPr>
              <w:pStyle w:val="CETBodytext"/>
              <w:ind w:right="-1"/>
              <w:jc w:val="left"/>
              <w:rPr>
                <w:rFonts w:cs="Arial"/>
                <w:szCs w:val="18"/>
              </w:rPr>
            </w:pPr>
            <w:r>
              <w:rPr>
                <w:rFonts w:cs="Arial"/>
                <w:szCs w:val="18"/>
              </w:rPr>
              <w:t>7</w:t>
            </w:r>
          </w:p>
        </w:tc>
        <w:tc>
          <w:tcPr>
            <w:tcW w:w="1516" w:type="dxa"/>
            <w:shd w:val="clear" w:color="auto" w:fill="FFFFFF"/>
          </w:tcPr>
          <w:p w14:paraId="59978A5F" w14:textId="77777777" w:rsidR="00F67D83" w:rsidRPr="000F721E" w:rsidRDefault="00F67D83" w:rsidP="00F67D83">
            <w:pPr>
              <w:pStyle w:val="CETBodytext"/>
              <w:ind w:right="-1"/>
              <w:jc w:val="left"/>
              <w:rPr>
                <w:rFonts w:cs="Arial"/>
                <w:szCs w:val="18"/>
              </w:rPr>
            </w:pPr>
            <w:r>
              <w:rPr>
                <w:rFonts w:cs="Arial"/>
                <w:szCs w:val="18"/>
              </w:rPr>
              <w:t>42CrMo4</w:t>
            </w:r>
          </w:p>
        </w:tc>
        <w:tc>
          <w:tcPr>
            <w:tcW w:w="2160" w:type="dxa"/>
            <w:shd w:val="clear" w:color="auto" w:fill="FFFFFF"/>
          </w:tcPr>
          <w:p w14:paraId="2BF5399F" w14:textId="77777777" w:rsidR="00F67D83" w:rsidRPr="007D016D" w:rsidRDefault="00F67D83" w:rsidP="00F67D83">
            <w:pPr>
              <w:pStyle w:val="CETBodytext"/>
              <w:ind w:right="-1"/>
              <w:jc w:val="left"/>
              <w:rPr>
                <w:rFonts w:cs="Arial"/>
                <w:szCs w:val="18"/>
              </w:rPr>
            </w:pPr>
            <w:r>
              <w:rPr>
                <w:rFonts w:cs="Arial"/>
                <w:szCs w:val="18"/>
              </w:rPr>
              <w:t>0%</w:t>
            </w:r>
          </w:p>
        </w:tc>
        <w:tc>
          <w:tcPr>
            <w:tcW w:w="1350" w:type="dxa"/>
            <w:shd w:val="clear" w:color="auto" w:fill="FFFFFF"/>
          </w:tcPr>
          <w:p w14:paraId="69D54443" w14:textId="11F75770" w:rsidR="00F67D83" w:rsidRDefault="00F67D83" w:rsidP="00F67D83">
            <w:pPr>
              <w:pStyle w:val="CETBodytext"/>
              <w:ind w:right="-1"/>
              <w:jc w:val="left"/>
              <w:rPr>
                <w:rFonts w:cs="Arial"/>
                <w:szCs w:val="18"/>
              </w:rPr>
            </w:pPr>
            <w:r>
              <w:rPr>
                <w:rFonts w:cs="Arial"/>
                <w:szCs w:val="18"/>
              </w:rPr>
              <w:t>18%</w:t>
            </w:r>
          </w:p>
        </w:tc>
        <w:tc>
          <w:tcPr>
            <w:tcW w:w="1620" w:type="dxa"/>
            <w:shd w:val="clear" w:color="auto" w:fill="FFFFFF"/>
          </w:tcPr>
          <w:p w14:paraId="79B05BB4" w14:textId="6AA23769" w:rsidR="00F67D83" w:rsidRDefault="00F67D83" w:rsidP="00F67D83">
            <w:pPr>
              <w:pStyle w:val="CETBodytext"/>
              <w:ind w:right="-1"/>
              <w:jc w:val="left"/>
              <w:rPr>
                <w:rFonts w:cs="Arial"/>
                <w:szCs w:val="18"/>
              </w:rPr>
            </w:pPr>
            <w:r>
              <w:rPr>
                <w:rFonts w:cs="Arial"/>
                <w:szCs w:val="18"/>
              </w:rPr>
              <w:t>High</w:t>
            </w:r>
          </w:p>
        </w:tc>
      </w:tr>
      <w:tr w:rsidR="00F67D83" w:rsidRPr="00E313B3" w14:paraId="58A3E22A" w14:textId="77777777" w:rsidTr="00F67D83">
        <w:tc>
          <w:tcPr>
            <w:tcW w:w="644" w:type="dxa"/>
            <w:shd w:val="clear" w:color="auto" w:fill="FFFFFF"/>
          </w:tcPr>
          <w:p w14:paraId="0BB59C00" w14:textId="77777777" w:rsidR="00F67D83" w:rsidRDefault="00F67D83" w:rsidP="00F67D83">
            <w:pPr>
              <w:pStyle w:val="CETBodytext"/>
              <w:ind w:right="-1"/>
              <w:jc w:val="left"/>
              <w:rPr>
                <w:rFonts w:cs="Arial"/>
                <w:szCs w:val="18"/>
              </w:rPr>
            </w:pPr>
            <w:r>
              <w:rPr>
                <w:rFonts w:cs="Arial"/>
                <w:szCs w:val="18"/>
              </w:rPr>
              <w:t>8</w:t>
            </w:r>
          </w:p>
        </w:tc>
        <w:tc>
          <w:tcPr>
            <w:tcW w:w="1516" w:type="dxa"/>
            <w:shd w:val="clear" w:color="auto" w:fill="FFFFFF"/>
          </w:tcPr>
          <w:p w14:paraId="512E65C5" w14:textId="5019B820" w:rsidR="00F67D83" w:rsidRDefault="00F67D83" w:rsidP="00F67D83">
            <w:pPr>
              <w:pStyle w:val="CETBodytext"/>
              <w:ind w:right="-1"/>
              <w:jc w:val="left"/>
              <w:rPr>
                <w:rFonts w:cs="Arial"/>
                <w:szCs w:val="18"/>
              </w:rPr>
            </w:pPr>
            <w:r>
              <w:rPr>
                <w:rFonts w:cs="Arial"/>
                <w:szCs w:val="18"/>
              </w:rPr>
              <w:t>X42 – X120</w:t>
            </w:r>
          </w:p>
        </w:tc>
        <w:tc>
          <w:tcPr>
            <w:tcW w:w="2160" w:type="dxa"/>
            <w:shd w:val="clear" w:color="auto" w:fill="FFFFFF"/>
          </w:tcPr>
          <w:p w14:paraId="1CDB547B" w14:textId="68BA1ABC" w:rsidR="00F67D83" w:rsidRPr="007D016D" w:rsidRDefault="00F67D83" w:rsidP="00F67D83">
            <w:pPr>
              <w:pStyle w:val="CETBodytext"/>
              <w:ind w:right="-1"/>
              <w:jc w:val="left"/>
              <w:rPr>
                <w:rFonts w:cs="Arial"/>
                <w:szCs w:val="18"/>
              </w:rPr>
            </w:pPr>
            <w:r w:rsidRPr="007D016D">
              <w:rPr>
                <w:rFonts w:cs="Arial"/>
                <w:szCs w:val="18"/>
              </w:rPr>
              <w:t>8</w:t>
            </w:r>
            <w:r>
              <w:rPr>
                <w:rFonts w:cs="Arial"/>
                <w:szCs w:val="18"/>
              </w:rPr>
              <w:t>% – 0%</w:t>
            </w:r>
          </w:p>
        </w:tc>
        <w:tc>
          <w:tcPr>
            <w:tcW w:w="1350" w:type="dxa"/>
            <w:shd w:val="clear" w:color="auto" w:fill="FFFFFF"/>
          </w:tcPr>
          <w:p w14:paraId="2E7AB3EE" w14:textId="58E21B5C" w:rsidR="00F67D83" w:rsidRDefault="00F67D83" w:rsidP="00F67D83">
            <w:pPr>
              <w:pStyle w:val="CETBodytext"/>
              <w:ind w:right="-1"/>
              <w:jc w:val="left"/>
              <w:rPr>
                <w:rFonts w:cs="Arial"/>
                <w:szCs w:val="18"/>
              </w:rPr>
            </w:pPr>
            <w:r>
              <w:rPr>
                <w:rFonts w:cs="Arial"/>
                <w:szCs w:val="18"/>
              </w:rPr>
              <w:t>0%</w:t>
            </w:r>
          </w:p>
        </w:tc>
        <w:tc>
          <w:tcPr>
            <w:tcW w:w="1620" w:type="dxa"/>
            <w:shd w:val="clear" w:color="auto" w:fill="FFFFFF"/>
          </w:tcPr>
          <w:p w14:paraId="2544BA18" w14:textId="6AEF907C" w:rsidR="00F67D83" w:rsidRPr="007D016D" w:rsidRDefault="00F67D83" w:rsidP="00F67D83">
            <w:pPr>
              <w:pStyle w:val="CETBodytext"/>
              <w:ind w:right="-1"/>
              <w:jc w:val="left"/>
              <w:rPr>
                <w:rFonts w:cs="Arial"/>
                <w:szCs w:val="18"/>
              </w:rPr>
            </w:pPr>
            <w:r>
              <w:rPr>
                <w:rFonts w:cs="Arial"/>
                <w:szCs w:val="18"/>
              </w:rPr>
              <w:t>Very High</w:t>
            </w:r>
          </w:p>
        </w:tc>
      </w:tr>
    </w:tbl>
    <w:p w14:paraId="274286C4" w14:textId="77777777" w:rsidR="00A4341E" w:rsidRDefault="00A4341E" w:rsidP="000F025A">
      <w:pPr>
        <w:pStyle w:val="CETBodytext"/>
        <w:rPr>
          <w:lang w:val="en-GB"/>
        </w:rPr>
      </w:pPr>
    </w:p>
    <w:p w14:paraId="60266EE0" w14:textId="0B74192E" w:rsidR="00A624A7" w:rsidRDefault="00462BD6" w:rsidP="000F025A">
      <w:pPr>
        <w:pStyle w:val="CETBodytext"/>
        <w:rPr>
          <w:lang w:val="en-GB"/>
        </w:rPr>
      </w:pPr>
      <w:r w:rsidRPr="00462BD6">
        <w:rPr>
          <w:lang w:val="en-GB"/>
        </w:rPr>
        <w:t>X100 has been identified as the pipeline material most prone to hydrogen-induced ductility loss. In contrast, X42 and X120 are the most suitable low-alloy steels for hydrogen pipelines since none of the tests in the dataset has a U label. However, the ranking is based on a limited number of tests</w:t>
      </w:r>
      <w:r w:rsidR="002A7986">
        <w:rPr>
          <w:lang w:val="en-GB"/>
        </w:rPr>
        <w:t xml:space="preserve"> and </w:t>
      </w:r>
      <w:r w:rsidR="002A7986" w:rsidRPr="00462BD6">
        <w:rPr>
          <w:lang w:val="en-GB"/>
        </w:rPr>
        <w:t>further developments of the present approach are needed</w:t>
      </w:r>
      <w:r w:rsidRPr="00462BD6">
        <w:rPr>
          <w:lang w:val="en-GB"/>
        </w:rPr>
        <w:t>; hence, these findings should not be considered definitive. Even if high-grade steels, such as X100 and X120, have been developed for natural gas transportation in harsh environments, their suitability in hydrogenated environments is not necessarily promising. The most used materials in the existing pipeline infrastructure, i.e., Grade B and X52, exhibit low hydrogen compatibility, depending on the specific operating conditions. This result further establishes the need to thoroughly evaluate the material’s features before drawing a definitive conclusion regarding the identification of the most suitable materials for hydrogen applications</w:t>
      </w:r>
      <w:r w:rsidR="00A4341E" w:rsidRPr="00A4341E">
        <w:rPr>
          <w:lang w:val="en-GB"/>
        </w:rPr>
        <w:t>.</w:t>
      </w:r>
      <w:r w:rsidR="00306DD0">
        <w:rPr>
          <w:lang w:val="en-GB"/>
        </w:rPr>
        <w:t xml:space="preserve"> </w:t>
      </w:r>
      <w:r w:rsidR="00306DD0">
        <w:rPr>
          <w:lang w:val="en-GB"/>
        </w:rPr>
        <w:fldChar w:fldCharType="begin"/>
      </w:r>
      <w:r w:rsidR="00306DD0">
        <w:rPr>
          <w:lang w:val="en-GB"/>
        </w:rPr>
        <w:instrText xml:space="preserve"> REF _Ref134954626 \h </w:instrText>
      </w:r>
      <w:r w:rsidR="00306DD0">
        <w:rPr>
          <w:lang w:val="en-GB"/>
        </w:rPr>
      </w:r>
      <w:r w:rsidR="00306DD0">
        <w:rPr>
          <w:lang w:val="en-GB"/>
        </w:rPr>
        <w:fldChar w:fldCharType="separate"/>
      </w:r>
      <w:r w:rsidR="00306DD0">
        <w:t xml:space="preserve">Figure </w:t>
      </w:r>
      <w:r w:rsidR="00306DD0">
        <w:rPr>
          <w:noProof/>
        </w:rPr>
        <w:t>3</w:t>
      </w:r>
      <w:r w:rsidR="00306DD0">
        <w:rPr>
          <w:lang w:val="en-GB"/>
        </w:rPr>
        <w:fldChar w:fldCharType="end"/>
      </w:r>
      <w:r w:rsidR="00306DD0">
        <w:rPr>
          <w:lang w:val="en-GB"/>
        </w:rPr>
        <w:t xml:space="preserve"> shows the Norwegian cross-border pipeline network</w:t>
      </w:r>
      <w:r w:rsidR="00254882">
        <w:rPr>
          <w:lang w:val="en-GB"/>
        </w:rPr>
        <w:t>, highlighting the hydrogen compatibility of the existing infrastructure</w:t>
      </w:r>
      <w:r w:rsidR="00D022D6">
        <w:rPr>
          <w:lang w:val="en-GB"/>
        </w:rPr>
        <w:t xml:space="preserve"> (operated by Gassco AS)</w:t>
      </w:r>
      <w:r w:rsidR="00254882">
        <w:rPr>
          <w:lang w:val="en-GB"/>
        </w:rPr>
        <w:t xml:space="preserve">. </w:t>
      </w:r>
      <w:r w:rsidR="00E964E8">
        <w:rPr>
          <w:lang w:val="en-GB"/>
        </w:rPr>
        <w:t>I</w:t>
      </w:r>
      <w:r w:rsidR="000936A6">
        <w:rPr>
          <w:lang w:val="en-GB"/>
        </w:rPr>
        <w:t>nformation</w:t>
      </w:r>
      <w:r w:rsidR="00E964E8">
        <w:rPr>
          <w:lang w:val="en-GB"/>
        </w:rPr>
        <w:t xml:space="preserve"> regarding the construction materials </w:t>
      </w:r>
      <w:r w:rsidR="000936A6">
        <w:rPr>
          <w:lang w:val="en-GB"/>
        </w:rPr>
        <w:t xml:space="preserve">is </w:t>
      </w:r>
      <w:r w:rsidR="00D022D6">
        <w:rPr>
          <w:lang w:val="en-GB"/>
        </w:rPr>
        <w:t xml:space="preserve">not </w:t>
      </w:r>
      <w:r w:rsidR="00A624A7">
        <w:rPr>
          <w:lang w:val="en-GB"/>
        </w:rPr>
        <w:t>a</w:t>
      </w:r>
      <w:r w:rsidR="000936A6">
        <w:rPr>
          <w:lang w:val="en-GB"/>
        </w:rPr>
        <w:t xml:space="preserve">vailable for </w:t>
      </w:r>
      <w:r w:rsidR="00D022D6">
        <w:rPr>
          <w:lang w:val="en-GB"/>
        </w:rPr>
        <w:t>most of</w:t>
      </w:r>
      <w:r w:rsidR="00D00CBA">
        <w:rPr>
          <w:lang w:val="en-GB"/>
        </w:rPr>
        <w:t xml:space="preserve"> these </w:t>
      </w:r>
      <w:r w:rsidR="00E964E8">
        <w:rPr>
          <w:lang w:val="en-GB"/>
        </w:rPr>
        <w:t>pipelines</w:t>
      </w:r>
      <w:r w:rsidR="00A624A7">
        <w:rPr>
          <w:lang w:val="en-GB"/>
        </w:rPr>
        <w:t>, since protected by industrial secre</w:t>
      </w:r>
      <w:r w:rsidR="00B227BA">
        <w:rPr>
          <w:lang w:val="en-GB"/>
        </w:rPr>
        <w:t>cy</w:t>
      </w:r>
      <w:r w:rsidR="00A624A7">
        <w:rPr>
          <w:lang w:val="en-GB"/>
        </w:rPr>
        <w:t>.</w:t>
      </w:r>
    </w:p>
    <w:p w14:paraId="7C0CABD0" w14:textId="42DCEB04" w:rsidR="000F025A" w:rsidRDefault="000F025A" w:rsidP="000F025A">
      <w:pPr>
        <w:pStyle w:val="CETBodytext"/>
        <w:rPr>
          <w:lang w:val="en-GB"/>
        </w:rPr>
      </w:pPr>
    </w:p>
    <w:p w14:paraId="5A1B0698" w14:textId="7A39DD38" w:rsidR="0023035B" w:rsidRDefault="00AF1624" w:rsidP="0023035B">
      <w:pPr>
        <w:pStyle w:val="CETBodytext"/>
        <w:keepNext/>
      </w:pPr>
      <w:r>
        <w:rPr>
          <w:noProof/>
        </w:rPr>
        <w:drawing>
          <wp:inline distT="0" distB="0" distL="0" distR="0" wp14:anchorId="5322DF10" wp14:editId="531E0DC0">
            <wp:extent cx="3556000" cy="3080491"/>
            <wp:effectExtent l="0" t="0" r="6350" b="5715"/>
            <wp:docPr id="3" name="Picture 3" descr="A picture containing map, text, diagram, at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ap, text, diagram, atla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6777" cy="3107153"/>
                    </a:xfrm>
                    <a:prstGeom prst="rect">
                      <a:avLst/>
                    </a:prstGeom>
                    <a:noFill/>
                    <a:ln>
                      <a:noFill/>
                    </a:ln>
                  </pic:spPr>
                </pic:pic>
              </a:graphicData>
            </a:graphic>
          </wp:inline>
        </w:drawing>
      </w:r>
    </w:p>
    <w:p w14:paraId="00BD1720" w14:textId="7FF6B041" w:rsidR="0023035B" w:rsidRDefault="0023035B" w:rsidP="00207F02">
      <w:pPr>
        <w:pStyle w:val="CETCaption"/>
      </w:pPr>
      <w:bookmarkStart w:id="4" w:name="_Ref134954626"/>
      <w:r>
        <w:t xml:space="preserve">Figure </w:t>
      </w:r>
      <w:r>
        <w:fldChar w:fldCharType="begin"/>
      </w:r>
      <w:r>
        <w:instrText xml:space="preserve"> SEQ Figure \* ARABIC </w:instrText>
      </w:r>
      <w:r>
        <w:fldChar w:fldCharType="separate"/>
      </w:r>
      <w:r>
        <w:rPr>
          <w:noProof/>
        </w:rPr>
        <w:t>3</w:t>
      </w:r>
      <w:r>
        <w:fldChar w:fldCharType="end"/>
      </w:r>
      <w:bookmarkEnd w:id="4"/>
      <w:r>
        <w:t>:</w:t>
      </w:r>
      <w:r w:rsidR="00AE3483">
        <w:t xml:space="preserve"> </w:t>
      </w:r>
      <w:r w:rsidR="00AE3483" w:rsidRPr="00AE3483">
        <w:t>Map of</w:t>
      </w:r>
      <w:r w:rsidR="001B75EE">
        <w:t xml:space="preserve"> the</w:t>
      </w:r>
      <w:r w:rsidR="00AE3483" w:rsidRPr="00AE3483">
        <w:t xml:space="preserve"> </w:t>
      </w:r>
      <w:r w:rsidR="001B75EE">
        <w:t xml:space="preserve">Norwegian </w:t>
      </w:r>
      <w:r w:rsidR="00AE3483" w:rsidRPr="00AE3483">
        <w:t>cross</w:t>
      </w:r>
      <w:r w:rsidR="001B75EE">
        <w:t>-</w:t>
      </w:r>
      <w:r w:rsidR="00AE3483" w:rsidRPr="00AE3483">
        <w:t xml:space="preserve">border pipeline network, assessed for hydrogen </w:t>
      </w:r>
      <w:proofErr w:type="gramStart"/>
      <w:r w:rsidR="00AE3483" w:rsidRPr="00AE3483">
        <w:t>compatibility</w:t>
      </w:r>
      <w:proofErr w:type="gramEnd"/>
    </w:p>
    <w:p w14:paraId="3ED73F69" w14:textId="08E103F9" w:rsidR="00271E6E" w:rsidRDefault="00B227BA" w:rsidP="00B227BA">
      <w:pPr>
        <w:pStyle w:val="CETBodytext"/>
      </w:pPr>
      <w:r>
        <w:t xml:space="preserve">In addition, </w:t>
      </w:r>
      <w:r w:rsidR="000E1521">
        <w:t xml:space="preserve">information regarding </w:t>
      </w:r>
      <w:r w:rsidR="003240A8">
        <w:t xml:space="preserve">the terminals connected, the total pipeline length and the construction material is provided in </w:t>
      </w:r>
      <w:r w:rsidR="003240A8">
        <w:fldChar w:fldCharType="begin"/>
      </w:r>
      <w:r w:rsidR="003240A8">
        <w:instrText xml:space="preserve"> REF _Ref134955136 \h </w:instrText>
      </w:r>
      <w:r w:rsidR="003240A8">
        <w:fldChar w:fldCharType="separate"/>
      </w:r>
      <w:r w:rsidR="003240A8">
        <w:t xml:space="preserve">Table </w:t>
      </w:r>
      <w:r w:rsidR="003240A8">
        <w:rPr>
          <w:noProof/>
        </w:rPr>
        <w:t>4</w:t>
      </w:r>
      <w:r w:rsidR="003240A8">
        <w:fldChar w:fldCharType="end"/>
      </w:r>
      <w:r w:rsidR="003240A8">
        <w:t>.</w:t>
      </w:r>
      <w:r w:rsidR="001C6FCB">
        <w:t xml:space="preserve"> As a result, </w:t>
      </w:r>
      <w:proofErr w:type="spellStart"/>
      <w:r w:rsidR="003575D5">
        <w:t>Zeepipe</w:t>
      </w:r>
      <w:proofErr w:type="spellEnd"/>
      <w:r w:rsidR="003575D5">
        <w:t xml:space="preserve"> </w:t>
      </w:r>
      <w:r w:rsidR="00866F3A">
        <w:t>(</w:t>
      </w:r>
      <w:r w:rsidR="003575D5">
        <w:t xml:space="preserve">connecting </w:t>
      </w:r>
      <w:r w:rsidR="00866F3A">
        <w:t>Norway</w:t>
      </w:r>
      <w:r w:rsidR="003575D5">
        <w:t xml:space="preserve"> </w:t>
      </w:r>
      <w:r w:rsidR="00866F3A">
        <w:t>to</w:t>
      </w:r>
      <w:r w:rsidR="003575D5">
        <w:t xml:space="preserve"> Belgium</w:t>
      </w:r>
      <w:r w:rsidR="00866F3A">
        <w:t>)</w:t>
      </w:r>
      <w:r w:rsidR="003575D5">
        <w:t xml:space="preserve"> is potentially suitable for hydrogen transport</w:t>
      </w:r>
      <w:r w:rsidR="00866F3A">
        <w:t xml:space="preserve">. In contrast, both </w:t>
      </w:r>
      <w:proofErr w:type="spellStart"/>
      <w:r w:rsidR="00866F3A">
        <w:t>Langled</w:t>
      </w:r>
      <w:proofErr w:type="spellEnd"/>
      <w:r w:rsidR="00866F3A">
        <w:t xml:space="preserve"> (connecting Norway to England) and </w:t>
      </w:r>
      <w:proofErr w:type="spellStart"/>
      <w:r w:rsidR="00866F3A">
        <w:t>Europipe</w:t>
      </w:r>
      <w:proofErr w:type="spellEnd"/>
      <w:r w:rsidR="00866F3A">
        <w:t xml:space="preserve"> II (connecting Norway to Germany) </w:t>
      </w:r>
      <w:r w:rsidR="00475C39">
        <w:t>have been designed for natural gas and cannot be used to transport H</w:t>
      </w:r>
      <w:r w:rsidR="00475C39" w:rsidRPr="005C1878">
        <w:rPr>
          <w:vertAlign w:val="subscript"/>
        </w:rPr>
        <w:t>2</w:t>
      </w:r>
      <w:r w:rsidR="00475C39">
        <w:t xml:space="preserve"> gas</w:t>
      </w:r>
      <w:r w:rsidR="005C1878">
        <w:t>.</w:t>
      </w:r>
    </w:p>
    <w:p w14:paraId="7E7C6017" w14:textId="448AD77E" w:rsidR="00401BE6" w:rsidRDefault="00401BE6" w:rsidP="00401BE6">
      <w:pPr>
        <w:pStyle w:val="CETCaption"/>
      </w:pPr>
      <w:bookmarkStart w:id="5" w:name="_Ref134955136"/>
      <w:r>
        <w:lastRenderedPageBreak/>
        <w:t xml:space="preserve">Table </w:t>
      </w:r>
      <w:r>
        <w:fldChar w:fldCharType="begin"/>
      </w:r>
      <w:r>
        <w:instrText xml:space="preserve"> SEQ Table \* ARABIC </w:instrText>
      </w:r>
      <w:r>
        <w:fldChar w:fldCharType="separate"/>
      </w:r>
      <w:r>
        <w:rPr>
          <w:noProof/>
        </w:rPr>
        <w:t>4</w:t>
      </w:r>
      <w:r>
        <w:fldChar w:fldCharType="end"/>
      </w:r>
      <w:bookmarkEnd w:id="5"/>
      <w:r>
        <w:t>:</w:t>
      </w:r>
      <w:r w:rsidR="00C0244D">
        <w:t xml:space="preserve"> </w:t>
      </w:r>
      <w:r w:rsidR="00C0244D" w:rsidRPr="00C0244D">
        <w:t>Cross</w:t>
      </w:r>
      <w:r w:rsidR="004B1DF5">
        <w:t>-</w:t>
      </w:r>
      <w:r w:rsidR="00C0244D" w:rsidRPr="00C0244D">
        <w:t xml:space="preserve">border gas pipelines originating from Norway with publicly disclosed </w:t>
      </w:r>
      <w:proofErr w:type="gramStart"/>
      <w:r w:rsidR="00C0244D" w:rsidRPr="00C0244D">
        <w:t>materials</w:t>
      </w:r>
      <w:proofErr w:type="gramEnd"/>
    </w:p>
    <w:tbl>
      <w:tblPr>
        <w:tblW w:w="882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65"/>
        <w:gridCol w:w="2756"/>
        <w:gridCol w:w="971"/>
        <w:gridCol w:w="1168"/>
        <w:gridCol w:w="1260"/>
      </w:tblGrid>
      <w:tr w:rsidR="00401BE6" w:rsidRPr="00B57B36" w14:paraId="60E9ED39" w14:textId="77777777" w:rsidTr="007C0832">
        <w:tc>
          <w:tcPr>
            <w:tcW w:w="2665" w:type="dxa"/>
            <w:tcBorders>
              <w:top w:val="single" w:sz="12" w:space="0" w:color="008000"/>
              <w:bottom w:val="single" w:sz="6" w:space="0" w:color="008000"/>
            </w:tcBorders>
            <w:shd w:val="clear" w:color="auto" w:fill="FFFFFF"/>
          </w:tcPr>
          <w:p w14:paraId="047F53FC" w14:textId="77777777" w:rsidR="00401BE6" w:rsidRPr="00B57B36" w:rsidRDefault="00401BE6" w:rsidP="007C0832">
            <w:pPr>
              <w:pStyle w:val="CETBodytext"/>
              <w:ind w:right="-1"/>
              <w:jc w:val="left"/>
              <w:rPr>
                <w:rFonts w:cs="Arial"/>
                <w:szCs w:val="18"/>
                <w:lang w:val="en-GB"/>
              </w:rPr>
            </w:pPr>
            <w:r>
              <w:rPr>
                <w:rFonts w:cs="Arial"/>
                <w:szCs w:val="18"/>
                <w:lang w:val="en-GB"/>
              </w:rPr>
              <w:t>Pipeline</w:t>
            </w:r>
          </w:p>
        </w:tc>
        <w:tc>
          <w:tcPr>
            <w:tcW w:w="2756" w:type="dxa"/>
            <w:tcBorders>
              <w:top w:val="single" w:sz="12" w:space="0" w:color="008000"/>
              <w:bottom w:val="single" w:sz="6" w:space="0" w:color="008000"/>
            </w:tcBorders>
            <w:shd w:val="clear" w:color="auto" w:fill="FFFFFF"/>
          </w:tcPr>
          <w:p w14:paraId="23C5A751" w14:textId="77777777" w:rsidR="00401BE6" w:rsidRDefault="00401BE6" w:rsidP="007C0832">
            <w:pPr>
              <w:pStyle w:val="CETBodytext"/>
              <w:ind w:right="-1"/>
              <w:jc w:val="left"/>
              <w:rPr>
                <w:rFonts w:cs="Arial"/>
                <w:szCs w:val="18"/>
                <w:lang w:val="en-GB"/>
              </w:rPr>
            </w:pPr>
            <w:r>
              <w:rPr>
                <w:rFonts w:cs="Arial"/>
                <w:szCs w:val="18"/>
                <w:lang w:val="en-GB"/>
              </w:rPr>
              <w:t>Terminals</w:t>
            </w:r>
          </w:p>
        </w:tc>
        <w:tc>
          <w:tcPr>
            <w:tcW w:w="971" w:type="dxa"/>
            <w:tcBorders>
              <w:top w:val="single" w:sz="12" w:space="0" w:color="008000"/>
              <w:bottom w:val="single" w:sz="6" w:space="0" w:color="008000"/>
            </w:tcBorders>
            <w:shd w:val="clear" w:color="auto" w:fill="FFFFFF"/>
          </w:tcPr>
          <w:p w14:paraId="70B08DD0" w14:textId="77777777" w:rsidR="00401BE6" w:rsidRDefault="00401BE6" w:rsidP="007C0832">
            <w:pPr>
              <w:pStyle w:val="CETBodytext"/>
              <w:ind w:right="-1"/>
              <w:jc w:val="left"/>
              <w:rPr>
                <w:rFonts w:cs="Arial"/>
                <w:szCs w:val="18"/>
                <w:lang w:val="en-GB"/>
              </w:rPr>
            </w:pPr>
            <w:r>
              <w:rPr>
                <w:rFonts w:cs="Arial"/>
                <w:szCs w:val="18"/>
                <w:lang w:val="en-GB"/>
              </w:rPr>
              <w:t>Length</w:t>
            </w:r>
          </w:p>
        </w:tc>
        <w:tc>
          <w:tcPr>
            <w:tcW w:w="1168" w:type="dxa"/>
            <w:tcBorders>
              <w:top w:val="single" w:sz="12" w:space="0" w:color="008000"/>
              <w:bottom w:val="single" w:sz="6" w:space="0" w:color="008000"/>
            </w:tcBorders>
            <w:shd w:val="clear" w:color="auto" w:fill="FFFFFF"/>
          </w:tcPr>
          <w:p w14:paraId="403D5807" w14:textId="77777777" w:rsidR="00401BE6" w:rsidRDefault="00401BE6" w:rsidP="007C0832">
            <w:pPr>
              <w:pStyle w:val="CETBodytext"/>
              <w:ind w:right="-1"/>
              <w:rPr>
                <w:rFonts w:cs="Arial"/>
                <w:szCs w:val="18"/>
                <w:lang w:val="en-GB"/>
              </w:rPr>
            </w:pPr>
            <w:r>
              <w:rPr>
                <w:rFonts w:cs="Arial"/>
                <w:szCs w:val="18"/>
                <w:lang w:val="en-GB"/>
              </w:rPr>
              <w:t>Material</w:t>
            </w:r>
          </w:p>
        </w:tc>
        <w:tc>
          <w:tcPr>
            <w:tcW w:w="1260" w:type="dxa"/>
            <w:tcBorders>
              <w:top w:val="single" w:sz="12" w:space="0" w:color="008000"/>
              <w:bottom w:val="single" w:sz="6" w:space="0" w:color="008000"/>
            </w:tcBorders>
            <w:shd w:val="clear" w:color="auto" w:fill="FFFFFF"/>
          </w:tcPr>
          <w:p w14:paraId="0C66DAF0" w14:textId="77777777" w:rsidR="00401BE6" w:rsidRDefault="00401BE6" w:rsidP="007C0832">
            <w:pPr>
              <w:pStyle w:val="CETBodytext"/>
              <w:ind w:right="-1"/>
              <w:rPr>
                <w:rFonts w:cs="Arial"/>
                <w:szCs w:val="18"/>
                <w:lang w:val="en-GB"/>
              </w:rPr>
            </w:pPr>
            <w:r>
              <w:rPr>
                <w:rFonts w:cs="Arial"/>
                <w:szCs w:val="18"/>
                <w:lang w:val="en-GB"/>
              </w:rPr>
              <w:t>H</w:t>
            </w:r>
            <w:r w:rsidRPr="00F42257">
              <w:rPr>
                <w:rFonts w:cs="Arial"/>
                <w:szCs w:val="18"/>
                <w:vertAlign w:val="subscript"/>
                <w:lang w:val="en-GB"/>
              </w:rPr>
              <w:t>2</w:t>
            </w:r>
            <w:r>
              <w:rPr>
                <w:rFonts w:cs="Arial"/>
                <w:szCs w:val="18"/>
                <w:lang w:val="en-GB"/>
              </w:rPr>
              <w:t xml:space="preserve"> compatibility</w:t>
            </w:r>
          </w:p>
        </w:tc>
      </w:tr>
      <w:tr w:rsidR="00401BE6" w:rsidRPr="00E313B3" w14:paraId="1A7BECBA" w14:textId="77777777" w:rsidTr="000E1521">
        <w:tc>
          <w:tcPr>
            <w:tcW w:w="2665" w:type="dxa"/>
            <w:shd w:val="clear" w:color="auto" w:fill="FFFFFF"/>
          </w:tcPr>
          <w:p w14:paraId="53C00582" w14:textId="77777777" w:rsidR="00401BE6" w:rsidRDefault="00401BE6" w:rsidP="007C0832">
            <w:pPr>
              <w:pStyle w:val="CETBodytext"/>
              <w:ind w:right="-1"/>
              <w:jc w:val="left"/>
              <w:rPr>
                <w:rFonts w:cs="Arial"/>
                <w:szCs w:val="18"/>
              </w:rPr>
            </w:pPr>
            <w:proofErr w:type="spellStart"/>
            <w:r>
              <w:t>Europipe</w:t>
            </w:r>
            <w:proofErr w:type="spellEnd"/>
            <w:r>
              <w:t xml:space="preserve"> II</w:t>
            </w:r>
          </w:p>
        </w:tc>
        <w:tc>
          <w:tcPr>
            <w:tcW w:w="2756" w:type="dxa"/>
            <w:shd w:val="clear" w:color="auto" w:fill="FFFFFF"/>
          </w:tcPr>
          <w:p w14:paraId="08A01C68" w14:textId="77777777" w:rsidR="00401BE6" w:rsidRPr="000F721E" w:rsidRDefault="00401BE6" w:rsidP="007C0832">
            <w:pPr>
              <w:pStyle w:val="CETBodytext"/>
              <w:ind w:right="-1"/>
              <w:jc w:val="left"/>
              <w:rPr>
                <w:rFonts w:cs="Arial"/>
                <w:szCs w:val="18"/>
              </w:rPr>
            </w:pPr>
            <w:proofErr w:type="spellStart"/>
            <w:r w:rsidRPr="001F6899">
              <w:t>Kårstø</w:t>
            </w:r>
            <w:proofErr w:type="spellEnd"/>
            <w:r>
              <w:t xml:space="preserve"> (NO) – </w:t>
            </w:r>
            <w:proofErr w:type="spellStart"/>
            <w:r>
              <w:t>Dornum</w:t>
            </w:r>
            <w:proofErr w:type="spellEnd"/>
            <w:r>
              <w:t xml:space="preserve"> (GE)</w:t>
            </w:r>
          </w:p>
        </w:tc>
        <w:tc>
          <w:tcPr>
            <w:tcW w:w="971" w:type="dxa"/>
            <w:shd w:val="clear" w:color="auto" w:fill="FFFFFF"/>
          </w:tcPr>
          <w:p w14:paraId="016E738A" w14:textId="77777777" w:rsidR="00401BE6" w:rsidRPr="007D016D" w:rsidRDefault="00401BE6" w:rsidP="007C0832">
            <w:pPr>
              <w:pStyle w:val="CETBodytext"/>
              <w:ind w:right="-1"/>
              <w:rPr>
                <w:rFonts w:cs="Arial"/>
                <w:szCs w:val="18"/>
              </w:rPr>
            </w:pPr>
            <w:r>
              <w:t>658 km</w:t>
            </w:r>
          </w:p>
        </w:tc>
        <w:tc>
          <w:tcPr>
            <w:tcW w:w="1168" w:type="dxa"/>
            <w:shd w:val="clear" w:color="auto" w:fill="FFFFFF"/>
          </w:tcPr>
          <w:p w14:paraId="055319A0" w14:textId="77777777" w:rsidR="00401BE6" w:rsidRDefault="00401BE6" w:rsidP="007C0832">
            <w:pPr>
              <w:pStyle w:val="CETBodytext"/>
              <w:ind w:right="-1"/>
            </w:pPr>
            <w:r>
              <w:t>X70</w:t>
            </w:r>
          </w:p>
        </w:tc>
        <w:tc>
          <w:tcPr>
            <w:tcW w:w="1260" w:type="dxa"/>
            <w:shd w:val="clear" w:color="auto" w:fill="FFFFFF" w:themeFill="background1"/>
          </w:tcPr>
          <w:p w14:paraId="600AD435" w14:textId="2887DB1E" w:rsidR="00401BE6" w:rsidRDefault="000E1521" w:rsidP="007C0832">
            <w:pPr>
              <w:pStyle w:val="CETBodytext"/>
              <w:ind w:right="-1"/>
            </w:pPr>
            <w:r>
              <w:t>Extremely Low</w:t>
            </w:r>
          </w:p>
        </w:tc>
      </w:tr>
      <w:tr w:rsidR="00401BE6" w:rsidRPr="00E313B3" w14:paraId="23304A54" w14:textId="77777777" w:rsidTr="000E1521">
        <w:tc>
          <w:tcPr>
            <w:tcW w:w="2665" w:type="dxa"/>
            <w:shd w:val="clear" w:color="auto" w:fill="FFFFFF"/>
          </w:tcPr>
          <w:p w14:paraId="53D5B800" w14:textId="77777777" w:rsidR="00401BE6" w:rsidRPr="00100551" w:rsidRDefault="00401BE6" w:rsidP="007C0832">
            <w:pPr>
              <w:pStyle w:val="CETBodytext"/>
              <w:ind w:right="-1"/>
              <w:jc w:val="left"/>
            </w:pPr>
            <w:proofErr w:type="spellStart"/>
            <w:r>
              <w:t>Langeled</w:t>
            </w:r>
            <w:proofErr w:type="spellEnd"/>
            <w:r>
              <w:t xml:space="preserve"> North – </w:t>
            </w:r>
            <w:proofErr w:type="spellStart"/>
            <w:r>
              <w:t>Langeled</w:t>
            </w:r>
            <w:proofErr w:type="spellEnd"/>
            <w:r>
              <w:t xml:space="preserve"> South</w:t>
            </w:r>
          </w:p>
        </w:tc>
        <w:tc>
          <w:tcPr>
            <w:tcW w:w="2756" w:type="dxa"/>
            <w:shd w:val="clear" w:color="auto" w:fill="FFFFFF"/>
          </w:tcPr>
          <w:p w14:paraId="4900C2B3" w14:textId="77777777" w:rsidR="00401BE6" w:rsidRPr="000F721E" w:rsidRDefault="00401BE6" w:rsidP="007C0832">
            <w:pPr>
              <w:pStyle w:val="CETBodytext"/>
              <w:ind w:right="-1"/>
              <w:jc w:val="left"/>
              <w:rPr>
                <w:rFonts w:cs="Arial"/>
                <w:szCs w:val="18"/>
              </w:rPr>
            </w:pPr>
            <w:proofErr w:type="spellStart"/>
            <w:r>
              <w:t>Nyhamna</w:t>
            </w:r>
            <w:proofErr w:type="spellEnd"/>
            <w:r>
              <w:t xml:space="preserve"> (NO) – </w:t>
            </w:r>
            <w:proofErr w:type="spellStart"/>
            <w:r>
              <w:t>Easington</w:t>
            </w:r>
            <w:proofErr w:type="spellEnd"/>
            <w:r>
              <w:t xml:space="preserve"> (UK)</w:t>
            </w:r>
          </w:p>
        </w:tc>
        <w:tc>
          <w:tcPr>
            <w:tcW w:w="971" w:type="dxa"/>
            <w:shd w:val="clear" w:color="auto" w:fill="FFFFFF"/>
          </w:tcPr>
          <w:p w14:paraId="3D3A19AE" w14:textId="77777777" w:rsidR="00401BE6" w:rsidRPr="007D016D" w:rsidRDefault="00401BE6" w:rsidP="007C0832">
            <w:pPr>
              <w:pStyle w:val="CETBodytext"/>
              <w:ind w:right="-1"/>
              <w:jc w:val="left"/>
              <w:rPr>
                <w:rFonts w:cs="Arial"/>
                <w:szCs w:val="18"/>
              </w:rPr>
            </w:pPr>
            <w:r>
              <w:t>1170 km</w:t>
            </w:r>
          </w:p>
        </w:tc>
        <w:tc>
          <w:tcPr>
            <w:tcW w:w="1168" w:type="dxa"/>
            <w:shd w:val="clear" w:color="auto" w:fill="FFFFFF"/>
          </w:tcPr>
          <w:p w14:paraId="78F7FB14" w14:textId="77777777" w:rsidR="00401BE6" w:rsidRDefault="00401BE6" w:rsidP="007C0832">
            <w:pPr>
              <w:pStyle w:val="CETBodytext"/>
              <w:ind w:right="-1"/>
              <w:jc w:val="left"/>
            </w:pPr>
            <w:r>
              <w:t>X70</w:t>
            </w:r>
          </w:p>
        </w:tc>
        <w:tc>
          <w:tcPr>
            <w:tcW w:w="1260" w:type="dxa"/>
            <w:shd w:val="clear" w:color="auto" w:fill="FFFFFF" w:themeFill="background1"/>
          </w:tcPr>
          <w:p w14:paraId="5C682A6C" w14:textId="3F575083" w:rsidR="00401BE6" w:rsidRDefault="000E1521" w:rsidP="007C0832">
            <w:pPr>
              <w:pStyle w:val="CETBodytext"/>
              <w:ind w:right="-1"/>
              <w:jc w:val="left"/>
            </w:pPr>
            <w:r>
              <w:t>Extremely Low</w:t>
            </w:r>
          </w:p>
        </w:tc>
      </w:tr>
      <w:tr w:rsidR="00401BE6" w:rsidRPr="00E313B3" w14:paraId="2F897B74" w14:textId="77777777" w:rsidTr="000E1521">
        <w:tc>
          <w:tcPr>
            <w:tcW w:w="2665" w:type="dxa"/>
            <w:shd w:val="clear" w:color="auto" w:fill="FFFFFF"/>
          </w:tcPr>
          <w:p w14:paraId="727826B9" w14:textId="77777777" w:rsidR="00401BE6" w:rsidRPr="006F4209" w:rsidRDefault="00401BE6" w:rsidP="007C0832">
            <w:pPr>
              <w:jc w:val="left"/>
              <w:rPr>
                <w:lang w:val="nb-NO"/>
              </w:rPr>
            </w:pPr>
            <w:proofErr w:type="spellStart"/>
            <w:r w:rsidRPr="001A476E">
              <w:rPr>
                <w:lang w:val="nb-NO"/>
              </w:rPr>
              <w:t>Statpipe</w:t>
            </w:r>
            <w:proofErr w:type="spellEnd"/>
            <w:r>
              <w:rPr>
                <w:lang w:val="nb-NO"/>
              </w:rPr>
              <w:t xml:space="preserve"> – </w:t>
            </w:r>
            <w:r w:rsidRPr="001A476E">
              <w:rPr>
                <w:lang w:val="nb-NO"/>
              </w:rPr>
              <w:t>Tampen</w:t>
            </w:r>
            <w:r>
              <w:rPr>
                <w:lang w:val="nb-NO"/>
              </w:rPr>
              <w:t xml:space="preserve"> Link – </w:t>
            </w:r>
            <w:r w:rsidRPr="006F4209">
              <w:rPr>
                <w:lang w:val="nb-NO"/>
              </w:rPr>
              <w:t>Flags</w:t>
            </w:r>
          </w:p>
        </w:tc>
        <w:tc>
          <w:tcPr>
            <w:tcW w:w="2756" w:type="dxa"/>
            <w:shd w:val="clear" w:color="auto" w:fill="FFFFFF"/>
          </w:tcPr>
          <w:p w14:paraId="06726F83" w14:textId="77777777" w:rsidR="00401BE6" w:rsidRPr="001F6899" w:rsidRDefault="00401BE6" w:rsidP="007C0832">
            <w:pPr>
              <w:pStyle w:val="CETBodytext"/>
              <w:ind w:right="-1"/>
              <w:jc w:val="left"/>
            </w:pPr>
            <w:proofErr w:type="spellStart"/>
            <w:r w:rsidRPr="001F6899">
              <w:t>Kårstø</w:t>
            </w:r>
            <w:proofErr w:type="spellEnd"/>
            <w:r>
              <w:t xml:space="preserve"> – St. Fergus (UK)</w:t>
            </w:r>
          </w:p>
        </w:tc>
        <w:tc>
          <w:tcPr>
            <w:tcW w:w="971" w:type="dxa"/>
            <w:shd w:val="clear" w:color="auto" w:fill="FFFFFF"/>
          </w:tcPr>
          <w:p w14:paraId="6F2CA212" w14:textId="77777777" w:rsidR="00401BE6" w:rsidRDefault="00401BE6" w:rsidP="007C0832">
            <w:pPr>
              <w:pStyle w:val="CETBodytext"/>
              <w:ind w:right="-1"/>
              <w:jc w:val="left"/>
            </w:pPr>
            <w:r>
              <w:t>781 km</w:t>
            </w:r>
          </w:p>
        </w:tc>
        <w:tc>
          <w:tcPr>
            <w:tcW w:w="1168" w:type="dxa"/>
            <w:shd w:val="clear" w:color="auto" w:fill="FFFFFF"/>
          </w:tcPr>
          <w:p w14:paraId="1E527032" w14:textId="77777777" w:rsidR="00401BE6" w:rsidRDefault="00401BE6" w:rsidP="007C0832">
            <w:pPr>
              <w:pStyle w:val="CETBodytext"/>
              <w:ind w:right="-1"/>
              <w:jc w:val="left"/>
            </w:pPr>
            <w:r>
              <w:t>X65</w:t>
            </w:r>
          </w:p>
        </w:tc>
        <w:tc>
          <w:tcPr>
            <w:tcW w:w="1260" w:type="dxa"/>
            <w:shd w:val="clear" w:color="auto" w:fill="FFFFFF" w:themeFill="background1"/>
          </w:tcPr>
          <w:p w14:paraId="5BA6F81E" w14:textId="07FCCE0B" w:rsidR="00401BE6" w:rsidRDefault="000E1521" w:rsidP="007C0832">
            <w:pPr>
              <w:pStyle w:val="CETBodytext"/>
              <w:ind w:right="-1"/>
              <w:jc w:val="left"/>
            </w:pPr>
            <w:r>
              <w:t>Medium-High</w:t>
            </w:r>
          </w:p>
        </w:tc>
      </w:tr>
      <w:tr w:rsidR="00401BE6" w:rsidRPr="00E313B3" w14:paraId="6AA0F0CA" w14:textId="77777777" w:rsidTr="000E1521">
        <w:tc>
          <w:tcPr>
            <w:tcW w:w="2665" w:type="dxa"/>
            <w:shd w:val="clear" w:color="auto" w:fill="FFFFFF"/>
          </w:tcPr>
          <w:p w14:paraId="4851E1D7" w14:textId="77777777" w:rsidR="00401BE6" w:rsidRDefault="00401BE6" w:rsidP="007C0832">
            <w:pPr>
              <w:jc w:val="left"/>
            </w:pPr>
            <w:proofErr w:type="spellStart"/>
            <w:r>
              <w:t>Zeepipe</w:t>
            </w:r>
            <w:proofErr w:type="spellEnd"/>
            <w:r>
              <w:t xml:space="preserve"> II A – </w:t>
            </w:r>
            <w:proofErr w:type="spellStart"/>
            <w:r>
              <w:t>Zeepipe</w:t>
            </w:r>
            <w:proofErr w:type="spellEnd"/>
          </w:p>
        </w:tc>
        <w:tc>
          <w:tcPr>
            <w:tcW w:w="2756" w:type="dxa"/>
            <w:shd w:val="clear" w:color="auto" w:fill="FFFFFF"/>
          </w:tcPr>
          <w:p w14:paraId="0851C0A3" w14:textId="77777777" w:rsidR="00401BE6" w:rsidRPr="001F6899" w:rsidRDefault="00401BE6" w:rsidP="007C0832">
            <w:pPr>
              <w:pStyle w:val="CETBodytext"/>
              <w:ind w:right="-1"/>
              <w:jc w:val="left"/>
            </w:pPr>
            <w:proofErr w:type="spellStart"/>
            <w:r>
              <w:t>Kollsnes</w:t>
            </w:r>
            <w:proofErr w:type="spellEnd"/>
            <w:r>
              <w:t xml:space="preserve"> (NO) – Zeebrugge (BE)</w:t>
            </w:r>
          </w:p>
        </w:tc>
        <w:tc>
          <w:tcPr>
            <w:tcW w:w="971" w:type="dxa"/>
            <w:shd w:val="clear" w:color="auto" w:fill="FFFFFF"/>
          </w:tcPr>
          <w:p w14:paraId="4357E44A" w14:textId="77777777" w:rsidR="00401BE6" w:rsidRDefault="00401BE6" w:rsidP="007C0832">
            <w:pPr>
              <w:pStyle w:val="CETBodytext"/>
              <w:ind w:right="-1"/>
              <w:jc w:val="left"/>
            </w:pPr>
            <w:r>
              <w:t>1112 km</w:t>
            </w:r>
          </w:p>
        </w:tc>
        <w:tc>
          <w:tcPr>
            <w:tcW w:w="1168" w:type="dxa"/>
            <w:shd w:val="clear" w:color="auto" w:fill="FFFFFF"/>
          </w:tcPr>
          <w:p w14:paraId="1DDDB1C4" w14:textId="77777777" w:rsidR="00401BE6" w:rsidRDefault="00401BE6" w:rsidP="007C0832">
            <w:pPr>
              <w:pStyle w:val="CETBodytext"/>
              <w:ind w:right="-1"/>
              <w:jc w:val="left"/>
            </w:pPr>
            <w:r>
              <w:t>X65</w:t>
            </w:r>
          </w:p>
        </w:tc>
        <w:tc>
          <w:tcPr>
            <w:tcW w:w="1260" w:type="dxa"/>
            <w:shd w:val="clear" w:color="auto" w:fill="FFFFFF" w:themeFill="background1"/>
          </w:tcPr>
          <w:p w14:paraId="5CF97F99" w14:textId="2BA08C52" w:rsidR="00401BE6" w:rsidRDefault="000E1521" w:rsidP="007C0832">
            <w:pPr>
              <w:pStyle w:val="CETBodytext"/>
              <w:ind w:right="-1"/>
              <w:jc w:val="left"/>
            </w:pPr>
            <w:r>
              <w:t>Medium-High</w:t>
            </w:r>
          </w:p>
        </w:tc>
      </w:tr>
    </w:tbl>
    <w:p w14:paraId="228BE96B" w14:textId="77777777" w:rsidR="00401BE6" w:rsidRDefault="00401BE6" w:rsidP="00401BE6">
      <w:pPr>
        <w:pStyle w:val="CETBodytext"/>
      </w:pPr>
    </w:p>
    <w:p w14:paraId="68D26B83" w14:textId="641E6A25" w:rsidR="00600535" w:rsidRDefault="00600535" w:rsidP="00600535">
      <w:pPr>
        <w:pStyle w:val="CETHeading1"/>
        <w:rPr>
          <w:lang w:val="en-GB"/>
        </w:rPr>
      </w:pPr>
      <w:r w:rsidRPr="00B57B36">
        <w:rPr>
          <w:lang w:val="en-GB"/>
        </w:rPr>
        <w:t>Conclusions</w:t>
      </w:r>
    </w:p>
    <w:p w14:paraId="46DA2700" w14:textId="5B9A456E" w:rsidR="00A56281" w:rsidRDefault="00BF15C7" w:rsidP="00A56281">
      <w:pPr>
        <w:pStyle w:val="CETBodytext"/>
        <w:rPr>
          <w:b/>
        </w:rPr>
      </w:pPr>
      <w:r w:rsidRPr="00BF15C7">
        <w:t>Three ML algorithms, namely Random Forest, AdaBoost, and Artificial Neural Network have been employed to evaluate the HE susceptibility of pipeline steels. A database has been created, using the results of in-situ tensile tests conducted in hydrogenated environments. A 70% sub-database was used to train the algorithms, while the remaining 30% was used to test them. The nature of the dataset, the target to predict (i.e., the Embrittlement Index), and the comparative analysis of the algorithms have identified Random Forest and AdaBoost as the most applicable and efficient supervised learning techniques for this specific application. These algorithms were 84% and 84.5% accurate in predicting EI. Pipeline materials have been ranked based on the HE susceptibility. Finally, the cross-border pipelines connecting Norway with the rest of Europe, have been assessed for their hydrogen compatibility. As a result, adapting the natural gas pipeline network for hydrogen transport requires several modifications in the existing architecture and a thorough evaluation of the impact of hydrogenated environments on fracture toughness and fatigue performance</w:t>
      </w:r>
      <w:r w:rsidR="00E077D2">
        <w:t>.</w:t>
      </w:r>
    </w:p>
    <w:p w14:paraId="459D05E6" w14:textId="513A5BA2" w:rsidR="00600535" w:rsidRPr="00B57B36" w:rsidRDefault="00600535" w:rsidP="00600535">
      <w:pPr>
        <w:pStyle w:val="CETAcknowledgementstitle"/>
      </w:pPr>
      <w:r w:rsidRPr="00B57B36">
        <w:t>Acknowledgments</w:t>
      </w:r>
    </w:p>
    <w:p w14:paraId="33F8138F" w14:textId="7F975358" w:rsidR="00600535" w:rsidRPr="00B57B36" w:rsidRDefault="001A62E6" w:rsidP="00600535">
      <w:pPr>
        <w:pStyle w:val="CETBodytext"/>
        <w:rPr>
          <w:lang w:val="en-GB"/>
        </w:rPr>
      </w:pPr>
      <w:r w:rsidRPr="001A62E6">
        <w:rPr>
          <w:lang w:val="en-GB"/>
        </w:rPr>
        <w:t xml:space="preserve">This work was undertaken as a part of the </w:t>
      </w:r>
      <w:r w:rsidR="008A1FCF">
        <w:rPr>
          <w:lang w:val="en-GB"/>
        </w:rPr>
        <w:t>“</w:t>
      </w:r>
      <w:r w:rsidR="008A1FCF" w:rsidRPr="008A1FCF">
        <w:rPr>
          <w:lang w:val="en-GB"/>
        </w:rPr>
        <w:t xml:space="preserve">Safe </w:t>
      </w:r>
      <w:r w:rsidR="008A1FCF">
        <w:rPr>
          <w:lang w:val="en-GB"/>
        </w:rPr>
        <w:t>H</w:t>
      </w:r>
      <w:r w:rsidR="008A1FCF" w:rsidRPr="008A1FCF">
        <w:rPr>
          <w:lang w:val="en-GB"/>
        </w:rPr>
        <w:t xml:space="preserve">ydrogen </w:t>
      </w:r>
      <w:r w:rsidR="008A1FCF">
        <w:rPr>
          <w:lang w:val="en-GB"/>
        </w:rPr>
        <w:t>F</w:t>
      </w:r>
      <w:r w:rsidR="008A1FCF" w:rsidRPr="008A1FCF">
        <w:rPr>
          <w:lang w:val="en-GB"/>
        </w:rPr>
        <w:t xml:space="preserve">uel </w:t>
      </w:r>
      <w:r w:rsidR="008A1FCF">
        <w:rPr>
          <w:lang w:val="en-GB"/>
        </w:rPr>
        <w:t>H</w:t>
      </w:r>
      <w:r w:rsidR="008A1FCF" w:rsidRPr="008A1FCF">
        <w:rPr>
          <w:lang w:val="en-GB"/>
        </w:rPr>
        <w:t xml:space="preserve">andling and </w:t>
      </w:r>
      <w:r w:rsidR="008A1FCF">
        <w:rPr>
          <w:lang w:val="en-GB"/>
        </w:rPr>
        <w:t>U</w:t>
      </w:r>
      <w:r w:rsidR="008A1FCF" w:rsidRPr="008A1FCF">
        <w:rPr>
          <w:lang w:val="en-GB"/>
        </w:rPr>
        <w:t xml:space="preserve">se for </w:t>
      </w:r>
      <w:r w:rsidR="008A1FCF">
        <w:rPr>
          <w:lang w:val="en-GB"/>
        </w:rPr>
        <w:t>E</w:t>
      </w:r>
      <w:r w:rsidR="008A1FCF" w:rsidRPr="008A1FCF">
        <w:rPr>
          <w:lang w:val="en-GB"/>
        </w:rPr>
        <w:t xml:space="preserve">fficient </w:t>
      </w:r>
      <w:r w:rsidR="008A1FCF">
        <w:rPr>
          <w:lang w:val="en-GB"/>
        </w:rPr>
        <w:t>I</w:t>
      </w:r>
      <w:r w:rsidR="008A1FCF" w:rsidRPr="008A1FCF">
        <w:rPr>
          <w:lang w:val="en-GB"/>
        </w:rPr>
        <w:t>mplementation 2</w:t>
      </w:r>
      <w:r w:rsidR="008A1FCF">
        <w:rPr>
          <w:lang w:val="en-GB"/>
        </w:rPr>
        <w:t>”</w:t>
      </w:r>
      <w:r w:rsidR="008A1FCF" w:rsidRPr="008A1FCF">
        <w:rPr>
          <w:lang w:val="en-GB"/>
        </w:rPr>
        <w:t xml:space="preserve"> </w:t>
      </w:r>
      <w:r>
        <w:rPr>
          <w:lang w:val="en-GB"/>
        </w:rPr>
        <w:t>(</w:t>
      </w:r>
      <w:r w:rsidRPr="001A62E6">
        <w:rPr>
          <w:lang w:val="en-GB"/>
        </w:rPr>
        <w:t>SH</w:t>
      </w:r>
      <w:r w:rsidRPr="001A62E6">
        <w:rPr>
          <w:vertAlign w:val="subscript"/>
          <w:lang w:val="en-GB"/>
        </w:rPr>
        <w:t>2</w:t>
      </w:r>
      <w:r w:rsidRPr="001A62E6">
        <w:rPr>
          <w:lang w:val="en-GB"/>
        </w:rPr>
        <w:t>IFT-2</w:t>
      </w:r>
      <w:r>
        <w:rPr>
          <w:lang w:val="en-GB"/>
        </w:rPr>
        <w:t>) project</w:t>
      </w:r>
      <w:r w:rsidRPr="001A62E6">
        <w:rPr>
          <w:lang w:val="en-GB"/>
        </w:rPr>
        <w:t>, and the authors would like to acknowledge the financial support of the Research Council of Norway (Grant No. 327009</w:t>
      </w:r>
      <w:r w:rsidR="00FC0DBA">
        <w:rPr>
          <w:lang w:val="en-GB"/>
        </w:rPr>
        <w:t>)</w:t>
      </w:r>
      <w:r w:rsidR="00600535" w:rsidRPr="00B57B36">
        <w:rPr>
          <w:lang w:val="en-GB"/>
        </w:rPr>
        <w:t>.</w:t>
      </w:r>
    </w:p>
    <w:p w14:paraId="4F1327F8" w14:textId="77777777" w:rsidR="00600535" w:rsidRPr="00B57B36" w:rsidRDefault="00600535" w:rsidP="00600535">
      <w:pPr>
        <w:pStyle w:val="CETReference"/>
      </w:pPr>
      <w:r w:rsidRPr="00B57B36">
        <w:t>References</w:t>
      </w:r>
    </w:p>
    <w:p w14:paraId="5BC38D71" w14:textId="424839ED" w:rsidR="00FD39F3" w:rsidRDefault="00FD39F3" w:rsidP="00FD39F3">
      <w:pPr>
        <w:pStyle w:val="CETReferencetext"/>
      </w:pPr>
      <w:r w:rsidRPr="00AB729D">
        <w:t>ACER</w:t>
      </w:r>
      <w:r w:rsidR="00AB729D" w:rsidRPr="00AB729D">
        <w:t xml:space="preserve">, </w:t>
      </w:r>
      <w:r w:rsidRPr="00AB729D">
        <w:t>2021</w:t>
      </w:r>
      <w:r w:rsidR="00AB729D" w:rsidRPr="00AB729D">
        <w:t>,</w:t>
      </w:r>
      <w:r w:rsidRPr="00AB729D">
        <w:t xml:space="preserve"> Transporting Pure Hydrogen by Repurposing Existing Gas Infrastructure: Overview of existing studies and reflections on the conditions for repurposing.</w:t>
      </w:r>
    </w:p>
    <w:p w14:paraId="67E31987" w14:textId="05D00597" w:rsidR="00057261" w:rsidRDefault="00057261" w:rsidP="00FD39F3">
      <w:pPr>
        <w:pStyle w:val="CETReferencetext"/>
      </w:pPr>
      <w:r>
        <w:t xml:space="preserve">API, 2018, </w:t>
      </w:r>
      <w:r w:rsidR="007633DC">
        <w:t>API 5L Line Pipe, Washington, USA.</w:t>
      </w:r>
    </w:p>
    <w:p w14:paraId="18733718" w14:textId="38BAC713" w:rsidR="00E5101B" w:rsidRPr="00AB729D" w:rsidRDefault="00E5101B" w:rsidP="00FD39F3">
      <w:pPr>
        <w:pStyle w:val="CETReferencetext"/>
      </w:pPr>
      <w:r w:rsidRPr="00E5101B">
        <w:t>ASME</w:t>
      </w:r>
      <w:r>
        <w:t xml:space="preserve">, </w:t>
      </w:r>
      <w:r w:rsidRPr="00E5101B">
        <w:t>2019</w:t>
      </w:r>
      <w:r>
        <w:t>,</w:t>
      </w:r>
      <w:r w:rsidRPr="00E5101B">
        <w:t xml:space="preserve"> ASME B31.12 – Hydrogen Piping and Pipelines</w:t>
      </w:r>
      <w:r>
        <w:t xml:space="preserve">, </w:t>
      </w:r>
      <w:r w:rsidR="00B12780">
        <w:t xml:space="preserve">New York, </w:t>
      </w:r>
      <w:r>
        <w:t>USA</w:t>
      </w:r>
      <w:r w:rsidRPr="00E5101B">
        <w:t>.</w:t>
      </w:r>
    </w:p>
    <w:p w14:paraId="3C6DECCE" w14:textId="72D43CEE" w:rsidR="00643ED5" w:rsidRDefault="00643ED5" w:rsidP="00643ED5">
      <w:pPr>
        <w:pStyle w:val="CETReferencetext"/>
        <w:rPr>
          <w:lang w:val="en-US"/>
        </w:rPr>
      </w:pPr>
      <w:r w:rsidRPr="00EC7198">
        <w:rPr>
          <w:lang w:val="en-US"/>
        </w:rPr>
        <w:t xml:space="preserve">Campari A., </w:t>
      </w:r>
      <w:proofErr w:type="spellStart"/>
      <w:r w:rsidRPr="00EC7198">
        <w:rPr>
          <w:lang w:val="en-US"/>
        </w:rPr>
        <w:t>Nakhal</w:t>
      </w:r>
      <w:proofErr w:type="spellEnd"/>
      <w:r w:rsidRPr="00EC7198">
        <w:rPr>
          <w:lang w:val="en-US"/>
        </w:rPr>
        <w:t xml:space="preserve"> A.J., </w:t>
      </w:r>
      <w:proofErr w:type="spellStart"/>
      <w:r w:rsidRPr="00EC7198">
        <w:rPr>
          <w:lang w:val="en-US"/>
        </w:rPr>
        <w:t>Ustolin</w:t>
      </w:r>
      <w:proofErr w:type="spellEnd"/>
      <w:r w:rsidRPr="00EC7198">
        <w:rPr>
          <w:lang w:val="en-US"/>
        </w:rPr>
        <w:t xml:space="preserve"> F., Alvaro A., </w:t>
      </w:r>
      <w:proofErr w:type="spellStart"/>
      <w:r w:rsidRPr="00EC7198">
        <w:rPr>
          <w:lang w:val="en-US"/>
        </w:rPr>
        <w:t>Ledda</w:t>
      </w:r>
      <w:proofErr w:type="spellEnd"/>
      <w:r w:rsidRPr="00EC7198">
        <w:rPr>
          <w:lang w:val="en-US"/>
        </w:rPr>
        <w:t xml:space="preserve"> A., </w:t>
      </w:r>
      <w:proofErr w:type="spellStart"/>
      <w:r w:rsidRPr="00EC7198">
        <w:rPr>
          <w:lang w:val="en-US"/>
        </w:rPr>
        <w:t>Agnello</w:t>
      </w:r>
      <w:proofErr w:type="spellEnd"/>
      <w:r w:rsidRPr="00EC7198">
        <w:rPr>
          <w:lang w:val="en-US"/>
        </w:rPr>
        <w:t xml:space="preserve"> P., Moretto P., </w:t>
      </w:r>
      <w:proofErr w:type="spellStart"/>
      <w:r w:rsidRPr="00EC7198">
        <w:rPr>
          <w:lang w:val="en-US"/>
        </w:rPr>
        <w:t>Patriarca</w:t>
      </w:r>
      <w:proofErr w:type="spellEnd"/>
      <w:r w:rsidRPr="00EC7198">
        <w:rPr>
          <w:lang w:val="en-US"/>
        </w:rPr>
        <w:t xml:space="preserve"> R., Paltrinieri N., 2023</w:t>
      </w:r>
      <w:r w:rsidR="007A737D">
        <w:rPr>
          <w:lang w:val="en-US"/>
        </w:rPr>
        <w:t>a</w:t>
      </w:r>
      <w:r w:rsidRPr="00EC7198">
        <w:rPr>
          <w:lang w:val="en-US"/>
        </w:rPr>
        <w:t xml:space="preserve">, Lessons Learned from HIAD 2.0: Inspection and Maintenance to Avoid Hydrogen-Induced Material Failures, </w:t>
      </w:r>
      <w:proofErr w:type="spellStart"/>
      <w:r w:rsidRPr="00EC7198">
        <w:rPr>
          <w:lang w:val="en-US"/>
        </w:rPr>
        <w:t>Comput</w:t>
      </w:r>
      <w:proofErr w:type="spellEnd"/>
      <w:r w:rsidRPr="00EC7198">
        <w:rPr>
          <w:lang w:val="en-US"/>
        </w:rPr>
        <w:t>. Chem. Eng., 173.</w:t>
      </w:r>
    </w:p>
    <w:p w14:paraId="7129CDFD" w14:textId="0AB595D8" w:rsidR="000E1B43" w:rsidRPr="007668C6" w:rsidRDefault="000E1B43" w:rsidP="00643ED5">
      <w:pPr>
        <w:pStyle w:val="CETReferencetext"/>
        <w:rPr>
          <w:lang w:val="en-US"/>
        </w:rPr>
      </w:pPr>
      <w:r w:rsidRPr="007668C6">
        <w:rPr>
          <w:lang w:val="en-US"/>
        </w:rPr>
        <w:t xml:space="preserve">Campari A., </w:t>
      </w:r>
      <w:proofErr w:type="spellStart"/>
      <w:r w:rsidRPr="007668C6">
        <w:rPr>
          <w:lang w:val="en-US"/>
        </w:rPr>
        <w:t>Ustolin</w:t>
      </w:r>
      <w:proofErr w:type="spellEnd"/>
      <w:r w:rsidRPr="007668C6">
        <w:rPr>
          <w:lang w:val="en-US"/>
        </w:rPr>
        <w:t xml:space="preserve"> F., Alvaro A., Paltrinieri N., 2023</w:t>
      </w:r>
      <w:r w:rsidR="007A737D">
        <w:rPr>
          <w:lang w:val="en-US"/>
        </w:rPr>
        <w:t>b</w:t>
      </w:r>
      <w:r w:rsidRPr="007668C6">
        <w:rPr>
          <w:lang w:val="en-US"/>
        </w:rPr>
        <w:t xml:space="preserve">, </w:t>
      </w:r>
      <w:r w:rsidR="007668C6" w:rsidRPr="007668C6">
        <w:rPr>
          <w:lang w:val="en-US"/>
        </w:rPr>
        <w:t>A Review on Hydrogen Embrittlement and Risk-based Inspection of Hydrogen Technologies</w:t>
      </w:r>
      <w:r w:rsidR="007668C6">
        <w:rPr>
          <w:lang w:val="en-US"/>
        </w:rPr>
        <w:t xml:space="preserve">, Int. J. </w:t>
      </w:r>
      <w:proofErr w:type="spellStart"/>
      <w:r w:rsidR="007668C6">
        <w:rPr>
          <w:lang w:val="en-US"/>
        </w:rPr>
        <w:t>Hydrog</w:t>
      </w:r>
      <w:proofErr w:type="spellEnd"/>
      <w:r w:rsidR="007668C6">
        <w:rPr>
          <w:lang w:val="en-US"/>
        </w:rPr>
        <w:t>. Energy.</w:t>
      </w:r>
    </w:p>
    <w:p w14:paraId="4E3E4753" w14:textId="34431FD4" w:rsidR="00C939E9" w:rsidRPr="00DA1D1D" w:rsidRDefault="00C939E9" w:rsidP="00643ED5">
      <w:pPr>
        <w:pStyle w:val="CETReferencetext"/>
        <w:rPr>
          <w:lang w:val="en-US"/>
        </w:rPr>
      </w:pPr>
      <w:r w:rsidRPr="00DA1D1D">
        <w:rPr>
          <w:lang w:val="en-US"/>
        </w:rPr>
        <w:t>EIGA, 20</w:t>
      </w:r>
      <w:r w:rsidR="00C433FF" w:rsidRPr="00DA1D1D">
        <w:rPr>
          <w:lang w:val="en-US"/>
        </w:rPr>
        <w:t>1</w:t>
      </w:r>
      <w:r w:rsidRPr="00DA1D1D">
        <w:rPr>
          <w:lang w:val="en-US"/>
        </w:rPr>
        <w:t>4, Hydrogen Pipeline</w:t>
      </w:r>
      <w:r w:rsidR="00E9263C" w:rsidRPr="00DA1D1D">
        <w:rPr>
          <w:lang w:val="en-US"/>
        </w:rPr>
        <w:t xml:space="preserve"> Systems</w:t>
      </w:r>
      <w:r w:rsidR="00C433FF" w:rsidRPr="00DA1D1D">
        <w:rPr>
          <w:lang w:val="en-US"/>
        </w:rPr>
        <w:t xml:space="preserve">, </w:t>
      </w:r>
      <w:proofErr w:type="spellStart"/>
      <w:r w:rsidR="00C433FF" w:rsidRPr="00DA1D1D">
        <w:rPr>
          <w:lang w:val="en-US"/>
        </w:rPr>
        <w:t>Bruxelles</w:t>
      </w:r>
      <w:proofErr w:type="spellEnd"/>
      <w:r w:rsidR="00C433FF" w:rsidRPr="00DA1D1D">
        <w:rPr>
          <w:lang w:val="en-US"/>
        </w:rPr>
        <w:t>, Belgium.</w:t>
      </w:r>
    </w:p>
    <w:p w14:paraId="35DBF8B8" w14:textId="026823AA" w:rsidR="001A4700" w:rsidRDefault="001A4700" w:rsidP="00FD39F3">
      <w:pPr>
        <w:pStyle w:val="CETReferencetext"/>
      </w:pPr>
      <w:r>
        <w:t>IEA</w:t>
      </w:r>
      <w:r w:rsidRPr="001A4700">
        <w:t>,</w:t>
      </w:r>
      <w:r>
        <w:t xml:space="preserve"> 2019, </w:t>
      </w:r>
      <w:r w:rsidRPr="001A4700">
        <w:t>The Future of Hydrogen - Seizing today’s opportunities</w:t>
      </w:r>
      <w:r>
        <w:t>.</w:t>
      </w:r>
    </w:p>
    <w:p w14:paraId="702CE342" w14:textId="54DFB234" w:rsidR="00A77111" w:rsidRDefault="00A77111" w:rsidP="00FD39F3">
      <w:pPr>
        <w:pStyle w:val="CETReferencetext"/>
      </w:pPr>
      <w:r w:rsidRPr="00A77111">
        <w:t>NASA, 2016, NASA/TM-2016–218602 – Hydrogen Embrittlement, Huntsville, USA.</w:t>
      </w:r>
    </w:p>
    <w:p w14:paraId="6E3E619F" w14:textId="5416E1A2" w:rsidR="00FD39F3" w:rsidRDefault="00FD39F3" w:rsidP="00FD39F3">
      <w:pPr>
        <w:pStyle w:val="CETReferencetext"/>
      </w:pPr>
      <w:proofErr w:type="spellStart"/>
      <w:r w:rsidRPr="00065635">
        <w:t>Pluvinage</w:t>
      </w:r>
      <w:proofErr w:type="spellEnd"/>
      <w:r w:rsidRPr="00065635">
        <w:t xml:space="preserve"> G.</w:t>
      </w:r>
      <w:r w:rsidR="00065635">
        <w:t>,</w:t>
      </w:r>
      <w:r w:rsidRPr="00065635">
        <w:t xml:space="preserve"> 2021</w:t>
      </w:r>
      <w:r w:rsidR="00065635">
        <w:t>,</w:t>
      </w:r>
      <w:r w:rsidRPr="00065635">
        <w:t xml:space="preserve"> Mechanical properties of a wide range of pipe steels under influence of pure hydrogen or hydrogen blended with natural gas</w:t>
      </w:r>
      <w:r w:rsidR="00065635">
        <w:t xml:space="preserve">, </w:t>
      </w:r>
      <w:r w:rsidR="009C1B24" w:rsidRPr="009C1B24">
        <w:t>Int. J. Press. Vessels Pip.</w:t>
      </w:r>
      <w:r w:rsidRPr="00065635">
        <w:t>, 190</w:t>
      </w:r>
      <w:r w:rsidR="00065635">
        <w:t>.</w:t>
      </w:r>
    </w:p>
    <w:p w14:paraId="0CDAED21" w14:textId="57F99CBB" w:rsidR="00166C93" w:rsidRDefault="00166C93" w:rsidP="00FD39F3">
      <w:pPr>
        <w:pStyle w:val="CETReferencetext"/>
      </w:pPr>
      <w:proofErr w:type="spellStart"/>
      <w:r w:rsidRPr="00166C93">
        <w:t>Praveena</w:t>
      </w:r>
      <w:proofErr w:type="spellEnd"/>
      <w:r w:rsidRPr="00166C93">
        <w:t xml:space="preserve"> M.</w:t>
      </w:r>
      <w:r>
        <w:t xml:space="preserve">, </w:t>
      </w:r>
      <w:r w:rsidRPr="00166C93">
        <w:t>2017</w:t>
      </w:r>
      <w:r>
        <w:t>,</w:t>
      </w:r>
      <w:r w:rsidRPr="00166C93">
        <w:t xml:space="preserve"> A Literature Review on Supervised Machine Learning Algorithms and Boosting Process</w:t>
      </w:r>
      <w:r>
        <w:t xml:space="preserve">, </w:t>
      </w:r>
      <w:r w:rsidR="00694963" w:rsidRPr="00694963">
        <w:t xml:space="preserve">Int. J. </w:t>
      </w:r>
      <w:proofErr w:type="spellStart"/>
      <w:r w:rsidR="00694963" w:rsidRPr="00694963">
        <w:t>Comput</w:t>
      </w:r>
      <w:proofErr w:type="spellEnd"/>
      <w:r w:rsidR="00694963" w:rsidRPr="00694963">
        <w:t>. Appl.</w:t>
      </w:r>
      <w:r>
        <w:t xml:space="preserve">, </w:t>
      </w:r>
      <w:r w:rsidRPr="00166C93">
        <w:t>169</w:t>
      </w:r>
      <w:r w:rsidR="007A1A98">
        <w:t>, 32-35</w:t>
      </w:r>
      <w:r w:rsidRPr="00166C93">
        <w:t>.</w:t>
      </w:r>
    </w:p>
    <w:p w14:paraId="1F1AFD31" w14:textId="1DD59936" w:rsidR="00641762" w:rsidRDefault="00641762" w:rsidP="00FD39F3">
      <w:pPr>
        <w:pStyle w:val="CETReferencetext"/>
      </w:pPr>
      <w:r w:rsidRPr="00641762">
        <w:t xml:space="preserve">San </w:t>
      </w:r>
      <w:proofErr w:type="spellStart"/>
      <w:r w:rsidRPr="00641762">
        <w:t>Marchi</w:t>
      </w:r>
      <w:proofErr w:type="spellEnd"/>
      <w:r w:rsidRPr="00641762">
        <w:t xml:space="preserve"> C., </w:t>
      </w:r>
      <w:proofErr w:type="spellStart"/>
      <w:r w:rsidRPr="00641762">
        <w:t>Somerday</w:t>
      </w:r>
      <w:proofErr w:type="spellEnd"/>
      <w:r w:rsidRPr="00641762">
        <w:t xml:space="preserve"> B.P., 2012, Technical Reference for Hydrogen Compatibility of Materials, USA.</w:t>
      </w:r>
    </w:p>
    <w:p w14:paraId="6A422600" w14:textId="35646AD7" w:rsidR="00922C9B" w:rsidRDefault="00922C9B" w:rsidP="00FD39F3">
      <w:pPr>
        <w:pStyle w:val="CETReferencetext"/>
      </w:pPr>
      <w:proofErr w:type="spellStart"/>
      <w:r w:rsidRPr="00922C9B">
        <w:t>Shanmugasundar</w:t>
      </w:r>
      <w:proofErr w:type="spellEnd"/>
      <w:r>
        <w:t xml:space="preserve"> </w:t>
      </w:r>
      <w:r w:rsidRPr="00922C9B">
        <w:t xml:space="preserve">G., Vanitha M., </w:t>
      </w:r>
      <w:proofErr w:type="spellStart"/>
      <w:r w:rsidRPr="00922C9B">
        <w:t>Čep</w:t>
      </w:r>
      <w:proofErr w:type="spellEnd"/>
      <w:r>
        <w:t xml:space="preserve"> </w:t>
      </w:r>
      <w:r w:rsidRPr="00922C9B">
        <w:t>R., Kumar V., Kalita K.,</w:t>
      </w:r>
      <w:r>
        <w:t xml:space="preserve"> </w:t>
      </w:r>
      <w:r w:rsidRPr="00922C9B">
        <w:t>Ramachandran M.</w:t>
      </w:r>
      <w:r>
        <w:t xml:space="preserve">, </w:t>
      </w:r>
      <w:r w:rsidRPr="00922C9B">
        <w:t>2021</w:t>
      </w:r>
      <w:r>
        <w:t>,</w:t>
      </w:r>
      <w:r w:rsidRPr="00922C9B">
        <w:t xml:space="preserve"> </w:t>
      </w:r>
      <w:r w:rsidR="00D16FAE" w:rsidRPr="00D16FAE">
        <w:t xml:space="preserve">A Comparative Study of Linear, Random Forest and AdaBoost Regressions for </w:t>
      </w:r>
      <w:proofErr w:type="spellStart"/>
      <w:r w:rsidR="00D16FAE" w:rsidRPr="00D16FAE">
        <w:t>Modeling</w:t>
      </w:r>
      <w:proofErr w:type="spellEnd"/>
      <w:r w:rsidR="00D16FAE" w:rsidRPr="00D16FAE">
        <w:t xml:space="preserve"> Non-Traditional Machining</w:t>
      </w:r>
      <w:r w:rsidR="00D16FAE">
        <w:t>,</w:t>
      </w:r>
      <w:r w:rsidRPr="00922C9B">
        <w:t xml:space="preserve"> Proc</w:t>
      </w:r>
      <w:r w:rsidR="00BD5AF1">
        <w:t>ess</w:t>
      </w:r>
      <w:r w:rsidRPr="00922C9B">
        <w:t>, 9.</w:t>
      </w:r>
    </w:p>
    <w:p w14:paraId="0BDF232D" w14:textId="77777777" w:rsidR="00DC43FF" w:rsidRDefault="006D0FB0" w:rsidP="00DC43FF">
      <w:pPr>
        <w:pStyle w:val="CETReferencetext"/>
      </w:pPr>
      <w:proofErr w:type="spellStart"/>
      <w:r w:rsidRPr="006D0FB0">
        <w:t>Somerday</w:t>
      </w:r>
      <w:proofErr w:type="spellEnd"/>
      <w:r w:rsidRPr="006D0FB0">
        <w:t xml:space="preserve"> B.P., </w:t>
      </w:r>
      <w:r>
        <w:t xml:space="preserve">San </w:t>
      </w:r>
      <w:proofErr w:type="spellStart"/>
      <w:r w:rsidRPr="006D0FB0">
        <w:t>Marchi</w:t>
      </w:r>
      <w:proofErr w:type="spellEnd"/>
      <w:r w:rsidRPr="006D0FB0">
        <w:t xml:space="preserve"> C.</w:t>
      </w:r>
      <w:r>
        <w:t xml:space="preserve">, </w:t>
      </w:r>
      <w:r w:rsidRPr="006D0FB0">
        <w:t>2007</w:t>
      </w:r>
      <w:r>
        <w:t>,</w:t>
      </w:r>
      <w:r w:rsidRPr="006D0FB0">
        <w:t xml:space="preserve"> E</w:t>
      </w:r>
      <w:r>
        <w:t>ffects of Hydrogen Gas on Steel Vessels and Pipelines</w:t>
      </w:r>
      <w:r w:rsidR="00F90708">
        <w:t>, USA.</w:t>
      </w:r>
    </w:p>
    <w:p w14:paraId="3FABCDCB" w14:textId="7C76B2C2" w:rsidR="0080033D" w:rsidRPr="00DC43FF" w:rsidRDefault="00DC43FF" w:rsidP="00DC43FF">
      <w:pPr>
        <w:pStyle w:val="CETReferencetext"/>
      </w:pPr>
      <w:r w:rsidRPr="00DC43FF">
        <w:t>T</w:t>
      </w:r>
      <w:proofErr w:type="spellStart"/>
      <w:r w:rsidR="0080033D" w:rsidRPr="00DC43FF">
        <w:rPr>
          <w:lang w:val="en-US"/>
        </w:rPr>
        <w:t>amascelli</w:t>
      </w:r>
      <w:proofErr w:type="spellEnd"/>
      <w:r w:rsidR="0080033D" w:rsidRPr="00DC43FF">
        <w:rPr>
          <w:lang w:val="en-US"/>
        </w:rPr>
        <w:t xml:space="preserve"> N.,</w:t>
      </w:r>
      <w:r w:rsidRPr="00DC43FF">
        <w:rPr>
          <w:lang w:val="en-US"/>
        </w:rPr>
        <w:t xml:space="preserve"> Arslan T., </w:t>
      </w:r>
      <w:proofErr w:type="spellStart"/>
      <w:r w:rsidRPr="00DC43FF">
        <w:rPr>
          <w:lang w:val="en-US"/>
        </w:rPr>
        <w:t>Shahd</w:t>
      </w:r>
      <w:proofErr w:type="spellEnd"/>
      <w:r w:rsidRPr="00DC43FF">
        <w:rPr>
          <w:lang w:val="en-US"/>
        </w:rPr>
        <w:t xml:space="preserve"> S.L.,</w:t>
      </w:r>
      <w:r w:rsidR="0080033D" w:rsidRPr="00DC43FF">
        <w:rPr>
          <w:lang w:val="en-US"/>
        </w:rPr>
        <w:t xml:space="preserve"> Paltrinieri N., </w:t>
      </w:r>
      <w:proofErr w:type="spellStart"/>
      <w:r w:rsidR="0080033D" w:rsidRPr="00DC43FF">
        <w:rPr>
          <w:lang w:val="en-US"/>
        </w:rPr>
        <w:t>Cozzani</w:t>
      </w:r>
      <w:proofErr w:type="spellEnd"/>
      <w:r w:rsidR="0080033D" w:rsidRPr="00DC43FF">
        <w:rPr>
          <w:lang w:val="en-US"/>
        </w:rPr>
        <w:t xml:space="preserve"> V., 20</w:t>
      </w:r>
      <w:r w:rsidRPr="00DC43FF">
        <w:rPr>
          <w:lang w:val="en-US"/>
        </w:rPr>
        <w:t>20</w:t>
      </w:r>
      <w:r w:rsidR="0080033D" w:rsidRPr="00DC43FF">
        <w:rPr>
          <w:lang w:val="en-US"/>
        </w:rPr>
        <w:t xml:space="preserve">, </w:t>
      </w:r>
      <w:r w:rsidRPr="00DC43FF">
        <w:rPr>
          <w:lang w:val="en-US"/>
        </w:rPr>
        <w:t>A Machine Learning Approach to Predict</w:t>
      </w:r>
      <w:r w:rsidRPr="00DC43FF">
        <w:t xml:space="preserve"> </w:t>
      </w:r>
      <w:r w:rsidRPr="00DC43FF">
        <w:rPr>
          <w:lang w:val="en-US"/>
        </w:rPr>
        <w:t>Chattering Alarms</w:t>
      </w:r>
      <w:r w:rsidR="0080033D" w:rsidRPr="00DC43FF">
        <w:rPr>
          <w:lang w:val="en-US"/>
        </w:rPr>
        <w:t xml:space="preserve">, </w:t>
      </w:r>
      <w:r w:rsidRPr="00DC43FF">
        <w:rPr>
          <w:lang w:val="en-US"/>
        </w:rPr>
        <w:t>Chem</w:t>
      </w:r>
      <w:r w:rsidR="0080033D" w:rsidRPr="00DC43FF">
        <w:rPr>
          <w:lang w:val="en-US"/>
        </w:rPr>
        <w:t xml:space="preserve">. </w:t>
      </w:r>
      <w:r w:rsidR="0080033D" w:rsidRPr="00DC43FF">
        <w:t>Eng.</w:t>
      </w:r>
      <w:r w:rsidRPr="00DC43FF">
        <w:t xml:space="preserve"> Trans.</w:t>
      </w:r>
      <w:r w:rsidR="0080033D" w:rsidRPr="00DC43FF">
        <w:t xml:space="preserve">, </w:t>
      </w:r>
      <w:r w:rsidRPr="00DC43FF">
        <w:t>82, 187-192</w:t>
      </w:r>
      <w:r w:rsidR="0080033D" w:rsidRPr="00DC43FF">
        <w:t>.</w:t>
      </w:r>
    </w:p>
    <w:p w14:paraId="7E8FBC1D" w14:textId="470CD010" w:rsidR="00CE17A7" w:rsidRPr="00065635" w:rsidRDefault="00CE17A7" w:rsidP="00FD39F3">
      <w:pPr>
        <w:pStyle w:val="CETReferencetext"/>
      </w:pPr>
      <w:r w:rsidRPr="00CE17A7">
        <w:t>Tang</w:t>
      </w:r>
      <w:r>
        <w:t xml:space="preserve"> </w:t>
      </w:r>
      <w:r w:rsidRPr="00CE17A7">
        <w:t>Z.</w:t>
      </w:r>
      <w:r>
        <w:t>,</w:t>
      </w:r>
      <w:r w:rsidRPr="00CE17A7">
        <w:t xml:space="preserve"> Stumpf W.</w:t>
      </w:r>
      <w:r>
        <w:t xml:space="preserve">, </w:t>
      </w:r>
      <w:r w:rsidRPr="00CE17A7">
        <w:t>2008</w:t>
      </w:r>
      <w:r>
        <w:t>,</w:t>
      </w:r>
      <w:r w:rsidRPr="00CE17A7">
        <w:t xml:space="preserve"> The effect of microstructure and processing variables on the yield to ultimate tensile strength ratio in a Nb-</w:t>
      </w:r>
      <w:proofErr w:type="spellStart"/>
      <w:r w:rsidRPr="00CE17A7">
        <w:t>Ti</w:t>
      </w:r>
      <w:proofErr w:type="spellEnd"/>
      <w:r w:rsidRPr="00CE17A7">
        <w:t xml:space="preserve"> and a Nb-</w:t>
      </w:r>
      <w:proofErr w:type="spellStart"/>
      <w:r w:rsidRPr="00CE17A7">
        <w:t>Ti</w:t>
      </w:r>
      <w:proofErr w:type="spellEnd"/>
      <w:r w:rsidRPr="00CE17A7">
        <w:t>-Mo line pipe steel</w:t>
      </w:r>
      <w:r>
        <w:t>,</w:t>
      </w:r>
      <w:r w:rsidRPr="00CE17A7">
        <w:t xml:space="preserve"> </w:t>
      </w:r>
      <w:r w:rsidR="005B4B65" w:rsidRPr="005B4B65">
        <w:t>Mater. Sci. Eng.</w:t>
      </w:r>
      <w:r w:rsidR="005B4B65">
        <w:t xml:space="preserve"> A</w:t>
      </w:r>
      <w:r w:rsidRPr="00CE17A7">
        <w:t>, 490, 391–402.</w:t>
      </w:r>
    </w:p>
    <w:p w14:paraId="19C4FC68" w14:textId="5333FA29" w:rsidR="004628D2" w:rsidRDefault="00FD39F3" w:rsidP="005B3881">
      <w:pPr>
        <w:pStyle w:val="CETReferencetext"/>
      </w:pPr>
      <w:proofErr w:type="spellStart"/>
      <w:r w:rsidRPr="009C1B24">
        <w:t>Topolski</w:t>
      </w:r>
      <w:proofErr w:type="spellEnd"/>
      <w:r w:rsidR="009C1B24">
        <w:t xml:space="preserve"> </w:t>
      </w:r>
      <w:r w:rsidRPr="009C1B24">
        <w:t xml:space="preserve">K., </w:t>
      </w:r>
      <w:proofErr w:type="spellStart"/>
      <w:r w:rsidRPr="009C1B24">
        <w:t>Reznicek</w:t>
      </w:r>
      <w:proofErr w:type="spellEnd"/>
      <w:r w:rsidRPr="009C1B24">
        <w:t xml:space="preserve"> E.P., </w:t>
      </w:r>
      <w:proofErr w:type="spellStart"/>
      <w:r w:rsidRPr="009C1B24">
        <w:t>Erdener</w:t>
      </w:r>
      <w:proofErr w:type="spellEnd"/>
      <w:r w:rsidRPr="009C1B24">
        <w:t xml:space="preserve"> B.C., San </w:t>
      </w:r>
      <w:proofErr w:type="spellStart"/>
      <w:r w:rsidRPr="009C1B24">
        <w:t>Marchi</w:t>
      </w:r>
      <w:proofErr w:type="spellEnd"/>
      <w:r w:rsidRPr="009C1B24">
        <w:t xml:space="preserve"> C</w:t>
      </w:r>
      <w:r w:rsidR="009C1B24">
        <w:t>.</w:t>
      </w:r>
      <w:r w:rsidRPr="009C1B24">
        <w:t xml:space="preserve">, </w:t>
      </w:r>
      <w:proofErr w:type="spellStart"/>
      <w:r w:rsidRPr="009C1B24">
        <w:t>Ronevich</w:t>
      </w:r>
      <w:proofErr w:type="spellEnd"/>
      <w:r w:rsidRPr="009C1B24">
        <w:t xml:space="preserve"> J.A., </w:t>
      </w:r>
      <w:proofErr w:type="spellStart"/>
      <w:r w:rsidRPr="009C1B24">
        <w:t>Fring</w:t>
      </w:r>
      <w:proofErr w:type="spellEnd"/>
      <w:r w:rsidRPr="009C1B24">
        <w:t xml:space="preserve"> L., Simmons K., Guerra Fernandez O.J., Hodge B.M., Chung M.</w:t>
      </w:r>
      <w:r w:rsidR="0064692E">
        <w:t>,</w:t>
      </w:r>
      <w:r w:rsidRPr="009C1B24">
        <w:t xml:space="preserve"> 2022</w:t>
      </w:r>
      <w:r w:rsidR="0064692E">
        <w:t>,</w:t>
      </w:r>
      <w:r w:rsidRPr="009C1B24">
        <w:t xml:space="preserve"> Hydrogen Blending into Natural Gas Pipeline Infrastructure: Review of the State of Technology</w:t>
      </w:r>
      <w:r w:rsidR="00D33482">
        <w:t>,</w:t>
      </w:r>
      <w:r w:rsidR="00D33482" w:rsidRPr="00D33482">
        <w:t xml:space="preserve"> </w:t>
      </w:r>
      <w:r w:rsidR="008867A1">
        <w:t>Denver</w:t>
      </w:r>
      <w:r w:rsidR="00D33482">
        <w:t>, USA</w:t>
      </w:r>
      <w:r w:rsidRPr="009C1B24">
        <w:t>.</w:t>
      </w:r>
    </w:p>
    <w:sectPr w:rsidR="004628D2" w:rsidSect="00EF06D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E9DB" w14:textId="77777777" w:rsidR="007E3503" w:rsidRDefault="007E3503" w:rsidP="004F5E36">
      <w:r>
        <w:separator/>
      </w:r>
    </w:p>
  </w:endnote>
  <w:endnote w:type="continuationSeparator" w:id="0">
    <w:p w14:paraId="5E3D6F1F" w14:textId="77777777" w:rsidR="007E3503" w:rsidRDefault="007E350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6BC0" w14:textId="77777777" w:rsidR="0095653D" w:rsidRDefault="00956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79A7" w14:textId="77777777" w:rsidR="0095653D" w:rsidRDefault="00956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C40F" w14:textId="77777777" w:rsidR="0095653D" w:rsidRDefault="0095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6281" w14:textId="77777777" w:rsidR="007E3503" w:rsidRDefault="007E3503" w:rsidP="004F5E36">
      <w:r>
        <w:separator/>
      </w:r>
    </w:p>
  </w:footnote>
  <w:footnote w:type="continuationSeparator" w:id="0">
    <w:p w14:paraId="3F45A60F" w14:textId="77777777" w:rsidR="007E3503" w:rsidRDefault="007E350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E0D9" w14:textId="77777777" w:rsidR="0095653D" w:rsidRDefault="00956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8FAB" w14:textId="77777777" w:rsidR="0095653D" w:rsidRDefault="00956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6446" w14:textId="77777777" w:rsidR="0095653D" w:rsidRDefault="00956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B0827"/>
    <w:multiLevelType w:val="hybridMultilevel"/>
    <w:tmpl w:val="CF7450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7363EC"/>
    <w:multiLevelType w:val="hybridMultilevel"/>
    <w:tmpl w:val="2B1C22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65320E9"/>
    <w:multiLevelType w:val="hybridMultilevel"/>
    <w:tmpl w:val="4F30672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9EA677A"/>
    <w:multiLevelType w:val="hybridMultilevel"/>
    <w:tmpl w:val="14041A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86171C"/>
    <w:multiLevelType w:val="hybridMultilevel"/>
    <w:tmpl w:val="9084AA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528180F"/>
    <w:multiLevelType w:val="hybridMultilevel"/>
    <w:tmpl w:val="3DE875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5AB58BC"/>
    <w:multiLevelType w:val="hybridMultilevel"/>
    <w:tmpl w:val="F6ACAD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4"/>
  </w:num>
  <w:num w:numId="13" w16cid:durableId="695733619">
    <w:abstractNumId w:val="13"/>
  </w:num>
  <w:num w:numId="14" w16cid:durableId="145903400">
    <w:abstractNumId w:val="25"/>
  </w:num>
  <w:num w:numId="15" w16cid:durableId="19162326">
    <w:abstractNumId w:val="27"/>
  </w:num>
  <w:num w:numId="16" w16cid:durableId="1977102699">
    <w:abstractNumId w:val="26"/>
  </w:num>
  <w:num w:numId="17" w16cid:durableId="860774865">
    <w:abstractNumId w:val="12"/>
  </w:num>
  <w:num w:numId="18" w16cid:durableId="313221457">
    <w:abstractNumId w:val="13"/>
    <w:lvlOverride w:ilvl="0">
      <w:startOverride w:val="1"/>
    </w:lvlOverride>
  </w:num>
  <w:num w:numId="19" w16cid:durableId="534971577">
    <w:abstractNumId w:val="20"/>
  </w:num>
  <w:num w:numId="20" w16cid:durableId="1150947773">
    <w:abstractNumId w:val="19"/>
  </w:num>
  <w:num w:numId="21" w16cid:durableId="124660497">
    <w:abstractNumId w:val="16"/>
  </w:num>
  <w:num w:numId="22" w16cid:durableId="2099861471">
    <w:abstractNumId w:val="15"/>
  </w:num>
  <w:num w:numId="23" w16cid:durableId="1890918355">
    <w:abstractNumId w:val="17"/>
  </w:num>
  <w:num w:numId="24" w16cid:durableId="268658566">
    <w:abstractNumId w:val="22"/>
  </w:num>
  <w:num w:numId="25" w16cid:durableId="1066875185">
    <w:abstractNumId w:val="23"/>
  </w:num>
  <w:num w:numId="26" w16cid:durableId="487479223">
    <w:abstractNumId w:val="18"/>
  </w:num>
  <w:num w:numId="27" w16cid:durableId="1245191067">
    <w:abstractNumId w:val="14"/>
  </w:num>
  <w:num w:numId="28" w16cid:durableId="426729261">
    <w:abstractNumId w:val="10"/>
  </w:num>
  <w:num w:numId="29" w16cid:durableId="9342872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4D8B"/>
    <w:rsid w:val="00017608"/>
    <w:rsid w:val="00020016"/>
    <w:rsid w:val="0003148D"/>
    <w:rsid w:val="00031EEC"/>
    <w:rsid w:val="00036F2E"/>
    <w:rsid w:val="00040EBA"/>
    <w:rsid w:val="00051566"/>
    <w:rsid w:val="000562A9"/>
    <w:rsid w:val="00057261"/>
    <w:rsid w:val="00060AE0"/>
    <w:rsid w:val="00061228"/>
    <w:rsid w:val="00062A9A"/>
    <w:rsid w:val="00065058"/>
    <w:rsid w:val="00065635"/>
    <w:rsid w:val="00070947"/>
    <w:rsid w:val="00086C39"/>
    <w:rsid w:val="000874AB"/>
    <w:rsid w:val="00090295"/>
    <w:rsid w:val="000936A6"/>
    <w:rsid w:val="000A03B2"/>
    <w:rsid w:val="000A1062"/>
    <w:rsid w:val="000A422F"/>
    <w:rsid w:val="000A6929"/>
    <w:rsid w:val="000C1FDE"/>
    <w:rsid w:val="000C4785"/>
    <w:rsid w:val="000D0268"/>
    <w:rsid w:val="000D34BE"/>
    <w:rsid w:val="000D7A86"/>
    <w:rsid w:val="000E102F"/>
    <w:rsid w:val="000E1521"/>
    <w:rsid w:val="000E1B43"/>
    <w:rsid w:val="000E36F1"/>
    <w:rsid w:val="000E3A73"/>
    <w:rsid w:val="000E414A"/>
    <w:rsid w:val="000F025A"/>
    <w:rsid w:val="000F093C"/>
    <w:rsid w:val="000F787B"/>
    <w:rsid w:val="00100551"/>
    <w:rsid w:val="0012091F"/>
    <w:rsid w:val="00120A75"/>
    <w:rsid w:val="00124487"/>
    <w:rsid w:val="001264E6"/>
    <w:rsid w:val="0012663B"/>
    <w:rsid w:val="00126A6A"/>
    <w:rsid w:val="00126BC2"/>
    <w:rsid w:val="00127219"/>
    <w:rsid w:val="0013088D"/>
    <w:rsid w:val="001308B6"/>
    <w:rsid w:val="0013121F"/>
    <w:rsid w:val="00131FE6"/>
    <w:rsid w:val="0013263F"/>
    <w:rsid w:val="001331DF"/>
    <w:rsid w:val="001349F8"/>
    <w:rsid w:val="00134DE4"/>
    <w:rsid w:val="00134FAB"/>
    <w:rsid w:val="001359A3"/>
    <w:rsid w:val="00136AA0"/>
    <w:rsid w:val="0014034D"/>
    <w:rsid w:val="00144D16"/>
    <w:rsid w:val="00146308"/>
    <w:rsid w:val="001475A1"/>
    <w:rsid w:val="00150E59"/>
    <w:rsid w:val="00152DE3"/>
    <w:rsid w:val="00164CF9"/>
    <w:rsid w:val="001667A6"/>
    <w:rsid w:val="00166C93"/>
    <w:rsid w:val="001701F8"/>
    <w:rsid w:val="00173610"/>
    <w:rsid w:val="00174074"/>
    <w:rsid w:val="00174602"/>
    <w:rsid w:val="001767A4"/>
    <w:rsid w:val="00184AD6"/>
    <w:rsid w:val="00190E63"/>
    <w:rsid w:val="001952F8"/>
    <w:rsid w:val="001968F3"/>
    <w:rsid w:val="00197E5E"/>
    <w:rsid w:val="001A0384"/>
    <w:rsid w:val="001A4700"/>
    <w:rsid w:val="001A4AF7"/>
    <w:rsid w:val="001A4B36"/>
    <w:rsid w:val="001A62E6"/>
    <w:rsid w:val="001B0349"/>
    <w:rsid w:val="001B1E93"/>
    <w:rsid w:val="001B2ADF"/>
    <w:rsid w:val="001B65C1"/>
    <w:rsid w:val="001B74EA"/>
    <w:rsid w:val="001B75EE"/>
    <w:rsid w:val="001B7907"/>
    <w:rsid w:val="001C44BE"/>
    <w:rsid w:val="001C5AEA"/>
    <w:rsid w:val="001C6143"/>
    <w:rsid w:val="001C684B"/>
    <w:rsid w:val="001C6FCB"/>
    <w:rsid w:val="001D0CFB"/>
    <w:rsid w:val="001D21AF"/>
    <w:rsid w:val="001D2EF7"/>
    <w:rsid w:val="001D53FC"/>
    <w:rsid w:val="001E09B2"/>
    <w:rsid w:val="001E21DC"/>
    <w:rsid w:val="001E6E1D"/>
    <w:rsid w:val="001F1B75"/>
    <w:rsid w:val="001F42A5"/>
    <w:rsid w:val="001F7B9D"/>
    <w:rsid w:val="00201C93"/>
    <w:rsid w:val="0020746C"/>
    <w:rsid w:val="00207F02"/>
    <w:rsid w:val="0021430E"/>
    <w:rsid w:val="002144DE"/>
    <w:rsid w:val="002224B4"/>
    <w:rsid w:val="002250CA"/>
    <w:rsid w:val="002277E4"/>
    <w:rsid w:val="0023035B"/>
    <w:rsid w:val="00243958"/>
    <w:rsid w:val="002447EF"/>
    <w:rsid w:val="00244D54"/>
    <w:rsid w:val="00245ECF"/>
    <w:rsid w:val="00250779"/>
    <w:rsid w:val="002512B5"/>
    <w:rsid w:val="00251550"/>
    <w:rsid w:val="00254882"/>
    <w:rsid w:val="0026229D"/>
    <w:rsid w:val="00263B05"/>
    <w:rsid w:val="00263FED"/>
    <w:rsid w:val="00271E6E"/>
    <w:rsid w:val="0027221A"/>
    <w:rsid w:val="00275B61"/>
    <w:rsid w:val="00280FAF"/>
    <w:rsid w:val="00282656"/>
    <w:rsid w:val="00283381"/>
    <w:rsid w:val="002955AF"/>
    <w:rsid w:val="00296B83"/>
    <w:rsid w:val="002A7986"/>
    <w:rsid w:val="002B08DD"/>
    <w:rsid w:val="002B4015"/>
    <w:rsid w:val="002B4C3F"/>
    <w:rsid w:val="002B78CE"/>
    <w:rsid w:val="002C2FB6"/>
    <w:rsid w:val="002C3CC8"/>
    <w:rsid w:val="002D1C75"/>
    <w:rsid w:val="002E094E"/>
    <w:rsid w:val="002E5FA7"/>
    <w:rsid w:val="002F0C49"/>
    <w:rsid w:val="002F3309"/>
    <w:rsid w:val="003008CE"/>
    <w:rsid w:val="003009B7"/>
    <w:rsid w:val="00300E56"/>
    <w:rsid w:val="0030152C"/>
    <w:rsid w:val="003042B5"/>
    <w:rsid w:val="0030469C"/>
    <w:rsid w:val="00306DD0"/>
    <w:rsid w:val="0031547C"/>
    <w:rsid w:val="00315E27"/>
    <w:rsid w:val="003218A6"/>
    <w:rsid w:val="00321CA6"/>
    <w:rsid w:val="00323763"/>
    <w:rsid w:val="00323C5F"/>
    <w:rsid w:val="003240A8"/>
    <w:rsid w:val="00324FF0"/>
    <w:rsid w:val="00332FA0"/>
    <w:rsid w:val="00333C64"/>
    <w:rsid w:val="00334C09"/>
    <w:rsid w:val="00344E4E"/>
    <w:rsid w:val="00350DFD"/>
    <w:rsid w:val="0035675B"/>
    <w:rsid w:val="003575D5"/>
    <w:rsid w:val="00357CDA"/>
    <w:rsid w:val="00370504"/>
    <w:rsid w:val="003723D4"/>
    <w:rsid w:val="00380609"/>
    <w:rsid w:val="00381905"/>
    <w:rsid w:val="00381DA4"/>
    <w:rsid w:val="00384CC8"/>
    <w:rsid w:val="003858EE"/>
    <w:rsid w:val="003871FD"/>
    <w:rsid w:val="00390350"/>
    <w:rsid w:val="00394E64"/>
    <w:rsid w:val="003A1E30"/>
    <w:rsid w:val="003A1F9B"/>
    <w:rsid w:val="003A2829"/>
    <w:rsid w:val="003A2A9D"/>
    <w:rsid w:val="003A4624"/>
    <w:rsid w:val="003A4FAA"/>
    <w:rsid w:val="003A6FC6"/>
    <w:rsid w:val="003A7D1C"/>
    <w:rsid w:val="003B304B"/>
    <w:rsid w:val="003B3146"/>
    <w:rsid w:val="003B7532"/>
    <w:rsid w:val="003D1272"/>
    <w:rsid w:val="003D2DFA"/>
    <w:rsid w:val="003F015E"/>
    <w:rsid w:val="003F67D7"/>
    <w:rsid w:val="00400414"/>
    <w:rsid w:val="00401374"/>
    <w:rsid w:val="00401BE6"/>
    <w:rsid w:val="004046FB"/>
    <w:rsid w:val="00406952"/>
    <w:rsid w:val="0041446B"/>
    <w:rsid w:val="00423BAC"/>
    <w:rsid w:val="00424B11"/>
    <w:rsid w:val="0044071E"/>
    <w:rsid w:val="0044130F"/>
    <w:rsid w:val="00441708"/>
    <w:rsid w:val="004429BB"/>
    <w:rsid w:val="0044329C"/>
    <w:rsid w:val="00453E24"/>
    <w:rsid w:val="00457456"/>
    <w:rsid w:val="004577FE"/>
    <w:rsid w:val="00457B9C"/>
    <w:rsid w:val="0046164A"/>
    <w:rsid w:val="004628D2"/>
    <w:rsid w:val="00462BD6"/>
    <w:rsid w:val="00462DCD"/>
    <w:rsid w:val="004648AD"/>
    <w:rsid w:val="004703A9"/>
    <w:rsid w:val="00475C39"/>
    <w:rsid w:val="004760DE"/>
    <w:rsid w:val="004763D7"/>
    <w:rsid w:val="004857B0"/>
    <w:rsid w:val="004940F5"/>
    <w:rsid w:val="004A004E"/>
    <w:rsid w:val="004A24CF"/>
    <w:rsid w:val="004A5452"/>
    <w:rsid w:val="004A565F"/>
    <w:rsid w:val="004B1001"/>
    <w:rsid w:val="004B1DF5"/>
    <w:rsid w:val="004B4F22"/>
    <w:rsid w:val="004C0192"/>
    <w:rsid w:val="004C3D1D"/>
    <w:rsid w:val="004C3D84"/>
    <w:rsid w:val="004C7913"/>
    <w:rsid w:val="004E4DD6"/>
    <w:rsid w:val="004F5E36"/>
    <w:rsid w:val="00502865"/>
    <w:rsid w:val="00504BAA"/>
    <w:rsid w:val="00507B47"/>
    <w:rsid w:val="00507BEF"/>
    <w:rsid w:val="00507CC9"/>
    <w:rsid w:val="005119A5"/>
    <w:rsid w:val="00516AAC"/>
    <w:rsid w:val="00516B62"/>
    <w:rsid w:val="00520069"/>
    <w:rsid w:val="005278B7"/>
    <w:rsid w:val="00530396"/>
    <w:rsid w:val="005315BA"/>
    <w:rsid w:val="00532016"/>
    <w:rsid w:val="00532A55"/>
    <w:rsid w:val="00532E90"/>
    <w:rsid w:val="0053331F"/>
    <w:rsid w:val="00533987"/>
    <w:rsid w:val="005346C8"/>
    <w:rsid w:val="00543E7D"/>
    <w:rsid w:val="00547A68"/>
    <w:rsid w:val="00547E24"/>
    <w:rsid w:val="00547F39"/>
    <w:rsid w:val="005531C9"/>
    <w:rsid w:val="00555C69"/>
    <w:rsid w:val="00560807"/>
    <w:rsid w:val="00561430"/>
    <w:rsid w:val="00570C43"/>
    <w:rsid w:val="0057785F"/>
    <w:rsid w:val="005817B7"/>
    <w:rsid w:val="0058449B"/>
    <w:rsid w:val="0058518A"/>
    <w:rsid w:val="005910F1"/>
    <w:rsid w:val="00597E8A"/>
    <w:rsid w:val="005A0C1E"/>
    <w:rsid w:val="005A5B48"/>
    <w:rsid w:val="005A6358"/>
    <w:rsid w:val="005B2110"/>
    <w:rsid w:val="005B3881"/>
    <w:rsid w:val="005B4B65"/>
    <w:rsid w:val="005B61E6"/>
    <w:rsid w:val="005C1878"/>
    <w:rsid w:val="005C77E1"/>
    <w:rsid w:val="005D668A"/>
    <w:rsid w:val="005D6A2F"/>
    <w:rsid w:val="005E1A82"/>
    <w:rsid w:val="005E27B9"/>
    <w:rsid w:val="005E794C"/>
    <w:rsid w:val="005E7C48"/>
    <w:rsid w:val="005F0A28"/>
    <w:rsid w:val="005F0E5E"/>
    <w:rsid w:val="005F4702"/>
    <w:rsid w:val="00600535"/>
    <w:rsid w:val="00610CD6"/>
    <w:rsid w:val="0061232D"/>
    <w:rsid w:val="00614885"/>
    <w:rsid w:val="00620DEE"/>
    <w:rsid w:val="00621F92"/>
    <w:rsid w:val="0062280A"/>
    <w:rsid w:val="00625639"/>
    <w:rsid w:val="00631B33"/>
    <w:rsid w:val="006334D1"/>
    <w:rsid w:val="00634334"/>
    <w:rsid w:val="00637E76"/>
    <w:rsid w:val="00641762"/>
    <w:rsid w:val="0064184D"/>
    <w:rsid w:val="006422CC"/>
    <w:rsid w:val="00643ED5"/>
    <w:rsid w:val="0064692E"/>
    <w:rsid w:val="0065470D"/>
    <w:rsid w:val="00660E3E"/>
    <w:rsid w:val="00662E74"/>
    <w:rsid w:val="00665B7F"/>
    <w:rsid w:val="0067494F"/>
    <w:rsid w:val="00677517"/>
    <w:rsid w:val="00680C23"/>
    <w:rsid w:val="006909A3"/>
    <w:rsid w:val="00693766"/>
    <w:rsid w:val="006940B0"/>
    <w:rsid w:val="00694963"/>
    <w:rsid w:val="006A3281"/>
    <w:rsid w:val="006A361E"/>
    <w:rsid w:val="006A5D8E"/>
    <w:rsid w:val="006B3C85"/>
    <w:rsid w:val="006B4888"/>
    <w:rsid w:val="006C2E45"/>
    <w:rsid w:val="006C359C"/>
    <w:rsid w:val="006C5276"/>
    <w:rsid w:val="006C5579"/>
    <w:rsid w:val="006D0984"/>
    <w:rsid w:val="006D0FB0"/>
    <w:rsid w:val="006D5A3F"/>
    <w:rsid w:val="006D6E8B"/>
    <w:rsid w:val="006E4894"/>
    <w:rsid w:val="006E48BD"/>
    <w:rsid w:val="006E674A"/>
    <w:rsid w:val="006E737D"/>
    <w:rsid w:val="006F4209"/>
    <w:rsid w:val="006F5CAA"/>
    <w:rsid w:val="006F6FD3"/>
    <w:rsid w:val="00703B31"/>
    <w:rsid w:val="00713973"/>
    <w:rsid w:val="00720A24"/>
    <w:rsid w:val="007301EE"/>
    <w:rsid w:val="00732386"/>
    <w:rsid w:val="0073514D"/>
    <w:rsid w:val="007447F3"/>
    <w:rsid w:val="0074497C"/>
    <w:rsid w:val="0075499F"/>
    <w:rsid w:val="007563FC"/>
    <w:rsid w:val="00761567"/>
    <w:rsid w:val="007633DC"/>
    <w:rsid w:val="007637CD"/>
    <w:rsid w:val="007661C8"/>
    <w:rsid w:val="007668C6"/>
    <w:rsid w:val="0077098D"/>
    <w:rsid w:val="00777CF9"/>
    <w:rsid w:val="0078371E"/>
    <w:rsid w:val="00791B53"/>
    <w:rsid w:val="007931FA"/>
    <w:rsid w:val="00795859"/>
    <w:rsid w:val="007A1A98"/>
    <w:rsid w:val="007A4861"/>
    <w:rsid w:val="007A737D"/>
    <w:rsid w:val="007A7BBA"/>
    <w:rsid w:val="007B0C50"/>
    <w:rsid w:val="007B2CCC"/>
    <w:rsid w:val="007B48F9"/>
    <w:rsid w:val="007C1A43"/>
    <w:rsid w:val="007C2361"/>
    <w:rsid w:val="007D0951"/>
    <w:rsid w:val="007E3503"/>
    <w:rsid w:val="007E50DC"/>
    <w:rsid w:val="007F6ECE"/>
    <w:rsid w:val="0080013E"/>
    <w:rsid w:val="0080033D"/>
    <w:rsid w:val="00813288"/>
    <w:rsid w:val="008168FC"/>
    <w:rsid w:val="0082394B"/>
    <w:rsid w:val="00830996"/>
    <w:rsid w:val="008345F1"/>
    <w:rsid w:val="00837E1A"/>
    <w:rsid w:val="00854F6D"/>
    <w:rsid w:val="008606F7"/>
    <w:rsid w:val="00865B07"/>
    <w:rsid w:val="008667EA"/>
    <w:rsid w:val="00866F3A"/>
    <w:rsid w:val="008733A4"/>
    <w:rsid w:val="00875104"/>
    <w:rsid w:val="0087637F"/>
    <w:rsid w:val="0088109F"/>
    <w:rsid w:val="008867A1"/>
    <w:rsid w:val="00886F89"/>
    <w:rsid w:val="0089276A"/>
    <w:rsid w:val="00892AD5"/>
    <w:rsid w:val="008A058F"/>
    <w:rsid w:val="008A1512"/>
    <w:rsid w:val="008A1FCF"/>
    <w:rsid w:val="008B0EF2"/>
    <w:rsid w:val="008B1EFB"/>
    <w:rsid w:val="008B7C03"/>
    <w:rsid w:val="008C4407"/>
    <w:rsid w:val="008C7CF7"/>
    <w:rsid w:val="008D32B9"/>
    <w:rsid w:val="008D433B"/>
    <w:rsid w:val="008D4A16"/>
    <w:rsid w:val="008E566E"/>
    <w:rsid w:val="008F4504"/>
    <w:rsid w:val="008F62DD"/>
    <w:rsid w:val="0090161A"/>
    <w:rsid w:val="00901EB6"/>
    <w:rsid w:val="00904C62"/>
    <w:rsid w:val="00921B24"/>
    <w:rsid w:val="00922BA8"/>
    <w:rsid w:val="00922C9B"/>
    <w:rsid w:val="00924DAC"/>
    <w:rsid w:val="00927058"/>
    <w:rsid w:val="00933D0A"/>
    <w:rsid w:val="00935D2D"/>
    <w:rsid w:val="00942750"/>
    <w:rsid w:val="00944383"/>
    <w:rsid w:val="009450CE"/>
    <w:rsid w:val="009450E0"/>
    <w:rsid w:val="009459BB"/>
    <w:rsid w:val="00947179"/>
    <w:rsid w:val="0095164B"/>
    <w:rsid w:val="00954090"/>
    <w:rsid w:val="0095653D"/>
    <w:rsid w:val="009573E7"/>
    <w:rsid w:val="00963E05"/>
    <w:rsid w:val="00964A45"/>
    <w:rsid w:val="00964C27"/>
    <w:rsid w:val="00967843"/>
    <w:rsid w:val="00967D54"/>
    <w:rsid w:val="00971028"/>
    <w:rsid w:val="00974E94"/>
    <w:rsid w:val="009808C9"/>
    <w:rsid w:val="00993B84"/>
    <w:rsid w:val="009946D1"/>
    <w:rsid w:val="00996483"/>
    <w:rsid w:val="00996DE0"/>
    <w:rsid w:val="00996F5A"/>
    <w:rsid w:val="009A31DA"/>
    <w:rsid w:val="009B041A"/>
    <w:rsid w:val="009C1B24"/>
    <w:rsid w:val="009C37C3"/>
    <w:rsid w:val="009C4EB0"/>
    <w:rsid w:val="009C7B5E"/>
    <w:rsid w:val="009C7C86"/>
    <w:rsid w:val="009D2FF7"/>
    <w:rsid w:val="009D44FB"/>
    <w:rsid w:val="009D7D9D"/>
    <w:rsid w:val="009E7884"/>
    <w:rsid w:val="009E788A"/>
    <w:rsid w:val="009E7E18"/>
    <w:rsid w:val="009F0E08"/>
    <w:rsid w:val="009F31F8"/>
    <w:rsid w:val="00A00FB0"/>
    <w:rsid w:val="00A154E0"/>
    <w:rsid w:val="00A1763D"/>
    <w:rsid w:val="00A17CEC"/>
    <w:rsid w:val="00A27EF0"/>
    <w:rsid w:val="00A3099F"/>
    <w:rsid w:val="00A31892"/>
    <w:rsid w:val="00A34402"/>
    <w:rsid w:val="00A3686F"/>
    <w:rsid w:val="00A42361"/>
    <w:rsid w:val="00A4341E"/>
    <w:rsid w:val="00A50B20"/>
    <w:rsid w:val="00A51390"/>
    <w:rsid w:val="00A56281"/>
    <w:rsid w:val="00A60D13"/>
    <w:rsid w:val="00A624A7"/>
    <w:rsid w:val="00A7223D"/>
    <w:rsid w:val="00A72745"/>
    <w:rsid w:val="00A75ACC"/>
    <w:rsid w:val="00A76EFC"/>
    <w:rsid w:val="00A77111"/>
    <w:rsid w:val="00A845FE"/>
    <w:rsid w:val="00A87C38"/>
    <w:rsid w:val="00A87D50"/>
    <w:rsid w:val="00A91010"/>
    <w:rsid w:val="00A92702"/>
    <w:rsid w:val="00A96B81"/>
    <w:rsid w:val="00A97F29"/>
    <w:rsid w:val="00AA0AD4"/>
    <w:rsid w:val="00AA702E"/>
    <w:rsid w:val="00AA7D26"/>
    <w:rsid w:val="00AB0964"/>
    <w:rsid w:val="00AB5011"/>
    <w:rsid w:val="00AB6803"/>
    <w:rsid w:val="00AB6F58"/>
    <w:rsid w:val="00AB729D"/>
    <w:rsid w:val="00AB79E2"/>
    <w:rsid w:val="00AC287A"/>
    <w:rsid w:val="00AC7368"/>
    <w:rsid w:val="00AD16B9"/>
    <w:rsid w:val="00AE2163"/>
    <w:rsid w:val="00AE3483"/>
    <w:rsid w:val="00AE377D"/>
    <w:rsid w:val="00AE38EA"/>
    <w:rsid w:val="00AF0EBA"/>
    <w:rsid w:val="00AF1624"/>
    <w:rsid w:val="00AF6735"/>
    <w:rsid w:val="00B018A6"/>
    <w:rsid w:val="00B02C8A"/>
    <w:rsid w:val="00B12780"/>
    <w:rsid w:val="00B14052"/>
    <w:rsid w:val="00B17FBD"/>
    <w:rsid w:val="00B227BA"/>
    <w:rsid w:val="00B22B2A"/>
    <w:rsid w:val="00B315A6"/>
    <w:rsid w:val="00B31813"/>
    <w:rsid w:val="00B32537"/>
    <w:rsid w:val="00B33365"/>
    <w:rsid w:val="00B357AB"/>
    <w:rsid w:val="00B510C2"/>
    <w:rsid w:val="00B549D8"/>
    <w:rsid w:val="00B57B36"/>
    <w:rsid w:val="00B57E6F"/>
    <w:rsid w:val="00B61181"/>
    <w:rsid w:val="00B61C78"/>
    <w:rsid w:val="00B64034"/>
    <w:rsid w:val="00B66D4B"/>
    <w:rsid w:val="00B67F54"/>
    <w:rsid w:val="00B71E64"/>
    <w:rsid w:val="00B735B1"/>
    <w:rsid w:val="00B74906"/>
    <w:rsid w:val="00B8686D"/>
    <w:rsid w:val="00B87BED"/>
    <w:rsid w:val="00B92A09"/>
    <w:rsid w:val="00B93F69"/>
    <w:rsid w:val="00BA11E0"/>
    <w:rsid w:val="00BA3F44"/>
    <w:rsid w:val="00BA59B0"/>
    <w:rsid w:val="00BA71E2"/>
    <w:rsid w:val="00BB1DDC"/>
    <w:rsid w:val="00BB3C31"/>
    <w:rsid w:val="00BC1749"/>
    <w:rsid w:val="00BC30C9"/>
    <w:rsid w:val="00BD077D"/>
    <w:rsid w:val="00BD5AF1"/>
    <w:rsid w:val="00BE3E58"/>
    <w:rsid w:val="00BE63AC"/>
    <w:rsid w:val="00BF15C7"/>
    <w:rsid w:val="00C00793"/>
    <w:rsid w:val="00C01616"/>
    <w:rsid w:val="00C0162B"/>
    <w:rsid w:val="00C0244D"/>
    <w:rsid w:val="00C043C6"/>
    <w:rsid w:val="00C068ED"/>
    <w:rsid w:val="00C13AC5"/>
    <w:rsid w:val="00C21C8F"/>
    <w:rsid w:val="00C22E0C"/>
    <w:rsid w:val="00C23408"/>
    <w:rsid w:val="00C24ED2"/>
    <w:rsid w:val="00C24FD0"/>
    <w:rsid w:val="00C317F2"/>
    <w:rsid w:val="00C345B1"/>
    <w:rsid w:val="00C40142"/>
    <w:rsid w:val="00C433FF"/>
    <w:rsid w:val="00C4559E"/>
    <w:rsid w:val="00C50BBB"/>
    <w:rsid w:val="00C52C3C"/>
    <w:rsid w:val="00C539D9"/>
    <w:rsid w:val="00C54F5F"/>
    <w:rsid w:val="00C556FB"/>
    <w:rsid w:val="00C57182"/>
    <w:rsid w:val="00C57863"/>
    <w:rsid w:val="00C640AF"/>
    <w:rsid w:val="00C655FD"/>
    <w:rsid w:val="00C7464B"/>
    <w:rsid w:val="00C75407"/>
    <w:rsid w:val="00C81D26"/>
    <w:rsid w:val="00C82A0B"/>
    <w:rsid w:val="00C82F27"/>
    <w:rsid w:val="00C870A8"/>
    <w:rsid w:val="00C9084A"/>
    <w:rsid w:val="00C93308"/>
    <w:rsid w:val="00C939E9"/>
    <w:rsid w:val="00C94434"/>
    <w:rsid w:val="00CA0D4A"/>
    <w:rsid w:val="00CA0D75"/>
    <w:rsid w:val="00CA1C95"/>
    <w:rsid w:val="00CA5A9C"/>
    <w:rsid w:val="00CA6118"/>
    <w:rsid w:val="00CB2811"/>
    <w:rsid w:val="00CB2F7A"/>
    <w:rsid w:val="00CB4F18"/>
    <w:rsid w:val="00CC18E0"/>
    <w:rsid w:val="00CC4C20"/>
    <w:rsid w:val="00CD3517"/>
    <w:rsid w:val="00CD5FE2"/>
    <w:rsid w:val="00CD6A2B"/>
    <w:rsid w:val="00CE17A7"/>
    <w:rsid w:val="00CE6AD0"/>
    <w:rsid w:val="00CE7C68"/>
    <w:rsid w:val="00CF1405"/>
    <w:rsid w:val="00D00CBA"/>
    <w:rsid w:val="00D01D0D"/>
    <w:rsid w:val="00D022D6"/>
    <w:rsid w:val="00D02B4C"/>
    <w:rsid w:val="00D040C4"/>
    <w:rsid w:val="00D07291"/>
    <w:rsid w:val="00D1013A"/>
    <w:rsid w:val="00D16045"/>
    <w:rsid w:val="00D16FAE"/>
    <w:rsid w:val="00D20AD1"/>
    <w:rsid w:val="00D20C54"/>
    <w:rsid w:val="00D214BD"/>
    <w:rsid w:val="00D25047"/>
    <w:rsid w:val="00D26618"/>
    <w:rsid w:val="00D33482"/>
    <w:rsid w:val="00D37DEE"/>
    <w:rsid w:val="00D46B7E"/>
    <w:rsid w:val="00D57C84"/>
    <w:rsid w:val="00D6057D"/>
    <w:rsid w:val="00D6419A"/>
    <w:rsid w:val="00D648EC"/>
    <w:rsid w:val="00D67EB9"/>
    <w:rsid w:val="00D71640"/>
    <w:rsid w:val="00D836C5"/>
    <w:rsid w:val="00D84576"/>
    <w:rsid w:val="00D931AC"/>
    <w:rsid w:val="00DA1399"/>
    <w:rsid w:val="00DA1D1D"/>
    <w:rsid w:val="00DA24C6"/>
    <w:rsid w:val="00DA39F3"/>
    <w:rsid w:val="00DA4D7B"/>
    <w:rsid w:val="00DA6677"/>
    <w:rsid w:val="00DB0DC4"/>
    <w:rsid w:val="00DB7509"/>
    <w:rsid w:val="00DC24B5"/>
    <w:rsid w:val="00DC43FF"/>
    <w:rsid w:val="00DD10C9"/>
    <w:rsid w:val="00DD271C"/>
    <w:rsid w:val="00DE264A"/>
    <w:rsid w:val="00DE37F8"/>
    <w:rsid w:val="00DE4227"/>
    <w:rsid w:val="00DE4E58"/>
    <w:rsid w:val="00DF5072"/>
    <w:rsid w:val="00DF64B1"/>
    <w:rsid w:val="00E02D18"/>
    <w:rsid w:val="00E03D3F"/>
    <w:rsid w:val="00E041E7"/>
    <w:rsid w:val="00E07395"/>
    <w:rsid w:val="00E077D2"/>
    <w:rsid w:val="00E23CA1"/>
    <w:rsid w:val="00E259CA"/>
    <w:rsid w:val="00E3139F"/>
    <w:rsid w:val="00E33DD7"/>
    <w:rsid w:val="00E409A8"/>
    <w:rsid w:val="00E451FC"/>
    <w:rsid w:val="00E50C12"/>
    <w:rsid w:val="00E5101B"/>
    <w:rsid w:val="00E65B91"/>
    <w:rsid w:val="00E7209D"/>
    <w:rsid w:val="00E72EAD"/>
    <w:rsid w:val="00E77223"/>
    <w:rsid w:val="00E77A04"/>
    <w:rsid w:val="00E8528B"/>
    <w:rsid w:val="00E85B94"/>
    <w:rsid w:val="00E9263C"/>
    <w:rsid w:val="00E964E8"/>
    <w:rsid w:val="00E978D0"/>
    <w:rsid w:val="00EA079F"/>
    <w:rsid w:val="00EA3ED9"/>
    <w:rsid w:val="00EA4613"/>
    <w:rsid w:val="00EA589A"/>
    <w:rsid w:val="00EA7F91"/>
    <w:rsid w:val="00EB1523"/>
    <w:rsid w:val="00EB2A8B"/>
    <w:rsid w:val="00EB2E3F"/>
    <w:rsid w:val="00EB5F47"/>
    <w:rsid w:val="00EC0E49"/>
    <w:rsid w:val="00EC101F"/>
    <w:rsid w:val="00EC1D9F"/>
    <w:rsid w:val="00EC57D2"/>
    <w:rsid w:val="00ED10AA"/>
    <w:rsid w:val="00EE0131"/>
    <w:rsid w:val="00EE17B0"/>
    <w:rsid w:val="00EF06D9"/>
    <w:rsid w:val="00F03CA2"/>
    <w:rsid w:val="00F07839"/>
    <w:rsid w:val="00F11A6F"/>
    <w:rsid w:val="00F12A44"/>
    <w:rsid w:val="00F24A8B"/>
    <w:rsid w:val="00F274F3"/>
    <w:rsid w:val="00F3049E"/>
    <w:rsid w:val="00F30C64"/>
    <w:rsid w:val="00F32BA2"/>
    <w:rsid w:val="00F32CDB"/>
    <w:rsid w:val="00F42257"/>
    <w:rsid w:val="00F47056"/>
    <w:rsid w:val="00F543B2"/>
    <w:rsid w:val="00F54ACD"/>
    <w:rsid w:val="00F565FE"/>
    <w:rsid w:val="00F60296"/>
    <w:rsid w:val="00F63A70"/>
    <w:rsid w:val="00F63D8C"/>
    <w:rsid w:val="00F64624"/>
    <w:rsid w:val="00F66283"/>
    <w:rsid w:val="00F67D83"/>
    <w:rsid w:val="00F7534E"/>
    <w:rsid w:val="00F75858"/>
    <w:rsid w:val="00F86E68"/>
    <w:rsid w:val="00F90708"/>
    <w:rsid w:val="00F92A2D"/>
    <w:rsid w:val="00F93EDF"/>
    <w:rsid w:val="00FA04E3"/>
    <w:rsid w:val="00FA0ACF"/>
    <w:rsid w:val="00FA110B"/>
    <w:rsid w:val="00FA1802"/>
    <w:rsid w:val="00FA21D0"/>
    <w:rsid w:val="00FA5F5F"/>
    <w:rsid w:val="00FB380A"/>
    <w:rsid w:val="00FB730C"/>
    <w:rsid w:val="00FC0DBA"/>
    <w:rsid w:val="00FC2695"/>
    <w:rsid w:val="00FC3E03"/>
    <w:rsid w:val="00FC3FC1"/>
    <w:rsid w:val="00FD39F3"/>
    <w:rsid w:val="00FD46EA"/>
    <w:rsid w:val="00FE440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1349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3602</Words>
  <Characters>19094</Characters>
  <Application>Microsoft Office Word</Application>
  <DocSecurity>0</DocSecurity>
  <Lines>159</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Campari</cp:lastModifiedBy>
  <cp:revision>425</cp:revision>
  <cp:lastPrinted>2015-05-12T18:31:00Z</cp:lastPrinted>
  <dcterms:created xsi:type="dcterms:W3CDTF">2022-09-21T08:52:00Z</dcterms:created>
  <dcterms:modified xsi:type="dcterms:W3CDTF">2023-06-19T15:55:00Z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