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5F19E3">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5F19E3">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5F19E3">
        <w:trPr>
          <w:trHeight w:val="68"/>
          <w:jc w:val="center"/>
        </w:trPr>
        <w:tc>
          <w:tcPr>
            <w:tcW w:w="8782"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D8D19CD" w:rsidR="00E978D0" w:rsidRPr="005F19E3" w:rsidRDefault="005F19E3" w:rsidP="005F19E3">
      <w:pPr>
        <w:pStyle w:val="CETTitle"/>
        <w:jc w:val="both"/>
      </w:pPr>
      <w:r w:rsidRPr="005F19E3">
        <w:rPr>
          <w:lang w:val="en-US"/>
        </w:rPr>
        <w:t xml:space="preserve">Digitalizing </w:t>
      </w:r>
      <w:r w:rsidR="00F90D4A">
        <w:rPr>
          <w:lang w:val="en-US"/>
        </w:rPr>
        <w:t>an</w:t>
      </w:r>
      <w:r w:rsidRPr="005F19E3">
        <w:rPr>
          <w:lang w:val="en-US"/>
        </w:rPr>
        <w:t xml:space="preserve"> electrically self-sufficient social dwelling of Spain</w:t>
      </w:r>
    </w:p>
    <w:p w14:paraId="0488FED2" w14:textId="6A6E806D" w:rsidR="00B57E6F" w:rsidRPr="00CE6DDB" w:rsidRDefault="00CE6DDB" w:rsidP="00B57E6F">
      <w:pPr>
        <w:pStyle w:val="CETAuthors"/>
        <w:rPr>
          <w:lang w:val="es-ES"/>
        </w:rPr>
      </w:pPr>
      <w:r w:rsidRPr="006303EF">
        <w:rPr>
          <w:lang w:val="es-ES"/>
        </w:rPr>
        <w:t>Víctor M. Maestre</w:t>
      </w:r>
      <w:r>
        <w:rPr>
          <w:vertAlign w:val="superscript"/>
          <w:lang w:val="es-ES"/>
        </w:rPr>
        <w:t>a</w:t>
      </w:r>
      <w:r w:rsidRPr="006303EF">
        <w:rPr>
          <w:lang w:val="es-ES"/>
        </w:rPr>
        <w:t>, Alfredo Ortiz</w:t>
      </w:r>
      <w:r>
        <w:rPr>
          <w:vertAlign w:val="superscript"/>
          <w:lang w:val="es-ES"/>
        </w:rPr>
        <w:t>a</w:t>
      </w:r>
      <w:r w:rsidRPr="006303EF">
        <w:rPr>
          <w:lang w:val="es-ES"/>
        </w:rPr>
        <w:t>, Inmaculada Ortiz</w:t>
      </w:r>
      <w:r>
        <w:rPr>
          <w:vertAlign w:val="superscript"/>
          <w:lang w:val="es-ES"/>
        </w:rPr>
        <w:t>a,</w:t>
      </w:r>
      <w:r w:rsidRPr="006303EF">
        <w:rPr>
          <w:lang w:val="es-ES"/>
        </w:rPr>
        <w:t>*</w:t>
      </w:r>
      <w:r>
        <w:rPr>
          <w:lang w:val="es-ES"/>
        </w:rPr>
        <w:t xml:space="preserve">, </w:t>
      </w:r>
      <w:r w:rsidRPr="00CE6DDB">
        <w:rPr>
          <w:lang w:val="es-ES"/>
        </w:rPr>
        <w:t>Laura Rodríguez de Lope</w:t>
      </w:r>
      <w:r>
        <w:rPr>
          <w:vertAlign w:val="superscript"/>
          <w:lang w:val="es-ES"/>
        </w:rPr>
        <w:t>b</w:t>
      </w:r>
      <w:r w:rsidRPr="00CE6DDB">
        <w:rPr>
          <w:lang w:val="es-ES"/>
        </w:rPr>
        <w:t>, Luis Diez</w:t>
      </w:r>
      <w:r>
        <w:rPr>
          <w:vertAlign w:val="superscript"/>
          <w:lang w:val="es-ES"/>
        </w:rPr>
        <w:t>b</w:t>
      </w:r>
      <w:r w:rsidRPr="00CE6DDB">
        <w:rPr>
          <w:lang w:val="es-ES"/>
        </w:rPr>
        <w:t xml:space="preserve">, </w:t>
      </w:r>
      <w:r>
        <w:rPr>
          <w:lang w:val="es-ES"/>
        </w:rPr>
        <w:t>Ramón Agüero</w:t>
      </w:r>
      <w:r>
        <w:rPr>
          <w:vertAlign w:val="superscript"/>
          <w:lang w:val="es-ES"/>
        </w:rPr>
        <w:t>b</w:t>
      </w:r>
      <w:r w:rsidRPr="00CE6DDB">
        <w:rPr>
          <w:lang w:val="es-ES"/>
        </w:rPr>
        <w:t>.</w:t>
      </w:r>
    </w:p>
    <w:p w14:paraId="6B2D21B3" w14:textId="34F07801" w:rsidR="00B57E6F" w:rsidRPr="00B57B36" w:rsidRDefault="00B57E6F" w:rsidP="00B57E6F">
      <w:pPr>
        <w:pStyle w:val="CETAddress"/>
      </w:pPr>
      <w:r w:rsidRPr="00B57B36">
        <w:rPr>
          <w:vertAlign w:val="superscript"/>
        </w:rPr>
        <w:t>a</w:t>
      </w:r>
      <w:r w:rsidR="00CE6DDB" w:rsidRPr="00CE6DDB">
        <w:rPr>
          <w:rFonts w:ascii="Cambria" w:eastAsia="Arial Unicode MS" w:hAnsi="Cambria"/>
          <w:noProof w:val="0"/>
          <w:kern w:val="2"/>
          <w:sz w:val="20"/>
          <w:szCs w:val="21"/>
          <w:lang w:val="en-US" w:eastAsia="ja-JP"/>
        </w:rPr>
        <w:t xml:space="preserve"> </w:t>
      </w:r>
      <w:r w:rsidR="00CE6DDB" w:rsidRPr="00CE6DDB">
        <w:rPr>
          <w:lang w:val="en-US"/>
        </w:rPr>
        <w:t>Chemical and Biomolecular Engineering Department, Universidad de Cantabria,</w:t>
      </w:r>
      <w:r w:rsidR="00CE6DDB" w:rsidRPr="00CE6DDB">
        <w:rPr>
          <w:i/>
          <w:lang w:val="en-US"/>
        </w:rPr>
        <w:t xml:space="preserve"> </w:t>
      </w:r>
      <w:r w:rsidR="00CE6DDB" w:rsidRPr="00CE6DDB">
        <w:rPr>
          <w:lang w:val="en-US"/>
        </w:rPr>
        <w:t xml:space="preserve">Av. </w:t>
      </w:r>
      <w:r w:rsidR="00CE6DDB" w:rsidRPr="00CE6DDB">
        <w:t>Los Castros 46, 39005, Santander, Spain</w:t>
      </w:r>
      <w:r w:rsidR="00CE6DDB">
        <w:t>.</w:t>
      </w:r>
      <w:r w:rsidRPr="00B57B36">
        <w:t xml:space="preserve"> </w:t>
      </w:r>
    </w:p>
    <w:p w14:paraId="3D72B0B0" w14:textId="505D5E9B" w:rsidR="00B57E6F" w:rsidRPr="00B57B36" w:rsidRDefault="00B57E6F" w:rsidP="00B57E6F">
      <w:pPr>
        <w:pStyle w:val="CETAddress"/>
      </w:pPr>
      <w:r w:rsidRPr="00B57B36">
        <w:rPr>
          <w:vertAlign w:val="superscript"/>
        </w:rPr>
        <w:t>b</w:t>
      </w:r>
      <w:r w:rsidR="00CE6DDB" w:rsidRPr="00CE6DDB">
        <w:rPr>
          <w:rFonts w:ascii="Cambria" w:eastAsia="Arial Unicode MS" w:hAnsi="Cambria" w:cs="Arial Unicode MS"/>
          <w:noProof w:val="0"/>
          <w:kern w:val="2"/>
          <w:sz w:val="20"/>
          <w:szCs w:val="22"/>
          <w:lang w:val="en-US" w:eastAsia="ja-JP"/>
        </w:rPr>
        <w:t xml:space="preserve"> </w:t>
      </w:r>
      <w:r w:rsidR="00CE6DDB" w:rsidRPr="00CE6DDB">
        <w:rPr>
          <w:lang w:val="en-US"/>
        </w:rPr>
        <w:t>Communications Engineering Department, Universidad de Cantabria, Av. Los Castros 46, 39005, Santander, Spain</w:t>
      </w:r>
      <w:r w:rsidR="00CE6DDB">
        <w:rPr>
          <w:lang w:val="en-US"/>
        </w:rPr>
        <w:t>.</w:t>
      </w:r>
    </w:p>
    <w:p w14:paraId="402C3D8F" w14:textId="77777777" w:rsidR="00CE6DDB" w:rsidRPr="00DE2C57" w:rsidRDefault="00B57E6F" w:rsidP="00CE6DDB">
      <w:pPr>
        <w:pStyle w:val="CETemail"/>
        <w:jc w:val="both"/>
        <w:rPr>
          <w:lang w:val="en-US"/>
        </w:rPr>
      </w:pPr>
      <w:r>
        <w:t xml:space="preserve"> </w:t>
      </w:r>
      <w:r w:rsidR="00CE6DDB" w:rsidRPr="00DE2C57">
        <w:rPr>
          <w:lang w:val="en-US"/>
        </w:rPr>
        <w:t xml:space="preserve">* Corresponding author: </w:t>
      </w:r>
      <w:hyperlink r:id="rId13" w:history="1">
        <w:r w:rsidR="00CE6DDB" w:rsidRPr="00DE2C57">
          <w:rPr>
            <w:rStyle w:val="Hipervnculo"/>
            <w:lang w:val="en-US"/>
          </w:rPr>
          <w:t>ortizi@unican.es</w:t>
        </w:r>
      </w:hyperlink>
    </w:p>
    <w:p w14:paraId="04B319EE" w14:textId="5EBD3695" w:rsidR="00600535" w:rsidRPr="00B57B36" w:rsidRDefault="00F17AA4" w:rsidP="00600535">
      <w:pPr>
        <w:pStyle w:val="CETBodytext"/>
        <w:rPr>
          <w:lang w:val="en-GB"/>
        </w:rPr>
      </w:pPr>
      <w:bookmarkStart w:id="0" w:name="_Hlk495475023"/>
      <w:r w:rsidRPr="00F17AA4">
        <w:rPr>
          <w:lang w:val="en-GB"/>
        </w:rPr>
        <w:t>The urgent climate situation resulting from the indiscriminate consumption of fossil fuels together with the current geopolitical instability has prompted a series of policies in Europe to boost the energy transition through the large-scale installation of renewable energy sources (RES). To combat the intermittency and fluctuations associated with their operation, renewable hydrogen is presented as a versatile solution to decarbonize different economic sectors. Hence, the design and implementation of a hybrid renewable-hydrogen power system has turn out in the first electrically self-sufficient social housing of Spain installed in the town of Novales (Cantabria, Spain).</w:t>
      </w:r>
      <w:r w:rsidRPr="00F17AA4">
        <w:rPr>
          <w:rFonts w:ascii="Cambria" w:eastAsiaTheme="minorEastAsia" w:hAnsi="Cambria"/>
          <w:kern w:val="2"/>
          <w:sz w:val="20"/>
          <w:szCs w:val="22"/>
          <w:lang w:eastAsia="ja-JP"/>
        </w:rPr>
        <w:t xml:space="preserve"> </w:t>
      </w:r>
      <w:r w:rsidRPr="00F17AA4">
        <w:rPr>
          <w:lang w:val="en-GB"/>
        </w:rPr>
        <w:t>The entire process is automated and controlled by a programmable logic controller (PLC) and monitored by a SCADA system. Under this framework, the HY2RES project proposes a digital twin (DT) modeling of the pilot plant to optimize the control system and the operating parameters thanks to the application of machine learning (ML) and artificial intelligence (AI) techniques to the data collected</w:t>
      </w:r>
      <w:r>
        <w:rPr>
          <w:lang w:val="en-GB"/>
        </w:rPr>
        <w:t>.</w:t>
      </w:r>
      <w:r w:rsidR="00C90615" w:rsidRPr="00C90615">
        <w:t xml:space="preserve"> </w:t>
      </w:r>
      <w:r w:rsidR="00C90615" w:rsidRPr="00C90615">
        <w:rPr>
          <w:lang w:val="en-GB"/>
        </w:rPr>
        <w:t>The paper shows some initial results of the proposed DT, which features the electrical components of the physical system. The obtained results both validate the proposed methodology and evince the possibilities brought by it</w:t>
      </w:r>
      <w:r w:rsidR="00C90615">
        <w:rPr>
          <w:lang w:val="en-GB"/>
        </w:rPr>
        <w:t>.</w:t>
      </w:r>
    </w:p>
    <w:bookmarkEnd w:id="0"/>
    <w:p w14:paraId="47B7714A" w14:textId="77777777" w:rsidR="00EB4D55" w:rsidRDefault="00600535" w:rsidP="00EB4D55">
      <w:pPr>
        <w:pStyle w:val="CETHeading1"/>
        <w:rPr>
          <w:lang w:val="en-GB"/>
        </w:rPr>
      </w:pPr>
      <w:r w:rsidRPr="00B57B36">
        <w:rPr>
          <w:lang w:val="en-GB"/>
        </w:rPr>
        <w:t>Introduction</w:t>
      </w:r>
    </w:p>
    <w:p w14:paraId="187656ED" w14:textId="28C039CA" w:rsidR="00B72FEC" w:rsidRDefault="00B72FEC" w:rsidP="00B72FEC">
      <w:pPr>
        <w:pStyle w:val="CETHeading1"/>
        <w:numPr>
          <w:ilvl w:val="0"/>
          <w:numId w:val="0"/>
        </w:numPr>
        <w:jc w:val="both"/>
        <w:rPr>
          <w:b w:val="0"/>
          <w:sz w:val="18"/>
        </w:rPr>
      </w:pPr>
      <w:r w:rsidRPr="00B72FEC">
        <w:rPr>
          <w:b w:val="0"/>
          <w:sz w:val="18"/>
        </w:rPr>
        <w:t>Since the Conference of the Parties (COP) 21 in Paris in 2015</w:t>
      </w:r>
      <w:r w:rsidR="00CA1977">
        <w:rPr>
          <w:b w:val="0"/>
          <w:sz w:val="18"/>
        </w:rPr>
        <w:t xml:space="preserve"> </w:t>
      </w:r>
      <w:r w:rsidR="00CA1977">
        <w:rPr>
          <w:b w:val="0"/>
          <w:sz w:val="18"/>
        </w:rPr>
        <w:fldChar w:fldCharType="begin" w:fldLock="1"/>
      </w:r>
      <w:r w:rsidR="00CA1977">
        <w:rPr>
          <w:b w:val="0"/>
          <w:sz w:val="18"/>
        </w:rPr>
        <w:instrText>ADDIN CSL_CITATION {"citationItems":[{"id":"ITEM-1","itemData":{"author":[{"dropping-particle":"","family":"United Nations","given":"","non-dropping-particle":"","parse-names":false,"suffix":""}],"id":"ITEM-1","issued":{"date-parts":[["2015"]]},"title":"Adoption of the Paris Agreement","type":"report"},"uris":["http://www.mendeley.com/documents/?uuid=9a3d5e88-7f7e-3e93-a99a-e9c6b83ac02c"]}],"mendeley":{"formattedCitation":"(United Nations 2015)","plainTextFormattedCitation":"(United Nations 2015)","previouslyFormattedCitation":"(United Nations 2015)"},"properties":{"noteIndex":0},"schema":"https://github.com/citation-style-language/schema/raw/master/csl-citation.json"}</w:instrText>
      </w:r>
      <w:r w:rsidR="00CA1977">
        <w:rPr>
          <w:b w:val="0"/>
          <w:sz w:val="18"/>
        </w:rPr>
        <w:fldChar w:fldCharType="separate"/>
      </w:r>
      <w:r w:rsidR="00CA1977" w:rsidRPr="00CA1977">
        <w:rPr>
          <w:b w:val="0"/>
          <w:noProof/>
          <w:sz w:val="18"/>
        </w:rPr>
        <w:t>(United Nations 2015)</w:t>
      </w:r>
      <w:r w:rsidR="00CA1977">
        <w:rPr>
          <w:b w:val="0"/>
          <w:sz w:val="18"/>
        </w:rPr>
        <w:fldChar w:fldCharType="end"/>
      </w:r>
      <w:r w:rsidRPr="00B72FEC">
        <w:rPr>
          <w:b w:val="0"/>
          <w:sz w:val="18"/>
        </w:rPr>
        <w:t xml:space="preserve">, different governmental bodies around the world, international companies and agencies, as well as different stakeholders have promoted a series of roadmaps and strategies to limit the harmful effects caused by climate change. Thus, the dependence of today's society on fossil fuels is the main </w:t>
      </w:r>
      <w:r w:rsidR="00593B2C">
        <w:rPr>
          <w:b w:val="0"/>
          <w:sz w:val="18"/>
        </w:rPr>
        <w:t xml:space="preserve">factor </w:t>
      </w:r>
      <w:r w:rsidRPr="00B72FEC">
        <w:rPr>
          <w:b w:val="0"/>
          <w:sz w:val="18"/>
        </w:rPr>
        <w:t>responsible for the global climate situation. In particular, energy-related activities contribute to more than three quarters of total carbon dioxide equivalent (CO</w:t>
      </w:r>
      <w:r w:rsidRPr="00CA1977">
        <w:rPr>
          <w:b w:val="0"/>
          <w:sz w:val="18"/>
          <w:vertAlign w:val="subscript"/>
        </w:rPr>
        <w:t>2eq</w:t>
      </w:r>
      <w:r w:rsidRPr="00B72FEC">
        <w:rPr>
          <w:b w:val="0"/>
          <w:sz w:val="18"/>
        </w:rPr>
        <w:t>) emissions</w:t>
      </w:r>
      <w:r w:rsidR="00CA1977">
        <w:rPr>
          <w:b w:val="0"/>
          <w:sz w:val="18"/>
        </w:rPr>
        <w:t xml:space="preserve"> </w:t>
      </w:r>
      <w:r w:rsidR="00CA1977" w:rsidRPr="00CA1977">
        <w:rPr>
          <w:sz w:val="18"/>
        </w:rPr>
        <w:fldChar w:fldCharType="begin" w:fldLock="1"/>
      </w:r>
      <w:r w:rsidR="00CA1977">
        <w:rPr>
          <w:sz w:val="18"/>
        </w:rPr>
        <w:instrText>ADDIN CSL_CITATION {"citationItems":[{"id":"ITEM-1","itemData":{"URL":"https://ourworldindata.org/co2-and-other-greenhouse-gas-emissions","accessed":{"date-parts":[["2021","7","22"]]},"author":[{"dropping-particle":"","family":"Ritchie","given":"Hannah","non-dropping-particle":"","parse-names":false,"suffix":""},{"dropping-particle":"","family":"Roser","given":"Max","non-dropping-particle":"","parse-names":false,"suffix":""}],"container-title":"Our World in Data","id":"ITEM-1","issued":{"date-parts":[["2020","5","11"]]},"title":"CO</w:instrText>
      </w:r>
      <w:r w:rsidR="00CA1977">
        <w:rPr>
          <w:rFonts w:ascii="Cambria Math" w:hAnsi="Cambria Math" w:cs="Cambria Math"/>
          <w:sz w:val="18"/>
        </w:rPr>
        <w:instrText>₂</w:instrText>
      </w:r>
      <w:r w:rsidR="00CA1977">
        <w:rPr>
          <w:sz w:val="18"/>
        </w:rPr>
        <w:instrText xml:space="preserve"> and Greenhouse Gas Emissions","type":"webpage"},"uris":["http://www.mendeley.com/documents/?uuid=5afc0000-601a-38b4-90ee-912655bd2fe9"]},{"id":"ITEM-2","itemData":{"author":[{"dropping-particle":"","family":"IEA","given":"","non-dropping-particle":"","parse-names":false,"suffix":""}],"id":"ITEM-2","issued":{"date-parts":[["2020"]]},"title":"CO2 EMISSIONS FROM FUEL COMBUSTION 2020 EDITION DATABASE DOCUMENTATION","type":"report"},"uris":["http://www.mendeley.com/documents/?uuid=0e4f0618-f98a-38c5-9eca-97ed14d9ea91"]}],"mendeley":{"formattedCitation":"(IEA 2020; Ritchie and Roser 2020)","plainTextFormattedCitation":"(IEA 2020; Ritchie and Roser 2020)","previouslyFormattedCitation":"(IEA 2020; Ritchie and Roser 2020)"},"properties":{"noteIndex":0},"schema":"https://github.com/citation-style-language/schema/raw/master/csl-citation.json"}</w:instrText>
      </w:r>
      <w:r w:rsidR="00CA1977" w:rsidRPr="00CA1977">
        <w:rPr>
          <w:sz w:val="18"/>
        </w:rPr>
        <w:fldChar w:fldCharType="separate"/>
      </w:r>
      <w:r w:rsidR="00CA1977" w:rsidRPr="00CA1977">
        <w:rPr>
          <w:b w:val="0"/>
          <w:noProof/>
          <w:sz w:val="18"/>
        </w:rPr>
        <w:t>(IEA 2020; Ritchie and Roser 2020)</w:t>
      </w:r>
      <w:r w:rsidR="00CA1977" w:rsidRPr="00CA1977">
        <w:rPr>
          <w:sz w:val="18"/>
        </w:rPr>
        <w:fldChar w:fldCharType="end"/>
      </w:r>
      <w:r w:rsidRPr="00B72FEC">
        <w:rPr>
          <w:b w:val="0"/>
          <w:sz w:val="18"/>
        </w:rPr>
        <w:t>. Global primary energy consumption in 2021 rebounded after the COVID-19 pandemic to 595 exajoules (EJ), a growth of 1.8% over 2019</w:t>
      </w:r>
      <w:r w:rsidR="00CA1977">
        <w:rPr>
          <w:b w:val="0"/>
          <w:sz w:val="18"/>
        </w:rPr>
        <w:t xml:space="preserve"> </w:t>
      </w:r>
      <w:r w:rsidR="00CA1977" w:rsidRPr="00CA1977">
        <w:rPr>
          <w:sz w:val="18"/>
        </w:rPr>
        <w:fldChar w:fldCharType="begin" w:fldLock="1"/>
      </w:r>
      <w:r w:rsidR="00E213B8">
        <w:rPr>
          <w:sz w:val="18"/>
        </w:rPr>
        <w:instrText>ADDIN CSL_CITATION {"citationItems":[{"id":"ITEM-1","itemData":{"abstract":"2022 | 71 st edition Discover more online All the tables and charts found in the printed edition are available at bp.com/statisticalreview plus a number of extras, including: • The energy charting tool-view predetermined reports or chart specific data according to energy type, region, country and year. • Historical data from 1965 for many sections. Additional country and regional coverage for all consumption tables. • An Excel workbook and database format of the data. Download the bp World Energy app Explore the world of energy from your tablet or smartphone. Customize charts and perform the calculations. Review the data online and offline. Download the app for free from the Apple App Store and Google play store. For 66 years, the BP Statistical Review of World Energy has provided high-quality objective and globally consistent data on world energy markets. The review is one of the most widely respected and authoritative publications in the field of energy economics, used for reference by the media, academia, world governments and energy companies. A new edition is published every June. Discover more online All the tables and charts found in the latest printed edition are available at bp.com/statisticalreview plus a number of extras, including: • The energy charting tool-view predetermined reports or chart specific data according to energy type, region, country and year. • Historical data from 1965 for many sections. • Additional data for refined oil production demand, natural gas, coal, hydroelectricity, nuclear energy and renewables. • PDF versions and PowerPoint slide packs of the charts, maps and graphs, plus an Excel workbook of the data. • Regional and country factsheets. • Videos and speeches. Energy Outlook Watch the BP Energy Outlook 2017 video, containing our projections of long-term energy trends to 2035. Download the booklet and presentation materials at bp.com/energyoutlook Join the conversation #BPstats Download the BP World Energy app Explore the world of energy from your tablet or smartphone. Customize charts and perform the calculations. Review the data online and offline.","author":[{"dropping-particle":"","family":"bp","given":"","non-dropping-particle":"","parse-names":false,"suffix":""}],"id":"ITEM-1","issued":{"date-parts":[["2022"]]},"title":"Statistical Review of World Energy 2022","type":"report"},"uris":["http://www.mendeley.com/documents/?uuid=e4d327b8-c794-3783-892b-be9c30d7b233"]}],"mendeley":{"formattedCitation":"(bp 2022)","manualFormatting":"(bp, 2022)","plainTextFormattedCitation":"(bp 2022)","previouslyFormattedCitation":"(bp 2022)"},"properties":{"noteIndex":0},"schema":"https://github.com/citation-style-language/schema/raw/master/csl-citation.json"}</w:instrText>
      </w:r>
      <w:r w:rsidR="00CA1977" w:rsidRPr="00CA1977">
        <w:rPr>
          <w:sz w:val="18"/>
        </w:rPr>
        <w:fldChar w:fldCharType="separate"/>
      </w:r>
      <w:r w:rsidR="00CA1977" w:rsidRPr="00CA1977">
        <w:rPr>
          <w:b w:val="0"/>
          <w:noProof/>
          <w:sz w:val="18"/>
        </w:rPr>
        <w:t>(bp</w:t>
      </w:r>
      <w:r w:rsidR="00E213B8">
        <w:rPr>
          <w:b w:val="0"/>
          <w:noProof/>
          <w:sz w:val="18"/>
        </w:rPr>
        <w:t>,</w:t>
      </w:r>
      <w:r w:rsidR="00CA1977" w:rsidRPr="00CA1977">
        <w:rPr>
          <w:b w:val="0"/>
          <w:noProof/>
          <w:sz w:val="18"/>
        </w:rPr>
        <w:t xml:space="preserve"> 2022)</w:t>
      </w:r>
      <w:r w:rsidR="00CA1977" w:rsidRPr="00CA1977">
        <w:rPr>
          <w:sz w:val="18"/>
        </w:rPr>
        <w:fldChar w:fldCharType="end"/>
      </w:r>
      <w:r w:rsidRPr="00B72FEC">
        <w:rPr>
          <w:b w:val="0"/>
          <w:sz w:val="18"/>
        </w:rPr>
        <w:t>.</w:t>
      </w:r>
      <w:r>
        <w:rPr>
          <w:b w:val="0"/>
          <w:sz w:val="18"/>
        </w:rPr>
        <w:t xml:space="preserve"> </w:t>
      </w:r>
      <w:r w:rsidRPr="00B72FEC">
        <w:rPr>
          <w:b w:val="0"/>
          <w:sz w:val="18"/>
        </w:rPr>
        <w:t xml:space="preserve">In this context, the European Union has approved the "Fit for 55" plan </w:t>
      </w:r>
      <w:r w:rsidR="00593B2C">
        <w:rPr>
          <w:b w:val="0"/>
          <w:sz w:val="18"/>
        </w:rPr>
        <w:t xml:space="preserve">that </w:t>
      </w:r>
      <w:r w:rsidR="00D458B6">
        <w:rPr>
          <w:b w:val="0"/>
          <w:sz w:val="18"/>
        </w:rPr>
        <w:t>includes</w:t>
      </w:r>
      <w:r w:rsidRPr="00B72FEC">
        <w:rPr>
          <w:b w:val="0"/>
          <w:sz w:val="18"/>
        </w:rPr>
        <w:t xml:space="preserve"> limit</w:t>
      </w:r>
      <w:r w:rsidR="00D458B6">
        <w:rPr>
          <w:b w:val="0"/>
          <w:sz w:val="18"/>
        </w:rPr>
        <w:t>ing</w:t>
      </w:r>
      <w:r w:rsidRPr="00B72FEC">
        <w:rPr>
          <w:b w:val="0"/>
          <w:sz w:val="18"/>
        </w:rPr>
        <w:t xml:space="preserve"> greenhouse gas</w:t>
      </w:r>
      <w:r>
        <w:rPr>
          <w:b w:val="0"/>
          <w:sz w:val="18"/>
        </w:rPr>
        <w:t xml:space="preserve"> (GHG)</w:t>
      </w:r>
      <w:r w:rsidRPr="00B72FEC">
        <w:rPr>
          <w:b w:val="0"/>
          <w:sz w:val="18"/>
        </w:rPr>
        <w:t xml:space="preserve"> emissions by 55% by 2030.</w:t>
      </w:r>
      <w:r w:rsidR="00B4282A">
        <w:rPr>
          <w:b w:val="0"/>
          <w:sz w:val="18"/>
        </w:rPr>
        <w:t xml:space="preserve"> </w:t>
      </w:r>
      <w:r w:rsidR="00B4282A" w:rsidRPr="00B4282A">
        <w:rPr>
          <w:b w:val="0"/>
          <w:sz w:val="18"/>
        </w:rPr>
        <w:t>On the other hand, the current geopolitical instability resulting from the war between Ukraine and the Russian Federation has caused an unprecedented inflation of the economy and a shortage of fossil fuels (mainly natural gas and oil) imported from Russia</w:t>
      </w:r>
      <w:r w:rsidR="00CA1977">
        <w:rPr>
          <w:b w:val="0"/>
          <w:sz w:val="18"/>
        </w:rPr>
        <w:t xml:space="preserve"> </w:t>
      </w:r>
      <w:r w:rsidR="00CA1977">
        <w:rPr>
          <w:b w:val="0"/>
          <w:sz w:val="18"/>
        </w:rPr>
        <w:fldChar w:fldCharType="begin" w:fldLock="1"/>
      </w:r>
      <w:r w:rsidR="00CA1977">
        <w:rPr>
          <w:b w:val="0"/>
          <w:sz w:val="18"/>
        </w:rPr>
        <w:instrText>ADDIN CSL_CITATION {"citationItems":[{"id":"ITEM-1","itemData":{"URL":"https://www.consilium.europa.eu/en/policies/green-deal/fit-for-55-the-eu-plan-for-a-green-transition/","accessed":{"date-parts":[["2023","2","7"]]},"author":[{"dropping-particle":"","family":"European Council","given":"","non-dropping-particle":"","parse-names":false,"suffix":""}],"id":"ITEM-1","issued":{"date-parts":[["2023"]]},"title":"Fit for 55 - The EU's plan for a green transition","type":"webpage"},"uris":["http://www.mendeley.com/documents/?uuid=39a8b051-b742-3257-9271-0907fe904728"]}],"mendeley":{"formattedCitation":"(European Council 2023)","plainTextFormattedCitation":"(European Council 2023)","previouslyFormattedCitation":"(European Council 2023)"},"properties":{"noteIndex":0},"schema":"https://github.com/citation-style-language/schema/raw/master/csl-citation.json"}</w:instrText>
      </w:r>
      <w:r w:rsidR="00CA1977">
        <w:rPr>
          <w:b w:val="0"/>
          <w:sz w:val="18"/>
        </w:rPr>
        <w:fldChar w:fldCharType="separate"/>
      </w:r>
      <w:r w:rsidR="00CA1977" w:rsidRPr="00CA1977">
        <w:rPr>
          <w:b w:val="0"/>
          <w:noProof/>
          <w:sz w:val="18"/>
        </w:rPr>
        <w:t>(European Council</w:t>
      </w:r>
      <w:r w:rsidR="00E213B8">
        <w:rPr>
          <w:b w:val="0"/>
          <w:noProof/>
          <w:sz w:val="18"/>
        </w:rPr>
        <w:t>,</w:t>
      </w:r>
      <w:r w:rsidR="00CA1977" w:rsidRPr="00CA1977">
        <w:rPr>
          <w:b w:val="0"/>
          <w:noProof/>
          <w:sz w:val="18"/>
        </w:rPr>
        <w:t xml:space="preserve"> 2023)</w:t>
      </w:r>
      <w:r w:rsidR="00CA1977">
        <w:rPr>
          <w:b w:val="0"/>
          <w:sz w:val="18"/>
        </w:rPr>
        <w:fldChar w:fldCharType="end"/>
      </w:r>
      <w:r w:rsidR="00B4282A" w:rsidRPr="00B4282A">
        <w:rPr>
          <w:b w:val="0"/>
          <w:sz w:val="18"/>
        </w:rPr>
        <w:t>.</w:t>
      </w:r>
    </w:p>
    <w:p w14:paraId="2287C892" w14:textId="63071E7C" w:rsidR="00B4282A" w:rsidRDefault="00B4282A" w:rsidP="00B4282A">
      <w:pPr>
        <w:pStyle w:val="CETBodytext"/>
      </w:pPr>
      <w:r w:rsidRPr="00B4282A">
        <w:t xml:space="preserve">Given this situation, the large-scale deployment of renewable energy sources (RES) is essential to ensure a decarbonized energy system, in addition to encouraging energy independence through these efficient and sustainable solutions to reduce fossil fuel exports. However, it is essential to find efficient technological solutions for energy storage that respond quickly, safely and flexibly to the intermittent and fluctuating behavior of RES. For this reason, the European Commission approved the </w:t>
      </w:r>
      <w:proofErr w:type="spellStart"/>
      <w:r w:rsidRPr="00B4282A">
        <w:t>REPowerEU</w:t>
      </w:r>
      <w:proofErr w:type="spellEnd"/>
      <w:r w:rsidRPr="00B4282A">
        <w:t xml:space="preserve"> plan for 2022</w:t>
      </w:r>
      <w:r w:rsidR="006F2740">
        <w:t xml:space="preserve">; </w:t>
      </w:r>
      <w:r w:rsidR="004276DF">
        <w:t>with this</w:t>
      </w:r>
      <w:r w:rsidR="008A6EB1">
        <w:t>,</w:t>
      </w:r>
      <w:r w:rsidRPr="00B4282A">
        <w:t xml:space="preserve"> </w:t>
      </w:r>
      <w:r w:rsidR="004276DF">
        <w:t>the EU</w:t>
      </w:r>
      <w:r w:rsidRPr="00B4282A">
        <w:t xml:space="preserve"> seeks to promote Europe's energy independence through RES, increased energy efficiency and the hydrogen economy.</w:t>
      </w:r>
      <w:r>
        <w:t xml:space="preserve"> Hence, the use of hydrogen as energy </w:t>
      </w:r>
      <w:r w:rsidR="00B84275">
        <w:t xml:space="preserve">vector and </w:t>
      </w:r>
      <w:r>
        <w:t>commodity</w:t>
      </w:r>
      <w:r w:rsidR="00615A60">
        <w:t xml:space="preserve"> is an efficient and sustainable solution for large-scale and seasonal energy storage without degradation to boost RES penetration in the energy mix</w:t>
      </w:r>
      <w:r w:rsidR="00316E21">
        <w:t xml:space="preserve"> and decarbonize different energy-related sectors</w:t>
      </w:r>
      <w:r w:rsidR="00CA1977">
        <w:t xml:space="preserve"> </w:t>
      </w:r>
      <w:r w:rsidR="00CA1977">
        <w:fldChar w:fldCharType="begin" w:fldLock="1"/>
      </w:r>
      <w:r w:rsidR="000D314F">
        <w:instrText>ADDIN CSL_CITATION {"citationItems":[{"id":"ITEM-1","itemData":{"URL":"https://commission.europa.eu/strategy-and-policy/priorities-2019-2024/european-green-deal/repowereu-affordable-secure-and-sustainable-energy-europe_en","accessed":{"date-parts":[["2023","3","13"]]},"author":[{"dropping-particle":"","family":"European Council","given":"","non-dropping-particle":"","parse-names":false,"suffix":""}],"id":"ITEM-1","issued":{"date-parts":[["2022"]]},"title":"REPowerEU: affordable, secure and sustainable energy for Europe","type":"webpage"},"uris":["http://www.mendeley.com/documents/?uuid=b309996c-1576-362d-a6f6-4f8cca7564b1"]}],"mendeley":{"formattedCitation":"(European Council 2022)","manualFormatting":"(European Council, 2022)","plainTextFormattedCitation":"(European Council 2022)","previouslyFormattedCitation":"(European Council 2022)"},"properties":{"noteIndex":0},"schema":"https://github.com/citation-style-language/schema/raw/master/csl-citation.json"}</w:instrText>
      </w:r>
      <w:r w:rsidR="00CA1977">
        <w:fldChar w:fldCharType="separate"/>
      </w:r>
      <w:r w:rsidR="00CA1977" w:rsidRPr="00CA1977">
        <w:rPr>
          <w:noProof/>
        </w:rPr>
        <w:t>(European Council</w:t>
      </w:r>
      <w:r w:rsidR="00E213B8">
        <w:rPr>
          <w:noProof/>
        </w:rPr>
        <w:t>,</w:t>
      </w:r>
      <w:r w:rsidR="00CA1977" w:rsidRPr="00CA1977">
        <w:rPr>
          <w:noProof/>
        </w:rPr>
        <w:t xml:space="preserve"> 2022)</w:t>
      </w:r>
      <w:r w:rsidR="00CA1977">
        <w:fldChar w:fldCharType="end"/>
      </w:r>
      <w:r w:rsidR="00316E21">
        <w:t>.</w:t>
      </w:r>
    </w:p>
    <w:p w14:paraId="0EE46C68" w14:textId="6C1F899A" w:rsidR="00316E21" w:rsidRDefault="00316E21" w:rsidP="00B4282A">
      <w:pPr>
        <w:pStyle w:val="CETBodytext"/>
      </w:pPr>
    </w:p>
    <w:p w14:paraId="0EF18B15" w14:textId="3EB3E13B" w:rsidR="00B72FEC" w:rsidRDefault="00316E21" w:rsidP="00316E21">
      <w:pPr>
        <w:pStyle w:val="CETBodytext"/>
        <w:rPr>
          <w:lang w:val="en-GB"/>
        </w:rPr>
      </w:pPr>
      <w:r>
        <w:lastRenderedPageBreak/>
        <w:t xml:space="preserve">In this sense, the residential and building sector is a massive energy consumer in the EU, contributing to 40% of </w:t>
      </w:r>
      <w:r w:rsidR="00241693">
        <w:t xml:space="preserve">the </w:t>
      </w:r>
      <w:r>
        <w:t xml:space="preserve">final energy consumption and being highly inefficient due to </w:t>
      </w:r>
      <w:r w:rsidR="00A90EFC">
        <w:t xml:space="preserve">its </w:t>
      </w:r>
      <w:r>
        <w:t>aging, which negatively contribute</w:t>
      </w:r>
      <w:r w:rsidR="00A509B3">
        <w:t>s</w:t>
      </w:r>
      <w:r>
        <w:t xml:space="preserve"> to the carbon footprint of this sector. Furthermore, the unprecedented economy inflation has aggravated the situation of most vulnerable citizens, leading them to energy poverty. Therefore, it is fundamental to </w:t>
      </w:r>
      <w:r w:rsidR="00F94931">
        <w:t xml:space="preserve">improve </w:t>
      </w:r>
      <w:r>
        <w:t xml:space="preserve">the energy performance of the residential and building sector to abate </w:t>
      </w:r>
      <w:r w:rsidR="00F94931">
        <w:t xml:space="preserve">its </w:t>
      </w:r>
      <w:r>
        <w:t>contribution to the climate change and to cheapen the electricity bills that are deteriorating the quality standards of the population</w:t>
      </w:r>
      <w:r w:rsidR="00CA1977">
        <w:t xml:space="preserve"> </w:t>
      </w:r>
      <w:r w:rsidR="00CA1977">
        <w:fldChar w:fldCharType="begin" w:fldLock="1"/>
      </w:r>
      <w:r w:rsidR="00E01763">
        <w:instrText xml:space="preserve">ADDIN CSL_CITATION {"citationItems":[{"id":"ITEM-1","itemData":{"DOI":"10.1016/j.est.2022.105889","ISSN":"2352-152X","author":[{"dropping-particle":"","family":"Maestre","given":"V M","non-dropping-particle":"","parse-names":false,"suffix":""},{"dropping-particle":"","family":"Ortiz","given":"A","non-dropping-particle":"","parse-names":false,"suffix":""},{"dropping-particle":"","family":"Ortiz","given":"I","non-dropping-particle":"","parse-names":false,"suffix":""}],"container-title":"Journal of Energy Storage","id":"ITEM-1","issue":"PA","issued":{"date-parts":[["2022"]]},"page":"105889","publisher":"Elsevier Ltd","title":"Transition to a low-carbon building stock . Techno-economic and spatial optimization of renewables </w:instrText>
      </w:r>
      <w:r w:rsidR="00E01763">
        <w:rPr>
          <w:rFonts w:ascii="Cambria Math" w:hAnsi="Cambria Math" w:cs="Cambria Math"/>
        </w:rPr>
        <w:instrText>‑</w:instrText>
      </w:r>
      <w:r w:rsidR="00E01763">
        <w:instrText xml:space="preserve"> hydrogen strategies in Spain","type":"article-journal","volume":"56"},"uris":["http://www.mendeley.com/documents/?uuid=7f6f6dc6-3b8f-44ef-a633-f6404ae9c6a7"]}],"mendeley":{"formattedCitation":"(V M Maestre, Ortiz, and Ortiz 2022)","plainTextFormattedCitation":"(V M Maestre, Ortiz, and Ortiz 2022)","previouslyFormattedCitation":"(V M Maestre, Ortiz, and Ortiz 2022)"},"properties":{"noteIndex":0},"schema":"https://github.com/citation-style-language/schema/raw/master/csl-citation.json"}</w:instrText>
      </w:r>
      <w:r w:rsidR="00CA1977">
        <w:fldChar w:fldCharType="separate"/>
      </w:r>
      <w:r w:rsidR="00CA1977" w:rsidRPr="00CA1977">
        <w:rPr>
          <w:noProof/>
        </w:rPr>
        <w:t>(Maestre</w:t>
      </w:r>
      <w:r w:rsidR="000D314F">
        <w:rPr>
          <w:noProof/>
        </w:rPr>
        <w:t xml:space="preserve"> et al.</w:t>
      </w:r>
      <w:r w:rsidR="00CA1977" w:rsidRPr="00CA1977">
        <w:rPr>
          <w:noProof/>
        </w:rPr>
        <w:t>, 2022)</w:t>
      </w:r>
      <w:r w:rsidR="00CA1977">
        <w:fldChar w:fldCharType="end"/>
      </w:r>
      <w:r>
        <w:t xml:space="preserve">. </w:t>
      </w:r>
      <w:r w:rsidRPr="00316E21">
        <w:rPr>
          <w:lang w:val="en-GB"/>
        </w:rPr>
        <w:t>Hence, the design and implementation of a hybrid renewable-hydrogen power system has turn</w:t>
      </w:r>
      <w:r w:rsidR="00B51979">
        <w:rPr>
          <w:lang w:val="en-GB"/>
        </w:rPr>
        <w:t>ed</w:t>
      </w:r>
      <w:r w:rsidRPr="00316E21">
        <w:rPr>
          <w:lang w:val="en-GB"/>
        </w:rPr>
        <w:t xml:space="preserve"> out in the first electrically self-sufficient social housing of Spain installed in the tow</w:t>
      </w:r>
      <w:r>
        <w:rPr>
          <w:lang w:val="en-GB"/>
        </w:rPr>
        <w:t>n of Novales (Cantabria, Spain) in the framework of the European project SUDOE ENERGY PUSH</w:t>
      </w:r>
      <w:r w:rsidR="00CA1977">
        <w:rPr>
          <w:lang w:val="en-GB"/>
        </w:rPr>
        <w:t xml:space="preserve"> </w:t>
      </w:r>
      <w:r w:rsidR="00CA1977">
        <w:rPr>
          <w:lang w:val="en-GB"/>
        </w:rPr>
        <w:fldChar w:fldCharType="begin" w:fldLock="1"/>
      </w:r>
      <w:r w:rsidR="000D314F">
        <w:rPr>
          <w:lang w:val="en-GB"/>
        </w:rPr>
        <w:instrText>ADDIN CSL_CITATION {"citationItems":[{"id":"ITEM-1","itemData":{"DOI":"10.3303/CET2296038","ISBN":"9788895608952","author":[{"dropping-particle":"","family":"Maestre","given":"Víctor M","non-dropping-particle":"","parse-names":false,"suffix":""},{"dropping-particle":"","family":"Ortiz","given":"Alfredo","non-dropping-particle":"","parse-names":false,"suffix":""},{"dropping-particle":"","family":"Ortiz","given":"Inmaculada","non-dropping-particle":"","parse-names":false,"suffix":""}],"container-title":"Chemical Engineering Transactions","id":"ITEM-1","issue":"November 2021","issued":{"date-parts":[["2022"]]},"page":"223-228","title":"Implementation and Digitalization of a Renewable Hydrogen- based Power System for Social Housing Decarbonization","type":"article-journal","volume":"96"},"uris":["http://www.mendeley.com/documents/?uuid=9ba2cd6d-b0a5-43aa-b4e0-3bf14c219a9b"]}],"mendeley":{"formattedCitation":"(Víctor M Maestre, Ortiz, and Ortiz 2022)","manualFormatting":"(Maestre et al., 2022)","plainTextFormattedCitation":"(Víctor M Maestre, Ortiz, and Ortiz 2022)","previouslyFormattedCitation":"(Víctor M Maestre, Ortiz, and Ortiz 2022)"},"properties":{"noteIndex":0},"schema":"https://github.com/citation-style-language/schema/raw/master/csl-citation.json"}</w:instrText>
      </w:r>
      <w:r w:rsidR="00CA1977">
        <w:rPr>
          <w:lang w:val="en-GB"/>
        </w:rPr>
        <w:fldChar w:fldCharType="separate"/>
      </w:r>
      <w:r w:rsidR="00CA1977" w:rsidRPr="00CA1977">
        <w:rPr>
          <w:noProof/>
          <w:lang w:val="en-GB"/>
        </w:rPr>
        <w:t>(Maestre</w:t>
      </w:r>
      <w:r w:rsidR="000D314F">
        <w:rPr>
          <w:noProof/>
          <w:lang w:val="en-GB"/>
        </w:rPr>
        <w:t xml:space="preserve"> et al.</w:t>
      </w:r>
      <w:r w:rsidR="00CA1977" w:rsidRPr="00CA1977">
        <w:rPr>
          <w:noProof/>
          <w:lang w:val="en-GB"/>
        </w:rPr>
        <w:t>, 2022)</w:t>
      </w:r>
      <w:r w:rsidR="00CA1977">
        <w:rPr>
          <w:lang w:val="en-GB"/>
        </w:rPr>
        <w:fldChar w:fldCharType="end"/>
      </w:r>
      <w:r w:rsidR="003558CF">
        <w:rPr>
          <w:lang w:val="en-GB"/>
        </w:rPr>
        <w:t>.</w:t>
      </w:r>
    </w:p>
    <w:p w14:paraId="13017149" w14:textId="67FF768B" w:rsidR="00424A5D" w:rsidRDefault="00424A5D" w:rsidP="00316E21">
      <w:pPr>
        <w:pStyle w:val="CETBodytext"/>
        <w:rPr>
          <w:lang w:val="en-GB"/>
        </w:rPr>
      </w:pPr>
    </w:p>
    <w:p w14:paraId="4E73B2FF" w14:textId="6B7F039C" w:rsidR="00424A5D" w:rsidRDefault="00424A5D" w:rsidP="00316E21">
      <w:pPr>
        <w:pStyle w:val="CETBodytext"/>
        <w:rPr>
          <w:lang w:val="en-GB"/>
        </w:rPr>
      </w:pPr>
      <w:r>
        <w:rPr>
          <w:lang w:val="en-GB"/>
        </w:rPr>
        <w:t>To further develop and optimize the</w:t>
      </w:r>
      <w:r w:rsidR="00E221D9">
        <w:rPr>
          <w:lang w:val="en-GB"/>
        </w:rPr>
        <w:t xml:space="preserve"> operation of the renewable hydrogen-based system (RHS), a digital twin (DT) modelling of the pilot plant has been proposed under the HY2RES project</w:t>
      </w:r>
      <w:r w:rsidR="00C90615" w:rsidRPr="00C90615">
        <w:rPr>
          <w:lang w:val="en-GB"/>
        </w:rPr>
        <w:t>. The concept of DT was originally proposed at the beginning of the century (Grieves</w:t>
      </w:r>
      <w:r w:rsidR="000D314F">
        <w:rPr>
          <w:lang w:val="en-GB"/>
        </w:rPr>
        <w:t>,</w:t>
      </w:r>
      <w:r w:rsidR="001C25B1">
        <w:rPr>
          <w:lang w:val="en-GB"/>
        </w:rPr>
        <w:t xml:space="preserve"> 2014</w:t>
      </w:r>
      <w:r w:rsidR="00C90615" w:rsidRPr="00C90615">
        <w:rPr>
          <w:lang w:val="en-GB"/>
        </w:rPr>
        <w:t>) for industrial environments, and recently applied to different sectors (</w:t>
      </w:r>
      <w:r w:rsidR="001C25B1" w:rsidRPr="001C25B1">
        <w:rPr>
          <w:rFonts w:cs="Arial"/>
          <w:iCs/>
          <w:noProof/>
          <w:szCs w:val="24"/>
        </w:rPr>
        <w:t>Tao</w:t>
      </w:r>
      <w:r w:rsidR="000D314F">
        <w:rPr>
          <w:rFonts w:cs="Arial"/>
          <w:iCs/>
          <w:noProof/>
          <w:szCs w:val="24"/>
        </w:rPr>
        <w:t xml:space="preserve"> et al.,</w:t>
      </w:r>
      <w:r w:rsidR="001C25B1" w:rsidRPr="001C25B1">
        <w:rPr>
          <w:rFonts w:cs="Arial"/>
          <w:iCs/>
          <w:noProof/>
          <w:szCs w:val="24"/>
        </w:rPr>
        <w:t xml:space="preserve"> 2019</w:t>
      </w:r>
      <w:r w:rsidR="00C90615" w:rsidRPr="00C90615">
        <w:rPr>
          <w:lang w:val="en-GB"/>
        </w:rPr>
        <w:t xml:space="preserve">) leveraging the digitalization and higher capabilities of communication and computation systems. </w:t>
      </w:r>
      <w:r w:rsidR="00E221D9">
        <w:rPr>
          <w:lang w:val="en-GB"/>
        </w:rPr>
        <w:t>Thus, through the application of machine learning (ML) and artificial intelligen</w:t>
      </w:r>
      <w:r w:rsidR="00551CFD">
        <w:rPr>
          <w:lang w:val="en-GB"/>
        </w:rPr>
        <w:t>ce</w:t>
      </w:r>
      <w:r w:rsidR="00E221D9">
        <w:rPr>
          <w:lang w:val="en-GB"/>
        </w:rPr>
        <w:t xml:space="preserve"> (AI) techniques to the data collected, the main </w:t>
      </w:r>
      <w:r w:rsidR="0060260D">
        <w:rPr>
          <w:lang w:val="en-GB"/>
        </w:rPr>
        <w:t xml:space="preserve">objective </w:t>
      </w:r>
      <w:r w:rsidR="00E221D9">
        <w:rPr>
          <w:lang w:val="en-GB"/>
        </w:rPr>
        <w:t>is the enhancement of the RHS performance under different dynamic circumstances.</w:t>
      </w:r>
      <w:r w:rsidR="000446B5">
        <w:rPr>
          <w:lang w:val="en-GB"/>
        </w:rPr>
        <w:t xml:space="preserve"> </w:t>
      </w:r>
      <w:r w:rsidR="00C90615">
        <w:rPr>
          <w:lang w:val="en-GB"/>
        </w:rPr>
        <w:t>This type of system and methodologies has been proposed in the literature for the energy sector (</w:t>
      </w:r>
      <w:r w:rsidR="001C25B1" w:rsidRPr="001C25B1">
        <w:rPr>
          <w:rFonts w:cs="Arial"/>
          <w:iCs/>
          <w:noProof/>
          <w:szCs w:val="24"/>
        </w:rPr>
        <w:t>Nguyen</w:t>
      </w:r>
      <w:r w:rsidR="000D314F">
        <w:rPr>
          <w:rFonts w:cs="Arial"/>
          <w:iCs/>
          <w:noProof/>
          <w:szCs w:val="24"/>
        </w:rPr>
        <w:t xml:space="preserve"> et al.,</w:t>
      </w:r>
      <w:r w:rsidR="001C25B1" w:rsidRPr="001C25B1">
        <w:rPr>
          <w:rFonts w:cs="Arial"/>
          <w:iCs/>
          <w:noProof/>
          <w:szCs w:val="24"/>
        </w:rPr>
        <w:t xml:space="preserve"> 2021</w:t>
      </w:r>
      <w:r w:rsidR="00C90615">
        <w:rPr>
          <w:lang w:val="en-GB"/>
        </w:rPr>
        <w:t xml:space="preserve">), and for </w:t>
      </w:r>
      <w:r w:rsidR="002025B2">
        <w:rPr>
          <w:lang w:val="en-GB"/>
        </w:rPr>
        <w:t xml:space="preserve">the </w:t>
      </w:r>
      <w:r w:rsidR="00C90615">
        <w:rPr>
          <w:lang w:val="en-GB"/>
        </w:rPr>
        <w:t>particular case of residential environments (</w:t>
      </w:r>
      <w:proofErr w:type="spellStart"/>
      <w:r w:rsidR="001C25B1" w:rsidRPr="0019643D">
        <w:rPr>
          <w:rFonts w:cs="Arial"/>
          <w:iCs/>
          <w:noProof/>
          <w:szCs w:val="24"/>
          <w:lang w:val="en-GB"/>
        </w:rPr>
        <w:t>Agostinelli</w:t>
      </w:r>
      <w:proofErr w:type="spellEnd"/>
      <w:r w:rsidR="000D314F">
        <w:rPr>
          <w:rFonts w:cs="Arial"/>
          <w:iCs/>
          <w:noProof/>
          <w:szCs w:val="24"/>
          <w:lang w:val="en-GB"/>
        </w:rPr>
        <w:t xml:space="preserve"> et al., </w:t>
      </w:r>
      <w:r w:rsidR="001C25B1" w:rsidRPr="001C25B1">
        <w:rPr>
          <w:rFonts w:cs="Arial"/>
          <w:iCs/>
          <w:noProof/>
          <w:szCs w:val="24"/>
          <w:lang w:val="en-GB"/>
        </w:rPr>
        <w:t>20</w:t>
      </w:r>
      <w:r w:rsidR="001C25B1" w:rsidRPr="001C25B1">
        <w:rPr>
          <w:rFonts w:cs="Arial"/>
          <w:iCs/>
          <w:noProof/>
          <w:szCs w:val="24"/>
        </w:rPr>
        <w:t>21</w:t>
      </w:r>
      <w:r w:rsidR="00C90615">
        <w:rPr>
          <w:lang w:val="en-GB"/>
        </w:rPr>
        <w:t xml:space="preserve">). </w:t>
      </w:r>
      <w:r w:rsidR="000446B5">
        <w:rPr>
          <w:lang w:val="en-GB"/>
        </w:rPr>
        <w:t xml:space="preserve">In this </w:t>
      </w:r>
      <w:r w:rsidR="00C73694">
        <w:rPr>
          <w:lang w:val="en-GB"/>
        </w:rPr>
        <w:t>work</w:t>
      </w:r>
      <w:r w:rsidR="000446B5">
        <w:rPr>
          <w:lang w:val="en-GB"/>
        </w:rPr>
        <w:t xml:space="preserve">, the overarching methodology </w:t>
      </w:r>
      <w:r w:rsidR="00C73694">
        <w:rPr>
          <w:lang w:val="en-GB"/>
        </w:rPr>
        <w:t xml:space="preserve">of the </w:t>
      </w:r>
      <w:r w:rsidR="00F6392E">
        <w:rPr>
          <w:lang w:val="en-GB"/>
        </w:rPr>
        <w:t>project</w:t>
      </w:r>
      <w:r w:rsidR="00C73694">
        <w:rPr>
          <w:lang w:val="en-GB"/>
        </w:rPr>
        <w:t xml:space="preserve"> </w:t>
      </w:r>
      <w:r w:rsidR="000446B5">
        <w:rPr>
          <w:lang w:val="en-GB"/>
        </w:rPr>
        <w:t xml:space="preserve">and </w:t>
      </w:r>
      <w:r w:rsidR="00C73694">
        <w:rPr>
          <w:lang w:val="en-GB"/>
        </w:rPr>
        <w:t xml:space="preserve">DT modelling strategy are presented, along with some preliminary results. </w:t>
      </w:r>
    </w:p>
    <w:p w14:paraId="417F350F" w14:textId="34A04049" w:rsidR="00E221D9" w:rsidRDefault="00E221D9" w:rsidP="00316E21">
      <w:pPr>
        <w:pStyle w:val="CETBodytext"/>
        <w:rPr>
          <w:lang w:val="en-GB"/>
        </w:rPr>
      </w:pPr>
    </w:p>
    <w:p w14:paraId="14221883" w14:textId="008BEABB" w:rsidR="00E221D9" w:rsidRDefault="00E221D9" w:rsidP="00E221D9">
      <w:pPr>
        <w:pStyle w:val="CETHeading1"/>
      </w:pPr>
      <w:r>
        <w:t>Methodology</w:t>
      </w:r>
    </w:p>
    <w:p w14:paraId="33AE249B" w14:textId="35F9FA5C" w:rsidR="00B65390" w:rsidRDefault="00B65390" w:rsidP="00316E21">
      <w:pPr>
        <w:pStyle w:val="CETBodytext"/>
      </w:pPr>
      <w:r>
        <w:t>The RHS</w:t>
      </w:r>
      <w:r w:rsidR="00424A5D">
        <w:t xml:space="preserve"> </w:t>
      </w:r>
      <w:r>
        <w:t xml:space="preserve">designed and </w:t>
      </w:r>
      <w:r w:rsidR="00424A5D">
        <w:t>deployed</w:t>
      </w:r>
      <w:r>
        <w:t xml:space="preserve"> in the framework of the SUDOE ENERGY PUSH proposal combines both renewable energies and novel hydrogen technologies to ensure the complete electricity self-sufficiency of a social dwelling over the year. Thus, the photovoltaic (PV) panels installed on the roof of the building harvest solar energy </w:t>
      </w:r>
      <w:r w:rsidR="00431642">
        <w:t xml:space="preserve">to be used </w:t>
      </w:r>
      <w:r w:rsidR="00DC246D">
        <w:t xml:space="preserve">in the dwelling as </w:t>
      </w:r>
      <w:r>
        <w:t>primary energy. Then, if PV panels generate excess energy, it is firstly accumulated in a lithium-ion battery pack for short-term energy storage and, subsequently, employed for hydrogen generation, compre</w:t>
      </w:r>
      <w:r w:rsidR="008A6EB1">
        <w:t>s</w:t>
      </w:r>
      <w:r>
        <w:t xml:space="preserve">sion and storage for seasonal energy saving. During periods of PV energy scarcity </w:t>
      </w:r>
      <w:r w:rsidR="0082700B">
        <w:t>or</w:t>
      </w:r>
      <w:r>
        <w:t xml:space="preserve"> at night, batteries initially supply electricit</w:t>
      </w:r>
      <w:r w:rsidR="0082700B">
        <w:t xml:space="preserve">y to the load and then, they are charged by means of a fuel cell that finally covers the demand of the home. Figure 1 presents </w:t>
      </w:r>
      <w:r w:rsidR="003F5FE0">
        <w:t>a</w:t>
      </w:r>
      <w:r w:rsidR="0082700B">
        <w:t xml:space="preserve"> schematic overview of the pilot plant and electricity and hydrogen flows within the system.</w:t>
      </w:r>
    </w:p>
    <w:p w14:paraId="0F08F000" w14:textId="19DF36DB" w:rsidR="0082700B" w:rsidRDefault="0082700B" w:rsidP="00316E21">
      <w:pPr>
        <w:pStyle w:val="CETBodytext"/>
      </w:pPr>
    </w:p>
    <w:p w14:paraId="2348425B" w14:textId="073D913D" w:rsidR="0082700B" w:rsidRDefault="0082700B" w:rsidP="00316E21">
      <w:pPr>
        <w:pStyle w:val="CETBodytext"/>
      </w:pPr>
      <w:r w:rsidRPr="00EE5F68">
        <w:rPr>
          <w:noProof/>
          <w:lang w:val="en-GB" w:eastAsia="en-GB"/>
        </w:rPr>
        <w:drawing>
          <wp:inline distT="0" distB="0" distL="0" distR="0" wp14:anchorId="0491304A" wp14:editId="57589B51">
            <wp:extent cx="3931383" cy="2797072"/>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71002" cy="2896407"/>
                    </a:xfrm>
                    <a:prstGeom prst="rect">
                      <a:avLst/>
                    </a:prstGeom>
                    <a:noFill/>
                  </pic:spPr>
                </pic:pic>
              </a:graphicData>
            </a:graphic>
          </wp:inline>
        </w:drawing>
      </w:r>
    </w:p>
    <w:p w14:paraId="5FF99079" w14:textId="2B7F43BF" w:rsidR="0082700B" w:rsidRDefault="0082700B" w:rsidP="00316E21">
      <w:pPr>
        <w:pStyle w:val="CETBodytext"/>
      </w:pPr>
      <w:r w:rsidRPr="00BD077D">
        <w:rPr>
          <w:rStyle w:val="CETCaptionCarattere"/>
        </w:rPr>
        <w:t>Figure 1: S</w:t>
      </w:r>
      <w:r>
        <w:rPr>
          <w:rStyle w:val="CETCaptionCarattere"/>
        </w:rPr>
        <w:t>chematic diagram of the hybrid RHS deployed in Novales (Cantabria, Spain).</w:t>
      </w:r>
    </w:p>
    <w:p w14:paraId="7A8760E4" w14:textId="77777777" w:rsidR="00B65390" w:rsidRDefault="00B65390" w:rsidP="00316E21">
      <w:pPr>
        <w:pStyle w:val="CETBodytext"/>
      </w:pPr>
    </w:p>
    <w:p w14:paraId="7B71A073" w14:textId="4F7D33F9" w:rsidR="00424A5D" w:rsidRDefault="003F5FE0" w:rsidP="00CC6024">
      <w:pPr>
        <w:pStyle w:val="CETBodytext"/>
      </w:pPr>
      <w:r>
        <w:t>The pilot plant</w:t>
      </w:r>
      <w:r w:rsidR="00424A5D">
        <w:t xml:space="preserve"> has been completely automated and controlled remotely thanks to the aid of a prog</w:t>
      </w:r>
      <w:r>
        <w:t xml:space="preserve">rammable logic controller (PLC). Furthermore, the RHS is </w:t>
      </w:r>
      <w:r w:rsidR="00424A5D">
        <w:t>operate</w:t>
      </w:r>
      <w:r>
        <w:t>d</w:t>
      </w:r>
      <w:r w:rsidR="00424A5D">
        <w:t xml:space="preserve"> </w:t>
      </w:r>
      <w:r>
        <w:t xml:space="preserve">under </w:t>
      </w:r>
      <w:r w:rsidR="00424A5D">
        <w:t>a</w:t>
      </w:r>
      <w:r>
        <w:t>n</w:t>
      </w:r>
      <w:r w:rsidR="00424A5D">
        <w:t xml:space="preserve"> energy management strategy</w:t>
      </w:r>
      <w:r>
        <w:t xml:space="preserve"> based on the status of the stored autonomy</w:t>
      </w:r>
      <w:r w:rsidR="00424A5D">
        <w:t xml:space="preserve"> and it is monitored in a supervisory control and data acquisition (SCADA) system</w:t>
      </w:r>
      <w:r>
        <w:t>.</w:t>
      </w:r>
      <w:r w:rsidR="00CC6024">
        <w:t xml:space="preserve"> </w:t>
      </w:r>
      <w:r w:rsidR="00CC6024" w:rsidRPr="00CC6024">
        <w:rPr>
          <w:lang w:val="en-GB"/>
        </w:rPr>
        <w:t>Under this framework, the HY2RES project proposes a digital twin (DT) model</w:t>
      </w:r>
      <w:r w:rsidR="000B723A">
        <w:rPr>
          <w:lang w:val="en-GB"/>
        </w:rPr>
        <w:t>i</w:t>
      </w:r>
      <w:r w:rsidR="00CC6024" w:rsidRPr="00CC6024">
        <w:rPr>
          <w:lang w:val="en-GB"/>
        </w:rPr>
        <w:t xml:space="preserve">ng of the pilot plant to optimize </w:t>
      </w:r>
      <w:r w:rsidR="00CC6024" w:rsidRPr="00CC6024">
        <w:rPr>
          <w:lang w:val="en-GB"/>
        </w:rPr>
        <w:lastRenderedPageBreak/>
        <w:t>the control system and the operating parameters thanks to the application of machine learning (ML) and artificial intelligence (AI) techniques to the data collected</w:t>
      </w:r>
      <w:r w:rsidR="00CC6024">
        <w:rPr>
          <w:lang w:val="en-GB"/>
        </w:rPr>
        <w:t>.</w:t>
      </w:r>
    </w:p>
    <w:p w14:paraId="01D0ABD0" w14:textId="0F1CCB58" w:rsidR="003F5FE0" w:rsidRDefault="003F5FE0" w:rsidP="00316E21">
      <w:pPr>
        <w:pStyle w:val="CETBodytext"/>
      </w:pPr>
    </w:p>
    <w:p w14:paraId="2F1B5EE2" w14:textId="3C243E5B" w:rsidR="00CC6024" w:rsidRDefault="00CC6024" w:rsidP="00316E21">
      <w:pPr>
        <w:pStyle w:val="CETBodytext"/>
        <w:rPr>
          <w:lang w:val="en-GB"/>
        </w:rPr>
      </w:pPr>
      <w:r w:rsidRPr="00CC6024">
        <w:rPr>
          <w:lang w:val="en-GB"/>
        </w:rPr>
        <w:t>To develop the DT, the HY2RES project proposes an architecture that embraces three main components. The first one is devoted to the physical-virtual interaction, to gather information from the real system, and to send</w:t>
      </w:r>
      <w:r w:rsidR="008A6EB1">
        <w:rPr>
          <w:lang w:val="en-GB"/>
        </w:rPr>
        <w:t xml:space="preserve"> </w:t>
      </w:r>
      <w:r w:rsidRPr="00CC6024">
        <w:rPr>
          <w:lang w:val="en-GB"/>
        </w:rPr>
        <w:t>back decision policies. On top of it, the architecture includes elements for data management, and integrates external data sources, such as weather forecast.  Leveraging the aforementioned modules, the DT is implemented by a set of software libraries that replicate the behavio</w:t>
      </w:r>
      <w:r w:rsidR="006214C8">
        <w:rPr>
          <w:lang w:val="en-GB"/>
        </w:rPr>
        <w:t>u</w:t>
      </w:r>
      <w:r w:rsidRPr="00CC6024">
        <w:rPr>
          <w:lang w:val="en-GB"/>
        </w:rPr>
        <w:t xml:space="preserve">r of the real system. In this sense, once the input/output and control variables of the main components of the RES system </w:t>
      </w:r>
      <w:r w:rsidR="006214C8">
        <w:rPr>
          <w:lang w:val="en-GB"/>
        </w:rPr>
        <w:t>are</w:t>
      </w:r>
      <w:r w:rsidRPr="00CC6024">
        <w:rPr>
          <w:lang w:val="en-GB"/>
        </w:rPr>
        <w:t xml:space="preserve"> identified, we will tackle their modeling. This includes algorithmic solutions when the underlying behavio</w:t>
      </w:r>
      <w:r w:rsidR="006214C8">
        <w:rPr>
          <w:lang w:val="en-GB"/>
        </w:rPr>
        <w:t>u</w:t>
      </w:r>
      <w:r w:rsidRPr="00CC6024">
        <w:rPr>
          <w:lang w:val="en-GB"/>
        </w:rPr>
        <w:t xml:space="preserve">r is well known, and ML techniques otherwise. Eventually, the HY2RES project will exploit the DT to assess the </w:t>
      </w:r>
      <w:r w:rsidR="006214C8">
        <w:rPr>
          <w:lang w:val="en-GB"/>
        </w:rPr>
        <w:t>performance</w:t>
      </w:r>
      <w:r w:rsidR="006214C8" w:rsidRPr="00CC6024">
        <w:rPr>
          <w:lang w:val="en-GB"/>
        </w:rPr>
        <w:t xml:space="preserve"> </w:t>
      </w:r>
      <w:r w:rsidRPr="00CC6024">
        <w:rPr>
          <w:lang w:val="en-GB"/>
        </w:rPr>
        <w:t xml:space="preserve">of various control policies over the digital replica, including those based on weather forecast. In addition, it will also allow a “what if” analysis of the system under different circumstances for a given policy. </w:t>
      </w:r>
      <w:r>
        <w:rPr>
          <w:lang w:val="en-GB"/>
        </w:rPr>
        <w:t>Figure 2 graphically depicts the HY2RES project scope and underlying structure.</w:t>
      </w:r>
    </w:p>
    <w:p w14:paraId="02047104" w14:textId="77777777" w:rsidR="00CC6024" w:rsidRDefault="00CC6024" w:rsidP="00316E21">
      <w:pPr>
        <w:pStyle w:val="CETBodytext"/>
        <w:rPr>
          <w:lang w:val="en-GB"/>
        </w:rPr>
      </w:pPr>
    </w:p>
    <w:p w14:paraId="32D71256" w14:textId="58CCA645" w:rsidR="00CC6024" w:rsidRDefault="00CC6024" w:rsidP="00316E21">
      <w:pPr>
        <w:pStyle w:val="CETBodytext"/>
      </w:pPr>
      <w:r w:rsidRPr="003F5FE0">
        <w:rPr>
          <w:noProof/>
          <w:lang w:val="en-GB" w:eastAsia="en-GB"/>
        </w:rPr>
        <w:drawing>
          <wp:inline distT="0" distB="0" distL="0" distR="0" wp14:anchorId="3DCB9BEE" wp14:editId="4729DED7">
            <wp:extent cx="5566611" cy="2190620"/>
            <wp:effectExtent l="0" t="0" r="0" b="0"/>
            <wp:docPr id="3" name="Imagen 4">
              <a:extLst xmlns:a="http://schemas.openxmlformats.org/drawingml/2006/main">
                <a:ext uri="{FF2B5EF4-FFF2-40B4-BE49-F238E27FC236}">
                  <a16:creationId xmlns:a16="http://schemas.microsoft.com/office/drawing/2014/main" id="{D31CA5C0-CA90-4E99-A918-DE6542A49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D31CA5C0-CA90-4E99-A918-DE6542A497DD}"/>
                        </a:ext>
                      </a:extLst>
                    </pic:cNvPr>
                    <pic:cNvPicPr>
                      <a:picLocks noChangeAspect="1"/>
                    </pic:cNvPicPr>
                  </pic:nvPicPr>
                  <pic:blipFill rotWithShape="1">
                    <a:blip r:embed="rId15"/>
                    <a:srcRect r="1242"/>
                    <a:stretch/>
                  </pic:blipFill>
                  <pic:spPr bwMode="auto">
                    <a:xfrm>
                      <a:off x="0" y="0"/>
                      <a:ext cx="5577728" cy="2194995"/>
                    </a:xfrm>
                    <a:prstGeom prst="rect">
                      <a:avLst/>
                    </a:prstGeom>
                    <a:ln>
                      <a:noFill/>
                    </a:ln>
                    <a:extLst>
                      <a:ext uri="{53640926-AAD7-44D8-BBD7-CCE9431645EC}">
                        <a14:shadowObscured xmlns:a14="http://schemas.microsoft.com/office/drawing/2010/main"/>
                      </a:ext>
                    </a:extLst>
                  </pic:spPr>
                </pic:pic>
              </a:graphicData>
            </a:graphic>
          </wp:inline>
        </w:drawing>
      </w:r>
    </w:p>
    <w:p w14:paraId="6BC6369C" w14:textId="688A97E4" w:rsidR="00CC6024" w:rsidRDefault="00CC6024" w:rsidP="00CC6024">
      <w:pPr>
        <w:pStyle w:val="CETBodytext"/>
      </w:pPr>
      <w:r w:rsidRPr="00BD077D">
        <w:rPr>
          <w:rStyle w:val="CETCaptionCarattere"/>
        </w:rPr>
        <w:t xml:space="preserve">Figure </w:t>
      </w:r>
      <w:r>
        <w:rPr>
          <w:rStyle w:val="CETCaptionCarattere"/>
        </w:rPr>
        <w:t>2</w:t>
      </w:r>
      <w:r w:rsidRPr="00BD077D">
        <w:rPr>
          <w:rStyle w:val="CETCaptionCarattere"/>
        </w:rPr>
        <w:t>: S</w:t>
      </w:r>
      <w:r>
        <w:rPr>
          <w:rStyle w:val="CETCaptionCarattere"/>
        </w:rPr>
        <w:t>cope and structure of</w:t>
      </w:r>
      <w:r w:rsidR="00857784">
        <w:rPr>
          <w:rStyle w:val="CETCaptionCarattere"/>
        </w:rPr>
        <w:t xml:space="preserve"> </w:t>
      </w:r>
      <w:r>
        <w:rPr>
          <w:rStyle w:val="CETCaptionCarattere"/>
        </w:rPr>
        <w:t>HY2RES project.</w:t>
      </w:r>
    </w:p>
    <w:p w14:paraId="3E13966F" w14:textId="43A7821C" w:rsidR="00CC6024" w:rsidRDefault="00CC6024" w:rsidP="00316E21">
      <w:pPr>
        <w:pStyle w:val="CETBodytext"/>
      </w:pPr>
    </w:p>
    <w:p w14:paraId="05131B44" w14:textId="326C4FEB" w:rsidR="00E62A03" w:rsidRDefault="006214C8" w:rsidP="00E62A03">
      <w:pPr>
        <w:pStyle w:val="CETHeading1"/>
      </w:pPr>
      <w:r>
        <w:t xml:space="preserve">DT </w:t>
      </w:r>
      <w:r w:rsidR="00E62A03">
        <w:t>M</w:t>
      </w:r>
      <w:r w:rsidR="00D47E52">
        <w:t>odelling</w:t>
      </w:r>
    </w:p>
    <w:p w14:paraId="17928B1F" w14:textId="6BEFED9D" w:rsidR="00E62A03" w:rsidRDefault="00E62A03" w:rsidP="00E62A03">
      <w:pPr>
        <w:pStyle w:val="CETBodytext"/>
      </w:pPr>
    </w:p>
    <w:p w14:paraId="4ED17334" w14:textId="62BBBF76" w:rsidR="00D9001E" w:rsidRDefault="00E62A03" w:rsidP="00D9001E">
      <w:pPr>
        <w:autoSpaceDE w:val="0"/>
        <w:autoSpaceDN w:val="0"/>
        <w:adjustRightInd w:val="0"/>
      </w:pPr>
      <w:r w:rsidRPr="00E62A03">
        <w:t xml:space="preserve">The DT is composed </w:t>
      </w:r>
      <w:r w:rsidR="006214C8">
        <w:t xml:space="preserve">of </w:t>
      </w:r>
      <w:r w:rsidRPr="00E62A03">
        <w:t xml:space="preserve">software modules, each of them emulating the behaviour of </w:t>
      </w:r>
      <w:r w:rsidR="00C73694">
        <w:t>one or more</w:t>
      </w:r>
      <w:r w:rsidR="002A30B8">
        <w:t xml:space="preserve"> </w:t>
      </w:r>
      <w:r w:rsidRPr="00E62A03">
        <w:t>physical component</w:t>
      </w:r>
      <w:r w:rsidR="006214C8">
        <w:t>s</w:t>
      </w:r>
      <w:r w:rsidRPr="00E62A03">
        <w:t>. These modules</w:t>
      </w:r>
      <w:r w:rsidR="00C73694">
        <w:t>,</w:t>
      </w:r>
      <w:r w:rsidRPr="00E62A03">
        <w:t xml:space="preserve"> or blocks</w:t>
      </w:r>
      <w:r w:rsidR="00C73694">
        <w:t>,</w:t>
      </w:r>
      <w:r w:rsidRPr="00E62A03">
        <w:t xml:space="preserve"> are characterized by a set of </w:t>
      </w:r>
      <w:r w:rsidR="00C73694">
        <w:t>control, input and output variables</w:t>
      </w:r>
      <w:r w:rsidR="00C77646">
        <w:t xml:space="preserve">. Input and output variables </w:t>
      </w:r>
      <w:r w:rsidR="006214C8">
        <w:t xml:space="preserve">correspond to </w:t>
      </w:r>
      <w:r w:rsidR="00C77646">
        <w:t xml:space="preserve">physical magnitudes, while control </w:t>
      </w:r>
      <w:r w:rsidR="006214C8">
        <w:t xml:space="preserve">variables mimic </w:t>
      </w:r>
      <w:r w:rsidR="00C77646">
        <w:t xml:space="preserve">decision signals, such as those sent by </w:t>
      </w:r>
      <w:r w:rsidR="006214C8">
        <w:t>the</w:t>
      </w:r>
      <w:r w:rsidR="00C77646">
        <w:t xml:space="preserve"> PLC. This way, when certain</w:t>
      </w:r>
      <w:r w:rsidR="00C73694">
        <w:t xml:space="preserve"> </w:t>
      </w:r>
      <w:r w:rsidR="00C77646">
        <w:t xml:space="preserve">control and </w:t>
      </w:r>
      <w:r w:rsidRPr="00E62A03">
        <w:t>input variables are applie</w:t>
      </w:r>
      <w:r w:rsidR="00C77646">
        <w:t>d</w:t>
      </w:r>
      <w:r w:rsidRPr="00E62A03">
        <w:t xml:space="preserve">, </w:t>
      </w:r>
      <w:r w:rsidR="00C77646">
        <w:t>the module</w:t>
      </w:r>
      <w:r w:rsidRPr="00E62A03">
        <w:t xml:space="preserve"> </w:t>
      </w:r>
      <w:r w:rsidR="00C77646">
        <w:t xml:space="preserve">generates </w:t>
      </w:r>
      <w:r w:rsidRPr="00E62A03">
        <w:t xml:space="preserve">output </w:t>
      </w:r>
      <w:r w:rsidR="00C77646">
        <w:t>variables</w:t>
      </w:r>
      <w:r w:rsidR="006214C8">
        <w:t>,</w:t>
      </w:r>
      <w:r w:rsidR="00C77646">
        <w:t xml:space="preserve"> </w:t>
      </w:r>
      <w:r w:rsidR="006214C8">
        <w:t xml:space="preserve">replicating </w:t>
      </w:r>
      <w:r w:rsidR="00C77646">
        <w:t xml:space="preserve">its physical counterpart. </w:t>
      </w:r>
      <w:r w:rsidRPr="00E62A03">
        <w:t xml:space="preserve">The different modules are connected so that the output </w:t>
      </w:r>
      <w:r w:rsidR="00D9001E">
        <w:t>variables</w:t>
      </w:r>
      <w:r w:rsidRPr="00E62A03">
        <w:t xml:space="preserve"> of a module </w:t>
      </w:r>
      <w:r w:rsidR="006214C8">
        <w:t xml:space="preserve">might </w:t>
      </w:r>
      <w:r w:rsidR="00D9001E">
        <w:t>act as</w:t>
      </w:r>
      <w:r w:rsidRPr="00E62A03">
        <w:t xml:space="preserve"> input</w:t>
      </w:r>
      <w:r w:rsidR="00D9001E">
        <w:t>s</w:t>
      </w:r>
      <w:r w:rsidRPr="00E62A03">
        <w:t xml:space="preserve"> for </w:t>
      </w:r>
      <w:r w:rsidR="00D9001E">
        <w:t>others</w:t>
      </w:r>
      <w:r w:rsidRPr="00E62A03">
        <w:t xml:space="preserve">. In fact, some signals </w:t>
      </w:r>
      <w:r w:rsidR="006214C8">
        <w:t xml:space="preserve">are </w:t>
      </w:r>
      <w:r w:rsidRPr="00E62A03">
        <w:t>fed back into the system</w:t>
      </w:r>
      <w:r>
        <w:t xml:space="preserve">, </w:t>
      </w:r>
      <w:r w:rsidRPr="00E62A03">
        <w:t xml:space="preserve">like the </w:t>
      </w:r>
      <w:r w:rsidR="006214C8">
        <w:t xml:space="preserve">battery </w:t>
      </w:r>
      <w:r w:rsidRPr="00E62A03">
        <w:t>S</w:t>
      </w:r>
      <w:r w:rsidR="002A30B8">
        <w:t>tate of Charge (SOC)</w:t>
      </w:r>
      <w:r w:rsidR="00D47E52">
        <w:t xml:space="preserve">. </w:t>
      </w:r>
      <w:r w:rsidR="00D9001E">
        <w:t xml:space="preserve">Figure 3 depicts the modules </w:t>
      </w:r>
      <w:r w:rsidR="006214C8">
        <w:t xml:space="preserve">that we have </w:t>
      </w:r>
      <w:r w:rsidR="00D9001E">
        <w:t xml:space="preserve">identified so far, along with the </w:t>
      </w:r>
      <w:r w:rsidR="003A3951">
        <w:t xml:space="preserve">variables </w:t>
      </w:r>
      <w:r w:rsidR="00D9001E">
        <w:t xml:space="preserve">currently considered. </w:t>
      </w:r>
      <w:r w:rsidR="004F44F9">
        <w:t>Among the</w:t>
      </w:r>
      <w:r w:rsidR="006214C8">
        <w:t>m</w:t>
      </w:r>
      <w:r w:rsidR="004F44F9">
        <w:t>, we differentiate between controlled and external ones. The former</w:t>
      </w:r>
      <w:r w:rsidR="003341A4">
        <w:t>,</w:t>
      </w:r>
      <w:r w:rsidR="004F44F9">
        <w:t xml:space="preserve"> are modelled by the DT, since their values depend on the control system. On the other hand, the latter are independent of the control system. As can be observed in the figure, </w:t>
      </w:r>
      <w:r w:rsidR="0083071E">
        <w:t>we are currently using the power demand and PV power supply as external variables, and others will be integrated in</w:t>
      </w:r>
      <w:r w:rsidR="006214C8">
        <w:t xml:space="preserve"> the</w:t>
      </w:r>
      <w:r w:rsidR="0083071E">
        <w:t xml:space="preserve"> next stages of implementation.</w:t>
      </w:r>
    </w:p>
    <w:p w14:paraId="6ED6940C" w14:textId="77777777" w:rsidR="004F44F9" w:rsidRDefault="004F44F9" w:rsidP="00D9001E">
      <w:pPr>
        <w:autoSpaceDE w:val="0"/>
        <w:autoSpaceDN w:val="0"/>
        <w:adjustRightInd w:val="0"/>
      </w:pPr>
    </w:p>
    <w:p w14:paraId="33008366" w14:textId="6F459FEC" w:rsidR="003A3951" w:rsidRDefault="00D9001E" w:rsidP="00D9001E">
      <w:pPr>
        <w:pStyle w:val="CETBodytext"/>
      </w:pPr>
      <w:r>
        <w:t xml:space="preserve">The main module </w:t>
      </w:r>
      <w:r w:rsidR="0083071E">
        <w:t xml:space="preserve">mimics </w:t>
      </w:r>
      <w:r>
        <w:t>the PLC</w:t>
      </w:r>
      <w:r w:rsidR="003A3951">
        <w:t>, since</w:t>
      </w:r>
      <w:r>
        <w:t xml:space="preserve"> it integrates the management logic of the system.</w:t>
      </w:r>
      <w:r w:rsidR="003A3951">
        <w:t xml:space="preserve"> This module will implement the </w:t>
      </w:r>
      <w:r w:rsidR="006214C8">
        <w:t xml:space="preserve">optimized </w:t>
      </w:r>
      <w:r w:rsidR="003A3951">
        <w:t>control algorithms</w:t>
      </w:r>
      <w:r w:rsidR="006214C8">
        <w:t>,</w:t>
      </w:r>
      <w:r w:rsidR="003A3951">
        <w:t xml:space="preserve"> </w:t>
      </w:r>
      <w:r w:rsidR="006214C8">
        <w:t xml:space="preserve">so as </w:t>
      </w:r>
      <w:r w:rsidR="003A3951">
        <w:t xml:space="preserve">to be validated before applying them to the real system. </w:t>
      </w:r>
      <w:r w:rsidR="006214C8">
        <w:t>Besides</w:t>
      </w:r>
      <w:r w:rsidR="003A3951">
        <w:t>, the PLC module is fed with the power demand and PV power generation, as well as with variables th</w:t>
      </w:r>
      <w:r w:rsidR="00A24015">
        <w:t>at</w:t>
      </w:r>
      <w:r w:rsidR="003A3951">
        <w:t xml:space="preserve"> bear the state of all the components: state of charge of batteries (SOC) and hydrogen storage systems</w:t>
      </w:r>
      <w:r w:rsidR="006214C8">
        <w:t>’ pressure</w:t>
      </w:r>
      <w:r w:rsidR="003A3951">
        <w:t xml:space="preserve">. </w:t>
      </w:r>
      <w:r w:rsidR="00837AEA">
        <w:t>Finally, different e</w:t>
      </w:r>
      <w:r w:rsidR="003A3951">
        <w:t xml:space="preserve">xternal data sources, such as weather forecast, will be </w:t>
      </w:r>
      <w:r w:rsidR="00837AEA">
        <w:t xml:space="preserve">integrated by means of </w:t>
      </w:r>
      <w:r w:rsidR="003A3951">
        <w:t>additional input variable</w:t>
      </w:r>
      <w:r w:rsidR="00837AEA">
        <w:t>s</w:t>
      </w:r>
      <w:r w:rsidR="003A3951">
        <w:t xml:space="preserve">. </w:t>
      </w:r>
    </w:p>
    <w:p w14:paraId="4A85D861" w14:textId="77777777" w:rsidR="003A3951" w:rsidRDefault="003A3951" w:rsidP="00D9001E">
      <w:pPr>
        <w:pStyle w:val="CETBodytext"/>
      </w:pPr>
    </w:p>
    <w:p w14:paraId="283B57F8" w14:textId="71E63CFB" w:rsidR="00D9001E" w:rsidRDefault="00A24015" w:rsidP="00D9001E">
      <w:pPr>
        <w:pStyle w:val="CETBodytext"/>
      </w:pPr>
      <w:r>
        <w:t xml:space="preserve">Using the input </w:t>
      </w:r>
      <w:r w:rsidR="006C52B3">
        <w:t>variables,</w:t>
      </w:r>
      <w:r>
        <w:t xml:space="preserve"> the PLC model </w:t>
      </w:r>
      <w:r w:rsidR="006C52B3">
        <w:t xml:space="preserve">generates </w:t>
      </w:r>
      <w:r>
        <w:t xml:space="preserve">control </w:t>
      </w:r>
      <w:r w:rsidR="00837AEA">
        <w:t xml:space="preserve">signals </w:t>
      </w:r>
      <w:r w:rsidR="006C52B3">
        <w:t>to manage the system as follows. In</w:t>
      </w:r>
      <w:r w:rsidR="00D9001E">
        <w:t xml:space="preserve"> case of excess of energy from the PV panels</w:t>
      </w:r>
      <w:r w:rsidR="0083071E">
        <w:t>,</w:t>
      </w:r>
      <w:r w:rsidR="00D9001E">
        <w:t xml:space="preserve"> </w:t>
      </w:r>
      <w:r w:rsidR="006C52B3">
        <w:t xml:space="preserve">e.g. </w:t>
      </w:r>
      <w:r w:rsidR="00D9001E">
        <w:t xml:space="preserve">once the home demand has been </w:t>
      </w:r>
      <w:r w:rsidR="0083071E">
        <w:t>satisfied</w:t>
      </w:r>
      <w:r w:rsidR="00D9001E">
        <w:t xml:space="preserve">, this </w:t>
      </w:r>
      <w:r w:rsidR="00837AEA">
        <w:t xml:space="preserve">surplus </w:t>
      </w:r>
      <w:r w:rsidR="00D9001E">
        <w:t xml:space="preserve">is distributed </w:t>
      </w:r>
      <w:r w:rsidR="00837AEA">
        <w:t xml:space="preserve">into </w:t>
      </w:r>
      <w:r w:rsidR="00D9001E">
        <w:t>the storage systems following the energy management strategy</w:t>
      </w:r>
      <w:r w:rsidR="006C52B3">
        <w:t xml:space="preserve"> or exported to the grid</w:t>
      </w:r>
      <w:r w:rsidR="00D9001E">
        <w:t xml:space="preserve">. This </w:t>
      </w:r>
      <w:r w:rsidR="00837AEA">
        <w:t xml:space="preserve">boils down to sending it </w:t>
      </w:r>
      <w:r w:rsidR="00D9001E">
        <w:t xml:space="preserve">first </w:t>
      </w:r>
      <w:r w:rsidR="00837AEA">
        <w:t xml:space="preserve">to </w:t>
      </w:r>
      <w:r w:rsidR="00D9001E">
        <w:t xml:space="preserve">the battery, and later </w:t>
      </w:r>
      <w:r w:rsidR="00837AEA">
        <w:t xml:space="preserve">to </w:t>
      </w:r>
      <w:r w:rsidR="00D9001E">
        <w:t xml:space="preserve">the hydrogen </w:t>
      </w:r>
      <w:r w:rsidR="00A9256C">
        <w:t>(H</w:t>
      </w:r>
      <w:r w:rsidR="00A9256C" w:rsidRPr="00A9256C">
        <w:rPr>
          <w:vertAlign w:val="subscript"/>
        </w:rPr>
        <w:t>2</w:t>
      </w:r>
      <w:r w:rsidR="00A9256C">
        <w:t xml:space="preserve">) </w:t>
      </w:r>
      <w:r w:rsidR="0083071E">
        <w:t>storage</w:t>
      </w:r>
      <w:r w:rsidR="00D9001E">
        <w:t xml:space="preserve"> chain through the electrolyzer</w:t>
      </w:r>
      <w:r w:rsidR="0083071E">
        <w:t xml:space="preserve">. In turn, the </w:t>
      </w:r>
      <w:r w:rsidR="0083071E">
        <w:lastRenderedPageBreak/>
        <w:t xml:space="preserve">hydrogen is </w:t>
      </w:r>
      <w:r w:rsidR="00D9001E">
        <w:t>first</w:t>
      </w:r>
      <w:r w:rsidR="0083071E">
        <w:t xml:space="preserve"> kept</w:t>
      </w:r>
      <w:r w:rsidR="00D9001E">
        <w:t xml:space="preserve"> </w:t>
      </w:r>
      <w:r w:rsidR="00837AEA">
        <w:t xml:space="preserve">at </w:t>
      </w:r>
      <w:r w:rsidR="0083071E">
        <w:t>a</w:t>
      </w:r>
      <w:r w:rsidR="00D9001E">
        <w:t xml:space="preserve"> buffer</w:t>
      </w:r>
      <w:r w:rsidR="00837AEA">
        <w:t>,</w:t>
      </w:r>
      <w:r w:rsidR="00D9001E">
        <w:t xml:space="preserve"> and </w:t>
      </w:r>
      <w:r w:rsidR="0083071E">
        <w:t>then</w:t>
      </w:r>
      <w:r w:rsidR="00D9001E">
        <w:t xml:space="preserve"> compressed </w:t>
      </w:r>
      <w:r w:rsidR="0083071E">
        <w:t xml:space="preserve">in a </w:t>
      </w:r>
      <w:r w:rsidR="00D9001E">
        <w:t>H</w:t>
      </w:r>
      <w:r w:rsidR="00D9001E" w:rsidRPr="00C90615">
        <w:rPr>
          <w:vertAlign w:val="subscript"/>
        </w:rPr>
        <w:t>2</w:t>
      </w:r>
      <w:r w:rsidR="00D9001E">
        <w:t xml:space="preserve"> tank.</w:t>
      </w:r>
      <w:r>
        <w:t xml:space="preserve"> </w:t>
      </w:r>
      <w:r w:rsidR="00D9001E">
        <w:t xml:space="preserve">Otherwise, if there is a lack of energy to cover the home demand, </w:t>
      </w:r>
      <w:r w:rsidR="00837AEA">
        <w:t>it</w:t>
      </w:r>
      <w:r w:rsidR="00D9001E">
        <w:t xml:space="preserve"> will be</w:t>
      </w:r>
      <w:r w:rsidR="006C52B3">
        <w:t xml:space="preserve"> either</w:t>
      </w:r>
      <w:r w:rsidR="00D9001E">
        <w:t xml:space="preserve"> </w:t>
      </w:r>
      <w:r w:rsidR="00837AEA">
        <w:t xml:space="preserve">obtained </w:t>
      </w:r>
      <w:r w:rsidR="00D9001E">
        <w:t xml:space="preserve">from the storage system </w:t>
      </w:r>
      <w:r w:rsidR="006C52B3">
        <w:t xml:space="preserve">or imported from the grid. When using the storage system, </w:t>
      </w:r>
      <w:r w:rsidR="00D9001E">
        <w:t>the battery</w:t>
      </w:r>
      <w:r w:rsidR="00837AEA">
        <w:t xml:space="preserve"> is used first</w:t>
      </w:r>
      <w:r w:rsidR="00D9001E">
        <w:t xml:space="preserve">, and when </w:t>
      </w:r>
      <w:r w:rsidR="00837AEA">
        <w:t xml:space="preserve">this </w:t>
      </w:r>
      <w:r w:rsidR="00D9001E">
        <w:t>is not enough, the fuel cell starts working</w:t>
      </w:r>
      <w:r w:rsidR="00837AEA">
        <w:t>,</w:t>
      </w:r>
      <w:r w:rsidR="00D9001E">
        <w:t xml:space="preserve"> consuming hydrogen</w:t>
      </w:r>
      <w:r w:rsidR="00837AEA">
        <w:t>, first</w:t>
      </w:r>
      <w:r w:rsidR="00D9001E">
        <w:t xml:space="preserve"> from the buffer and later from the compressed hydrogen tank.</w:t>
      </w:r>
      <w:r w:rsidR="006C52B3">
        <w:t xml:space="preserve"> The particular control algorithm will determine the threshold and </w:t>
      </w:r>
      <w:r w:rsidR="00837AEA">
        <w:t xml:space="preserve">corresponding policies to decide one </w:t>
      </w:r>
      <w:r w:rsidR="002B25D8">
        <w:t>of</w:t>
      </w:r>
      <w:r w:rsidR="00837AEA">
        <w:t xml:space="preserve"> the available </w:t>
      </w:r>
      <w:r w:rsidR="005154DD">
        <w:t>option</w:t>
      </w:r>
      <w:r w:rsidR="00837AEA">
        <w:t>s</w:t>
      </w:r>
      <w:r w:rsidR="005154DD">
        <w:t xml:space="preserve">. </w:t>
      </w:r>
    </w:p>
    <w:p w14:paraId="22D78129" w14:textId="77777777" w:rsidR="00A24015" w:rsidRDefault="00A24015" w:rsidP="00D9001E">
      <w:pPr>
        <w:pStyle w:val="CETBodytext"/>
      </w:pPr>
    </w:p>
    <w:p w14:paraId="56E70DBD" w14:textId="396433D0" w:rsidR="00D9001E" w:rsidRPr="00D9001E" w:rsidRDefault="00D9001E" w:rsidP="005154DD">
      <w:pPr>
        <w:pStyle w:val="CETBodytext"/>
      </w:pPr>
      <w:r>
        <w:t xml:space="preserve">The inverter </w:t>
      </w:r>
      <w:r w:rsidR="005154DD">
        <w:t>module</w:t>
      </w:r>
      <w:r>
        <w:t xml:space="preserve"> takes the on/off signals generated from the PLC</w:t>
      </w:r>
      <w:r w:rsidR="005154DD">
        <w:t xml:space="preserve">, </w:t>
      </w:r>
      <w:r>
        <w:t>plus the external variables</w:t>
      </w:r>
      <w:r w:rsidR="005154DD">
        <w:t>,</w:t>
      </w:r>
      <w:r>
        <w:t xml:space="preserve"> to distribute the energy </w:t>
      </w:r>
      <w:r w:rsidR="00837AEA">
        <w:t xml:space="preserve">to </w:t>
      </w:r>
      <w:r>
        <w:t>the different storage modules as has been described.</w:t>
      </w:r>
      <w:r w:rsidR="005154DD">
        <w:t xml:space="preserve"> Then, t</w:t>
      </w:r>
      <w:r>
        <w:t xml:space="preserve">he battery </w:t>
      </w:r>
      <w:r w:rsidR="005154DD">
        <w:t>module</w:t>
      </w:r>
      <w:r>
        <w:t xml:space="preserve"> uses the charge</w:t>
      </w:r>
      <w:r w:rsidR="00837AEA">
        <w:t>,</w:t>
      </w:r>
      <w:r>
        <w:t xml:space="preserve"> or discharged energy</w:t>
      </w:r>
      <w:r w:rsidR="00837AEA">
        <w:t>,</w:t>
      </w:r>
      <w:r>
        <w:t xml:space="preserve"> to update the SOC, </w:t>
      </w:r>
      <w:r w:rsidR="005154DD">
        <w:t xml:space="preserve">which can be </w:t>
      </w:r>
      <w:r w:rsidR="00837AEA">
        <w:t>i</w:t>
      </w:r>
      <w:r w:rsidR="005154DD">
        <w:t xml:space="preserve">n turn used by the PLC. </w:t>
      </w:r>
      <w:r>
        <w:t xml:space="preserve">The electrolyzer </w:t>
      </w:r>
      <w:r w:rsidR="005154DD">
        <w:t xml:space="preserve">module </w:t>
      </w:r>
      <w:r>
        <w:t>models the H</w:t>
      </w:r>
      <w:r w:rsidR="00C90615" w:rsidRPr="00C90615">
        <w:rPr>
          <w:vertAlign w:val="subscript"/>
        </w:rPr>
        <w:t>2</w:t>
      </w:r>
      <w:r>
        <w:t xml:space="preserve"> flow</w:t>
      </w:r>
      <w:r w:rsidR="005154DD">
        <w:t xml:space="preserve"> and generates input variables to the storage modules. </w:t>
      </w:r>
      <w:r>
        <w:t xml:space="preserve">Other </w:t>
      </w:r>
      <w:r w:rsidR="005154DD">
        <w:t>variables,</w:t>
      </w:r>
      <w:r>
        <w:t xml:space="preserve"> such as environmental temperature will be also considered to model the </w:t>
      </w:r>
      <w:r w:rsidR="00B425D8">
        <w:t>behavior</w:t>
      </w:r>
      <w:r>
        <w:t xml:space="preserve"> of this block. </w:t>
      </w:r>
      <w:r w:rsidR="005154DD">
        <w:t>In parallel, t</w:t>
      </w:r>
      <w:r>
        <w:t xml:space="preserve">he on/off compressor </w:t>
      </w:r>
      <w:r w:rsidR="005154DD">
        <w:t>variable</w:t>
      </w:r>
      <w:r>
        <w:t xml:space="preserve"> from the PLC determines </w:t>
      </w:r>
      <w:r w:rsidR="005154DD">
        <w:t>whether</w:t>
      </w:r>
      <w:r>
        <w:t xml:space="preserve"> the H</w:t>
      </w:r>
      <w:r w:rsidR="00C90615" w:rsidRPr="00C90615">
        <w:rPr>
          <w:vertAlign w:val="subscript"/>
        </w:rPr>
        <w:t>2</w:t>
      </w:r>
      <w:r>
        <w:t xml:space="preserve"> flow must </w:t>
      </w:r>
      <w:r w:rsidR="00837AEA">
        <w:t xml:space="preserve">be </w:t>
      </w:r>
      <w:r>
        <w:t xml:space="preserve">stored in the buffer or </w:t>
      </w:r>
      <w:r w:rsidR="00837AEA">
        <w:t xml:space="preserve">in </w:t>
      </w:r>
      <w:r>
        <w:t>the compressed H</w:t>
      </w:r>
      <w:r w:rsidR="00C90615" w:rsidRPr="00C90615">
        <w:rPr>
          <w:vertAlign w:val="subscript"/>
        </w:rPr>
        <w:t>2</w:t>
      </w:r>
      <w:r>
        <w:t xml:space="preserve"> tank.</w:t>
      </w:r>
      <w:r w:rsidR="005154DD">
        <w:t xml:space="preserve"> </w:t>
      </w:r>
      <w:r>
        <w:t>The pressures of both buffer and compressed H</w:t>
      </w:r>
      <w:r w:rsidR="00C90615" w:rsidRPr="00C90615">
        <w:rPr>
          <w:vertAlign w:val="subscript"/>
        </w:rPr>
        <w:t>2</w:t>
      </w:r>
      <w:r>
        <w:t xml:space="preserve"> tank are </w:t>
      </w:r>
      <w:r w:rsidR="005154DD">
        <w:t>fed back to the</w:t>
      </w:r>
      <w:r>
        <w:t xml:space="preserve"> PLC to </w:t>
      </w:r>
      <w:r w:rsidR="005154DD">
        <w:t xml:space="preserve">aid the </w:t>
      </w:r>
      <w:proofErr w:type="gramStart"/>
      <w:r w:rsidR="005154DD">
        <w:t xml:space="preserve">decision </w:t>
      </w:r>
      <w:r w:rsidR="000C2DB9">
        <w:t>m</w:t>
      </w:r>
      <w:r w:rsidR="005154DD">
        <w:t>aking</w:t>
      </w:r>
      <w:proofErr w:type="gramEnd"/>
      <w:r w:rsidR="00837AEA">
        <w:t xml:space="preserve"> process</w:t>
      </w:r>
      <w:r>
        <w:t xml:space="preserve">. </w:t>
      </w:r>
    </w:p>
    <w:p w14:paraId="7AADCFD2" w14:textId="5F6A825A" w:rsidR="002A30B8" w:rsidRDefault="002A30B8" w:rsidP="002A30B8">
      <w:pPr>
        <w:pStyle w:val="CETBodytext"/>
      </w:pPr>
      <w:r>
        <w:rPr>
          <w:noProof/>
          <w:lang w:val="en-GB" w:eastAsia="en-GB"/>
        </w:rPr>
        <w:drawing>
          <wp:inline distT="0" distB="0" distL="0" distR="0" wp14:anchorId="3E41BAF3" wp14:editId="563676CC">
            <wp:extent cx="5000434" cy="2990010"/>
            <wp:effectExtent l="0" t="0" r="0" b="1270"/>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6582" cy="3017604"/>
                    </a:xfrm>
                    <a:prstGeom prst="rect">
                      <a:avLst/>
                    </a:prstGeom>
                    <a:noFill/>
                    <a:ln>
                      <a:noFill/>
                    </a:ln>
                  </pic:spPr>
                </pic:pic>
              </a:graphicData>
            </a:graphic>
          </wp:inline>
        </w:drawing>
      </w:r>
    </w:p>
    <w:p w14:paraId="790A996E" w14:textId="71305212" w:rsidR="002A30B8" w:rsidRPr="005F4C4B" w:rsidRDefault="002A30B8" w:rsidP="005F4C4B">
      <w:pPr>
        <w:pStyle w:val="CETBodytext"/>
        <w:rPr>
          <w:i/>
        </w:rPr>
      </w:pPr>
      <w:r w:rsidRPr="005F4C4B">
        <w:rPr>
          <w:rStyle w:val="CETCaptionCarattere"/>
        </w:rPr>
        <w:t xml:space="preserve">Figure 3: </w:t>
      </w:r>
      <w:r w:rsidR="00C77646" w:rsidRPr="005F4C4B">
        <w:rPr>
          <w:rStyle w:val="CETCaptionCarattere"/>
        </w:rPr>
        <w:t>DT m</w:t>
      </w:r>
      <w:r w:rsidRPr="005F4C4B">
        <w:rPr>
          <w:rStyle w:val="CETCaptionCarattere"/>
        </w:rPr>
        <w:t xml:space="preserve">odules </w:t>
      </w:r>
      <w:r w:rsidR="00C77646" w:rsidRPr="005F4C4B">
        <w:rPr>
          <w:rStyle w:val="CETCaptionCarattere"/>
        </w:rPr>
        <w:t xml:space="preserve">and </w:t>
      </w:r>
      <w:r w:rsidRPr="005F4C4B">
        <w:rPr>
          <w:rStyle w:val="CETCaptionCarattere"/>
        </w:rPr>
        <w:t>variables.</w:t>
      </w:r>
      <w:r w:rsidR="003A3951" w:rsidRPr="005F4C4B">
        <w:rPr>
          <w:rStyle w:val="CETCaptionCarattere"/>
          <w:i w:val="0"/>
        </w:rPr>
        <w:t xml:space="preserve"> </w:t>
      </w:r>
      <w:r w:rsidR="003A3951" w:rsidRPr="005F4C4B">
        <w:rPr>
          <w:i/>
        </w:rPr>
        <w:t>In the figure, dotted and solid lines represent control and input/output variables respectively.</w:t>
      </w:r>
    </w:p>
    <w:p w14:paraId="2AE5DAB4" w14:textId="7252D872" w:rsidR="00E62A03" w:rsidRDefault="00E62A03" w:rsidP="00E62A03">
      <w:pPr>
        <w:pStyle w:val="CETBodytext"/>
      </w:pPr>
    </w:p>
    <w:p w14:paraId="6F467E67" w14:textId="396ABDBF" w:rsidR="005154DD" w:rsidRDefault="005154DD" w:rsidP="00E62A03">
      <w:pPr>
        <w:pStyle w:val="CETBodytext"/>
      </w:pPr>
      <w:r>
        <w:t xml:space="preserve">From an implementation perspective, the DT modules are being </w:t>
      </w:r>
      <w:r w:rsidR="00837AEA">
        <w:t xml:space="preserve">developed </w:t>
      </w:r>
      <w:r>
        <w:t>in Python</w:t>
      </w:r>
      <w:r w:rsidR="00837AEA">
        <w:t>,</w:t>
      </w:r>
      <w:r>
        <w:t xml:space="preserve"> as independent classes with </w:t>
      </w:r>
      <w:proofErr w:type="spellStart"/>
      <w:r>
        <w:t>well defined</w:t>
      </w:r>
      <w:proofErr w:type="spellEnd"/>
      <w:r>
        <w:t xml:space="preserve"> interfaces. This will permit us to modify the </w:t>
      </w:r>
      <w:r w:rsidR="00837AEA">
        <w:t xml:space="preserve">different module </w:t>
      </w:r>
      <w:r>
        <w:t>model</w:t>
      </w:r>
      <w:r w:rsidR="00837AEA">
        <w:t>s</w:t>
      </w:r>
      <w:r>
        <w:t xml:space="preserve"> to </w:t>
      </w:r>
      <w:r w:rsidR="00F26A88">
        <w:t xml:space="preserve">perform </w:t>
      </w:r>
      <w:r w:rsidR="00837AEA">
        <w:t xml:space="preserve">a </w:t>
      </w:r>
      <w:r w:rsidR="00F26A88">
        <w:t xml:space="preserve">‘what if’ analysis. </w:t>
      </w:r>
    </w:p>
    <w:p w14:paraId="5741900F" w14:textId="656FF778" w:rsidR="00453E24" w:rsidRDefault="001E6660" w:rsidP="00B72FEC">
      <w:pPr>
        <w:pStyle w:val="CETHeading1"/>
      </w:pPr>
      <w:r>
        <w:t>Results</w:t>
      </w:r>
    </w:p>
    <w:p w14:paraId="035285EF" w14:textId="39ED71E4" w:rsidR="00D9631C" w:rsidRDefault="00F26A88" w:rsidP="00F26A88">
      <w:pPr>
        <w:pStyle w:val="CETBodytext"/>
      </w:pPr>
      <w:r>
        <w:t xml:space="preserve">In </w:t>
      </w:r>
      <w:r w:rsidR="00D9631C">
        <w:t>the</w:t>
      </w:r>
      <w:r>
        <w:t xml:space="preserve"> </w:t>
      </w:r>
      <w:r w:rsidR="00393922">
        <w:t xml:space="preserve">initial </w:t>
      </w:r>
      <w:r>
        <w:t>stage</w:t>
      </w:r>
      <w:r w:rsidR="00D9631C">
        <w:t xml:space="preserve"> of the HY2RES project</w:t>
      </w:r>
      <w:r>
        <w:t xml:space="preserve">, the implementation has focused on the modules of the electrical components, namely PLC, inverter and battery. </w:t>
      </w:r>
      <w:r w:rsidR="008806A7">
        <w:t>In this stage, the modelling has followed an algorithmic approach</w:t>
      </w:r>
      <w:r w:rsidR="00E122A9">
        <w:t>, which</w:t>
      </w:r>
      <w:r w:rsidR="008806A7">
        <w:t xml:space="preserve"> us</w:t>
      </w:r>
      <w:r w:rsidR="00E122A9">
        <w:t>es</w:t>
      </w:r>
      <w:r w:rsidR="008806A7">
        <w:t xml:space="preserve"> the logical operation of the system and </w:t>
      </w:r>
      <w:r w:rsidR="00E122A9">
        <w:t xml:space="preserve">the </w:t>
      </w:r>
      <w:r w:rsidR="008806A7">
        <w:t>physical equations</w:t>
      </w:r>
      <w:r w:rsidR="00E122A9">
        <w:t xml:space="preserve"> that govern its </w:t>
      </w:r>
      <w:r w:rsidR="00C90615">
        <w:t>behavior</w:t>
      </w:r>
      <w:r w:rsidR="008806A7">
        <w:t>. Other data driven approaches will be adopted in subsequent phases</w:t>
      </w:r>
      <w:r w:rsidR="00E122A9">
        <w:t>,</w:t>
      </w:r>
      <w:r w:rsidR="008806A7">
        <w:t xml:space="preserve"> according to the </w:t>
      </w:r>
      <w:r w:rsidR="002855C9">
        <w:t xml:space="preserve">observed </w:t>
      </w:r>
      <w:r w:rsidR="008806A7">
        <w:t xml:space="preserve">prediction </w:t>
      </w:r>
      <w:r w:rsidR="002855C9">
        <w:t>accuracy</w:t>
      </w:r>
      <w:r w:rsidR="008806A7">
        <w:t xml:space="preserve">. </w:t>
      </w:r>
      <w:r>
        <w:t xml:space="preserve">In order to validate </w:t>
      </w:r>
      <w:r w:rsidR="008D6840">
        <w:t xml:space="preserve">their </w:t>
      </w:r>
      <w:r>
        <w:t>correct modeling, t</w:t>
      </w:r>
      <w:r w:rsidR="00A751DB">
        <w:t>his sect</w:t>
      </w:r>
      <w:r w:rsidR="00B425D8">
        <w:t>ion presents an analysis of the outcome of the mentioned components</w:t>
      </w:r>
      <w:r w:rsidR="006309A5">
        <w:t xml:space="preserve">, focusing </w:t>
      </w:r>
      <w:r w:rsidR="00393922">
        <w:t xml:space="preserve">on </w:t>
      </w:r>
      <w:r w:rsidR="006309A5">
        <w:t>the interaction between inverter and battery.</w:t>
      </w:r>
      <w:r w:rsidR="008806A7">
        <w:t xml:space="preserve"> </w:t>
      </w:r>
    </w:p>
    <w:p w14:paraId="653714D0" w14:textId="77777777" w:rsidR="005F4C4B" w:rsidRDefault="005F4C4B" w:rsidP="00F26A88">
      <w:pPr>
        <w:pStyle w:val="CETBodytext"/>
      </w:pPr>
    </w:p>
    <w:p w14:paraId="784FDF04" w14:textId="11C22E0D" w:rsidR="00DD5F78" w:rsidRDefault="00C04D63" w:rsidP="00F26A88">
      <w:pPr>
        <w:pStyle w:val="CETBodytext"/>
      </w:pPr>
      <w:r>
        <w:t xml:space="preserve">In the case of the inverter, the analysis </w:t>
      </w:r>
      <w:r w:rsidR="00393922">
        <w:t>considers</w:t>
      </w:r>
      <w:r>
        <w:t xml:space="preserve"> the power supp</w:t>
      </w:r>
      <w:r w:rsidR="00607AE9">
        <w:t xml:space="preserve">lied/consumed to/from the battery </w:t>
      </w:r>
      <w:r w:rsidR="00B5498F">
        <w:t xml:space="preserve">(variable Battery Pw in Figure 3) </w:t>
      </w:r>
      <w:r w:rsidR="00607AE9">
        <w:t xml:space="preserve">when </w:t>
      </w:r>
      <w:r w:rsidR="00D9631C">
        <w:t>the</w:t>
      </w:r>
      <w:r w:rsidR="00607AE9">
        <w:t xml:space="preserve"> </w:t>
      </w:r>
      <w:r w:rsidR="00393922">
        <w:t xml:space="preserve">input signals </w:t>
      </w:r>
      <w:r w:rsidR="00607AE9">
        <w:t xml:space="preserve">to the model are </w:t>
      </w:r>
      <w:r w:rsidR="00393922">
        <w:t xml:space="preserve">the generated </w:t>
      </w:r>
      <w:r w:rsidR="00607AE9">
        <w:t>PV power, the home power demand and the PLC estimated signals.</w:t>
      </w:r>
      <w:r w:rsidR="00A9256C">
        <w:t xml:space="preserve"> </w:t>
      </w:r>
      <w:r w:rsidR="00607AE9">
        <w:t>For the battery, the SOC</w:t>
      </w:r>
      <w:r w:rsidR="00B5498F">
        <w:t xml:space="preserve"> output</w:t>
      </w:r>
      <w:r w:rsidR="00607AE9">
        <w:t xml:space="preserve"> is assessed </w:t>
      </w:r>
      <w:r w:rsidR="002855C9">
        <w:t xml:space="preserve">by means of </w:t>
      </w:r>
      <w:r w:rsidR="00393922">
        <w:t xml:space="preserve">its </w:t>
      </w:r>
      <w:r w:rsidR="00607AE9">
        <w:t>charge/discharge power</w:t>
      </w:r>
      <w:r w:rsidR="00393922">
        <w:t>, which is used</w:t>
      </w:r>
      <w:r w:rsidR="00607AE9">
        <w:t xml:space="preserve"> as </w:t>
      </w:r>
      <w:r w:rsidR="00393922">
        <w:t xml:space="preserve">an </w:t>
      </w:r>
      <w:r w:rsidR="00607AE9">
        <w:t xml:space="preserve">input </w:t>
      </w:r>
      <w:r w:rsidR="00393922">
        <w:t xml:space="preserve">signal </w:t>
      </w:r>
      <w:r w:rsidR="00607AE9">
        <w:t>for the model.</w:t>
      </w:r>
      <w:r w:rsidR="00E35624">
        <w:t xml:space="preserve"> In all cases, samples from the </w:t>
      </w:r>
      <w:r w:rsidR="002855C9">
        <w:t xml:space="preserve">physical </w:t>
      </w:r>
      <w:r w:rsidR="00E35624">
        <w:t xml:space="preserve">system </w:t>
      </w:r>
      <w:r w:rsidR="007E03E5">
        <w:t xml:space="preserve">are taken every 5 seconds </w:t>
      </w:r>
      <w:r w:rsidR="00DD5F78">
        <w:t xml:space="preserve">during a period of 2 weeks, </w:t>
      </w:r>
      <w:r w:rsidR="007E03E5">
        <w:t xml:space="preserve">and </w:t>
      </w:r>
      <w:r w:rsidR="00DD5F78">
        <w:t>one</w:t>
      </w:r>
      <w:r w:rsidR="007E03E5">
        <w:t xml:space="preserve"> estimate is generated for every sample.</w:t>
      </w:r>
    </w:p>
    <w:p w14:paraId="42904359" w14:textId="77777777" w:rsidR="00A9256C" w:rsidRDefault="00A9256C" w:rsidP="00F26A88">
      <w:pPr>
        <w:pStyle w:val="CETBodytext"/>
      </w:pPr>
    </w:p>
    <w:p w14:paraId="0D37379C" w14:textId="10A5F6BA" w:rsidR="00BE2499" w:rsidRDefault="00607AE9" w:rsidP="00BE2499">
      <w:pPr>
        <w:pStyle w:val="CETBodytext"/>
      </w:pPr>
      <w:r>
        <w:t xml:space="preserve">Figure 4 shows the </w:t>
      </w:r>
      <w:r w:rsidR="00393922">
        <w:t xml:space="preserve">instantaneous </w:t>
      </w:r>
      <w:r>
        <w:t>evolution of the discharge power from the battery</w:t>
      </w:r>
      <w:r w:rsidR="00DD5F78">
        <w:t xml:space="preserve"> during 5 days</w:t>
      </w:r>
      <w:r>
        <w:t xml:space="preserve">. </w:t>
      </w:r>
      <w:r w:rsidR="00E35624">
        <w:t>In the shade</w:t>
      </w:r>
      <w:r w:rsidR="00E122A9">
        <w:t>d</w:t>
      </w:r>
      <w:r w:rsidR="00E35624">
        <w:t xml:space="preserve"> background we represent the difference between the two input variables, PV power supply and home</w:t>
      </w:r>
      <w:r w:rsidR="002855C9">
        <w:t xml:space="preserve"> load</w:t>
      </w:r>
      <w:r w:rsidR="00E35624">
        <w:t xml:space="preserve">, </w:t>
      </w:r>
      <w:r w:rsidR="00E35624">
        <w:lastRenderedPageBreak/>
        <w:t xml:space="preserve">whose scale is indicated in the right </w:t>
      </w:r>
      <w:r w:rsidR="002855C9">
        <w:t>axis</w:t>
      </w:r>
      <w:r w:rsidR="00E35624">
        <w:t xml:space="preserve">. </w:t>
      </w:r>
      <w:r>
        <w:t xml:space="preserve">Blue </w:t>
      </w:r>
      <w:r w:rsidR="00E35624">
        <w:t>and orange dot</w:t>
      </w:r>
      <w:r w:rsidR="002855C9">
        <w:t>s</w:t>
      </w:r>
      <w:r w:rsidR="00E35624">
        <w:t xml:space="preserve"> </w:t>
      </w:r>
      <w:r>
        <w:t xml:space="preserve">represent the real </w:t>
      </w:r>
      <w:r w:rsidR="00E35624">
        <w:t xml:space="preserve">and estimated </w:t>
      </w:r>
      <w:r>
        <w:t xml:space="preserve">values </w:t>
      </w:r>
      <w:r w:rsidR="00E35624">
        <w:t>of the battery discharge, respectively</w:t>
      </w:r>
      <w:r>
        <w:t>.</w:t>
      </w:r>
      <w:r w:rsidR="003F3E55">
        <w:t xml:space="preserve"> </w:t>
      </w:r>
      <w:r w:rsidR="00BE2499">
        <w:t xml:space="preserve">A closer view is illustrated in Figure 5a, where the high similarity between </w:t>
      </w:r>
      <w:r w:rsidR="002855C9">
        <w:t xml:space="preserve">the proposed </w:t>
      </w:r>
      <w:r w:rsidR="00BE2499">
        <w:t xml:space="preserve">model estimations (orange) and real measurements (blue) </w:t>
      </w:r>
      <w:r w:rsidR="002855C9">
        <w:t>is clearly observed</w:t>
      </w:r>
      <w:r w:rsidR="00BE2499">
        <w:t>.</w:t>
      </w:r>
    </w:p>
    <w:p w14:paraId="49F6FB89" w14:textId="77777777" w:rsidR="005F4C4B" w:rsidRDefault="005F4C4B" w:rsidP="00BE2499">
      <w:pPr>
        <w:pStyle w:val="CETBodytext"/>
      </w:pPr>
    </w:p>
    <w:p w14:paraId="1716F88E" w14:textId="2E8D5EFF" w:rsidR="008E68A2" w:rsidRDefault="00F00A30" w:rsidP="00F26A88">
      <w:pPr>
        <w:pStyle w:val="CETBodytext"/>
      </w:pPr>
      <w:r>
        <w:rPr>
          <w:noProof/>
        </w:rPr>
        <w:drawing>
          <wp:inline distT="0" distB="0" distL="0" distR="0" wp14:anchorId="1BA3C0D2" wp14:editId="285B97CA">
            <wp:extent cx="5567045" cy="153606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7045" cy="1536065"/>
                    </a:xfrm>
                    <a:prstGeom prst="rect">
                      <a:avLst/>
                    </a:prstGeom>
                    <a:noFill/>
                    <a:ln>
                      <a:noFill/>
                    </a:ln>
                  </pic:spPr>
                </pic:pic>
              </a:graphicData>
            </a:graphic>
          </wp:inline>
        </w:drawing>
      </w:r>
    </w:p>
    <w:p w14:paraId="0E9F7807" w14:textId="0CF309C5" w:rsidR="000E54A4" w:rsidRPr="00E54978" w:rsidRDefault="000E54A4" w:rsidP="00F26A88">
      <w:pPr>
        <w:pStyle w:val="CETBodytext"/>
        <w:rPr>
          <w:i/>
        </w:rPr>
      </w:pPr>
      <w:r w:rsidRPr="00E54978">
        <w:rPr>
          <w:i/>
        </w:rPr>
        <w:t xml:space="preserve">Figure 4. </w:t>
      </w:r>
      <w:r w:rsidR="00393922">
        <w:rPr>
          <w:i/>
        </w:rPr>
        <w:t>Instantaneous</w:t>
      </w:r>
      <w:r w:rsidR="00393922" w:rsidRPr="00E54978">
        <w:rPr>
          <w:i/>
        </w:rPr>
        <w:t xml:space="preserve"> </w:t>
      </w:r>
      <w:r w:rsidRPr="00E54978">
        <w:rPr>
          <w:i/>
        </w:rPr>
        <w:t xml:space="preserve">evolution of </w:t>
      </w:r>
      <w:r w:rsidR="00393922">
        <w:rPr>
          <w:i/>
        </w:rPr>
        <w:t xml:space="preserve">the </w:t>
      </w:r>
      <w:r w:rsidRPr="00E54978">
        <w:rPr>
          <w:i/>
        </w:rPr>
        <w:t xml:space="preserve">discharge power. Real </w:t>
      </w:r>
      <w:r w:rsidR="00DF1302">
        <w:rPr>
          <w:i/>
        </w:rPr>
        <w:t>(blue) and</w:t>
      </w:r>
      <w:r w:rsidRPr="00E54978">
        <w:rPr>
          <w:i/>
        </w:rPr>
        <w:t xml:space="preserve"> </w:t>
      </w:r>
      <w:r w:rsidR="004D39E3">
        <w:rPr>
          <w:i/>
        </w:rPr>
        <w:t>e</w:t>
      </w:r>
      <w:r w:rsidRPr="00E54978">
        <w:rPr>
          <w:i/>
        </w:rPr>
        <w:t>stimated</w:t>
      </w:r>
      <w:r w:rsidR="00DF1302">
        <w:rPr>
          <w:i/>
        </w:rPr>
        <w:t xml:space="preserve"> (orange)</w:t>
      </w:r>
      <w:r w:rsidR="00393922">
        <w:rPr>
          <w:i/>
        </w:rPr>
        <w:t xml:space="preserve"> values are shown</w:t>
      </w:r>
      <w:r w:rsidRPr="00E54978">
        <w:rPr>
          <w:i/>
        </w:rPr>
        <w:t xml:space="preserve">. </w:t>
      </w:r>
    </w:p>
    <w:p w14:paraId="41E7A648" w14:textId="77777777" w:rsidR="00BE2499" w:rsidRDefault="00BE2499" w:rsidP="00F26A88">
      <w:pPr>
        <w:pStyle w:val="CETBodytext"/>
      </w:pPr>
    </w:p>
    <w:p w14:paraId="02B8AD08" w14:textId="23EC7B20" w:rsidR="003F3E55" w:rsidRDefault="003F3E55" w:rsidP="00F26A88">
      <w:pPr>
        <w:pStyle w:val="CETBodytext"/>
      </w:pPr>
      <w:r w:rsidRPr="00A37BDC">
        <w:t>Figure 5b</w:t>
      </w:r>
      <w:r w:rsidR="00A37BDC" w:rsidRPr="00A37BDC">
        <w:t xml:space="preserve"> </w:t>
      </w:r>
      <w:r w:rsidR="00393922">
        <w:t>shows</w:t>
      </w:r>
      <w:r w:rsidR="00393922" w:rsidRPr="00A37BDC">
        <w:t xml:space="preserve"> </w:t>
      </w:r>
      <w:r w:rsidR="00A37BDC">
        <w:t xml:space="preserve">the </w:t>
      </w:r>
      <w:r w:rsidR="00477DFA">
        <w:t>relation</w:t>
      </w:r>
      <w:r w:rsidR="00393922">
        <w:t>ship</w:t>
      </w:r>
      <w:r w:rsidR="00477DFA">
        <w:t xml:space="preserve"> between </w:t>
      </w:r>
      <w:r w:rsidR="00A37BDC">
        <w:t xml:space="preserve">the </w:t>
      </w:r>
      <w:r w:rsidR="00DD5F78">
        <w:t xml:space="preserve">measured and </w:t>
      </w:r>
      <w:r w:rsidR="00A37BDC">
        <w:t xml:space="preserve">estimated </w:t>
      </w:r>
      <w:r w:rsidR="00DD5F78">
        <w:t>values</w:t>
      </w:r>
      <w:r w:rsidR="00A37BDC">
        <w:t xml:space="preserve"> </w:t>
      </w:r>
      <w:r w:rsidR="00DD5F78">
        <w:t xml:space="preserve">during the whole </w:t>
      </w:r>
      <w:r w:rsidR="005F7824">
        <w:t>measurement</w:t>
      </w:r>
      <w:r w:rsidR="00DD5F78">
        <w:t xml:space="preserve"> period. </w:t>
      </w:r>
      <w:r w:rsidR="002855C9">
        <w:t>We plot the values obtained with the DT, and w</w:t>
      </w:r>
      <w:r w:rsidR="00DD5F78">
        <w:t xml:space="preserve">e also represent the ideal </w:t>
      </w:r>
      <w:r w:rsidR="00C90615">
        <w:t>behavior</w:t>
      </w:r>
      <w:r w:rsidR="00DD5F78">
        <w:t xml:space="preserve"> with </w:t>
      </w:r>
      <w:r w:rsidR="002855C9">
        <w:t xml:space="preserve">an </w:t>
      </w:r>
      <w:r w:rsidR="00DD5F78">
        <w:t xml:space="preserve">orange line, where </w:t>
      </w:r>
      <w:r w:rsidR="00BE2499">
        <w:t xml:space="preserve">estimate and real samples </w:t>
      </w:r>
      <w:r w:rsidR="002855C9">
        <w:t>are alike</w:t>
      </w:r>
      <w:r w:rsidR="00BE2499">
        <w:t xml:space="preserve">. As can be observed, the model </w:t>
      </w:r>
      <w:r w:rsidR="002855C9">
        <w:t xml:space="preserve">is able to mimic </w:t>
      </w:r>
      <w:r w:rsidR="00BE2499">
        <w:t>the real behavior i</w:t>
      </w:r>
      <w:r w:rsidR="002855C9">
        <w:t>n</w:t>
      </w:r>
      <w:r w:rsidR="00BE2499">
        <w:t xml:space="preserve"> most of the cases, although there is some mismatch where the model </w:t>
      </w:r>
      <w:r w:rsidR="002855C9">
        <w:t>yields</w:t>
      </w:r>
      <w:r w:rsidR="00BE2499">
        <w:t xml:space="preserve"> values in the whole range, while the measurement system indicates that there is no discharge</w:t>
      </w:r>
      <w:r w:rsidR="002855C9">
        <w:t xml:space="preserve"> whatsoever</w:t>
      </w:r>
      <w:r w:rsidR="00BE2499">
        <w:t xml:space="preserve">. This </w:t>
      </w:r>
      <w:r w:rsidR="00C90615">
        <w:t>behavior</w:t>
      </w:r>
      <w:r w:rsidR="00BE2499">
        <w:t xml:space="preserve"> </w:t>
      </w:r>
      <w:r w:rsidR="002855C9">
        <w:t xml:space="preserve">might be caused by </w:t>
      </w:r>
      <w:r w:rsidR="00BE2499">
        <w:t xml:space="preserve">gaps </w:t>
      </w:r>
      <w:r w:rsidR="002855C9">
        <w:t xml:space="preserve">in the monitoring process for </w:t>
      </w:r>
      <w:r w:rsidR="00BE2499">
        <w:t xml:space="preserve">some </w:t>
      </w:r>
      <w:r w:rsidR="002855C9">
        <w:t>time intervals</w:t>
      </w:r>
      <w:r w:rsidR="00BE2499">
        <w:t xml:space="preserve">. </w:t>
      </w:r>
      <w:r w:rsidR="00FA07FD">
        <w:t>T</w:t>
      </w:r>
      <w:r w:rsidR="00477DFA">
        <w:t xml:space="preserve">o </w:t>
      </w:r>
      <w:r w:rsidR="00393922">
        <w:t xml:space="preserve">numerically </w:t>
      </w:r>
      <w:r w:rsidR="00477DFA">
        <w:t>measure th</w:t>
      </w:r>
      <w:r w:rsidR="00D3402C">
        <w:t>e</w:t>
      </w:r>
      <w:r w:rsidR="00477DFA">
        <w:t xml:space="preserve"> </w:t>
      </w:r>
      <w:r w:rsidR="00393922">
        <w:t xml:space="preserve">corresponding </w:t>
      </w:r>
      <w:r w:rsidR="00477DFA">
        <w:t xml:space="preserve">deviation, </w:t>
      </w:r>
      <w:r w:rsidR="00D3402C">
        <w:t xml:space="preserve">the </w:t>
      </w:r>
      <w:r w:rsidR="00BE2499">
        <w:t>N</w:t>
      </w:r>
      <w:r w:rsidR="00D3402C">
        <w:t>ormalized</w:t>
      </w:r>
      <w:r w:rsidR="00D3402C" w:rsidRPr="00D3402C">
        <w:t xml:space="preserve"> </w:t>
      </w:r>
      <w:r w:rsidR="00D3402C" w:rsidRPr="00C734A9">
        <w:t>Root Mean Squared Error</w:t>
      </w:r>
      <w:r w:rsidR="00D3402C">
        <w:t xml:space="preserve"> (</w:t>
      </w:r>
      <w:r w:rsidR="00BE2499">
        <w:t>N</w:t>
      </w:r>
      <w:r w:rsidR="00D3402C">
        <w:t xml:space="preserve">RMSE) has been calculated </w:t>
      </w:r>
      <w:r w:rsidR="00393922">
        <w:t xml:space="preserve">based on </w:t>
      </w:r>
      <w:r w:rsidR="00477DFA">
        <w:t xml:space="preserve">the battery discharge power </w:t>
      </w:r>
      <w:r w:rsidR="00D3402C">
        <w:t xml:space="preserve">estimations, </w:t>
      </w:r>
      <w:r w:rsidR="00393922">
        <w:t xml:space="preserve">yielding </w:t>
      </w:r>
      <w:r w:rsidR="00D3402C">
        <w:t xml:space="preserve">a </w:t>
      </w:r>
      <w:r w:rsidR="00BE2499">
        <w:t>N</w:t>
      </w:r>
      <w:r w:rsidR="00D3402C">
        <w:t>RMSE</w:t>
      </w:r>
      <w:r w:rsidR="00477DFA">
        <w:t xml:space="preserve"> of 0.</w:t>
      </w:r>
      <w:r w:rsidR="000C1C94">
        <w:t>0588</w:t>
      </w:r>
      <w:r w:rsidR="00477DFA">
        <w:t>.</w:t>
      </w:r>
    </w:p>
    <w:p w14:paraId="60D7901D" w14:textId="77777777" w:rsidR="005F4C4B" w:rsidRDefault="005F4C4B" w:rsidP="00F26A88">
      <w:pPr>
        <w:pStyle w:val="CETBodytext"/>
      </w:pPr>
    </w:p>
    <w:p w14:paraId="12DA5CFB" w14:textId="66571C62" w:rsidR="00275D5F" w:rsidRDefault="000C1C94" w:rsidP="007E03E5">
      <w:pPr>
        <w:pStyle w:val="CETBodytext"/>
        <w:jc w:val="center"/>
      </w:pPr>
      <w:r>
        <w:rPr>
          <w:noProof/>
        </w:rPr>
        <w:drawing>
          <wp:inline distT="0" distB="0" distL="0" distR="0" wp14:anchorId="6A6FA1C1" wp14:editId="22EBBB08">
            <wp:extent cx="5574030" cy="1668145"/>
            <wp:effectExtent l="0" t="0" r="762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4030" cy="1668145"/>
                    </a:xfrm>
                    <a:prstGeom prst="rect">
                      <a:avLst/>
                    </a:prstGeom>
                    <a:noFill/>
                    <a:ln>
                      <a:noFill/>
                    </a:ln>
                  </pic:spPr>
                </pic:pic>
              </a:graphicData>
            </a:graphic>
          </wp:inline>
        </w:drawing>
      </w:r>
    </w:p>
    <w:p w14:paraId="5E2DB311" w14:textId="77777777" w:rsidR="00275D5F" w:rsidRDefault="00275D5F" w:rsidP="00275D5F">
      <w:pPr>
        <w:pStyle w:val="CETBodytext"/>
      </w:pPr>
      <w:r>
        <w:t xml:space="preserve">                                      a)                                                                                              b)</w:t>
      </w:r>
      <w:r>
        <w:tab/>
      </w:r>
    </w:p>
    <w:p w14:paraId="1A3B819F" w14:textId="5294E094" w:rsidR="00275D5F" w:rsidRDefault="00275D5F" w:rsidP="00275D5F">
      <w:pPr>
        <w:pStyle w:val="CETBodytext"/>
        <w:rPr>
          <w:rStyle w:val="CETCaptionCarattere"/>
        </w:rPr>
      </w:pPr>
      <w:r w:rsidRPr="00FB0D9A">
        <w:rPr>
          <w:rStyle w:val="CETCaptionCarattere"/>
        </w:rPr>
        <w:t xml:space="preserve">Figure </w:t>
      </w:r>
      <w:r>
        <w:rPr>
          <w:rStyle w:val="CETCaptionCarattere"/>
        </w:rPr>
        <w:t>5</w:t>
      </w:r>
      <w:r w:rsidRPr="00FB0D9A">
        <w:rPr>
          <w:rStyle w:val="CETCaptionCarattere"/>
        </w:rPr>
        <w:t xml:space="preserve">. a) </w:t>
      </w:r>
      <w:r>
        <w:rPr>
          <w:rStyle w:val="CETCaptionCarattere"/>
        </w:rPr>
        <w:t xml:space="preserve">Detail of power discharge time evolution </w:t>
      </w:r>
      <w:r w:rsidRPr="00FB0D9A">
        <w:rPr>
          <w:rStyle w:val="CETCaptionCarattere"/>
        </w:rPr>
        <w:t xml:space="preserve">b) </w:t>
      </w:r>
      <w:r w:rsidR="00393922">
        <w:rPr>
          <w:rStyle w:val="CETCaptionCarattere"/>
        </w:rPr>
        <w:t>B</w:t>
      </w:r>
      <w:r w:rsidRPr="00FB0D9A">
        <w:rPr>
          <w:rStyle w:val="CETCaptionCarattere"/>
        </w:rPr>
        <w:t>attery</w:t>
      </w:r>
      <w:r w:rsidR="00393922">
        <w:rPr>
          <w:rStyle w:val="CETCaptionCarattere"/>
        </w:rPr>
        <w:t xml:space="preserve"> </w:t>
      </w:r>
      <w:r w:rsidRPr="00FB0D9A">
        <w:rPr>
          <w:rStyle w:val="CETCaptionCarattere"/>
        </w:rPr>
        <w:t>load</w:t>
      </w:r>
      <w:r w:rsidR="00393922">
        <w:rPr>
          <w:rStyle w:val="CETCaptionCarattere"/>
        </w:rPr>
        <w:t>: real</w:t>
      </w:r>
      <w:r w:rsidRPr="00FB0D9A">
        <w:rPr>
          <w:rStyle w:val="CETCaptionCarattere"/>
        </w:rPr>
        <w:t xml:space="preserve"> vs </w:t>
      </w:r>
      <w:r>
        <w:rPr>
          <w:rStyle w:val="CETCaptionCarattere"/>
        </w:rPr>
        <w:t>e</w:t>
      </w:r>
      <w:r w:rsidRPr="00FB0D9A">
        <w:rPr>
          <w:rStyle w:val="CETCaptionCarattere"/>
        </w:rPr>
        <w:t>stimated</w:t>
      </w:r>
    </w:p>
    <w:p w14:paraId="1089D5C3" w14:textId="77777777" w:rsidR="00275D5F" w:rsidRPr="00275D5F" w:rsidRDefault="00275D5F" w:rsidP="00F26A88">
      <w:pPr>
        <w:pStyle w:val="CETBodytext"/>
        <w:rPr>
          <w:lang w:val="en-GB"/>
        </w:rPr>
      </w:pPr>
    </w:p>
    <w:p w14:paraId="17E2B254" w14:textId="77B3A595" w:rsidR="005F4C4B" w:rsidRDefault="00477DFA" w:rsidP="00256DF5">
      <w:pPr>
        <w:pStyle w:val="CETBodytext"/>
      </w:pPr>
      <w:r>
        <w:t>F</w:t>
      </w:r>
      <w:r w:rsidR="00FB0D9A">
        <w:t xml:space="preserve">igure </w:t>
      </w:r>
      <w:r w:rsidR="00CC33D3">
        <w:t>6</w:t>
      </w:r>
      <w:r w:rsidR="00FB0D9A">
        <w:t xml:space="preserve"> shows </w:t>
      </w:r>
      <w:r w:rsidR="00AD300C" w:rsidRPr="006309A5">
        <w:t xml:space="preserve">the </w:t>
      </w:r>
      <w:r w:rsidR="00393922">
        <w:t xml:space="preserve">temporal </w:t>
      </w:r>
      <w:r w:rsidR="00AD300C">
        <w:t xml:space="preserve">evolution </w:t>
      </w:r>
      <w:r w:rsidR="00D35487">
        <w:t>of the measured and predicted battery SOC, with blue and orange lines</w:t>
      </w:r>
      <w:r w:rsidR="002855C9">
        <w:t>,</w:t>
      </w:r>
      <w:r w:rsidR="00D35487">
        <w:t xml:space="preserve"> respectively. To better illustrate the </w:t>
      </w:r>
      <w:r w:rsidR="002855C9">
        <w:t xml:space="preserve">observed </w:t>
      </w:r>
      <w:r w:rsidR="00C90615">
        <w:t>behavior</w:t>
      </w:r>
      <w:r w:rsidR="00D35487">
        <w:t xml:space="preserve">, the input variables of the </w:t>
      </w:r>
      <w:r w:rsidR="002855C9">
        <w:t xml:space="preserve">proposed </w:t>
      </w:r>
      <w:r w:rsidR="00D35487">
        <w:t xml:space="preserve">battery model, input/output power from the inverter, </w:t>
      </w:r>
      <w:r w:rsidR="00811DC6">
        <w:t>are</w:t>
      </w:r>
      <w:r w:rsidR="00D35487">
        <w:t xml:space="preserve"> represented with the shade</w:t>
      </w:r>
      <w:r w:rsidR="00811DC6">
        <w:t>d</w:t>
      </w:r>
      <w:r w:rsidR="00D35487">
        <w:t xml:space="preserve"> background</w:t>
      </w:r>
      <w:r w:rsidR="00AD300C">
        <w:t>.</w:t>
      </w:r>
      <w:r w:rsidR="00D35487">
        <w:t xml:space="preserve"> As can be seen, b</w:t>
      </w:r>
      <w:r w:rsidR="00CC33D3">
        <w:t xml:space="preserve">oth </w:t>
      </w:r>
      <w:r w:rsidR="00D35487">
        <w:t xml:space="preserve">real and predicted variables </w:t>
      </w:r>
      <w:r w:rsidR="00CC33D3">
        <w:t xml:space="preserve">follow the same trend. </w:t>
      </w:r>
      <w:r w:rsidR="00C04D63">
        <w:t xml:space="preserve">In a </w:t>
      </w:r>
      <w:r w:rsidR="00393922">
        <w:t>closer look</w:t>
      </w:r>
      <w:r w:rsidR="00C04D63" w:rsidRPr="00C04D63">
        <w:t xml:space="preserve">, it can be seen that the model performs </w:t>
      </w:r>
      <w:r w:rsidR="00393922">
        <w:t xml:space="preserve">quite </w:t>
      </w:r>
      <w:r w:rsidR="00C04D63" w:rsidRPr="00C04D63">
        <w:t>well at medium SOC values, while at high</w:t>
      </w:r>
      <w:r w:rsidR="005F7824">
        <w:t xml:space="preserve"> and low</w:t>
      </w:r>
      <w:r w:rsidR="00C04D63" w:rsidRPr="00C04D63">
        <w:t xml:space="preserve"> SOC values the difference </w:t>
      </w:r>
      <w:r w:rsidR="005F7824">
        <w:t>is more relevant</w:t>
      </w:r>
      <w:r w:rsidR="00C04D63" w:rsidRPr="00C04D63">
        <w:t>.</w:t>
      </w:r>
      <w:r w:rsidR="00C04D63">
        <w:t xml:space="preserve"> </w:t>
      </w:r>
      <w:r w:rsidR="00D35487">
        <w:t>In this case</w:t>
      </w:r>
      <w:r w:rsidR="00204F70">
        <w:t>,</w:t>
      </w:r>
      <w:r w:rsidR="00D35487">
        <w:t xml:space="preserve"> the NRMSE obtained </w:t>
      </w:r>
      <w:r w:rsidR="005F7824">
        <w:t>from the whole measurement period</w:t>
      </w:r>
      <w:r w:rsidR="00C734A9">
        <w:t xml:space="preserve"> 0.086</w:t>
      </w:r>
      <w:r w:rsidR="000C1C94">
        <w:t>4</w:t>
      </w:r>
      <w:r w:rsidR="00C04D63">
        <w:t>.</w:t>
      </w:r>
    </w:p>
    <w:p w14:paraId="65EE950F" w14:textId="77777777" w:rsidR="00EC598A" w:rsidRDefault="00EC598A" w:rsidP="00256DF5">
      <w:pPr>
        <w:pStyle w:val="CETBodytext"/>
      </w:pPr>
    </w:p>
    <w:p w14:paraId="3ED3E54A" w14:textId="589A3809" w:rsidR="00143999" w:rsidRDefault="000C1C94" w:rsidP="00F90D4A">
      <w:pPr>
        <w:pStyle w:val="CETBodytext"/>
        <w:jc w:val="center"/>
      </w:pPr>
      <w:r>
        <w:rPr>
          <w:noProof/>
        </w:rPr>
        <w:drawing>
          <wp:inline distT="0" distB="0" distL="0" distR="0" wp14:anchorId="57E54246" wp14:editId="0AA5743A">
            <wp:extent cx="5581650" cy="1521460"/>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1650" cy="1521460"/>
                    </a:xfrm>
                    <a:prstGeom prst="rect">
                      <a:avLst/>
                    </a:prstGeom>
                    <a:noFill/>
                    <a:ln>
                      <a:noFill/>
                    </a:ln>
                  </pic:spPr>
                </pic:pic>
              </a:graphicData>
            </a:graphic>
          </wp:inline>
        </w:drawing>
      </w:r>
    </w:p>
    <w:p w14:paraId="293921A4" w14:textId="2CED87C0" w:rsidR="006309A5" w:rsidRDefault="006309A5" w:rsidP="00F90D4A">
      <w:pPr>
        <w:pStyle w:val="CETBodytext"/>
        <w:rPr>
          <w:rStyle w:val="CETCaptionCarattere"/>
        </w:rPr>
      </w:pPr>
      <w:r w:rsidRPr="006309A5">
        <w:rPr>
          <w:rStyle w:val="CETCaptionCarattere"/>
        </w:rPr>
        <w:t xml:space="preserve">Figure </w:t>
      </w:r>
      <w:r w:rsidR="000E54A4">
        <w:rPr>
          <w:rStyle w:val="CETCaptionCarattere"/>
        </w:rPr>
        <w:t>6</w:t>
      </w:r>
      <w:r w:rsidRPr="006309A5">
        <w:rPr>
          <w:rStyle w:val="CETCaptionCarattere"/>
        </w:rPr>
        <w:t>. SOC real (blue) and estimated (orange) vs battery charged/discharged power</w:t>
      </w:r>
      <w:r>
        <w:rPr>
          <w:rStyle w:val="CETCaptionCarattere"/>
        </w:rPr>
        <w:t xml:space="preserve"> (grey)</w:t>
      </w:r>
      <w:r w:rsidRPr="006309A5">
        <w:rPr>
          <w:rStyle w:val="CETCaptionCarattere"/>
        </w:rPr>
        <w:t>.</w:t>
      </w:r>
    </w:p>
    <w:p w14:paraId="677EBFF0" w14:textId="5EA8C05E" w:rsidR="00600535" w:rsidRDefault="001E6660" w:rsidP="00600535">
      <w:pPr>
        <w:pStyle w:val="CETHeading1"/>
        <w:tabs>
          <w:tab w:val="clear" w:pos="360"/>
          <w:tab w:val="right" w:pos="7100"/>
        </w:tabs>
        <w:jc w:val="both"/>
        <w:rPr>
          <w:lang w:val="en-GB"/>
        </w:rPr>
      </w:pPr>
      <w:r>
        <w:rPr>
          <w:lang w:val="en-GB"/>
        </w:rPr>
        <w:lastRenderedPageBreak/>
        <w:t>Conclusions</w:t>
      </w:r>
    </w:p>
    <w:p w14:paraId="46183B31" w14:textId="262DADAD" w:rsidR="00921A78" w:rsidRPr="00921A78" w:rsidRDefault="00921A78" w:rsidP="00921A78">
      <w:pPr>
        <w:pStyle w:val="CETBodytext"/>
        <w:rPr>
          <w:lang w:val="en-GB"/>
        </w:rPr>
      </w:pPr>
      <w:r w:rsidRPr="00921A78">
        <w:rPr>
          <w:lang w:val="en-GB"/>
        </w:rPr>
        <w:t xml:space="preserve">This paper presents the initial steps </w:t>
      </w:r>
      <w:r w:rsidR="00542CBC">
        <w:rPr>
          <w:lang w:val="en-GB"/>
        </w:rPr>
        <w:t>in the design and development of</w:t>
      </w:r>
      <w:r w:rsidRPr="00921A78">
        <w:rPr>
          <w:lang w:val="en-GB"/>
        </w:rPr>
        <w:t xml:space="preserve"> a DT implementation </w:t>
      </w:r>
      <w:r w:rsidR="00542CBC">
        <w:rPr>
          <w:lang w:val="en-GB"/>
        </w:rPr>
        <w:t>for</w:t>
      </w:r>
      <w:r w:rsidR="00542CBC" w:rsidRPr="00921A78">
        <w:rPr>
          <w:lang w:val="en-GB"/>
        </w:rPr>
        <w:t xml:space="preserve"> </w:t>
      </w:r>
      <w:r w:rsidRPr="00921A78">
        <w:rPr>
          <w:lang w:val="en-GB"/>
        </w:rPr>
        <w:t>a hybrid renewable-hydrogen power system</w:t>
      </w:r>
      <w:r w:rsidR="00542CBC">
        <w:rPr>
          <w:lang w:val="en-GB"/>
        </w:rPr>
        <w:t>, which is</w:t>
      </w:r>
      <w:r w:rsidRPr="00921A78">
        <w:rPr>
          <w:lang w:val="en-GB"/>
        </w:rPr>
        <w:t xml:space="preserve"> installed in a housing in the town of Novales (Spain). The DT</w:t>
      </w:r>
      <w:r w:rsidR="00542CBC">
        <w:rPr>
          <w:lang w:val="en-GB"/>
        </w:rPr>
        <w:t xml:space="preserve">, which is structured in functional modules that emulate the physical components, uses as input variables the housing load and the energy generated by the PV panels, while it predicts the rest of the variables. </w:t>
      </w:r>
    </w:p>
    <w:p w14:paraId="2AA3A164" w14:textId="77777777" w:rsidR="00921A78" w:rsidRPr="00921A78" w:rsidRDefault="00921A78" w:rsidP="00921A78">
      <w:pPr>
        <w:pStyle w:val="CETBodytext"/>
        <w:rPr>
          <w:lang w:val="en-GB"/>
        </w:rPr>
      </w:pPr>
    </w:p>
    <w:p w14:paraId="3D63058A" w14:textId="01B4BB44" w:rsidR="0064386D" w:rsidRPr="00B57B36" w:rsidRDefault="00921A78" w:rsidP="00F90D4A">
      <w:pPr>
        <w:pStyle w:val="CETBodytext"/>
        <w:rPr>
          <w:lang w:val="en-GB"/>
        </w:rPr>
      </w:pPr>
      <w:r w:rsidRPr="00921A78">
        <w:rPr>
          <w:lang w:val="en-GB"/>
        </w:rPr>
        <w:t xml:space="preserve">The results obtained </w:t>
      </w:r>
      <w:r w:rsidR="000C1C94">
        <w:rPr>
          <w:lang w:val="en-GB"/>
        </w:rPr>
        <w:t>for</w:t>
      </w:r>
      <w:r w:rsidRPr="00921A78">
        <w:rPr>
          <w:lang w:val="en-GB"/>
        </w:rPr>
        <w:t xml:space="preserve"> the </w:t>
      </w:r>
      <w:r w:rsidR="00542CBC">
        <w:rPr>
          <w:lang w:val="en-GB"/>
        </w:rPr>
        <w:t>initial</w:t>
      </w:r>
      <w:r w:rsidR="00542CBC" w:rsidRPr="00921A78">
        <w:rPr>
          <w:lang w:val="en-GB"/>
        </w:rPr>
        <w:t xml:space="preserve"> </w:t>
      </w:r>
      <w:r w:rsidRPr="00921A78">
        <w:rPr>
          <w:lang w:val="en-GB"/>
        </w:rPr>
        <w:t xml:space="preserve">DT models, which feature the electrical components of the physical system, </w:t>
      </w:r>
      <w:r w:rsidR="00542CBC">
        <w:rPr>
          <w:lang w:val="en-GB"/>
        </w:rPr>
        <w:t>show</w:t>
      </w:r>
      <w:r w:rsidR="00542CBC" w:rsidRPr="00921A78">
        <w:rPr>
          <w:lang w:val="en-GB"/>
        </w:rPr>
        <w:t xml:space="preserve"> </w:t>
      </w:r>
      <w:r w:rsidRPr="00921A78">
        <w:rPr>
          <w:lang w:val="en-GB"/>
        </w:rPr>
        <w:t xml:space="preserve">a rather good match between the values monitored in the physical system and those obtained with the proposed DT model, with quite low </w:t>
      </w:r>
      <w:r w:rsidR="005F4C4B">
        <w:rPr>
          <w:lang w:val="en-GB"/>
        </w:rPr>
        <w:t>N</w:t>
      </w:r>
      <w:r w:rsidRPr="00921A78">
        <w:rPr>
          <w:lang w:val="en-GB"/>
        </w:rPr>
        <w:t xml:space="preserve">RMSE. In our future work, we will extend the DT functionality implementing the different components </w:t>
      </w:r>
      <w:r w:rsidR="00347AC6">
        <w:rPr>
          <w:lang w:val="en-GB"/>
        </w:rPr>
        <w:t xml:space="preserve">both </w:t>
      </w:r>
      <w:r w:rsidRPr="00921A78">
        <w:rPr>
          <w:lang w:val="en-GB"/>
        </w:rPr>
        <w:t>as independent software modules</w:t>
      </w:r>
      <w:r w:rsidR="00542CBC">
        <w:rPr>
          <w:lang w:val="en-GB"/>
        </w:rPr>
        <w:t>, which will be connected by means of the appropriate variables</w:t>
      </w:r>
      <w:r w:rsidRPr="00921A78">
        <w:rPr>
          <w:lang w:val="en-GB"/>
        </w:rPr>
        <w:t xml:space="preserve">. Moreover, alternatives based on ML will be </w:t>
      </w:r>
      <w:r w:rsidR="00542CBC" w:rsidRPr="00921A78">
        <w:rPr>
          <w:lang w:val="en-GB"/>
        </w:rPr>
        <w:t>analysed</w:t>
      </w:r>
      <w:r w:rsidRPr="00921A78">
        <w:rPr>
          <w:lang w:val="en-GB"/>
        </w:rPr>
        <w:t xml:space="preserve"> when</w:t>
      </w:r>
      <w:r w:rsidR="00542CBC">
        <w:rPr>
          <w:lang w:val="en-GB"/>
        </w:rPr>
        <w:t>ever</w:t>
      </w:r>
      <w:r w:rsidRPr="00921A78">
        <w:rPr>
          <w:lang w:val="en-GB"/>
        </w:rPr>
        <w:t xml:space="preserve"> the main cause for the prediction mismatch is not clear, as was the case of the SOC extreme values.</w:t>
      </w:r>
    </w:p>
    <w:p w14:paraId="381646E8" w14:textId="77777777" w:rsidR="00F90D4A" w:rsidRDefault="00F90D4A" w:rsidP="00280FAF">
      <w:pPr>
        <w:pStyle w:val="CETHeadingxx"/>
      </w:pPr>
    </w:p>
    <w:p w14:paraId="07A6D20F" w14:textId="0B4D85E5" w:rsidR="00280FAF" w:rsidRPr="00280FAF" w:rsidRDefault="00280FAF" w:rsidP="00280FAF">
      <w:pPr>
        <w:pStyle w:val="CETHeadingxx"/>
        <w:rPr>
          <w:lang w:val="en-GB"/>
        </w:rPr>
        <w:sectPr w:rsidR="00280FAF" w:rsidRPr="00280FAF" w:rsidSect="007D0951">
          <w:type w:val="continuous"/>
          <w:pgSz w:w="11906" w:h="16838" w:code="9"/>
          <w:pgMar w:top="1701" w:right="1418" w:bottom="1701" w:left="1701" w:header="1701" w:footer="0" w:gutter="0"/>
          <w:cols w:space="708"/>
          <w:formProt w:val="0"/>
          <w:titlePg/>
          <w:docGrid w:linePitch="360"/>
        </w:sectPr>
      </w:pPr>
      <w:r>
        <w:t>Nomenclature</w:t>
      </w:r>
    </w:p>
    <w:tbl>
      <w:tblPr>
        <w:tblW w:w="8364" w:type="dxa"/>
        <w:tblLook w:val="04A0" w:firstRow="1" w:lastRow="0" w:firstColumn="1" w:lastColumn="0" w:noHBand="0" w:noVBand="1"/>
      </w:tblPr>
      <w:tblGrid>
        <w:gridCol w:w="3828"/>
        <w:gridCol w:w="4536"/>
      </w:tblGrid>
      <w:tr w:rsidR="00A00B1D" w:rsidRPr="00A00B1D" w14:paraId="5704EF8C" w14:textId="0998B263" w:rsidTr="00A00B1D">
        <w:trPr>
          <w:trHeight w:val="300"/>
        </w:trPr>
        <w:tc>
          <w:tcPr>
            <w:tcW w:w="3828" w:type="dxa"/>
            <w:tcBorders>
              <w:top w:val="nil"/>
              <w:left w:val="nil"/>
              <w:bottom w:val="nil"/>
              <w:right w:val="nil"/>
            </w:tcBorders>
            <w:shd w:val="clear" w:color="auto" w:fill="auto"/>
            <w:noWrap/>
            <w:vAlign w:val="center"/>
            <w:hideMark/>
          </w:tcPr>
          <w:p w14:paraId="65966DF3" w14:textId="15F5F127" w:rsidR="00A00B1D" w:rsidRPr="00A00B1D" w:rsidRDefault="00A00B1D" w:rsidP="00A00B1D">
            <w:pPr>
              <w:tabs>
                <w:tab w:val="clear" w:pos="7100"/>
              </w:tabs>
              <w:spacing w:line="240" w:lineRule="auto"/>
              <w:jc w:val="left"/>
              <w:rPr>
                <w:rFonts w:cs="Arial"/>
                <w:color w:val="000000"/>
                <w:szCs w:val="22"/>
                <w:lang w:eastAsia="en-GB"/>
              </w:rPr>
            </w:pPr>
            <w:r w:rsidRPr="00A00B1D">
              <w:rPr>
                <w:rFonts w:cs="Arial"/>
                <w:color w:val="000000"/>
                <w:szCs w:val="22"/>
                <w:lang w:eastAsia="en-GB"/>
              </w:rPr>
              <w:t>AI - Artificial Intelligence</w:t>
            </w:r>
          </w:p>
        </w:tc>
        <w:tc>
          <w:tcPr>
            <w:tcW w:w="4536" w:type="dxa"/>
            <w:vAlign w:val="center"/>
          </w:tcPr>
          <w:p w14:paraId="4200244E" w14:textId="242F1050" w:rsidR="00A00B1D" w:rsidRPr="00A00B1D" w:rsidRDefault="00A00B1D" w:rsidP="00A00B1D">
            <w:pPr>
              <w:tabs>
                <w:tab w:val="clear" w:pos="7100"/>
              </w:tabs>
              <w:spacing w:line="276" w:lineRule="auto"/>
              <w:jc w:val="left"/>
              <w:rPr>
                <w:rFonts w:cs="Arial"/>
                <w:color w:val="000000"/>
                <w:szCs w:val="22"/>
              </w:rPr>
            </w:pPr>
            <w:r w:rsidRPr="00A00B1D">
              <w:rPr>
                <w:rFonts w:cs="Arial"/>
                <w:color w:val="000000"/>
                <w:szCs w:val="22"/>
              </w:rPr>
              <w:t>NRMSE - Normalized Root Mean Squared Error</w:t>
            </w:r>
          </w:p>
        </w:tc>
      </w:tr>
      <w:tr w:rsidR="00A00B1D" w:rsidRPr="00A00B1D" w14:paraId="46F11088" w14:textId="60B6CFAE" w:rsidTr="00A00B1D">
        <w:trPr>
          <w:trHeight w:val="360"/>
        </w:trPr>
        <w:tc>
          <w:tcPr>
            <w:tcW w:w="3828" w:type="dxa"/>
            <w:tcBorders>
              <w:top w:val="nil"/>
              <w:left w:val="nil"/>
              <w:bottom w:val="nil"/>
              <w:right w:val="nil"/>
            </w:tcBorders>
            <w:shd w:val="clear" w:color="auto" w:fill="auto"/>
            <w:noWrap/>
            <w:vAlign w:val="center"/>
            <w:hideMark/>
          </w:tcPr>
          <w:p w14:paraId="7366B9C1" w14:textId="77777777" w:rsidR="00A00B1D" w:rsidRPr="00A00B1D" w:rsidRDefault="00A00B1D" w:rsidP="00A00B1D">
            <w:pPr>
              <w:tabs>
                <w:tab w:val="clear" w:pos="7100"/>
              </w:tabs>
              <w:spacing w:line="240" w:lineRule="auto"/>
              <w:jc w:val="left"/>
              <w:rPr>
                <w:rFonts w:cs="Arial"/>
                <w:color w:val="000000"/>
                <w:szCs w:val="22"/>
                <w:lang w:eastAsia="en-GB"/>
              </w:rPr>
            </w:pPr>
            <w:r w:rsidRPr="00A00B1D">
              <w:rPr>
                <w:rFonts w:cs="Arial"/>
                <w:color w:val="000000"/>
                <w:szCs w:val="22"/>
                <w:lang w:eastAsia="en-GB"/>
              </w:rPr>
              <w:t>CO</w:t>
            </w:r>
            <w:r w:rsidRPr="00A00B1D">
              <w:rPr>
                <w:rFonts w:cs="Arial"/>
                <w:color w:val="000000"/>
                <w:szCs w:val="22"/>
                <w:vertAlign w:val="subscript"/>
                <w:lang w:eastAsia="en-GB"/>
              </w:rPr>
              <w:t>2eq</w:t>
            </w:r>
            <w:r w:rsidRPr="00A00B1D">
              <w:rPr>
                <w:rFonts w:cs="Arial"/>
                <w:color w:val="000000"/>
                <w:szCs w:val="22"/>
                <w:lang w:eastAsia="en-GB"/>
              </w:rPr>
              <w:t xml:space="preserve"> - Carbon dioxide equivalent</w:t>
            </w:r>
          </w:p>
        </w:tc>
        <w:tc>
          <w:tcPr>
            <w:tcW w:w="4536" w:type="dxa"/>
            <w:vAlign w:val="center"/>
          </w:tcPr>
          <w:p w14:paraId="604A3BD9" w14:textId="1AE6D46B" w:rsidR="00A00B1D" w:rsidRPr="00A00B1D" w:rsidRDefault="00A00B1D" w:rsidP="00A00B1D">
            <w:pPr>
              <w:tabs>
                <w:tab w:val="clear" w:pos="7100"/>
              </w:tabs>
              <w:spacing w:line="276" w:lineRule="auto"/>
              <w:jc w:val="left"/>
              <w:rPr>
                <w:rFonts w:cs="Arial"/>
                <w:lang w:eastAsia="en-GB"/>
              </w:rPr>
            </w:pPr>
            <w:r w:rsidRPr="00A00B1D">
              <w:rPr>
                <w:rFonts w:cs="Arial"/>
                <w:color w:val="000000"/>
                <w:szCs w:val="22"/>
              </w:rPr>
              <w:t>PLC - Programmable Logic Controller</w:t>
            </w:r>
          </w:p>
        </w:tc>
      </w:tr>
      <w:tr w:rsidR="00A00B1D" w:rsidRPr="00A00B1D" w14:paraId="0195BAD6" w14:textId="246FC585" w:rsidTr="00A00B1D">
        <w:trPr>
          <w:trHeight w:val="300"/>
        </w:trPr>
        <w:tc>
          <w:tcPr>
            <w:tcW w:w="3828" w:type="dxa"/>
            <w:tcBorders>
              <w:top w:val="nil"/>
              <w:left w:val="nil"/>
              <w:bottom w:val="nil"/>
              <w:right w:val="nil"/>
            </w:tcBorders>
            <w:shd w:val="clear" w:color="auto" w:fill="auto"/>
            <w:noWrap/>
            <w:vAlign w:val="center"/>
            <w:hideMark/>
          </w:tcPr>
          <w:p w14:paraId="29140F25" w14:textId="77777777" w:rsidR="00A00B1D" w:rsidRPr="00A00B1D" w:rsidRDefault="00A00B1D" w:rsidP="00A00B1D">
            <w:pPr>
              <w:tabs>
                <w:tab w:val="clear" w:pos="7100"/>
              </w:tabs>
              <w:spacing w:line="240" w:lineRule="auto"/>
              <w:jc w:val="left"/>
              <w:rPr>
                <w:rFonts w:cs="Arial"/>
                <w:color w:val="000000"/>
                <w:szCs w:val="22"/>
                <w:lang w:eastAsia="en-GB"/>
              </w:rPr>
            </w:pPr>
            <w:r w:rsidRPr="00A00B1D">
              <w:rPr>
                <w:rFonts w:cs="Arial"/>
                <w:color w:val="000000"/>
                <w:szCs w:val="22"/>
                <w:lang w:eastAsia="en-GB"/>
              </w:rPr>
              <w:t>COP - Conference of the Parties</w:t>
            </w:r>
          </w:p>
        </w:tc>
        <w:tc>
          <w:tcPr>
            <w:tcW w:w="4536" w:type="dxa"/>
            <w:vAlign w:val="center"/>
          </w:tcPr>
          <w:p w14:paraId="6EF93F14" w14:textId="6AF5D235" w:rsidR="00A00B1D" w:rsidRPr="00A00B1D" w:rsidRDefault="00A00B1D" w:rsidP="00A00B1D">
            <w:pPr>
              <w:tabs>
                <w:tab w:val="clear" w:pos="7100"/>
              </w:tabs>
              <w:spacing w:line="276" w:lineRule="auto"/>
              <w:jc w:val="left"/>
              <w:rPr>
                <w:rFonts w:cs="Arial"/>
                <w:lang w:eastAsia="en-GB"/>
              </w:rPr>
            </w:pPr>
            <w:r w:rsidRPr="00A00B1D">
              <w:rPr>
                <w:rFonts w:cs="Arial"/>
                <w:color w:val="000000"/>
                <w:szCs w:val="22"/>
              </w:rPr>
              <w:t>PV - Photovoltaic</w:t>
            </w:r>
          </w:p>
        </w:tc>
      </w:tr>
      <w:tr w:rsidR="00A00B1D" w:rsidRPr="00A00B1D" w14:paraId="30C7F660" w14:textId="738E237A" w:rsidTr="00A00B1D">
        <w:trPr>
          <w:trHeight w:val="300"/>
        </w:trPr>
        <w:tc>
          <w:tcPr>
            <w:tcW w:w="3828" w:type="dxa"/>
            <w:tcBorders>
              <w:top w:val="nil"/>
              <w:left w:val="nil"/>
              <w:bottom w:val="nil"/>
              <w:right w:val="nil"/>
            </w:tcBorders>
            <w:shd w:val="clear" w:color="auto" w:fill="auto"/>
            <w:noWrap/>
            <w:vAlign w:val="center"/>
            <w:hideMark/>
          </w:tcPr>
          <w:p w14:paraId="682D66A7" w14:textId="77777777" w:rsidR="00A00B1D" w:rsidRPr="00A00B1D" w:rsidRDefault="00A00B1D" w:rsidP="00A00B1D">
            <w:pPr>
              <w:tabs>
                <w:tab w:val="clear" w:pos="7100"/>
              </w:tabs>
              <w:spacing w:line="240" w:lineRule="auto"/>
              <w:jc w:val="left"/>
              <w:rPr>
                <w:rFonts w:cs="Arial"/>
                <w:color w:val="000000"/>
                <w:szCs w:val="22"/>
                <w:lang w:eastAsia="en-GB"/>
              </w:rPr>
            </w:pPr>
            <w:r w:rsidRPr="00A00B1D">
              <w:rPr>
                <w:rFonts w:cs="Arial"/>
                <w:color w:val="000000"/>
                <w:szCs w:val="22"/>
                <w:lang w:eastAsia="en-GB"/>
              </w:rPr>
              <w:t>DT - Digital Twin</w:t>
            </w:r>
          </w:p>
        </w:tc>
        <w:tc>
          <w:tcPr>
            <w:tcW w:w="4536" w:type="dxa"/>
            <w:vAlign w:val="center"/>
          </w:tcPr>
          <w:p w14:paraId="2EF3F2A3" w14:textId="5FB01FAB" w:rsidR="00A00B1D" w:rsidRPr="00A00B1D" w:rsidRDefault="00A00B1D" w:rsidP="00A00B1D">
            <w:pPr>
              <w:tabs>
                <w:tab w:val="clear" w:pos="7100"/>
              </w:tabs>
              <w:spacing w:line="276" w:lineRule="auto"/>
              <w:jc w:val="left"/>
              <w:rPr>
                <w:rFonts w:cs="Arial"/>
                <w:lang w:eastAsia="en-GB"/>
              </w:rPr>
            </w:pPr>
            <w:r w:rsidRPr="00A00B1D">
              <w:rPr>
                <w:rFonts w:cs="Arial"/>
                <w:color w:val="000000"/>
                <w:szCs w:val="22"/>
              </w:rPr>
              <w:t>RES - Renewable Energy Sources</w:t>
            </w:r>
          </w:p>
        </w:tc>
      </w:tr>
      <w:tr w:rsidR="00A00B1D" w:rsidRPr="00A00B1D" w14:paraId="777C05AD" w14:textId="02BBD5C4" w:rsidTr="00A00B1D">
        <w:trPr>
          <w:trHeight w:val="300"/>
        </w:trPr>
        <w:tc>
          <w:tcPr>
            <w:tcW w:w="3828" w:type="dxa"/>
            <w:tcBorders>
              <w:top w:val="nil"/>
              <w:left w:val="nil"/>
              <w:bottom w:val="nil"/>
              <w:right w:val="nil"/>
            </w:tcBorders>
            <w:shd w:val="clear" w:color="auto" w:fill="auto"/>
            <w:noWrap/>
            <w:vAlign w:val="center"/>
            <w:hideMark/>
          </w:tcPr>
          <w:p w14:paraId="0243A0CA" w14:textId="77777777" w:rsidR="00A00B1D" w:rsidRPr="00A00B1D" w:rsidRDefault="00A00B1D" w:rsidP="00A00B1D">
            <w:pPr>
              <w:tabs>
                <w:tab w:val="clear" w:pos="7100"/>
              </w:tabs>
              <w:spacing w:line="240" w:lineRule="auto"/>
              <w:jc w:val="left"/>
              <w:rPr>
                <w:rFonts w:cs="Arial"/>
                <w:color w:val="000000"/>
                <w:szCs w:val="22"/>
                <w:lang w:eastAsia="en-GB"/>
              </w:rPr>
            </w:pPr>
            <w:r w:rsidRPr="00A00B1D">
              <w:rPr>
                <w:rFonts w:cs="Arial"/>
                <w:color w:val="000000"/>
                <w:szCs w:val="22"/>
                <w:lang w:eastAsia="en-GB"/>
              </w:rPr>
              <w:t>EJ - Exajoules</w:t>
            </w:r>
          </w:p>
        </w:tc>
        <w:tc>
          <w:tcPr>
            <w:tcW w:w="4536" w:type="dxa"/>
            <w:vAlign w:val="center"/>
          </w:tcPr>
          <w:p w14:paraId="7B04703B" w14:textId="745271D5" w:rsidR="00A00B1D" w:rsidRPr="00A00B1D" w:rsidRDefault="00A00B1D" w:rsidP="00A00B1D">
            <w:pPr>
              <w:tabs>
                <w:tab w:val="clear" w:pos="7100"/>
              </w:tabs>
              <w:spacing w:line="276" w:lineRule="auto"/>
              <w:jc w:val="left"/>
              <w:rPr>
                <w:rFonts w:cs="Arial"/>
                <w:lang w:eastAsia="en-GB"/>
              </w:rPr>
            </w:pPr>
            <w:r w:rsidRPr="00A00B1D">
              <w:rPr>
                <w:rFonts w:cs="Arial"/>
                <w:color w:val="000000"/>
                <w:szCs w:val="22"/>
              </w:rPr>
              <w:t>RHS - Renewable Hydrogen-based System</w:t>
            </w:r>
          </w:p>
        </w:tc>
      </w:tr>
      <w:tr w:rsidR="00A00B1D" w:rsidRPr="00A00B1D" w14:paraId="5658B0AD" w14:textId="19E5E69A" w:rsidTr="00A00B1D">
        <w:trPr>
          <w:trHeight w:val="300"/>
        </w:trPr>
        <w:tc>
          <w:tcPr>
            <w:tcW w:w="3828" w:type="dxa"/>
            <w:tcBorders>
              <w:top w:val="nil"/>
              <w:left w:val="nil"/>
              <w:bottom w:val="nil"/>
              <w:right w:val="nil"/>
            </w:tcBorders>
            <w:shd w:val="clear" w:color="auto" w:fill="auto"/>
            <w:noWrap/>
            <w:vAlign w:val="center"/>
            <w:hideMark/>
          </w:tcPr>
          <w:p w14:paraId="6BF2A2B3" w14:textId="77777777" w:rsidR="00A00B1D" w:rsidRPr="00A00B1D" w:rsidRDefault="00A00B1D" w:rsidP="00A00B1D">
            <w:pPr>
              <w:tabs>
                <w:tab w:val="clear" w:pos="7100"/>
              </w:tabs>
              <w:spacing w:line="240" w:lineRule="auto"/>
              <w:jc w:val="left"/>
              <w:rPr>
                <w:rFonts w:cs="Arial"/>
                <w:color w:val="000000"/>
                <w:szCs w:val="22"/>
                <w:lang w:eastAsia="en-GB"/>
              </w:rPr>
            </w:pPr>
            <w:r w:rsidRPr="00A00B1D">
              <w:rPr>
                <w:rFonts w:cs="Arial"/>
                <w:color w:val="000000"/>
                <w:szCs w:val="22"/>
                <w:lang w:eastAsia="en-GB"/>
              </w:rPr>
              <w:t>GHG - Greenhouse Gases</w:t>
            </w:r>
          </w:p>
        </w:tc>
        <w:tc>
          <w:tcPr>
            <w:tcW w:w="4536" w:type="dxa"/>
            <w:vAlign w:val="center"/>
          </w:tcPr>
          <w:p w14:paraId="23CC5CEA" w14:textId="721554F9" w:rsidR="00A00B1D" w:rsidRPr="00A00B1D" w:rsidRDefault="00A00B1D" w:rsidP="00A00B1D">
            <w:pPr>
              <w:tabs>
                <w:tab w:val="clear" w:pos="7100"/>
              </w:tabs>
              <w:spacing w:line="276" w:lineRule="auto"/>
              <w:jc w:val="left"/>
              <w:rPr>
                <w:rFonts w:cs="Arial"/>
                <w:lang w:eastAsia="en-GB"/>
              </w:rPr>
            </w:pPr>
            <w:r w:rsidRPr="00A00B1D">
              <w:rPr>
                <w:rFonts w:cs="Arial"/>
                <w:color w:val="000000"/>
                <w:szCs w:val="22"/>
              </w:rPr>
              <w:t>SCADA - Supervisory Control and Data Acquisition</w:t>
            </w:r>
          </w:p>
        </w:tc>
      </w:tr>
      <w:tr w:rsidR="00A00B1D" w:rsidRPr="00A00B1D" w14:paraId="5008060A" w14:textId="3769B7BD" w:rsidTr="00A00B1D">
        <w:trPr>
          <w:trHeight w:val="300"/>
        </w:trPr>
        <w:tc>
          <w:tcPr>
            <w:tcW w:w="3828" w:type="dxa"/>
            <w:tcBorders>
              <w:top w:val="nil"/>
              <w:left w:val="nil"/>
              <w:bottom w:val="nil"/>
              <w:right w:val="nil"/>
            </w:tcBorders>
            <w:shd w:val="clear" w:color="auto" w:fill="auto"/>
            <w:noWrap/>
            <w:vAlign w:val="center"/>
            <w:hideMark/>
          </w:tcPr>
          <w:p w14:paraId="237EBC3C" w14:textId="5D07F95B" w:rsidR="00A00B1D" w:rsidRPr="00A00B1D" w:rsidRDefault="00A00B1D" w:rsidP="00A00B1D">
            <w:pPr>
              <w:tabs>
                <w:tab w:val="clear" w:pos="7100"/>
              </w:tabs>
              <w:spacing w:line="240" w:lineRule="auto"/>
              <w:jc w:val="left"/>
              <w:rPr>
                <w:rFonts w:cs="Arial"/>
                <w:color w:val="000000"/>
                <w:szCs w:val="22"/>
                <w:lang w:eastAsia="en-GB"/>
              </w:rPr>
            </w:pPr>
            <w:r w:rsidRPr="00A00B1D">
              <w:rPr>
                <w:rFonts w:cs="Arial"/>
                <w:color w:val="000000"/>
                <w:szCs w:val="22"/>
                <w:lang w:eastAsia="en-GB"/>
              </w:rPr>
              <w:t>ML - Machine Learning</w:t>
            </w:r>
          </w:p>
        </w:tc>
        <w:tc>
          <w:tcPr>
            <w:tcW w:w="4536" w:type="dxa"/>
            <w:vAlign w:val="center"/>
          </w:tcPr>
          <w:p w14:paraId="6DBA9B0F" w14:textId="16256B03" w:rsidR="00A00B1D" w:rsidRPr="00A00B1D" w:rsidRDefault="00A00B1D" w:rsidP="00A00B1D">
            <w:pPr>
              <w:tabs>
                <w:tab w:val="clear" w:pos="7100"/>
              </w:tabs>
              <w:spacing w:line="276" w:lineRule="auto"/>
              <w:jc w:val="left"/>
              <w:rPr>
                <w:rFonts w:cs="Arial"/>
                <w:lang w:eastAsia="en-GB"/>
              </w:rPr>
            </w:pPr>
            <w:r w:rsidRPr="00A00B1D">
              <w:rPr>
                <w:rFonts w:cs="Arial"/>
                <w:color w:val="000000"/>
                <w:szCs w:val="22"/>
              </w:rPr>
              <w:t>SOC - State of Charge</w:t>
            </w:r>
          </w:p>
        </w:tc>
      </w:tr>
    </w:tbl>
    <w:p w14:paraId="459D05E6" w14:textId="256F9020" w:rsidR="00600535" w:rsidRPr="00B57B36" w:rsidRDefault="00600535" w:rsidP="00600535">
      <w:pPr>
        <w:pStyle w:val="CETAcknowledgementstitle"/>
      </w:pPr>
      <w:r w:rsidRPr="00B57B36">
        <w:t>Acknowledgments</w:t>
      </w:r>
    </w:p>
    <w:p w14:paraId="33F8138F" w14:textId="4D849928" w:rsidR="00600535" w:rsidRDefault="00F17AA4" w:rsidP="00600535">
      <w:pPr>
        <w:pStyle w:val="CETBodytext"/>
        <w:rPr>
          <w:lang w:val="en-GB"/>
        </w:rPr>
      </w:pPr>
      <w:r w:rsidRPr="00F17AA4">
        <w:rPr>
          <w:lang w:val="en-GB"/>
        </w:rPr>
        <w:t>This research is being supported by projects TED2021-129951B-C21</w:t>
      </w:r>
      <w:r w:rsidR="005C3989">
        <w:rPr>
          <w:lang w:val="en-GB"/>
        </w:rPr>
        <w:t xml:space="preserve">, </w:t>
      </w:r>
      <w:r w:rsidR="005C3989" w:rsidRPr="005C3989">
        <w:rPr>
          <w:lang w:val="en-GB"/>
        </w:rPr>
        <w:t>TED2021-129951B-C22</w:t>
      </w:r>
      <w:r w:rsidRPr="00F17AA4">
        <w:rPr>
          <w:lang w:val="en-GB"/>
        </w:rPr>
        <w:t xml:space="preserve"> and PLEC2021-007718 financed by MCIN/AEI/10.13039/501100011033 and European Union Next </w:t>
      </w:r>
      <w:proofErr w:type="spellStart"/>
      <w:r w:rsidRPr="00F17AA4">
        <w:rPr>
          <w:lang w:val="en-GB"/>
        </w:rPr>
        <w:t>GenerationEU</w:t>
      </w:r>
      <w:proofErr w:type="spellEnd"/>
      <w:r w:rsidRPr="00F17AA4">
        <w:rPr>
          <w:lang w:val="en-GB"/>
        </w:rPr>
        <w:t>/RTRP. The authors also acknowledge the project PID2021-123120OB-I00 funded by MCIN/AEI/10.13039/501100011033/ FEDER, UE.</w:t>
      </w:r>
    </w:p>
    <w:p w14:paraId="1DB8C295" w14:textId="77777777" w:rsidR="00A00B1D" w:rsidRPr="00F17AA4" w:rsidRDefault="00A00B1D" w:rsidP="00600535">
      <w:pPr>
        <w:pStyle w:val="CETBodytext"/>
        <w:rPr>
          <w:lang w:val="en-GB"/>
        </w:rPr>
      </w:pPr>
    </w:p>
    <w:p w14:paraId="4F1327F8" w14:textId="77777777" w:rsidR="00600535" w:rsidRPr="00B57B36" w:rsidRDefault="00600535" w:rsidP="00600535">
      <w:pPr>
        <w:pStyle w:val="CETReference"/>
      </w:pPr>
      <w:r w:rsidRPr="00B57B36">
        <w:t>References</w:t>
      </w:r>
    </w:p>
    <w:p w14:paraId="575A6B12" w14:textId="77777777" w:rsidR="00A00B1D" w:rsidRPr="001C25B1" w:rsidRDefault="00A00B1D" w:rsidP="00A00B1D">
      <w:pPr>
        <w:widowControl w:val="0"/>
        <w:autoSpaceDE w:val="0"/>
        <w:autoSpaceDN w:val="0"/>
        <w:adjustRightInd w:val="0"/>
        <w:spacing w:line="240" w:lineRule="auto"/>
        <w:ind w:left="480" w:hanging="480"/>
        <w:rPr>
          <w:rFonts w:cs="Arial"/>
          <w:iCs/>
          <w:noProof/>
          <w:szCs w:val="24"/>
        </w:rPr>
      </w:pPr>
      <w:r w:rsidRPr="00A00B1D">
        <w:rPr>
          <w:rFonts w:cs="Arial"/>
          <w:iCs/>
          <w:noProof/>
          <w:szCs w:val="24"/>
        </w:rPr>
        <w:t xml:space="preserve">Agostinelli S., Cumo F., Guidi G., and Tomazzol C., </w:t>
      </w:r>
      <w:r w:rsidRPr="001C25B1">
        <w:rPr>
          <w:rFonts w:cs="Arial"/>
          <w:iCs/>
          <w:noProof/>
          <w:szCs w:val="24"/>
        </w:rPr>
        <w:t xml:space="preserve">2021. “Cyber-Physical Systems Improving Building Energy Management: Digital Twin and Artificial Intelligence”. </w:t>
      </w:r>
      <w:r w:rsidRPr="001C25B1">
        <w:rPr>
          <w:rFonts w:cs="Arial"/>
          <w:noProof/>
          <w:szCs w:val="24"/>
        </w:rPr>
        <w:t>Energies</w:t>
      </w:r>
      <w:r w:rsidRPr="001C25B1">
        <w:rPr>
          <w:rFonts w:cs="Arial"/>
          <w:iCs/>
          <w:noProof/>
          <w:szCs w:val="24"/>
        </w:rPr>
        <w:t xml:space="preserve"> 2021, </w:t>
      </w:r>
      <w:r w:rsidRPr="001C25B1">
        <w:rPr>
          <w:rFonts w:cs="Arial"/>
          <w:noProof/>
          <w:szCs w:val="24"/>
        </w:rPr>
        <w:t>14</w:t>
      </w:r>
      <w:r w:rsidRPr="001C25B1">
        <w:rPr>
          <w:rFonts w:cs="Arial"/>
          <w:iCs/>
          <w:noProof/>
          <w:szCs w:val="24"/>
        </w:rPr>
        <w:t xml:space="preserve">, 2338. </w:t>
      </w:r>
    </w:p>
    <w:p w14:paraId="5154B13E" w14:textId="1CB2B1D3" w:rsidR="00E01763" w:rsidRPr="001C25B1" w:rsidRDefault="00E01763" w:rsidP="00E01763">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Pr="001C25B1">
        <w:rPr>
          <w:rFonts w:cs="Arial"/>
          <w:noProof/>
          <w:szCs w:val="24"/>
        </w:rPr>
        <w:t xml:space="preserve">bp. 2022. </w:t>
      </w:r>
      <w:r w:rsidRPr="001C25B1">
        <w:rPr>
          <w:rFonts w:cs="Arial"/>
          <w:iCs/>
          <w:noProof/>
          <w:szCs w:val="24"/>
        </w:rPr>
        <w:t>Statistical Review of World Energy 2022</w:t>
      </w:r>
      <w:r w:rsidRPr="001C25B1">
        <w:rPr>
          <w:rFonts w:cs="Arial"/>
          <w:noProof/>
          <w:szCs w:val="24"/>
        </w:rPr>
        <w:t>.</w:t>
      </w:r>
    </w:p>
    <w:p w14:paraId="3920843F" w14:textId="392F5069" w:rsidR="00E01763" w:rsidRPr="001C25B1" w:rsidRDefault="00E01763" w:rsidP="00E01763">
      <w:pPr>
        <w:widowControl w:val="0"/>
        <w:autoSpaceDE w:val="0"/>
        <w:autoSpaceDN w:val="0"/>
        <w:adjustRightInd w:val="0"/>
        <w:spacing w:line="240" w:lineRule="auto"/>
        <w:ind w:left="480" w:hanging="480"/>
        <w:rPr>
          <w:rFonts w:cs="Arial"/>
          <w:noProof/>
          <w:szCs w:val="24"/>
        </w:rPr>
      </w:pPr>
      <w:r w:rsidRPr="001C25B1">
        <w:rPr>
          <w:rFonts w:cs="Arial"/>
          <w:noProof/>
          <w:szCs w:val="24"/>
        </w:rPr>
        <w:t>European Council. 2022. “REPowerEU: Affordable, Secure and Sustainable Energy for Europe.” (https://commission.europa.eu/strategy-and-policy/priorities-2019-2024/european-green-deal/repowereu-affordable-secure-and-sustainable-energy-europe_en)</w:t>
      </w:r>
      <w:r w:rsidR="00A00B1D">
        <w:rPr>
          <w:rFonts w:cs="Arial"/>
          <w:noProof/>
          <w:szCs w:val="24"/>
        </w:rPr>
        <w:t xml:space="preserve"> accessed 13.03.2023</w:t>
      </w:r>
      <w:r w:rsidRPr="001C25B1">
        <w:rPr>
          <w:rFonts w:cs="Arial"/>
          <w:noProof/>
          <w:szCs w:val="24"/>
        </w:rPr>
        <w:t>.</w:t>
      </w:r>
    </w:p>
    <w:p w14:paraId="2F7E2DDE" w14:textId="2AE73225" w:rsidR="00E01763" w:rsidRDefault="00E01763" w:rsidP="00E01763">
      <w:pPr>
        <w:widowControl w:val="0"/>
        <w:autoSpaceDE w:val="0"/>
        <w:autoSpaceDN w:val="0"/>
        <w:adjustRightInd w:val="0"/>
        <w:spacing w:line="240" w:lineRule="auto"/>
        <w:ind w:left="480" w:hanging="480"/>
        <w:rPr>
          <w:rFonts w:cs="Arial"/>
          <w:noProof/>
          <w:szCs w:val="24"/>
        </w:rPr>
      </w:pPr>
      <w:r w:rsidRPr="001C25B1">
        <w:rPr>
          <w:rFonts w:cs="Arial"/>
          <w:noProof/>
          <w:szCs w:val="24"/>
        </w:rPr>
        <w:t>European Council. 2023. “Fit for 55 - The EU’s Plan for a Green Transition.” (https://www.consilium.europa.eu/en/policies/green-deal/fit-for-55-the-eu-plan-for-a-green-transition/)</w:t>
      </w:r>
      <w:r w:rsidR="00A00B1D">
        <w:rPr>
          <w:rFonts w:cs="Arial"/>
          <w:noProof/>
          <w:szCs w:val="24"/>
        </w:rPr>
        <w:t xml:space="preserve"> accessed 07.03.2023</w:t>
      </w:r>
      <w:r w:rsidRPr="001C25B1">
        <w:rPr>
          <w:rFonts w:cs="Arial"/>
          <w:noProof/>
          <w:szCs w:val="24"/>
        </w:rPr>
        <w:t>.</w:t>
      </w:r>
    </w:p>
    <w:p w14:paraId="027B8F6F" w14:textId="49381333" w:rsidR="000D314F" w:rsidRPr="000D314F" w:rsidRDefault="000D314F" w:rsidP="00E01763">
      <w:pPr>
        <w:widowControl w:val="0"/>
        <w:autoSpaceDE w:val="0"/>
        <w:autoSpaceDN w:val="0"/>
        <w:adjustRightInd w:val="0"/>
        <w:spacing w:line="240" w:lineRule="auto"/>
        <w:ind w:left="480" w:hanging="480"/>
        <w:rPr>
          <w:rFonts w:cs="Arial"/>
          <w:iCs/>
          <w:noProof/>
          <w:szCs w:val="24"/>
        </w:rPr>
      </w:pPr>
      <w:r w:rsidRPr="001C25B1">
        <w:rPr>
          <w:rFonts w:cs="Arial"/>
          <w:iCs/>
          <w:noProof/>
          <w:szCs w:val="24"/>
        </w:rPr>
        <w:t>Grieves.</w:t>
      </w:r>
      <w:r>
        <w:rPr>
          <w:rFonts w:cs="Arial"/>
          <w:iCs/>
          <w:noProof/>
          <w:szCs w:val="24"/>
        </w:rPr>
        <w:t xml:space="preserve"> </w:t>
      </w:r>
      <w:r w:rsidRPr="001C25B1">
        <w:rPr>
          <w:rFonts w:cs="Arial"/>
          <w:iCs/>
          <w:noProof/>
          <w:szCs w:val="24"/>
        </w:rPr>
        <w:t>M.</w:t>
      </w:r>
      <w:r>
        <w:rPr>
          <w:rFonts w:cs="Arial"/>
          <w:iCs/>
          <w:noProof/>
          <w:szCs w:val="24"/>
        </w:rPr>
        <w:t>,</w:t>
      </w:r>
      <w:r w:rsidRPr="001C25B1">
        <w:rPr>
          <w:rFonts w:cs="Arial"/>
          <w:iCs/>
          <w:noProof/>
          <w:szCs w:val="24"/>
        </w:rPr>
        <w:t xml:space="preserve"> 2014. "Digital twin: manufacturing excellence through virtual factory replication." White paper 1, pp. 1-7</w:t>
      </w:r>
    </w:p>
    <w:p w14:paraId="16B27458" w14:textId="77777777" w:rsidR="00E01763" w:rsidRPr="001C25B1" w:rsidRDefault="00E01763" w:rsidP="00E01763">
      <w:pPr>
        <w:widowControl w:val="0"/>
        <w:autoSpaceDE w:val="0"/>
        <w:autoSpaceDN w:val="0"/>
        <w:adjustRightInd w:val="0"/>
        <w:spacing w:line="240" w:lineRule="auto"/>
        <w:ind w:left="480" w:hanging="480"/>
        <w:rPr>
          <w:rFonts w:cs="Arial"/>
          <w:noProof/>
          <w:szCs w:val="24"/>
        </w:rPr>
      </w:pPr>
      <w:r w:rsidRPr="001C25B1">
        <w:rPr>
          <w:rFonts w:cs="Arial"/>
          <w:noProof/>
          <w:szCs w:val="24"/>
        </w:rPr>
        <w:t xml:space="preserve">IEA. 2020. </w:t>
      </w:r>
      <w:r w:rsidRPr="001C25B1">
        <w:rPr>
          <w:rFonts w:cs="Arial"/>
          <w:iCs/>
          <w:noProof/>
          <w:szCs w:val="24"/>
        </w:rPr>
        <w:t>CO2 EMISSIONS FROM FUEL COMBUSTION 2020 EDITION DATABASE DOCUMENTATION</w:t>
      </w:r>
      <w:r w:rsidRPr="001C25B1">
        <w:rPr>
          <w:rFonts w:cs="Arial"/>
          <w:noProof/>
          <w:szCs w:val="24"/>
        </w:rPr>
        <w:t>.</w:t>
      </w:r>
    </w:p>
    <w:p w14:paraId="57260D83" w14:textId="2B8ADA92" w:rsidR="00E01763" w:rsidRPr="001C25B1" w:rsidRDefault="00A00B1D" w:rsidP="00E01763">
      <w:pPr>
        <w:widowControl w:val="0"/>
        <w:autoSpaceDE w:val="0"/>
        <w:autoSpaceDN w:val="0"/>
        <w:adjustRightInd w:val="0"/>
        <w:spacing w:line="240" w:lineRule="auto"/>
        <w:ind w:left="480" w:hanging="480"/>
        <w:rPr>
          <w:rFonts w:cs="Arial"/>
          <w:noProof/>
          <w:szCs w:val="24"/>
        </w:rPr>
      </w:pPr>
      <w:r>
        <w:rPr>
          <w:rFonts w:cs="Arial"/>
          <w:noProof/>
          <w:szCs w:val="24"/>
          <w:lang w:val="es-ES"/>
        </w:rPr>
        <w:t>Maestre</w:t>
      </w:r>
      <w:r w:rsidR="00E01763" w:rsidRPr="001C25B1">
        <w:rPr>
          <w:rFonts w:cs="Arial"/>
          <w:noProof/>
          <w:szCs w:val="24"/>
          <w:lang w:val="es-ES"/>
        </w:rPr>
        <w:t xml:space="preserve"> V</w:t>
      </w:r>
      <w:r>
        <w:rPr>
          <w:rFonts w:cs="Arial"/>
          <w:noProof/>
          <w:szCs w:val="24"/>
          <w:lang w:val="es-ES"/>
        </w:rPr>
        <w:t>.</w:t>
      </w:r>
      <w:r w:rsidR="00E01763" w:rsidRPr="001C25B1">
        <w:rPr>
          <w:rFonts w:cs="Arial"/>
          <w:noProof/>
          <w:szCs w:val="24"/>
          <w:lang w:val="es-ES"/>
        </w:rPr>
        <w:t>M</w:t>
      </w:r>
      <w:r>
        <w:rPr>
          <w:rFonts w:cs="Arial"/>
          <w:noProof/>
          <w:szCs w:val="24"/>
          <w:lang w:val="es-ES"/>
        </w:rPr>
        <w:t>.</w:t>
      </w:r>
      <w:r w:rsidR="00E01763" w:rsidRPr="001C25B1">
        <w:rPr>
          <w:rFonts w:cs="Arial"/>
          <w:noProof/>
          <w:szCs w:val="24"/>
          <w:lang w:val="es-ES"/>
        </w:rPr>
        <w:t>, Ortiz</w:t>
      </w:r>
      <w:r>
        <w:rPr>
          <w:rFonts w:cs="Arial"/>
          <w:noProof/>
          <w:szCs w:val="24"/>
          <w:lang w:val="es-ES"/>
        </w:rPr>
        <w:t xml:space="preserve"> A.</w:t>
      </w:r>
      <w:r w:rsidR="00E01763" w:rsidRPr="001C25B1">
        <w:rPr>
          <w:rFonts w:cs="Arial"/>
          <w:noProof/>
          <w:szCs w:val="24"/>
          <w:lang w:val="es-ES"/>
        </w:rPr>
        <w:t xml:space="preserve">, and </w:t>
      </w:r>
      <w:r>
        <w:rPr>
          <w:rFonts w:cs="Arial"/>
          <w:noProof/>
          <w:szCs w:val="24"/>
          <w:lang w:val="es-ES"/>
        </w:rPr>
        <w:t>Ortiz I.,</w:t>
      </w:r>
      <w:r w:rsidR="00E01763" w:rsidRPr="001C25B1">
        <w:rPr>
          <w:rFonts w:cs="Arial"/>
          <w:noProof/>
          <w:szCs w:val="24"/>
          <w:lang w:val="es-ES"/>
        </w:rPr>
        <w:t xml:space="preserve"> </w:t>
      </w:r>
      <w:r w:rsidR="00E01763" w:rsidRPr="00A00B1D">
        <w:rPr>
          <w:rFonts w:cs="Arial"/>
          <w:noProof/>
          <w:szCs w:val="24"/>
          <w:lang w:val="es-ES"/>
        </w:rPr>
        <w:t xml:space="preserve">2022. </w:t>
      </w:r>
      <w:r w:rsidR="00E01763" w:rsidRPr="001C25B1">
        <w:rPr>
          <w:rFonts w:cs="Arial"/>
          <w:noProof/>
          <w:szCs w:val="24"/>
        </w:rPr>
        <w:t xml:space="preserve">“Transition to a Low-Carbon Building Stock . Techno-Economic and Spatial Optimization of Renewables ‑ Hydrogen Strategies in Spain.” </w:t>
      </w:r>
      <w:r w:rsidR="00E01763" w:rsidRPr="001C25B1">
        <w:rPr>
          <w:rFonts w:cs="Arial"/>
          <w:iCs/>
          <w:noProof/>
          <w:szCs w:val="24"/>
        </w:rPr>
        <w:t>Journal of Energy Storage</w:t>
      </w:r>
      <w:r w:rsidR="00E01763" w:rsidRPr="001C25B1">
        <w:rPr>
          <w:rFonts w:cs="Arial"/>
          <w:noProof/>
          <w:szCs w:val="24"/>
        </w:rPr>
        <w:t xml:space="preserve"> 56(PA):105889.</w:t>
      </w:r>
    </w:p>
    <w:p w14:paraId="77C83137" w14:textId="2CFE2946" w:rsidR="00C90615" w:rsidRPr="000D314F" w:rsidRDefault="00A00B1D" w:rsidP="00C90615">
      <w:pPr>
        <w:widowControl w:val="0"/>
        <w:autoSpaceDE w:val="0"/>
        <w:autoSpaceDN w:val="0"/>
        <w:adjustRightInd w:val="0"/>
        <w:spacing w:line="240" w:lineRule="auto"/>
        <w:ind w:left="480" w:hanging="480"/>
        <w:rPr>
          <w:rFonts w:cs="Arial"/>
          <w:noProof/>
          <w:szCs w:val="24"/>
        </w:rPr>
      </w:pPr>
      <w:r w:rsidRPr="00EC598A">
        <w:rPr>
          <w:rFonts w:cs="Arial"/>
          <w:noProof/>
          <w:szCs w:val="24"/>
          <w:lang w:val="en-US"/>
        </w:rPr>
        <w:t>Maestre</w:t>
      </w:r>
      <w:r w:rsidR="00E01763" w:rsidRPr="00EC598A">
        <w:rPr>
          <w:rFonts w:cs="Arial"/>
          <w:noProof/>
          <w:szCs w:val="24"/>
          <w:lang w:val="en-US"/>
        </w:rPr>
        <w:t xml:space="preserve"> V</w:t>
      </w:r>
      <w:r w:rsidRPr="00EC598A">
        <w:rPr>
          <w:rFonts w:cs="Arial"/>
          <w:noProof/>
          <w:szCs w:val="24"/>
          <w:lang w:val="en-US"/>
        </w:rPr>
        <w:t>.</w:t>
      </w:r>
      <w:r w:rsidR="00E01763" w:rsidRPr="00EC598A">
        <w:rPr>
          <w:rFonts w:cs="Arial"/>
          <w:noProof/>
          <w:szCs w:val="24"/>
          <w:lang w:val="en-US"/>
        </w:rPr>
        <w:t>M</w:t>
      </w:r>
      <w:r w:rsidRPr="00EC598A">
        <w:rPr>
          <w:rFonts w:cs="Arial"/>
          <w:noProof/>
          <w:szCs w:val="24"/>
          <w:lang w:val="en-US"/>
        </w:rPr>
        <w:t>.</w:t>
      </w:r>
      <w:r w:rsidR="00E01763" w:rsidRPr="00EC598A">
        <w:rPr>
          <w:rFonts w:cs="Arial"/>
          <w:noProof/>
          <w:szCs w:val="24"/>
          <w:lang w:val="en-US"/>
        </w:rPr>
        <w:t>, Ortiz</w:t>
      </w:r>
      <w:r w:rsidRPr="00EC598A">
        <w:rPr>
          <w:rFonts w:cs="Arial"/>
          <w:noProof/>
          <w:szCs w:val="24"/>
          <w:lang w:val="en-US"/>
        </w:rPr>
        <w:t xml:space="preserve"> A.</w:t>
      </w:r>
      <w:r w:rsidR="00E01763" w:rsidRPr="00EC598A">
        <w:rPr>
          <w:rFonts w:cs="Arial"/>
          <w:noProof/>
          <w:szCs w:val="24"/>
          <w:lang w:val="en-US"/>
        </w:rPr>
        <w:t>, and Ortiz</w:t>
      </w:r>
      <w:r w:rsidRPr="00EC598A">
        <w:rPr>
          <w:rFonts w:cs="Arial"/>
          <w:noProof/>
          <w:szCs w:val="24"/>
          <w:lang w:val="en-US"/>
        </w:rPr>
        <w:t xml:space="preserve"> I.,</w:t>
      </w:r>
      <w:r w:rsidR="00E01763" w:rsidRPr="00EC598A">
        <w:rPr>
          <w:rFonts w:cs="Arial"/>
          <w:noProof/>
          <w:szCs w:val="24"/>
          <w:lang w:val="en-US"/>
        </w:rPr>
        <w:t xml:space="preserve"> 2022. </w:t>
      </w:r>
      <w:r w:rsidR="00E01763" w:rsidRPr="001C25B1">
        <w:rPr>
          <w:rFonts w:cs="Arial"/>
          <w:noProof/>
          <w:szCs w:val="24"/>
        </w:rPr>
        <w:t xml:space="preserve">“Implementation and Digitalization of a Renewable Hydrogen- Based Power System for Social Housing Decarbonization.” </w:t>
      </w:r>
      <w:r w:rsidR="00E01763" w:rsidRPr="001C25B1">
        <w:rPr>
          <w:rFonts w:cs="Arial"/>
          <w:iCs/>
          <w:noProof/>
          <w:szCs w:val="24"/>
        </w:rPr>
        <w:t>Chemical Engineering Transactions</w:t>
      </w:r>
      <w:r w:rsidR="00E01763" w:rsidRPr="001C25B1">
        <w:rPr>
          <w:rFonts w:cs="Arial"/>
          <w:noProof/>
          <w:szCs w:val="24"/>
        </w:rPr>
        <w:t xml:space="preserve"> 96(November 2021):223–28.</w:t>
      </w:r>
      <w:r w:rsidR="00C90615" w:rsidRPr="001C25B1">
        <w:rPr>
          <w:rFonts w:cs="Arial"/>
          <w:iCs/>
          <w:noProof/>
          <w:szCs w:val="24"/>
        </w:rPr>
        <w:fldChar w:fldCharType="begin" w:fldLock="1"/>
      </w:r>
      <w:r w:rsidR="00C90615" w:rsidRPr="001C25B1">
        <w:rPr>
          <w:rFonts w:cs="Arial"/>
          <w:iCs/>
          <w:noProof/>
          <w:szCs w:val="24"/>
        </w:rPr>
        <w:instrText xml:space="preserve">ADDIN Mendeley Bibliography CSL_BIBLIOGRAPHY </w:instrText>
      </w:r>
      <w:r w:rsidR="00C90615" w:rsidRPr="001C25B1">
        <w:rPr>
          <w:rFonts w:cs="Arial"/>
          <w:iCs/>
          <w:noProof/>
          <w:szCs w:val="24"/>
        </w:rPr>
        <w:fldChar w:fldCharType="separate"/>
      </w:r>
    </w:p>
    <w:p w14:paraId="72E5D444" w14:textId="3B700FF9" w:rsidR="00A00B1D" w:rsidRDefault="00A00B1D" w:rsidP="00C90615">
      <w:pPr>
        <w:widowControl w:val="0"/>
        <w:autoSpaceDE w:val="0"/>
        <w:autoSpaceDN w:val="0"/>
        <w:adjustRightInd w:val="0"/>
        <w:spacing w:line="240" w:lineRule="auto"/>
        <w:ind w:left="480" w:hanging="480"/>
        <w:rPr>
          <w:rFonts w:cs="Arial"/>
          <w:iCs/>
          <w:noProof/>
          <w:szCs w:val="24"/>
        </w:rPr>
      </w:pPr>
      <w:r w:rsidRPr="001C25B1">
        <w:rPr>
          <w:rFonts w:cs="Arial"/>
          <w:iCs/>
          <w:noProof/>
          <w:szCs w:val="24"/>
        </w:rPr>
        <w:t>Nguyen</w:t>
      </w:r>
      <w:r>
        <w:rPr>
          <w:rFonts w:cs="Arial"/>
          <w:iCs/>
          <w:noProof/>
          <w:szCs w:val="24"/>
        </w:rPr>
        <w:t xml:space="preserve"> </w:t>
      </w:r>
      <w:r w:rsidRPr="001C25B1">
        <w:rPr>
          <w:rFonts w:cs="Arial"/>
          <w:iCs/>
          <w:noProof/>
          <w:szCs w:val="24"/>
        </w:rPr>
        <w:t>S., Abdelhakim</w:t>
      </w:r>
      <w:r>
        <w:rPr>
          <w:rFonts w:cs="Arial"/>
          <w:iCs/>
          <w:noProof/>
          <w:szCs w:val="24"/>
        </w:rPr>
        <w:t xml:space="preserve"> </w:t>
      </w:r>
      <w:r w:rsidRPr="001C25B1">
        <w:rPr>
          <w:rFonts w:cs="Arial"/>
          <w:iCs/>
          <w:noProof/>
          <w:szCs w:val="24"/>
        </w:rPr>
        <w:t>M. and Kerestes</w:t>
      </w:r>
      <w:r>
        <w:rPr>
          <w:rFonts w:cs="Arial"/>
          <w:iCs/>
          <w:noProof/>
          <w:szCs w:val="24"/>
        </w:rPr>
        <w:t xml:space="preserve"> </w:t>
      </w:r>
      <w:r w:rsidRPr="001C25B1">
        <w:rPr>
          <w:rFonts w:cs="Arial"/>
          <w:iCs/>
          <w:noProof/>
          <w:szCs w:val="24"/>
        </w:rPr>
        <w:t>R.</w:t>
      </w:r>
      <w:r>
        <w:rPr>
          <w:rFonts w:cs="Arial"/>
          <w:iCs/>
          <w:noProof/>
          <w:szCs w:val="24"/>
        </w:rPr>
        <w:t>,</w:t>
      </w:r>
      <w:r w:rsidRPr="001C25B1">
        <w:rPr>
          <w:rFonts w:cs="Arial"/>
          <w:iCs/>
          <w:noProof/>
          <w:szCs w:val="24"/>
        </w:rPr>
        <w:t xml:space="preserve"> 2021. "Survey Paper of Digital Twins and their Integration into Electric Power Systems," </w:t>
      </w:r>
      <w:r w:rsidRPr="001C25B1">
        <w:rPr>
          <w:rFonts w:cs="Arial"/>
          <w:noProof/>
          <w:szCs w:val="24"/>
        </w:rPr>
        <w:t>2021 IEEE Power &amp; Energy Society General Meeting (PESGM)</w:t>
      </w:r>
      <w:r w:rsidRPr="001C25B1">
        <w:rPr>
          <w:rFonts w:cs="Arial"/>
          <w:iCs/>
          <w:noProof/>
          <w:szCs w:val="24"/>
        </w:rPr>
        <w:t>,</w:t>
      </w:r>
      <w:r>
        <w:rPr>
          <w:rFonts w:cs="Arial"/>
          <w:iCs/>
          <w:noProof/>
          <w:szCs w:val="24"/>
        </w:rPr>
        <w:t xml:space="preserve"> Washington, DC, USA, pp. 01-05</w:t>
      </w:r>
      <w:r w:rsidRPr="001C25B1">
        <w:rPr>
          <w:rFonts w:cs="Arial"/>
          <w:iCs/>
          <w:noProof/>
          <w:szCs w:val="24"/>
        </w:rPr>
        <w:t>.</w:t>
      </w:r>
    </w:p>
    <w:p w14:paraId="55218C23" w14:textId="5874EEF1" w:rsidR="00A00B1D" w:rsidRPr="001C25B1" w:rsidRDefault="00A00B1D" w:rsidP="00C90615">
      <w:pPr>
        <w:widowControl w:val="0"/>
        <w:autoSpaceDE w:val="0"/>
        <w:autoSpaceDN w:val="0"/>
        <w:adjustRightInd w:val="0"/>
        <w:spacing w:line="240" w:lineRule="auto"/>
        <w:ind w:left="480" w:hanging="480"/>
        <w:rPr>
          <w:rFonts w:cs="Arial"/>
          <w:iCs/>
          <w:noProof/>
          <w:szCs w:val="24"/>
        </w:rPr>
      </w:pPr>
      <w:r w:rsidRPr="001C25B1">
        <w:rPr>
          <w:rFonts w:cs="Arial"/>
          <w:noProof/>
          <w:szCs w:val="24"/>
        </w:rPr>
        <w:t>Ritchie, Hannah and Max Roser. 2020. “CO</w:t>
      </w:r>
      <w:r w:rsidRPr="001C25B1">
        <w:rPr>
          <w:rFonts w:ascii="Cambria Math" w:hAnsi="Cambria Math" w:cs="Cambria Math"/>
          <w:noProof/>
          <w:szCs w:val="24"/>
        </w:rPr>
        <w:t>₂</w:t>
      </w:r>
      <w:r w:rsidRPr="001C25B1">
        <w:rPr>
          <w:rFonts w:cs="Arial"/>
          <w:noProof/>
          <w:szCs w:val="24"/>
        </w:rPr>
        <w:t xml:space="preserve"> and Greenhouse Gas Emissions.” </w:t>
      </w:r>
      <w:r w:rsidRPr="001C25B1">
        <w:rPr>
          <w:rFonts w:cs="Arial"/>
          <w:iCs/>
          <w:noProof/>
          <w:szCs w:val="24"/>
        </w:rPr>
        <w:t>Our World in Data</w:t>
      </w:r>
      <w:r w:rsidRPr="001C25B1">
        <w:rPr>
          <w:rFonts w:cs="Arial"/>
          <w:noProof/>
          <w:szCs w:val="24"/>
        </w:rPr>
        <w:t>. (https://ourworldindata.org/co2-and-other-greenhouse-gas-emissions)</w:t>
      </w:r>
      <w:r>
        <w:rPr>
          <w:rFonts w:cs="Arial"/>
          <w:noProof/>
          <w:szCs w:val="24"/>
        </w:rPr>
        <w:t xml:space="preserve"> accessed 15.03.2023</w:t>
      </w:r>
    </w:p>
    <w:p w14:paraId="7E07D683" w14:textId="4A9FD513" w:rsidR="00C90615" w:rsidRDefault="00C90615" w:rsidP="00C90615">
      <w:pPr>
        <w:widowControl w:val="0"/>
        <w:autoSpaceDE w:val="0"/>
        <w:autoSpaceDN w:val="0"/>
        <w:adjustRightInd w:val="0"/>
        <w:spacing w:line="240" w:lineRule="auto"/>
        <w:ind w:left="480" w:hanging="480"/>
        <w:rPr>
          <w:rFonts w:cs="Arial"/>
          <w:iCs/>
          <w:noProof/>
          <w:szCs w:val="24"/>
        </w:rPr>
      </w:pPr>
      <w:r w:rsidRPr="001C25B1">
        <w:rPr>
          <w:rFonts w:cs="Arial"/>
          <w:iCs/>
          <w:noProof/>
          <w:szCs w:val="24"/>
        </w:rPr>
        <w:t>Tao</w:t>
      </w:r>
      <w:r w:rsidR="00A00B1D">
        <w:rPr>
          <w:rFonts w:cs="Arial"/>
          <w:iCs/>
          <w:noProof/>
          <w:szCs w:val="24"/>
        </w:rPr>
        <w:t xml:space="preserve"> </w:t>
      </w:r>
      <w:r w:rsidR="00A00B1D" w:rsidRPr="001C25B1">
        <w:rPr>
          <w:rFonts w:cs="Arial"/>
          <w:iCs/>
          <w:noProof/>
          <w:szCs w:val="24"/>
        </w:rPr>
        <w:t>F.</w:t>
      </w:r>
      <w:r w:rsidRPr="001C25B1">
        <w:rPr>
          <w:rFonts w:cs="Arial"/>
          <w:iCs/>
          <w:noProof/>
          <w:szCs w:val="24"/>
        </w:rPr>
        <w:t>, Zhang</w:t>
      </w:r>
      <w:r w:rsidR="00A00B1D">
        <w:rPr>
          <w:rFonts w:cs="Arial"/>
          <w:iCs/>
          <w:noProof/>
          <w:szCs w:val="24"/>
        </w:rPr>
        <w:t xml:space="preserve"> </w:t>
      </w:r>
      <w:r w:rsidR="00A00B1D" w:rsidRPr="001C25B1">
        <w:rPr>
          <w:rFonts w:cs="Arial"/>
          <w:iCs/>
          <w:noProof/>
          <w:szCs w:val="24"/>
        </w:rPr>
        <w:t>H.</w:t>
      </w:r>
      <w:r w:rsidRPr="001C25B1">
        <w:rPr>
          <w:rFonts w:cs="Arial"/>
          <w:iCs/>
          <w:noProof/>
          <w:szCs w:val="24"/>
        </w:rPr>
        <w:t>, Liu</w:t>
      </w:r>
      <w:r w:rsidR="00A00B1D">
        <w:rPr>
          <w:rFonts w:cs="Arial"/>
          <w:iCs/>
          <w:noProof/>
          <w:szCs w:val="24"/>
        </w:rPr>
        <w:t xml:space="preserve"> </w:t>
      </w:r>
      <w:r w:rsidR="00A00B1D" w:rsidRPr="001C25B1">
        <w:rPr>
          <w:rFonts w:cs="Arial"/>
          <w:iCs/>
          <w:noProof/>
          <w:szCs w:val="24"/>
        </w:rPr>
        <w:t>A.</w:t>
      </w:r>
      <w:r w:rsidRPr="001C25B1">
        <w:rPr>
          <w:rFonts w:cs="Arial"/>
          <w:iCs/>
          <w:noProof/>
          <w:szCs w:val="24"/>
        </w:rPr>
        <w:t xml:space="preserve"> and Nee</w:t>
      </w:r>
      <w:r w:rsidR="001C25B1" w:rsidRPr="001C25B1">
        <w:rPr>
          <w:rFonts w:cs="Arial"/>
          <w:iCs/>
          <w:noProof/>
          <w:szCs w:val="24"/>
        </w:rPr>
        <w:t>.</w:t>
      </w:r>
      <w:r w:rsidR="00A00B1D">
        <w:rPr>
          <w:rFonts w:cs="Arial"/>
          <w:iCs/>
          <w:noProof/>
          <w:szCs w:val="24"/>
        </w:rPr>
        <w:t xml:space="preserve"> </w:t>
      </w:r>
      <w:r w:rsidR="00A00B1D" w:rsidRPr="001C25B1">
        <w:rPr>
          <w:rFonts w:cs="Arial"/>
          <w:iCs/>
          <w:noProof/>
          <w:szCs w:val="24"/>
        </w:rPr>
        <w:t>A. Y. C.</w:t>
      </w:r>
      <w:r w:rsidR="00A00B1D">
        <w:rPr>
          <w:rFonts w:cs="Arial"/>
          <w:iCs/>
          <w:noProof/>
          <w:szCs w:val="24"/>
        </w:rPr>
        <w:t>,</w:t>
      </w:r>
      <w:r w:rsidR="001C25B1" w:rsidRPr="001C25B1">
        <w:rPr>
          <w:rFonts w:cs="Arial"/>
          <w:iCs/>
          <w:noProof/>
          <w:szCs w:val="24"/>
        </w:rPr>
        <w:t xml:space="preserve"> 2019.</w:t>
      </w:r>
      <w:r w:rsidRPr="001C25B1">
        <w:rPr>
          <w:rFonts w:cs="Arial"/>
          <w:iCs/>
          <w:noProof/>
          <w:szCs w:val="24"/>
        </w:rPr>
        <w:t xml:space="preserve"> "Digital Twin in Industry: State-of-the-Art," in </w:t>
      </w:r>
      <w:r w:rsidRPr="001C25B1">
        <w:rPr>
          <w:rFonts w:cs="Arial"/>
          <w:noProof/>
          <w:szCs w:val="24"/>
        </w:rPr>
        <w:t>IEEE Transactions on Industrial Informatics</w:t>
      </w:r>
      <w:r w:rsidR="00A00B1D">
        <w:rPr>
          <w:rFonts w:cs="Arial"/>
          <w:iCs/>
          <w:noProof/>
          <w:szCs w:val="24"/>
        </w:rPr>
        <w:t>, vol. 15, no. 4, pp. 2405-2415</w:t>
      </w:r>
      <w:r w:rsidRPr="001C25B1">
        <w:rPr>
          <w:rFonts w:cs="Arial"/>
          <w:iCs/>
          <w:noProof/>
          <w:szCs w:val="24"/>
        </w:rPr>
        <w:t>.</w:t>
      </w:r>
    </w:p>
    <w:p w14:paraId="19C4FC68" w14:textId="674D01E4" w:rsidR="004628D2" w:rsidRDefault="00A00B1D" w:rsidP="00A00B1D">
      <w:pPr>
        <w:widowControl w:val="0"/>
        <w:autoSpaceDE w:val="0"/>
        <w:autoSpaceDN w:val="0"/>
        <w:adjustRightInd w:val="0"/>
        <w:spacing w:line="240" w:lineRule="auto"/>
        <w:ind w:left="480" w:hanging="480"/>
      </w:pPr>
      <w:r w:rsidRPr="001C25B1">
        <w:rPr>
          <w:rFonts w:cs="Arial"/>
          <w:noProof/>
          <w:szCs w:val="24"/>
        </w:rPr>
        <w:t xml:space="preserve">United Nations. 2015. </w:t>
      </w:r>
      <w:r w:rsidRPr="001C25B1">
        <w:rPr>
          <w:rFonts w:cs="Arial"/>
          <w:iCs/>
          <w:noProof/>
          <w:szCs w:val="24"/>
        </w:rPr>
        <w:t>Adoption of the Paris Agreement</w:t>
      </w:r>
      <w:r w:rsidRPr="001C25B1">
        <w:rPr>
          <w:rFonts w:cs="Arial"/>
          <w:noProof/>
          <w:szCs w:val="24"/>
        </w:rPr>
        <w:t>.</w:t>
      </w:r>
      <w:r w:rsidR="00C90615" w:rsidRPr="001C25B1">
        <w:rPr>
          <w:rFonts w:cs="Arial"/>
          <w:iCs/>
          <w:noProof/>
          <w:szCs w:val="24"/>
        </w:rPr>
        <w:fldChar w:fldCharType="end"/>
      </w:r>
      <w:r w:rsidR="00E01763">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60DF" w14:textId="77777777" w:rsidR="003029B2" w:rsidRDefault="003029B2" w:rsidP="004F5E36">
      <w:r>
        <w:separator/>
      </w:r>
    </w:p>
  </w:endnote>
  <w:endnote w:type="continuationSeparator" w:id="0">
    <w:p w14:paraId="40CBE3C0" w14:textId="77777777" w:rsidR="003029B2" w:rsidRDefault="003029B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271B" w14:textId="77777777" w:rsidR="003029B2" w:rsidRDefault="003029B2" w:rsidP="004F5E36">
      <w:r>
        <w:separator/>
      </w:r>
    </w:p>
  </w:footnote>
  <w:footnote w:type="continuationSeparator" w:id="0">
    <w:p w14:paraId="0DBC40B0" w14:textId="77777777" w:rsidR="003029B2" w:rsidRDefault="003029B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4DF009A"/>
    <w:multiLevelType w:val="hybridMultilevel"/>
    <w:tmpl w:val="647E9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8E60DA6"/>
    <w:multiLevelType w:val="hybridMultilevel"/>
    <w:tmpl w:val="73C01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3293FF2"/>
    <w:multiLevelType w:val="hybridMultilevel"/>
    <w:tmpl w:val="E736A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7CA3BEF"/>
    <w:multiLevelType w:val="hybridMultilevel"/>
    <w:tmpl w:val="E7A2C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4A4299"/>
    <w:multiLevelType w:val="hybridMultilevel"/>
    <w:tmpl w:val="47866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276018"/>
    <w:multiLevelType w:val="hybridMultilevel"/>
    <w:tmpl w:val="620E3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66442004">
    <w:abstractNumId w:val="13"/>
  </w:num>
  <w:num w:numId="2" w16cid:durableId="948506877">
    <w:abstractNumId w:val="8"/>
  </w:num>
  <w:num w:numId="3" w16cid:durableId="109595611">
    <w:abstractNumId w:val="3"/>
  </w:num>
  <w:num w:numId="4" w16cid:durableId="659309277">
    <w:abstractNumId w:val="2"/>
  </w:num>
  <w:num w:numId="5" w16cid:durableId="974142342">
    <w:abstractNumId w:val="1"/>
  </w:num>
  <w:num w:numId="6" w16cid:durableId="802502284">
    <w:abstractNumId w:val="0"/>
  </w:num>
  <w:num w:numId="7" w16cid:durableId="305203618">
    <w:abstractNumId w:val="9"/>
  </w:num>
  <w:num w:numId="8" w16cid:durableId="1289816343">
    <w:abstractNumId w:val="7"/>
  </w:num>
  <w:num w:numId="9" w16cid:durableId="1832140674">
    <w:abstractNumId w:val="6"/>
  </w:num>
  <w:num w:numId="10" w16cid:durableId="1705986278">
    <w:abstractNumId w:val="5"/>
  </w:num>
  <w:num w:numId="11" w16cid:durableId="814836408">
    <w:abstractNumId w:val="4"/>
  </w:num>
  <w:num w:numId="12" w16cid:durableId="1778911392">
    <w:abstractNumId w:val="20"/>
  </w:num>
  <w:num w:numId="13" w16cid:durableId="865216692">
    <w:abstractNumId w:val="15"/>
  </w:num>
  <w:num w:numId="14" w16cid:durableId="1543711407">
    <w:abstractNumId w:val="22"/>
  </w:num>
  <w:num w:numId="15" w16cid:durableId="1252278023">
    <w:abstractNumId w:val="25"/>
  </w:num>
  <w:num w:numId="16" w16cid:durableId="382216655">
    <w:abstractNumId w:val="24"/>
  </w:num>
  <w:num w:numId="17" w16cid:durableId="189531989">
    <w:abstractNumId w:val="14"/>
  </w:num>
  <w:num w:numId="18" w16cid:durableId="1068069164">
    <w:abstractNumId w:val="15"/>
    <w:lvlOverride w:ilvl="0">
      <w:startOverride w:val="1"/>
    </w:lvlOverride>
  </w:num>
  <w:num w:numId="19" w16cid:durableId="811949161">
    <w:abstractNumId w:val="19"/>
  </w:num>
  <w:num w:numId="20" w16cid:durableId="1125806111">
    <w:abstractNumId w:val="18"/>
  </w:num>
  <w:num w:numId="21" w16cid:durableId="1633292333">
    <w:abstractNumId w:val="17"/>
  </w:num>
  <w:num w:numId="22" w16cid:durableId="1132938295">
    <w:abstractNumId w:val="16"/>
  </w:num>
  <w:num w:numId="23" w16cid:durableId="317147948">
    <w:abstractNumId w:val="26"/>
  </w:num>
  <w:num w:numId="24" w16cid:durableId="523327296">
    <w:abstractNumId w:val="11"/>
  </w:num>
  <w:num w:numId="25" w16cid:durableId="340477410">
    <w:abstractNumId w:val="21"/>
  </w:num>
  <w:num w:numId="26" w16cid:durableId="820074494">
    <w:abstractNumId w:val="12"/>
  </w:num>
  <w:num w:numId="27" w16cid:durableId="2032219882">
    <w:abstractNumId w:val="10"/>
  </w:num>
  <w:num w:numId="28" w16cid:durableId="4754892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kFAG6qifgtAAAA"/>
  </w:docVars>
  <w:rsids>
    <w:rsidRoot w:val="000E414A"/>
    <w:rsid w:val="000027C0"/>
    <w:rsid w:val="000052FB"/>
    <w:rsid w:val="000065D2"/>
    <w:rsid w:val="000117CB"/>
    <w:rsid w:val="0003148D"/>
    <w:rsid w:val="00031EEC"/>
    <w:rsid w:val="000446B5"/>
    <w:rsid w:val="00051566"/>
    <w:rsid w:val="000562A9"/>
    <w:rsid w:val="00062A9A"/>
    <w:rsid w:val="00065058"/>
    <w:rsid w:val="00086C39"/>
    <w:rsid w:val="000A03B2"/>
    <w:rsid w:val="000B723A"/>
    <w:rsid w:val="000C1C94"/>
    <w:rsid w:val="000C2DB9"/>
    <w:rsid w:val="000D0268"/>
    <w:rsid w:val="000D314F"/>
    <w:rsid w:val="000D34BE"/>
    <w:rsid w:val="000E102F"/>
    <w:rsid w:val="000E36F1"/>
    <w:rsid w:val="000E3A73"/>
    <w:rsid w:val="000E414A"/>
    <w:rsid w:val="000E54A4"/>
    <w:rsid w:val="000E66F9"/>
    <w:rsid w:val="000F093C"/>
    <w:rsid w:val="000F787B"/>
    <w:rsid w:val="00115BE8"/>
    <w:rsid w:val="0012091F"/>
    <w:rsid w:val="00126407"/>
    <w:rsid w:val="00126BC2"/>
    <w:rsid w:val="001308B6"/>
    <w:rsid w:val="0013121F"/>
    <w:rsid w:val="00131FE6"/>
    <w:rsid w:val="0013263F"/>
    <w:rsid w:val="001331DF"/>
    <w:rsid w:val="00134DE4"/>
    <w:rsid w:val="0014034D"/>
    <w:rsid w:val="00143999"/>
    <w:rsid w:val="00144D16"/>
    <w:rsid w:val="00150E59"/>
    <w:rsid w:val="00152DE3"/>
    <w:rsid w:val="00161855"/>
    <w:rsid w:val="00164CF9"/>
    <w:rsid w:val="001667A6"/>
    <w:rsid w:val="00166AEE"/>
    <w:rsid w:val="00184AD6"/>
    <w:rsid w:val="0019643D"/>
    <w:rsid w:val="001A4AF7"/>
    <w:rsid w:val="001A55EF"/>
    <w:rsid w:val="001B0349"/>
    <w:rsid w:val="001B06C0"/>
    <w:rsid w:val="001B1E93"/>
    <w:rsid w:val="001B65C1"/>
    <w:rsid w:val="001C25B1"/>
    <w:rsid w:val="001C684B"/>
    <w:rsid w:val="001D0CFB"/>
    <w:rsid w:val="001D21AF"/>
    <w:rsid w:val="001D53FC"/>
    <w:rsid w:val="001E6660"/>
    <w:rsid w:val="001F42A5"/>
    <w:rsid w:val="001F7B9D"/>
    <w:rsid w:val="00201C93"/>
    <w:rsid w:val="002025B2"/>
    <w:rsid w:val="00204F70"/>
    <w:rsid w:val="002224B4"/>
    <w:rsid w:val="00241693"/>
    <w:rsid w:val="00241E66"/>
    <w:rsid w:val="002447EF"/>
    <w:rsid w:val="00251550"/>
    <w:rsid w:val="00256DF5"/>
    <w:rsid w:val="00263B05"/>
    <w:rsid w:val="0027221A"/>
    <w:rsid w:val="00275B61"/>
    <w:rsid w:val="00275D5F"/>
    <w:rsid w:val="00280FAF"/>
    <w:rsid w:val="00282656"/>
    <w:rsid w:val="002855C9"/>
    <w:rsid w:val="00296B83"/>
    <w:rsid w:val="002A30B8"/>
    <w:rsid w:val="002B25D8"/>
    <w:rsid w:val="002B4015"/>
    <w:rsid w:val="002B78CE"/>
    <w:rsid w:val="002C2FB6"/>
    <w:rsid w:val="002C3F3B"/>
    <w:rsid w:val="002E5FA7"/>
    <w:rsid w:val="002F3309"/>
    <w:rsid w:val="003008CE"/>
    <w:rsid w:val="003009B7"/>
    <w:rsid w:val="00300E56"/>
    <w:rsid w:val="0030152C"/>
    <w:rsid w:val="003029B2"/>
    <w:rsid w:val="0030469C"/>
    <w:rsid w:val="00316E21"/>
    <w:rsid w:val="00321CA6"/>
    <w:rsid w:val="00323763"/>
    <w:rsid w:val="00323C5F"/>
    <w:rsid w:val="003341A4"/>
    <w:rsid w:val="00334C09"/>
    <w:rsid w:val="00347AC6"/>
    <w:rsid w:val="003558CF"/>
    <w:rsid w:val="003579A1"/>
    <w:rsid w:val="003723D4"/>
    <w:rsid w:val="00381905"/>
    <w:rsid w:val="00384CC8"/>
    <w:rsid w:val="003871FD"/>
    <w:rsid w:val="00393922"/>
    <w:rsid w:val="003A1E30"/>
    <w:rsid w:val="003A2829"/>
    <w:rsid w:val="003A3951"/>
    <w:rsid w:val="003A6FC6"/>
    <w:rsid w:val="003A7D1C"/>
    <w:rsid w:val="003B304B"/>
    <w:rsid w:val="003B3146"/>
    <w:rsid w:val="003F015E"/>
    <w:rsid w:val="003F3E55"/>
    <w:rsid w:val="003F5FE0"/>
    <w:rsid w:val="00400414"/>
    <w:rsid w:val="0041446B"/>
    <w:rsid w:val="00422BF7"/>
    <w:rsid w:val="00424A5D"/>
    <w:rsid w:val="004276DF"/>
    <w:rsid w:val="00431642"/>
    <w:rsid w:val="0044071E"/>
    <w:rsid w:val="0044329C"/>
    <w:rsid w:val="00453E24"/>
    <w:rsid w:val="0045435C"/>
    <w:rsid w:val="00457456"/>
    <w:rsid w:val="004577FE"/>
    <w:rsid w:val="00457B9C"/>
    <w:rsid w:val="0046164A"/>
    <w:rsid w:val="004628D2"/>
    <w:rsid w:val="00462DCD"/>
    <w:rsid w:val="004648AD"/>
    <w:rsid w:val="004657B3"/>
    <w:rsid w:val="004703A9"/>
    <w:rsid w:val="004760DE"/>
    <w:rsid w:val="004763D7"/>
    <w:rsid w:val="00477DFA"/>
    <w:rsid w:val="004A004E"/>
    <w:rsid w:val="004A24CF"/>
    <w:rsid w:val="004C3D1D"/>
    <w:rsid w:val="004C3D84"/>
    <w:rsid w:val="004C7913"/>
    <w:rsid w:val="004D2713"/>
    <w:rsid w:val="004D39E3"/>
    <w:rsid w:val="004E4DD6"/>
    <w:rsid w:val="004E564B"/>
    <w:rsid w:val="004F44F9"/>
    <w:rsid w:val="004F5E36"/>
    <w:rsid w:val="00507B47"/>
    <w:rsid w:val="00507BEF"/>
    <w:rsid w:val="00507CC9"/>
    <w:rsid w:val="005119A5"/>
    <w:rsid w:val="005154DD"/>
    <w:rsid w:val="00516AAC"/>
    <w:rsid w:val="00525AF2"/>
    <w:rsid w:val="005278B7"/>
    <w:rsid w:val="00532016"/>
    <w:rsid w:val="005346C8"/>
    <w:rsid w:val="00542CBC"/>
    <w:rsid w:val="00543E7D"/>
    <w:rsid w:val="00547A68"/>
    <w:rsid w:val="00551CFD"/>
    <w:rsid w:val="005531C9"/>
    <w:rsid w:val="005549DB"/>
    <w:rsid w:val="00570C43"/>
    <w:rsid w:val="00593B2C"/>
    <w:rsid w:val="005B2110"/>
    <w:rsid w:val="005B61E6"/>
    <w:rsid w:val="005C3989"/>
    <w:rsid w:val="005C77E1"/>
    <w:rsid w:val="005D668A"/>
    <w:rsid w:val="005D6A2F"/>
    <w:rsid w:val="005E1A82"/>
    <w:rsid w:val="005E77BA"/>
    <w:rsid w:val="005E794C"/>
    <w:rsid w:val="005E7C48"/>
    <w:rsid w:val="005F0A28"/>
    <w:rsid w:val="005F0E5E"/>
    <w:rsid w:val="005F19E3"/>
    <w:rsid w:val="005F4C4B"/>
    <w:rsid w:val="005F7555"/>
    <w:rsid w:val="005F7824"/>
    <w:rsid w:val="00600535"/>
    <w:rsid w:val="0060260D"/>
    <w:rsid w:val="00607AE9"/>
    <w:rsid w:val="00610CD6"/>
    <w:rsid w:val="00615A60"/>
    <w:rsid w:val="00620DEE"/>
    <w:rsid w:val="006214C8"/>
    <w:rsid w:val="00621F92"/>
    <w:rsid w:val="0062280A"/>
    <w:rsid w:val="00625639"/>
    <w:rsid w:val="006309A5"/>
    <w:rsid w:val="00631B33"/>
    <w:rsid w:val="0064184D"/>
    <w:rsid w:val="006422CC"/>
    <w:rsid w:val="0064386D"/>
    <w:rsid w:val="006444C9"/>
    <w:rsid w:val="00660E3E"/>
    <w:rsid w:val="00662E74"/>
    <w:rsid w:val="00680C23"/>
    <w:rsid w:val="00693766"/>
    <w:rsid w:val="00694416"/>
    <w:rsid w:val="006A3281"/>
    <w:rsid w:val="006B1F28"/>
    <w:rsid w:val="006B4888"/>
    <w:rsid w:val="006C2E45"/>
    <w:rsid w:val="006C359C"/>
    <w:rsid w:val="006C52B3"/>
    <w:rsid w:val="006C5579"/>
    <w:rsid w:val="006D6E8B"/>
    <w:rsid w:val="006E737D"/>
    <w:rsid w:val="006F2740"/>
    <w:rsid w:val="00713973"/>
    <w:rsid w:val="00717BD7"/>
    <w:rsid w:val="00720A24"/>
    <w:rsid w:val="0072160E"/>
    <w:rsid w:val="00732386"/>
    <w:rsid w:val="0073514D"/>
    <w:rsid w:val="007447F3"/>
    <w:rsid w:val="0075499F"/>
    <w:rsid w:val="007661C8"/>
    <w:rsid w:val="0077098D"/>
    <w:rsid w:val="007931FA"/>
    <w:rsid w:val="007A4861"/>
    <w:rsid w:val="007A4D58"/>
    <w:rsid w:val="007A7BBA"/>
    <w:rsid w:val="007B0C50"/>
    <w:rsid w:val="007B48F9"/>
    <w:rsid w:val="007C1A43"/>
    <w:rsid w:val="007C3C70"/>
    <w:rsid w:val="007D0951"/>
    <w:rsid w:val="007E03E5"/>
    <w:rsid w:val="0080013E"/>
    <w:rsid w:val="00811DC6"/>
    <w:rsid w:val="00813288"/>
    <w:rsid w:val="008168FC"/>
    <w:rsid w:val="0082700B"/>
    <w:rsid w:val="0083071E"/>
    <w:rsid w:val="00830996"/>
    <w:rsid w:val="008345F1"/>
    <w:rsid w:val="00837AEA"/>
    <w:rsid w:val="00841DB1"/>
    <w:rsid w:val="00846F77"/>
    <w:rsid w:val="00857784"/>
    <w:rsid w:val="00865B07"/>
    <w:rsid w:val="008667EA"/>
    <w:rsid w:val="0087637F"/>
    <w:rsid w:val="008806A7"/>
    <w:rsid w:val="00891934"/>
    <w:rsid w:val="00892AD5"/>
    <w:rsid w:val="008A1512"/>
    <w:rsid w:val="008A6EB1"/>
    <w:rsid w:val="008A7E02"/>
    <w:rsid w:val="008B7C03"/>
    <w:rsid w:val="008D32B9"/>
    <w:rsid w:val="008D433B"/>
    <w:rsid w:val="008D4A16"/>
    <w:rsid w:val="008D6840"/>
    <w:rsid w:val="008E566E"/>
    <w:rsid w:val="008E68A2"/>
    <w:rsid w:val="0090161A"/>
    <w:rsid w:val="00901EB6"/>
    <w:rsid w:val="00904C62"/>
    <w:rsid w:val="009205C5"/>
    <w:rsid w:val="00921A78"/>
    <w:rsid w:val="00922BA8"/>
    <w:rsid w:val="00924DAC"/>
    <w:rsid w:val="00927058"/>
    <w:rsid w:val="00942750"/>
    <w:rsid w:val="009450CE"/>
    <w:rsid w:val="009459BB"/>
    <w:rsid w:val="00947179"/>
    <w:rsid w:val="0095164B"/>
    <w:rsid w:val="00954090"/>
    <w:rsid w:val="009573E7"/>
    <w:rsid w:val="00962DF1"/>
    <w:rsid w:val="00963E05"/>
    <w:rsid w:val="00964A45"/>
    <w:rsid w:val="00967843"/>
    <w:rsid w:val="00967D54"/>
    <w:rsid w:val="00971028"/>
    <w:rsid w:val="0098400A"/>
    <w:rsid w:val="009909B4"/>
    <w:rsid w:val="00993B84"/>
    <w:rsid w:val="00996483"/>
    <w:rsid w:val="00996F5A"/>
    <w:rsid w:val="0099778D"/>
    <w:rsid w:val="009B041A"/>
    <w:rsid w:val="009C2671"/>
    <w:rsid w:val="009C29C8"/>
    <w:rsid w:val="009C37C3"/>
    <w:rsid w:val="009C7C86"/>
    <w:rsid w:val="009D2FF7"/>
    <w:rsid w:val="009E7884"/>
    <w:rsid w:val="009E788A"/>
    <w:rsid w:val="009F0E08"/>
    <w:rsid w:val="00A00B1D"/>
    <w:rsid w:val="00A1763D"/>
    <w:rsid w:val="00A17CEC"/>
    <w:rsid w:val="00A24015"/>
    <w:rsid w:val="00A27EF0"/>
    <w:rsid w:val="00A30FD2"/>
    <w:rsid w:val="00A37BDC"/>
    <w:rsid w:val="00A42361"/>
    <w:rsid w:val="00A509B3"/>
    <w:rsid w:val="00A50B20"/>
    <w:rsid w:val="00A51390"/>
    <w:rsid w:val="00A60D13"/>
    <w:rsid w:val="00A665BE"/>
    <w:rsid w:val="00A7223D"/>
    <w:rsid w:val="00A72745"/>
    <w:rsid w:val="00A751DB"/>
    <w:rsid w:val="00A76EFC"/>
    <w:rsid w:val="00A87D50"/>
    <w:rsid w:val="00A90EFC"/>
    <w:rsid w:val="00A91010"/>
    <w:rsid w:val="00A9256C"/>
    <w:rsid w:val="00A97F29"/>
    <w:rsid w:val="00AA4244"/>
    <w:rsid w:val="00AA702E"/>
    <w:rsid w:val="00AA7D26"/>
    <w:rsid w:val="00AB0964"/>
    <w:rsid w:val="00AB4511"/>
    <w:rsid w:val="00AB5011"/>
    <w:rsid w:val="00AC7368"/>
    <w:rsid w:val="00AD16B9"/>
    <w:rsid w:val="00AD300C"/>
    <w:rsid w:val="00AD30FF"/>
    <w:rsid w:val="00AE377D"/>
    <w:rsid w:val="00AE521B"/>
    <w:rsid w:val="00AE5C9D"/>
    <w:rsid w:val="00AF0EBA"/>
    <w:rsid w:val="00B02C8A"/>
    <w:rsid w:val="00B10CB7"/>
    <w:rsid w:val="00B17FBD"/>
    <w:rsid w:val="00B315A6"/>
    <w:rsid w:val="00B31813"/>
    <w:rsid w:val="00B33365"/>
    <w:rsid w:val="00B425D8"/>
    <w:rsid w:val="00B4282A"/>
    <w:rsid w:val="00B51979"/>
    <w:rsid w:val="00B5498F"/>
    <w:rsid w:val="00B57B36"/>
    <w:rsid w:val="00B57E6F"/>
    <w:rsid w:val="00B65390"/>
    <w:rsid w:val="00B72FEC"/>
    <w:rsid w:val="00B81B27"/>
    <w:rsid w:val="00B84275"/>
    <w:rsid w:val="00B8686D"/>
    <w:rsid w:val="00B93F69"/>
    <w:rsid w:val="00BB1DDC"/>
    <w:rsid w:val="00BC30C9"/>
    <w:rsid w:val="00BD077D"/>
    <w:rsid w:val="00BD4317"/>
    <w:rsid w:val="00BD72A5"/>
    <w:rsid w:val="00BE2499"/>
    <w:rsid w:val="00BE3E58"/>
    <w:rsid w:val="00C01616"/>
    <w:rsid w:val="00C0162B"/>
    <w:rsid w:val="00C04D63"/>
    <w:rsid w:val="00C068ED"/>
    <w:rsid w:val="00C22E0C"/>
    <w:rsid w:val="00C345B1"/>
    <w:rsid w:val="00C356A2"/>
    <w:rsid w:val="00C40142"/>
    <w:rsid w:val="00C52C3C"/>
    <w:rsid w:val="00C57182"/>
    <w:rsid w:val="00C57863"/>
    <w:rsid w:val="00C640AF"/>
    <w:rsid w:val="00C655FD"/>
    <w:rsid w:val="00C734A9"/>
    <w:rsid w:val="00C73694"/>
    <w:rsid w:val="00C75407"/>
    <w:rsid w:val="00C77646"/>
    <w:rsid w:val="00C870A8"/>
    <w:rsid w:val="00C90615"/>
    <w:rsid w:val="00C94434"/>
    <w:rsid w:val="00CA0D4A"/>
    <w:rsid w:val="00CA0D75"/>
    <w:rsid w:val="00CA1977"/>
    <w:rsid w:val="00CA1C95"/>
    <w:rsid w:val="00CA5A9C"/>
    <w:rsid w:val="00CA7484"/>
    <w:rsid w:val="00CC33D3"/>
    <w:rsid w:val="00CC4C20"/>
    <w:rsid w:val="00CC6024"/>
    <w:rsid w:val="00CD3517"/>
    <w:rsid w:val="00CD363D"/>
    <w:rsid w:val="00CD5FE2"/>
    <w:rsid w:val="00CE6DDB"/>
    <w:rsid w:val="00CE7C68"/>
    <w:rsid w:val="00D02B4C"/>
    <w:rsid w:val="00D040C4"/>
    <w:rsid w:val="00D20AD1"/>
    <w:rsid w:val="00D3402C"/>
    <w:rsid w:val="00D35487"/>
    <w:rsid w:val="00D458B6"/>
    <w:rsid w:val="00D46B7E"/>
    <w:rsid w:val="00D47E52"/>
    <w:rsid w:val="00D57C84"/>
    <w:rsid w:val="00D6057D"/>
    <w:rsid w:val="00D648EC"/>
    <w:rsid w:val="00D71640"/>
    <w:rsid w:val="00D836C5"/>
    <w:rsid w:val="00D84576"/>
    <w:rsid w:val="00D9001E"/>
    <w:rsid w:val="00D9631C"/>
    <w:rsid w:val="00DA1399"/>
    <w:rsid w:val="00DA24C6"/>
    <w:rsid w:val="00DA4D7B"/>
    <w:rsid w:val="00DC246D"/>
    <w:rsid w:val="00DD271C"/>
    <w:rsid w:val="00DD5F78"/>
    <w:rsid w:val="00DE264A"/>
    <w:rsid w:val="00DF1302"/>
    <w:rsid w:val="00DF5072"/>
    <w:rsid w:val="00DF5B96"/>
    <w:rsid w:val="00E01763"/>
    <w:rsid w:val="00E02D18"/>
    <w:rsid w:val="00E03D3F"/>
    <w:rsid w:val="00E041E7"/>
    <w:rsid w:val="00E122A9"/>
    <w:rsid w:val="00E213B8"/>
    <w:rsid w:val="00E221D9"/>
    <w:rsid w:val="00E23CA1"/>
    <w:rsid w:val="00E25992"/>
    <w:rsid w:val="00E33DD7"/>
    <w:rsid w:val="00E35624"/>
    <w:rsid w:val="00E409A8"/>
    <w:rsid w:val="00E50C12"/>
    <w:rsid w:val="00E54978"/>
    <w:rsid w:val="00E62A03"/>
    <w:rsid w:val="00E65B91"/>
    <w:rsid w:val="00E7209D"/>
    <w:rsid w:val="00E72EAD"/>
    <w:rsid w:val="00E77223"/>
    <w:rsid w:val="00E8528B"/>
    <w:rsid w:val="00E85B94"/>
    <w:rsid w:val="00E978D0"/>
    <w:rsid w:val="00EA4613"/>
    <w:rsid w:val="00EA7F91"/>
    <w:rsid w:val="00EB1523"/>
    <w:rsid w:val="00EB4D55"/>
    <w:rsid w:val="00EC0E49"/>
    <w:rsid w:val="00EC101F"/>
    <w:rsid w:val="00EC1D9F"/>
    <w:rsid w:val="00EC598A"/>
    <w:rsid w:val="00EE0131"/>
    <w:rsid w:val="00EE0DC7"/>
    <w:rsid w:val="00EE17B0"/>
    <w:rsid w:val="00EE18A3"/>
    <w:rsid w:val="00EF06D9"/>
    <w:rsid w:val="00EF527B"/>
    <w:rsid w:val="00EF7B88"/>
    <w:rsid w:val="00F00A30"/>
    <w:rsid w:val="00F13DF5"/>
    <w:rsid w:val="00F150A0"/>
    <w:rsid w:val="00F17AA4"/>
    <w:rsid w:val="00F26A88"/>
    <w:rsid w:val="00F3049E"/>
    <w:rsid w:val="00F30C64"/>
    <w:rsid w:val="00F32BA2"/>
    <w:rsid w:val="00F32CDB"/>
    <w:rsid w:val="00F565FE"/>
    <w:rsid w:val="00F6392E"/>
    <w:rsid w:val="00F63A70"/>
    <w:rsid w:val="00F63D8C"/>
    <w:rsid w:val="00F7534E"/>
    <w:rsid w:val="00F90D4A"/>
    <w:rsid w:val="00F93EDF"/>
    <w:rsid w:val="00F94931"/>
    <w:rsid w:val="00FA07FD"/>
    <w:rsid w:val="00FA1802"/>
    <w:rsid w:val="00FA21D0"/>
    <w:rsid w:val="00FA5F5F"/>
    <w:rsid w:val="00FB0D9A"/>
    <w:rsid w:val="00FB730C"/>
    <w:rsid w:val="00FC0C78"/>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paragraph" w:styleId="Revisin">
    <w:name w:val="Revision"/>
    <w:hidden/>
    <w:uiPriority w:val="99"/>
    <w:semiHidden/>
    <w:rsid w:val="00D458B6"/>
    <w:pPr>
      <w:spacing w:after="0" w:line="240" w:lineRule="auto"/>
    </w:pPr>
    <w:rPr>
      <w:rFonts w:ascii="Arial" w:eastAsia="Times New Roman" w:hAnsi="Arial" w:cs="Times New Roman"/>
      <w:sz w:val="18"/>
      <w:szCs w:val="20"/>
      <w:lang w:val="en-GB"/>
    </w:rPr>
  </w:style>
  <w:style w:type="character" w:styleId="nfasis">
    <w:name w:val="Emphasis"/>
    <w:basedOn w:val="Fuentedeprrafopredeter"/>
    <w:uiPriority w:val="20"/>
    <w:qFormat/>
    <w:rsid w:val="00C906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2221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86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7264206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31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tizi@unican.es"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4d2e8ad-0cb4-4251-8e80-736aec5ac6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22388896085214EB603C3782EBD34A0" ma:contentTypeVersion="12" ma:contentTypeDescription="Crear nuevo documento." ma:contentTypeScope="" ma:versionID="f0b6ce28765d18ac5b53270b112a183d">
  <xsd:schema xmlns:xsd="http://www.w3.org/2001/XMLSchema" xmlns:xs="http://www.w3.org/2001/XMLSchema" xmlns:p="http://schemas.microsoft.com/office/2006/metadata/properties" xmlns:ns3="54d2e8ad-0cb4-4251-8e80-736aec5ac69f" targetNamespace="http://schemas.microsoft.com/office/2006/metadata/properties" ma:root="true" ma:fieldsID="683856f7e808746163706d6377bdf136" ns3:_="">
    <xsd:import namespace="54d2e8ad-0cb4-4251-8e80-736aec5ac6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2e8ad-0cb4-4251-8e80-736aec5ac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EE24F-BAB1-401E-9EE1-0CD9D56B943E}">
  <ds:schemaRefs>
    <ds:schemaRef ds:uri="http://schemas.openxmlformats.org/officeDocument/2006/bibliography"/>
  </ds:schemaRefs>
</ds:datastoreItem>
</file>

<file path=customXml/itemProps2.xml><?xml version="1.0" encoding="utf-8"?>
<ds:datastoreItem xmlns:ds="http://schemas.openxmlformats.org/officeDocument/2006/customXml" ds:itemID="{90F71B6F-638C-48D5-91D4-9ECA3057F313}">
  <ds:schemaRefs>
    <ds:schemaRef ds:uri="http://schemas.microsoft.com/office/2006/metadata/properties"/>
    <ds:schemaRef ds:uri="http://schemas.microsoft.com/office/infopath/2007/PartnerControls"/>
    <ds:schemaRef ds:uri="54d2e8ad-0cb4-4251-8e80-736aec5ac69f"/>
  </ds:schemaRefs>
</ds:datastoreItem>
</file>

<file path=customXml/itemProps3.xml><?xml version="1.0" encoding="utf-8"?>
<ds:datastoreItem xmlns:ds="http://schemas.openxmlformats.org/officeDocument/2006/customXml" ds:itemID="{5C07A18B-EB57-4E1C-85FD-C4BBD1419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2e8ad-0cb4-4251-8e80-736aec5a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CBA30-A875-40D9-8341-C40C468F7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4545</Words>
  <Characters>25000</Characters>
  <Application>Microsoft Office Word</Application>
  <DocSecurity>4</DocSecurity>
  <Lines>208</Lines>
  <Paragraphs>58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victor manuel maestre muñoz</cp:lastModifiedBy>
  <cp:revision>2</cp:revision>
  <cp:lastPrinted>2015-05-12T18:31:00Z</cp:lastPrinted>
  <dcterms:created xsi:type="dcterms:W3CDTF">2023-04-10T07:42:00Z</dcterms:created>
  <dcterms:modified xsi:type="dcterms:W3CDTF">2023-04-10T07:42:00Z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0x010100B22388896085214EB603C3782EBD34A0</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http://www.zotero.org/styles/chemical-engineering-journal</vt:lpwstr>
  </property>
  <property fmtid="{D5CDD505-2E9C-101B-9397-08002B2CF9AE}" pid="8" name="Mendeley Recent Style Name 1_1">
    <vt:lpwstr>Chemical Engineering Journal</vt:lpwstr>
  </property>
  <property fmtid="{D5CDD505-2E9C-101B-9397-08002B2CF9AE}" pid="9" name="Mendeley Recent Style Id 2_1">
    <vt:lpwstr>http://www.zotero.org/styles/electrochimica-acta</vt:lpwstr>
  </property>
  <property fmtid="{D5CDD505-2E9C-101B-9397-08002B2CF9AE}" pid="10" name="Mendeley Recent Style Name 2_1">
    <vt:lpwstr>Electrochimica Acta</vt:lpwstr>
  </property>
  <property fmtid="{D5CDD505-2E9C-101B-9397-08002B2CF9AE}" pid="11" name="Mendeley Recent Style Id 3_1">
    <vt:lpwstr>http://www.zotero.org/styles/energy-and-environmental-science</vt:lpwstr>
  </property>
  <property fmtid="{D5CDD505-2E9C-101B-9397-08002B2CF9AE}" pid="12" name="Mendeley Recent Style Name 3_1">
    <vt:lpwstr>Energy &amp; Environmental Science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http://www.zotero.org/styles/international-journal-of-hydrogen-energy</vt:lpwstr>
  </property>
  <property fmtid="{D5CDD505-2E9C-101B-9397-08002B2CF9AE}" pid="16" name="Mendeley Recent Style Name 5_1">
    <vt:lpwstr>International Journal of Hydrogen Energy</vt:lpwstr>
  </property>
  <property fmtid="{D5CDD505-2E9C-101B-9397-08002B2CF9AE}" pid="17" name="Mendeley Recent Style Id 6_1">
    <vt:lpwstr>http://www.zotero.org/styles/journal-of-energy-storage</vt:lpwstr>
  </property>
  <property fmtid="{D5CDD505-2E9C-101B-9397-08002B2CF9AE}" pid="18" name="Mendeley Recent Style Name 6_1">
    <vt:lpwstr>Journal of Energy Storage</vt:lpwstr>
  </property>
  <property fmtid="{D5CDD505-2E9C-101B-9397-08002B2CF9AE}" pid="19" name="Mendeley Recent Style Id 7_1">
    <vt:lpwstr>http://www.zotero.org/styles/journal-of-the-electrochemical-society</vt:lpwstr>
  </property>
  <property fmtid="{D5CDD505-2E9C-101B-9397-08002B2CF9AE}" pid="20" name="Mendeley Recent Style Name 7_1">
    <vt:lpwstr>Journal of The Electrochemical Society</vt:lpwstr>
  </property>
  <property fmtid="{D5CDD505-2E9C-101B-9397-08002B2CF9AE}" pid="21" name="Mendeley Recent Style Id 8_1">
    <vt:lpwstr>http://www.zotero.org/styles/renewable-and-sustainable-energy-reviews</vt:lpwstr>
  </property>
  <property fmtid="{D5CDD505-2E9C-101B-9397-08002B2CF9AE}" pid="22" name="Mendeley Recent Style Name 8_1">
    <vt:lpwstr>Renewable and Sustainable Energy Reviews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Citation Style_1">
    <vt:lpwstr>http://www.zotero.org/styles/american-sociological-association</vt:lpwstr>
  </property>
  <property fmtid="{D5CDD505-2E9C-101B-9397-08002B2CF9AE}" pid="26" name="Mendeley Document_1">
    <vt:lpwstr>True</vt:lpwstr>
  </property>
  <property fmtid="{D5CDD505-2E9C-101B-9397-08002B2CF9AE}" pid="27" name="Mendeley Unique User Id_1">
    <vt:lpwstr>45205079-01d7-3c1a-ae63-94095b89077c</vt:lpwstr>
  </property>
</Properties>
</file>