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D175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D175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D1755">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160A152" w:rsidR="00E978D0" w:rsidRPr="00B57B36" w:rsidRDefault="00DD1755" w:rsidP="00E978D0">
      <w:pPr>
        <w:pStyle w:val="CETTitle"/>
      </w:pPr>
      <w:r w:rsidRPr="00DD1755">
        <w:t>Mg(OH)</w:t>
      </w:r>
      <w:r w:rsidRPr="00BF54F9">
        <w:rPr>
          <w:vertAlign w:val="subscript"/>
        </w:rPr>
        <w:t>2</w:t>
      </w:r>
      <w:r w:rsidRPr="00DD1755">
        <w:t xml:space="preserve"> recovery from real bitterns: a proof of concept at pilot scale</w:t>
      </w:r>
    </w:p>
    <w:p w14:paraId="655A1E84" w14:textId="2B50244A" w:rsidR="00DD1755" w:rsidRPr="00573CE7" w:rsidRDefault="00DD1755" w:rsidP="00573CE7">
      <w:pPr>
        <w:pStyle w:val="CETAuthors"/>
        <w:rPr>
          <w:lang w:val="it-IT"/>
        </w:rPr>
      </w:pPr>
      <w:r w:rsidRPr="00573CE7">
        <w:rPr>
          <w:lang w:val="it-IT"/>
        </w:rPr>
        <w:t>G. Battaglia</w:t>
      </w:r>
      <w:r w:rsidRPr="00573CE7">
        <w:rPr>
          <w:vertAlign w:val="superscript"/>
          <w:lang w:val="it-IT"/>
        </w:rPr>
        <w:t>a,*</w:t>
      </w:r>
      <w:r w:rsidRPr="00573CE7">
        <w:rPr>
          <w:lang w:val="it-IT"/>
        </w:rPr>
        <w:t>, L. Ventimiglia</w:t>
      </w:r>
      <w:r w:rsidR="00573CE7" w:rsidRPr="00573CE7">
        <w:rPr>
          <w:vertAlign w:val="superscript"/>
          <w:lang w:val="it-IT"/>
        </w:rPr>
        <w:t>a</w:t>
      </w:r>
      <w:r w:rsidRPr="00573CE7">
        <w:rPr>
          <w:lang w:val="it-IT"/>
        </w:rPr>
        <w:t>, F.P.M. Viggiano</w:t>
      </w:r>
      <w:r w:rsidR="00573CE7" w:rsidRPr="00573CE7">
        <w:rPr>
          <w:vertAlign w:val="superscript"/>
          <w:lang w:val="it-IT"/>
        </w:rPr>
        <w:t>a</w:t>
      </w:r>
      <w:r w:rsidRPr="00573CE7">
        <w:rPr>
          <w:lang w:val="it-IT"/>
        </w:rPr>
        <w:t>, F. Vassallo</w:t>
      </w:r>
      <w:r w:rsidR="00573CE7" w:rsidRPr="00573CE7">
        <w:rPr>
          <w:vertAlign w:val="superscript"/>
          <w:lang w:val="it-IT"/>
        </w:rPr>
        <w:t>a</w:t>
      </w:r>
      <w:r w:rsidRPr="00573CE7">
        <w:rPr>
          <w:lang w:val="it-IT"/>
        </w:rPr>
        <w:t>, A. Cipollina</w:t>
      </w:r>
      <w:r w:rsidR="00573CE7" w:rsidRPr="00573CE7">
        <w:rPr>
          <w:vertAlign w:val="superscript"/>
          <w:lang w:val="it-IT"/>
        </w:rPr>
        <w:t>a</w:t>
      </w:r>
      <w:r w:rsidRPr="00573CE7">
        <w:rPr>
          <w:lang w:val="it-IT"/>
        </w:rPr>
        <w:t>, A. Tamburini</w:t>
      </w:r>
      <w:r w:rsidRPr="00573CE7">
        <w:rPr>
          <w:vertAlign w:val="superscript"/>
          <w:lang w:val="it-IT"/>
        </w:rPr>
        <w:t>a,b</w:t>
      </w:r>
      <w:r w:rsidRPr="00573CE7">
        <w:rPr>
          <w:lang w:val="it-IT"/>
        </w:rPr>
        <w:t>, G.</w:t>
      </w:r>
      <w:r w:rsidR="000B5E91">
        <w:rPr>
          <w:lang w:val="it-IT"/>
        </w:rPr>
        <w:t xml:space="preserve"> </w:t>
      </w:r>
      <w:r w:rsidRPr="00573CE7">
        <w:rPr>
          <w:lang w:val="it-IT"/>
        </w:rPr>
        <w:t>Micale</w:t>
      </w:r>
      <w:r w:rsidR="00573CE7" w:rsidRPr="00573CE7">
        <w:rPr>
          <w:vertAlign w:val="superscript"/>
          <w:lang w:val="it-IT"/>
        </w:rPr>
        <w:t>a</w:t>
      </w:r>
    </w:p>
    <w:p w14:paraId="6B2D21B3" w14:textId="2B1FA144" w:rsidR="00B57E6F" w:rsidRPr="00DD1755" w:rsidRDefault="00B57E6F" w:rsidP="00B57E6F">
      <w:pPr>
        <w:pStyle w:val="CETAddress"/>
        <w:rPr>
          <w:lang w:val="it-IT"/>
        </w:rPr>
      </w:pPr>
      <w:r w:rsidRPr="00DD1755">
        <w:rPr>
          <w:vertAlign w:val="superscript"/>
          <w:lang w:val="it-IT"/>
        </w:rPr>
        <w:t>a</w:t>
      </w:r>
      <w:r w:rsidR="00DD1755" w:rsidRPr="00DD1755">
        <w:rPr>
          <w:lang w:val="it-IT"/>
        </w:rPr>
        <w:t>Dipartimento di Ingegneria, Università degli Studi di Palermo, viale delle scienze Ed. 8, 90128 Palermo, Italia</w:t>
      </w:r>
      <w:r w:rsidRPr="00DD1755">
        <w:rPr>
          <w:lang w:val="it-IT"/>
        </w:rPr>
        <w:t xml:space="preserve"> </w:t>
      </w:r>
    </w:p>
    <w:p w14:paraId="3D72B0B0" w14:textId="11149C73" w:rsidR="00B57E6F" w:rsidRPr="00B57B36" w:rsidRDefault="00B57E6F" w:rsidP="00B57E6F">
      <w:pPr>
        <w:pStyle w:val="CETAddress"/>
      </w:pPr>
      <w:r w:rsidRPr="00B57B36">
        <w:rPr>
          <w:vertAlign w:val="superscript"/>
        </w:rPr>
        <w:t>b</w:t>
      </w:r>
      <w:r w:rsidR="00DD1755" w:rsidRPr="00DD1755">
        <w:t>ResourSEAs SrL, Palermo 90128, Italy</w:t>
      </w:r>
      <w:r w:rsidRPr="00B57B36">
        <w:t xml:space="preserve"> </w:t>
      </w:r>
    </w:p>
    <w:p w14:paraId="73F1267A" w14:textId="7B7743AD" w:rsidR="00B57E6F" w:rsidRPr="00B57B36" w:rsidRDefault="00573CE7" w:rsidP="00B57E6F">
      <w:pPr>
        <w:pStyle w:val="CETemail"/>
      </w:pPr>
      <w:r>
        <w:t xml:space="preserve"> </w:t>
      </w:r>
      <w:r w:rsidR="00DD1755" w:rsidRPr="00DD1755">
        <w:t>giuseppe.battaglia03@unipa.it</w:t>
      </w:r>
    </w:p>
    <w:p w14:paraId="6C541800" w14:textId="019D166E" w:rsidR="00453BC8" w:rsidRPr="00CA073D" w:rsidRDefault="00624B77" w:rsidP="000D14AF">
      <w:pPr>
        <w:pStyle w:val="CETBodytext"/>
      </w:pPr>
      <w:bookmarkStart w:id="0" w:name="_Hlk495475023"/>
      <w:r w:rsidRPr="00346800">
        <w:t>Water, energy, and minerals are fundamental pillars for the future of humankind. Sustainable and renewable productive processes and resources are the only possibility to face the continuously growing global population and high living standards requirements.</w:t>
      </w:r>
      <w:r w:rsidR="00CA1D62">
        <w:t xml:space="preserve"> The present work</w:t>
      </w:r>
      <w:r w:rsidR="00402B6F">
        <w:t xml:space="preserve"> introduces</w:t>
      </w:r>
      <w:r w:rsidR="00CA1D62">
        <w:t xml:space="preserve"> a proof of concept for the pilot scale production of </w:t>
      </w:r>
      <w:r w:rsidR="00402B6F">
        <w:t>m</w:t>
      </w:r>
      <w:r w:rsidR="00CA1D62">
        <w:t xml:space="preserve">agnesium </w:t>
      </w:r>
      <w:r w:rsidR="00402B6F">
        <w:t>h</w:t>
      </w:r>
      <w:r w:rsidR="00CA1D62">
        <w:t>ydroxide, Mg(OH)</w:t>
      </w:r>
      <w:r w:rsidR="00CA1D62" w:rsidRPr="00CA1D62">
        <w:rPr>
          <w:vertAlign w:val="subscript"/>
        </w:rPr>
        <w:t>2</w:t>
      </w:r>
      <w:r w:rsidR="00CA1D62" w:rsidRPr="00CA1D62">
        <w:t>,</w:t>
      </w:r>
      <w:r w:rsidR="00CA1D62">
        <w:t xml:space="preserve"> from </w:t>
      </w:r>
      <w:r w:rsidR="00CE7018">
        <w:t xml:space="preserve">waste saltworks bitterns </w:t>
      </w:r>
      <w:r w:rsidR="003E57D9">
        <w:t xml:space="preserve">located in the district of </w:t>
      </w:r>
      <w:r w:rsidR="00453BC8" w:rsidRPr="00346800">
        <w:t>Trapani, Italy.  Mg(OH)</w:t>
      </w:r>
      <w:r w:rsidR="00453BC8" w:rsidRPr="00526A40">
        <w:rPr>
          <w:vertAlign w:val="subscript"/>
        </w:rPr>
        <w:t>2</w:t>
      </w:r>
      <w:r w:rsidR="00453BC8" w:rsidRPr="00346800">
        <w:t xml:space="preserve"> was produced by adopting a proprietary </w:t>
      </w:r>
      <w:r w:rsidR="007030DD">
        <w:t>“</w:t>
      </w:r>
      <w:r w:rsidR="003A6E09" w:rsidRPr="00C30A50">
        <w:rPr>
          <w:i/>
          <w:iCs/>
        </w:rPr>
        <w:t>Magnesium Crystal</w:t>
      </w:r>
      <w:r w:rsidR="00F01DF9">
        <w:rPr>
          <w:i/>
          <w:iCs/>
        </w:rPr>
        <w:t>s</w:t>
      </w:r>
      <w:r w:rsidR="003A6E09" w:rsidRPr="00C30A50">
        <w:rPr>
          <w:i/>
          <w:iCs/>
        </w:rPr>
        <w:t xml:space="preserve"> Granulometry Controlled Reactor</w:t>
      </w:r>
      <w:r w:rsidR="000453E1">
        <w:rPr>
          <w:i/>
          <w:iCs/>
        </w:rPr>
        <w:t>”</w:t>
      </w:r>
      <w:r w:rsidR="007030DD">
        <w:t xml:space="preserve">, </w:t>
      </w:r>
      <w:r w:rsidR="003A6E09">
        <w:t>Mg-CGCR</w:t>
      </w:r>
      <w:r w:rsidR="00453BC8" w:rsidRPr="00346800">
        <w:t>.</w:t>
      </w:r>
      <w:r w:rsidR="004E5D1E">
        <w:t xml:space="preserve"> </w:t>
      </w:r>
      <w:r w:rsidR="00887248">
        <w:t>T</w:t>
      </w:r>
      <w:r w:rsidR="00453BC8" w:rsidRPr="00CA073D">
        <w:t>he influence of several parameters</w:t>
      </w:r>
      <w:r w:rsidR="00887248">
        <w:t xml:space="preserve"> was </w:t>
      </w:r>
      <w:r w:rsidR="005943D1">
        <w:t>investigated</w:t>
      </w:r>
      <w:r w:rsidR="00887248">
        <w:t xml:space="preserve"> on </w:t>
      </w:r>
      <w:r w:rsidR="00887248" w:rsidRPr="00346800">
        <w:t>Mg(OH)</w:t>
      </w:r>
      <w:r w:rsidR="00887248" w:rsidRPr="00887248">
        <w:rPr>
          <w:vertAlign w:val="subscript"/>
        </w:rPr>
        <w:t>2</w:t>
      </w:r>
      <w:r w:rsidR="00887248" w:rsidRPr="00346800">
        <w:t xml:space="preserve"> suspensions and powders</w:t>
      </w:r>
      <w:r w:rsidR="00887248">
        <w:t xml:space="preserve"> characteristics</w:t>
      </w:r>
      <w:r w:rsidR="00453BC8" w:rsidRPr="00CA073D">
        <w:t xml:space="preserve">: </w:t>
      </w:r>
      <w:r w:rsidR="001B4A90">
        <w:t>(</w:t>
      </w:r>
      <w:r w:rsidR="000D3B11" w:rsidRPr="000D3B11">
        <w:t xml:space="preserve">i) </w:t>
      </w:r>
      <w:r w:rsidR="000D3B11">
        <w:t xml:space="preserve">the </w:t>
      </w:r>
      <w:r w:rsidR="000D3B11" w:rsidRPr="000D3B11">
        <w:t xml:space="preserve">bittern flow rate, (ii) </w:t>
      </w:r>
      <w:r w:rsidR="000D3B11">
        <w:t xml:space="preserve">alkaline sodium hydroxide, </w:t>
      </w:r>
      <w:r w:rsidR="000D3B11" w:rsidRPr="000D3B11">
        <w:t>NaOH</w:t>
      </w:r>
      <w:r w:rsidR="000D3B11">
        <w:t>,</w:t>
      </w:r>
      <w:r w:rsidR="000D3B11" w:rsidRPr="000D3B11">
        <w:t xml:space="preserve"> concentrations</w:t>
      </w:r>
      <w:r w:rsidR="000D3B11">
        <w:t xml:space="preserve"> solutions (adopted as </w:t>
      </w:r>
      <w:r w:rsidR="00461141">
        <w:t xml:space="preserve">the </w:t>
      </w:r>
      <w:r w:rsidR="000D3B11">
        <w:t>precipitant agent)</w:t>
      </w:r>
      <w:r w:rsidR="000D3B11" w:rsidRPr="000D3B11">
        <w:t xml:space="preserve"> and (iii) the final suspension pH value</w:t>
      </w:r>
      <w:r w:rsidR="00E55887">
        <w:t xml:space="preserve"> </w:t>
      </w:r>
      <w:r w:rsidR="00AA4D14">
        <w:t>(</w:t>
      </w:r>
      <w:r w:rsidR="00453BC8" w:rsidRPr="00CA073D">
        <w:t xml:space="preserve">stoichiometric </w:t>
      </w:r>
      <w:r w:rsidR="00AA4D14">
        <w:t>or</w:t>
      </w:r>
      <w:r w:rsidR="00453BC8" w:rsidRPr="00CA073D">
        <w:t xml:space="preserve"> OH</w:t>
      </w:r>
      <w:r w:rsidR="00453BC8" w:rsidRPr="00887248">
        <w:rPr>
          <w:vertAlign w:val="superscript"/>
        </w:rPr>
        <w:t>-</w:t>
      </w:r>
      <w:r w:rsidR="00453BC8" w:rsidRPr="00CA073D">
        <w:t xml:space="preserve"> </w:t>
      </w:r>
      <w:r w:rsidR="005943D1" w:rsidRPr="00CA073D">
        <w:t xml:space="preserve">excess </w:t>
      </w:r>
      <w:r w:rsidR="00453BC8" w:rsidRPr="00CA073D">
        <w:t>amounts</w:t>
      </w:r>
      <w:r w:rsidR="00AA4D14">
        <w:t>)</w:t>
      </w:r>
      <w:r w:rsidR="00C707A2" w:rsidRPr="00CA073D">
        <w:t>.</w:t>
      </w:r>
      <w:r w:rsidR="000460B4">
        <w:t xml:space="preserve"> </w:t>
      </w:r>
      <w:r w:rsidR="00D15A9C">
        <w:t xml:space="preserve">A </w:t>
      </w:r>
      <w:r w:rsidR="00C707A2" w:rsidRPr="00CA073D">
        <w:t>Mg</w:t>
      </w:r>
      <w:r w:rsidR="00C707A2" w:rsidRPr="00E078CD">
        <w:rPr>
          <w:vertAlign w:val="superscript"/>
        </w:rPr>
        <w:t>2+</w:t>
      </w:r>
      <w:r w:rsidR="00C707A2" w:rsidRPr="00CA073D">
        <w:t xml:space="preserve"> recovery </w:t>
      </w:r>
      <w:r w:rsidR="0023505B">
        <w:t xml:space="preserve">&gt;99 % </w:t>
      </w:r>
      <w:r w:rsidR="00E15291" w:rsidRPr="00C762A3">
        <w:rPr>
          <w:color w:val="F79646" w:themeColor="accent6"/>
        </w:rPr>
        <w:t xml:space="preserve">can be </w:t>
      </w:r>
      <w:r w:rsidR="00E078CD" w:rsidRPr="00C762A3">
        <w:rPr>
          <w:color w:val="F79646" w:themeColor="accent6"/>
        </w:rPr>
        <w:t>achieved</w:t>
      </w:r>
      <w:r w:rsidR="00C707A2" w:rsidRPr="00C762A3">
        <w:rPr>
          <w:color w:val="F79646" w:themeColor="accent6"/>
        </w:rPr>
        <w:t xml:space="preserve"> </w:t>
      </w:r>
      <w:r w:rsidR="00284715" w:rsidRPr="00CA073D">
        <w:t>thank</w:t>
      </w:r>
      <w:r w:rsidR="003E7F31">
        <w:t>s</w:t>
      </w:r>
      <w:r w:rsidR="00C707A2" w:rsidRPr="00CA073D">
        <w:t xml:space="preserve"> to the adoption of a </w:t>
      </w:r>
      <w:r w:rsidR="006B1DF6">
        <w:t xml:space="preserve">product </w:t>
      </w:r>
      <w:r w:rsidR="00C707A2" w:rsidRPr="00CA073D">
        <w:t xml:space="preserve">recycling strategy in the reactor. </w:t>
      </w:r>
      <w:r w:rsidR="00205A11" w:rsidRPr="00CA073D">
        <w:t xml:space="preserve">Furthermore, </w:t>
      </w:r>
      <w:r w:rsidR="00374B17">
        <w:t xml:space="preserve">highly pure </w:t>
      </w:r>
      <w:r w:rsidR="00C707A2" w:rsidRPr="00CA073D">
        <w:t>Mg(OH)</w:t>
      </w:r>
      <w:r w:rsidR="00C707A2" w:rsidRPr="00E078CD">
        <w:rPr>
          <w:vertAlign w:val="subscript"/>
        </w:rPr>
        <w:t>2</w:t>
      </w:r>
      <w:r w:rsidR="00C707A2" w:rsidRPr="00CA073D">
        <w:t xml:space="preserve"> powders</w:t>
      </w:r>
      <w:r w:rsidR="00374B17">
        <w:t>, addressed</w:t>
      </w:r>
      <w:r w:rsidR="003E7F31">
        <w:t xml:space="preserve"> by</w:t>
      </w:r>
      <w:r w:rsidR="00374B17">
        <w:t xml:space="preserve"> </w:t>
      </w:r>
      <w:r w:rsidR="00C707A2" w:rsidRPr="00CA073D">
        <w:t>cationic purity</w:t>
      </w:r>
      <w:r w:rsidR="00374B17">
        <w:t>,</w:t>
      </w:r>
      <w:r w:rsidR="00C707A2" w:rsidRPr="00CA073D">
        <w:t xml:space="preserve"> </w:t>
      </w:r>
      <w:r w:rsidR="00374B17">
        <w:t>were synthesized</w:t>
      </w:r>
      <w:r w:rsidR="006B1DF6">
        <w:t xml:space="preserve">. Results </w:t>
      </w:r>
      <w:r w:rsidR="004C0772" w:rsidRPr="00CA073D">
        <w:t>demonstrate</w:t>
      </w:r>
      <w:r w:rsidR="00C707A2" w:rsidRPr="00CA073D">
        <w:t xml:space="preserve"> the possibility of producing highly pure </w:t>
      </w:r>
      <w:r w:rsidR="006B1DF6">
        <w:t>Mg(OH)</w:t>
      </w:r>
      <w:r w:rsidR="006B1DF6" w:rsidRPr="006B1DF6">
        <w:rPr>
          <w:vertAlign w:val="subscript"/>
        </w:rPr>
        <w:t>2</w:t>
      </w:r>
      <w:r w:rsidR="006B1DF6">
        <w:t xml:space="preserve"> </w:t>
      </w:r>
      <w:r w:rsidR="00C707A2" w:rsidRPr="00CA073D">
        <w:t xml:space="preserve">products from </w:t>
      </w:r>
      <w:r w:rsidR="007351EB">
        <w:t>waste</w:t>
      </w:r>
      <w:r w:rsidR="003E7F31">
        <w:t>-</w:t>
      </w:r>
      <w:r w:rsidR="00C707A2" w:rsidRPr="00CA073D">
        <w:t>concentrated saline solutions</w:t>
      </w:r>
      <w:r w:rsidR="006B1DF6">
        <w:t>, thus</w:t>
      </w:r>
      <w:r w:rsidR="00C707A2" w:rsidRPr="00CA073D">
        <w:t xml:space="preserve"> turning waste into valuable </w:t>
      </w:r>
      <w:r w:rsidR="003E7F31">
        <w:t>compounds</w:t>
      </w:r>
      <w:r w:rsidR="00205A11" w:rsidRPr="00CA073D">
        <w:t xml:space="preserve">. </w:t>
      </w:r>
    </w:p>
    <w:bookmarkEnd w:id="0"/>
    <w:p w14:paraId="476B2F2E" w14:textId="22B8FF14" w:rsidR="00600535" w:rsidRPr="00CA073D" w:rsidRDefault="00600535" w:rsidP="00600535">
      <w:pPr>
        <w:pStyle w:val="CETHeading1"/>
        <w:rPr>
          <w:lang w:val="en-GB"/>
        </w:rPr>
      </w:pPr>
      <w:r w:rsidRPr="00CA073D">
        <w:rPr>
          <w:lang w:val="en-GB"/>
        </w:rPr>
        <w:t>Introduction</w:t>
      </w:r>
    </w:p>
    <w:p w14:paraId="1D9C3887" w14:textId="7B802E23" w:rsidR="00E163A8" w:rsidRDefault="00210190" w:rsidP="00727F76">
      <w:r>
        <w:t xml:space="preserve">Minerals </w:t>
      </w:r>
      <w:r w:rsidRPr="00210190">
        <w:t xml:space="preserve">are </w:t>
      </w:r>
      <w:r>
        <w:t xml:space="preserve">employed in a </w:t>
      </w:r>
      <w:r w:rsidR="00033495" w:rsidRPr="00210190">
        <w:t>broad</w:t>
      </w:r>
      <w:r w:rsidRPr="00210190">
        <w:t xml:space="preserve"> </w:t>
      </w:r>
      <w:r w:rsidR="00033495" w:rsidRPr="00210190">
        <w:t>variety</w:t>
      </w:r>
      <w:r w:rsidRPr="00210190">
        <w:t xml:space="preserve"> of applications related to construction, manufacturing, </w:t>
      </w:r>
      <w:r w:rsidR="008332F0" w:rsidRPr="00210190">
        <w:t>agriculture,</w:t>
      </w:r>
      <w:r w:rsidRPr="00210190">
        <w:t xml:space="preserve"> and energy supply.</w:t>
      </w:r>
      <w:r>
        <w:t xml:space="preserve"> The </w:t>
      </w:r>
      <w:r w:rsidR="007B777D" w:rsidRPr="00CA073D">
        <w:t xml:space="preserve">continuously growing global </w:t>
      </w:r>
      <w:r>
        <w:t xml:space="preserve">mineral </w:t>
      </w:r>
      <w:r w:rsidR="008E1E77">
        <w:t>demand</w:t>
      </w:r>
      <w:r>
        <w:t xml:space="preserve"> </w:t>
      </w:r>
      <w:r w:rsidR="00296B0C">
        <w:t>results into</w:t>
      </w:r>
      <w:r>
        <w:t xml:space="preserve"> a </w:t>
      </w:r>
      <w:r w:rsidR="008332F0">
        <w:t xml:space="preserve">considerable consumption of </w:t>
      </w:r>
      <w:r w:rsidR="008E2B3D">
        <w:t xml:space="preserve">limited </w:t>
      </w:r>
      <w:r w:rsidR="00FA09A8" w:rsidRPr="00FA09A8">
        <w:rPr>
          <w:color w:val="00B050"/>
        </w:rPr>
        <w:t>land</w:t>
      </w:r>
      <w:r w:rsidR="008E2B3D" w:rsidRPr="00FA09A8">
        <w:rPr>
          <w:color w:val="00B050"/>
        </w:rPr>
        <w:t xml:space="preserve"> </w:t>
      </w:r>
      <w:r w:rsidR="008E2B3D">
        <w:t xml:space="preserve">mining sources. </w:t>
      </w:r>
      <w:r w:rsidR="00C70F72">
        <w:t>In addition</w:t>
      </w:r>
      <w:r w:rsidR="008E2B3D">
        <w:t xml:space="preserve">, mineral ores are not equally </w:t>
      </w:r>
      <w:r w:rsidR="00A60E35">
        <w:t xml:space="preserve">geographically worldwide </w:t>
      </w:r>
      <w:r w:rsidR="008E2B3D">
        <w:t xml:space="preserve">spread. </w:t>
      </w:r>
      <w:r w:rsidR="0002445B">
        <w:t>As a matter of fact, s</w:t>
      </w:r>
      <w:r w:rsidR="007B777D" w:rsidRPr="00CA073D">
        <w:t xml:space="preserve">ince 2011, the </w:t>
      </w:r>
      <w:r w:rsidR="007B777D" w:rsidRPr="00F5292F">
        <w:t xml:space="preserve">European Union has identified </w:t>
      </w:r>
      <w:r w:rsidR="0002445B" w:rsidRPr="00F5292F">
        <w:t xml:space="preserve">and updated </w:t>
      </w:r>
      <w:r w:rsidR="007B777D" w:rsidRPr="00F5292F">
        <w:t>a list of critical raw materials (CRMs)</w:t>
      </w:r>
      <w:r w:rsidR="00805592">
        <w:t xml:space="preserve"> due to the </w:t>
      </w:r>
      <w:r w:rsidR="00805592" w:rsidRPr="00F5292F">
        <w:t>scarc</w:t>
      </w:r>
      <w:r w:rsidR="00805592">
        <w:t>e</w:t>
      </w:r>
      <w:r w:rsidR="0002445B" w:rsidRPr="00F5292F">
        <w:t xml:space="preserve"> EU </w:t>
      </w:r>
      <w:r w:rsidR="007B777D" w:rsidRPr="00F5292F">
        <w:t xml:space="preserve">supply </w:t>
      </w:r>
      <w:r w:rsidR="007A0D9B">
        <w:t>and their</w:t>
      </w:r>
      <w:r w:rsidR="007B777D" w:rsidRPr="00F5292F">
        <w:t xml:space="preserve"> </w:t>
      </w:r>
      <w:r w:rsidR="007A0D9B">
        <w:t>criticality</w:t>
      </w:r>
      <w:r w:rsidR="0002445B" w:rsidRPr="00F5292F">
        <w:t xml:space="preserve"> for </w:t>
      </w:r>
      <w:r w:rsidR="00C405D7">
        <w:t xml:space="preserve">the </w:t>
      </w:r>
      <w:r w:rsidR="00805592">
        <w:t>EU</w:t>
      </w:r>
      <w:r w:rsidR="0002445B" w:rsidRPr="00F5292F">
        <w:t xml:space="preserve"> </w:t>
      </w:r>
      <w:r w:rsidR="007B777D" w:rsidRPr="00F5292F">
        <w:t>econom</w:t>
      </w:r>
      <w:r w:rsidR="0002445B" w:rsidRPr="00F5292F">
        <w:t xml:space="preserve">y </w:t>
      </w:r>
      <w:r w:rsidR="007B777D" w:rsidRPr="00F5292F">
        <w:t>and social development.</w:t>
      </w:r>
      <w:r w:rsidR="00B64224">
        <w:t xml:space="preserve"> </w:t>
      </w:r>
      <w:r w:rsidR="00DB3CE3">
        <w:t>D</w:t>
      </w:r>
      <w:r w:rsidR="00F5292F" w:rsidRPr="00F5292F">
        <w:t>esalination brines,</w:t>
      </w:r>
      <w:r w:rsidR="00652808">
        <w:t xml:space="preserve"> </w:t>
      </w:r>
      <w:r w:rsidR="00F5292F" w:rsidRPr="00F5292F">
        <w:t>lake brines</w:t>
      </w:r>
      <w:r w:rsidR="00652808">
        <w:t xml:space="preserve"> and </w:t>
      </w:r>
      <w:r w:rsidR="00F5292F" w:rsidRPr="00F5292F">
        <w:t>saltworks bitterns</w:t>
      </w:r>
      <w:r w:rsidR="00652808">
        <w:t xml:space="preserve"> have been </w:t>
      </w:r>
      <w:r w:rsidR="00DB3CE3">
        <w:t xml:space="preserve">recently </w:t>
      </w:r>
      <w:r w:rsidR="003B115D">
        <w:t xml:space="preserve">identified as the </w:t>
      </w:r>
      <w:r w:rsidR="002D38C2">
        <w:t>ideal</w:t>
      </w:r>
      <w:r w:rsidR="003B115D">
        <w:t xml:space="preserve"> sustainable and environmental</w:t>
      </w:r>
      <w:r w:rsidR="00C405D7">
        <w:t>ly</w:t>
      </w:r>
      <w:r w:rsidR="003B115D">
        <w:t xml:space="preserve"> low</w:t>
      </w:r>
      <w:r w:rsidR="00C405D7">
        <w:t>-</w:t>
      </w:r>
      <w:r w:rsidR="003B115D">
        <w:t xml:space="preserve">impact mineral </w:t>
      </w:r>
      <w:r w:rsidR="002D38C2">
        <w:t xml:space="preserve">sources </w:t>
      </w:r>
      <w:r w:rsidR="00F5292F" w:rsidRPr="00DB3CE3">
        <w:fldChar w:fldCharType="begin" w:fldLock="1"/>
      </w:r>
      <w:r w:rsidR="00702733">
        <w:instrText>ADDIN CSL_CITATION {"citationItems":[{"id":"ITEM-1","itemData":{"DOI":"10.3390/w15010029","ISSN":"20734441","abstract":"Magnesium has been listed among the 30 critical raw materials by the European Union. In recent years, many green and sustainable alternative Mg2+ sources have been sought to satisfy the EU’s demand and to avoid mineral ore consumption. In this context, saltwork bitterns, the by-products of solar sea salt production, have attracted much attention thanks to their high Mg2+ concentrations (up to 80 g/L) and low Ca2+ and bicarbonate contents (&lt;0.5 g/L). Although investigations on Mg2+ extraction from bitterns in the form of Mg(OH)2(s) have already been performed, product purity has never been properly addressed. Mg(OH)2(s) is a chemical compound of great interest and extensive utility in numerous industrial applications only if the powder’s purity is &gt;95% (w/w). This work presents a comprehensive experimental effort of reactive precipitation tests with NaOH solutions at stoichiometric and over-stoichiometric concentrations to: (i) assess the technical feasibility of Mg2+ recovery from real bitterns collected in saltworks of the Trapani district (Italy) and, (ii) for the first time, conduct an extensive purity investigation of the precipitated magnesium hydroxide powders as brucite. This experimental investigation demonstrates the possibility of extracting highly valuable compounds from saltwork bittern waste, embracing the water valorization and resource recovery approach.","author":[{"dropping-particle":"","family":"Battaglia","given":"Giuseppe","non-dropping-particle":"","parse-names":false,"suffix":""},{"dropping-particle":"","family":"Domina","given":"Maria Alda","non-dropping-particle":"","parse-names":false,"suffix":""},{"dropping-particle":"","family":"Brutto","given":"Rita","non-dropping-particle":"Lo","parse-names":false,"suffix":""},{"dropping-particle":"","family":"Lopez Rodriguez","given":"Julio","non-dropping-particle":"","parse-names":false,"suffix":""},{"dropping-particle":"","family":"Fernandez de Labastida","given":"Marc","non-dropping-particle":"","parse-names":false,"suffix":""},{"dropping-particle":"","family":"Cortina","given":"Jose Luis","non-dropping-particle":"","parse-names":false,"suffix":""},{"dropping-particle":"","family":"Pettignano","given":"Alberto","non-dropping-particle":"","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Water (Switzerland)","id":"ITEM-1","issue":"1","issued":{"date-parts":[["2023"]]},"title":"Evaluation of the Purity of Magnesium Hydroxide Recovered from Saltwork Bitterns","type":"article-journal","volume":"15"},"uris":["http://www.mendeley.com/documents/?uuid=17551d4d-d047-359f-8371-7b3599254c4c"]}],"mendeley":{"formattedCitation":"(Giuseppe Battaglia et al., 2023)","manualFormatting":"(Battaglia et al., 2023)","plainTextFormattedCitation":"(Giuseppe Battaglia et al., 2023)","previouslyFormattedCitation":"&lt;sup&gt;1&lt;/sup&gt;"},"properties":{"noteIndex":0},"schema":"https://github.com/citation-style-language/schema/raw/master/csl-citation.json"}</w:instrText>
      </w:r>
      <w:r w:rsidR="00F5292F" w:rsidRPr="00DB3CE3">
        <w:fldChar w:fldCharType="separate"/>
      </w:r>
      <w:r w:rsidR="007B0833" w:rsidRPr="007B0833">
        <w:rPr>
          <w:noProof/>
        </w:rPr>
        <w:t>(Battaglia et al., 2023)</w:t>
      </w:r>
      <w:r w:rsidR="00F5292F" w:rsidRPr="00DB3CE3">
        <w:fldChar w:fldCharType="end"/>
      </w:r>
      <w:r w:rsidR="00F5292F" w:rsidRPr="00DB3CE3">
        <w:t xml:space="preserve">. </w:t>
      </w:r>
      <w:r w:rsidR="009B2060" w:rsidRPr="00DB3CE3">
        <w:t>Magnesium is a grey</w:t>
      </w:r>
      <w:r w:rsidR="009B2060">
        <w:t xml:space="preserve"> </w:t>
      </w:r>
      <w:r w:rsidR="00DB3CE3">
        <w:t>mineral</w:t>
      </w:r>
      <w:r w:rsidR="009B2060">
        <w:t xml:space="preserve"> extensively employed in numerous fields. Magnesium </w:t>
      </w:r>
      <w:r w:rsidR="006019A7">
        <w:t xml:space="preserve">derivatives, </w:t>
      </w:r>
      <w:r w:rsidR="00C405D7">
        <w:t xml:space="preserve">such </w:t>
      </w:r>
      <w:r w:rsidR="006019A7">
        <w:t xml:space="preserve">as magnesium </w:t>
      </w:r>
      <w:r w:rsidR="009B2060">
        <w:t>hydroxide, Mg(OH)</w:t>
      </w:r>
      <w:r w:rsidR="009B2060" w:rsidRPr="009B2060">
        <w:rPr>
          <w:vertAlign w:val="subscript"/>
        </w:rPr>
        <w:t>2</w:t>
      </w:r>
      <w:r w:rsidR="009B2060">
        <w:t>, magnesium carbonate, MgCO</w:t>
      </w:r>
      <w:r w:rsidR="009B2060" w:rsidRPr="009B2060">
        <w:rPr>
          <w:vertAlign w:val="subscript"/>
        </w:rPr>
        <w:t>3</w:t>
      </w:r>
      <w:r w:rsidR="009B2060" w:rsidRPr="009B2060">
        <w:t>,</w:t>
      </w:r>
      <w:r w:rsidR="009B2060">
        <w:t xml:space="preserve"> and magnesium oxide, MgO, </w:t>
      </w:r>
      <w:r w:rsidR="00D3433D">
        <w:t xml:space="preserve">are also </w:t>
      </w:r>
      <w:r w:rsidR="006019A7">
        <w:t xml:space="preserve">widely </w:t>
      </w:r>
      <w:r w:rsidR="00D3433D">
        <w:t>adopted in numerous industrial</w:t>
      </w:r>
      <w:r w:rsidR="006019A7">
        <w:t xml:space="preserve"> applications</w:t>
      </w:r>
      <w:r w:rsidR="00D3433D">
        <w:t>: (i) as flame retardant agents in polymeric materials, (ii) in wastewater treatments or (iii) as catalyst</w:t>
      </w:r>
      <w:r w:rsidR="004E2E0D">
        <w:t xml:space="preserve">s </w:t>
      </w:r>
      <w:r w:rsidR="004E2E0D">
        <w:fldChar w:fldCharType="begin" w:fldLock="1"/>
      </w:r>
      <w:r w:rsidR="007B0833">
        <w:instrText>ADDIN CSL_CITATION {"citationItems":[{"id":"ITEM-1","itemData":{"DOI":"10.1039/c7ce01570d","ISSN":"14668033","abstract":"This review highlights synthetic routes for producing nanostructured magnesium hydroxide and focuses on how these various preparative approaches can produce Mg(OH)2 nanoparticles with controlled size and morphology. Mg(OH)2 nanocrystals with rod-, needle-, hollow tube- or platelet-like morphology can be synthesised by the modification of chemical and physical experimental parameters such as the selection of magnesium precursor, solvent and temperature or by employing surface modifiers and templates. Techniques based on hydrothermal/solvothermal treatments, microwave heating and (co-)precipitation are dominant in the production of Mg(OH)2 at the nanoscale, but other materials design approaches are now emerging. Bulk Mg(OH)2 has been extensively studied over decades and finds use in a wide range of applications. Moreover, the hydroxide can also serve as a precursor for other commercially important materials such as MgO. Nanostructuring the material has proven extremely useful in modifying some of its most important properties-not least enhancing the performance of Mg(OH)2 as a non-toxic flame retardant-but equally it is creating new avenues of applied research. We evaluate herein the latest efforts to design novel synthesis routes to nano-Mg(OH)2, to understand the mechanisms of crystallite growth and to tailor microstructure towards specific properties and applications.","author":[{"dropping-particle":"","family":"Balducci","given":"Giulia","non-dropping-particle":"","parse-names":false,"suffix":""},{"dropping-particle":"","family":"Bravo Diaz","given":"Laura","non-dropping-particle":"","parse-names":false,"suffix":""},{"dropping-particle":"","family":"Gregory","given":"Duncan H.","non-dropping-particle":"","parse-names":false,"suffix":""}],"container-title":"CrystEngComm","id":"ITEM-1","issue":"41","issued":{"date-parts":[["2017"]]},"page":"6067-6084","publisher":"Royal Society of Chemistry","title":"Recent progress in the synthesis of nanostructured magnesium hydroxide","type":"article-journal","volume":"19"},"uris":["http://www.mendeley.com/documents/?uuid=59360955-277f-435e-b877-bdc23c20963f"]}],"mendeley":{"formattedCitation":"(Balducci et al., 2017)","plainTextFormattedCitation":"(Balducci et al., 2017)","previouslyFormattedCitation":"&lt;sup&gt;2&lt;/sup&gt;"},"properties":{"noteIndex":0},"schema":"https://github.com/citation-style-language/schema/raw/master/csl-citation.json"}</w:instrText>
      </w:r>
      <w:r w:rsidR="004E2E0D">
        <w:fldChar w:fldCharType="separate"/>
      </w:r>
      <w:r w:rsidR="007B0833" w:rsidRPr="007B0833">
        <w:rPr>
          <w:noProof/>
        </w:rPr>
        <w:t>(Balducci et al., 2017)</w:t>
      </w:r>
      <w:r w:rsidR="004E2E0D">
        <w:fldChar w:fldCharType="end"/>
      </w:r>
      <w:r w:rsidR="00D3433D">
        <w:t xml:space="preserve">. </w:t>
      </w:r>
      <w:r w:rsidR="00537820">
        <w:t>Nowadays, magnesium compounds are mainly produced from mineral ores, however</w:t>
      </w:r>
      <w:r w:rsidR="00C405D7">
        <w:t>,</w:t>
      </w:r>
      <w:r w:rsidR="00537820">
        <w:t xml:space="preserve"> a strong effort has been </w:t>
      </w:r>
      <w:r w:rsidR="00DD6C91">
        <w:t xml:space="preserve">put into </w:t>
      </w:r>
      <w:r w:rsidR="00E51A58">
        <w:t>their</w:t>
      </w:r>
      <w:r w:rsidR="00537820">
        <w:t xml:space="preserve"> </w:t>
      </w:r>
      <w:r w:rsidR="00CA039B">
        <w:t>recovery</w:t>
      </w:r>
      <w:r w:rsidR="00537820">
        <w:t xml:space="preserve"> from salty concentrated solutions. </w:t>
      </w:r>
      <w:r w:rsidR="009C588F">
        <w:t xml:space="preserve">Gong et al. </w:t>
      </w:r>
      <w:r w:rsidR="00007AA3">
        <w:fldChar w:fldCharType="begin" w:fldLock="1"/>
      </w:r>
      <w:r w:rsidR="00007AA3">
        <w:instrText>ADDIN CSL_CITATION {"citationItems":[{"id":"ITEM-1","itemData":{"abstract":"Recovering magnesium hydroxide Mg(OH)2 from the discharged brine from desalination plants has the potential to generate economic, social and environmental benefits. While the concept has not been practised in the industry, it is expected that it can be achieved by adaptation of a conventional method of precipitating Mg(OH)2 from seawater through the addition of lime. This project involves a series of experiments to investigate the feasibility of producing commercial grade Mg(OH)2 from desalination brine utilising this process. The key parameters of interest include the settling rates, the yield of products, and Mg(OH)2 purity. These parameters are being assessed under varying experiment conditions, such as increasing the lime dosage, screening of lime slurry and the use of flocculants. Initial results showed that a major problem with the process is a low product purity, generally below 80% Mg(OH)2. In a recent experiment, however, where the slaked lime slurry was screened, a considerable increase in the product purity has been achieved. Further research is to be undertaken to assess the effectiveness of screening lime slurry and other experimental conditions. These results will provide valuable information as to the product quality and the performance of this process for Water Corporation.","author":[{"dropping-particle":"","family":"Gong","given":"Maurice Hao","non-dropping-particle":"","parse-names":false,"suffix":""},{"dropping-particle":"","family":"Johns","given":"Michael","non-dropping-particle":"","parse-names":false,"suffix":""},{"dropping-particle":"","family":"Fridjonsson","given":"Einar","non-dropping-particle":"","parse-names":false,"suffix":""},{"dropping-particle":"","family":"Heckley","given":"Phil","non-dropping-particle":"","parse-names":false,"suffix":""}],"container-title":"CEED Seminar Proceedings","id":"ITEM-1","issued":{"date-parts":[["2018"]]},"note":"Questo può essere interessante come trattamento di CaOH2","page":"49-54","title":"Magnesium Recovery from Desalination Brine","type":"article-journal"},"uris":["http://www.mendeley.com/documents/?uuid=255ba812-8bab-3f6b-bf96-b543e5ccca74"]}],"mendeley":{"formattedCitation":"(Gong et al., 2018)","manualFormatting":"(2018)","plainTextFormattedCitation":"(Gong et al., 2018)","previouslyFormattedCitation":"&lt;sup&gt;3&lt;/sup&gt;"},"properties":{"noteIndex":0},"schema":"https://github.com/citation-style-language/schema/raw/master/csl-citation.json"}</w:instrText>
      </w:r>
      <w:r w:rsidR="00007AA3">
        <w:fldChar w:fldCharType="separate"/>
      </w:r>
      <w:r w:rsidR="00007AA3" w:rsidRPr="007B0833">
        <w:rPr>
          <w:noProof/>
        </w:rPr>
        <w:t>(2018)</w:t>
      </w:r>
      <w:r w:rsidR="00007AA3">
        <w:fldChar w:fldCharType="end"/>
      </w:r>
      <w:r w:rsidR="00007AA3">
        <w:t xml:space="preserve"> </w:t>
      </w:r>
      <w:r w:rsidR="00E61ADE">
        <w:t xml:space="preserve">analysed the </w:t>
      </w:r>
      <w:r w:rsidR="009C588F">
        <w:t>feasibility of mineral recovery from seawater brines</w:t>
      </w:r>
      <w:r w:rsidR="00E61ADE">
        <w:t xml:space="preserve"> marking </w:t>
      </w:r>
      <w:r w:rsidR="009C588F">
        <w:t>the high economic, social and environmental benefits associated with the brine’s exploitation</w:t>
      </w:r>
      <w:r w:rsidR="009C588F" w:rsidRPr="007B0833">
        <w:t>.</w:t>
      </w:r>
      <w:r w:rsidR="0065721E" w:rsidRPr="007B0833">
        <w:t xml:space="preserve"> Yousefi et al.</w:t>
      </w:r>
      <w:r w:rsidR="00836419">
        <w:t xml:space="preserve"> </w:t>
      </w:r>
      <w:r w:rsidR="00007AA3">
        <w:fldChar w:fldCharType="begin" w:fldLock="1"/>
      </w:r>
      <w:r w:rsidR="00007AA3">
        <w:instrText>ADDIN CSL_CITATION {"citationItems":[{"id":"ITEM-1","itemData":{"DOI":"10.1007/s00339-020-03814-w","ISSN":"14320630","abstract":"In this study, magnesium hydroxide nanoflakes (MHF) were synthesized using poly(ethylene glycol) (PEG 4000) surfactant by exploiting chemical precipitation method from an impure brine enriched by large amounts of CaCl2 for the first time. Synthesized samples were characterized by X-ray Diffraction (XRD), Field Emission Scanning Electron Microscopy (FESEM), Transmission Electron Microscopy (TEM), Energy Dispersive X-ray spectroscopy (EDS), Fourier Transform Infrared Spectroscopy (FTIR) and UV–Vis absorption spectroscopy. The effect of PEG on structural and morphological characteristics of synthesized samples, as well as the formation mechanism of MH nanostructures from the brine in the presence or absence of PEG (0, 5 and 10 mL), were precisely investigated. Obtained results implied the positive effect of the used surfactant on the uniformity of the morphology, the agglomeration behavior of MH nanoplates, and the decrease of the crystallite size (from 25.26 to 19.35 nm) of synthesized nanoparticles from the brine, which the optimum amount of this surfactant was 5 mL. In addition, UV–Vis spectroscopy results and investigation of optical properties showed that the presence of PEG led to an increasing in the value of the optical bandgap energy of MHF from 4.7 to 5 eV, indicating their ability to be used in optoelectronic nano-devices.","author":[{"dropping-particle":"","family":"Yousefi","given":"Sadegh","non-dropping-particle":"","parse-names":false,"suffix":""},{"dropping-particle":"","family":"Ghasemi","given":"Behrooz","non-dropping-particle":"","parse-names":false,"suffix":""},{"dropping-particle":"","family":"Tajally","given":"Mohammad","non-dropping-particle":"","parse-names":false,"suffix":""}],"container-title":"Applied Physics A: Materials Science and Processing","id":"ITEM-1","issue":"8","issued":{"date-parts":[["2020","8","1"]]},"note":"Recipiente agitato","page":"641","publisher":"Springer","title":"PEG-assisted synthesis and formation mechanism of Mg(OH)2 nanostructures using natural brine","type":"article-journal","volume":"126"},"uris":["http://www.mendeley.com/documents/?uuid=300fba73-5bd5-3cea-a604-b0c7dc030aaf"]}],"mendeley":{"formattedCitation":"(Yousefi et al., 2020)","manualFormatting":"(2020)","plainTextFormattedCitation":"(Yousefi et al., 2020)","previouslyFormattedCitation":"&lt;sup&gt;4&lt;/sup&gt;"},"properties":{"noteIndex":0},"schema":"https://github.com/citation-style-language/schema/raw/master/csl-citation.json"}</w:instrText>
      </w:r>
      <w:r w:rsidR="00007AA3">
        <w:fldChar w:fldCharType="separate"/>
      </w:r>
      <w:r w:rsidR="00007AA3" w:rsidRPr="007B0833">
        <w:rPr>
          <w:noProof/>
        </w:rPr>
        <w:t>(2020)</w:t>
      </w:r>
      <w:r w:rsidR="00007AA3">
        <w:fldChar w:fldCharType="end"/>
      </w:r>
      <w:r w:rsidR="00007AA3">
        <w:t xml:space="preserve"> </w:t>
      </w:r>
      <w:r w:rsidR="0065721E" w:rsidRPr="007B0833">
        <w:t xml:space="preserve">studied the </w:t>
      </w:r>
      <w:r w:rsidR="00C81C3F" w:rsidRPr="007B0833">
        <w:t>recovery of Mg</w:t>
      </w:r>
      <w:r w:rsidR="00C81C3F" w:rsidRPr="007B0833">
        <w:rPr>
          <w:vertAlign w:val="superscript"/>
        </w:rPr>
        <w:t>2+</w:t>
      </w:r>
      <w:r w:rsidR="00C81C3F" w:rsidRPr="007B0833">
        <w:t xml:space="preserve"> from </w:t>
      </w:r>
      <w:r w:rsidR="00296B0C" w:rsidRPr="007B0833">
        <w:t>an</w:t>
      </w:r>
      <w:r w:rsidR="00C81C3F" w:rsidRPr="007B0833">
        <w:t xml:space="preserve"> Iranian</w:t>
      </w:r>
      <w:r w:rsidR="00CA039B" w:rsidRPr="007B0833">
        <w:t xml:space="preserve"> </w:t>
      </w:r>
      <w:r w:rsidR="00C45950" w:rsidRPr="00C45950">
        <w:t>Khur Potash Complex</w:t>
      </w:r>
      <w:r w:rsidR="00C45950">
        <w:t xml:space="preserve"> brine</w:t>
      </w:r>
      <w:r w:rsidR="00CA039B" w:rsidRPr="007B0833">
        <w:t xml:space="preserve"> </w:t>
      </w:r>
      <w:r w:rsidR="00047901" w:rsidRPr="007B0833">
        <w:t>containing ~50 g/L of Mg</w:t>
      </w:r>
      <w:r w:rsidR="00047901" w:rsidRPr="007B0833">
        <w:rPr>
          <w:vertAlign w:val="superscript"/>
        </w:rPr>
        <w:t>2+</w:t>
      </w:r>
      <w:r w:rsidR="00047901" w:rsidRPr="007B0833">
        <w:t xml:space="preserve"> and ~182 g/L of Ca</w:t>
      </w:r>
      <w:r w:rsidR="00047901" w:rsidRPr="007B0833">
        <w:rPr>
          <w:vertAlign w:val="superscript"/>
        </w:rPr>
        <w:t>2+</w:t>
      </w:r>
      <w:r w:rsidR="0065721E" w:rsidRPr="007B0833">
        <w:t xml:space="preserve">. </w:t>
      </w:r>
      <w:r w:rsidR="00D8678F">
        <w:t>Mg(OH)</w:t>
      </w:r>
      <w:r w:rsidR="00D8678F" w:rsidRPr="00D8678F">
        <w:rPr>
          <w:vertAlign w:val="subscript"/>
        </w:rPr>
        <w:t>2</w:t>
      </w:r>
      <w:r w:rsidR="00D8678F">
        <w:t xml:space="preserve"> </w:t>
      </w:r>
      <w:r w:rsidR="00CF2239">
        <w:t xml:space="preserve">was produced by letting the </w:t>
      </w:r>
      <w:r w:rsidR="0072208A">
        <w:t>brine</w:t>
      </w:r>
      <w:r w:rsidR="00CF2239">
        <w:t xml:space="preserve"> react with sodium hydroxide solutions, NaOH,</w:t>
      </w:r>
      <w:r w:rsidR="00D8678F">
        <w:t xml:space="preserve"> accurately </w:t>
      </w:r>
      <w:r w:rsidR="00CF2239">
        <w:t xml:space="preserve">controlling </w:t>
      </w:r>
      <w:r w:rsidR="00C405D7">
        <w:t xml:space="preserve">the </w:t>
      </w:r>
      <w:r w:rsidR="00CF2239">
        <w:t>reaction</w:t>
      </w:r>
      <w:r w:rsidR="00D8678F">
        <w:t xml:space="preserve"> pH</w:t>
      </w:r>
      <w:r w:rsidR="00CF2239">
        <w:t xml:space="preserve"> </w:t>
      </w:r>
      <w:r w:rsidR="0072208A">
        <w:t>(</w:t>
      </w:r>
      <w:r w:rsidR="00CF2239">
        <w:t xml:space="preserve">kept </w:t>
      </w:r>
      <w:r w:rsidR="00D8678F" w:rsidRPr="00C10580">
        <w:t>between 9 and 9.5</w:t>
      </w:r>
      <w:r w:rsidR="0072208A">
        <w:t>)</w:t>
      </w:r>
      <w:r w:rsidR="00CF2239">
        <w:t>.</w:t>
      </w:r>
      <w:r w:rsidR="0072208A">
        <w:t xml:space="preserve"> </w:t>
      </w:r>
      <w:r w:rsidR="00853C64">
        <w:t>T</w:t>
      </w:r>
      <w:r w:rsidR="0072208A">
        <w:t xml:space="preserve">he pH strategy </w:t>
      </w:r>
      <w:r w:rsidR="007257F7">
        <w:t>avoided</w:t>
      </w:r>
      <w:r w:rsidR="005F6466">
        <w:t xml:space="preserve"> the co-precipitation of</w:t>
      </w:r>
      <w:r w:rsidR="0072208A">
        <w:t xml:space="preserve"> </w:t>
      </w:r>
      <w:r w:rsidR="00D8678F">
        <w:t>Ca</w:t>
      </w:r>
      <w:r w:rsidR="00D8678F" w:rsidRPr="00D8678F">
        <w:rPr>
          <w:vertAlign w:val="superscript"/>
        </w:rPr>
        <w:t>2+</w:t>
      </w:r>
      <w:r w:rsidR="00D8678F">
        <w:t xml:space="preserve"> compound</w:t>
      </w:r>
      <w:r w:rsidR="0072208A">
        <w:t>s</w:t>
      </w:r>
      <w:r w:rsidR="00D8678F">
        <w:t xml:space="preserve"> </w:t>
      </w:r>
      <w:r w:rsidR="005F6466">
        <w:t>leading to Mg(OH)</w:t>
      </w:r>
      <w:r w:rsidR="005F6466" w:rsidRPr="005F6466">
        <w:rPr>
          <w:vertAlign w:val="subscript"/>
        </w:rPr>
        <w:t>2</w:t>
      </w:r>
      <w:r w:rsidR="005F6466">
        <w:t xml:space="preserve"> powders characterized by a</w:t>
      </w:r>
      <w:r w:rsidR="0065721E" w:rsidRPr="00C10580">
        <w:t xml:space="preserve"> purity </w:t>
      </w:r>
      <w:r w:rsidR="0072208A">
        <w:t xml:space="preserve">of </w:t>
      </w:r>
      <w:r w:rsidR="0065721E" w:rsidRPr="00C10580">
        <w:t xml:space="preserve">~86%. </w:t>
      </w:r>
      <w:r w:rsidR="0065721E">
        <w:t xml:space="preserve">Alamdari et al. </w:t>
      </w:r>
      <w:r w:rsidR="0065721E">
        <w:fldChar w:fldCharType="begin" w:fldLock="1"/>
      </w:r>
      <w:r w:rsidR="007B0833">
        <w:instrText>ADDIN CSL_CITATION {"citationItems":[{"id":"ITEM-1","itemData":{"DOI":"10.1016/j.cep.2007.02.012","ISSN":"02552701","abstract":"Magnesium hydroxide is a valuable chemical produced almost in pure form from seawater and its bitterns through precipitation process. Product size distribution of magnesium hydroxide affects the ease of downstream processes of filtration and drying. Therefore, gaining insight into kinetic information in order to improve the size distribution of product particles is essential. In this work, a mechanistic model has been developed for precipitation of magnesium hydroxide from sea bittern. The parameters of model equations based on the population balance concept have been determined using the experimental data of precipitation from a pure synthetic solution containing 3% Mg2+ and a sea bittern from salt production unit of a local petrochemical complex. The model suggests a higher nucleation rate coefficient and a lower growth rate coefficient for precipitation from the sea bittern compared to that from pure synthetic solution. The nucleation increase and growth decrease which were attributed to the effects of impurities in the bittern, would decrease the settling velocity of the product particles and therefore make the filtration process in industrial use more difficult. However, a larger coefficient of agglomeration rate was predicted by the model for precipitation from the bittern favor to product settling. © 2007 Elsevier B.V. All rights reserved.","author":[{"dropping-particle":"","family":"Alamdari","given":"A.","non-dropping-particle":"","parse-names":false,"suffix":""},{"dropping-particle":"","family":"Rahimpour","given":"R. M.","non-dropping-particle":"","parse-names":false,"suffix":""},{"dropping-particle":"","family":"Esfandiari","given":"N.","non-dropping-particle":"","parse-names":false,"suffix":""},{"dropping-particle":"","family":"Nourafkan","given":"E.","non-dropping-particle":"","parse-names":false,"suffix":""}],"container-title":"Chemical Engineering and Processing: Process Intensification","id":"ITEM-1","issue":"2","issued":{"date-parts":[["2008","2"]]},"page":"215-221","title":"Kinetics of magnesium hydroxide precipitation from sea bittern","type":"article-journal","volume":"47"},"uris":["http://www.mendeley.com/documents/?uuid=1be4b269-80bd-48bd-b7b1-9c705cd07e3f"]}],"mendeley":{"formattedCitation":"(Alamdari et al., 2008)","plainTextFormattedCitation":"(Alamdari et al., 2008)","previouslyFormattedCitation":"&lt;sup&gt;5&lt;/sup&gt;"},"properties":{"noteIndex":0},"schema":"https://github.com/citation-style-language/schema/raw/master/csl-citation.json"}</w:instrText>
      </w:r>
      <w:r w:rsidR="0065721E">
        <w:fldChar w:fldCharType="separate"/>
      </w:r>
      <w:r w:rsidR="007B0833" w:rsidRPr="007B0833">
        <w:rPr>
          <w:noProof/>
        </w:rPr>
        <w:t>(2008)</w:t>
      </w:r>
      <w:r w:rsidR="0065721E">
        <w:fldChar w:fldCharType="end"/>
      </w:r>
      <w:r w:rsidR="0065721E">
        <w:t xml:space="preserve"> </w:t>
      </w:r>
      <w:r w:rsidR="00281DC3">
        <w:t>studied the Mg(OH)</w:t>
      </w:r>
      <w:r w:rsidR="00281DC3" w:rsidRPr="00281DC3">
        <w:rPr>
          <w:vertAlign w:val="subscript"/>
        </w:rPr>
        <w:t>2</w:t>
      </w:r>
      <w:r w:rsidR="00281DC3">
        <w:t xml:space="preserve"> </w:t>
      </w:r>
      <w:r w:rsidR="00EA7806">
        <w:t>precipitation</w:t>
      </w:r>
      <w:r w:rsidR="00281DC3">
        <w:t xml:space="preserve"> phenomena </w:t>
      </w:r>
      <w:r w:rsidR="0065721E">
        <w:t>from sea bittern</w:t>
      </w:r>
      <w:r w:rsidR="00355150">
        <w:t>s</w:t>
      </w:r>
      <w:r w:rsidR="009E2622" w:rsidRPr="009E2622">
        <w:t xml:space="preserve"> </w:t>
      </w:r>
      <w:r w:rsidR="006963FB">
        <w:t>collected from</w:t>
      </w:r>
      <w:r w:rsidR="009E2622" w:rsidRPr="009E2622">
        <w:t xml:space="preserve"> </w:t>
      </w:r>
      <w:r w:rsidR="00C405D7" w:rsidRPr="00176B91">
        <w:rPr>
          <w:rFonts w:asciiTheme="minorBidi" w:hAnsiTheme="minorBidi" w:cstheme="minorBidi"/>
        </w:rPr>
        <w:t xml:space="preserve">a </w:t>
      </w:r>
      <w:r w:rsidR="009E2622" w:rsidRPr="00176B91">
        <w:rPr>
          <w:rFonts w:asciiTheme="minorBidi" w:hAnsiTheme="minorBidi" w:cstheme="minorBidi"/>
        </w:rPr>
        <w:t>salt production unit of a local petrochemical complex</w:t>
      </w:r>
      <w:r w:rsidR="006963FB" w:rsidRPr="00176B91">
        <w:rPr>
          <w:rFonts w:asciiTheme="minorBidi" w:hAnsiTheme="minorBidi" w:cstheme="minorBidi"/>
        </w:rPr>
        <w:t xml:space="preserve">. </w:t>
      </w:r>
      <w:r w:rsidR="00AB547E" w:rsidRPr="00176B91">
        <w:rPr>
          <w:rFonts w:asciiTheme="minorBidi" w:hAnsiTheme="minorBidi" w:cstheme="minorBidi"/>
          <w:color w:val="00B050"/>
        </w:rPr>
        <w:t xml:space="preserve">Particle nucleation was </w:t>
      </w:r>
      <w:r w:rsidR="006963FB" w:rsidRPr="00176B91">
        <w:rPr>
          <w:rFonts w:asciiTheme="minorBidi" w:hAnsiTheme="minorBidi" w:cstheme="minorBidi"/>
          <w:color w:val="00B050"/>
        </w:rPr>
        <w:t xml:space="preserve">found to be </w:t>
      </w:r>
      <w:r w:rsidR="00AB547E" w:rsidRPr="00176B91">
        <w:rPr>
          <w:rFonts w:asciiTheme="minorBidi" w:hAnsiTheme="minorBidi" w:cstheme="minorBidi"/>
          <w:color w:val="00B050"/>
        </w:rPr>
        <w:t>the dominant mechanism</w:t>
      </w:r>
      <w:r w:rsidR="00FA09A8" w:rsidRPr="00176B91">
        <w:rPr>
          <w:rFonts w:asciiTheme="minorBidi" w:hAnsiTheme="minorBidi" w:cstheme="minorBidi"/>
          <w:color w:val="00B050"/>
        </w:rPr>
        <w:t>, r</w:t>
      </w:r>
      <w:r w:rsidR="00FA09A8" w:rsidRPr="00176B91">
        <w:rPr>
          <w:rStyle w:val="cf01"/>
          <w:rFonts w:asciiTheme="minorBidi" w:hAnsiTheme="minorBidi" w:cstheme="minorBidi"/>
          <w:color w:val="00B050"/>
        </w:rPr>
        <w:t>esulting in a large number of small crystals that exhibit slow sedimentation rates</w:t>
      </w:r>
      <w:r w:rsidR="005F651C" w:rsidRPr="00176B91">
        <w:rPr>
          <w:rFonts w:asciiTheme="minorBidi" w:hAnsiTheme="minorBidi" w:cstheme="minorBidi"/>
        </w:rPr>
        <w:t>.</w:t>
      </w:r>
      <w:r w:rsidR="00F42AA5" w:rsidRPr="00176B91">
        <w:rPr>
          <w:rFonts w:asciiTheme="minorBidi" w:hAnsiTheme="minorBidi" w:cstheme="minorBidi"/>
        </w:rPr>
        <w:t xml:space="preserve"> </w:t>
      </w:r>
      <w:r w:rsidR="009E7BDE" w:rsidRPr="00176B91">
        <w:rPr>
          <w:rFonts w:asciiTheme="minorBidi" w:hAnsiTheme="minorBidi" w:cstheme="minorBidi"/>
        </w:rPr>
        <w:t>Mg(OH)</w:t>
      </w:r>
      <w:r w:rsidR="009E7BDE" w:rsidRPr="00176B91">
        <w:rPr>
          <w:rFonts w:asciiTheme="minorBidi" w:hAnsiTheme="minorBidi" w:cstheme="minorBidi"/>
          <w:vertAlign w:val="subscript"/>
        </w:rPr>
        <w:t>2</w:t>
      </w:r>
      <w:r w:rsidR="009E7BDE" w:rsidRPr="00176B91">
        <w:rPr>
          <w:rFonts w:asciiTheme="minorBidi" w:hAnsiTheme="minorBidi" w:cstheme="minorBidi"/>
        </w:rPr>
        <w:t xml:space="preserve"> </w:t>
      </w:r>
      <w:r w:rsidR="007C4787" w:rsidRPr="00176B91">
        <w:rPr>
          <w:rFonts w:asciiTheme="minorBidi" w:hAnsiTheme="minorBidi" w:cstheme="minorBidi"/>
        </w:rPr>
        <w:t>production</w:t>
      </w:r>
      <w:r w:rsidR="007C4787">
        <w:t xml:space="preserve"> </w:t>
      </w:r>
      <w:r w:rsidR="009E7BDE" w:rsidRPr="00494DC4">
        <w:t>from seawater and industrial waste brines</w:t>
      </w:r>
      <w:r w:rsidR="009E7BDE">
        <w:t xml:space="preserve"> was </w:t>
      </w:r>
      <w:r w:rsidR="00EB08AE">
        <w:t xml:space="preserve">also </w:t>
      </w:r>
      <w:r w:rsidR="007C4787">
        <w:t>investigated</w:t>
      </w:r>
      <w:r w:rsidR="00C405D7">
        <w:t xml:space="preserve"> by</w:t>
      </w:r>
      <w:r w:rsidR="00EB08AE">
        <w:t xml:space="preserve"> employing </w:t>
      </w:r>
      <w:r w:rsidR="009E7BDE">
        <w:t>a</w:t>
      </w:r>
      <w:r w:rsidR="009E7BDE" w:rsidRPr="00494DC4">
        <w:t xml:space="preserve">n innovative ionic exchange membrane crystallizer (Cr-IEM) </w:t>
      </w:r>
      <w:r w:rsidR="00EB08AE">
        <w:t xml:space="preserve">able to </w:t>
      </w:r>
      <w:r w:rsidR="003F6FAC">
        <w:t xml:space="preserve">selectively </w:t>
      </w:r>
      <w:r w:rsidR="00EB08AE">
        <w:t xml:space="preserve">mix </w:t>
      </w:r>
      <w:r w:rsidR="003119C9">
        <w:t>brine</w:t>
      </w:r>
      <w:r w:rsidR="00902C1E">
        <w:t>s</w:t>
      </w:r>
      <w:r w:rsidR="003119C9">
        <w:t xml:space="preserve"> with </w:t>
      </w:r>
      <w:r w:rsidR="009E7BDE" w:rsidRPr="00494DC4">
        <w:t>low-</w:t>
      </w:r>
      <w:r w:rsidR="009E7BDE" w:rsidRPr="00494DC4">
        <w:lastRenderedPageBreak/>
        <w:t xml:space="preserve">cost alkaline solutions, such as </w:t>
      </w:r>
      <w:r w:rsidR="003F6FAC">
        <w:t>calcium hydroxide</w:t>
      </w:r>
      <w:r w:rsidR="00274286">
        <w:t>, Ca(OH)</w:t>
      </w:r>
      <w:r w:rsidR="00274286" w:rsidRPr="00274286">
        <w:rPr>
          <w:vertAlign w:val="subscript"/>
        </w:rPr>
        <w:t>2</w:t>
      </w:r>
      <w:r w:rsidR="00EA2E9E">
        <w:t xml:space="preserve"> </w:t>
      </w:r>
      <w:r w:rsidR="009E7BDE">
        <w:fldChar w:fldCharType="begin" w:fldLock="1"/>
      </w:r>
      <w:r w:rsidR="009F5254">
        <w:instrText>ADDIN CSL_CITATION {"citationItems":[{"id":"ITEM-1","itemData":{"DOI":"10.1016/j.cherd.2021.07.008","ISSN":"02638762","abstract":"Increasing attention is nowadays paid to the management and valorisation of industrial waste brines aiming also at the recovery of raw materials. Magnesium has been listed as a Critical Raw Material by EU, prompting researchers to investigate novel routes for its recovery. Within this framework, a novel Crystallizer with Ion Exchange Membrane (CrIEM), is proposed as an innovative way to recover magnesium from industrial waste brines exploiting low-cost alkaline reactants. In the present work, a novel mathematical model of the CrIEM process is proposed to provide a useful tool for its design in different working conditions. Batch and feed &amp; bleed continuous configurations have been investigated taking into account: (i) the variation of the alkaline and brine concentration in their own collection tanks over time and (ii) the spatial mono-dimensional (1D) steady-state description of the main phenomena that occur inside the CrIEM. Original experimental data, from ad-hoc laboratory tests, and literature information were used to validate the proposed model both in the batch and continuous feed &amp; bleed configuration. A good agreement between model predictions and experimental/literature data was found for both cases, thus proving the reliability of the proposed model for the design of the CrIEM reactor.","author":[{"dropping-particle":"","family":"Vassallo","given":"F.","non-dropping-particle":"","parse-names":false,"suffix":""},{"dropping-particle":"","family":"Morgante","given":"C.","non-dropping-particle":"","parse-names":false,"suffix":""},{"dropping-particle":"","family":"Battaglia","given":"G.","non-dropping-particle":"","parse-names":false,"suffix":""},{"dropping-particle":"","family":"Corte","given":"D.","non-dropping-particle":"La","parse-names":false,"suffix":""},{"dropping-particle":"","family":"Micari","given":"M.","non-dropping-particle":"","parse-names":false,"suffix":""},{"dropping-particle":"","family":"Cipollina","given":"A.","non-dropping-particle":"","parse-names":false,"suffix":""},{"dropping-particle":"","family":"Tamburini","given":"A.","non-dropping-particle":"","parse-names":false,"suffix":""},{"dropping-particle":"","family":"Micale","given":"G.","non-dropping-particle":"","parse-names":false,"suffix":""}],"container-title":"Chemical Engineering Research and Design","id":"ITEM-1","issued":{"date-parts":[["2021"]]},"page":"193-205","publisher":"Institution of Chemical Engineers","title":"A simulation tool for ion exchange membrane crystallization of magnesium hydroxide from waste brine","type":"article-journal","volume":"173"},"uris":["http://www.mendeley.com/documents/?uuid=e5146a78-141d-47df-a850-73ab3fae5ed0"]}],"mendeley":{"formattedCitation":"(F. Vassallo et al., 2021)","manualFormatting":"(Vassallo et al., 2021a)","plainTextFormattedCitation":"(F. Vassallo et al., 2021)","previouslyFormattedCitation":"&lt;sup&gt;6&lt;/sup&gt;"},"properties":{"noteIndex":0},"schema":"https://github.com/citation-style-language/schema/raw/master/csl-citation.json"}</w:instrText>
      </w:r>
      <w:r w:rsidR="009E7BDE">
        <w:fldChar w:fldCharType="separate"/>
      </w:r>
      <w:r w:rsidR="007B0833" w:rsidRPr="007B0833">
        <w:rPr>
          <w:noProof/>
        </w:rPr>
        <w:t>(Vassallo et al., 2021</w:t>
      </w:r>
      <w:r w:rsidR="009F5254">
        <w:rPr>
          <w:noProof/>
        </w:rPr>
        <w:t>a</w:t>
      </w:r>
      <w:r w:rsidR="007B0833" w:rsidRPr="007B0833">
        <w:rPr>
          <w:noProof/>
        </w:rPr>
        <w:t>)</w:t>
      </w:r>
      <w:r w:rsidR="009E7BDE">
        <w:fldChar w:fldCharType="end"/>
      </w:r>
      <w:r w:rsidR="009E7BDE" w:rsidRPr="00494DC4">
        <w:t xml:space="preserve">. </w:t>
      </w:r>
      <w:r w:rsidR="002E02B9">
        <w:t>The</w:t>
      </w:r>
      <w:r w:rsidR="009E7BDE" w:rsidRPr="00494DC4">
        <w:t xml:space="preserve"> anionic membrane allows the passage of only hydroxyl ions, </w:t>
      </w:r>
      <w:r w:rsidR="007F3EB7" w:rsidRPr="00494DC4">
        <w:t>blocking</w:t>
      </w:r>
      <w:r w:rsidR="009E7BDE" w:rsidRPr="00494DC4">
        <w:t xml:space="preserve"> the flux of undesired cations</w:t>
      </w:r>
      <w:r w:rsidR="00EF5E18">
        <w:t xml:space="preserve">, i.e. </w:t>
      </w:r>
      <w:r w:rsidR="009E7BDE" w:rsidRPr="00494DC4">
        <w:t>Ca</w:t>
      </w:r>
      <w:r w:rsidR="009E7BDE" w:rsidRPr="002E02B9">
        <w:rPr>
          <w:vertAlign w:val="superscript"/>
        </w:rPr>
        <w:t>2+</w:t>
      </w:r>
      <w:r w:rsidR="00EF5E18">
        <w:t>, which</w:t>
      </w:r>
      <w:r w:rsidR="007F3EB7">
        <w:t xml:space="preserve"> could </w:t>
      </w:r>
      <w:r w:rsidR="00EF5E18">
        <w:t>impa</w:t>
      </w:r>
      <w:r w:rsidR="00296B0C">
        <w:t>i</w:t>
      </w:r>
      <w:r w:rsidR="00EF5E18">
        <w:t xml:space="preserve">r </w:t>
      </w:r>
      <w:r w:rsidR="007F3EB7">
        <w:t>Mg(OH)</w:t>
      </w:r>
      <w:r w:rsidR="007F3EB7" w:rsidRPr="007F3EB7">
        <w:rPr>
          <w:vertAlign w:val="subscript"/>
        </w:rPr>
        <w:t>2</w:t>
      </w:r>
      <w:r w:rsidR="007F3EB7">
        <w:t xml:space="preserve"> purity</w:t>
      </w:r>
      <w:r w:rsidR="009E7BDE" w:rsidRPr="00494DC4">
        <w:t>.</w:t>
      </w:r>
      <w:r w:rsidR="007F3EB7">
        <w:t xml:space="preserve"> </w:t>
      </w:r>
      <w:r w:rsidR="004726BA">
        <w:t xml:space="preserve">The same research group also proposed </w:t>
      </w:r>
      <w:r w:rsidR="00813B38">
        <w:t xml:space="preserve">a purposely </w:t>
      </w:r>
      <w:r w:rsidR="00813B38" w:rsidRPr="00142505">
        <w:rPr>
          <w:rFonts w:cs="Arial"/>
        </w:rPr>
        <w:t>designed</w:t>
      </w:r>
      <w:r w:rsidR="00705CD7" w:rsidRPr="00142505">
        <w:rPr>
          <w:rFonts w:cs="Arial"/>
          <w:color w:val="00B050"/>
        </w:rPr>
        <w:t xml:space="preserve"> </w:t>
      </w:r>
      <w:r w:rsidR="00705CD7" w:rsidRPr="00142505">
        <w:rPr>
          <w:rStyle w:val="cf01"/>
          <w:rFonts w:ascii="Arial" w:hAnsi="Arial" w:cs="Arial"/>
          <w:color w:val="00B050"/>
        </w:rPr>
        <w:t>multi-feed plug flow reactor</w:t>
      </w:r>
      <w:r w:rsidR="00705CD7" w:rsidRPr="00142505" w:rsidDel="00705CD7">
        <w:rPr>
          <w:rFonts w:cs="Arial"/>
          <w:color w:val="00B050"/>
        </w:rPr>
        <w:t xml:space="preserve"> </w:t>
      </w:r>
      <w:r w:rsidR="00813B38" w:rsidRPr="00142505">
        <w:rPr>
          <w:rFonts w:cs="Arial"/>
        </w:rPr>
        <w:t xml:space="preserve">able to </w:t>
      </w:r>
      <w:r w:rsidR="00CA78DA" w:rsidRPr="00142505">
        <w:rPr>
          <w:rFonts w:cs="Arial"/>
        </w:rPr>
        <w:t>accurate</w:t>
      </w:r>
      <w:r w:rsidR="00813B38" w:rsidRPr="00142505">
        <w:rPr>
          <w:rFonts w:cs="Arial"/>
        </w:rPr>
        <w:t>ly control the reaction</w:t>
      </w:r>
      <w:r w:rsidR="00CA78DA" w:rsidRPr="00142505">
        <w:rPr>
          <w:rFonts w:cs="Arial"/>
        </w:rPr>
        <w:t xml:space="preserve"> pH </w:t>
      </w:r>
      <w:r w:rsidR="00D76EFF" w:rsidRPr="00142505">
        <w:rPr>
          <w:rFonts w:cs="Arial"/>
        </w:rPr>
        <w:t xml:space="preserve">environment </w:t>
      </w:r>
      <w:r w:rsidR="005150DD" w:rsidRPr="00142505">
        <w:rPr>
          <w:rFonts w:cs="Arial"/>
        </w:rPr>
        <w:t>to selectively</w:t>
      </w:r>
      <w:r w:rsidR="005150DD">
        <w:t xml:space="preserve"> precipitate Ca</w:t>
      </w:r>
      <w:r w:rsidR="005150DD" w:rsidRPr="005150DD">
        <w:rPr>
          <w:vertAlign w:val="superscript"/>
        </w:rPr>
        <w:t>2+</w:t>
      </w:r>
      <w:r w:rsidR="005150DD">
        <w:t xml:space="preserve"> and Mg</w:t>
      </w:r>
      <w:r w:rsidR="005150DD" w:rsidRPr="005150DD">
        <w:rPr>
          <w:vertAlign w:val="superscript"/>
        </w:rPr>
        <w:t>2+</w:t>
      </w:r>
      <w:r w:rsidR="005150DD">
        <w:t xml:space="preserve"> ions</w:t>
      </w:r>
      <w:r w:rsidR="00D76EFF">
        <w:t xml:space="preserve"> using </w:t>
      </w:r>
      <w:r w:rsidR="00D76EFF" w:rsidRPr="009F5254">
        <w:t>NaOH</w:t>
      </w:r>
      <w:r w:rsidR="001A755D" w:rsidRPr="009F5254">
        <w:t xml:space="preserve"> </w:t>
      </w:r>
      <w:r w:rsidR="001A755D" w:rsidRPr="009F5254">
        <w:fldChar w:fldCharType="begin" w:fldLock="1"/>
      </w:r>
      <w:r w:rsidR="009F5254" w:rsidRPr="009F5254">
        <w:instrText>ADDIN CSL_CITATION {"citationItems":[{"id":"ITEM-1","itemData":{"DOI":"10.3303/CET2186156","ISBN":"9788895608846","ISSN":"22839216","abstract":"Direct disposal of concentrate brines, generated by many industrial sectors, causes serious environmental concerns. An industrial sector that produces high concentrate brines is softening water industry, in particular during the regeneration of ion exchange resins. These brines are mainly rich in sodium, magnesium and calcium chlorides, thus, their regeneration, by removal/recovery of magnesium and calcium, can be a valuable option to turn the brine into a source of minerals and reduce disposal costs and environmental concerns. In this regards, one of the goals of EU-funded ZERO BRINE project is to develop a treatment chain for the valorization and regeneration of spent brines from water softening plants. The treatment chain consists of Nanofiltration, crystalization and evaporation to regenerate spent brines and recover high purity magnesium and calcium hydroxides. In this work, a wide experimental campaign was carried out to recover high purity magnesium and calcium via selective chemical precipitation of relevant hydroxides adding by injection of an alkaline solution in two consecutive steps at controlled pH. Precipitations were performed using synthetic brine solution, mimicking the retentate produced by nanofiltration, some of them were carried out considering a pretreatment step to remove bicarbonate ions.","author":[{"dropping-particle":"","family":"Vassallo","given":"Fabrizio","non-dropping-particle":"","parse-names":false,"suffix":""},{"dropping-particle":"","family":"Corte","given":"Daniele","non-dropping-particle":"La","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Chemical Engineering Transactions","id":"ITEM-1","issue":"October 2020","issued":{"date-parts":[["2021"]]},"page":"931-936","title":"High purity recovery of magnesium and calcium hydroxides from waste brines","type":"article-journal","volume":"86"},"uris":["http://www.mendeley.com/documents/?uuid=35073e62-eff9-46e1-aea9-4e3579977a71"]}],"mendeley":{"formattedCitation":"(Fabrizio Vassallo et al., 2021)","manualFormatting":"(Vassallo et al., 2021)","plainTextFormattedCitation":"(Fabrizio Vassallo et al., 2021)","previouslyFormattedCitation":"&lt;sup&gt;7&lt;/sup&gt;"},"properties":{"noteIndex":0},"schema":"https://github.com/citation-style-language/schema/raw/master/csl-citation.json"}</w:instrText>
      </w:r>
      <w:r w:rsidR="001A755D" w:rsidRPr="009F5254">
        <w:fldChar w:fldCharType="separate"/>
      </w:r>
      <w:r w:rsidR="007B0833" w:rsidRPr="009F5254">
        <w:rPr>
          <w:noProof/>
        </w:rPr>
        <w:t>(Vassallo et al., 2021</w:t>
      </w:r>
      <w:r w:rsidR="009F5254">
        <w:rPr>
          <w:noProof/>
        </w:rPr>
        <w:t>b</w:t>
      </w:r>
      <w:r w:rsidR="007B0833" w:rsidRPr="009F5254">
        <w:rPr>
          <w:noProof/>
        </w:rPr>
        <w:t>)</w:t>
      </w:r>
      <w:r w:rsidR="001A755D" w:rsidRPr="009F5254">
        <w:fldChar w:fldCharType="end"/>
      </w:r>
      <w:r w:rsidR="001A755D" w:rsidRPr="009F5254">
        <w:t>.</w:t>
      </w:r>
      <w:r w:rsidR="00C735E6" w:rsidRPr="009F5254">
        <w:t xml:space="preserve"> </w:t>
      </w:r>
      <w:r w:rsidR="004A66C4" w:rsidRPr="00176B91">
        <w:rPr>
          <w:color w:val="00B050"/>
        </w:rPr>
        <w:t xml:space="preserve"> </w:t>
      </w:r>
      <w:r w:rsidR="00494DC4" w:rsidRPr="00176B91">
        <w:rPr>
          <w:color w:val="00B050"/>
        </w:rPr>
        <w:t>Mg</w:t>
      </w:r>
      <w:r w:rsidR="00494DC4" w:rsidRPr="00176B91">
        <w:rPr>
          <w:color w:val="00B050"/>
          <w:vertAlign w:val="superscript"/>
        </w:rPr>
        <w:t>2+</w:t>
      </w:r>
      <w:r w:rsidR="0090648A" w:rsidRPr="00176B91">
        <w:rPr>
          <w:color w:val="00B050"/>
        </w:rPr>
        <w:t xml:space="preserve"> </w:t>
      </w:r>
      <w:r w:rsidR="00494DC4" w:rsidRPr="00176B91">
        <w:rPr>
          <w:color w:val="00B050"/>
        </w:rPr>
        <w:t>and Ca</w:t>
      </w:r>
      <w:r w:rsidR="00494DC4" w:rsidRPr="00176B91">
        <w:rPr>
          <w:color w:val="00B050"/>
          <w:vertAlign w:val="superscript"/>
        </w:rPr>
        <w:t>2+</w:t>
      </w:r>
      <w:r w:rsidR="00494DC4" w:rsidRPr="00176B91">
        <w:rPr>
          <w:color w:val="00B050"/>
        </w:rPr>
        <w:t xml:space="preserve"> recoveries</w:t>
      </w:r>
      <w:r w:rsidR="004A66C4" w:rsidRPr="00176B91">
        <w:rPr>
          <w:color w:val="00B050"/>
        </w:rPr>
        <w:t xml:space="preserve"> &gt;99 % and &gt;95 %</w:t>
      </w:r>
      <w:r w:rsidR="0090648A" w:rsidRPr="00176B91">
        <w:rPr>
          <w:color w:val="00B050"/>
        </w:rPr>
        <w:t xml:space="preserve">, respectively, were </w:t>
      </w:r>
      <w:r w:rsidR="0090648A">
        <w:t xml:space="preserve">obtained </w:t>
      </w:r>
      <w:r w:rsidR="00494DC4" w:rsidRPr="00494DC4">
        <w:t xml:space="preserve">with </w:t>
      </w:r>
      <w:r w:rsidR="0090648A">
        <w:t>Mg(OH)</w:t>
      </w:r>
      <w:r w:rsidR="0090648A" w:rsidRPr="0090648A">
        <w:rPr>
          <w:vertAlign w:val="subscript"/>
        </w:rPr>
        <w:t>2</w:t>
      </w:r>
      <w:r w:rsidR="0090648A">
        <w:t xml:space="preserve"> and Ca(OH)</w:t>
      </w:r>
      <w:r w:rsidR="0090648A" w:rsidRPr="0090648A">
        <w:rPr>
          <w:vertAlign w:val="subscript"/>
        </w:rPr>
        <w:t>2</w:t>
      </w:r>
      <w:r w:rsidR="0090648A">
        <w:t xml:space="preserve"> </w:t>
      </w:r>
      <w:r w:rsidR="00494DC4" w:rsidRPr="00494DC4">
        <w:t>cationic purities above 95</w:t>
      </w:r>
      <w:r w:rsidR="000B43E6">
        <w:t xml:space="preserve"> </w:t>
      </w:r>
      <w:r w:rsidR="00494DC4" w:rsidRPr="00494DC4">
        <w:t>%</w:t>
      </w:r>
      <w:r w:rsidR="00D250DB">
        <w:t xml:space="preserve"> when </w:t>
      </w:r>
      <w:r w:rsidR="000C2590">
        <w:t>treating</w:t>
      </w:r>
      <w:r w:rsidR="000B43E6">
        <w:t xml:space="preserve"> a </w:t>
      </w:r>
      <w:r w:rsidR="00C735E6" w:rsidRPr="00C735E6">
        <w:t xml:space="preserve">retentate of a nanofiltration unit </w:t>
      </w:r>
      <w:r w:rsidR="000C2590">
        <w:t>using</w:t>
      </w:r>
      <w:r w:rsidR="003E136D">
        <w:t xml:space="preserve"> a</w:t>
      </w:r>
      <w:r w:rsidR="00C735E6" w:rsidRPr="00C735E6">
        <w:t xml:space="preserve"> spent brine from an industrial water production plant</w:t>
      </w:r>
      <w:r w:rsidR="000B43E6">
        <w:t>.</w:t>
      </w:r>
      <w:r w:rsidR="00C02189">
        <w:t xml:space="preserve"> Lately, </w:t>
      </w:r>
      <w:r w:rsidR="000B43E6" w:rsidRPr="000B43E6">
        <w:t xml:space="preserve">Morgante </w:t>
      </w:r>
      <w:r w:rsidR="000B43E6" w:rsidRPr="0087034F">
        <w:t>et al</w:t>
      </w:r>
      <w:r w:rsidR="00C02189" w:rsidRPr="0087034F">
        <w:t>.</w:t>
      </w:r>
      <w:r w:rsidR="000B43E6" w:rsidRPr="0087034F">
        <w:t xml:space="preserve"> </w:t>
      </w:r>
      <w:r w:rsidR="000B43E6" w:rsidRPr="0087034F">
        <w:fldChar w:fldCharType="begin" w:fldLock="1"/>
      </w:r>
      <w:r w:rsidR="007B0833" w:rsidRPr="0087034F">
        <w:instrText>ADDIN CSL_CITATION {"citationItems":[{"id":"ITEM-1","itemData":{"DOI":"10.1021/acs.iecr.2c02935","ISSN":"15205045","abstract":"The continuous depletion of minerals caused by land mining and the increase in their demand have pushed the development of novel sustainable technological processes for mineral recovery from unconventional sources. In this context, magnesium (Mg) has gained considerable attention for its peculiar properties and high relevance of its compounds, such as magnesium hydroxide, Mg(OH)2. In the present work, the influence of several operating conditions on the Mg(OH)2 precipitation process was thoroughly investigated by adopting a novel multiple feed-plug flow reactor. The influence of (i) initial Mg2+ concentrations in the feed stream; (ii) brine and alkaline flow rates; and (iii) the product recycling strategy (seeded crystallization) was considered. The results marked the possibility of improving sedimentation and filterability properties of Mg(OH)2 suspensions by adopting the recycling strategy to overcome industrial issues associated with the production of Mg(OH)2 suspensions using NaOH solutions.","author":[{"dropping-particle":"","family":"Morgante","given":"Carmelo","non-dropping-particle":"","parse-names":false,"suffix":""},{"dropping-particle":"","family":"Vassallo","given":"Fabrizio","non-dropping-particle":"","parse-names":false,"suffix":""},{"dropping-particle":"","family":"Battaglia","given":"Giuseppe","non-dropping-particle":"","parse-names":false,"suffix":""},{"dropping-particle":"","family":"Cipollina","given":"Andrea","non-dropping-particle":"","parse-names":false,"suffix":""},{"dropping-particle":"","family":"Vicari","given":"Fabrizio","non-dropping-particle":"","parse-names":false,"suffix":""},{"dropping-particle":"","family":"Tamburini","given":"Alessandro","non-dropping-particle":"","parse-names":false,"suffix":""},{"dropping-particle":"","family":"Micale","given":"Giorgio","non-dropping-particle":"","parse-names":false,"suffix":""}],"container-title":"Industrial and Engineering Chemistry Research","id":"ITEM-1","issue":"41","issued":{"date-parts":[["2022"]]},"title":"Influence of Operational Strategies for the Recovery of Magnesium Hydroxide from Brines at a Pilot Scale","type":"article-journal","volume":"61"},"uris":["http://www.mendeley.com/documents/?uuid=21e624e2-0100-483c-9118-3fbf71d46e0c"]}],"mendeley":{"formattedCitation":"(Morgante et al., 2022)","plainTextFormattedCitation":"(Morgante et al., 2022)","previouslyFormattedCitation":"&lt;sup&gt;8&lt;/sup&gt;"},"properties":{"noteIndex":0},"schema":"https://github.com/citation-style-language/schema/raw/master/csl-citation.json"}</w:instrText>
      </w:r>
      <w:r w:rsidR="000B43E6" w:rsidRPr="0087034F">
        <w:fldChar w:fldCharType="separate"/>
      </w:r>
      <w:r w:rsidR="007B0833" w:rsidRPr="0087034F">
        <w:rPr>
          <w:noProof/>
        </w:rPr>
        <w:t>(2022)</w:t>
      </w:r>
      <w:r w:rsidR="000B43E6" w:rsidRPr="0087034F">
        <w:fldChar w:fldCharType="end"/>
      </w:r>
      <w:r w:rsidR="000B43E6" w:rsidRPr="0087034F">
        <w:t xml:space="preserve"> thoroughly</w:t>
      </w:r>
      <w:r w:rsidR="000B43E6">
        <w:t xml:space="preserve"> analysed the filtration and sedimentation characteristics of Mg(OH)</w:t>
      </w:r>
      <w:r w:rsidR="000B43E6" w:rsidRPr="000B43E6">
        <w:rPr>
          <w:vertAlign w:val="subscript"/>
        </w:rPr>
        <w:t>2</w:t>
      </w:r>
      <w:r w:rsidR="000B43E6">
        <w:t xml:space="preserve"> suspensions produced adopting the same reactor</w:t>
      </w:r>
      <w:r w:rsidR="00E8705E">
        <w:t xml:space="preserve">. </w:t>
      </w:r>
      <w:r w:rsidR="000C01DC">
        <w:t>Suspension</w:t>
      </w:r>
      <w:r w:rsidR="00A97F1C">
        <w:t>s</w:t>
      </w:r>
      <w:r w:rsidR="000C01DC">
        <w:t xml:space="preserve"> </w:t>
      </w:r>
      <w:r w:rsidR="000C01DC" w:rsidRPr="00494DC4">
        <w:t xml:space="preserve">sedimentation </w:t>
      </w:r>
      <w:r w:rsidR="000C01DC">
        <w:t>and filtration times</w:t>
      </w:r>
      <w:r w:rsidR="000C01DC" w:rsidRPr="00494DC4">
        <w:t xml:space="preserve"> </w:t>
      </w:r>
      <w:r w:rsidR="000C01DC">
        <w:t>considerably decreased by r</w:t>
      </w:r>
      <w:r w:rsidR="00E57D61">
        <w:t>ecycling part of the produc</w:t>
      </w:r>
      <w:r w:rsidR="00A97F1C">
        <w:t xml:space="preserve">t </w:t>
      </w:r>
      <w:r w:rsidR="000C01DC">
        <w:t>inducing a seeded precipitation process</w:t>
      </w:r>
      <w:r w:rsidR="00B87CBE">
        <w:t>.</w:t>
      </w:r>
      <w:r w:rsidR="00E163A8">
        <w:t xml:space="preserve"> </w:t>
      </w:r>
      <w:r w:rsidR="00FF1622">
        <w:t xml:space="preserve">In the last couple of years, </w:t>
      </w:r>
      <w:r w:rsidR="002F297E">
        <w:t xml:space="preserve">mineral extraction from </w:t>
      </w:r>
      <w:r w:rsidR="00FF1622">
        <w:t xml:space="preserve">saltworks bitterns </w:t>
      </w:r>
      <w:r w:rsidR="008B590A">
        <w:t>has</w:t>
      </w:r>
      <w:r w:rsidR="00F3280E">
        <w:t xml:space="preserve"> been</w:t>
      </w:r>
      <w:r w:rsidR="00FF1622">
        <w:t xml:space="preserve"> </w:t>
      </w:r>
      <w:r w:rsidR="002F297E">
        <w:t>investigated</w:t>
      </w:r>
      <w:r w:rsidR="00FF1622">
        <w:t xml:space="preserve">. </w:t>
      </w:r>
      <w:r w:rsidR="00D71D1D">
        <w:t>Specifically, b</w:t>
      </w:r>
      <w:r w:rsidR="00494DC4">
        <w:t>itterns collected from the final basins of the saltworks operating in the district of Trapani (Sicily, Italy)</w:t>
      </w:r>
      <w:r w:rsidR="00FF1622">
        <w:t xml:space="preserve"> were analysed within the activities of the European-</w:t>
      </w:r>
      <w:r w:rsidR="007D61CF" w:rsidRPr="00176B91">
        <w:rPr>
          <w:color w:val="00B050"/>
        </w:rPr>
        <w:t xml:space="preserve">funded </w:t>
      </w:r>
      <w:r w:rsidR="00FF1622">
        <w:t>SEArcularMINE project.</w:t>
      </w:r>
      <w:r w:rsidR="00D71D1D">
        <w:t xml:space="preserve"> Bitterns are by-product</w:t>
      </w:r>
      <w:r w:rsidR="00C47348">
        <w:t>s</w:t>
      </w:r>
      <w:r w:rsidR="00D71D1D">
        <w:t xml:space="preserve"> of the sea salt production from seawater, whose discharge </w:t>
      </w:r>
      <w:r w:rsidR="00A539EA">
        <w:t>poses</w:t>
      </w:r>
      <w:r w:rsidR="00D71D1D">
        <w:t xml:space="preserve"> environmental </w:t>
      </w:r>
      <w:r w:rsidR="00DF3CEB">
        <w:t>concerns</w:t>
      </w:r>
      <w:r w:rsidR="00D71D1D">
        <w:t>.</w:t>
      </w:r>
      <w:r w:rsidR="00B45865">
        <w:t xml:space="preserve"> </w:t>
      </w:r>
      <w:r w:rsidR="00FF1622" w:rsidRPr="00777F8E">
        <w:t xml:space="preserve">Battaglia et al. </w:t>
      </w:r>
      <w:r w:rsidR="00FF1622">
        <w:fldChar w:fldCharType="begin" w:fldLock="1"/>
      </w:r>
      <w:r w:rsidR="00CF06CB">
        <w:rPr>
          <w:lang w:val="it-IT"/>
        </w:rPr>
        <w:instrText>ADDIN CSL_CITATION {"citationItems":[{"id":"ITEM-1","itemData":{"DOI":"10.3390/w15010029","ISSN":"20734441","abstract":"Magnesium has been listed among the 30 critical raw materials by the European Union. In recent years, many green and sustainable alternative Mg2+ sources have been sought to satisfy the EU’s demand and to avoid mineral ore consumption. In this context, saltwork bitterns, the by-products of solar sea salt production, have attracted much attention thanks to their high Mg2+ concentrations (up to 80 g/L) and low Ca2+ and bicarbonate contents (&lt;0.5 g/L). Although investigations on Mg2+ extraction from bitterns in the form of Mg(OH)2(s) have already been performed, product purity has never been properly addressed. Mg(OH)2(s) is a chemical compound of great interest and extensive utility in numerous industrial applications only if the powder’s purity is &gt;95% (w/w). This work presents a comprehensive experimental effort of reactive precipitation tests with NaOH solutions at stoichiometric and over-stoichiometric concentrations to: (i) assess the technical feasibility of Mg2+ recovery from real bitterns collected in saltworks of the Trapani district (Italy) and, (ii) for the first time, conduct an extensive purity investigation of the precipitated magnesium hydroxide powders as brucite. This experimental investigation demonstrates the possibility of extracting highly valuable compounds from saltwork bittern waste, embracing the water valorization and resource recovery approach.","author":[{"dropping-particle":"","family":"Battaglia","given":"Giuseppe","non-dropping-particle":"","parse-names":false,"suffix":""},{"dropping-particle":"","family":"Domina","given":"Maria Alda","non-dropping-particle":"","parse-names":false,"suffix":""},{"dropping-particle":"","family":"Brutto","given":"Rita","non-dropping-particle":"Lo","parse-names":false,"suffix":""},{"dropping-particle":"","</w:instrText>
      </w:r>
      <w:r w:rsidR="00CF06CB" w:rsidRPr="00CF06CB">
        <w:instrText>family":"Lopez Rodriguez","given":"Julio","non-dropping-particle":"","parse-names":false,"suffix":""},{"dropping-particle":"","family":"Fernandez de Labastida","given":"Marc","non-dropping-particle":"","parse-names":false,"suffix":""},{"dropping-particle":"","family":"Cortina","given":"Jose Luis","non-dropping-particle":"","parse-names":false,"suffix":""},{"dropping-particle":"","family":"Pettignano","given":"Alberto","non-dropping-particle":"","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Water (Switzerland)","id":"ITEM-1","issue":"1","issued":{"date-parts":[["2023"]]},"title":"Evaluation of the Purity of Magnesium Hydroxide Recovered from Saltwork Bitterns","type":"article-journal","volume":"15"},"uris":["http://www.mendeley.com/documents/?uuid=17551d4d-d047-359f-8371-7b3599254c4c"]}],"mendeley":{"formattedCitation":"(Giuseppe Battaglia et al., 2023)","manualFormatting":"(2023)","plainTextFormattedCitation":"(Giuseppe Battaglia et al., 2023)","previouslyFormattedCitation":"&lt;sup&gt;1&lt;/sup&gt;"},"properties":{"noteIndex":0},"schema":"https://github.com/citation-style-language/schema/raw/master/csl-citation.json"}</w:instrText>
      </w:r>
      <w:r w:rsidR="00FF1622">
        <w:fldChar w:fldCharType="separate"/>
      </w:r>
      <w:r w:rsidR="007B0833" w:rsidRPr="007B0833">
        <w:rPr>
          <w:noProof/>
        </w:rPr>
        <w:t>(2023)</w:t>
      </w:r>
      <w:r w:rsidR="00FF1622">
        <w:fldChar w:fldCharType="end"/>
      </w:r>
      <w:r w:rsidR="00CF3562" w:rsidRPr="00296B0C">
        <w:t xml:space="preserve"> thoroughly investigated, at a laboratory scale, </w:t>
      </w:r>
      <w:r w:rsidR="00E34FAF" w:rsidRPr="00296B0C">
        <w:t>Mg(OH)</w:t>
      </w:r>
      <w:r w:rsidR="00E34FAF" w:rsidRPr="00296B0C">
        <w:rPr>
          <w:vertAlign w:val="subscript"/>
        </w:rPr>
        <w:t>2</w:t>
      </w:r>
      <w:r w:rsidR="00E34FAF" w:rsidRPr="00296B0C">
        <w:t xml:space="preserve"> </w:t>
      </w:r>
      <w:r w:rsidR="00FF1622" w:rsidRPr="00296B0C">
        <w:t xml:space="preserve">powder </w:t>
      </w:r>
      <w:r w:rsidR="00CF3562" w:rsidRPr="00296B0C">
        <w:t xml:space="preserve">purity </w:t>
      </w:r>
      <w:r w:rsidR="00FA3E1E" w:rsidRPr="00296B0C">
        <w:t>synthesized</w:t>
      </w:r>
      <w:r w:rsidR="00CF3562" w:rsidRPr="00296B0C">
        <w:t xml:space="preserve"> from two real bitterns of Trapani saltworks. </w:t>
      </w:r>
      <w:r w:rsidR="00CF3562">
        <w:t>Powders were characterized by</w:t>
      </w:r>
      <w:r w:rsidR="00E34FAF">
        <w:t xml:space="preserve"> cation purit</w:t>
      </w:r>
      <w:r w:rsidR="00FA3E1E">
        <w:t xml:space="preserve">y values </w:t>
      </w:r>
      <w:r w:rsidR="00E34FAF">
        <w:t>&gt;99</w:t>
      </w:r>
      <w:r w:rsidR="00FF1622">
        <w:t xml:space="preserve"> </w:t>
      </w:r>
      <w:r w:rsidR="00E34FAF">
        <w:t>% and mass purit</w:t>
      </w:r>
      <w:r w:rsidR="00FA3E1E">
        <w:t>ies</w:t>
      </w:r>
      <w:r w:rsidR="00E34FAF">
        <w:t xml:space="preserve"> &gt;95</w:t>
      </w:r>
      <w:r w:rsidR="00FF1622">
        <w:t xml:space="preserve"> </w:t>
      </w:r>
      <w:r w:rsidR="00CF3562">
        <w:t>%</w:t>
      </w:r>
      <w:r w:rsidR="00E34FAF">
        <w:t>.</w:t>
      </w:r>
      <w:r w:rsidR="00CF3562">
        <w:t xml:space="preserve"> These values reach </w:t>
      </w:r>
      <w:r w:rsidR="00615C23">
        <w:t>market</w:t>
      </w:r>
      <w:r w:rsidR="00CF3562">
        <w:t xml:space="preserve"> requirements for </w:t>
      </w:r>
      <w:r w:rsidR="000244DD">
        <w:t xml:space="preserve">commercial </w:t>
      </w:r>
      <w:r w:rsidR="00CF3562">
        <w:t>Mg(OH)</w:t>
      </w:r>
      <w:r w:rsidR="00CF3562" w:rsidRPr="00CF3562">
        <w:rPr>
          <w:vertAlign w:val="subscript"/>
        </w:rPr>
        <w:t>2</w:t>
      </w:r>
      <w:r w:rsidR="00CF3562">
        <w:t xml:space="preserve"> applications. </w:t>
      </w:r>
      <w:r w:rsidR="00007E7B">
        <w:t>In addition, Mg(OH)</w:t>
      </w:r>
      <w:r w:rsidR="00007E7B" w:rsidRPr="00007E7B">
        <w:rPr>
          <w:vertAlign w:val="subscript"/>
        </w:rPr>
        <w:t>2</w:t>
      </w:r>
      <w:r w:rsidR="00007E7B">
        <w:t xml:space="preserve"> n</w:t>
      </w:r>
      <w:r w:rsidR="00E34FAF">
        <w:t xml:space="preserve">anoparticles of pharmaceutical interest were </w:t>
      </w:r>
      <w:r w:rsidR="0026253B">
        <w:t xml:space="preserve">also </w:t>
      </w:r>
      <w:r w:rsidR="00E34FAF">
        <w:t xml:space="preserve">produced </w:t>
      </w:r>
      <w:r w:rsidR="00007E7B">
        <w:t xml:space="preserve">thanks to </w:t>
      </w:r>
      <w:r w:rsidR="0026253B">
        <w:t xml:space="preserve">the high mixing intensity attained in </w:t>
      </w:r>
      <w:r w:rsidR="00E801D0">
        <w:t>a</w:t>
      </w:r>
      <w:r w:rsidR="0026253B">
        <w:t xml:space="preserve"> </w:t>
      </w:r>
      <w:r w:rsidR="00E34FAF">
        <w:t xml:space="preserve">T-mixer </w:t>
      </w:r>
      <w:r w:rsidR="00E34FAF">
        <w:fldChar w:fldCharType="begin" w:fldLock="1"/>
      </w:r>
      <w:r w:rsidR="007B0833">
        <w:instrText>ADDIN CSL_CITATION {"citationItems":[{"id":"ITEM-1","itemData":{"DOI":"10.3303/CET2296008","ISBN":"9788895608952","ISSN":"22839216","abstract":"Magnesium hydroxide nanoparticles are widely employed in numerous industrial applications. Several preparation methods have been proposed using mainly synthetic Mg2+ containing solutions. In the present work, the possibility of producing Mg(OH)2nanoparticles from real bitterns, the by-product of sea salt production, is investigated. Bitterns are highly concentrated Mg2+ containing solutions whose exploitation can turn a waste into valuable products embracing the circular economy idea. Two bitterns collected from Galia and Margi saltworks of the district of Trapani (Italy) were studied. Galia and Margi bitterns had a 1 M and 2.5 M Mg2+ concentration, respectively. A 2 mm diameter circular-cross sectional T-mixer was adopted to ensure fast reactant mixing. NaOH solutions were employed as precipitant agents. Mg(OH)2 nanoparticles characterized by cationic and mass purity higher than 99 % and 90 %, respectively, were successfully produced when treating Galia bitterns, while the excessive Margi Mg2+ concentration yielded stronger micrometer Mg(OH)2agglomerates.","author":[{"dropping-particle":"","family":"Battaglia","given":"Giuseppe","non-dropping-particle":"","parse-names":false,"suffix":""},{"dropping-particle":"","family":"Domina","given":"Maria Alda","non-dropping-particle":"","parse-names":false,"suffix":""},{"dropping-particle":"","family":"Romano","given":"Salvatore","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Transactions","id":"ITEM-1","issued":{"date-parts":[["2022"]]},"page":"43-48","title":"Magnesium Hydroxide Nanoparticles Production from Natural Bitterns","type":"article-journal","volume":"96"},"uris":["http://www.mendeley.com/documents/?uuid=373b73c3-27a2-4b10-a288-98ba35ad8219"]}],"mendeley":{"formattedCitation":"(Giuseppe Battaglia et al., 2022)","plainTextFormattedCitation":"(Giuseppe Battaglia et al., 2022)","previouslyFormattedCitation":"&lt;sup&gt;9&lt;/sup&gt;"},"properties":{"noteIndex":0},"schema":"https://github.com/citation-style-language/schema/raw/master/csl-citation.json"}</w:instrText>
      </w:r>
      <w:r w:rsidR="00E34FAF">
        <w:fldChar w:fldCharType="separate"/>
      </w:r>
      <w:r w:rsidR="007B0833" w:rsidRPr="007B0833">
        <w:rPr>
          <w:noProof/>
        </w:rPr>
        <w:t>(Battaglia et al., 2022</w:t>
      </w:r>
      <w:r w:rsidR="00B63D55">
        <w:rPr>
          <w:noProof/>
        </w:rPr>
        <w:t>b</w:t>
      </w:r>
      <w:r w:rsidR="007B0833" w:rsidRPr="007B0833">
        <w:rPr>
          <w:noProof/>
        </w:rPr>
        <w:t>)</w:t>
      </w:r>
      <w:r w:rsidR="00E34FAF">
        <w:fldChar w:fldCharType="end"/>
      </w:r>
      <w:r w:rsidR="00E34FAF">
        <w:t>.</w:t>
      </w:r>
      <w:r w:rsidR="00705C0D">
        <w:t xml:space="preserve"> </w:t>
      </w:r>
    </w:p>
    <w:p w14:paraId="724FDD9D" w14:textId="5C784324" w:rsidR="00623966" w:rsidRPr="00727F76" w:rsidRDefault="00EA4E2D" w:rsidP="00727F76">
      <w:pPr>
        <w:rPr>
          <w:b/>
        </w:rPr>
      </w:pPr>
      <w:r w:rsidRPr="00FB346B">
        <w:t xml:space="preserve">The present work aims at </w:t>
      </w:r>
      <w:r w:rsidR="00E77BBF">
        <w:t>assessing,</w:t>
      </w:r>
      <w:r w:rsidRPr="00FB346B">
        <w:t xml:space="preserve"> </w:t>
      </w:r>
      <w:r w:rsidR="00365202">
        <w:t>for the first time</w:t>
      </w:r>
      <w:r w:rsidR="00E77BBF">
        <w:t>,</w:t>
      </w:r>
      <w:r w:rsidR="00365202">
        <w:t xml:space="preserve"> </w:t>
      </w:r>
      <w:r w:rsidRPr="00FB346B">
        <w:t xml:space="preserve">the </w:t>
      </w:r>
      <w:r w:rsidR="00995BA2" w:rsidRPr="00FB346B">
        <w:t>Mg(OH)</w:t>
      </w:r>
      <w:r w:rsidR="00995BA2" w:rsidRPr="00762429">
        <w:rPr>
          <w:vertAlign w:val="subscript"/>
        </w:rPr>
        <w:t>2</w:t>
      </w:r>
      <w:r w:rsidR="00995BA2">
        <w:rPr>
          <w:vertAlign w:val="subscript"/>
        </w:rPr>
        <w:t xml:space="preserve"> </w:t>
      </w:r>
      <w:r w:rsidR="00995BA2">
        <w:t xml:space="preserve">production </w:t>
      </w:r>
      <w:r w:rsidR="00B35944">
        <w:t>scale-up</w:t>
      </w:r>
      <w:r w:rsidR="00B35944" w:rsidRPr="00FB346B">
        <w:t xml:space="preserve"> </w:t>
      </w:r>
      <w:r w:rsidRPr="00FB346B">
        <w:t xml:space="preserve">from </w:t>
      </w:r>
      <w:r w:rsidR="00995BA2">
        <w:t>the</w:t>
      </w:r>
      <w:r w:rsidRPr="00FB346B">
        <w:t xml:space="preserve"> laboratory to the pilot scale</w:t>
      </w:r>
      <w:r w:rsidR="00030DFD">
        <w:t>,</w:t>
      </w:r>
      <w:r w:rsidRPr="00FB346B">
        <w:t xml:space="preserve"> </w:t>
      </w:r>
      <w:r w:rsidR="009B0965">
        <w:t>treating real saltworks bitterns. A</w:t>
      </w:r>
      <w:r w:rsidRPr="00FB346B">
        <w:t xml:space="preserve"> proprietary multi</w:t>
      </w:r>
      <w:r w:rsidRPr="00176B91">
        <w:rPr>
          <w:color w:val="00B050"/>
        </w:rPr>
        <w:t>-</w:t>
      </w:r>
      <w:r w:rsidR="007D1BC1" w:rsidRPr="00176B91">
        <w:rPr>
          <w:color w:val="00B050"/>
        </w:rPr>
        <w:t xml:space="preserve">feed plug </w:t>
      </w:r>
      <w:r w:rsidRPr="00FB346B">
        <w:t>flow reactor</w:t>
      </w:r>
      <w:r w:rsidR="004F4E7F">
        <w:t xml:space="preserve"> </w:t>
      </w:r>
      <w:r w:rsidRPr="00FB346B">
        <w:t>designed by ResourSEAs</w:t>
      </w:r>
      <w:r w:rsidR="005D7B6F">
        <w:t xml:space="preserve"> </w:t>
      </w:r>
      <w:r w:rsidR="005D7B6F" w:rsidRPr="00176B91">
        <w:rPr>
          <w:color w:val="00B050"/>
        </w:rPr>
        <w:t>(Palermo</w:t>
      </w:r>
      <w:r w:rsidR="004D2A22">
        <w:rPr>
          <w:color w:val="00B050"/>
        </w:rPr>
        <w:t>, Italy</w:t>
      </w:r>
      <w:r w:rsidR="005D7B6F" w:rsidRPr="00176B91">
        <w:rPr>
          <w:color w:val="00B050"/>
        </w:rPr>
        <w:t>)</w:t>
      </w:r>
      <w:r w:rsidR="00B77DFE" w:rsidRPr="00176B91">
        <w:rPr>
          <w:color w:val="00B050"/>
        </w:rPr>
        <w:t xml:space="preserve">, </w:t>
      </w:r>
      <w:r w:rsidR="00066960">
        <w:rPr>
          <w:color w:val="00B050"/>
        </w:rPr>
        <w:t xml:space="preserve">and </w:t>
      </w:r>
      <w:r w:rsidR="002A7B9B">
        <w:t xml:space="preserve">denominated </w:t>
      </w:r>
      <w:r w:rsidR="00B77DFE">
        <w:t>“</w:t>
      </w:r>
      <w:r w:rsidR="002A7B9B" w:rsidRPr="00C30A50">
        <w:rPr>
          <w:i/>
          <w:iCs/>
        </w:rPr>
        <w:t>Magnesium Crystal</w:t>
      </w:r>
      <w:r w:rsidR="00AA0B46">
        <w:rPr>
          <w:i/>
          <w:iCs/>
        </w:rPr>
        <w:t>s</w:t>
      </w:r>
      <w:r w:rsidR="002A7B9B" w:rsidRPr="00C30A50">
        <w:rPr>
          <w:i/>
          <w:iCs/>
        </w:rPr>
        <w:t xml:space="preserve"> Granulometry Controlled Reactor</w:t>
      </w:r>
      <w:r w:rsidR="00B77DFE">
        <w:t xml:space="preserve">”, </w:t>
      </w:r>
      <w:r w:rsidR="002A7B9B">
        <w:t>Mg-CGCR</w:t>
      </w:r>
      <w:r w:rsidR="00030DFD">
        <w:t>,</w:t>
      </w:r>
      <w:r w:rsidR="004662C2">
        <w:t xml:space="preserve"> was </w:t>
      </w:r>
      <w:r w:rsidR="00BC22D1">
        <w:t>employed</w:t>
      </w:r>
      <w:r w:rsidR="004274C6" w:rsidRPr="004274C6">
        <w:rPr>
          <w:color w:val="1F497D" w:themeColor="text2"/>
        </w:rPr>
        <w:t xml:space="preserve"> </w:t>
      </w:r>
      <w:r w:rsidR="004274C6" w:rsidRPr="00246134">
        <w:rPr>
          <w:color w:val="548DD4" w:themeColor="text2" w:themeTint="99"/>
        </w:rPr>
        <w:t>under different operating conditions</w:t>
      </w:r>
      <w:r w:rsidR="004662C2">
        <w:t>.</w:t>
      </w:r>
      <w:r w:rsidRPr="00EA4E2D">
        <w:rPr>
          <w:b/>
        </w:rPr>
        <w:t xml:space="preserve"> </w:t>
      </w:r>
      <w:r w:rsidR="00E332EF" w:rsidRPr="00E332EF">
        <w:rPr>
          <w:bCs/>
        </w:rPr>
        <w:t>Mg(OH)</w:t>
      </w:r>
      <w:r w:rsidR="00E332EF" w:rsidRPr="00E332EF">
        <w:rPr>
          <w:bCs/>
          <w:vertAlign w:val="subscript"/>
        </w:rPr>
        <w:t>2</w:t>
      </w:r>
      <w:r w:rsidR="00E332EF">
        <w:rPr>
          <w:bCs/>
          <w:vertAlign w:val="subscript"/>
        </w:rPr>
        <w:t xml:space="preserve"> </w:t>
      </w:r>
      <w:r w:rsidR="00E332EF">
        <w:rPr>
          <w:bCs/>
        </w:rPr>
        <w:t>production rates scale</w:t>
      </w:r>
      <w:r w:rsidR="00BC22D1">
        <w:rPr>
          <w:bCs/>
        </w:rPr>
        <w:t>d</w:t>
      </w:r>
      <w:r w:rsidR="00E332EF">
        <w:rPr>
          <w:bCs/>
        </w:rPr>
        <w:t xml:space="preserve"> from </w:t>
      </w:r>
      <w:r w:rsidR="00BC22D1">
        <w:rPr>
          <w:bCs/>
        </w:rPr>
        <w:t xml:space="preserve">a </w:t>
      </w:r>
      <w:r w:rsidR="00E332EF" w:rsidRPr="00176B91">
        <w:rPr>
          <w:bCs/>
          <w:color w:val="00B050"/>
        </w:rPr>
        <w:t xml:space="preserve">few </w:t>
      </w:r>
      <w:r w:rsidR="0041005A" w:rsidRPr="00176B91">
        <w:rPr>
          <w:bCs/>
          <w:color w:val="00B050"/>
        </w:rPr>
        <w:t xml:space="preserve">gram </w:t>
      </w:r>
      <w:r w:rsidR="00E332EF">
        <w:rPr>
          <w:bCs/>
        </w:rPr>
        <w:t>per hour (lab</w:t>
      </w:r>
      <w:r w:rsidR="00BC22D1">
        <w:rPr>
          <w:bCs/>
        </w:rPr>
        <w:t>oratory</w:t>
      </w:r>
      <w:r w:rsidR="00E332EF">
        <w:rPr>
          <w:bCs/>
        </w:rPr>
        <w:t xml:space="preserve"> scale) to </w:t>
      </w:r>
      <w:r w:rsidR="0041005A" w:rsidRPr="00176B91">
        <w:rPr>
          <w:bCs/>
          <w:color w:val="00B050"/>
        </w:rPr>
        <w:t>kilogram</w:t>
      </w:r>
      <w:r w:rsidR="00E332EF" w:rsidRPr="00176B91">
        <w:rPr>
          <w:bCs/>
          <w:color w:val="00B050"/>
        </w:rPr>
        <w:t xml:space="preserve"> per hour </w:t>
      </w:r>
      <w:r w:rsidR="00E332EF">
        <w:rPr>
          <w:bCs/>
        </w:rPr>
        <w:t xml:space="preserve">(pilot scale). </w:t>
      </w:r>
      <w:r w:rsidR="00D90B5A">
        <w:rPr>
          <w:bCs/>
        </w:rPr>
        <w:t xml:space="preserve">The </w:t>
      </w:r>
      <w:r w:rsidR="006E03C5">
        <w:rPr>
          <w:bCs/>
        </w:rPr>
        <w:t>exploitation of Mediterranean saltworks</w:t>
      </w:r>
      <w:r w:rsidR="00D90B5A">
        <w:rPr>
          <w:bCs/>
        </w:rPr>
        <w:t xml:space="preserve"> </w:t>
      </w:r>
      <w:r w:rsidR="008D0516">
        <w:rPr>
          <w:bCs/>
        </w:rPr>
        <w:t xml:space="preserve">bitterns </w:t>
      </w:r>
      <w:r w:rsidR="00D90B5A">
        <w:rPr>
          <w:bCs/>
        </w:rPr>
        <w:t xml:space="preserve">would be able to produce </w:t>
      </w:r>
      <w:r w:rsidR="00D90B5A">
        <w:t>~1.2 million tonnes of Mg(OH)</w:t>
      </w:r>
      <w:r w:rsidR="00D90B5A" w:rsidRPr="00D90B5A">
        <w:rPr>
          <w:vertAlign w:val="subscript"/>
        </w:rPr>
        <w:t>2</w:t>
      </w:r>
      <w:r w:rsidR="00D90B5A">
        <w:t xml:space="preserve"> per year covering 30 % of the Mg(OH)</w:t>
      </w:r>
      <w:r w:rsidR="00D90B5A" w:rsidRPr="00D90B5A">
        <w:rPr>
          <w:vertAlign w:val="subscript"/>
        </w:rPr>
        <w:t>2</w:t>
      </w:r>
      <w:r w:rsidR="00D90B5A">
        <w:t xml:space="preserve"> global demand.</w:t>
      </w:r>
      <w:r w:rsidR="00C22747">
        <w:t xml:space="preserve"> </w:t>
      </w:r>
      <w:r w:rsidR="006005FF" w:rsidRPr="006005FF">
        <w:rPr>
          <w:color w:val="4F81BD" w:themeColor="accent1"/>
        </w:rPr>
        <w:t>No mineral ore resources will be consumed, in contrast with typical Mg(OH)</w:t>
      </w:r>
      <w:r w:rsidR="006005FF" w:rsidRPr="006005FF">
        <w:rPr>
          <w:color w:val="4F81BD" w:themeColor="accent1"/>
          <w:vertAlign w:val="subscript"/>
        </w:rPr>
        <w:t xml:space="preserve">2 </w:t>
      </w:r>
      <w:r w:rsidR="006005FF" w:rsidRPr="006005FF">
        <w:rPr>
          <w:color w:val="4F81BD" w:themeColor="accent1"/>
        </w:rPr>
        <w:t>production processes. Furthermore, the flexibility of the Mg-CGCR prototype</w:t>
      </w:r>
      <w:r w:rsidR="004274C6">
        <w:rPr>
          <w:color w:val="4F81BD" w:themeColor="accent1"/>
        </w:rPr>
        <w:t xml:space="preserve"> is </w:t>
      </w:r>
      <w:r w:rsidR="006005FF">
        <w:rPr>
          <w:color w:val="4F81BD" w:themeColor="accent1"/>
        </w:rPr>
        <w:t xml:space="preserve">an innovative aspect that would overtake the use </w:t>
      </w:r>
      <w:r w:rsidR="006005FF" w:rsidRPr="007E723C">
        <w:rPr>
          <w:color w:val="4F81BD" w:themeColor="accent1"/>
        </w:rPr>
        <w:t>of classical stirred tank reac</w:t>
      </w:r>
      <w:r w:rsidR="006005FF">
        <w:rPr>
          <w:color w:val="4F81BD" w:themeColor="accent1"/>
        </w:rPr>
        <w:t>t</w:t>
      </w:r>
      <w:r w:rsidR="006005FF" w:rsidRPr="007E723C">
        <w:rPr>
          <w:color w:val="4F81BD" w:themeColor="accent1"/>
        </w:rPr>
        <w:t>ors</w:t>
      </w:r>
      <w:r w:rsidR="006005FF">
        <w:rPr>
          <w:color w:val="4F81BD" w:themeColor="accent1"/>
        </w:rPr>
        <w:t>.</w:t>
      </w:r>
      <w:r w:rsidR="00962AA5">
        <w:rPr>
          <w:color w:val="4F81BD" w:themeColor="accent1"/>
        </w:rPr>
        <w:t xml:space="preserve"> T</w:t>
      </w:r>
      <w:r w:rsidR="006005FF">
        <w:rPr>
          <w:color w:val="4F81BD" w:themeColor="accent1"/>
        </w:rPr>
        <w:t>he M</w:t>
      </w:r>
      <w:r w:rsidR="006005FF" w:rsidRPr="00F253B8">
        <w:rPr>
          <w:color w:val="4F81BD" w:themeColor="accent1"/>
        </w:rPr>
        <w:t xml:space="preserve">g-CGCR prototype </w:t>
      </w:r>
      <w:r w:rsidR="006005FF">
        <w:rPr>
          <w:color w:val="4F81BD" w:themeColor="accent1"/>
        </w:rPr>
        <w:t>is going to be re-adapted based on</w:t>
      </w:r>
      <w:r w:rsidR="006005FF" w:rsidRPr="00F253B8">
        <w:rPr>
          <w:color w:val="4F81BD" w:themeColor="accent1"/>
        </w:rPr>
        <w:t xml:space="preserve"> computational fluid dynamics simulations coupled with population balance equations </w:t>
      </w:r>
      <w:r w:rsidR="00D7062C">
        <w:rPr>
          <w:color w:val="4F81BD" w:themeColor="accent1"/>
        </w:rPr>
        <w:t>for precipitation description in</w:t>
      </w:r>
      <w:r w:rsidR="006005FF" w:rsidRPr="00F253B8">
        <w:rPr>
          <w:color w:val="4F81BD" w:themeColor="accent1"/>
        </w:rPr>
        <w:t xml:space="preserve"> the second phase of the SEArcularMINE project</w:t>
      </w:r>
      <w:r w:rsidR="006005FF">
        <w:rPr>
          <w:color w:val="4F81BD" w:themeColor="accent1"/>
        </w:rPr>
        <w:t>, a</w:t>
      </w:r>
      <w:r w:rsidR="006005FF" w:rsidRPr="00F253B8">
        <w:rPr>
          <w:color w:val="4F81BD" w:themeColor="accent1"/>
        </w:rPr>
        <w:t>im</w:t>
      </w:r>
      <w:r w:rsidR="006005FF">
        <w:rPr>
          <w:color w:val="4F81BD" w:themeColor="accent1"/>
        </w:rPr>
        <w:t xml:space="preserve">ing at </w:t>
      </w:r>
      <w:r w:rsidR="006005FF" w:rsidRPr="00F253B8">
        <w:rPr>
          <w:color w:val="4F81BD" w:themeColor="accent1"/>
        </w:rPr>
        <w:t xml:space="preserve">producing </w:t>
      </w:r>
      <w:r w:rsidR="006005FF">
        <w:rPr>
          <w:color w:val="4F81BD" w:themeColor="accent1"/>
        </w:rPr>
        <w:t>different Mg(OH)</w:t>
      </w:r>
      <w:r w:rsidR="006005FF" w:rsidRPr="007E723C">
        <w:rPr>
          <w:color w:val="4F81BD" w:themeColor="accent1"/>
          <w:vertAlign w:val="subscript"/>
        </w:rPr>
        <w:t>2</w:t>
      </w:r>
      <w:r w:rsidR="006005FF">
        <w:rPr>
          <w:color w:val="4F81BD" w:themeColor="accent1"/>
        </w:rPr>
        <w:t xml:space="preserve"> </w:t>
      </w:r>
      <w:r w:rsidR="006005FF" w:rsidRPr="00F253B8">
        <w:rPr>
          <w:color w:val="4F81BD" w:themeColor="accent1"/>
        </w:rPr>
        <w:t>products</w:t>
      </w:r>
      <w:r w:rsidR="006005FF">
        <w:rPr>
          <w:color w:val="4F81BD" w:themeColor="accent1"/>
        </w:rPr>
        <w:t xml:space="preserve">, whose characteristics will </w:t>
      </w:r>
      <w:r w:rsidR="006005FF" w:rsidRPr="007E723C">
        <w:rPr>
          <w:color w:val="4F81BD" w:themeColor="accent1"/>
        </w:rPr>
        <w:t xml:space="preserve">comply with </w:t>
      </w:r>
      <w:r w:rsidR="006005FF">
        <w:rPr>
          <w:color w:val="4F81BD" w:themeColor="accent1"/>
        </w:rPr>
        <w:t xml:space="preserve">several </w:t>
      </w:r>
      <w:r w:rsidR="006005FF" w:rsidRPr="007E723C">
        <w:rPr>
          <w:color w:val="4F81BD" w:themeColor="accent1"/>
        </w:rPr>
        <w:t>market sectors</w:t>
      </w:r>
      <w:r w:rsidR="006005FF">
        <w:rPr>
          <w:color w:val="4F81BD" w:themeColor="accent1"/>
        </w:rPr>
        <w:t>.</w:t>
      </w:r>
    </w:p>
    <w:p w14:paraId="39524BB8" w14:textId="729C8E35" w:rsidR="00E30CA8" w:rsidRPr="00E30CA8" w:rsidRDefault="00456635" w:rsidP="00E30CA8">
      <w:pPr>
        <w:pStyle w:val="CETHeading1"/>
      </w:pPr>
      <w:r>
        <w:t>Material and methods</w:t>
      </w:r>
    </w:p>
    <w:p w14:paraId="715C9761" w14:textId="04731E67" w:rsidR="00600E05" w:rsidRDefault="0096544C" w:rsidP="008E0713">
      <w:pPr>
        <w:pStyle w:val="CETBodytext"/>
      </w:pPr>
      <w:r>
        <w:t>Saltworks bitterns are highly concentrated solutions</w:t>
      </w:r>
      <w:r w:rsidR="00B42A68">
        <w:t xml:space="preserve"> in numerous chemical elements </w:t>
      </w:r>
      <w:r w:rsidR="00B42A68">
        <w:rPr>
          <w:rStyle w:val="Rimandonotaapidipagina"/>
        </w:rPr>
        <w:fldChar w:fldCharType="begin" w:fldLock="1"/>
      </w:r>
      <w:r w:rsidR="007B0833">
        <w:instrText>ADDIN CSL_CITATION {"citationItems":[{"id":"ITEM-1","itemData":{"DOI":"10.1016/j.scitotenv.2022.157544","ISSN":"18791026","PMID":"35878854","abstract":"Seawater represents a potential resource for raw materials extraction. Although NaCl is the most representative mineral extracted other valuable compounds such as Mg, Li, Sr, Rb and B and elements at trace level (Cs, Co, In, Sc, Ga and Ge) are also contained in this “liquid mine”. Most of them are considered as Critical Raw Materials by the European Union. Solar saltworks, providing concentration factors of up-to 20 to 40, offer a perfect platform for the development of minerals and metal recovery schemes taking benefit of the concentration and purification achieved along the evaporation saltwork ponds. However, the geochemistry of these elements in this environment has not been yet thoroughly evaluated. Their knowledge could enable the deployment of technologies capable to achieve the recovery of valuable minerals. The high ionic strengths expected (0.5–7 mol/kg) and the chemical complexity of the solutions imply that only numerical geochemical codes, as PHREEQC, and the use of Pitzer model to estimate the activity coefficients of the different species in solution can be adopted to provide valuable description of the systems. In the present work, for the first time, PHREEQC Pitzer code database was extended to include the target minor and trace elements using Trapani saltworks (Sicily, Italy) as a case study system. The model was able to predict: i) the purity in halite and the major impurities contained, mainly Ca, Mg and sulphate species; ii) the fate of minor components as B, Sr, Cs, Co, Ge and Ga along the evaporation ponds. The results obtained pose a fundamental step in critical raw materials mining from seawater brine, for process intensification and combination with desalination.","author":[{"dropping-particle":"","family":"Vicari","given":"F.","non-dropping-particle":"","parse-names":false,"suffix":""},{"dropping-particle":"","family":"Randazzo","given":"S.","non-dropping-particle":"","parse-names":false,"suffix":""},{"dropping-particle":"","family":"López","given":"J.","non-dropping-particle":"","parse-names":false,"suffix":""},{"dropping-particle":"","family":"Fernández de Labastida","given":"M.","non-dropping-particle":"","parse-names":false,"suffix":""},{"dropping-particle":"","family":"Vallès","given":"V.","non-dropping-particle":"","parse-names":false,"suffix":""},{"dropping-particle":"","family":"Micale","given":"G.","non-dropping-particle":"","parse-names":false,"suffix":""},{"dropping-particle":"","family":"Tamburini","given":"A.","non-dropping-particle":"","parse-names":false,"suffix":""},{"dropping-particle":"","family":"D'Alì Staiti","given":"G.","non-dropping-particle":"","parse-names":false,"suffix":""},{"dropping-particle":"","family":"Cortina","given":"J. L.","non-dropping-particle":"","parse-names":false,"suffix":""},{"dropping-particle":"","family":"Cipollina","given":"A.","non-dropping-particle":"","parse-names":false,"suffix":""}],"container-title":"Science of the Total Environment","id":"ITEM-1","issued":{"date-parts":[["2022","11","15"]]},"publisher":"Elsevier B.V.","title":"Mining minerals and critical raw materials from bittern: Understanding metal ions fate in saltwork ponds","type":"article-journal","volume":"847"},"uris":["http://www.mendeley.com/documents/?uuid=7251b1f2-9e8a-30f3-aab4-e22b3436fc3f"]}],"mendeley":{"formattedCitation":"(Vicari et al., 2022)","plainTextFormattedCitation":"(Vicari et al., 2022)","previouslyFormattedCitation":"&lt;sup&gt;10&lt;/sup&gt;"},"properties":{"noteIndex":0},"schema":"https://github.com/citation-style-language/schema/raw/master/csl-citation.json"}</w:instrText>
      </w:r>
      <w:r w:rsidR="00B42A68">
        <w:rPr>
          <w:rStyle w:val="Rimandonotaapidipagina"/>
        </w:rPr>
        <w:fldChar w:fldCharType="separate"/>
      </w:r>
      <w:r w:rsidR="007B0833" w:rsidRPr="007B0833">
        <w:rPr>
          <w:noProof/>
        </w:rPr>
        <w:t>(Vicari et al., 2022)</w:t>
      </w:r>
      <w:r w:rsidR="00B42A68">
        <w:rPr>
          <w:rStyle w:val="Rimandonotaapidipagina"/>
        </w:rPr>
        <w:fldChar w:fldCharType="end"/>
      </w:r>
      <w:r>
        <w:t xml:space="preserve">. </w:t>
      </w:r>
      <w:r w:rsidR="00AC0EA8">
        <w:t xml:space="preserve">In bitterns, </w:t>
      </w:r>
      <w:r w:rsidR="00F615B8">
        <w:t>Mg</w:t>
      </w:r>
      <w:r w:rsidR="00F615B8" w:rsidRPr="00F615B8">
        <w:rPr>
          <w:vertAlign w:val="superscript"/>
        </w:rPr>
        <w:t>2+</w:t>
      </w:r>
      <w:r w:rsidR="00F615B8">
        <w:t xml:space="preserve"> concentration </w:t>
      </w:r>
      <w:r>
        <w:t xml:space="preserve">can reach values </w:t>
      </w:r>
      <w:r w:rsidR="00F615B8">
        <w:t xml:space="preserve">up to 20-60 times </w:t>
      </w:r>
      <w:r w:rsidR="0001154D">
        <w:t>that</w:t>
      </w:r>
      <w:r w:rsidR="006E46E7">
        <w:t xml:space="preserve"> </w:t>
      </w:r>
      <w:r w:rsidR="00F615B8">
        <w:t>in seawater. In the present work, the bittern collected from the Margi saltwork located in Trapani, Italy, was chosen as a potential Mg</w:t>
      </w:r>
      <w:r w:rsidR="00F615B8" w:rsidRPr="00F615B8">
        <w:rPr>
          <w:vertAlign w:val="superscript"/>
        </w:rPr>
        <w:t>2+</w:t>
      </w:r>
      <w:r w:rsidR="00F615B8">
        <w:t xml:space="preserve"> source. </w:t>
      </w:r>
      <w:r w:rsidR="009038C6">
        <w:t>Mg</w:t>
      </w:r>
      <w:r w:rsidR="009038C6" w:rsidRPr="009038C6">
        <w:rPr>
          <w:vertAlign w:val="superscript"/>
        </w:rPr>
        <w:t>2+</w:t>
      </w:r>
      <w:r w:rsidR="009038C6">
        <w:rPr>
          <w:vertAlign w:val="superscript"/>
        </w:rPr>
        <w:t xml:space="preserve"> </w:t>
      </w:r>
      <w:r w:rsidR="009359D8">
        <w:t>concentration</w:t>
      </w:r>
      <w:r w:rsidR="00F615B8">
        <w:t xml:space="preserve"> </w:t>
      </w:r>
      <w:r w:rsidR="00B42EE5">
        <w:t xml:space="preserve">of </w:t>
      </w:r>
      <w:r w:rsidR="00D1588F">
        <w:t xml:space="preserve">the </w:t>
      </w:r>
      <w:r w:rsidR="00B42EE5">
        <w:t xml:space="preserve">Margi bittern </w:t>
      </w:r>
      <w:r w:rsidR="00777F8E">
        <w:t>is reported</w:t>
      </w:r>
      <w:r w:rsidR="00F615B8">
        <w:t xml:space="preserve"> in </w:t>
      </w:r>
      <w:r w:rsidR="00F615B8">
        <w:fldChar w:fldCharType="begin"/>
      </w:r>
      <w:r w:rsidR="00F615B8">
        <w:instrText xml:space="preserve"> REF _Ref129531383 \h </w:instrText>
      </w:r>
      <w:r w:rsidR="00F615B8">
        <w:fldChar w:fldCharType="separate"/>
      </w:r>
      <w:r w:rsidR="00142505">
        <w:t xml:space="preserve">Table </w:t>
      </w:r>
      <w:r w:rsidR="00142505">
        <w:rPr>
          <w:noProof/>
        </w:rPr>
        <w:t>1</w:t>
      </w:r>
      <w:r w:rsidR="00F615B8">
        <w:fldChar w:fldCharType="end"/>
      </w:r>
      <w:r w:rsidR="009359D8">
        <w:t xml:space="preserve">. </w:t>
      </w:r>
    </w:p>
    <w:p w14:paraId="30453F75" w14:textId="0DE0E2CA" w:rsidR="006A4BAC" w:rsidRDefault="00600E05" w:rsidP="008E0713">
      <w:pPr>
        <w:pStyle w:val="CETBodytext"/>
      </w:pPr>
      <w:r>
        <w:t>In the process,</w:t>
      </w:r>
      <w:r w:rsidR="008D31A3">
        <w:t xml:space="preserve"> Mg</w:t>
      </w:r>
      <w:r w:rsidR="00800FAD">
        <w:rPr>
          <w:vertAlign w:val="superscript"/>
        </w:rPr>
        <w:t xml:space="preserve"> </w:t>
      </w:r>
      <w:r w:rsidR="00800FAD">
        <w:t xml:space="preserve">ions react with </w:t>
      </w:r>
      <w:r w:rsidR="002B20F9">
        <w:t xml:space="preserve">hydroxyl </w:t>
      </w:r>
      <w:r w:rsidR="00800FAD">
        <w:t>ones</w:t>
      </w:r>
      <w:r w:rsidR="002B20F9">
        <w:t>,</w:t>
      </w:r>
      <w:r w:rsidR="008D31A3">
        <w:t xml:space="preserve"> OH</w:t>
      </w:r>
      <w:r w:rsidR="008D31A3" w:rsidRPr="008D31A3">
        <w:rPr>
          <w:vertAlign w:val="superscript"/>
        </w:rPr>
        <w:t>-</w:t>
      </w:r>
      <w:r w:rsidR="00BD6848">
        <w:t xml:space="preserve">, </w:t>
      </w:r>
      <w:r w:rsidR="008D31A3">
        <w:t xml:space="preserve">provided </w:t>
      </w:r>
      <w:r w:rsidR="00F07347">
        <w:t xml:space="preserve">here </w:t>
      </w:r>
      <w:r w:rsidR="00BD6848">
        <w:t xml:space="preserve">by </w:t>
      </w:r>
      <w:r w:rsidR="008D31A3">
        <w:t>synthetic NaOH solutions</w:t>
      </w:r>
      <w:r w:rsidR="00BD6848">
        <w:t xml:space="preserve">: </w:t>
      </w:r>
    </w:p>
    <w:tbl>
      <w:tblPr>
        <w:tblW w:w="5000" w:type="pct"/>
        <w:tblLook w:val="04A0" w:firstRow="1" w:lastRow="0" w:firstColumn="1" w:lastColumn="0" w:noHBand="0" w:noVBand="1"/>
      </w:tblPr>
      <w:tblGrid>
        <w:gridCol w:w="7983"/>
        <w:gridCol w:w="804"/>
      </w:tblGrid>
      <w:tr w:rsidR="00405068" w:rsidRPr="00B57B36" w14:paraId="253C0C6D" w14:textId="77777777" w:rsidTr="00C23048">
        <w:tc>
          <w:tcPr>
            <w:tcW w:w="8188" w:type="dxa"/>
            <w:shd w:val="clear" w:color="auto" w:fill="auto"/>
            <w:vAlign w:val="center"/>
          </w:tcPr>
          <w:p w14:paraId="2A374E49" w14:textId="633FFEE9" w:rsidR="00405068" w:rsidRPr="00176B91" w:rsidRDefault="00000000" w:rsidP="00C23048">
            <w:pPr>
              <w:pStyle w:val="CETEquation"/>
              <w:rPr>
                <w:iCs/>
              </w:rPr>
            </w:pPr>
            <m:oMathPara>
              <m:oMath>
                <m:sSup>
                  <m:sSupPr>
                    <m:ctrlPr>
                      <w:rPr>
                        <w:rFonts w:ascii="Cambria Math" w:hAnsi="Cambria Math"/>
                        <w:iCs/>
                      </w:rPr>
                    </m:ctrlPr>
                  </m:sSupPr>
                  <m:e>
                    <m:r>
                      <m:rPr>
                        <m:sty m:val="p"/>
                      </m:rPr>
                      <w:rPr>
                        <w:rFonts w:ascii="Cambria Math" w:hAnsi="Cambria Math"/>
                      </w:rPr>
                      <m:t>Mg</m:t>
                    </m:r>
                  </m:e>
                  <m:sup>
                    <m:r>
                      <m:rPr>
                        <m:sty m:val="p"/>
                      </m:rPr>
                      <w:rPr>
                        <w:rFonts w:ascii="Cambria Math" w:hAnsi="Cambria Math"/>
                      </w:rPr>
                      <m:t>2+</m:t>
                    </m:r>
                  </m:sup>
                </m:sSup>
                <m:r>
                  <m:rPr>
                    <m:sty m:val="p"/>
                  </m:rPr>
                  <w:rPr>
                    <w:rFonts w:ascii="Cambria Math" w:hAnsi="Cambria Math"/>
                  </w:rPr>
                  <m:t>+2NaOH= Mg(OH</m:t>
                </m:r>
                <m:sSub>
                  <m:sSubPr>
                    <m:ctrlPr>
                      <w:rPr>
                        <w:rFonts w:ascii="Cambria Math" w:hAnsi="Cambria Math"/>
                        <w:iCs/>
                      </w:rPr>
                    </m:ctrlPr>
                  </m:sSubPr>
                  <m:e>
                    <m:r>
                      <m:rPr>
                        <m:sty m:val="p"/>
                      </m:rPr>
                      <w:rPr>
                        <w:rFonts w:ascii="Cambria Math" w:hAnsi="Cambria Math"/>
                      </w:rPr>
                      <m:t>)</m:t>
                    </m:r>
                  </m:e>
                  <m:sub>
                    <m:r>
                      <m:rPr>
                        <m:sty m:val="p"/>
                      </m:rPr>
                      <w:rPr>
                        <w:rFonts w:ascii="Cambria Math" w:hAnsi="Cambria Math"/>
                      </w:rPr>
                      <m:t>2</m:t>
                    </m:r>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Na</m:t>
                    </m:r>
                  </m:e>
                  <m:sup>
                    <m:r>
                      <w:rPr>
                        <w:rFonts w:ascii="Cambria Math" w:hAnsi="Cambria Math"/>
                      </w:rPr>
                      <m:t>+</m:t>
                    </m:r>
                  </m:sup>
                </m:sSup>
              </m:oMath>
            </m:oMathPara>
          </w:p>
        </w:tc>
        <w:tc>
          <w:tcPr>
            <w:tcW w:w="815" w:type="dxa"/>
            <w:shd w:val="clear" w:color="auto" w:fill="auto"/>
            <w:vAlign w:val="center"/>
          </w:tcPr>
          <w:p w14:paraId="26C31652" w14:textId="3542B177" w:rsidR="00405068" w:rsidRPr="00B57B36" w:rsidRDefault="00405068" w:rsidP="00C23048">
            <w:pPr>
              <w:pStyle w:val="CETEquation"/>
              <w:jc w:val="right"/>
            </w:pPr>
            <w:r w:rsidRPr="00B57B36">
              <w:t>(</w:t>
            </w:r>
            <w:r>
              <w:t>1</w:t>
            </w:r>
            <w:r w:rsidRPr="00B57B36">
              <w:t>)</w:t>
            </w:r>
          </w:p>
        </w:tc>
      </w:tr>
    </w:tbl>
    <w:p w14:paraId="094153C4" w14:textId="528702CF" w:rsidR="00405068" w:rsidRDefault="00405068" w:rsidP="008E0713">
      <w:pPr>
        <w:pStyle w:val="CETBodytext"/>
      </w:pPr>
    </w:p>
    <w:p w14:paraId="424CD777" w14:textId="0ADB1992" w:rsidR="00817B5A" w:rsidRDefault="00BD6848" w:rsidP="00817B5A">
      <w:pPr>
        <w:pStyle w:val="CETBodytext"/>
      </w:pPr>
      <w:r>
        <w:t>NaOH solutions were prepared by dissolving NaOH pellets (</w:t>
      </w:r>
      <w:r w:rsidR="00787361">
        <w:t>Inovyn,</w:t>
      </w:r>
      <w:r w:rsidR="00787361" w:rsidRPr="00787361">
        <w:t xml:space="preserve"> technical </w:t>
      </w:r>
      <w:r w:rsidR="00D01272" w:rsidRPr="00787361">
        <w:t>grade</w:t>
      </w:r>
      <w:r w:rsidR="00D01272">
        <w:t>)</w:t>
      </w:r>
      <w:r>
        <w:t xml:space="preserve"> in softe</w:t>
      </w:r>
      <w:r w:rsidR="008E1DC4">
        <w:t>ned</w:t>
      </w:r>
      <w:r>
        <w:t xml:space="preserve"> tap water. The softening process was aimed at removing any bivalent ions, i.e. Mg</w:t>
      </w:r>
      <w:r w:rsidRPr="003353F0">
        <w:rPr>
          <w:vertAlign w:val="superscript"/>
        </w:rPr>
        <w:t>2+</w:t>
      </w:r>
      <w:r>
        <w:t xml:space="preserve"> and Ca</w:t>
      </w:r>
      <w:r w:rsidRPr="003353F0">
        <w:rPr>
          <w:vertAlign w:val="superscript"/>
        </w:rPr>
        <w:t>2+</w:t>
      </w:r>
      <w:r>
        <w:t>, that would falsify experimental results.</w:t>
      </w:r>
      <w:r w:rsidR="00787361">
        <w:t xml:space="preserve"> </w:t>
      </w:r>
      <w:r w:rsidR="00E67F23">
        <w:t>Mg(OH)</w:t>
      </w:r>
      <w:r w:rsidR="00E67F23" w:rsidRPr="00E67F23">
        <w:rPr>
          <w:vertAlign w:val="subscript"/>
        </w:rPr>
        <w:t>2</w:t>
      </w:r>
      <w:r w:rsidR="00E67F23">
        <w:t xml:space="preserve"> precipitation occurred in </w:t>
      </w:r>
      <w:r w:rsidR="00CA4307">
        <w:t>the</w:t>
      </w:r>
      <w:r w:rsidR="00E67F23">
        <w:t xml:space="preserve"> </w:t>
      </w:r>
      <w:r w:rsidR="008D31A3">
        <w:t xml:space="preserve">innovative </w:t>
      </w:r>
      <w:r w:rsidR="00CA4307">
        <w:t xml:space="preserve">Mg-CGCR </w:t>
      </w:r>
      <w:r w:rsidR="008D31A3">
        <w:t xml:space="preserve">tubular multiple feed plug flow </w:t>
      </w:r>
      <w:r w:rsidR="00A31F23">
        <w:t xml:space="preserve">pilot scale </w:t>
      </w:r>
      <w:r w:rsidR="008D31A3">
        <w:t>reactor</w:t>
      </w:r>
      <w:r w:rsidR="00E67F23">
        <w:t xml:space="preserve">. </w:t>
      </w:r>
      <w:r w:rsidR="00817B5A">
        <w:t xml:space="preserve">The Mg-CGCR is made of two adjacent volumes where </w:t>
      </w:r>
      <w:r w:rsidR="00646B83">
        <w:t xml:space="preserve">the </w:t>
      </w:r>
      <w:r w:rsidR="00817B5A">
        <w:t>bittern and NaOH solutions flow. The bittern is injected into the NaOH compartment through multiple nozzles to guarantee a well</w:t>
      </w:r>
      <w:r w:rsidR="00646B83">
        <w:t>-</w:t>
      </w:r>
      <w:r w:rsidR="00817B5A">
        <w:t xml:space="preserve">supersaturation homogenization all over the reactor volume. </w:t>
      </w:r>
      <w:r w:rsidR="00646B83">
        <w:t xml:space="preserve">The </w:t>
      </w:r>
      <w:r w:rsidR="00817B5A">
        <w:t>Mg(OH)</w:t>
      </w:r>
      <w:r w:rsidR="00817B5A" w:rsidRPr="004C62EF">
        <w:rPr>
          <w:vertAlign w:val="subscript"/>
        </w:rPr>
        <w:t>2</w:t>
      </w:r>
      <w:r w:rsidR="00817B5A">
        <w:t xml:space="preserve"> suspension exiting the reactor is partially mixed with fresh alkaline solution and recycled back to the inlet section of </w:t>
      </w:r>
      <w:r w:rsidR="00817B5A" w:rsidRPr="0021457A">
        <w:t>the reactor. The recycl</w:t>
      </w:r>
      <w:r w:rsidR="00AC752C" w:rsidRPr="0021457A">
        <w:t>ing</w:t>
      </w:r>
      <w:r w:rsidR="00817B5A" w:rsidRPr="0021457A">
        <w:t xml:space="preserve"> strategy has been reported to induce a seeded Mg(OH)</w:t>
      </w:r>
      <w:r w:rsidR="00817B5A" w:rsidRPr="0021457A">
        <w:rPr>
          <w:vertAlign w:val="subscript"/>
        </w:rPr>
        <w:t>2</w:t>
      </w:r>
      <w:r w:rsidR="00817B5A" w:rsidRPr="0021457A">
        <w:t xml:space="preserve"> precipitation and promote a total conversion of Mg ions. A whole description of </w:t>
      </w:r>
      <w:r w:rsidR="00117EB5" w:rsidRPr="0021457A">
        <w:t xml:space="preserve">the </w:t>
      </w:r>
      <w:r w:rsidR="00817B5A" w:rsidRPr="0021457A">
        <w:t xml:space="preserve">employed pilot plant was presented by Morgante et al. </w:t>
      </w:r>
      <w:r w:rsidR="00607655" w:rsidRPr="0021457A">
        <w:rPr>
          <w:rStyle w:val="Rimandonotaapidipagina"/>
        </w:rPr>
        <w:fldChar w:fldCharType="begin" w:fldLock="1"/>
      </w:r>
      <w:r w:rsidR="0021457A">
        <w:instrText>ADDIN CSL_CITATION {"citationItems":[{"id":"ITEM-1","itemData":{"DOI":"10.1021/acs.iecr.2c02935","ISSN":"15205045","abstract":"The continuous depletion of minerals caused by land mining and the increase in their demand have pushed the development of novel sustainable technological processes for mineral recovery from unconventional sources. In this context, magnesium (Mg) has gained considerable attention for its peculiar properties and high relevance of its compounds, such as magnesium hydroxide, Mg(OH)2. In the present work, the influence of several operating conditions on the Mg(OH)2 precipitation process was thoroughly investigated by adopting a novel multiple feed-plug flow reactor. The influence of (i) initial Mg2+ concentrations in the feed stream; (ii) brine and alkaline flow rates; and (iii) the product recycling strategy (seeded crystallization) was considered. The results marked the possibility of improving sedimentation and filterability properties of Mg(OH)2 suspensions by adopting the recycling strategy to overcome industrial issues associated with the production of Mg(OH)2 suspensions using NaOH solutions.","author":[{"dropping-particle":"","family":"Morgante","given":"Carmelo","non-dropping-particle":"","parse-names":false,"suffix":""},{"dropping-particle":"","family":"Vassallo","given":"Fabrizio","non-dropping-particle":"","parse-names":false,"suffix":""},{"dropping-particle":"","family":"Battaglia","given":"Giuseppe","non-dropping-particle":"","parse-names":false,"suffix":""},{"dropping-particle":"","family":"Cipollina","given":"Andrea","non-dropping-particle":"","parse-names":false,"suffix":""},{"dropping-particle":"","family":"Vicari","given":"Fabrizio","non-dropping-particle":"","parse-names":false,"suffix":""},{"dropping-particle":"","family":"Tamburini","given":"Alessandro","non-dropping-particle":"","parse-names":false,"suffix":""},{"dropping-particle":"","family":"Micale","given":"Giorgio","non-dropping-particle":"","parse-names":false,"suffix":""}],"container-title":"Industrial and Engineering Chemistry Research","id":"ITEM-1","issue":"41","issued":{"date-parts":[["2022"]]},"title":"Influence of Operational Strategies for the Recovery of Magnesium Hydroxide from Brines at a Pilot Scale","type":"article-journal","volume":"61"},"uris":["http://www.mendeley.com/documents/?uuid=21e624e2-0100-483c-9118-3fbf71d46e0c"]}],"mendeley":{"formattedCitation":"(Morgante et al., 2022)","manualFormatting":"(2022)","plainTextFormattedCitation":"(Morgante et al., 2022)","previouslyFormattedCitation":"&lt;sup&gt;8&lt;/sup&gt;"},"properties":{"noteIndex":0},"schema":"https://github.com/citation-style-language/schema/raw/master/csl-citation.json"}</w:instrText>
      </w:r>
      <w:r w:rsidR="00607655" w:rsidRPr="0021457A">
        <w:rPr>
          <w:rStyle w:val="Rimandonotaapidipagina"/>
        </w:rPr>
        <w:fldChar w:fldCharType="separate"/>
      </w:r>
      <w:r w:rsidR="007B0833" w:rsidRPr="0021457A">
        <w:rPr>
          <w:noProof/>
        </w:rPr>
        <w:t>(2022)</w:t>
      </w:r>
      <w:r w:rsidR="00607655" w:rsidRPr="0021457A">
        <w:rPr>
          <w:rStyle w:val="Rimandonotaapidipagina"/>
        </w:rPr>
        <w:fldChar w:fldCharType="end"/>
      </w:r>
      <w:r w:rsidR="00817B5A" w:rsidRPr="0021457A">
        <w:t>.</w:t>
      </w:r>
      <w:r w:rsidR="00817B5A">
        <w:t xml:space="preserve"> </w:t>
      </w:r>
    </w:p>
    <w:p w14:paraId="2B2C90FF" w14:textId="77777777" w:rsidR="005D360B" w:rsidRDefault="005D360B" w:rsidP="00817B5A">
      <w:pPr>
        <w:pStyle w:val="CETBodytext"/>
      </w:pPr>
    </w:p>
    <w:p w14:paraId="50D1FA3E" w14:textId="709A609D" w:rsidR="00E30CA8" w:rsidRDefault="00B878F6" w:rsidP="00E30CA8">
      <w:pPr>
        <w:pStyle w:val="CETheadingx"/>
      </w:pPr>
      <w:r>
        <w:t>Experimental tests</w:t>
      </w:r>
    </w:p>
    <w:p w14:paraId="09CFA6BC" w14:textId="1EA15C91" w:rsidR="008F780A" w:rsidRPr="008F780A" w:rsidRDefault="008F780A" w:rsidP="002E6354">
      <w:pPr>
        <w:pStyle w:val="CETBodytext"/>
      </w:pPr>
      <w:r>
        <w:t>The influence of</w:t>
      </w:r>
      <w:r w:rsidR="00044D39">
        <w:t xml:space="preserve"> (i)</w:t>
      </w:r>
      <w:r>
        <w:t xml:space="preserve"> bittern flow rate</w:t>
      </w:r>
      <w:r w:rsidR="008D6E33">
        <w:t>s</w:t>
      </w:r>
      <w:r w:rsidR="00044D39">
        <w:t xml:space="preserve"> (Cases #1 and #2)</w:t>
      </w:r>
      <w:r>
        <w:t xml:space="preserve">, </w:t>
      </w:r>
      <w:r w:rsidR="00044D39">
        <w:t xml:space="preserve">(ii) </w:t>
      </w:r>
      <w:r>
        <w:t>NaOH concentration</w:t>
      </w:r>
      <w:r w:rsidR="00C7770E">
        <w:t>s</w:t>
      </w:r>
      <w:r>
        <w:t xml:space="preserve"> </w:t>
      </w:r>
      <w:r w:rsidR="00044D39">
        <w:t xml:space="preserve">(Cases #1 and #3) </w:t>
      </w:r>
      <w:r>
        <w:t xml:space="preserve">and </w:t>
      </w:r>
      <w:r w:rsidR="00044D39">
        <w:t xml:space="preserve">(iii) the </w:t>
      </w:r>
      <w:r w:rsidR="00C7770E">
        <w:t xml:space="preserve">final </w:t>
      </w:r>
      <w:r>
        <w:t>suspension pH</w:t>
      </w:r>
      <w:r w:rsidR="00044D39">
        <w:t xml:space="preserve"> </w:t>
      </w:r>
      <w:r w:rsidR="00C7770E">
        <w:t xml:space="preserve">values </w:t>
      </w:r>
      <w:r w:rsidR="00044D39">
        <w:t>(Cases #a-b)</w:t>
      </w:r>
      <w:r>
        <w:t xml:space="preserve"> </w:t>
      </w:r>
      <w:r w:rsidR="00044D39">
        <w:t>was</w:t>
      </w:r>
      <w:r>
        <w:t xml:space="preserve"> </w:t>
      </w:r>
      <w:r w:rsidR="00044D39">
        <w:t>examined on the sedimentation, filterability and purity of the produced Mg(OH)</w:t>
      </w:r>
      <w:r w:rsidR="00044D39" w:rsidRPr="00044D39">
        <w:rPr>
          <w:vertAlign w:val="subscript"/>
        </w:rPr>
        <w:t>2</w:t>
      </w:r>
      <w:r w:rsidR="00044D39">
        <w:t xml:space="preserve"> suspension</w:t>
      </w:r>
      <w:r w:rsidR="0069731B">
        <w:t>s</w:t>
      </w:r>
      <w:r w:rsidR="00044D39">
        <w:t xml:space="preserve"> and powders</w:t>
      </w:r>
      <w:r w:rsidR="00C7770E">
        <w:t>.</w:t>
      </w:r>
    </w:p>
    <w:p w14:paraId="5D34E36F" w14:textId="0F88EB3A" w:rsidR="00222FB1" w:rsidRPr="00CB727C" w:rsidRDefault="00CE4BDB" w:rsidP="008E0713">
      <w:pPr>
        <w:pStyle w:val="CETBodytext"/>
      </w:pPr>
      <w:r>
        <w:t xml:space="preserve">Table 1 </w:t>
      </w:r>
      <w:r w:rsidR="00910E17">
        <w:t>lists</w:t>
      </w:r>
      <w:r w:rsidR="00685E62">
        <w:t xml:space="preserve"> concentrations and flow rates of the </w:t>
      </w:r>
      <w:r w:rsidR="00910E17">
        <w:t>Ma</w:t>
      </w:r>
      <w:r w:rsidR="00685E62">
        <w:t>rgi bittern</w:t>
      </w:r>
      <w:r w:rsidR="005F6014">
        <w:t xml:space="preserve"> </w:t>
      </w:r>
      <w:r w:rsidR="00685E62">
        <w:t>and</w:t>
      </w:r>
      <w:r w:rsidR="00910E17">
        <w:t xml:space="preserve"> </w:t>
      </w:r>
      <w:r>
        <w:t xml:space="preserve">NaOH </w:t>
      </w:r>
      <w:r w:rsidR="00685E62">
        <w:t>solutions</w:t>
      </w:r>
      <w:r w:rsidR="005F6014">
        <w:t xml:space="preserve"> adopted in Cases #1, #2 and #3</w:t>
      </w:r>
      <w:r w:rsidR="00685E62">
        <w:t xml:space="preserve">. </w:t>
      </w:r>
      <w:r w:rsidR="0069731B">
        <w:t>L</w:t>
      </w:r>
      <w:r w:rsidR="005F6014">
        <w:t xml:space="preserve">etters a and b distinguish </w:t>
      </w:r>
      <w:r w:rsidR="0012141E">
        <w:t>c</w:t>
      </w:r>
      <w:r w:rsidR="0078206E">
        <w:t xml:space="preserve">ases </w:t>
      </w:r>
      <w:r w:rsidR="005C0157">
        <w:t>characterized by</w:t>
      </w:r>
      <w:r w:rsidR="005F6014">
        <w:t xml:space="preserve"> final pH values of 10.8 (stoichiometric precipitation conditions) and 12.8 (OH</w:t>
      </w:r>
      <w:r w:rsidR="005F6014" w:rsidRPr="005F6014">
        <w:rPr>
          <w:vertAlign w:val="superscript"/>
        </w:rPr>
        <w:t>-</w:t>
      </w:r>
      <w:r w:rsidR="005F6014">
        <w:t xml:space="preserve"> excess amount conditions), respectively</w:t>
      </w:r>
      <w:r w:rsidR="00910E17">
        <w:t xml:space="preserve">. </w:t>
      </w:r>
      <w:r w:rsidR="00A966E3">
        <w:t xml:space="preserve">NaOH concentrations were </w:t>
      </w:r>
      <w:r w:rsidR="00066960">
        <w:t xml:space="preserve">validated </w:t>
      </w:r>
      <w:r w:rsidR="00A966E3">
        <w:t xml:space="preserve">by </w:t>
      </w:r>
      <w:r w:rsidR="00A966E3">
        <w:lastRenderedPageBreak/>
        <w:t>titration</w:t>
      </w:r>
      <w:r w:rsidR="007F6D91">
        <w:t>;</w:t>
      </w:r>
      <w:r w:rsidR="00A966E3">
        <w:t xml:space="preserve"> </w:t>
      </w:r>
      <w:r w:rsidR="001B4040">
        <w:t xml:space="preserve">the </w:t>
      </w:r>
      <w:r w:rsidR="001B4040" w:rsidRPr="001B4040">
        <w:t xml:space="preserve">outlet </w:t>
      </w:r>
      <w:r w:rsidR="001B4040">
        <w:t>suspensions pH was monitored in-line by a</w:t>
      </w:r>
      <w:r w:rsidR="001B4040" w:rsidRPr="001B4040">
        <w:t xml:space="preserve"> pH-meter (</w:t>
      </w:r>
      <w:r w:rsidR="00727D72">
        <w:t>P</w:t>
      </w:r>
      <w:r w:rsidR="001B4040" w:rsidRPr="001B4040">
        <w:t>H 8320, KROHNE)</w:t>
      </w:r>
      <w:r w:rsidR="007F6D91">
        <w:t>;</w:t>
      </w:r>
      <w:r w:rsidR="00A966E3">
        <w:t xml:space="preserve"> Mg</w:t>
      </w:r>
      <w:r w:rsidR="00A966E3" w:rsidRPr="00A966E3">
        <w:rPr>
          <w:vertAlign w:val="superscript"/>
        </w:rPr>
        <w:t>2+</w:t>
      </w:r>
      <w:r w:rsidR="007F6D91">
        <w:t xml:space="preserve"> </w:t>
      </w:r>
      <w:r w:rsidR="00A966E3">
        <w:t>bittern concentration</w:t>
      </w:r>
      <w:r w:rsidR="007F6D91">
        <w:t xml:space="preserve"> was </w:t>
      </w:r>
      <w:r w:rsidR="00A966E3" w:rsidRPr="00E647F9">
        <w:t xml:space="preserve">obtained by </w:t>
      </w:r>
      <w:r w:rsidR="00E647F9">
        <w:t>i</w:t>
      </w:r>
      <w:r w:rsidR="00A966E3" w:rsidRPr="00E647F9">
        <w:t xml:space="preserve">on chromatography </w:t>
      </w:r>
      <w:r w:rsidR="00E647F9" w:rsidRPr="00E647F9">
        <w:t>(</w:t>
      </w:r>
      <w:r w:rsidR="0025201D">
        <w:t xml:space="preserve">IC, </w:t>
      </w:r>
      <w:r w:rsidR="00E647F9" w:rsidRPr="00E647F9">
        <w:t>882 Compact IC plus, Metrohm</w:t>
      </w:r>
      <w:r w:rsidR="007F6D91">
        <w:t>).</w:t>
      </w:r>
    </w:p>
    <w:p w14:paraId="5F3448BC" w14:textId="104091BD" w:rsidR="00596C02" w:rsidRDefault="00596C02" w:rsidP="00596C02">
      <w:pPr>
        <w:pStyle w:val="CETTabletitle"/>
      </w:pPr>
      <w:bookmarkStart w:id="1" w:name="_Ref129531383"/>
      <w:r>
        <w:t xml:space="preserve">Table </w:t>
      </w:r>
      <w:r>
        <w:fldChar w:fldCharType="begin"/>
      </w:r>
      <w:r>
        <w:instrText xml:space="preserve"> SEQ Table \* ARABIC </w:instrText>
      </w:r>
      <w:r>
        <w:fldChar w:fldCharType="separate"/>
      </w:r>
      <w:r w:rsidR="00142505">
        <w:rPr>
          <w:noProof/>
        </w:rPr>
        <w:t>1</w:t>
      </w:r>
      <w:r>
        <w:fldChar w:fldCharType="end"/>
      </w:r>
      <w:bookmarkEnd w:id="1"/>
      <w:r>
        <w:t xml:space="preserve"> Operating parameters and characteristics of the </w:t>
      </w:r>
      <w:r w:rsidR="00E31291">
        <w:t>adopted</w:t>
      </w:r>
      <w:r>
        <w:t xml:space="preserve"> real bitterns and synthetic NaOH solutions.</w:t>
      </w:r>
      <w:r w:rsidR="00974B51">
        <w:t xml:space="preserve"> </w:t>
      </w:r>
      <w:r>
        <w:t>The final pH value of the Mg(OH)</w:t>
      </w:r>
      <w:r w:rsidRPr="00596C02">
        <w:rPr>
          <w:vertAlign w:val="subscript"/>
        </w:rPr>
        <w:t>2</w:t>
      </w:r>
      <w:r>
        <w:t xml:space="preserve"> suspension is also reported. </w:t>
      </w:r>
    </w:p>
    <w:tbl>
      <w:tblPr>
        <w:tblW w:w="751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1276"/>
        <w:gridCol w:w="1418"/>
        <w:gridCol w:w="1417"/>
        <w:gridCol w:w="1418"/>
        <w:gridCol w:w="1417"/>
      </w:tblGrid>
      <w:tr w:rsidR="00785D25" w:rsidRPr="00B57B36" w14:paraId="41349F60" w14:textId="77777777" w:rsidTr="002C22DB">
        <w:tc>
          <w:tcPr>
            <w:tcW w:w="567" w:type="dxa"/>
            <w:tcBorders>
              <w:top w:val="single" w:sz="12" w:space="0" w:color="008000"/>
              <w:bottom w:val="single" w:sz="6" w:space="0" w:color="008000"/>
            </w:tcBorders>
            <w:shd w:val="clear" w:color="auto" w:fill="FFFFFF"/>
          </w:tcPr>
          <w:p w14:paraId="744193A9" w14:textId="77777777" w:rsidR="00785D25" w:rsidRPr="00B57B36" w:rsidRDefault="00785D25" w:rsidP="00910E17">
            <w:pPr>
              <w:pStyle w:val="CETBodytext"/>
              <w:rPr>
                <w:lang w:val="en-GB"/>
              </w:rPr>
            </w:pPr>
            <w:r>
              <w:rPr>
                <w:lang w:val="en-GB"/>
              </w:rPr>
              <w:t>Case</w:t>
            </w:r>
            <w:r w:rsidRPr="00B57B36">
              <w:rPr>
                <w:lang w:val="en-GB"/>
              </w:rPr>
              <w:t xml:space="preserve"> </w:t>
            </w:r>
          </w:p>
        </w:tc>
        <w:tc>
          <w:tcPr>
            <w:tcW w:w="1276" w:type="dxa"/>
            <w:tcBorders>
              <w:top w:val="single" w:sz="12" w:space="0" w:color="008000"/>
              <w:bottom w:val="single" w:sz="6" w:space="0" w:color="008000"/>
            </w:tcBorders>
            <w:shd w:val="clear" w:color="auto" w:fill="FFFFFF"/>
          </w:tcPr>
          <w:p w14:paraId="1EE2405F" w14:textId="3A399B6F" w:rsidR="00785D25" w:rsidRPr="00DF3828" w:rsidRDefault="00785D25" w:rsidP="00910E17">
            <w:pPr>
              <w:pStyle w:val="CETBodytext"/>
              <w:ind w:right="-1"/>
              <w:rPr>
                <w:rFonts w:cs="Arial"/>
                <w:szCs w:val="18"/>
                <w:lang w:val="en-GB"/>
              </w:rPr>
            </w:pPr>
            <w:r>
              <w:rPr>
                <w:rFonts w:cs="Arial"/>
                <w:szCs w:val="18"/>
                <w:lang w:val="en-GB"/>
              </w:rPr>
              <w:t>Bittern Mg</w:t>
            </w:r>
            <w:r w:rsidRPr="00DF3828">
              <w:rPr>
                <w:rFonts w:cs="Arial"/>
                <w:szCs w:val="18"/>
                <w:vertAlign w:val="superscript"/>
                <w:lang w:val="en-GB"/>
              </w:rPr>
              <w:t>2+</w:t>
            </w:r>
            <w:r>
              <w:rPr>
                <w:rFonts w:cs="Arial"/>
                <w:szCs w:val="18"/>
                <w:vertAlign w:val="superscript"/>
                <w:lang w:val="en-GB"/>
              </w:rPr>
              <w:t xml:space="preserve"> </w:t>
            </w:r>
            <w:r>
              <w:rPr>
                <w:rFonts w:cs="Arial"/>
                <w:szCs w:val="18"/>
                <w:lang w:val="en-GB"/>
              </w:rPr>
              <w:t>[M]</w:t>
            </w:r>
          </w:p>
        </w:tc>
        <w:tc>
          <w:tcPr>
            <w:tcW w:w="1418" w:type="dxa"/>
            <w:tcBorders>
              <w:top w:val="single" w:sz="12" w:space="0" w:color="008000"/>
              <w:bottom w:val="single" w:sz="6" w:space="0" w:color="008000"/>
            </w:tcBorders>
            <w:shd w:val="clear" w:color="auto" w:fill="FFFFFF"/>
          </w:tcPr>
          <w:p w14:paraId="68CC4604" w14:textId="17ADCD07" w:rsidR="00785D25" w:rsidRDefault="00785D25" w:rsidP="00910E17">
            <w:pPr>
              <w:pStyle w:val="CETBodytext"/>
              <w:ind w:right="-1"/>
              <w:rPr>
                <w:rFonts w:cs="Arial"/>
                <w:szCs w:val="18"/>
                <w:lang w:val="en-GB"/>
              </w:rPr>
            </w:pPr>
            <w:r>
              <w:rPr>
                <w:rFonts w:cs="Arial"/>
                <w:szCs w:val="18"/>
                <w:lang w:val="en-GB"/>
              </w:rPr>
              <w:t>Bittern Flow rate [L/h]</w:t>
            </w:r>
          </w:p>
        </w:tc>
        <w:tc>
          <w:tcPr>
            <w:tcW w:w="1417" w:type="dxa"/>
            <w:tcBorders>
              <w:top w:val="single" w:sz="12" w:space="0" w:color="008000"/>
              <w:bottom w:val="single" w:sz="6" w:space="0" w:color="008000"/>
            </w:tcBorders>
            <w:shd w:val="clear" w:color="auto" w:fill="FFFFFF"/>
          </w:tcPr>
          <w:p w14:paraId="7DB8C738" w14:textId="57E65D1F" w:rsidR="00785D25" w:rsidRDefault="00785D25" w:rsidP="00910E17">
            <w:pPr>
              <w:pStyle w:val="CETBodytext"/>
              <w:ind w:right="-1"/>
              <w:rPr>
                <w:rFonts w:cs="Arial"/>
                <w:szCs w:val="18"/>
                <w:lang w:val="en-GB"/>
              </w:rPr>
            </w:pPr>
            <w:r>
              <w:rPr>
                <w:lang w:val="en-GB"/>
              </w:rPr>
              <w:t>NaOH concentration [M]</w:t>
            </w:r>
          </w:p>
        </w:tc>
        <w:tc>
          <w:tcPr>
            <w:tcW w:w="1418" w:type="dxa"/>
            <w:tcBorders>
              <w:top w:val="single" w:sz="12" w:space="0" w:color="008000"/>
              <w:bottom w:val="single" w:sz="6" w:space="0" w:color="008000"/>
            </w:tcBorders>
            <w:shd w:val="clear" w:color="auto" w:fill="FFFFFF"/>
          </w:tcPr>
          <w:p w14:paraId="34BFB312" w14:textId="3B8F530A" w:rsidR="00785D25" w:rsidRDefault="00785D25" w:rsidP="00910E17">
            <w:pPr>
              <w:pStyle w:val="CETBodytext"/>
              <w:ind w:right="-1"/>
              <w:rPr>
                <w:rFonts w:cs="Arial"/>
                <w:szCs w:val="18"/>
                <w:lang w:val="en-GB"/>
              </w:rPr>
            </w:pPr>
            <w:r>
              <w:rPr>
                <w:lang w:val="en-GB"/>
              </w:rPr>
              <w:t>NaOH Flow rate [L/h]</w:t>
            </w:r>
          </w:p>
        </w:tc>
        <w:tc>
          <w:tcPr>
            <w:tcW w:w="1417" w:type="dxa"/>
            <w:tcBorders>
              <w:top w:val="single" w:sz="12" w:space="0" w:color="008000"/>
              <w:bottom w:val="single" w:sz="6" w:space="0" w:color="008000"/>
            </w:tcBorders>
            <w:shd w:val="clear" w:color="auto" w:fill="FFFFFF"/>
          </w:tcPr>
          <w:p w14:paraId="7FA6E88E" w14:textId="31289A6B" w:rsidR="00785D25" w:rsidRDefault="00785D25" w:rsidP="00910E17">
            <w:pPr>
              <w:pStyle w:val="CETBodytext"/>
              <w:ind w:right="-1"/>
              <w:rPr>
                <w:rFonts w:cs="Arial"/>
                <w:szCs w:val="18"/>
                <w:lang w:val="en-GB"/>
              </w:rPr>
            </w:pPr>
            <w:r>
              <w:rPr>
                <w:rFonts w:cs="Arial"/>
                <w:szCs w:val="18"/>
                <w:lang w:val="en-GB"/>
              </w:rPr>
              <w:t>Final suspension pH</w:t>
            </w:r>
          </w:p>
        </w:tc>
      </w:tr>
      <w:tr w:rsidR="00785D25" w:rsidRPr="00B57B36" w14:paraId="53300555" w14:textId="77777777" w:rsidTr="002C22DB">
        <w:tc>
          <w:tcPr>
            <w:tcW w:w="567" w:type="dxa"/>
            <w:shd w:val="clear" w:color="auto" w:fill="FFFFFF"/>
          </w:tcPr>
          <w:p w14:paraId="1AD2EF3B" w14:textId="11772F75" w:rsidR="00785D25" w:rsidRPr="00B57B36" w:rsidRDefault="00785D25" w:rsidP="00910E17">
            <w:pPr>
              <w:pStyle w:val="CETBodytext"/>
              <w:rPr>
                <w:lang w:val="en-GB"/>
              </w:rPr>
            </w:pPr>
            <w:r>
              <w:rPr>
                <w:lang w:val="en-GB"/>
              </w:rPr>
              <w:t>#1a</w:t>
            </w:r>
          </w:p>
        </w:tc>
        <w:tc>
          <w:tcPr>
            <w:tcW w:w="1276" w:type="dxa"/>
            <w:shd w:val="clear" w:color="auto" w:fill="FFFFFF"/>
          </w:tcPr>
          <w:p w14:paraId="33A09EEC" w14:textId="5D17D681" w:rsidR="00785D25" w:rsidRPr="00B57B36" w:rsidRDefault="00785D25" w:rsidP="00910E17">
            <w:pPr>
              <w:pStyle w:val="CETBodytext"/>
              <w:ind w:right="-1"/>
              <w:rPr>
                <w:rFonts w:cs="Arial"/>
                <w:szCs w:val="18"/>
                <w:lang w:val="en-GB"/>
              </w:rPr>
            </w:pPr>
            <w:r>
              <w:rPr>
                <w:rFonts w:cs="Arial"/>
                <w:szCs w:val="18"/>
                <w:lang w:val="en-GB"/>
              </w:rPr>
              <w:t>2.04±2 %</w:t>
            </w:r>
          </w:p>
        </w:tc>
        <w:tc>
          <w:tcPr>
            <w:tcW w:w="1418" w:type="dxa"/>
            <w:shd w:val="clear" w:color="auto" w:fill="FFFFFF"/>
          </w:tcPr>
          <w:p w14:paraId="33FD9602" w14:textId="452A767D" w:rsidR="00785D25" w:rsidRDefault="00785D25" w:rsidP="00910E17">
            <w:pPr>
              <w:pStyle w:val="CETBodytext"/>
              <w:ind w:right="-1"/>
              <w:rPr>
                <w:rFonts w:cs="Arial"/>
                <w:szCs w:val="18"/>
                <w:lang w:val="en-GB"/>
              </w:rPr>
            </w:pPr>
            <w:r>
              <w:rPr>
                <w:rFonts w:cs="Arial"/>
                <w:szCs w:val="18"/>
                <w:lang w:val="en-GB"/>
              </w:rPr>
              <w:t>12±3 %</w:t>
            </w:r>
          </w:p>
        </w:tc>
        <w:tc>
          <w:tcPr>
            <w:tcW w:w="1417" w:type="dxa"/>
            <w:shd w:val="clear" w:color="auto" w:fill="FFFFFF"/>
          </w:tcPr>
          <w:p w14:paraId="3956EE66" w14:textId="38647397" w:rsidR="00785D25" w:rsidRDefault="00785D25" w:rsidP="00910E17">
            <w:pPr>
              <w:pStyle w:val="CETBodytext"/>
              <w:ind w:right="-1"/>
              <w:rPr>
                <w:rFonts w:cs="Arial"/>
                <w:szCs w:val="18"/>
                <w:lang w:val="en-GB"/>
              </w:rPr>
            </w:pPr>
            <w:r>
              <w:rPr>
                <w:lang w:val="en-GB"/>
              </w:rPr>
              <w:t>0.50</w:t>
            </w:r>
            <w:r>
              <w:rPr>
                <w:rFonts w:cs="Arial"/>
                <w:szCs w:val="18"/>
                <w:lang w:val="en-GB"/>
              </w:rPr>
              <w:t>±2 %</w:t>
            </w:r>
          </w:p>
        </w:tc>
        <w:tc>
          <w:tcPr>
            <w:tcW w:w="1418" w:type="dxa"/>
            <w:shd w:val="clear" w:color="auto" w:fill="FFFFFF"/>
          </w:tcPr>
          <w:p w14:paraId="570496A5" w14:textId="4B0922F3" w:rsidR="00785D25" w:rsidRDefault="00785D25" w:rsidP="00910E17">
            <w:pPr>
              <w:pStyle w:val="CETBodytext"/>
              <w:ind w:right="-1"/>
              <w:rPr>
                <w:rFonts w:cs="Arial"/>
                <w:szCs w:val="18"/>
                <w:lang w:val="en-GB"/>
              </w:rPr>
            </w:pPr>
            <w:r>
              <w:rPr>
                <w:lang w:val="en-GB"/>
              </w:rPr>
              <w:t>96</w:t>
            </w:r>
            <w:r>
              <w:rPr>
                <w:rFonts w:cs="Arial"/>
                <w:szCs w:val="18"/>
                <w:lang w:val="en-GB"/>
              </w:rPr>
              <w:t>±3 %</w:t>
            </w:r>
          </w:p>
        </w:tc>
        <w:tc>
          <w:tcPr>
            <w:tcW w:w="1417" w:type="dxa"/>
            <w:shd w:val="clear" w:color="auto" w:fill="FFFFFF"/>
          </w:tcPr>
          <w:p w14:paraId="22708F23" w14:textId="7C44C168" w:rsidR="00785D25" w:rsidRDefault="00785D25" w:rsidP="00910E17">
            <w:pPr>
              <w:pStyle w:val="CETBodytext"/>
              <w:ind w:right="-1"/>
              <w:rPr>
                <w:rFonts w:cs="Arial"/>
                <w:szCs w:val="18"/>
                <w:lang w:val="en-GB"/>
              </w:rPr>
            </w:pPr>
            <w:r>
              <w:rPr>
                <w:rFonts w:cs="Arial"/>
                <w:szCs w:val="18"/>
                <w:lang w:val="en-GB"/>
              </w:rPr>
              <w:t>10.8±</w:t>
            </w:r>
            <w:r w:rsidR="00793BDF">
              <w:rPr>
                <w:rFonts w:cs="Arial"/>
                <w:szCs w:val="18"/>
                <w:lang w:val="en-GB"/>
              </w:rPr>
              <w:t>2</w:t>
            </w:r>
            <w:r>
              <w:rPr>
                <w:rFonts w:cs="Arial"/>
                <w:szCs w:val="18"/>
                <w:lang w:val="en-GB"/>
              </w:rPr>
              <w:t xml:space="preserve"> %</w:t>
            </w:r>
          </w:p>
        </w:tc>
      </w:tr>
      <w:tr w:rsidR="00785D25" w:rsidRPr="00B57B36" w14:paraId="2A0DDD53" w14:textId="77777777" w:rsidTr="002C22DB">
        <w:tc>
          <w:tcPr>
            <w:tcW w:w="567" w:type="dxa"/>
            <w:shd w:val="clear" w:color="auto" w:fill="FFFFFF"/>
          </w:tcPr>
          <w:p w14:paraId="744982FD" w14:textId="454C0C0D" w:rsidR="00785D25" w:rsidRDefault="00785D25" w:rsidP="00910E17">
            <w:pPr>
              <w:pStyle w:val="CETBodytext"/>
              <w:rPr>
                <w:lang w:val="en-GB"/>
              </w:rPr>
            </w:pPr>
            <w:r>
              <w:rPr>
                <w:lang w:val="en-GB"/>
              </w:rPr>
              <w:t>#1b</w:t>
            </w:r>
          </w:p>
        </w:tc>
        <w:tc>
          <w:tcPr>
            <w:tcW w:w="1276" w:type="dxa"/>
            <w:shd w:val="clear" w:color="auto" w:fill="FFFFFF"/>
          </w:tcPr>
          <w:p w14:paraId="753C1202" w14:textId="768D0354" w:rsidR="00785D25" w:rsidRPr="00B57B36" w:rsidRDefault="00785D25" w:rsidP="00910E17">
            <w:pPr>
              <w:pStyle w:val="CETBodytext"/>
              <w:ind w:right="-1"/>
              <w:rPr>
                <w:rFonts w:cs="Arial"/>
                <w:szCs w:val="18"/>
                <w:lang w:val="en-GB"/>
              </w:rPr>
            </w:pPr>
            <w:r>
              <w:rPr>
                <w:rFonts w:cs="Arial"/>
                <w:szCs w:val="18"/>
                <w:lang w:val="en-GB"/>
              </w:rPr>
              <w:t>2.04±2 %</w:t>
            </w:r>
          </w:p>
        </w:tc>
        <w:tc>
          <w:tcPr>
            <w:tcW w:w="1418" w:type="dxa"/>
            <w:shd w:val="clear" w:color="auto" w:fill="FFFFFF"/>
          </w:tcPr>
          <w:p w14:paraId="1C8BDCB3" w14:textId="41C14DFD" w:rsidR="00785D25" w:rsidRDefault="00785D25" w:rsidP="00910E17">
            <w:pPr>
              <w:pStyle w:val="CETBodytext"/>
              <w:ind w:right="-1"/>
              <w:rPr>
                <w:rFonts w:cs="Arial"/>
                <w:szCs w:val="18"/>
                <w:lang w:val="en-GB"/>
              </w:rPr>
            </w:pPr>
            <w:r>
              <w:rPr>
                <w:rFonts w:cs="Arial"/>
                <w:szCs w:val="18"/>
                <w:lang w:val="en-GB"/>
              </w:rPr>
              <w:t>12±3 %</w:t>
            </w:r>
          </w:p>
        </w:tc>
        <w:tc>
          <w:tcPr>
            <w:tcW w:w="1417" w:type="dxa"/>
            <w:shd w:val="clear" w:color="auto" w:fill="FFFFFF"/>
          </w:tcPr>
          <w:p w14:paraId="2CEC40F5" w14:textId="7CE10001" w:rsidR="00785D25" w:rsidRDefault="00785D25" w:rsidP="00910E17">
            <w:pPr>
              <w:pStyle w:val="CETBodytext"/>
              <w:ind w:right="-1"/>
              <w:rPr>
                <w:rFonts w:cs="Arial"/>
                <w:szCs w:val="18"/>
                <w:lang w:val="en-GB"/>
              </w:rPr>
            </w:pPr>
            <w:r>
              <w:rPr>
                <w:lang w:val="en-GB"/>
              </w:rPr>
              <w:t>0.50</w:t>
            </w:r>
            <w:r>
              <w:rPr>
                <w:rFonts w:cs="Arial"/>
                <w:szCs w:val="18"/>
                <w:lang w:val="en-GB"/>
              </w:rPr>
              <w:t>±2 %</w:t>
            </w:r>
          </w:p>
        </w:tc>
        <w:tc>
          <w:tcPr>
            <w:tcW w:w="1418" w:type="dxa"/>
            <w:shd w:val="clear" w:color="auto" w:fill="FFFFFF"/>
          </w:tcPr>
          <w:p w14:paraId="7E84B9FC" w14:textId="388E9893" w:rsidR="00785D25" w:rsidRDefault="00785D25" w:rsidP="00910E17">
            <w:pPr>
              <w:pStyle w:val="CETBodytext"/>
              <w:ind w:right="-1"/>
              <w:rPr>
                <w:rFonts w:cs="Arial"/>
                <w:szCs w:val="18"/>
                <w:lang w:val="en-GB"/>
              </w:rPr>
            </w:pPr>
            <w:r>
              <w:rPr>
                <w:lang w:val="en-GB"/>
              </w:rPr>
              <w:t>155</w:t>
            </w:r>
            <w:r>
              <w:rPr>
                <w:rFonts w:cs="Arial"/>
                <w:szCs w:val="18"/>
                <w:lang w:val="en-GB"/>
              </w:rPr>
              <w:t>±3 %</w:t>
            </w:r>
          </w:p>
        </w:tc>
        <w:tc>
          <w:tcPr>
            <w:tcW w:w="1417" w:type="dxa"/>
            <w:shd w:val="clear" w:color="auto" w:fill="FFFFFF"/>
          </w:tcPr>
          <w:p w14:paraId="3C9E902D" w14:textId="07C36CEF" w:rsidR="00785D25" w:rsidRDefault="00785D25" w:rsidP="00910E17">
            <w:pPr>
              <w:pStyle w:val="CETBodytext"/>
              <w:ind w:right="-1"/>
              <w:rPr>
                <w:rFonts w:cs="Arial"/>
                <w:szCs w:val="18"/>
                <w:lang w:val="en-GB"/>
              </w:rPr>
            </w:pPr>
            <w:r>
              <w:rPr>
                <w:rFonts w:cs="Arial"/>
                <w:szCs w:val="18"/>
                <w:lang w:val="en-GB"/>
              </w:rPr>
              <w:t>12.8±</w:t>
            </w:r>
            <w:r w:rsidR="00793BDF">
              <w:rPr>
                <w:rFonts w:cs="Arial"/>
                <w:szCs w:val="18"/>
                <w:lang w:val="en-GB"/>
              </w:rPr>
              <w:t>2</w:t>
            </w:r>
            <w:r>
              <w:rPr>
                <w:rFonts w:cs="Arial"/>
                <w:szCs w:val="18"/>
                <w:lang w:val="en-GB"/>
              </w:rPr>
              <w:t xml:space="preserve"> %</w:t>
            </w:r>
          </w:p>
        </w:tc>
      </w:tr>
      <w:tr w:rsidR="00785D25" w:rsidRPr="00B57B36" w14:paraId="470A9748" w14:textId="77777777" w:rsidTr="002C22DB">
        <w:tc>
          <w:tcPr>
            <w:tcW w:w="567" w:type="dxa"/>
            <w:shd w:val="clear" w:color="auto" w:fill="FFFFFF"/>
          </w:tcPr>
          <w:p w14:paraId="70F07DDC" w14:textId="3C37D751" w:rsidR="00785D25" w:rsidRPr="00B57B36" w:rsidRDefault="00785D25" w:rsidP="00910E17">
            <w:pPr>
              <w:pStyle w:val="CETBodytext"/>
              <w:ind w:right="-1"/>
              <w:rPr>
                <w:rFonts w:cs="Arial"/>
                <w:szCs w:val="18"/>
                <w:lang w:val="en-GB"/>
              </w:rPr>
            </w:pPr>
            <w:r>
              <w:rPr>
                <w:rFonts w:cs="Arial"/>
                <w:szCs w:val="18"/>
                <w:lang w:val="en-GB"/>
              </w:rPr>
              <w:t>#2a</w:t>
            </w:r>
          </w:p>
        </w:tc>
        <w:tc>
          <w:tcPr>
            <w:tcW w:w="1276" w:type="dxa"/>
            <w:shd w:val="clear" w:color="auto" w:fill="FFFFFF"/>
          </w:tcPr>
          <w:p w14:paraId="01734403" w14:textId="1AC5A002" w:rsidR="00785D25" w:rsidRPr="00B57B36" w:rsidRDefault="00785D25" w:rsidP="00910E17">
            <w:pPr>
              <w:pStyle w:val="CETBodytext"/>
              <w:ind w:right="-1"/>
              <w:rPr>
                <w:rFonts w:cs="Arial"/>
                <w:szCs w:val="18"/>
                <w:lang w:val="en-GB"/>
              </w:rPr>
            </w:pPr>
            <w:r>
              <w:rPr>
                <w:rFonts w:cs="Arial"/>
                <w:szCs w:val="18"/>
                <w:lang w:val="en-GB"/>
              </w:rPr>
              <w:t>2.04±2 %</w:t>
            </w:r>
          </w:p>
        </w:tc>
        <w:tc>
          <w:tcPr>
            <w:tcW w:w="1418" w:type="dxa"/>
            <w:shd w:val="clear" w:color="auto" w:fill="FFFFFF"/>
          </w:tcPr>
          <w:p w14:paraId="3E04DE9D" w14:textId="2FD9BEC6" w:rsidR="00785D25" w:rsidRDefault="00785D25" w:rsidP="00910E17">
            <w:pPr>
              <w:pStyle w:val="CETBodytext"/>
              <w:ind w:right="-1"/>
              <w:rPr>
                <w:rFonts w:cs="Arial"/>
                <w:szCs w:val="18"/>
                <w:lang w:val="en-GB"/>
              </w:rPr>
            </w:pPr>
            <w:r>
              <w:rPr>
                <w:rFonts w:cs="Arial"/>
                <w:szCs w:val="18"/>
                <w:lang w:val="en-GB"/>
              </w:rPr>
              <w:t>30±3 %</w:t>
            </w:r>
          </w:p>
        </w:tc>
        <w:tc>
          <w:tcPr>
            <w:tcW w:w="1417" w:type="dxa"/>
            <w:shd w:val="clear" w:color="auto" w:fill="FFFFFF"/>
          </w:tcPr>
          <w:p w14:paraId="618FD5E3" w14:textId="5ECA1794" w:rsidR="00785D25" w:rsidRDefault="00785D25" w:rsidP="00910E17">
            <w:pPr>
              <w:pStyle w:val="CETBodytext"/>
              <w:ind w:right="-1"/>
              <w:rPr>
                <w:rFonts w:cs="Arial"/>
                <w:szCs w:val="18"/>
                <w:lang w:val="en-GB"/>
              </w:rPr>
            </w:pPr>
            <w:r>
              <w:rPr>
                <w:rFonts w:cs="Arial"/>
                <w:szCs w:val="18"/>
                <w:lang w:val="en-GB"/>
              </w:rPr>
              <w:t>0.5</w:t>
            </w:r>
            <w:r>
              <w:rPr>
                <w:lang w:val="en-GB"/>
              </w:rPr>
              <w:t>0</w:t>
            </w:r>
            <w:r>
              <w:rPr>
                <w:rFonts w:cs="Arial"/>
                <w:szCs w:val="18"/>
                <w:lang w:val="en-GB"/>
              </w:rPr>
              <w:t>±2 %</w:t>
            </w:r>
          </w:p>
        </w:tc>
        <w:tc>
          <w:tcPr>
            <w:tcW w:w="1418" w:type="dxa"/>
            <w:shd w:val="clear" w:color="auto" w:fill="FFFFFF"/>
          </w:tcPr>
          <w:p w14:paraId="660D61D8" w14:textId="51800024" w:rsidR="00785D25" w:rsidRDefault="00785D25" w:rsidP="00910E17">
            <w:pPr>
              <w:pStyle w:val="CETBodytext"/>
              <w:ind w:right="-1"/>
              <w:rPr>
                <w:rFonts w:cs="Arial"/>
                <w:szCs w:val="18"/>
                <w:lang w:val="en-GB"/>
              </w:rPr>
            </w:pPr>
            <w:r>
              <w:rPr>
                <w:rFonts w:cs="Arial"/>
                <w:szCs w:val="18"/>
                <w:lang w:val="en-GB"/>
              </w:rPr>
              <w:t>235±3 %</w:t>
            </w:r>
          </w:p>
        </w:tc>
        <w:tc>
          <w:tcPr>
            <w:tcW w:w="1417" w:type="dxa"/>
            <w:shd w:val="clear" w:color="auto" w:fill="FFFFFF"/>
          </w:tcPr>
          <w:p w14:paraId="5BDCF75D" w14:textId="22036114" w:rsidR="00785D25" w:rsidRDefault="00785D25" w:rsidP="00910E17">
            <w:pPr>
              <w:pStyle w:val="CETBodytext"/>
              <w:ind w:right="-1"/>
              <w:rPr>
                <w:rFonts w:cs="Arial"/>
                <w:szCs w:val="18"/>
                <w:lang w:val="en-GB"/>
              </w:rPr>
            </w:pPr>
            <w:r>
              <w:rPr>
                <w:rFonts w:cs="Arial"/>
                <w:szCs w:val="18"/>
                <w:lang w:val="en-GB"/>
              </w:rPr>
              <w:t>10.8±</w:t>
            </w:r>
            <w:r w:rsidR="00793BDF">
              <w:rPr>
                <w:rFonts w:cs="Arial"/>
                <w:szCs w:val="18"/>
                <w:lang w:val="en-GB"/>
              </w:rPr>
              <w:t>2</w:t>
            </w:r>
            <w:r>
              <w:rPr>
                <w:rFonts w:cs="Arial"/>
                <w:szCs w:val="18"/>
                <w:lang w:val="en-GB"/>
              </w:rPr>
              <w:t xml:space="preserve"> %</w:t>
            </w:r>
          </w:p>
        </w:tc>
      </w:tr>
      <w:tr w:rsidR="00785D25" w:rsidRPr="00B57B36" w14:paraId="40EFD6ED" w14:textId="77777777" w:rsidTr="002C22DB">
        <w:tc>
          <w:tcPr>
            <w:tcW w:w="567" w:type="dxa"/>
            <w:shd w:val="clear" w:color="auto" w:fill="FFFFFF"/>
          </w:tcPr>
          <w:p w14:paraId="7C5A7F97" w14:textId="31164DB6" w:rsidR="00785D25" w:rsidRDefault="00785D25" w:rsidP="00910E17">
            <w:pPr>
              <w:pStyle w:val="CETBodytext"/>
              <w:ind w:right="-1"/>
              <w:rPr>
                <w:rFonts w:cs="Arial"/>
                <w:szCs w:val="18"/>
                <w:lang w:val="en-GB"/>
              </w:rPr>
            </w:pPr>
            <w:r>
              <w:rPr>
                <w:rFonts w:cs="Arial"/>
                <w:szCs w:val="18"/>
                <w:lang w:val="en-GB"/>
              </w:rPr>
              <w:t>#2b</w:t>
            </w:r>
          </w:p>
        </w:tc>
        <w:tc>
          <w:tcPr>
            <w:tcW w:w="1276" w:type="dxa"/>
            <w:shd w:val="clear" w:color="auto" w:fill="FFFFFF"/>
          </w:tcPr>
          <w:p w14:paraId="684224C3" w14:textId="2A98352F" w:rsidR="00785D25" w:rsidRPr="00B57B36" w:rsidRDefault="00785D25" w:rsidP="00910E17">
            <w:pPr>
              <w:pStyle w:val="CETBodytext"/>
              <w:ind w:right="-1"/>
              <w:rPr>
                <w:rFonts w:cs="Arial"/>
                <w:szCs w:val="18"/>
                <w:lang w:val="en-GB"/>
              </w:rPr>
            </w:pPr>
            <w:r>
              <w:rPr>
                <w:rFonts w:cs="Arial"/>
                <w:szCs w:val="18"/>
                <w:lang w:val="en-GB"/>
              </w:rPr>
              <w:t>2.04±2 %</w:t>
            </w:r>
          </w:p>
        </w:tc>
        <w:tc>
          <w:tcPr>
            <w:tcW w:w="1418" w:type="dxa"/>
            <w:shd w:val="clear" w:color="auto" w:fill="FFFFFF"/>
          </w:tcPr>
          <w:p w14:paraId="4C89427A" w14:textId="4F787FEE" w:rsidR="00785D25" w:rsidRPr="00780A73" w:rsidRDefault="00785D25" w:rsidP="00910E17">
            <w:pPr>
              <w:pStyle w:val="CETBodytext"/>
              <w:ind w:right="-1"/>
              <w:rPr>
                <w:rFonts w:cs="Arial"/>
                <w:szCs w:val="18"/>
                <w:lang w:val="en-GB"/>
              </w:rPr>
            </w:pPr>
            <w:r w:rsidRPr="00780A73">
              <w:rPr>
                <w:rFonts w:cs="Arial"/>
                <w:szCs w:val="18"/>
                <w:lang w:val="en-GB"/>
              </w:rPr>
              <w:t>30±3 %</w:t>
            </w:r>
          </w:p>
        </w:tc>
        <w:tc>
          <w:tcPr>
            <w:tcW w:w="1417" w:type="dxa"/>
            <w:shd w:val="clear" w:color="auto" w:fill="FFFFFF"/>
          </w:tcPr>
          <w:p w14:paraId="13F686B7" w14:textId="09F7744B" w:rsidR="00785D25" w:rsidRDefault="00785D25" w:rsidP="00910E17">
            <w:pPr>
              <w:pStyle w:val="CETBodytext"/>
              <w:ind w:right="-1"/>
              <w:rPr>
                <w:rFonts w:cs="Arial"/>
                <w:szCs w:val="18"/>
                <w:lang w:val="en-GB"/>
              </w:rPr>
            </w:pPr>
            <w:r>
              <w:rPr>
                <w:rFonts w:cs="Arial"/>
                <w:szCs w:val="18"/>
                <w:lang w:val="en-GB"/>
              </w:rPr>
              <w:t>0.5</w:t>
            </w:r>
            <w:r>
              <w:rPr>
                <w:lang w:val="en-GB"/>
              </w:rPr>
              <w:t>0</w:t>
            </w:r>
            <w:r>
              <w:rPr>
                <w:rFonts w:cs="Arial"/>
                <w:szCs w:val="18"/>
                <w:lang w:val="en-GB"/>
              </w:rPr>
              <w:t>±2 %</w:t>
            </w:r>
          </w:p>
        </w:tc>
        <w:tc>
          <w:tcPr>
            <w:tcW w:w="1418" w:type="dxa"/>
            <w:shd w:val="clear" w:color="auto" w:fill="FFFFFF"/>
          </w:tcPr>
          <w:p w14:paraId="739AD599" w14:textId="36923C85" w:rsidR="00785D25" w:rsidRDefault="00785D25" w:rsidP="00910E17">
            <w:pPr>
              <w:pStyle w:val="CETBodytext"/>
              <w:ind w:right="-1"/>
              <w:rPr>
                <w:rFonts w:cs="Arial"/>
                <w:szCs w:val="18"/>
                <w:lang w:val="en-GB"/>
              </w:rPr>
            </w:pPr>
            <w:r>
              <w:rPr>
                <w:rFonts w:cs="Arial"/>
                <w:szCs w:val="18"/>
                <w:lang w:val="en-GB"/>
              </w:rPr>
              <w:t>338±3 %</w:t>
            </w:r>
          </w:p>
        </w:tc>
        <w:tc>
          <w:tcPr>
            <w:tcW w:w="1417" w:type="dxa"/>
            <w:shd w:val="clear" w:color="auto" w:fill="FFFFFF"/>
          </w:tcPr>
          <w:p w14:paraId="48C822E7" w14:textId="596CFC96" w:rsidR="00785D25" w:rsidRDefault="00785D25" w:rsidP="00910E17">
            <w:pPr>
              <w:pStyle w:val="CETBodytext"/>
              <w:ind w:right="-1"/>
              <w:rPr>
                <w:rFonts w:cs="Arial"/>
                <w:szCs w:val="18"/>
                <w:lang w:val="en-GB"/>
              </w:rPr>
            </w:pPr>
            <w:r>
              <w:rPr>
                <w:rFonts w:cs="Arial"/>
                <w:szCs w:val="18"/>
                <w:lang w:val="en-GB"/>
              </w:rPr>
              <w:t>12.8±</w:t>
            </w:r>
            <w:r w:rsidR="00793BDF">
              <w:rPr>
                <w:rFonts w:cs="Arial"/>
                <w:szCs w:val="18"/>
                <w:lang w:val="en-GB"/>
              </w:rPr>
              <w:t>2</w:t>
            </w:r>
            <w:r>
              <w:rPr>
                <w:rFonts w:cs="Arial"/>
                <w:szCs w:val="18"/>
                <w:lang w:val="en-GB"/>
              </w:rPr>
              <w:t xml:space="preserve"> %</w:t>
            </w:r>
          </w:p>
        </w:tc>
      </w:tr>
      <w:tr w:rsidR="00785D25" w:rsidRPr="00B57B36" w14:paraId="195B0F3A" w14:textId="77777777" w:rsidTr="002C22DB">
        <w:tc>
          <w:tcPr>
            <w:tcW w:w="567" w:type="dxa"/>
            <w:shd w:val="clear" w:color="auto" w:fill="FFFFFF"/>
          </w:tcPr>
          <w:p w14:paraId="4C152839" w14:textId="3DF79A77" w:rsidR="00785D25" w:rsidRPr="00B57B36" w:rsidRDefault="00785D25" w:rsidP="00910E17">
            <w:pPr>
              <w:pStyle w:val="CETBodytext"/>
              <w:ind w:right="-1"/>
              <w:rPr>
                <w:rFonts w:cs="Arial"/>
                <w:szCs w:val="18"/>
                <w:lang w:val="en-GB"/>
              </w:rPr>
            </w:pPr>
            <w:r>
              <w:rPr>
                <w:rFonts w:cs="Arial"/>
                <w:szCs w:val="18"/>
                <w:lang w:val="en-GB"/>
              </w:rPr>
              <w:t>#3a</w:t>
            </w:r>
          </w:p>
        </w:tc>
        <w:tc>
          <w:tcPr>
            <w:tcW w:w="1276" w:type="dxa"/>
            <w:shd w:val="clear" w:color="auto" w:fill="FFFFFF"/>
          </w:tcPr>
          <w:p w14:paraId="70D7A626" w14:textId="2C3D185A" w:rsidR="00785D25" w:rsidRPr="00B57B36" w:rsidRDefault="00785D25" w:rsidP="00910E17">
            <w:pPr>
              <w:pStyle w:val="CETBodytext"/>
              <w:ind w:right="-1"/>
              <w:rPr>
                <w:rFonts w:cs="Arial"/>
                <w:szCs w:val="18"/>
                <w:lang w:val="en-GB"/>
              </w:rPr>
            </w:pPr>
            <w:r>
              <w:rPr>
                <w:rFonts w:cs="Arial"/>
                <w:szCs w:val="18"/>
                <w:lang w:val="en-GB"/>
              </w:rPr>
              <w:t>2.04±2 %</w:t>
            </w:r>
          </w:p>
        </w:tc>
        <w:tc>
          <w:tcPr>
            <w:tcW w:w="1418" w:type="dxa"/>
            <w:shd w:val="clear" w:color="auto" w:fill="FFFFFF"/>
          </w:tcPr>
          <w:p w14:paraId="1C0DEEDA" w14:textId="5CD0AAAC" w:rsidR="00785D25" w:rsidRPr="00780A73" w:rsidRDefault="00785D25" w:rsidP="00910E17">
            <w:pPr>
              <w:pStyle w:val="CETBodytext"/>
              <w:ind w:right="-1"/>
              <w:rPr>
                <w:rFonts w:cs="Arial"/>
                <w:szCs w:val="18"/>
                <w:lang w:val="en-GB"/>
              </w:rPr>
            </w:pPr>
            <w:r w:rsidRPr="00780A73">
              <w:rPr>
                <w:rFonts w:cs="Arial"/>
                <w:szCs w:val="18"/>
                <w:lang w:val="en-GB"/>
              </w:rPr>
              <w:t>12±3 %</w:t>
            </w:r>
          </w:p>
        </w:tc>
        <w:tc>
          <w:tcPr>
            <w:tcW w:w="1417" w:type="dxa"/>
            <w:shd w:val="clear" w:color="auto" w:fill="FFFFFF"/>
          </w:tcPr>
          <w:p w14:paraId="47475416" w14:textId="50B22A50" w:rsidR="00785D25" w:rsidRDefault="00785D25" w:rsidP="00910E17">
            <w:pPr>
              <w:pStyle w:val="CETBodytext"/>
              <w:ind w:right="-1"/>
              <w:rPr>
                <w:rFonts w:cs="Arial"/>
                <w:szCs w:val="18"/>
                <w:lang w:val="en-GB"/>
              </w:rPr>
            </w:pPr>
            <w:r>
              <w:rPr>
                <w:rFonts w:cs="Arial"/>
                <w:szCs w:val="18"/>
                <w:lang w:val="en-GB"/>
              </w:rPr>
              <w:t>1.0</w:t>
            </w:r>
            <w:r>
              <w:rPr>
                <w:lang w:val="en-GB"/>
              </w:rPr>
              <w:t>0</w:t>
            </w:r>
            <w:r>
              <w:rPr>
                <w:rFonts w:cs="Arial"/>
                <w:szCs w:val="18"/>
                <w:lang w:val="en-GB"/>
              </w:rPr>
              <w:t>±2 %</w:t>
            </w:r>
          </w:p>
        </w:tc>
        <w:tc>
          <w:tcPr>
            <w:tcW w:w="1418" w:type="dxa"/>
            <w:shd w:val="clear" w:color="auto" w:fill="FFFFFF"/>
          </w:tcPr>
          <w:p w14:paraId="16719E12" w14:textId="2328932F" w:rsidR="00785D25" w:rsidRDefault="00785D25" w:rsidP="00910E17">
            <w:pPr>
              <w:pStyle w:val="CETBodytext"/>
              <w:ind w:right="-1"/>
              <w:rPr>
                <w:rFonts w:cs="Arial"/>
                <w:szCs w:val="18"/>
                <w:lang w:val="en-GB"/>
              </w:rPr>
            </w:pPr>
            <w:r>
              <w:rPr>
                <w:rFonts w:cs="Arial"/>
                <w:szCs w:val="18"/>
                <w:lang w:val="en-GB"/>
              </w:rPr>
              <w:t>47±3 %</w:t>
            </w:r>
          </w:p>
        </w:tc>
        <w:tc>
          <w:tcPr>
            <w:tcW w:w="1417" w:type="dxa"/>
            <w:shd w:val="clear" w:color="auto" w:fill="FFFFFF"/>
          </w:tcPr>
          <w:p w14:paraId="5D90DC2A" w14:textId="68D94DF5" w:rsidR="00785D25" w:rsidRDefault="00785D25" w:rsidP="00910E17">
            <w:pPr>
              <w:pStyle w:val="CETBodytext"/>
              <w:ind w:right="-1"/>
              <w:rPr>
                <w:rFonts w:cs="Arial"/>
                <w:szCs w:val="18"/>
                <w:lang w:val="en-GB"/>
              </w:rPr>
            </w:pPr>
            <w:r>
              <w:rPr>
                <w:rFonts w:cs="Arial"/>
                <w:szCs w:val="18"/>
                <w:lang w:val="en-GB"/>
              </w:rPr>
              <w:t>10.8±</w:t>
            </w:r>
            <w:r w:rsidR="00793BDF">
              <w:rPr>
                <w:rFonts w:cs="Arial"/>
                <w:szCs w:val="18"/>
                <w:lang w:val="en-GB"/>
              </w:rPr>
              <w:t>2</w:t>
            </w:r>
            <w:r>
              <w:rPr>
                <w:rFonts w:cs="Arial"/>
                <w:szCs w:val="18"/>
                <w:lang w:val="en-GB"/>
              </w:rPr>
              <w:t xml:space="preserve"> %</w:t>
            </w:r>
          </w:p>
        </w:tc>
      </w:tr>
      <w:tr w:rsidR="00785D25" w:rsidRPr="00B57B36" w14:paraId="584953C6" w14:textId="77777777" w:rsidTr="002C22DB">
        <w:tc>
          <w:tcPr>
            <w:tcW w:w="567" w:type="dxa"/>
            <w:shd w:val="clear" w:color="auto" w:fill="FFFFFF"/>
          </w:tcPr>
          <w:p w14:paraId="5563E0FC" w14:textId="6CAC6576" w:rsidR="00785D25" w:rsidRDefault="00785D25" w:rsidP="00910E17">
            <w:pPr>
              <w:pStyle w:val="CETBodytext"/>
              <w:ind w:right="-1"/>
              <w:rPr>
                <w:rFonts w:cs="Arial"/>
                <w:szCs w:val="18"/>
                <w:lang w:val="en-GB"/>
              </w:rPr>
            </w:pPr>
            <w:r>
              <w:rPr>
                <w:rFonts w:cs="Arial"/>
                <w:szCs w:val="18"/>
                <w:lang w:val="en-GB"/>
              </w:rPr>
              <w:t>#3b</w:t>
            </w:r>
          </w:p>
        </w:tc>
        <w:tc>
          <w:tcPr>
            <w:tcW w:w="1276" w:type="dxa"/>
            <w:shd w:val="clear" w:color="auto" w:fill="FFFFFF"/>
          </w:tcPr>
          <w:p w14:paraId="1D3D7C70" w14:textId="3EDC0B17" w:rsidR="00785D25" w:rsidRPr="00B57B36" w:rsidRDefault="00785D25" w:rsidP="00910E17">
            <w:pPr>
              <w:pStyle w:val="CETBodytext"/>
              <w:ind w:right="-1"/>
              <w:rPr>
                <w:rFonts w:cs="Arial"/>
                <w:szCs w:val="18"/>
                <w:lang w:val="en-GB"/>
              </w:rPr>
            </w:pPr>
            <w:r>
              <w:rPr>
                <w:rFonts w:cs="Arial"/>
                <w:szCs w:val="18"/>
                <w:lang w:val="en-GB"/>
              </w:rPr>
              <w:t>2.04±2 %</w:t>
            </w:r>
          </w:p>
        </w:tc>
        <w:tc>
          <w:tcPr>
            <w:tcW w:w="1418" w:type="dxa"/>
            <w:shd w:val="clear" w:color="auto" w:fill="FFFFFF"/>
          </w:tcPr>
          <w:p w14:paraId="5ADB8996" w14:textId="4C3060D3" w:rsidR="00785D25" w:rsidRPr="00780A73" w:rsidRDefault="00785D25" w:rsidP="00910E17">
            <w:pPr>
              <w:pStyle w:val="CETBodytext"/>
              <w:ind w:right="-1"/>
              <w:rPr>
                <w:rFonts w:cs="Arial"/>
                <w:szCs w:val="18"/>
                <w:lang w:val="en-GB"/>
              </w:rPr>
            </w:pPr>
            <w:r w:rsidRPr="00780A73">
              <w:rPr>
                <w:rFonts w:cs="Arial"/>
                <w:szCs w:val="18"/>
                <w:lang w:val="en-GB"/>
              </w:rPr>
              <w:t>12±3 %</w:t>
            </w:r>
          </w:p>
        </w:tc>
        <w:tc>
          <w:tcPr>
            <w:tcW w:w="1417" w:type="dxa"/>
            <w:shd w:val="clear" w:color="auto" w:fill="FFFFFF"/>
          </w:tcPr>
          <w:p w14:paraId="1D313548" w14:textId="0D2197C9" w:rsidR="00785D25" w:rsidRDefault="00785D25" w:rsidP="00910E17">
            <w:pPr>
              <w:pStyle w:val="CETBodytext"/>
              <w:ind w:right="-1"/>
              <w:rPr>
                <w:rFonts w:cs="Arial"/>
                <w:szCs w:val="18"/>
                <w:lang w:val="en-GB"/>
              </w:rPr>
            </w:pPr>
            <w:r>
              <w:rPr>
                <w:rFonts w:cs="Arial"/>
                <w:szCs w:val="18"/>
                <w:lang w:val="en-GB"/>
              </w:rPr>
              <w:t>1.0</w:t>
            </w:r>
            <w:r>
              <w:rPr>
                <w:lang w:val="en-GB"/>
              </w:rPr>
              <w:t>0</w:t>
            </w:r>
            <w:r>
              <w:rPr>
                <w:rFonts w:cs="Arial"/>
                <w:szCs w:val="18"/>
                <w:lang w:val="en-GB"/>
              </w:rPr>
              <w:t>±2 %</w:t>
            </w:r>
          </w:p>
        </w:tc>
        <w:tc>
          <w:tcPr>
            <w:tcW w:w="1418" w:type="dxa"/>
            <w:shd w:val="clear" w:color="auto" w:fill="FFFFFF"/>
          </w:tcPr>
          <w:p w14:paraId="03D5C4EE" w14:textId="66A335E2" w:rsidR="00785D25" w:rsidRDefault="00785D25" w:rsidP="00910E17">
            <w:pPr>
              <w:pStyle w:val="CETBodytext"/>
              <w:ind w:right="-1"/>
              <w:rPr>
                <w:rFonts w:cs="Arial"/>
                <w:szCs w:val="18"/>
                <w:lang w:val="en-GB"/>
              </w:rPr>
            </w:pPr>
            <w:r>
              <w:rPr>
                <w:rFonts w:cs="Arial"/>
                <w:szCs w:val="18"/>
                <w:lang w:val="en-GB"/>
              </w:rPr>
              <w:t>94±3 %</w:t>
            </w:r>
          </w:p>
        </w:tc>
        <w:tc>
          <w:tcPr>
            <w:tcW w:w="1417" w:type="dxa"/>
            <w:shd w:val="clear" w:color="auto" w:fill="FFFFFF"/>
          </w:tcPr>
          <w:p w14:paraId="333A2279" w14:textId="104BF85C" w:rsidR="00785D25" w:rsidRDefault="00785D25" w:rsidP="00910E17">
            <w:pPr>
              <w:pStyle w:val="CETBodytext"/>
              <w:ind w:right="-1"/>
              <w:rPr>
                <w:rFonts w:cs="Arial"/>
                <w:szCs w:val="18"/>
                <w:lang w:val="en-GB"/>
              </w:rPr>
            </w:pPr>
            <w:r>
              <w:rPr>
                <w:rFonts w:cs="Arial"/>
                <w:szCs w:val="18"/>
                <w:lang w:val="en-GB"/>
              </w:rPr>
              <w:t>12.8±</w:t>
            </w:r>
            <w:r w:rsidR="00793BDF">
              <w:rPr>
                <w:rFonts w:cs="Arial"/>
                <w:szCs w:val="18"/>
                <w:lang w:val="en-GB"/>
              </w:rPr>
              <w:t>2</w:t>
            </w:r>
            <w:r>
              <w:rPr>
                <w:rFonts w:cs="Arial"/>
                <w:szCs w:val="18"/>
                <w:lang w:val="en-GB"/>
              </w:rPr>
              <w:t xml:space="preserve"> %</w:t>
            </w:r>
          </w:p>
        </w:tc>
      </w:tr>
    </w:tbl>
    <w:p w14:paraId="5AD93A25" w14:textId="77777777" w:rsidR="00A966E3" w:rsidRDefault="00A966E3" w:rsidP="00453E24">
      <w:pPr>
        <w:pStyle w:val="CETBodytext"/>
      </w:pPr>
    </w:p>
    <w:p w14:paraId="0636B784" w14:textId="7353E1A9" w:rsidR="00453E24" w:rsidRDefault="001828A3" w:rsidP="00453E24">
      <w:pPr>
        <w:pStyle w:val="CETheadingx"/>
      </w:pPr>
      <w:r>
        <w:t>Mg(OH)</w:t>
      </w:r>
      <w:r w:rsidRPr="001828A3">
        <w:rPr>
          <w:vertAlign w:val="subscript"/>
        </w:rPr>
        <w:t>2</w:t>
      </w:r>
      <w:r>
        <w:t xml:space="preserve"> suspensions and powder</w:t>
      </w:r>
      <w:r w:rsidR="004E727A">
        <w:t>s</w:t>
      </w:r>
      <w:r>
        <w:t xml:space="preserve"> characterization </w:t>
      </w:r>
    </w:p>
    <w:p w14:paraId="5935FB72" w14:textId="01DBB295" w:rsidR="00CD1A87" w:rsidRPr="006D02F1" w:rsidRDefault="001828A3" w:rsidP="001828A3">
      <w:pPr>
        <w:pStyle w:val="CETBodytext"/>
        <w:rPr>
          <w:rFonts w:cs="Arial"/>
        </w:rPr>
      </w:pPr>
      <w:r w:rsidRPr="006D02F1">
        <w:rPr>
          <w:rFonts w:cs="Arial"/>
        </w:rPr>
        <w:t>Mg(OH)</w:t>
      </w:r>
      <w:r w:rsidRPr="006D02F1">
        <w:rPr>
          <w:rFonts w:cs="Arial"/>
          <w:vertAlign w:val="subscript"/>
        </w:rPr>
        <w:t xml:space="preserve">2 </w:t>
      </w:r>
      <w:r w:rsidRPr="006D02F1">
        <w:rPr>
          <w:rFonts w:cs="Arial"/>
        </w:rPr>
        <w:t>suspension</w:t>
      </w:r>
      <w:r w:rsidR="004E727A" w:rsidRPr="006D02F1">
        <w:rPr>
          <w:rFonts w:cs="Arial"/>
        </w:rPr>
        <w:t>s</w:t>
      </w:r>
      <w:r w:rsidRPr="006D02F1">
        <w:rPr>
          <w:rFonts w:cs="Arial"/>
        </w:rPr>
        <w:t xml:space="preserve"> </w:t>
      </w:r>
      <w:r w:rsidR="004E727A" w:rsidRPr="006D02F1">
        <w:rPr>
          <w:rFonts w:cs="Arial"/>
        </w:rPr>
        <w:t>were collected</w:t>
      </w:r>
      <w:r w:rsidR="00461CB4" w:rsidRPr="006D02F1">
        <w:rPr>
          <w:rFonts w:cs="Arial"/>
        </w:rPr>
        <w:t xml:space="preserve"> at the outlet of the reactor</w:t>
      </w:r>
      <w:r w:rsidR="004E727A" w:rsidRPr="006D02F1">
        <w:rPr>
          <w:rFonts w:cs="Arial"/>
        </w:rPr>
        <w:t xml:space="preserve"> after </w:t>
      </w:r>
      <w:r w:rsidR="00461CB4" w:rsidRPr="006D02F1">
        <w:rPr>
          <w:rFonts w:cs="Arial"/>
        </w:rPr>
        <w:t xml:space="preserve">a </w:t>
      </w:r>
      <w:r w:rsidR="004E727A" w:rsidRPr="006D02F1">
        <w:rPr>
          <w:rFonts w:cs="Arial"/>
        </w:rPr>
        <w:t xml:space="preserve">start-up phase of </w:t>
      </w:r>
      <w:r w:rsidR="00461CB4" w:rsidRPr="006D02F1">
        <w:rPr>
          <w:rFonts w:cs="Arial"/>
        </w:rPr>
        <w:t>about 15 minutes</w:t>
      </w:r>
      <w:r w:rsidR="004E727A" w:rsidRPr="006D02F1">
        <w:rPr>
          <w:rFonts w:cs="Arial"/>
        </w:rPr>
        <w:t xml:space="preserve">. </w:t>
      </w:r>
      <w:r w:rsidR="00827C4C" w:rsidRPr="006D02F1">
        <w:rPr>
          <w:rFonts w:cs="Arial"/>
          <w:color w:val="00B050"/>
        </w:rPr>
        <w:t xml:space="preserve">In settling tests, </w:t>
      </w:r>
      <w:r w:rsidRPr="006D02F1">
        <w:rPr>
          <w:rFonts w:cs="Arial"/>
          <w:color w:val="00B050"/>
        </w:rPr>
        <w:t>two 100 mL graduated cylinders</w:t>
      </w:r>
      <w:r w:rsidR="00827C4C" w:rsidRPr="006D02F1">
        <w:rPr>
          <w:rFonts w:cs="Arial"/>
          <w:color w:val="00B050"/>
        </w:rPr>
        <w:t xml:space="preserve"> were </w:t>
      </w:r>
      <w:r w:rsidR="00AE027A" w:rsidRPr="006D02F1">
        <w:rPr>
          <w:rFonts w:cs="Arial"/>
          <w:color w:val="00B050"/>
        </w:rPr>
        <w:t>filled</w:t>
      </w:r>
      <w:r w:rsidR="0031693D" w:rsidRPr="006D02F1">
        <w:rPr>
          <w:rFonts w:cs="Arial"/>
          <w:color w:val="00B050"/>
        </w:rPr>
        <w:t>,</w:t>
      </w:r>
      <w:r w:rsidR="00827C4C" w:rsidRPr="006D02F1">
        <w:rPr>
          <w:rFonts w:cs="Arial"/>
          <w:color w:val="00B050"/>
        </w:rPr>
        <w:t xml:space="preserve"> and the </w:t>
      </w:r>
      <w:r w:rsidR="00671215" w:rsidRPr="006D02F1">
        <w:rPr>
          <w:rFonts w:cs="Arial"/>
          <w:color w:val="00B050"/>
        </w:rPr>
        <w:t xml:space="preserve">settled volume </w:t>
      </w:r>
      <w:r w:rsidR="00827C4C" w:rsidRPr="006D02F1">
        <w:rPr>
          <w:rFonts w:cs="Arial"/>
          <w:color w:val="00B050"/>
        </w:rPr>
        <w:t xml:space="preserve">was recorded </w:t>
      </w:r>
      <w:r w:rsidRPr="006D02F1">
        <w:rPr>
          <w:rFonts w:cs="Arial"/>
          <w:color w:val="00B050"/>
        </w:rPr>
        <w:t xml:space="preserve">for </w:t>
      </w:r>
      <w:r w:rsidR="00C64932" w:rsidRPr="006D02F1">
        <w:rPr>
          <w:rFonts w:cs="Arial"/>
          <w:color w:val="00B050"/>
        </w:rPr>
        <w:t xml:space="preserve">about </w:t>
      </w:r>
      <w:r w:rsidRPr="006D02F1">
        <w:rPr>
          <w:rFonts w:cs="Arial"/>
          <w:color w:val="00B050"/>
        </w:rPr>
        <w:t>48</w:t>
      </w:r>
      <w:r w:rsidR="009F5692" w:rsidRPr="006D02F1">
        <w:rPr>
          <w:rFonts w:cs="Arial"/>
          <w:color w:val="00B050"/>
        </w:rPr>
        <w:t xml:space="preserve"> </w:t>
      </w:r>
      <w:r w:rsidRPr="006D02F1">
        <w:rPr>
          <w:rFonts w:cs="Arial"/>
          <w:color w:val="00B050"/>
        </w:rPr>
        <w:t>h</w:t>
      </w:r>
      <w:r w:rsidR="00313512" w:rsidRPr="006D02F1">
        <w:rPr>
          <w:rFonts w:cs="Arial"/>
          <w:color w:val="00B050"/>
        </w:rPr>
        <w:t>.</w:t>
      </w:r>
      <w:r w:rsidR="00313512" w:rsidRPr="006D02F1">
        <w:rPr>
          <w:rFonts w:cs="Arial"/>
        </w:rPr>
        <w:t xml:space="preserve"> Suspensions were then re-suspended and filtered</w:t>
      </w:r>
      <w:r w:rsidR="00AE027A" w:rsidRPr="006D02F1">
        <w:rPr>
          <w:rFonts w:cs="Arial"/>
        </w:rPr>
        <w:t xml:space="preserve">. </w:t>
      </w:r>
      <w:r w:rsidR="00AE027A" w:rsidRPr="006D02F1">
        <w:rPr>
          <w:rFonts w:cs="Arial"/>
          <w:color w:val="00B050"/>
        </w:rPr>
        <w:t>Specifically, the filtration time required to obtain an 80 mL filtered clarified solution was recorded for each sample</w:t>
      </w:r>
      <w:r w:rsidR="00F35976" w:rsidRPr="006D02F1">
        <w:rPr>
          <w:rFonts w:cs="Arial"/>
          <w:color w:val="00B050"/>
        </w:rPr>
        <w:t>. F</w:t>
      </w:r>
      <w:r w:rsidR="00AE027A" w:rsidRPr="006D02F1">
        <w:rPr>
          <w:rFonts w:cs="Arial"/>
          <w:color w:val="00B050"/>
        </w:rPr>
        <w:t xml:space="preserve">iltration tests </w:t>
      </w:r>
      <w:r w:rsidR="00F35976" w:rsidRPr="006D02F1">
        <w:rPr>
          <w:rFonts w:cs="Arial"/>
          <w:color w:val="00B050"/>
        </w:rPr>
        <w:t xml:space="preserve">were conducted </w:t>
      </w:r>
      <w:r w:rsidR="00313512" w:rsidRPr="006D02F1">
        <w:rPr>
          <w:rFonts w:cs="Arial"/>
          <w:color w:val="00B050"/>
        </w:rPr>
        <w:t>at a constant vacuum pressure of 0.5 bar using a vacuum pump</w:t>
      </w:r>
      <w:r w:rsidR="00D9031B" w:rsidRPr="006D02F1">
        <w:rPr>
          <w:rFonts w:cs="Arial"/>
          <w:color w:val="00B050"/>
        </w:rPr>
        <w:t xml:space="preserve"> (Buchi V-100)</w:t>
      </w:r>
      <w:r w:rsidR="001F0618" w:rsidRPr="006D02F1">
        <w:rPr>
          <w:rFonts w:cs="Arial"/>
          <w:color w:val="00B050"/>
        </w:rPr>
        <w:t xml:space="preserve">, </w:t>
      </w:r>
      <w:r w:rsidR="00313512" w:rsidRPr="006D02F1">
        <w:rPr>
          <w:rFonts w:cs="Arial"/>
          <w:color w:val="00B050"/>
        </w:rPr>
        <w:t xml:space="preserve">a </w:t>
      </w:r>
      <w:r w:rsidR="00D32DF0" w:rsidRPr="006D02F1">
        <w:rPr>
          <w:rFonts w:cs="Arial"/>
          <w:color w:val="00B050"/>
        </w:rPr>
        <w:t xml:space="preserve">Buchner funnel and 1.8 µm glass </w:t>
      </w:r>
      <w:r w:rsidR="00FE1A7B" w:rsidRPr="006D02F1">
        <w:rPr>
          <w:rFonts w:cs="Arial"/>
          <w:color w:val="00B050"/>
        </w:rPr>
        <w:t>fiber</w:t>
      </w:r>
      <w:r w:rsidR="00D32DF0" w:rsidRPr="006D02F1">
        <w:rPr>
          <w:rFonts w:cs="Arial"/>
          <w:color w:val="00B050"/>
        </w:rPr>
        <w:t xml:space="preserve"> filters (GE Healthcare Life Science Whatman™)</w:t>
      </w:r>
      <w:r w:rsidR="00313512" w:rsidRPr="006D02F1">
        <w:rPr>
          <w:rFonts w:cs="Arial"/>
          <w:color w:val="00B050"/>
        </w:rPr>
        <w:t xml:space="preserve">. </w:t>
      </w:r>
      <w:r w:rsidR="001C077D" w:rsidRPr="006D02F1">
        <w:rPr>
          <w:rFonts w:cs="Arial"/>
        </w:rPr>
        <w:t xml:space="preserve">After, </w:t>
      </w:r>
      <w:r w:rsidR="005B64C3" w:rsidRPr="006D02F1">
        <w:rPr>
          <w:rFonts w:cs="Arial"/>
        </w:rPr>
        <w:t xml:space="preserve">the </w:t>
      </w:r>
      <w:r w:rsidR="0015778C" w:rsidRPr="006D02F1">
        <w:rPr>
          <w:rFonts w:cs="Arial"/>
        </w:rPr>
        <w:t>Mg(OH)</w:t>
      </w:r>
      <w:r w:rsidR="0015778C" w:rsidRPr="006D02F1">
        <w:rPr>
          <w:rFonts w:cs="Arial"/>
          <w:vertAlign w:val="subscript"/>
        </w:rPr>
        <w:t xml:space="preserve">2 </w:t>
      </w:r>
      <w:r w:rsidR="00EB4ABE" w:rsidRPr="006D02F1">
        <w:rPr>
          <w:rFonts w:cs="Arial"/>
        </w:rPr>
        <w:t xml:space="preserve">cake </w:t>
      </w:r>
      <w:r w:rsidR="0015778C" w:rsidRPr="006D02F1">
        <w:rPr>
          <w:rFonts w:cs="Arial"/>
        </w:rPr>
        <w:t xml:space="preserve">was accurately washed with </w:t>
      </w:r>
      <w:r w:rsidR="00891C33" w:rsidRPr="006D02F1">
        <w:rPr>
          <w:rFonts w:cs="Arial"/>
        </w:rPr>
        <w:t xml:space="preserve">distilled </w:t>
      </w:r>
      <w:r w:rsidR="0015778C" w:rsidRPr="006D02F1">
        <w:rPr>
          <w:rFonts w:cs="Arial"/>
        </w:rPr>
        <w:t>water (</w:t>
      </w:r>
      <w:r w:rsidR="00891C33" w:rsidRPr="006D02F1">
        <w:rPr>
          <w:rFonts w:cs="Arial"/>
        </w:rPr>
        <w:t xml:space="preserve">~10 </w:t>
      </w:r>
      <w:r w:rsidR="0015778C" w:rsidRPr="006D02F1">
        <w:rPr>
          <w:rFonts w:cs="Arial"/>
        </w:rPr>
        <w:t xml:space="preserve">µS/cm) until the filtered </w:t>
      </w:r>
      <w:r w:rsidR="00621985" w:rsidRPr="006D02F1">
        <w:rPr>
          <w:rFonts w:cs="Arial"/>
        </w:rPr>
        <w:t>water</w:t>
      </w:r>
      <w:r w:rsidR="0015778C" w:rsidRPr="006D02F1">
        <w:rPr>
          <w:rFonts w:cs="Arial"/>
        </w:rPr>
        <w:t xml:space="preserve"> reached </w:t>
      </w:r>
      <w:r w:rsidR="00EB4ABE" w:rsidRPr="006D02F1">
        <w:rPr>
          <w:rFonts w:cs="Arial"/>
        </w:rPr>
        <w:t xml:space="preserve">a conductivity </w:t>
      </w:r>
      <w:r w:rsidR="004340E4" w:rsidRPr="006D02F1">
        <w:rPr>
          <w:rFonts w:cs="Arial"/>
        </w:rPr>
        <w:t>&lt;</w:t>
      </w:r>
      <w:r w:rsidR="0015778C" w:rsidRPr="006D02F1">
        <w:rPr>
          <w:rFonts w:cs="Arial"/>
        </w:rPr>
        <w:t xml:space="preserve">150 µS/cm. The washing step </w:t>
      </w:r>
      <w:r w:rsidR="00EB4ABE" w:rsidRPr="006D02F1">
        <w:rPr>
          <w:rFonts w:cs="Arial"/>
        </w:rPr>
        <w:t>removed</w:t>
      </w:r>
      <w:r w:rsidR="0015778C" w:rsidRPr="006D02F1">
        <w:rPr>
          <w:rFonts w:cs="Arial"/>
        </w:rPr>
        <w:t xml:space="preserve"> </w:t>
      </w:r>
      <w:r w:rsidR="004927A2" w:rsidRPr="006D02F1">
        <w:rPr>
          <w:rFonts w:cs="Arial"/>
        </w:rPr>
        <w:t>mother liquor</w:t>
      </w:r>
      <w:r w:rsidR="00EB4ABE" w:rsidRPr="006D02F1">
        <w:rPr>
          <w:rFonts w:cs="Arial"/>
        </w:rPr>
        <w:t xml:space="preserve"> and reaction by-products</w:t>
      </w:r>
      <w:r w:rsidR="004927A2" w:rsidRPr="006D02F1">
        <w:rPr>
          <w:rFonts w:cs="Arial"/>
        </w:rPr>
        <w:t xml:space="preserve"> entrapped in the cake</w:t>
      </w:r>
      <w:r w:rsidR="0060168A" w:rsidRPr="006D02F1">
        <w:rPr>
          <w:rFonts w:cs="Arial"/>
        </w:rPr>
        <w:t xml:space="preserve">. </w:t>
      </w:r>
      <w:r w:rsidR="005B64C3" w:rsidRPr="006D02F1">
        <w:rPr>
          <w:rFonts w:cs="Arial"/>
        </w:rPr>
        <w:t xml:space="preserve">The </w:t>
      </w:r>
      <w:r w:rsidR="0060168A" w:rsidRPr="006D02F1">
        <w:rPr>
          <w:rFonts w:cs="Arial"/>
        </w:rPr>
        <w:t>Mg(OH)</w:t>
      </w:r>
      <w:r w:rsidR="0060168A" w:rsidRPr="006D02F1">
        <w:rPr>
          <w:rFonts w:cs="Arial"/>
          <w:vertAlign w:val="subscript"/>
        </w:rPr>
        <w:t xml:space="preserve">2 </w:t>
      </w:r>
      <w:r w:rsidR="0060168A" w:rsidRPr="006D02F1">
        <w:rPr>
          <w:rFonts w:cs="Arial"/>
        </w:rPr>
        <w:t>cake was dried for 24</w:t>
      </w:r>
      <w:r w:rsidR="00974B51" w:rsidRPr="006D02F1">
        <w:rPr>
          <w:rFonts w:cs="Arial"/>
        </w:rPr>
        <w:t xml:space="preserve"> </w:t>
      </w:r>
      <w:r w:rsidR="0060168A" w:rsidRPr="006D02F1">
        <w:rPr>
          <w:rFonts w:cs="Arial"/>
        </w:rPr>
        <w:t xml:space="preserve">h in </w:t>
      </w:r>
      <w:r w:rsidR="00EB4ABE" w:rsidRPr="006D02F1">
        <w:rPr>
          <w:rFonts w:cs="Arial"/>
        </w:rPr>
        <w:t>an</w:t>
      </w:r>
      <w:r w:rsidR="0060168A" w:rsidRPr="006D02F1">
        <w:rPr>
          <w:rFonts w:cs="Arial"/>
        </w:rPr>
        <w:t xml:space="preserve"> oven</w:t>
      </w:r>
      <w:r w:rsidR="00EB4ABE" w:rsidRPr="006D02F1">
        <w:rPr>
          <w:rFonts w:cs="Arial"/>
        </w:rPr>
        <w:t>.</w:t>
      </w:r>
      <w:r w:rsidR="006B3267" w:rsidRPr="006D02F1">
        <w:rPr>
          <w:rFonts w:cs="Arial"/>
        </w:rPr>
        <w:t xml:space="preserve"> Finally, ~</w:t>
      </w:r>
      <w:r w:rsidR="0060168A" w:rsidRPr="006D02F1">
        <w:rPr>
          <w:rFonts w:cs="Arial"/>
        </w:rPr>
        <w:t>150 mg</w:t>
      </w:r>
      <w:r w:rsidR="00EB4ABE" w:rsidRPr="006D02F1">
        <w:rPr>
          <w:rFonts w:cs="Arial"/>
        </w:rPr>
        <w:t xml:space="preserve"> </w:t>
      </w:r>
      <w:r w:rsidR="00E76B56" w:rsidRPr="006D02F1">
        <w:rPr>
          <w:rFonts w:cs="Arial"/>
        </w:rPr>
        <w:t>was</w:t>
      </w:r>
      <w:r w:rsidR="0060168A" w:rsidRPr="006D02F1">
        <w:rPr>
          <w:rFonts w:cs="Arial"/>
        </w:rPr>
        <w:t xml:space="preserve"> dissolved in </w:t>
      </w:r>
      <w:r w:rsidR="00543BC3" w:rsidRPr="006D02F1">
        <w:rPr>
          <w:rFonts w:cs="Arial"/>
        </w:rPr>
        <w:t>2</w:t>
      </w:r>
      <w:r w:rsidR="001B7E5C" w:rsidRPr="006D02F1">
        <w:rPr>
          <w:rFonts w:cs="Arial"/>
        </w:rPr>
        <w:t xml:space="preserve"> </w:t>
      </w:r>
      <w:r w:rsidR="002258E6" w:rsidRPr="006D02F1">
        <w:rPr>
          <w:rFonts w:cs="Arial"/>
        </w:rPr>
        <w:t>wt</w:t>
      </w:r>
      <w:r w:rsidR="00543BC3" w:rsidRPr="006D02F1">
        <w:rPr>
          <w:rFonts w:cs="Arial"/>
        </w:rPr>
        <w:t>%</w:t>
      </w:r>
      <w:r w:rsidR="002258E6" w:rsidRPr="006D02F1">
        <w:rPr>
          <w:rFonts w:cs="Arial"/>
        </w:rPr>
        <w:t xml:space="preserve">. </w:t>
      </w:r>
      <w:r w:rsidR="00AD6FA3" w:rsidRPr="006D02F1">
        <w:rPr>
          <w:rFonts w:cs="Arial"/>
        </w:rPr>
        <w:t>nitric acid (</w:t>
      </w:r>
      <w:r w:rsidR="00AD6FA3" w:rsidRPr="006D02F1">
        <w:rPr>
          <w:rFonts w:cs="Arial"/>
          <w:szCs w:val="18"/>
        </w:rPr>
        <w:t>Trace SELECT</w:t>
      </w:r>
      <w:r w:rsidR="00AD6FA3" w:rsidRPr="006D02F1">
        <w:rPr>
          <w:rFonts w:cs="Arial"/>
        </w:rPr>
        <w:t xml:space="preserve">, 65 </w:t>
      </w:r>
      <w:r w:rsidR="00DE692E" w:rsidRPr="006D02F1">
        <w:rPr>
          <w:rFonts w:cs="Arial"/>
        </w:rPr>
        <w:t>wt</w:t>
      </w:r>
      <w:r w:rsidR="00AD6FA3" w:rsidRPr="006D02F1">
        <w:rPr>
          <w:rFonts w:cs="Arial"/>
        </w:rPr>
        <w:t xml:space="preserve">%, Honeywell Fluka) </w:t>
      </w:r>
      <w:r w:rsidR="00543BC3" w:rsidRPr="006D02F1">
        <w:rPr>
          <w:rFonts w:cs="Arial"/>
        </w:rPr>
        <w:t>solution</w:t>
      </w:r>
      <w:r w:rsidR="00FC66AA" w:rsidRPr="006D02F1">
        <w:rPr>
          <w:rFonts w:cs="Arial"/>
        </w:rPr>
        <w:t xml:space="preserve"> </w:t>
      </w:r>
      <w:r w:rsidR="00D6531B" w:rsidRPr="006D02F1">
        <w:rPr>
          <w:rFonts w:cs="Arial"/>
        </w:rPr>
        <w:t xml:space="preserve">and </w:t>
      </w:r>
      <w:r w:rsidR="00CD1A87" w:rsidRPr="006D02F1">
        <w:rPr>
          <w:rFonts w:cs="Arial"/>
        </w:rPr>
        <w:t>powder</w:t>
      </w:r>
      <w:r w:rsidR="00974B51" w:rsidRPr="006D02F1">
        <w:rPr>
          <w:rFonts w:cs="Arial"/>
        </w:rPr>
        <w:t xml:space="preserve"> </w:t>
      </w:r>
      <w:r w:rsidR="00CD1A87" w:rsidRPr="006D02F1">
        <w:rPr>
          <w:rFonts w:cs="Arial"/>
        </w:rPr>
        <w:t>cationic purity</w:t>
      </w:r>
      <w:r w:rsidR="00EB4ABE" w:rsidRPr="006D02F1">
        <w:rPr>
          <w:rFonts w:cs="Arial"/>
        </w:rPr>
        <w:t xml:space="preserve"> was assessed via</w:t>
      </w:r>
      <w:r w:rsidR="00FC66AA" w:rsidRPr="006D02F1">
        <w:rPr>
          <w:rFonts w:cs="Arial"/>
        </w:rPr>
        <w:t xml:space="preserve"> </w:t>
      </w:r>
      <w:r w:rsidR="009F64F0" w:rsidRPr="006D02F1">
        <w:rPr>
          <w:rFonts w:cs="Arial"/>
        </w:rPr>
        <w:t>IC</w:t>
      </w:r>
      <w:r w:rsidR="00FC66AA" w:rsidRPr="006D02F1">
        <w:rPr>
          <w:rFonts w:cs="Arial"/>
        </w:rPr>
        <w:t xml:space="preserve">. </w:t>
      </w:r>
      <w:r w:rsidR="00CD1A87" w:rsidRPr="006D02F1">
        <w:rPr>
          <w:rFonts w:cs="Arial"/>
        </w:rPr>
        <w:t xml:space="preserve">Filtered clarified solutions </w:t>
      </w:r>
      <w:r w:rsidR="00CD1A87" w:rsidRPr="006D02F1">
        <w:rPr>
          <w:rFonts w:cs="Arial"/>
          <w:color w:val="F79646" w:themeColor="accent6"/>
        </w:rPr>
        <w:t xml:space="preserve">were </w:t>
      </w:r>
      <w:r w:rsidR="00D477B7" w:rsidRPr="006D02F1">
        <w:rPr>
          <w:rFonts w:cs="Arial"/>
          <w:color w:val="F79646" w:themeColor="accent6"/>
        </w:rPr>
        <w:t>analyzed</w:t>
      </w:r>
      <w:r w:rsidR="00CD1A87" w:rsidRPr="006D02F1">
        <w:rPr>
          <w:rFonts w:cs="Arial"/>
          <w:color w:val="F79646" w:themeColor="accent6"/>
        </w:rPr>
        <w:t xml:space="preserve"> by </w:t>
      </w:r>
      <w:r w:rsidR="00DD4ACB" w:rsidRPr="006D02F1">
        <w:rPr>
          <w:rFonts w:cs="Arial"/>
          <w:color w:val="F79646" w:themeColor="accent6"/>
        </w:rPr>
        <w:tab/>
        <w:t>Ethylenediaminetetraacetic</w:t>
      </w:r>
      <w:r w:rsidR="00D477B7" w:rsidRPr="006D02F1">
        <w:rPr>
          <w:rFonts w:cs="Arial"/>
          <w:color w:val="F79646" w:themeColor="accent6"/>
        </w:rPr>
        <w:t xml:space="preserve"> </w:t>
      </w:r>
      <w:r w:rsidR="00DD4ACB" w:rsidRPr="006D02F1">
        <w:rPr>
          <w:rFonts w:cs="Arial"/>
          <w:color w:val="F79646" w:themeColor="accent6"/>
        </w:rPr>
        <w:t xml:space="preserve">acid (EDTA) complexometric </w:t>
      </w:r>
      <w:r w:rsidR="00D477B7" w:rsidRPr="006D02F1">
        <w:rPr>
          <w:rFonts w:cs="Arial"/>
          <w:color w:val="F79646" w:themeColor="accent6"/>
        </w:rPr>
        <w:t>titration to</w:t>
      </w:r>
      <w:r w:rsidR="00CD1A87" w:rsidRPr="006D02F1">
        <w:rPr>
          <w:rFonts w:cs="Arial"/>
        </w:rPr>
        <w:t xml:space="preserve"> </w:t>
      </w:r>
      <w:r w:rsidR="00974B51" w:rsidRPr="006D02F1">
        <w:rPr>
          <w:rFonts w:cs="Arial"/>
        </w:rPr>
        <w:t>determine</w:t>
      </w:r>
      <w:r w:rsidR="00CD1A87" w:rsidRPr="006D02F1">
        <w:rPr>
          <w:rFonts w:cs="Arial"/>
        </w:rPr>
        <w:t xml:space="preserve"> Mg</w:t>
      </w:r>
      <w:r w:rsidR="00CD1A87" w:rsidRPr="006D02F1">
        <w:rPr>
          <w:rFonts w:cs="Arial"/>
          <w:vertAlign w:val="superscript"/>
        </w:rPr>
        <w:t xml:space="preserve">2+ </w:t>
      </w:r>
      <w:r w:rsidR="00CD1A87" w:rsidRPr="006D02F1">
        <w:rPr>
          <w:rFonts w:cs="Arial"/>
        </w:rPr>
        <w:t>recovery.</w:t>
      </w:r>
    </w:p>
    <w:p w14:paraId="2A8C40AA" w14:textId="20FCA3D9" w:rsidR="00F83C07" w:rsidRPr="006D02F1" w:rsidRDefault="00F83C07" w:rsidP="00F83C07">
      <w:pPr>
        <w:pStyle w:val="CETBodytext"/>
        <w:rPr>
          <w:rFonts w:cs="Arial"/>
        </w:rPr>
      </w:pPr>
      <w:r w:rsidRPr="006D02F1">
        <w:rPr>
          <w:rFonts w:cs="Arial"/>
          <w:lang w:val="en-GB"/>
        </w:rPr>
        <w:t>Mg</w:t>
      </w:r>
      <w:r w:rsidRPr="006D02F1">
        <w:rPr>
          <w:rFonts w:cs="Arial"/>
          <w:vertAlign w:val="superscript"/>
          <w:lang w:val="en-GB"/>
        </w:rPr>
        <w:t xml:space="preserve">2+ </w:t>
      </w:r>
      <w:r w:rsidRPr="006D02F1">
        <w:rPr>
          <w:rFonts w:cs="Arial"/>
          <w:lang w:val="en-GB"/>
        </w:rPr>
        <w:t>recovery, namely the amount of magnesium ions extracted from the bittern in the process, was defined as the difference between the initial Mg</w:t>
      </w:r>
      <w:r w:rsidRPr="006D02F1">
        <w:rPr>
          <w:rFonts w:cs="Arial"/>
          <w:vertAlign w:val="superscript"/>
          <w:lang w:val="en-GB"/>
        </w:rPr>
        <w:t>2+</w:t>
      </w:r>
      <w:r w:rsidRPr="006D02F1">
        <w:rPr>
          <w:rFonts w:cs="Arial"/>
          <w:lang w:val="en-GB"/>
        </w:rPr>
        <w:t xml:space="preserve"> concentration in the bittern and that in the filtered clarified solutions over the initial Mg</w:t>
      </w:r>
      <w:r w:rsidRPr="006D02F1">
        <w:rPr>
          <w:rFonts w:cs="Arial"/>
          <w:vertAlign w:val="superscript"/>
          <w:lang w:val="en-GB"/>
        </w:rPr>
        <w:t>2+</w:t>
      </w:r>
      <w:r w:rsidRPr="006D02F1">
        <w:rPr>
          <w:rFonts w:cs="Arial"/>
          <w:lang w:val="en-GB"/>
        </w:rPr>
        <w:t xml:space="preserve"> concentration in the bittern, as follows:</w:t>
      </w:r>
    </w:p>
    <w:tbl>
      <w:tblPr>
        <w:tblW w:w="5000" w:type="pct"/>
        <w:tblLook w:val="04A0" w:firstRow="1" w:lastRow="0" w:firstColumn="1" w:lastColumn="0" w:noHBand="0" w:noVBand="1"/>
      </w:tblPr>
      <w:tblGrid>
        <w:gridCol w:w="7986"/>
        <w:gridCol w:w="801"/>
      </w:tblGrid>
      <w:tr w:rsidR="00F83C07" w:rsidRPr="00B57B36" w14:paraId="2782F0BD" w14:textId="77777777" w:rsidTr="005B70F8">
        <w:tc>
          <w:tcPr>
            <w:tcW w:w="8188" w:type="dxa"/>
            <w:shd w:val="clear" w:color="auto" w:fill="auto"/>
            <w:vAlign w:val="center"/>
          </w:tcPr>
          <w:p w14:paraId="619975A0" w14:textId="77777777" w:rsidR="00F83C07" w:rsidRPr="00CB0A71" w:rsidRDefault="00000000" w:rsidP="005B70F8">
            <w:pPr>
              <w:pStyle w:val="CETEquation"/>
            </w:pPr>
            <m:oMathPara>
              <m:oMathParaPr>
                <m:jc m:val="left"/>
              </m:oMathParaPr>
              <m:oMath>
                <m:sSup>
                  <m:sSupPr>
                    <m:ctrlPr>
                      <w:rPr>
                        <w:rFonts w:ascii="Cambria Math" w:hAnsi="Cambria Math"/>
                        <w:i/>
                      </w:rPr>
                    </m:ctrlPr>
                  </m:sSupPr>
                  <m:e>
                    <m:r>
                      <w:rPr>
                        <w:rFonts w:ascii="Cambria Math" w:hAnsi="Cambria Math"/>
                      </w:rPr>
                      <m:t>Mg</m:t>
                    </m:r>
                  </m:e>
                  <m:sup>
                    <m:r>
                      <w:rPr>
                        <w:rFonts w:ascii="Cambria Math" w:hAnsi="Cambria Math"/>
                      </w:rPr>
                      <m:t>2+</m:t>
                    </m:r>
                  </m:sup>
                </m:sSup>
                <m:r>
                  <w:rPr>
                    <w:rFonts w:ascii="Cambria Math" w:hAnsi="Cambria Math"/>
                  </w:rPr>
                  <m:t xml:space="preserve">recovery= </m:t>
                </m:r>
                <m:f>
                  <m:fPr>
                    <m:ctrlPr>
                      <w:rPr>
                        <w:rFonts w:ascii="Cambria Math" w:hAnsi="Cambria Math"/>
                        <w:i/>
                      </w:rPr>
                    </m:ctrlPr>
                  </m:fPr>
                  <m:num>
                    <m:sSubSup>
                      <m:sSubSupPr>
                        <m:ctrlPr>
                          <w:rPr>
                            <w:rFonts w:ascii="Cambria Math" w:hAnsi="Cambria Math"/>
                            <w:i/>
                          </w:rPr>
                        </m:ctrlPr>
                      </m:sSubSupPr>
                      <m:e>
                        <m:r>
                          <w:rPr>
                            <w:rFonts w:ascii="Cambria Math" w:hAnsi="Cambria Math"/>
                          </w:rPr>
                          <m:t>Mg</m:t>
                        </m:r>
                      </m:e>
                      <m:sub>
                        <m:r>
                          <w:rPr>
                            <w:rFonts w:ascii="Cambria Math" w:hAnsi="Cambria Math"/>
                          </w:rPr>
                          <m:t>BITTERN</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Mg</m:t>
                        </m:r>
                      </m:e>
                      <m:sub>
                        <m:r>
                          <w:rPr>
                            <w:rFonts w:ascii="Cambria Math" w:hAnsi="Cambria Math"/>
                          </w:rPr>
                          <m:t>CLARIFIED</m:t>
                        </m:r>
                      </m:sub>
                      <m:sup>
                        <m:r>
                          <w:rPr>
                            <w:rFonts w:ascii="Cambria Math" w:hAnsi="Cambria Math"/>
                          </w:rPr>
                          <m:t>2+</m:t>
                        </m:r>
                      </m:sup>
                    </m:sSubSup>
                    <m:r>
                      <w:rPr>
                        <w:rFonts w:ascii="Cambria Math" w:hAnsi="Cambria Math"/>
                      </w:rPr>
                      <m:t>∙DF</m:t>
                    </m:r>
                  </m:num>
                  <m:den>
                    <m:sSubSup>
                      <m:sSubSupPr>
                        <m:ctrlPr>
                          <w:rPr>
                            <w:rFonts w:ascii="Cambria Math" w:hAnsi="Cambria Math"/>
                            <w:i/>
                          </w:rPr>
                        </m:ctrlPr>
                      </m:sSubSupPr>
                      <m:e>
                        <m:r>
                          <w:rPr>
                            <w:rFonts w:ascii="Cambria Math" w:hAnsi="Cambria Math"/>
                          </w:rPr>
                          <m:t>Mg</m:t>
                        </m:r>
                      </m:e>
                      <m:sub>
                        <m:r>
                          <w:rPr>
                            <w:rFonts w:ascii="Cambria Math" w:hAnsi="Cambria Math"/>
                          </w:rPr>
                          <m:t>BITTERN</m:t>
                        </m:r>
                      </m:sub>
                      <m:sup>
                        <m:r>
                          <w:rPr>
                            <w:rFonts w:ascii="Cambria Math" w:hAnsi="Cambria Math"/>
                          </w:rPr>
                          <m:t>2+</m:t>
                        </m:r>
                      </m:sup>
                    </m:sSubSup>
                  </m:den>
                </m:f>
              </m:oMath>
            </m:oMathPara>
          </w:p>
        </w:tc>
        <w:tc>
          <w:tcPr>
            <w:tcW w:w="815" w:type="dxa"/>
            <w:shd w:val="clear" w:color="auto" w:fill="auto"/>
            <w:vAlign w:val="center"/>
          </w:tcPr>
          <w:p w14:paraId="574259FC" w14:textId="568999CC" w:rsidR="00F83C07" w:rsidRPr="00B57B36" w:rsidRDefault="00F83C07" w:rsidP="005B70F8">
            <w:pPr>
              <w:pStyle w:val="CETEquation"/>
              <w:jc w:val="right"/>
            </w:pPr>
            <w:r w:rsidRPr="00B57B36">
              <w:t>(</w:t>
            </w:r>
            <w:r w:rsidR="00D2203B">
              <w:t>2</w:t>
            </w:r>
            <w:r w:rsidRPr="00B57B36">
              <w:t>)</w:t>
            </w:r>
          </w:p>
        </w:tc>
      </w:tr>
    </w:tbl>
    <w:p w14:paraId="09FFC695" w14:textId="01A39522" w:rsidR="001828A3" w:rsidRDefault="00F83C07" w:rsidP="001828A3">
      <w:pPr>
        <w:pStyle w:val="CETBodytext"/>
      </w:pPr>
      <w:r>
        <w:t xml:space="preserve">The </w:t>
      </w:r>
      <w:r>
        <w:rPr>
          <w:lang w:val="en-GB"/>
        </w:rPr>
        <w:t>Mg</w:t>
      </w:r>
      <w:r w:rsidRPr="00585279">
        <w:rPr>
          <w:vertAlign w:val="superscript"/>
          <w:lang w:val="en-GB"/>
        </w:rPr>
        <w:t>2+</w:t>
      </w:r>
      <w:r>
        <w:rPr>
          <w:lang w:val="en-GB"/>
        </w:rPr>
        <w:t xml:space="preserve"> concentration in the filtered clarified solutions was </w:t>
      </w:r>
      <w:r w:rsidRPr="00585279">
        <w:t>appropriately multiplied by a dilution factor</w:t>
      </w:r>
      <w:r>
        <w:t>,</w:t>
      </w:r>
      <w:r w:rsidRPr="002654F7">
        <w:rPr>
          <w:rFonts w:ascii="Cambria Math" w:hAnsi="Cambria Math"/>
          <w:i/>
        </w:rPr>
        <w:t xml:space="preserve"> </w:t>
      </w:r>
      <m:oMath>
        <m:r>
          <w:rPr>
            <w:rFonts w:ascii="Cambria Math" w:hAnsi="Cambria Math"/>
          </w:rPr>
          <m:t>DF=(</m:t>
        </m:r>
        <m:sSub>
          <m:sSubPr>
            <m:ctrlPr>
              <w:rPr>
                <w:rFonts w:ascii="Cambria Math" w:hAnsi="Cambria Math"/>
                <w:i/>
                <w:lang w:val="en-GB"/>
              </w:rPr>
            </m:ctrlPr>
          </m:sSubPr>
          <m:e>
            <m:r>
              <w:rPr>
                <w:rFonts w:ascii="Cambria Math" w:hAnsi="Cambria Math"/>
              </w:rPr>
              <m:t>Q</m:t>
            </m:r>
          </m:e>
          <m:sub>
            <m:r>
              <w:rPr>
                <w:rFonts w:ascii="Cambria Math" w:hAnsi="Cambria Math"/>
              </w:rPr>
              <m:t>BITTERN</m:t>
            </m:r>
          </m:sub>
        </m:sSub>
        <m:r>
          <w:rPr>
            <w:rFonts w:ascii="Cambria Math" w:hAnsi="Cambria Math"/>
          </w:rPr>
          <m:t>+</m:t>
        </m:r>
        <m:sSub>
          <m:sSubPr>
            <m:ctrlPr>
              <w:rPr>
                <w:rFonts w:ascii="Cambria Math" w:hAnsi="Cambria Math"/>
                <w:i/>
                <w:lang w:val="en-GB"/>
              </w:rPr>
            </m:ctrlPr>
          </m:sSubPr>
          <m:e>
            <m:r>
              <w:rPr>
                <w:rFonts w:ascii="Cambria Math" w:hAnsi="Cambria Math"/>
              </w:rPr>
              <m:t>Q</m:t>
            </m:r>
          </m:e>
          <m:sub>
            <m:r>
              <w:rPr>
                <w:rFonts w:ascii="Cambria Math" w:hAnsi="Cambria Math"/>
              </w:rPr>
              <m:t>NaOH</m:t>
            </m:r>
          </m:sub>
        </m:sSub>
        <m:r>
          <w:rPr>
            <w:rFonts w:ascii="Cambria Math" w:hAnsi="Cambria Math"/>
          </w:rPr>
          <m:t xml:space="preserve">)/ </m:t>
        </m:r>
        <m:sSub>
          <m:sSubPr>
            <m:ctrlPr>
              <w:rPr>
                <w:rFonts w:ascii="Cambria Math" w:hAnsi="Cambria Math"/>
                <w:i/>
                <w:lang w:val="en-GB"/>
              </w:rPr>
            </m:ctrlPr>
          </m:sSubPr>
          <m:e>
            <m:r>
              <w:rPr>
                <w:rFonts w:ascii="Cambria Math" w:hAnsi="Cambria Math"/>
              </w:rPr>
              <m:t>Q</m:t>
            </m:r>
          </m:e>
          <m:sub>
            <m:r>
              <w:rPr>
                <w:rFonts w:ascii="Cambria Math" w:hAnsi="Cambria Math"/>
              </w:rPr>
              <m:t>BITTERN</m:t>
            </m:r>
          </m:sub>
        </m:sSub>
      </m:oMath>
      <w:r>
        <w:t xml:space="preserve">, that </w:t>
      </w:r>
      <w:r w:rsidRPr="00585279">
        <w:t>consider</w:t>
      </w:r>
      <w:r>
        <w:t>s</w:t>
      </w:r>
      <w:r w:rsidRPr="00585279">
        <w:t xml:space="preserve"> the</w:t>
      </w:r>
      <w:r>
        <w:t xml:space="preserve"> dilution phenomenon caused by</w:t>
      </w:r>
      <w:r w:rsidRPr="00585279">
        <w:t xml:space="preserve"> mixing between the bittern and the NaOH</w:t>
      </w:r>
      <w:r w:rsidR="005A366F">
        <w:t xml:space="preserve"> flow rates</w:t>
      </w:r>
      <w:r w:rsidR="00112824">
        <w:t xml:space="preserve"> (</w:t>
      </w:r>
      <m:oMath>
        <m:r>
          <w:rPr>
            <w:rFonts w:ascii="Cambria Math" w:hAnsi="Cambria Math"/>
            <w:lang w:val="en-GB"/>
          </w:rPr>
          <m:t>Q</m:t>
        </m:r>
      </m:oMath>
      <w:r w:rsidR="00112824">
        <w:t>)</w:t>
      </w:r>
      <w:r>
        <w:rPr>
          <w:lang w:val="en-GB"/>
        </w:rPr>
        <w:t xml:space="preserve">. </w:t>
      </w:r>
      <w:r w:rsidR="001114B5">
        <w:t>C</w:t>
      </w:r>
      <w:r w:rsidR="00FC66AA">
        <w:t xml:space="preserve">ation purity was </w:t>
      </w:r>
      <w:r w:rsidR="00E20593">
        <w:t>calculated</w:t>
      </w:r>
      <w:r w:rsidR="00FC66AA">
        <w:t xml:space="preserve"> as the ratio between the Mg</w:t>
      </w:r>
      <w:r w:rsidR="00FC66AA" w:rsidRPr="00FC66AA">
        <w:rPr>
          <w:vertAlign w:val="superscript"/>
        </w:rPr>
        <w:t>2+</w:t>
      </w:r>
      <w:r w:rsidR="00FC66AA">
        <w:rPr>
          <w:vertAlign w:val="superscript"/>
        </w:rPr>
        <w:t xml:space="preserve"> </w:t>
      </w:r>
      <w:r w:rsidR="00FC66AA">
        <w:t xml:space="preserve">amount, </w:t>
      </w:r>
      <m:oMath>
        <m:sSubSup>
          <m:sSubSupPr>
            <m:ctrlPr>
              <w:rPr>
                <w:rFonts w:ascii="Cambria Math" w:hAnsi="Cambria Math"/>
                <w:i/>
                <w:lang w:val="en-GB"/>
              </w:rPr>
            </m:ctrlPr>
          </m:sSubSupPr>
          <m:e>
            <m:r>
              <w:rPr>
                <w:rFonts w:ascii="Cambria Math" w:hAnsi="Cambria Math"/>
              </w:rPr>
              <m:t>Mg</m:t>
            </m:r>
          </m:e>
          <m:sub>
            <m:r>
              <w:rPr>
                <w:rFonts w:ascii="Cambria Math" w:hAnsi="Cambria Math"/>
              </w:rPr>
              <m:t>IC</m:t>
            </m:r>
          </m:sub>
          <m:sup>
            <m:r>
              <w:rPr>
                <w:rFonts w:ascii="Cambria Math" w:hAnsi="Cambria Math"/>
              </w:rPr>
              <m:t>2+</m:t>
            </m:r>
          </m:sup>
        </m:sSubSup>
      </m:oMath>
      <w:r w:rsidR="00FC66AA">
        <w:rPr>
          <w:lang w:val="en-GB"/>
        </w:rPr>
        <w:t>,</w:t>
      </w:r>
      <w:r w:rsidR="00FC66AA">
        <w:t xml:space="preserve"> over the sum of all the cations, </w:t>
      </w:r>
      <m:oMath>
        <m:sSub>
          <m:sSubPr>
            <m:ctrlPr>
              <w:rPr>
                <w:rFonts w:ascii="Cambria Math" w:hAnsi="Cambria Math"/>
                <w:i/>
                <w:lang w:val="en-GB"/>
              </w:rPr>
            </m:ctrlPr>
          </m:sSubPr>
          <m:e>
            <m:r>
              <w:rPr>
                <w:rFonts w:ascii="Cambria Math" w:hAnsi="Cambria Math"/>
              </w:rPr>
              <m:t>c</m:t>
            </m:r>
          </m:e>
          <m:sub>
            <m:r>
              <w:rPr>
                <w:rFonts w:ascii="Cambria Math" w:hAnsi="Cambria Math"/>
              </w:rPr>
              <m:t>i</m:t>
            </m:r>
          </m:sub>
        </m:sSub>
      </m:oMath>
      <w:r w:rsidR="00FC66AA">
        <w:rPr>
          <w:lang w:val="en-GB"/>
        </w:rPr>
        <w:t>,</w:t>
      </w:r>
      <w:r w:rsidR="00FC66AA">
        <w:t xml:space="preserve"> </w:t>
      </w:r>
      <w:r w:rsidR="00DA6B6A">
        <w:t xml:space="preserve">detected by IC </w:t>
      </w:r>
      <w:r w:rsidR="0006337D">
        <w:t>in the dissolved Mg(OH)</w:t>
      </w:r>
      <w:r w:rsidR="0006337D" w:rsidRPr="0006337D">
        <w:rPr>
          <w:vertAlign w:val="subscript"/>
        </w:rPr>
        <w:t>2</w:t>
      </w:r>
      <w:r w:rsidR="0006337D">
        <w:t xml:space="preserve"> powders</w:t>
      </w:r>
      <w:r w:rsidR="00FC66AA">
        <w:t>:</w:t>
      </w:r>
    </w:p>
    <w:tbl>
      <w:tblPr>
        <w:tblW w:w="5000" w:type="pct"/>
        <w:tblLook w:val="04A0" w:firstRow="1" w:lastRow="0" w:firstColumn="1" w:lastColumn="0" w:noHBand="0" w:noVBand="1"/>
      </w:tblPr>
      <w:tblGrid>
        <w:gridCol w:w="7983"/>
        <w:gridCol w:w="804"/>
      </w:tblGrid>
      <w:tr w:rsidR="00FC66AA" w:rsidRPr="00B57B36" w14:paraId="13294731" w14:textId="77777777" w:rsidTr="001C0D65">
        <w:tc>
          <w:tcPr>
            <w:tcW w:w="8188" w:type="dxa"/>
            <w:shd w:val="clear" w:color="auto" w:fill="auto"/>
            <w:vAlign w:val="center"/>
          </w:tcPr>
          <w:p w14:paraId="13177428" w14:textId="6FAAF1BB" w:rsidR="00FC66AA" w:rsidRPr="00CB0A71" w:rsidRDefault="00FC66AA" w:rsidP="001C0D65">
            <w:pPr>
              <w:pStyle w:val="CETEquation"/>
            </w:pPr>
            <m:oMathPara>
              <m:oMathParaPr>
                <m:jc m:val="left"/>
              </m:oMathParaPr>
              <m:oMath>
                <m:r>
                  <w:rPr>
                    <w:rFonts w:ascii="Cambria Math" w:hAnsi="Cambria Math"/>
                  </w:rPr>
                  <m:t xml:space="preserve">Cation purity= </m:t>
                </m:r>
                <m:f>
                  <m:fPr>
                    <m:ctrlPr>
                      <w:rPr>
                        <w:rFonts w:ascii="Cambria Math" w:hAnsi="Cambria Math"/>
                        <w:i/>
                      </w:rPr>
                    </m:ctrlPr>
                  </m:fPr>
                  <m:num>
                    <m:sSubSup>
                      <m:sSubSupPr>
                        <m:ctrlPr>
                          <w:rPr>
                            <w:rFonts w:ascii="Cambria Math" w:hAnsi="Cambria Math"/>
                            <w:i/>
                          </w:rPr>
                        </m:ctrlPr>
                      </m:sSubSupPr>
                      <m:e>
                        <m:r>
                          <w:rPr>
                            <w:rFonts w:ascii="Cambria Math" w:hAnsi="Cambria Math"/>
                          </w:rPr>
                          <m:t>Mg</m:t>
                        </m:r>
                      </m:e>
                      <m:sub>
                        <m:r>
                          <w:rPr>
                            <w:rFonts w:ascii="Cambria Math" w:hAnsi="Cambria Math"/>
                          </w:rPr>
                          <m:t>IC</m:t>
                        </m:r>
                      </m:sub>
                      <m:sup>
                        <m:r>
                          <w:rPr>
                            <w:rFonts w:ascii="Cambria Math" w:hAnsi="Cambria Math"/>
                          </w:rPr>
                          <m:t>2+</m:t>
                        </m:r>
                      </m:sup>
                    </m:sSubSup>
                  </m:num>
                  <m:den>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e>
                    </m:nary>
                  </m:den>
                </m:f>
              </m:oMath>
            </m:oMathPara>
          </w:p>
        </w:tc>
        <w:tc>
          <w:tcPr>
            <w:tcW w:w="815" w:type="dxa"/>
            <w:shd w:val="clear" w:color="auto" w:fill="auto"/>
            <w:vAlign w:val="center"/>
          </w:tcPr>
          <w:p w14:paraId="05CFE24D" w14:textId="1986EB15" w:rsidR="00FC66AA" w:rsidRPr="00B57B36" w:rsidRDefault="00FC66AA" w:rsidP="001C0D65">
            <w:pPr>
              <w:pStyle w:val="CETEquation"/>
              <w:jc w:val="right"/>
            </w:pPr>
            <w:r w:rsidRPr="00B57B36">
              <w:t>(</w:t>
            </w:r>
            <w:r w:rsidR="00D2203B">
              <w:t>3</w:t>
            </w:r>
            <w:r w:rsidRPr="00B57B36">
              <w:t>)</w:t>
            </w:r>
          </w:p>
        </w:tc>
      </w:tr>
    </w:tbl>
    <w:p w14:paraId="4C275353" w14:textId="1D57103F" w:rsidR="00FC66AA" w:rsidRDefault="00FC66AA" w:rsidP="001828A3">
      <w:pPr>
        <w:pStyle w:val="CETBodytext"/>
        <w:rPr>
          <w:lang w:val="en-GB"/>
        </w:rPr>
      </w:pPr>
      <w:r>
        <w:t xml:space="preserve">where </w:t>
      </w:r>
      <m:oMath>
        <m:r>
          <w:rPr>
            <w:rFonts w:ascii="Cambria Math" w:hAnsi="Cambria Math"/>
            <w:lang w:val="en-GB"/>
          </w:rPr>
          <m:t>N</m:t>
        </m:r>
      </m:oMath>
      <w:r>
        <w:rPr>
          <w:lang w:val="en-GB"/>
        </w:rPr>
        <w:t xml:space="preserve"> is the number of all cations </w:t>
      </w:r>
      <w:r w:rsidR="006E1F60">
        <w:rPr>
          <w:lang w:val="en-GB"/>
        </w:rPr>
        <w:t>measured</w:t>
      </w:r>
      <w:r>
        <w:rPr>
          <w:lang w:val="en-GB"/>
        </w:rPr>
        <w:t xml:space="preserve"> by the IC.</w:t>
      </w:r>
    </w:p>
    <w:p w14:paraId="677EBFF0" w14:textId="04F27446" w:rsidR="00600535" w:rsidRDefault="00911FC7" w:rsidP="00600535">
      <w:pPr>
        <w:pStyle w:val="CETHeading1"/>
        <w:tabs>
          <w:tab w:val="clear" w:pos="360"/>
          <w:tab w:val="right" w:pos="7100"/>
        </w:tabs>
        <w:jc w:val="both"/>
        <w:rPr>
          <w:lang w:val="en-GB"/>
        </w:rPr>
      </w:pPr>
      <w:r>
        <w:rPr>
          <w:lang w:val="en-GB"/>
        </w:rPr>
        <w:t>Results</w:t>
      </w:r>
    </w:p>
    <w:p w14:paraId="6B5CA127" w14:textId="34409813" w:rsidR="00DA28C0" w:rsidRDefault="00911FC7" w:rsidP="00DA28C0">
      <w:pPr>
        <w:pStyle w:val="CETBodytext"/>
      </w:pPr>
      <w:r>
        <w:rPr>
          <w:lang w:val="en-GB"/>
        </w:rPr>
        <w:t>In th</w:t>
      </w:r>
      <w:r w:rsidR="005A0300">
        <w:rPr>
          <w:lang w:val="en-GB"/>
        </w:rPr>
        <w:t>is section</w:t>
      </w:r>
      <w:r w:rsidR="00232087">
        <w:rPr>
          <w:lang w:val="en-GB"/>
        </w:rPr>
        <w:t xml:space="preserve">, </w:t>
      </w:r>
      <w:r w:rsidR="00DD059D">
        <w:rPr>
          <w:lang w:val="en-GB"/>
        </w:rPr>
        <w:t>sedimentation trends</w:t>
      </w:r>
      <w:r w:rsidR="00DF5219">
        <w:rPr>
          <w:lang w:val="en-GB"/>
        </w:rPr>
        <w:t xml:space="preserve"> and </w:t>
      </w:r>
      <w:r w:rsidR="00DD059D">
        <w:rPr>
          <w:lang w:val="en-GB"/>
        </w:rPr>
        <w:t>filtration times</w:t>
      </w:r>
      <w:r w:rsidR="00DF5219">
        <w:rPr>
          <w:lang w:val="en-GB"/>
        </w:rPr>
        <w:t xml:space="preserve"> of produced Mg(OH)</w:t>
      </w:r>
      <w:r w:rsidR="00DF5219" w:rsidRPr="00DF5219">
        <w:rPr>
          <w:vertAlign w:val="subscript"/>
          <w:lang w:val="en-GB"/>
        </w:rPr>
        <w:t>2</w:t>
      </w:r>
      <w:r w:rsidR="00DF5219">
        <w:rPr>
          <w:lang w:val="en-GB"/>
        </w:rPr>
        <w:t xml:space="preserve"> suspensions are discussed </w:t>
      </w:r>
      <w:r w:rsidR="00232087">
        <w:rPr>
          <w:lang w:val="en-GB"/>
        </w:rPr>
        <w:t xml:space="preserve">along with </w:t>
      </w:r>
      <w:r w:rsidR="00DD059D">
        <w:rPr>
          <w:lang w:val="en-GB"/>
        </w:rPr>
        <w:t>Mg</w:t>
      </w:r>
      <w:r w:rsidR="00DD059D" w:rsidRPr="00DD059D">
        <w:rPr>
          <w:vertAlign w:val="superscript"/>
          <w:lang w:val="en-GB"/>
        </w:rPr>
        <w:t>2+</w:t>
      </w:r>
      <w:r w:rsidR="00DD059D">
        <w:rPr>
          <w:lang w:val="en-GB"/>
        </w:rPr>
        <w:t xml:space="preserve"> </w:t>
      </w:r>
      <w:r>
        <w:rPr>
          <w:lang w:val="en-GB"/>
        </w:rPr>
        <w:t>recover</w:t>
      </w:r>
      <w:r w:rsidR="00DD059D">
        <w:rPr>
          <w:lang w:val="en-GB"/>
        </w:rPr>
        <w:t>ies and Mg(OH)</w:t>
      </w:r>
      <w:r w:rsidR="00DD059D" w:rsidRPr="00DD059D">
        <w:rPr>
          <w:vertAlign w:val="subscript"/>
          <w:lang w:val="en-GB"/>
        </w:rPr>
        <w:t>2</w:t>
      </w:r>
      <w:r>
        <w:rPr>
          <w:lang w:val="en-GB"/>
        </w:rPr>
        <w:t xml:space="preserve"> purity </w:t>
      </w:r>
      <w:r w:rsidR="00DD059D">
        <w:rPr>
          <w:lang w:val="en-GB"/>
        </w:rPr>
        <w:t>values</w:t>
      </w:r>
      <w:r>
        <w:rPr>
          <w:lang w:val="en-GB"/>
        </w:rPr>
        <w:t>.</w:t>
      </w:r>
      <w:r w:rsidR="00052C01">
        <w:rPr>
          <w:lang w:val="en-GB"/>
        </w:rPr>
        <w:t xml:space="preserve"> </w:t>
      </w:r>
      <w:r w:rsidR="00DA28C0">
        <w:t xml:space="preserve">Sedimentation trends report the normalized settled volume,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sidR="00DA28C0">
        <w:t>, defined as:</w:t>
      </w:r>
    </w:p>
    <w:tbl>
      <w:tblPr>
        <w:tblW w:w="5000" w:type="pct"/>
        <w:tblLook w:val="04A0" w:firstRow="1" w:lastRow="0" w:firstColumn="1" w:lastColumn="0" w:noHBand="0" w:noVBand="1"/>
      </w:tblPr>
      <w:tblGrid>
        <w:gridCol w:w="7984"/>
        <w:gridCol w:w="803"/>
      </w:tblGrid>
      <w:tr w:rsidR="00DA28C0" w:rsidRPr="00B57B36" w14:paraId="534D4F2E" w14:textId="77777777" w:rsidTr="00DA28C0">
        <w:tc>
          <w:tcPr>
            <w:tcW w:w="7984" w:type="dxa"/>
            <w:shd w:val="clear" w:color="auto" w:fill="auto"/>
            <w:vAlign w:val="center"/>
          </w:tcPr>
          <w:p w14:paraId="5B9F5837" w14:textId="57A5F583" w:rsidR="00DA28C0" w:rsidRPr="00DA28C0" w:rsidRDefault="00000000" w:rsidP="00DA28C0">
            <w:pPr>
              <w:pStyle w:val="CETEquation"/>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Actual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Final</m:t>
                        </m:r>
                      </m:sub>
                    </m:sSub>
                  </m:num>
                  <m:den>
                    <m:sSub>
                      <m:sSubPr>
                        <m:ctrlPr>
                          <w:rPr>
                            <w:rFonts w:ascii="Cambria Math" w:hAnsi="Cambria Math"/>
                            <w:i/>
                          </w:rPr>
                        </m:ctrlPr>
                      </m:sSubPr>
                      <m:e>
                        <m:r>
                          <w:rPr>
                            <w:rFonts w:ascii="Cambria Math" w:hAnsi="Cambria Math"/>
                          </w:rPr>
                          <m:t>V</m:t>
                        </m:r>
                      </m:e>
                      <m:sub>
                        <m:r>
                          <w:rPr>
                            <w:rFonts w:ascii="Cambria Math" w:hAnsi="Cambria Math"/>
                          </w:rPr>
                          <m:t>Inital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Final</m:t>
                        </m:r>
                      </m:sub>
                    </m:sSub>
                  </m:den>
                </m:f>
              </m:oMath>
            </m:oMathPara>
          </w:p>
        </w:tc>
        <w:tc>
          <w:tcPr>
            <w:tcW w:w="803" w:type="dxa"/>
            <w:shd w:val="clear" w:color="auto" w:fill="auto"/>
            <w:vAlign w:val="center"/>
          </w:tcPr>
          <w:p w14:paraId="0B082A59" w14:textId="48AC507E" w:rsidR="00DA28C0" w:rsidRPr="00B57B36" w:rsidRDefault="00DA28C0" w:rsidP="00B96176">
            <w:pPr>
              <w:pStyle w:val="CETEquation"/>
              <w:jc w:val="right"/>
            </w:pPr>
            <w:r w:rsidRPr="00B57B36">
              <w:t>(</w:t>
            </w:r>
            <w:r w:rsidR="00D2203B">
              <w:t>4</w:t>
            </w:r>
            <w:r w:rsidRPr="00B57B36">
              <w:t>)</w:t>
            </w:r>
          </w:p>
        </w:tc>
      </w:tr>
    </w:tbl>
    <w:p w14:paraId="5283C4A8" w14:textId="7B9CEFF9" w:rsidR="00DA28C0" w:rsidRDefault="00DA28C0" w:rsidP="00DA28C0">
      <w:pPr>
        <w:pStyle w:val="CETBodytext"/>
      </w:pPr>
      <w:r>
        <w:t xml:space="preserve">where </w:t>
      </w:r>
      <m:oMath>
        <m:sSub>
          <m:sSubPr>
            <m:ctrlPr>
              <w:rPr>
                <w:rFonts w:ascii="Cambria Math" w:hAnsi="Cambria Math"/>
                <w:i/>
              </w:rPr>
            </m:ctrlPr>
          </m:sSubPr>
          <m:e>
            <m:r>
              <w:rPr>
                <w:rFonts w:ascii="Cambria Math" w:hAnsi="Cambria Math"/>
              </w:rPr>
              <m:t>V</m:t>
            </m:r>
          </m:e>
          <m:sub>
            <m:r>
              <w:rPr>
                <w:rFonts w:ascii="Cambria Math" w:hAnsi="Cambria Math"/>
              </w:rPr>
              <m:t>Actual</m:t>
            </m:r>
          </m:sub>
        </m:sSub>
      </m:oMath>
      <w:r>
        <w:t xml:space="preserve"> is the recorded volume occupied by the Mg(OH)</w:t>
      </w:r>
      <w:r w:rsidRPr="00DA28C0">
        <w:rPr>
          <w:vertAlign w:val="subscript"/>
        </w:rPr>
        <w:t>2</w:t>
      </w:r>
      <w:r>
        <w:t xml:space="preserve"> suspension at a certain time over the 48 h of sedimentation; </w:t>
      </w:r>
      <m:oMath>
        <m:sSub>
          <m:sSubPr>
            <m:ctrlPr>
              <w:rPr>
                <w:rFonts w:ascii="Cambria Math" w:hAnsi="Cambria Math"/>
                <w:i/>
              </w:rPr>
            </m:ctrlPr>
          </m:sSubPr>
          <m:e>
            <m:r>
              <w:rPr>
                <w:rFonts w:ascii="Cambria Math" w:hAnsi="Cambria Math"/>
              </w:rPr>
              <m:t>V</m:t>
            </m:r>
          </m:e>
          <m:sub>
            <m:r>
              <w:rPr>
                <w:rFonts w:ascii="Cambria Math" w:hAnsi="Cambria Math"/>
              </w:rPr>
              <m:t>Inital</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Final</m:t>
            </m:r>
          </m:sub>
        </m:sSub>
      </m:oMath>
      <w:r>
        <w:t xml:space="preserve"> are the initial (100 mL) and final volume occupied by the Mg(OH)</w:t>
      </w:r>
      <w:r w:rsidRPr="00DA28C0">
        <w:rPr>
          <w:vertAlign w:val="subscript"/>
        </w:rPr>
        <w:t>2</w:t>
      </w:r>
      <w:r>
        <w:t xml:space="preserve"> suspension. </w:t>
      </w:r>
      <w:r w:rsidR="008E638E">
        <w:t xml:space="preserve">The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t xml:space="preserve"> quantit</w:t>
      </w:r>
      <w:r w:rsidR="008E638E">
        <w:t xml:space="preserve">y </w:t>
      </w:r>
      <w:r>
        <w:t>allows a better</w:t>
      </w:r>
      <w:r w:rsidR="008E638E">
        <w:t xml:space="preserve"> evaluation of suspension sedimentation behaviors as it </w:t>
      </w:r>
      <w:r w:rsidR="00CC023E">
        <w:t>emphasize</w:t>
      </w:r>
      <w:r w:rsidR="00635C51">
        <w:t>s</w:t>
      </w:r>
      <w:r w:rsidR="00CC023E">
        <w:t xml:space="preserve"> the </w:t>
      </w:r>
      <w:r w:rsidR="00DC0896">
        <w:t>sedimentation</w:t>
      </w:r>
      <w:r w:rsidR="00CC023E">
        <w:t xml:space="preserve"> trend required to reach the final volume occupied by the Mg(OH)</w:t>
      </w:r>
      <w:r w:rsidR="00CC023E" w:rsidRPr="00DA28C0">
        <w:rPr>
          <w:vertAlign w:val="subscript"/>
        </w:rPr>
        <w:t>2</w:t>
      </w:r>
      <w:r w:rsidR="00CC023E">
        <w:t xml:space="preserve"> suspension.</w:t>
      </w:r>
      <w:r w:rsidR="008E638E">
        <w:t xml:space="preserve"> </w:t>
      </w:r>
    </w:p>
    <w:p w14:paraId="30D189E7" w14:textId="77777777" w:rsidR="00635C51" w:rsidRDefault="00635C51" w:rsidP="00DA28C0">
      <w:pPr>
        <w:pStyle w:val="CETBodytext"/>
      </w:pPr>
    </w:p>
    <w:p w14:paraId="16632FDB" w14:textId="4497AC42" w:rsidR="00DA28C0" w:rsidRPr="00DA28C0" w:rsidRDefault="00DC2D56" w:rsidP="00DA28C0">
      <w:pPr>
        <w:pStyle w:val="CETheadingx"/>
      </w:pPr>
      <w:r w:rsidRPr="00855AED">
        <w:lastRenderedPageBreak/>
        <w:t xml:space="preserve">Influence of </w:t>
      </w:r>
      <w:r w:rsidR="00EB5545">
        <w:t>bittern</w:t>
      </w:r>
      <w:r w:rsidRPr="00855AED">
        <w:rPr>
          <w:vertAlign w:val="superscript"/>
        </w:rPr>
        <w:t xml:space="preserve"> </w:t>
      </w:r>
      <w:r w:rsidR="00DC0896" w:rsidRPr="00DC0896">
        <w:t>f</w:t>
      </w:r>
      <w:r w:rsidRPr="00855AED">
        <w:t xml:space="preserve">low rate </w:t>
      </w:r>
    </w:p>
    <w:p w14:paraId="4CCDE220" w14:textId="4A480320" w:rsidR="005432B5" w:rsidRDefault="00DA28C0" w:rsidP="00855AED">
      <w:pPr>
        <w:pStyle w:val="CETBodytext"/>
      </w:pPr>
      <w:r>
        <w:t xml:space="preserve">The influence of bittern flow rate </w:t>
      </w:r>
      <w:r w:rsidR="00DC0896">
        <w:t>on</w:t>
      </w:r>
      <w:r>
        <w:t xml:space="preserve"> Mg(OH)</w:t>
      </w:r>
      <w:r w:rsidRPr="00855AED">
        <w:rPr>
          <w:vertAlign w:val="subscript"/>
        </w:rPr>
        <w:t>2</w:t>
      </w:r>
      <w:r>
        <w:rPr>
          <w:vertAlign w:val="subscript"/>
        </w:rPr>
        <w:t xml:space="preserve"> </w:t>
      </w:r>
      <w:r>
        <w:t xml:space="preserve">suspension </w:t>
      </w:r>
      <w:r w:rsidR="00E74E64">
        <w:t>sedimentation and filterability properties</w:t>
      </w:r>
      <w:r>
        <w:t xml:space="preserve"> was studied by increasing the bittern flow rate from 12 L/h (Cases</w:t>
      </w:r>
      <w:r w:rsidR="00080CF2">
        <w:t xml:space="preserve"> </w:t>
      </w:r>
      <w:r>
        <w:t>#1) to 30 L/h (Cases #</w:t>
      </w:r>
      <w:r w:rsidR="00F70D5A">
        <w:t>2</w:t>
      </w:r>
      <w:r>
        <w:t>).</w:t>
      </w:r>
    </w:p>
    <w:p w14:paraId="1931A4C3" w14:textId="60105A97" w:rsidR="00ED5B13" w:rsidRDefault="00855AED" w:rsidP="00855AED">
      <w:pPr>
        <w:pStyle w:val="CETBodytext"/>
      </w:pPr>
      <w:r w:rsidRPr="00855AED">
        <w:fldChar w:fldCharType="begin"/>
      </w:r>
      <w:r w:rsidRPr="00855AED">
        <w:instrText xml:space="preserve"> REF _Ref129431235 \h  \* MERGEFORMAT </w:instrText>
      </w:r>
      <w:r w:rsidRPr="00855AED">
        <w:fldChar w:fldCharType="separate"/>
      </w:r>
      <w:r w:rsidR="00142505" w:rsidRPr="009D2D6F">
        <w:t xml:space="preserve">Figure </w:t>
      </w:r>
      <w:r w:rsidR="00142505">
        <w:t>1</w:t>
      </w:r>
      <w:r w:rsidRPr="00855AED">
        <w:fldChar w:fldCharType="end"/>
      </w:r>
      <w:r w:rsidR="00DA20F1">
        <w:t xml:space="preserve">a and </w:t>
      </w:r>
      <w:r w:rsidR="00DA20F1" w:rsidRPr="00855AED">
        <w:fldChar w:fldCharType="begin"/>
      </w:r>
      <w:r w:rsidR="00DA20F1" w:rsidRPr="00855AED">
        <w:instrText xml:space="preserve"> REF _Ref129431235 \h  \* MERGEFORMAT </w:instrText>
      </w:r>
      <w:r w:rsidR="00DA20F1" w:rsidRPr="00855AED">
        <w:fldChar w:fldCharType="separate"/>
      </w:r>
      <w:r w:rsidR="00142505" w:rsidRPr="009D2D6F">
        <w:t xml:space="preserve">Figure </w:t>
      </w:r>
      <w:r w:rsidR="00142505">
        <w:t>1</w:t>
      </w:r>
      <w:r w:rsidR="00DA20F1" w:rsidRPr="00855AED">
        <w:fldChar w:fldCharType="end"/>
      </w:r>
      <w:r w:rsidR="00DA20F1">
        <w:t>b</w:t>
      </w:r>
      <w:r w:rsidRPr="00855AED">
        <w:t xml:space="preserve"> </w:t>
      </w:r>
      <w:r w:rsidR="00080CF2">
        <w:t>show</w:t>
      </w:r>
      <w:r>
        <w:t xml:space="preserve"> the </w:t>
      </w:r>
      <w:r w:rsidR="00080CF2">
        <w:t xml:space="preserve">normalized settled volume,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sidR="007A073E">
        <w:t>,</w:t>
      </w:r>
      <w:r w:rsidR="00080CF2">
        <w:t xml:space="preserve"> </w:t>
      </w:r>
      <w:r w:rsidR="00C86140">
        <w:t xml:space="preserve">see </w:t>
      </w:r>
      <w:r w:rsidR="00080CF2">
        <w:t xml:space="preserve">Eq. (4), </w:t>
      </w:r>
      <w:r>
        <w:t>trend</w:t>
      </w:r>
      <w:r w:rsidR="00545F88">
        <w:t>s</w:t>
      </w:r>
      <w:r>
        <w:t xml:space="preserve"> and filtration times required for obtaining 80 mL </w:t>
      </w:r>
      <w:r w:rsidR="007A073E">
        <w:t xml:space="preserve">of </w:t>
      </w:r>
      <w:r>
        <w:t>clarified filtered solutions</w:t>
      </w:r>
      <w:r w:rsidR="00DA20F1">
        <w:t>, respectively</w:t>
      </w:r>
      <w:r>
        <w:t xml:space="preserve">. </w:t>
      </w:r>
    </w:p>
    <w:p w14:paraId="5FF5A329" w14:textId="77777777" w:rsidR="006507EC" w:rsidRPr="00855AED" w:rsidRDefault="006507EC" w:rsidP="00855AED">
      <w:pPr>
        <w:pStyle w:val="CETBodytext"/>
      </w:pPr>
    </w:p>
    <w:p w14:paraId="7EAF5FD0" w14:textId="27AD963A" w:rsidR="00855AED" w:rsidRDefault="00C962AD" w:rsidP="00855AED">
      <w:pPr>
        <w:pStyle w:val="CETBodytext"/>
        <w:keepNext/>
      </w:pPr>
      <w:r>
        <w:rPr>
          <w:noProof/>
        </w:rPr>
        <w:drawing>
          <wp:inline distT="0" distB="0" distL="0" distR="0" wp14:anchorId="42F82FBF" wp14:editId="13E54CDC">
            <wp:extent cx="2003431" cy="1548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3431" cy="1548000"/>
                    </a:xfrm>
                    <a:prstGeom prst="rect">
                      <a:avLst/>
                    </a:prstGeom>
                    <a:noFill/>
                  </pic:spPr>
                </pic:pic>
              </a:graphicData>
            </a:graphic>
          </wp:inline>
        </w:drawing>
      </w:r>
      <w:r>
        <w:rPr>
          <w:noProof/>
        </w:rPr>
        <w:t xml:space="preserve">   </w:t>
      </w:r>
      <w:r w:rsidR="00041915">
        <w:rPr>
          <w:noProof/>
        </w:rPr>
        <w:t xml:space="preserve">     </w:t>
      </w:r>
      <w:r w:rsidR="00EB2192">
        <w:rPr>
          <w:noProof/>
        </w:rPr>
        <w:t xml:space="preserve">     </w:t>
      </w:r>
      <w:r w:rsidR="00CB5DFA">
        <w:rPr>
          <w:noProof/>
        </w:rPr>
        <w:t xml:space="preserve"> </w:t>
      </w:r>
      <w:r w:rsidR="00AA4B26">
        <w:rPr>
          <w:noProof/>
        </w:rPr>
        <w:t xml:space="preserve"> </w:t>
      </w:r>
      <w:r w:rsidR="00CB5DFA">
        <w:rPr>
          <w:noProof/>
        </w:rPr>
        <w:t xml:space="preserve">  </w:t>
      </w:r>
      <w:r w:rsidR="009A0024">
        <w:rPr>
          <w:noProof/>
        </w:rPr>
        <w:t xml:space="preserve"> </w:t>
      </w:r>
      <w:r w:rsidR="002D474E">
        <w:rPr>
          <w:noProof/>
        </w:rPr>
        <w:drawing>
          <wp:inline distT="0" distB="0" distL="0" distR="0" wp14:anchorId="2A7A2E0F" wp14:editId="203DCEC5">
            <wp:extent cx="1866761" cy="15480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761" cy="1548000"/>
                    </a:xfrm>
                    <a:prstGeom prst="rect">
                      <a:avLst/>
                    </a:prstGeom>
                    <a:noFill/>
                  </pic:spPr>
                </pic:pic>
              </a:graphicData>
            </a:graphic>
          </wp:inline>
        </w:drawing>
      </w:r>
      <w:r w:rsidR="00041915">
        <w:rPr>
          <w:noProof/>
        </w:rPr>
        <w:t xml:space="preserve">  </w:t>
      </w:r>
    </w:p>
    <w:p w14:paraId="275B2F5C" w14:textId="16E4C857" w:rsidR="00855AED" w:rsidRPr="00855AED" w:rsidRDefault="00855AED" w:rsidP="00EB2192">
      <w:pPr>
        <w:pStyle w:val="CETBodytext"/>
        <w:tabs>
          <w:tab w:val="clear" w:pos="7100"/>
          <w:tab w:val="center" w:pos="1985"/>
          <w:tab w:val="center" w:pos="5954"/>
        </w:tabs>
      </w:pPr>
      <w:r>
        <w:rPr>
          <w:noProof/>
        </w:rPr>
        <w:tab/>
        <w:t xml:space="preserve">(a) </w:t>
      </w:r>
      <w:r>
        <w:rPr>
          <w:noProof/>
        </w:rPr>
        <w:tab/>
        <w:t>(b)</w:t>
      </w:r>
    </w:p>
    <w:p w14:paraId="579FFEB3" w14:textId="2081AEC1" w:rsidR="00855AED" w:rsidRPr="009D2D6F" w:rsidRDefault="00855AED" w:rsidP="009D2D6F">
      <w:pPr>
        <w:pStyle w:val="CETCaption"/>
      </w:pPr>
      <w:bookmarkStart w:id="2" w:name="_Ref129431235"/>
      <w:r w:rsidRPr="009D2D6F">
        <w:t xml:space="preserve">Figure </w:t>
      </w:r>
      <w:r w:rsidRPr="009D2D6F">
        <w:fldChar w:fldCharType="begin"/>
      </w:r>
      <w:r w:rsidRPr="009D2D6F">
        <w:instrText xml:space="preserve"> SEQ Figure \* ARABIC </w:instrText>
      </w:r>
      <w:r w:rsidRPr="009D2D6F">
        <w:fldChar w:fldCharType="separate"/>
      </w:r>
      <w:r w:rsidR="00142505">
        <w:rPr>
          <w:noProof/>
        </w:rPr>
        <w:t>1</w:t>
      </w:r>
      <w:r w:rsidRPr="009D2D6F">
        <w:fldChar w:fldCharType="end"/>
      </w:r>
      <w:bookmarkEnd w:id="2"/>
      <w:r w:rsidRPr="009D2D6F">
        <w:t xml:space="preserve"> </w:t>
      </w:r>
      <w:r w:rsidR="006E67B7">
        <w:t>N</w:t>
      </w:r>
      <w:r w:rsidR="006E67B7" w:rsidRPr="006E67B7">
        <w:t>ormalized settled volume, V</w:t>
      </w:r>
      <w:r w:rsidR="006E67B7" w:rsidRPr="006E67B7">
        <w:rPr>
          <w:vertAlign w:val="subscript"/>
        </w:rPr>
        <w:t>N</w:t>
      </w:r>
      <w:r w:rsidR="006E67B7" w:rsidRPr="006E67B7">
        <w:t>,</w:t>
      </w:r>
      <w:r w:rsidR="006E67B7">
        <w:rPr>
          <w:vertAlign w:val="subscript"/>
        </w:rPr>
        <w:t xml:space="preserve"> </w:t>
      </w:r>
      <w:r w:rsidR="006E67B7" w:rsidRPr="006E67B7">
        <w:t>Eq. (4)</w:t>
      </w:r>
      <w:r w:rsidR="006E67B7">
        <w:t>, trend</w:t>
      </w:r>
      <w:r w:rsidR="00D07827">
        <w:t>s</w:t>
      </w:r>
      <w:r w:rsidR="006E67B7">
        <w:t>, (a)</w:t>
      </w:r>
      <w:r w:rsidR="00C5241B">
        <w:t>;</w:t>
      </w:r>
      <w:r w:rsidR="006E67B7">
        <w:t xml:space="preserve"> </w:t>
      </w:r>
      <w:r w:rsidR="00D41080" w:rsidRPr="009D2D6F">
        <w:t>and filtration times</w:t>
      </w:r>
      <w:r w:rsidR="00021B42">
        <w:t xml:space="preserve">, (b), </w:t>
      </w:r>
      <w:r w:rsidR="00D41080" w:rsidRPr="009D2D6F">
        <w:t xml:space="preserve">required to obtain 80 mL of clarified </w:t>
      </w:r>
      <w:r w:rsidR="0089132F">
        <w:t xml:space="preserve">filtered </w:t>
      </w:r>
      <w:r w:rsidR="00D41080" w:rsidRPr="009D2D6F">
        <w:t>solution</w:t>
      </w:r>
      <w:r w:rsidR="0089132F">
        <w:t>s</w:t>
      </w:r>
      <w:r w:rsidR="00D41080" w:rsidRPr="009D2D6F">
        <w:t xml:space="preserve"> </w:t>
      </w:r>
      <w:r w:rsidR="00DE292C">
        <w:t xml:space="preserve">at 0.5 bar </w:t>
      </w:r>
      <w:r w:rsidR="00D41080" w:rsidRPr="009D2D6F">
        <w:t>for Cases #1 (bittern flow rate of 12 L/h) and Cases #2 (bittern flow rate of 30 L/h).</w:t>
      </w:r>
      <w:r w:rsidR="006F031B">
        <w:t xml:space="preserve"> Cases #a and #b were characterized by a final suspension pH of 10.8 and 12.8, respectively.</w:t>
      </w:r>
    </w:p>
    <w:p w14:paraId="717023BC" w14:textId="41068FED" w:rsidR="002D5CF5" w:rsidRPr="00D91863" w:rsidRDefault="00046CFD" w:rsidP="00DE2C71">
      <w:pPr>
        <w:pStyle w:val="CETBodytext"/>
      </w:pPr>
      <w:r>
        <w:t xml:space="preserve">Cases </w:t>
      </w:r>
      <w:r w:rsidR="00D5179A">
        <w:t xml:space="preserve">#1b and #2b </w:t>
      </w:r>
      <w:r w:rsidR="007C5516">
        <w:t xml:space="preserve">show similar sedimentation trends, </w:t>
      </w:r>
      <w:r>
        <w:t xml:space="preserve">regardless </w:t>
      </w:r>
      <w:r w:rsidR="003D1FD5">
        <w:t xml:space="preserve">of </w:t>
      </w:r>
      <w:r>
        <w:t xml:space="preserve">the different </w:t>
      </w:r>
      <w:r w:rsidR="00376907">
        <w:t>bittern flow rates</w:t>
      </w:r>
      <w:r w:rsidR="007C5516">
        <w:t xml:space="preserve">. </w:t>
      </w:r>
      <w:r w:rsidR="00156C29">
        <w:t>Case#1a exhibit</w:t>
      </w:r>
      <w:r w:rsidR="00D91863">
        <w:t>s</w:t>
      </w:r>
      <w:r w:rsidR="00156C29">
        <w:t xml:space="preserve"> the fastest sedimentation performance, </w:t>
      </w:r>
      <w:r w:rsidR="00D91863">
        <w:t>while</w:t>
      </w:r>
      <w:r w:rsidR="00156C29">
        <w:t xml:space="preserve"> </w:t>
      </w:r>
      <w:r w:rsidR="00D5179A">
        <w:t>Case #2a</w:t>
      </w:r>
      <w:r w:rsidR="009212ED">
        <w:t xml:space="preserve"> </w:t>
      </w:r>
      <w:r w:rsidR="00156C29">
        <w:t>is characterized by the slowest one</w:t>
      </w:r>
      <w:r w:rsidR="009212ED">
        <w:t>.</w:t>
      </w:r>
      <w:r w:rsidR="003A59F1">
        <w:t xml:space="preserve"> </w:t>
      </w:r>
      <w:r w:rsidR="009212ED">
        <w:t xml:space="preserve">This behaviour can be </w:t>
      </w:r>
      <w:r w:rsidR="00300654">
        <w:t xml:space="preserve">related to the </w:t>
      </w:r>
      <w:r w:rsidR="009212ED">
        <w:t xml:space="preserve">higher </w:t>
      </w:r>
      <w:r>
        <w:t>bittern</w:t>
      </w:r>
      <w:r w:rsidR="00E23BDD">
        <w:t xml:space="preserve"> </w:t>
      </w:r>
      <w:r w:rsidRPr="00C762A3">
        <w:rPr>
          <w:color w:val="F79646" w:themeColor="accent6"/>
        </w:rPr>
        <w:t>flow rate</w:t>
      </w:r>
      <w:r w:rsidR="00300654" w:rsidRPr="00C762A3">
        <w:rPr>
          <w:color w:val="F79646" w:themeColor="accent6"/>
        </w:rPr>
        <w:t xml:space="preserve"> </w:t>
      </w:r>
      <w:r w:rsidR="00300654">
        <w:t>adopted in Cases #2</w:t>
      </w:r>
      <w:r w:rsidR="001D1A72">
        <w:t>. The higher flow rate</w:t>
      </w:r>
      <w:r w:rsidR="00300654">
        <w:t xml:space="preserve"> </w:t>
      </w:r>
      <w:r w:rsidR="001D1A72">
        <w:t>increase</w:t>
      </w:r>
      <w:r w:rsidR="00E7297A">
        <w:t>s</w:t>
      </w:r>
      <w:r>
        <w:t xml:space="preserve"> </w:t>
      </w:r>
      <w:r w:rsidR="00D72316">
        <w:t xml:space="preserve">the </w:t>
      </w:r>
      <w:r w:rsidR="00300654">
        <w:t>reactants mixing degree</w:t>
      </w:r>
      <w:r w:rsidR="001D1A72">
        <w:t xml:space="preserve"> that</w:t>
      </w:r>
      <w:r w:rsidR="00300654">
        <w:t xml:space="preserve"> </w:t>
      </w:r>
      <w:r w:rsidR="001D1A72">
        <w:t>reduces</w:t>
      </w:r>
      <w:r>
        <w:t xml:space="preserve"> aggregation phenomena</w:t>
      </w:r>
      <w:r w:rsidR="00300654">
        <w:t>,</w:t>
      </w:r>
      <w:r>
        <w:t xml:space="preserve"> leading</w:t>
      </w:r>
      <w:r w:rsidR="00300654">
        <w:t xml:space="preserve">, eventually, </w:t>
      </w:r>
      <w:r>
        <w:t>to</w:t>
      </w:r>
      <w:r w:rsidR="001D1A72">
        <w:t xml:space="preserve"> more </w:t>
      </w:r>
      <w:r w:rsidR="00E50E43">
        <w:t xml:space="preserve">easily breakable </w:t>
      </w:r>
      <w:r w:rsidR="00624468">
        <w:t>particles</w:t>
      </w:r>
      <w:r w:rsidR="00E50E43">
        <w:t xml:space="preserve"> </w:t>
      </w:r>
      <w:r w:rsidR="00E35063">
        <w:t xml:space="preserve">that </w:t>
      </w:r>
      <w:r w:rsidR="00FE4EC1">
        <w:t xml:space="preserve">are more difficult to be sedimented and filtered </w:t>
      </w:r>
      <w:r w:rsidR="00607655">
        <w:rPr>
          <w:rStyle w:val="Rimandonotaapidipagina"/>
        </w:rPr>
        <w:fldChar w:fldCharType="begin" w:fldLock="1"/>
      </w:r>
      <w:r w:rsidR="001A31BB">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Technology","id":"ITEM-1","issued":{"date-parts":[["2022"]]},"title":"Analysis of particles size distributions in Mg(OH)2 precipitation from highly concentrated MgCl2 solutions","type":"article-journal","volume":"398"},"uris":["http://www.mendeley.com/documents/?uuid=35336735-0d6c-3f26-b0f7-a72f9643e575"]},{"id":"ITEM-2","itemData":{"DOI":"10.1021/acs.iecr.2c02935","ISSN":"15205045","abstract":"The continuous depletion of minerals caused by land mining and the increase in their demand have pushed the development of novel sustainable technological processes for mineral recovery from unconventional sources. In this context, magnesium (Mg) has gained considerable attention for its peculiar properties and high relevance of its compounds, such as magnesium hydroxide, Mg(OH)2. In the present work, the influence of several operating conditions on the Mg(OH)2 precipitation process was thoroughly investigated by adopting a novel multiple feed-plug flow reactor. The influence of (i) initial Mg2+ concentrations in the feed stream; (ii) brine and alkaline flow rates; and (iii) the product recycling strategy (seeded crystallization) was considered. The results marked the possibility of improving sedimentation and filterability properties of Mg(OH)2 suspensions by adopting the recycling strategy to overcome industrial issues associated with the production of Mg(OH)2 suspensions using NaOH solutions.","author":[{"dropping-particle":"","family":"Morgante","given":"Carmelo","non-dropping-particle":"","parse-names":false,"suffix":""},{"dropping-particle":"","family":"Vassallo","given":"Fabrizio","non-dropping-particle":"","parse-names":false,"suffix":""},{"dropping-particle":"","family":"Battaglia","given":"Giuseppe","non-dropping-particle":"","parse-names":false,"suffix":""},{"dropping-particle":"","family":"Cipollina","given":"Andrea","non-dropping-particle":"","parse-names":false,"suffix":""},{"dropping-particle":"","family":"Vicari","given":"Fabrizio","non-dropping-particle":"","parse-names":false,"suffix":""},{"dropping-particle":"","family":"Tamburini","given":"Alessandro","non-dropping-particle":"","parse-names":false,"suffix":""},{"dropping-particle":"","family":"Micale","given":"Giorgio","non-dropping-particle":"","parse-names":false,"suffix":""}],"container-title":"Industrial and Engineering Chemistry Research","id":"ITEM-2","issue":"41","issued":{"date-parts":[["2022"]]},"title":"Influence of Operational Strategies for the Recovery of Magnesium Hydroxide from Brines at a Pilot Scale","type":"article-journal","volume":"61"},"uris":["http://www.mendeley.com/documents/?uuid=21e624e2-0100-483c-9118-3fbf71d46e0c"]}],"mendeley":{"formattedCitation":"(G. Battaglia et al., 2022; Morgante et al., 2022)","manualFormatting":"(Battaglia et al., 2022a; Morgante et al., 2022)","plainTextFormattedCitation":"(G. Battaglia et al., 2022; Morgante et al., 2022)","previouslyFormattedCitation":"&lt;sup&gt;8,11&lt;/sup&gt;"},"properties":{"noteIndex":0},"schema":"https://github.com/citation-style-language/schema/raw/master/csl-citation.json"}</w:instrText>
      </w:r>
      <w:r w:rsidR="00607655">
        <w:rPr>
          <w:rStyle w:val="Rimandonotaapidipagina"/>
        </w:rPr>
        <w:fldChar w:fldCharType="separate"/>
      </w:r>
      <w:r w:rsidR="007B0833" w:rsidRPr="007B0833">
        <w:rPr>
          <w:noProof/>
        </w:rPr>
        <w:t>(Battaglia et al., 2022</w:t>
      </w:r>
      <w:r w:rsidR="00957A5C">
        <w:rPr>
          <w:noProof/>
        </w:rPr>
        <w:t>a</w:t>
      </w:r>
      <w:r w:rsidR="007B0833" w:rsidRPr="007B0833">
        <w:rPr>
          <w:noProof/>
        </w:rPr>
        <w:t>; Morgante et al., 2022)</w:t>
      </w:r>
      <w:r w:rsidR="00607655">
        <w:rPr>
          <w:rStyle w:val="Rimandonotaapidipagina"/>
        </w:rPr>
        <w:fldChar w:fldCharType="end"/>
      </w:r>
      <w:r w:rsidR="00E35063">
        <w:t>.</w:t>
      </w:r>
      <w:r w:rsidR="004707EF">
        <w:t xml:space="preserve"> This is in accordance with recorded filtration times, see Figure 1b. Specifically, </w:t>
      </w:r>
      <w:r w:rsidR="00662FF3">
        <w:t>filtration time</w:t>
      </w:r>
      <w:r w:rsidR="00FD7ED2">
        <w:t xml:space="preserve"> is almost two times higher for </w:t>
      </w:r>
      <w:r w:rsidR="00662FF3">
        <w:t xml:space="preserve">Case #2a, 8 minutes, </w:t>
      </w:r>
      <w:r w:rsidR="00C23B35">
        <w:t xml:space="preserve">than for </w:t>
      </w:r>
      <w:r w:rsidR="00662FF3">
        <w:t>Case #1a, 5 minutes.</w:t>
      </w:r>
      <w:r w:rsidR="002F7CD3">
        <w:t xml:space="preserve"> </w:t>
      </w:r>
      <w:r w:rsidR="008761A3">
        <w:t xml:space="preserve">Interestingly, </w:t>
      </w:r>
      <w:r w:rsidR="002F7CD3">
        <w:t>Cases</w:t>
      </w:r>
      <w:r w:rsidR="00BD202D">
        <w:t xml:space="preserve"> </w:t>
      </w:r>
      <w:r w:rsidR="002F7CD3">
        <w:t>#a (suspension pH of 10.8) are almost 4 times faster than Cases</w:t>
      </w:r>
      <w:r w:rsidR="00BD202D">
        <w:t xml:space="preserve"> </w:t>
      </w:r>
      <w:r w:rsidR="002F7CD3">
        <w:t>#</w:t>
      </w:r>
      <w:r w:rsidR="004E4CC1">
        <w:t>b</w:t>
      </w:r>
      <w:r w:rsidR="002F7CD3">
        <w:t xml:space="preserve"> (final suspension pH of 12.8)</w:t>
      </w:r>
      <w:r w:rsidR="008761A3">
        <w:t xml:space="preserve">, despite their </w:t>
      </w:r>
      <w:r w:rsidR="005E1543">
        <w:t>higher</w:t>
      </w:r>
      <w:r w:rsidR="008761A3">
        <w:t xml:space="preserve"> Mg(OH)</w:t>
      </w:r>
      <w:r w:rsidR="008761A3" w:rsidRPr="0001640D">
        <w:rPr>
          <w:vertAlign w:val="subscript"/>
        </w:rPr>
        <w:t>2</w:t>
      </w:r>
      <w:r w:rsidR="008761A3">
        <w:t xml:space="preserve"> concentration</w:t>
      </w:r>
      <w:r w:rsidR="00382722">
        <w:t xml:space="preserve"> (</w:t>
      </w:r>
      <w:r w:rsidR="008761A3">
        <w:t>suspension mag</w:t>
      </w:r>
      <w:r w:rsidR="000B0FBB">
        <w:t>m</w:t>
      </w:r>
      <w:r w:rsidR="008761A3">
        <w:t>a density</w:t>
      </w:r>
      <w:r w:rsidR="00382722">
        <w:t>)</w:t>
      </w:r>
      <w:r w:rsidR="008761A3">
        <w:t xml:space="preserve">, as reported in </w:t>
      </w:r>
      <w:r w:rsidR="008761A3">
        <w:fldChar w:fldCharType="begin"/>
      </w:r>
      <w:r w:rsidR="008761A3">
        <w:instrText xml:space="preserve"> REF _Ref129536808 \h </w:instrText>
      </w:r>
      <w:r w:rsidR="008761A3">
        <w:fldChar w:fldCharType="separate"/>
      </w:r>
      <w:r w:rsidR="00142505">
        <w:t xml:space="preserve">Table </w:t>
      </w:r>
      <w:r w:rsidR="00142505">
        <w:rPr>
          <w:noProof/>
        </w:rPr>
        <w:t>2</w:t>
      </w:r>
      <w:r w:rsidR="008761A3">
        <w:fldChar w:fldCharType="end"/>
      </w:r>
      <w:r w:rsidR="002F7CD3">
        <w:t xml:space="preserve">. </w:t>
      </w:r>
      <w:r w:rsidR="00215DE0">
        <w:t xml:space="preserve">This can be </w:t>
      </w:r>
      <w:r w:rsidR="00785670">
        <w:t>caused</w:t>
      </w:r>
      <w:r w:rsidR="00695C7F">
        <w:t xml:space="preserve"> by</w:t>
      </w:r>
      <w:r w:rsidR="00CD3002">
        <w:t xml:space="preserve"> </w:t>
      </w:r>
      <w:r w:rsidR="00CD3002" w:rsidRPr="00C762A3">
        <w:rPr>
          <w:color w:val="F79646" w:themeColor="accent6"/>
        </w:rPr>
        <w:t>the final suspension pH that influence</w:t>
      </w:r>
      <w:r w:rsidR="00C80026" w:rsidRPr="00C762A3">
        <w:rPr>
          <w:color w:val="F79646" w:themeColor="accent6"/>
        </w:rPr>
        <w:t>s</w:t>
      </w:r>
      <w:r w:rsidR="00CD3002" w:rsidRPr="00C762A3">
        <w:rPr>
          <w:color w:val="F79646" w:themeColor="accent6"/>
        </w:rPr>
        <w:t xml:space="preserve"> </w:t>
      </w:r>
      <w:r w:rsidR="005E1543" w:rsidRPr="00C762A3">
        <w:rPr>
          <w:color w:val="F79646" w:themeColor="accent6"/>
        </w:rPr>
        <w:t xml:space="preserve">(i) </w:t>
      </w:r>
      <w:r w:rsidR="00CD3002" w:rsidRPr="00C762A3">
        <w:rPr>
          <w:color w:val="F79646" w:themeColor="accent6"/>
        </w:rPr>
        <w:t>particle</w:t>
      </w:r>
      <w:r w:rsidR="001A31BB" w:rsidRPr="00C762A3">
        <w:rPr>
          <w:color w:val="F79646" w:themeColor="accent6"/>
        </w:rPr>
        <w:t xml:space="preserve"> </w:t>
      </w:r>
      <w:r w:rsidR="00CD3002" w:rsidRPr="00C762A3">
        <w:rPr>
          <w:color w:val="F79646" w:themeColor="accent6"/>
        </w:rPr>
        <w:t xml:space="preserve">zetapotential </w:t>
      </w:r>
      <w:r w:rsidR="00CD3002" w:rsidRPr="00C762A3">
        <w:rPr>
          <w:rStyle w:val="Rimandonotaapidipagina"/>
          <w:color w:val="F79646" w:themeColor="accent6"/>
        </w:rPr>
        <w:fldChar w:fldCharType="begin" w:fldLock="1"/>
      </w:r>
      <w:r w:rsidR="001A31BB" w:rsidRPr="00C762A3">
        <w:rPr>
          <w:color w:val="F79646" w:themeColor="accent6"/>
        </w:rPr>
        <w:instrText>ADDIN CSL_CITATION {"citationItems":[{"id":"ITEM-1","itemData":{"DOI":"10.1016/j.powtec.2021.117106","ISSN":"1873328X","abstract":"Magnesium is a raw material of great importance, which attracted increasing interest in the last years. A promising route is to recover magnesium in the form of Magnesium Hydroxide via precipitation from highly concentrated Mg2+ resources, e.g. industrial or natural brines and bitterns. Several production methods and characterization procedures have been presented in the literature reporting a broad variety of Mg(OH)2 particle sizes. In the present work, a detailed experimental investigation is aiming to shed light on the characteristics of produced Mg(OH)2 particles and their dependence upon the reacting conditions. To this purpose, two T-shaped mixers were employed to tune and control the degree of homogenization of reactants. Particles were analysed by laser static light scattering with and without an anti-agglomerant treatment based on ultrasounds and addition of a dispersant. Zeta potential measurements were also carried out to further assess Mg(OH)2 suspension stability.","author":[{"dropping-particle":"","family":"Battaglia","given":"G.","non-dropping-particle":"","parse-names":false,"suffix":""},{"dropping-particle":"","family":"Romano","given":"S.","non-dropping-particle":"","parse-names":false,"suffix":""},{"dropping-particle":"","family":"Raponi","given":"A.","non-dropping-particle":"","parse-names":false,"suffix":""},{"dropping-particle":"","family":"Marchisio","given":"D.","non-dropping-particle":"","parse-names":false,"suffix":""},{"dropping-particle":"","family":"Ciofalo","given":"M.","non-dropping-particle":"","parse-names":false,"suffix":""},{"dropping-particle":"","family":"Tamburini","given":"A.","non-dropping-particle":"","parse-names":false,"suffix":""},{"dropping-particle":"","family":"Cipollina","given":"A.","non-dropping-particle":"","parse-names":false,"suffix":""},{"dropping-particle":"","family":"Micale","given":"G.","non-dropping-particle":"","parse-names":false,"suffix":""}],"container-title":"Powder Technology","id":"ITEM-1","issued":{"date-parts":[["2022"]]},"title":"Analysis of particles size distributions in Mg(OH)2 precipitation from highly concentrated MgCl2 solutions","type":"article-journal","volume":"398"},"uris":["http://www.mendeley.com/documents/?uuid=35336735-0d6c-3f26-b0f7-a72f9643e575"]}],"mendeley":{"formattedCitation":"(G. Battaglia et al., 2022)","manualFormatting":"(Battaglia et al., 2022a)","plainTextFormattedCitation":"(G. Battaglia et al., 2022)","previouslyFormattedCitation":"&lt;sup&gt;11&lt;/sup&gt;"},"properties":{"noteIndex":0},"schema":"https://github.com/citation-style-language/schema/raw/master/csl-citation.json"}</w:instrText>
      </w:r>
      <w:r w:rsidR="00CD3002" w:rsidRPr="00C762A3">
        <w:rPr>
          <w:rStyle w:val="Rimandonotaapidipagina"/>
          <w:color w:val="F79646" w:themeColor="accent6"/>
        </w:rPr>
        <w:fldChar w:fldCharType="separate"/>
      </w:r>
      <w:r w:rsidR="007B0833" w:rsidRPr="00C762A3">
        <w:rPr>
          <w:noProof/>
          <w:color w:val="F79646" w:themeColor="accent6"/>
        </w:rPr>
        <w:t>(Battaglia et al., 2022</w:t>
      </w:r>
      <w:r w:rsidR="001A31BB" w:rsidRPr="00C762A3">
        <w:rPr>
          <w:noProof/>
          <w:color w:val="F79646" w:themeColor="accent6"/>
        </w:rPr>
        <w:t>a</w:t>
      </w:r>
      <w:r w:rsidR="007B0833" w:rsidRPr="00C762A3">
        <w:rPr>
          <w:noProof/>
          <w:color w:val="F79646" w:themeColor="accent6"/>
        </w:rPr>
        <w:t>)</w:t>
      </w:r>
      <w:r w:rsidR="00CD3002" w:rsidRPr="00C762A3">
        <w:rPr>
          <w:rStyle w:val="Rimandonotaapidipagina"/>
          <w:color w:val="F79646" w:themeColor="accent6"/>
        </w:rPr>
        <w:fldChar w:fldCharType="end"/>
      </w:r>
      <w:r w:rsidR="00DA17D8" w:rsidRPr="00C762A3">
        <w:rPr>
          <w:color w:val="F79646" w:themeColor="accent6"/>
        </w:rPr>
        <w:t xml:space="preserve">, and  </w:t>
      </w:r>
      <w:r w:rsidR="005E1543" w:rsidRPr="00C762A3">
        <w:rPr>
          <w:color w:val="F79646" w:themeColor="accent6"/>
        </w:rPr>
        <w:t xml:space="preserve">(ii) </w:t>
      </w:r>
      <w:r w:rsidR="005D6B63" w:rsidRPr="00C762A3">
        <w:rPr>
          <w:color w:val="F79646" w:themeColor="accent6"/>
        </w:rPr>
        <w:t>particle</w:t>
      </w:r>
      <w:r w:rsidR="005E1543" w:rsidRPr="00C762A3">
        <w:rPr>
          <w:color w:val="F79646" w:themeColor="accent6"/>
        </w:rPr>
        <w:t xml:space="preserve"> tendency at adsorbing more liquid phase creating agglomerates characterized by internal pores containing more mother liquor </w:t>
      </w:r>
      <w:r w:rsidR="005E1543" w:rsidRPr="00C762A3">
        <w:rPr>
          <w:rStyle w:val="Rimandonotaapidipagina"/>
          <w:color w:val="F79646" w:themeColor="accent6"/>
        </w:rPr>
        <w:fldChar w:fldCharType="begin" w:fldLock="1"/>
      </w:r>
      <w:r w:rsidR="005E1543" w:rsidRPr="00C762A3">
        <w:rPr>
          <w:color w:val="F79646" w:themeColor="accent6"/>
        </w:rPr>
        <w:instrText>ADDIN CSL_CITATION {"citationItems":[{"id":"ITEM-1","itemData":{"DOI":"10.1021/ie00040a025","ISSN":"15205045","abstract":"Precipitation of magnesium hydroxide from hard coal mine brine, which contained 2.84 kg m−3 Mg2+ and 68.06 kg m−3 Cl−, by means of sodium hydroxide was tested. In order to increase the sedimentation and filtration rates of the acquired Mg(OH)2 a so-called forming (of the precipitate) was applied which consisted in introduction of NaOH to a solution containing Mg2+ ions without stirring. The mixture was then left to stand for some time (called time of forming) and then stirred in order to get quantitative reaction. Within the time of forming, t = 0−24 h, the sedimentation rate increased about 5 times and the filtration rate increased about 60 times. Humidity of the filter cake was also reduced. The microscopic observation showed an increase of particles, and X-ray structural analysis showed an increase in degree of order of Mg(OH)2 crystal structure when the time of forming increased. © 1995, American Chemical Society. All rights reserved.","author":[{"dropping-particle":"","family":"Turek","given":"Marian","non-dropping-particle":"","parse-names":false,"suffix":""},{"dropping-particle":"","family":"Gnot","given":"Witold","non-dropping-particle":"","parse-names":false,"suffix":""}],"container-title":"Industrial and Engineering Chemistry Research","id":"ITEM-1","issue":"1","issued":{"date-parts":[["1995"]]},"note":"sulfate ions in coal brines, introduction of additional calcium ions may result in precipitation of calcium sulfate, whose presence in magnesium hy- droxide would exclude its usability for refractory pro- duction. \nWhen precipitation by ammonia is applied, ammonium ions remain in the brine. Ammonium ions\nare very dangerous in an electrolysis process since they form explosive nitrogen trichloride. A\n\nIf Mg(OH)2 is precipitated by an excess of hydroxide ions, the rate of sedimentation is lower and filterability is worse than in the case of excess of magnesium ions. Mg(OH)2","page":"244-250","title":"Precipitation of Magnesium Hydroxide from Brine","type":"article-journal","volume":"34"},"uris":["http://www.mendeley.com/documents/?uuid=a222de3e-21b4-3ea6-bfa8-46e2b763876f"]}],"mendeley":{"formattedCitation":"(Turek et al., 1995)","plainTextFormattedCitation":"(Turek et al., 1995)","previouslyFormattedCitation":"&lt;sup&gt;12&lt;/sup&gt;"},"properties":{"noteIndex":0},"schema":"https://github.com/citation-style-language/schema/raw/master/csl-citation.json"}</w:instrText>
      </w:r>
      <w:r w:rsidR="005E1543" w:rsidRPr="00C762A3">
        <w:rPr>
          <w:rStyle w:val="Rimandonotaapidipagina"/>
          <w:color w:val="F79646" w:themeColor="accent6"/>
        </w:rPr>
        <w:fldChar w:fldCharType="separate"/>
      </w:r>
      <w:r w:rsidR="005E1543" w:rsidRPr="00C762A3">
        <w:rPr>
          <w:noProof/>
          <w:color w:val="F79646" w:themeColor="accent6"/>
        </w:rPr>
        <w:t>(Turek and Gnot, 1995)</w:t>
      </w:r>
      <w:r w:rsidR="005E1543" w:rsidRPr="00C762A3">
        <w:rPr>
          <w:rStyle w:val="Rimandonotaapidipagina"/>
          <w:color w:val="F79646" w:themeColor="accent6"/>
        </w:rPr>
        <w:fldChar w:fldCharType="end"/>
      </w:r>
      <w:r w:rsidR="005E1543" w:rsidRPr="00C762A3">
        <w:rPr>
          <w:color w:val="F79646" w:themeColor="accent6"/>
        </w:rPr>
        <w:t>.</w:t>
      </w:r>
      <w:r w:rsidR="0047442C" w:rsidRPr="00C762A3">
        <w:rPr>
          <w:color w:val="F79646" w:themeColor="accent6"/>
        </w:rPr>
        <w:t xml:space="preserve"> </w:t>
      </w:r>
      <w:r w:rsidR="00695C7F">
        <w:t>The</w:t>
      </w:r>
      <w:r w:rsidR="006E688E">
        <w:t>se phenomena</w:t>
      </w:r>
      <w:r w:rsidR="00215DE0">
        <w:t xml:space="preserve"> </w:t>
      </w:r>
      <w:r w:rsidR="00695C7F">
        <w:t xml:space="preserve">can lead </w:t>
      </w:r>
      <w:r w:rsidR="00215DE0">
        <w:t>to even more easily breakable aggregates</w:t>
      </w:r>
      <w:r w:rsidR="00695C7F">
        <w:t xml:space="preserve"> than Case #2a,</w:t>
      </w:r>
      <w:r w:rsidR="00586D29">
        <w:t xml:space="preserve"> considerably </w:t>
      </w:r>
      <w:r w:rsidR="00695C7F">
        <w:t>hindering the</w:t>
      </w:r>
      <w:r w:rsidR="00586D29">
        <w:t xml:space="preserve"> filt</w:t>
      </w:r>
      <w:r w:rsidR="00695C7F">
        <w:t>ration process</w:t>
      </w:r>
      <w:r w:rsidR="00586D29">
        <w:t xml:space="preserve">. </w:t>
      </w:r>
      <w:r w:rsidR="000907DD">
        <w:fldChar w:fldCharType="begin"/>
      </w:r>
      <w:r w:rsidR="000907DD">
        <w:instrText xml:space="preserve"> REF _Ref129536808 \h </w:instrText>
      </w:r>
      <w:r w:rsidR="000907DD">
        <w:fldChar w:fldCharType="separate"/>
      </w:r>
      <w:r w:rsidR="00142505">
        <w:t xml:space="preserve">Table </w:t>
      </w:r>
      <w:r w:rsidR="00142505">
        <w:rPr>
          <w:noProof/>
        </w:rPr>
        <w:t>2</w:t>
      </w:r>
      <w:r w:rsidR="000907DD">
        <w:fldChar w:fldCharType="end"/>
      </w:r>
      <w:r w:rsidR="000907DD">
        <w:t xml:space="preserve"> </w:t>
      </w:r>
      <w:r w:rsidR="00061889">
        <w:t xml:space="preserve">reports </w:t>
      </w:r>
      <w:r w:rsidR="00452D7C">
        <w:t xml:space="preserve">the </w:t>
      </w:r>
      <w:r w:rsidR="003D1FD5">
        <w:t xml:space="preserve">normalized </w:t>
      </w:r>
      <w:r w:rsidR="00061889">
        <w:t>final</w:t>
      </w:r>
      <w:r w:rsidR="00452D7C">
        <w:t xml:space="preserve"> settled</w:t>
      </w:r>
      <w:r w:rsidR="00061889">
        <w:t xml:space="preserve"> volume</w:t>
      </w:r>
      <w:r w:rsidR="00C63BB5">
        <w:t>, sedimentation concentration</w:t>
      </w:r>
      <w:r w:rsidR="00061889">
        <w:t xml:space="preserve"> factor</w:t>
      </w:r>
      <w:r w:rsidR="00C63BB5">
        <w:t>s</w:t>
      </w:r>
      <w:r w:rsidR="00061889">
        <w:t>, i</w:t>
      </w:r>
      <w:r w:rsidR="00C63BB5">
        <w:t>.e. t</w:t>
      </w:r>
      <w:r w:rsidR="00061889">
        <w:t>he inverse of the normalized final settled volume</w:t>
      </w:r>
      <w:r w:rsidR="00C63BB5">
        <w:t>,</w:t>
      </w:r>
      <w:r w:rsidR="00061889">
        <w:t xml:space="preserve"> and final mag</w:t>
      </w:r>
      <w:r w:rsidR="000B0FBB">
        <w:t>m</w:t>
      </w:r>
      <w:r w:rsidR="00061889">
        <w:t>a densitie</w:t>
      </w:r>
      <w:r w:rsidR="009B61F0">
        <w:t>s</w:t>
      </w:r>
      <w:r w:rsidR="00061889">
        <w:t>.</w:t>
      </w:r>
      <w:r w:rsidR="009B61F0">
        <w:t xml:space="preserve"> Final mag</w:t>
      </w:r>
      <w:r w:rsidR="000B0FBB">
        <w:t>m</w:t>
      </w:r>
      <w:r w:rsidR="009B61F0">
        <w:t>a densities were calculated by multiplying initial mag</w:t>
      </w:r>
      <w:r w:rsidR="000B0FBB">
        <w:t>m</w:t>
      </w:r>
      <w:r w:rsidR="009B61F0">
        <w:t xml:space="preserve">a densities </w:t>
      </w:r>
      <w:r w:rsidR="00AF7E76">
        <w:t>by</w:t>
      </w:r>
      <w:r w:rsidR="009B61F0">
        <w:t xml:space="preserve"> concentration factor</w:t>
      </w:r>
      <w:r w:rsidR="00F13F0D">
        <w:t>s</w:t>
      </w:r>
      <w:r w:rsidR="009B61F0">
        <w:t xml:space="preserve">. </w:t>
      </w:r>
      <w:r w:rsidR="000351F8">
        <w:t>Higher final mag</w:t>
      </w:r>
      <w:r w:rsidR="000B0FBB">
        <w:t>m</w:t>
      </w:r>
      <w:r w:rsidR="000351F8">
        <w:t>a densities are always observed for Cases #b</w:t>
      </w:r>
      <w:r w:rsidR="00F13F0D">
        <w:t xml:space="preserve"> (</w:t>
      </w:r>
      <w:r w:rsidR="000351F8">
        <w:t>final pH suspension of 12.8</w:t>
      </w:r>
      <w:r w:rsidR="00F13F0D">
        <w:t>)</w:t>
      </w:r>
      <w:r w:rsidR="00685853">
        <w:t xml:space="preserve"> as for</w:t>
      </w:r>
      <w:r w:rsidR="00E01B10">
        <w:t xml:space="preserve"> concentration factor</w:t>
      </w:r>
      <w:r w:rsidR="00685853">
        <w:t>s</w:t>
      </w:r>
      <w:r w:rsidR="001F1A47">
        <w:t>, probably due to their</w:t>
      </w:r>
      <w:r w:rsidR="00E01B10">
        <w:t xml:space="preserve"> lower initial suspension mag</w:t>
      </w:r>
      <w:r w:rsidR="000B0FBB">
        <w:t>m</w:t>
      </w:r>
      <w:r w:rsidR="00E01B10">
        <w:t xml:space="preserve">a densities.  </w:t>
      </w:r>
    </w:p>
    <w:p w14:paraId="62150DF3" w14:textId="5346B403" w:rsidR="00596C02" w:rsidRDefault="00596C02" w:rsidP="00596C02">
      <w:pPr>
        <w:pStyle w:val="CETTabletitle"/>
      </w:pPr>
      <w:bookmarkStart w:id="3" w:name="_Ref129536808"/>
      <w:r>
        <w:t xml:space="preserve">Table </w:t>
      </w:r>
      <w:r>
        <w:fldChar w:fldCharType="begin"/>
      </w:r>
      <w:r>
        <w:instrText xml:space="preserve"> SEQ Table \* ARABIC </w:instrText>
      </w:r>
      <w:r>
        <w:fldChar w:fldCharType="separate"/>
      </w:r>
      <w:r w:rsidR="00142505">
        <w:rPr>
          <w:noProof/>
        </w:rPr>
        <w:t>2</w:t>
      </w:r>
      <w:r>
        <w:fldChar w:fldCharType="end"/>
      </w:r>
      <w:bookmarkEnd w:id="3"/>
      <w:r>
        <w:t xml:space="preserve"> Initial mag</w:t>
      </w:r>
      <w:r w:rsidR="000B0FBB">
        <w:t>m</w:t>
      </w:r>
      <w:r>
        <w:t>a densit</w:t>
      </w:r>
      <w:r w:rsidR="0044497F">
        <w:t>ies</w:t>
      </w:r>
      <w:r>
        <w:t xml:space="preserve">, </w:t>
      </w:r>
      <w:r w:rsidR="0044497F">
        <w:t>normalized final settled volumes</w:t>
      </w:r>
      <w:r>
        <w:t>, concentration factors and final mag</w:t>
      </w:r>
      <w:r w:rsidR="000B0FBB">
        <w:t>m</w:t>
      </w:r>
      <w:r>
        <w:t>a densities for Cases#1a, #1b, #</w:t>
      </w:r>
      <w:r w:rsidR="00CB1973">
        <w:t>2</w:t>
      </w:r>
      <w:r w:rsidR="00ED1099">
        <w:t>a and</w:t>
      </w:r>
      <w:r>
        <w:t xml:space="preserve"> #</w:t>
      </w:r>
      <w:r w:rsidR="00CB1973">
        <w:t>2</w:t>
      </w:r>
      <w:r>
        <w:t>b.</w:t>
      </w:r>
    </w:p>
    <w:tbl>
      <w:tblPr>
        <w:tblW w:w="751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1276"/>
        <w:gridCol w:w="1701"/>
        <w:gridCol w:w="1701"/>
      </w:tblGrid>
      <w:tr w:rsidR="00596C02" w:rsidRPr="00B57B36" w14:paraId="7B8B800B" w14:textId="77777777" w:rsidTr="007A6BE8">
        <w:tc>
          <w:tcPr>
            <w:tcW w:w="1134" w:type="dxa"/>
            <w:tcBorders>
              <w:top w:val="single" w:sz="12" w:space="0" w:color="008000"/>
              <w:bottom w:val="single" w:sz="6" w:space="0" w:color="008000"/>
            </w:tcBorders>
            <w:shd w:val="clear" w:color="auto" w:fill="FFFFFF"/>
          </w:tcPr>
          <w:p w14:paraId="5CC504E8" w14:textId="77777777" w:rsidR="00596C02" w:rsidRPr="00041915" w:rsidRDefault="00596C02" w:rsidP="00C23048">
            <w:pPr>
              <w:pStyle w:val="CETBodytext"/>
              <w:rPr>
                <w:lang w:val="en-GB"/>
              </w:rPr>
            </w:pPr>
            <w:r w:rsidRPr="00041915">
              <w:rPr>
                <w:lang w:val="en-GB"/>
              </w:rPr>
              <w:t xml:space="preserve">Case </w:t>
            </w:r>
          </w:p>
        </w:tc>
        <w:tc>
          <w:tcPr>
            <w:tcW w:w="1701" w:type="dxa"/>
            <w:tcBorders>
              <w:top w:val="single" w:sz="12" w:space="0" w:color="008000"/>
              <w:bottom w:val="single" w:sz="6" w:space="0" w:color="008000"/>
            </w:tcBorders>
            <w:shd w:val="clear" w:color="auto" w:fill="FFFFFF"/>
          </w:tcPr>
          <w:p w14:paraId="0D5A2C20" w14:textId="2E667581" w:rsidR="00596C02" w:rsidRPr="00041915" w:rsidRDefault="004B355D" w:rsidP="00C23048">
            <w:pPr>
              <w:pStyle w:val="CETBodytext"/>
              <w:rPr>
                <w:lang w:val="en-GB"/>
              </w:rPr>
            </w:pPr>
            <w:r>
              <w:rPr>
                <w:lang w:val="en-GB"/>
              </w:rPr>
              <w:t>M</w:t>
            </w:r>
            <w:r w:rsidR="00596C02" w:rsidRPr="00041915">
              <w:rPr>
                <w:lang w:val="en-GB"/>
              </w:rPr>
              <w:t>ag</w:t>
            </w:r>
            <w:r w:rsidR="000B0FBB">
              <w:rPr>
                <w:lang w:val="en-GB"/>
              </w:rPr>
              <w:t>m</w:t>
            </w:r>
            <w:r w:rsidR="00596C02" w:rsidRPr="00041915">
              <w:rPr>
                <w:lang w:val="en-GB"/>
              </w:rPr>
              <w:t>a density</w:t>
            </w:r>
            <w:r w:rsidR="00596C02">
              <w:rPr>
                <w:lang w:val="en-GB"/>
              </w:rPr>
              <w:t xml:space="preserve"> [g/L]</w:t>
            </w:r>
          </w:p>
        </w:tc>
        <w:tc>
          <w:tcPr>
            <w:tcW w:w="1276" w:type="dxa"/>
            <w:tcBorders>
              <w:top w:val="single" w:sz="12" w:space="0" w:color="008000"/>
              <w:bottom w:val="single" w:sz="6" w:space="0" w:color="008000"/>
            </w:tcBorders>
            <w:shd w:val="clear" w:color="auto" w:fill="FFFFFF"/>
          </w:tcPr>
          <w:p w14:paraId="575B740E" w14:textId="3B79FF30" w:rsidR="00596C02" w:rsidRPr="00C2525B" w:rsidRDefault="00000000" w:rsidP="00C23048">
            <w:pPr>
              <w:pStyle w:val="CETBodytext"/>
              <w:rPr>
                <w:lang w:val="en-GB"/>
              </w:rPr>
            </w:pPr>
            <m:oMathPara>
              <m:oMathParaPr>
                <m:jc m:val="left"/>
              </m:oMathParaPr>
              <m:oMath>
                <m:sSub>
                  <m:sSubPr>
                    <m:ctrlPr>
                      <w:rPr>
                        <w:rFonts w:ascii="Cambria Math" w:hAnsi="Cambria Math"/>
                        <w:i/>
                        <w:lang w:val="en-GB"/>
                      </w:rPr>
                    </m:ctrlPr>
                  </m:sSubPr>
                  <m:e>
                    <m:r>
                      <w:rPr>
                        <w:rFonts w:ascii="Cambria Math" w:hAnsi="Cambria Math"/>
                      </w:rPr>
                      <m:t>V</m:t>
                    </m:r>
                  </m:e>
                  <m:sub>
                    <m:r>
                      <w:rPr>
                        <w:rFonts w:ascii="Cambria Math" w:hAnsi="Cambria Math"/>
                      </w:rPr>
                      <m:t>Final</m:t>
                    </m:r>
                  </m:sub>
                </m:sSub>
                <m:r>
                  <w:rPr>
                    <w:rFonts w:ascii="Cambria Math" w:hAnsi="Cambria Math"/>
                    <w:lang w:val="en-GB"/>
                  </w:rPr>
                  <m:t>/</m:t>
                </m:r>
                <m:sSub>
                  <m:sSubPr>
                    <m:ctrlPr>
                      <w:rPr>
                        <w:rFonts w:ascii="Cambria Math" w:hAnsi="Cambria Math"/>
                        <w:i/>
                        <w:lang w:val="en-GB"/>
                      </w:rPr>
                    </m:ctrlPr>
                  </m:sSubPr>
                  <m:e>
                    <m:r>
                      <w:rPr>
                        <w:rFonts w:ascii="Cambria Math" w:hAnsi="Cambria Math"/>
                      </w:rPr>
                      <m:t>V</m:t>
                    </m:r>
                  </m:e>
                  <m:sub>
                    <m:r>
                      <w:rPr>
                        <w:rFonts w:ascii="Cambria Math" w:hAnsi="Cambria Math"/>
                      </w:rPr>
                      <m:t>Inital</m:t>
                    </m:r>
                  </m:sub>
                </m:sSub>
              </m:oMath>
            </m:oMathPara>
          </w:p>
        </w:tc>
        <w:tc>
          <w:tcPr>
            <w:tcW w:w="1701" w:type="dxa"/>
            <w:tcBorders>
              <w:top w:val="single" w:sz="12" w:space="0" w:color="008000"/>
              <w:bottom w:val="single" w:sz="6" w:space="0" w:color="008000"/>
            </w:tcBorders>
            <w:shd w:val="clear" w:color="auto" w:fill="FFFFFF"/>
          </w:tcPr>
          <w:p w14:paraId="6A803246" w14:textId="77777777" w:rsidR="00596C02" w:rsidRPr="00041915" w:rsidRDefault="00596C02" w:rsidP="00C23048">
            <w:pPr>
              <w:pStyle w:val="CETBodytext"/>
              <w:rPr>
                <w:lang w:val="en-GB"/>
              </w:rPr>
            </w:pPr>
            <w:r w:rsidRPr="00041915">
              <w:rPr>
                <w:lang w:val="en-GB"/>
              </w:rPr>
              <w:t>Concentration factor</w:t>
            </w:r>
          </w:p>
        </w:tc>
        <w:tc>
          <w:tcPr>
            <w:tcW w:w="1701" w:type="dxa"/>
            <w:tcBorders>
              <w:top w:val="single" w:sz="12" w:space="0" w:color="008000"/>
              <w:bottom w:val="single" w:sz="6" w:space="0" w:color="008000"/>
            </w:tcBorders>
            <w:shd w:val="clear" w:color="auto" w:fill="FFFFFF"/>
          </w:tcPr>
          <w:p w14:paraId="53158491" w14:textId="15A2B610" w:rsidR="00596C02" w:rsidRDefault="00596C02" w:rsidP="00C23048">
            <w:pPr>
              <w:pStyle w:val="CETBodytext"/>
              <w:rPr>
                <w:lang w:val="en-GB"/>
              </w:rPr>
            </w:pPr>
            <w:r w:rsidRPr="00041915">
              <w:rPr>
                <w:lang w:val="en-GB"/>
              </w:rPr>
              <w:t>Final mag</w:t>
            </w:r>
            <w:r w:rsidR="000B0FBB">
              <w:rPr>
                <w:lang w:val="en-GB"/>
              </w:rPr>
              <w:t>m</w:t>
            </w:r>
            <w:r w:rsidRPr="00041915">
              <w:rPr>
                <w:lang w:val="en-GB"/>
              </w:rPr>
              <w:t>a density</w:t>
            </w:r>
            <w:r>
              <w:rPr>
                <w:lang w:val="en-GB"/>
              </w:rPr>
              <w:t xml:space="preserve"> [g/L]</w:t>
            </w:r>
          </w:p>
        </w:tc>
      </w:tr>
      <w:tr w:rsidR="00596C02" w:rsidRPr="00B57B36" w14:paraId="6A6ABA0D" w14:textId="77777777" w:rsidTr="007A6BE8">
        <w:tc>
          <w:tcPr>
            <w:tcW w:w="1134" w:type="dxa"/>
            <w:shd w:val="clear" w:color="auto" w:fill="FFFFFF"/>
          </w:tcPr>
          <w:p w14:paraId="31BC303D" w14:textId="77777777" w:rsidR="00596C02" w:rsidRPr="00B57B36" w:rsidRDefault="00596C02" w:rsidP="00C23048">
            <w:pPr>
              <w:pStyle w:val="CETBodytext"/>
              <w:rPr>
                <w:lang w:val="en-GB"/>
              </w:rPr>
            </w:pPr>
            <w:r>
              <w:rPr>
                <w:lang w:val="en-GB"/>
              </w:rPr>
              <w:t>#1a</w:t>
            </w:r>
          </w:p>
        </w:tc>
        <w:tc>
          <w:tcPr>
            <w:tcW w:w="1701" w:type="dxa"/>
            <w:shd w:val="clear" w:color="auto" w:fill="FFFFFF"/>
          </w:tcPr>
          <w:p w14:paraId="1B9372F2" w14:textId="77777777" w:rsidR="00596C02" w:rsidRPr="00B57B36" w:rsidRDefault="00596C02" w:rsidP="00C23048">
            <w:pPr>
              <w:pStyle w:val="CETBodytext"/>
              <w:rPr>
                <w:lang w:val="en-GB"/>
              </w:rPr>
            </w:pPr>
            <w:r w:rsidRPr="005C443B">
              <w:t>13.2</w:t>
            </w:r>
          </w:p>
        </w:tc>
        <w:tc>
          <w:tcPr>
            <w:tcW w:w="1276" w:type="dxa"/>
            <w:shd w:val="clear" w:color="auto" w:fill="FFFFFF"/>
          </w:tcPr>
          <w:p w14:paraId="02AD7F24" w14:textId="040BBB2A" w:rsidR="00596C02" w:rsidRDefault="00596C02" w:rsidP="00C23048">
            <w:pPr>
              <w:pStyle w:val="CETBodytext"/>
              <w:rPr>
                <w:lang w:val="en-GB"/>
              </w:rPr>
            </w:pPr>
            <w:r>
              <w:rPr>
                <w:lang w:val="en-GB"/>
              </w:rPr>
              <w:t>0.38</w:t>
            </w:r>
          </w:p>
        </w:tc>
        <w:tc>
          <w:tcPr>
            <w:tcW w:w="1701" w:type="dxa"/>
            <w:shd w:val="clear" w:color="auto" w:fill="FFFFFF"/>
          </w:tcPr>
          <w:p w14:paraId="54F337A8" w14:textId="77777777" w:rsidR="00596C02" w:rsidRPr="00B57B36" w:rsidRDefault="00596C02" w:rsidP="00C23048">
            <w:pPr>
              <w:pStyle w:val="CETBodytext"/>
              <w:rPr>
                <w:lang w:val="en-GB"/>
              </w:rPr>
            </w:pPr>
            <w:r>
              <w:rPr>
                <w:lang w:val="en-GB"/>
              </w:rPr>
              <w:t>2.6</w:t>
            </w:r>
          </w:p>
        </w:tc>
        <w:tc>
          <w:tcPr>
            <w:tcW w:w="1701" w:type="dxa"/>
            <w:shd w:val="clear" w:color="auto" w:fill="FFFFFF"/>
          </w:tcPr>
          <w:p w14:paraId="11AB0EFD" w14:textId="77777777" w:rsidR="00596C02" w:rsidRPr="00B57B36" w:rsidRDefault="00596C02" w:rsidP="00C23048">
            <w:pPr>
              <w:pStyle w:val="CETBodytext"/>
              <w:rPr>
                <w:lang w:val="en-GB"/>
              </w:rPr>
            </w:pPr>
            <w:r>
              <w:rPr>
                <w:lang w:val="en-GB"/>
              </w:rPr>
              <w:t>34.5</w:t>
            </w:r>
          </w:p>
        </w:tc>
      </w:tr>
      <w:tr w:rsidR="00596C02" w:rsidRPr="00B57B36" w14:paraId="22A4CAAA" w14:textId="77777777" w:rsidTr="007A6BE8">
        <w:tc>
          <w:tcPr>
            <w:tcW w:w="1134" w:type="dxa"/>
            <w:shd w:val="clear" w:color="auto" w:fill="FFFFFF"/>
          </w:tcPr>
          <w:p w14:paraId="1B708321" w14:textId="77777777" w:rsidR="00596C02" w:rsidRDefault="00596C02" w:rsidP="00C23048">
            <w:pPr>
              <w:pStyle w:val="CETBodytext"/>
              <w:rPr>
                <w:lang w:val="en-GB"/>
              </w:rPr>
            </w:pPr>
            <w:r>
              <w:rPr>
                <w:lang w:val="en-GB"/>
              </w:rPr>
              <w:t>#1b</w:t>
            </w:r>
          </w:p>
        </w:tc>
        <w:tc>
          <w:tcPr>
            <w:tcW w:w="1701" w:type="dxa"/>
            <w:shd w:val="clear" w:color="auto" w:fill="FFFFFF"/>
          </w:tcPr>
          <w:p w14:paraId="46634CE0" w14:textId="77777777" w:rsidR="00596C02" w:rsidRDefault="00596C02" w:rsidP="00C23048">
            <w:pPr>
              <w:pStyle w:val="CETBodytext"/>
              <w:rPr>
                <w:lang w:val="en-GB"/>
              </w:rPr>
            </w:pPr>
            <w:r>
              <w:rPr>
                <w:lang w:val="en-GB"/>
              </w:rPr>
              <w:t>8.5</w:t>
            </w:r>
          </w:p>
        </w:tc>
        <w:tc>
          <w:tcPr>
            <w:tcW w:w="1276" w:type="dxa"/>
            <w:shd w:val="clear" w:color="auto" w:fill="FFFFFF"/>
          </w:tcPr>
          <w:p w14:paraId="6A88F694" w14:textId="77777777" w:rsidR="00596C02" w:rsidRDefault="00596C02" w:rsidP="00C23048">
            <w:pPr>
              <w:pStyle w:val="CETBodytext"/>
              <w:rPr>
                <w:lang w:val="en-GB"/>
              </w:rPr>
            </w:pPr>
            <w:r>
              <w:rPr>
                <w:lang w:val="en-GB"/>
              </w:rPr>
              <w:t>0.22</w:t>
            </w:r>
          </w:p>
        </w:tc>
        <w:tc>
          <w:tcPr>
            <w:tcW w:w="1701" w:type="dxa"/>
            <w:shd w:val="clear" w:color="auto" w:fill="FFFFFF"/>
          </w:tcPr>
          <w:p w14:paraId="2368775D" w14:textId="77777777" w:rsidR="00596C02" w:rsidRPr="00B57B36" w:rsidRDefault="00596C02" w:rsidP="00C23048">
            <w:pPr>
              <w:pStyle w:val="CETBodytext"/>
              <w:rPr>
                <w:lang w:val="en-GB"/>
              </w:rPr>
            </w:pPr>
            <w:r>
              <w:rPr>
                <w:lang w:val="en-GB"/>
              </w:rPr>
              <w:t>4.5</w:t>
            </w:r>
          </w:p>
        </w:tc>
        <w:tc>
          <w:tcPr>
            <w:tcW w:w="1701" w:type="dxa"/>
            <w:shd w:val="clear" w:color="auto" w:fill="FFFFFF"/>
          </w:tcPr>
          <w:p w14:paraId="79B7FE54" w14:textId="77777777" w:rsidR="00596C02" w:rsidRPr="00B57B36" w:rsidRDefault="00596C02" w:rsidP="00C23048">
            <w:pPr>
              <w:pStyle w:val="CETBodytext"/>
              <w:rPr>
                <w:lang w:val="en-GB"/>
              </w:rPr>
            </w:pPr>
            <w:r>
              <w:rPr>
                <w:lang w:val="en-GB"/>
              </w:rPr>
              <w:t>38.9</w:t>
            </w:r>
          </w:p>
        </w:tc>
      </w:tr>
      <w:tr w:rsidR="00596C02" w:rsidRPr="00B57B36" w14:paraId="7F1DB6CD" w14:textId="77777777" w:rsidTr="007A6BE8">
        <w:tc>
          <w:tcPr>
            <w:tcW w:w="1134" w:type="dxa"/>
            <w:shd w:val="clear" w:color="auto" w:fill="FFFFFF"/>
          </w:tcPr>
          <w:p w14:paraId="26FF8FD6" w14:textId="1F371C59" w:rsidR="00596C02" w:rsidRPr="00B57B36" w:rsidRDefault="00596C02" w:rsidP="00596C02">
            <w:pPr>
              <w:pStyle w:val="CETBodytext"/>
              <w:ind w:right="-1"/>
              <w:rPr>
                <w:rFonts w:cs="Arial"/>
                <w:szCs w:val="18"/>
                <w:lang w:val="en-GB"/>
              </w:rPr>
            </w:pPr>
            <w:r>
              <w:rPr>
                <w:rFonts w:cs="Arial"/>
                <w:szCs w:val="18"/>
                <w:lang w:val="en-GB"/>
              </w:rPr>
              <w:t>#2a</w:t>
            </w:r>
          </w:p>
        </w:tc>
        <w:tc>
          <w:tcPr>
            <w:tcW w:w="1701" w:type="dxa"/>
            <w:shd w:val="clear" w:color="auto" w:fill="FFFFFF"/>
          </w:tcPr>
          <w:p w14:paraId="353DC16F" w14:textId="63086FC3" w:rsidR="00596C02" w:rsidRPr="00B57B36" w:rsidRDefault="00596C02" w:rsidP="00596C02">
            <w:pPr>
              <w:pStyle w:val="CETBodytext"/>
              <w:ind w:right="-1"/>
              <w:rPr>
                <w:rFonts w:cs="Arial"/>
                <w:szCs w:val="18"/>
                <w:lang w:val="en-GB"/>
              </w:rPr>
            </w:pPr>
            <w:r>
              <w:t>13.5</w:t>
            </w:r>
          </w:p>
        </w:tc>
        <w:tc>
          <w:tcPr>
            <w:tcW w:w="1276" w:type="dxa"/>
            <w:shd w:val="clear" w:color="auto" w:fill="FFFFFF"/>
          </w:tcPr>
          <w:p w14:paraId="1D329E1C" w14:textId="07BB72B6" w:rsidR="00596C02" w:rsidRDefault="00596C02" w:rsidP="00596C02">
            <w:pPr>
              <w:pStyle w:val="CETBodytext"/>
              <w:ind w:right="-1"/>
              <w:rPr>
                <w:rFonts w:cs="Arial"/>
                <w:szCs w:val="18"/>
                <w:lang w:val="en-GB"/>
              </w:rPr>
            </w:pPr>
            <w:r>
              <w:rPr>
                <w:rFonts w:cs="Arial"/>
                <w:szCs w:val="18"/>
                <w:lang w:val="en-GB"/>
              </w:rPr>
              <w:t>0.45</w:t>
            </w:r>
          </w:p>
        </w:tc>
        <w:tc>
          <w:tcPr>
            <w:tcW w:w="1701" w:type="dxa"/>
            <w:shd w:val="clear" w:color="auto" w:fill="FFFFFF"/>
          </w:tcPr>
          <w:p w14:paraId="39E86965" w14:textId="69A25F26" w:rsidR="00596C02" w:rsidRPr="00B57B36" w:rsidRDefault="00596C02" w:rsidP="00596C02">
            <w:pPr>
              <w:pStyle w:val="CETBodytext"/>
              <w:ind w:right="-1"/>
              <w:rPr>
                <w:rFonts w:cs="Arial"/>
                <w:szCs w:val="18"/>
                <w:lang w:val="en-GB"/>
              </w:rPr>
            </w:pPr>
            <w:r>
              <w:rPr>
                <w:rFonts w:cs="Arial"/>
                <w:szCs w:val="18"/>
                <w:lang w:val="en-GB"/>
              </w:rPr>
              <w:t>2.2</w:t>
            </w:r>
          </w:p>
        </w:tc>
        <w:tc>
          <w:tcPr>
            <w:tcW w:w="1701" w:type="dxa"/>
            <w:shd w:val="clear" w:color="auto" w:fill="FFFFFF"/>
          </w:tcPr>
          <w:p w14:paraId="24201DA3" w14:textId="66F4F5A4" w:rsidR="00596C02" w:rsidRPr="00B57B36" w:rsidRDefault="00596C02" w:rsidP="00596C02">
            <w:pPr>
              <w:pStyle w:val="CETBodytext"/>
              <w:ind w:right="-1"/>
              <w:rPr>
                <w:rFonts w:cs="Arial"/>
                <w:szCs w:val="18"/>
                <w:lang w:val="en-GB"/>
              </w:rPr>
            </w:pPr>
            <w:r>
              <w:rPr>
                <w:rFonts w:cs="Arial"/>
                <w:szCs w:val="18"/>
                <w:lang w:val="en-GB"/>
              </w:rPr>
              <w:t>30.0</w:t>
            </w:r>
          </w:p>
        </w:tc>
      </w:tr>
      <w:tr w:rsidR="00596C02" w:rsidRPr="00B57B36" w14:paraId="0E5D9D15" w14:textId="77777777" w:rsidTr="007A6BE8">
        <w:tc>
          <w:tcPr>
            <w:tcW w:w="1134" w:type="dxa"/>
            <w:shd w:val="clear" w:color="auto" w:fill="FFFFFF"/>
          </w:tcPr>
          <w:p w14:paraId="31FAC657" w14:textId="6B8582B7" w:rsidR="00596C02" w:rsidRDefault="00596C02" w:rsidP="00596C02">
            <w:pPr>
              <w:pStyle w:val="CETBodytext"/>
              <w:ind w:right="-1"/>
              <w:rPr>
                <w:rFonts w:cs="Arial"/>
                <w:szCs w:val="18"/>
                <w:lang w:val="en-GB"/>
              </w:rPr>
            </w:pPr>
            <w:r>
              <w:rPr>
                <w:rFonts w:cs="Arial"/>
                <w:szCs w:val="18"/>
                <w:lang w:val="en-GB"/>
              </w:rPr>
              <w:t>#2b</w:t>
            </w:r>
          </w:p>
        </w:tc>
        <w:tc>
          <w:tcPr>
            <w:tcW w:w="1701" w:type="dxa"/>
            <w:shd w:val="clear" w:color="auto" w:fill="FFFFFF"/>
          </w:tcPr>
          <w:p w14:paraId="7C97D8C9" w14:textId="02C4F1C4" w:rsidR="00596C02" w:rsidRDefault="00596C02" w:rsidP="00596C02">
            <w:pPr>
              <w:pStyle w:val="CETBodytext"/>
              <w:ind w:right="-1"/>
              <w:rPr>
                <w:rFonts w:cs="Arial"/>
                <w:szCs w:val="18"/>
                <w:lang w:val="en-GB"/>
              </w:rPr>
            </w:pPr>
            <w:r>
              <w:t>9.7</w:t>
            </w:r>
          </w:p>
        </w:tc>
        <w:tc>
          <w:tcPr>
            <w:tcW w:w="1276" w:type="dxa"/>
            <w:shd w:val="clear" w:color="auto" w:fill="FFFFFF"/>
          </w:tcPr>
          <w:p w14:paraId="68648769" w14:textId="1C168BF4" w:rsidR="00596C02" w:rsidRDefault="00596C02" w:rsidP="00596C02">
            <w:pPr>
              <w:pStyle w:val="CETBodytext"/>
              <w:ind w:right="-1"/>
              <w:rPr>
                <w:rFonts w:cs="Arial"/>
                <w:szCs w:val="18"/>
                <w:lang w:val="en-GB"/>
              </w:rPr>
            </w:pPr>
            <w:r>
              <w:rPr>
                <w:rFonts w:cs="Arial"/>
                <w:szCs w:val="18"/>
                <w:lang w:val="en-GB"/>
              </w:rPr>
              <w:t>0.23</w:t>
            </w:r>
          </w:p>
        </w:tc>
        <w:tc>
          <w:tcPr>
            <w:tcW w:w="1701" w:type="dxa"/>
            <w:shd w:val="clear" w:color="auto" w:fill="FFFFFF"/>
          </w:tcPr>
          <w:p w14:paraId="73ABB2AA" w14:textId="35976E18" w:rsidR="00596C02" w:rsidRPr="00B57B36" w:rsidRDefault="00596C02" w:rsidP="00596C02">
            <w:pPr>
              <w:pStyle w:val="CETBodytext"/>
              <w:ind w:right="-1"/>
              <w:rPr>
                <w:rFonts w:cs="Arial"/>
                <w:szCs w:val="18"/>
                <w:lang w:val="en-GB"/>
              </w:rPr>
            </w:pPr>
            <w:r>
              <w:rPr>
                <w:rFonts w:cs="Arial"/>
                <w:szCs w:val="18"/>
                <w:lang w:val="en-GB"/>
              </w:rPr>
              <w:t>4.5</w:t>
            </w:r>
          </w:p>
        </w:tc>
        <w:tc>
          <w:tcPr>
            <w:tcW w:w="1701" w:type="dxa"/>
            <w:shd w:val="clear" w:color="auto" w:fill="FFFFFF"/>
          </w:tcPr>
          <w:p w14:paraId="1CF216B3" w14:textId="52233321" w:rsidR="00596C02" w:rsidRPr="00B57B36" w:rsidRDefault="00596C02" w:rsidP="00596C02">
            <w:pPr>
              <w:pStyle w:val="CETBodytext"/>
              <w:ind w:right="-1"/>
              <w:rPr>
                <w:rFonts w:cs="Arial"/>
                <w:szCs w:val="18"/>
                <w:lang w:val="en-GB"/>
              </w:rPr>
            </w:pPr>
            <w:r>
              <w:rPr>
                <w:rFonts w:cs="Arial"/>
                <w:szCs w:val="18"/>
                <w:lang w:val="en-GB"/>
              </w:rPr>
              <w:t>44.2</w:t>
            </w:r>
          </w:p>
        </w:tc>
      </w:tr>
    </w:tbl>
    <w:p w14:paraId="53F44926" w14:textId="77777777" w:rsidR="007171B4" w:rsidRPr="00041915" w:rsidRDefault="007171B4" w:rsidP="00DE2C71">
      <w:pPr>
        <w:pStyle w:val="CETBodytext"/>
      </w:pPr>
    </w:p>
    <w:p w14:paraId="31E97E0E" w14:textId="55DD1702" w:rsidR="00DC2D56" w:rsidRDefault="00DC2D56" w:rsidP="00DC2D56">
      <w:pPr>
        <w:pStyle w:val="CETheadingx"/>
      </w:pPr>
      <w:r w:rsidRPr="00041915">
        <w:t>Influence of NaOH concentration</w:t>
      </w:r>
    </w:p>
    <w:p w14:paraId="39A716D2" w14:textId="732E2D5E" w:rsidR="002504FF" w:rsidRDefault="00C02436" w:rsidP="002504FF">
      <w:pPr>
        <w:pStyle w:val="CETBodytext"/>
      </w:pPr>
      <w:r>
        <w:t>The NaOH concentration influence on Mg(OH)</w:t>
      </w:r>
      <w:r w:rsidRPr="00855AED">
        <w:rPr>
          <w:vertAlign w:val="subscript"/>
        </w:rPr>
        <w:t>2</w:t>
      </w:r>
      <w:r>
        <w:rPr>
          <w:vertAlign w:val="subscript"/>
        </w:rPr>
        <w:t xml:space="preserve"> </w:t>
      </w:r>
      <w:r>
        <w:t xml:space="preserve">suspension sedimentation and filterability properties was investigated </w:t>
      </w:r>
      <w:r w:rsidR="00AE64DF">
        <w:t xml:space="preserve">by </w:t>
      </w:r>
      <w:r>
        <w:t>adopting 0.5</w:t>
      </w:r>
      <w:r w:rsidR="00846F44">
        <w:t>0</w:t>
      </w:r>
      <w:r>
        <w:t xml:space="preserve"> M (Cases #1) and 1.0</w:t>
      </w:r>
      <w:r w:rsidR="00846F44">
        <w:t>0</w:t>
      </w:r>
      <w:r>
        <w:t xml:space="preserve"> M (Cases #3)</w:t>
      </w:r>
      <w:r w:rsidR="001A2A28">
        <w:t xml:space="preserve"> NaOH solutions</w:t>
      </w:r>
      <w:r>
        <w:t>.</w:t>
      </w:r>
    </w:p>
    <w:p w14:paraId="5A235958" w14:textId="11D41D13" w:rsidR="002504FF" w:rsidRPr="00855AED" w:rsidRDefault="002E0627" w:rsidP="002504FF">
      <w:pPr>
        <w:pStyle w:val="CETBodytext"/>
      </w:pPr>
      <w:r>
        <w:fldChar w:fldCharType="begin"/>
      </w:r>
      <w:r>
        <w:instrText xml:space="preserve"> REF _Ref129537380 \h </w:instrText>
      </w:r>
      <w:r>
        <w:fldChar w:fldCharType="separate"/>
      </w:r>
      <w:r w:rsidR="00142505">
        <w:t xml:space="preserve">Figure </w:t>
      </w:r>
      <w:r w:rsidR="00142505">
        <w:rPr>
          <w:noProof/>
        </w:rPr>
        <w:t>2</w:t>
      </w:r>
      <w:r>
        <w:fldChar w:fldCharType="end"/>
      </w:r>
      <w:r w:rsidR="002504FF">
        <w:t xml:space="preserve">a and </w:t>
      </w:r>
      <w:r>
        <w:fldChar w:fldCharType="begin"/>
      </w:r>
      <w:r>
        <w:instrText xml:space="preserve"> REF _Ref129537380 \h </w:instrText>
      </w:r>
      <w:r>
        <w:fldChar w:fldCharType="separate"/>
      </w:r>
      <w:r w:rsidR="00142505">
        <w:t xml:space="preserve">Figure </w:t>
      </w:r>
      <w:r w:rsidR="00142505">
        <w:rPr>
          <w:noProof/>
        </w:rPr>
        <w:t>2</w:t>
      </w:r>
      <w:r>
        <w:fldChar w:fldCharType="end"/>
      </w:r>
      <w:r w:rsidR="002504FF">
        <w:t>b</w:t>
      </w:r>
      <w:r w:rsidR="002504FF" w:rsidRPr="00855AED">
        <w:t xml:space="preserve"> </w:t>
      </w:r>
      <w:r w:rsidR="002504FF">
        <w:t xml:space="preserve">report the </w:t>
      </w:r>
      <w:r w:rsidR="00D07827">
        <w:t xml:space="preserve">normalized settled volume,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sidR="00D07827">
        <w:t>, Eq. (4), trend</w:t>
      </w:r>
      <w:r w:rsidR="00EB2192">
        <w:t>s</w:t>
      </w:r>
      <w:r w:rsidR="00D07827">
        <w:t xml:space="preserve"> and filtration times required for obtaining 80 mL of clarified filtered solutions, respectively</w:t>
      </w:r>
      <w:r w:rsidR="002504FF">
        <w:t xml:space="preserve">. </w:t>
      </w:r>
    </w:p>
    <w:p w14:paraId="47DE63CA" w14:textId="77777777" w:rsidR="002504FF" w:rsidRPr="002504FF" w:rsidRDefault="002504FF" w:rsidP="002504FF">
      <w:pPr>
        <w:pStyle w:val="CETBodytext"/>
      </w:pPr>
    </w:p>
    <w:p w14:paraId="5565681A" w14:textId="17F07420" w:rsidR="005C2E3A" w:rsidRDefault="00617FB7" w:rsidP="005C2E3A">
      <w:pPr>
        <w:pStyle w:val="CETBodytext"/>
        <w:keepNext/>
      </w:pPr>
      <w:r w:rsidRPr="00041915">
        <w:rPr>
          <w:noProof/>
        </w:rPr>
        <w:lastRenderedPageBreak/>
        <w:t xml:space="preserve"> </w:t>
      </w:r>
      <w:r w:rsidR="00EB2192">
        <w:rPr>
          <w:noProof/>
        </w:rPr>
        <w:drawing>
          <wp:inline distT="0" distB="0" distL="0" distR="0" wp14:anchorId="30D7DFFB" wp14:editId="7467F363">
            <wp:extent cx="1998783" cy="1548000"/>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8783" cy="1548000"/>
                    </a:xfrm>
                    <a:prstGeom prst="rect">
                      <a:avLst/>
                    </a:prstGeom>
                    <a:noFill/>
                  </pic:spPr>
                </pic:pic>
              </a:graphicData>
            </a:graphic>
          </wp:inline>
        </w:drawing>
      </w:r>
      <w:r w:rsidRPr="00041915">
        <w:rPr>
          <w:noProof/>
        </w:rPr>
        <w:t xml:space="preserve"> </w:t>
      </w:r>
      <w:r w:rsidR="00EB2192">
        <w:rPr>
          <w:noProof/>
        </w:rPr>
        <w:t xml:space="preserve">           </w:t>
      </w:r>
      <w:r w:rsidR="002B0513">
        <w:rPr>
          <w:noProof/>
        </w:rPr>
        <w:t xml:space="preserve">    </w:t>
      </w:r>
      <w:r w:rsidR="009A0024">
        <w:rPr>
          <w:noProof/>
        </w:rPr>
        <w:t xml:space="preserve">  </w:t>
      </w:r>
      <w:r w:rsidR="002D474E">
        <w:rPr>
          <w:noProof/>
        </w:rPr>
        <w:drawing>
          <wp:inline distT="0" distB="0" distL="0" distR="0" wp14:anchorId="67A6F31D" wp14:editId="0C8CDABF">
            <wp:extent cx="1880752" cy="1548000"/>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752" cy="1548000"/>
                    </a:xfrm>
                    <a:prstGeom prst="rect">
                      <a:avLst/>
                    </a:prstGeom>
                    <a:noFill/>
                  </pic:spPr>
                </pic:pic>
              </a:graphicData>
            </a:graphic>
          </wp:inline>
        </w:drawing>
      </w:r>
    </w:p>
    <w:p w14:paraId="60241FB0" w14:textId="3EB7921D" w:rsidR="00265A74" w:rsidRPr="00041915" w:rsidRDefault="00617FB7" w:rsidP="00EB2192">
      <w:pPr>
        <w:pStyle w:val="CETBodytext"/>
        <w:tabs>
          <w:tab w:val="center" w:pos="1985"/>
          <w:tab w:val="center" w:pos="5954"/>
        </w:tabs>
      </w:pPr>
      <w:r w:rsidRPr="00041915">
        <w:rPr>
          <w:noProof/>
        </w:rPr>
        <w:t xml:space="preserve"> </w:t>
      </w:r>
      <w:r w:rsidR="005C2E3A">
        <w:rPr>
          <w:noProof/>
        </w:rPr>
        <w:tab/>
        <w:t>(</w:t>
      </w:r>
      <w:r w:rsidR="00265A74" w:rsidRPr="00041915">
        <w:rPr>
          <w:noProof/>
        </w:rPr>
        <w:t>a</w:t>
      </w:r>
      <w:r w:rsidR="005C2E3A">
        <w:rPr>
          <w:noProof/>
        </w:rPr>
        <w:t>)</w:t>
      </w:r>
      <w:r w:rsidR="00265A74" w:rsidRPr="00041915">
        <w:rPr>
          <w:noProof/>
        </w:rPr>
        <w:t xml:space="preserve"> </w:t>
      </w:r>
      <w:r w:rsidR="005C2E3A">
        <w:rPr>
          <w:noProof/>
        </w:rPr>
        <w:tab/>
        <w:t>(</w:t>
      </w:r>
      <w:r w:rsidR="00265A74" w:rsidRPr="00041915">
        <w:rPr>
          <w:noProof/>
        </w:rPr>
        <w:t>b</w:t>
      </w:r>
      <w:r w:rsidR="005C2E3A">
        <w:rPr>
          <w:noProof/>
        </w:rPr>
        <w:t>)</w:t>
      </w:r>
    </w:p>
    <w:p w14:paraId="1FD98DB4" w14:textId="79EE9C24" w:rsidR="005C2E3A" w:rsidRDefault="005C2E3A" w:rsidP="009D2D6F">
      <w:pPr>
        <w:pStyle w:val="CETCaption"/>
      </w:pPr>
      <w:bookmarkStart w:id="4" w:name="_Ref129537380"/>
      <w:r>
        <w:t xml:space="preserve">Figure </w:t>
      </w:r>
      <w:r>
        <w:fldChar w:fldCharType="begin"/>
      </w:r>
      <w:r>
        <w:instrText xml:space="preserve"> SEQ Figure \* ARABIC </w:instrText>
      </w:r>
      <w:r>
        <w:fldChar w:fldCharType="separate"/>
      </w:r>
      <w:r w:rsidR="00142505">
        <w:rPr>
          <w:noProof/>
        </w:rPr>
        <w:t>2</w:t>
      </w:r>
      <w:r>
        <w:fldChar w:fldCharType="end"/>
      </w:r>
      <w:bookmarkEnd w:id="4"/>
      <w:r w:rsidR="009D2D6F">
        <w:t xml:space="preserve"> </w:t>
      </w:r>
      <w:r w:rsidR="0068666A">
        <w:t>N</w:t>
      </w:r>
      <w:r w:rsidR="0068666A" w:rsidRPr="006E67B7">
        <w:t>ormalized settled volume, V</w:t>
      </w:r>
      <w:r w:rsidR="0068666A" w:rsidRPr="006E67B7">
        <w:rPr>
          <w:vertAlign w:val="subscript"/>
        </w:rPr>
        <w:t>N</w:t>
      </w:r>
      <w:r w:rsidR="0068666A" w:rsidRPr="006E67B7">
        <w:t>,</w:t>
      </w:r>
      <w:r w:rsidR="0068666A">
        <w:rPr>
          <w:vertAlign w:val="subscript"/>
        </w:rPr>
        <w:t xml:space="preserve"> </w:t>
      </w:r>
      <w:r w:rsidR="0068666A" w:rsidRPr="006E67B7">
        <w:t>Eq. (4)</w:t>
      </w:r>
      <w:r w:rsidR="0068666A">
        <w:t>, trend</w:t>
      </w:r>
      <w:r w:rsidR="00D07827">
        <w:t>s</w:t>
      </w:r>
      <w:r w:rsidR="0068666A">
        <w:t>, (a)</w:t>
      </w:r>
      <w:r w:rsidR="00BC00C2">
        <w:t>;</w:t>
      </w:r>
      <w:r w:rsidR="0068666A">
        <w:t xml:space="preserve"> </w:t>
      </w:r>
      <w:r w:rsidR="0068666A" w:rsidRPr="009D2D6F">
        <w:t>and filtration times</w:t>
      </w:r>
      <w:r w:rsidR="0068666A">
        <w:t xml:space="preserve">, (b), </w:t>
      </w:r>
      <w:r w:rsidR="0068666A" w:rsidRPr="009D2D6F">
        <w:t xml:space="preserve">required to obtain 80 mL of clarified </w:t>
      </w:r>
      <w:r w:rsidR="008C1F05">
        <w:t xml:space="preserve">filtered </w:t>
      </w:r>
      <w:r w:rsidR="0068666A" w:rsidRPr="009D2D6F">
        <w:t>solution</w:t>
      </w:r>
      <w:r w:rsidR="008C1F05">
        <w:t xml:space="preserve"> at 0.5</w:t>
      </w:r>
      <w:r w:rsidR="00657CE2">
        <w:t xml:space="preserve"> </w:t>
      </w:r>
      <w:r w:rsidR="008C1F05">
        <w:t>bar</w:t>
      </w:r>
      <w:r w:rsidR="0068666A" w:rsidRPr="009D2D6F">
        <w:t xml:space="preserve"> for Cases #1 (</w:t>
      </w:r>
      <w:r w:rsidR="0068666A">
        <w:t>0.5</w:t>
      </w:r>
      <w:r w:rsidR="00846F44">
        <w:t>0</w:t>
      </w:r>
      <w:r w:rsidR="001C59A4">
        <w:t xml:space="preserve"> </w:t>
      </w:r>
      <w:r w:rsidR="0068666A">
        <w:t>M NaOH</w:t>
      </w:r>
      <w:r w:rsidR="0068666A" w:rsidRPr="009D2D6F">
        <w:t>) and Cases #</w:t>
      </w:r>
      <w:r w:rsidR="0068666A">
        <w:t xml:space="preserve">3 </w:t>
      </w:r>
      <w:r w:rsidR="0068666A" w:rsidRPr="009D2D6F">
        <w:t>(</w:t>
      </w:r>
      <w:r w:rsidR="0068666A">
        <w:t>1</w:t>
      </w:r>
      <w:r w:rsidR="001C59A4">
        <w:t>.0</w:t>
      </w:r>
      <w:r w:rsidR="00846F44">
        <w:t>0</w:t>
      </w:r>
      <w:r w:rsidR="001C59A4">
        <w:t xml:space="preserve"> </w:t>
      </w:r>
      <w:r w:rsidR="0068666A">
        <w:t>M NaOH</w:t>
      </w:r>
      <w:r w:rsidR="0068666A" w:rsidRPr="009D2D6F">
        <w:t>).</w:t>
      </w:r>
      <w:r w:rsidR="0068666A">
        <w:t xml:space="preserve"> Cases #a and #b were characterized by a final suspension pH of 10.8 and 12.8, respectively.</w:t>
      </w:r>
    </w:p>
    <w:p w14:paraId="16CC0FD9" w14:textId="213A5F23" w:rsidR="0042731C" w:rsidRPr="00041915" w:rsidRDefault="00C237B4" w:rsidP="00DC2D56">
      <w:pPr>
        <w:pStyle w:val="CETBodytext"/>
      </w:pPr>
      <w:r>
        <w:t>Mg(OH)</w:t>
      </w:r>
      <w:r w:rsidRPr="00C237B4">
        <w:rPr>
          <w:vertAlign w:val="subscript"/>
        </w:rPr>
        <w:t>2</w:t>
      </w:r>
      <w:r>
        <w:t xml:space="preserve"> suspensions produced in Cases #3 </w:t>
      </w:r>
      <w:r w:rsidR="000A4CAB">
        <w:t xml:space="preserve">sedimented </w:t>
      </w:r>
      <w:r>
        <w:t xml:space="preserve">slower </w:t>
      </w:r>
      <w:r w:rsidR="004046E9">
        <w:t>than</w:t>
      </w:r>
      <w:r>
        <w:t xml:space="preserve"> those of Cases #1</w:t>
      </w:r>
      <w:r w:rsidR="00D31909">
        <w:t>.</w:t>
      </w:r>
      <w:r w:rsidR="00E10FA4">
        <w:t xml:space="preserve"> </w:t>
      </w:r>
      <w:r w:rsidR="000A760A" w:rsidRPr="00C762A3">
        <w:rPr>
          <w:color w:val="F79646" w:themeColor="accent6"/>
        </w:rPr>
        <w:t xml:space="preserve">This can be due to the </w:t>
      </w:r>
      <w:r w:rsidR="00D31909">
        <w:t xml:space="preserve">higher </w:t>
      </w:r>
      <w:r w:rsidR="00DD4B85">
        <w:t>mag</w:t>
      </w:r>
      <w:r w:rsidR="000B0FBB">
        <w:t>m</w:t>
      </w:r>
      <w:r w:rsidR="00DD4B85">
        <w:t>a densit</w:t>
      </w:r>
      <w:r w:rsidR="00D31909">
        <w:t>ies</w:t>
      </w:r>
      <w:r w:rsidR="000A760A" w:rsidRPr="000A760A">
        <w:t xml:space="preserve"> </w:t>
      </w:r>
      <w:r w:rsidR="000A760A">
        <w:t>of Cases #3</w:t>
      </w:r>
      <w:r w:rsidR="0033145C">
        <w:t xml:space="preserve">, </w:t>
      </w:r>
      <w:r w:rsidR="00203711">
        <w:t xml:space="preserve">see </w:t>
      </w:r>
      <w:r w:rsidR="00203711">
        <w:fldChar w:fldCharType="begin"/>
      </w:r>
      <w:r w:rsidR="00203711">
        <w:instrText xml:space="preserve"> REF _Ref129538176 \h </w:instrText>
      </w:r>
      <w:r w:rsidR="00203711">
        <w:fldChar w:fldCharType="separate"/>
      </w:r>
      <w:r w:rsidR="00142505">
        <w:t xml:space="preserve">Table </w:t>
      </w:r>
      <w:r w:rsidR="00142505">
        <w:rPr>
          <w:noProof/>
        </w:rPr>
        <w:t>3</w:t>
      </w:r>
      <w:r w:rsidR="00203711">
        <w:fldChar w:fldCharType="end"/>
      </w:r>
      <w:r>
        <w:t>.</w:t>
      </w:r>
      <w:r w:rsidR="00DA2BDA">
        <w:t>The slower sedimentation trends</w:t>
      </w:r>
      <w:r w:rsidR="000A4CAB">
        <w:t xml:space="preserve"> </w:t>
      </w:r>
      <w:r w:rsidR="00593CF1">
        <w:t xml:space="preserve">can </w:t>
      </w:r>
      <w:r w:rsidR="00DA2BDA">
        <w:t xml:space="preserve">also </w:t>
      </w:r>
      <w:r w:rsidR="00593CF1">
        <w:t>be</w:t>
      </w:r>
      <w:r w:rsidR="00EC6862">
        <w:t xml:space="preserve"> attributed</w:t>
      </w:r>
      <w:r w:rsidR="000A4CAB">
        <w:t xml:space="preserve"> </w:t>
      </w:r>
      <w:r w:rsidR="00EC6862">
        <w:t>to</w:t>
      </w:r>
      <w:r w:rsidR="000A4CAB">
        <w:t xml:space="preserve"> the higher local supersaturation level </w:t>
      </w:r>
      <w:r w:rsidR="000B5769">
        <w:t>achieved</w:t>
      </w:r>
      <w:r w:rsidR="000A4CAB">
        <w:t xml:space="preserve"> in the reactor due to the higher </w:t>
      </w:r>
      <w:r w:rsidR="00DA2BDA">
        <w:t xml:space="preserve">employed </w:t>
      </w:r>
      <w:r w:rsidR="000A4CAB">
        <w:t xml:space="preserve">NaOH concentration. Higher local supersaturation levels lead to </w:t>
      </w:r>
      <w:r w:rsidR="000B5769">
        <w:t xml:space="preserve">the nucleation of </w:t>
      </w:r>
      <w:r w:rsidR="000A4CAB">
        <w:t>smaller particles that entrap a higher mother liquor amount</w:t>
      </w:r>
      <w:r w:rsidR="00304A96">
        <w:t>, eventually,</w:t>
      </w:r>
      <w:r w:rsidR="000A4CAB">
        <w:t xml:space="preserve"> producing more</w:t>
      </w:r>
      <w:r w:rsidR="00EC6862">
        <w:t xml:space="preserve"> </w:t>
      </w:r>
      <w:r w:rsidR="000A4CAB">
        <w:t>isodense particles</w:t>
      </w:r>
      <w:r w:rsidR="00B2007B">
        <w:t xml:space="preserve"> characterized by </w:t>
      </w:r>
      <w:r w:rsidR="000A4CAB">
        <w:t>slower sedimentation rates</w:t>
      </w:r>
      <w:r w:rsidR="005E4DE6">
        <w:t xml:space="preserve"> </w:t>
      </w:r>
      <w:r w:rsidR="00607655">
        <w:rPr>
          <w:rStyle w:val="Rimandonotaapidipagina"/>
        </w:rPr>
        <w:fldChar w:fldCharType="begin" w:fldLock="1"/>
      </w:r>
      <w:r w:rsidR="007B0833">
        <w:instrText>ADDIN CSL_CITATION {"citationItems":[{"id":"ITEM-1","itemData":{"DOI":"10.1021/ie00040a025","ISSN":"15205045","abstract":"Precipitation of magnesium hydroxide from hard coal mine brine, which contained 2.84 kg m−3 Mg2+ and 68.06 kg m−3 Cl−, by means of sodium hydroxide was tested. In order to increase the sedimentation and filtration rates of the acquired Mg(OH)2 a so-called forming (of the precipitate) was applied which consisted in introduction of NaOH to a solution containing Mg2+ ions without stirring. The mixture was then left to stand for some time (called time of forming) and then stirred in order to get quantitative reaction. Within the time of forming, t = 0−24 h, the sedimentation rate increased about 5 times and the filtration rate increased about 60 times. Humidity of the filter cake was also reduced. The microscopic observation showed an increase of particles, and X-ray structural analysis showed an increase in degree of order of Mg(OH)2 crystal structure when the time of forming increased. © 1995, American Chemical Society. All rights reserved.","author":[{"dropping-particle":"","family":"Turek","given":"Marian","non-dropping-particle":"","parse-names":false,"suffix":""},{"dropping-particle":"","family":"Gnot","given":"Witold","non-dropping-particle":"","parse-names":false,"suffix":""}],"container-title":"Industrial and Engineering Chemistry Research","id":"ITEM-1","issue":"1","issued":{"date-parts":[["1995"]]},"note":"sulfate ions in coal brines, introduction of additional calcium ions may result in precipitation of calcium sulfate, whose presence in magnesium hy- droxide would exclude its usability for refractory pro- duction. \nWhen precipitation by ammonia is applied, ammonium ions remain in the brine. Ammonium ions\nare very dangerous in an electrolysis process since they form explosive nitrogen trichloride. A\n\nIf Mg(OH)2 is precipitated by an excess of hydroxide ions, the rate of sedimentation is lower and filterability is worse than in the case of excess of magnesium ions. Mg(OH)2","page":"244-250","title":"Precipitation of Magnesium Hydroxide from Brine","type":"article-journal","volume":"34"},"uris":["http://www.mendeley.com/documents/?uuid=a222de3e-21b4-3ea6-bfa8-46e2b763876f"]}],"mendeley":{"formattedCitation":"(Turek et al., 1995)","plainTextFormattedCitation":"(Turek et al., 1995)","previouslyFormattedCitation":"&lt;sup&gt;12&lt;/sup&gt;"},"properties":{"noteIndex":0},"schema":"https://github.com/citation-style-language/schema/raw/master/csl-citation.json"}</w:instrText>
      </w:r>
      <w:r w:rsidR="00607655">
        <w:rPr>
          <w:rStyle w:val="Rimandonotaapidipagina"/>
        </w:rPr>
        <w:fldChar w:fldCharType="separate"/>
      </w:r>
      <w:r w:rsidR="007B0833" w:rsidRPr="007B0833">
        <w:rPr>
          <w:noProof/>
        </w:rPr>
        <w:t xml:space="preserve">(Turek </w:t>
      </w:r>
      <w:r w:rsidR="001A31BB">
        <w:rPr>
          <w:noProof/>
        </w:rPr>
        <w:t>and Gnot</w:t>
      </w:r>
      <w:r w:rsidR="007B0833" w:rsidRPr="007B0833">
        <w:rPr>
          <w:noProof/>
        </w:rPr>
        <w:t>, 1995)</w:t>
      </w:r>
      <w:r w:rsidR="00607655">
        <w:rPr>
          <w:rStyle w:val="Rimandonotaapidipagina"/>
        </w:rPr>
        <w:fldChar w:fldCharType="end"/>
      </w:r>
      <w:r w:rsidR="000A4CAB">
        <w:t>.</w:t>
      </w:r>
      <w:r w:rsidR="00CF786D">
        <w:t xml:space="preserve"> </w:t>
      </w:r>
      <w:r w:rsidR="00297E29">
        <w:t>Concerning</w:t>
      </w:r>
      <w:r w:rsidR="002B0513">
        <w:t xml:space="preserve"> </w:t>
      </w:r>
      <w:r w:rsidR="00A214C8">
        <w:t>filtration times</w:t>
      </w:r>
      <w:r w:rsidR="002D074C">
        <w:t xml:space="preserve">, </w:t>
      </w:r>
      <w:r w:rsidR="009B1CA3">
        <w:t xml:space="preserve">Case #3a requires a similar filtration time, 4.5 </w:t>
      </w:r>
      <w:r w:rsidR="00593CF1">
        <w:t>minutes, tha</w:t>
      </w:r>
      <w:r w:rsidR="002D074C">
        <w:t>n</w:t>
      </w:r>
      <w:r w:rsidR="009B1CA3">
        <w:t xml:space="preserve"> that of Case #1, 4.8 minute</w:t>
      </w:r>
      <w:r w:rsidR="004A4CBF">
        <w:t xml:space="preserve">s, see </w:t>
      </w:r>
      <w:r w:rsidR="004A4CBF">
        <w:fldChar w:fldCharType="begin"/>
      </w:r>
      <w:r w:rsidR="004A4CBF">
        <w:instrText xml:space="preserve"> REF _Ref129537380 \h </w:instrText>
      </w:r>
      <w:r w:rsidR="004A4CBF">
        <w:fldChar w:fldCharType="separate"/>
      </w:r>
      <w:r w:rsidR="00142505">
        <w:t xml:space="preserve">Figure </w:t>
      </w:r>
      <w:r w:rsidR="00142505">
        <w:rPr>
          <w:noProof/>
        </w:rPr>
        <w:t>2</w:t>
      </w:r>
      <w:r w:rsidR="004A4CBF">
        <w:fldChar w:fldCharType="end"/>
      </w:r>
      <w:r w:rsidR="00274D78">
        <w:t>b</w:t>
      </w:r>
      <w:r w:rsidR="009B1CA3">
        <w:t xml:space="preserve">. </w:t>
      </w:r>
      <w:r w:rsidR="005B2398">
        <w:t>T</w:t>
      </w:r>
      <w:r w:rsidR="00AE0F81">
        <w:t>he filtration time of Case #3 b is almost</w:t>
      </w:r>
      <w:r w:rsidR="009B1CA3">
        <w:t xml:space="preserve"> </w:t>
      </w:r>
      <w:r w:rsidR="00766211">
        <w:t>9</w:t>
      </w:r>
      <w:r w:rsidR="009B1CA3">
        <w:t xml:space="preserve"> </w:t>
      </w:r>
      <w:r w:rsidR="00AE0F81">
        <w:t xml:space="preserve">and </w:t>
      </w:r>
      <w:r w:rsidR="00766211">
        <w:t>1.5 times</w:t>
      </w:r>
      <w:r w:rsidR="00AE0F81">
        <w:t xml:space="preserve"> higher than those of </w:t>
      </w:r>
      <w:r w:rsidR="009B1CA3">
        <w:t>Case</w:t>
      </w:r>
      <w:r w:rsidR="00AE0F81">
        <w:t>s</w:t>
      </w:r>
      <w:r w:rsidR="009B1CA3">
        <w:t xml:space="preserve"> #1a</w:t>
      </w:r>
      <w:r w:rsidR="00AE0F81">
        <w:t xml:space="preserve"> and #1b</w:t>
      </w:r>
      <w:r w:rsidR="00AE4DA0">
        <w:t xml:space="preserve">, probably </w:t>
      </w:r>
      <w:r w:rsidR="00AE0F81">
        <w:t xml:space="preserve">due to the </w:t>
      </w:r>
      <w:r w:rsidR="00F01300">
        <w:t xml:space="preserve">use of </w:t>
      </w:r>
      <w:r w:rsidR="005B2398">
        <w:t xml:space="preserve">the </w:t>
      </w:r>
      <w:r w:rsidR="00F01300">
        <w:t>more concentrated NaOH solutions</w:t>
      </w:r>
      <w:r w:rsidR="001D4B0D">
        <w:t>.</w:t>
      </w:r>
      <w:r w:rsidR="004C7388">
        <w:t xml:space="preserve"> </w:t>
      </w:r>
      <w:r w:rsidR="009D7B56">
        <w:fldChar w:fldCharType="begin"/>
      </w:r>
      <w:r w:rsidR="009D7B56">
        <w:instrText xml:space="preserve"> REF _Ref129538176 \h </w:instrText>
      </w:r>
      <w:r w:rsidR="009D7B56">
        <w:fldChar w:fldCharType="separate"/>
      </w:r>
      <w:r w:rsidR="00142505">
        <w:t xml:space="preserve">Table </w:t>
      </w:r>
      <w:r w:rsidR="00142505">
        <w:rPr>
          <w:noProof/>
        </w:rPr>
        <w:t>3</w:t>
      </w:r>
      <w:r w:rsidR="009D7B56">
        <w:fldChar w:fldCharType="end"/>
      </w:r>
      <w:r w:rsidR="009D7B56">
        <w:t xml:space="preserve"> </w:t>
      </w:r>
      <w:r w:rsidR="00B22274">
        <w:t>reports the initial mag</w:t>
      </w:r>
      <w:r w:rsidR="000B0FBB">
        <w:t>m</w:t>
      </w:r>
      <w:r w:rsidR="00B22274">
        <w:t>a densities, the final normalized settled volume</w:t>
      </w:r>
      <w:r w:rsidR="000C45E8">
        <w:t>, concentration</w:t>
      </w:r>
      <w:r w:rsidR="00B22274">
        <w:t xml:space="preserve"> facto</w:t>
      </w:r>
      <w:r w:rsidR="000C45E8">
        <w:t>rs</w:t>
      </w:r>
      <w:r w:rsidR="00B22274">
        <w:t xml:space="preserve"> and final mag</w:t>
      </w:r>
      <w:r w:rsidR="000B0FBB">
        <w:t>m</w:t>
      </w:r>
      <w:r w:rsidR="00B22274">
        <w:t>a densit</w:t>
      </w:r>
      <w:r w:rsidR="00436A66">
        <w:t>ies</w:t>
      </w:r>
      <w:r w:rsidR="00453A32">
        <w:t xml:space="preserve"> for Cases #1 and #3</w:t>
      </w:r>
      <w:r w:rsidR="00B22274">
        <w:t xml:space="preserve">. </w:t>
      </w:r>
      <w:r w:rsidR="000527D1">
        <w:t>Case#3a reaches the highest final mag</w:t>
      </w:r>
      <w:r w:rsidR="000B0FBB">
        <w:t>m</w:t>
      </w:r>
      <w:r w:rsidR="000527D1">
        <w:t xml:space="preserve">a density of </w:t>
      </w:r>
      <w:r w:rsidR="009D7B56">
        <w:rPr>
          <w:rFonts w:cs="Arial"/>
        </w:rPr>
        <w:t>~</w:t>
      </w:r>
      <w:r w:rsidR="000527D1">
        <w:t>57.6 g/l</w:t>
      </w:r>
      <w:r w:rsidR="00A77557">
        <w:t xml:space="preserve">, while </w:t>
      </w:r>
      <w:r w:rsidR="00D83734">
        <w:t>Cases #3 exhibit the lowest concentration factors probably due to their higher initial mag</w:t>
      </w:r>
      <w:r w:rsidR="000B0FBB">
        <w:t>m</w:t>
      </w:r>
      <w:r w:rsidR="00D83734">
        <w:t>a densities.</w:t>
      </w:r>
    </w:p>
    <w:p w14:paraId="2EC14921" w14:textId="13A9AC86" w:rsidR="00EA73B6" w:rsidRDefault="00EA73B6" w:rsidP="004711B5">
      <w:pPr>
        <w:pStyle w:val="CETTabletitle"/>
      </w:pPr>
      <w:bookmarkStart w:id="5" w:name="_Ref129538176"/>
      <w:r>
        <w:t xml:space="preserve">Table </w:t>
      </w:r>
      <w:r>
        <w:fldChar w:fldCharType="begin"/>
      </w:r>
      <w:r>
        <w:instrText xml:space="preserve"> SEQ Table \* ARABIC </w:instrText>
      </w:r>
      <w:r>
        <w:fldChar w:fldCharType="separate"/>
      </w:r>
      <w:r w:rsidR="00142505">
        <w:rPr>
          <w:noProof/>
        </w:rPr>
        <w:t>3</w:t>
      </w:r>
      <w:r>
        <w:fldChar w:fldCharType="end"/>
      </w:r>
      <w:bookmarkEnd w:id="5"/>
      <w:r w:rsidR="004711B5">
        <w:t xml:space="preserve"> </w:t>
      </w:r>
      <w:r w:rsidR="00C2525B">
        <w:t>Initial mag</w:t>
      </w:r>
      <w:r w:rsidR="000B0FBB">
        <w:t>m</w:t>
      </w:r>
      <w:r w:rsidR="00C2525B">
        <w:t>a densities, normalized final settled volumes, concentration factors and final mag</w:t>
      </w:r>
      <w:r w:rsidR="000B0FBB">
        <w:t>m</w:t>
      </w:r>
      <w:r w:rsidR="00C2525B">
        <w:t>a densities for Cases#1a, #1b, #3a and #3b.</w:t>
      </w:r>
    </w:p>
    <w:tbl>
      <w:tblPr>
        <w:tblW w:w="779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1560"/>
        <w:gridCol w:w="1701"/>
        <w:gridCol w:w="1701"/>
      </w:tblGrid>
      <w:tr w:rsidR="00214825" w:rsidRPr="00B57B36" w14:paraId="22A8D754" w14:textId="4C34B0EA" w:rsidTr="00AB5898">
        <w:tc>
          <w:tcPr>
            <w:tcW w:w="1134" w:type="dxa"/>
            <w:tcBorders>
              <w:top w:val="single" w:sz="12" w:space="0" w:color="008000"/>
              <w:bottom w:val="single" w:sz="6" w:space="0" w:color="008000"/>
            </w:tcBorders>
            <w:shd w:val="clear" w:color="auto" w:fill="FFFFFF"/>
          </w:tcPr>
          <w:p w14:paraId="0E31C1AB" w14:textId="77777777" w:rsidR="00214825" w:rsidRPr="00041915" w:rsidRDefault="00214825" w:rsidP="00214825">
            <w:pPr>
              <w:pStyle w:val="CETBodytext"/>
              <w:rPr>
                <w:lang w:val="en-GB"/>
              </w:rPr>
            </w:pPr>
            <w:r w:rsidRPr="00041915">
              <w:rPr>
                <w:lang w:val="en-GB"/>
              </w:rPr>
              <w:t xml:space="preserve">Case </w:t>
            </w:r>
          </w:p>
        </w:tc>
        <w:tc>
          <w:tcPr>
            <w:tcW w:w="1701" w:type="dxa"/>
            <w:tcBorders>
              <w:top w:val="single" w:sz="12" w:space="0" w:color="008000"/>
              <w:bottom w:val="single" w:sz="6" w:space="0" w:color="008000"/>
            </w:tcBorders>
            <w:shd w:val="clear" w:color="auto" w:fill="FFFFFF"/>
          </w:tcPr>
          <w:p w14:paraId="25DF82E2" w14:textId="4C036D0C" w:rsidR="00214825" w:rsidRPr="00041915" w:rsidRDefault="00214825" w:rsidP="00214825">
            <w:pPr>
              <w:pStyle w:val="CETBodytext"/>
              <w:rPr>
                <w:lang w:val="en-GB"/>
              </w:rPr>
            </w:pPr>
            <w:r w:rsidRPr="00041915">
              <w:rPr>
                <w:lang w:val="en-GB"/>
              </w:rPr>
              <w:t>Initial mag</w:t>
            </w:r>
            <w:r w:rsidR="000B0FBB">
              <w:rPr>
                <w:lang w:val="en-GB"/>
              </w:rPr>
              <w:t>m</w:t>
            </w:r>
            <w:r w:rsidRPr="00041915">
              <w:rPr>
                <w:lang w:val="en-GB"/>
              </w:rPr>
              <w:t>a density</w:t>
            </w:r>
            <w:r w:rsidR="000527D1">
              <w:rPr>
                <w:lang w:val="en-GB"/>
              </w:rPr>
              <w:t xml:space="preserve"> [g/L]</w:t>
            </w:r>
          </w:p>
        </w:tc>
        <w:tc>
          <w:tcPr>
            <w:tcW w:w="1560" w:type="dxa"/>
            <w:tcBorders>
              <w:top w:val="single" w:sz="12" w:space="0" w:color="008000"/>
              <w:bottom w:val="single" w:sz="6" w:space="0" w:color="008000"/>
            </w:tcBorders>
            <w:shd w:val="clear" w:color="auto" w:fill="FFFFFF"/>
          </w:tcPr>
          <w:p w14:paraId="4239D9BF" w14:textId="7C547FA4" w:rsidR="00214825" w:rsidRPr="00041915" w:rsidRDefault="00000000" w:rsidP="00214825">
            <w:pPr>
              <w:pStyle w:val="CETBodytext"/>
              <w:rPr>
                <w:lang w:val="en-GB"/>
              </w:rPr>
            </w:pPr>
            <m:oMathPara>
              <m:oMath>
                <m:sSub>
                  <m:sSubPr>
                    <m:ctrlPr>
                      <w:rPr>
                        <w:rFonts w:ascii="Cambria Math" w:hAnsi="Cambria Math"/>
                        <w:i/>
                        <w:lang w:val="en-GB"/>
                      </w:rPr>
                    </m:ctrlPr>
                  </m:sSubPr>
                  <m:e>
                    <m:r>
                      <w:rPr>
                        <w:rFonts w:ascii="Cambria Math" w:hAnsi="Cambria Math"/>
                      </w:rPr>
                      <m:t>V</m:t>
                    </m:r>
                  </m:e>
                  <m:sub>
                    <m:r>
                      <w:rPr>
                        <w:rFonts w:ascii="Cambria Math" w:hAnsi="Cambria Math"/>
                      </w:rPr>
                      <m:t>Final</m:t>
                    </m:r>
                  </m:sub>
                </m:sSub>
                <m:r>
                  <w:rPr>
                    <w:rFonts w:ascii="Cambria Math" w:hAnsi="Cambria Math"/>
                    <w:lang w:val="en-GB"/>
                  </w:rPr>
                  <m:t>/</m:t>
                </m:r>
                <m:sSub>
                  <m:sSubPr>
                    <m:ctrlPr>
                      <w:rPr>
                        <w:rFonts w:ascii="Cambria Math" w:hAnsi="Cambria Math"/>
                        <w:i/>
                        <w:lang w:val="en-GB"/>
                      </w:rPr>
                    </m:ctrlPr>
                  </m:sSubPr>
                  <m:e>
                    <m:r>
                      <w:rPr>
                        <w:rFonts w:ascii="Cambria Math" w:hAnsi="Cambria Math"/>
                      </w:rPr>
                      <m:t>V</m:t>
                    </m:r>
                  </m:e>
                  <m:sub>
                    <m:r>
                      <w:rPr>
                        <w:rFonts w:ascii="Cambria Math" w:hAnsi="Cambria Math"/>
                      </w:rPr>
                      <m:t>Inital</m:t>
                    </m:r>
                  </m:sub>
                </m:sSub>
              </m:oMath>
            </m:oMathPara>
          </w:p>
        </w:tc>
        <w:tc>
          <w:tcPr>
            <w:tcW w:w="1701" w:type="dxa"/>
            <w:tcBorders>
              <w:top w:val="single" w:sz="12" w:space="0" w:color="008000"/>
              <w:bottom w:val="single" w:sz="6" w:space="0" w:color="008000"/>
            </w:tcBorders>
            <w:shd w:val="clear" w:color="auto" w:fill="FFFFFF"/>
          </w:tcPr>
          <w:p w14:paraId="0AACCFB4" w14:textId="36E2618B" w:rsidR="00214825" w:rsidRPr="00041915" w:rsidRDefault="00214825" w:rsidP="00214825">
            <w:pPr>
              <w:pStyle w:val="CETBodytext"/>
              <w:rPr>
                <w:lang w:val="en-GB"/>
              </w:rPr>
            </w:pPr>
            <w:r w:rsidRPr="00041915">
              <w:rPr>
                <w:lang w:val="en-GB"/>
              </w:rPr>
              <w:t>Concentration factor</w:t>
            </w:r>
          </w:p>
        </w:tc>
        <w:tc>
          <w:tcPr>
            <w:tcW w:w="1701" w:type="dxa"/>
            <w:tcBorders>
              <w:top w:val="single" w:sz="12" w:space="0" w:color="008000"/>
              <w:bottom w:val="single" w:sz="6" w:space="0" w:color="008000"/>
            </w:tcBorders>
            <w:shd w:val="clear" w:color="auto" w:fill="FFFFFF"/>
          </w:tcPr>
          <w:p w14:paraId="1C73DE39" w14:textId="2420659E" w:rsidR="00214825" w:rsidRDefault="00214825" w:rsidP="00214825">
            <w:pPr>
              <w:pStyle w:val="CETBodytext"/>
              <w:rPr>
                <w:lang w:val="en-GB"/>
              </w:rPr>
            </w:pPr>
            <w:r w:rsidRPr="00041915">
              <w:rPr>
                <w:lang w:val="en-GB"/>
              </w:rPr>
              <w:t>Final mag</w:t>
            </w:r>
            <w:r w:rsidR="000B0FBB">
              <w:rPr>
                <w:lang w:val="en-GB"/>
              </w:rPr>
              <w:t>m</w:t>
            </w:r>
            <w:r w:rsidRPr="00041915">
              <w:rPr>
                <w:lang w:val="en-GB"/>
              </w:rPr>
              <w:t>a density</w:t>
            </w:r>
            <w:r w:rsidR="000527D1">
              <w:rPr>
                <w:lang w:val="en-GB"/>
              </w:rPr>
              <w:t xml:space="preserve"> [g/L]</w:t>
            </w:r>
          </w:p>
        </w:tc>
      </w:tr>
      <w:tr w:rsidR="00214825" w:rsidRPr="00B57B36" w14:paraId="25657D07" w14:textId="2420E2B0" w:rsidTr="00AB5898">
        <w:tc>
          <w:tcPr>
            <w:tcW w:w="1134" w:type="dxa"/>
            <w:shd w:val="clear" w:color="auto" w:fill="FFFFFF"/>
          </w:tcPr>
          <w:p w14:paraId="42596810" w14:textId="32F26492" w:rsidR="00214825" w:rsidRPr="00B57B36" w:rsidRDefault="00214825" w:rsidP="00214825">
            <w:pPr>
              <w:pStyle w:val="CETBodytext"/>
              <w:rPr>
                <w:lang w:val="en-GB"/>
              </w:rPr>
            </w:pPr>
            <w:r>
              <w:rPr>
                <w:lang w:val="en-GB"/>
              </w:rPr>
              <w:t>#1a</w:t>
            </w:r>
          </w:p>
        </w:tc>
        <w:tc>
          <w:tcPr>
            <w:tcW w:w="1701" w:type="dxa"/>
            <w:shd w:val="clear" w:color="auto" w:fill="FFFFFF"/>
          </w:tcPr>
          <w:p w14:paraId="7AFA10A4" w14:textId="6BE68C79" w:rsidR="00214825" w:rsidRPr="00B57B36" w:rsidRDefault="00214825" w:rsidP="00214825">
            <w:pPr>
              <w:pStyle w:val="CETBodytext"/>
              <w:rPr>
                <w:lang w:val="en-GB"/>
              </w:rPr>
            </w:pPr>
            <w:r w:rsidRPr="005C443B">
              <w:t>13.2</w:t>
            </w:r>
          </w:p>
        </w:tc>
        <w:tc>
          <w:tcPr>
            <w:tcW w:w="1560" w:type="dxa"/>
            <w:shd w:val="clear" w:color="auto" w:fill="FFFFFF"/>
          </w:tcPr>
          <w:p w14:paraId="3F017E9E" w14:textId="6D5D5A64" w:rsidR="00214825" w:rsidRDefault="00214825" w:rsidP="00214825">
            <w:pPr>
              <w:pStyle w:val="CETBodytext"/>
              <w:rPr>
                <w:lang w:val="en-GB"/>
              </w:rPr>
            </w:pPr>
            <w:r>
              <w:rPr>
                <w:lang w:val="en-GB"/>
              </w:rPr>
              <w:t>0.38</w:t>
            </w:r>
          </w:p>
        </w:tc>
        <w:tc>
          <w:tcPr>
            <w:tcW w:w="1701" w:type="dxa"/>
            <w:shd w:val="clear" w:color="auto" w:fill="FFFFFF"/>
          </w:tcPr>
          <w:p w14:paraId="665D53D2" w14:textId="0E401705" w:rsidR="00214825" w:rsidRPr="00B57B36" w:rsidRDefault="00214825" w:rsidP="00214825">
            <w:pPr>
              <w:pStyle w:val="CETBodytext"/>
              <w:rPr>
                <w:lang w:val="en-GB"/>
              </w:rPr>
            </w:pPr>
            <w:r>
              <w:rPr>
                <w:lang w:val="en-GB"/>
              </w:rPr>
              <w:t>2.6</w:t>
            </w:r>
          </w:p>
        </w:tc>
        <w:tc>
          <w:tcPr>
            <w:tcW w:w="1701" w:type="dxa"/>
            <w:shd w:val="clear" w:color="auto" w:fill="FFFFFF"/>
          </w:tcPr>
          <w:p w14:paraId="1CA53356" w14:textId="71928D78" w:rsidR="00214825" w:rsidRPr="00B57B36" w:rsidRDefault="00214825" w:rsidP="00214825">
            <w:pPr>
              <w:pStyle w:val="CETBodytext"/>
              <w:rPr>
                <w:lang w:val="en-GB"/>
              </w:rPr>
            </w:pPr>
            <w:r>
              <w:rPr>
                <w:lang w:val="en-GB"/>
              </w:rPr>
              <w:t>34.5</w:t>
            </w:r>
          </w:p>
        </w:tc>
      </w:tr>
      <w:tr w:rsidR="00214825" w:rsidRPr="00B57B36" w14:paraId="213438D4" w14:textId="08AF22F7" w:rsidTr="00AB5898">
        <w:tc>
          <w:tcPr>
            <w:tcW w:w="1134" w:type="dxa"/>
            <w:shd w:val="clear" w:color="auto" w:fill="FFFFFF"/>
          </w:tcPr>
          <w:p w14:paraId="417A31EF" w14:textId="4D66B0C2" w:rsidR="00214825" w:rsidRDefault="00214825" w:rsidP="00214825">
            <w:pPr>
              <w:pStyle w:val="CETBodytext"/>
              <w:rPr>
                <w:lang w:val="en-GB"/>
              </w:rPr>
            </w:pPr>
            <w:r>
              <w:rPr>
                <w:lang w:val="en-GB"/>
              </w:rPr>
              <w:t>#1b</w:t>
            </w:r>
          </w:p>
        </w:tc>
        <w:tc>
          <w:tcPr>
            <w:tcW w:w="1701" w:type="dxa"/>
            <w:shd w:val="clear" w:color="auto" w:fill="FFFFFF"/>
          </w:tcPr>
          <w:p w14:paraId="07DA871A" w14:textId="1EFAF1E4" w:rsidR="00214825" w:rsidRDefault="00214825" w:rsidP="00214825">
            <w:pPr>
              <w:pStyle w:val="CETBodytext"/>
              <w:rPr>
                <w:lang w:val="en-GB"/>
              </w:rPr>
            </w:pPr>
            <w:r>
              <w:rPr>
                <w:lang w:val="en-GB"/>
              </w:rPr>
              <w:t>8.5</w:t>
            </w:r>
          </w:p>
        </w:tc>
        <w:tc>
          <w:tcPr>
            <w:tcW w:w="1560" w:type="dxa"/>
            <w:shd w:val="clear" w:color="auto" w:fill="FFFFFF"/>
          </w:tcPr>
          <w:p w14:paraId="79405BB0" w14:textId="6DDFD75C" w:rsidR="00214825" w:rsidRDefault="00214825" w:rsidP="00214825">
            <w:pPr>
              <w:pStyle w:val="CETBodytext"/>
              <w:rPr>
                <w:lang w:val="en-GB"/>
              </w:rPr>
            </w:pPr>
            <w:r>
              <w:rPr>
                <w:lang w:val="en-GB"/>
              </w:rPr>
              <w:t>0.22</w:t>
            </w:r>
          </w:p>
        </w:tc>
        <w:tc>
          <w:tcPr>
            <w:tcW w:w="1701" w:type="dxa"/>
            <w:shd w:val="clear" w:color="auto" w:fill="FFFFFF"/>
          </w:tcPr>
          <w:p w14:paraId="657DABC9" w14:textId="1B9B7F6A" w:rsidR="00214825" w:rsidRPr="00B57B36" w:rsidRDefault="00214825" w:rsidP="00214825">
            <w:pPr>
              <w:pStyle w:val="CETBodytext"/>
              <w:rPr>
                <w:lang w:val="en-GB"/>
              </w:rPr>
            </w:pPr>
            <w:r>
              <w:rPr>
                <w:lang w:val="en-GB"/>
              </w:rPr>
              <w:t>4.5</w:t>
            </w:r>
          </w:p>
        </w:tc>
        <w:tc>
          <w:tcPr>
            <w:tcW w:w="1701" w:type="dxa"/>
            <w:shd w:val="clear" w:color="auto" w:fill="FFFFFF"/>
          </w:tcPr>
          <w:p w14:paraId="41DD2477" w14:textId="599C57C0" w:rsidR="00214825" w:rsidRPr="00B57B36" w:rsidRDefault="00214825" w:rsidP="00214825">
            <w:pPr>
              <w:pStyle w:val="CETBodytext"/>
              <w:rPr>
                <w:lang w:val="en-GB"/>
              </w:rPr>
            </w:pPr>
            <w:r>
              <w:rPr>
                <w:lang w:val="en-GB"/>
              </w:rPr>
              <w:t>38.9</w:t>
            </w:r>
          </w:p>
        </w:tc>
      </w:tr>
      <w:tr w:rsidR="00214825" w:rsidRPr="00B57B36" w14:paraId="1F6A579D" w14:textId="5BCCAEB0" w:rsidTr="00AB5898">
        <w:tc>
          <w:tcPr>
            <w:tcW w:w="1134" w:type="dxa"/>
            <w:shd w:val="clear" w:color="auto" w:fill="FFFFFF"/>
          </w:tcPr>
          <w:p w14:paraId="6B74EBB0" w14:textId="0B47D617" w:rsidR="00214825" w:rsidRPr="00B57B36" w:rsidRDefault="00214825" w:rsidP="00214825">
            <w:pPr>
              <w:pStyle w:val="CETBodytext"/>
              <w:ind w:right="-1"/>
              <w:rPr>
                <w:rFonts w:cs="Arial"/>
                <w:szCs w:val="18"/>
                <w:lang w:val="en-GB"/>
              </w:rPr>
            </w:pPr>
            <w:r>
              <w:rPr>
                <w:rFonts w:cs="Arial"/>
                <w:szCs w:val="18"/>
                <w:lang w:val="en-GB"/>
              </w:rPr>
              <w:t>#3a</w:t>
            </w:r>
          </w:p>
        </w:tc>
        <w:tc>
          <w:tcPr>
            <w:tcW w:w="1701" w:type="dxa"/>
            <w:shd w:val="clear" w:color="auto" w:fill="FFFFFF"/>
          </w:tcPr>
          <w:p w14:paraId="7F82B47F" w14:textId="7ABBC9FA" w:rsidR="00214825" w:rsidRPr="00B57B36" w:rsidRDefault="00214825" w:rsidP="00214825">
            <w:pPr>
              <w:pStyle w:val="CETBodytext"/>
              <w:ind w:right="-1"/>
              <w:rPr>
                <w:rFonts w:cs="Arial"/>
                <w:szCs w:val="18"/>
                <w:lang w:val="en-GB"/>
              </w:rPr>
            </w:pPr>
            <w:r>
              <w:t>24.2</w:t>
            </w:r>
          </w:p>
        </w:tc>
        <w:tc>
          <w:tcPr>
            <w:tcW w:w="1560" w:type="dxa"/>
            <w:shd w:val="clear" w:color="auto" w:fill="FFFFFF"/>
          </w:tcPr>
          <w:p w14:paraId="6CDAC3E0" w14:textId="6AA9257E" w:rsidR="00214825" w:rsidRDefault="00214825" w:rsidP="00214825">
            <w:pPr>
              <w:pStyle w:val="CETBodytext"/>
              <w:ind w:right="-1"/>
              <w:rPr>
                <w:rFonts w:cs="Arial"/>
                <w:szCs w:val="18"/>
                <w:lang w:val="en-GB"/>
              </w:rPr>
            </w:pPr>
            <w:r>
              <w:rPr>
                <w:rFonts w:cs="Arial"/>
                <w:szCs w:val="18"/>
                <w:lang w:val="en-GB"/>
              </w:rPr>
              <w:t>0.42</w:t>
            </w:r>
          </w:p>
        </w:tc>
        <w:tc>
          <w:tcPr>
            <w:tcW w:w="1701" w:type="dxa"/>
            <w:shd w:val="clear" w:color="auto" w:fill="FFFFFF"/>
          </w:tcPr>
          <w:p w14:paraId="54536C30" w14:textId="725AB5DD" w:rsidR="00214825" w:rsidRPr="00B57B36" w:rsidRDefault="00214825" w:rsidP="00214825">
            <w:pPr>
              <w:pStyle w:val="CETBodytext"/>
              <w:ind w:right="-1"/>
              <w:rPr>
                <w:rFonts w:cs="Arial"/>
                <w:szCs w:val="18"/>
                <w:lang w:val="en-GB"/>
              </w:rPr>
            </w:pPr>
            <w:r>
              <w:rPr>
                <w:rFonts w:cs="Arial"/>
                <w:szCs w:val="18"/>
                <w:lang w:val="en-GB"/>
              </w:rPr>
              <w:t>2.4</w:t>
            </w:r>
          </w:p>
        </w:tc>
        <w:tc>
          <w:tcPr>
            <w:tcW w:w="1701" w:type="dxa"/>
            <w:shd w:val="clear" w:color="auto" w:fill="FFFFFF"/>
          </w:tcPr>
          <w:p w14:paraId="56567E63" w14:textId="7DFEED04" w:rsidR="00214825" w:rsidRPr="00B57B36" w:rsidRDefault="00214825" w:rsidP="00214825">
            <w:pPr>
              <w:pStyle w:val="CETBodytext"/>
              <w:ind w:right="-1"/>
              <w:rPr>
                <w:rFonts w:cs="Arial"/>
                <w:szCs w:val="18"/>
                <w:lang w:val="en-GB"/>
              </w:rPr>
            </w:pPr>
            <w:r>
              <w:rPr>
                <w:rFonts w:cs="Arial"/>
                <w:szCs w:val="18"/>
                <w:lang w:val="en-GB"/>
              </w:rPr>
              <w:t>57.6</w:t>
            </w:r>
          </w:p>
        </w:tc>
      </w:tr>
      <w:tr w:rsidR="00214825" w:rsidRPr="00B57B36" w14:paraId="621D7740" w14:textId="4F3B7DBF" w:rsidTr="00AB5898">
        <w:tc>
          <w:tcPr>
            <w:tcW w:w="1134" w:type="dxa"/>
            <w:shd w:val="clear" w:color="auto" w:fill="FFFFFF"/>
          </w:tcPr>
          <w:p w14:paraId="4DAFE445" w14:textId="05072F0F" w:rsidR="00214825" w:rsidRDefault="00214825" w:rsidP="00214825">
            <w:pPr>
              <w:pStyle w:val="CETBodytext"/>
              <w:ind w:right="-1"/>
              <w:rPr>
                <w:rFonts w:cs="Arial"/>
                <w:szCs w:val="18"/>
                <w:lang w:val="en-GB"/>
              </w:rPr>
            </w:pPr>
            <w:r>
              <w:rPr>
                <w:rFonts w:cs="Arial"/>
                <w:szCs w:val="18"/>
                <w:lang w:val="en-GB"/>
              </w:rPr>
              <w:t>#3b</w:t>
            </w:r>
          </w:p>
        </w:tc>
        <w:tc>
          <w:tcPr>
            <w:tcW w:w="1701" w:type="dxa"/>
            <w:shd w:val="clear" w:color="auto" w:fill="FFFFFF"/>
          </w:tcPr>
          <w:p w14:paraId="6FD51AC8" w14:textId="70A43D53" w:rsidR="00214825" w:rsidRDefault="00214825" w:rsidP="00214825">
            <w:pPr>
              <w:pStyle w:val="CETBodytext"/>
              <w:ind w:right="-1"/>
              <w:rPr>
                <w:rFonts w:cs="Arial"/>
                <w:szCs w:val="18"/>
                <w:lang w:val="en-GB"/>
              </w:rPr>
            </w:pPr>
            <w:r>
              <w:t>13.5</w:t>
            </w:r>
          </w:p>
        </w:tc>
        <w:tc>
          <w:tcPr>
            <w:tcW w:w="1560" w:type="dxa"/>
            <w:shd w:val="clear" w:color="auto" w:fill="FFFFFF"/>
          </w:tcPr>
          <w:p w14:paraId="56DE5A85" w14:textId="20F3E236" w:rsidR="00214825" w:rsidRDefault="00214825" w:rsidP="00214825">
            <w:pPr>
              <w:pStyle w:val="CETBodytext"/>
              <w:ind w:right="-1"/>
              <w:rPr>
                <w:rFonts w:cs="Arial"/>
                <w:szCs w:val="18"/>
                <w:lang w:val="en-GB"/>
              </w:rPr>
            </w:pPr>
            <w:r>
              <w:rPr>
                <w:rFonts w:cs="Arial"/>
                <w:szCs w:val="18"/>
                <w:lang w:val="en-GB"/>
              </w:rPr>
              <w:t>0.3</w:t>
            </w:r>
            <w:r w:rsidR="00CB56AD">
              <w:rPr>
                <w:rFonts w:cs="Arial"/>
                <w:szCs w:val="18"/>
                <w:lang w:val="en-GB"/>
              </w:rPr>
              <w:t>6</w:t>
            </w:r>
          </w:p>
        </w:tc>
        <w:tc>
          <w:tcPr>
            <w:tcW w:w="1701" w:type="dxa"/>
            <w:shd w:val="clear" w:color="auto" w:fill="FFFFFF"/>
          </w:tcPr>
          <w:p w14:paraId="5D716430" w14:textId="1F3ECF62" w:rsidR="00214825" w:rsidRPr="00B57B36" w:rsidRDefault="00214825" w:rsidP="00214825">
            <w:pPr>
              <w:pStyle w:val="CETBodytext"/>
              <w:ind w:right="-1"/>
              <w:rPr>
                <w:rFonts w:cs="Arial"/>
                <w:szCs w:val="18"/>
                <w:lang w:val="en-GB"/>
              </w:rPr>
            </w:pPr>
            <w:r>
              <w:rPr>
                <w:rFonts w:cs="Arial"/>
                <w:szCs w:val="18"/>
                <w:lang w:val="en-GB"/>
              </w:rPr>
              <w:t>2.7</w:t>
            </w:r>
          </w:p>
        </w:tc>
        <w:tc>
          <w:tcPr>
            <w:tcW w:w="1701" w:type="dxa"/>
            <w:shd w:val="clear" w:color="auto" w:fill="FFFFFF"/>
          </w:tcPr>
          <w:p w14:paraId="3853E3CD" w14:textId="666B0BDB" w:rsidR="00214825" w:rsidRPr="00B57B36" w:rsidRDefault="00214825" w:rsidP="00214825">
            <w:pPr>
              <w:pStyle w:val="CETBodytext"/>
              <w:ind w:right="-1"/>
              <w:rPr>
                <w:rFonts w:cs="Arial"/>
                <w:szCs w:val="18"/>
                <w:lang w:val="en-GB"/>
              </w:rPr>
            </w:pPr>
            <w:r>
              <w:rPr>
                <w:rFonts w:cs="Arial"/>
                <w:szCs w:val="18"/>
                <w:lang w:val="en-GB"/>
              </w:rPr>
              <w:t>36.6</w:t>
            </w:r>
          </w:p>
        </w:tc>
      </w:tr>
    </w:tbl>
    <w:p w14:paraId="69AC3791" w14:textId="77777777" w:rsidR="00C762A3" w:rsidRDefault="00C762A3" w:rsidP="00C762A3">
      <w:pPr>
        <w:pStyle w:val="CETheadingx"/>
        <w:numPr>
          <w:ilvl w:val="0"/>
          <w:numId w:val="0"/>
        </w:numPr>
      </w:pPr>
    </w:p>
    <w:p w14:paraId="01FC9A5C" w14:textId="7AF02444" w:rsidR="00144DDE" w:rsidRPr="009E74BA" w:rsidRDefault="00144DDE" w:rsidP="00144DDE">
      <w:pPr>
        <w:pStyle w:val="CETheadingx"/>
      </w:pPr>
      <w:r w:rsidRPr="009E74BA">
        <w:t>Mg</w:t>
      </w:r>
      <w:r w:rsidRPr="009E74BA">
        <w:rPr>
          <w:vertAlign w:val="superscript"/>
        </w:rPr>
        <w:t xml:space="preserve">2+ </w:t>
      </w:r>
      <w:r w:rsidRPr="009E74BA">
        <w:t>recovery and Mg(OH)</w:t>
      </w:r>
      <w:r w:rsidRPr="009E74BA">
        <w:rPr>
          <w:vertAlign w:val="subscript"/>
        </w:rPr>
        <w:t xml:space="preserve">2 </w:t>
      </w:r>
      <w:r w:rsidRPr="009E74BA">
        <w:t>purity assessment</w:t>
      </w:r>
    </w:p>
    <w:p w14:paraId="5A055381" w14:textId="04AB7164" w:rsidR="009E74BA" w:rsidRPr="00A433A3" w:rsidRDefault="009E74BA" w:rsidP="009E74BA">
      <w:pPr>
        <w:pStyle w:val="CETBodytext"/>
      </w:pPr>
      <w:r>
        <w:t>Mg</w:t>
      </w:r>
      <w:r w:rsidRPr="009E74BA">
        <w:rPr>
          <w:vertAlign w:val="superscript"/>
        </w:rPr>
        <w:t>2+</w:t>
      </w:r>
      <w:r>
        <w:rPr>
          <w:vertAlign w:val="superscript"/>
        </w:rPr>
        <w:t xml:space="preserve"> </w:t>
      </w:r>
      <w:r>
        <w:t>recover</w:t>
      </w:r>
      <w:r w:rsidR="00B24316">
        <w:t>ies</w:t>
      </w:r>
      <w:r>
        <w:t xml:space="preserve"> </w:t>
      </w:r>
      <w:r w:rsidR="00A4335E">
        <w:t>and Mg(OH)</w:t>
      </w:r>
      <w:r w:rsidR="00A4335E" w:rsidRPr="009E74BA">
        <w:rPr>
          <w:vertAlign w:val="subscript"/>
        </w:rPr>
        <w:t>2</w:t>
      </w:r>
      <w:r w:rsidR="00A4335E">
        <w:rPr>
          <w:vertAlign w:val="subscript"/>
        </w:rPr>
        <w:t xml:space="preserve"> </w:t>
      </w:r>
      <w:r w:rsidR="00A4335E">
        <w:t>powder purit</w:t>
      </w:r>
      <w:r w:rsidR="00B24316">
        <w:t>ies</w:t>
      </w:r>
      <w:r w:rsidR="00A4335E">
        <w:t xml:space="preserve"> </w:t>
      </w:r>
      <w:r>
        <w:t xml:space="preserve">were analysed </w:t>
      </w:r>
      <w:r w:rsidR="00B24316">
        <w:t>for each</w:t>
      </w:r>
      <w:r w:rsidR="005E01FA">
        <w:t xml:space="preserve"> test</w:t>
      </w:r>
      <w:r w:rsidR="00C411A3">
        <w:t xml:space="preserve">. </w:t>
      </w:r>
      <w:r w:rsidR="00A4335E">
        <w:fldChar w:fldCharType="begin"/>
      </w:r>
      <w:r w:rsidR="00A4335E">
        <w:instrText xml:space="preserve"> REF _Ref129444228 \h </w:instrText>
      </w:r>
      <w:r w:rsidR="00A4335E">
        <w:fldChar w:fldCharType="separate"/>
      </w:r>
      <w:r w:rsidR="00142505" w:rsidRPr="00262ED4">
        <w:t xml:space="preserve">Table </w:t>
      </w:r>
      <w:r w:rsidR="00142505">
        <w:rPr>
          <w:noProof/>
        </w:rPr>
        <w:t>4</w:t>
      </w:r>
      <w:r w:rsidR="00A4335E">
        <w:fldChar w:fldCharType="end"/>
      </w:r>
      <w:r w:rsidR="00A4335E">
        <w:t xml:space="preserve"> repo</w:t>
      </w:r>
      <w:r w:rsidR="0053448C">
        <w:t>r</w:t>
      </w:r>
      <w:r w:rsidR="00A4335E">
        <w:t>ts Mg</w:t>
      </w:r>
      <w:r w:rsidR="00A4335E" w:rsidRPr="00A433A3">
        <w:rPr>
          <w:vertAlign w:val="superscript"/>
        </w:rPr>
        <w:t>2+</w:t>
      </w:r>
      <w:r w:rsidR="00A4335E">
        <w:rPr>
          <w:vertAlign w:val="superscript"/>
        </w:rPr>
        <w:t xml:space="preserve"> </w:t>
      </w:r>
      <w:r w:rsidR="00A4335E">
        <w:t xml:space="preserve">recovery values </w:t>
      </w:r>
      <w:r w:rsidR="00190EBF">
        <w:t>calculated using Eq. (</w:t>
      </w:r>
      <w:r w:rsidR="00F56909">
        <w:t>2</w:t>
      </w:r>
      <w:r w:rsidR="00190EBF">
        <w:t>) after</w:t>
      </w:r>
      <w:r w:rsidR="00A4335E">
        <w:t xml:space="preserve"> </w:t>
      </w:r>
      <w:r w:rsidR="00B1568F">
        <w:t>analyzing</w:t>
      </w:r>
      <w:r w:rsidR="00A4335E">
        <w:t xml:space="preserve"> the Mg</w:t>
      </w:r>
      <w:r w:rsidR="00A4335E" w:rsidRPr="00A433A3">
        <w:rPr>
          <w:vertAlign w:val="superscript"/>
        </w:rPr>
        <w:t>2+</w:t>
      </w:r>
      <w:r w:rsidR="00A4335E">
        <w:rPr>
          <w:vertAlign w:val="superscript"/>
        </w:rPr>
        <w:t xml:space="preserve"> </w:t>
      </w:r>
      <w:r w:rsidR="00A4335E">
        <w:t>concentration in the filtered clarified solution</w:t>
      </w:r>
      <w:r w:rsidR="00190EBF">
        <w:t>s</w:t>
      </w:r>
      <w:r w:rsidR="00A4335E">
        <w:t xml:space="preserve">. </w:t>
      </w:r>
      <w:r w:rsidR="00A433A3">
        <w:fldChar w:fldCharType="begin"/>
      </w:r>
      <w:r w:rsidR="00A433A3">
        <w:instrText xml:space="preserve"> REF _Ref129444228 \h </w:instrText>
      </w:r>
      <w:r w:rsidR="00A433A3">
        <w:fldChar w:fldCharType="separate"/>
      </w:r>
      <w:r w:rsidR="00142505" w:rsidRPr="00262ED4">
        <w:t xml:space="preserve">Table </w:t>
      </w:r>
      <w:r w:rsidR="00142505">
        <w:rPr>
          <w:noProof/>
        </w:rPr>
        <w:t>4</w:t>
      </w:r>
      <w:r w:rsidR="00A433A3">
        <w:fldChar w:fldCharType="end"/>
      </w:r>
      <w:r w:rsidR="00A433A3">
        <w:t xml:space="preserve"> </w:t>
      </w:r>
      <w:r w:rsidR="00FE18BA">
        <w:t xml:space="preserve">also lists </w:t>
      </w:r>
      <w:r w:rsidR="00A433A3">
        <w:t>Mg</w:t>
      </w:r>
      <w:r w:rsidR="00A433A3" w:rsidRPr="00A433A3">
        <w:rPr>
          <w:vertAlign w:val="superscript"/>
        </w:rPr>
        <w:t>2+</w:t>
      </w:r>
      <w:r w:rsidR="00A433A3">
        <w:rPr>
          <w:vertAlign w:val="superscript"/>
        </w:rPr>
        <w:t xml:space="preserve"> </w:t>
      </w:r>
      <w:r w:rsidR="00A433A3" w:rsidRPr="00A433A3">
        <w:t>and</w:t>
      </w:r>
      <w:r w:rsidR="00A433A3">
        <w:t xml:space="preserve"> Na</w:t>
      </w:r>
      <w:r w:rsidR="00A433A3" w:rsidRPr="00A433A3">
        <w:rPr>
          <w:vertAlign w:val="superscript"/>
        </w:rPr>
        <w:t>+</w:t>
      </w:r>
      <w:r w:rsidR="00FE18BA" w:rsidRPr="00FE18BA">
        <w:t>,</w:t>
      </w:r>
      <w:r w:rsidR="00FE18BA">
        <w:t xml:space="preserve"> the only identified cations,</w:t>
      </w:r>
      <w:r w:rsidR="00A433A3">
        <w:t xml:space="preserve"> concentration</w:t>
      </w:r>
      <w:r w:rsidR="00FE18BA">
        <w:t>s</w:t>
      </w:r>
      <w:r w:rsidR="00A433A3">
        <w:t xml:space="preserve"> in dissolved Mg(OH)</w:t>
      </w:r>
      <w:r w:rsidR="00A433A3" w:rsidRPr="00A433A3">
        <w:rPr>
          <w:vertAlign w:val="subscript"/>
        </w:rPr>
        <w:t>2</w:t>
      </w:r>
      <w:r w:rsidR="00A433A3">
        <w:rPr>
          <w:vertAlign w:val="subscript"/>
        </w:rPr>
        <w:t xml:space="preserve"> </w:t>
      </w:r>
      <w:r w:rsidR="00A433A3">
        <w:t>powder</w:t>
      </w:r>
      <w:r w:rsidR="004C6F53">
        <w:t>s</w:t>
      </w:r>
      <w:r w:rsidR="00A433A3">
        <w:t xml:space="preserve"> detected by IC measurements. Cationic purity is calculated</w:t>
      </w:r>
      <w:r w:rsidR="004C6F53">
        <w:t xml:space="preserve"> employing Eq. (</w:t>
      </w:r>
      <w:r w:rsidR="00F56909">
        <w:t>3</w:t>
      </w:r>
      <w:r w:rsidR="004C6F53">
        <w:t>)</w:t>
      </w:r>
      <w:r w:rsidR="00A433A3">
        <w:t>.</w:t>
      </w:r>
    </w:p>
    <w:p w14:paraId="45775939" w14:textId="5B761F43" w:rsidR="00A433A3" w:rsidRPr="00D37487" w:rsidRDefault="00A433A3" w:rsidP="00D37487">
      <w:pPr>
        <w:pStyle w:val="CETTabletitle"/>
      </w:pPr>
      <w:bookmarkStart w:id="6" w:name="_Ref129444228"/>
      <w:r w:rsidRPr="00262ED4">
        <w:t xml:space="preserve">Table </w:t>
      </w:r>
      <w:r w:rsidRPr="00262ED4">
        <w:fldChar w:fldCharType="begin"/>
      </w:r>
      <w:r w:rsidRPr="00262ED4">
        <w:instrText xml:space="preserve"> SEQ Table \* ARABIC </w:instrText>
      </w:r>
      <w:r w:rsidRPr="00262ED4">
        <w:fldChar w:fldCharType="separate"/>
      </w:r>
      <w:r w:rsidR="00142505">
        <w:rPr>
          <w:noProof/>
        </w:rPr>
        <w:t>4</w:t>
      </w:r>
      <w:r w:rsidRPr="00262ED4">
        <w:fldChar w:fldCharType="end"/>
      </w:r>
      <w:bookmarkEnd w:id="6"/>
      <w:r w:rsidR="008F5552" w:rsidRPr="00262ED4">
        <w:t xml:space="preserve"> Mg</w:t>
      </w:r>
      <w:r w:rsidR="008F5552" w:rsidRPr="00262ED4">
        <w:rPr>
          <w:vertAlign w:val="superscript"/>
        </w:rPr>
        <w:t xml:space="preserve">2+ </w:t>
      </w:r>
      <w:r w:rsidR="008F5552" w:rsidRPr="00262ED4">
        <w:t>recovery</w:t>
      </w:r>
      <w:r w:rsidR="008F5552">
        <w:t xml:space="preserve"> evaluated using Eq. (</w:t>
      </w:r>
      <w:r w:rsidR="00230D72">
        <w:t>2</w:t>
      </w:r>
      <w:r w:rsidR="008F5552">
        <w:t xml:space="preserve">) based on filtered clarified solutions </w:t>
      </w:r>
      <w:r w:rsidR="0041397E" w:rsidRPr="0041397E">
        <w:rPr>
          <w:color w:val="F79646" w:themeColor="accent6"/>
        </w:rPr>
        <w:t>EDTA</w:t>
      </w:r>
      <w:r w:rsidR="008F5552" w:rsidRPr="0041397E">
        <w:rPr>
          <w:color w:val="F79646" w:themeColor="accent6"/>
        </w:rPr>
        <w:t xml:space="preserve"> </w:t>
      </w:r>
      <w:r w:rsidR="008F5552">
        <w:t>analysis. Mg</w:t>
      </w:r>
      <w:r w:rsidR="008F5552" w:rsidRPr="008F5552">
        <w:rPr>
          <w:vertAlign w:val="superscript"/>
        </w:rPr>
        <w:t>2</w:t>
      </w:r>
      <w:r w:rsidR="008F5552">
        <w:rPr>
          <w:vertAlign w:val="superscript"/>
        </w:rPr>
        <w:t>+</w:t>
      </w:r>
      <w:r w:rsidR="00012D9A">
        <w:t>and Na</w:t>
      </w:r>
      <w:r w:rsidR="008F5552" w:rsidRPr="008F5552">
        <w:rPr>
          <w:vertAlign w:val="superscript"/>
        </w:rPr>
        <w:t>+</w:t>
      </w:r>
      <w:r w:rsidR="008F5552">
        <w:rPr>
          <w:vertAlign w:val="superscript"/>
        </w:rPr>
        <w:t xml:space="preserve"> </w:t>
      </w:r>
      <w:r w:rsidR="00D37487">
        <w:t>concentration</w:t>
      </w:r>
      <w:r w:rsidR="00012D9A">
        <w:t>s</w:t>
      </w:r>
      <w:r w:rsidR="00D37487">
        <w:t xml:space="preserve"> measured by IC in dissolved Mg(OH)</w:t>
      </w:r>
      <w:r w:rsidR="00D37487" w:rsidRPr="00D37487">
        <w:rPr>
          <w:vertAlign w:val="subscript"/>
        </w:rPr>
        <w:t>2</w:t>
      </w:r>
      <w:r w:rsidR="00D37487">
        <w:rPr>
          <w:vertAlign w:val="subscript"/>
        </w:rPr>
        <w:t xml:space="preserve"> </w:t>
      </w:r>
      <w:r w:rsidR="00B35E3E">
        <w:t>powders along with c</w:t>
      </w:r>
      <w:r w:rsidR="00D37487">
        <w:t xml:space="preserve">ation purity calculated </w:t>
      </w:r>
      <w:r w:rsidR="00B35E3E">
        <w:t>by</w:t>
      </w:r>
      <w:r w:rsidR="00D37487">
        <w:t xml:space="preserve"> Eq</w:t>
      </w:r>
      <w:r w:rsidR="00B35E3E">
        <w:t>.</w:t>
      </w:r>
      <w:r w:rsidR="00D37487">
        <w:t>(</w:t>
      </w:r>
      <w:r w:rsidR="00230D72">
        <w:t>3</w:t>
      </w:r>
      <w:r w:rsidR="00D37487">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5"/>
        <w:gridCol w:w="1075"/>
        <w:gridCol w:w="1101"/>
        <w:gridCol w:w="1397"/>
        <w:gridCol w:w="1102"/>
        <w:gridCol w:w="1450"/>
        <w:gridCol w:w="1109"/>
      </w:tblGrid>
      <w:tr w:rsidR="00354281" w:rsidRPr="00B57B36" w14:paraId="7F519B39" w14:textId="299F4233" w:rsidTr="00E008B6">
        <w:tc>
          <w:tcPr>
            <w:tcW w:w="1105" w:type="dxa"/>
            <w:tcBorders>
              <w:top w:val="single" w:sz="12" w:space="0" w:color="008000"/>
              <w:bottom w:val="single" w:sz="6" w:space="0" w:color="008000"/>
            </w:tcBorders>
            <w:shd w:val="clear" w:color="auto" w:fill="FFFFFF"/>
          </w:tcPr>
          <w:p w14:paraId="0FD6B58E" w14:textId="77777777" w:rsidR="00354281" w:rsidRPr="00B57B36" w:rsidRDefault="00354281" w:rsidP="00354281">
            <w:pPr>
              <w:pStyle w:val="CETBodytext"/>
              <w:rPr>
                <w:lang w:val="en-GB"/>
              </w:rPr>
            </w:pPr>
            <w:r>
              <w:rPr>
                <w:lang w:val="en-GB"/>
              </w:rPr>
              <w:t>Case</w:t>
            </w:r>
            <w:r w:rsidRPr="00B57B36">
              <w:rPr>
                <w:lang w:val="en-GB"/>
              </w:rPr>
              <w:t xml:space="preserve"> </w:t>
            </w:r>
          </w:p>
        </w:tc>
        <w:tc>
          <w:tcPr>
            <w:tcW w:w="1075" w:type="dxa"/>
            <w:tcBorders>
              <w:top w:val="single" w:sz="12" w:space="0" w:color="008000"/>
              <w:bottom w:val="single" w:sz="6" w:space="0" w:color="008000"/>
            </w:tcBorders>
            <w:shd w:val="clear" w:color="auto" w:fill="FFFFFF"/>
          </w:tcPr>
          <w:p w14:paraId="58E92A3B" w14:textId="66F22D04" w:rsidR="00354281" w:rsidRDefault="00354281" w:rsidP="00354281">
            <w:pPr>
              <w:pStyle w:val="CETBodytext"/>
              <w:rPr>
                <w:lang w:val="en-GB"/>
              </w:rPr>
            </w:pPr>
            <w:r>
              <w:t>Mg</w:t>
            </w:r>
            <w:r w:rsidRPr="00391454">
              <w:rPr>
                <w:vertAlign w:val="superscript"/>
              </w:rPr>
              <w:t>2+</w:t>
            </w:r>
            <w:r>
              <w:rPr>
                <w:vertAlign w:val="superscript"/>
              </w:rPr>
              <w:t xml:space="preserve"> </w:t>
            </w:r>
            <w:r>
              <w:t>recovery [%]</w:t>
            </w:r>
          </w:p>
        </w:tc>
        <w:tc>
          <w:tcPr>
            <w:tcW w:w="1101" w:type="dxa"/>
            <w:tcBorders>
              <w:top w:val="single" w:sz="12" w:space="0" w:color="008000"/>
              <w:bottom w:val="single" w:sz="6" w:space="0" w:color="008000"/>
            </w:tcBorders>
            <w:shd w:val="clear" w:color="auto" w:fill="FFFFFF"/>
          </w:tcPr>
          <w:p w14:paraId="3AFFB6E4" w14:textId="328950AF" w:rsidR="00354281" w:rsidRPr="00165E1E" w:rsidRDefault="00354281" w:rsidP="00354281">
            <w:pPr>
              <w:pStyle w:val="CETBodytext"/>
              <w:rPr>
                <w:lang w:val="en-GB"/>
              </w:rPr>
            </w:pPr>
            <w:r>
              <w:rPr>
                <w:lang w:val="en-GB"/>
              </w:rPr>
              <w:t>Mg</w:t>
            </w:r>
            <w:r w:rsidRPr="00165E1E">
              <w:rPr>
                <w:vertAlign w:val="superscript"/>
                <w:lang w:val="en-GB"/>
              </w:rPr>
              <w:t>2+</w:t>
            </w:r>
            <w:r>
              <w:rPr>
                <w:vertAlign w:val="superscript"/>
                <w:lang w:val="en-GB"/>
              </w:rPr>
              <w:t xml:space="preserve"> </w:t>
            </w:r>
            <w:r>
              <w:rPr>
                <w:lang w:val="en-GB"/>
              </w:rPr>
              <w:t>[mg/g]</w:t>
            </w:r>
          </w:p>
        </w:tc>
        <w:tc>
          <w:tcPr>
            <w:tcW w:w="1397" w:type="dxa"/>
            <w:tcBorders>
              <w:top w:val="single" w:sz="12" w:space="0" w:color="008000"/>
              <w:bottom w:val="single" w:sz="6" w:space="0" w:color="008000"/>
            </w:tcBorders>
            <w:shd w:val="clear" w:color="auto" w:fill="FFFFFF"/>
          </w:tcPr>
          <w:p w14:paraId="7F182C68" w14:textId="41F5D8C9" w:rsidR="00354281" w:rsidRPr="00B57B36" w:rsidRDefault="00E008B6" w:rsidP="00354281">
            <w:pPr>
              <w:pStyle w:val="CETBodytext"/>
              <w:rPr>
                <w:lang w:val="en-GB"/>
              </w:rPr>
            </w:pPr>
            <w:r>
              <w:rPr>
                <w:lang w:val="en-GB"/>
              </w:rPr>
              <w:t>Mg</w:t>
            </w:r>
            <w:r w:rsidRPr="00165E1E">
              <w:rPr>
                <w:vertAlign w:val="superscript"/>
                <w:lang w:val="en-GB"/>
              </w:rPr>
              <w:t>2+</w:t>
            </w:r>
            <w:r>
              <w:rPr>
                <w:vertAlign w:val="superscript"/>
                <w:lang w:val="en-GB"/>
              </w:rPr>
              <w:t xml:space="preserve"> </w:t>
            </w:r>
            <w:r>
              <w:rPr>
                <w:lang w:val="en-GB"/>
              </w:rPr>
              <w:t>SD</w:t>
            </w:r>
            <w:r w:rsidR="00354281">
              <w:rPr>
                <w:lang w:val="en-GB"/>
              </w:rPr>
              <w:t xml:space="preserve"> [mg/g]</w:t>
            </w:r>
          </w:p>
        </w:tc>
        <w:tc>
          <w:tcPr>
            <w:tcW w:w="1102" w:type="dxa"/>
            <w:tcBorders>
              <w:top w:val="single" w:sz="12" w:space="0" w:color="008000"/>
              <w:bottom w:val="single" w:sz="6" w:space="0" w:color="008000"/>
            </w:tcBorders>
            <w:shd w:val="clear" w:color="auto" w:fill="FFFFFF"/>
          </w:tcPr>
          <w:p w14:paraId="5D6C7AFB" w14:textId="11F4C9E9" w:rsidR="00354281" w:rsidRPr="00B57B36" w:rsidRDefault="00354281" w:rsidP="00354281">
            <w:pPr>
              <w:pStyle w:val="CETBodytext"/>
              <w:ind w:right="-1"/>
              <w:rPr>
                <w:rFonts w:cs="Arial"/>
                <w:szCs w:val="18"/>
                <w:lang w:val="en-GB"/>
              </w:rPr>
            </w:pPr>
            <w:r w:rsidRPr="00397D92">
              <w:t>Na</w:t>
            </w:r>
            <w:r w:rsidRPr="00200858">
              <w:rPr>
                <w:vertAlign w:val="superscript"/>
              </w:rPr>
              <w:t>+</w:t>
            </w:r>
            <w:r w:rsidRPr="00397D92">
              <w:t xml:space="preserve"> (mg/g)</w:t>
            </w:r>
          </w:p>
        </w:tc>
        <w:tc>
          <w:tcPr>
            <w:tcW w:w="1450" w:type="dxa"/>
            <w:tcBorders>
              <w:top w:val="single" w:sz="12" w:space="0" w:color="008000"/>
              <w:bottom w:val="single" w:sz="6" w:space="0" w:color="008000"/>
            </w:tcBorders>
            <w:shd w:val="clear" w:color="auto" w:fill="FFFFFF"/>
          </w:tcPr>
          <w:p w14:paraId="25B6C9EC" w14:textId="69963180" w:rsidR="00354281" w:rsidRPr="00DF3828" w:rsidRDefault="00E008B6" w:rsidP="00354281">
            <w:pPr>
              <w:pStyle w:val="CETBodytext"/>
              <w:ind w:right="-1"/>
              <w:rPr>
                <w:rFonts w:cs="Arial"/>
                <w:szCs w:val="18"/>
                <w:lang w:val="en-GB"/>
              </w:rPr>
            </w:pPr>
            <w:r w:rsidRPr="00397D92">
              <w:t>Na</w:t>
            </w:r>
            <w:r w:rsidRPr="00200858">
              <w:rPr>
                <w:vertAlign w:val="superscript"/>
              </w:rPr>
              <w:t>+</w:t>
            </w:r>
            <w:r>
              <w:rPr>
                <w:vertAlign w:val="superscript"/>
              </w:rPr>
              <w:t xml:space="preserve"> </w:t>
            </w:r>
            <w:r>
              <w:rPr>
                <w:lang w:val="en-GB"/>
              </w:rPr>
              <w:t>SD  [mg/g]</w:t>
            </w:r>
          </w:p>
        </w:tc>
        <w:tc>
          <w:tcPr>
            <w:tcW w:w="1109" w:type="dxa"/>
            <w:tcBorders>
              <w:top w:val="single" w:sz="12" w:space="0" w:color="008000"/>
              <w:bottom w:val="single" w:sz="6" w:space="0" w:color="008000"/>
            </w:tcBorders>
            <w:shd w:val="clear" w:color="auto" w:fill="FFFFFF"/>
          </w:tcPr>
          <w:p w14:paraId="706D3B4C" w14:textId="0F441D55" w:rsidR="00354281" w:rsidRDefault="00354281" w:rsidP="00354281">
            <w:pPr>
              <w:pStyle w:val="CETBodytext"/>
              <w:ind w:right="-1"/>
              <w:rPr>
                <w:rFonts w:cs="Arial"/>
                <w:szCs w:val="18"/>
                <w:lang w:val="en-GB"/>
              </w:rPr>
            </w:pPr>
            <w:r w:rsidRPr="008755E4">
              <w:t>Cationic Purity</w:t>
            </w:r>
            <w:r>
              <w:t xml:space="preserve"> [%]</w:t>
            </w:r>
          </w:p>
        </w:tc>
      </w:tr>
      <w:tr w:rsidR="00354281" w:rsidRPr="00B57B36" w14:paraId="0333C31A" w14:textId="7822EC90" w:rsidTr="00E008B6">
        <w:tc>
          <w:tcPr>
            <w:tcW w:w="1105" w:type="dxa"/>
            <w:shd w:val="clear" w:color="auto" w:fill="FFFFFF"/>
          </w:tcPr>
          <w:p w14:paraId="78BCCEE4" w14:textId="6890CF5A" w:rsidR="00354281" w:rsidRPr="00262ED4" w:rsidRDefault="00354281" w:rsidP="00354281">
            <w:pPr>
              <w:pStyle w:val="CETBodytext"/>
              <w:rPr>
                <w:lang w:val="en-GB"/>
              </w:rPr>
            </w:pPr>
            <w:r w:rsidRPr="00262ED4">
              <w:rPr>
                <w:lang w:val="en-GB"/>
              </w:rPr>
              <w:t>#1a</w:t>
            </w:r>
          </w:p>
        </w:tc>
        <w:tc>
          <w:tcPr>
            <w:tcW w:w="1075" w:type="dxa"/>
            <w:shd w:val="clear" w:color="auto" w:fill="FFFFFF"/>
          </w:tcPr>
          <w:p w14:paraId="75244126" w14:textId="1E47BC92" w:rsidR="00354281" w:rsidRPr="00262ED4" w:rsidRDefault="00354281" w:rsidP="00354281">
            <w:pPr>
              <w:pStyle w:val="CETBodytext"/>
            </w:pPr>
            <w:r w:rsidRPr="00262ED4">
              <w:t>&gt;99</w:t>
            </w:r>
          </w:p>
        </w:tc>
        <w:tc>
          <w:tcPr>
            <w:tcW w:w="1101" w:type="dxa"/>
            <w:shd w:val="clear" w:color="auto" w:fill="FFFFFF"/>
          </w:tcPr>
          <w:p w14:paraId="7E5A0453" w14:textId="1CEFCB2C" w:rsidR="00354281" w:rsidRPr="00262ED4" w:rsidRDefault="00354281" w:rsidP="00354281">
            <w:pPr>
              <w:pStyle w:val="CETBodytext"/>
              <w:rPr>
                <w:lang w:val="en-GB"/>
              </w:rPr>
            </w:pPr>
            <w:r w:rsidRPr="00262ED4">
              <w:t>39</w:t>
            </w:r>
            <w:r w:rsidR="00E25CF7" w:rsidRPr="00E25CF7">
              <w:rPr>
                <w:color w:val="F79646" w:themeColor="accent6"/>
              </w:rPr>
              <w:t>2</w:t>
            </w:r>
            <w:r w:rsidRPr="00E25CF7">
              <w:rPr>
                <w:color w:val="F79646" w:themeColor="accent6"/>
              </w:rPr>
              <w:t>.</w:t>
            </w:r>
            <w:r w:rsidR="00E25CF7" w:rsidRPr="00E25CF7">
              <w:rPr>
                <w:color w:val="F79646" w:themeColor="accent6"/>
              </w:rPr>
              <w:t>0</w:t>
            </w:r>
          </w:p>
        </w:tc>
        <w:tc>
          <w:tcPr>
            <w:tcW w:w="1397" w:type="dxa"/>
            <w:shd w:val="clear" w:color="auto" w:fill="FFFFFF"/>
          </w:tcPr>
          <w:p w14:paraId="5E64DBF6" w14:textId="78DD4F75" w:rsidR="00354281" w:rsidRPr="00262ED4" w:rsidRDefault="00354281" w:rsidP="00354281">
            <w:pPr>
              <w:pStyle w:val="CETBodytext"/>
              <w:rPr>
                <w:lang w:val="en-GB"/>
              </w:rPr>
            </w:pPr>
            <w:r w:rsidRPr="00262ED4">
              <w:t>0.4</w:t>
            </w:r>
          </w:p>
        </w:tc>
        <w:tc>
          <w:tcPr>
            <w:tcW w:w="1102" w:type="dxa"/>
            <w:shd w:val="clear" w:color="auto" w:fill="FFFFFF"/>
          </w:tcPr>
          <w:p w14:paraId="5E57574A" w14:textId="4FD5DDA4" w:rsidR="00354281" w:rsidRPr="00B57B36" w:rsidRDefault="00354281" w:rsidP="00354281">
            <w:pPr>
              <w:pStyle w:val="CETBodytext"/>
              <w:ind w:right="-1"/>
              <w:jc w:val="center"/>
              <w:rPr>
                <w:rFonts w:cs="Arial"/>
                <w:szCs w:val="18"/>
                <w:lang w:val="en-GB"/>
              </w:rPr>
            </w:pPr>
            <w:r>
              <w:t>&lt;</w:t>
            </w:r>
            <w:r w:rsidR="00A76BC1">
              <w:t>5</w:t>
            </w:r>
            <w:r>
              <w:t>*</w:t>
            </w:r>
          </w:p>
        </w:tc>
        <w:tc>
          <w:tcPr>
            <w:tcW w:w="1450" w:type="dxa"/>
            <w:shd w:val="clear" w:color="auto" w:fill="FFFFFF"/>
          </w:tcPr>
          <w:p w14:paraId="57BC9370" w14:textId="36FF3D4E" w:rsidR="00354281" w:rsidRPr="00B57B36" w:rsidRDefault="00354281" w:rsidP="00354281">
            <w:pPr>
              <w:pStyle w:val="CETBodytext"/>
              <w:ind w:right="-1"/>
              <w:jc w:val="center"/>
              <w:rPr>
                <w:rFonts w:cs="Arial"/>
                <w:szCs w:val="18"/>
                <w:lang w:val="en-GB"/>
              </w:rPr>
            </w:pPr>
            <w:r>
              <w:rPr>
                <w:rFonts w:cs="Arial"/>
                <w:szCs w:val="18"/>
                <w:lang w:val="en-GB"/>
              </w:rPr>
              <w:t>-</w:t>
            </w:r>
          </w:p>
        </w:tc>
        <w:tc>
          <w:tcPr>
            <w:tcW w:w="1109" w:type="dxa"/>
            <w:shd w:val="clear" w:color="auto" w:fill="FFFFFF"/>
          </w:tcPr>
          <w:p w14:paraId="78711C8E" w14:textId="74512D52" w:rsidR="00354281" w:rsidRDefault="00354281" w:rsidP="00354281">
            <w:pPr>
              <w:pStyle w:val="CETBodytext"/>
              <w:ind w:right="-1"/>
              <w:rPr>
                <w:rFonts w:cs="Arial"/>
                <w:szCs w:val="18"/>
                <w:lang w:val="en-GB"/>
              </w:rPr>
            </w:pPr>
            <w:r>
              <w:t>&gt;</w:t>
            </w:r>
            <w:r w:rsidRPr="008755E4">
              <w:t>99</w:t>
            </w:r>
          </w:p>
        </w:tc>
      </w:tr>
      <w:tr w:rsidR="00354281" w:rsidRPr="00B57B36" w14:paraId="64A6EE57" w14:textId="49359F5B" w:rsidTr="00E008B6">
        <w:tc>
          <w:tcPr>
            <w:tcW w:w="1105" w:type="dxa"/>
            <w:shd w:val="clear" w:color="auto" w:fill="FFFFFF"/>
          </w:tcPr>
          <w:p w14:paraId="73D076BD" w14:textId="2FAD12E4" w:rsidR="00354281" w:rsidRPr="00262ED4" w:rsidRDefault="00354281" w:rsidP="00354281">
            <w:pPr>
              <w:pStyle w:val="CETBodytext"/>
              <w:rPr>
                <w:lang w:val="en-GB"/>
              </w:rPr>
            </w:pPr>
            <w:r w:rsidRPr="00262ED4">
              <w:rPr>
                <w:lang w:val="en-GB"/>
              </w:rPr>
              <w:t>#1b</w:t>
            </w:r>
          </w:p>
        </w:tc>
        <w:tc>
          <w:tcPr>
            <w:tcW w:w="1075" w:type="dxa"/>
            <w:shd w:val="clear" w:color="auto" w:fill="FFFFFF"/>
          </w:tcPr>
          <w:p w14:paraId="71566CE3" w14:textId="55FCE7DB" w:rsidR="00354281" w:rsidRPr="00262ED4" w:rsidRDefault="00354281" w:rsidP="00354281">
            <w:pPr>
              <w:pStyle w:val="CETBodytext"/>
            </w:pPr>
            <w:r w:rsidRPr="00262ED4">
              <w:t>&gt;99</w:t>
            </w:r>
          </w:p>
        </w:tc>
        <w:tc>
          <w:tcPr>
            <w:tcW w:w="1101" w:type="dxa"/>
            <w:shd w:val="clear" w:color="auto" w:fill="FFFFFF"/>
          </w:tcPr>
          <w:p w14:paraId="1F6816A4" w14:textId="0AE43F20" w:rsidR="00354281" w:rsidRPr="00262ED4" w:rsidRDefault="00354281" w:rsidP="00354281">
            <w:pPr>
              <w:pStyle w:val="CETBodytext"/>
              <w:rPr>
                <w:lang w:val="en-GB"/>
              </w:rPr>
            </w:pPr>
            <w:r w:rsidRPr="00262ED4">
              <w:t>387.6</w:t>
            </w:r>
          </w:p>
        </w:tc>
        <w:tc>
          <w:tcPr>
            <w:tcW w:w="1397" w:type="dxa"/>
            <w:shd w:val="clear" w:color="auto" w:fill="FFFFFF"/>
          </w:tcPr>
          <w:p w14:paraId="77396439" w14:textId="36ECCDE9" w:rsidR="00354281" w:rsidRPr="00262ED4" w:rsidRDefault="00354281" w:rsidP="00354281">
            <w:pPr>
              <w:pStyle w:val="CETBodytext"/>
              <w:rPr>
                <w:lang w:val="en-GB"/>
              </w:rPr>
            </w:pPr>
            <w:r w:rsidRPr="00262ED4">
              <w:t>0.9</w:t>
            </w:r>
          </w:p>
        </w:tc>
        <w:tc>
          <w:tcPr>
            <w:tcW w:w="1102" w:type="dxa"/>
            <w:shd w:val="clear" w:color="auto" w:fill="FFFFFF"/>
          </w:tcPr>
          <w:p w14:paraId="6FC6C5F5" w14:textId="46CC6D73" w:rsidR="00354281" w:rsidRPr="00B57B36" w:rsidRDefault="00A76BC1" w:rsidP="00354281">
            <w:pPr>
              <w:pStyle w:val="CETBodytext"/>
              <w:ind w:right="-1"/>
              <w:jc w:val="center"/>
              <w:rPr>
                <w:rFonts w:cs="Arial"/>
                <w:szCs w:val="18"/>
                <w:lang w:val="en-GB"/>
              </w:rPr>
            </w:pPr>
            <w:r>
              <w:t>&lt;5*</w:t>
            </w:r>
          </w:p>
        </w:tc>
        <w:tc>
          <w:tcPr>
            <w:tcW w:w="1450" w:type="dxa"/>
            <w:shd w:val="clear" w:color="auto" w:fill="FFFFFF"/>
          </w:tcPr>
          <w:p w14:paraId="37A52D88" w14:textId="602AA362" w:rsidR="00354281" w:rsidRPr="00B57B36" w:rsidRDefault="00E008B6" w:rsidP="00354281">
            <w:pPr>
              <w:pStyle w:val="CETBodytext"/>
              <w:ind w:right="-1"/>
              <w:jc w:val="center"/>
              <w:rPr>
                <w:rFonts w:cs="Arial"/>
                <w:szCs w:val="18"/>
                <w:lang w:val="en-GB"/>
              </w:rPr>
            </w:pPr>
            <w:r>
              <w:rPr>
                <w:rFonts w:cs="Arial"/>
                <w:szCs w:val="18"/>
                <w:lang w:val="en-GB"/>
              </w:rPr>
              <w:t>-</w:t>
            </w:r>
          </w:p>
        </w:tc>
        <w:tc>
          <w:tcPr>
            <w:tcW w:w="1109" w:type="dxa"/>
            <w:shd w:val="clear" w:color="auto" w:fill="FFFFFF"/>
          </w:tcPr>
          <w:p w14:paraId="56D0990A" w14:textId="7B4E84D3" w:rsidR="00354281" w:rsidRDefault="00354281" w:rsidP="00354281">
            <w:pPr>
              <w:pStyle w:val="CETBodytext"/>
              <w:ind w:right="-1"/>
              <w:rPr>
                <w:rFonts w:cs="Arial"/>
                <w:szCs w:val="18"/>
                <w:lang w:val="en-GB"/>
              </w:rPr>
            </w:pPr>
            <w:r>
              <w:t>&gt;</w:t>
            </w:r>
            <w:r w:rsidRPr="008755E4">
              <w:t>99</w:t>
            </w:r>
          </w:p>
        </w:tc>
      </w:tr>
      <w:tr w:rsidR="00354281" w:rsidRPr="00B57B36" w14:paraId="188C68FB" w14:textId="1246482A" w:rsidTr="00E008B6">
        <w:tc>
          <w:tcPr>
            <w:tcW w:w="1105" w:type="dxa"/>
            <w:shd w:val="clear" w:color="auto" w:fill="FFFFFF"/>
          </w:tcPr>
          <w:p w14:paraId="731265CE" w14:textId="61CDFA04" w:rsidR="00354281" w:rsidRPr="00262ED4" w:rsidRDefault="00354281" w:rsidP="00354281">
            <w:pPr>
              <w:pStyle w:val="CETBodytext"/>
              <w:ind w:right="-1"/>
              <w:rPr>
                <w:rFonts w:cs="Arial"/>
                <w:szCs w:val="18"/>
                <w:lang w:val="en-GB"/>
              </w:rPr>
            </w:pPr>
            <w:r w:rsidRPr="00262ED4">
              <w:rPr>
                <w:rFonts w:cs="Arial"/>
                <w:szCs w:val="18"/>
                <w:lang w:val="en-GB"/>
              </w:rPr>
              <w:t>#2a</w:t>
            </w:r>
          </w:p>
        </w:tc>
        <w:tc>
          <w:tcPr>
            <w:tcW w:w="1075" w:type="dxa"/>
            <w:shd w:val="clear" w:color="auto" w:fill="FFFFFF"/>
          </w:tcPr>
          <w:p w14:paraId="541655B1" w14:textId="057EAF49" w:rsidR="00354281" w:rsidRPr="00C762A3" w:rsidRDefault="00D15160" w:rsidP="00354281">
            <w:pPr>
              <w:pStyle w:val="CETBodytext"/>
              <w:ind w:right="-1"/>
              <w:rPr>
                <w:color w:val="F79646" w:themeColor="accent6"/>
              </w:rPr>
            </w:pPr>
            <w:r w:rsidRPr="00C762A3">
              <w:rPr>
                <w:color w:val="F79646" w:themeColor="accent6"/>
              </w:rPr>
              <w:t>94</w:t>
            </w:r>
          </w:p>
        </w:tc>
        <w:tc>
          <w:tcPr>
            <w:tcW w:w="1101" w:type="dxa"/>
            <w:shd w:val="clear" w:color="auto" w:fill="FFFFFF"/>
          </w:tcPr>
          <w:p w14:paraId="23D886C0" w14:textId="32D3D4D5" w:rsidR="00354281" w:rsidRPr="00262ED4" w:rsidRDefault="00354281" w:rsidP="00354281">
            <w:pPr>
              <w:pStyle w:val="CETBodytext"/>
              <w:ind w:right="-1"/>
              <w:rPr>
                <w:rFonts w:cs="Arial"/>
                <w:szCs w:val="18"/>
                <w:lang w:val="en-GB"/>
              </w:rPr>
            </w:pPr>
            <w:r w:rsidRPr="00262ED4">
              <w:t>3</w:t>
            </w:r>
            <w:r w:rsidR="00E3287E">
              <w:t>8</w:t>
            </w:r>
            <w:r w:rsidR="00E3287E" w:rsidRPr="00E3287E">
              <w:rPr>
                <w:color w:val="F79646" w:themeColor="accent6"/>
              </w:rPr>
              <w:t>2</w:t>
            </w:r>
            <w:r w:rsidRPr="00E3287E">
              <w:rPr>
                <w:color w:val="F79646" w:themeColor="accent6"/>
              </w:rPr>
              <w:t>.</w:t>
            </w:r>
            <w:r w:rsidR="00E3287E" w:rsidRPr="00E3287E">
              <w:rPr>
                <w:color w:val="F79646" w:themeColor="accent6"/>
              </w:rPr>
              <w:t>9</w:t>
            </w:r>
          </w:p>
        </w:tc>
        <w:tc>
          <w:tcPr>
            <w:tcW w:w="1397" w:type="dxa"/>
            <w:shd w:val="clear" w:color="auto" w:fill="FFFFFF"/>
          </w:tcPr>
          <w:p w14:paraId="44B6316B" w14:textId="4531B2DF" w:rsidR="00354281" w:rsidRPr="00262ED4" w:rsidRDefault="00354281" w:rsidP="00354281">
            <w:pPr>
              <w:pStyle w:val="CETBodytext"/>
              <w:ind w:right="-1"/>
              <w:rPr>
                <w:rFonts w:cs="Arial"/>
                <w:szCs w:val="18"/>
                <w:lang w:val="en-GB"/>
              </w:rPr>
            </w:pPr>
            <w:r w:rsidRPr="00262ED4">
              <w:t>0.4</w:t>
            </w:r>
          </w:p>
        </w:tc>
        <w:tc>
          <w:tcPr>
            <w:tcW w:w="1102" w:type="dxa"/>
            <w:shd w:val="clear" w:color="auto" w:fill="FFFFFF"/>
          </w:tcPr>
          <w:p w14:paraId="1C929C28" w14:textId="411101BF" w:rsidR="00354281" w:rsidRPr="00B57B36" w:rsidRDefault="00354281" w:rsidP="00354281">
            <w:pPr>
              <w:pStyle w:val="CETBodytext"/>
              <w:ind w:right="-1"/>
              <w:jc w:val="center"/>
              <w:rPr>
                <w:rFonts w:cs="Arial"/>
                <w:szCs w:val="18"/>
                <w:lang w:val="en-GB"/>
              </w:rPr>
            </w:pPr>
            <w:r>
              <w:t>&lt;</w:t>
            </w:r>
            <w:r w:rsidR="00A76BC1">
              <w:t>5</w:t>
            </w:r>
            <w:r>
              <w:t>*</w:t>
            </w:r>
          </w:p>
        </w:tc>
        <w:tc>
          <w:tcPr>
            <w:tcW w:w="1450" w:type="dxa"/>
            <w:shd w:val="clear" w:color="auto" w:fill="FFFFFF"/>
          </w:tcPr>
          <w:p w14:paraId="3F7D6C8B" w14:textId="18D96977" w:rsidR="00354281" w:rsidRPr="00B57B36" w:rsidRDefault="00354281" w:rsidP="00354281">
            <w:pPr>
              <w:pStyle w:val="CETBodytext"/>
              <w:ind w:right="-1"/>
              <w:jc w:val="center"/>
              <w:rPr>
                <w:rFonts w:cs="Arial"/>
                <w:szCs w:val="18"/>
                <w:lang w:val="en-GB"/>
              </w:rPr>
            </w:pPr>
            <w:r>
              <w:t>-</w:t>
            </w:r>
          </w:p>
        </w:tc>
        <w:tc>
          <w:tcPr>
            <w:tcW w:w="1109" w:type="dxa"/>
            <w:shd w:val="clear" w:color="auto" w:fill="FFFFFF"/>
          </w:tcPr>
          <w:p w14:paraId="49B9EB4F" w14:textId="31D57B6E" w:rsidR="00354281" w:rsidRDefault="00354281" w:rsidP="00354281">
            <w:pPr>
              <w:pStyle w:val="CETBodytext"/>
              <w:ind w:right="-1"/>
              <w:rPr>
                <w:rFonts w:cs="Arial"/>
                <w:szCs w:val="18"/>
                <w:lang w:val="en-GB"/>
              </w:rPr>
            </w:pPr>
            <w:r>
              <w:t>&gt;</w:t>
            </w:r>
            <w:r w:rsidRPr="008755E4">
              <w:t>99</w:t>
            </w:r>
          </w:p>
        </w:tc>
      </w:tr>
      <w:tr w:rsidR="00354281" w:rsidRPr="00B57B36" w14:paraId="4ABFC068" w14:textId="38337F4C" w:rsidTr="00E008B6">
        <w:tc>
          <w:tcPr>
            <w:tcW w:w="1105" w:type="dxa"/>
            <w:shd w:val="clear" w:color="auto" w:fill="FFFFFF"/>
          </w:tcPr>
          <w:p w14:paraId="5DA41210" w14:textId="6F0D6827" w:rsidR="00354281" w:rsidRPr="00262ED4" w:rsidRDefault="00354281" w:rsidP="00354281">
            <w:pPr>
              <w:pStyle w:val="CETBodytext"/>
              <w:ind w:right="-1"/>
              <w:rPr>
                <w:rFonts w:cs="Arial"/>
                <w:szCs w:val="18"/>
                <w:lang w:val="en-GB"/>
              </w:rPr>
            </w:pPr>
            <w:r w:rsidRPr="00262ED4">
              <w:rPr>
                <w:rFonts w:cs="Arial"/>
                <w:szCs w:val="18"/>
                <w:lang w:val="en-GB"/>
              </w:rPr>
              <w:t>#2b</w:t>
            </w:r>
          </w:p>
        </w:tc>
        <w:tc>
          <w:tcPr>
            <w:tcW w:w="1075" w:type="dxa"/>
            <w:shd w:val="clear" w:color="auto" w:fill="FFFFFF"/>
          </w:tcPr>
          <w:p w14:paraId="4098D4D7" w14:textId="0AEE641B" w:rsidR="00354281" w:rsidRPr="00262ED4" w:rsidRDefault="00354281" w:rsidP="00354281">
            <w:pPr>
              <w:pStyle w:val="CETBodytext"/>
              <w:ind w:right="-1"/>
            </w:pPr>
            <w:r w:rsidRPr="00262ED4">
              <w:t>&gt;99</w:t>
            </w:r>
          </w:p>
        </w:tc>
        <w:tc>
          <w:tcPr>
            <w:tcW w:w="1101" w:type="dxa"/>
            <w:shd w:val="clear" w:color="auto" w:fill="FFFFFF"/>
          </w:tcPr>
          <w:p w14:paraId="7A55E872" w14:textId="4DD2630E" w:rsidR="00354281" w:rsidRPr="00262ED4" w:rsidRDefault="00354281" w:rsidP="00354281">
            <w:pPr>
              <w:pStyle w:val="CETBodytext"/>
              <w:ind w:right="-1"/>
              <w:rPr>
                <w:rFonts w:cs="Arial"/>
                <w:szCs w:val="18"/>
                <w:lang w:val="en-GB"/>
              </w:rPr>
            </w:pPr>
            <w:r w:rsidRPr="00262ED4">
              <w:t>3</w:t>
            </w:r>
            <w:r w:rsidR="00E3287E" w:rsidRPr="00E3287E">
              <w:rPr>
                <w:color w:val="F79646" w:themeColor="accent6"/>
              </w:rPr>
              <w:t>87.2</w:t>
            </w:r>
          </w:p>
        </w:tc>
        <w:tc>
          <w:tcPr>
            <w:tcW w:w="1397" w:type="dxa"/>
            <w:shd w:val="clear" w:color="auto" w:fill="FFFFFF"/>
          </w:tcPr>
          <w:p w14:paraId="4CC34830" w14:textId="7E6B7297" w:rsidR="00354281" w:rsidRPr="00262ED4" w:rsidRDefault="00354281" w:rsidP="00354281">
            <w:pPr>
              <w:pStyle w:val="CETBodytext"/>
              <w:ind w:right="-1"/>
              <w:rPr>
                <w:rFonts w:cs="Arial"/>
                <w:szCs w:val="18"/>
                <w:lang w:val="en-GB"/>
              </w:rPr>
            </w:pPr>
            <w:r w:rsidRPr="00262ED4">
              <w:t>0.2</w:t>
            </w:r>
          </w:p>
        </w:tc>
        <w:tc>
          <w:tcPr>
            <w:tcW w:w="1102" w:type="dxa"/>
            <w:shd w:val="clear" w:color="auto" w:fill="FFFFFF"/>
          </w:tcPr>
          <w:p w14:paraId="7AB52D21" w14:textId="016A60D2" w:rsidR="00354281" w:rsidRPr="00B57B36" w:rsidRDefault="00354281" w:rsidP="00354281">
            <w:pPr>
              <w:pStyle w:val="CETBodytext"/>
              <w:ind w:right="-1"/>
              <w:jc w:val="center"/>
              <w:rPr>
                <w:rFonts w:cs="Arial"/>
                <w:szCs w:val="18"/>
                <w:lang w:val="en-GB"/>
              </w:rPr>
            </w:pPr>
            <w:r>
              <w:t>&lt;</w:t>
            </w:r>
            <w:r w:rsidR="00A76BC1">
              <w:t>5</w:t>
            </w:r>
            <w:r>
              <w:t>*</w:t>
            </w:r>
          </w:p>
        </w:tc>
        <w:tc>
          <w:tcPr>
            <w:tcW w:w="1450" w:type="dxa"/>
            <w:shd w:val="clear" w:color="auto" w:fill="FFFFFF"/>
          </w:tcPr>
          <w:p w14:paraId="13914713" w14:textId="77667950" w:rsidR="00354281" w:rsidRPr="00B57B36" w:rsidRDefault="00354281" w:rsidP="00354281">
            <w:pPr>
              <w:pStyle w:val="CETBodytext"/>
              <w:ind w:right="-1"/>
              <w:jc w:val="center"/>
              <w:rPr>
                <w:rFonts w:cs="Arial"/>
                <w:szCs w:val="18"/>
                <w:lang w:val="en-GB"/>
              </w:rPr>
            </w:pPr>
            <w:r>
              <w:t>-</w:t>
            </w:r>
          </w:p>
        </w:tc>
        <w:tc>
          <w:tcPr>
            <w:tcW w:w="1109" w:type="dxa"/>
            <w:shd w:val="clear" w:color="auto" w:fill="FFFFFF"/>
          </w:tcPr>
          <w:p w14:paraId="47604F96" w14:textId="308202E1" w:rsidR="00354281" w:rsidRDefault="00354281" w:rsidP="00354281">
            <w:pPr>
              <w:pStyle w:val="CETBodytext"/>
              <w:ind w:right="-1"/>
              <w:rPr>
                <w:rFonts w:cs="Arial"/>
                <w:szCs w:val="18"/>
                <w:lang w:val="en-GB"/>
              </w:rPr>
            </w:pPr>
            <w:r>
              <w:t>&gt;</w:t>
            </w:r>
            <w:r w:rsidRPr="008755E4">
              <w:t>99</w:t>
            </w:r>
          </w:p>
        </w:tc>
      </w:tr>
      <w:tr w:rsidR="00354281" w:rsidRPr="00B57B36" w14:paraId="61D40BFB" w14:textId="6F129124" w:rsidTr="00E008B6">
        <w:tc>
          <w:tcPr>
            <w:tcW w:w="1105" w:type="dxa"/>
            <w:shd w:val="clear" w:color="auto" w:fill="FFFFFF"/>
          </w:tcPr>
          <w:p w14:paraId="39452368" w14:textId="384DF140" w:rsidR="00354281" w:rsidRPr="00262ED4" w:rsidRDefault="00354281" w:rsidP="00354281">
            <w:pPr>
              <w:pStyle w:val="CETBodytext"/>
              <w:ind w:right="-1"/>
              <w:rPr>
                <w:rFonts w:cs="Arial"/>
                <w:szCs w:val="18"/>
                <w:lang w:val="en-GB"/>
              </w:rPr>
            </w:pPr>
            <w:r w:rsidRPr="00262ED4">
              <w:rPr>
                <w:rFonts w:cs="Arial"/>
                <w:szCs w:val="18"/>
                <w:lang w:val="en-GB"/>
              </w:rPr>
              <w:t>#3a</w:t>
            </w:r>
          </w:p>
        </w:tc>
        <w:tc>
          <w:tcPr>
            <w:tcW w:w="1075" w:type="dxa"/>
            <w:shd w:val="clear" w:color="auto" w:fill="FFFFFF"/>
          </w:tcPr>
          <w:p w14:paraId="656A61A2" w14:textId="17A2B892" w:rsidR="00354281" w:rsidRPr="00262ED4" w:rsidRDefault="0093510D" w:rsidP="00354281">
            <w:pPr>
              <w:pStyle w:val="CETBodytext"/>
              <w:ind w:right="-1"/>
            </w:pPr>
            <w:r w:rsidRPr="00262ED4">
              <w:t>&gt;99</w:t>
            </w:r>
          </w:p>
        </w:tc>
        <w:tc>
          <w:tcPr>
            <w:tcW w:w="1101" w:type="dxa"/>
            <w:shd w:val="clear" w:color="auto" w:fill="FFFFFF"/>
          </w:tcPr>
          <w:p w14:paraId="2C6C2D84" w14:textId="06E34B44" w:rsidR="00354281" w:rsidRPr="00262ED4" w:rsidRDefault="00354281" w:rsidP="00354281">
            <w:pPr>
              <w:pStyle w:val="CETBodytext"/>
              <w:ind w:right="-1"/>
              <w:rPr>
                <w:rFonts w:cs="Arial"/>
                <w:szCs w:val="18"/>
                <w:lang w:val="en-GB"/>
              </w:rPr>
            </w:pPr>
            <w:r w:rsidRPr="00262ED4">
              <w:t>385.</w:t>
            </w:r>
            <w:r w:rsidR="00892608" w:rsidRPr="00892608">
              <w:rPr>
                <w:color w:val="F79646" w:themeColor="accent6"/>
              </w:rPr>
              <w:t>9</w:t>
            </w:r>
          </w:p>
        </w:tc>
        <w:tc>
          <w:tcPr>
            <w:tcW w:w="1397" w:type="dxa"/>
            <w:shd w:val="clear" w:color="auto" w:fill="FFFFFF"/>
          </w:tcPr>
          <w:p w14:paraId="4D1AE789" w14:textId="3EEF2EB7" w:rsidR="00354281" w:rsidRPr="00262ED4" w:rsidRDefault="00354281" w:rsidP="00354281">
            <w:pPr>
              <w:pStyle w:val="CETBodytext"/>
              <w:ind w:right="-1"/>
              <w:rPr>
                <w:rFonts w:cs="Arial"/>
                <w:szCs w:val="18"/>
                <w:lang w:val="en-GB"/>
              </w:rPr>
            </w:pPr>
            <w:r w:rsidRPr="00262ED4">
              <w:t>0.2</w:t>
            </w:r>
          </w:p>
        </w:tc>
        <w:tc>
          <w:tcPr>
            <w:tcW w:w="1102" w:type="dxa"/>
            <w:shd w:val="clear" w:color="auto" w:fill="FFFFFF"/>
          </w:tcPr>
          <w:p w14:paraId="1C3150A8" w14:textId="4BDB0873" w:rsidR="00354281" w:rsidRPr="00B57B36" w:rsidRDefault="00354281" w:rsidP="00354281">
            <w:pPr>
              <w:pStyle w:val="CETBodytext"/>
              <w:ind w:right="-1"/>
              <w:jc w:val="center"/>
              <w:rPr>
                <w:rFonts w:cs="Arial"/>
                <w:szCs w:val="18"/>
                <w:lang w:val="en-GB"/>
              </w:rPr>
            </w:pPr>
            <w:r>
              <w:t>&lt;</w:t>
            </w:r>
            <w:r w:rsidR="00A76BC1">
              <w:t>5</w:t>
            </w:r>
            <w:r>
              <w:t>*</w:t>
            </w:r>
          </w:p>
        </w:tc>
        <w:tc>
          <w:tcPr>
            <w:tcW w:w="1450" w:type="dxa"/>
            <w:shd w:val="clear" w:color="auto" w:fill="FFFFFF"/>
          </w:tcPr>
          <w:p w14:paraId="2AF0075D" w14:textId="150299BE" w:rsidR="00354281" w:rsidRPr="00B57B36" w:rsidRDefault="00354281" w:rsidP="00354281">
            <w:pPr>
              <w:pStyle w:val="CETBodytext"/>
              <w:ind w:right="-1"/>
              <w:jc w:val="center"/>
              <w:rPr>
                <w:rFonts w:cs="Arial"/>
                <w:szCs w:val="18"/>
                <w:lang w:val="en-GB"/>
              </w:rPr>
            </w:pPr>
            <w:r>
              <w:rPr>
                <w:rFonts w:cs="Arial"/>
                <w:szCs w:val="18"/>
                <w:lang w:val="en-GB"/>
              </w:rPr>
              <w:t>-</w:t>
            </w:r>
          </w:p>
        </w:tc>
        <w:tc>
          <w:tcPr>
            <w:tcW w:w="1109" w:type="dxa"/>
            <w:shd w:val="clear" w:color="auto" w:fill="FFFFFF"/>
          </w:tcPr>
          <w:p w14:paraId="55573574" w14:textId="62108D30" w:rsidR="00354281" w:rsidRDefault="00354281" w:rsidP="00354281">
            <w:pPr>
              <w:pStyle w:val="CETBodytext"/>
              <w:ind w:right="-1"/>
              <w:rPr>
                <w:rFonts w:cs="Arial"/>
                <w:szCs w:val="18"/>
                <w:lang w:val="en-GB"/>
              </w:rPr>
            </w:pPr>
            <w:r>
              <w:t>&gt;</w:t>
            </w:r>
            <w:r w:rsidRPr="008755E4">
              <w:t>99</w:t>
            </w:r>
          </w:p>
        </w:tc>
      </w:tr>
      <w:tr w:rsidR="00354281" w:rsidRPr="00B57B36" w14:paraId="1FEAF801" w14:textId="434E7DF5" w:rsidTr="00E008B6">
        <w:tc>
          <w:tcPr>
            <w:tcW w:w="1105" w:type="dxa"/>
            <w:shd w:val="clear" w:color="auto" w:fill="FFFFFF"/>
          </w:tcPr>
          <w:p w14:paraId="1EDC8E60" w14:textId="6AC0D01C" w:rsidR="00354281" w:rsidRPr="00262ED4" w:rsidRDefault="00354281" w:rsidP="00354281">
            <w:pPr>
              <w:pStyle w:val="CETBodytext"/>
              <w:ind w:right="-1"/>
              <w:rPr>
                <w:rFonts w:cs="Arial"/>
                <w:szCs w:val="18"/>
                <w:lang w:val="en-GB"/>
              </w:rPr>
            </w:pPr>
            <w:r w:rsidRPr="00262ED4">
              <w:rPr>
                <w:rFonts w:cs="Arial"/>
                <w:szCs w:val="18"/>
                <w:lang w:val="en-GB"/>
              </w:rPr>
              <w:t>#3b</w:t>
            </w:r>
          </w:p>
        </w:tc>
        <w:tc>
          <w:tcPr>
            <w:tcW w:w="1075" w:type="dxa"/>
            <w:shd w:val="clear" w:color="auto" w:fill="FFFFFF"/>
          </w:tcPr>
          <w:p w14:paraId="06E57A2E" w14:textId="0D552C1B" w:rsidR="00354281" w:rsidRPr="00262ED4" w:rsidRDefault="0093510D" w:rsidP="00354281">
            <w:pPr>
              <w:pStyle w:val="CETBodytext"/>
              <w:ind w:right="-1"/>
            </w:pPr>
            <w:r w:rsidRPr="00262ED4">
              <w:t>&gt;99</w:t>
            </w:r>
          </w:p>
        </w:tc>
        <w:tc>
          <w:tcPr>
            <w:tcW w:w="1101" w:type="dxa"/>
            <w:shd w:val="clear" w:color="auto" w:fill="FFFFFF"/>
          </w:tcPr>
          <w:p w14:paraId="0E4ECBD3" w14:textId="51907992" w:rsidR="00354281" w:rsidRPr="00262ED4" w:rsidRDefault="00354281" w:rsidP="00354281">
            <w:pPr>
              <w:pStyle w:val="CETBodytext"/>
              <w:ind w:right="-1"/>
              <w:rPr>
                <w:rFonts w:cs="Arial"/>
                <w:szCs w:val="18"/>
                <w:lang w:val="en-GB"/>
              </w:rPr>
            </w:pPr>
            <w:r w:rsidRPr="00262ED4">
              <w:t>3</w:t>
            </w:r>
            <w:r w:rsidR="00E25CF7" w:rsidRPr="00E25CF7">
              <w:rPr>
                <w:color w:val="F79646" w:themeColor="accent6"/>
              </w:rPr>
              <w:t>89</w:t>
            </w:r>
            <w:r w:rsidRPr="00E25CF7">
              <w:rPr>
                <w:color w:val="F79646" w:themeColor="accent6"/>
              </w:rPr>
              <w:t>.</w:t>
            </w:r>
            <w:r w:rsidR="00E25CF7" w:rsidRPr="00E25CF7">
              <w:rPr>
                <w:color w:val="F79646" w:themeColor="accent6"/>
              </w:rPr>
              <w:t>2</w:t>
            </w:r>
          </w:p>
        </w:tc>
        <w:tc>
          <w:tcPr>
            <w:tcW w:w="1397" w:type="dxa"/>
            <w:shd w:val="clear" w:color="auto" w:fill="FFFFFF"/>
          </w:tcPr>
          <w:p w14:paraId="7FEE140C" w14:textId="1F03AB28" w:rsidR="00354281" w:rsidRPr="00262ED4" w:rsidRDefault="00354281" w:rsidP="00354281">
            <w:pPr>
              <w:pStyle w:val="CETBodytext"/>
              <w:ind w:right="-1"/>
              <w:rPr>
                <w:rFonts w:cs="Arial"/>
                <w:szCs w:val="18"/>
                <w:lang w:val="en-GB"/>
              </w:rPr>
            </w:pPr>
            <w:r w:rsidRPr="00262ED4">
              <w:t>0.5</w:t>
            </w:r>
          </w:p>
        </w:tc>
        <w:tc>
          <w:tcPr>
            <w:tcW w:w="1102" w:type="dxa"/>
            <w:shd w:val="clear" w:color="auto" w:fill="FFFFFF"/>
          </w:tcPr>
          <w:p w14:paraId="6B840B9D" w14:textId="2653DC1E" w:rsidR="00354281" w:rsidRPr="00B57B36" w:rsidRDefault="00354281" w:rsidP="00354281">
            <w:pPr>
              <w:pStyle w:val="CETBodytext"/>
              <w:ind w:right="-1"/>
              <w:jc w:val="center"/>
              <w:rPr>
                <w:rFonts w:cs="Arial"/>
                <w:szCs w:val="18"/>
                <w:lang w:val="en-GB"/>
              </w:rPr>
            </w:pPr>
            <w:r>
              <w:t>&lt;</w:t>
            </w:r>
            <w:r w:rsidR="00A76BC1">
              <w:t>5</w:t>
            </w:r>
            <w:r>
              <w:t>*</w:t>
            </w:r>
          </w:p>
        </w:tc>
        <w:tc>
          <w:tcPr>
            <w:tcW w:w="1450" w:type="dxa"/>
            <w:shd w:val="clear" w:color="auto" w:fill="FFFFFF"/>
          </w:tcPr>
          <w:p w14:paraId="43BE7E98" w14:textId="1E70E91A" w:rsidR="00354281" w:rsidRPr="00B57B36" w:rsidRDefault="00354281" w:rsidP="00354281">
            <w:pPr>
              <w:pStyle w:val="CETBodytext"/>
              <w:ind w:right="-1"/>
              <w:jc w:val="center"/>
              <w:rPr>
                <w:rFonts w:cs="Arial"/>
                <w:szCs w:val="18"/>
                <w:lang w:val="en-GB"/>
              </w:rPr>
            </w:pPr>
            <w:r>
              <w:rPr>
                <w:rFonts w:cs="Arial"/>
                <w:szCs w:val="18"/>
                <w:lang w:val="en-GB"/>
              </w:rPr>
              <w:t>-</w:t>
            </w:r>
          </w:p>
        </w:tc>
        <w:tc>
          <w:tcPr>
            <w:tcW w:w="1109" w:type="dxa"/>
            <w:shd w:val="clear" w:color="auto" w:fill="FFFFFF"/>
          </w:tcPr>
          <w:p w14:paraId="7E0B7118" w14:textId="163D9C56" w:rsidR="00354281" w:rsidRDefault="00354281" w:rsidP="00354281">
            <w:pPr>
              <w:pStyle w:val="CETBodytext"/>
              <w:ind w:right="-1"/>
              <w:rPr>
                <w:rFonts w:cs="Arial"/>
                <w:szCs w:val="18"/>
                <w:lang w:val="en-GB"/>
              </w:rPr>
            </w:pPr>
            <w:r>
              <w:t>&gt;</w:t>
            </w:r>
            <w:r w:rsidRPr="008755E4">
              <w:t>99</w:t>
            </w:r>
          </w:p>
        </w:tc>
      </w:tr>
    </w:tbl>
    <w:p w14:paraId="10E8B06E" w14:textId="4A18A675" w:rsidR="00BA22E3" w:rsidRPr="002C7218" w:rsidRDefault="008C4231" w:rsidP="00464610">
      <w:pPr>
        <w:pStyle w:val="CETBodytext"/>
      </w:pPr>
      <w:r w:rsidRPr="00D37487">
        <w:t>*</w:t>
      </w:r>
      <w:r w:rsidR="00D37487" w:rsidRPr="00D37487">
        <w:t>Concentration</w:t>
      </w:r>
      <w:r w:rsidRPr="00D37487">
        <w:t xml:space="preserve"> values lower than their Limit of Quantification (LOQ).</w:t>
      </w:r>
    </w:p>
    <w:p w14:paraId="26C9C95E" w14:textId="252D8B99" w:rsidR="007171B4" w:rsidRPr="00464610" w:rsidRDefault="00A81947" w:rsidP="00464610">
      <w:pPr>
        <w:pStyle w:val="CETBodytext"/>
      </w:pPr>
      <w:r>
        <w:rPr>
          <w:lang w:val="en-GB"/>
        </w:rPr>
        <w:lastRenderedPageBreak/>
        <w:t>Magnesium recovery is always higher than 99 %</w:t>
      </w:r>
      <w:r w:rsidR="00FF3464">
        <w:rPr>
          <w:lang w:val="en-GB"/>
        </w:rPr>
        <w:t xml:space="preserve"> </w:t>
      </w:r>
      <w:r w:rsidR="00386E45" w:rsidRPr="00C762A3">
        <w:rPr>
          <w:color w:val="F79646" w:themeColor="accent6"/>
          <w:lang w:val="en-GB"/>
        </w:rPr>
        <w:t>when the final suspension pH is equal to 12.8</w:t>
      </w:r>
      <w:r>
        <w:rPr>
          <w:lang w:val="en-GB"/>
        </w:rPr>
        <w:t xml:space="preserve">. </w:t>
      </w:r>
      <w:r w:rsidR="00864209">
        <w:rPr>
          <w:lang w:val="en-GB"/>
        </w:rPr>
        <w:t>R</w:t>
      </w:r>
      <w:r>
        <w:rPr>
          <w:lang w:val="en-GB"/>
        </w:rPr>
        <w:t xml:space="preserve">esults </w:t>
      </w:r>
      <w:r w:rsidR="007C2319">
        <w:rPr>
          <w:lang w:val="en-GB"/>
        </w:rPr>
        <w:t>are</w:t>
      </w:r>
      <w:r w:rsidR="00FF3464">
        <w:rPr>
          <w:lang w:val="en-GB"/>
        </w:rPr>
        <w:t xml:space="preserve"> in accordance with </w:t>
      </w:r>
      <w:r w:rsidR="009F5D60">
        <w:rPr>
          <w:lang w:val="en-GB"/>
        </w:rPr>
        <w:t>f</w:t>
      </w:r>
      <w:r w:rsidR="00864209">
        <w:rPr>
          <w:lang w:val="en-GB"/>
        </w:rPr>
        <w:t>i</w:t>
      </w:r>
      <w:r w:rsidR="009F5D60">
        <w:rPr>
          <w:lang w:val="en-GB"/>
        </w:rPr>
        <w:t>ndings</w:t>
      </w:r>
      <w:r w:rsidR="00FF3464">
        <w:rPr>
          <w:lang w:val="en-GB"/>
        </w:rPr>
        <w:t xml:space="preserve"> </w:t>
      </w:r>
      <w:r w:rsidR="00FF3464" w:rsidRPr="00796037">
        <w:rPr>
          <w:lang w:val="en-GB"/>
        </w:rPr>
        <w:t xml:space="preserve">reported by Morgante et al. </w:t>
      </w:r>
      <w:r w:rsidR="00607655" w:rsidRPr="00796037">
        <w:rPr>
          <w:rStyle w:val="Rimandonotaapidipagina"/>
          <w:lang w:val="en-GB"/>
        </w:rPr>
        <w:fldChar w:fldCharType="begin" w:fldLock="1"/>
      </w:r>
      <w:r w:rsidR="007B0833" w:rsidRPr="00796037">
        <w:rPr>
          <w:lang w:val="en-GB"/>
        </w:rPr>
        <w:instrText>ADDIN CSL_CITATION {"citationItems":[{"id":"ITEM-1","itemData":{"DOI":"10.1021/acs.iecr.2c02935","ISSN":"15205045","abstract":"The continuous depletion of minerals caused by land mining and the increase in their demand have pushed the development of novel sustainable technological processes for mineral recovery from unconventional sources. In this context, magnesium (Mg) has gained considerable attention for its peculiar properties and high relevance of its compounds, such as magnesium hydroxide, Mg(OH)2. In the present work, the influence of several operating conditions on the Mg(OH)2 precipitation process was thoroughly investigated by adopting a novel multiple feed-plug flow reactor. The influence of (i) initial Mg2+ concentrations in the feed stream; (ii) brine and alkaline flow rates; and (iii) the product recycling strategy (seeded crystallization) was considered. The results marked the possibility of improving sedimentation and filterability properties of Mg(OH)2 suspensions by adopting the recycling strategy to overcome industrial issues associated with the production of Mg(OH)2 suspensions using NaOH solutions.","author":[{"dropping-particle":"","family":"Morgante","given":"Carmelo","non-dropping-particle":"","parse-names":false,"suffix":""},{"dropping-particle":"","family":"Vassallo","given":"Fabrizio","non-dropping-particle":"","parse-names":false,"suffix":""},{"dropping-particle":"","family":"Battaglia","given":"Giuseppe","non-dropping-particle":"","parse-names":false,"suffix":""},{"dropping-particle":"","family":"Cipollina","given":"Andrea","non-dropping-particle":"","parse-names":false,"suffix":""},{"dropping-particle":"","family":"Vicari","given":"Fabrizio","non-dropping-particle":"","parse-names":false,"suffix":""},{"dropping-particle":"","family":"Tamburini","given":"Alessandro","non-dropping-particle":"","parse-names":false,"suffix":""},{"dropping-particle":"","family":"Micale","given":"Giorgio","non-dropping-particle":"","parse-names":false,"suffix":""}],"container-title":"Industrial and Engineering Chemistry Research","id":"ITEM-1","issue":"41","issued":{"date-parts":[["2022"]]},"title":"Influence of Operational Strategies for the Recovery of Magnesium Hydroxide from Brines at a Pilot Scale","type":"article-journal","volume":"61"},"uris":["http://www.mendeley.com/documents/?uuid=21e624e2-0100-483c-9118-3fbf71d46e0c"]}],"mendeley":{"formattedCitation":"(Morgante et al., 2022)","plainTextFormattedCitation":"(Morgante et al., 2022)","previouslyFormattedCitation":"&lt;sup&gt;8&lt;/sup&gt;"},"properties":{"noteIndex":0},"schema":"https://github.com/citation-style-language/schema/raw/master/csl-citation.json"}</w:instrText>
      </w:r>
      <w:r w:rsidR="00607655" w:rsidRPr="00796037">
        <w:rPr>
          <w:rStyle w:val="Rimandonotaapidipagina"/>
          <w:lang w:val="en-GB"/>
        </w:rPr>
        <w:fldChar w:fldCharType="separate"/>
      </w:r>
      <w:r w:rsidR="007B0833" w:rsidRPr="00796037">
        <w:rPr>
          <w:noProof/>
          <w:lang w:val="en-GB"/>
        </w:rPr>
        <w:t>(2022)</w:t>
      </w:r>
      <w:r w:rsidR="00607655" w:rsidRPr="00796037">
        <w:rPr>
          <w:rStyle w:val="Rimandonotaapidipagina"/>
          <w:lang w:val="en-GB"/>
        </w:rPr>
        <w:fldChar w:fldCharType="end"/>
      </w:r>
      <w:r w:rsidR="009F5D60" w:rsidRPr="00796037">
        <w:rPr>
          <w:lang w:val="en-GB"/>
        </w:rPr>
        <w:t xml:space="preserve"> </w:t>
      </w:r>
      <w:r w:rsidR="00FF3464" w:rsidRPr="00796037">
        <w:rPr>
          <w:lang w:val="en-GB"/>
        </w:rPr>
        <w:t>when a recycling stra</w:t>
      </w:r>
      <w:r w:rsidRPr="00796037">
        <w:rPr>
          <w:lang w:val="en-GB"/>
        </w:rPr>
        <w:t xml:space="preserve">tegy </w:t>
      </w:r>
      <w:r w:rsidR="00FF3464" w:rsidRPr="00796037">
        <w:rPr>
          <w:lang w:val="en-GB"/>
        </w:rPr>
        <w:t>is employed for the Mg(OH)</w:t>
      </w:r>
      <w:r w:rsidR="00FF3464" w:rsidRPr="00796037">
        <w:rPr>
          <w:vertAlign w:val="subscript"/>
          <w:lang w:val="en-GB"/>
        </w:rPr>
        <w:t>2</w:t>
      </w:r>
      <w:r w:rsidR="00FF3464" w:rsidRPr="00796037">
        <w:rPr>
          <w:lang w:val="en-GB"/>
        </w:rPr>
        <w:t xml:space="preserve"> precipitation process. </w:t>
      </w:r>
      <w:r w:rsidR="006D4255" w:rsidRPr="00796037">
        <w:rPr>
          <w:lang w:val="en-GB"/>
        </w:rPr>
        <w:t>Cationic purity was always higher than 99 % confirming previous data collected at a lab</w:t>
      </w:r>
      <w:r w:rsidR="009F5D60" w:rsidRPr="00796037">
        <w:rPr>
          <w:lang w:val="en-GB"/>
        </w:rPr>
        <w:t>oratory</w:t>
      </w:r>
      <w:r w:rsidR="006D4255" w:rsidRPr="00796037">
        <w:rPr>
          <w:lang w:val="en-GB"/>
        </w:rPr>
        <w:t xml:space="preserve"> scale</w:t>
      </w:r>
      <w:r w:rsidR="00F931A6" w:rsidRPr="00796037">
        <w:rPr>
          <w:lang w:val="en-GB"/>
        </w:rPr>
        <w:t xml:space="preserve"> on real saltworks bitte</w:t>
      </w:r>
      <w:r w:rsidR="000C6DB3" w:rsidRPr="00796037">
        <w:rPr>
          <w:lang w:val="en-GB"/>
        </w:rPr>
        <w:t>r</w:t>
      </w:r>
      <w:r w:rsidR="00F931A6" w:rsidRPr="00796037">
        <w:rPr>
          <w:lang w:val="en-GB"/>
        </w:rPr>
        <w:t>ns</w:t>
      </w:r>
      <w:r w:rsidR="006D4255" w:rsidRPr="00796037">
        <w:rPr>
          <w:lang w:val="en-GB"/>
        </w:rPr>
        <w:t xml:space="preserve"> </w:t>
      </w:r>
      <w:r w:rsidR="00607655" w:rsidRPr="00796037">
        <w:rPr>
          <w:rStyle w:val="Rimandonotaapidipagina"/>
          <w:lang w:val="en-GB"/>
        </w:rPr>
        <w:fldChar w:fldCharType="begin" w:fldLock="1"/>
      </w:r>
      <w:r w:rsidR="007B0833" w:rsidRPr="00796037">
        <w:rPr>
          <w:lang w:val="en-GB"/>
        </w:rPr>
        <w:instrText>ADDIN CSL_CITATION {"citationItems":[{"id":"ITEM-1","itemData":{"DOI":"10.3390/w15010029","ISSN":"20734441","abstract":"Magnesium has been listed among the 30 critical raw materials by the European Union. In recent years, many green and sustainable alternative Mg2+ sources have been sought to satisfy the EU’s demand and to avoid mineral ore consumption. In this context, saltwork bitterns, the by-products of solar sea salt production, have attracted much attention thanks to their high Mg2+ concentrations (up to 80 g/L) and low Ca2+ and bicarbonate contents (&lt;0.5 g/L). Although investigations on Mg2+ extraction from bitterns in the form of Mg(OH)2(s) have already been performed, product purity has never been properly addressed. Mg(OH)2(s) is a chemical compound of great interest and extensive utility in numerous industrial applications only if the powder’s purity is &gt;95% (w/w). This work presents a comprehensive experimental effort of reactive precipitation tests with NaOH solutions at stoichiometric and over-stoichiometric concentrations to: (i) assess the technical feasibility of Mg2+ recovery from real bitterns collected in saltworks of the Trapani district (Italy) and, (ii) for the first time, conduct an extensive purity investigation of the precipitated magnesium hydroxide powders as brucite. This experimental investigation demonstrates the possibility of extracting highly valuable compounds from saltwork bittern waste, embracing the water valorization and resource recovery approach.","author":[{"dropping-particle":"","family":"Battaglia","given":"Giuseppe","non-dropping-particle":"","parse-names":false,"suffix":""},{"dropping-particle":"","family":"Domina","given":"Maria Alda","non-dropping-particle":"","parse-names":false,"suffix":""},{"dropping-particle":"","family":"Brutto","given":"Rita","non-dropping-particle":"Lo","parse-names":false,"suffix":""},{"dropping-particle":"","family":"Lopez Rodriguez","given":"Julio","non-dropping-particle":"","parse-names":false,"suffix":""},{"dropping-particle":"","family":"Fernandez de Labastida","given":"Marc","non-dropping-particle":"","parse-names":false,"suffix":""},{"dropping-particle":"","family":"Cortina","given":"Jose Luis","non-dropping-particle":"","parse-names":false,"suffix":""},{"dropping-particle":"","family":"Pettignano","given":"Alberto","non-dropping-particle":"","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Water (Switzerland)","id":"ITEM-1","issue":"1","issued":{"date-parts":[["2023"]]},"title":"Evaluation of the Purity of Magnesium Hydroxide Recovered from Saltwork Bitterns","type":"article-journal","volume":"15"},"uris":["http://www.mendeley.com/documents/?uuid=17551d4d-d047-359f-8371-7b3599254c4c"]},{"id":"ITEM-2","itemData":{"DOI":"10.3303/CET2296008","ISBN":"9788895608952","ISSN":"22839216","abstract":"Magnesium hydroxide nanoparticles are widely employed in numerous industrial applications. Several preparation methods have been proposed using mainly synthetic Mg2+ containing solutions. In the present work, the possibility of producing Mg(OH)2nanoparticles from real bitterns, the by-product of sea salt production, is investigated. Bitterns are highly concentrated Mg2+ containing solutions whose exploitation can turn a waste into valuable products embracing the circular economy idea. Two bitterns collected from Galia and Margi saltworks of the district of Trapani (Italy) were studied. Galia and Margi bitterns had a 1 M and 2.5 M Mg2+ concentration, respectively. A 2 mm diameter circular-cross sectional T-mixer was adopted to ensure fast reactant mixing. NaOH solutions were employed as precipitant agents. Mg(OH)2 nanoparticles characterized by cationic and mass purity higher than 99 % and 90 %, respectively, were successfully produced when treating Galia bitterns, while the excessive Margi Mg2+ concentration yielded stronger micrometer Mg(OH)2agglomerates.","author":[{"dropping-particle":"","family":"Battaglia","given":"Giuseppe","non-dropping-particle":"","parse-names":false,"suffix":""},{"dropping-particle":"","family":"Domina","given":"Maria Alda","non-dropping-particle":"","parse-names":false,"suffix":""},{"dropping-particle":"","family":"Romano","given":"Salvatore","non-dropping-particle":"","parse-names":false,"suffix":""},{"dropping-particle":"","family":"Tamburini","given":"Alessandro","non-dropping-particle":"","parse-names":false,"suffix":""},{"dropping-particle":"","family":"Cipollina","given":"Andrea","non-dropping-particle":"","parse-names":false,"suffix":""},{"dropping-particle":"","family":"Micale","given":"Giorgio","non-dropping-particle":"","parse-names":false,"suffix":""}],"container-title":"Chemical Engineering Transactions","id":"ITEM-2","issued":{"date-parts":[["2022"]]},"page":"43-48","title":"Magnesium Hydroxide Nanoparticles Production from Natural Bitterns","type":"article-journal","volume":"96"},"uris":["http://www.mendeley.com/documents/?uuid=373b73c3-27a2-4b10-a288-98ba35ad8219"]}],"mendeley":{"formattedCitation":"(Giuseppe Battaglia et al., 2022, 2023)","plainTextFormattedCitation":"(Giuseppe Battaglia et al., 2022, 2023)","previouslyFormattedCitation":"&lt;sup&gt;1,9&lt;/sup&gt;"},"properties":{"noteIndex":0},"schema":"https://github.com/citation-style-language/schema/raw/master/csl-citation.json"}</w:instrText>
      </w:r>
      <w:r w:rsidR="00607655" w:rsidRPr="00796037">
        <w:rPr>
          <w:rStyle w:val="Rimandonotaapidipagina"/>
          <w:lang w:val="en-GB"/>
        </w:rPr>
        <w:fldChar w:fldCharType="separate"/>
      </w:r>
      <w:r w:rsidR="007B0833" w:rsidRPr="00796037">
        <w:rPr>
          <w:noProof/>
          <w:lang w:val="en-GB"/>
        </w:rPr>
        <w:t>(Battaglia et al., 202</w:t>
      </w:r>
      <w:r w:rsidR="00526B19" w:rsidRPr="00796037">
        <w:rPr>
          <w:noProof/>
          <w:lang w:val="en-GB"/>
        </w:rPr>
        <w:t>3</w:t>
      </w:r>
      <w:r w:rsidR="007B0833" w:rsidRPr="00796037">
        <w:rPr>
          <w:noProof/>
          <w:lang w:val="en-GB"/>
        </w:rPr>
        <w:t>)</w:t>
      </w:r>
      <w:r w:rsidR="00607655" w:rsidRPr="00796037">
        <w:rPr>
          <w:rStyle w:val="Rimandonotaapidipagina"/>
          <w:lang w:val="en-GB"/>
        </w:rPr>
        <w:fldChar w:fldCharType="end"/>
      </w:r>
      <w:r w:rsidR="006754AD" w:rsidRPr="00796037">
        <w:rPr>
          <w:lang w:val="en-GB"/>
        </w:rPr>
        <w:t>. Overall</w:t>
      </w:r>
      <w:r w:rsidR="006754AD">
        <w:rPr>
          <w:lang w:val="en-GB"/>
        </w:rPr>
        <w:t>, results</w:t>
      </w:r>
      <w:r w:rsidR="00F931A6">
        <w:rPr>
          <w:lang w:val="en-GB"/>
        </w:rPr>
        <w:t xml:space="preserve"> </w:t>
      </w:r>
      <w:r w:rsidR="007A0009">
        <w:rPr>
          <w:lang w:val="en-GB"/>
        </w:rPr>
        <w:t>demonstrat</w:t>
      </w:r>
      <w:r w:rsidR="006754AD">
        <w:rPr>
          <w:lang w:val="en-GB"/>
        </w:rPr>
        <w:t xml:space="preserve">e </w:t>
      </w:r>
      <w:r w:rsidR="007A0009">
        <w:rPr>
          <w:lang w:val="en-GB"/>
        </w:rPr>
        <w:t xml:space="preserve">the </w:t>
      </w:r>
      <w:r w:rsidR="007A0009" w:rsidRPr="00DD2528">
        <w:rPr>
          <w:lang w:val="en-GB"/>
        </w:rPr>
        <w:t>possibility of producing highly Mg(OH)</w:t>
      </w:r>
      <w:r w:rsidR="007A0009" w:rsidRPr="00DD2528">
        <w:rPr>
          <w:vertAlign w:val="subscript"/>
          <w:lang w:val="en-GB"/>
        </w:rPr>
        <w:t xml:space="preserve">2 </w:t>
      </w:r>
      <w:r w:rsidR="007A0009" w:rsidRPr="00DD2528">
        <w:rPr>
          <w:lang w:val="en-GB"/>
        </w:rPr>
        <w:t>powders</w:t>
      </w:r>
      <w:r w:rsidR="000F5EE8">
        <w:rPr>
          <w:lang w:val="en-GB"/>
        </w:rPr>
        <w:t xml:space="preserve"> from real bittern</w:t>
      </w:r>
      <w:r w:rsidR="007A0009" w:rsidRPr="00DD2528">
        <w:rPr>
          <w:lang w:val="en-GB"/>
        </w:rPr>
        <w:t xml:space="preserve"> </w:t>
      </w:r>
      <w:r w:rsidR="00A1787F" w:rsidRPr="00DD2528">
        <w:rPr>
          <w:lang w:val="en-GB"/>
        </w:rPr>
        <w:t>at a pilot scale.</w:t>
      </w:r>
      <w:r w:rsidR="00194EDA" w:rsidRPr="00DD2528">
        <w:rPr>
          <w:lang w:val="en-GB"/>
        </w:rPr>
        <w:t xml:space="preserve"> </w:t>
      </w:r>
    </w:p>
    <w:p w14:paraId="68D26B83" w14:textId="1D6D2161" w:rsidR="00600535" w:rsidRPr="00DD2528" w:rsidRDefault="00600535" w:rsidP="00600535">
      <w:pPr>
        <w:pStyle w:val="CETHeading1"/>
        <w:rPr>
          <w:lang w:val="en-GB"/>
        </w:rPr>
      </w:pPr>
      <w:r w:rsidRPr="00DD2528">
        <w:rPr>
          <w:lang w:val="en-GB"/>
        </w:rPr>
        <w:t>Conclusions</w:t>
      </w:r>
    </w:p>
    <w:p w14:paraId="074FFE77" w14:textId="3FD293CA" w:rsidR="00B029EA" w:rsidRDefault="00DD2528" w:rsidP="00600535">
      <w:pPr>
        <w:pStyle w:val="CETBodytext"/>
      </w:pPr>
      <w:r>
        <w:rPr>
          <w:lang w:val="en-GB"/>
        </w:rPr>
        <w:t>Mg(OH)</w:t>
      </w:r>
      <w:r w:rsidRPr="00DD2528">
        <w:rPr>
          <w:vertAlign w:val="subscript"/>
          <w:lang w:val="en-GB"/>
        </w:rPr>
        <w:t>2</w:t>
      </w:r>
      <w:r>
        <w:rPr>
          <w:vertAlign w:val="subscript"/>
          <w:lang w:val="en-GB"/>
        </w:rPr>
        <w:t xml:space="preserve"> </w:t>
      </w:r>
      <w:r>
        <w:rPr>
          <w:lang w:val="en-GB"/>
        </w:rPr>
        <w:t xml:space="preserve">production from waste saline solutions was </w:t>
      </w:r>
      <w:r w:rsidR="00BB53A2">
        <w:rPr>
          <w:lang w:val="en-GB"/>
        </w:rPr>
        <w:t>investigated</w:t>
      </w:r>
      <w:r>
        <w:rPr>
          <w:lang w:val="en-GB"/>
        </w:rPr>
        <w:t xml:space="preserve"> </w:t>
      </w:r>
      <w:r w:rsidR="00BB53A2">
        <w:rPr>
          <w:lang w:val="en-GB"/>
        </w:rPr>
        <w:t xml:space="preserve">at a pilot scale </w:t>
      </w:r>
      <w:r>
        <w:rPr>
          <w:lang w:val="en-GB"/>
        </w:rPr>
        <w:t xml:space="preserve">by adopting a novel </w:t>
      </w:r>
      <w:r w:rsidR="00D316F3">
        <w:rPr>
          <w:lang w:val="en-GB"/>
        </w:rPr>
        <w:t>“</w:t>
      </w:r>
      <w:r w:rsidRPr="00C30A50">
        <w:rPr>
          <w:i/>
          <w:iCs/>
        </w:rPr>
        <w:t>Magnesium Crystal</w:t>
      </w:r>
      <w:r w:rsidR="00874DC7">
        <w:rPr>
          <w:i/>
          <w:iCs/>
        </w:rPr>
        <w:t>s</w:t>
      </w:r>
      <w:r w:rsidRPr="00C30A50">
        <w:rPr>
          <w:i/>
          <w:iCs/>
        </w:rPr>
        <w:t xml:space="preserve"> Granulometry Controlled Reactor</w:t>
      </w:r>
      <w:r>
        <w:t xml:space="preserve"> “</w:t>
      </w:r>
      <w:r w:rsidR="00D316F3">
        <w:t xml:space="preserve">, </w:t>
      </w:r>
      <w:r>
        <w:t>Mg-CGCR</w:t>
      </w:r>
      <w:r w:rsidR="00BB53A2">
        <w:t>. The reactor was</w:t>
      </w:r>
      <w:r>
        <w:t xml:space="preserve"> purposely developed </w:t>
      </w:r>
      <w:r w:rsidR="00BB53A2">
        <w:t xml:space="preserve">within the Europan SEArcularMINE project </w:t>
      </w:r>
      <w:r>
        <w:t xml:space="preserve">to treat waste </w:t>
      </w:r>
      <w:r w:rsidR="00BB53A2">
        <w:t xml:space="preserve">saltworks </w:t>
      </w:r>
      <w:r>
        <w:t>bitterns. Mg(OH)</w:t>
      </w:r>
      <w:r w:rsidRPr="00DD2528">
        <w:rPr>
          <w:vertAlign w:val="subscript"/>
        </w:rPr>
        <w:t>2</w:t>
      </w:r>
      <w:r>
        <w:rPr>
          <w:vertAlign w:val="subscript"/>
        </w:rPr>
        <w:t xml:space="preserve"> </w:t>
      </w:r>
      <w:r>
        <w:t>suspensions sedimented faster</w:t>
      </w:r>
      <w:r w:rsidR="00CD2145">
        <w:t xml:space="preserve"> (Case #1a) </w:t>
      </w:r>
      <w:r>
        <w:t xml:space="preserve">when </w:t>
      </w:r>
      <w:r w:rsidR="005B6E08">
        <w:t xml:space="preserve">(i) </w:t>
      </w:r>
      <w:r>
        <w:t>the final suspension pH was 10.8</w:t>
      </w:r>
      <w:r w:rsidR="006A7818">
        <w:t xml:space="preserve">, </w:t>
      </w:r>
      <w:r w:rsidR="005B6E08">
        <w:t xml:space="preserve">(ii) </w:t>
      </w:r>
      <w:r w:rsidR="00BB53A2">
        <w:t>low</w:t>
      </w:r>
      <w:r>
        <w:t xml:space="preserve"> </w:t>
      </w:r>
      <w:r w:rsidR="00BB53A2">
        <w:t xml:space="preserve">reactants </w:t>
      </w:r>
      <w:r>
        <w:t xml:space="preserve">mixing </w:t>
      </w:r>
      <w:r w:rsidR="00BB53A2">
        <w:t xml:space="preserve">degree </w:t>
      </w:r>
      <w:r>
        <w:t xml:space="preserve">is </w:t>
      </w:r>
      <w:r w:rsidR="00097F06">
        <w:t>attained</w:t>
      </w:r>
      <w:r>
        <w:t xml:space="preserve"> in the reactor</w:t>
      </w:r>
      <w:r w:rsidR="006A7818">
        <w:t xml:space="preserve"> and (iii) low NaOH concentrations are employed</w:t>
      </w:r>
      <w:r w:rsidR="00E43DEB">
        <w:t>.</w:t>
      </w:r>
      <w:r w:rsidR="00EA3FB5">
        <w:t xml:space="preserve"> S</w:t>
      </w:r>
      <w:r w:rsidR="00B14D26">
        <w:t xml:space="preserve">uspensions </w:t>
      </w:r>
      <w:r w:rsidR="00EA3FB5">
        <w:t xml:space="preserve">characterized by a final pH value of 10.8 </w:t>
      </w:r>
      <w:r w:rsidR="00CD2145">
        <w:t xml:space="preserve">(Cases #a) </w:t>
      </w:r>
      <w:r w:rsidR="00B14D26">
        <w:t>required almost one</w:t>
      </w:r>
      <w:r w:rsidR="009E313F">
        <w:t>-</w:t>
      </w:r>
      <w:r w:rsidR="00B14D26">
        <w:t xml:space="preserve">fourth of the time </w:t>
      </w:r>
      <w:r w:rsidR="00097F06">
        <w:t>recorded</w:t>
      </w:r>
      <w:r w:rsidR="00B14D26">
        <w:t xml:space="preserve"> </w:t>
      </w:r>
      <w:r w:rsidR="005B7EC6">
        <w:t xml:space="preserve">by those having a final pH value of 12.8 </w:t>
      </w:r>
      <w:r w:rsidR="00B14D26">
        <w:t xml:space="preserve">to obtain 80 mL of clarified filtered solutions. This behaviour was attributed to </w:t>
      </w:r>
      <w:r w:rsidR="00C762A3">
        <w:t xml:space="preserve">the </w:t>
      </w:r>
      <w:r w:rsidR="00C762A3" w:rsidRPr="00C762A3">
        <w:rPr>
          <w:color w:val="F79646" w:themeColor="accent6"/>
        </w:rPr>
        <w:t>influence</w:t>
      </w:r>
      <w:r w:rsidR="00025360" w:rsidRPr="00C762A3">
        <w:rPr>
          <w:color w:val="F79646" w:themeColor="accent6"/>
        </w:rPr>
        <w:t xml:space="preserve"> of </w:t>
      </w:r>
      <w:r w:rsidR="00927D6F" w:rsidRPr="00C762A3">
        <w:rPr>
          <w:color w:val="F79646" w:themeColor="accent6"/>
        </w:rPr>
        <w:t xml:space="preserve">the </w:t>
      </w:r>
      <w:r w:rsidR="00025360" w:rsidRPr="00C762A3">
        <w:rPr>
          <w:color w:val="F79646" w:themeColor="accent6"/>
        </w:rPr>
        <w:t xml:space="preserve">final suspension pH on particle </w:t>
      </w:r>
      <w:r w:rsidR="004D0209" w:rsidRPr="00C762A3">
        <w:rPr>
          <w:color w:val="F79646" w:themeColor="accent6"/>
        </w:rPr>
        <w:t>stability and characteristics</w:t>
      </w:r>
      <w:r w:rsidR="00B14D26" w:rsidRPr="00C762A3">
        <w:rPr>
          <w:color w:val="F79646" w:themeColor="accent6"/>
        </w:rPr>
        <w:t>.</w:t>
      </w:r>
      <w:r w:rsidR="00B14D26">
        <w:t xml:space="preserve"> </w:t>
      </w:r>
      <w:r w:rsidR="00F73B55">
        <w:t>Mg</w:t>
      </w:r>
      <w:r w:rsidR="00F73B55" w:rsidRPr="00F73B55">
        <w:rPr>
          <w:vertAlign w:val="superscript"/>
        </w:rPr>
        <w:t>2+</w:t>
      </w:r>
      <w:r w:rsidR="00F73B55">
        <w:rPr>
          <w:vertAlign w:val="superscript"/>
        </w:rPr>
        <w:t xml:space="preserve"> </w:t>
      </w:r>
      <w:r w:rsidR="00F73B55">
        <w:t xml:space="preserve">recovery was found to be higher than 99 % </w:t>
      </w:r>
      <w:r w:rsidR="0045779D" w:rsidRPr="00C762A3">
        <w:rPr>
          <w:color w:val="F79646" w:themeColor="accent6"/>
        </w:rPr>
        <w:t xml:space="preserve">(final suspension pH of 12.8) </w:t>
      </w:r>
      <w:r w:rsidR="00F73B55">
        <w:t>thank</w:t>
      </w:r>
      <w:r w:rsidR="00FE50DD">
        <w:t>s</w:t>
      </w:r>
      <w:r w:rsidR="00F73B55">
        <w:t xml:space="preserve"> to the slurry recycling strategy adopted in the reactor. </w:t>
      </w:r>
      <w:r w:rsidR="00FE50DD">
        <w:t>C</w:t>
      </w:r>
      <w:r w:rsidR="00F73B55">
        <w:t xml:space="preserve">ation purity </w:t>
      </w:r>
      <w:r w:rsidR="00FE50DD">
        <w:t xml:space="preserve">was </w:t>
      </w:r>
      <w:r w:rsidR="00F73B55">
        <w:t>higher than 99 %</w:t>
      </w:r>
      <w:r w:rsidR="00FE50DD">
        <w:t xml:space="preserve"> in all cases</w:t>
      </w:r>
      <w:r w:rsidR="00F73B55">
        <w:t>.</w:t>
      </w:r>
    </w:p>
    <w:p w14:paraId="10374571" w14:textId="4CF3E7CA" w:rsidR="00A03BEA" w:rsidRPr="007E723C" w:rsidRDefault="009E5E05" w:rsidP="00285496">
      <w:pPr>
        <w:pStyle w:val="CETBodytext"/>
        <w:rPr>
          <w:color w:val="4F81BD" w:themeColor="accent1"/>
          <w:lang w:val="en-GB"/>
        </w:rPr>
      </w:pPr>
      <w:r w:rsidRPr="006005FF">
        <w:rPr>
          <w:color w:val="000000" w:themeColor="text1"/>
        </w:rPr>
        <w:t xml:space="preserve">Results </w:t>
      </w:r>
      <w:r w:rsidR="00BF0827" w:rsidRPr="006005FF">
        <w:rPr>
          <w:color w:val="000000" w:themeColor="text1"/>
        </w:rPr>
        <w:t>demonstrate the actual possibility of producing highly pure Mg(OH)</w:t>
      </w:r>
      <w:r w:rsidR="00BF0827" w:rsidRPr="006005FF">
        <w:rPr>
          <w:color w:val="000000" w:themeColor="text1"/>
          <w:vertAlign w:val="subscript"/>
        </w:rPr>
        <w:t>2</w:t>
      </w:r>
      <w:r w:rsidR="00BF0827" w:rsidRPr="006005FF">
        <w:rPr>
          <w:color w:val="000000" w:themeColor="text1"/>
        </w:rPr>
        <w:t xml:space="preserve"> compounds at a pilot scale</w:t>
      </w:r>
      <w:r w:rsidR="00C97F34" w:rsidRPr="006005FF">
        <w:rPr>
          <w:color w:val="000000" w:themeColor="text1"/>
        </w:rPr>
        <w:t xml:space="preserve"> treating real bitterns</w:t>
      </w:r>
      <w:r w:rsidR="00C97F34" w:rsidRPr="00A03BEA">
        <w:t xml:space="preserve"> paving the road to </w:t>
      </w:r>
      <w:r w:rsidR="00BF0827" w:rsidRPr="00A03BEA">
        <w:t xml:space="preserve">a valuable </w:t>
      </w:r>
      <w:r w:rsidR="00C97F34" w:rsidRPr="00A03BEA">
        <w:t xml:space="preserve">manufacturing </w:t>
      </w:r>
      <w:r w:rsidR="00BF0827" w:rsidRPr="00A03BEA">
        <w:t xml:space="preserve">alternative </w:t>
      </w:r>
      <w:r w:rsidR="00C97F34" w:rsidRPr="00A03BEA">
        <w:t>of Mg(OH)</w:t>
      </w:r>
      <w:r w:rsidR="00C97F34" w:rsidRPr="00A03BEA">
        <w:rPr>
          <w:vertAlign w:val="subscript"/>
        </w:rPr>
        <w:t>2</w:t>
      </w:r>
      <w:r w:rsidR="00C97F34" w:rsidRPr="00A03BEA">
        <w:t xml:space="preserve"> compounds</w:t>
      </w:r>
      <w:r w:rsidR="00285496">
        <w:t xml:space="preserve">. </w:t>
      </w:r>
    </w:p>
    <w:p w14:paraId="77D65C21" w14:textId="77777777" w:rsidR="00A03BEA" w:rsidRPr="006005FF" w:rsidRDefault="00A03BEA" w:rsidP="00A03BEA">
      <w:pPr>
        <w:pStyle w:val="CETBodytext"/>
        <w:rPr>
          <w:color w:val="4F81BD" w:themeColor="accent1"/>
          <w:lang w:val="en-GB"/>
        </w:rPr>
      </w:pPr>
    </w:p>
    <w:p w14:paraId="459D05E6" w14:textId="77777777" w:rsidR="00600535" w:rsidRPr="00B57B36" w:rsidRDefault="00600535" w:rsidP="00600535">
      <w:pPr>
        <w:pStyle w:val="CETAcknowledgementstitle"/>
      </w:pPr>
      <w:r w:rsidRPr="00B57B36">
        <w:t>Acknowledgments</w:t>
      </w:r>
    </w:p>
    <w:p w14:paraId="0D7BBFA3" w14:textId="77777777" w:rsidR="0031240C" w:rsidRDefault="0031240C" w:rsidP="00B2071B">
      <w:pPr>
        <w:pStyle w:val="CETBodytext"/>
        <w:rPr>
          <w:b/>
        </w:rPr>
      </w:pPr>
      <w:r w:rsidRPr="0031240C">
        <w:t>This project has received funding from the European Union’s Horizon 2020 research and innovation program under grant agreement no. 869467 (SEArcularMINE). This output reflects only the author’s view. The European Health and Digital Executive Agency (HaDEA) and the European Commission cannot be held responsible for any use that may be made of the information contained therein.</w:t>
      </w:r>
    </w:p>
    <w:p w14:paraId="4F1327F8" w14:textId="59552D44" w:rsidR="00600535" w:rsidRPr="00C80026" w:rsidRDefault="00600535" w:rsidP="00600535">
      <w:pPr>
        <w:pStyle w:val="CETReference"/>
      </w:pPr>
      <w:r w:rsidRPr="00C80026">
        <w:t>References</w:t>
      </w:r>
    </w:p>
    <w:p w14:paraId="51BB6A6F" w14:textId="6922F598" w:rsidR="007B0833" w:rsidRPr="005E20D6" w:rsidRDefault="00155D67" w:rsidP="0076197F">
      <w:pPr>
        <w:pStyle w:val="CETReferencetext"/>
        <w:rPr>
          <w:noProof/>
        </w:rPr>
      </w:pPr>
      <w:r w:rsidRPr="005E20D6">
        <w:fldChar w:fldCharType="begin" w:fldLock="1"/>
      </w:r>
      <w:r w:rsidRPr="00C80026">
        <w:instrText xml:space="preserve">ADDIN Mendeley Bibliography CSL_BIBLIOGRAPHY </w:instrText>
      </w:r>
      <w:r w:rsidRPr="005E20D6">
        <w:fldChar w:fldCharType="separate"/>
      </w:r>
      <w:r w:rsidR="007B0833" w:rsidRPr="005E20D6">
        <w:rPr>
          <w:noProof/>
        </w:rPr>
        <w:t xml:space="preserve">Alamdari A., Rahimpour R. M., Esfandiari N., Nourafkan E, 2008, Kinetics of magnesium hydroxide precipitation from sea bittern, Chemical Engineering and Processing: Process Intensification, 47(2), 215–221. </w:t>
      </w:r>
    </w:p>
    <w:p w14:paraId="1DEF1625" w14:textId="7C3BBA85" w:rsidR="007B0833" w:rsidRPr="005E20D6" w:rsidRDefault="007B0833" w:rsidP="0076197F">
      <w:pPr>
        <w:pStyle w:val="CETReferencetext"/>
        <w:rPr>
          <w:noProof/>
        </w:rPr>
      </w:pPr>
      <w:r w:rsidRPr="005E20D6">
        <w:rPr>
          <w:noProof/>
        </w:rPr>
        <w:t xml:space="preserve">Balducci G., Bravo Diaz L., Gregory D. H., 2017, Recent progress in the synthesis of nanostructured magnesium hydroxide, CrystEngComm, 19(41), 6067–6084. </w:t>
      </w:r>
    </w:p>
    <w:p w14:paraId="1953E3AB" w14:textId="77777777" w:rsidR="00CF06CB" w:rsidRPr="005E20D6" w:rsidRDefault="007B0833" w:rsidP="00CF06CB">
      <w:pPr>
        <w:pStyle w:val="CETReferencetext"/>
        <w:rPr>
          <w:noProof/>
        </w:rPr>
      </w:pPr>
      <w:r w:rsidRPr="005E20D6">
        <w:rPr>
          <w:noProof/>
        </w:rPr>
        <w:t>Battaglia G., Romano S., Raponi A., Marchisio D., Ciofalo M., Tamburini A., Cipollina A., Micale G., 2022</w:t>
      </w:r>
      <w:r w:rsidR="00CF06CB" w:rsidRPr="005E20D6">
        <w:rPr>
          <w:noProof/>
        </w:rPr>
        <w:t>a</w:t>
      </w:r>
      <w:r w:rsidRPr="005E20D6">
        <w:rPr>
          <w:noProof/>
        </w:rPr>
        <w:t>, Analysis of particles size distributions in Mg(OH)</w:t>
      </w:r>
      <w:r w:rsidRPr="005E20D6">
        <w:rPr>
          <w:noProof/>
          <w:vertAlign w:val="subscript"/>
        </w:rPr>
        <w:t>2</w:t>
      </w:r>
      <w:r w:rsidRPr="005E20D6">
        <w:rPr>
          <w:noProof/>
        </w:rPr>
        <w:t xml:space="preserve"> precipitation from highly concentrated MgCl</w:t>
      </w:r>
      <w:r w:rsidRPr="005E20D6">
        <w:rPr>
          <w:noProof/>
          <w:vertAlign w:val="subscript"/>
        </w:rPr>
        <w:t>2</w:t>
      </w:r>
      <w:r w:rsidRPr="005E20D6">
        <w:rPr>
          <w:noProof/>
        </w:rPr>
        <w:t xml:space="preserve"> solutions</w:t>
      </w:r>
      <w:r w:rsidR="00E732AD" w:rsidRPr="005E20D6">
        <w:rPr>
          <w:noProof/>
        </w:rPr>
        <w:t>,</w:t>
      </w:r>
      <w:r w:rsidRPr="005E20D6">
        <w:rPr>
          <w:noProof/>
        </w:rPr>
        <w:t xml:space="preserve"> Powder Technology, 398.</w:t>
      </w:r>
      <w:r w:rsidR="00CF06CB" w:rsidRPr="005E20D6">
        <w:rPr>
          <w:noProof/>
        </w:rPr>
        <w:t xml:space="preserve"> </w:t>
      </w:r>
    </w:p>
    <w:p w14:paraId="478EA91E" w14:textId="1E8ACAD9" w:rsidR="00CF06CB" w:rsidRPr="005E20D6" w:rsidRDefault="00CF06CB" w:rsidP="00CF06CB">
      <w:pPr>
        <w:pStyle w:val="CETReferencetext"/>
        <w:rPr>
          <w:noProof/>
        </w:rPr>
      </w:pPr>
      <w:r w:rsidRPr="005E20D6">
        <w:rPr>
          <w:noProof/>
        </w:rPr>
        <w:t>Battaglia G., Domina M. A., Romano S., Tamburini A., Cipollina A., Micale G., 2022</w:t>
      </w:r>
      <w:r w:rsidR="00D33D48" w:rsidRPr="005E20D6">
        <w:rPr>
          <w:noProof/>
        </w:rPr>
        <w:t>b</w:t>
      </w:r>
      <w:r w:rsidRPr="005E20D6">
        <w:rPr>
          <w:noProof/>
        </w:rPr>
        <w:t xml:space="preserve">, Magnesium Hydroxide Nanoparticles Production from Natural Bitterns, Chemical Engineering Transactions, 96, 43–48. </w:t>
      </w:r>
    </w:p>
    <w:p w14:paraId="13797ADE" w14:textId="7B43E6D1" w:rsidR="007B0833" w:rsidRPr="005E20D6" w:rsidRDefault="007B0833" w:rsidP="0076197F">
      <w:pPr>
        <w:pStyle w:val="CETReferencetext"/>
        <w:rPr>
          <w:noProof/>
        </w:rPr>
      </w:pPr>
      <w:r w:rsidRPr="005E20D6">
        <w:rPr>
          <w:noProof/>
        </w:rPr>
        <w:t>Battaglia G</w:t>
      </w:r>
      <w:r w:rsidR="00E732AD" w:rsidRPr="005E20D6">
        <w:rPr>
          <w:noProof/>
        </w:rPr>
        <w:t>.</w:t>
      </w:r>
      <w:r w:rsidRPr="005E20D6">
        <w:rPr>
          <w:noProof/>
        </w:rPr>
        <w:t>, Domina M. A., Lo Brutto R., Lopez Rodriguez J., Fernandez de Labastida M., Cortina J. L., Pettignano</w:t>
      </w:r>
      <w:r w:rsidR="00E732AD" w:rsidRPr="005E20D6">
        <w:rPr>
          <w:noProof/>
        </w:rPr>
        <w:t xml:space="preserve"> </w:t>
      </w:r>
      <w:r w:rsidRPr="005E20D6">
        <w:rPr>
          <w:noProof/>
        </w:rPr>
        <w:t>A., Cipollina A., Tamburini A., Micale G.</w:t>
      </w:r>
      <w:r w:rsidR="00E732AD" w:rsidRPr="005E20D6">
        <w:rPr>
          <w:noProof/>
        </w:rPr>
        <w:t xml:space="preserve">, </w:t>
      </w:r>
      <w:r w:rsidRPr="005E20D6">
        <w:rPr>
          <w:noProof/>
        </w:rPr>
        <w:t>2023</w:t>
      </w:r>
      <w:r w:rsidR="00E732AD" w:rsidRPr="005E20D6">
        <w:rPr>
          <w:noProof/>
        </w:rPr>
        <w:t>,</w:t>
      </w:r>
      <w:r w:rsidRPr="005E20D6">
        <w:rPr>
          <w:noProof/>
        </w:rPr>
        <w:t xml:space="preserve"> Evaluation of the Purity of Magnesium Hydroxide Recovered from Saltwork Bitterns</w:t>
      </w:r>
      <w:r w:rsidR="00E732AD" w:rsidRPr="005E20D6">
        <w:rPr>
          <w:noProof/>
        </w:rPr>
        <w:t>,</w:t>
      </w:r>
      <w:r w:rsidRPr="005E20D6">
        <w:rPr>
          <w:noProof/>
        </w:rPr>
        <w:t xml:space="preserve"> Water, 15(1). </w:t>
      </w:r>
    </w:p>
    <w:p w14:paraId="4C04CAF0" w14:textId="4C297ABF" w:rsidR="007B0833" w:rsidRPr="005E20D6" w:rsidRDefault="007B0833" w:rsidP="0076197F">
      <w:pPr>
        <w:pStyle w:val="CETReferencetext"/>
        <w:rPr>
          <w:noProof/>
        </w:rPr>
      </w:pPr>
      <w:r w:rsidRPr="005E20D6">
        <w:rPr>
          <w:noProof/>
        </w:rPr>
        <w:t>Gong M. H., Johns M., Fridjonsson</w:t>
      </w:r>
      <w:r w:rsidR="00E732AD" w:rsidRPr="005E20D6">
        <w:rPr>
          <w:noProof/>
        </w:rPr>
        <w:t xml:space="preserve"> </w:t>
      </w:r>
      <w:r w:rsidRPr="005E20D6">
        <w:rPr>
          <w:noProof/>
        </w:rPr>
        <w:t>E.,</w:t>
      </w:r>
      <w:r w:rsidR="00E732AD" w:rsidRPr="005E20D6">
        <w:rPr>
          <w:noProof/>
        </w:rPr>
        <w:t xml:space="preserve"> </w:t>
      </w:r>
      <w:r w:rsidRPr="005E20D6">
        <w:rPr>
          <w:noProof/>
        </w:rPr>
        <w:t>Heckley P.</w:t>
      </w:r>
      <w:r w:rsidR="00E732AD" w:rsidRPr="005E20D6">
        <w:rPr>
          <w:noProof/>
        </w:rPr>
        <w:t xml:space="preserve">, </w:t>
      </w:r>
      <w:r w:rsidRPr="005E20D6">
        <w:rPr>
          <w:noProof/>
        </w:rPr>
        <w:t>2018</w:t>
      </w:r>
      <w:r w:rsidR="00E732AD" w:rsidRPr="005E20D6">
        <w:rPr>
          <w:noProof/>
        </w:rPr>
        <w:t>,</w:t>
      </w:r>
      <w:r w:rsidRPr="005E20D6">
        <w:rPr>
          <w:noProof/>
        </w:rPr>
        <w:t xml:space="preserve"> Magnesium Recovery from Desalination Brine</w:t>
      </w:r>
      <w:r w:rsidR="00E732AD" w:rsidRPr="005E20D6">
        <w:rPr>
          <w:noProof/>
        </w:rPr>
        <w:t>,</w:t>
      </w:r>
      <w:r w:rsidRPr="005E20D6">
        <w:rPr>
          <w:noProof/>
        </w:rPr>
        <w:t xml:space="preserve"> CEED Seminar Proceedings, 49–54.</w:t>
      </w:r>
    </w:p>
    <w:p w14:paraId="6EEA25D6" w14:textId="12C33BC9" w:rsidR="007B0833" w:rsidRPr="005E20D6" w:rsidRDefault="007B0833" w:rsidP="0076197F">
      <w:pPr>
        <w:pStyle w:val="CETReferencetext"/>
        <w:rPr>
          <w:noProof/>
        </w:rPr>
      </w:pPr>
      <w:r w:rsidRPr="005E20D6">
        <w:rPr>
          <w:noProof/>
        </w:rPr>
        <w:t>Morgante C., Vassallo F., Battaglia G., Cipollina A., Vicari F., Tamburini A., Micale G.</w:t>
      </w:r>
      <w:r w:rsidR="00E732AD" w:rsidRPr="005E20D6">
        <w:rPr>
          <w:noProof/>
        </w:rPr>
        <w:t xml:space="preserve">, </w:t>
      </w:r>
      <w:r w:rsidRPr="005E20D6">
        <w:rPr>
          <w:noProof/>
        </w:rPr>
        <w:t>2022</w:t>
      </w:r>
      <w:r w:rsidR="00E732AD" w:rsidRPr="005E20D6">
        <w:rPr>
          <w:noProof/>
        </w:rPr>
        <w:t xml:space="preserve">, </w:t>
      </w:r>
      <w:r w:rsidRPr="005E20D6">
        <w:rPr>
          <w:noProof/>
        </w:rPr>
        <w:t>Influence of Operational Strategies for the Recovery of Magnesium Hydroxide from Brines at a Pilot Scale</w:t>
      </w:r>
      <w:r w:rsidR="00E732AD" w:rsidRPr="005E20D6">
        <w:rPr>
          <w:noProof/>
        </w:rPr>
        <w:t xml:space="preserve">, </w:t>
      </w:r>
      <w:r w:rsidRPr="005E20D6">
        <w:rPr>
          <w:noProof/>
        </w:rPr>
        <w:t xml:space="preserve">Industrial and Engineering Chemistry Research, 61(41). </w:t>
      </w:r>
    </w:p>
    <w:p w14:paraId="27BA7BFA" w14:textId="6922DDCB" w:rsidR="007B0833" w:rsidRPr="005E20D6" w:rsidRDefault="007B0833" w:rsidP="0076197F">
      <w:pPr>
        <w:pStyle w:val="CETReferencetext"/>
        <w:rPr>
          <w:noProof/>
        </w:rPr>
      </w:pPr>
      <w:r w:rsidRPr="005E20D6">
        <w:rPr>
          <w:noProof/>
        </w:rPr>
        <w:t>Turek M.</w:t>
      </w:r>
      <w:r w:rsidR="00B035E7">
        <w:rPr>
          <w:noProof/>
        </w:rPr>
        <w:t xml:space="preserve"> and</w:t>
      </w:r>
      <w:r w:rsidR="00E732AD" w:rsidRPr="005E20D6">
        <w:rPr>
          <w:noProof/>
        </w:rPr>
        <w:t xml:space="preserve"> </w:t>
      </w:r>
      <w:r w:rsidRPr="005E20D6">
        <w:rPr>
          <w:noProof/>
        </w:rPr>
        <w:t>Gnot, W.</w:t>
      </w:r>
      <w:r w:rsidR="00E732AD" w:rsidRPr="005E20D6">
        <w:rPr>
          <w:noProof/>
        </w:rPr>
        <w:t xml:space="preserve">, </w:t>
      </w:r>
      <w:r w:rsidRPr="005E20D6">
        <w:rPr>
          <w:noProof/>
        </w:rPr>
        <w:t>1995</w:t>
      </w:r>
      <w:r w:rsidR="00E732AD" w:rsidRPr="005E20D6">
        <w:rPr>
          <w:noProof/>
        </w:rPr>
        <w:t>,</w:t>
      </w:r>
      <w:r w:rsidRPr="005E20D6">
        <w:rPr>
          <w:noProof/>
        </w:rPr>
        <w:t xml:space="preserve"> Precipitation of Magnesium Hydroxide from Brine</w:t>
      </w:r>
      <w:r w:rsidR="00E732AD" w:rsidRPr="005E20D6">
        <w:rPr>
          <w:noProof/>
        </w:rPr>
        <w:t>,</w:t>
      </w:r>
      <w:r w:rsidRPr="005E20D6">
        <w:rPr>
          <w:noProof/>
        </w:rPr>
        <w:t xml:space="preserve"> Industrial and Engineering Chemistry Research, 34(1), 244–250. </w:t>
      </w:r>
    </w:p>
    <w:p w14:paraId="3832FBC4" w14:textId="3A298F62" w:rsidR="007B0833" w:rsidRPr="005E20D6" w:rsidRDefault="007B0833" w:rsidP="0076197F">
      <w:pPr>
        <w:pStyle w:val="CETReferencetext"/>
        <w:rPr>
          <w:noProof/>
        </w:rPr>
      </w:pPr>
      <w:r w:rsidRPr="005E20D6">
        <w:rPr>
          <w:noProof/>
        </w:rPr>
        <w:t>Vassallo F., Morgante C., Battaglia G., La Corte D., Micari M., Cipollina A., Tamburini A., Micale</w:t>
      </w:r>
      <w:r w:rsidR="00E732AD" w:rsidRPr="005E20D6">
        <w:rPr>
          <w:noProof/>
        </w:rPr>
        <w:t xml:space="preserve"> </w:t>
      </w:r>
      <w:r w:rsidRPr="005E20D6">
        <w:rPr>
          <w:noProof/>
        </w:rPr>
        <w:t>G.</w:t>
      </w:r>
      <w:r w:rsidR="00E732AD" w:rsidRPr="005E20D6">
        <w:rPr>
          <w:noProof/>
        </w:rPr>
        <w:t xml:space="preserve">, </w:t>
      </w:r>
      <w:r w:rsidRPr="005E20D6">
        <w:rPr>
          <w:noProof/>
        </w:rPr>
        <w:t>2021</w:t>
      </w:r>
      <w:r w:rsidR="009F5254" w:rsidRPr="005E20D6">
        <w:rPr>
          <w:noProof/>
        </w:rPr>
        <w:t>a</w:t>
      </w:r>
      <w:r w:rsidR="00E732AD" w:rsidRPr="005E20D6">
        <w:rPr>
          <w:noProof/>
        </w:rPr>
        <w:t>,</w:t>
      </w:r>
      <w:r w:rsidRPr="005E20D6">
        <w:rPr>
          <w:noProof/>
        </w:rPr>
        <w:t xml:space="preserve"> A simulation tool for ion exchange membrane crystallization of magnesium hydroxide from waste brine</w:t>
      </w:r>
      <w:r w:rsidR="00E732AD" w:rsidRPr="005E20D6">
        <w:rPr>
          <w:noProof/>
        </w:rPr>
        <w:t>,</w:t>
      </w:r>
      <w:r w:rsidRPr="005E20D6">
        <w:rPr>
          <w:noProof/>
        </w:rPr>
        <w:t xml:space="preserve"> Chemical Engineering Research and Design, 173, 193–205. </w:t>
      </w:r>
    </w:p>
    <w:p w14:paraId="16F14ECB" w14:textId="676E73F9" w:rsidR="007B0833" w:rsidRPr="005E20D6" w:rsidRDefault="007B0833" w:rsidP="0076197F">
      <w:pPr>
        <w:pStyle w:val="CETReferencetext"/>
        <w:rPr>
          <w:noProof/>
        </w:rPr>
      </w:pPr>
      <w:r w:rsidRPr="005E20D6">
        <w:rPr>
          <w:noProof/>
        </w:rPr>
        <w:t>Vassallo</w:t>
      </w:r>
      <w:r w:rsidR="00E732AD" w:rsidRPr="005E20D6">
        <w:rPr>
          <w:noProof/>
        </w:rPr>
        <w:t xml:space="preserve"> </w:t>
      </w:r>
      <w:r w:rsidRPr="005E20D6">
        <w:rPr>
          <w:noProof/>
        </w:rPr>
        <w:t>F</w:t>
      </w:r>
      <w:r w:rsidR="00E732AD" w:rsidRPr="005E20D6">
        <w:rPr>
          <w:noProof/>
        </w:rPr>
        <w:t>.</w:t>
      </w:r>
      <w:r w:rsidRPr="005E20D6">
        <w:rPr>
          <w:noProof/>
        </w:rPr>
        <w:t>, La Corte D., Cipollina A., Tamburini A., Micale G.</w:t>
      </w:r>
      <w:r w:rsidR="00E732AD" w:rsidRPr="005E20D6">
        <w:rPr>
          <w:noProof/>
        </w:rPr>
        <w:t xml:space="preserve">, </w:t>
      </w:r>
      <w:r w:rsidRPr="005E20D6">
        <w:rPr>
          <w:noProof/>
        </w:rPr>
        <w:t>2021</w:t>
      </w:r>
      <w:r w:rsidR="009F5254" w:rsidRPr="005E20D6">
        <w:rPr>
          <w:noProof/>
        </w:rPr>
        <w:t>b</w:t>
      </w:r>
      <w:r w:rsidR="00E732AD" w:rsidRPr="005E20D6">
        <w:rPr>
          <w:noProof/>
        </w:rPr>
        <w:t>,</w:t>
      </w:r>
      <w:r w:rsidRPr="005E20D6">
        <w:rPr>
          <w:noProof/>
        </w:rPr>
        <w:t xml:space="preserve"> High purity recovery of magnesium and calcium hydroxides from waste brines</w:t>
      </w:r>
      <w:r w:rsidR="00E732AD" w:rsidRPr="005E20D6">
        <w:rPr>
          <w:noProof/>
        </w:rPr>
        <w:t>,</w:t>
      </w:r>
      <w:r w:rsidRPr="005E20D6">
        <w:rPr>
          <w:noProof/>
        </w:rPr>
        <w:t xml:space="preserve"> Chemical Engineering Transactions, 86, 931–936. </w:t>
      </w:r>
    </w:p>
    <w:p w14:paraId="42688B40" w14:textId="6E276336" w:rsidR="007B0833" w:rsidRPr="005E20D6" w:rsidRDefault="007B0833" w:rsidP="0076197F">
      <w:pPr>
        <w:pStyle w:val="CETReferencetext"/>
        <w:rPr>
          <w:noProof/>
        </w:rPr>
      </w:pPr>
      <w:r w:rsidRPr="005E20D6">
        <w:rPr>
          <w:noProof/>
        </w:rPr>
        <w:t>Vicari F., Randazzo S., López J., Fernández de Labastida M., Vallès V., Micale G., Tamburini A., D’Alì Staiti G., Cortina J. L.,</w:t>
      </w:r>
      <w:r w:rsidR="00B21B4C" w:rsidRPr="005E20D6">
        <w:rPr>
          <w:noProof/>
        </w:rPr>
        <w:t xml:space="preserve"> </w:t>
      </w:r>
      <w:r w:rsidRPr="005E20D6">
        <w:rPr>
          <w:noProof/>
        </w:rPr>
        <w:t>Cipollina</w:t>
      </w:r>
      <w:r w:rsidR="00B21B4C" w:rsidRPr="005E20D6">
        <w:rPr>
          <w:noProof/>
        </w:rPr>
        <w:t xml:space="preserve"> </w:t>
      </w:r>
      <w:r w:rsidRPr="005E20D6">
        <w:rPr>
          <w:noProof/>
        </w:rPr>
        <w:t>A.</w:t>
      </w:r>
      <w:r w:rsidR="00B21B4C" w:rsidRPr="005E20D6">
        <w:rPr>
          <w:noProof/>
        </w:rPr>
        <w:t xml:space="preserve">, </w:t>
      </w:r>
      <w:r w:rsidRPr="005E20D6">
        <w:rPr>
          <w:noProof/>
        </w:rPr>
        <w:t>2022</w:t>
      </w:r>
      <w:r w:rsidR="00B21B4C" w:rsidRPr="005E20D6">
        <w:rPr>
          <w:noProof/>
        </w:rPr>
        <w:t>,</w:t>
      </w:r>
      <w:r w:rsidRPr="005E20D6">
        <w:rPr>
          <w:noProof/>
        </w:rPr>
        <w:t xml:space="preserve"> Mining minerals and critical raw materials from bittern: Understanding metal ions fate in saltwork ponds</w:t>
      </w:r>
      <w:r w:rsidR="00B21B4C" w:rsidRPr="005E20D6">
        <w:rPr>
          <w:noProof/>
        </w:rPr>
        <w:t>,</w:t>
      </w:r>
      <w:r w:rsidRPr="005E20D6">
        <w:rPr>
          <w:noProof/>
        </w:rPr>
        <w:t xml:space="preserve"> Science of the Total Environment, 847. </w:t>
      </w:r>
    </w:p>
    <w:p w14:paraId="26713A49" w14:textId="12922903" w:rsidR="00155D67" w:rsidRPr="005E20D6" w:rsidRDefault="007B0833" w:rsidP="006005FF">
      <w:pPr>
        <w:pStyle w:val="CETReferencetext"/>
      </w:pPr>
      <w:r w:rsidRPr="005E20D6">
        <w:rPr>
          <w:noProof/>
        </w:rPr>
        <w:t>Yousefi S., Ghasemi B., Tajally M.</w:t>
      </w:r>
      <w:r w:rsidR="000B452A" w:rsidRPr="005E20D6">
        <w:rPr>
          <w:noProof/>
        </w:rPr>
        <w:t xml:space="preserve">, </w:t>
      </w:r>
      <w:r w:rsidRPr="005E20D6">
        <w:rPr>
          <w:noProof/>
        </w:rPr>
        <w:t>2020</w:t>
      </w:r>
      <w:r w:rsidR="000B452A" w:rsidRPr="005E20D6">
        <w:rPr>
          <w:noProof/>
        </w:rPr>
        <w:t>,</w:t>
      </w:r>
      <w:r w:rsidRPr="005E20D6">
        <w:rPr>
          <w:noProof/>
        </w:rPr>
        <w:t xml:space="preserve"> PEG-assisted synthesis and formation mechanism of Mg(OH)</w:t>
      </w:r>
      <w:r w:rsidRPr="005E20D6">
        <w:rPr>
          <w:noProof/>
          <w:vertAlign w:val="subscript"/>
        </w:rPr>
        <w:t>2</w:t>
      </w:r>
      <w:r w:rsidRPr="005E20D6">
        <w:rPr>
          <w:noProof/>
        </w:rPr>
        <w:t xml:space="preserve"> nanostructures using natural brine</w:t>
      </w:r>
      <w:r w:rsidR="000B452A" w:rsidRPr="005E20D6">
        <w:rPr>
          <w:noProof/>
        </w:rPr>
        <w:t>,</w:t>
      </w:r>
      <w:r w:rsidRPr="005E20D6">
        <w:rPr>
          <w:noProof/>
        </w:rPr>
        <w:t xml:space="preserve"> Applied Physics A: Materials Science and Processing, 126(8), 641. </w:t>
      </w:r>
      <w:r w:rsidR="00155D67" w:rsidRPr="005E20D6">
        <w:fldChar w:fldCharType="end"/>
      </w:r>
    </w:p>
    <w:sectPr w:rsidR="00155D67" w:rsidRPr="005E20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E512" w14:textId="77777777" w:rsidR="00EA4518" w:rsidRDefault="00EA4518" w:rsidP="004F5E36">
      <w:r>
        <w:separator/>
      </w:r>
    </w:p>
  </w:endnote>
  <w:endnote w:type="continuationSeparator" w:id="0">
    <w:p w14:paraId="42DA1477" w14:textId="77777777" w:rsidR="00EA4518" w:rsidRDefault="00EA451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3753" w14:textId="77777777" w:rsidR="00EA4518" w:rsidRDefault="00EA4518" w:rsidP="004F5E36">
      <w:r>
        <w:separator/>
      </w:r>
    </w:p>
  </w:footnote>
  <w:footnote w:type="continuationSeparator" w:id="0">
    <w:p w14:paraId="2213B31B" w14:textId="77777777" w:rsidR="00EA4518" w:rsidRDefault="00EA451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0B3"/>
    <w:rsid w:val="000027C0"/>
    <w:rsid w:val="000052FB"/>
    <w:rsid w:val="00007AA3"/>
    <w:rsid w:val="00007E7B"/>
    <w:rsid w:val="0001154D"/>
    <w:rsid w:val="000117CB"/>
    <w:rsid w:val="00012D9A"/>
    <w:rsid w:val="00013E27"/>
    <w:rsid w:val="0001640D"/>
    <w:rsid w:val="000207A3"/>
    <w:rsid w:val="00021B42"/>
    <w:rsid w:val="0002445B"/>
    <w:rsid w:val="000244DD"/>
    <w:rsid w:val="00025360"/>
    <w:rsid w:val="00030DFD"/>
    <w:rsid w:val="0003148D"/>
    <w:rsid w:val="00031EEC"/>
    <w:rsid w:val="00033495"/>
    <w:rsid w:val="000351F8"/>
    <w:rsid w:val="0004038E"/>
    <w:rsid w:val="00041915"/>
    <w:rsid w:val="00044D39"/>
    <w:rsid w:val="000453E1"/>
    <w:rsid w:val="000460B4"/>
    <w:rsid w:val="00046CFD"/>
    <w:rsid w:val="00047901"/>
    <w:rsid w:val="00047FB1"/>
    <w:rsid w:val="00051566"/>
    <w:rsid w:val="000527D1"/>
    <w:rsid w:val="00052C01"/>
    <w:rsid w:val="000551C6"/>
    <w:rsid w:val="000562A9"/>
    <w:rsid w:val="00057B4D"/>
    <w:rsid w:val="000602FD"/>
    <w:rsid w:val="00061889"/>
    <w:rsid w:val="00062A9A"/>
    <w:rsid w:val="0006337D"/>
    <w:rsid w:val="00065058"/>
    <w:rsid w:val="0006574D"/>
    <w:rsid w:val="00066960"/>
    <w:rsid w:val="00075640"/>
    <w:rsid w:val="0007748E"/>
    <w:rsid w:val="0007793A"/>
    <w:rsid w:val="00080CF2"/>
    <w:rsid w:val="000854DB"/>
    <w:rsid w:val="000865CF"/>
    <w:rsid w:val="00086C39"/>
    <w:rsid w:val="000907DD"/>
    <w:rsid w:val="00097F06"/>
    <w:rsid w:val="000A03B2"/>
    <w:rsid w:val="000A121A"/>
    <w:rsid w:val="000A4CAB"/>
    <w:rsid w:val="000A4EB9"/>
    <w:rsid w:val="000A574C"/>
    <w:rsid w:val="000A760A"/>
    <w:rsid w:val="000B0FBB"/>
    <w:rsid w:val="000B43E6"/>
    <w:rsid w:val="000B452A"/>
    <w:rsid w:val="000B5769"/>
    <w:rsid w:val="000B5E91"/>
    <w:rsid w:val="000C01DC"/>
    <w:rsid w:val="000C2590"/>
    <w:rsid w:val="000C45E8"/>
    <w:rsid w:val="000C6DB3"/>
    <w:rsid w:val="000D0268"/>
    <w:rsid w:val="000D14AF"/>
    <w:rsid w:val="000D34BE"/>
    <w:rsid w:val="000D3881"/>
    <w:rsid w:val="000D3B11"/>
    <w:rsid w:val="000E102F"/>
    <w:rsid w:val="000E315A"/>
    <w:rsid w:val="000E36F1"/>
    <w:rsid w:val="000E3A73"/>
    <w:rsid w:val="000E414A"/>
    <w:rsid w:val="000E43B2"/>
    <w:rsid w:val="000F093C"/>
    <w:rsid w:val="000F4590"/>
    <w:rsid w:val="000F588E"/>
    <w:rsid w:val="000F5EE8"/>
    <w:rsid w:val="000F7174"/>
    <w:rsid w:val="000F787B"/>
    <w:rsid w:val="00105250"/>
    <w:rsid w:val="00106EDF"/>
    <w:rsid w:val="001114B5"/>
    <w:rsid w:val="0011217A"/>
    <w:rsid w:val="00112824"/>
    <w:rsid w:val="0011440B"/>
    <w:rsid w:val="00116301"/>
    <w:rsid w:val="00117EB5"/>
    <w:rsid w:val="0012091F"/>
    <w:rsid w:val="0012141E"/>
    <w:rsid w:val="00126BC2"/>
    <w:rsid w:val="001277E2"/>
    <w:rsid w:val="00130194"/>
    <w:rsid w:val="001308B6"/>
    <w:rsid w:val="0013121F"/>
    <w:rsid w:val="00131A24"/>
    <w:rsid w:val="00131FE6"/>
    <w:rsid w:val="0013263F"/>
    <w:rsid w:val="001331DF"/>
    <w:rsid w:val="00134DE4"/>
    <w:rsid w:val="001401AB"/>
    <w:rsid w:val="0014034D"/>
    <w:rsid w:val="00142505"/>
    <w:rsid w:val="00144D16"/>
    <w:rsid w:val="00144DDE"/>
    <w:rsid w:val="00150E59"/>
    <w:rsid w:val="00152DE3"/>
    <w:rsid w:val="00155D67"/>
    <w:rsid w:val="00156454"/>
    <w:rsid w:val="00156908"/>
    <w:rsid w:val="00156C29"/>
    <w:rsid w:val="0015778C"/>
    <w:rsid w:val="00163240"/>
    <w:rsid w:val="00164CF9"/>
    <w:rsid w:val="00165E1E"/>
    <w:rsid w:val="001667A6"/>
    <w:rsid w:val="00176B91"/>
    <w:rsid w:val="001828A3"/>
    <w:rsid w:val="00184AD6"/>
    <w:rsid w:val="00190EBF"/>
    <w:rsid w:val="001915FA"/>
    <w:rsid w:val="00194EDA"/>
    <w:rsid w:val="0019726E"/>
    <w:rsid w:val="001A2A28"/>
    <w:rsid w:val="001A31BB"/>
    <w:rsid w:val="001A4AF7"/>
    <w:rsid w:val="001A755D"/>
    <w:rsid w:val="001B0349"/>
    <w:rsid w:val="001B1E93"/>
    <w:rsid w:val="001B4040"/>
    <w:rsid w:val="001B4A90"/>
    <w:rsid w:val="001B65C1"/>
    <w:rsid w:val="001B731B"/>
    <w:rsid w:val="001B758A"/>
    <w:rsid w:val="001B7E5C"/>
    <w:rsid w:val="001C077D"/>
    <w:rsid w:val="001C0F47"/>
    <w:rsid w:val="001C2C64"/>
    <w:rsid w:val="001C59A4"/>
    <w:rsid w:val="001C684B"/>
    <w:rsid w:val="001C6A22"/>
    <w:rsid w:val="001D0CFB"/>
    <w:rsid w:val="001D1A72"/>
    <w:rsid w:val="001D21AF"/>
    <w:rsid w:val="001D2C6B"/>
    <w:rsid w:val="001D48D3"/>
    <w:rsid w:val="001D4B0D"/>
    <w:rsid w:val="001D53FC"/>
    <w:rsid w:val="001E33F1"/>
    <w:rsid w:val="001F0618"/>
    <w:rsid w:val="001F1A47"/>
    <w:rsid w:val="001F42A5"/>
    <w:rsid w:val="001F7B9D"/>
    <w:rsid w:val="00200858"/>
    <w:rsid w:val="00201C93"/>
    <w:rsid w:val="00203711"/>
    <w:rsid w:val="00205A11"/>
    <w:rsid w:val="00206ECD"/>
    <w:rsid w:val="00210190"/>
    <w:rsid w:val="00210960"/>
    <w:rsid w:val="00213BF2"/>
    <w:rsid w:val="0021457A"/>
    <w:rsid w:val="00214825"/>
    <w:rsid w:val="00215DE0"/>
    <w:rsid w:val="002160F7"/>
    <w:rsid w:val="00221F5D"/>
    <w:rsid w:val="002221AB"/>
    <w:rsid w:val="002224B4"/>
    <w:rsid w:val="00222FB1"/>
    <w:rsid w:val="002258E6"/>
    <w:rsid w:val="00230D72"/>
    <w:rsid w:val="00231D02"/>
    <w:rsid w:val="00232087"/>
    <w:rsid w:val="00234E1B"/>
    <w:rsid w:val="0023505B"/>
    <w:rsid w:val="002409B3"/>
    <w:rsid w:val="002447EF"/>
    <w:rsid w:val="00246134"/>
    <w:rsid w:val="002504FF"/>
    <w:rsid w:val="00251550"/>
    <w:rsid w:val="0025201D"/>
    <w:rsid w:val="00260B63"/>
    <w:rsid w:val="0026253B"/>
    <w:rsid w:val="00262ED4"/>
    <w:rsid w:val="00263B05"/>
    <w:rsid w:val="002650C3"/>
    <w:rsid w:val="002654F7"/>
    <w:rsid w:val="002656F6"/>
    <w:rsid w:val="00265A74"/>
    <w:rsid w:val="0027221A"/>
    <w:rsid w:val="00274286"/>
    <w:rsid w:val="00274D78"/>
    <w:rsid w:val="00275B61"/>
    <w:rsid w:val="00275E98"/>
    <w:rsid w:val="00277D66"/>
    <w:rsid w:val="00280FAF"/>
    <w:rsid w:val="00281251"/>
    <w:rsid w:val="00281DC3"/>
    <w:rsid w:val="00282656"/>
    <w:rsid w:val="00284715"/>
    <w:rsid w:val="00285496"/>
    <w:rsid w:val="00292143"/>
    <w:rsid w:val="002932C8"/>
    <w:rsid w:val="00296B0C"/>
    <w:rsid w:val="00296B83"/>
    <w:rsid w:val="0029745D"/>
    <w:rsid w:val="00297E29"/>
    <w:rsid w:val="002A1DEC"/>
    <w:rsid w:val="002A7B9B"/>
    <w:rsid w:val="002B027D"/>
    <w:rsid w:val="002B0513"/>
    <w:rsid w:val="002B20F9"/>
    <w:rsid w:val="002B2E36"/>
    <w:rsid w:val="002B4015"/>
    <w:rsid w:val="002B6FD2"/>
    <w:rsid w:val="002B7806"/>
    <w:rsid w:val="002B78CE"/>
    <w:rsid w:val="002C04B0"/>
    <w:rsid w:val="002C051C"/>
    <w:rsid w:val="002C22DB"/>
    <w:rsid w:val="002C2FB6"/>
    <w:rsid w:val="002C3C34"/>
    <w:rsid w:val="002C7218"/>
    <w:rsid w:val="002D074C"/>
    <w:rsid w:val="002D38C2"/>
    <w:rsid w:val="002D474E"/>
    <w:rsid w:val="002D5527"/>
    <w:rsid w:val="002D5CF5"/>
    <w:rsid w:val="002E02B9"/>
    <w:rsid w:val="002E0627"/>
    <w:rsid w:val="002E1EFF"/>
    <w:rsid w:val="002E479F"/>
    <w:rsid w:val="002E5FA7"/>
    <w:rsid w:val="002E6354"/>
    <w:rsid w:val="002F297E"/>
    <w:rsid w:val="002F3309"/>
    <w:rsid w:val="002F7CD3"/>
    <w:rsid w:val="00300654"/>
    <w:rsid w:val="003008CE"/>
    <w:rsid w:val="003009B7"/>
    <w:rsid w:val="00300E56"/>
    <w:rsid w:val="0030152C"/>
    <w:rsid w:val="0030269C"/>
    <w:rsid w:val="003041CF"/>
    <w:rsid w:val="00304369"/>
    <w:rsid w:val="0030469C"/>
    <w:rsid w:val="00304A96"/>
    <w:rsid w:val="003052A2"/>
    <w:rsid w:val="00306F0A"/>
    <w:rsid w:val="003119C9"/>
    <w:rsid w:val="0031240C"/>
    <w:rsid w:val="00313512"/>
    <w:rsid w:val="00314599"/>
    <w:rsid w:val="0031693D"/>
    <w:rsid w:val="00316A3D"/>
    <w:rsid w:val="0032026C"/>
    <w:rsid w:val="00321CA6"/>
    <w:rsid w:val="00323763"/>
    <w:rsid w:val="00323C5F"/>
    <w:rsid w:val="00330899"/>
    <w:rsid w:val="0033145C"/>
    <w:rsid w:val="00333C0F"/>
    <w:rsid w:val="00334C09"/>
    <w:rsid w:val="003353F0"/>
    <w:rsid w:val="00343D20"/>
    <w:rsid w:val="0034453C"/>
    <w:rsid w:val="00346800"/>
    <w:rsid w:val="00351707"/>
    <w:rsid w:val="00354281"/>
    <w:rsid w:val="00355150"/>
    <w:rsid w:val="00355D1C"/>
    <w:rsid w:val="0035688D"/>
    <w:rsid w:val="00365202"/>
    <w:rsid w:val="003723D4"/>
    <w:rsid w:val="0037440F"/>
    <w:rsid w:val="00374B17"/>
    <w:rsid w:val="00374E71"/>
    <w:rsid w:val="00376907"/>
    <w:rsid w:val="00381905"/>
    <w:rsid w:val="00381F2E"/>
    <w:rsid w:val="00382722"/>
    <w:rsid w:val="00382BFA"/>
    <w:rsid w:val="00383A27"/>
    <w:rsid w:val="00384CC8"/>
    <w:rsid w:val="00385E12"/>
    <w:rsid w:val="00386E45"/>
    <w:rsid w:val="003871FD"/>
    <w:rsid w:val="00390D4D"/>
    <w:rsid w:val="00390F81"/>
    <w:rsid w:val="00391454"/>
    <w:rsid w:val="00393303"/>
    <w:rsid w:val="00393AE6"/>
    <w:rsid w:val="003A1E30"/>
    <w:rsid w:val="003A2829"/>
    <w:rsid w:val="003A59F1"/>
    <w:rsid w:val="003A6E09"/>
    <w:rsid w:val="003A6FC6"/>
    <w:rsid w:val="003A7D1C"/>
    <w:rsid w:val="003B115D"/>
    <w:rsid w:val="003B1299"/>
    <w:rsid w:val="003B214B"/>
    <w:rsid w:val="003B304B"/>
    <w:rsid w:val="003B3146"/>
    <w:rsid w:val="003B674C"/>
    <w:rsid w:val="003C7688"/>
    <w:rsid w:val="003C7C4D"/>
    <w:rsid w:val="003D04DF"/>
    <w:rsid w:val="003D175D"/>
    <w:rsid w:val="003D1FD5"/>
    <w:rsid w:val="003D2C7D"/>
    <w:rsid w:val="003E136D"/>
    <w:rsid w:val="003E3601"/>
    <w:rsid w:val="003E5111"/>
    <w:rsid w:val="003E57D9"/>
    <w:rsid w:val="003E725E"/>
    <w:rsid w:val="003E7F31"/>
    <w:rsid w:val="003F015E"/>
    <w:rsid w:val="003F6FAC"/>
    <w:rsid w:val="00400414"/>
    <w:rsid w:val="00402B6F"/>
    <w:rsid w:val="004046E9"/>
    <w:rsid w:val="00405068"/>
    <w:rsid w:val="0041005A"/>
    <w:rsid w:val="0041397E"/>
    <w:rsid w:val="0041446B"/>
    <w:rsid w:val="00414690"/>
    <w:rsid w:val="00422A58"/>
    <w:rsid w:val="0042545B"/>
    <w:rsid w:val="00425BE6"/>
    <w:rsid w:val="0042731C"/>
    <w:rsid w:val="004274C6"/>
    <w:rsid w:val="00427527"/>
    <w:rsid w:val="004340E4"/>
    <w:rsid w:val="00435DA5"/>
    <w:rsid w:val="00436A66"/>
    <w:rsid w:val="0044030D"/>
    <w:rsid w:val="0044071E"/>
    <w:rsid w:val="0044329C"/>
    <w:rsid w:val="0044497F"/>
    <w:rsid w:val="00450234"/>
    <w:rsid w:val="00452D7C"/>
    <w:rsid w:val="0045367E"/>
    <w:rsid w:val="00453A32"/>
    <w:rsid w:val="00453BC8"/>
    <w:rsid w:val="00453E24"/>
    <w:rsid w:val="00456635"/>
    <w:rsid w:val="0045688C"/>
    <w:rsid w:val="00457456"/>
    <w:rsid w:val="0045779D"/>
    <w:rsid w:val="004577FE"/>
    <w:rsid w:val="00457B9C"/>
    <w:rsid w:val="00461141"/>
    <w:rsid w:val="0046164A"/>
    <w:rsid w:val="00461CB4"/>
    <w:rsid w:val="004628D2"/>
    <w:rsid w:val="00462DCD"/>
    <w:rsid w:val="00464610"/>
    <w:rsid w:val="004648AD"/>
    <w:rsid w:val="004662C2"/>
    <w:rsid w:val="00467BE2"/>
    <w:rsid w:val="004703A9"/>
    <w:rsid w:val="004707EF"/>
    <w:rsid w:val="004711B5"/>
    <w:rsid w:val="004726BA"/>
    <w:rsid w:val="0047442C"/>
    <w:rsid w:val="00475D30"/>
    <w:rsid w:val="004760DE"/>
    <w:rsid w:val="004763D7"/>
    <w:rsid w:val="004832EF"/>
    <w:rsid w:val="00483E71"/>
    <w:rsid w:val="004877D3"/>
    <w:rsid w:val="004927A2"/>
    <w:rsid w:val="00494DC4"/>
    <w:rsid w:val="004A004E"/>
    <w:rsid w:val="004A24CF"/>
    <w:rsid w:val="004A2B79"/>
    <w:rsid w:val="004A4CBF"/>
    <w:rsid w:val="004A66C4"/>
    <w:rsid w:val="004B355D"/>
    <w:rsid w:val="004B3628"/>
    <w:rsid w:val="004C0772"/>
    <w:rsid w:val="004C09E6"/>
    <w:rsid w:val="004C3D1D"/>
    <w:rsid w:val="004C3D84"/>
    <w:rsid w:val="004C60E4"/>
    <w:rsid w:val="004C62EF"/>
    <w:rsid w:val="004C6F53"/>
    <w:rsid w:val="004C7388"/>
    <w:rsid w:val="004C7913"/>
    <w:rsid w:val="004D0209"/>
    <w:rsid w:val="004D2A22"/>
    <w:rsid w:val="004E07DA"/>
    <w:rsid w:val="004E0B8D"/>
    <w:rsid w:val="004E2373"/>
    <w:rsid w:val="004E2B12"/>
    <w:rsid w:val="004E2E0D"/>
    <w:rsid w:val="004E4CC1"/>
    <w:rsid w:val="004E4DD6"/>
    <w:rsid w:val="004E4FF3"/>
    <w:rsid w:val="004E5CA5"/>
    <w:rsid w:val="004E5D1E"/>
    <w:rsid w:val="004E727A"/>
    <w:rsid w:val="004F4E7F"/>
    <w:rsid w:val="004F5732"/>
    <w:rsid w:val="004F5E36"/>
    <w:rsid w:val="00500233"/>
    <w:rsid w:val="00504129"/>
    <w:rsid w:val="00507B47"/>
    <w:rsid w:val="00507BEF"/>
    <w:rsid w:val="00507CC9"/>
    <w:rsid w:val="005119A5"/>
    <w:rsid w:val="005150DD"/>
    <w:rsid w:val="00516AAC"/>
    <w:rsid w:val="0052419A"/>
    <w:rsid w:val="00526A40"/>
    <w:rsid w:val="00526B19"/>
    <w:rsid w:val="00526CE4"/>
    <w:rsid w:val="005278B7"/>
    <w:rsid w:val="00532016"/>
    <w:rsid w:val="0053448C"/>
    <w:rsid w:val="005346C8"/>
    <w:rsid w:val="00535397"/>
    <w:rsid w:val="00537820"/>
    <w:rsid w:val="005432B5"/>
    <w:rsid w:val="00543BC3"/>
    <w:rsid w:val="00543E7D"/>
    <w:rsid w:val="00545F88"/>
    <w:rsid w:val="00547A68"/>
    <w:rsid w:val="00551325"/>
    <w:rsid w:val="005530CA"/>
    <w:rsid w:val="005531C9"/>
    <w:rsid w:val="00553368"/>
    <w:rsid w:val="00553730"/>
    <w:rsid w:val="0056060F"/>
    <w:rsid w:val="005661EA"/>
    <w:rsid w:val="00570C43"/>
    <w:rsid w:val="00572770"/>
    <w:rsid w:val="00573CE7"/>
    <w:rsid w:val="00585279"/>
    <w:rsid w:val="00586D29"/>
    <w:rsid w:val="00587FF6"/>
    <w:rsid w:val="00591428"/>
    <w:rsid w:val="00593CF1"/>
    <w:rsid w:val="005943D1"/>
    <w:rsid w:val="00596C02"/>
    <w:rsid w:val="005A0300"/>
    <w:rsid w:val="005A366F"/>
    <w:rsid w:val="005A4C47"/>
    <w:rsid w:val="005B2110"/>
    <w:rsid w:val="005B2398"/>
    <w:rsid w:val="005B61E6"/>
    <w:rsid w:val="005B64C3"/>
    <w:rsid w:val="005B6E08"/>
    <w:rsid w:val="005B70DB"/>
    <w:rsid w:val="005B7EC6"/>
    <w:rsid w:val="005C0157"/>
    <w:rsid w:val="005C2283"/>
    <w:rsid w:val="005C2E3A"/>
    <w:rsid w:val="005C34EB"/>
    <w:rsid w:val="005C77E1"/>
    <w:rsid w:val="005D360B"/>
    <w:rsid w:val="005D5A6D"/>
    <w:rsid w:val="005D668A"/>
    <w:rsid w:val="005D6A2F"/>
    <w:rsid w:val="005D6B63"/>
    <w:rsid w:val="005D7B6F"/>
    <w:rsid w:val="005E01FA"/>
    <w:rsid w:val="005E1543"/>
    <w:rsid w:val="005E1A82"/>
    <w:rsid w:val="005E20D6"/>
    <w:rsid w:val="005E2ACF"/>
    <w:rsid w:val="005E4DE6"/>
    <w:rsid w:val="005E794C"/>
    <w:rsid w:val="005E7C48"/>
    <w:rsid w:val="005F0A28"/>
    <w:rsid w:val="005F0E5E"/>
    <w:rsid w:val="005F1535"/>
    <w:rsid w:val="005F26B0"/>
    <w:rsid w:val="005F4E41"/>
    <w:rsid w:val="005F6014"/>
    <w:rsid w:val="005F6466"/>
    <w:rsid w:val="005F651C"/>
    <w:rsid w:val="00600535"/>
    <w:rsid w:val="006005FF"/>
    <w:rsid w:val="00600E05"/>
    <w:rsid w:val="0060168A"/>
    <w:rsid w:val="006019A7"/>
    <w:rsid w:val="00601DE3"/>
    <w:rsid w:val="00602088"/>
    <w:rsid w:val="0060245D"/>
    <w:rsid w:val="00603587"/>
    <w:rsid w:val="00607655"/>
    <w:rsid w:val="00607818"/>
    <w:rsid w:val="00610CD6"/>
    <w:rsid w:val="00615C23"/>
    <w:rsid w:val="00617FB7"/>
    <w:rsid w:val="00620DEE"/>
    <w:rsid w:val="00621985"/>
    <w:rsid w:val="00621F92"/>
    <w:rsid w:val="0062280A"/>
    <w:rsid w:val="00623966"/>
    <w:rsid w:val="00624468"/>
    <w:rsid w:val="00624B77"/>
    <w:rsid w:val="00625639"/>
    <w:rsid w:val="00631B33"/>
    <w:rsid w:val="00632A82"/>
    <w:rsid w:val="00633ABF"/>
    <w:rsid w:val="00634A18"/>
    <w:rsid w:val="00635C51"/>
    <w:rsid w:val="0064184D"/>
    <w:rsid w:val="006422CC"/>
    <w:rsid w:val="00643C65"/>
    <w:rsid w:val="00643D50"/>
    <w:rsid w:val="006446FD"/>
    <w:rsid w:val="00645892"/>
    <w:rsid w:val="00646B83"/>
    <w:rsid w:val="006507EC"/>
    <w:rsid w:val="006521BA"/>
    <w:rsid w:val="00652808"/>
    <w:rsid w:val="0065331E"/>
    <w:rsid w:val="0065721E"/>
    <w:rsid w:val="00657CE2"/>
    <w:rsid w:val="006602E0"/>
    <w:rsid w:val="006608F7"/>
    <w:rsid w:val="00660E3E"/>
    <w:rsid w:val="00662280"/>
    <w:rsid w:val="00662E74"/>
    <w:rsid w:val="00662FF3"/>
    <w:rsid w:val="00671215"/>
    <w:rsid w:val="00674D8F"/>
    <w:rsid w:val="006754AD"/>
    <w:rsid w:val="00680C23"/>
    <w:rsid w:val="00683EFF"/>
    <w:rsid w:val="00684477"/>
    <w:rsid w:val="00685853"/>
    <w:rsid w:val="00685E62"/>
    <w:rsid w:val="0068666A"/>
    <w:rsid w:val="00690AF9"/>
    <w:rsid w:val="0069274B"/>
    <w:rsid w:val="00693766"/>
    <w:rsid w:val="00694BC3"/>
    <w:rsid w:val="00695C7F"/>
    <w:rsid w:val="006963FB"/>
    <w:rsid w:val="0069731B"/>
    <w:rsid w:val="006A3281"/>
    <w:rsid w:val="006A4231"/>
    <w:rsid w:val="006A4BAC"/>
    <w:rsid w:val="006A7818"/>
    <w:rsid w:val="006B0F42"/>
    <w:rsid w:val="006B1DF6"/>
    <w:rsid w:val="006B3267"/>
    <w:rsid w:val="006B4888"/>
    <w:rsid w:val="006C11B4"/>
    <w:rsid w:val="006C2E45"/>
    <w:rsid w:val="006C359C"/>
    <w:rsid w:val="006C5579"/>
    <w:rsid w:val="006D02F1"/>
    <w:rsid w:val="006D08BF"/>
    <w:rsid w:val="006D4255"/>
    <w:rsid w:val="006D4CBC"/>
    <w:rsid w:val="006D6E8B"/>
    <w:rsid w:val="006E03C5"/>
    <w:rsid w:val="006E1A1B"/>
    <w:rsid w:val="006E1F60"/>
    <w:rsid w:val="006E46E7"/>
    <w:rsid w:val="006E67B7"/>
    <w:rsid w:val="006E688E"/>
    <w:rsid w:val="006E6924"/>
    <w:rsid w:val="006E737D"/>
    <w:rsid w:val="006F031B"/>
    <w:rsid w:val="006F52BC"/>
    <w:rsid w:val="006F7104"/>
    <w:rsid w:val="00702733"/>
    <w:rsid w:val="007030DD"/>
    <w:rsid w:val="00705C0D"/>
    <w:rsid w:val="00705CD7"/>
    <w:rsid w:val="00706EE2"/>
    <w:rsid w:val="00713973"/>
    <w:rsid w:val="00714AA4"/>
    <w:rsid w:val="007171B4"/>
    <w:rsid w:val="00720A24"/>
    <w:rsid w:val="00721E4D"/>
    <w:rsid w:val="0072208A"/>
    <w:rsid w:val="007257E7"/>
    <w:rsid w:val="007257F7"/>
    <w:rsid w:val="00727D72"/>
    <w:rsid w:val="00727F76"/>
    <w:rsid w:val="0073175C"/>
    <w:rsid w:val="00732386"/>
    <w:rsid w:val="00732FCF"/>
    <w:rsid w:val="0073514D"/>
    <w:rsid w:val="007351EB"/>
    <w:rsid w:val="00741078"/>
    <w:rsid w:val="007447F3"/>
    <w:rsid w:val="00747F72"/>
    <w:rsid w:val="00753DB1"/>
    <w:rsid w:val="0075499F"/>
    <w:rsid w:val="007553C1"/>
    <w:rsid w:val="00757851"/>
    <w:rsid w:val="0076066E"/>
    <w:rsid w:val="0076197F"/>
    <w:rsid w:val="00762429"/>
    <w:rsid w:val="00762758"/>
    <w:rsid w:val="007661C8"/>
    <w:rsid w:val="00766211"/>
    <w:rsid w:val="0077098D"/>
    <w:rsid w:val="00770E7D"/>
    <w:rsid w:val="00776409"/>
    <w:rsid w:val="00777F8E"/>
    <w:rsid w:val="00780A73"/>
    <w:rsid w:val="00782028"/>
    <w:rsid w:val="0078206E"/>
    <w:rsid w:val="00785670"/>
    <w:rsid w:val="00785D25"/>
    <w:rsid w:val="00787361"/>
    <w:rsid w:val="007931FA"/>
    <w:rsid w:val="00793BDF"/>
    <w:rsid w:val="00796037"/>
    <w:rsid w:val="007A0009"/>
    <w:rsid w:val="007A0067"/>
    <w:rsid w:val="007A073E"/>
    <w:rsid w:val="007A0D9B"/>
    <w:rsid w:val="007A3894"/>
    <w:rsid w:val="007A4861"/>
    <w:rsid w:val="007A4D5A"/>
    <w:rsid w:val="007A5048"/>
    <w:rsid w:val="007A6BE8"/>
    <w:rsid w:val="007A7BBA"/>
    <w:rsid w:val="007B0833"/>
    <w:rsid w:val="007B0C50"/>
    <w:rsid w:val="007B48F9"/>
    <w:rsid w:val="007B777D"/>
    <w:rsid w:val="007C1A43"/>
    <w:rsid w:val="007C2319"/>
    <w:rsid w:val="007C4787"/>
    <w:rsid w:val="007C5516"/>
    <w:rsid w:val="007C61DC"/>
    <w:rsid w:val="007D0951"/>
    <w:rsid w:val="007D0F6A"/>
    <w:rsid w:val="007D1BC1"/>
    <w:rsid w:val="007D1F84"/>
    <w:rsid w:val="007D3D18"/>
    <w:rsid w:val="007D61CF"/>
    <w:rsid w:val="007E561D"/>
    <w:rsid w:val="007F3174"/>
    <w:rsid w:val="007F3EB7"/>
    <w:rsid w:val="007F6B8D"/>
    <w:rsid w:val="007F6D91"/>
    <w:rsid w:val="0080013E"/>
    <w:rsid w:val="00800E20"/>
    <w:rsid w:val="00800FAD"/>
    <w:rsid w:val="00805592"/>
    <w:rsid w:val="00811F17"/>
    <w:rsid w:val="00813288"/>
    <w:rsid w:val="00813B38"/>
    <w:rsid w:val="00814222"/>
    <w:rsid w:val="008168FC"/>
    <w:rsid w:val="00817B5A"/>
    <w:rsid w:val="00827945"/>
    <w:rsid w:val="00827C4C"/>
    <w:rsid w:val="00830996"/>
    <w:rsid w:val="00831481"/>
    <w:rsid w:val="00831CDF"/>
    <w:rsid w:val="008332F0"/>
    <w:rsid w:val="008345F1"/>
    <w:rsid w:val="00836419"/>
    <w:rsid w:val="008376E5"/>
    <w:rsid w:val="00844324"/>
    <w:rsid w:val="00846F44"/>
    <w:rsid w:val="00853C64"/>
    <w:rsid w:val="00855AED"/>
    <w:rsid w:val="00863AD7"/>
    <w:rsid w:val="00864209"/>
    <w:rsid w:val="00865B07"/>
    <w:rsid w:val="008667EA"/>
    <w:rsid w:val="0087034F"/>
    <w:rsid w:val="00874DC7"/>
    <w:rsid w:val="008761A3"/>
    <w:rsid w:val="0087637F"/>
    <w:rsid w:val="008828BE"/>
    <w:rsid w:val="00887248"/>
    <w:rsid w:val="0089132F"/>
    <w:rsid w:val="00891C33"/>
    <w:rsid w:val="00892608"/>
    <w:rsid w:val="00892AD5"/>
    <w:rsid w:val="008938A5"/>
    <w:rsid w:val="00894822"/>
    <w:rsid w:val="00897037"/>
    <w:rsid w:val="008A13B9"/>
    <w:rsid w:val="008A1512"/>
    <w:rsid w:val="008B573B"/>
    <w:rsid w:val="008B590A"/>
    <w:rsid w:val="008B6409"/>
    <w:rsid w:val="008B7C03"/>
    <w:rsid w:val="008C13E4"/>
    <w:rsid w:val="008C1F05"/>
    <w:rsid w:val="008C4231"/>
    <w:rsid w:val="008D0516"/>
    <w:rsid w:val="008D31A3"/>
    <w:rsid w:val="008D32B9"/>
    <w:rsid w:val="008D394A"/>
    <w:rsid w:val="008D3C38"/>
    <w:rsid w:val="008D433B"/>
    <w:rsid w:val="008D4A16"/>
    <w:rsid w:val="008D4C78"/>
    <w:rsid w:val="008D672B"/>
    <w:rsid w:val="008D6E33"/>
    <w:rsid w:val="008E060A"/>
    <w:rsid w:val="008E0713"/>
    <w:rsid w:val="008E194C"/>
    <w:rsid w:val="008E1DC4"/>
    <w:rsid w:val="008E1E77"/>
    <w:rsid w:val="008E2B3D"/>
    <w:rsid w:val="008E33D3"/>
    <w:rsid w:val="008E4647"/>
    <w:rsid w:val="008E4FA1"/>
    <w:rsid w:val="008E566E"/>
    <w:rsid w:val="008E638E"/>
    <w:rsid w:val="008E6B19"/>
    <w:rsid w:val="008F5552"/>
    <w:rsid w:val="008F780A"/>
    <w:rsid w:val="0090161A"/>
    <w:rsid w:val="00901EB6"/>
    <w:rsid w:val="00902C1E"/>
    <w:rsid w:val="009038C6"/>
    <w:rsid w:val="00904C62"/>
    <w:rsid w:val="0090648A"/>
    <w:rsid w:val="00910E17"/>
    <w:rsid w:val="00911FC7"/>
    <w:rsid w:val="00913070"/>
    <w:rsid w:val="009212ED"/>
    <w:rsid w:val="00922B77"/>
    <w:rsid w:val="00922BA8"/>
    <w:rsid w:val="00924DAC"/>
    <w:rsid w:val="00925BD8"/>
    <w:rsid w:val="00927058"/>
    <w:rsid w:val="00927D6F"/>
    <w:rsid w:val="00931322"/>
    <w:rsid w:val="0093510D"/>
    <w:rsid w:val="009359D8"/>
    <w:rsid w:val="009373D3"/>
    <w:rsid w:val="009377C2"/>
    <w:rsid w:val="00942750"/>
    <w:rsid w:val="009443ED"/>
    <w:rsid w:val="009450CE"/>
    <w:rsid w:val="009455E1"/>
    <w:rsid w:val="009459BB"/>
    <w:rsid w:val="00947179"/>
    <w:rsid w:val="00947E9A"/>
    <w:rsid w:val="00950D67"/>
    <w:rsid w:val="00950DA4"/>
    <w:rsid w:val="00951384"/>
    <w:rsid w:val="0095164B"/>
    <w:rsid w:val="00954090"/>
    <w:rsid w:val="009573E7"/>
    <w:rsid w:val="0095750A"/>
    <w:rsid w:val="00957A5C"/>
    <w:rsid w:val="00960126"/>
    <w:rsid w:val="00962AA5"/>
    <w:rsid w:val="00963E05"/>
    <w:rsid w:val="00964A45"/>
    <w:rsid w:val="0096544C"/>
    <w:rsid w:val="00967843"/>
    <w:rsid w:val="00967D54"/>
    <w:rsid w:val="00971028"/>
    <w:rsid w:val="00974504"/>
    <w:rsid w:val="00974B51"/>
    <w:rsid w:val="009805D1"/>
    <w:rsid w:val="00993B84"/>
    <w:rsid w:val="0099591E"/>
    <w:rsid w:val="00995BA2"/>
    <w:rsid w:val="00996483"/>
    <w:rsid w:val="00996F5A"/>
    <w:rsid w:val="00997363"/>
    <w:rsid w:val="0099738E"/>
    <w:rsid w:val="009A0024"/>
    <w:rsid w:val="009A60B6"/>
    <w:rsid w:val="009A7FC4"/>
    <w:rsid w:val="009B041A"/>
    <w:rsid w:val="009B0965"/>
    <w:rsid w:val="009B1CA3"/>
    <w:rsid w:val="009B2060"/>
    <w:rsid w:val="009B55A9"/>
    <w:rsid w:val="009B61F0"/>
    <w:rsid w:val="009B72E5"/>
    <w:rsid w:val="009C18C9"/>
    <w:rsid w:val="009C37C3"/>
    <w:rsid w:val="009C437C"/>
    <w:rsid w:val="009C588F"/>
    <w:rsid w:val="009C7AEC"/>
    <w:rsid w:val="009C7C86"/>
    <w:rsid w:val="009D2D6F"/>
    <w:rsid w:val="009D2FF7"/>
    <w:rsid w:val="009D7B56"/>
    <w:rsid w:val="009E2622"/>
    <w:rsid w:val="009E2CE4"/>
    <w:rsid w:val="009E313F"/>
    <w:rsid w:val="009E5E05"/>
    <w:rsid w:val="009E74BA"/>
    <w:rsid w:val="009E7884"/>
    <w:rsid w:val="009E788A"/>
    <w:rsid w:val="009E7BDE"/>
    <w:rsid w:val="009F0E08"/>
    <w:rsid w:val="009F3474"/>
    <w:rsid w:val="009F5254"/>
    <w:rsid w:val="009F5692"/>
    <w:rsid w:val="009F5D60"/>
    <w:rsid w:val="009F64F0"/>
    <w:rsid w:val="00A026F4"/>
    <w:rsid w:val="00A03B29"/>
    <w:rsid w:val="00A03BEA"/>
    <w:rsid w:val="00A06416"/>
    <w:rsid w:val="00A128F8"/>
    <w:rsid w:val="00A1290C"/>
    <w:rsid w:val="00A15D68"/>
    <w:rsid w:val="00A1763D"/>
    <w:rsid w:val="00A1787F"/>
    <w:rsid w:val="00A17CEC"/>
    <w:rsid w:val="00A214C8"/>
    <w:rsid w:val="00A26401"/>
    <w:rsid w:val="00A27EF0"/>
    <w:rsid w:val="00A31F23"/>
    <w:rsid w:val="00A41EBE"/>
    <w:rsid w:val="00A42361"/>
    <w:rsid w:val="00A4335E"/>
    <w:rsid w:val="00A433A3"/>
    <w:rsid w:val="00A47BE3"/>
    <w:rsid w:val="00A50B20"/>
    <w:rsid w:val="00A51390"/>
    <w:rsid w:val="00A539EA"/>
    <w:rsid w:val="00A60D13"/>
    <w:rsid w:val="00A60D29"/>
    <w:rsid w:val="00A60E35"/>
    <w:rsid w:val="00A61928"/>
    <w:rsid w:val="00A62CBD"/>
    <w:rsid w:val="00A70ECF"/>
    <w:rsid w:val="00A7223D"/>
    <w:rsid w:val="00A72745"/>
    <w:rsid w:val="00A730B3"/>
    <w:rsid w:val="00A76AC0"/>
    <w:rsid w:val="00A76BC1"/>
    <w:rsid w:val="00A76EFC"/>
    <w:rsid w:val="00A77557"/>
    <w:rsid w:val="00A77F56"/>
    <w:rsid w:val="00A81810"/>
    <w:rsid w:val="00A81947"/>
    <w:rsid w:val="00A87D50"/>
    <w:rsid w:val="00A91010"/>
    <w:rsid w:val="00A93E9C"/>
    <w:rsid w:val="00A95D1C"/>
    <w:rsid w:val="00A966E3"/>
    <w:rsid w:val="00A97F1C"/>
    <w:rsid w:val="00A97F29"/>
    <w:rsid w:val="00AA0B46"/>
    <w:rsid w:val="00AA4B26"/>
    <w:rsid w:val="00AA4D14"/>
    <w:rsid w:val="00AA702E"/>
    <w:rsid w:val="00AA7035"/>
    <w:rsid w:val="00AA7D26"/>
    <w:rsid w:val="00AB06EB"/>
    <w:rsid w:val="00AB0964"/>
    <w:rsid w:val="00AB5011"/>
    <w:rsid w:val="00AB547E"/>
    <w:rsid w:val="00AB5898"/>
    <w:rsid w:val="00AB60B6"/>
    <w:rsid w:val="00AB66BF"/>
    <w:rsid w:val="00AC0DFF"/>
    <w:rsid w:val="00AC0EA8"/>
    <w:rsid w:val="00AC27F9"/>
    <w:rsid w:val="00AC7368"/>
    <w:rsid w:val="00AC752C"/>
    <w:rsid w:val="00AD16B9"/>
    <w:rsid w:val="00AD47C3"/>
    <w:rsid w:val="00AD6FA3"/>
    <w:rsid w:val="00AD76AA"/>
    <w:rsid w:val="00AE027A"/>
    <w:rsid w:val="00AE0F81"/>
    <w:rsid w:val="00AE377D"/>
    <w:rsid w:val="00AE4DA0"/>
    <w:rsid w:val="00AE50C8"/>
    <w:rsid w:val="00AE64DF"/>
    <w:rsid w:val="00AE685C"/>
    <w:rsid w:val="00AF0EBA"/>
    <w:rsid w:val="00AF3F8C"/>
    <w:rsid w:val="00AF65F3"/>
    <w:rsid w:val="00AF6A48"/>
    <w:rsid w:val="00AF700F"/>
    <w:rsid w:val="00AF7E76"/>
    <w:rsid w:val="00B029EA"/>
    <w:rsid w:val="00B02C8A"/>
    <w:rsid w:val="00B035E7"/>
    <w:rsid w:val="00B05DE6"/>
    <w:rsid w:val="00B07146"/>
    <w:rsid w:val="00B133CC"/>
    <w:rsid w:val="00B14D26"/>
    <w:rsid w:val="00B1568F"/>
    <w:rsid w:val="00B17FBD"/>
    <w:rsid w:val="00B2007B"/>
    <w:rsid w:val="00B2071B"/>
    <w:rsid w:val="00B21B4C"/>
    <w:rsid w:val="00B22274"/>
    <w:rsid w:val="00B2308E"/>
    <w:rsid w:val="00B24316"/>
    <w:rsid w:val="00B2539D"/>
    <w:rsid w:val="00B315A6"/>
    <w:rsid w:val="00B31813"/>
    <w:rsid w:val="00B33365"/>
    <w:rsid w:val="00B35944"/>
    <w:rsid w:val="00B35E3E"/>
    <w:rsid w:val="00B4233F"/>
    <w:rsid w:val="00B42A68"/>
    <w:rsid w:val="00B42EE5"/>
    <w:rsid w:val="00B45865"/>
    <w:rsid w:val="00B4767E"/>
    <w:rsid w:val="00B57B36"/>
    <w:rsid w:val="00B57E6F"/>
    <w:rsid w:val="00B60BBB"/>
    <w:rsid w:val="00B61EA6"/>
    <w:rsid w:val="00B63D55"/>
    <w:rsid w:val="00B64224"/>
    <w:rsid w:val="00B72D65"/>
    <w:rsid w:val="00B755CD"/>
    <w:rsid w:val="00B77DFE"/>
    <w:rsid w:val="00B77F9B"/>
    <w:rsid w:val="00B82003"/>
    <w:rsid w:val="00B8686D"/>
    <w:rsid w:val="00B86B9D"/>
    <w:rsid w:val="00B878F6"/>
    <w:rsid w:val="00B87CBE"/>
    <w:rsid w:val="00B9357C"/>
    <w:rsid w:val="00B93F69"/>
    <w:rsid w:val="00B97C57"/>
    <w:rsid w:val="00BA22E3"/>
    <w:rsid w:val="00BA3AC7"/>
    <w:rsid w:val="00BA6851"/>
    <w:rsid w:val="00BA6C12"/>
    <w:rsid w:val="00BB1DDC"/>
    <w:rsid w:val="00BB2966"/>
    <w:rsid w:val="00BB53A2"/>
    <w:rsid w:val="00BB5DCB"/>
    <w:rsid w:val="00BB66C9"/>
    <w:rsid w:val="00BC00C2"/>
    <w:rsid w:val="00BC22D1"/>
    <w:rsid w:val="00BC30C9"/>
    <w:rsid w:val="00BD061C"/>
    <w:rsid w:val="00BD077D"/>
    <w:rsid w:val="00BD202D"/>
    <w:rsid w:val="00BD6848"/>
    <w:rsid w:val="00BD7A8A"/>
    <w:rsid w:val="00BE2A0A"/>
    <w:rsid w:val="00BE3E58"/>
    <w:rsid w:val="00BE5866"/>
    <w:rsid w:val="00BF0827"/>
    <w:rsid w:val="00BF2F7D"/>
    <w:rsid w:val="00BF5137"/>
    <w:rsid w:val="00BF54F9"/>
    <w:rsid w:val="00C00028"/>
    <w:rsid w:val="00C01616"/>
    <w:rsid w:val="00C0162B"/>
    <w:rsid w:val="00C02189"/>
    <w:rsid w:val="00C02436"/>
    <w:rsid w:val="00C05ACB"/>
    <w:rsid w:val="00C068ED"/>
    <w:rsid w:val="00C10580"/>
    <w:rsid w:val="00C12662"/>
    <w:rsid w:val="00C22747"/>
    <w:rsid w:val="00C22E0C"/>
    <w:rsid w:val="00C234E3"/>
    <w:rsid w:val="00C237B4"/>
    <w:rsid w:val="00C23B35"/>
    <w:rsid w:val="00C2525B"/>
    <w:rsid w:val="00C30A50"/>
    <w:rsid w:val="00C30F04"/>
    <w:rsid w:val="00C345B1"/>
    <w:rsid w:val="00C3798C"/>
    <w:rsid w:val="00C40142"/>
    <w:rsid w:val="00C405D7"/>
    <w:rsid w:val="00C411A3"/>
    <w:rsid w:val="00C424C1"/>
    <w:rsid w:val="00C45950"/>
    <w:rsid w:val="00C460B7"/>
    <w:rsid w:val="00C47348"/>
    <w:rsid w:val="00C47D2A"/>
    <w:rsid w:val="00C5241B"/>
    <w:rsid w:val="00C52C3C"/>
    <w:rsid w:val="00C57182"/>
    <w:rsid w:val="00C57863"/>
    <w:rsid w:val="00C63670"/>
    <w:rsid w:val="00C63BB5"/>
    <w:rsid w:val="00C640AF"/>
    <w:rsid w:val="00C64932"/>
    <w:rsid w:val="00C655FD"/>
    <w:rsid w:val="00C707A2"/>
    <w:rsid w:val="00C70F72"/>
    <w:rsid w:val="00C72A36"/>
    <w:rsid w:val="00C730CA"/>
    <w:rsid w:val="00C735E6"/>
    <w:rsid w:val="00C75407"/>
    <w:rsid w:val="00C762A3"/>
    <w:rsid w:val="00C7770E"/>
    <w:rsid w:val="00C80026"/>
    <w:rsid w:val="00C81C3F"/>
    <w:rsid w:val="00C822C8"/>
    <w:rsid w:val="00C86140"/>
    <w:rsid w:val="00C86C5B"/>
    <w:rsid w:val="00C86E9E"/>
    <w:rsid w:val="00C870A8"/>
    <w:rsid w:val="00C87AE4"/>
    <w:rsid w:val="00C87FEA"/>
    <w:rsid w:val="00C94434"/>
    <w:rsid w:val="00C962AD"/>
    <w:rsid w:val="00C97F34"/>
    <w:rsid w:val="00CA039B"/>
    <w:rsid w:val="00CA0615"/>
    <w:rsid w:val="00CA073D"/>
    <w:rsid w:val="00CA0D4A"/>
    <w:rsid w:val="00CA0D75"/>
    <w:rsid w:val="00CA1C95"/>
    <w:rsid w:val="00CA1D62"/>
    <w:rsid w:val="00CA4307"/>
    <w:rsid w:val="00CA5A9C"/>
    <w:rsid w:val="00CA65F0"/>
    <w:rsid w:val="00CA78DA"/>
    <w:rsid w:val="00CB0A71"/>
    <w:rsid w:val="00CB1973"/>
    <w:rsid w:val="00CB56AD"/>
    <w:rsid w:val="00CB5DFA"/>
    <w:rsid w:val="00CB7145"/>
    <w:rsid w:val="00CB727C"/>
    <w:rsid w:val="00CC023E"/>
    <w:rsid w:val="00CC2565"/>
    <w:rsid w:val="00CC4C20"/>
    <w:rsid w:val="00CD1A87"/>
    <w:rsid w:val="00CD2145"/>
    <w:rsid w:val="00CD2D4D"/>
    <w:rsid w:val="00CD3002"/>
    <w:rsid w:val="00CD3517"/>
    <w:rsid w:val="00CD3A87"/>
    <w:rsid w:val="00CD5FE2"/>
    <w:rsid w:val="00CD625E"/>
    <w:rsid w:val="00CE4BDB"/>
    <w:rsid w:val="00CE6B19"/>
    <w:rsid w:val="00CE7018"/>
    <w:rsid w:val="00CE7231"/>
    <w:rsid w:val="00CE7C68"/>
    <w:rsid w:val="00CE7E5F"/>
    <w:rsid w:val="00CF06CB"/>
    <w:rsid w:val="00CF2239"/>
    <w:rsid w:val="00CF3562"/>
    <w:rsid w:val="00CF786D"/>
    <w:rsid w:val="00D01272"/>
    <w:rsid w:val="00D02B4C"/>
    <w:rsid w:val="00D040C4"/>
    <w:rsid w:val="00D07827"/>
    <w:rsid w:val="00D11DF7"/>
    <w:rsid w:val="00D15160"/>
    <w:rsid w:val="00D1588F"/>
    <w:rsid w:val="00D15A9C"/>
    <w:rsid w:val="00D15B8C"/>
    <w:rsid w:val="00D15D08"/>
    <w:rsid w:val="00D20AD1"/>
    <w:rsid w:val="00D213DA"/>
    <w:rsid w:val="00D2203B"/>
    <w:rsid w:val="00D226E7"/>
    <w:rsid w:val="00D2441D"/>
    <w:rsid w:val="00D250DB"/>
    <w:rsid w:val="00D31079"/>
    <w:rsid w:val="00D316F3"/>
    <w:rsid w:val="00D31909"/>
    <w:rsid w:val="00D32DF0"/>
    <w:rsid w:val="00D33D48"/>
    <w:rsid w:val="00D3433D"/>
    <w:rsid w:val="00D37487"/>
    <w:rsid w:val="00D41080"/>
    <w:rsid w:val="00D420AA"/>
    <w:rsid w:val="00D42332"/>
    <w:rsid w:val="00D42BEB"/>
    <w:rsid w:val="00D44FA4"/>
    <w:rsid w:val="00D44FA7"/>
    <w:rsid w:val="00D46B7E"/>
    <w:rsid w:val="00D477B7"/>
    <w:rsid w:val="00D50384"/>
    <w:rsid w:val="00D5179A"/>
    <w:rsid w:val="00D57C84"/>
    <w:rsid w:val="00D60331"/>
    <w:rsid w:val="00D6057D"/>
    <w:rsid w:val="00D62E93"/>
    <w:rsid w:val="00D648EC"/>
    <w:rsid w:val="00D6531B"/>
    <w:rsid w:val="00D66E43"/>
    <w:rsid w:val="00D66E4F"/>
    <w:rsid w:val="00D675A5"/>
    <w:rsid w:val="00D7062C"/>
    <w:rsid w:val="00D71640"/>
    <w:rsid w:val="00D71D1D"/>
    <w:rsid w:val="00D72316"/>
    <w:rsid w:val="00D7692F"/>
    <w:rsid w:val="00D76EFF"/>
    <w:rsid w:val="00D773DD"/>
    <w:rsid w:val="00D81467"/>
    <w:rsid w:val="00D83184"/>
    <w:rsid w:val="00D836C5"/>
    <w:rsid w:val="00D83734"/>
    <w:rsid w:val="00D84576"/>
    <w:rsid w:val="00D8678F"/>
    <w:rsid w:val="00D87543"/>
    <w:rsid w:val="00D9031B"/>
    <w:rsid w:val="00D90B5A"/>
    <w:rsid w:val="00D91863"/>
    <w:rsid w:val="00D92C1C"/>
    <w:rsid w:val="00D9404A"/>
    <w:rsid w:val="00D95395"/>
    <w:rsid w:val="00D966ED"/>
    <w:rsid w:val="00D97CF5"/>
    <w:rsid w:val="00DA1399"/>
    <w:rsid w:val="00DA17D8"/>
    <w:rsid w:val="00DA1CC4"/>
    <w:rsid w:val="00DA20F1"/>
    <w:rsid w:val="00DA24C6"/>
    <w:rsid w:val="00DA28C0"/>
    <w:rsid w:val="00DA2BDA"/>
    <w:rsid w:val="00DA4071"/>
    <w:rsid w:val="00DA4D7B"/>
    <w:rsid w:val="00DA6B6A"/>
    <w:rsid w:val="00DA7E5B"/>
    <w:rsid w:val="00DB3A92"/>
    <w:rsid w:val="00DB3CE3"/>
    <w:rsid w:val="00DB4B4A"/>
    <w:rsid w:val="00DB6A6E"/>
    <w:rsid w:val="00DC0896"/>
    <w:rsid w:val="00DC2D56"/>
    <w:rsid w:val="00DD059D"/>
    <w:rsid w:val="00DD1755"/>
    <w:rsid w:val="00DD2528"/>
    <w:rsid w:val="00DD271C"/>
    <w:rsid w:val="00DD4ACB"/>
    <w:rsid w:val="00DD4B85"/>
    <w:rsid w:val="00DD6C91"/>
    <w:rsid w:val="00DE264A"/>
    <w:rsid w:val="00DE292C"/>
    <w:rsid w:val="00DE2A01"/>
    <w:rsid w:val="00DE2C71"/>
    <w:rsid w:val="00DE3ECD"/>
    <w:rsid w:val="00DE60BC"/>
    <w:rsid w:val="00DE692E"/>
    <w:rsid w:val="00DF15E2"/>
    <w:rsid w:val="00DF3828"/>
    <w:rsid w:val="00DF3CEB"/>
    <w:rsid w:val="00DF5072"/>
    <w:rsid w:val="00DF5219"/>
    <w:rsid w:val="00E008B6"/>
    <w:rsid w:val="00E01B10"/>
    <w:rsid w:val="00E02D18"/>
    <w:rsid w:val="00E03CC6"/>
    <w:rsid w:val="00E03D3F"/>
    <w:rsid w:val="00E041E7"/>
    <w:rsid w:val="00E054E3"/>
    <w:rsid w:val="00E078CD"/>
    <w:rsid w:val="00E10FA4"/>
    <w:rsid w:val="00E12584"/>
    <w:rsid w:val="00E15291"/>
    <w:rsid w:val="00E163A8"/>
    <w:rsid w:val="00E20593"/>
    <w:rsid w:val="00E23BDD"/>
    <w:rsid w:val="00E23CA1"/>
    <w:rsid w:val="00E25CF7"/>
    <w:rsid w:val="00E278D7"/>
    <w:rsid w:val="00E30CA8"/>
    <w:rsid w:val="00E31291"/>
    <w:rsid w:val="00E3287E"/>
    <w:rsid w:val="00E331AA"/>
    <w:rsid w:val="00E332EF"/>
    <w:rsid w:val="00E33DD7"/>
    <w:rsid w:val="00E34F57"/>
    <w:rsid w:val="00E34FAF"/>
    <w:rsid w:val="00E35063"/>
    <w:rsid w:val="00E36407"/>
    <w:rsid w:val="00E409A8"/>
    <w:rsid w:val="00E41A23"/>
    <w:rsid w:val="00E43DEB"/>
    <w:rsid w:val="00E44F8C"/>
    <w:rsid w:val="00E45754"/>
    <w:rsid w:val="00E47F47"/>
    <w:rsid w:val="00E504C1"/>
    <w:rsid w:val="00E50C12"/>
    <w:rsid w:val="00E50E43"/>
    <w:rsid w:val="00E50F27"/>
    <w:rsid w:val="00E51A58"/>
    <w:rsid w:val="00E54F32"/>
    <w:rsid w:val="00E55887"/>
    <w:rsid w:val="00E57D61"/>
    <w:rsid w:val="00E57FF4"/>
    <w:rsid w:val="00E60D6B"/>
    <w:rsid w:val="00E61ADE"/>
    <w:rsid w:val="00E647F9"/>
    <w:rsid w:val="00E6582F"/>
    <w:rsid w:val="00E65B91"/>
    <w:rsid w:val="00E67F23"/>
    <w:rsid w:val="00E70DA3"/>
    <w:rsid w:val="00E717B5"/>
    <w:rsid w:val="00E7209D"/>
    <w:rsid w:val="00E7297A"/>
    <w:rsid w:val="00E72EAD"/>
    <w:rsid w:val="00E732AD"/>
    <w:rsid w:val="00E74E64"/>
    <w:rsid w:val="00E76B56"/>
    <w:rsid w:val="00E77223"/>
    <w:rsid w:val="00E77BBF"/>
    <w:rsid w:val="00E801D0"/>
    <w:rsid w:val="00E8528B"/>
    <w:rsid w:val="00E85B94"/>
    <w:rsid w:val="00E8705E"/>
    <w:rsid w:val="00E965DD"/>
    <w:rsid w:val="00E978D0"/>
    <w:rsid w:val="00EA143D"/>
    <w:rsid w:val="00EA2917"/>
    <w:rsid w:val="00EA2E9E"/>
    <w:rsid w:val="00EA3FB5"/>
    <w:rsid w:val="00EA4518"/>
    <w:rsid w:val="00EA4613"/>
    <w:rsid w:val="00EA4E2D"/>
    <w:rsid w:val="00EA60E5"/>
    <w:rsid w:val="00EA73B6"/>
    <w:rsid w:val="00EA7806"/>
    <w:rsid w:val="00EA7F91"/>
    <w:rsid w:val="00EB00A4"/>
    <w:rsid w:val="00EB08AE"/>
    <w:rsid w:val="00EB1523"/>
    <w:rsid w:val="00EB2192"/>
    <w:rsid w:val="00EB337D"/>
    <w:rsid w:val="00EB4ABE"/>
    <w:rsid w:val="00EB5545"/>
    <w:rsid w:val="00EC0E49"/>
    <w:rsid w:val="00EC101F"/>
    <w:rsid w:val="00EC1D9F"/>
    <w:rsid w:val="00EC6862"/>
    <w:rsid w:val="00ED1099"/>
    <w:rsid w:val="00ED42C0"/>
    <w:rsid w:val="00ED575A"/>
    <w:rsid w:val="00ED5B13"/>
    <w:rsid w:val="00ED717C"/>
    <w:rsid w:val="00EE0131"/>
    <w:rsid w:val="00EE17B0"/>
    <w:rsid w:val="00EE18A9"/>
    <w:rsid w:val="00EF06D9"/>
    <w:rsid w:val="00EF1490"/>
    <w:rsid w:val="00EF22F1"/>
    <w:rsid w:val="00EF5E18"/>
    <w:rsid w:val="00F01300"/>
    <w:rsid w:val="00F01DF9"/>
    <w:rsid w:val="00F07347"/>
    <w:rsid w:val="00F130CA"/>
    <w:rsid w:val="00F13886"/>
    <w:rsid w:val="00F13F0D"/>
    <w:rsid w:val="00F16141"/>
    <w:rsid w:val="00F16C8E"/>
    <w:rsid w:val="00F240C1"/>
    <w:rsid w:val="00F253B8"/>
    <w:rsid w:val="00F2740C"/>
    <w:rsid w:val="00F3049E"/>
    <w:rsid w:val="00F30C64"/>
    <w:rsid w:val="00F3280E"/>
    <w:rsid w:val="00F32BA2"/>
    <w:rsid w:val="00F32CDB"/>
    <w:rsid w:val="00F35976"/>
    <w:rsid w:val="00F379FD"/>
    <w:rsid w:val="00F42AA5"/>
    <w:rsid w:val="00F52047"/>
    <w:rsid w:val="00F5292F"/>
    <w:rsid w:val="00F55E64"/>
    <w:rsid w:val="00F55FCC"/>
    <w:rsid w:val="00F565FE"/>
    <w:rsid w:val="00F56909"/>
    <w:rsid w:val="00F615B8"/>
    <w:rsid w:val="00F63A70"/>
    <w:rsid w:val="00F63D8C"/>
    <w:rsid w:val="00F65542"/>
    <w:rsid w:val="00F6743D"/>
    <w:rsid w:val="00F70D5A"/>
    <w:rsid w:val="00F71468"/>
    <w:rsid w:val="00F73B55"/>
    <w:rsid w:val="00F7534E"/>
    <w:rsid w:val="00F83C07"/>
    <w:rsid w:val="00F83EFE"/>
    <w:rsid w:val="00F84222"/>
    <w:rsid w:val="00F9144E"/>
    <w:rsid w:val="00F931A6"/>
    <w:rsid w:val="00F93EDF"/>
    <w:rsid w:val="00FA09A8"/>
    <w:rsid w:val="00FA1802"/>
    <w:rsid w:val="00FA21D0"/>
    <w:rsid w:val="00FA281C"/>
    <w:rsid w:val="00FA3E1E"/>
    <w:rsid w:val="00FA51BB"/>
    <w:rsid w:val="00FA5F5F"/>
    <w:rsid w:val="00FB08D7"/>
    <w:rsid w:val="00FB346B"/>
    <w:rsid w:val="00FB353E"/>
    <w:rsid w:val="00FB730C"/>
    <w:rsid w:val="00FC2695"/>
    <w:rsid w:val="00FC3195"/>
    <w:rsid w:val="00FC3E03"/>
    <w:rsid w:val="00FC3FC1"/>
    <w:rsid w:val="00FC66AA"/>
    <w:rsid w:val="00FD4E0E"/>
    <w:rsid w:val="00FD7ED2"/>
    <w:rsid w:val="00FE0C94"/>
    <w:rsid w:val="00FE18BA"/>
    <w:rsid w:val="00FE1A7B"/>
    <w:rsid w:val="00FE4EC1"/>
    <w:rsid w:val="00FE50DD"/>
    <w:rsid w:val="00FF1622"/>
    <w:rsid w:val="00FF3464"/>
    <w:rsid w:val="00FF742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7A0067"/>
    <w:rPr>
      <w:color w:val="605E5C"/>
      <w:shd w:val="clear" w:color="auto" w:fill="E1DFDD"/>
    </w:rPr>
  </w:style>
  <w:style w:type="character" w:styleId="Testosegnaposto">
    <w:name w:val="Placeholder Text"/>
    <w:basedOn w:val="Carpredefinitoparagrafo"/>
    <w:uiPriority w:val="99"/>
    <w:semiHidden/>
    <w:rsid w:val="00FC66AA"/>
    <w:rPr>
      <w:color w:val="808080"/>
    </w:rPr>
  </w:style>
  <w:style w:type="character" w:styleId="Rimandonotaapidipagina">
    <w:name w:val="footnote reference"/>
    <w:basedOn w:val="Carpredefinitoparagrafo"/>
    <w:uiPriority w:val="99"/>
    <w:semiHidden/>
    <w:unhideWhenUsed/>
    <w:rsid w:val="00607655"/>
    <w:rPr>
      <w:vertAlign w:val="superscript"/>
    </w:rPr>
  </w:style>
  <w:style w:type="character" w:customStyle="1" w:styleId="cf01">
    <w:name w:val="cf01"/>
    <w:basedOn w:val="Carpredefinitoparagrafo"/>
    <w:rsid w:val="00FA09A8"/>
    <w:rPr>
      <w:rFonts w:ascii="Segoe UI" w:hAnsi="Segoe UI" w:cs="Segoe UI" w:hint="default"/>
      <w:sz w:val="18"/>
      <w:szCs w:val="18"/>
    </w:rPr>
  </w:style>
  <w:style w:type="paragraph" w:styleId="Revisione">
    <w:name w:val="Revision"/>
    <w:hidden/>
    <w:uiPriority w:val="99"/>
    <w:semiHidden/>
    <w:rsid w:val="00FA09A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12038</Words>
  <Characters>68621</Characters>
  <Application>Microsoft Office Word</Application>
  <DocSecurity>0</DocSecurity>
  <Lines>571</Lines>
  <Paragraphs>160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80499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GIUSEPPE BATTAGLIA</cp:lastModifiedBy>
  <cp:revision>50</cp:revision>
  <cp:lastPrinted>2023-07-01T11:34:00Z</cp:lastPrinted>
  <dcterms:created xsi:type="dcterms:W3CDTF">2023-06-29T12:22:00Z</dcterms:created>
  <dcterms:modified xsi:type="dcterms:W3CDTF">2023-07-01T13:19:00Z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ed06fe9d-06ff-3d66-aa93-186e36956a84</vt:lpwstr>
  </property>
  <property fmtid="{D5CDD505-2E9C-101B-9397-08002B2CF9AE}" pid="6" name="Mendeley Citation Style_1">
    <vt:lpwstr>http://www.zotero.org/styles/begell-house-apa</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vt:lpwstr>
  </property>
  <property fmtid="{D5CDD505-2E9C-101B-9397-08002B2CF9AE}" pid="11" name="Mendeley Recent Style Id 2_1">
    <vt:lpwstr>http://www.zotero.org/styles/begell-house-apa</vt:lpwstr>
  </property>
  <property fmtid="{D5CDD505-2E9C-101B-9397-08002B2CF9AE}" pid="12" name="Mendeley Recent Style Name 2_1">
    <vt:lpwstr>Begell House - APA</vt:lpwstr>
  </property>
  <property fmtid="{D5CDD505-2E9C-101B-9397-08002B2CF9AE}" pid="13" name="Mendeley Recent Style Id 3_1">
    <vt:lpwstr>http://www.zotero.org/styles/chicago-fullnote-bibliography</vt:lpwstr>
  </property>
  <property fmtid="{D5CDD505-2E9C-101B-9397-08002B2CF9AE}" pid="14" name="Mendeley Recent Style Name 3_1">
    <vt:lpwstr>Chicago Manual of Style 17th edition (full note)</vt:lpwstr>
  </property>
  <property fmtid="{D5CDD505-2E9C-101B-9397-08002B2CF9AE}" pid="15" name="Mendeley Recent Style Id 4_1">
    <vt:lpwstr>http://www.zotero.org/styles/computer-methods-in-applied-mechanics-and-engineering</vt:lpwstr>
  </property>
  <property fmtid="{D5CDD505-2E9C-101B-9397-08002B2CF9AE}" pid="16" name="Mendeley Recent Style Name 4_1">
    <vt:lpwstr>Computer Methods in Applied Mechanics and Engineering</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http://www.zotero.org/styles/industrial-and-engineering-chemistry-research</vt:lpwstr>
  </property>
  <property fmtid="{D5CDD505-2E9C-101B-9397-08002B2CF9AE}" pid="20" name="Mendeley Recent Style Name 6_1">
    <vt:lpwstr>Industrial &amp; Engineering Chemistry Research</vt:lpwstr>
  </property>
  <property fmtid="{D5CDD505-2E9C-101B-9397-08002B2CF9AE}" pid="21" name="Mendeley Recent Style Id 7_1">
    <vt:lpwstr>http://www.zotero.org/styles/membranes</vt:lpwstr>
  </property>
  <property fmtid="{D5CDD505-2E9C-101B-9397-08002B2CF9AE}" pid="22" name="Mendeley Recent Style Name 7_1">
    <vt:lpwstr>Membranes</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http://www.zotero.org/styles/royal-society-of-chemistry-with-titles</vt:lpwstr>
  </property>
  <property fmtid="{D5CDD505-2E9C-101B-9397-08002B2CF9AE}" pid="26" name="Mendeley Recent Style Name 9_1">
    <vt:lpwstr>Royal Society of Chemistry (with titles)</vt:lpwstr>
  </property>
</Properties>
</file>