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16362" w14:paraId="2A131A54" w14:textId="77777777" w:rsidTr="007A0AE3">
        <w:trPr>
          <w:trHeight w:val="852"/>
          <w:jc w:val="center"/>
        </w:trPr>
        <w:tc>
          <w:tcPr>
            <w:tcW w:w="6940" w:type="dxa"/>
            <w:vMerge w:val="restart"/>
            <w:tcBorders>
              <w:right w:val="single" w:sz="4" w:space="0" w:color="auto"/>
            </w:tcBorders>
          </w:tcPr>
          <w:p w14:paraId="38C3D2BA" w14:textId="77777777" w:rsidR="000A03B2" w:rsidRPr="00D16362" w:rsidRDefault="000A03B2" w:rsidP="00DE264A">
            <w:pPr>
              <w:tabs>
                <w:tab w:val="left" w:pos="-108"/>
              </w:tabs>
              <w:ind w:left="-108"/>
              <w:jc w:val="left"/>
              <w:rPr>
                <w:rFonts w:cs="Arial"/>
                <w:b/>
                <w:bCs/>
                <w:i/>
                <w:iCs/>
                <w:color w:val="000066"/>
                <w:sz w:val="12"/>
                <w:szCs w:val="12"/>
                <w:lang w:val="en-US" w:eastAsia="it-IT"/>
              </w:rPr>
            </w:pPr>
            <w:r w:rsidRPr="00D16362">
              <w:rPr>
                <w:rFonts w:ascii="AdvP6960" w:hAnsi="AdvP6960" w:cs="AdvP6960"/>
                <w:noProof/>
                <w:color w:val="241F20"/>
                <w:szCs w:val="18"/>
                <w:lang w:val="hu-HU" w:eastAsia="hu-H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16362">
              <w:rPr>
                <w:rFonts w:ascii="AdvP6960" w:hAnsi="AdvP6960" w:cs="AdvP6960"/>
                <w:color w:val="241F20"/>
                <w:szCs w:val="18"/>
                <w:lang w:val="en-US" w:eastAsia="it-IT"/>
              </w:rPr>
              <w:t xml:space="preserve"> </w:t>
            </w:r>
            <w:r w:rsidRPr="00D16362">
              <w:rPr>
                <w:rFonts w:cs="Arial"/>
                <w:b/>
                <w:bCs/>
                <w:i/>
                <w:iCs/>
                <w:color w:val="000066"/>
                <w:sz w:val="24"/>
                <w:szCs w:val="24"/>
                <w:lang w:val="en-US" w:eastAsia="it-IT"/>
              </w:rPr>
              <w:t>CHEMICAL ENGINEERING</w:t>
            </w:r>
            <w:r w:rsidRPr="00D16362">
              <w:rPr>
                <w:rFonts w:cs="Arial"/>
                <w:b/>
                <w:bCs/>
                <w:i/>
                <w:iCs/>
                <w:color w:val="0033FF"/>
                <w:sz w:val="24"/>
                <w:szCs w:val="24"/>
                <w:lang w:val="en-US" w:eastAsia="it-IT"/>
              </w:rPr>
              <w:t xml:space="preserve"> </w:t>
            </w:r>
            <w:r w:rsidRPr="00D16362">
              <w:rPr>
                <w:rFonts w:cs="Arial"/>
                <w:b/>
                <w:bCs/>
                <w:i/>
                <w:iCs/>
                <w:color w:val="666666"/>
                <w:sz w:val="24"/>
                <w:szCs w:val="24"/>
                <w:lang w:val="en-US" w:eastAsia="it-IT"/>
              </w:rPr>
              <w:t>TRANSACTIONS</w:t>
            </w:r>
            <w:r w:rsidRPr="00D16362">
              <w:rPr>
                <w:color w:val="333333"/>
                <w:sz w:val="24"/>
                <w:szCs w:val="24"/>
                <w:lang w:val="en-US" w:eastAsia="it-IT"/>
              </w:rPr>
              <w:t xml:space="preserve"> </w:t>
            </w:r>
            <w:r w:rsidRPr="00D16362">
              <w:rPr>
                <w:rFonts w:cs="Arial"/>
                <w:b/>
                <w:bCs/>
                <w:i/>
                <w:iCs/>
                <w:color w:val="000066"/>
                <w:sz w:val="27"/>
                <w:szCs w:val="27"/>
                <w:lang w:val="en-US" w:eastAsia="it-IT"/>
              </w:rPr>
              <w:br/>
            </w:r>
          </w:p>
          <w:p w14:paraId="4B780582" w14:textId="530285EB" w:rsidR="000A03B2" w:rsidRPr="00D16362" w:rsidRDefault="00A76EFC" w:rsidP="001D21AF">
            <w:pPr>
              <w:tabs>
                <w:tab w:val="left" w:pos="-108"/>
              </w:tabs>
              <w:ind w:left="-108"/>
              <w:rPr>
                <w:rFonts w:cs="Arial"/>
                <w:b/>
                <w:bCs/>
                <w:i/>
                <w:iCs/>
                <w:color w:val="000066"/>
                <w:sz w:val="22"/>
                <w:szCs w:val="22"/>
                <w:lang w:val="en-US" w:eastAsia="it-IT"/>
              </w:rPr>
            </w:pPr>
            <w:r w:rsidRPr="00D16362">
              <w:rPr>
                <w:rFonts w:cs="Arial"/>
                <w:b/>
                <w:bCs/>
                <w:i/>
                <w:iCs/>
                <w:color w:val="000066"/>
                <w:sz w:val="22"/>
                <w:szCs w:val="22"/>
                <w:lang w:val="en-US" w:eastAsia="it-IT"/>
              </w:rPr>
              <w:t xml:space="preserve">VOL. </w:t>
            </w:r>
            <w:r w:rsidR="0030152C" w:rsidRPr="00D16362">
              <w:rPr>
                <w:rFonts w:cs="Arial"/>
                <w:b/>
                <w:bCs/>
                <w:i/>
                <w:iCs/>
                <w:color w:val="000066"/>
                <w:sz w:val="22"/>
                <w:szCs w:val="22"/>
                <w:lang w:val="en-US" w:eastAsia="it-IT"/>
              </w:rPr>
              <w:t xml:space="preserve">   </w:t>
            </w:r>
            <w:r w:rsidR="007B48F9" w:rsidRPr="00D16362">
              <w:rPr>
                <w:rFonts w:cs="Arial"/>
                <w:b/>
                <w:bCs/>
                <w:i/>
                <w:iCs/>
                <w:color w:val="000066"/>
                <w:sz w:val="22"/>
                <w:szCs w:val="22"/>
                <w:lang w:val="en-US" w:eastAsia="it-IT"/>
              </w:rPr>
              <w:t>,</w:t>
            </w:r>
            <w:r w:rsidR="00FA5F5F" w:rsidRPr="00D16362">
              <w:rPr>
                <w:rFonts w:cs="Arial"/>
                <w:b/>
                <w:bCs/>
                <w:i/>
                <w:iCs/>
                <w:color w:val="000066"/>
                <w:sz w:val="22"/>
                <w:szCs w:val="22"/>
                <w:lang w:val="en-US" w:eastAsia="it-IT"/>
              </w:rPr>
              <w:t xml:space="preserve"> </w:t>
            </w:r>
            <w:r w:rsidR="0030152C" w:rsidRPr="00D16362">
              <w:rPr>
                <w:rFonts w:cs="Arial"/>
                <w:b/>
                <w:bCs/>
                <w:i/>
                <w:iCs/>
                <w:color w:val="000066"/>
                <w:sz w:val="22"/>
                <w:szCs w:val="22"/>
                <w:lang w:val="en-US" w:eastAsia="it-IT"/>
              </w:rPr>
              <w:t>2023</w:t>
            </w:r>
          </w:p>
        </w:tc>
        <w:tc>
          <w:tcPr>
            <w:tcW w:w="1842" w:type="dxa"/>
            <w:tcBorders>
              <w:left w:val="single" w:sz="4" w:space="0" w:color="auto"/>
              <w:bottom w:val="nil"/>
              <w:right w:val="single" w:sz="4" w:space="0" w:color="auto"/>
            </w:tcBorders>
          </w:tcPr>
          <w:p w14:paraId="56782132" w14:textId="77777777" w:rsidR="000A03B2" w:rsidRPr="00D16362" w:rsidRDefault="000A03B2" w:rsidP="00CD5FE2">
            <w:pPr>
              <w:spacing w:line="140" w:lineRule="atLeast"/>
              <w:jc w:val="right"/>
              <w:rPr>
                <w:rFonts w:cs="Arial"/>
                <w:sz w:val="14"/>
                <w:szCs w:val="14"/>
                <w:lang w:val="en-US"/>
              </w:rPr>
            </w:pPr>
            <w:r w:rsidRPr="00D16362">
              <w:rPr>
                <w:rFonts w:cs="Arial"/>
                <w:sz w:val="14"/>
                <w:szCs w:val="14"/>
                <w:lang w:val="en-US"/>
              </w:rPr>
              <w:t>A publication of</w:t>
            </w:r>
          </w:p>
          <w:p w14:paraId="599E5441" w14:textId="77777777" w:rsidR="000A03B2" w:rsidRPr="00D16362" w:rsidRDefault="000A03B2" w:rsidP="00CD5FE2">
            <w:pPr>
              <w:jc w:val="right"/>
              <w:rPr>
                <w:lang w:val="en-US"/>
              </w:rPr>
            </w:pPr>
            <w:r w:rsidRPr="00D16362">
              <w:rPr>
                <w:noProof/>
                <w:lang w:val="hu-HU" w:eastAsia="hu-H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16362" w14:paraId="380FA3CD" w14:textId="77777777" w:rsidTr="007A0AE3">
        <w:trPr>
          <w:trHeight w:val="567"/>
          <w:jc w:val="center"/>
        </w:trPr>
        <w:tc>
          <w:tcPr>
            <w:tcW w:w="6940" w:type="dxa"/>
            <w:vMerge/>
            <w:tcBorders>
              <w:right w:val="single" w:sz="4" w:space="0" w:color="auto"/>
            </w:tcBorders>
          </w:tcPr>
          <w:p w14:paraId="39E5E4C1" w14:textId="77777777" w:rsidR="000A03B2" w:rsidRPr="00D16362"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D16362" w:rsidRDefault="000A03B2" w:rsidP="00CD5FE2">
            <w:pPr>
              <w:spacing w:line="140" w:lineRule="atLeast"/>
              <w:jc w:val="right"/>
              <w:rPr>
                <w:rFonts w:cs="Arial"/>
                <w:sz w:val="14"/>
                <w:szCs w:val="14"/>
                <w:lang w:val="en-US"/>
              </w:rPr>
            </w:pPr>
            <w:r w:rsidRPr="00D16362">
              <w:rPr>
                <w:rFonts w:cs="Arial"/>
                <w:sz w:val="14"/>
                <w:szCs w:val="14"/>
                <w:lang w:val="en-US"/>
              </w:rPr>
              <w:t>The Italian Association</w:t>
            </w:r>
          </w:p>
          <w:p w14:paraId="7522B1D2" w14:textId="77777777" w:rsidR="000A03B2" w:rsidRPr="00D16362" w:rsidRDefault="000A03B2" w:rsidP="00CD5FE2">
            <w:pPr>
              <w:spacing w:line="140" w:lineRule="atLeast"/>
              <w:jc w:val="right"/>
              <w:rPr>
                <w:rFonts w:cs="Arial"/>
                <w:sz w:val="14"/>
                <w:szCs w:val="14"/>
                <w:lang w:val="en-US"/>
              </w:rPr>
            </w:pPr>
            <w:r w:rsidRPr="00D16362">
              <w:rPr>
                <w:rFonts w:cs="Arial"/>
                <w:sz w:val="14"/>
                <w:szCs w:val="14"/>
                <w:lang w:val="en-US"/>
              </w:rPr>
              <w:t>of Chemical Engineering</w:t>
            </w:r>
          </w:p>
          <w:p w14:paraId="4F0CC5DE" w14:textId="47FDB2FC" w:rsidR="000A03B2" w:rsidRPr="00D16362" w:rsidRDefault="000D0268" w:rsidP="00CD5FE2">
            <w:pPr>
              <w:spacing w:line="140" w:lineRule="atLeast"/>
              <w:jc w:val="right"/>
              <w:rPr>
                <w:rFonts w:cs="Arial"/>
                <w:sz w:val="13"/>
                <w:szCs w:val="13"/>
                <w:lang w:val="en-US"/>
              </w:rPr>
            </w:pPr>
            <w:r w:rsidRPr="00D16362">
              <w:rPr>
                <w:rFonts w:cs="Arial"/>
                <w:sz w:val="13"/>
                <w:szCs w:val="13"/>
                <w:lang w:val="en-US"/>
              </w:rPr>
              <w:t>Online at www.cetjournal.it</w:t>
            </w:r>
          </w:p>
        </w:tc>
      </w:tr>
      <w:tr w:rsidR="000A03B2" w:rsidRPr="00D16362" w14:paraId="2D1B7169" w14:textId="77777777" w:rsidTr="007A0AE3">
        <w:trPr>
          <w:trHeight w:val="68"/>
          <w:jc w:val="center"/>
        </w:trPr>
        <w:tc>
          <w:tcPr>
            <w:tcW w:w="8782" w:type="dxa"/>
            <w:gridSpan w:val="2"/>
          </w:tcPr>
          <w:p w14:paraId="1D8DD3C9" w14:textId="10669D10" w:rsidR="00AA7D26" w:rsidRPr="00D16362" w:rsidRDefault="00AA7D26" w:rsidP="00AA7D26">
            <w:pPr>
              <w:ind w:left="-107"/>
              <w:outlineLvl w:val="2"/>
              <w:rPr>
                <w:rFonts w:ascii="Tahoma" w:hAnsi="Tahoma" w:cs="Tahoma"/>
                <w:bCs/>
                <w:color w:val="000000"/>
                <w:sz w:val="14"/>
                <w:szCs w:val="14"/>
                <w:lang w:val="en-US" w:eastAsia="it-IT"/>
              </w:rPr>
            </w:pPr>
            <w:r w:rsidRPr="00D16362">
              <w:rPr>
                <w:rFonts w:ascii="Tahoma" w:hAnsi="Tahoma" w:cs="Tahoma"/>
                <w:iCs/>
                <w:color w:val="333333"/>
                <w:sz w:val="14"/>
                <w:szCs w:val="14"/>
                <w:lang w:val="en-US" w:eastAsia="it-IT"/>
              </w:rPr>
              <w:t>Guest Editors:</w:t>
            </w:r>
            <w:r w:rsidRPr="00D16362">
              <w:rPr>
                <w:rFonts w:ascii="Tahoma" w:hAnsi="Tahoma" w:cs="Tahoma"/>
                <w:color w:val="000000"/>
                <w:sz w:val="14"/>
                <w:szCs w:val="14"/>
                <w:shd w:val="clear" w:color="auto" w:fill="FFFFFF"/>
                <w:lang w:val="en-US"/>
              </w:rPr>
              <w:t xml:space="preserve"> </w:t>
            </w:r>
            <w:r w:rsidR="005E7C48" w:rsidRPr="00D16362">
              <w:rPr>
                <w:sz w:val="14"/>
                <w:szCs w:val="14"/>
                <w:lang w:val="en-US"/>
              </w:rPr>
              <w:t xml:space="preserve">David Bogle, Flavio </w:t>
            </w:r>
            <w:proofErr w:type="spellStart"/>
            <w:r w:rsidR="005E7C48" w:rsidRPr="00D16362">
              <w:rPr>
                <w:sz w:val="14"/>
                <w:szCs w:val="14"/>
                <w:lang w:val="en-US"/>
              </w:rPr>
              <w:t>Manenti</w:t>
            </w:r>
            <w:proofErr w:type="spellEnd"/>
            <w:r w:rsidR="005E7C48" w:rsidRPr="00D16362">
              <w:rPr>
                <w:sz w:val="14"/>
                <w:szCs w:val="14"/>
                <w:lang w:val="en-US"/>
              </w:rPr>
              <w:t xml:space="preserve">, </w:t>
            </w:r>
            <w:proofErr w:type="spellStart"/>
            <w:r w:rsidR="005E7C48" w:rsidRPr="00D16362">
              <w:rPr>
                <w:sz w:val="14"/>
                <w:szCs w:val="14"/>
                <w:lang w:val="en-US"/>
              </w:rPr>
              <w:t>Piero</w:t>
            </w:r>
            <w:proofErr w:type="spellEnd"/>
            <w:r w:rsidR="005E7C48" w:rsidRPr="00D16362">
              <w:rPr>
                <w:sz w:val="14"/>
                <w:szCs w:val="14"/>
                <w:lang w:val="en-US"/>
              </w:rPr>
              <w:t xml:space="preserve"> </w:t>
            </w:r>
            <w:proofErr w:type="spellStart"/>
            <w:r w:rsidR="005E7C48" w:rsidRPr="00D16362">
              <w:rPr>
                <w:sz w:val="14"/>
                <w:szCs w:val="14"/>
                <w:lang w:val="en-US"/>
              </w:rPr>
              <w:t>Salatino</w:t>
            </w:r>
            <w:proofErr w:type="spellEnd"/>
          </w:p>
          <w:p w14:paraId="1B0F1814" w14:textId="6981DC84" w:rsidR="000A03B2" w:rsidRPr="00D16362" w:rsidRDefault="00AA7D26" w:rsidP="00AA7D26">
            <w:pPr>
              <w:tabs>
                <w:tab w:val="left" w:pos="-108"/>
              </w:tabs>
              <w:spacing w:line="140" w:lineRule="atLeast"/>
              <w:ind w:left="-107"/>
              <w:jc w:val="left"/>
              <w:rPr>
                <w:lang w:val="en-US"/>
              </w:rPr>
            </w:pPr>
            <w:r w:rsidRPr="00D16362">
              <w:rPr>
                <w:rFonts w:ascii="Tahoma" w:hAnsi="Tahoma" w:cs="Tahoma"/>
                <w:iCs/>
                <w:color w:val="333333"/>
                <w:sz w:val="14"/>
                <w:szCs w:val="14"/>
                <w:lang w:val="en-US" w:eastAsia="it-IT"/>
              </w:rPr>
              <w:t xml:space="preserve">Copyright © 2023, AIDIC </w:t>
            </w:r>
            <w:proofErr w:type="spellStart"/>
            <w:r w:rsidRPr="00D16362">
              <w:rPr>
                <w:rFonts w:ascii="Tahoma" w:hAnsi="Tahoma" w:cs="Tahoma"/>
                <w:iCs/>
                <w:color w:val="333333"/>
                <w:sz w:val="14"/>
                <w:szCs w:val="14"/>
                <w:lang w:val="en-US" w:eastAsia="it-IT"/>
              </w:rPr>
              <w:t>Servizi</w:t>
            </w:r>
            <w:proofErr w:type="spellEnd"/>
            <w:r w:rsidRPr="00D16362">
              <w:rPr>
                <w:rFonts w:ascii="Tahoma" w:hAnsi="Tahoma" w:cs="Tahoma"/>
                <w:iCs/>
                <w:color w:val="333333"/>
                <w:sz w:val="14"/>
                <w:szCs w:val="14"/>
                <w:lang w:val="en-US" w:eastAsia="it-IT"/>
              </w:rPr>
              <w:t xml:space="preserve"> </w:t>
            </w:r>
            <w:proofErr w:type="spellStart"/>
            <w:r w:rsidRPr="00D16362">
              <w:rPr>
                <w:rFonts w:ascii="Tahoma" w:hAnsi="Tahoma" w:cs="Tahoma"/>
                <w:iCs/>
                <w:color w:val="333333"/>
                <w:sz w:val="14"/>
                <w:szCs w:val="14"/>
                <w:lang w:val="en-US" w:eastAsia="it-IT"/>
              </w:rPr>
              <w:t>S.r.l</w:t>
            </w:r>
            <w:proofErr w:type="spellEnd"/>
            <w:r w:rsidRPr="00D16362">
              <w:rPr>
                <w:rFonts w:ascii="Tahoma" w:hAnsi="Tahoma" w:cs="Tahoma"/>
                <w:iCs/>
                <w:color w:val="333333"/>
                <w:sz w:val="14"/>
                <w:szCs w:val="14"/>
                <w:lang w:val="en-US" w:eastAsia="it-IT"/>
              </w:rPr>
              <w:t>.</w:t>
            </w:r>
            <w:r w:rsidRPr="00D16362">
              <w:rPr>
                <w:rFonts w:ascii="Tahoma" w:hAnsi="Tahoma" w:cs="Tahoma"/>
                <w:iCs/>
                <w:color w:val="333333"/>
                <w:sz w:val="14"/>
                <w:szCs w:val="14"/>
                <w:lang w:val="en-US" w:eastAsia="it-IT"/>
              </w:rPr>
              <w:br/>
            </w:r>
            <w:r w:rsidRPr="00D16362">
              <w:rPr>
                <w:rFonts w:ascii="Tahoma" w:hAnsi="Tahoma" w:cs="Tahoma"/>
                <w:b/>
                <w:iCs/>
                <w:color w:val="000000"/>
                <w:sz w:val="14"/>
                <w:szCs w:val="14"/>
                <w:lang w:val="en-US" w:eastAsia="it-IT"/>
              </w:rPr>
              <w:t>ISBN</w:t>
            </w:r>
            <w:r w:rsidRPr="00D16362">
              <w:rPr>
                <w:rFonts w:ascii="Tahoma" w:hAnsi="Tahoma" w:cs="Tahoma"/>
                <w:iCs/>
                <w:color w:val="000000"/>
                <w:sz w:val="14"/>
                <w:szCs w:val="14"/>
                <w:lang w:val="en-US" w:eastAsia="it-IT"/>
              </w:rPr>
              <w:t xml:space="preserve"> </w:t>
            </w:r>
            <w:r w:rsidR="008B7C03" w:rsidRPr="00D16362">
              <w:rPr>
                <w:rFonts w:ascii="Tahoma" w:hAnsi="Tahoma" w:cs="Tahoma"/>
                <w:sz w:val="14"/>
                <w:szCs w:val="14"/>
                <w:lang w:val="en-US"/>
              </w:rPr>
              <w:t>979-12-81206</w:t>
            </w:r>
            <w:r w:rsidRPr="00D16362">
              <w:rPr>
                <w:rFonts w:ascii="Tahoma" w:hAnsi="Tahoma" w:cs="Tahoma"/>
                <w:sz w:val="14"/>
                <w:szCs w:val="14"/>
                <w:lang w:val="en-US"/>
              </w:rPr>
              <w:t>-</w:t>
            </w:r>
            <w:r w:rsidR="00E33DD7" w:rsidRPr="00D16362">
              <w:rPr>
                <w:rFonts w:ascii="Tahoma" w:hAnsi="Tahoma" w:cs="Tahoma"/>
                <w:sz w:val="14"/>
                <w:szCs w:val="14"/>
                <w:lang w:val="en-US"/>
              </w:rPr>
              <w:t>0</w:t>
            </w:r>
            <w:r w:rsidR="005E7C48" w:rsidRPr="00D16362">
              <w:rPr>
                <w:rFonts w:ascii="Tahoma" w:hAnsi="Tahoma" w:cs="Tahoma"/>
                <w:sz w:val="14"/>
                <w:szCs w:val="14"/>
                <w:lang w:val="en-US"/>
              </w:rPr>
              <w:t>4</w:t>
            </w:r>
            <w:r w:rsidRPr="00D16362">
              <w:rPr>
                <w:rFonts w:ascii="Tahoma" w:hAnsi="Tahoma" w:cs="Tahoma"/>
                <w:sz w:val="14"/>
                <w:szCs w:val="14"/>
                <w:lang w:val="en-US"/>
              </w:rPr>
              <w:t>-</w:t>
            </w:r>
            <w:r w:rsidR="005E7C48" w:rsidRPr="00D16362">
              <w:rPr>
                <w:rFonts w:ascii="Tahoma" w:hAnsi="Tahoma" w:cs="Tahoma"/>
                <w:sz w:val="14"/>
                <w:szCs w:val="14"/>
                <w:lang w:val="en-US"/>
              </w:rPr>
              <w:t>5</w:t>
            </w:r>
            <w:r w:rsidRPr="00D16362">
              <w:rPr>
                <w:rFonts w:ascii="Tahoma" w:hAnsi="Tahoma" w:cs="Tahoma"/>
                <w:iCs/>
                <w:color w:val="333333"/>
                <w:sz w:val="14"/>
                <w:szCs w:val="14"/>
                <w:lang w:val="en-US" w:eastAsia="it-IT"/>
              </w:rPr>
              <w:t xml:space="preserve">; </w:t>
            </w:r>
            <w:r w:rsidRPr="00D16362">
              <w:rPr>
                <w:rFonts w:ascii="Tahoma" w:hAnsi="Tahoma" w:cs="Tahoma"/>
                <w:b/>
                <w:iCs/>
                <w:color w:val="333333"/>
                <w:sz w:val="14"/>
                <w:szCs w:val="14"/>
                <w:lang w:val="en-US" w:eastAsia="it-IT"/>
              </w:rPr>
              <w:t>ISSN</w:t>
            </w:r>
            <w:r w:rsidRPr="00D16362">
              <w:rPr>
                <w:rFonts w:ascii="Tahoma" w:hAnsi="Tahoma" w:cs="Tahoma"/>
                <w:iCs/>
                <w:color w:val="333333"/>
                <w:sz w:val="14"/>
                <w:szCs w:val="14"/>
                <w:lang w:val="en-US" w:eastAsia="it-IT"/>
              </w:rPr>
              <w:t xml:space="preserve"> 2283-9216</w:t>
            </w:r>
          </w:p>
        </w:tc>
      </w:tr>
    </w:tbl>
    <w:p w14:paraId="2E667253" w14:textId="2889C7A6" w:rsidR="00E978D0" w:rsidRPr="00D16362" w:rsidRDefault="007A0AE3" w:rsidP="00E978D0">
      <w:pPr>
        <w:pStyle w:val="CETTitle"/>
        <w:rPr>
          <w:lang w:val="en-US"/>
        </w:rPr>
      </w:pPr>
      <w:r w:rsidRPr="00D16362">
        <w:rPr>
          <w:lang w:val="en-US"/>
        </w:rPr>
        <w:t xml:space="preserve">Improving the Sustainability of Acetone Recovery </w:t>
      </w:r>
    </w:p>
    <w:p w14:paraId="0488FED2" w14:textId="6C3F8244" w:rsidR="00B57E6F" w:rsidRPr="00D16362" w:rsidRDefault="0023645A" w:rsidP="00B57E6F">
      <w:pPr>
        <w:pStyle w:val="CETAuthors"/>
        <w:rPr>
          <w:lang w:val="en-US"/>
        </w:rPr>
      </w:pPr>
      <w:r w:rsidRPr="00D16362">
        <w:rPr>
          <w:lang w:val="en-US"/>
        </w:rPr>
        <w:t xml:space="preserve">Laszlo Hegely*, </w:t>
      </w:r>
      <w:r w:rsidR="007A0AE3" w:rsidRPr="00D16362">
        <w:rPr>
          <w:lang w:val="en-US"/>
        </w:rPr>
        <w:t>Ömer Faruk Karaman, Peter Lang</w:t>
      </w:r>
    </w:p>
    <w:p w14:paraId="3D72B0B0" w14:textId="3F00C26D" w:rsidR="00B57E6F" w:rsidRPr="00D16362" w:rsidRDefault="007A0AE3" w:rsidP="00B57E6F">
      <w:pPr>
        <w:pStyle w:val="CETAddress"/>
        <w:rPr>
          <w:lang w:val="en-US"/>
        </w:rPr>
      </w:pPr>
      <w:r w:rsidRPr="00D16362">
        <w:rPr>
          <w:lang w:val="en-US"/>
        </w:rPr>
        <w:t>Department of Building Services and Process Engineering, Faculty of Mechanical Engineering, Budapest University of Technology and Economics, Műegyetem rkp. 3., H-1111 Budapest, Hungary</w:t>
      </w:r>
      <w:r w:rsidRPr="00D16362" w:rsidDel="007A0AE3">
        <w:rPr>
          <w:vertAlign w:val="superscript"/>
          <w:lang w:val="en-US"/>
        </w:rPr>
        <w:t xml:space="preserve"> </w:t>
      </w:r>
    </w:p>
    <w:p w14:paraId="5CC0FB31" w14:textId="3541D977" w:rsidR="0023645A" w:rsidRPr="00D16362" w:rsidRDefault="002625D4" w:rsidP="00B57E6F">
      <w:pPr>
        <w:pStyle w:val="CETemail"/>
        <w:rPr>
          <w:lang w:val="en-US"/>
        </w:rPr>
      </w:pPr>
      <w:r w:rsidRPr="00024F2F">
        <w:rPr>
          <w:lang w:val="en-US"/>
        </w:rPr>
        <w:t>hegely.laszlo@gpk.bme.hu</w:t>
      </w:r>
    </w:p>
    <w:p w14:paraId="73F1267A" w14:textId="7D6D0C93" w:rsidR="00B57E6F" w:rsidRPr="00D16362" w:rsidRDefault="00CD3399" w:rsidP="00024F2F">
      <w:pPr>
        <w:pStyle w:val="CETBodytext"/>
      </w:pPr>
      <w:r>
        <w:t xml:space="preserve">The recovery of solvents from waste solvent mixtures is important both from an economic and environmental point of view. In this work, the recovery of acetone from an aqueous mixture containing small amounts of organic pollutants by batch distillation is studied. </w:t>
      </w:r>
      <w:r w:rsidR="00BB3AE7">
        <w:t xml:space="preserve">The organic pollutants are removed in a </w:t>
      </w:r>
      <w:proofErr w:type="spellStart"/>
      <w:r w:rsidR="00BB3AE7">
        <w:t>fore</w:t>
      </w:r>
      <w:proofErr w:type="spellEnd"/>
      <w:r w:rsidR="00BB3AE7">
        <w:t>-cut, which is incinerated, but with a considerable loss of acetone. Acetone is obtained in the main cut, while the acetone content of the still residue is reduced by taking an after-cut. The still residue is treated biologically as wastewater. The effects of the operational parameters (reflux rat</w:t>
      </w:r>
      <w:r>
        <w:t>i</w:t>
      </w:r>
      <w:r w:rsidR="00BB3AE7">
        <w:t>os o</w:t>
      </w:r>
      <w:r>
        <w:t>f</w:t>
      </w:r>
      <w:r w:rsidR="00BB3AE7">
        <w:t xml:space="preserve"> the steps, stopping criterion o</w:t>
      </w:r>
      <w:r>
        <w:t>f</w:t>
      </w:r>
      <w:r w:rsidR="00BB3AE7">
        <w:t xml:space="preserve"> taking the fo</w:t>
      </w:r>
      <w:r>
        <w:t>re</w:t>
      </w:r>
      <w:r w:rsidR="00BB3AE7">
        <w:t>-cut) on different sustainability indica</w:t>
      </w:r>
      <w:r>
        <w:t>t</w:t>
      </w:r>
      <w:r w:rsidR="00BB3AE7">
        <w:t>or</w:t>
      </w:r>
      <w:r>
        <w:t>s</w:t>
      </w:r>
      <w:r w:rsidR="00BB3AE7">
        <w:t xml:space="preserve"> are st</w:t>
      </w:r>
      <w:r>
        <w:t>u</w:t>
      </w:r>
      <w:r w:rsidR="00BB3AE7">
        <w:t>died. The</w:t>
      </w:r>
      <w:r>
        <w:t>s</w:t>
      </w:r>
      <w:r w:rsidR="00BB3AE7">
        <w:t>e</w:t>
      </w:r>
      <w:r>
        <w:t xml:space="preserve"> indicators </w:t>
      </w:r>
      <w:r w:rsidR="00BB3AE7">
        <w:t xml:space="preserve">include the profit of </w:t>
      </w:r>
      <w:r>
        <w:t>a</w:t>
      </w:r>
      <w:r w:rsidR="00BB3AE7">
        <w:t xml:space="preserve"> batch, the specific ene</w:t>
      </w:r>
      <w:r>
        <w:t>r</w:t>
      </w:r>
      <w:r w:rsidR="00BB3AE7">
        <w:t>gy d</w:t>
      </w:r>
      <w:r>
        <w:t>e</w:t>
      </w:r>
      <w:r w:rsidR="00BB3AE7">
        <w:t>mand, the CO</w:t>
      </w:r>
      <w:r w:rsidR="00BB3AE7" w:rsidRPr="002F531E">
        <w:rPr>
          <w:vertAlign w:val="subscript"/>
        </w:rPr>
        <w:t>2</w:t>
      </w:r>
      <w:r w:rsidR="00BB3AE7">
        <w:t xml:space="preserve"> emission resulting from incineration and the generation of heating steam, wastewater generation and potential environmental impacts determined by the WAR algorithm.</w:t>
      </w:r>
      <w:r>
        <w:t xml:space="preserve"> </w:t>
      </w:r>
      <w:r w:rsidR="002F531E">
        <w:t xml:space="preserve">Based on the effects of the parameters, a new operational policy is proposed that has </w:t>
      </w:r>
      <w:r w:rsidR="0023645A" w:rsidRPr="00D16362">
        <w:t>b</w:t>
      </w:r>
      <w:r w:rsidR="002F531E">
        <w:t>oth a higher profit (by 39%) and lower environmental impacts</w:t>
      </w:r>
      <w:r w:rsidR="004D03FA">
        <w:t xml:space="preserve"> (</w:t>
      </w:r>
      <w:r w:rsidR="002F531E">
        <w:t>73% lower specific CO</w:t>
      </w:r>
      <w:r w:rsidR="002F531E" w:rsidRPr="002F531E">
        <w:rPr>
          <w:vertAlign w:val="subscript"/>
        </w:rPr>
        <w:t>2</w:t>
      </w:r>
      <w:r w:rsidR="002F531E">
        <w:t xml:space="preserve"> emi</w:t>
      </w:r>
      <w:r w:rsidR="0023645A" w:rsidRPr="00D16362">
        <w:t>s</w:t>
      </w:r>
      <w:r w:rsidR="00B750D9">
        <w:t>s</w:t>
      </w:r>
      <w:r w:rsidR="002F531E">
        <w:t>ion</w:t>
      </w:r>
      <w:r w:rsidR="004D03FA">
        <w:t>)</w:t>
      </w:r>
      <w:r w:rsidR="002F531E">
        <w:t xml:space="preserve"> compared </w:t>
      </w:r>
      <w:r w:rsidR="0023645A" w:rsidRPr="00D16362">
        <w:t>t</w:t>
      </w:r>
      <w:r w:rsidR="002F531E">
        <w:t>o the base case.</w:t>
      </w:r>
    </w:p>
    <w:p w14:paraId="476B2F2E" w14:textId="77777777" w:rsidR="00600535" w:rsidRPr="00D16362" w:rsidRDefault="00600535" w:rsidP="00600535">
      <w:pPr>
        <w:pStyle w:val="CETHeading1"/>
      </w:pPr>
      <w:r w:rsidRPr="00D16362">
        <w:t>Introduction</w:t>
      </w:r>
    </w:p>
    <w:p w14:paraId="57389D5C" w14:textId="55598456" w:rsidR="00515968" w:rsidRPr="00D16362" w:rsidRDefault="00515968" w:rsidP="00515968">
      <w:pPr>
        <w:pStyle w:val="CETBodytext"/>
      </w:pPr>
      <w:r w:rsidRPr="00D16362">
        <w:rPr>
          <w:noProof/>
        </w:rPr>
        <w:t xml:space="preserve">Sustainability has become an increasingly important concept in recent years, driven by concerns over the depletion of natural resources and the impact of industrial processes on the environment. The chemical industry, in particular, has come under scrutiny for its significant energy consumption and resource usage, which has led to a growing interest in sustainability concepts in this sector. In response, the development of sustainable processes has become a priority for the chemical industry, with a focus on </w:t>
      </w:r>
      <w:r w:rsidR="0023645A" w:rsidRPr="00D16362">
        <w:rPr>
          <w:noProof/>
        </w:rPr>
        <w:t xml:space="preserve">minimising </w:t>
      </w:r>
      <w:r w:rsidRPr="00D16362">
        <w:rPr>
          <w:noProof/>
        </w:rPr>
        <w:t>energy demand and reducing the potential environmental impact of operations</w:t>
      </w:r>
      <w:r w:rsidR="00F45DC0" w:rsidRPr="00D16362">
        <w:t xml:space="preserve"> (</w:t>
      </w:r>
      <w:proofErr w:type="spellStart"/>
      <w:r w:rsidR="00F45DC0" w:rsidRPr="00D16362">
        <w:t>Klemeš</w:t>
      </w:r>
      <w:proofErr w:type="spellEnd"/>
      <w:r w:rsidR="00F45DC0" w:rsidRPr="00D16362">
        <w:t xml:space="preserve"> et al., 2011).</w:t>
      </w:r>
    </w:p>
    <w:p w14:paraId="3F446B48" w14:textId="474FE8FE" w:rsidR="00EB2DC7" w:rsidRDefault="00515968">
      <w:pPr>
        <w:pStyle w:val="CETBodytext"/>
        <w:rPr>
          <w:noProof/>
        </w:rPr>
      </w:pPr>
      <w:r w:rsidRPr="00D16362">
        <w:rPr>
          <w:noProof/>
        </w:rPr>
        <w:t>The use of specific</w:t>
      </w:r>
      <w:r w:rsidR="0023645A" w:rsidRPr="00D16362">
        <w:rPr>
          <w:noProof/>
        </w:rPr>
        <w:t>,</w:t>
      </w:r>
      <w:r w:rsidRPr="00D16362">
        <w:rPr>
          <w:noProof/>
        </w:rPr>
        <w:t xml:space="preserve"> quantifiable sustainability metrics has become a key approach to evaluating and improving sustainability in the chemical industry. These metrics provide a framework for measuring and </w:t>
      </w:r>
      <w:r w:rsidR="0023645A" w:rsidRPr="00D16362">
        <w:rPr>
          <w:noProof/>
        </w:rPr>
        <w:t xml:space="preserve">optimising </w:t>
      </w:r>
      <w:r w:rsidRPr="00D16362">
        <w:rPr>
          <w:noProof/>
        </w:rPr>
        <w:t>sustainability outcomes, enabling companies to make informed decisions about their operations and develop more sustainable processes. The Center for Was</w:t>
      </w:r>
      <w:r w:rsidR="00E33205">
        <w:rPr>
          <w:noProof/>
        </w:rPr>
        <w:t>te Reduction Technologies</w:t>
      </w:r>
      <w:r w:rsidRPr="00D16362">
        <w:rPr>
          <w:noProof/>
        </w:rPr>
        <w:t xml:space="preserve"> of the American Institu</w:t>
      </w:r>
      <w:r w:rsidR="00E33205">
        <w:rPr>
          <w:noProof/>
        </w:rPr>
        <w:t>te of Chemical Engineers</w:t>
      </w:r>
      <w:r w:rsidRPr="00D16362">
        <w:rPr>
          <w:noProof/>
        </w:rPr>
        <w:t xml:space="preserve"> and the Institution of Chemical Engineers proposed specific sustainability metrics </w:t>
      </w:r>
      <w:r w:rsidR="00E33205">
        <w:rPr>
          <w:noProof/>
        </w:rPr>
        <w:t xml:space="preserve">(Figure 1) </w:t>
      </w:r>
      <w:r w:rsidRPr="00D16362">
        <w:rPr>
          <w:noProof/>
        </w:rPr>
        <w:t>that can be applied to evaluate the sustainability of chemical production processes</w:t>
      </w:r>
      <w:r w:rsidR="00F45DC0" w:rsidRPr="00D16362">
        <w:rPr>
          <w:noProof/>
        </w:rPr>
        <w:t xml:space="preserve"> (Demirel, 2013)</w:t>
      </w:r>
      <w:r w:rsidR="00E33205">
        <w:rPr>
          <w:noProof/>
        </w:rPr>
        <w:t>.</w:t>
      </w:r>
    </w:p>
    <w:p w14:paraId="78E23F68" w14:textId="4206753D" w:rsidR="00E33205" w:rsidRPr="00D16362" w:rsidRDefault="00E33205" w:rsidP="00E33205">
      <w:pPr>
        <w:pStyle w:val="CETBodytext"/>
      </w:pPr>
      <w:r w:rsidRPr="00D16362">
        <w:t>Distillation is a method for separating liquid mixtures into their components based on differences in their volatilities. It is the</w:t>
      </w:r>
      <w:r w:rsidR="004D03FA">
        <w:t xml:space="preserve"> one of the</w:t>
      </w:r>
      <w:r w:rsidRPr="00D16362">
        <w:t xml:space="preserve"> most frequent</w:t>
      </w:r>
      <w:r w:rsidR="00EB2DC7">
        <w:t>ly encountered</w:t>
      </w:r>
      <w:r w:rsidRPr="00D16362">
        <w:t xml:space="preserve"> separation method</w:t>
      </w:r>
      <w:r w:rsidR="00EB2DC7">
        <w:t>s</w:t>
      </w:r>
      <w:r w:rsidRPr="00D16362">
        <w:t xml:space="preserve"> in the chemical industry. However, it is a very energy-intensive process According to Kiss (2019), approximately 40% of the energy consumed by the chemical industry is attributed to distillation processes. Furthermore, the specific energy demand of the batch distillation </w:t>
      </w:r>
      <w:r w:rsidR="005E5930">
        <w:t xml:space="preserve">(BD) </w:t>
      </w:r>
      <w:r w:rsidRPr="00D16362">
        <w:t xml:space="preserve">processes is higher than that of continuous distillation. Therefore, reducing the energy demand of </w:t>
      </w:r>
      <w:r w:rsidR="005E5930">
        <w:t>BD</w:t>
      </w:r>
      <w:r w:rsidRPr="00D16362">
        <w:t xml:space="preserve"> plays a crucial role in the sustainability of batch chemical processes.</w:t>
      </w:r>
    </w:p>
    <w:p w14:paraId="444DD49C" w14:textId="5A20576A" w:rsidR="00E33205" w:rsidRDefault="00E33205">
      <w:pPr>
        <w:pStyle w:val="CETBodytext"/>
      </w:pPr>
      <w:r w:rsidRPr="00D16362">
        <w:t xml:space="preserve">The regeneration of waste solvent mixtures is usually performed by </w:t>
      </w:r>
      <w:r w:rsidR="005E5930">
        <w:t>BD</w:t>
      </w:r>
      <w:r w:rsidRPr="00D16362">
        <w:t xml:space="preserve">. If a mixture is not treated, it must usually be incinerated, and fresh solvent has to </w:t>
      </w:r>
      <w:proofErr w:type="gramStart"/>
      <w:r w:rsidRPr="00D16362">
        <w:t>purchased</w:t>
      </w:r>
      <w:proofErr w:type="gramEnd"/>
      <w:r w:rsidRPr="00D16362">
        <w:t>. Th</w:t>
      </w:r>
      <w:r w:rsidR="005E5930">
        <w:t>us</w:t>
      </w:r>
      <w:r w:rsidRPr="00D16362">
        <w:t xml:space="preserve">, the recovery of solvents can be highly advantageous from both economic and environmental perspectives. It helps to reduce operational costs and material intensity while also </w:t>
      </w:r>
      <w:r w:rsidR="00BD69FC" w:rsidRPr="00D16362">
        <w:t>minimizing</w:t>
      </w:r>
      <w:r w:rsidRPr="00D16362">
        <w:t xml:space="preserve"> waste and reducing the environmental impact of the process. </w:t>
      </w:r>
      <w:r w:rsidRPr="00D16362">
        <w:rPr>
          <w:iCs/>
        </w:rPr>
        <w:t>Hence,</w:t>
      </w:r>
      <w:r w:rsidRPr="00D16362">
        <w:rPr>
          <w:i/>
        </w:rPr>
        <w:t xml:space="preserve"> </w:t>
      </w:r>
      <w:r w:rsidRPr="00D16362">
        <w:t xml:space="preserve">waste solvent treatment by </w:t>
      </w:r>
      <w:r w:rsidR="005E5930">
        <w:t>BD</w:t>
      </w:r>
      <w:r w:rsidRPr="00D16362">
        <w:t xml:space="preserve"> has the potential to improve the sustainability of chemical processes.</w:t>
      </w:r>
    </w:p>
    <w:p w14:paraId="456DBEDE" w14:textId="7841830E" w:rsidR="005E5930" w:rsidRPr="00D16362" w:rsidRDefault="005E5930" w:rsidP="005E5930">
      <w:pPr>
        <w:pStyle w:val="CETBodytext"/>
      </w:pPr>
      <w:r w:rsidRPr="00D16362">
        <w:t xml:space="preserve">In this paper, the sustainability of acetone recovery from a waste solvent mixture by using </w:t>
      </w:r>
      <w:r>
        <w:t>BD</w:t>
      </w:r>
      <w:r w:rsidR="001A365C">
        <w:t xml:space="preserve"> is studied</w:t>
      </w:r>
      <w:r w:rsidRPr="00D16362">
        <w:t xml:space="preserve">. Through </w:t>
      </w:r>
      <w:r w:rsidR="00EB2DC7">
        <w:t xml:space="preserve">a </w:t>
      </w:r>
      <w:r w:rsidRPr="00D16362">
        <w:t xml:space="preserve">rigorous simulation, the effects of different operational parameters (reflux ratio of the steps, stopping criterion </w:t>
      </w:r>
      <w:r w:rsidRPr="00D16362">
        <w:lastRenderedPageBreak/>
        <w:t xml:space="preserve">of the fore-cut) </w:t>
      </w:r>
      <w:r w:rsidR="001A365C">
        <w:t>are</w:t>
      </w:r>
      <w:r w:rsidR="001A365C" w:rsidRPr="00D16362">
        <w:t xml:space="preserve"> explore</w:t>
      </w:r>
      <w:r w:rsidR="001A365C">
        <w:t>d</w:t>
      </w:r>
      <w:r w:rsidR="001A365C" w:rsidRPr="00D16362">
        <w:t xml:space="preserve"> </w:t>
      </w:r>
      <w:r w:rsidRPr="00D16362">
        <w:t>on several sustainability metrics, including specific energy demand, CO</w:t>
      </w:r>
      <w:r w:rsidRPr="00D16362">
        <w:rPr>
          <w:vertAlign w:val="subscript"/>
        </w:rPr>
        <w:t>2</w:t>
      </w:r>
      <w:r w:rsidRPr="00D16362">
        <w:t xml:space="preserve"> emission, wastewater generation, and other environmental impacts assessed by the WAR algorithm (</w:t>
      </w:r>
      <w:proofErr w:type="spellStart"/>
      <w:r w:rsidRPr="00D16362">
        <w:t>Mallick</w:t>
      </w:r>
      <w:proofErr w:type="spellEnd"/>
      <w:r w:rsidRPr="00D16362">
        <w:t xml:space="preserve"> et al., 1996). </w:t>
      </w:r>
      <w:r>
        <w:t xml:space="preserve">Moreover, </w:t>
      </w:r>
      <w:r w:rsidRPr="00D16362">
        <w:t xml:space="preserve">the profit of one </w:t>
      </w:r>
      <w:r>
        <w:t>batch of the regeneration</w:t>
      </w:r>
      <w:r w:rsidRPr="00D16362">
        <w:t xml:space="preserve"> process </w:t>
      </w:r>
      <w:r>
        <w:t>is</w:t>
      </w:r>
      <w:r w:rsidR="001A365C">
        <w:t xml:space="preserve"> also evaluated.</w:t>
      </w:r>
    </w:p>
    <w:p w14:paraId="06CE9A11" w14:textId="1ED9C676" w:rsidR="00360DA4" w:rsidRPr="00D16362" w:rsidRDefault="00167F84" w:rsidP="00695D88">
      <w:pPr>
        <w:pStyle w:val="CETBodytext"/>
        <w:jc w:val="left"/>
      </w:pPr>
      <w:r w:rsidRPr="00D16362" w:rsidDel="00EB2DC7">
        <w:rPr>
          <w:noProof/>
          <w:lang w:val="hu-HU" w:eastAsia="hu-HU"/>
        </w:rPr>
        <w:drawing>
          <wp:inline distT="0" distB="0" distL="0" distR="0" wp14:anchorId="7A52EFE3" wp14:editId="239F689F">
            <wp:extent cx="5579745" cy="2153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5579745" cy="2153920"/>
                    </a:xfrm>
                    <a:prstGeom prst="rect">
                      <a:avLst/>
                    </a:prstGeom>
                  </pic:spPr>
                </pic:pic>
              </a:graphicData>
            </a:graphic>
          </wp:inline>
        </w:drawing>
      </w:r>
    </w:p>
    <w:p w14:paraId="17BC65DE" w14:textId="18C7DD26" w:rsidR="00C117AD" w:rsidRPr="00D16362" w:rsidRDefault="008F63B8" w:rsidP="009740FE">
      <w:pPr>
        <w:pStyle w:val="CETCaption"/>
        <w:rPr>
          <w:lang w:val="en-US"/>
        </w:rPr>
      </w:pPr>
      <w:r w:rsidRPr="00D16362">
        <w:t xml:space="preserve">Figure </w:t>
      </w:r>
      <w:r w:rsidRPr="00D16362">
        <w:fldChar w:fldCharType="begin"/>
      </w:r>
      <w:r w:rsidRPr="00D16362">
        <w:instrText xml:space="preserve"> SEQ Figure \* ARABIC </w:instrText>
      </w:r>
      <w:r w:rsidRPr="00D16362">
        <w:fldChar w:fldCharType="separate"/>
      </w:r>
      <w:r w:rsidRPr="00D16362">
        <w:rPr>
          <w:noProof/>
        </w:rPr>
        <w:t>1</w:t>
      </w:r>
      <w:r w:rsidRPr="00D16362">
        <w:fldChar w:fldCharType="end"/>
      </w:r>
      <w:r w:rsidRPr="00D16362">
        <w:t>: Sustainability concept and sustainability indicators.</w:t>
      </w:r>
    </w:p>
    <w:p w14:paraId="58ABFEA9" w14:textId="5B8851B2" w:rsidR="0026232A" w:rsidRDefault="0026232A" w:rsidP="0026232A">
      <w:pPr>
        <w:pStyle w:val="CETHeading1"/>
      </w:pPr>
      <w:r>
        <w:t>Methodology</w:t>
      </w:r>
    </w:p>
    <w:p w14:paraId="5D0FA23A" w14:textId="6FB3E1E2" w:rsidR="0023645A" w:rsidRPr="00D16362" w:rsidRDefault="00612B63" w:rsidP="00E33205">
      <w:pPr>
        <w:pStyle w:val="CETBodytext"/>
        <w:tabs>
          <w:tab w:val="clear" w:pos="7100"/>
        </w:tabs>
      </w:pPr>
      <w:r>
        <w:t>After t</w:t>
      </w:r>
      <w:r w:rsidR="002E7DE0" w:rsidRPr="00D16362">
        <w:t>he equilibrium conditions</w:t>
      </w:r>
      <w:r>
        <w:t>,</w:t>
      </w:r>
      <w:r w:rsidR="002E7DE0" w:rsidRPr="00D16362">
        <w:t xml:space="preserve"> the separation process</w:t>
      </w:r>
      <w:r w:rsidR="00E8590E">
        <w:t xml:space="preserve"> and finally the calculation method</w:t>
      </w:r>
      <w:r w:rsidR="002E7DE0" w:rsidRPr="00D16362">
        <w:t xml:space="preserve"> is presented.</w:t>
      </w:r>
    </w:p>
    <w:p w14:paraId="5DCD421E" w14:textId="6FCC3CAB" w:rsidR="00360DA4" w:rsidRPr="00D16362" w:rsidRDefault="00BD69FC" w:rsidP="001F0D9D">
      <w:pPr>
        <w:pStyle w:val="CETheadingx"/>
        <w:numPr>
          <w:ilvl w:val="1"/>
          <w:numId w:val="23"/>
        </w:numPr>
      </w:pPr>
      <w:r w:rsidRPr="00D16362">
        <w:t>Vapor</w:t>
      </w:r>
      <w:r w:rsidR="00360DA4" w:rsidRPr="00D16362">
        <w:t xml:space="preserve">-liquid-liquid equilibrium </w:t>
      </w:r>
      <w:r>
        <w:t xml:space="preserve">(VLLE) </w:t>
      </w:r>
      <w:r w:rsidR="00360DA4" w:rsidRPr="00D16362">
        <w:t>conditions</w:t>
      </w:r>
    </w:p>
    <w:p w14:paraId="04EF88C9" w14:textId="36382DF2" w:rsidR="00D5531D" w:rsidRPr="00D16362" w:rsidRDefault="00A64F6C" w:rsidP="00453E24">
      <w:pPr>
        <w:pStyle w:val="CETBodytext"/>
      </w:pPr>
      <w:r w:rsidRPr="00D16362">
        <w:t xml:space="preserve">In this work, acetone (C) </w:t>
      </w:r>
      <w:r w:rsidR="00E8590E">
        <w:t>was</w:t>
      </w:r>
      <w:r w:rsidR="00E8590E" w:rsidRPr="00D16362">
        <w:t xml:space="preserve"> </w:t>
      </w:r>
      <w:r w:rsidRPr="00D16362">
        <w:t xml:space="preserve">recovered from an aqueous waste solvent mixture by </w:t>
      </w:r>
      <w:r w:rsidR="005E5930">
        <w:t>BD</w:t>
      </w:r>
      <w:r w:rsidRPr="00D16362">
        <w:t xml:space="preserve">. </w:t>
      </w:r>
      <w:r w:rsidR="00D5531D" w:rsidRPr="00D16362">
        <w:t>T</w:t>
      </w:r>
      <w:r w:rsidRPr="00D16362">
        <w:t xml:space="preserve">he mixture contains small amounts of dichloromethane (DCM, A) and methyl </w:t>
      </w:r>
      <w:proofErr w:type="spellStart"/>
      <w:r w:rsidRPr="00D16362">
        <w:t>tert</w:t>
      </w:r>
      <w:proofErr w:type="spellEnd"/>
      <w:r w:rsidRPr="00D16362">
        <w:t xml:space="preserve">-butyl ether (MTBE, B) as pollutants. The composition of the </w:t>
      </w:r>
      <w:r w:rsidR="00D5531D" w:rsidRPr="00D16362">
        <w:t xml:space="preserve">feed: </w:t>
      </w:r>
      <w:r w:rsidRPr="00D16362">
        <w:t xml:space="preserve">1 mass% A, 1% B, 49% C and 49% </w:t>
      </w:r>
      <w:r w:rsidR="00D5531D" w:rsidRPr="00D16362">
        <w:t>water (</w:t>
      </w:r>
      <w:r w:rsidRPr="00D16362">
        <w:t>D</w:t>
      </w:r>
      <w:r w:rsidR="00D5531D" w:rsidRPr="00D16362">
        <w:t>).</w:t>
      </w:r>
      <w:r w:rsidR="00F04D20" w:rsidRPr="00D16362">
        <w:t xml:space="preserve"> The purity requirements for the acetone product are: </w:t>
      </w:r>
      <w:r w:rsidR="00F04D20" w:rsidRPr="00D16362">
        <w:rPr>
          <w:rFonts w:cs="Arial"/>
        </w:rPr>
        <w:t>≤</w:t>
      </w:r>
      <w:r w:rsidR="00F04D20" w:rsidRPr="00D16362">
        <w:t xml:space="preserve">0.1 mass% A, </w:t>
      </w:r>
      <w:r w:rsidR="00F04D20" w:rsidRPr="00D16362">
        <w:rPr>
          <w:rFonts w:cs="Arial"/>
        </w:rPr>
        <w:t>≤</w:t>
      </w:r>
      <w:r w:rsidR="00F04D20" w:rsidRPr="00D16362">
        <w:t xml:space="preserve">0.1% B and </w:t>
      </w:r>
      <w:r w:rsidR="00F04D20" w:rsidRPr="00D16362">
        <w:rPr>
          <w:rFonts w:cs="Arial"/>
        </w:rPr>
        <w:t>≤</w:t>
      </w:r>
      <w:r w:rsidR="00F04D20" w:rsidRPr="00D16362">
        <w:t xml:space="preserve"> 0.25% D.</w:t>
      </w:r>
    </w:p>
    <w:p w14:paraId="7086F0DA" w14:textId="176A3AE3" w:rsidR="00A64F6C" w:rsidRDefault="0044552E" w:rsidP="00D5531D">
      <w:pPr>
        <w:pStyle w:val="CETBodytext"/>
      </w:pPr>
      <w:r w:rsidRPr="00D16362">
        <w:t xml:space="preserve">Table 1 shows the measured boiling points of the pure components and azeotropes, as well as the azeotropic compositions in the order of increasing boiling point. </w:t>
      </w:r>
      <w:r w:rsidR="00A64F6C" w:rsidRPr="00D16362">
        <w:t>The components form three minimum-boiling (A-D</w:t>
      </w:r>
      <w:r w:rsidR="00532BD0" w:rsidRPr="00D16362">
        <w:t xml:space="preserve"> (heteroazeotrope)</w:t>
      </w:r>
      <w:r w:rsidR="00A64F6C" w:rsidRPr="00D16362">
        <w:t>, B-C, B-D</w:t>
      </w:r>
      <w:r w:rsidRPr="00D16362">
        <w:t>)</w:t>
      </w:r>
      <w:r w:rsidR="00A64F6C" w:rsidRPr="00D16362">
        <w:t xml:space="preserve"> and one maximum-boiling (A-B) binary azeotrope</w:t>
      </w:r>
      <w:r w:rsidR="00532BD0" w:rsidRPr="00D16362">
        <w:t>s</w:t>
      </w:r>
      <w:r w:rsidR="00A64F6C" w:rsidRPr="00D16362">
        <w:t>, as well as a ternary saddle azeotrope (A-B-C)</w:t>
      </w:r>
      <w:r w:rsidR="00D5531D" w:rsidRPr="00D16362">
        <w:t xml:space="preserve">. </w:t>
      </w:r>
      <w:r w:rsidR="00A64F6C" w:rsidRPr="00D16362">
        <w:t xml:space="preserve">The azeotropes A-B-C and A-B were not found in the literature, but their existence is indicated by the </w:t>
      </w:r>
      <w:r w:rsidR="00BD69FC" w:rsidRPr="00D16362">
        <w:t>vapor</w:t>
      </w:r>
      <w:r w:rsidRPr="00D16362">
        <w:t xml:space="preserve">-liquid equilibrium </w:t>
      </w:r>
      <w:r w:rsidR="00A64F6C" w:rsidRPr="00D16362">
        <w:t>calculations</w:t>
      </w:r>
      <w:r w:rsidR="00D5531D" w:rsidRPr="00D16362">
        <w:t xml:space="preserve">. </w:t>
      </w:r>
      <w:r w:rsidR="00CA0F2C" w:rsidRPr="00D16362">
        <w:t>Moreover,</w:t>
      </w:r>
      <w:r w:rsidR="00D5531D" w:rsidRPr="00D16362">
        <w:t xml:space="preserve"> </w:t>
      </w:r>
      <w:r w:rsidRPr="00D16362">
        <w:t>both A</w:t>
      </w:r>
      <w:r w:rsidR="00D5531D" w:rsidRPr="00D16362">
        <w:t xml:space="preserve"> and D form tangent azeotrope </w:t>
      </w:r>
      <w:r w:rsidRPr="00D16362">
        <w:t xml:space="preserve">with </w:t>
      </w:r>
      <w:proofErr w:type="spellStart"/>
      <w:r w:rsidRPr="00D16362">
        <w:t xml:space="preserve">C </w:t>
      </w:r>
      <w:r w:rsidR="00D5531D" w:rsidRPr="00D16362">
        <w:t>at</w:t>
      </w:r>
      <w:proofErr w:type="spellEnd"/>
      <w:r w:rsidR="00D5531D" w:rsidRPr="00D16362">
        <w:t xml:space="preserve"> high </w:t>
      </w:r>
      <w:r w:rsidR="00F8176B" w:rsidRPr="00D16362">
        <w:t>C</w:t>
      </w:r>
      <w:r w:rsidR="00D5531D" w:rsidRPr="00D16362">
        <w:t xml:space="preserve"> concentrations where the relative volatilit</w:t>
      </w:r>
      <w:r w:rsidRPr="00D16362">
        <w:t>ies</w:t>
      </w:r>
      <w:r w:rsidR="00D5531D" w:rsidRPr="00D16362">
        <w:t xml:space="preserve"> </w:t>
      </w:r>
      <w:r w:rsidRPr="00D16362">
        <w:rPr>
          <w:rFonts w:cs="Arial"/>
        </w:rPr>
        <w:t>α</w:t>
      </w:r>
      <w:r w:rsidRPr="00D16362">
        <w:rPr>
          <w:rFonts w:cs="Arial"/>
          <w:vertAlign w:val="subscript"/>
        </w:rPr>
        <w:t>A</w:t>
      </w:r>
      <w:proofErr w:type="gramStart"/>
      <w:r w:rsidRPr="00D16362">
        <w:rPr>
          <w:rFonts w:cs="Arial"/>
          <w:vertAlign w:val="subscript"/>
        </w:rPr>
        <w:t>,C</w:t>
      </w:r>
      <w:proofErr w:type="gramEnd"/>
      <w:r w:rsidRPr="00D16362">
        <w:t xml:space="preserve"> and </w:t>
      </w:r>
      <w:r w:rsidR="00CA0F2C" w:rsidRPr="00D16362">
        <w:rPr>
          <w:rFonts w:cs="Arial"/>
        </w:rPr>
        <w:t>α</w:t>
      </w:r>
      <w:r w:rsidR="00CA0F2C" w:rsidRPr="00D16362">
        <w:rPr>
          <w:rFonts w:cs="Arial"/>
          <w:vertAlign w:val="subscript"/>
        </w:rPr>
        <w:t>C,D</w:t>
      </w:r>
      <w:r w:rsidR="00CA0F2C" w:rsidRPr="00D16362">
        <w:t xml:space="preserve"> </w:t>
      </w:r>
      <w:r w:rsidRPr="00D16362">
        <w:t xml:space="preserve">are </w:t>
      </w:r>
      <w:r w:rsidR="00D5531D" w:rsidRPr="00D16362">
        <w:t xml:space="preserve">near </w:t>
      </w:r>
      <w:r w:rsidR="00DB079A" w:rsidRPr="00D16362">
        <w:t xml:space="preserve">to </w:t>
      </w:r>
      <w:r w:rsidR="00D5531D" w:rsidRPr="00D16362">
        <w:t>1.0</w:t>
      </w:r>
      <w:r w:rsidR="00CA0F2C" w:rsidRPr="00D16362">
        <w:t>.</w:t>
      </w:r>
      <w:r w:rsidR="00F04D20" w:rsidRPr="00D16362">
        <w:t xml:space="preserve"> Both the A-D and B-D mixtures have limited miscibility, but only A and D form a heteroazeotrope according to the calculations. The presence of D considerably increases both </w:t>
      </w:r>
      <w:r w:rsidR="00F04D20" w:rsidRPr="00D16362">
        <w:rPr>
          <w:rFonts w:cs="Arial"/>
        </w:rPr>
        <w:t>α</w:t>
      </w:r>
      <w:r w:rsidR="00F04D20" w:rsidRPr="00D16362">
        <w:rPr>
          <w:rFonts w:cs="Arial"/>
          <w:vertAlign w:val="subscript"/>
        </w:rPr>
        <w:t>A</w:t>
      </w:r>
      <w:proofErr w:type="gramStart"/>
      <w:r w:rsidR="00F04D20" w:rsidRPr="00D16362">
        <w:rPr>
          <w:rFonts w:cs="Arial"/>
          <w:vertAlign w:val="subscript"/>
        </w:rPr>
        <w:t>,C</w:t>
      </w:r>
      <w:proofErr w:type="gramEnd"/>
      <w:r w:rsidR="00F04D20" w:rsidRPr="00D16362">
        <w:t xml:space="preserve"> and</w:t>
      </w:r>
      <w:r w:rsidR="00F04D20" w:rsidRPr="00D16362">
        <w:rPr>
          <w:rFonts w:cs="Arial"/>
        </w:rPr>
        <w:t xml:space="preserve"> α</w:t>
      </w:r>
      <w:r w:rsidR="00F04D20" w:rsidRPr="00D16362">
        <w:rPr>
          <w:rFonts w:cs="Arial"/>
          <w:vertAlign w:val="subscript"/>
        </w:rPr>
        <w:t>B,C</w:t>
      </w:r>
      <w:r w:rsidR="00F04D20" w:rsidRPr="00D16362">
        <w:t>.</w:t>
      </w:r>
    </w:p>
    <w:p w14:paraId="72CDB1C7" w14:textId="4A15F4BD" w:rsidR="0037406C" w:rsidRPr="00D16362" w:rsidRDefault="0037406C" w:rsidP="00D5531D">
      <w:pPr>
        <w:pStyle w:val="CETBodytext"/>
      </w:pPr>
      <w:r w:rsidRPr="00D16362">
        <w:t>The VLLE calculations were performed by UNIQUAC with binary interaction parameters taken from Nemeth et al. (2020) except for the binary mixtures of B (Table 2), which were either the built-in parameters of CHEMCA</w:t>
      </w:r>
      <w:r>
        <w:t>D or generated based on UNIFAC.</w:t>
      </w:r>
    </w:p>
    <w:p w14:paraId="403C8A1B" w14:textId="566D624E" w:rsidR="00CA0F2C" w:rsidRPr="00D16362" w:rsidRDefault="00CA0F2C" w:rsidP="001F0D9D">
      <w:pPr>
        <w:pStyle w:val="CETheadingx"/>
        <w:numPr>
          <w:ilvl w:val="1"/>
          <w:numId w:val="23"/>
        </w:numPr>
      </w:pPr>
      <w:r w:rsidRPr="00D16362">
        <w:t>S</w:t>
      </w:r>
      <w:r w:rsidR="0044552E" w:rsidRPr="00D16362">
        <w:t>eparation process</w:t>
      </w:r>
    </w:p>
    <w:p w14:paraId="1CD1F228" w14:textId="7D2486D4" w:rsidR="0044552E" w:rsidRPr="00D16362" w:rsidRDefault="00F04D20" w:rsidP="00C91513">
      <w:pPr>
        <w:pStyle w:val="CETBodytext"/>
      </w:pPr>
      <w:r w:rsidRPr="00D16362">
        <w:t xml:space="preserve">The recovery of C </w:t>
      </w:r>
      <w:r w:rsidR="00E8590E">
        <w:t>was</w:t>
      </w:r>
      <w:r w:rsidR="00E8590E" w:rsidRPr="00D16362">
        <w:t xml:space="preserve"> </w:t>
      </w:r>
      <w:r w:rsidRPr="00D16362">
        <w:t xml:space="preserve">performed in a </w:t>
      </w:r>
      <w:r w:rsidR="005E5930">
        <w:t>BD</w:t>
      </w:r>
      <w:r w:rsidRPr="00D16362">
        <w:t xml:space="preserve"> column with 25 theoretical trays (not including the reboiler and the condenser), operating at atmospheric pressure. The pressure drop of the column </w:t>
      </w:r>
      <w:r w:rsidR="00E8590E">
        <w:t>was</w:t>
      </w:r>
      <w:r w:rsidR="00E8590E" w:rsidRPr="00D16362">
        <w:t xml:space="preserve"> </w:t>
      </w:r>
      <w:r w:rsidRPr="00D16362">
        <w:t xml:space="preserve">0.25 bar. The hold-up of the condenser </w:t>
      </w:r>
      <w:r w:rsidR="00E8590E">
        <w:t>was</w:t>
      </w:r>
      <w:r w:rsidR="00E8590E" w:rsidRPr="00D16362">
        <w:t xml:space="preserve"> </w:t>
      </w:r>
      <w:r w:rsidRPr="00D16362">
        <w:t>45 dm</w:t>
      </w:r>
      <w:r w:rsidRPr="00D16362">
        <w:rPr>
          <w:vertAlign w:val="superscript"/>
        </w:rPr>
        <w:t>3</w:t>
      </w:r>
      <w:r w:rsidRPr="00D16362">
        <w:t>, that of the column 5 dm</w:t>
      </w:r>
      <w:r w:rsidRPr="00D16362">
        <w:rPr>
          <w:vertAlign w:val="superscript"/>
        </w:rPr>
        <w:t>3</w:t>
      </w:r>
      <w:r w:rsidRPr="00D16362">
        <w:t xml:space="preserve">/tray. The volume of the charge </w:t>
      </w:r>
      <w:r w:rsidR="00E8590E">
        <w:t>was</w:t>
      </w:r>
      <w:r w:rsidR="00E8590E" w:rsidRPr="00D16362">
        <w:t xml:space="preserve"> </w:t>
      </w:r>
      <w:r w:rsidRPr="00D16362">
        <w:t>20 m</w:t>
      </w:r>
      <w:r w:rsidRPr="00D16362">
        <w:rPr>
          <w:vertAlign w:val="superscript"/>
        </w:rPr>
        <w:t>3</w:t>
      </w:r>
      <w:r w:rsidR="00E47B14" w:rsidRPr="00D16362">
        <w:rPr>
          <w:vertAlign w:val="superscript"/>
        </w:rPr>
        <w:t xml:space="preserve"> </w:t>
      </w:r>
      <w:r w:rsidR="00E47B14" w:rsidRPr="00D16362">
        <w:t>(17,785.9 kg)</w:t>
      </w:r>
      <w:r w:rsidR="008B7054" w:rsidRPr="00D16362">
        <w:t xml:space="preserve">. </w:t>
      </w:r>
      <w:r w:rsidR="006E0A96" w:rsidRPr="00D16362">
        <w:t xml:space="preserve">The reboiler </w:t>
      </w:r>
      <w:r w:rsidR="00E8590E" w:rsidRPr="00D16362">
        <w:t>ha</w:t>
      </w:r>
      <w:r w:rsidR="00E8590E">
        <w:t>d</w:t>
      </w:r>
      <w:r w:rsidR="00E8590E" w:rsidRPr="00D16362">
        <w:t xml:space="preserve"> </w:t>
      </w:r>
      <w:r w:rsidR="006E0A96" w:rsidRPr="00D16362">
        <w:t xml:space="preserve">a constant heat duty of </w:t>
      </w:r>
      <w:proofErr w:type="spellStart"/>
      <w:proofErr w:type="gramStart"/>
      <w:r w:rsidR="002F4FAD" w:rsidRPr="00D16362">
        <w:t>Q</w:t>
      </w:r>
      <w:r w:rsidR="002F4FAD" w:rsidRPr="00D16362">
        <w:rPr>
          <w:vertAlign w:val="subscript"/>
        </w:rPr>
        <w:t>r</w:t>
      </w:r>
      <w:proofErr w:type="spellEnd"/>
      <w:r w:rsidR="002F4FAD" w:rsidRPr="00D16362">
        <w:t>=</w:t>
      </w:r>
      <w:proofErr w:type="gramEnd"/>
      <w:r w:rsidR="006E0A96" w:rsidRPr="00D16362">
        <w:t xml:space="preserve">1800 MJ/h, provided with </w:t>
      </w:r>
      <w:r w:rsidR="002F4FAD" w:rsidRPr="00D16362">
        <w:t xml:space="preserve">low-pressure (4 bar) heating steam. </w:t>
      </w:r>
      <w:r w:rsidR="008B7054" w:rsidRPr="00D16362">
        <w:t xml:space="preserve">The steps of the process </w:t>
      </w:r>
      <w:r w:rsidR="00E8590E">
        <w:t>were</w:t>
      </w:r>
      <w:r w:rsidR="00E8590E" w:rsidRPr="00D16362">
        <w:t xml:space="preserve"> </w:t>
      </w:r>
      <w:r w:rsidR="000D61ED">
        <w:t>as follows</w:t>
      </w:r>
      <w:r w:rsidR="008B7054" w:rsidRPr="00D16362">
        <w:t>:</w:t>
      </w:r>
    </w:p>
    <w:p w14:paraId="2DB473E3" w14:textId="3593610A" w:rsidR="00CA0F2C" w:rsidRPr="00D16362" w:rsidRDefault="00CA0F2C" w:rsidP="008B7054">
      <w:pPr>
        <w:pStyle w:val="CETBodytext"/>
      </w:pPr>
      <w:r w:rsidRPr="00D16362">
        <w:t>1.</w:t>
      </w:r>
      <w:r w:rsidR="00DD2065" w:rsidRPr="00D16362">
        <w:t xml:space="preserve"> </w:t>
      </w:r>
      <w:r w:rsidR="00D5531D" w:rsidRPr="00D16362">
        <w:t xml:space="preserve">A and B </w:t>
      </w:r>
      <w:r w:rsidR="00E8590E">
        <w:t>were</w:t>
      </w:r>
      <w:r w:rsidR="00E8590E" w:rsidRPr="00D16362">
        <w:t xml:space="preserve"> </w:t>
      </w:r>
      <w:r w:rsidR="00D5531D" w:rsidRPr="00D16362">
        <w:t xml:space="preserve">removed in a </w:t>
      </w:r>
      <w:proofErr w:type="spellStart"/>
      <w:r w:rsidR="00D5531D" w:rsidRPr="00D16362">
        <w:rPr>
          <w:i/>
          <w:iCs/>
        </w:rPr>
        <w:t>fore</w:t>
      </w:r>
      <w:proofErr w:type="spellEnd"/>
      <w:r w:rsidR="00D5531D" w:rsidRPr="00D16362">
        <w:rPr>
          <w:i/>
          <w:iCs/>
        </w:rPr>
        <w:t>-cut</w:t>
      </w:r>
      <w:r w:rsidR="00D5531D" w:rsidRPr="00D16362">
        <w:t xml:space="preserve">, although with a considerable loss of C due to the existence of the B-C azeotrope. </w:t>
      </w:r>
      <w:r w:rsidR="00A30FBB" w:rsidRPr="00D16362">
        <w:t xml:space="preserve">The fore-cut must be incinerated because of its impurity content. </w:t>
      </w:r>
      <w:r w:rsidR="008B7054" w:rsidRPr="00D16362">
        <w:t xml:space="preserve">Taking of the fore-cut </w:t>
      </w:r>
      <w:r w:rsidR="00E8590E">
        <w:t>was</w:t>
      </w:r>
      <w:r w:rsidR="00E8590E" w:rsidRPr="00D16362">
        <w:t xml:space="preserve"> </w:t>
      </w:r>
      <w:r w:rsidR="008B7054" w:rsidRPr="00D16362">
        <w:t xml:space="preserve">finished when the B concentration of the instantaneous distillate decreases to a specified value: </w:t>
      </w:r>
      <w:proofErr w:type="spellStart"/>
      <w:r w:rsidR="008B7054" w:rsidRPr="00D16362">
        <w:t>x</w:t>
      </w:r>
      <w:r w:rsidR="000F28DB" w:rsidRPr="00D16362">
        <w:rPr>
          <w:vertAlign w:val="subscript"/>
        </w:rPr>
        <w:t>D</w:t>
      </w:r>
      <w:proofErr w:type="gramStart"/>
      <w:r w:rsidR="008B7054" w:rsidRPr="00D16362">
        <w:rPr>
          <w:vertAlign w:val="subscript"/>
        </w:rPr>
        <w:t>,B</w:t>
      </w:r>
      <w:proofErr w:type="gramEnd"/>
      <w:r w:rsidR="008B7054" w:rsidRPr="00D16362">
        <w:rPr>
          <w:rFonts w:cs="Arial"/>
        </w:rPr>
        <w:t>≤</w:t>
      </w:r>
      <w:r w:rsidR="008B7054" w:rsidRPr="00D16362">
        <w:t>Cr</w:t>
      </w:r>
      <w:proofErr w:type="spellEnd"/>
      <w:r w:rsidR="008B7054" w:rsidRPr="00D16362">
        <w:t xml:space="preserve">. </w:t>
      </w:r>
      <w:r w:rsidR="00B005DF" w:rsidRPr="00D16362">
        <w:t>The re</w:t>
      </w:r>
      <w:r w:rsidR="000F28DB" w:rsidRPr="00D16362">
        <w:t>flux ratio of the step (R</w:t>
      </w:r>
      <w:r w:rsidR="000F28DB" w:rsidRPr="00D16362">
        <w:rPr>
          <w:vertAlign w:val="subscript"/>
        </w:rPr>
        <w:t>1</w:t>
      </w:r>
      <w:r w:rsidR="000F28DB" w:rsidRPr="00D16362">
        <w:t xml:space="preserve">) and Cr </w:t>
      </w:r>
      <w:r w:rsidR="00E8590E">
        <w:t>were</w:t>
      </w:r>
      <w:r w:rsidR="00E8590E" w:rsidRPr="00D16362">
        <w:t xml:space="preserve"> </w:t>
      </w:r>
      <w:r w:rsidR="000F28DB" w:rsidRPr="00D16362">
        <w:t>operational parameters.</w:t>
      </w:r>
    </w:p>
    <w:p w14:paraId="005E35E1" w14:textId="237FEA4B" w:rsidR="00232D4A" w:rsidRPr="00D16362" w:rsidRDefault="00CA0F2C" w:rsidP="00C91513">
      <w:pPr>
        <w:pStyle w:val="CETBodytext"/>
      </w:pPr>
      <w:r w:rsidRPr="00D16362">
        <w:t xml:space="preserve">2. </w:t>
      </w:r>
      <w:r w:rsidR="00D5531D" w:rsidRPr="00D16362">
        <w:t xml:space="preserve">High purity C </w:t>
      </w:r>
      <w:r w:rsidR="00E8590E">
        <w:t>was</w:t>
      </w:r>
      <w:r w:rsidR="00E8590E" w:rsidRPr="00D16362">
        <w:t xml:space="preserve"> </w:t>
      </w:r>
      <w:r w:rsidR="00D5531D" w:rsidRPr="00D16362">
        <w:t xml:space="preserve">obtained as a </w:t>
      </w:r>
      <w:r w:rsidR="00D5531D" w:rsidRPr="00D16362">
        <w:rPr>
          <w:i/>
          <w:iCs/>
        </w:rPr>
        <w:t>main cut</w:t>
      </w:r>
      <w:r w:rsidR="00D5531D" w:rsidRPr="00D16362">
        <w:t xml:space="preserve">, but </w:t>
      </w:r>
      <w:r w:rsidR="008B7054" w:rsidRPr="00D16362">
        <w:t>due to</w:t>
      </w:r>
      <w:r w:rsidR="00D5531D" w:rsidRPr="00D16362">
        <w:t xml:space="preserve"> the C-D tangent azeotrope </w:t>
      </w:r>
      <w:r w:rsidR="008B7054" w:rsidRPr="00D16362">
        <w:t>a relatively high reflux ra</w:t>
      </w:r>
      <w:r w:rsidR="000F28DB" w:rsidRPr="00D16362">
        <w:t>tio (R</w:t>
      </w:r>
      <w:r w:rsidR="000F28DB" w:rsidRPr="00D16362">
        <w:rPr>
          <w:vertAlign w:val="subscript"/>
        </w:rPr>
        <w:t>2</w:t>
      </w:r>
      <w:r w:rsidR="000F28DB" w:rsidRPr="00D16362">
        <w:t>)</w:t>
      </w:r>
      <w:r w:rsidR="008B7054" w:rsidRPr="00D16362">
        <w:t xml:space="preserve"> </w:t>
      </w:r>
      <w:r w:rsidR="00E8590E">
        <w:t>was</w:t>
      </w:r>
      <w:r w:rsidR="00E8590E" w:rsidRPr="00D16362">
        <w:t xml:space="preserve"> </w:t>
      </w:r>
      <w:r w:rsidR="008B7054" w:rsidRPr="00D16362">
        <w:t>needed.</w:t>
      </w:r>
      <w:r w:rsidR="0040251F" w:rsidRPr="00D16362">
        <w:t xml:space="preserve"> The step </w:t>
      </w:r>
      <w:r w:rsidR="00E8590E">
        <w:t>was</w:t>
      </w:r>
      <w:r w:rsidR="00E8590E" w:rsidRPr="00D16362">
        <w:t xml:space="preserve"> </w:t>
      </w:r>
      <w:r w:rsidR="0040251F" w:rsidRPr="00D16362">
        <w:t xml:space="preserve">finished when the concentration of D in the main cut </w:t>
      </w:r>
      <w:r w:rsidR="00E8590E" w:rsidRPr="00D16362">
        <w:t>increase</w:t>
      </w:r>
      <w:r w:rsidR="00E8590E">
        <w:t>d</w:t>
      </w:r>
      <w:r w:rsidR="00E8590E" w:rsidRPr="00D16362">
        <w:t xml:space="preserve"> </w:t>
      </w:r>
      <w:r w:rsidR="0040251F" w:rsidRPr="00D16362">
        <w:t xml:space="preserve">above 0.23% (to ensure that the maximum allowed value, 0.25% </w:t>
      </w:r>
      <w:r w:rsidR="00E8590E" w:rsidRPr="00D16362">
        <w:t>w</w:t>
      </w:r>
      <w:r w:rsidR="00E8590E">
        <w:t>ould</w:t>
      </w:r>
      <w:r w:rsidR="00E8590E" w:rsidRPr="00D16362">
        <w:t xml:space="preserve"> </w:t>
      </w:r>
      <w:r w:rsidR="0040251F" w:rsidRPr="00D16362">
        <w:t>not be surpassed).</w:t>
      </w:r>
    </w:p>
    <w:p w14:paraId="08E16EAA" w14:textId="01133F26" w:rsidR="00D5531D" w:rsidRDefault="00232D4A" w:rsidP="00C91513">
      <w:pPr>
        <w:pStyle w:val="CETBodytext"/>
      </w:pPr>
      <w:r w:rsidRPr="00D16362">
        <w:t>3. The C content of t</w:t>
      </w:r>
      <w:r w:rsidR="00D5531D" w:rsidRPr="00D16362">
        <w:t>he still residue</w:t>
      </w:r>
      <w:r w:rsidRPr="00D16362">
        <w:t xml:space="preserve"> (wastewater) </w:t>
      </w:r>
      <w:r w:rsidR="00E8590E">
        <w:t>was</w:t>
      </w:r>
      <w:r w:rsidR="00E8590E" w:rsidRPr="00D16362">
        <w:t xml:space="preserve"> </w:t>
      </w:r>
      <w:r w:rsidRPr="00D16362">
        <w:t xml:space="preserve">decreased to the necessary extent </w:t>
      </w:r>
      <w:r w:rsidR="005716AE" w:rsidRPr="00D16362">
        <w:t xml:space="preserve">(0.2%) </w:t>
      </w:r>
      <w:r w:rsidR="00A30FBB" w:rsidRPr="00D16362">
        <w:t xml:space="preserve">for biological purification </w:t>
      </w:r>
      <w:r w:rsidRPr="00D16362">
        <w:t xml:space="preserve">by taking an </w:t>
      </w:r>
      <w:r w:rsidRPr="00D16362">
        <w:rPr>
          <w:i/>
          <w:iCs/>
        </w:rPr>
        <w:t>after-cut</w:t>
      </w:r>
      <w:r w:rsidR="00612B63">
        <w:t>, which</w:t>
      </w:r>
      <w:r w:rsidR="00612B63" w:rsidRPr="00D16362">
        <w:t xml:space="preserve"> </w:t>
      </w:r>
      <w:r w:rsidR="00E8590E">
        <w:t>was</w:t>
      </w:r>
      <w:r w:rsidR="00E8590E" w:rsidRPr="00D16362">
        <w:t xml:space="preserve"> </w:t>
      </w:r>
      <w:r w:rsidR="00A30FBB" w:rsidRPr="00D16362">
        <w:t xml:space="preserve">aqueous C with a high C content and it </w:t>
      </w:r>
      <w:r w:rsidR="00E8590E">
        <w:t>could</w:t>
      </w:r>
      <w:r w:rsidR="00E8590E" w:rsidRPr="00D16362">
        <w:t xml:space="preserve"> </w:t>
      </w:r>
      <w:r w:rsidR="00A30FBB" w:rsidRPr="00D16362">
        <w:t xml:space="preserve">be recycled to a next batch of the process to reduce the loss of C. </w:t>
      </w:r>
      <w:r w:rsidR="005716AE" w:rsidRPr="00D16362">
        <w:t xml:space="preserve">The operational parameter of the step </w:t>
      </w:r>
      <w:r w:rsidR="00E8590E">
        <w:t>was</w:t>
      </w:r>
      <w:r w:rsidR="00E8590E" w:rsidRPr="00D16362">
        <w:t xml:space="preserve"> </w:t>
      </w:r>
      <w:r w:rsidR="005716AE" w:rsidRPr="00D16362">
        <w:t>its reflux ratio (R</w:t>
      </w:r>
      <w:r w:rsidR="005716AE" w:rsidRPr="00D16362">
        <w:rPr>
          <w:vertAlign w:val="subscript"/>
        </w:rPr>
        <w:t>3</w:t>
      </w:r>
      <w:r w:rsidR="005716AE" w:rsidRPr="00D16362">
        <w:t>).</w:t>
      </w:r>
    </w:p>
    <w:p w14:paraId="1B035E29" w14:textId="77777777" w:rsidR="0037406C" w:rsidRPr="00D16362" w:rsidRDefault="0037406C" w:rsidP="0037406C">
      <w:pPr>
        <w:pStyle w:val="CETTabletitle"/>
        <w:rPr>
          <w:lang w:val="en-US"/>
        </w:rPr>
      </w:pPr>
      <w:r w:rsidRPr="00D16362">
        <w:rPr>
          <w:lang w:val="en-US"/>
        </w:rPr>
        <w:lastRenderedPageBreak/>
        <w:t xml:space="preserve">Table </w:t>
      </w:r>
      <w:r w:rsidRPr="00D16362">
        <w:rPr>
          <w:lang w:val="en-US"/>
        </w:rPr>
        <w:fldChar w:fldCharType="begin"/>
      </w:r>
      <w:r w:rsidRPr="00D16362">
        <w:rPr>
          <w:lang w:val="en-US"/>
        </w:rPr>
        <w:instrText xml:space="preserve"> SEQ Table \* ARABIC </w:instrText>
      </w:r>
      <w:r w:rsidRPr="00D16362">
        <w:rPr>
          <w:lang w:val="en-US"/>
        </w:rPr>
        <w:fldChar w:fldCharType="separate"/>
      </w:r>
      <w:r w:rsidRPr="00D16362">
        <w:rPr>
          <w:noProof/>
          <w:lang w:val="en-US"/>
        </w:rPr>
        <w:t>1</w:t>
      </w:r>
      <w:r w:rsidRPr="00D16362">
        <w:rPr>
          <w:lang w:val="en-US"/>
        </w:rPr>
        <w:fldChar w:fldCharType="end"/>
      </w:r>
      <w:r w:rsidRPr="00D16362">
        <w:rPr>
          <w:lang w:val="en-US"/>
        </w:rPr>
        <w:t xml:space="preserve">: The properties of the azeotropes formed by the components and the boiling points of the pure components (P= 1.013 bar) *P=1.0219 bar. </w:t>
      </w:r>
      <w:r w:rsidRPr="00D16362">
        <w:rPr>
          <w:rFonts w:cs="Arial"/>
          <w:szCs w:val="18"/>
          <w:vertAlign w:val="superscript"/>
          <w:lang w:val="en-US"/>
        </w:rPr>
        <w:t>#</w:t>
      </w:r>
      <w:proofErr w:type="gramStart"/>
      <w:r w:rsidRPr="00D16362">
        <w:rPr>
          <w:rFonts w:cs="Arial"/>
          <w:szCs w:val="18"/>
          <w:lang w:val="en-US"/>
        </w:rPr>
        <w:t>Calculated</w:t>
      </w:r>
      <w:proofErr w:type="gramEnd"/>
      <w:r w:rsidRPr="00D16362">
        <w:rPr>
          <w:rFonts w:cs="Arial"/>
          <w:szCs w:val="18"/>
          <w:lang w:val="en-US"/>
        </w:rPr>
        <w:t xml:space="preserve"> values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2"/>
        <w:gridCol w:w="1134"/>
        <w:gridCol w:w="850"/>
        <w:gridCol w:w="851"/>
        <w:gridCol w:w="850"/>
        <w:gridCol w:w="851"/>
      </w:tblGrid>
      <w:tr w:rsidR="0037406C" w:rsidRPr="00D16362" w14:paraId="1E57E721" w14:textId="77777777" w:rsidTr="003411C5">
        <w:trPr>
          <w:trHeight w:val="188"/>
        </w:trPr>
        <w:tc>
          <w:tcPr>
            <w:tcW w:w="1802" w:type="dxa"/>
            <w:vMerge w:val="restart"/>
            <w:tcBorders>
              <w:top w:val="single" w:sz="12" w:space="0" w:color="008000"/>
            </w:tcBorders>
            <w:shd w:val="clear" w:color="auto" w:fill="FFFFFF"/>
          </w:tcPr>
          <w:p w14:paraId="6B4009C2" w14:textId="77777777" w:rsidR="0037406C" w:rsidRPr="00D16362" w:rsidRDefault="0037406C" w:rsidP="003411C5">
            <w:pPr>
              <w:pStyle w:val="CETBodytext"/>
            </w:pPr>
            <w:r w:rsidRPr="00D16362">
              <w:t>Component/</w:t>
            </w:r>
          </w:p>
          <w:p w14:paraId="12C34087" w14:textId="77777777" w:rsidR="0037406C" w:rsidRPr="00D16362" w:rsidRDefault="0037406C" w:rsidP="003411C5">
            <w:pPr>
              <w:pStyle w:val="CETBodytext"/>
            </w:pPr>
            <w:r w:rsidRPr="00D16362">
              <w:t>Azeotrope</w:t>
            </w:r>
          </w:p>
        </w:tc>
        <w:tc>
          <w:tcPr>
            <w:tcW w:w="1134" w:type="dxa"/>
            <w:vMerge w:val="restart"/>
            <w:tcBorders>
              <w:top w:val="single" w:sz="12" w:space="0" w:color="008000"/>
            </w:tcBorders>
            <w:shd w:val="clear" w:color="auto" w:fill="FFFFFF"/>
          </w:tcPr>
          <w:p w14:paraId="678F47FE" w14:textId="77777777" w:rsidR="0037406C" w:rsidRPr="00D16362" w:rsidRDefault="0037406C" w:rsidP="003411C5">
            <w:pPr>
              <w:pStyle w:val="CETBodytext"/>
            </w:pPr>
            <w:proofErr w:type="spellStart"/>
            <w:r w:rsidRPr="00D16362">
              <w:t>T</w:t>
            </w:r>
            <w:r w:rsidRPr="00D16362">
              <w:rPr>
                <w:vertAlign w:val="subscript"/>
              </w:rPr>
              <w:t>bp</w:t>
            </w:r>
            <w:proofErr w:type="spellEnd"/>
            <w:r w:rsidRPr="00D16362">
              <w:t xml:space="preserve"> (°C)</w:t>
            </w:r>
          </w:p>
        </w:tc>
        <w:tc>
          <w:tcPr>
            <w:tcW w:w="3402" w:type="dxa"/>
            <w:gridSpan w:val="4"/>
            <w:tcBorders>
              <w:top w:val="single" w:sz="12" w:space="0" w:color="008000"/>
              <w:bottom w:val="single" w:sz="6" w:space="0" w:color="008000"/>
            </w:tcBorders>
            <w:shd w:val="clear" w:color="auto" w:fill="FFFFFF"/>
          </w:tcPr>
          <w:p w14:paraId="7EC9CA04" w14:textId="77777777" w:rsidR="0037406C" w:rsidRPr="00D16362" w:rsidRDefault="0037406C" w:rsidP="003411C5">
            <w:pPr>
              <w:pStyle w:val="CETBodytext"/>
              <w:ind w:right="-1"/>
              <w:rPr>
                <w:rFonts w:cs="Arial"/>
                <w:szCs w:val="18"/>
              </w:rPr>
            </w:pPr>
            <w:r w:rsidRPr="00D16362">
              <w:t>Composition (</w:t>
            </w:r>
            <w:proofErr w:type="gramStart"/>
            <w:r w:rsidRPr="00D16362">
              <w:t>mass%</w:t>
            </w:r>
            <w:proofErr w:type="gramEnd"/>
            <w:r w:rsidRPr="00D16362">
              <w:t>)</w:t>
            </w:r>
          </w:p>
        </w:tc>
      </w:tr>
      <w:tr w:rsidR="0037406C" w:rsidRPr="00D16362" w14:paraId="5E1E5569" w14:textId="77777777" w:rsidTr="003411C5">
        <w:trPr>
          <w:trHeight w:val="188"/>
        </w:trPr>
        <w:tc>
          <w:tcPr>
            <w:tcW w:w="1802" w:type="dxa"/>
            <w:vMerge/>
            <w:tcBorders>
              <w:bottom w:val="single" w:sz="6" w:space="0" w:color="008000"/>
            </w:tcBorders>
            <w:shd w:val="clear" w:color="auto" w:fill="FFFFFF"/>
          </w:tcPr>
          <w:p w14:paraId="2D4A9137" w14:textId="77777777" w:rsidR="0037406C" w:rsidRPr="00D16362" w:rsidRDefault="0037406C" w:rsidP="003411C5">
            <w:pPr>
              <w:pStyle w:val="CETBodytext"/>
            </w:pPr>
          </w:p>
        </w:tc>
        <w:tc>
          <w:tcPr>
            <w:tcW w:w="1134" w:type="dxa"/>
            <w:vMerge/>
            <w:tcBorders>
              <w:bottom w:val="single" w:sz="6" w:space="0" w:color="008000"/>
            </w:tcBorders>
            <w:shd w:val="clear" w:color="auto" w:fill="FFFFFF"/>
          </w:tcPr>
          <w:p w14:paraId="20B1B59C" w14:textId="77777777" w:rsidR="0037406C" w:rsidRPr="00D16362" w:rsidRDefault="0037406C" w:rsidP="003411C5">
            <w:pPr>
              <w:pStyle w:val="CETBodytext"/>
            </w:pPr>
          </w:p>
        </w:tc>
        <w:tc>
          <w:tcPr>
            <w:tcW w:w="850" w:type="dxa"/>
            <w:tcBorders>
              <w:top w:val="single" w:sz="12" w:space="0" w:color="008000"/>
              <w:bottom w:val="single" w:sz="6" w:space="0" w:color="008000"/>
            </w:tcBorders>
            <w:shd w:val="clear" w:color="auto" w:fill="FFFFFF"/>
          </w:tcPr>
          <w:p w14:paraId="5C90F836" w14:textId="77777777" w:rsidR="0037406C" w:rsidRPr="00D16362" w:rsidRDefault="0037406C" w:rsidP="003411C5">
            <w:pPr>
              <w:pStyle w:val="CETBodytext"/>
              <w:ind w:right="-1"/>
            </w:pPr>
            <w:r w:rsidRPr="00D16362">
              <w:t>A</w:t>
            </w:r>
          </w:p>
        </w:tc>
        <w:tc>
          <w:tcPr>
            <w:tcW w:w="851" w:type="dxa"/>
            <w:tcBorders>
              <w:top w:val="single" w:sz="12" w:space="0" w:color="008000"/>
              <w:bottom w:val="single" w:sz="6" w:space="0" w:color="008000"/>
            </w:tcBorders>
            <w:shd w:val="clear" w:color="auto" w:fill="FFFFFF"/>
          </w:tcPr>
          <w:p w14:paraId="408F27F4" w14:textId="77777777" w:rsidR="0037406C" w:rsidRPr="00D16362" w:rsidRDefault="0037406C" w:rsidP="003411C5">
            <w:pPr>
              <w:pStyle w:val="CETBodytext"/>
              <w:ind w:right="-1"/>
            </w:pPr>
            <w:r w:rsidRPr="00D16362">
              <w:t>B</w:t>
            </w:r>
          </w:p>
        </w:tc>
        <w:tc>
          <w:tcPr>
            <w:tcW w:w="850" w:type="dxa"/>
            <w:tcBorders>
              <w:top w:val="single" w:sz="12" w:space="0" w:color="008000"/>
              <w:bottom w:val="single" w:sz="6" w:space="0" w:color="008000"/>
            </w:tcBorders>
            <w:shd w:val="clear" w:color="auto" w:fill="FFFFFF"/>
          </w:tcPr>
          <w:p w14:paraId="4EFC8A8A" w14:textId="77777777" w:rsidR="0037406C" w:rsidRPr="00D16362" w:rsidRDefault="0037406C" w:rsidP="003411C5">
            <w:pPr>
              <w:pStyle w:val="CETBodytext"/>
              <w:ind w:right="-1"/>
            </w:pPr>
            <w:r w:rsidRPr="00D16362">
              <w:t>C</w:t>
            </w:r>
          </w:p>
        </w:tc>
        <w:tc>
          <w:tcPr>
            <w:tcW w:w="851" w:type="dxa"/>
            <w:tcBorders>
              <w:top w:val="single" w:sz="12" w:space="0" w:color="008000"/>
              <w:bottom w:val="single" w:sz="6" w:space="0" w:color="008000"/>
            </w:tcBorders>
            <w:shd w:val="clear" w:color="auto" w:fill="FFFFFF"/>
          </w:tcPr>
          <w:p w14:paraId="495BB43D" w14:textId="77777777" w:rsidR="0037406C" w:rsidRPr="00D16362" w:rsidRDefault="0037406C" w:rsidP="003411C5">
            <w:pPr>
              <w:pStyle w:val="CETBodytext"/>
              <w:ind w:right="-1"/>
            </w:pPr>
            <w:r w:rsidRPr="00D16362">
              <w:t>D</w:t>
            </w:r>
          </w:p>
        </w:tc>
      </w:tr>
      <w:tr w:rsidR="0037406C" w:rsidRPr="00D16362" w14:paraId="3062BC53" w14:textId="77777777" w:rsidTr="003411C5">
        <w:tc>
          <w:tcPr>
            <w:tcW w:w="1802" w:type="dxa"/>
            <w:shd w:val="clear" w:color="auto" w:fill="FFFFFF"/>
          </w:tcPr>
          <w:p w14:paraId="4CBF8166" w14:textId="77777777" w:rsidR="0037406C" w:rsidRPr="00D16362" w:rsidRDefault="0037406C" w:rsidP="003411C5">
            <w:pPr>
              <w:pStyle w:val="CETBodytext"/>
            </w:pPr>
            <w:r w:rsidRPr="00D16362">
              <w:t>A-D</w:t>
            </w:r>
          </w:p>
        </w:tc>
        <w:tc>
          <w:tcPr>
            <w:tcW w:w="1134" w:type="dxa"/>
            <w:shd w:val="clear" w:color="auto" w:fill="FFFFFF"/>
          </w:tcPr>
          <w:p w14:paraId="69D4013D" w14:textId="77777777" w:rsidR="0037406C" w:rsidRPr="00D16362" w:rsidRDefault="0037406C" w:rsidP="003411C5">
            <w:pPr>
              <w:pStyle w:val="CETBodytext"/>
            </w:pPr>
            <w:r w:rsidRPr="00D16362">
              <w:t>38.8</w:t>
            </w:r>
          </w:p>
        </w:tc>
        <w:tc>
          <w:tcPr>
            <w:tcW w:w="850" w:type="dxa"/>
            <w:shd w:val="clear" w:color="auto" w:fill="FFFFFF"/>
          </w:tcPr>
          <w:p w14:paraId="0540838A" w14:textId="77777777" w:rsidR="0037406C" w:rsidRPr="00D16362" w:rsidRDefault="0037406C" w:rsidP="003411C5">
            <w:pPr>
              <w:pStyle w:val="CETBodytext"/>
              <w:ind w:right="-1"/>
              <w:rPr>
                <w:rFonts w:cs="Arial"/>
                <w:szCs w:val="18"/>
              </w:rPr>
            </w:pPr>
            <w:r w:rsidRPr="00D16362">
              <w:rPr>
                <w:rFonts w:cs="Arial"/>
                <w:szCs w:val="18"/>
              </w:rPr>
              <w:t>99.6</w:t>
            </w:r>
          </w:p>
        </w:tc>
        <w:tc>
          <w:tcPr>
            <w:tcW w:w="851" w:type="dxa"/>
            <w:shd w:val="clear" w:color="auto" w:fill="FFFFFF"/>
          </w:tcPr>
          <w:p w14:paraId="1702FAB6" w14:textId="77777777" w:rsidR="0037406C" w:rsidRPr="00D16362" w:rsidRDefault="0037406C" w:rsidP="003411C5">
            <w:pPr>
              <w:pStyle w:val="CETBodytext"/>
              <w:ind w:right="-1"/>
              <w:rPr>
                <w:rFonts w:cs="Arial"/>
                <w:szCs w:val="18"/>
              </w:rPr>
            </w:pPr>
            <w:r w:rsidRPr="00D16362">
              <w:rPr>
                <w:rFonts w:cs="Arial"/>
                <w:szCs w:val="18"/>
              </w:rPr>
              <w:t>-</w:t>
            </w:r>
          </w:p>
        </w:tc>
        <w:tc>
          <w:tcPr>
            <w:tcW w:w="850" w:type="dxa"/>
            <w:shd w:val="clear" w:color="auto" w:fill="FFFFFF"/>
          </w:tcPr>
          <w:p w14:paraId="6858C6B8"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30CC804C" w14:textId="77777777" w:rsidR="0037406C" w:rsidRPr="00D16362" w:rsidRDefault="0037406C" w:rsidP="003411C5">
            <w:pPr>
              <w:pStyle w:val="CETBodytext"/>
              <w:ind w:right="-1"/>
              <w:rPr>
                <w:rFonts w:cs="Arial"/>
                <w:szCs w:val="18"/>
              </w:rPr>
            </w:pPr>
            <w:r w:rsidRPr="00D16362">
              <w:rPr>
                <w:rFonts w:cs="Arial"/>
                <w:szCs w:val="18"/>
              </w:rPr>
              <w:t>0.4</w:t>
            </w:r>
          </w:p>
        </w:tc>
      </w:tr>
      <w:tr w:rsidR="0037406C" w:rsidRPr="00D16362" w14:paraId="091512FF" w14:textId="77777777" w:rsidTr="003411C5">
        <w:tc>
          <w:tcPr>
            <w:tcW w:w="1802" w:type="dxa"/>
            <w:shd w:val="clear" w:color="auto" w:fill="FFFFFF"/>
          </w:tcPr>
          <w:p w14:paraId="56DF9863" w14:textId="77777777" w:rsidR="0037406C" w:rsidRPr="00D16362" w:rsidRDefault="0037406C" w:rsidP="003411C5">
            <w:pPr>
              <w:pStyle w:val="CETBodytext"/>
              <w:ind w:right="-1"/>
              <w:rPr>
                <w:rFonts w:cs="Arial"/>
                <w:szCs w:val="18"/>
              </w:rPr>
            </w:pPr>
            <w:r w:rsidRPr="00D16362">
              <w:rPr>
                <w:rFonts w:cs="Arial"/>
                <w:szCs w:val="18"/>
              </w:rPr>
              <w:t>A</w:t>
            </w:r>
          </w:p>
        </w:tc>
        <w:tc>
          <w:tcPr>
            <w:tcW w:w="1134" w:type="dxa"/>
            <w:shd w:val="clear" w:color="auto" w:fill="FFFFFF"/>
          </w:tcPr>
          <w:p w14:paraId="5AE5FECE" w14:textId="77777777" w:rsidR="0037406C" w:rsidRPr="00D16362" w:rsidRDefault="0037406C" w:rsidP="003411C5">
            <w:pPr>
              <w:pStyle w:val="CETBodytext"/>
              <w:ind w:right="-1"/>
              <w:rPr>
                <w:rFonts w:cs="Arial"/>
                <w:szCs w:val="18"/>
              </w:rPr>
            </w:pPr>
            <w:r w:rsidRPr="00D16362">
              <w:rPr>
                <w:rFonts w:cs="Arial"/>
                <w:szCs w:val="18"/>
              </w:rPr>
              <w:t>40.0</w:t>
            </w:r>
          </w:p>
        </w:tc>
        <w:tc>
          <w:tcPr>
            <w:tcW w:w="850" w:type="dxa"/>
            <w:shd w:val="clear" w:color="auto" w:fill="FFFFFF"/>
          </w:tcPr>
          <w:p w14:paraId="446D13CE" w14:textId="77777777" w:rsidR="0037406C" w:rsidRPr="00D16362" w:rsidRDefault="0037406C" w:rsidP="003411C5">
            <w:pPr>
              <w:pStyle w:val="CETBodytext"/>
              <w:ind w:right="-1"/>
              <w:rPr>
                <w:rFonts w:cs="Arial"/>
                <w:szCs w:val="18"/>
              </w:rPr>
            </w:pPr>
            <w:r w:rsidRPr="00D16362">
              <w:rPr>
                <w:rFonts w:cs="Arial"/>
                <w:szCs w:val="18"/>
              </w:rPr>
              <w:t>100</w:t>
            </w:r>
          </w:p>
        </w:tc>
        <w:tc>
          <w:tcPr>
            <w:tcW w:w="851" w:type="dxa"/>
            <w:shd w:val="clear" w:color="auto" w:fill="FFFFFF"/>
          </w:tcPr>
          <w:p w14:paraId="279DA00D" w14:textId="77777777" w:rsidR="0037406C" w:rsidRPr="00D16362" w:rsidRDefault="0037406C" w:rsidP="003411C5">
            <w:pPr>
              <w:pStyle w:val="CETBodytext"/>
              <w:ind w:right="-1"/>
              <w:rPr>
                <w:rFonts w:cs="Arial"/>
                <w:szCs w:val="18"/>
              </w:rPr>
            </w:pPr>
            <w:r w:rsidRPr="00D16362">
              <w:rPr>
                <w:rFonts w:cs="Arial"/>
                <w:szCs w:val="18"/>
              </w:rPr>
              <w:t>-</w:t>
            </w:r>
          </w:p>
        </w:tc>
        <w:tc>
          <w:tcPr>
            <w:tcW w:w="850" w:type="dxa"/>
            <w:shd w:val="clear" w:color="auto" w:fill="FFFFFF"/>
          </w:tcPr>
          <w:p w14:paraId="6511E0DF"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79ECB628" w14:textId="77777777" w:rsidR="0037406C" w:rsidRPr="00D16362" w:rsidRDefault="0037406C" w:rsidP="003411C5">
            <w:pPr>
              <w:pStyle w:val="CETBodytext"/>
              <w:ind w:right="-1"/>
              <w:rPr>
                <w:rFonts w:cs="Arial"/>
                <w:szCs w:val="18"/>
              </w:rPr>
            </w:pPr>
            <w:r w:rsidRPr="00D16362">
              <w:rPr>
                <w:rFonts w:cs="Arial"/>
                <w:szCs w:val="18"/>
              </w:rPr>
              <w:t>-</w:t>
            </w:r>
          </w:p>
        </w:tc>
      </w:tr>
      <w:tr w:rsidR="0037406C" w:rsidRPr="00D16362" w14:paraId="73A87CFA" w14:textId="77777777" w:rsidTr="003411C5">
        <w:tc>
          <w:tcPr>
            <w:tcW w:w="1802" w:type="dxa"/>
            <w:shd w:val="clear" w:color="auto" w:fill="FFFFFF"/>
          </w:tcPr>
          <w:p w14:paraId="08867ADC" w14:textId="77777777" w:rsidR="0037406C" w:rsidRPr="00D16362" w:rsidRDefault="0037406C" w:rsidP="003411C5">
            <w:pPr>
              <w:pStyle w:val="CETBodytext"/>
              <w:ind w:right="-1"/>
              <w:rPr>
                <w:rFonts w:cs="Arial"/>
                <w:szCs w:val="18"/>
              </w:rPr>
            </w:pPr>
            <w:r w:rsidRPr="00D16362">
              <w:rPr>
                <w:rFonts w:cs="Arial"/>
                <w:szCs w:val="18"/>
              </w:rPr>
              <w:t>B-C*</w:t>
            </w:r>
          </w:p>
        </w:tc>
        <w:tc>
          <w:tcPr>
            <w:tcW w:w="1134" w:type="dxa"/>
            <w:shd w:val="clear" w:color="auto" w:fill="FFFFFF"/>
          </w:tcPr>
          <w:p w14:paraId="2A240292" w14:textId="77777777" w:rsidR="0037406C" w:rsidRPr="00D16362" w:rsidRDefault="0037406C" w:rsidP="003411C5">
            <w:pPr>
              <w:pStyle w:val="CETBodytext"/>
              <w:ind w:right="-1"/>
              <w:rPr>
                <w:rFonts w:cs="Arial"/>
                <w:szCs w:val="18"/>
              </w:rPr>
            </w:pPr>
            <w:r w:rsidRPr="00D16362">
              <w:rPr>
                <w:rFonts w:cs="Arial"/>
                <w:szCs w:val="18"/>
              </w:rPr>
              <w:t>51.1</w:t>
            </w:r>
          </w:p>
        </w:tc>
        <w:tc>
          <w:tcPr>
            <w:tcW w:w="850" w:type="dxa"/>
            <w:shd w:val="clear" w:color="auto" w:fill="FFFFFF"/>
          </w:tcPr>
          <w:p w14:paraId="42835ACE"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443F5A6A" w14:textId="77777777" w:rsidR="0037406C" w:rsidRPr="00D16362" w:rsidRDefault="0037406C" w:rsidP="003411C5">
            <w:pPr>
              <w:pStyle w:val="CETBodytext"/>
              <w:ind w:right="-1"/>
              <w:rPr>
                <w:rFonts w:cs="Arial"/>
                <w:szCs w:val="18"/>
              </w:rPr>
            </w:pPr>
            <w:r w:rsidRPr="00D16362">
              <w:rPr>
                <w:rFonts w:cs="Arial"/>
                <w:szCs w:val="18"/>
              </w:rPr>
              <w:t>58.6</w:t>
            </w:r>
          </w:p>
        </w:tc>
        <w:tc>
          <w:tcPr>
            <w:tcW w:w="850" w:type="dxa"/>
            <w:shd w:val="clear" w:color="auto" w:fill="FFFFFF"/>
          </w:tcPr>
          <w:p w14:paraId="4D7C7C95" w14:textId="77777777" w:rsidR="0037406C" w:rsidRPr="00D16362" w:rsidRDefault="0037406C" w:rsidP="003411C5">
            <w:pPr>
              <w:pStyle w:val="CETBodytext"/>
              <w:ind w:right="-1"/>
              <w:rPr>
                <w:rFonts w:cs="Arial"/>
                <w:szCs w:val="18"/>
              </w:rPr>
            </w:pPr>
            <w:r w:rsidRPr="00D16362">
              <w:rPr>
                <w:rFonts w:cs="Arial"/>
                <w:szCs w:val="18"/>
              </w:rPr>
              <w:t>41.4</w:t>
            </w:r>
          </w:p>
        </w:tc>
        <w:tc>
          <w:tcPr>
            <w:tcW w:w="851" w:type="dxa"/>
            <w:shd w:val="clear" w:color="auto" w:fill="FFFFFF"/>
          </w:tcPr>
          <w:p w14:paraId="3BC4456F" w14:textId="77777777" w:rsidR="0037406C" w:rsidRPr="00D16362" w:rsidRDefault="0037406C" w:rsidP="003411C5">
            <w:pPr>
              <w:pStyle w:val="CETBodytext"/>
              <w:ind w:right="-1"/>
              <w:rPr>
                <w:rFonts w:cs="Arial"/>
                <w:szCs w:val="18"/>
              </w:rPr>
            </w:pPr>
            <w:r w:rsidRPr="00D16362">
              <w:rPr>
                <w:rFonts w:cs="Arial"/>
                <w:szCs w:val="18"/>
              </w:rPr>
              <w:t>-</w:t>
            </w:r>
          </w:p>
        </w:tc>
      </w:tr>
      <w:tr w:rsidR="0037406C" w:rsidRPr="00D16362" w14:paraId="64E65646" w14:textId="77777777" w:rsidTr="003411C5">
        <w:tc>
          <w:tcPr>
            <w:tcW w:w="1802" w:type="dxa"/>
            <w:shd w:val="clear" w:color="auto" w:fill="FFFFFF"/>
          </w:tcPr>
          <w:p w14:paraId="21CF71DE" w14:textId="77777777" w:rsidR="0037406C" w:rsidRPr="00D16362" w:rsidRDefault="0037406C" w:rsidP="003411C5">
            <w:pPr>
              <w:pStyle w:val="CETBodytext"/>
              <w:ind w:right="-1"/>
              <w:rPr>
                <w:rFonts w:cs="Arial"/>
                <w:szCs w:val="18"/>
              </w:rPr>
            </w:pPr>
            <w:r w:rsidRPr="00D16362">
              <w:rPr>
                <w:rFonts w:cs="Arial"/>
                <w:szCs w:val="18"/>
              </w:rPr>
              <w:t>B-D</w:t>
            </w:r>
          </w:p>
        </w:tc>
        <w:tc>
          <w:tcPr>
            <w:tcW w:w="1134" w:type="dxa"/>
            <w:shd w:val="clear" w:color="auto" w:fill="FFFFFF"/>
          </w:tcPr>
          <w:p w14:paraId="2E500C9E" w14:textId="77777777" w:rsidR="0037406C" w:rsidRPr="00D16362" w:rsidRDefault="0037406C" w:rsidP="003411C5">
            <w:pPr>
              <w:pStyle w:val="CETBodytext"/>
              <w:ind w:right="-1"/>
              <w:rPr>
                <w:rFonts w:cs="Arial"/>
                <w:szCs w:val="18"/>
              </w:rPr>
            </w:pPr>
            <w:r w:rsidRPr="00D16362">
              <w:rPr>
                <w:rFonts w:cs="Arial"/>
                <w:szCs w:val="18"/>
              </w:rPr>
              <w:t>52.6</w:t>
            </w:r>
          </w:p>
        </w:tc>
        <w:tc>
          <w:tcPr>
            <w:tcW w:w="850" w:type="dxa"/>
            <w:shd w:val="clear" w:color="auto" w:fill="FFFFFF"/>
          </w:tcPr>
          <w:p w14:paraId="5000E15D"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4CD29011" w14:textId="77777777" w:rsidR="0037406C" w:rsidRPr="00D16362" w:rsidRDefault="0037406C" w:rsidP="003411C5">
            <w:pPr>
              <w:pStyle w:val="CETBodytext"/>
              <w:ind w:right="-1"/>
              <w:rPr>
                <w:rFonts w:cs="Arial"/>
                <w:szCs w:val="18"/>
              </w:rPr>
            </w:pPr>
            <w:r w:rsidRPr="00D16362">
              <w:rPr>
                <w:rFonts w:cs="Arial"/>
                <w:szCs w:val="18"/>
              </w:rPr>
              <w:t>96</w:t>
            </w:r>
          </w:p>
        </w:tc>
        <w:tc>
          <w:tcPr>
            <w:tcW w:w="850" w:type="dxa"/>
            <w:shd w:val="clear" w:color="auto" w:fill="FFFFFF"/>
          </w:tcPr>
          <w:p w14:paraId="44EDA980"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6C8C7EB8" w14:textId="77777777" w:rsidR="0037406C" w:rsidRPr="00D16362" w:rsidRDefault="0037406C" w:rsidP="003411C5">
            <w:pPr>
              <w:pStyle w:val="CETBodytext"/>
              <w:ind w:right="-1"/>
              <w:rPr>
                <w:rFonts w:cs="Arial"/>
                <w:szCs w:val="18"/>
              </w:rPr>
            </w:pPr>
            <w:r w:rsidRPr="00D16362">
              <w:rPr>
                <w:rFonts w:cs="Arial"/>
                <w:szCs w:val="18"/>
              </w:rPr>
              <w:t>4</w:t>
            </w:r>
          </w:p>
        </w:tc>
      </w:tr>
      <w:tr w:rsidR="0037406C" w:rsidRPr="00D16362" w14:paraId="52776048" w14:textId="77777777" w:rsidTr="003411C5">
        <w:tc>
          <w:tcPr>
            <w:tcW w:w="1802" w:type="dxa"/>
            <w:shd w:val="clear" w:color="auto" w:fill="FFFFFF"/>
          </w:tcPr>
          <w:p w14:paraId="738897F7" w14:textId="77777777" w:rsidR="0037406C" w:rsidRPr="00D16362" w:rsidRDefault="0037406C" w:rsidP="003411C5">
            <w:pPr>
              <w:pStyle w:val="CETBodytext"/>
              <w:ind w:right="-1"/>
              <w:rPr>
                <w:rFonts w:cs="Arial"/>
                <w:szCs w:val="18"/>
                <w:vertAlign w:val="superscript"/>
              </w:rPr>
            </w:pPr>
            <w:r w:rsidRPr="00D16362">
              <w:rPr>
                <w:rFonts w:cs="Arial"/>
                <w:szCs w:val="18"/>
              </w:rPr>
              <w:t>A-B-C</w:t>
            </w:r>
            <w:r w:rsidRPr="00D16362">
              <w:rPr>
                <w:rFonts w:cs="Arial"/>
                <w:szCs w:val="18"/>
                <w:vertAlign w:val="superscript"/>
              </w:rPr>
              <w:t>#</w:t>
            </w:r>
          </w:p>
        </w:tc>
        <w:tc>
          <w:tcPr>
            <w:tcW w:w="1134" w:type="dxa"/>
            <w:shd w:val="clear" w:color="auto" w:fill="FFFFFF"/>
          </w:tcPr>
          <w:p w14:paraId="5A3AC515" w14:textId="77777777" w:rsidR="0037406C" w:rsidRPr="00D16362" w:rsidRDefault="0037406C" w:rsidP="003411C5">
            <w:pPr>
              <w:pStyle w:val="CETBodytext"/>
              <w:ind w:right="-1"/>
              <w:rPr>
                <w:rFonts w:cs="Arial"/>
                <w:szCs w:val="18"/>
              </w:rPr>
            </w:pPr>
            <w:r w:rsidRPr="00D16362">
              <w:rPr>
                <w:rFonts w:cs="Arial"/>
                <w:szCs w:val="18"/>
              </w:rPr>
              <w:t>53.4</w:t>
            </w:r>
          </w:p>
        </w:tc>
        <w:tc>
          <w:tcPr>
            <w:tcW w:w="850" w:type="dxa"/>
            <w:shd w:val="clear" w:color="auto" w:fill="FFFFFF"/>
          </w:tcPr>
          <w:p w14:paraId="1BA79544" w14:textId="77777777" w:rsidR="0037406C" w:rsidRPr="00D16362" w:rsidRDefault="0037406C" w:rsidP="003411C5">
            <w:pPr>
              <w:pStyle w:val="CETBodytext"/>
              <w:ind w:right="-1"/>
              <w:rPr>
                <w:rFonts w:cs="Arial"/>
                <w:szCs w:val="18"/>
              </w:rPr>
            </w:pPr>
            <w:r w:rsidRPr="00D16362">
              <w:rPr>
                <w:rFonts w:cs="Arial"/>
                <w:szCs w:val="18"/>
              </w:rPr>
              <w:t>27</w:t>
            </w:r>
          </w:p>
        </w:tc>
        <w:tc>
          <w:tcPr>
            <w:tcW w:w="851" w:type="dxa"/>
            <w:shd w:val="clear" w:color="auto" w:fill="FFFFFF"/>
          </w:tcPr>
          <w:p w14:paraId="071614FE" w14:textId="77777777" w:rsidR="0037406C" w:rsidRPr="00D16362" w:rsidRDefault="0037406C" w:rsidP="003411C5">
            <w:pPr>
              <w:pStyle w:val="CETBodytext"/>
              <w:ind w:right="-1"/>
              <w:rPr>
                <w:rFonts w:cs="Arial"/>
                <w:szCs w:val="18"/>
              </w:rPr>
            </w:pPr>
            <w:r w:rsidRPr="00D16362">
              <w:rPr>
                <w:rFonts w:cs="Arial"/>
                <w:szCs w:val="18"/>
              </w:rPr>
              <w:t>44</w:t>
            </w:r>
          </w:p>
        </w:tc>
        <w:tc>
          <w:tcPr>
            <w:tcW w:w="850" w:type="dxa"/>
            <w:shd w:val="clear" w:color="auto" w:fill="FFFFFF"/>
          </w:tcPr>
          <w:p w14:paraId="75300C18" w14:textId="77777777" w:rsidR="0037406C" w:rsidRPr="00D16362" w:rsidRDefault="0037406C" w:rsidP="003411C5">
            <w:pPr>
              <w:pStyle w:val="CETBodytext"/>
              <w:ind w:right="-1"/>
              <w:rPr>
                <w:rFonts w:cs="Arial"/>
                <w:szCs w:val="18"/>
              </w:rPr>
            </w:pPr>
            <w:r w:rsidRPr="00D16362">
              <w:rPr>
                <w:rFonts w:cs="Arial"/>
                <w:szCs w:val="18"/>
              </w:rPr>
              <w:t>29</w:t>
            </w:r>
          </w:p>
        </w:tc>
        <w:tc>
          <w:tcPr>
            <w:tcW w:w="851" w:type="dxa"/>
            <w:shd w:val="clear" w:color="auto" w:fill="FFFFFF"/>
          </w:tcPr>
          <w:p w14:paraId="4F4CDAEC" w14:textId="77777777" w:rsidR="0037406C" w:rsidRPr="00D16362" w:rsidRDefault="0037406C" w:rsidP="003411C5">
            <w:pPr>
              <w:pStyle w:val="CETBodytext"/>
              <w:ind w:right="-1"/>
              <w:rPr>
                <w:rFonts w:cs="Arial"/>
                <w:szCs w:val="18"/>
              </w:rPr>
            </w:pPr>
            <w:r w:rsidRPr="00D16362">
              <w:rPr>
                <w:rFonts w:cs="Arial"/>
                <w:szCs w:val="18"/>
              </w:rPr>
              <w:t>-</w:t>
            </w:r>
          </w:p>
        </w:tc>
      </w:tr>
      <w:tr w:rsidR="0037406C" w:rsidRPr="00D16362" w14:paraId="70387112" w14:textId="77777777" w:rsidTr="003411C5">
        <w:tc>
          <w:tcPr>
            <w:tcW w:w="1802" w:type="dxa"/>
            <w:shd w:val="clear" w:color="auto" w:fill="FFFFFF"/>
          </w:tcPr>
          <w:p w14:paraId="48B58E1C" w14:textId="77777777" w:rsidR="0037406C" w:rsidRPr="00D16362" w:rsidRDefault="0037406C" w:rsidP="003411C5">
            <w:pPr>
              <w:pStyle w:val="CETBodytext"/>
              <w:ind w:right="-1"/>
              <w:rPr>
                <w:rFonts w:cs="Arial"/>
                <w:szCs w:val="18"/>
              </w:rPr>
            </w:pPr>
            <w:r w:rsidRPr="00D16362">
              <w:rPr>
                <w:rFonts w:cs="Arial"/>
                <w:szCs w:val="18"/>
              </w:rPr>
              <w:t>B</w:t>
            </w:r>
          </w:p>
        </w:tc>
        <w:tc>
          <w:tcPr>
            <w:tcW w:w="1134" w:type="dxa"/>
            <w:shd w:val="clear" w:color="auto" w:fill="FFFFFF"/>
          </w:tcPr>
          <w:p w14:paraId="7819ADD9" w14:textId="77777777" w:rsidR="0037406C" w:rsidRPr="00D16362" w:rsidRDefault="0037406C" w:rsidP="003411C5">
            <w:pPr>
              <w:pStyle w:val="CETBodytext"/>
              <w:ind w:right="-1"/>
              <w:rPr>
                <w:rFonts w:cs="Arial"/>
                <w:szCs w:val="18"/>
              </w:rPr>
            </w:pPr>
            <w:r w:rsidRPr="00D16362">
              <w:rPr>
                <w:rFonts w:cs="Arial"/>
                <w:szCs w:val="18"/>
              </w:rPr>
              <w:t>55.2</w:t>
            </w:r>
          </w:p>
        </w:tc>
        <w:tc>
          <w:tcPr>
            <w:tcW w:w="850" w:type="dxa"/>
            <w:shd w:val="clear" w:color="auto" w:fill="FFFFFF"/>
          </w:tcPr>
          <w:p w14:paraId="0C2F4A55"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0D4352F5" w14:textId="77777777" w:rsidR="0037406C" w:rsidRPr="00D16362" w:rsidRDefault="0037406C" w:rsidP="003411C5">
            <w:pPr>
              <w:pStyle w:val="CETBodytext"/>
              <w:ind w:right="-1"/>
              <w:rPr>
                <w:rFonts w:cs="Arial"/>
                <w:szCs w:val="18"/>
              </w:rPr>
            </w:pPr>
            <w:r w:rsidRPr="00D16362">
              <w:rPr>
                <w:rFonts w:cs="Arial"/>
                <w:szCs w:val="18"/>
              </w:rPr>
              <w:t>100</w:t>
            </w:r>
          </w:p>
        </w:tc>
        <w:tc>
          <w:tcPr>
            <w:tcW w:w="850" w:type="dxa"/>
            <w:shd w:val="clear" w:color="auto" w:fill="FFFFFF"/>
          </w:tcPr>
          <w:p w14:paraId="6AD23DB2"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1E95B473" w14:textId="77777777" w:rsidR="0037406C" w:rsidRPr="00D16362" w:rsidRDefault="0037406C" w:rsidP="003411C5">
            <w:pPr>
              <w:pStyle w:val="CETBodytext"/>
              <w:ind w:right="-1"/>
              <w:rPr>
                <w:rFonts w:cs="Arial"/>
                <w:szCs w:val="18"/>
              </w:rPr>
            </w:pPr>
            <w:r w:rsidRPr="00D16362">
              <w:rPr>
                <w:rFonts w:cs="Arial"/>
                <w:szCs w:val="18"/>
              </w:rPr>
              <w:t>-</w:t>
            </w:r>
          </w:p>
        </w:tc>
      </w:tr>
      <w:tr w:rsidR="0037406C" w:rsidRPr="00D16362" w14:paraId="2C1EE822" w14:textId="77777777" w:rsidTr="003411C5">
        <w:tc>
          <w:tcPr>
            <w:tcW w:w="1802" w:type="dxa"/>
            <w:shd w:val="clear" w:color="auto" w:fill="FFFFFF"/>
          </w:tcPr>
          <w:p w14:paraId="4056C2D0" w14:textId="77777777" w:rsidR="0037406C" w:rsidRPr="00D16362" w:rsidRDefault="0037406C" w:rsidP="003411C5">
            <w:pPr>
              <w:pStyle w:val="CETBodytext"/>
              <w:ind w:right="-1"/>
              <w:rPr>
                <w:rFonts w:cs="Arial"/>
                <w:szCs w:val="18"/>
              </w:rPr>
            </w:pPr>
            <w:r w:rsidRPr="00D16362">
              <w:rPr>
                <w:rFonts w:cs="Arial"/>
                <w:szCs w:val="18"/>
              </w:rPr>
              <w:t>A-B</w:t>
            </w:r>
            <w:r w:rsidRPr="00D16362">
              <w:rPr>
                <w:rFonts w:cs="Arial"/>
                <w:szCs w:val="18"/>
                <w:vertAlign w:val="superscript"/>
              </w:rPr>
              <w:t>#</w:t>
            </w:r>
          </w:p>
        </w:tc>
        <w:tc>
          <w:tcPr>
            <w:tcW w:w="1134" w:type="dxa"/>
            <w:shd w:val="clear" w:color="auto" w:fill="FFFFFF"/>
          </w:tcPr>
          <w:p w14:paraId="5B7C8864" w14:textId="77777777" w:rsidR="0037406C" w:rsidRPr="00D16362" w:rsidRDefault="0037406C" w:rsidP="003411C5">
            <w:pPr>
              <w:pStyle w:val="CETBodytext"/>
              <w:ind w:right="-1"/>
              <w:rPr>
                <w:rFonts w:cs="Arial"/>
                <w:szCs w:val="18"/>
              </w:rPr>
            </w:pPr>
            <w:r w:rsidRPr="00D16362">
              <w:rPr>
                <w:rFonts w:cs="Arial"/>
                <w:szCs w:val="18"/>
              </w:rPr>
              <w:t>55.24</w:t>
            </w:r>
          </w:p>
        </w:tc>
        <w:tc>
          <w:tcPr>
            <w:tcW w:w="850" w:type="dxa"/>
            <w:shd w:val="clear" w:color="auto" w:fill="FFFFFF"/>
          </w:tcPr>
          <w:p w14:paraId="53895492" w14:textId="77777777" w:rsidR="0037406C" w:rsidRPr="00D16362" w:rsidRDefault="0037406C" w:rsidP="003411C5">
            <w:pPr>
              <w:pStyle w:val="CETBodytext"/>
              <w:ind w:right="-1"/>
              <w:rPr>
                <w:rFonts w:cs="Arial"/>
                <w:szCs w:val="18"/>
              </w:rPr>
            </w:pPr>
            <w:r w:rsidRPr="00D16362">
              <w:rPr>
                <w:rFonts w:cs="Arial"/>
                <w:szCs w:val="18"/>
              </w:rPr>
              <w:t>9.3</w:t>
            </w:r>
          </w:p>
        </w:tc>
        <w:tc>
          <w:tcPr>
            <w:tcW w:w="851" w:type="dxa"/>
            <w:shd w:val="clear" w:color="auto" w:fill="FFFFFF"/>
          </w:tcPr>
          <w:p w14:paraId="567E42A0" w14:textId="77777777" w:rsidR="0037406C" w:rsidRPr="00D16362" w:rsidRDefault="0037406C" w:rsidP="003411C5">
            <w:pPr>
              <w:pStyle w:val="CETBodytext"/>
              <w:ind w:right="-1"/>
              <w:rPr>
                <w:rFonts w:cs="Arial"/>
                <w:szCs w:val="18"/>
              </w:rPr>
            </w:pPr>
            <w:r w:rsidRPr="00D16362">
              <w:rPr>
                <w:rFonts w:cs="Arial"/>
                <w:szCs w:val="18"/>
              </w:rPr>
              <w:t>90.7</w:t>
            </w:r>
          </w:p>
        </w:tc>
        <w:tc>
          <w:tcPr>
            <w:tcW w:w="850" w:type="dxa"/>
            <w:shd w:val="clear" w:color="auto" w:fill="FFFFFF"/>
          </w:tcPr>
          <w:p w14:paraId="44CEC8F2"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4BFFB711" w14:textId="77777777" w:rsidR="0037406C" w:rsidRPr="00D16362" w:rsidRDefault="0037406C" w:rsidP="003411C5">
            <w:pPr>
              <w:pStyle w:val="CETBodytext"/>
              <w:ind w:right="-1"/>
              <w:rPr>
                <w:rFonts w:cs="Arial"/>
                <w:szCs w:val="18"/>
              </w:rPr>
            </w:pPr>
            <w:r w:rsidRPr="00D16362">
              <w:rPr>
                <w:rFonts w:cs="Arial"/>
                <w:szCs w:val="18"/>
              </w:rPr>
              <w:t>-</w:t>
            </w:r>
          </w:p>
        </w:tc>
      </w:tr>
      <w:tr w:rsidR="0037406C" w:rsidRPr="00D16362" w14:paraId="00BA0A6F" w14:textId="77777777" w:rsidTr="003411C5">
        <w:tc>
          <w:tcPr>
            <w:tcW w:w="1802" w:type="dxa"/>
            <w:shd w:val="clear" w:color="auto" w:fill="FFFFFF"/>
          </w:tcPr>
          <w:p w14:paraId="38BC3BD7" w14:textId="77777777" w:rsidR="0037406C" w:rsidRPr="00D16362" w:rsidRDefault="0037406C" w:rsidP="003411C5">
            <w:pPr>
              <w:pStyle w:val="CETBodytext"/>
              <w:ind w:right="-1"/>
              <w:rPr>
                <w:rFonts w:cs="Arial"/>
                <w:szCs w:val="18"/>
              </w:rPr>
            </w:pPr>
            <w:r w:rsidRPr="00D16362">
              <w:rPr>
                <w:rFonts w:cs="Arial"/>
                <w:szCs w:val="18"/>
              </w:rPr>
              <w:t>C</w:t>
            </w:r>
          </w:p>
        </w:tc>
        <w:tc>
          <w:tcPr>
            <w:tcW w:w="1134" w:type="dxa"/>
            <w:shd w:val="clear" w:color="auto" w:fill="FFFFFF"/>
          </w:tcPr>
          <w:p w14:paraId="285078A1" w14:textId="77777777" w:rsidR="0037406C" w:rsidRPr="00D16362" w:rsidRDefault="0037406C" w:rsidP="003411C5">
            <w:pPr>
              <w:pStyle w:val="CETBodytext"/>
              <w:ind w:right="-1"/>
              <w:rPr>
                <w:rFonts w:cs="Arial"/>
                <w:szCs w:val="18"/>
              </w:rPr>
            </w:pPr>
            <w:r w:rsidRPr="00D16362">
              <w:rPr>
                <w:rFonts w:cs="Arial"/>
                <w:szCs w:val="18"/>
              </w:rPr>
              <w:t>56.2</w:t>
            </w:r>
          </w:p>
        </w:tc>
        <w:tc>
          <w:tcPr>
            <w:tcW w:w="850" w:type="dxa"/>
            <w:shd w:val="clear" w:color="auto" w:fill="FFFFFF"/>
          </w:tcPr>
          <w:p w14:paraId="323083F1"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0A428B06" w14:textId="77777777" w:rsidR="0037406C" w:rsidRPr="00D16362" w:rsidRDefault="0037406C" w:rsidP="003411C5">
            <w:pPr>
              <w:pStyle w:val="CETBodytext"/>
              <w:ind w:right="-1"/>
              <w:rPr>
                <w:rFonts w:cs="Arial"/>
                <w:szCs w:val="18"/>
              </w:rPr>
            </w:pPr>
            <w:r w:rsidRPr="00D16362">
              <w:rPr>
                <w:rFonts w:cs="Arial"/>
                <w:szCs w:val="18"/>
              </w:rPr>
              <w:t>-</w:t>
            </w:r>
          </w:p>
        </w:tc>
        <w:tc>
          <w:tcPr>
            <w:tcW w:w="850" w:type="dxa"/>
            <w:shd w:val="clear" w:color="auto" w:fill="FFFFFF"/>
          </w:tcPr>
          <w:p w14:paraId="35DC09D2" w14:textId="77777777" w:rsidR="0037406C" w:rsidRPr="00D16362" w:rsidRDefault="0037406C" w:rsidP="003411C5">
            <w:pPr>
              <w:pStyle w:val="CETBodytext"/>
              <w:ind w:right="-1"/>
              <w:rPr>
                <w:rFonts w:cs="Arial"/>
                <w:szCs w:val="18"/>
              </w:rPr>
            </w:pPr>
            <w:r w:rsidRPr="00D16362">
              <w:rPr>
                <w:rFonts w:cs="Arial"/>
                <w:szCs w:val="18"/>
              </w:rPr>
              <w:t>100</w:t>
            </w:r>
          </w:p>
        </w:tc>
        <w:tc>
          <w:tcPr>
            <w:tcW w:w="851" w:type="dxa"/>
            <w:shd w:val="clear" w:color="auto" w:fill="FFFFFF"/>
          </w:tcPr>
          <w:p w14:paraId="5571904F" w14:textId="77777777" w:rsidR="0037406C" w:rsidRPr="00D16362" w:rsidRDefault="0037406C" w:rsidP="003411C5">
            <w:pPr>
              <w:pStyle w:val="CETBodytext"/>
              <w:ind w:right="-1"/>
              <w:rPr>
                <w:rFonts w:cs="Arial"/>
                <w:szCs w:val="18"/>
              </w:rPr>
            </w:pPr>
            <w:r w:rsidRPr="00D16362">
              <w:rPr>
                <w:rFonts w:cs="Arial"/>
                <w:szCs w:val="18"/>
              </w:rPr>
              <w:t>-</w:t>
            </w:r>
          </w:p>
        </w:tc>
      </w:tr>
      <w:tr w:rsidR="0037406C" w:rsidRPr="00D16362" w14:paraId="65D45EC5" w14:textId="77777777" w:rsidTr="003411C5">
        <w:tc>
          <w:tcPr>
            <w:tcW w:w="1802" w:type="dxa"/>
            <w:shd w:val="clear" w:color="auto" w:fill="FFFFFF"/>
          </w:tcPr>
          <w:p w14:paraId="7C2EEEBB" w14:textId="77777777" w:rsidR="0037406C" w:rsidRPr="00D16362" w:rsidRDefault="0037406C" w:rsidP="003411C5">
            <w:pPr>
              <w:pStyle w:val="CETBodytext"/>
              <w:ind w:right="-1"/>
              <w:rPr>
                <w:rFonts w:cs="Arial"/>
                <w:szCs w:val="18"/>
              </w:rPr>
            </w:pPr>
            <w:r w:rsidRPr="00D16362">
              <w:rPr>
                <w:rFonts w:cs="Arial"/>
                <w:szCs w:val="18"/>
              </w:rPr>
              <w:t>D</w:t>
            </w:r>
          </w:p>
        </w:tc>
        <w:tc>
          <w:tcPr>
            <w:tcW w:w="1134" w:type="dxa"/>
            <w:shd w:val="clear" w:color="auto" w:fill="FFFFFF"/>
          </w:tcPr>
          <w:p w14:paraId="2F8974CC" w14:textId="77777777" w:rsidR="0037406C" w:rsidRPr="00D16362" w:rsidRDefault="0037406C" w:rsidP="003411C5">
            <w:pPr>
              <w:pStyle w:val="CETBodytext"/>
              <w:ind w:right="-1"/>
              <w:rPr>
                <w:rFonts w:cs="Arial"/>
                <w:szCs w:val="18"/>
              </w:rPr>
            </w:pPr>
            <w:r w:rsidRPr="00D16362">
              <w:rPr>
                <w:rFonts w:cs="Arial"/>
                <w:szCs w:val="18"/>
              </w:rPr>
              <w:t>100</w:t>
            </w:r>
          </w:p>
        </w:tc>
        <w:tc>
          <w:tcPr>
            <w:tcW w:w="850" w:type="dxa"/>
            <w:shd w:val="clear" w:color="auto" w:fill="FFFFFF"/>
          </w:tcPr>
          <w:p w14:paraId="475274AD"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4152DE06" w14:textId="77777777" w:rsidR="0037406C" w:rsidRPr="00D16362" w:rsidRDefault="0037406C" w:rsidP="003411C5">
            <w:pPr>
              <w:pStyle w:val="CETBodytext"/>
              <w:ind w:right="-1"/>
              <w:rPr>
                <w:rFonts w:cs="Arial"/>
                <w:szCs w:val="18"/>
              </w:rPr>
            </w:pPr>
            <w:r w:rsidRPr="00D16362">
              <w:rPr>
                <w:rFonts w:cs="Arial"/>
                <w:szCs w:val="18"/>
              </w:rPr>
              <w:t>-</w:t>
            </w:r>
          </w:p>
        </w:tc>
        <w:tc>
          <w:tcPr>
            <w:tcW w:w="850" w:type="dxa"/>
            <w:shd w:val="clear" w:color="auto" w:fill="FFFFFF"/>
          </w:tcPr>
          <w:p w14:paraId="231C6978" w14:textId="77777777" w:rsidR="0037406C" w:rsidRPr="00D16362" w:rsidRDefault="0037406C" w:rsidP="003411C5">
            <w:pPr>
              <w:pStyle w:val="CETBodytext"/>
              <w:ind w:right="-1"/>
              <w:rPr>
                <w:rFonts w:cs="Arial"/>
                <w:szCs w:val="18"/>
              </w:rPr>
            </w:pPr>
            <w:r w:rsidRPr="00D16362">
              <w:rPr>
                <w:rFonts w:cs="Arial"/>
                <w:szCs w:val="18"/>
              </w:rPr>
              <w:t>-</w:t>
            </w:r>
          </w:p>
        </w:tc>
        <w:tc>
          <w:tcPr>
            <w:tcW w:w="851" w:type="dxa"/>
            <w:shd w:val="clear" w:color="auto" w:fill="FFFFFF"/>
          </w:tcPr>
          <w:p w14:paraId="1406D98B" w14:textId="77777777" w:rsidR="0037406C" w:rsidRPr="00D16362" w:rsidRDefault="0037406C" w:rsidP="003411C5">
            <w:pPr>
              <w:pStyle w:val="CETBodytext"/>
              <w:ind w:right="-1"/>
              <w:rPr>
                <w:rFonts w:cs="Arial"/>
                <w:szCs w:val="18"/>
              </w:rPr>
            </w:pPr>
            <w:r w:rsidRPr="00D16362">
              <w:rPr>
                <w:rFonts w:cs="Arial"/>
                <w:szCs w:val="18"/>
              </w:rPr>
              <w:t>100</w:t>
            </w:r>
          </w:p>
        </w:tc>
      </w:tr>
    </w:tbl>
    <w:p w14:paraId="23964EC1" w14:textId="77777777" w:rsidR="0037406C" w:rsidRPr="00D16362" w:rsidRDefault="0037406C" w:rsidP="0037406C">
      <w:pPr>
        <w:pStyle w:val="CETTabletitle"/>
        <w:rPr>
          <w:lang w:val="en-US"/>
        </w:rPr>
      </w:pPr>
      <w:r w:rsidRPr="00D16362">
        <w:rPr>
          <w:lang w:val="en-US"/>
        </w:rPr>
        <w:t>Table 2: Binary interaction parameters of the mixtures of B</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81"/>
        <w:gridCol w:w="1181"/>
        <w:gridCol w:w="1357"/>
        <w:gridCol w:w="1357"/>
        <w:gridCol w:w="1357"/>
      </w:tblGrid>
      <w:tr w:rsidR="00BD69FC" w:rsidRPr="00D16362" w14:paraId="2404DAFD" w14:textId="4AE49636" w:rsidTr="005C7E55">
        <w:trPr>
          <w:trHeight w:val="222"/>
        </w:trPr>
        <w:tc>
          <w:tcPr>
            <w:tcW w:w="1181" w:type="dxa"/>
            <w:tcBorders>
              <w:top w:val="single" w:sz="12" w:space="0" w:color="008000"/>
              <w:bottom w:val="single" w:sz="4" w:space="0" w:color="006600"/>
            </w:tcBorders>
            <w:shd w:val="clear" w:color="auto" w:fill="FFFFFF"/>
          </w:tcPr>
          <w:p w14:paraId="58581954" w14:textId="77777777" w:rsidR="00BD69FC" w:rsidRPr="00D16362" w:rsidRDefault="00BD69FC" w:rsidP="003411C5">
            <w:pPr>
              <w:pStyle w:val="CETBodytext"/>
            </w:pPr>
            <w:r w:rsidRPr="00D16362">
              <w:t>Component 1</w:t>
            </w:r>
          </w:p>
        </w:tc>
        <w:tc>
          <w:tcPr>
            <w:tcW w:w="1181" w:type="dxa"/>
            <w:tcBorders>
              <w:top w:val="single" w:sz="12" w:space="0" w:color="008000"/>
              <w:bottom w:val="single" w:sz="4" w:space="0" w:color="006600"/>
            </w:tcBorders>
            <w:shd w:val="clear" w:color="auto" w:fill="FFFFFF"/>
          </w:tcPr>
          <w:p w14:paraId="46D095D7" w14:textId="77777777" w:rsidR="00BD69FC" w:rsidRPr="00D16362" w:rsidRDefault="00BD69FC" w:rsidP="003411C5">
            <w:pPr>
              <w:pStyle w:val="CETBodytext"/>
            </w:pPr>
            <w:r w:rsidRPr="00D16362">
              <w:t>Component 2</w:t>
            </w:r>
          </w:p>
        </w:tc>
        <w:tc>
          <w:tcPr>
            <w:tcW w:w="1357" w:type="dxa"/>
            <w:tcBorders>
              <w:top w:val="single" w:sz="12" w:space="0" w:color="008000"/>
              <w:bottom w:val="single" w:sz="4" w:space="0" w:color="006600"/>
            </w:tcBorders>
            <w:shd w:val="clear" w:color="auto" w:fill="FFFFFF"/>
          </w:tcPr>
          <w:p w14:paraId="4B112947" w14:textId="77777777" w:rsidR="00BD69FC" w:rsidRPr="00D16362" w:rsidRDefault="00BD69FC" w:rsidP="003411C5">
            <w:pPr>
              <w:pStyle w:val="CETBodytext"/>
              <w:ind w:right="-1"/>
              <w:rPr>
                <w:rFonts w:cs="Arial"/>
                <w:szCs w:val="18"/>
              </w:rPr>
            </w:pPr>
            <w:r w:rsidRPr="00D16362">
              <w:t>U</w:t>
            </w:r>
            <w:r w:rsidRPr="00D16362">
              <w:rPr>
                <w:vertAlign w:val="subscript"/>
              </w:rPr>
              <w:t>12</w:t>
            </w:r>
            <w:r w:rsidRPr="00D16362">
              <w:t>-U</w:t>
            </w:r>
            <w:r w:rsidRPr="00D16362">
              <w:rPr>
                <w:vertAlign w:val="subscript"/>
              </w:rPr>
              <w:t>22</w:t>
            </w:r>
            <w:r w:rsidRPr="00D16362">
              <w:t xml:space="preserve">, </w:t>
            </w:r>
            <w:proofErr w:type="spellStart"/>
            <w:r w:rsidRPr="00D16362">
              <w:t>cal</w:t>
            </w:r>
            <w:proofErr w:type="spellEnd"/>
            <w:r w:rsidRPr="00D16362">
              <w:t>/</w:t>
            </w:r>
            <w:proofErr w:type="spellStart"/>
            <w:r w:rsidRPr="00D16362">
              <w:t>mol</w:t>
            </w:r>
            <w:proofErr w:type="spellEnd"/>
          </w:p>
        </w:tc>
        <w:tc>
          <w:tcPr>
            <w:tcW w:w="1357" w:type="dxa"/>
            <w:tcBorders>
              <w:top w:val="single" w:sz="12" w:space="0" w:color="008000"/>
              <w:bottom w:val="single" w:sz="4" w:space="0" w:color="006600"/>
            </w:tcBorders>
            <w:shd w:val="clear" w:color="auto" w:fill="FFFFFF"/>
          </w:tcPr>
          <w:p w14:paraId="6C697044" w14:textId="77777777" w:rsidR="00BD69FC" w:rsidRPr="00D16362" w:rsidRDefault="00BD69FC" w:rsidP="003411C5">
            <w:pPr>
              <w:pStyle w:val="CETBodytext"/>
              <w:ind w:right="-1"/>
              <w:rPr>
                <w:rFonts w:cs="Arial"/>
                <w:szCs w:val="18"/>
              </w:rPr>
            </w:pPr>
            <w:r w:rsidRPr="00D16362">
              <w:t>U</w:t>
            </w:r>
            <w:r w:rsidRPr="00D16362">
              <w:rPr>
                <w:vertAlign w:val="subscript"/>
              </w:rPr>
              <w:t>21</w:t>
            </w:r>
            <w:r w:rsidRPr="00D16362">
              <w:t>-U</w:t>
            </w:r>
            <w:r w:rsidRPr="00D16362">
              <w:rPr>
                <w:vertAlign w:val="subscript"/>
              </w:rPr>
              <w:t>11</w:t>
            </w:r>
            <w:r w:rsidRPr="00D16362">
              <w:t xml:space="preserve">, </w:t>
            </w:r>
            <w:proofErr w:type="spellStart"/>
            <w:r w:rsidRPr="00D16362">
              <w:t>cal</w:t>
            </w:r>
            <w:proofErr w:type="spellEnd"/>
            <w:r w:rsidRPr="00D16362">
              <w:t>/</w:t>
            </w:r>
            <w:proofErr w:type="spellStart"/>
            <w:r w:rsidRPr="00D16362">
              <w:t>mol</w:t>
            </w:r>
            <w:proofErr w:type="spellEnd"/>
          </w:p>
        </w:tc>
        <w:tc>
          <w:tcPr>
            <w:tcW w:w="1357" w:type="dxa"/>
            <w:tcBorders>
              <w:top w:val="single" w:sz="12" w:space="0" w:color="008000"/>
              <w:bottom w:val="single" w:sz="4" w:space="0" w:color="006600"/>
            </w:tcBorders>
            <w:shd w:val="clear" w:color="auto" w:fill="FFFFFF"/>
          </w:tcPr>
          <w:p w14:paraId="3E6364F7" w14:textId="58569FFA" w:rsidR="00BD69FC" w:rsidRPr="00D16362" w:rsidRDefault="00BD69FC" w:rsidP="003411C5">
            <w:pPr>
              <w:pStyle w:val="CETBodytext"/>
              <w:ind w:right="-1"/>
            </w:pPr>
            <w:r>
              <w:t>Source</w:t>
            </w:r>
          </w:p>
        </w:tc>
      </w:tr>
      <w:tr w:rsidR="00BD69FC" w:rsidRPr="00D16362" w14:paraId="392BE62E" w14:textId="06253F49" w:rsidTr="005C7E55">
        <w:tc>
          <w:tcPr>
            <w:tcW w:w="1181" w:type="dxa"/>
            <w:tcBorders>
              <w:top w:val="single" w:sz="4" w:space="0" w:color="006600"/>
            </w:tcBorders>
            <w:shd w:val="clear" w:color="auto" w:fill="FFFFFF"/>
          </w:tcPr>
          <w:p w14:paraId="6951E02B" w14:textId="77777777" w:rsidR="00BD69FC" w:rsidRPr="00D16362" w:rsidRDefault="00BD69FC" w:rsidP="003411C5">
            <w:pPr>
              <w:pStyle w:val="CETBodytext"/>
            </w:pPr>
            <w:r w:rsidRPr="00D16362">
              <w:t>A</w:t>
            </w:r>
          </w:p>
        </w:tc>
        <w:tc>
          <w:tcPr>
            <w:tcW w:w="1181" w:type="dxa"/>
            <w:tcBorders>
              <w:top w:val="single" w:sz="4" w:space="0" w:color="006600"/>
            </w:tcBorders>
            <w:shd w:val="clear" w:color="auto" w:fill="FFFFFF"/>
          </w:tcPr>
          <w:p w14:paraId="0511BDAC" w14:textId="77777777" w:rsidR="00BD69FC" w:rsidRPr="00D16362" w:rsidRDefault="00BD69FC" w:rsidP="003411C5">
            <w:pPr>
              <w:pStyle w:val="CETBodytext"/>
            </w:pPr>
            <w:r w:rsidRPr="00D16362">
              <w:t>B</w:t>
            </w:r>
          </w:p>
        </w:tc>
        <w:tc>
          <w:tcPr>
            <w:tcW w:w="1357" w:type="dxa"/>
            <w:tcBorders>
              <w:top w:val="single" w:sz="4" w:space="0" w:color="006600"/>
            </w:tcBorders>
            <w:shd w:val="clear" w:color="auto" w:fill="FFFFFF"/>
          </w:tcPr>
          <w:p w14:paraId="14A6201E" w14:textId="77777777" w:rsidR="00BD69FC" w:rsidRPr="00D16362" w:rsidRDefault="00BD69FC" w:rsidP="003411C5">
            <w:pPr>
              <w:pStyle w:val="CETBodytext"/>
              <w:ind w:right="-1"/>
              <w:rPr>
                <w:rFonts w:cs="Arial"/>
                <w:szCs w:val="18"/>
              </w:rPr>
            </w:pPr>
            <w:r w:rsidRPr="00D16362">
              <w:t>-388.0172</w:t>
            </w:r>
          </w:p>
        </w:tc>
        <w:tc>
          <w:tcPr>
            <w:tcW w:w="1357" w:type="dxa"/>
            <w:tcBorders>
              <w:top w:val="single" w:sz="4" w:space="0" w:color="006600"/>
            </w:tcBorders>
            <w:shd w:val="clear" w:color="auto" w:fill="FFFFFF"/>
          </w:tcPr>
          <w:p w14:paraId="442ACDF4" w14:textId="77777777" w:rsidR="00BD69FC" w:rsidRPr="00D16362" w:rsidRDefault="00BD69FC" w:rsidP="003411C5">
            <w:pPr>
              <w:pStyle w:val="CETBodytext"/>
              <w:ind w:right="-1"/>
              <w:rPr>
                <w:rFonts w:cs="Arial"/>
                <w:szCs w:val="18"/>
              </w:rPr>
            </w:pPr>
            <w:r w:rsidRPr="00D16362">
              <w:t>376.2425</w:t>
            </w:r>
          </w:p>
        </w:tc>
        <w:tc>
          <w:tcPr>
            <w:tcW w:w="1357" w:type="dxa"/>
            <w:tcBorders>
              <w:top w:val="single" w:sz="4" w:space="0" w:color="006600"/>
            </w:tcBorders>
            <w:shd w:val="clear" w:color="auto" w:fill="FFFFFF"/>
          </w:tcPr>
          <w:p w14:paraId="5DF9880B" w14:textId="2ABAE6C6" w:rsidR="00BD69FC" w:rsidRPr="00D16362" w:rsidRDefault="00BD69FC" w:rsidP="003411C5">
            <w:pPr>
              <w:pStyle w:val="CETBodytext"/>
              <w:ind w:right="-1"/>
            </w:pPr>
            <w:r>
              <w:t>UNIFAC</w:t>
            </w:r>
          </w:p>
        </w:tc>
      </w:tr>
      <w:tr w:rsidR="00BD69FC" w:rsidRPr="00D16362" w14:paraId="0D074A96" w14:textId="48E4F47F" w:rsidTr="005C7E55">
        <w:tc>
          <w:tcPr>
            <w:tcW w:w="1181" w:type="dxa"/>
            <w:shd w:val="clear" w:color="auto" w:fill="FFFFFF"/>
          </w:tcPr>
          <w:p w14:paraId="642A32B3" w14:textId="77777777" w:rsidR="00BD69FC" w:rsidRPr="00D16362" w:rsidRDefault="00BD69FC" w:rsidP="003411C5">
            <w:pPr>
              <w:pStyle w:val="CETBodytext"/>
              <w:ind w:right="-1"/>
              <w:rPr>
                <w:rFonts w:cs="Arial"/>
                <w:szCs w:val="18"/>
              </w:rPr>
            </w:pPr>
            <w:r w:rsidRPr="00D16362">
              <w:rPr>
                <w:rFonts w:cs="Arial"/>
                <w:szCs w:val="18"/>
              </w:rPr>
              <w:t>B</w:t>
            </w:r>
          </w:p>
        </w:tc>
        <w:tc>
          <w:tcPr>
            <w:tcW w:w="1181" w:type="dxa"/>
            <w:shd w:val="clear" w:color="auto" w:fill="FFFFFF"/>
          </w:tcPr>
          <w:p w14:paraId="41E7DB83" w14:textId="77777777" w:rsidR="00BD69FC" w:rsidRPr="00D16362" w:rsidRDefault="00BD69FC" w:rsidP="003411C5">
            <w:pPr>
              <w:pStyle w:val="CETBodytext"/>
              <w:ind w:right="-1"/>
              <w:rPr>
                <w:rFonts w:cs="Arial"/>
                <w:szCs w:val="18"/>
              </w:rPr>
            </w:pPr>
            <w:r w:rsidRPr="00D16362">
              <w:rPr>
                <w:rFonts w:cs="Arial"/>
                <w:szCs w:val="18"/>
              </w:rPr>
              <w:t>C</w:t>
            </w:r>
          </w:p>
        </w:tc>
        <w:tc>
          <w:tcPr>
            <w:tcW w:w="1357" w:type="dxa"/>
            <w:shd w:val="clear" w:color="auto" w:fill="FFFFFF"/>
          </w:tcPr>
          <w:p w14:paraId="76DD0C4D" w14:textId="77777777" w:rsidR="00BD69FC" w:rsidRPr="00D16362" w:rsidRDefault="00BD69FC" w:rsidP="003411C5">
            <w:pPr>
              <w:pStyle w:val="CETBodytext"/>
              <w:ind w:right="-1"/>
              <w:rPr>
                <w:rFonts w:cs="Arial"/>
                <w:szCs w:val="18"/>
              </w:rPr>
            </w:pPr>
            <w:r w:rsidRPr="00D16362">
              <w:t>381.1923</w:t>
            </w:r>
          </w:p>
        </w:tc>
        <w:tc>
          <w:tcPr>
            <w:tcW w:w="1357" w:type="dxa"/>
            <w:shd w:val="clear" w:color="auto" w:fill="FFFFFF"/>
          </w:tcPr>
          <w:p w14:paraId="192DCC67" w14:textId="77777777" w:rsidR="00BD69FC" w:rsidRPr="00D16362" w:rsidRDefault="00BD69FC" w:rsidP="003411C5">
            <w:pPr>
              <w:pStyle w:val="CETBodytext"/>
              <w:ind w:right="-1"/>
              <w:rPr>
                <w:rFonts w:cs="Arial"/>
                <w:szCs w:val="18"/>
              </w:rPr>
            </w:pPr>
            <w:r w:rsidRPr="00D16362">
              <w:t>-169.8641</w:t>
            </w:r>
          </w:p>
        </w:tc>
        <w:tc>
          <w:tcPr>
            <w:tcW w:w="1357" w:type="dxa"/>
            <w:shd w:val="clear" w:color="auto" w:fill="FFFFFF"/>
          </w:tcPr>
          <w:p w14:paraId="12849890" w14:textId="1D383307" w:rsidR="00BD69FC" w:rsidRPr="00D16362" w:rsidRDefault="00BD69FC" w:rsidP="003411C5">
            <w:pPr>
              <w:pStyle w:val="CETBodytext"/>
              <w:ind w:right="-1"/>
            </w:pPr>
            <w:r>
              <w:t>UNIFAC</w:t>
            </w:r>
          </w:p>
        </w:tc>
      </w:tr>
      <w:tr w:rsidR="00BD69FC" w:rsidRPr="00D16362" w14:paraId="307EA14F" w14:textId="03DD796C" w:rsidTr="005C7E55">
        <w:tc>
          <w:tcPr>
            <w:tcW w:w="1181" w:type="dxa"/>
            <w:shd w:val="clear" w:color="auto" w:fill="FFFFFF"/>
          </w:tcPr>
          <w:p w14:paraId="6BC514B0" w14:textId="77777777" w:rsidR="00BD69FC" w:rsidRPr="00D16362" w:rsidRDefault="00BD69FC" w:rsidP="003411C5">
            <w:pPr>
              <w:pStyle w:val="CETBodytext"/>
              <w:ind w:right="-1"/>
              <w:rPr>
                <w:rFonts w:cs="Arial"/>
                <w:szCs w:val="18"/>
              </w:rPr>
            </w:pPr>
            <w:r w:rsidRPr="00D16362">
              <w:rPr>
                <w:rFonts w:cs="Arial"/>
                <w:szCs w:val="18"/>
              </w:rPr>
              <w:t>B</w:t>
            </w:r>
          </w:p>
        </w:tc>
        <w:tc>
          <w:tcPr>
            <w:tcW w:w="1181" w:type="dxa"/>
            <w:shd w:val="clear" w:color="auto" w:fill="FFFFFF"/>
          </w:tcPr>
          <w:p w14:paraId="02B7869F" w14:textId="77777777" w:rsidR="00BD69FC" w:rsidRPr="00D16362" w:rsidRDefault="00BD69FC" w:rsidP="003411C5">
            <w:pPr>
              <w:pStyle w:val="CETBodytext"/>
              <w:ind w:right="-1"/>
              <w:rPr>
                <w:rFonts w:cs="Arial"/>
                <w:szCs w:val="18"/>
              </w:rPr>
            </w:pPr>
            <w:r w:rsidRPr="00D16362">
              <w:rPr>
                <w:rFonts w:cs="Arial"/>
                <w:szCs w:val="18"/>
              </w:rPr>
              <w:t>D</w:t>
            </w:r>
          </w:p>
        </w:tc>
        <w:tc>
          <w:tcPr>
            <w:tcW w:w="1357" w:type="dxa"/>
            <w:shd w:val="clear" w:color="auto" w:fill="FFFFFF"/>
          </w:tcPr>
          <w:p w14:paraId="55B43DC7" w14:textId="77777777" w:rsidR="00BD69FC" w:rsidRPr="00D16362" w:rsidRDefault="00BD69FC" w:rsidP="003411C5">
            <w:pPr>
              <w:pStyle w:val="CETBodytext"/>
              <w:ind w:right="-1"/>
              <w:rPr>
                <w:rFonts w:cs="Arial"/>
                <w:szCs w:val="18"/>
              </w:rPr>
            </w:pPr>
            <w:r w:rsidRPr="00D16362">
              <w:t>914.722</w:t>
            </w:r>
          </w:p>
        </w:tc>
        <w:tc>
          <w:tcPr>
            <w:tcW w:w="1357" w:type="dxa"/>
            <w:shd w:val="clear" w:color="auto" w:fill="FFFFFF"/>
          </w:tcPr>
          <w:p w14:paraId="7EB2E816" w14:textId="77777777" w:rsidR="00BD69FC" w:rsidRPr="00D16362" w:rsidRDefault="00BD69FC" w:rsidP="003411C5">
            <w:pPr>
              <w:pStyle w:val="CETBodytext"/>
              <w:ind w:right="-1"/>
              <w:rPr>
                <w:rFonts w:cs="Arial"/>
                <w:szCs w:val="18"/>
              </w:rPr>
            </w:pPr>
            <w:r w:rsidRPr="00D16362">
              <w:t>100.342</w:t>
            </w:r>
          </w:p>
        </w:tc>
        <w:tc>
          <w:tcPr>
            <w:tcW w:w="1357" w:type="dxa"/>
            <w:shd w:val="clear" w:color="auto" w:fill="FFFFFF"/>
          </w:tcPr>
          <w:p w14:paraId="6287E50C" w14:textId="00CD7AD1" w:rsidR="00BD69FC" w:rsidRPr="00D16362" w:rsidRDefault="00BD69FC" w:rsidP="003411C5">
            <w:pPr>
              <w:pStyle w:val="CETBodytext"/>
              <w:ind w:right="-1"/>
            </w:pPr>
            <w:r>
              <w:t>Built-in</w:t>
            </w:r>
          </w:p>
        </w:tc>
      </w:tr>
    </w:tbl>
    <w:p w14:paraId="3EA6F756" w14:textId="1BAA4257" w:rsidR="009E30F7" w:rsidRDefault="009E30F7" w:rsidP="0040251F">
      <w:pPr>
        <w:pStyle w:val="CETBodytext"/>
      </w:pPr>
      <w:r w:rsidRPr="00D16362">
        <w:t>In the base case, the values of all the three re</w:t>
      </w:r>
      <w:r w:rsidR="0040251F" w:rsidRPr="00D16362">
        <w:t>flux ratio</w:t>
      </w:r>
      <w:r w:rsidRPr="00D16362">
        <w:t xml:space="preserve">s </w:t>
      </w:r>
      <w:r w:rsidR="00E8590E">
        <w:t>were</w:t>
      </w:r>
      <w:r w:rsidR="00E8590E" w:rsidRPr="00D16362">
        <w:t xml:space="preserve"> </w:t>
      </w:r>
      <w:r w:rsidRPr="00D16362">
        <w:t>6.0, while Cr=0.1 mass%.</w:t>
      </w:r>
      <w:r w:rsidR="0040251F" w:rsidRPr="00D16362">
        <w:t xml:space="preserve"> This Cr value </w:t>
      </w:r>
      <w:r w:rsidR="00E8590E">
        <w:t>was</w:t>
      </w:r>
      <w:r w:rsidR="00E8590E" w:rsidRPr="00D16362">
        <w:t xml:space="preserve"> </w:t>
      </w:r>
      <w:r w:rsidR="0040251F" w:rsidRPr="00D16362">
        <w:t xml:space="preserve">equal to the maximum allowed B content of the main cut ensuring that the main cut </w:t>
      </w:r>
      <w:r w:rsidR="00E8590E">
        <w:t>would</w:t>
      </w:r>
      <w:r w:rsidR="00E8590E" w:rsidRPr="00D16362">
        <w:t xml:space="preserve"> </w:t>
      </w:r>
      <w:r w:rsidR="0040251F" w:rsidRPr="00D16362">
        <w:t>fulfill the purity requirements.</w:t>
      </w:r>
    </w:p>
    <w:p w14:paraId="4B5DC0AB" w14:textId="4AAB6751" w:rsidR="00194729" w:rsidRPr="00D16362" w:rsidRDefault="00CF0C19" w:rsidP="001F0D9D">
      <w:pPr>
        <w:pStyle w:val="CETHeading1"/>
        <w:numPr>
          <w:ilvl w:val="1"/>
          <w:numId w:val="23"/>
        </w:numPr>
      </w:pPr>
      <w:r w:rsidRPr="00D16362">
        <w:t xml:space="preserve">Calculation </w:t>
      </w:r>
      <w:r w:rsidR="00487840" w:rsidRPr="00D16362">
        <w:t>m</w:t>
      </w:r>
      <w:r w:rsidRPr="00D16362">
        <w:t>ethod</w:t>
      </w:r>
    </w:p>
    <w:p w14:paraId="47F80C82" w14:textId="5A48AA25" w:rsidR="00487840" w:rsidRPr="00D16362" w:rsidRDefault="00487840" w:rsidP="00CF0C19">
      <w:pPr>
        <w:pStyle w:val="CETBodytext"/>
      </w:pPr>
      <w:r w:rsidRPr="00D16362">
        <w:t xml:space="preserve">The process </w:t>
      </w:r>
      <w:r w:rsidR="00E8590E">
        <w:t>was</w:t>
      </w:r>
      <w:r w:rsidR="00E8590E" w:rsidRPr="00D16362">
        <w:t xml:space="preserve"> </w:t>
      </w:r>
      <w:r w:rsidRPr="00D16362">
        <w:t>modelled with the professional flow-sheet simulator CHEMCAD 7</w:t>
      </w:r>
      <w:r w:rsidR="006E0A96" w:rsidRPr="00D16362">
        <w:t xml:space="preserve">. The column </w:t>
      </w:r>
      <w:r w:rsidR="00E8590E">
        <w:t>was</w:t>
      </w:r>
      <w:r w:rsidR="00E8590E" w:rsidRPr="00D16362">
        <w:t xml:space="preserve"> </w:t>
      </w:r>
      <w:r w:rsidR="006E0A96" w:rsidRPr="00D16362">
        <w:t xml:space="preserve">a </w:t>
      </w:r>
      <w:proofErr w:type="spellStart"/>
      <w:r w:rsidR="006E0A96" w:rsidRPr="00D16362">
        <w:t>Batchcolumn</w:t>
      </w:r>
      <w:proofErr w:type="spellEnd"/>
      <w:r w:rsidR="006E0A96" w:rsidRPr="00D16362">
        <w:t xml:space="preserve"> module (Unit 1 in Figure 2), the cuts </w:t>
      </w:r>
      <w:r w:rsidR="00E8590E">
        <w:t>were</w:t>
      </w:r>
      <w:r w:rsidR="00E8590E" w:rsidRPr="00D16362">
        <w:t xml:space="preserve"> </w:t>
      </w:r>
      <w:r w:rsidR="006E0A96" w:rsidRPr="00D16362">
        <w:t xml:space="preserve">collected in Batch Tanks (Units 2-4), and a Stream Reference (Unit 6) </w:t>
      </w:r>
      <w:r w:rsidR="00E8590E">
        <w:t>was</w:t>
      </w:r>
      <w:r w:rsidR="00E8590E" w:rsidRPr="00D16362">
        <w:t xml:space="preserve"> </w:t>
      </w:r>
      <w:r w:rsidR="006E0A96" w:rsidRPr="00D16362">
        <w:t>used to copy the data of the still residue to stream 6.</w:t>
      </w:r>
    </w:p>
    <w:p w14:paraId="69AA8B27" w14:textId="2C868ABE" w:rsidR="00A30FBB" w:rsidRPr="00D16362" w:rsidRDefault="00A5547E" w:rsidP="00CF0C19">
      <w:pPr>
        <w:pStyle w:val="CETBodytext"/>
      </w:pPr>
      <w:r>
        <w:t>S</w:t>
      </w:r>
      <w:r w:rsidR="00CF0C19" w:rsidRPr="00D16362">
        <w:t>everal sustainability indicators</w:t>
      </w:r>
      <w:r w:rsidR="003370F2" w:rsidRPr="00D16362">
        <w:t xml:space="preserve"> </w:t>
      </w:r>
      <w:r>
        <w:t>were</w:t>
      </w:r>
      <w:r w:rsidRPr="00D16362">
        <w:t xml:space="preserve"> determin</w:t>
      </w:r>
      <w:r>
        <w:t xml:space="preserve">ed. Additionally, </w:t>
      </w:r>
      <w:r w:rsidR="00A30FBB" w:rsidRPr="00D16362">
        <w:t xml:space="preserve">a profit value </w:t>
      </w:r>
      <w:r w:rsidR="00E8590E">
        <w:t>was</w:t>
      </w:r>
      <w:r w:rsidR="00E8590E" w:rsidRPr="00D16362">
        <w:t xml:space="preserve"> </w:t>
      </w:r>
      <w:r w:rsidR="00A30FBB" w:rsidRPr="00D16362">
        <w:t>calculated</w:t>
      </w:r>
      <w:r>
        <w:t xml:space="preserve"> t</w:t>
      </w:r>
      <w:r w:rsidRPr="00D16362">
        <w:t>o describe the economics of the process</w:t>
      </w:r>
      <w:r w:rsidR="00A30FBB" w:rsidRPr="00D16362">
        <w:t>, which is defined as the value of the recovered acetone minus the cost of incineration of the fore-cut, the cost of the heating steam and that of the biological treatment of the still residue:</w:t>
      </w:r>
    </w:p>
    <w:tbl>
      <w:tblPr>
        <w:tblW w:w="5000" w:type="pct"/>
        <w:tblLook w:val="04A0" w:firstRow="1" w:lastRow="0" w:firstColumn="1" w:lastColumn="0" w:noHBand="0" w:noVBand="1"/>
      </w:tblPr>
      <w:tblGrid>
        <w:gridCol w:w="7980"/>
        <w:gridCol w:w="807"/>
      </w:tblGrid>
      <w:tr w:rsidR="00A30FBB" w:rsidRPr="00D16362" w14:paraId="358E8AB4" w14:textId="77777777" w:rsidTr="00A30FBB">
        <w:tc>
          <w:tcPr>
            <w:tcW w:w="7980" w:type="dxa"/>
            <w:shd w:val="clear" w:color="auto" w:fill="auto"/>
            <w:vAlign w:val="center"/>
          </w:tcPr>
          <w:p w14:paraId="4EA94097" w14:textId="218A0AAD" w:rsidR="00A30FBB" w:rsidRPr="00D16362" w:rsidRDefault="00A30FBB" w:rsidP="001E2F72">
            <w:pPr>
              <w:pStyle w:val="CETEquation"/>
              <w:rPr>
                <w:rFonts w:cs="Arial"/>
                <w:lang w:val="en-US"/>
              </w:rPr>
            </w:pPr>
            <m:oMathPara>
              <m:oMath>
                <m:r>
                  <w:rPr>
                    <w:rFonts w:ascii="Cambria Math" w:hAnsi="Cambria Math" w:cs="Arial"/>
                    <w:lang w:val="en-US"/>
                  </w:rPr>
                  <m:t>P</m:t>
                </m:r>
                <m:r>
                  <m:rPr>
                    <m:sty m:val="p"/>
                  </m:rPr>
                  <w:rPr>
                    <w:rFonts w:ascii="Cambria Math" w:hAnsi="Cambria Math" w:cs="Arial"/>
                    <w:lang w:val="en-US"/>
                  </w:rPr>
                  <m:t xml:space="preserve">= </m:t>
                </m:r>
                <m:sSub>
                  <m:sSubPr>
                    <m:ctrlPr>
                      <w:rPr>
                        <w:rFonts w:ascii="Cambria Math" w:hAnsi="Cambria Math" w:cs="Arial"/>
                        <w:lang w:val="en-US"/>
                      </w:rPr>
                    </m:ctrlPr>
                  </m:sSubPr>
                  <m:e>
                    <m:r>
                      <w:rPr>
                        <w:rFonts w:ascii="Cambria Math" w:hAnsi="Cambria Math" w:cs="Arial"/>
                        <w:lang w:val="en-US"/>
                      </w:rPr>
                      <m:t>p</m:t>
                    </m:r>
                  </m:e>
                  <m:sub>
                    <m:r>
                      <w:rPr>
                        <w:rFonts w:ascii="Cambria Math" w:hAnsi="Cambria Math" w:cs="Arial"/>
                        <w:lang w:val="en-US"/>
                      </w:rPr>
                      <m:t>p</m:t>
                    </m:r>
                  </m:sub>
                </m:sSub>
                <m:r>
                  <w:rPr>
                    <w:rFonts w:ascii="Cambria Math" w:hAnsi="Cambria Math" w:cs="Arial"/>
                    <w:lang w:val="en-US"/>
                  </w:rPr>
                  <m:t>∙</m:t>
                </m:r>
                <m:sSub>
                  <m:sSubPr>
                    <m:ctrlPr>
                      <w:rPr>
                        <w:rFonts w:ascii="Cambria Math" w:hAnsi="Cambria Math" w:cs="Arial"/>
                        <w:lang w:val="en-US"/>
                      </w:rPr>
                    </m:ctrlPr>
                  </m:sSubPr>
                  <m:e>
                    <m:r>
                      <w:rPr>
                        <w:rFonts w:ascii="Cambria Math" w:hAnsi="Cambria Math" w:cs="Arial"/>
                        <w:lang w:val="en-US"/>
                      </w:rPr>
                      <m:t>m</m:t>
                    </m:r>
                  </m:e>
                  <m:sub>
                    <m:r>
                      <w:rPr>
                        <w:rFonts w:ascii="Cambria Math" w:hAnsi="Cambria Math" w:cs="Arial"/>
                        <w:lang w:val="en-US"/>
                      </w:rPr>
                      <m:t>p</m:t>
                    </m:r>
                  </m:sub>
                </m:sSub>
                <m:r>
                  <m:rPr>
                    <m:sty m:val="p"/>
                  </m:rPr>
                  <w:rPr>
                    <w:rFonts w:ascii="Cambria Math" w:hAnsi="Cambria Math" w:cs="Arial"/>
                    <w:lang w:val="en-US"/>
                  </w:rPr>
                  <m:t>-</m:t>
                </m:r>
                <m:sSub>
                  <m:sSubPr>
                    <m:ctrlPr>
                      <w:rPr>
                        <w:rFonts w:ascii="Cambria Math" w:hAnsi="Cambria Math" w:cs="Arial"/>
                        <w:lang w:val="en-US"/>
                      </w:rPr>
                    </m:ctrlPr>
                  </m:sSubPr>
                  <m:e>
                    <m:r>
                      <w:rPr>
                        <w:rFonts w:ascii="Cambria Math" w:hAnsi="Cambria Math" w:cs="Arial"/>
                        <w:lang w:val="en-US"/>
                      </w:rPr>
                      <m:t>p</m:t>
                    </m:r>
                  </m:e>
                  <m:sub>
                    <m:r>
                      <w:rPr>
                        <w:rFonts w:ascii="Cambria Math" w:hAnsi="Cambria Math" w:cs="Arial"/>
                        <w:lang w:val="en-US"/>
                      </w:rPr>
                      <m:t>s</m:t>
                    </m:r>
                  </m:sub>
                </m:sSub>
                <m:r>
                  <w:rPr>
                    <w:rFonts w:ascii="Cambria Math" w:hAnsi="Cambria Math" w:cs="Arial"/>
                    <w:lang w:val="en-US"/>
                  </w:rPr>
                  <m:t>∙</m:t>
                </m:r>
                <m:f>
                  <m:fPr>
                    <m:ctrlPr>
                      <w:rPr>
                        <w:rFonts w:ascii="Cambria Math" w:hAnsi="Cambria Math" w:cs="Arial"/>
                        <w:lang w:val="en-US"/>
                      </w:rPr>
                    </m:ctrlPr>
                  </m:fPr>
                  <m:num>
                    <m:sSub>
                      <m:sSubPr>
                        <m:ctrlPr>
                          <w:rPr>
                            <w:rFonts w:ascii="Cambria Math" w:hAnsi="Cambria Math" w:cs="Arial"/>
                            <w:lang w:val="en-US"/>
                          </w:rPr>
                        </m:ctrlPr>
                      </m:sSubPr>
                      <m:e>
                        <m:r>
                          <w:rPr>
                            <w:rFonts w:ascii="Cambria Math" w:hAnsi="Cambria Math" w:cs="Arial"/>
                            <w:lang w:val="en-US"/>
                          </w:rPr>
                          <m:t>Q</m:t>
                        </m:r>
                      </m:e>
                      <m:sub>
                        <m:r>
                          <w:rPr>
                            <w:rFonts w:ascii="Cambria Math" w:hAnsi="Cambria Math" w:cs="Arial"/>
                            <w:lang w:val="en-US"/>
                          </w:rPr>
                          <m:t>r</m:t>
                        </m:r>
                      </m:sub>
                    </m:sSub>
                  </m:num>
                  <m:den>
                    <m:sSub>
                      <m:sSubPr>
                        <m:ctrlPr>
                          <w:rPr>
                            <w:rFonts w:ascii="Cambria Math" w:hAnsi="Cambria Math" w:cs="Arial"/>
                            <w:i/>
                            <w:lang w:val="en-US"/>
                          </w:rPr>
                        </m:ctrlPr>
                      </m:sSubPr>
                      <m:e>
                        <m:r>
                          <w:rPr>
                            <w:rFonts w:ascii="Cambria Math" w:hAnsi="Cambria Math" w:cs="Arial"/>
                            <w:lang w:val="en-US"/>
                          </w:rPr>
                          <m:t>λ</m:t>
                        </m:r>
                      </m:e>
                      <m:sub>
                        <m:r>
                          <w:rPr>
                            <w:rFonts w:ascii="Cambria Math" w:hAnsi="Cambria Math" w:cs="Arial"/>
                            <w:lang w:val="en-US"/>
                          </w:rPr>
                          <m:t>s</m:t>
                        </m:r>
                      </m:sub>
                    </m:sSub>
                  </m:den>
                </m:f>
                <m:r>
                  <w:rPr>
                    <w:rFonts w:ascii="Cambria Math" w:hAnsi="Cambria Math" w:cs="Arial"/>
                    <w:lang w:val="en-US"/>
                  </w:rPr>
                  <m:t>∙t</m:t>
                </m:r>
                <m:r>
                  <m:rPr>
                    <m:sty m:val="p"/>
                  </m:rPr>
                  <w:rPr>
                    <w:rFonts w:ascii="Cambria Math" w:hAnsi="Cambria Math" w:cs="Arial"/>
                    <w:lang w:val="en-US"/>
                  </w:rPr>
                  <m:t>-</m:t>
                </m:r>
                <m:sSub>
                  <m:sSubPr>
                    <m:ctrlPr>
                      <w:rPr>
                        <w:rFonts w:ascii="Cambria Math" w:hAnsi="Cambria Math" w:cs="Arial"/>
                        <w:lang w:val="en-US"/>
                      </w:rPr>
                    </m:ctrlPr>
                  </m:sSubPr>
                  <m:e>
                    <m:r>
                      <w:rPr>
                        <w:rFonts w:ascii="Cambria Math" w:hAnsi="Cambria Math" w:cs="Arial"/>
                        <w:lang w:val="en-US"/>
                      </w:rPr>
                      <m:t>p</m:t>
                    </m:r>
                  </m:e>
                  <m:sub>
                    <m:r>
                      <w:rPr>
                        <w:rFonts w:ascii="Cambria Math" w:hAnsi="Cambria Math" w:cs="Arial"/>
                        <w:lang w:val="en-US"/>
                      </w:rPr>
                      <m:t>W</m:t>
                    </m:r>
                  </m:sub>
                </m:sSub>
                <m:r>
                  <w:rPr>
                    <w:rFonts w:ascii="Cambria Math" w:hAnsi="Cambria Math" w:cs="Arial"/>
                    <w:lang w:val="en-US"/>
                  </w:rPr>
                  <m:t>∙</m:t>
                </m:r>
                <m:sSub>
                  <m:sSubPr>
                    <m:ctrlPr>
                      <w:rPr>
                        <w:rFonts w:ascii="Cambria Math" w:hAnsi="Cambria Math" w:cs="Arial"/>
                        <w:lang w:val="en-US"/>
                      </w:rPr>
                    </m:ctrlPr>
                  </m:sSubPr>
                  <m:e>
                    <m:r>
                      <w:rPr>
                        <w:rFonts w:ascii="Cambria Math" w:hAnsi="Cambria Math" w:cs="Arial"/>
                        <w:lang w:val="en-US"/>
                      </w:rPr>
                      <m:t>V</m:t>
                    </m:r>
                  </m:e>
                  <m:sub>
                    <m:r>
                      <w:rPr>
                        <w:rFonts w:ascii="Cambria Math" w:hAnsi="Cambria Math" w:cs="Arial"/>
                        <w:lang w:val="en-US"/>
                      </w:rPr>
                      <m:t>w</m:t>
                    </m:r>
                  </m:sub>
                </m:sSub>
                <m:r>
                  <m:rPr>
                    <m:sty m:val="p"/>
                  </m:rPr>
                  <w:rPr>
                    <w:rFonts w:ascii="Cambria Math" w:hAnsi="Cambria Math" w:cs="Arial"/>
                    <w:lang w:val="en-US"/>
                  </w:rPr>
                  <m:t>-</m:t>
                </m:r>
                <m:sSub>
                  <m:sSubPr>
                    <m:ctrlPr>
                      <w:rPr>
                        <w:rFonts w:ascii="Cambria Math" w:hAnsi="Cambria Math" w:cs="Arial"/>
                        <w:lang w:val="en-US"/>
                      </w:rPr>
                    </m:ctrlPr>
                  </m:sSubPr>
                  <m:e>
                    <m:r>
                      <w:rPr>
                        <w:rFonts w:ascii="Cambria Math" w:hAnsi="Cambria Math" w:cs="Arial"/>
                        <w:lang w:val="en-US"/>
                      </w:rPr>
                      <m:t>p</m:t>
                    </m:r>
                  </m:e>
                  <m:sub>
                    <m:r>
                      <w:rPr>
                        <w:rFonts w:ascii="Cambria Math" w:hAnsi="Cambria Math" w:cs="Arial"/>
                        <w:lang w:val="en-US"/>
                      </w:rPr>
                      <m:t>inc</m:t>
                    </m:r>
                  </m:sub>
                </m:sSub>
                <m:r>
                  <w:rPr>
                    <w:rFonts w:ascii="Cambria Math" w:hAnsi="Cambria Math" w:cs="Arial"/>
                    <w:lang w:val="en-US"/>
                  </w:rPr>
                  <m:t>∙</m:t>
                </m:r>
                <m:sSub>
                  <m:sSubPr>
                    <m:ctrlPr>
                      <w:rPr>
                        <w:rFonts w:ascii="Cambria Math" w:hAnsi="Cambria Math" w:cs="Arial"/>
                        <w:lang w:val="en-US"/>
                      </w:rPr>
                    </m:ctrlPr>
                  </m:sSubPr>
                  <m:e>
                    <m:r>
                      <w:rPr>
                        <w:rFonts w:ascii="Cambria Math" w:hAnsi="Cambria Math" w:cs="Arial"/>
                        <w:lang w:val="en-US"/>
                      </w:rPr>
                      <m:t>m</m:t>
                    </m:r>
                  </m:e>
                  <m:sub>
                    <m:r>
                      <w:rPr>
                        <w:rFonts w:ascii="Cambria Math" w:hAnsi="Cambria Math" w:cs="Arial"/>
                        <w:lang w:val="en-US"/>
                      </w:rPr>
                      <m:t>fc</m:t>
                    </m:r>
                  </m:sub>
                </m:sSub>
              </m:oMath>
            </m:oMathPara>
          </w:p>
        </w:tc>
        <w:tc>
          <w:tcPr>
            <w:tcW w:w="807" w:type="dxa"/>
            <w:shd w:val="clear" w:color="auto" w:fill="auto"/>
            <w:vAlign w:val="center"/>
          </w:tcPr>
          <w:p w14:paraId="4E1FD080" w14:textId="47C845EB" w:rsidR="00A30FBB" w:rsidRPr="00D16362" w:rsidRDefault="00A30FBB" w:rsidP="00A30FBB">
            <w:pPr>
              <w:pStyle w:val="CETEquation"/>
              <w:jc w:val="right"/>
              <w:rPr>
                <w:lang w:val="en-US"/>
              </w:rPr>
            </w:pPr>
            <w:r w:rsidRPr="00D16362">
              <w:rPr>
                <w:lang w:val="en-US"/>
              </w:rPr>
              <w:t>(1)</w:t>
            </w:r>
          </w:p>
        </w:tc>
      </w:tr>
    </w:tbl>
    <w:p w14:paraId="4D096F6C" w14:textId="790C180C" w:rsidR="00A30FBB" w:rsidRPr="00D16362" w:rsidRDefault="00A30FBB" w:rsidP="00A30FBB">
      <w:pPr>
        <w:pStyle w:val="CETBodytext"/>
      </w:pPr>
      <w:proofErr w:type="gramStart"/>
      <w:r w:rsidRPr="00D16362">
        <w:t>where</w:t>
      </w:r>
      <w:proofErr w:type="gramEnd"/>
      <w:r w:rsidRPr="00D16362">
        <w:t xml:space="preserve"> p</w:t>
      </w:r>
      <w:r w:rsidR="00B0404A" w:rsidRPr="00D16362">
        <w:t xml:space="preserve"> means price, m mass</w:t>
      </w:r>
      <w:r w:rsidRPr="00D16362">
        <w:t xml:space="preserve">, </w:t>
      </w:r>
      <w:r w:rsidR="0089009A">
        <w:t xml:space="preserve">t operation time, </w:t>
      </w:r>
      <w:r w:rsidR="00520AE3" w:rsidRPr="00D16362">
        <w:t xml:space="preserve">V volume </w:t>
      </w:r>
      <w:r w:rsidR="00B0404A" w:rsidRPr="00D16362">
        <w:t xml:space="preserve">and </w:t>
      </w:r>
      <w:r w:rsidR="00B0404A" w:rsidRPr="00D16362">
        <w:rPr>
          <w:rFonts w:cs="Arial"/>
        </w:rPr>
        <w:t xml:space="preserve">λ is latent heat of evaporation. </w:t>
      </w:r>
      <w:r w:rsidR="00B0404A" w:rsidRPr="00D16362">
        <w:t xml:space="preserve">Subscripts p, </w:t>
      </w:r>
      <w:r w:rsidR="0089009A">
        <w:t xml:space="preserve">s, </w:t>
      </w:r>
      <w:r w:rsidRPr="00D16362">
        <w:t xml:space="preserve">w, </w:t>
      </w:r>
      <w:proofErr w:type="spellStart"/>
      <w:proofErr w:type="gramStart"/>
      <w:r w:rsidRPr="00D16362">
        <w:t>inc</w:t>
      </w:r>
      <w:proofErr w:type="spellEnd"/>
      <w:proofErr w:type="gramEnd"/>
      <w:r w:rsidRPr="00D16362">
        <w:t xml:space="preserve"> </w:t>
      </w:r>
      <w:r w:rsidR="001E2F72" w:rsidRPr="00D16362">
        <w:t xml:space="preserve">and fc </w:t>
      </w:r>
      <w:r w:rsidRPr="00D16362">
        <w:t>represent the product, steam</w:t>
      </w:r>
      <w:r w:rsidR="001E2F72" w:rsidRPr="00D16362">
        <w:t>,</w:t>
      </w:r>
      <w:r w:rsidRPr="00D16362">
        <w:t xml:space="preserve"> </w:t>
      </w:r>
      <w:r w:rsidR="0089009A" w:rsidRPr="00D16362">
        <w:t xml:space="preserve">wastewater treatment, </w:t>
      </w:r>
      <w:r w:rsidRPr="00D16362">
        <w:t>incineration</w:t>
      </w:r>
      <w:r w:rsidR="001E2F72" w:rsidRPr="00D16362">
        <w:t xml:space="preserve"> and fore-cut</w:t>
      </w:r>
      <w:r w:rsidRPr="00D16362">
        <w:t xml:space="preserve">. </w:t>
      </w:r>
      <w:r w:rsidR="00B0404A" w:rsidRPr="00D16362">
        <w:t>The p</w:t>
      </w:r>
      <w:r w:rsidRPr="00D16362">
        <w:t xml:space="preserve">rice of </w:t>
      </w:r>
      <w:r w:rsidR="00B0404A" w:rsidRPr="00D16362">
        <w:t>the C product</w:t>
      </w:r>
      <w:r w:rsidRPr="00D16362">
        <w:t xml:space="preserve"> (p</w:t>
      </w:r>
      <w:r w:rsidRPr="00D16362">
        <w:rPr>
          <w:vertAlign w:val="subscript"/>
        </w:rPr>
        <w:t>p</w:t>
      </w:r>
      <w:r w:rsidRPr="00D16362">
        <w:t>)</w:t>
      </w:r>
      <w:r w:rsidR="0089009A">
        <w:t>:</w:t>
      </w:r>
      <w:r w:rsidR="0089009A" w:rsidRPr="00D16362">
        <w:t xml:space="preserve"> </w:t>
      </w:r>
      <w:r w:rsidRPr="00D16362">
        <w:t>1391 $/t (</w:t>
      </w:r>
      <w:proofErr w:type="spellStart"/>
      <w:r w:rsidRPr="00D16362">
        <w:t>Echemi</w:t>
      </w:r>
      <w:proofErr w:type="spellEnd"/>
      <w:r w:rsidRPr="00D16362">
        <w:t xml:space="preserve">, 2023). </w:t>
      </w:r>
      <w:r w:rsidR="00B0404A" w:rsidRPr="00D16362">
        <w:t>The p</w:t>
      </w:r>
      <w:r w:rsidRPr="00D16362">
        <w:t>rice of low-pressure steam (</w:t>
      </w:r>
      <w:proofErr w:type="spellStart"/>
      <w:r w:rsidRPr="00D16362">
        <w:t>p</w:t>
      </w:r>
      <w:r w:rsidRPr="00D16362">
        <w:rPr>
          <w:vertAlign w:val="subscript"/>
        </w:rPr>
        <w:t>s</w:t>
      </w:r>
      <w:proofErr w:type="spellEnd"/>
      <w:r w:rsidRPr="00D16362">
        <w:t>)</w:t>
      </w:r>
      <w:r w:rsidR="0089009A">
        <w:t>:</w:t>
      </w:r>
      <w:r w:rsidRPr="00D16362">
        <w:t xml:space="preserve"> 99.16 $/t. </w:t>
      </w:r>
      <w:r w:rsidR="00B0404A" w:rsidRPr="00D16362">
        <w:t>The i</w:t>
      </w:r>
      <w:r w:rsidRPr="00D16362">
        <w:t>ncineration price (</w:t>
      </w:r>
      <w:proofErr w:type="spellStart"/>
      <w:r w:rsidRPr="00D16362">
        <w:t>p</w:t>
      </w:r>
      <w:r w:rsidRPr="00D16362">
        <w:rPr>
          <w:vertAlign w:val="subscript"/>
        </w:rPr>
        <w:t>inc</w:t>
      </w:r>
      <w:proofErr w:type="spellEnd"/>
      <w:r w:rsidRPr="00D16362">
        <w:t>)</w:t>
      </w:r>
      <w:r w:rsidR="0089009A">
        <w:t>:</w:t>
      </w:r>
      <w:r w:rsidRPr="00D16362">
        <w:t xml:space="preserve"> 7</w:t>
      </w:r>
      <w:r w:rsidR="00B0404A" w:rsidRPr="00D16362">
        <w:t>4.9</w:t>
      </w:r>
      <w:r w:rsidRPr="00D16362">
        <w:t xml:space="preserve"> $/t</w:t>
      </w:r>
      <w:r w:rsidR="00B0404A" w:rsidRPr="00D16362">
        <w:t xml:space="preserve"> with an</w:t>
      </w:r>
      <w:r w:rsidRPr="00D16362">
        <w:t xml:space="preserve"> </w:t>
      </w:r>
      <w:r w:rsidR="00B0404A" w:rsidRPr="00D16362">
        <w:t>a</w:t>
      </w:r>
      <w:r w:rsidRPr="00D16362">
        <w:t>dditional 2.1</w:t>
      </w:r>
      <w:r w:rsidR="001A365C">
        <w:t>2 $/t charged for every 0.1</w:t>
      </w:r>
      <w:r w:rsidRPr="00D16362">
        <w:t>% when the chloride content of the waste is larger than 0.2</w:t>
      </w:r>
      <w:r w:rsidR="00B0404A" w:rsidRPr="00D16362">
        <w:t>%</w:t>
      </w:r>
      <w:r w:rsidRPr="00D16362">
        <w:t xml:space="preserve"> (Wien </w:t>
      </w:r>
      <w:proofErr w:type="spellStart"/>
      <w:r w:rsidRPr="00D16362">
        <w:t>Energie</w:t>
      </w:r>
      <w:proofErr w:type="spellEnd"/>
      <w:r w:rsidRPr="00D16362">
        <w:t xml:space="preserve">, 2021). </w:t>
      </w:r>
      <w:r w:rsidR="00B0404A" w:rsidRPr="00D16362">
        <w:t>The p</w:t>
      </w:r>
      <w:r w:rsidRPr="00D16362">
        <w:t>rice of wastewater treatment (p</w:t>
      </w:r>
      <w:r w:rsidRPr="00D16362">
        <w:rPr>
          <w:vertAlign w:val="subscript"/>
        </w:rPr>
        <w:t>w</w:t>
      </w:r>
      <w:r w:rsidRPr="00D16362">
        <w:t>)</w:t>
      </w:r>
      <w:r w:rsidR="0089009A">
        <w:t>:</w:t>
      </w:r>
      <w:r w:rsidRPr="00D16362">
        <w:t xml:space="preserve"> 3.34 $/m</w:t>
      </w:r>
      <w:r w:rsidRPr="00D16362">
        <w:rPr>
          <w:vertAlign w:val="superscript"/>
        </w:rPr>
        <w:t>3</w:t>
      </w:r>
      <w:r w:rsidRPr="00D16362">
        <w:t>.</w:t>
      </w:r>
    </w:p>
    <w:p w14:paraId="1402DCEB" w14:textId="4A929D9D" w:rsidR="00F95F13" w:rsidRPr="00D16362" w:rsidRDefault="00BD69FC" w:rsidP="00A30FBB">
      <w:pPr>
        <w:pStyle w:val="CETBodytext"/>
      </w:pPr>
      <w:r>
        <w:t>The s</w:t>
      </w:r>
      <w:r w:rsidR="000C6FF3" w:rsidRPr="00D16362">
        <w:t>pecific energy demand (SED, MJ/</w:t>
      </w:r>
      <w:r w:rsidR="00385F5B" w:rsidRPr="00D16362">
        <w:t>kg)</w:t>
      </w:r>
      <w:r w:rsidR="0037406C">
        <w:t>,</w:t>
      </w:r>
      <w:r w:rsidR="00385F5B" w:rsidRPr="00D16362">
        <w:t xml:space="preserve"> </w:t>
      </w:r>
      <w:r w:rsidR="0037406C">
        <w:t>an i</w:t>
      </w:r>
      <w:r w:rsidR="0037406C" w:rsidRPr="00D16362">
        <w:t>ndicato</w:t>
      </w:r>
      <w:r w:rsidR="0037406C">
        <w:t>r</w:t>
      </w:r>
      <w:r w:rsidR="0037406C" w:rsidRPr="00D16362">
        <w:t xml:space="preserve"> related to energy intensity</w:t>
      </w:r>
      <w:r w:rsidR="0037406C">
        <w:t>,</w:t>
      </w:r>
      <w:r w:rsidR="0037406C" w:rsidRPr="00D16362">
        <w:t xml:space="preserve"> </w:t>
      </w:r>
      <w:r w:rsidR="00E8590E">
        <w:t xml:space="preserve">was </w:t>
      </w:r>
      <w:r w:rsidR="00385F5B" w:rsidRPr="00D16362">
        <w:t xml:space="preserve">defined as the heating energy required per </w:t>
      </w:r>
      <w:r w:rsidR="00394B7C">
        <w:t xml:space="preserve">functional </w:t>
      </w:r>
      <w:r w:rsidR="00385F5B" w:rsidRPr="00D16362">
        <w:t xml:space="preserve">unit </w:t>
      </w:r>
      <w:r w:rsidR="00394B7C">
        <w:t xml:space="preserve">(FU), here, </w:t>
      </w:r>
      <w:r w:rsidR="0089009A">
        <w:t>1 kg</w:t>
      </w:r>
      <w:r w:rsidR="00385F5B" w:rsidRPr="00D16362">
        <w:t xml:space="preserve"> of product</w:t>
      </w:r>
      <w:r w:rsidR="0089009A">
        <w:t xml:space="preserve"> with the specified purity </w:t>
      </w:r>
      <w:r w:rsidR="00385F5B" w:rsidRPr="00D16362">
        <w:t>:</w:t>
      </w:r>
      <w:r w:rsidR="00642C08">
        <w:t xml:space="preserve"> SED=</w:t>
      </w:r>
      <w:proofErr w:type="spellStart"/>
      <w:r w:rsidR="00642C08">
        <w:t>Q</w:t>
      </w:r>
      <w:r w:rsidR="00642C08" w:rsidRPr="00642C08">
        <w:rPr>
          <w:vertAlign w:val="subscript"/>
        </w:rPr>
        <w:t>r</w:t>
      </w:r>
      <w:r w:rsidR="00642C08">
        <w:rPr>
          <w:rFonts w:cs="Arial"/>
        </w:rPr>
        <w:t>∙</w:t>
      </w:r>
      <w:r w:rsidR="00642C08">
        <w:t>t</w:t>
      </w:r>
      <w:proofErr w:type="spellEnd"/>
      <w:r w:rsidR="00642C08">
        <w:t>/</w:t>
      </w:r>
      <w:proofErr w:type="spellStart"/>
      <w:r w:rsidR="00642C08">
        <w:t>m</w:t>
      </w:r>
      <w:r w:rsidR="00642C08" w:rsidRPr="00642C08">
        <w:rPr>
          <w:vertAlign w:val="subscript"/>
        </w:rPr>
        <w:t>p</w:t>
      </w:r>
      <w:proofErr w:type="spellEnd"/>
      <w:r w:rsidR="00642C08">
        <w:t>.</w:t>
      </w:r>
    </w:p>
    <w:p w14:paraId="1AB26B7C" w14:textId="2F84E02B" w:rsidR="00840F99" w:rsidRPr="00D16362" w:rsidRDefault="00D65F46" w:rsidP="00453E24">
      <w:pPr>
        <w:pStyle w:val="CETBodytext"/>
      </w:pPr>
      <w:r w:rsidRPr="00D16362">
        <w:t xml:space="preserve">The environmental impacts </w:t>
      </w:r>
      <w:r w:rsidR="00E8590E">
        <w:t>were</w:t>
      </w:r>
      <w:r w:rsidR="00E8590E" w:rsidRPr="00D16362">
        <w:t xml:space="preserve"> </w:t>
      </w:r>
      <w:r w:rsidR="002F4FAD" w:rsidRPr="00D16362">
        <w:t>expres</w:t>
      </w:r>
      <w:r w:rsidRPr="00D16362">
        <w:t xml:space="preserve">sed by multiple indicators, including the </w:t>
      </w:r>
      <w:r w:rsidR="00CF0C19" w:rsidRPr="00D16362">
        <w:t>CO</w:t>
      </w:r>
      <w:r w:rsidR="00CF0C19" w:rsidRPr="00D16362">
        <w:rPr>
          <w:vertAlign w:val="subscript"/>
        </w:rPr>
        <w:t>2</w:t>
      </w:r>
      <w:r w:rsidR="00CF0C19" w:rsidRPr="00D16362">
        <w:t xml:space="preserve"> emissions </w:t>
      </w:r>
      <w:r w:rsidRPr="00D16362">
        <w:t>of the process. The total CO</w:t>
      </w:r>
      <w:r w:rsidRPr="00D16362">
        <w:rPr>
          <w:vertAlign w:val="subscript"/>
        </w:rPr>
        <w:t>2</w:t>
      </w:r>
      <w:r w:rsidRPr="00D16362">
        <w:t xml:space="preserve"> emission (CO</w:t>
      </w:r>
      <w:r w:rsidRPr="00D16362">
        <w:rPr>
          <w:vertAlign w:val="subscript"/>
        </w:rPr>
        <w:t>2</w:t>
      </w:r>
      <w:proofErr w:type="gramStart"/>
      <w:r w:rsidRPr="00D16362">
        <w:rPr>
          <w:vertAlign w:val="subscript"/>
        </w:rPr>
        <w:t>,t</w:t>
      </w:r>
      <w:proofErr w:type="gramEnd"/>
      <w:r w:rsidRPr="00D16362">
        <w:t xml:space="preserve">, kg) is the sum of the emission </w:t>
      </w:r>
      <w:r w:rsidR="00CF0C19" w:rsidRPr="00D16362">
        <w:t xml:space="preserve">resulting from fuel combustion used to generate </w:t>
      </w:r>
      <w:r w:rsidRPr="00D16362">
        <w:t xml:space="preserve">the </w:t>
      </w:r>
      <w:r w:rsidR="00CF0C19" w:rsidRPr="00D16362">
        <w:t xml:space="preserve">heating steam </w:t>
      </w:r>
      <w:r w:rsidRPr="00D16362">
        <w:t>(CO</w:t>
      </w:r>
      <w:r w:rsidRPr="00D16362">
        <w:rPr>
          <w:vertAlign w:val="subscript"/>
        </w:rPr>
        <w:t>2</w:t>
      </w:r>
      <w:r w:rsidRPr="00D16362">
        <w:t>,</w:t>
      </w:r>
      <w:r w:rsidRPr="00D16362">
        <w:rPr>
          <w:vertAlign w:val="subscript"/>
        </w:rPr>
        <w:t>HS</w:t>
      </w:r>
      <w:r w:rsidRPr="00D16362">
        <w:t xml:space="preserve">, kg) </w:t>
      </w:r>
      <w:r w:rsidR="000C6FF3" w:rsidRPr="00D16362">
        <w:t>and the one generated by the incineration of the fore-cut (CO</w:t>
      </w:r>
      <w:r w:rsidR="000C6FF3" w:rsidRPr="00D16362">
        <w:rPr>
          <w:vertAlign w:val="subscript"/>
        </w:rPr>
        <w:t>2</w:t>
      </w:r>
      <w:r w:rsidR="000C6FF3" w:rsidRPr="00D16362">
        <w:t>,</w:t>
      </w:r>
      <w:r w:rsidR="000C6FF3" w:rsidRPr="00D16362">
        <w:rPr>
          <w:vertAlign w:val="subscript"/>
        </w:rPr>
        <w:t>inc</w:t>
      </w:r>
      <w:r w:rsidR="000C6FF3" w:rsidRPr="00D16362">
        <w:t>, kg). CO</w:t>
      </w:r>
      <w:r w:rsidR="000C6FF3" w:rsidRPr="00D16362">
        <w:rPr>
          <w:vertAlign w:val="subscript"/>
        </w:rPr>
        <w:t>2</w:t>
      </w:r>
      <w:proofErr w:type="gramStart"/>
      <w:r w:rsidR="000C6FF3" w:rsidRPr="00D16362">
        <w:rPr>
          <w:vertAlign w:val="subscript"/>
        </w:rPr>
        <w:t>,HS</w:t>
      </w:r>
      <w:proofErr w:type="gramEnd"/>
      <w:r w:rsidR="000C6FF3" w:rsidRPr="00D16362">
        <w:t xml:space="preserve"> </w:t>
      </w:r>
      <w:r w:rsidR="00E8590E">
        <w:t>was</w:t>
      </w:r>
      <w:r w:rsidR="00E8590E" w:rsidRPr="00D16362">
        <w:t xml:space="preserve"> </w:t>
      </w:r>
      <w:r w:rsidR="00CF0C19" w:rsidRPr="00D16362">
        <w:t xml:space="preserve">calculated by the </w:t>
      </w:r>
      <w:r w:rsidR="00642C08">
        <w:t xml:space="preserve">method </w:t>
      </w:r>
      <w:r w:rsidR="00DE026A">
        <w:t>of</w:t>
      </w:r>
      <w:r w:rsidR="00642C08">
        <w:t xml:space="preserve"> </w:t>
      </w:r>
      <w:proofErr w:type="spellStart"/>
      <w:r w:rsidR="00642C08">
        <w:t>Gadalla</w:t>
      </w:r>
      <w:proofErr w:type="spellEnd"/>
      <w:r w:rsidR="00642C08">
        <w:t xml:space="preserve"> et al. (</w:t>
      </w:r>
      <w:r w:rsidR="00CF0C19" w:rsidRPr="00D16362">
        <w:t>2005)</w:t>
      </w:r>
      <w:r w:rsidR="00642C08">
        <w:t xml:space="preserve"> assuming heavy</w:t>
      </w:r>
      <w:r w:rsidR="00192BF8">
        <w:t xml:space="preserve"> oil </w:t>
      </w:r>
      <w:bookmarkStart w:id="0" w:name="_GoBack"/>
      <w:bookmarkEnd w:id="0"/>
      <w:r w:rsidR="00192BF8">
        <w:t xml:space="preserve">as fuel. </w:t>
      </w:r>
      <w:r w:rsidR="00CF0C19" w:rsidRPr="00D16362">
        <w:t xml:space="preserve">Stoichiometric equations </w:t>
      </w:r>
      <w:r w:rsidR="000C6FF3" w:rsidRPr="00D16362">
        <w:t xml:space="preserve">of perfect combustion of the organic components of the fore-cut </w:t>
      </w:r>
      <w:r w:rsidR="00E8590E">
        <w:t>were</w:t>
      </w:r>
      <w:r w:rsidR="00E8590E" w:rsidRPr="00D16362">
        <w:t xml:space="preserve"> </w:t>
      </w:r>
      <w:r w:rsidR="000C6FF3" w:rsidRPr="00D16362">
        <w:t xml:space="preserve">used </w:t>
      </w:r>
      <w:r w:rsidR="00CF0C19" w:rsidRPr="00D16362">
        <w:t>to estimate the CO</w:t>
      </w:r>
      <w:r w:rsidR="00CF0C19" w:rsidRPr="00D16362">
        <w:rPr>
          <w:vertAlign w:val="subscript"/>
        </w:rPr>
        <w:t>2</w:t>
      </w:r>
      <w:proofErr w:type="gramStart"/>
      <w:r w:rsidR="000C6FF3" w:rsidRPr="00D16362">
        <w:rPr>
          <w:vertAlign w:val="subscript"/>
        </w:rPr>
        <w:t>,inc</w:t>
      </w:r>
      <w:proofErr w:type="gramEnd"/>
      <w:r w:rsidR="0037406C" w:rsidRPr="0037406C">
        <w:rPr>
          <w:vertAlign w:val="subscript"/>
        </w:rPr>
        <w:t>.</w:t>
      </w:r>
      <w:r w:rsidR="00192BF8">
        <w:t xml:space="preserve"> </w:t>
      </w:r>
      <w:r w:rsidR="000C6FF3" w:rsidRPr="00D16362">
        <w:t>The specific CO</w:t>
      </w:r>
      <w:r w:rsidR="000C6FF3" w:rsidRPr="00D16362">
        <w:rPr>
          <w:vertAlign w:val="subscript"/>
        </w:rPr>
        <w:t>2</w:t>
      </w:r>
      <w:r w:rsidR="000C6FF3" w:rsidRPr="00D16362">
        <w:t xml:space="preserve"> emission (CO</w:t>
      </w:r>
      <w:r w:rsidR="000C6FF3" w:rsidRPr="00D16362">
        <w:rPr>
          <w:vertAlign w:val="subscript"/>
        </w:rPr>
        <w:t>2</w:t>
      </w:r>
      <w:proofErr w:type="gramStart"/>
      <w:r w:rsidR="000C6FF3" w:rsidRPr="00D16362">
        <w:rPr>
          <w:vertAlign w:val="subscript"/>
        </w:rPr>
        <w:t>,s</w:t>
      </w:r>
      <w:proofErr w:type="gramEnd"/>
      <w:r w:rsidR="000C6FF3" w:rsidRPr="00D16362">
        <w:t xml:space="preserve">, kg/kg) </w:t>
      </w:r>
      <w:r w:rsidR="00E8590E">
        <w:t>was</w:t>
      </w:r>
      <w:r w:rsidR="00E8590E" w:rsidRPr="00D16362">
        <w:t xml:space="preserve"> </w:t>
      </w:r>
      <w:r w:rsidR="000C6FF3" w:rsidRPr="00D16362">
        <w:t xml:space="preserve">determined as the </w:t>
      </w:r>
      <w:r w:rsidR="00394B7C">
        <w:t>mass of CO</w:t>
      </w:r>
      <w:r w:rsidR="00394B7C" w:rsidRPr="001F0D9D">
        <w:rPr>
          <w:vertAlign w:val="subscript"/>
        </w:rPr>
        <w:t>2</w:t>
      </w:r>
      <w:r w:rsidR="00394B7C">
        <w:t xml:space="preserve"> emitted per functional unit</w:t>
      </w:r>
      <w:r w:rsidR="000C6FF3" w:rsidRPr="00D16362">
        <w:t xml:space="preserve"> </w:t>
      </w:r>
      <w:r w:rsidR="00394B7C">
        <w:t>(</w:t>
      </w:r>
      <w:r w:rsidR="000C6FF3" w:rsidRPr="00D16362">
        <w:t>CO</w:t>
      </w:r>
      <w:r w:rsidR="000C6FF3" w:rsidRPr="00D16362">
        <w:rPr>
          <w:vertAlign w:val="subscript"/>
        </w:rPr>
        <w:t>2,t</w:t>
      </w:r>
      <w:r w:rsidR="00394B7C">
        <w:t>/</w:t>
      </w:r>
      <w:proofErr w:type="spellStart"/>
      <w:r w:rsidR="000C6FF3" w:rsidRPr="00D16362">
        <w:t>m</w:t>
      </w:r>
      <w:r w:rsidR="000C6FF3" w:rsidRPr="00D16362">
        <w:rPr>
          <w:vertAlign w:val="subscript"/>
        </w:rPr>
        <w:t>p</w:t>
      </w:r>
      <w:proofErr w:type="spellEnd"/>
      <w:r w:rsidR="00394B7C" w:rsidRPr="001F0D9D">
        <w:t>)</w:t>
      </w:r>
      <w:r w:rsidR="000C6FF3" w:rsidRPr="00D16362">
        <w:t>.</w:t>
      </w:r>
    </w:p>
    <w:p w14:paraId="6609CE20" w14:textId="302823C2" w:rsidR="00194729" w:rsidRPr="00D16362" w:rsidRDefault="004C4CA6" w:rsidP="00453E24">
      <w:pPr>
        <w:pStyle w:val="CETBodytext"/>
      </w:pPr>
      <w:r w:rsidRPr="00D16362">
        <w:t xml:space="preserve">The still residue </w:t>
      </w:r>
      <w:r w:rsidR="00FA574C">
        <w:t>was</w:t>
      </w:r>
      <w:r w:rsidR="00FA574C" w:rsidRPr="00D16362">
        <w:t xml:space="preserve"> </w:t>
      </w:r>
      <w:r w:rsidRPr="00D16362">
        <w:t xml:space="preserve">very dilute aqueous solution of C and </w:t>
      </w:r>
      <w:r w:rsidR="00FA574C">
        <w:t>was</w:t>
      </w:r>
      <w:r w:rsidR="00FA574C" w:rsidRPr="00D16362">
        <w:t xml:space="preserve"> </w:t>
      </w:r>
      <w:r w:rsidRPr="00D16362">
        <w:t>considered as wastewater subsequently treated by biological purification. Both the total mass of the wastewater generated (</w:t>
      </w:r>
      <w:r w:rsidR="001E2F72" w:rsidRPr="00D16362">
        <w:t>m</w:t>
      </w:r>
      <w:r w:rsidR="001E2F72" w:rsidRPr="00D16362">
        <w:rPr>
          <w:vertAlign w:val="subscript"/>
        </w:rPr>
        <w:t>w</w:t>
      </w:r>
      <w:r w:rsidRPr="00D16362">
        <w:t>) and specific wastewater generation (</w:t>
      </w:r>
      <w:proofErr w:type="spellStart"/>
      <w:r w:rsidR="0089009A">
        <w:t>m</w:t>
      </w:r>
      <w:r w:rsidR="0089009A" w:rsidRPr="001F0D9D">
        <w:rPr>
          <w:vertAlign w:val="subscript"/>
        </w:rPr>
        <w:t>w</w:t>
      </w:r>
      <w:r w:rsidR="0089009A" w:rsidRPr="00D16362">
        <w:rPr>
          <w:vertAlign w:val="subscript"/>
        </w:rPr>
        <w:t>s</w:t>
      </w:r>
      <w:proofErr w:type="spellEnd"/>
      <w:r w:rsidRPr="00D16362">
        <w:t>, kg/kg</w:t>
      </w:r>
      <w:r w:rsidR="00394B7C">
        <w:t>, mass of wastewater per FU</w:t>
      </w:r>
      <w:r w:rsidRPr="00D16362">
        <w:t xml:space="preserve">) </w:t>
      </w:r>
      <w:r w:rsidR="00FA574C">
        <w:t>were</w:t>
      </w:r>
      <w:r w:rsidR="00FA574C" w:rsidRPr="00D16362">
        <w:t xml:space="preserve"> </w:t>
      </w:r>
      <w:r w:rsidRPr="00D16362">
        <w:t>used as indicators.</w:t>
      </w:r>
    </w:p>
    <w:p w14:paraId="4C67D40C" w14:textId="696837BE" w:rsidR="00E721DE" w:rsidRPr="00D16362" w:rsidRDefault="004C4CA6" w:rsidP="00453E24">
      <w:pPr>
        <w:pStyle w:val="CETBodytext"/>
      </w:pPr>
      <w:r w:rsidRPr="00D16362">
        <w:t xml:space="preserve">The potential environmental impacts of the waste streams, which are the incinerated fore-cut and the wastewater, </w:t>
      </w:r>
      <w:r w:rsidR="00FA574C">
        <w:t>were</w:t>
      </w:r>
      <w:r w:rsidR="00FA574C" w:rsidRPr="00D16362">
        <w:t xml:space="preserve"> </w:t>
      </w:r>
      <w:r w:rsidRPr="00D16362">
        <w:t>described by using the WAR (</w:t>
      </w:r>
      <w:proofErr w:type="spellStart"/>
      <w:r w:rsidRPr="00D16362">
        <w:t>WAste</w:t>
      </w:r>
      <w:proofErr w:type="spellEnd"/>
      <w:r w:rsidRPr="00D16362">
        <w:t xml:space="preserve"> Reduction) algorithm (</w:t>
      </w:r>
      <w:proofErr w:type="spellStart"/>
      <w:r w:rsidRPr="00D16362">
        <w:t>Mallick</w:t>
      </w:r>
      <w:proofErr w:type="spellEnd"/>
      <w:r w:rsidRPr="00D16362">
        <w:t xml:space="preserve"> et al., 1996). The algorithm calculates impacts in </w:t>
      </w:r>
      <w:r w:rsidR="00ED1287" w:rsidRPr="00D16362">
        <w:t>six</w:t>
      </w:r>
      <w:r w:rsidRPr="00D16362">
        <w:t xml:space="preserve"> </w:t>
      </w:r>
      <w:r w:rsidR="00ED1287" w:rsidRPr="00D16362">
        <w:t xml:space="preserve">main </w:t>
      </w:r>
      <w:r w:rsidRPr="00D16362">
        <w:t>categories: ozone depletion, global warming, smog formation, acidification</w:t>
      </w:r>
      <w:r w:rsidR="00ED1287" w:rsidRPr="00D16362">
        <w:t xml:space="preserve">, human toxicity and </w:t>
      </w:r>
      <w:proofErr w:type="spellStart"/>
      <w:r w:rsidR="00ED1287" w:rsidRPr="00D16362">
        <w:t>ecotoxicity</w:t>
      </w:r>
      <w:proofErr w:type="spellEnd"/>
      <w:r w:rsidR="00ED1287" w:rsidRPr="00D16362">
        <w:t>.</w:t>
      </w:r>
      <w:r w:rsidRPr="00D16362">
        <w:t xml:space="preserve"> </w:t>
      </w:r>
      <w:r w:rsidR="00ED1287" w:rsidRPr="00D16362">
        <w:t xml:space="preserve">The </w:t>
      </w:r>
      <w:proofErr w:type="spellStart"/>
      <w:r w:rsidR="00ED1287" w:rsidRPr="00D16362">
        <w:t>normalised</w:t>
      </w:r>
      <w:proofErr w:type="spellEnd"/>
      <w:r w:rsidR="00ED1287" w:rsidRPr="00D16362">
        <w:t xml:space="preserve"> impact scores (NIS, imp/kg) of the components with potential environmental impact are multiplied with their mass. The impacts so obtained are then summed in each category for both streams to </w:t>
      </w:r>
      <w:r w:rsidR="00F760A8" w:rsidRPr="00D16362">
        <w:t>calculate</w:t>
      </w:r>
      <w:r w:rsidR="00ED1287" w:rsidRPr="00D16362">
        <w:t xml:space="preserve"> the total potential environmental impact (</w:t>
      </w:r>
      <w:proofErr w:type="spellStart"/>
      <w:r w:rsidR="00ED1287" w:rsidRPr="00D16362">
        <w:t>PEI</w:t>
      </w:r>
      <w:r w:rsidR="00ED1287" w:rsidRPr="00D16362">
        <w:rPr>
          <w:vertAlign w:val="subscript"/>
        </w:rPr>
        <w:t>t</w:t>
      </w:r>
      <w:proofErr w:type="spellEnd"/>
      <w:r w:rsidR="00ED1287" w:rsidRPr="00D16362">
        <w:t>, imp)</w:t>
      </w:r>
      <w:r w:rsidR="0037406C">
        <w:t>.</w:t>
      </w:r>
      <w:r w:rsidR="00E721DE" w:rsidRPr="00D16362">
        <w:t xml:space="preserve"> </w:t>
      </w:r>
      <w:r w:rsidR="00ED1287" w:rsidRPr="00D16362">
        <w:t>The specific potential environmental impact (PEI</w:t>
      </w:r>
      <w:r w:rsidR="00ED1287" w:rsidRPr="00D16362">
        <w:rPr>
          <w:vertAlign w:val="subscript"/>
        </w:rPr>
        <w:t>s</w:t>
      </w:r>
      <w:r w:rsidR="00ED1287" w:rsidRPr="00D16362">
        <w:t>, imp/kg</w:t>
      </w:r>
      <w:r w:rsidR="00394B7C">
        <w:t>, impact per FU</w:t>
      </w:r>
      <w:r w:rsidR="00ED1287" w:rsidRPr="00D16362">
        <w:t xml:space="preserve">) </w:t>
      </w:r>
      <w:r w:rsidR="00FA574C">
        <w:t>was</w:t>
      </w:r>
      <w:r w:rsidR="00FA574C" w:rsidRPr="00D16362">
        <w:t xml:space="preserve"> </w:t>
      </w:r>
      <w:r w:rsidR="00ED1287" w:rsidRPr="00D16362">
        <w:t>also calculated</w:t>
      </w:r>
      <w:r w:rsidR="00E721DE" w:rsidRPr="00D16362">
        <w:t>.</w:t>
      </w:r>
    </w:p>
    <w:p w14:paraId="7A8B30AF" w14:textId="3245771F" w:rsidR="00F760A8" w:rsidRPr="00D16362" w:rsidRDefault="00ED1287" w:rsidP="00453E24">
      <w:pPr>
        <w:pStyle w:val="CETBodytext"/>
      </w:pPr>
      <w:r w:rsidRPr="00D16362">
        <w:lastRenderedPageBreak/>
        <w:t>The components having a potential impact are CO</w:t>
      </w:r>
      <w:r w:rsidRPr="00D16362">
        <w:rPr>
          <w:vertAlign w:val="subscript"/>
        </w:rPr>
        <w:t>2</w:t>
      </w:r>
      <w:r w:rsidRPr="00D16362">
        <w:t xml:space="preserve"> and </w:t>
      </w:r>
      <w:proofErr w:type="spellStart"/>
      <w:r w:rsidRPr="00D16362">
        <w:t>HCl</w:t>
      </w:r>
      <w:proofErr w:type="spellEnd"/>
      <w:r w:rsidRPr="00D16362">
        <w:t xml:space="preserve"> in the incinerated fore-cut and C in the wastewater. </w:t>
      </w:r>
      <w:r w:rsidR="00F760A8" w:rsidRPr="00D16362">
        <w:t>T</w:t>
      </w:r>
      <w:r w:rsidRPr="00D16362">
        <w:t>h</w:t>
      </w:r>
      <w:r w:rsidR="00F760A8" w:rsidRPr="00D16362">
        <w:t xml:space="preserve">e NIS values </w:t>
      </w:r>
      <w:r w:rsidR="0019093C" w:rsidRPr="00D16362">
        <w:t xml:space="preserve">are given in Table 3 except for ozone depletion, </w:t>
      </w:r>
      <w:r w:rsidR="009A23E6" w:rsidRPr="00D16362">
        <w:t>whose value</w:t>
      </w:r>
      <w:r w:rsidR="0019093C" w:rsidRPr="00D16362">
        <w:t xml:space="preserve"> is </w:t>
      </w:r>
      <w:r w:rsidR="009A23E6" w:rsidRPr="00D16362">
        <w:t>zero for</w:t>
      </w:r>
      <w:r w:rsidR="0019093C" w:rsidRPr="00D16362">
        <w:t xml:space="preserve"> a</w:t>
      </w:r>
      <w:r w:rsidR="009A23E6" w:rsidRPr="00D16362">
        <w:t>ll</w:t>
      </w:r>
      <w:r w:rsidR="0019093C" w:rsidRPr="00D16362">
        <w:t xml:space="preserve"> components.</w:t>
      </w:r>
      <w:r w:rsidR="00594BB7" w:rsidRPr="00D16362">
        <w:t xml:space="preserve"> </w:t>
      </w:r>
      <w:proofErr w:type="spellStart"/>
      <w:r w:rsidR="00594BB7" w:rsidRPr="00D16362">
        <w:t>HCl</w:t>
      </w:r>
      <w:proofErr w:type="spellEnd"/>
      <w:r w:rsidR="00594BB7" w:rsidRPr="00D16362">
        <w:t xml:space="preserve"> has the highest potential environmental impact per unit mass, while the values are similar for CO</w:t>
      </w:r>
      <w:r w:rsidR="00594BB7" w:rsidRPr="00D16362">
        <w:rPr>
          <w:vertAlign w:val="subscript"/>
        </w:rPr>
        <w:t>2</w:t>
      </w:r>
      <w:r w:rsidR="00594BB7" w:rsidRPr="00D16362">
        <w:t xml:space="preserve"> and C. All three components have nonzero NIS values in the toxicity categories, while only one of them is relevant for global warming (CO</w:t>
      </w:r>
      <w:r w:rsidR="00594BB7" w:rsidRPr="00D16362">
        <w:rPr>
          <w:vertAlign w:val="subscript"/>
        </w:rPr>
        <w:t>2</w:t>
      </w:r>
      <w:r w:rsidR="00594BB7" w:rsidRPr="00D16362">
        <w:t>), smog formation (C) and acidification (</w:t>
      </w:r>
      <w:proofErr w:type="spellStart"/>
      <w:r w:rsidR="00594BB7" w:rsidRPr="00D16362">
        <w:t>HCl</w:t>
      </w:r>
      <w:proofErr w:type="spellEnd"/>
      <w:r w:rsidR="00594BB7" w:rsidRPr="00D16362">
        <w:t>).</w:t>
      </w:r>
    </w:p>
    <w:p w14:paraId="5CADF74A" w14:textId="3C3F9473" w:rsidR="00F760A8" w:rsidRPr="00D16362" w:rsidRDefault="00F760A8" w:rsidP="00F760A8">
      <w:pPr>
        <w:pStyle w:val="CETTabletitle"/>
        <w:rPr>
          <w:lang w:val="en-US"/>
        </w:rPr>
      </w:pPr>
      <w:r w:rsidRPr="00D16362">
        <w:rPr>
          <w:lang w:val="en-US"/>
        </w:rPr>
        <w:t xml:space="preserve">Table 3: </w:t>
      </w:r>
      <w:proofErr w:type="spellStart"/>
      <w:r w:rsidRPr="00D16362">
        <w:rPr>
          <w:lang w:val="en-US"/>
        </w:rPr>
        <w:t>Normali</w:t>
      </w:r>
      <w:r w:rsidR="00594BB7" w:rsidRPr="00D16362">
        <w:rPr>
          <w:lang w:val="en-US"/>
        </w:rPr>
        <w:t>sed</w:t>
      </w:r>
      <w:proofErr w:type="spellEnd"/>
      <w:r w:rsidR="00594BB7" w:rsidRPr="00D16362">
        <w:rPr>
          <w:lang w:val="en-US"/>
        </w:rPr>
        <w:t xml:space="preserve"> impact scores (NIS, imp/kg</w:t>
      </w:r>
      <w:r w:rsidRPr="00D16362">
        <w:rPr>
          <w:lang w:val="en-US"/>
        </w:rPr>
        <w:t>) of CO</w:t>
      </w:r>
      <w:r w:rsidRPr="00564A4A">
        <w:rPr>
          <w:vertAlign w:val="subscript"/>
          <w:lang w:val="en-US"/>
        </w:rPr>
        <w:t>2</w:t>
      </w:r>
      <w:r w:rsidRPr="00D16362">
        <w:rPr>
          <w:lang w:val="en-US"/>
        </w:rPr>
        <w:t xml:space="preserve">, </w:t>
      </w:r>
      <w:proofErr w:type="spellStart"/>
      <w:r w:rsidRPr="00D16362">
        <w:rPr>
          <w:lang w:val="en-US"/>
        </w:rPr>
        <w:t>HCl</w:t>
      </w:r>
      <w:proofErr w:type="spellEnd"/>
      <w:r w:rsidRPr="00D16362">
        <w:rPr>
          <w:lang w:val="en-US"/>
        </w:rPr>
        <w:t xml:space="preserve"> and acetone (C)</w:t>
      </w:r>
      <w:r w:rsidR="0026232A">
        <w:rPr>
          <w:lang w:val="en-US"/>
        </w:rPr>
        <w:t xml:space="preserve"> (</w:t>
      </w:r>
      <w:r w:rsidR="001F0D9D">
        <w:rPr>
          <w:lang w:val="en-US"/>
        </w:rPr>
        <w:t>data from CHEMCAD</w:t>
      </w:r>
      <w:r w:rsidR="0026232A">
        <w:rPr>
          <w:lang w:val="en-US"/>
        </w:rPr>
        <w:t>).</w:t>
      </w:r>
    </w:p>
    <w:tbl>
      <w:tblPr>
        <w:tblW w:w="742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67"/>
        <w:gridCol w:w="1417"/>
        <w:gridCol w:w="1418"/>
        <w:gridCol w:w="1134"/>
        <w:gridCol w:w="1276"/>
        <w:gridCol w:w="1004"/>
        <w:gridCol w:w="6"/>
      </w:tblGrid>
      <w:tr w:rsidR="0019093C" w:rsidRPr="00D16362" w14:paraId="6CEADF95" w14:textId="3EBC6ECA" w:rsidTr="00D16362">
        <w:trPr>
          <w:gridAfter w:val="1"/>
          <w:wAfter w:w="6" w:type="dxa"/>
          <w:trHeight w:val="222"/>
        </w:trPr>
        <w:tc>
          <w:tcPr>
            <w:tcW w:w="1167" w:type="dxa"/>
            <w:vMerge w:val="restart"/>
            <w:tcBorders>
              <w:top w:val="single" w:sz="12" w:space="0" w:color="008000"/>
            </w:tcBorders>
            <w:shd w:val="clear" w:color="auto" w:fill="FFFFFF"/>
          </w:tcPr>
          <w:p w14:paraId="18F4C81F" w14:textId="7BFDA4C1" w:rsidR="0019093C" w:rsidRPr="00D16362" w:rsidRDefault="0019093C" w:rsidP="00FC70EF">
            <w:pPr>
              <w:pStyle w:val="CETBodytext"/>
            </w:pPr>
            <w:r w:rsidRPr="00D16362">
              <w:t>Component</w:t>
            </w:r>
          </w:p>
        </w:tc>
        <w:tc>
          <w:tcPr>
            <w:tcW w:w="6249" w:type="dxa"/>
            <w:gridSpan w:val="5"/>
            <w:tcBorders>
              <w:top w:val="single" w:sz="12" w:space="0" w:color="008000"/>
              <w:bottom w:val="nil"/>
            </w:tcBorders>
            <w:shd w:val="clear" w:color="auto" w:fill="FFFFFF"/>
          </w:tcPr>
          <w:p w14:paraId="5DF30735" w14:textId="0D0D0B82" w:rsidR="0019093C" w:rsidRPr="00D16362" w:rsidRDefault="0019093C" w:rsidP="00D16362">
            <w:pPr>
              <w:pStyle w:val="CETBodytext"/>
              <w:ind w:right="-1"/>
            </w:pPr>
            <w:r w:rsidRPr="00D16362">
              <w:t>Impact category</w:t>
            </w:r>
          </w:p>
        </w:tc>
      </w:tr>
      <w:tr w:rsidR="0019093C" w:rsidRPr="00D16362" w14:paraId="2582AEDA" w14:textId="4F687590" w:rsidTr="00E33205">
        <w:trPr>
          <w:trHeight w:val="222"/>
        </w:trPr>
        <w:tc>
          <w:tcPr>
            <w:tcW w:w="1167" w:type="dxa"/>
            <w:vMerge/>
            <w:tcBorders>
              <w:bottom w:val="single" w:sz="4" w:space="0" w:color="006600"/>
            </w:tcBorders>
            <w:shd w:val="clear" w:color="auto" w:fill="FFFFFF"/>
          </w:tcPr>
          <w:p w14:paraId="092C41B2" w14:textId="77777777" w:rsidR="0019093C" w:rsidRPr="00D16362" w:rsidRDefault="0019093C" w:rsidP="00FC70EF">
            <w:pPr>
              <w:pStyle w:val="CETBodytext"/>
            </w:pPr>
          </w:p>
        </w:tc>
        <w:tc>
          <w:tcPr>
            <w:tcW w:w="1417" w:type="dxa"/>
            <w:tcBorders>
              <w:top w:val="nil"/>
              <w:bottom w:val="single" w:sz="4" w:space="0" w:color="006600"/>
            </w:tcBorders>
            <w:shd w:val="clear" w:color="auto" w:fill="FFFFFF"/>
          </w:tcPr>
          <w:p w14:paraId="2FF19907" w14:textId="066B6F14" w:rsidR="0019093C" w:rsidRPr="00D16362" w:rsidRDefault="0019093C" w:rsidP="00D16362">
            <w:pPr>
              <w:pStyle w:val="CETBodytext"/>
              <w:ind w:right="-1"/>
            </w:pPr>
            <w:r w:rsidRPr="00D16362">
              <w:t>Global warming</w:t>
            </w:r>
          </w:p>
        </w:tc>
        <w:tc>
          <w:tcPr>
            <w:tcW w:w="1418" w:type="dxa"/>
            <w:tcBorders>
              <w:top w:val="nil"/>
              <w:bottom w:val="single" w:sz="4" w:space="0" w:color="006600"/>
            </w:tcBorders>
            <w:shd w:val="clear" w:color="auto" w:fill="FFFFFF"/>
          </w:tcPr>
          <w:p w14:paraId="62886474" w14:textId="4C974BE2" w:rsidR="0019093C" w:rsidRPr="00D16362" w:rsidRDefault="0019093C" w:rsidP="00D16362">
            <w:pPr>
              <w:pStyle w:val="CETBodytext"/>
              <w:ind w:right="-1"/>
            </w:pPr>
            <w:r w:rsidRPr="00D16362">
              <w:t>Smog formation</w:t>
            </w:r>
          </w:p>
        </w:tc>
        <w:tc>
          <w:tcPr>
            <w:tcW w:w="1134" w:type="dxa"/>
            <w:tcBorders>
              <w:top w:val="nil"/>
              <w:bottom w:val="single" w:sz="4" w:space="0" w:color="006600"/>
            </w:tcBorders>
            <w:shd w:val="clear" w:color="auto" w:fill="FFFFFF"/>
          </w:tcPr>
          <w:p w14:paraId="439B5A65" w14:textId="6A9382BA" w:rsidR="0019093C" w:rsidRPr="00D16362" w:rsidRDefault="0019093C" w:rsidP="00D16362">
            <w:pPr>
              <w:pStyle w:val="CETBodytext"/>
              <w:ind w:right="-1"/>
            </w:pPr>
            <w:r w:rsidRPr="00D16362">
              <w:t>Acidification</w:t>
            </w:r>
          </w:p>
        </w:tc>
        <w:tc>
          <w:tcPr>
            <w:tcW w:w="1276" w:type="dxa"/>
            <w:tcBorders>
              <w:top w:val="nil"/>
              <w:bottom w:val="single" w:sz="4" w:space="0" w:color="006600"/>
            </w:tcBorders>
            <w:shd w:val="clear" w:color="auto" w:fill="FFFFFF"/>
          </w:tcPr>
          <w:p w14:paraId="0F1307EB" w14:textId="6CB3C9F9" w:rsidR="0019093C" w:rsidRPr="00D16362" w:rsidRDefault="0019093C" w:rsidP="00D16362">
            <w:pPr>
              <w:pStyle w:val="CETBodytext"/>
              <w:ind w:right="-1"/>
            </w:pPr>
            <w:r w:rsidRPr="00D16362">
              <w:t>Human toxicity</w:t>
            </w:r>
          </w:p>
        </w:tc>
        <w:tc>
          <w:tcPr>
            <w:tcW w:w="1010" w:type="dxa"/>
            <w:gridSpan w:val="2"/>
            <w:tcBorders>
              <w:top w:val="nil"/>
              <w:bottom w:val="single" w:sz="4" w:space="0" w:color="006600"/>
            </w:tcBorders>
            <w:shd w:val="clear" w:color="auto" w:fill="FFFFFF"/>
          </w:tcPr>
          <w:p w14:paraId="7572F212" w14:textId="1624B23A" w:rsidR="0019093C" w:rsidRPr="00D16362" w:rsidRDefault="0019093C" w:rsidP="00D16362">
            <w:pPr>
              <w:pStyle w:val="CETBodytext"/>
              <w:ind w:right="-1"/>
            </w:pPr>
            <w:proofErr w:type="spellStart"/>
            <w:r w:rsidRPr="00D16362">
              <w:t>Ecotoxicity</w:t>
            </w:r>
            <w:proofErr w:type="spellEnd"/>
          </w:p>
        </w:tc>
      </w:tr>
      <w:tr w:rsidR="0019093C" w:rsidRPr="00D16362" w14:paraId="69490614" w14:textId="55BD97CC" w:rsidTr="00E33205">
        <w:tc>
          <w:tcPr>
            <w:tcW w:w="1167" w:type="dxa"/>
            <w:tcBorders>
              <w:top w:val="single" w:sz="4" w:space="0" w:color="006600"/>
            </w:tcBorders>
            <w:shd w:val="clear" w:color="auto" w:fill="FFFFFF"/>
          </w:tcPr>
          <w:p w14:paraId="0990511E" w14:textId="478ACBE7" w:rsidR="0019093C" w:rsidRPr="00D16362" w:rsidRDefault="0019093C" w:rsidP="00D16362">
            <w:pPr>
              <w:pStyle w:val="CETBodytext"/>
            </w:pPr>
            <w:r w:rsidRPr="00D16362">
              <w:t>CO</w:t>
            </w:r>
            <w:r w:rsidRPr="00D16362">
              <w:rPr>
                <w:vertAlign w:val="subscript"/>
              </w:rPr>
              <w:t>2</w:t>
            </w:r>
          </w:p>
        </w:tc>
        <w:tc>
          <w:tcPr>
            <w:tcW w:w="1417" w:type="dxa"/>
            <w:tcBorders>
              <w:top w:val="single" w:sz="4" w:space="0" w:color="006600"/>
            </w:tcBorders>
            <w:shd w:val="clear" w:color="auto" w:fill="FFFFFF"/>
          </w:tcPr>
          <w:p w14:paraId="79398AAF" w14:textId="2D67BA3A" w:rsidR="0019093C" w:rsidRPr="00D16362" w:rsidRDefault="0019093C" w:rsidP="00972ED4">
            <w:pPr>
              <w:pStyle w:val="CETBodytext"/>
              <w:ind w:right="-1"/>
              <w:rPr>
                <w:rFonts w:cs="Arial"/>
                <w:szCs w:val="18"/>
              </w:rPr>
            </w:pPr>
            <w:r w:rsidRPr="00D16362">
              <w:t>3</w:t>
            </w:r>
            <w:r w:rsidR="00972ED4" w:rsidRPr="00D16362">
              <w:t>.17</w:t>
            </w:r>
            <w:r w:rsidR="00972ED4" w:rsidRPr="00D16362">
              <w:rPr>
                <w:rFonts w:cs="Arial"/>
              </w:rPr>
              <w:t>∙</w:t>
            </w:r>
            <w:r w:rsidR="00972ED4" w:rsidRPr="00D16362">
              <w:t>10</w:t>
            </w:r>
            <w:r w:rsidR="00972ED4" w:rsidRPr="00D16362">
              <w:rPr>
                <w:vertAlign w:val="superscript"/>
              </w:rPr>
              <w:t>-4</w:t>
            </w:r>
          </w:p>
        </w:tc>
        <w:tc>
          <w:tcPr>
            <w:tcW w:w="1418" w:type="dxa"/>
            <w:tcBorders>
              <w:top w:val="single" w:sz="4" w:space="0" w:color="006600"/>
            </w:tcBorders>
            <w:shd w:val="clear" w:color="auto" w:fill="FFFFFF"/>
          </w:tcPr>
          <w:p w14:paraId="2F8A576F" w14:textId="4DCAD40F" w:rsidR="0019093C" w:rsidRPr="00D16362" w:rsidRDefault="00972ED4" w:rsidP="00D16362">
            <w:pPr>
              <w:pStyle w:val="CETBodytext"/>
              <w:ind w:right="-1"/>
              <w:rPr>
                <w:rFonts w:cs="Arial"/>
                <w:szCs w:val="18"/>
              </w:rPr>
            </w:pPr>
            <w:r w:rsidRPr="00D16362">
              <w:t>0</w:t>
            </w:r>
          </w:p>
        </w:tc>
        <w:tc>
          <w:tcPr>
            <w:tcW w:w="1134" w:type="dxa"/>
            <w:tcBorders>
              <w:top w:val="single" w:sz="4" w:space="0" w:color="006600"/>
            </w:tcBorders>
            <w:shd w:val="clear" w:color="auto" w:fill="FFFFFF"/>
          </w:tcPr>
          <w:p w14:paraId="0A52CFBC" w14:textId="07D91538" w:rsidR="0019093C" w:rsidRPr="00D16362" w:rsidRDefault="00972ED4" w:rsidP="00D16362">
            <w:pPr>
              <w:pStyle w:val="CETBodytext"/>
              <w:ind w:right="-1"/>
            </w:pPr>
            <w:r w:rsidRPr="00D16362">
              <w:t>0</w:t>
            </w:r>
          </w:p>
        </w:tc>
        <w:tc>
          <w:tcPr>
            <w:tcW w:w="1276" w:type="dxa"/>
            <w:tcBorders>
              <w:top w:val="single" w:sz="4" w:space="0" w:color="006600"/>
            </w:tcBorders>
            <w:shd w:val="clear" w:color="auto" w:fill="FFFFFF"/>
          </w:tcPr>
          <w:p w14:paraId="33E2B234" w14:textId="7819A2CD" w:rsidR="0019093C" w:rsidRPr="00D16362" w:rsidRDefault="00972ED4" w:rsidP="00972ED4">
            <w:pPr>
              <w:pStyle w:val="CETBodytext"/>
              <w:ind w:right="-1"/>
            </w:pPr>
            <w:r w:rsidRPr="00D16362">
              <w:t>3.24</w:t>
            </w:r>
            <w:r w:rsidRPr="00D16362">
              <w:rPr>
                <w:rFonts w:cs="Arial"/>
              </w:rPr>
              <w:t>∙</w:t>
            </w:r>
            <w:r w:rsidRPr="00D16362">
              <w:t>10</w:t>
            </w:r>
            <w:r w:rsidRPr="00D16362">
              <w:rPr>
                <w:vertAlign w:val="superscript"/>
              </w:rPr>
              <w:t>-5</w:t>
            </w:r>
          </w:p>
        </w:tc>
        <w:tc>
          <w:tcPr>
            <w:tcW w:w="1010" w:type="dxa"/>
            <w:gridSpan w:val="2"/>
            <w:tcBorders>
              <w:top w:val="single" w:sz="4" w:space="0" w:color="006600"/>
            </w:tcBorders>
            <w:shd w:val="clear" w:color="auto" w:fill="FFFFFF"/>
          </w:tcPr>
          <w:p w14:paraId="65753F4E" w14:textId="207E3113" w:rsidR="0019093C" w:rsidRPr="00D16362" w:rsidRDefault="00972ED4" w:rsidP="00D16362">
            <w:pPr>
              <w:pStyle w:val="CETBodytext"/>
              <w:ind w:right="-1"/>
            </w:pPr>
            <w:r w:rsidRPr="00D16362">
              <w:t>0.0903</w:t>
            </w:r>
          </w:p>
        </w:tc>
      </w:tr>
      <w:tr w:rsidR="0019093C" w:rsidRPr="00D16362" w14:paraId="7081A837" w14:textId="5E0A7724" w:rsidTr="00E33205">
        <w:tc>
          <w:tcPr>
            <w:tcW w:w="1167" w:type="dxa"/>
            <w:shd w:val="clear" w:color="auto" w:fill="FFFFFF"/>
          </w:tcPr>
          <w:p w14:paraId="317B156B" w14:textId="4C8D9795" w:rsidR="0019093C" w:rsidRPr="00D16362" w:rsidRDefault="0019093C" w:rsidP="00D16362">
            <w:pPr>
              <w:pStyle w:val="CETBodytext"/>
              <w:ind w:right="-1"/>
              <w:rPr>
                <w:rFonts w:cs="Arial"/>
                <w:szCs w:val="18"/>
              </w:rPr>
            </w:pPr>
            <w:proofErr w:type="spellStart"/>
            <w:r w:rsidRPr="00D16362">
              <w:rPr>
                <w:rFonts w:cs="Arial"/>
                <w:szCs w:val="18"/>
              </w:rPr>
              <w:t>HCl</w:t>
            </w:r>
            <w:proofErr w:type="spellEnd"/>
          </w:p>
        </w:tc>
        <w:tc>
          <w:tcPr>
            <w:tcW w:w="1417" w:type="dxa"/>
            <w:shd w:val="clear" w:color="auto" w:fill="FFFFFF"/>
          </w:tcPr>
          <w:p w14:paraId="1E5A1131" w14:textId="228767BF" w:rsidR="0019093C" w:rsidRPr="00D16362" w:rsidRDefault="00972ED4" w:rsidP="00D16362">
            <w:pPr>
              <w:pStyle w:val="CETBodytext"/>
              <w:ind w:right="-1"/>
              <w:rPr>
                <w:rFonts w:cs="Arial"/>
                <w:szCs w:val="18"/>
              </w:rPr>
            </w:pPr>
            <w:r w:rsidRPr="00D16362">
              <w:t>0</w:t>
            </w:r>
          </w:p>
        </w:tc>
        <w:tc>
          <w:tcPr>
            <w:tcW w:w="1418" w:type="dxa"/>
            <w:shd w:val="clear" w:color="auto" w:fill="FFFFFF"/>
          </w:tcPr>
          <w:p w14:paraId="00524DDC" w14:textId="2D16E5A8" w:rsidR="0019093C" w:rsidRPr="00D16362" w:rsidRDefault="00972ED4" w:rsidP="00D16362">
            <w:pPr>
              <w:pStyle w:val="CETBodytext"/>
              <w:ind w:right="-1"/>
              <w:rPr>
                <w:rFonts w:cs="Arial"/>
                <w:szCs w:val="18"/>
              </w:rPr>
            </w:pPr>
            <w:r w:rsidRPr="00D16362">
              <w:t>0</w:t>
            </w:r>
          </w:p>
        </w:tc>
        <w:tc>
          <w:tcPr>
            <w:tcW w:w="1134" w:type="dxa"/>
            <w:shd w:val="clear" w:color="auto" w:fill="FFFFFF"/>
          </w:tcPr>
          <w:p w14:paraId="38934C00" w14:textId="38A50962" w:rsidR="0019093C" w:rsidRPr="00D16362" w:rsidRDefault="00972ED4" w:rsidP="00D16362">
            <w:pPr>
              <w:pStyle w:val="CETBodytext"/>
              <w:ind w:right="-1"/>
            </w:pPr>
            <w:r w:rsidRPr="00D16362">
              <w:t>0.858</w:t>
            </w:r>
          </w:p>
        </w:tc>
        <w:tc>
          <w:tcPr>
            <w:tcW w:w="1276" w:type="dxa"/>
            <w:shd w:val="clear" w:color="auto" w:fill="FFFFFF"/>
          </w:tcPr>
          <w:p w14:paraId="6803E926" w14:textId="5020947B" w:rsidR="0019093C" w:rsidRPr="00D16362" w:rsidRDefault="00972ED4" w:rsidP="00D16362">
            <w:pPr>
              <w:pStyle w:val="CETBodytext"/>
              <w:ind w:right="-1"/>
            </w:pPr>
            <w:r w:rsidRPr="00D16362">
              <w:t>0.0416</w:t>
            </w:r>
          </w:p>
        </w:tc>
        <w:tc>
          <w:tcPr>
            <w:tcW w:w="1010" w:type="dxa"/>
            <w:gridSpan w:val="2"/>
            <w:shd w:val="clear" w:color="auto" w:fill="FFFFFF"/>
          </w:tcPr>
          <w:p w14:paraId="528977D1" w14:textId="1AD18AB5" w:rsidR="0019093C" w:rsidRPr="00D16362" w:rsidRDefault="00EA7C14" w:rsidP="00D16362">
            <w:pPr>
              <w:pStyle w:val="CETBodytext"/>
              <w:ind w:right="-1"/>
            </w:pPr>
            <w:r w:rsidRPr="00D16362">
              <w:t>0.797</w:t>
            </w:r>
          </w:p>
        </w:tc>
      </w:tr>
      <w:tr w:rsidR="0019093C" w:rsidRPr="00D16362" w14:paraId="4657E92F" w14:textId="7EC681A9" w:rsidTr="00E33205">
        <w:tc>
          <w:tcPr>
            <w:tcW w:w="1167" w:type="dxa"/>
            <w:shd w:val="clear" w:color="auto" w:fill="FFFFFF"/>
          </w:tcPr>
          <w:p w14:paraId="391F4822" w14:textId="3AFEBEBA" w:rsidR="0019093C" w:rsidRPr="00D16362" w:rsidRDefault="0019093C" w:rsidP="00D16362">
            <w:pPr>
              <w:pStyle w:val="CETBodytext"/>
              <w:ind w:right="-1"/>
              <w:rPr>
                <w:rFonts w:cs="Arial"/>
                <w:szCs w:val="18"/>
              </w:rPr>
            </w:pPr>
            <w:r w:rsidRPr="00D16362">
              <w:rPr>
                <w:rFonts w:cs="Arial"/>
                <w:szCs w:val="18"/>
              </w:rPr>
              <w:t>C</w:t>
            </w:r>
          </w:p>
        </w:tc>
        <w:tc>
          <w:tcPr>
            <w:tcW w:w="1417" w:type="dxa"/>
            <w:shd w:val="clear" w:color="auto" w:fill="FFFFFF"/>
          </w:tcPr>
          <w:p w14:paraId="4395E2F9" w14:textId="084192C1" w:rsidR="0019093C" w:rsidRPr="00D16362" w:rsidRDefault="00972ED4" w:rsidP="00D16362">
            <w:pPr>
              <w:pStyle w:val="CETBodytext"/>
              <w:ind w:right="-1"/>
              <w:rPr>
                <w:rFonts w:cs="Arial"/>
                <w:szCs w:val="18"/>
              </w:rPr>
            </w:pPr>
            <w:r w:rsidRPr="00D16362">
              <w:t>0</w:t>
            </w:r>
          </w:p>
        </w:tc>
        <w:tc>
          <w:tcPr>
            <w:tcW w:w="1418" w:type="dxa"/>
            <w:shd w:val="clear" w:color="auto" w:fill="FFFFFF"/>
          </w:tcPr>
          <w:p w14:paraId="68314CB0" w14:textId="7210C16B" w:rsidR="0019093C" w:rsidRPr="00D16362" w:rsidRDefault="0019093C" w:rsidP="00972ED4">
            <w:pPr>
              <w:pStyle w:val="CETBodytext"/>
              <w:ind w:right="-1"/>
              <w:rPr>
                <w:rFonts w:cs="Arial"/>
                <w:szCs w:val="18"/>
              </w:rPr>
            </w:pPr>
            <w:r w:rsidRPr="00D16362">
              <w:t>0.</w:t>
            </w:r>
            <w:r w:rsidR="00972ED4" w:rsidRPr="00D16362">
              <w:t>0</w:t>
            </w:r>
            <w:r w:rsidRPr="00D16362">
              <w:t>3</w:t>
            </w:r>
            <w:r w:rsidR="00972ED4" w:rsidRPr="00D16362">
              <w:t>66</w:t>
            </w:r>
          </w:p>
        </w:tc>
        <w:tc>
          <w:tcPr>
            <w:tcW w:w="1134" w:type="dxa"/>
            <w:shd w:val="clear" w:color="auto" w:fill="FFFFFF"/>
          </w:tcPr>
          <w:p w14:paraId="33BFA293" w14:textId="2E65D32A" w:rsidR="0019093C" w:rsidRPr="00D16362" w:rsidRDefault="00972ED4" w:rsidP="00D16362">
            <w:pPr>
              <w:pStyle w:val="CETBodytext"/>
              <w:ind w:right="-1"/>
            </w:pPr>
            <w:r w:rsidRPr="00D16362">
              <w:t>0</w:t>
            </w:r>
          </w:p>
        </w:tc>
        <w:tc>
          <w:tcPr>
            <w:tcW w:w="1276" w:type="dxa"/>
            <w:shd w:val="clear" w:color="auto" w:fill="FFFFFF"/>
          </w:tcPr>
          <w:p w14:paraId="1B9A2211" w14:textId="76A9F0BF" w:rsidR="0019093C" w:rsidRPr="00D16362" w:rsidRDefault="00972ED4" w:rsidP="00D16362">
            <w:pPr>
              <w:pStyle w:val="CETBodytext"/>
              <w:ind w:right="-1"/>
            </w:pPr>
            <w:r w:rsidRPr="00D16362">
              <w:rPr>
                <w:rFonts w:cs="Arial"/>
              </w:rPr>
              <w:t>1.21∙</w:t>
            </w:r>
            <w:r w:rsidRPr="00D16362">
              <w:t>10</w:t>
            </w:r>
            <w:r w:rsidRPr="00D16362">
              <w:rPr>
                <w:vertAlign w:val="superscript"/>
              </w:rPr>
              <w:t>-4</w:t>
            </w:r>
          </w:p>
        </w:tc>
        <w:tc>
          <w:tcPr>
            <w:tcW w:w="1010" w:type="dxa"/>
            <w:gridSpan w:val="2"/>
            <w:shd w:val="clear" w:color="auto" w:fill="FFFFFF"/>
          </w:tcPr>
          <w:p w14:paraId="20693073" w14:textId="72ED3749" w:rsidR="0019093C" w:rsidRPr="00D16362" w:rsidRDefault="00EA7C14" w:rsidP="00EA7C14">
            <w:pPr>
              <w:pStyle w:val="CETBodytext"/>
              <w:ind w:right="-1"/>
            </w:pPr>
            <w:r w:rsidRPr="00D16362">
              <w:t>0.0628</w:t>
            </w:r>
          </w:p>
        </w:tc>
      </w:tr>
    </w:tbl>
    <w:p w14:paraId="0FEC0928" w14:textId="096A0447" w:rsidR="00EB4285" w:rsidRPr="00D16362" w:rsidRDefault="004674B8" w:rsidP="004B5B39">
      <w:pPr>
        <w:pStyle w:val="CETBodytext"/>
      </w:pPr>
      <w:r w:rsidRPr="00D16362">
        <w:t xml:space="preserve">First, the indicators presented </w:t>
      </w:r>
      <w:r w:rsidR="00FA574C">
        <w:t>were</w:t>
      </w:r>
      <w:r w:rsidR="00FA574C" w:rsidRPr="00D16362">
        <w:t xml:space="preserve"> </w:t>
      </w:r>
      <w:r w:rsidR="004B5B39" w:rsidRPr="00D16362">
        <w:t xml:space="preserve">calculated for the base case, then sensitivity studies </w:t>
      </w:r>
      <w:r w:rsidR="00FA574C">
        <w:t>were</w:t>
      </w:r>
      <w:r w:rsidR="00FA574C" w:rsidRPr="00D16362">
        <w:t xml:space="preserve"> </w:t>
      </w:r>
      <w:r w:rsidR="004B5B39" w:rsidRPr="00D16362">
        <w:t>performed to study the effect of the operational parameters (R</w:t>
      </w:r>
      <w:r w:rsidR="004B5B39" w:rsidRPr="00D16362">
        <w:rPr>
          <w:vertAlign w:val="subscript"/>
        </w:rPr>
        <w:t>1</w:t>
      </w:r>
      <w:r w:rsidR="004B5B39" w:rsidRPr="00D16362">
        <w:t>, R</w:t>
      </w:r>
      <w:r w:rsidR="004B5B39" w:rsidRPr="00D16362">
        <w:rPr>
          <w:vertAlign w:val="subscript"/>
        </w:rPr>
        <w:t>2</w:t>
      </w:r>
      <w:r w:rsidR="004B5B39" w:rsidRPr="00D16362">
        <w:t>, R</w:t>
      </w:r>
      <w:r w:rsidR="004B5B39" w:rsidRPr="00D16362">
        <w:rPr>
          <w:vertAlign w:val="subscript"/>
        </w:rPr>
        <w:t>3</w:t>
      </w:r>
      <w:r w:rsidR="004B5B39" w:rsidRPr="00D16362">
        <w:t xml:space="preserve"> and Cr) on the indicators. </w:t>
      </w:r>
      <w:r w:rsidR="0089009A">
        <w:t xml:space="preserve">Only one parameters was varied at a time. </w:t>
      </w:r>
      <w:r w:rsidR="004B5B39" w:rsidRPr="00D16362">
        <w:t xml:space="preserve">Finally, a </w:t>
      </w:r>
      <w:r w:rsidR="00A86613" w:rsidRPr="00D16362">
        <w:t>modified technology</w:t>
      </w:r>
      <w:r w:rsidR="004B5B39" w:rsidRPr="00D16362">
        <w:t xml:space="preserve"> </w:t>
      </w:r>
      <w:r w:rsidR="00FA574C">
        <w:t>was</w:t>
      </w:r>
      <w:r w:rsidR="00FA574C" w:rsidRPr="00D16362">
        <w:t xml:space="preserve"> </w:t>
      </w:r>
      <w:r w:rsidR="004B5B39" w:rsidRPr="00D16362">
        <w:t>suggested based on the results of the sensitivity studies.</w:t>
      </w:r>
    </w:p>
    <w:p w14:paraId="7D515135" w14:textId="2DFA3BC4" w:rsidR="005A28AC" w:rsidRPr="00D16362" w:rsidRDefault="00696FA7" w:rsidP="0026232A">
      <w:pPr>
        <w:pStyle w:val="CETHeading1"/>
      </w:pPr>
      <w:r w:rsidRPr="00D16362">
        <w:t>Results</w:t>
      </w:r>
    </w:p>
    <w:p w14:paraId="6B05B629" w14:textId="3473C6A4" w:rsidR="005A28AC" w:rsidRPr="00D16362" w:rsidRDefault="00E47B14" w:rsidP="00453E24">
      <w:pPr>
        <w:pStyle w:val="CETBodytext"/>
      </w:pPr>
      <w:r w:rsidRPr="00D16362">
        <w:t xml:space="preserve">The most important results of the </w:t>
      </w:r>
      <w:r w:rsidR="00A86613" w:rsidRPr="00D16362">
        <w:t>base case</w:t>
      </w:r>
      <w:r w:rsidRPr="00D16362">
        <w:t xml:space="preserve"> are presented in Table 4. C is produced with a recovery of 60.8%. It contain</w:t>
      </w:r>
      <w:r w:rsidR="00DB2D98">
        <w:t>ed</w:t>
      </w:r>
      <w:r w:rsidRPr="00D16362">
        <w:t xml:space="preserve"> only traces of A and very low amount of B, and its D content is also acceptable. </w:t>
      </w:r>
      <w:r w:rsidR="00ED59C6" w:rsidRPr="00D16362">
        <w:t xml:space="preserve">The fore-cut </w:t>
      </w:r>
      <w:r w:rsidR="0092795D" w:rsidRPr="00D16362">
        <w:t>ha</w:t>
      </w:r>
      <w:r w:rsidR="0092795D">
        <w:t>d</w:t>
      </w:r>
      <w:r w:rsidR="0092795D" w:rsidRPr="00D16362">
        <w:t xml:space="preserve"> </w:t>
      </w:r>
      <w:r w:rsidR="00ED59C6" w:rsidRPr="00D16362">
        <w:t xml:space="preserve">a C concentration of 90.0% indicating that a high amount of C is lost in the cut. </w:t>
      </w:r>
      <w:r w:rsidRPr="00D16362">
        <w:t xml:space="preserve">The process </w:t>
      </w:r>
      <w:r w:rsidR="0092795D">
        <w:t>was</w:t>
      </w:r>
      <w:r w:rsidR="0092795D" w:rsidRPr="00D16362">
        <w:t xml:space="preserve"> </w:t>
      </w:r>
      <w:r w:rsidRPr="00D16362">
        <w:t>economical, its specific CO</w:t>
      </w:r>
      <w:r w:rsidRPr="00D16362">
        <w:rPr>
          <w:vertAlign w:val="subscript"/>
        </w:rPr>
        <w:t>2</w:t>
      </w:r>
      <w:r w:rsidRPr="00D16362">
        <w:t xml:space="preserve"> emission and wastewater generation values </w:t>
      </w:r>
      <w:r w:rsidR="0092795D">
        <w:t>were</w:t>
      </w:r>
      <w:r w:rsidR="0092795D" w:rsidRPr="00D16362">
        <w:t xml:space="preserve"> </w:t>
      </w:r>
      <w:r w:rsidRPr="00D16362">
        <w:t>slightl</w:t>
      </w:r>
      <w:r w:rsidR="001A365C">
        <w:t>y higher than 1.5 kg/kg</w:t>
      </w:r>
      <w:r w:rsidRPr="00D16362">
        <w:t>.</w:t>
      </w:r>
    </w:p>
    <w:p w14:paraId="7C29A998" w14:textId="1CA4FA61" w:rsidR="00A86613" w:rsidRPr="00D16362" w:rsidRDefault="00A86613" w:rsidP="00A86613">
      <w:pPr>
        <w:pStyle w:val="CETTabletitle"/>
        <w:rPr>
          <w:lang w:val="en-US"/>
        </w:rPr>
      </w:pPr>
      <w:r w:rsidRPr="00D16362">
        <w:rPr>
          <w:lang w:val="en-US"/>
        </w:rPr>
        <w:t>Table 4: Results of the base case and the modified technology</w:t>
      </w:r>
      <w:r w:rsidR="001E57EE">
        <w:rPr>
          <w:lang w:val="en-US"/>
        </w:rP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802"/>
        <w:gridCol w:w="608"/>
        <w:gridCol w:w="567"/>
        <w:gridCol w:w="567"/>
        <w:gridCol w:w="709"/>
        <w:gridCol w:w="709"/>
        <w:gridCol w:w="850"/>
        <w:gridCol w:w="992"/>
      </w:tblGrid>
      <w:tr w:rsidR="006F361D" w:rsidRPr="00D16362" w14:paraId="3BF82D49" w14:textId="77777777" w:rsidTr="002F531E">
        <w:trPr>
          <w:trHeight w:val="240"/>
        </w:trPr>
        <w:tc>
          <w:tcPr>
            <w:tcW w:w="1802" w:type="dxa"/>
            <w:tcBorders>
              <w:top w:val="single" w:sz="12" w:space="0" w:color="008000"/>
              <w:bottom w:val="single" w:sz="4" w:space="0" w:color="006600"/>
            </w:tcBorders>
            <w:shd w:val="clear" w:color="auto" w:fill="FFFFFF"/>
          </w:tcPr>
          <w:p w14:paraId="189A6598" w14:textId="6658837C" w:rsidR="006F361D" w:rsidRPr="00D16362" w:rsidRDefault="006F361D" w:rsidP="00A86613">
            <w:pPr>
              <w:pStyle w:val="CETBodytext"/>
            </w:pPr>
            <w:r w:rsidRPr="00D16362">
              <w:t>Result</w:t>
            </w:r>
          </w:p>
        </w:tc>
        <w:tc>
          <w:tcPr>
            <w:tcW w:w="1742" w:type="dxa"/>
            <w:gridSpan w:val="3"/>
            <w:tcBorders>
              <w:top w:val="single" w:sz="12" w:space="0" w:color="008000"/>
              <w:bottom w:val="single" w:sz="4" w:space="0" w:color="006600"/>
            </w:tcBorders>
            <w:shd w:val="clear" w:color="auto" w:fill="FFFFFF"/>
          </w:tcPr>
          <w:p w14:paraId="763827DF" w14:textId="5BB81041" w:rsidR="006F361D" w:rsidRPr="00D16362" w:rsidRDefault="006F361D" w:rsidP="00D16362">
            <w:pPr>
              <w:pStyle w:val="CETBodytext"/>
            </w:pPr>
            <w:r w:rsidRPr="00D16362">
              <w:t>Base case</w:t>
            </w:r>
          </w:p>
        </w:tc>
        <w:tc>
          <w:tcPr>
            <w:tcW w:w="2268" w:type="dxa"/>
            <w:gridSpan w:val="3"/>
            <w:tcBorders>
              <w:top w:val="single" w:sz="12" w:space="0" w:color="008000"/>
              <w:bottom w:val="single" w:sz="4" w:space="0" w:color="006600"/>
            </w:tcBorders>
            <w:shd w:val="clear" w:color="auto" w:fill="FFFFFF"/>
          </w:tcPr>
          <w:p w14:paraId="4F462F05" w14:textId="2181143F" w:rsidR="006F361D" w:rsidRPr="00D16362" w:rsidRDefault="006F361D" w:rsidP="002F531E">
            <w:pPr>
              <w:pStyle w:val="CETBodytext"/>
              <w:ind w:right="-1"/>
              <w:rPr>
                <w:rFonts w:cs="Arial"/>
                <w:szCs w:val="18"/>
              </w:rPr>
            </w:pPr>
            <w:r w:rsidRPr="00D16362">
              <w:t xml:space="preserve">Modified </w:t>
            </w:r>
            <w:r w:rsidR="002F531E">
              <w:t>operational policy</w:t>
            </w:r>
          </w:p>
        </w:tc>
        <w:tc>
          <w:tcPr>
            <w:tcW w:w="992" w:type="dxa"/>
            <w:tcBorders>
              <w:top w:val="single" w:sz="12" w:space="0" w:color="008000"/>
              <w:bottom w:val="single" w:sz="4" w:space="0" w:color="006600"/>
            </w:tcBorders>
            <w:shd w:val="clear" w:color="auto" w:fill="FFFFFF"/>
          </w:tcPr>
          <w:p w14:paraId="635E83EE" w14:textId="33268FCE" w:rsidR="006F361D" w:rsidRPr="00D16362" w:rsidRDefault="006F361D" w:rsidP="00A86613">
            <w:pPr>
              <w:pStyle w:val="CETBodytext"/>
              <w:ind w:right="-1"/>
              <w:rPr>
                <w:rFonts w:cs="Arial"/>
                <w:szCs w:val="18"/>
              </w:rPr>
            </w:pPr>
            <w:r w:rsidRPr="00D16362">
              <w:rPr>
                <w:rFonts w:cs="Arial"/>
                <w:szCs w:val="18"/>
              </w:rPr>
              <w:t>Change, %</w:t>
            </w:r>
          </w:p>
        </w:tc>
      </w:tr>
      <w:tr w:rsidR="006F361D" w:rsidRPr="00D16362" w14:paraId="2B0D433E" w14:textId="77777777" w:rsidTr="002F531E">
        <w:tc>
          <w:tcPr>
            <w:tcW w:w="1802" w:type="dxa"/>
            <w:tcBorders>
              <w:top w:val="single" w:sz="4" w:space="0" w:color="006600"/>
            </w:tcBorders>
            <w:shd w:val="clear" w:color="auto" w:fill="FFFFFF"/>
          </w:tcPr>
          <w:p w14:paraId="23F95755" w14:textId="270296E1" w:rsidR="006F361D" w:rsidRPr="00D16362" w:rsidRDefault="006F361D" w:rsidP="00D16362">
            <w:pPr>
              <w:pStyle w:val="CETBodytext"/>
            </w:pPr>
            <w:proofErr w:type="spellStart"/>
            <w:proofErr w:type="gramStart"/>
            <w:r w:rsidRPr="00D16362">
              <w:t>m</w:t>
            </w:r>
            <w:r w:rsidRPr="00D16362">
              <w:rPr>
                <w:vertAlign w:val="subscript"/>
              </w:rPr>
              <w:t>fc</w:t>
            </w:r>
            <w:proofErr w:type="spellEnd"/>
            <w:proofErr w:type="gramEnd"/>
            <w:r w:rsidRPr="00D16362">
              <w:t>. kg</w:t>
            </w:r>
          </w:p>
        </w:tc>
        <w:tc>
          <w:tcPr>
            <w:tcW w:w="1742" w:type="dxa"/>
            <w:gridSpan w:val="3"/>
            <w:tcBorders>
              <w:top w:val="single" w:sz="4" w:space="0" w:color="006600"/>
            </w:tcBorders>
            <w:shd w:val="clear" w:color="auto" w:fill="FFFFFF"/>
          </w:tcPr>
          <w:p w14:paraId="2F981360" w14:textId="7F53EFDC" w:rsidR="006F361D" w:rsidRPr="00D16362" w:rsidRDefault="006F361D" w:rsidP="00D16362">
            <w:pPr>
              <w:pStyle w:val="CETBodytext"/>
            </w:pPr>
            <w:r w:rsidRPr="00D16362">
              <w:t>3,671</w:t>
            </w:r>
          </w:p>
        </w:tc>
        <w:tc>
          <w:tcPr>
            <w:tcW w:w="2268" w:type="dxa"/>
            <w:gridSpan w:val="3"/>
            <w:tcBorders>
              <w:top w:val="single" w:sz="4" w:space="0" w:color="006600"/>
            </w:tcBorders>
            <w:shd w:val="clear" w:color="auto" w:fill="FFFFFF"/>
          </w:tcPr>
          <w:p w14:paraId="0DEB1214" w14:textId="4804C4A5" w:rsidR="006F361D" w:rsidRPr="00D16362" w:rsidRDefault="006F361D" w:rsidP="006F361D">
            <w:pPr>
              <w:pStyle w:val="CETBodytext"/>
              <w:ind w:right="-1"/>
              <w:rPr>
                <w:rFonts w:cs="Arial"/>
                <w:szCs w:val="18"/>
              </w:rPr>
            </w:pPr>
            <w:r w:rsidRPr="00D16362">
              <w:rPr>
                <w:rFonts w:cs="Arial"/>
                <w:szCs w:val="18"/>
              </w:rPr>
              <w:t>1,304</w:t>
            </w:r>
          </w:p>
        </w:tc>
        <w:tc>
          <w:tcPr>
            <w:tcW w:w="992" w:type="dxa"/>
            <w:tcBorders>
              <w:top w:val="single" w:sz="4" w:space="0" w:color="006600"/>
            </w:tcBorders>
            <w:shd w:val="clear" w:color="auto" w:fill="FFFFFF"/>
          </w:tcPr>
          <w:p w14:paraId="0E21357A" w14:textId="636A18A6" w:rsidR="006F361D" w:rsidRPr="00D16362" w:rsidRDefault="006F361D" w:rsidP="00D16362">
            <w:pPr>
              <w:pStyle w:val="CETBodytext"/>
              <w:ind w:right="-1"/>
              <w:rPr>
                <w:rFonts w:cs="Arial"/>
                <w:szCs w:val="18"/>
              </w:rPr>
            </w:pPr>
            <w:r w:rsidRPr="00D16362">
              <w:rPr>
                <w:rFonts w:cs="Arial"/>
                <w:szCs w:val="18"/>
              </w:rPr>
              <w:t>-64.5</w:t>
            </w:r>
          </w:p>
        </w:tc>
      </w:tr>
      <w:tr w:rsidR="006F361D" w:rsidRPr="00D16362" w14:paraId="410D3587" w14:textId="77777777" w:rsidTr="002F531E">
        <w:tc>
          <w:tcPr>
            <w:tcW w:w="1802" w:type="dxa"/>
            <w:shd w:val="clear" w:color="auto" w:fill="FFFFFF"/>
          </w:tcPr>
          <w:p w14:paraId="36D964A9" w14:textId="195398B9" w:rsidR="006F361D" w:rsidRPr="00D16362" w:rsidRDefault="006F361D" w:rsidP="00D16362">
            <w:pPr>
              <w:pStyle w:val="CETBodytext"/>
              <w:ind w:right="-1"/>
              <w:rPr>
                <w:rFonts w:cs="Arial"/>
                <w:szCs w:val="18"/>
              </w:rPr>
            </w:pPr>
            <w:proofErr w:type="spellStart"/>
            <w:r w:rsidRPr="00D16362">
              <w:rPr>
                <w:rFonts w:cs="Arial"/>
                <w:szCs w:val="18"/>
              </w:rPr>
              <w:t>m</w:t>
            </w:r>
            <w:r w:rsidRPr="00D16362">
              <w:rPr>
                <w:rFonts w:cs="Arial"/>
                <w:szCs w:val="18"/>
                <w:vertAlign w:val="subscript"/>
              </w:rPr>
              <w:t>p</w:t>
            </w:r>
            <w:proofErr w:type="spellEnd"/>
            <w:r w:rsidRPr="00D16362">
              <w:rPr>
                <w:rFonts w:cs="Arial"/>
                <w:szCs w:val="18"/>
              </w:rPr>
              <w:t>, kg</w:t>
            </w:r>
          </w:p>
        </w:tc>
        <w:tc>
          <w:tcPr>
            <w:tcW w:w="1742" w:type="dxa"/>
            <w:gridSpan w:val="3"/>
            <w:shd w:val="clear" w:color="auto" w:fill="FFFFFF"/>
          </w:tcPr>
          <w:p w14:paraId="4CF777A4" w14:textId="7E6189E7" w:rsidR="006F361D" w:rsidRPr="00D16362" w:rsidRDefault="006F361D" w:rsidP="00D16362">
            <w:pPr>
              <w:pStyle w:val="CETBodytext"/>
              <w:ind w:right="-1"/>
              <w:rPr>
                <w:rFonts w:cs="Arial"/>
                <w:szCs w:val="18"/>
              </w:rPr>
            </w:pPr>
            <w:r w:rsidRPr="00D16362">
              <w:rPr>
                <w:rFonts w:cs="Arial"/>
                <w:szCs w:val="18"/>
              </w:rPr>
              <w:t>5,312</w:t>
            </w:r>
          </w:p>
        </w:tc>
        <w:tc>
          <w:tcPr>
            <w:tcW w:w="2268" w:type="dxa"/>
            <w:gridSpan w:val="3"/>
            <w:shd w:val="clear" w:color="auto" w:fill="FFFFFF"/>
          </w:tcPr>
          <w:p w14:paraId="624587D1" w14:textId="4202D5D4" w:rsidR="006F361D" w:rsidRPr="00D16362" w:rsidRDefault="006F361D" w:rsidP="006F361D">
            <w:pPr>
              <w:pStyle w:val="CETBodytext"/>
              <w:ind w:right="-1"/>
              <w:rPr>
                <w:rFonts w:cs="Arial"/>
                <w:szCs w:val="18"/>
              </w:rPr>
            </w:pPr>
            <w:r w:rsidRPr="00D16362">
              <w:rPr>
                <w:rFonts w:cs="Arial"/>
                <w:szCs w:val="18"/>
              </w:rPr>
              <w:t>7,708</w:t>
            </w:r>
          </w:p>
        </w:tc>
        <w:tc>
          <w:tcPr>
            <w:tcW w:w="992" w:type="dxa"/>
            <w:shd w:val="clear" w:color="auto" w:fill="FFFFFF"/>
          </w:tcPr>
          <w:p w14:paraId="20784574" w14:textId="151754D0" w:rsidR="006F361D" w:rsidRPr="00D16362" w:rsidRDefault="006F361D" w:rsidP="00D16362">
            <w:pPr>
              <w:pStyle w:val="CETBodytext"/>
              <w:ind w:right="-1"/>
              <w:rPr>
                <w:rFonts w:cs="Arial"/>
                <w:szCs w:val="18"/>
              </w:rPr>
            </w:pPr>
            <w:r w:rsidRPr="00D16362">
              <w:rPr>
                <w:rFonts w:cs="Arial"/>
                <w:szCs w:val="18"/>
              </w:rPr>
              <w:t>45.1</w:t>
            </w:r>
          </w:p>
        </w:tc>
      </w:tr>
      <w:tr w:rsidR="006F361D" w:rsidRPr="00D16362" w14:paraId="351E8611" w14:textId="77777777" w:rsidTr="002F531E">
        <w:tc>
          <w:tcPr>
            <w:tcW w:w="1802" w:type="dxa"/>
            <w:shd w:val="clear" w:color="auto" w:fill="FFFFFF"/>
          </w:tcPr>
          <w:p w14:paraId="32CB5356" w14:textId="68BDEC48" w:rsidR="006F361D" w:rsidRPr="00D16362" w:rsidRDefault="006F361D" w:rsidP="006F361D">
            <w:pPr>
              <w:pStyle w:val="CETBodytext"/>
              <w:ind w:right="-1"/>
              <w:rPr>
                <w:rFonts w:cs="Arial"/>
                <w:szCs w:val="18"/>
              </w:rPr>
            </w:pPr>
          </w:p>
        </w:tc>
        <w:tc>
          <w:tcPr>
            <w:tcW w:w="608" w:type="dxa"/>
            <w:shd w:val="clear" w:color="auto" w:fill="FFFFFF"/>
          </w:tcPr>
          <w:p w14:paraId="01BF7910" w14:textId="5898502D" w:rsidR="006F361D" w:rsidRPr="00D16362" w:rsidRDefault="006F361D" w:rsidP="006F361D">
            <w:pPr>
              <w:pStyle w:val="CETBodytext"/>
              <w:ind w:right="-1"/>
              <w:rPr>
                <w:rFonts w:cs="Arial"/>
                <w:szCs w:val="18"/>
              </w:rPr>
            </w:pPr>
            <w:r w:rsidRPr="00D16362">
              <w:rPr>
                <w:rFonts w:cs="Arial"/>
                <w:szCs w:val="18"/>
              </w:rPr>
              <w:t>A</w:t>
            </w:r>
          </w:p>
        </w:tc>
        <w:tc>
          <w:tcPr>
            <w:tcW w:w="567" w:type="dxa"/>
            <w:shd w:val="clear" w:color="auto" w:fill="FFFFFF"/>
          </w:tcPr>
          <w:p w14:paraId="2994181B" w14:textId="6648BCF1" w:rsidR="006F361D" w:rsidRPr="00D16362" w:rsidRDefault="006F361D" w:rsidP="006F361D">
            <w:pPr>
              <w:pStyle w:val="CETBodytext"/>
              <w:ind w:right="-1"/>
              <w:rPr>
                <w:rFonts w:cs="Arial"/>
                <w:szCs w:val="18"/>
              </w:rPr>
            </w:pPr>
            <w:r w:rsidRPr="00D16362">
              <w:rPr>
                <w:rFonts w:cs="Arial"/>
                <w:szCs w:val="18"/>
              </w:rPr>
              <w:t>B</w:t>
            </w:r>
          </w:p>
        </w:tc>
        <w:tc>
          <w:tcPr>
            <w:tcW w:w="567" w:type="dxa"/>
            <w:shd w:val="clear" w:color="auto" w:fill="FFFFFF"/>
          </w:tcPr>
          <w:p w14:paraId="3D48D52C" w14:textId="0F85474A" w:rsidR="006F361D" w:rsidRPr="00D16362" w:rsidRDefault="006F361D" w:rsidP="006F361D">
            <w:pPr>
              <w:pStyle w:val="CETBodytext"/>
              <w:ind w:right="-1"/>
              <w:rPr>
                <w:rFonts w:cs="Arial"/>
                <w:szCs w:val="18"/>
              </w:rPr>
            </w:pPr>
            <w:r w:rsidRPr="00D16362">
              <w:rPr>
                <w:rFonts w:cs="Arial"/>
                <w:szCs w:val="18"/>
              </w:rPr>
              <w:t>D</w:t>
            </w:r>
          </w:p>
        </w:tc>
        <w:tc>
          <w:tcPr>
            <w:tcW w:w="709" w:type="dxa"/>
            <w:shd w:val="clear" w:color="auto" w:fill="FFFFFF"/>
          </w:tcPr>
          <w:p w14:paraId="2E26C50A" w14:textId="070C9E47" w:rsidR="006F361D" w:rsidRPr="00D16362" w:rsidRDefault="006F361D" w:rsidP="006F361D">
            <w:pPr>
              <w:pStyle w:val="CETBodytext"/>
              <w:ind w:right="-1"/>
              <w:rPr>
                <w:rFonts w:cs="Arial"/>
                <w:szCs w:val="18"/>
              </w:rPr>
            </w:pPr>
            <w:r w:rsidRPr="00D16362">
              <w:rPr>
                <w:rFonts w:cs="Arial"/>
                <w:szCs w:val="18"/>
              </w:rPr>
              <w:t>A</w:t>
            </w:r>
          </w:p>
        </w:tc>
        <w:tc>
          <w:tcPr>
            <w:tcW w:w="709" w:type="dxa"/>
            <w:shd w:val="clear" w:color="auto" w:fill="FFFFFF"/>
          </w:tcPr>
          <w:p w14:paraId="2061D21F" w14:textId="0A20CCB5" w:rsidR="006F361D" w:rsidRPr="00D16362" w:rsidRDefault="006F361D" w:rsidP="006F361D">
            <w:pPr>
              <w:pStyle w:val="CETBodytext"/>
              <w:ind w:right="-1"/>
              <w:rPr>
                <w:rFonts w:cs="Arial"/>
                <w:szCs w:val="18"/>
              </w:rPr>
            </w:pPr>
            <w:r w:rsidRPr="00D16362">
              <w:rPr>
                <w:rFonts w:cs="Arial"/>
                <w:szCs w:val="18"/>
              </w:rPr>
              <w:t>B</w:t>
            </w:r>
          </w:p>
        </w:tc>
        <w:tc>
          <w:tcPr>
            <w:tcW w:w="850" w:type="dxa"/>
            <w:shd w:val="clear" w:color="auto" w:fill="FFFFFF"/>
          </w:tcPr>
          <w:p w14:paraId="63C6BFA8" w14:textId="2759F719" w:rsidR="006F361D" w:rsidRPr="00D16362" w:rsidRDefault="006F361D" w:rsidP="006F361D">
            <w:pPr>
              <w:pStyle w:val="CETBodytext"/>
              <w:ind w:right="-1"/>
              <w:rPr>
                <w:rFonts w:cs="Arial"/>
                <w:szCs w:val="18"/>
              </w:rPr>
            </w:pPr>
            <w:r w:rsidRPr="00D16362">
              <w:rPr>
                <w:rFonts w:cs="Arial"/>
                <w:szCs w:val="18"/>
              </w:rPr>
              <w:t>D</w:t>
            </w:r>
          </w:p>
        </w:tc>
        <w:tc>
          <w:tcPr>
            <w:tcW w:w="992" w:type="dxa"/>
            <w:shd w:val="clear" w:color="auto" w:fill="FFFFFF"/>
          </w:tcPr>
          <w:p w14:paraId="5AB38C69" w14:textId="0FF3D156" w:rsidR="006F361D" w:rsidRPr="00D16362" w:rsidRDefault="006F361D" w:rsidP="006F361D">
            <w:pPr>
              <w:pStyle w:val="CETBodytext"/>
              <w:ind w:right="-1"/>
              <w:rPr>
                <w:rFonts w:cs="Arial"/>
                <w:szCs w:val="18"/>
              </w:rPr>
            </w:pPr>
          </w:p>
        </w:tc>
      </w:tr>
      <w:tr w:rsidR="006F361D" w:rsidRPr="00D16362" w14:paraId="12F27A0B" w14:textId="77777777" w:rsidTr="002F531E">
        <w:tc>
          <w:tcPr>
            <w:tcW w:w="1802" w:type="dxa"/>
            <w:shd w:val="clear" w:color="auto" w:fill="FFFFFF"/>
          </w:tcPr>
          <w:p w14:paraId="6F09FF8F" w14:textId="167CEE4D" w:rsidR="006F361D" w:rsidRPr="00D16362" w:rsidRDefault="006F361D" w:rsidP="00D16362">
            <w:pPr>
              <w:pStyle w:val="CETBodytext"/>
              <w:ind w:right="-1"/>
              <w:rPr>
                <w:rFonts w:cs="Arial"/>
                <w:szCs w:val="18"/>
              </w:rPr>
            </w:pPr>
            <w:proofErr w:type="spellStart"/>
            <w:r w:rsidRPr="00D16362">
              <w:rPr>
                <w:rFonts w:cs="Arial"/>
                <w:szCs w:val="18"/>
              </w:rPr>
              <w:t>x</w:t>
            </w:r>
            <w:r w:rsidRPr="00D16362">
              <w:rPr>
                <w:rFonts w:cs="Arial"/>
                <w:szCs w:val="18"/>
                <w:vertAlign w:val="subscript"/>
              </w:rPr>
              <w:t>p</w:t>
            </w:r>
            <w:proofErr w:type="spellEnd"/>
            <w:r w:rsidR="0089009A" w:rsidRPr="001F0D9D">
              <w:rPr>
                <w:rFonts w:cs="Arial"/>
                <w:szCs w:val="18"/>
              </w:rPr>
              <w:t>, mass%</w:t>
            </w:r>
          </w:p>
        </w:tc>
        <w:tc>
          <w:tcPr>
            <w:tcW w:w="608" w:type="dxa"/>
            <w:shd w:val="clear" w:color="auto" w:fill="FFFFFF"/>
          </w:tcPr>
          <w:p w14:paraId="4D85EE5A" w14:textId="2F3B621C" w:rsidR="006F361D" w:rsidRPr="00D16362" w:rsidRDefault="002867BC" w:rsidP="002867BC">
            <w:pPr>
              <w:pStyle w:val="CETBodytext"/>
              <w:ind w:right="-1"/>
              <w:rPr>
                <w:rFonts w:cs="Arial"/>
                <w:szCs w:val="18"/>
              </w:rPr>
            </w:pPr>
            <w:r w:rsidRPr="00D16362">
              <w:rPr>
                <w:rFonts w:cs="Arial"/>
                <w:szCs w:val="18"/>
              </w:rPr>
              <w:t>0</w:t>
            </w:r>
            <w:r w:rsidR="006F361D" w:rsidRPr="00D16362">
              <w:rPr>
                <w:rFonts w:cs="Arial"/>
                <w:szCs w:val="18"/>
              </w:rPr>
              <w:t>.</w:t>
            </w:r>
            <w:r w:rsidRPr="00D16362">
              <w:rPr>
                <w:rFonts w:cs="Arial"/>
                <w:szCs w:val="18"/>
              </w:rPr>
              <w:t>000</w:t>
            </w:r>
          </w:p>
        </w:tc>
        <w:tc>
          <w:tcPr>
            <w:tcW w:w="567" w:type="dxa"/>
            <w:shd w:val="clear" w:color="auto" w:fill="FFFFFF"/>
          </w:tcPr>
          <w:p w14:paraId="2615DFCB" w14:textId="19EE17A8" w:rsidR="006F361D" w:rsidRPr="00D16362" w:rsidRDefault="002867BC" w:rsidP="00D16362">
            <w:pPr>
              <w:pStyle w:val="CETBodytext"/>
              <w:ind w:right="-1"/>
              <w:rPr>
                <w:rFonts w:cs="Arial"/>
                <w:szCs w:val="18"/>
              </w:rPr>
            </w:pPr>
            <w:r w:rsidRPr="00D16362">
              <w:rPr>
                <w:rFonts w:cs="Arial"/>
                <w:szCs w:val="18"/>
              </w:rPr>
              <w:t>0.007</w:t>
            </w:r>
          </w:p>
        </w:tc>
        <w:tc>
          <w:tcPr>
            <w:tcW w:w="567" w:type="dxa"/>
            <w:shd w:val="clear" w:color="auto" w:fill="FFFFFF"/>
          </w:tcPr>
          <w:p w14:paraId="6D9DF26E" w14:textId="16A9DD92" w:rsidR="006F361D" w:rsidRPr="00D16362" w:rsidRDefault="002867BC" w:rsidP="00D16362">
            <w:pPr>
              <w:pStyle w:val="CETBodytext"/>
              <w:ind w:right="-1"/>
              <w:rPr>
                <w:rFonts w:cs="Arial"/>
                <w:szCs w:val="18"/>
              </w:rPr>
            </w:pPr>
            <w:r w:rsidRPr="00D16362">
              <w:rPr>
                <w:rFonts w:cs="Arial"/>
                <w:szCs w:val="18"/>
              </w:rPr>
              <w:t>0.232</w:t>
            </w:r>
          </w:p>
        </w:tc>
        <w:tc>
          <w:tcPr>
            <w:tcW w:w="709" w:type="dxa"/>
            <w:shd w:val="clear" w:color="auto" w:fill="FFFFFF"/>
          </w:tcPr>
          <w:p w14:paraId="5F6A4BF0" w14:textId="2CF5BEF2" w:rsidR="006F361D" w:rsidRPr="00D16362" w:rsidRDefault="002867BC" w:rsidP="00D16362">
            <w:pPr>
              <w:pStyle w:val="CETBodytext"/>
              <w:ind w:right="-1"/>
              <w:rPr>
                <w:rFonts w:cs="Arial"/>
                <w:szCs w:val="18"/>
              </w:rPr>
            </w:pPr>
            <w:r w:rsidRPr="00D16362">
              <w:rPr>
                <w:rFonts w:cs="Arial"/>
                <w:szCs w:val="18"/>
              </w:rPr>
              <w:t>0.000</w:t>
            </w:r>
          </w:p>
        </w:tc>
        <w:tc>
          <w:tcPr>
            <w:tcW w:w="709" w:type="dxa"/>
            <w:shd w:val="clear" w:color="auto" w:fill="FFFFFF"/>
          </w:tcPr>
          <w:p w14:paraId="0BF01846" w14:textId="43956599" w:rsidR="006F361D" w:rsidRPr="00D16362" w:rsidRDefault="002867BC" w:rsidP="00D16362">
            <w:pPr>
              <w:pStyle w:val="CETBodytext"/>
              <w:ind w:right="-1"/>
              <w:rPr>
                <w:rFonts w:cs="Arial"/>
                <w:szCs w:val="18"/>
              </w:rPr>
            </w:pPr>
            <w:r w:rsidRPr="00D16362">
              <w:rPr>
                <w:rFonts w:cs="Arial"/>
                <w:szCs w:val="18"/>
              </w:rPr>
              <w:t>0.038</w:t>
            </w:r>
          </w:p>
        </w:tc>
        <w:tc>
          <w:tcPr>
            <w:tcW w:w="850" w:type="dxa"/>
            <w:shd w:val="clear" w:color="auto" w:fill="FFFFFF"/>
          </w:tcPr>
          <w:p w14:paraId="14DFDFFE" w14:textId="0EA2D826" w:rsidR="006F361D" w:rsidRPr="00D16362" w:rsidRDefault="002867BC" w:rsidP="00D16362">
            <w:pPr>
              <w:pStyle w:val="CETBodytext"/>
              <w:ind w:right="-1"/>
              <w:rPr>
                <w:rFonts w:cs="Arial"/>
                <w:szCs w:val="18"/>
              </w:rPr>
            </w:pPr>
            <w:r w:rsidRPr="00D16362">
              <w:rPr>
                <w:rFonts w:cs="Arial"/>
                <w:szCs w:val="18"/>
              </w:rPr>
              <w:t>0.236</w:t>
            </w:r>
          </w:p>
        </w:tc>
        <w:tc>
          <w:tcPr>
            <w:tcW w:w="992" w:type="dxa"/>
            <w:shd w:val="clear" w:color="auto" w:fill="FFFFFF"/>
          </w:tcPr>
          <w:p w14:paraId="6BA0CD57" w14:textId="00B3358E" w:rsidR="006F361D" w:rsidRPr="00D16362" w:rsidRDefault="006F361D" w:rsidP="00D16362">
            <w:pPr>
              <w:pStyle w:val="CETBodytext"/>
              <w:ind w:right="-1"/>
              <w:rPr>
                <w:rFonts w:cs="Arial"/>
                <w:szCs w:val="18"/>
              </w:rPr>
            </w:pPr>
          </w:p>
        </w:tc>
      </w:tr>
      <w:tr w:rsidR="00D50CC3" w:rsidRPr="00D16362" w14:paraId="4B7FF08D" w14:textId="77777777" w:rsidTr="002F531E">
        <w:tc>
          <w:tcPr>
            <w:tcW w:w="1802" w:type="dxa"/>
            <w:shd w:val="clear" w:color="auto" w:fill="FFFFFF"/>
          </w:tcPr>
          <w:p w14:paraId="56ACC872" w14:textId="786546C8" w:rsidR="00D50CC3" w:rsidRPr="00D16362" w:rsidRDefault="00D50CC3" w:rsidP="00D50CC3">
            <w:pPr>
              <w:pStyle w:val="CETBodytext"/>
              <w:ind w:right="-1"/>
              <w:rPr>
                <w:rFonts w:cs="Arial"/>
                <w:szCs w:val="18"/>
              </w:rPr>
            </w:pPr>
            <w:r w:rsidRPr="00D16362">
              <w:rPr>
                <w:rFonts w:cs="Arial"/>
                <w:szCs w:val="18"/>
              </w:rPr>
              <w:t>t, h</w:t>
            </w:r>
          </w:p>
        </w:tc>
        <w:tc>
          <w:tcPr>
            <w:tcW w:w="1742" w:type="dxa"/>
            <w:gridSpan w:val="3"/>
            <w:shd w:val="clear" w:color="auto" w:fill="FFFFFF"/>
          </w:tcPr>
          <w:p w14:paraId="3D928EA3" w14:textId="5DA3A1E0" w:rsidR="00D50CC3" w:rsidRPr="00D16362" w:rsidRDefault="00D50CC3" w:rsidP="00D16362">
            <w:pPr>
              <w:pStyle w:val="CETBodytext"/>
              <w:ind w:right="-1"/>
              <w:rPr>
                <w:rFonts w:cs="Arial"/>
                <w:szCs w:val="18"/>
              </w:rPr>
            </w:pPr>
            <w:r w:rsidRPr="00D16362">
              <w:rPr>
                <w:rFonts w:cs="Arial"/>
                <w:szCs w:val="18"/>
              </w:rPr>
              <w:t>19.10</w:t>
            </w:r>
          </w:p>
        </w:tc>
        <w:tc>
          <w:tcPr>
            <w:tcW w:w="2268" w:type="dxa"/>
            <w:gridSpan w:val="3"/>
            <w:shd w:val="clear" w:color="auto" w:fill="FFFFFF"/>
          </w:tcPr>
          <w:p w14:paraId="3A76D929" w14:textId="65F6839E" w:rsidR="00D50CC3" w:rsidRPr="00D16362" w:rsidRDefault="00D50CC3" w:rsidP="00D16362">
            <w:pPr>
              <w:pStyle w:val="CETBodytext"/>
              <w:ind w:right="-1"/>
              <w:rPr>
                <w:rFonts w:cs="Arial"/>
                <w:szCs w:val="18"/>
              </w:rPr>
            </w:pPr>
            <w:r w:rsidRPr="00D16362">
              <w:rPr>
                <w:rFonts w:cs="Arial"/>
                <w:szCs w:val="18"/>
              </w:rPr>
              <w:t>24.17</w:t>
            </w:r>
          </w:p>
        </w:tc>
        <w:tc>
          <w:tcPr>
            <w:tcW w:w="992" w:type="dxa"/>
            <w:shd w:val="clear" w:color="auto" w:fill="FFFFFF"/>
          </w:tcPr>
          <w:p w14:paraId="7C75BA7B" w14:textId="41694E87" w:rsidR="00D50CC3" w:rsidRPr="00D16362" w:rsidRDefault="00D50CC3" w:rsidP="00D16362">
            <w:pPr>
              <w:pStyle w:val="CETBodytext"/>
              <w:ind w:right="-1"/>
              <w:rPr>
                <w:rFonts w:cs="Arial"/>
                <w:szCs w:val="18"/>
              </w:rPr>
            </w:pPr>
            <w:r w:rsidRPr="00D16362">
              <w:rPr>
                <w:rFonts w:cs="Arial"/>
                <w:szCs w:val="18"/>
              </w:rPr>
              <w:t>26.</w:t>
            </w:r>
            <w:r w:rsidR="00546D6C">
              <w:rPr>
                <w:rFonts w:cs="Arial"/>
                <w:szCs w:val="18"/>
              </w:rPr>
              <w:t>5</w:t>
            </w:r>
          </w:p>
        </w:tc>
      </w:tr>
      <w:tr w:rsidR="002867BC" w:rsidRPr="00D16362" w14:paraId="054040A3" w14:textId="77777777" w:rsidTr="002F531E">
        <w:tc>
          <w:tcPr>
            <w:tcW w:w="1802" w:type="dxa"/>
            <w:shd w:val="clear" w:color="auto" w:fill="FFFFFF"/>
          </w:tcPr>
          <w:p w14:paraId="7B40C026" w14:textId="755AFE9F" w:rsidR="002867BC" w:rsidRPr="00D16362" w:rsidRDefault="00D50CC3" w:rsidP="00D50CC3">
            <w:pPr>
              <w:pStyle w:val="CETBodytext"/>
              <w:ind w:right="-1"/>
              <w:rPr>
                <w:rFonts w:cs="Arial"/>
                <w:szCs w:val="18"/>
                <w:vertAlign w:val="superscript"/>
              </w:rPr>
            </w:pPr>
            <w:r w:rsidRPr="00D16362">
              <w:rPr>
                <w:rFonts w:cs="Arial"/>
                <w:szCs w:val="18"/>
              </w:rPr>
              <w:t>P</w:t>
            </w:r>
            <w:r w:rsidR="002867BC" w:rsidRPr="00D16362">
              <w:rPr>
                <w:rFonts w:cs="Arial"/>
                <w:szCs w:val="18"/>
              </w:rPr>
              <w:t xml:space="preserve">, </w:t>
            </w:r>
            <w:r w:rsidRPr="00D16362">
              <w:rPr>
                <w:rFonts w:cs="Arial"/>
                <w:szCs w:val="18"/>
              </w:rPr>
              <w:t>$</w:t>
            </w:r>
          </w:p>
        </w:tc>
        <w:tc>
          <w:tcPr>
            <w:tcW w:w="1742" w:type="dxa"/>
            <w:gridSpan w:val="3"/>
            <w:shd w:val="clear" w:color="auto" w:fill="FFFFFF"/>
          </w:tcPr>
          <w:p w14:paraId="7E186EEE" w14:textId="7FF65FB7" w:rsidR="002867BC" w:rsidRPr="00D16362" w:rsidRDefault="00D50CC3" w:rsidP="00D16362">
            <w:pPr>
              <w:pStyle w:val="CETBodytext"/>
              <w:ind w:right="-1"/>
              <w:rPr>
                <w:rFonts w:cs="Arial"/>
                <w:szCs w:val="18"/>
              </w:rPr>
            </w:pPr>
            <w:r w:rsidRPr="00D16362">
              <w:rPr>
                <w:rFonts w:cs="Arial"/>
                <w:szCs w:val="18"/>
              </w:rPr>
              <w:t>5,</w:t>
            </w:r>
            <w:r w:rsidR="00592B2A">
              <w:rPr>
                <w:rFonts w:cs="Arial"/>
                <w:szCs w:val="18"/>
              </w:rPr>
              <w:t>167</w:t>
            </w:r>
          </w:p>
        </w:tc>
        <w:tc>
          <w:tcPr>
            <w:tcW w:w="2268" w:type="dxa"/>
            <w:gridSpan w:val="3"/>
            <w:shd w:val="clear" w:color="auto" w:fill="FFFFFF"/>
          </w:tcPr>
          <w:p w14:paraId="4AB5E0FA" w14:textId="34D9B0B0" w:rsidR="002867BC" w:rsidRPr="00D16362" w:rsidRDefault="00592B2A" w:rsidP="00D16362">
            <w:pPr>
              <w:pStyle w:val="CETBodytext"/>
              <w:ind w:right="-1"/>
              <w:rPr>
                <w:rFonts w:cs="Arial"/>
                <w:szCs w:val="18"/>
              </w:rPr>
            </w:pPr>
            <w:r>
              <w:rPr>
                <w:rFonts w:cs="Arial"/>
                <w:szCs w:val="18"/>
              </w:rPr>
              <w:t>8</w:t>
            </w:r>
            <w:r w:rsidR="00D50CC3" w:rsidRPr="00D16362">
              <w:rPr>
                <w:rFonts w:cs="Arial"/>
                <w:szCs w:val="18"/>
              </w:rPr>
              <w:t>,</w:t>
            </w:r>
            <w:r>
              <w:rPr>
                <w:rFonts w:cs="Arial"/>
                <w:szCs w:val="18"/>
              </w:rPr>
              <w:t>250</w:t>
            </w:r>
          </w:p>
        </w:tc>
        <w:tc>
          <w:tcPr>
            <w:tcW w:w="992" w:type="dxa"/>
            <w:shd w:val="clear" w:color="auto" w:fill="FFFFFF"/>
          </w:tcPr>
          <w:p w14:paraId="3E84BC80" w14:textId="4D6B8F1E" w:rsidR="002867BC" w:rsidRPr="00D16362" w:rsidRDefault="00546D6C" w:rsidP="00D16362">
            <w:pPr>
              <w:pStyle w:val="CETBodytext"/>
              <w:ind w:right="-1"/>
              <w:rPr>
                <w:rFonts w:cs="Arial"/>
                <w:szCs w:val="18"/>
              </w:rPr>
            </w:pPr>
            <w:r>
              <w:rPr>
                <w:rFonts w:cs="Arial"/>
                <w:szCs w:val="18"/>
              </w:rPr>
              <w:t>59</w:t>
            </w:r>
            <w:r w:rsidR="00D50CC3" w:rsidRPr="00D16362">
              <w:rPr>
                <w:rFonts w:cs="Arial"/>
                <w:szCs w:val="18"/>
              </w:rPr>
              <w:t>.</w:t>
            </w:r>
            <w:r>
              <w:rPr>
                <w:rFonts w:cs="Arial"/>
                <w:szCs w:val="18"/>
              </w:rPr>
              <w:t>7</w:t>
            </w:r>
          </w:p>
        </w:tc>
      </w:tr>
      <w:tr w:rsidR="00D50CC3" w:rsidRPr="00D16362" w14:paraId="1FA34AC5" w14:textId="77777777" w:rsidTr="002F531E">
        <w:tc>
          <w:tcPr>
            <w:tcW w:w="1802" w:type="dxa"/>
            <w:shd w:val="clear" w:color="auto" w:fill="FFFFFF"/>
          </w:tcPr>
          <w:p w14:paraId="0CFC614B" w14:textId="3CE9104E" w:rsidR="00D50CC3" w:rsidRPr="00D16362" w:rsidRDefault="00D50CC3" w:rsidP="00D50CC3">
            <w:pPr>
              <w:pStyle w:val="CETBodytext"/>
              <w:ind w:right="-1"/>
              <w:rPr>
                <w:rFonts w:cs="Arial"/>
                <w:szCs w:val="18"/>
              </w:rPr>
            </w:pPr>
            <w:r w:rsidRPr="00D16362">
              <w:rPr>
                <w:rFonts w:cs="Arial"/>
                <w:szCs w:val="18"/>
              </w:rPr>
              <w:t>SED, MJ/kg</w:t>
            </w:r>
          </w:p>
        </w:tc>
        <w:tc>
          <w:tcPr>
            <w:tcW w:w="1742" w:type="dxa"/>
            <w:gridSpan w:val="3"/>
            <w:shd w:val="clear" w:color="auto" w:fill="FFFFFF"/>
          </w:tcPr>
          <w:p w14:paraId="492D36F0" w14:textId="696A177C" w:rsidR="00D50CC3" w:rsidRPr="00D16362" w:rsidRDefault="00D50CC3" w:rsidP="00D50CC3">
            <w:pPr>
              <w:pStyle w:val="CETBodytext"/>
              <w:ind w:right="-1"/>
              <w:rPr>
                <w:rFonts w:cs="Arial"/>
                <w:szCs w:val="18"/>
              </w:rPr>
            </w:pPr>
            <w:r w:rsidRPr="00D16362">
              <w:rPr>
                <w:rFonts w:cs="Arial"/>
                <w:szCs w:val="18"/>
              </w:rPr>
              <w:t>6.47</w:t>
            </w:r>
          </w:p>
        </w:tc>
        <w:tc>
          <w:tcPr>
            <w:tcW w:w="2268" w:type="dxa"/>
            <w:gridSpan w:val="3"/>
            <w:shd w:val="clear" w:color="auto" w:fill="FFFFFF"/>
          </w:tcPr>
          <w:p w14:paraId="00ED3128" w14:textId="64EC24D1" w:rsidR="00D50CC3" w:rsidRPr="00D16362" w:rsidRDefault="00D50CC3" w:rsidP="00D50CC3">
            <w:pPr>
              <w:pStyle w:val="CETBodytext"/>
              <w:ind w:right="-1"/>
              <w:rPr>
                <w:rFonts w:cs="Arial"/>
                <w:szCs w:val="18"/>
              </w:rPr>
            </w:pPr>
            <w:r w:rsidRPr="00D16362">
              <w:rPr>
                <w:rFonts w:cs="Arial"/>
                <w:szCs w:val="18"/>
              </w:rPr>
              <w:t>5.64</w:t>
            </w:r>
          </w:p>
        </w:tc>
        <w:tc>
          <w:tcPr>
            <w:tcW w:w="992" w:type="dxa"/>
            <w:shd w:val="clear" w:color="auto" w:fill="FFFFFF"/>
          </w:tcPr>
          <w:p w14:paraId="26838C1F" w14:textId="7D961A31" w:rsidR="00D50CC3" w:rsidRPr="00D16362" w:rsidRDefault="00D50CC3" w:rsidP="00D50CC3">
            <w:pPr>
              <w:pStyle w:val="CETBodytext"/>
              <w:ind w:right="-1"/>
              <w:rPr>
                <w:rFonts w:cs="Arial"/>
                <w:szCs w:val="18"/>
              </w:rPr>
            </w:pPr>
            <w:r w:rsidRPr="00D16362">
              <w:rPr>
                <w:rFonts w:cs="Arial"/>
                <w:szCs w:val="18"/>
              </w:rPr>
              <w:t>-12.8</w:t>
            </w:r>
          </w:p>
        </w:tc>
      </w:tr>
      <w:tr w:rsidR="004C5AE3" w:rsidRPr="00D16362" w14:paraId="77B80D6B" w14:textId="77777777" w:rsidTr="002F531E">
        <w:tc>
          <w:tcPr>
            <w:tcW w:w="1802" w:type="dxa"/>
            <w:shd w:val="clear" w:color="auto" w:fill="FFFFFF"/>
          </w:tcPr>
          <w:p w14:paraId="21ACA100" w14:textId="74AB60F5" w:rsidR="004C5AE3" w:rsidRPr="00D16362" w:rsidRDefault="004C5AE3" w:rsidP="00D16362">
            <w:pPr>
              <w:pStyle w:val="CETBodytext"/>
              <w:ind w:right="-1"/>
              <w:rPr>
                <w:rFonts w:cs="Arial"/>
                <w:szCs w:val="18"/>
              </w:rPr>
            </w:pPr>
            <w:r w:rsidRPr="00D16362">
              <w:rPr>
                <w:rFonts w:cs="Arial"/>
                <w:szCs w:val="18"/>
              </w:rPr>
              <w:t>CO</w:t>
            </w:r>
            <w:r w:rsidRPr="00D16362">
              <w:rPr>
                <w:rFonts w:cs="Arial"/>
                <w:szCs w:val="18"/>
                <w:vertAlign w:val="subscript"/>
              </w:rPr>
              <w:t>2,s</w:t>
            </w:r>
            <w:r w:rsidRPr="00D16362">
              <w:rPr>
                <w:rFonts w:cs="Arial"/>
                <w:szCs w:val="18"/>
              </w:rPr>
              <w:t>, kg/kg</w:t>
            </w:r>
          </w:p>
        </w:tc>
        <w:tc>
          <w:tcPr>
            <w:tcW w:w="1742" w:type="dxa"/>
            <w:gridSpan w:val="3"/>
            <w:shd w:val="clear" w:color="auto" w:fill="FFFFFF"/>
          </w:tcPr>
          <w:p w14:paraId="76A94AD9" w14:textId="4D0E6278" w:rsidR="004C5AE3" w:rsidRPr="00D16362" w:rsidRDefault="004C5AE3" w:rsidP="00D16362">
            <w:pPr>
              <w:pStyle w:val="CETBodytext"/>
              <w:ind w:right="-1"/>
              <w:rPr>
                <w:rFonts w:cs="Arial"/>
                <w:szCs w:val="18"/>
              </w:rPr>
            </w:pPr>
            <w:r w:rsidRPr="00D16362">
              <w:rPr>
                <w:rFonts w:cs="Arial"/>
                <w:szCs w:val="18"/>
              </w:rPr>
              <w:t>1.614</w:t>
            </w:r>
          </w:p>
        </w:tc>
        <w:tc>
          <w:tcPr>
            <w:tcW w:w="2268" w:type="dxa"/>
            <w:gridSpan w:val="3"/>
            <w:shd w:val="clear" w:color="auto" w:fill="FFFFFF"/>
          </w:tcPr>
          <w:p w14:paraId="0ADC851A" w14:textId="3D124314" w:rsidR="004C5AE3" w:rsidRPr="00D16362" w:rsidRDefault="004C5AE3" w:rsidP="00D16362">
            <w:pPr>
              <w:pStyle w:val="CETBodytext"/>
              <w:ind w:right="-1"/>
              <w:rPr>
                <w:rFonts w:cs="Arial"/>
                <w:szCs w:val="18"/>
              </w:rPr>
            </w:pPr>
            <w:r w:rsidRPr="00D16362">
              <w:rPr>
                <w:rFonts w:cs="Arial"/>
                <w:szCs w:val="18"/>
              </w:rPr>
              <w:t>0.433</w:t>
            </w:r>
          </w:p>
        </w:tc>
        <w:tc>
          <w:tcPr>
            <w:tcW w:w="992" w:type="dxa"/>
            <w:shd w:val="clear" w:color="auto" w:fill="FFFFFF"/>
          </w:tcPr>
          <w:p w14:paraId="48EAEDF8" w14:textId="325D0FAD" w:rsidR="004C5AE3" w:rsidRPr="00D16362" w:rsidRDefault="004C5AE3" w:rsidP="00D16362">
            <w:pPr>
              <w:pStyle w:val="CETBodytext"/>
              <w:ind w:right="-1"/>
              <w:rPr>
                <w:rFonts w:cs="Arial"/>
                <w:szCs w:val="18"/>
              </w:rPr>
            </w:pPr>
            <w:r w:rsidRPr="00D16362">
              <w:rPr>
                <w:rFonts w:cs="Arial"/>
                <w:szCs w:val="18"/>
              </w:rPr>
              <w:t>-</w:t>
            </w:r>
            <w:r w:rsidR="00213F42" w:rsidRPr="00D16362">
              <w:rPr>
                <w:rFonts w:cs="Arial"/>
                <w:szCs w:val="18"/>
              </w:rPr>
              <w:t>73.2</w:t>
            </w:r>
          </w:p>
        </w:tc>
      </w:tr>
      <w:tr w:rsidR="004C5AE3" w:rsidRPr="00D16362" w14:paraId="67CEF770" w14:textId="77777777" w:rsidTr="002F531E">
        <w:tc>
          <w:tcPr>
            <w:tcW w:w="1802" w:type="dxa"/>
            <w:shd w:val="clear" w:color="auto" w:fill="FFFFFF"/>
          </w:tcPr>
          <w:p w14:paraId="25CE83CD" w14:textId="64B218AB" w:rsidR="004C5AE3" w:rsidRPr="00D16362" w:rsidRDefault="009C1CE2" w:rsidP="00D16362">
            <w:pPr>
              <w:pStyle w:val="CETBodytext"/>
              <w:ind w:right="-1"/>
              <w:rPr>
                <w:rFonts w:cs="Arial"/>
                <w:szCs w:val="18"/>
              </w:rPr>
            </w:pPr>
            <w:proofErr w:type="spellStart"/>
            <w:r>
              <w:t>m</w:t>
            </w:r>
            <w:r w:rsidRPr="00DA4116">
              <w:rPr>
                <w:vertAlign w:val="subscript"/>
              </w:rPr>
              <w:t>w</w:t>
            </w:r>
            <w:r w:rsidRPr="008140CD">
              <w:rPr>
                <w:vertAlign w:val="subscript"/>
              </w:rPr>
              <w:t>s</w:t>
            </w:r>
            <w:proofErr w:type="spellEnd"/>
            <w:r w:rsidR="004C5AE3" w:rsidRPr="00D16362">
              <w:rPr>
                <w:rFonts w:cs="Arial"/>
                <w:szCs w:val="18"/>
              </w:rPr>
              <w:t>, kg/kg</w:t>
            </w:r>
          </w:p>
        </w:tc>
        <w:tc>
          <w:tcPr>
            <w:tcW w:w="1742" w:type="dxa"/>
            <w:gridSpan w:val="3"/>
            <w:shd w:val="clear" w:color="auto" w:fill="FFFFFF"/>
          </w:tcPr>
          <w:p w14:paraId="7EA32051" w14:textId="3FFBAE95" w:rsidR="004C5AE3" w:rsidRPr="00D16362" w:rsidRDefault="004C5AE3" w:rsidP="00D16362">
            <w:pPr>
              <w:pStyle w:val="CETBodytext"/>
              <w:ind w:right="-1"/>
              <w:rPr>
                <w:rFonts w:cs="Arial"/>
                <w:szCs w:val="18"/>
              </w:rPr>
            </w:pPr>
            <w:r w:rsidRPr="00D16362">
              <w:rPr>
                <w:rFonts w:cs="Arial"/>
                <w:szCs w:val="18"/>
              </w:rPr>
              <w:t>1.604</w:t>
            </w:r>
          </w:p>
        </w:tc>
        <w:tc>
          <w:tcPr>
            <w:tcW w:w="2268" w:type="dxa"/>
            <w:gridSpan w:val="3"/>
            <w:shd w:val="clear" w:color="auto" w:fill="FFFFFF"/>
          </w:tcPr>
          <w:p w14:paraId="08D3B193" w14:textId="7F7460EA" w:rsidR="004C5AE3" w:rsidRPr="00D16362" w:rsidRDefault="004C5AE3" w:rsidP="00D16362">
            <w:pPr>
              <w:pStyle w:val="CETBodytext"/>
              <w:ind w:right="-1"/>
              <w:rPr>
                <w:rFonts w:cs="Arial"/>
                <w:szCs w:val="18"/>
              </w:rPr>
            </w:pPr>
            <w:r w:rsidRPr="00D16362">
              <w:rPr>
                <w:rFonts w:cs="Arial"/>
                <w:szCs w:val="18"/>
              </w:rPr>
              <w:t>1.074</w:t>
            </w:r>
          </w:p>
        </w:tc>
        <w:tc>
          <w:tcPr>
            <w:tcW w:w="992" w:type="dxa"/>
            <w:shd w:val="clear" w:color="auto" w:fill="FFFFFF"/>
          </w:tcPr>
          <w:p w14:paraId="3C5018AA" w14:textId="486F7345" w:rsidR="004C5AE3" w:rsidRPr="00D16362" w:rsidRDefault="00213F42" w:rsidP="00D16362">
            <w:pPr>
              <w:pStyle w:val="CETBodytext"/>
              <w:ind w:right="-1"/>
              <w:rPr>
                <w:rFonts w:cs="Arial"/>
                <w:szCs w:val="18"/>
              </w:rPr>
            </w:pPr>
            <w:r w:rsidRPr="00D16362">
              <w:rPr>
                <w:rFonts w:cs="Arial"/>
                <w:szCs w:val="18"/>
              </w:rPr>
              <w:t>-33.0</w:t>
            </w:r>
          </w:p>
        </w:tc>
      </w:tr>
      <w:tr w:rsidR="004C5AE3" w:rsidRPr="00D16362" w14:paraId="58D2A0B4" w14:textId="77777777" w:rsidTr="002F531E">
        <w:tc>
          <w:tcPr>
            <w:tcW w:w="1802" w:type="dxa"/>
            <w:shd w:val="clear" w:color="auto" w:fill="FFFFFF"/>
          </w:tcPr>
          <w:p w14:paraId="6AE7C944" w14:textId="4221BB4C" w:rsidR="004C5AE3" w:rsidRPr="00D16362" w:rsidRDefault="004C5AE3" w:rsidP="00D16362">
            <w:pPr>
              <w:pStyle w:val="CETBodytext"/>
              <w:ind w:right="-1"/>
              <w:rPr>
                <w:rFonts w:cs="Arial"/>
                <w:szCs w:val="18"/>
              </w:rPr>
            </w:pPr>
            <w:r w:rsidRPr="00D16362">
              <w:rPr>
                <w:rFonts w:cs="Arial"/>
                <w:szCs w:val="18"/>
              </w:rPr>
              <w:t>PEI</w:t>
            </w:r>
            <w:r w:rsidRPr="00D16362">
              <w:rPr>
                <w:rFonts w:cs="Arial"/>
                <w:szCs w:val="18"/>
                <w:vertAlign w:val="subscript"/>
              </w:rPr>
              <w:t>s</w:t>
            </w:r>
            <w:r w:rsidRPr="00D16362">
              <w:rPr>
                <w:rFonts w:cs="Arial"/>
                <w:szCs w:val="18"/>
              </w:rPr>
              <w:t>, imp/kg</w:t>
            </w:r>
          </w:p>
        </w:tc>
        <w:tc>
          <w:tcPr>
            <w:tcW w:w="1742" w:type="dxa"/>
            <w:gridSpan w:val="3"/>
            <w:shd w:val="clear" w:color="auto" w:fill="FFFFFF"/>
          </w:tcPr>
          <w:p w14:paraId="5921183C" w14:textId="511B1A1F" w:rsidR="004C5AE3" w:rsidRPr="00D16362" w:rsidRDefault="004C5AE3" w:rsidP="00D16362">
            <w:pPr>
              <w:pStyle w:val="CETBodytext"/>
              <w:ind w:right="-1"/>
              <w:rPr>
                <w:rFonts w:cs="Arial"/>
                <w:szCs w:val="18"/>
              </w:rPr>
            </w:pPr>
            <w:r w:rsidRPr="00D16362">
              <w:rPr>
                <w:rFonts w:cs="Arial"/>
                <w:szCs w:val="18"/>
              </w:rPr>
              <w:t>0.209</w:t>
            </w:r>
          </w:p>
        </w:tc>
        <w:tc>
          <w:tcPr>
            <w:tcW w:w="2268" w:type="dxa"/>
            <w:gridSpan w:val="3"/>
            <w:shd w:val="clear" w:color="auto" w:fill="FFFFFF"/>
          </w:tcPr>
          <w:p w14:paraId="2862E2BA" w14:textId="3C14FC86" w:rsidR="004C5AE3" w:rsidRPr="00D16362" w:rsidRDefault="004C5AE3" w:rsidP="00D16362">
            <w:pPr>
              <w:pStyle w:val="CETBodytext"/>
              <w:ind w:right="-1"/>
              <w:rPr>
                <w:rFonts w:cs="Arial"/>
                <w:szCs w:val="18"/>
              </w:rPr>
            </w:pPr>
            <w:r w:rsidRPr="00D16362">
              <w:rPr>
                <w:rFonts w:cs="Arial"/>
                <w:szCs w:val="18"/>
              </w:rPr>
              <w:t>0.0809</w:t>
            </w:r>
          </w:p>
        </w:tc>
        <w:tc>
          <w:tcPr>
            <w:tcW w:w="992" w:type="dxa"/>
            <w:shd w:val="clear" w:color="auto" w:fill="FFFFFF"/>
          </w:tcPr>
          <w:p w14:paraId="74A0D32F" w14:textId="605BA235" w:rsidR="00213F42" w:rsidRPr="00D16362" w:rsidRDefault="00213F42" w:rsidP="00D16362">
            <w:pPr>
              <w:pStyle w:val="CETBodytext"/>
              <w:ind w:right="-1"/>
              <w:rPr>
                <w:rFonts w:cs="Arial"/>
                <w:szCs w:val="18"/>
              </w:rPr>
            </w:pPr>
            <w:r w:rsidRPr="00D16362">
              <w:rPr>
                <w:rFonts w:cs="Arial"/>
                <w:szCs w:val="18"/>
              </w:rPr>
              <w:t>-61.3</w:t>
            </w:r>
          </w:p>
        </w:tc>
      </w:tr>
    </w:tbl>
    <w:p w14:paraId="362B7471" w14:textId="0E6077B8" w:rsidR="00696FA7" w:rsidRDefault="004B16B7" w:rsidP="00453E24">
      <w:pPr>
        <w:pStyle w:val="CETBodytext"/>
      </w:pPr>
      <w:r w:rsidRPr="00D16362">
        <w:t>In the sensitivity studies, R</w:t>
      </w:r>
      <w:r w:rsidRPr="00D16362">
        <w:rPr>
          <w:vertAlign w:val="subscript"/>
        </w:rPr>
        <w:t>1</w:t>
      </w:r>
      <w:r w:rsidRPr="00D16362">
        <w:t xml:space="preserve"> </w:t>
      </w:r>
      <w:r w:rsidR="0092795D">
        <w:t>was</w:t>
      </w:r>
      <w:r w:rsidR="0092795D" w:rsidRPr="00D16362">
        <w:t xml:space="preserve"> </w:t>
      </w:r>
      <w:r w:rsidRPr="00D16362">
        <w:t>changed from 1 to 20, R</w:t>
      </w:r>
      <w:r w:rsidRPr="00D16362">
        <w:rPr>
          <w:vertAlign w:val="subscript"/>
        </w:rPr>
        <w:t>2</w:t>
      </w:r>
      <w:r w:rsidRPr="00D16362">
        <w:t xml:space="preserve"> from 5 to 10, R</w:t>
      </w:r>
      <w:r w:rsidRPr="00D16362">
        <w:rPr>
          <w:vertAlign w:val="subscript"/>
        </w:rPr>
        <w:t>3</w:t>
      </w:r>
      <w:r w:rsidRPr="00D16362">
        <w:t xml:space="preserve"> from 0.25 to 10, while Cr from 0.1% to 1.22%. </w:t>
      </w:r>
      <w:r w:rsidR="00642C08">
        <w:t>Figure 2</w:t>
      </w:r>
      <w:r w:rsidR="00B00479" w:rsidRPr="00D16362">
        <w:t>a shows the effect of the reflux ratios on the profit. As a function of R</w:t>
      </w:r>
      <w:r w:rsidR="00B00479" w:rsidRPr="00D16362">
        <w:rPr>
          <w:vertAlign w:val="subscript"/>
        </w:rPr>
        <w:t>1</w:t>
      </w:r>
      <w:r w:rsidR="00B00479" w:rsidRPr="00D16362">
        <w:t xml:space="preserve">, P </w:t>
      </w:r>
      <w:r w:rsidR="0092795D" w:rsidRPr="00D16362">
        <w:t>increase</w:t>
      </w:r>
      <w:r w:rsidR="0092795D">
        <w:t>d</w:t>
      </w:r>
      <w:r w:rsidR="0092795D" w:rsidRPr="00D16362">
        <w:t xml:space="preserve"> </w:t>
      </w:r>
      <w:r w:rsidR="00B00479" w:rsidRPr="00D16362">
        <w:t xml:space="preserve">monotonously since </w:t>
      </w:r>
      <w:proofErr w:type="spellStart"/>
      <w:r w:rsidR="00B00479" w:rsidRPr="00D16362">
        <w:t>m</w:t>
      </w:r>
      <w:r w:rsidR="00B00479" w:rsidRPr="00D16362">
        <w:rPr>
          <w:vertAlign w:val="subscript"/>
        </w:rPr>
        <w:t>fc</w:t>
      </w:r>
      <w:proofErr w:type="spellEnd"/>
      <w:r w:rsidR="00B00479" w:rsidRPr="00D16362">
        <w:t xml:space="preserve"> </w:t>
      </w:r>
      <w:r w:rsidR="0092795D" w:rsidRPr="00D16362">
        <w:t>decrease</w:t>
      </w:r>
      <w:r w:rsidR="0092795D">
        <w:t>d</w:t>
      </w:r>
      <w:r w:rsidR="0092795D" w:rsidRPr="00D16362">
        <w:t xml:space="preserve"> </w:t>
      </w:r>
      <w:r w:rsidR="00B00479" w:rsidRPr="00D16362">
        <w:t xml:space="preserve">and </w:t>
      </w:r>
      <w:proofErr w:type="spellStart"/>
      <w:r w:rsidR="00B00479" w:rsidRPr="00D16362">
        <w:t>m</w:t>
      </w:r>
      <w:r w:rsidR="00B00479" w:rsidRPr="00D16362">
        <w:rPr>
          <w:vertAlign w:val="subscript"/>
        </w:rPr>
        <w:t>p</w:t>
      </w:r>
      <w:proofErr w:type="spellEnd"/>
      <w:r w:rsidR="00B00479" w:rsidRPr="00D16362">
        <w:t xml:space="preserve"> </w:t>
      </w:r>
      <w:r w:rsidR="0092795D" w:rsidRPr="00D16362">
        <w:t>increase</w:t>
      </w:r>
      <w:r w:rsidR="0092795D">
        <w:t>d</w:t>
      </w:r>
      <w:r w:rsidR="0092795D" w:rsidRPr="00D16362">
        <w:t xml:space="preserve"> </w:t>
      </w:r>
      <w:r w:rsidR="00B00479" w:rsidRPr="00D16362">
        <w:t xml:space="preserve">strongly. Although, t also </w:t>
      </w:r>
      <w:r w:rsidR="0089009A">
        <w:t>in</w:t>
      </w:r>
      <w:r w:rsidR="0092795D" w:rsidRPr="00D16362">
        <w:t>crease</w:t>
      </w:r>
      <w:r w:rsidR="0092795D">
        <w:t>d</w:t>
      </w:r>
      <w:r w:rsidR="0092795D" w:rsidRPr="00D16362">
        <w:t xml:space="preserve"> </w:t>
      </w:r>
      <w:r w:rsidR="00B00479" w:rsidRPr="00D16362">
        <w:t xml:space="preserve">leading to an increase in steam cost, this </w:t>
      </w:r>
      <w:r w:rsidR="0092795D">
        <w:t>was</w:t>
      </w:r>
      <w:r w:rsidR="0092795D" w:rsidRPr="00D16362">
        <w:t xml:space="preserve"> </w:t>
      </w:r>
      <w:r w:rsidR="00B00479" w:rsidRPr="00D16362">
        <w:t xml:space="preserve">not enough to balance the increase of profit. The change in the cost of biological treatment </w:t>
      </w:r>
      <w:r w:rsidR="0092795D">
        <w:t>was</w:t>
      </w:r>
      <w:r w:rsidR="0092795D" w:rsidRPr="00D16362">
        <w:t xml:space="preserve"> </w:t>
      </w:r>
      <w:r w:rsidR="00B00479" w:rsidRPr="00D16362">
        <w:t>negligible.</w:t>
      </w:r>
      <w:r w:rsidR="006C3527" w:rsidRPr="00D16362">
        <w:t xml:space="preserve"> It is likely that at even higher R</w:t>
      </w:r>
      <w:r w:rsidR="006C3527" w:rsidRPr="00D16362">
        <w:rPr>
          <w:vertAlign w:val="subscript"/>
        </w:rPr>
        <w:t>1</w:t>
      </w:r>
      <w:r w:rsidR="006C3527" w:rsidRPr="00D16362">
        <w:t xml:space="preserve"> values, P either becomes constant or reaches a maximum due to </w:t>
      </w:r>
      <w:proofErr w:type="spellStart"/>
      <w:r w:rsidR="006C3527" w:rsidRPr="00D16362">
        <w:t>m</w:t>
      </w:r>
      <w:r w:rsidR="006C3527" w:rsidRPr="00D16362">
        <w:rPr>
          <w:vertAlign w:val="subscript"/>
        </w:rPr>
        <w:t>fc</w:t>
      </w:r>
      <w:proofErr w:type="spellEnd"/>
      <w:r w:rsidR="006C3527" w:rsidRPr="00D16362">
        <w:t xml:space="preserve"> and </w:t>
      </w:r>
      <w:proofErr w:type="spellStart"/>
      <w:r w:rsidR="006C3527" w:rsidRPr="00D16362">
        <w:t>m</w:t>
      </w:r>
      <w:r w:rsidR="006C3527" w:rsidRPr="00D16362">
        <w:rPr>
          <w:vertAlign w:val="subscript"/>
        </w:rPr>
        <w:t>p</w:t>
      </w:r>
      <w:proofErr w:type="spellEnd"/>
      <w:r w:rsidR="006C3527" w:rsidRPr="00D16362">
        <w:t xml:space="preserve"> becoming constant, but reflux ratios above 20 are very rarely applied in industrial practice.</w:t>
      </w:r>
      <w:r w:rsidR="0030756A" w:rsidRPr="00D16362">
        <w:t xml:space="preserve"> As a function of R</w:t>
      </w:r>
      <w:r w:rsidR="0030756A" w:rsidRPr="00D16362">
        <w:rPr>
          <w:vertAlign w:val="subscript"/>
        </w:rPr>
        <w:t>2</w:t>
      </w:r>
      <w:r w:rsidR="0030756A" w:rsidRPr="00D16362">
        <w:t xml:space="preserve">, P </w:t>
      </w:r>
      <w:r w:rsidR="0092795D" w:rsidRPr="00D16362">
        <w:t>ha</w:t>
      </w:r>
      <w:r w:rsidR="0092795D">
        <w:t>d</w:t>
      </w:r>
      <w:r w:rsidR="0092795D" w:rsidRPr="00D16362">
        <w:t xml:space="preserve"> </w:t>
      </w:r>
      <w:r w:rsidR="0030756A" w:rsidRPr="00D16362">
        <w:t>a maximum at its base case value</w:t>
      </w:r>
      <w:r w:rsidR="00FA574C">
        <w:t xml:space="preserve"> (</w:t>
      </w:r>
      <w:r w:rsidR="00FA574C" w:rsidRPr="00D16362">
        <w:t>R</w:t>
      </w:r>
      <w:r w:rsidR="00FA574C" w:rsidRPr="00D16362">
        <w:rPr>
          <w:vertAlign w:val="subscript"/>
        </w:rPr>
        <w:t>2</w:t>
      </w:r>
      <w:r w:rsidR="00FA574C">
        <w:t>=6.5)</w:t>
      </w:r>
      <w:r w:rsidR="0030756A" w:rsidRPr="00D16362">
        <w:t>. At lower R</w:t>
      </w:r>
      <w:r w:rsidR="0030756A" w:rsidRPr="00642C08">
        <w:rPr>
          <w:vertAlign w:val="subscript"/>
        </w:rPr>
        <w:t>2</w:t>
      </w:r>
      <w:r w:rsidR="0030756A" w:rsidRPr="00D16362">
        <w:t xml:space="preserve"> values, </w:t>
      </w:r>
      <w:proofErr w:type="spellStart"/>
      <w:r w:rsidR="0030756A" w:rsidRPr="00D16362">
        <w:t>m</w:t>
      </w:r>
      <w:r w:rsidR="0030756A" w:rsidRPr="00D16362">
        <w:rPr>
          <w:vertAlign w:val="subscript"/>
        </w:rPr>
        <w:t>p</w:t>
      </w:r>
      <w:proofErr w:type="spellEnd"/>
      <w:r w:rsidR="0030756A" w:rsidRPr="00D16362">
        <w:t xml:space="preserve"> </w:t>
      </w:r>
      <w:r w:rsidR="0092795D" w:rsidRPr="00D16362">
        <w:t>bec</w:t>
      </w:r>
      <w:r w:rsidR="0092795D">
        <w:t>ame</w:t>
      </w:r>
      <w:r w:rsidR="0092795D" w:rsidRPr="00D16362">
        <w:t xml:space="preserve"> </w:t>
      </w:r>
      <w:r w:rsidR="0030756A" w:rsidRPr="00D16362">
        <w:t xml:space="preserve">very low, while at higher values, the increasing cost of steam </w:t>
      </w:r>
      <w:r w:rsidR="0092795D" w:rsidRPr="00D16362">
        <w:t>le</w:t>
      </w:r>
      <w:r w:rsidR="0092795D">
        <w:t>d</w:t>
      </w:r>
      <w:r w:rsidR="0092795D" w:rsidRPr="00D16362">
        <w:t xml:space="preserve"> </w:t>
      </w:r>
      <w:r w:rsidR="0030756A" w:rsidRPr="00D16362">
        <w:t xml:space="preserve">to a decrease in P. P </w:t>
      </w:r>
      <w:r w:rsidR="0092795D" w:rsidRPr="00D16362">
        <w:t>decrease</w:t>
      </w:r>
      <w:r w:rsidR="0092795D">
        <w:t>d</w:t>
      </w:r>
      <w:r w:rsidR="0092795D" w:rsidRPr="00D16362">
        <w:t xml:space="preserve"> </w:t>
      </w:r>
      <w:r w:rsidR="0030756A" w:rsidRPr="00D16362">
        <w:t>as a function of increasing R</w:t>
      </w:r>
      <w:r w:rsidR="0030756A" w:rsidRPr="00D16362">
        <w:rPr>
          <w:vertAlign w:val="subscript"/>
        </w:rPr>
        <w:t>3</w:t>
      </w:r>
      <w:r w:rsidR="0030756A" w:rsidRPr="00D16362">
        <w:t xml:space="preserve"> because of an increase in the amount of wastewater, but the change in P </w:t>
      </w:r>
      <w:r w:rsidR="0092795D">
        <w:t>was</w:t>
      </w:r>
      <w:r w:rsidR="0030756A" w:rsidRPr="00D16362">
        <w:t xml:space="preserve"> not significant.</w:t>
      </w:r>
      <w:r w:rsidR="00C90D89" w:rsidRPr="00D16362">
        <w:t xml:space="preserve"> On the increase of Cr, P </w:t>
      </w:r>
      <w:r w:rsidR="0092795D" w:rsidRPr="00D16362">
        <w:t>increase</w:t>
      </w:r>
      <w:r w:rsidR="0092795D">
        <w:t>d</w:t>
      </w:r>
      <w:r w:rsidR="0092795D" w:rsidRPr="00D16362">
        <w:t xml:space="preserve"> </w:t>
      </w:r>
      <w:r w:rsidR="00C90D89" w:rsidRPr="00D16362">
        <w:t xml:space="preserve">(Figure </w:t>
      </w:r>
      <w:r w:rsidR="00642C08">
        <w:t>2</w:t>
      </w:r>
      <w:r w:rsidR="00C90D89" w:rsidRPr="00D16362">
        <w:t xml:space="preserve">b) since less fore-cut and more main cut </w:t>
      </w:r>
      <w:r w:rsidR="0092795D">
        <w:t>was</w:t>
      </w:r>
      <w:r w:rsidR="0092795D" w:rsidRPr="00D16362">
        <w:t xml:space="preserve"> </w:t>
      </w:r>
      <w:r w:rsidR="00C90D89" w:rsidRPr="00D16362">
        <w:t xml:space="preserve">taken. It </w:t>
      </w:r>
      <w:r w:rsidR="0092795D">
        <w:t>was</w:t>
      </w:r>
      <w:r w:rsidR="00C90D89" w:rsidRPr="00D16362">
        <w:t xml:space="preserve"> not possible to increase Cr further than 1.22% since the B concentration in the main cut </w:t>
      </w:r>
      <w:r w:rsidR="0092795D" w:rsidRPr="00D16362">
        <w:t>bec</w:t>
      </w:r>
      <w:r w:rsidR="0092795D">
        <w:t>ame</w:t>
      </w:r>
      <w:r w:rsidR="0092795D" w:rsidRPr="00D16362">
        <w:t xml:space="preserve"> </w:t>
      </w:r>
      <w:r w:rsidR="00C90D89" w:rsidRPr="00D16362">
        <w:t xml:space="preserve">higher than its </w:t>
      </w:r>
      <w:r w:rsidR="0089009A">
        <w:t xml:space="preserve">maximal </w:t>
      </w:r>
      <w:r w:rsidR="00C90D89" w:rsidRPr="00D16362">
        <w:t>allowed value.</w:t>
      </w:r>
    </w:p>
    <w:p w14:paraId="02668B69" w14:textId="507B0DCF" w:rsidR="005E5930" w:rsidRDefault="005E5930" w:rsidP="005E5930">
      <w:pPr>
        <w:pStyle w:val="CETBodytext"/>
      </w:pPr>
      <w:r w:rsidRPr="00D16362">
        <w:t xml:space="preserve">SED </w:t>
      </w:r>
      <w:r w:rsidR="0092795D" w:rsidRPr="00D16362">
        <w:t>d</w:t>
      </w:r>
      <w:r w:rsidR="0092795D">
        <w:t>id</w:t>
      </w:r>
      <w:r w:rsidR="0092795D" w:rsidRPr="00D16362">
        <w:t xml:space="preserve"> </w:t>
      </w:r>
      <w:r w:rsidRPr="00D16362">
        <w:t>not change significantly as a function of R</w:t>
      </w:r>
      <w:r w:rsidRPr="001F0D9D">
        <w:rPr>
          <w:vertAlign w:val="subscript"/>
        </w:rPr>
        <w:t>1</w:t>
      </w:r>
      <w:r w:rsidRPr="00D16362">
        <w:t xml:space="preserve"> (Figure </w:t>
      </w:r>
      <w:r w:rsidR="00742C75">
        <w:t>2</w:t>
      </w:r>
      <w:r w:rsidRPr="00D16362">
        <w:t xml:space="preserve">a), but it </w:t>
      </w:r>
      <w:r w:rsidR="0092795D" w:rsidRPr="00D16362">
        <w:t>ha</w:t>
      </w:r>
      <w:r w:rsidR="0092795D">
        <w:t>d</w:t>
      </w:r>
      <w:r w:rsidR="0092795D" w:rsidRPr="00D16362">
        <w:t xml:space="preserve"> </w:t>
      </w:r>
      <w:r w:rsidRPr="00D16362">
        <w:t>a minimum at R</w:t>
      </w:r>
      <w:r w:rsidRPr="00D16362">
        <w:rPr>
          <w:vertAlign w:val="subscript"/>
        </w:rPr>
        <w:t>1</w:t>
      </w:r>
      <w:r w:rsidRPr="00D16362">
        <w:t xml:space="preserve">=4.5. This is explained by the fact that both </w:t>
      </w:r>
      <w:proofErr w:type="spellStart"/>
      <w:r w:rsidRPr="00D16362">
        <w:t>m</w:t>
      </w:r>
      <w:r w:rsidRPr="00D16362">
        <w:rPr>
          <w:vertAlign w:val="subscript"/>
        </w:rPr>
        <w:t>p</w:t>
      </w:r>
      <w:proofErr w:type="spellEnd"/>
      <w:r w:rsidRPr="00D16362">
        <w:t xml:space="preserve"> and t increase in a similar degree on the increase of R</w:t>
      </w:r>
      <w:r w:rsidRPr="00D16362">
        <w:rPr>
          <w:vertAlign w:val="subscript"/>
        </w:rPr>
        <w:t>1</w:t>
      </w:r>
      <w:r w:rsidRPr="00D16362">
        <w:t>. As a function of R</w:t>
      </w:r>
      <w:r w:rsidRPr="00D16362">
        <w:rPr>
          <w:vertAlign w:val="subscript"/>
        </w:rPr>
        <w:t>2</w:t>
      </w:r>
      <w:r w:rsidRPr="00D16362">
        <w:t xml:space="preserve">, there </w:t>
      </w:r>
      <w:r w:rsidR="0092795D">
        <w:t>was</w:t>
      </w:r>
      <w:r w:rsidR="0092795D" w:rsidRPr="00D16362">
        <w:t xml:space="preserve"> </w:t>
      </w:r>
      <w:r w:rsidRPr="00D16362">
        <w:t>a minimum in SED at the base case value (R</w:t>
      </w:r>
      <w:r w:rsidRPr="00D16362">
        <w:rPr>
          <w:vertAlign w:val="subscript"/>
        </w:rPr>
        <w:t>2</w:t>
      </w:r>
      <w:r w:rsidRPr="00D16362">
        <w:t xml:space="preserve">=6). SED </w:t>
      </w:r>
      <w:r w:rsidR="0092795D">
        <w:t>was</w:t>
      </w:r>
      <w:r w:rsidR="0092795D" w:rsidRPr="00D16362">
        <w:t xml:space="preserve"> </w:t>
      </w:r>
      <w:r w:rsidRPr="00D16362">
        <w:t>virtually independent of R</w:t>
      </w:r>
      <w:r w:rsidRPr="00D16362">
        <w:rPr>
          <w:vertAlign w:val="subscript"/>
        </w:rPr>
        <w:t>3</w:t>
      </w:r>
      <w:r w:rsidRPr="00D16362">
        <w:t xml:space="preserve">. On the increase of Cr, SED </w:t>
      </w:r>
      <w:r w:rsidR="0092795D" w:rsidRPr="00D16362">
        <w:t>decrease</w:t>
      </w:r>
      <w:r w:rsidR="0092795D">
        <w:t>d</w:t>
      </w:r>
      <w:r w:rsidR="0092795D" w:rsidRPr="00D16362">
        <w:t xml:space="preserve"> </w:t>
      </w:r>
      <w:r w:rsidRPr="00D16362">
        <w:t xml:space="preserve">due to the increase of </w:t>
      </w:r>
      <w:proofErr w:type="spellStart"/>
      <w:r w:rsidRPr="00D16362">
        <w:t>m</w:t>
      </w:r>
      <w:r w:rsidRPr="00D16362">
        <w:rPr>
          <w:vertAlign w:val="subscript"/>
        </w:rPr>
        <w:t>p</w:t>
      </w:r>
      <w:proofErr w:type="spellEnd"/>
      <w:r>
        <w:t xml:space="preserve"> (Figure </w:t>
      </w:r>
      <w:r w:rsidR="00742C75">
        <w:t>2</w:t>
      </w:r>
      <w:r w:rsidRPr="00D16362">
        <w:t>b).</w:t>
      </w:r>
    </w:p>
    <w:p w14:paraId="2454DA30" w14:textId="1C2A9E6A" w:rsidR="001A365C" w:rsidRPr="00D16362" w:rsidRDefault="001A365C" w:rsidP="001A365C">
      <w:pPr>
        <w:pStyle w:val="CETBodytext"/>
      </w:pPr>
      <w:r w:rsidRPr="00D16362">
        <w:t>Although CO</w:t>
      </w:r>
      <w:r w:rsidRPr="00D16362">
        <w:rPr>
          <w:vertAlign w:val="subscript"/>
        </w:rPr>
        <w:t>2</w:t>
      </w:r>
      <w:proofErr w:type="gramStart"/>
      <w:r w:rsidRPr="00D16362">
        <w:rPr>
          <w:vertAlign w:val="subscript"/>
        </w:rPr>
        <w:t>,HS</w:t>
      </w:r>
      <w:proofErr w:type="gramEnd"/>
      <w:r w:rsidRPr="00D16362">
        <w:t xml:space="preserve"> </w:t>
      </w:r>
      <w:r w:rsidR="0092795D" w:rsidRPr="00D16362">
        <w:t>increase</w:t>
      </w:r>
      <w:r w:rsidR="0092795D">
        <w:t>d</w:t>
      </w:r>
      <w:r w:rsidR="0092795D" w:rsidRPr="00D16362">
        <w:t xml:space="preserve"> </w:t>
      </w:r>
      <w:r w:rsidR="00F46547">
        <w:t>as</w:t>
      </w:r>
      <w:r w:rsidRPr="00D16362">
        <w:t xml:space="preserve"> R</w:t>
      </w:r>
      <w:r w:rsidRPr="00D16362">
        <w:rPr>
          <w:vertAlign w:val="subscript"/>
        </w:rPr>
        <w:t>1</w:t>
      </w:r>
      <w:r w:rsidR="00F46547" w:rsidRPr="00F46547">
        <w:t xml:space="preserve"> </w:t>
      </w:r>
      <w:r w:rsidR="00F46547" w:rsidRPr="00D16362">
        <w:t>increase</w:t>
      </w:r>
      <w:r w:rsidR="0092795D">
        <w:t>d</w:t>
      </w:r>
      <w:r w:rsidRPr="00D16362">
        <w:t>, CO</w:t>
      </w:r>
      <w:r w:rsidRPr="00D16362">
        <w:rPr>
          <w:vertAlign w:val="subscript"/>
        </w:rPr>
        <w:t>2,inc</w:t>
      </w:r>
      <w:r w:rsidRPr="00D16362">
        <w:t xml:space="preserve"> </w:t>
      </w:r>
      <w:r w:rsidR="0092795D" w:rsidRPr="00D16362">
        <w:t>decrease</w:t>
      </w:r>
      <w:r w:rsidR="0092795D">
        <w:t>d</w:t>
      </w:r>
      <w:r w:rsidR="0092795D" w:rsidRPr="00D16362">
        <w:t xml:space="preserve"> </w:t>
      </w:r>
      <w:r w:rsidRPr="00D16362">
        <w:t>to a greater extent, leading to a reduction of the total CO</w:t>
      </w:r>
      <w:r w:rsidRPr="00D16362">
        <w:rPr>
          <w:vertAlign w:val="subscript"/>
        </w:rPr>
        <w:t>2</w:t>
      </w:r>
      <w:r w:rsidRPr="00D16362">
        <w:t xml:space="preserve"> emission. As </w:t>
      </w:r>
      <w:proofErr w:type="spellStart"/>
      <w:r w:rsidRPr="00D16362">
        <w:t>m</w:t>
      </w:r>
      <w:r w:rsidRPr="00D16362">
        <w:rPr>
          <w:vertAlign w:val="subscript"/>
        </w:rPr>
        <w:t>p</w:t>
      </w:r>
      <w:proofErr w:type="spellEnd"/>
      <w:r w:rsidRPr="00D16362">
        <w:t xml:space="preserve"> also </w:t>
      </w:r>
      <w:r w:rsidR="0092795D" w:rsidRPr="00D16362">
        <w:t>increase</w:t>
      </w:r>
      <w:r w:rsidR="0092795D">
        <w:t>d</w:t>
      </w:r>
      <w:r w:rsidRPr="00D16362">
        <w:t>, CO</w:t>
      </w:r>
      <w:r w:rsidRPr="00D16362">
        <w:rPr>
          <w:vertAlign w:val="subscript"/>
        </w:rPr>
        <w:t>2</w:t>
      </w:r>
      <w:proofErr w:type="gramStart"/>
      <w:r w:rsidRPr="00D16362">
        <w:rPr>
          <w:vertAlign w:val="subscript"/>
        </w:rPr>
        <w:t>,s</w:t>
      </w:r>
      <w:proofErr w:type="gramEnd"/>
      <w:r w:rsidRPr="00D16362">
        <w:t xml:space="preserve"> </w:t>
      </w:r>
      <w:r w:rsidR="0092795D" w:rsidRPr="00D16362">
        <w:t>decrease</w:t>
      </w:r>
      <w:r w:rsidR="0092795D">
        <w:t>d</w:t>
      </w:r>
      <w:r w:rsidR="0092795D" w:rsidRPr="00D16362">
        <w:t xml:space="preserve"> </w:t>
      </w:r>
      <w:r w:rsidRPr="00D16362">
        <w:t>on the increase of R</w:t>
      </w:r>
      <w:r w:rsidRPr="00D16362">
        <w:rPr>
          <w:vertAlign w:val="subscript"/>
        </w:rPr>
        <w:t>1</w:t>
      </w:r>
      <w:r>
        <w:t xml:space="preserve"> (Figure </w:t>
      </w:r>
      <w:r w:rsidR="00742C75">
        <w:t>2e</w:t>
      </w:r>
      <w:r w:rsidRPr="00D16362">
        <w:t>). By varying R</w:t>
      </w:r>
      <w:r w:rsidRPr="00D16362">
        <w:rPr>
          <w:vertAlign w:val="subscript"/>
        </w:rPr>
        <w:t>2</w:t>
      </w:r>
      <w:r w:rsidRPr="00D16362">
        <w:t>, only CO</w:t>
      </w:r>
      <w:r w:rsidRPr="00D16362">
        <w:rPr>
          <w:vertAlign w:val="subscript"/>
        </w:rPr>
        <w:t>2</w:t>
      </w:r>
      <w:proofErr w:type="gramStart"/>
      <w:r w:rsidRPr="00D16362">
        <w:rPr>
          <w:vertAlign w:val="subscript"/>
        </w:rPr>
        <w:t>,HS</w:t>
      </w:r>
      <w:proofErr w:type="gramEnd"/>
      <w:r w:rsidRPr="00D16362">
        <w:t xml:space="preserve"> </w:t>
      </w:r>
      <w:r w:rsidR="0092795D" w:rsidRPr="00D16362">
        <w:t>change</w:t>
      </w:r>
      <w:r w:rsidR="0092795D">
        <w:t>d</w:t>
      </w:r>
      <w:r w:rsidRPr="00D16362">
        <w:t xml:space="preserve">. Since t </w:t>
      </w:r>
      <w:r w:rsidR="0092795D" w:rsidRPr="00D16362">
        <w:t>ha</w:t>
      </w:r>
      <w:r w:rsidR="0092795D">
        <w:t>d</w:t>
      </w:r>
      <w:r w:rsidR="0092795D" w:rsidRPr="00D16362">
        <w:t xml:space="preserve"> </w:t>
      </w:r>
      <w:r w:rsidRPr="00D16362">
        <w:t>a minimum at R</w:t>
      </w:r>
      <w:r w:rsidRPr="00D16362">
        <w:rPr>
          <w:vertAlign w:val="subscript"/>
        </w:rPr>
        <w:t>2</w:t>
      </w:r>
      <w:r w:rsidRPr="00D16362">
        <w:t xml:space="preserve">=5.5 so </w:t>
      </w:r>
      <w:r w:rsidR="0092795D" w:rsidRPr="00D16362">
        <w:t>d</w:t>
      </w:r>
      <w:r w:rsidR="0092795D">
        <w:t>id</w:t>
      </w:r>
      <w:r w:rsidR="0092795D" w:rsidRPr="00D16362">
        <w:t xml:space="preserve"> </w:t>
      </w:r>
      <w:r w:rsidRPr="00D16362">
        <w:t>CO</w:t>
      </w:r>
      <w:r w:rsidRPr="00D16362">
        <w:rPr>
          <w:vertAlign w:val="subscript"/>
        </w:rPr>
        <w:t>2</w:t>
      </w:r>
      <w:proofErr w:type="gramStart"/>
      <w:r w:rsidRPr="00D16362">
        <w:rPr>
          <w:vertAlign w:val="subscript"/>
        </w:rPr>
        <w:t>,t</w:t>
      </w:r>
      <w:proofErr w:type="gramEnd"/>
      <w:r w:rsidRPr="00D16362">
        <w:t>. CO</w:t>
      </w:r>
      <w:r w:rsidRPr="00D16362">
        <w:rPr>
          <w:vertAlign w:val="subscript"/>
        </w:rPr>
        <w:t>2,s</w:t>
      </w:r>
      <w:r w:rsidRPr="00D16362">
        <w:t xml:space="preserve"> also </w:t>
      </w:r>
      <w:r w:rsidR="0092795D" w:rsidRPr="00D16362">
        <w:t>show</w:t>
      </w:r>
      <w:r w:rsidR="0092795D">
        <w:t>ed</w:t>
      </w:r>
      <w:r w:rsidR="0092795D" w:rsidRPr="00D16362">
        <w:t xml:space="preserve"> </w:t>
      </w:r>
      <w:r w:rsidRPr="00D16362">
        <w:t>a minimum but at R</w:t>
      </w:r>
      <w:r w:rsidRPr="00D16362">
        <w:rPr>
          <w:vertAlign w:val="subscript"/>
        </w:rPr>
        <w:t>2</w:t>
      </w:r>
      <w:r w:rsidRPr="00D16362">
        <w:t>=6.5. The CO</w:t>
      </w:r>
      <w:r w:rsidRPr="00D16362">
        <w:rPr>
          <w:vertAlign w:val="subscript"/>
        </w:rPr>
        <w:t>2</w:t>
      </w:r>
      <w:r w:rsidRPr="00D16362">
        <w:t xml:space="preserve"> emission </w:t>
      </w:r>
      <w:r w:rsidR="0092795D">
        <w:t>was</w:t>
      </w:r>
      <w:r w:rsidR="0092795D" w:rsidRPr="00D16362">
        <w:t xml:space="preserve"> </w:t>
      </w:r>
      <w:r w:rsidRPr="00D16362">
        <w:t>virtually independent of R</w:t>
      </w:r>
      <w:r w:rsidRPr="00D16362">
        <w:rPr>
          <w:vertAlign w:val="subscript"/>
        </w:rPr>
        <w:t>3</w:t>
      </w:r>
      <w:r w:rsidRPr="00D16362">
        <w:t>. On the increase of Cr, CO</w:t>
      </w:r>
      <w:r w:rsidRPr="00D16362">
        <w:rPr>
          <w:vertAlign w:val="subscript"/>
        </w:rPr>
        <w:t>2</w:t>
      </w:r>
      <w:proofErr w:type="gramStart"/>
      <w:r w:rsidRPr="00D16362">
        <w:rPr>
          <w:vertAlign w:val="subscript"/>
        </w:rPr>
        <w:t>,t</w:t>
      </w:r>
      <w:proofErr w:type="gramEnd"/>
      <w:r w:rsidRPr="00D16362">
        <w:t xml:space="preserve"> </w:t>
      </w:r>
      <w:r w:rsidR="0092795D" w:rsidRPr="00D16362">
        <w:t>decrease</w:t>
      </w:r>
      <w:r w:rsidR="0092795D">
        <w:t>d</w:t>
      </w:r>
      <w:r w:rsidR="0092795D" w:rsidRPr="00D16362">
        <w:t xml:space="preserve"> </w:t>
      </w:r>
      <w:r w:rsidRPr="00D16362">
        <w:t xml:space="preserve">due to decreasing </w:t>
      </w:r>
      <w:proofErr w:type="spellStart"/>
      <w:r w:rsidRPr="00D16362">
        <w:t>m</w:t>
      </w:r>
      <w:r w:rsidRPr="00D16362">
        <w:rPr>
          <w:vertAlign w:val="subscript"/>
        </w:rPr>
        <w:t>fc</w:t>
      </w:r>
      <w:proofErr w:type="spellEnd"/>
      <w:r w:rsidRPr="00D16362">
        <w:t>. Thus, CO</w:t>
      </w:r>
      <w:r w:rsidRPr="00D16362">
        <w:rPr>
          <w:vertAlign w:val="subscript"/>
        </w:rPr>
        <w:t>2</w:t>
      </w:r>
      <w:proofErr w:type="gramStart"/>
      <w:r w:rsidRPr="00D16362">
        <w:rPr>
          <w:vertAlign w:val="subscript"/>
        </w:rPr>
        <w:t>,s</w:t>
      </w:r>
      <w:proofErr w:type="gramEnd"/>
      <w:r>
        <w:t xml:space="preserve"> also </w:t>
      </w:r>
      <w:r w:rsidR="0092795D">
        <w:t xml:space="preserve">showed </w:t>
      </w:r>
      <w:r>
        <w:t xml:space="preserve">a decrease (Figure </w:t>
      </w:r>
      <w:r w:rsidR="00742C75">
        <w:t>2f</w:t>
      </w:r>
      <w:r w:rsidRPr="00D16362">
        <w:t>).</w:t>
      </w:r>
    </w:p>
    <w:p w14:paraId="75A4E002" w14:textId="46A94998" w:rsidR="00B00479" w:rsidRPr="00D16362" w:rsidRDefault="00EA6675" w:rsidP="00B00479">
      <w:pPr>
        <w:pStyle w:val="CETBodytext"/>
      </w:pPr>
      <w:r>
        <w:rPr>
          <w:noProof/>
          <w:lang w:val="hu-HU" w:eastAsia="hu-HU"/>
        </w:rPr>
        <w:lastRenderedPageBreak/>
        <w:drawing>
          <wp:inline distT="0" distB="0" distL="0" distR="0" wp14:anchorId="5157ACAE" wp14:editId="602D2D82">
            <wp:extent cx="2700000" cy="1507623"/>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1507623"/>
                    </a:xfrm>
                    <a:prstGeom prst="rect">
                      <a:avLst/>
                    </a:prstGeom>
                    <a:noFill/>
                  </pic:spPr>
                </pic:pic>
              </a:graphicData>
            </a:graphic>
          </wp:inline>
        </w:drawing>
      </w:r>
      <w:r>
        <w:rPr>
          <w:noProof/>
          <w:lang w:val="hu-HU" w:eastAsia="hu-HU"/>
        </w:rPr>
        <w:drawing>
          <wp:inline distT="0" distB="0" distL="0" distR="0" wp14:anchorId="08E6B192" wp14:editId="762EEE5D">
            <wp:extent cx="2700000" cy="150762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1507623"/>
                    </a:xfrm>
                    <a:prstGeom prst="rect">
                      <a:avLst/>
                    </a:prstGeom>
                    <a:noFill/>
                  </pic:spPr>
                </pic:pic>
              </a:graphicData>
            </a:graphic>
          </wp:inline>
        </w:drawing>
      </w:r>
      <w:r w:rsidR="000A73B6">
        <w:rPr>
          <w:noProof/>
          <w:lang w:val="hu-HU" w:eastAsia="hu-HU"/>
        </w:rPr>
        <w:drawing>
          <wp:inline distT="0" distB="0" distL="0" distR="0" wp14:anchorId="6C1999EA" wp14:editId="39B6BA7E">
            <wp:extent cx="2700000" cy="1612146"/>
            <wp:effectExtent l="0" t="0" r="571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00" cy="1612146"/>
                    </a:xfrm>
                    <a:prstGeom prst="rect">
                      <a:avLst/>
                    </a:prstGeom>
                    <a:noFill/>
                  </pic:spPr>
                </pic:pic>
              </a:graphicData>
            </a:graphic>
          </wp:inline>
        </w:drawing>
      </w:r>
      <w:r w:rsidR="000A73B6">
        <w:rPr>
          <w:noProof/>
          <w:lang w:val="hu-HU" w:eastAsia="hu-HU"/>
        </w:rPr>
        <w:drawing>
          <wp:inline distT="0" distB="0" distL="0" distR="0" wp14:anchorId="75224E49" wp14:editId="0C7B9092">
            <wp:extent cx="2700000" cy="1616400"/>
            <wp:effectExtent l="0" t="0" r="571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1616400"/>
                    </a:xfrm>
                    <a:prstGeom prst="rect">
                      <a:avLst/>
                    </a:prstGeom>
                    <a:noFill/>
                  </pic:spPr>
                </pic:pic>
              </a:graphicData>
            </a:graphic>
          </wp:inline>
        </w:drawing>
      </w:r>
      <w:r w:rsidR="000A73B6">
        <w:rPr>
          <w:noProof/>
          <w:lang w:val="hu-HU" w:eastAsia="hu-HU"/>
        </w:rPr>
        <w:drawing>
          <wp:inline distT="0" distB="0" distL="0" distR="0" wp14:anchorId="5CC67369" wp14:editId="336D4F57">
            <wp:extent cx="2700000" cy="1617753"/>
            <wp:effectExtent l="0" t="0" r="571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1617753"/>
                    </a:xfrm>
                    <a:prstGeom prst="rect">
                      <a:avLst/>
                    </a:prstGeom>
                    <a:noFill/>
                  </pic:spPr>
                </pic:pic>
              </a:graphicData>
            </a:graphic>
          </wp:inline>
        </w:drawing>
      </w:r>
      <w:r w:rsidR="000A73B6">
        <w:rPr>
          <w:noProof/>
          <w:lang w:val="hu-HU" w:eastAsia="hu-HU"/>
        </w:rPr>
        <w:drawing>
          <wp:inline distT="0" distB="0" distL="0" distR="0" wp14:anchorId="1BC8F383" wp14:editId="4EAF16EC">
            <wp:extent cx="2700000" cy="1616400"/>
            <wp:effectExtent l="0" t="0" r="5715"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616400"/>
                    </a:xfrm>
                    <a:prstGeom prst="rect">
                      <a:avLst/>
                    </a:prstGeom>
                    <a:noFill/>
                  </pic:spPr>
                </pic:pic>
              </a:graphicData>
            </a:graphic>
          </wp:inline>
        </w:drawing>
      </w:r>
    </w:p>
    <w:p w14:paraId="5132B159" w14:textId="2B417902" w:rsidR="00B00479" w:rsidRPr="00D16362" w:rsidRDefault="00B00479" w:rsidP="00B00479">
      <w:pPr>
        <w:pStyle w:val="CETCaption"/>
        <w:rPr>
          <w:lang w:val="en-US"/>
        </w:rPr>
      </w:pPr>
      <w:r w:rsidRPr="00D16362">
        <w:rPr>
          <w:lang w:val="en-US"/>
        </w:rPr>
        <w:t xml:space="preserve">Figure </w:t>
      </w:r>
      <w:r w:rsidR="00642C08">
        <w:rPr>
          <w:lang w:val="en-US"/>
        </w:rPr>
        <w:t>2</w:t>
      </w:r>
      <w:r w:rsidRPr="00D16362">
        <w:rPr>
          <w:lang w:val="en-US"/>
        </w:rPr>
        <w:t xml:space="preserve">: </w:t>
      </w:r>
      <w:r w:rsidR="00103F3D" w:rsidRPr="00D16362">
        <w:rPr>
          <w:lang w:val="en-US"/>
        </w:rPr>
        <w:t>The effect of operationa</w:t>
      </w:r>
      <w:r w:rsidRPr="00D16362">
        <w:rPr>
          <w:lang w:val="en-US"/>
        </w:rPr>
        <w:t>l</w:t>
      </w:r>
      <w:r w:rsidR="00103F3D" w:rsidRPr="00D16362">
        <w:rPr>
          <w:lang w:val="en-US"/>
        </w:rPr>
        <w:t xml:space="preserve"> parameters </w:t>
      </w:r>
      <w:r w:rsidRPr="00D16362">
        <w:rPr>
          <w:lang w:val="en-US"/>
        </w:rPr>
        <w:t>o</w:t>
      </w:r>
      <w:r w:rsidR="00103F3D" w:rsidRPr="00D16362">
        <w:rPr>
          <w:lang w:val="en-US"/>
        </w:rPr>
        <w:t xml:space="preserve">n </w:t>
      </w:r>
      <w:r w:rsidR="006A4BEF">
        <w:rPr>
          <w:lang w:val="en-US"/>
        </w:rPr>
        <w:t>selected indicators:</w:t>
      </w:r>
      <w:r w:rsidR="00103F3D" w:rsidRPr="00D16362">
        <w:rPr>
          <w:lang w:val="en-US"/>
        </w:rPr>
        <w:t xml:space="preserve"> a. reflux ratio</w:t>
      </w:r>
      <w:r w:rsidR="00E77AE6" w:rsidRPr="00D16362">
        <w:rPr>
          <w:lang w:val="en-US"/>
        </w:rPr>
        <w:t>s</w:t>
      </w:r>
      <w:r w:rsidR="006A4BEF">
        <w:rPr>
          <w:lang w:val="en-US"/>
        </w:rPr>
        <w:t xml:space="preserve"> on P</w:t>
      </w:r>
      <w:r w:rsidR="00103F3D" w:rsidRPr="00D16362">
        <w:rPr>
          <w:lang w:val="en-US"/>
        </w:rPr>
        <w:t>, b. Cr</w:t>
      </w:r>
      <w:r w:rsidR="006A4BEF">
        <w:rPr>
          <w:lang w:val="en-US"/>
        </w:rPr>
        <w:t xml:space="preserve"> on P, c.</w:t>
      </w:r>
      <w:r w:rsidR="006A4BEF" w:rsidRPr="00D16362">
        <w:rPr>
          <w:lang w:val="en-US"/>
        </w:rPr>
        <w:t xml:space="preserve"> reflux ratios</w:t>
      </w:r>
      <w:r w:rsidR="006A4BEF">
        <w:rPr>
          <w:lang w:val="en-US"/>
        </w:rPr>
        <w:t xml:space="preserve"> on SED</w:t>
      </w:r>
      <w:r w:rsidR="006A4BEF" w:rsidRPr="00D16362">
        <w:rPr>
          <w:lang w:val="en-US"/>
        </w:rPr>
        <w:t xml:space="preserve">, </w:t>
      </w:r>
      <w:r w:rsidR="006A4BEF">
        <w:rPr>
          <w:lang w:val="en-US"/>
        </w:rPr>
        <w:t>d</w:t>
      </w:r>
      <w:r w:rsidR="006A4BEF" w:rsidRPr="00D16362">
        <w:rPr>
          <w:lang w:val="en-US"/>
        </w:rPr>
        <w:t>. Cr</w:t>
      </w:r>
      <w:r w:rsidR="006A4BEF">
        <w:rPr>
          <w:lang w:val="en-US"/>
        </w:rPr>
        <w:t xml:space="preserve"> on SED,</w:t>
      </w:r>
      <w:r w:rsidR="006A4BEF" w:rsidRPr="006A4BEF">
        <w:rPr>
          <w:lang w:val="en-US"/>
        </w:rPr>
        <w:t xml:space="preserve"> </w:t>
      </w:r>
      <w:r w:rsidR="006A4BEF">
        <w:rPr>
          <w:lang w:val="en-US"/>
        </w:rPr>
        <w:t>e</w:t>
      </w:r>
      <w:r w:rsidR="006A4BEF" w:rsidRPr="00D16362">
        <w:rPr>
          <w:lang w:val="en-US"/>
        </w:rPr>
        <w:t>. reflux ratios</w:t>
      </w:r>
      <w:r w:rsidR="006A4BEF">
        <w:rPr>
          <w:lang w:val="en-US"/>
        </w:rPr>
        <w:t xml:space="preserve"> on CO</w:t>
      </w:r>
      <w:r w:rsidR="006A4BEF" w:rsidRPr="006A4BEF">
        <w:rPr>
          <w:vertAlign w:val="subscript"/>
          <w:lang w:val="en-US"/>
        </w:rPr>
        <w:t>2,s</w:t>
      </w:r>
      <w:r w:rsidR="006A4BEF" w:rsidRPr="00D16362">
        <w:rPr>
          <w:lang w:val="en-US"/>
        </w:rPr>
        <w:t xml:space="preserve">, </w:t>
      </w:r>
      <w:r w:rsidR="006A4BEF">
        <w:rPr>
          <w:lang w:val="en-US"/>
        </w:rPr>
        <w:t>f</w:t>
      </w:r>
      <w:r w:rsidR="006A4BEF" w:rsidRPr="00D16362">
        <w:rPr>
          <w:lang w:val="en-US"/>
        </w:rPr>
        <w:t>. Cr</w:t>
      </w:r>
      <w:r w:rsidR="006A4BEF">
        <w:rPr>
          <w:lang w:val="en-US"/>
        </w:rPr>
        <w:t xml:space="preserve"> on CO</w:t>
      </w:r>
      <w:r w:rsidR="006A4BEF" w:rsidRPr="006A4BEF">
        <w:rPr>
          <w:vertAlign w:val="subscript"/>
          <w:lang w:val="en-US"/>
        </w:rPr>
        <w:t>2,s</w:t>
      </w:r>
    </w:p>
    <w:p w14:paraId="35EB84FB" w14:textId="78591AEA" w:rsidR="00696FA7" w:rsidRPr="00D16362" w:rsidRDefault="00237D8D" w:rsidP="00453E24">
      <w:pPr>
        <w:pStyle w:val="CETBodytext"/>
      </w:pPr>
      <w:r>
        <w:t>As</w:t>
      </w:r>
      <w:r w:rsidR="008966B3">
        <w:t xml:space="preserve"> D </w:t>
      </w:r>
      <w:r w:rsidR="0092795D">
        <w:t xml:space="preserve">was </w:t>
      </w:r>
      <w:r w:rsidR="008966B3">
        <w:t>m</w:t>
      </w:r>
      <w:r>
        <w:t>o</w:t>
      </w:r>
      <w:r w:rsidR="008966B3">
        <w:t>st</w:t>
      </w:r>
      <w:r>
        <w:t>ly</w:t>
      </w:r>
      <w:r w:rsidR="008966B3">
        <w:t xml:space="preserve"> removed in the still residue, </w:t>
      </w:r>
      <w:r w:rsidR="00A5547E">
        <w:t xml:space="preserve">the change of </w:t>
      </w:r>
      <w:r w:rsidR="008966B3">
        <w:t>m</w:t>
      </w:r>
      <w:r w:rsidR="008966B3" w:rsidRPr="008966B3">
        <w:rPr>
          <w:vertAlign w:val="subscript"/>
        </w:rPr>
        <w:t>w</w:t>
      </w:r>
      <w:r w:rsidR="008966B3">
        <w:t xml:space="preserve"> </w:t>
      </w:r>
      <w:r w:rsidR="00A5547E">
        <w:t>was</w:t>
      </w:r>
      <w:r w:rsidR="008966B3">
        <w:t xml:space="preserve"> limited. It </w:t>
      </w:r>
      <w:r w:rsidR="0092795D">
        <w:t xml:space="preserve">increased </w:t>
      </w:r>
      <w:r w:rsidR="008966B3">
        <w:t>slightly on the increase of R</w:t>
      </w:r>
      <w:r w:rsidR="008966B3" w:rsidRPr="008966B3">
        <w:rPr>
          <w:vertAlign w:val="subscript"/>
        </w:rPr>
        <w:t>1</w:t>
      </w:r>
      <w:r w:rsidR="008966B3">
        <w:t xml:space="preserve"> and R</w:t>
      </w:r>
      <w:r w:rsidR="008966B3" w:rsidRPr="008966B3">
        <w:rPr>
          <w:vertAlign w:val="subscript"/>
        </w:rPr>
        <w:t>2</w:t>
      </w:r>
      <w:r>
        <w:t>;</w:t>
      </w:r>
      <w:r w:rsidR="008966B3">
        <w:t xml:space="preserve"> it </w:t>
      </w:r>
      <w:r w:rsidR="0092795D">
        <w:t xml:space="preserve">was </w:t>
      </w:r>
      <w:r w:rsidR="008966B3">
        <w:t xml:space="preserve">independent of Cr. </w:t>
      </w:r>
      <w:r w:rsidR="00A5547E">
        <w:t>O</w:t>
      </w:r>
      <w:r w:rsidR="00A5547E">
        <w:t xml:space="preserve">nly </w:t>
      </w:r>
      <w:r w:rsidR="008966B3">
        <w:t>R</w:t>
      </w:r>
      <w:r w:rsidR="008966B3" w:rsidRPr="008966B3">
        <w:rPr>
          <w:vertAlign w:val="subscript"/>
        </w:rPr>
        <w:t>3</w:t>
      </w:r>
      <w:r w:rsidR="008966B3">
        <w:t xml:space="preserve"> </w:t>
      </w:r>
      <w:r w:rsidR="00A5547E">
        <w:t xml:space="preserve">had </w:t>
      </w:r>
      <w:r w:rsidR="00A5547E">
        <w:t>a significant effect</w:t>
      </w:r>
      <w:r w:rsidR="00A5547E">
        <w:t>;</w:t>
      </w:r>
      <w:r w:rsidR="00A5547E">
        <w:t xml:space="preserve"> </w:t>
      </w:r>
      <w:r w:rsidR="00A5547E">
        <w:t xml:space="preserve">its </w:t>
      </w:r>
      <w:r w:rsidR="008966B3">
        <w:t xml:space="preserve">increase </w:t>
      </w:r>
      <w:r w:rsidR="0092795D">
        <w:t xml:space="preserve">made </w:t>
      </w:r>
      <w:r w:rsidR="008966B3">
        <w:t>m</w:t>
      </w:r>
      <w:r w:rsidR="008966B3" w:rsidRPr="000C1415">
        <w:rPr>
          <w:vertAlign w:val="subscript"/>
        </w:rPr>
        <w:t>w</w:t>
      </w:r>
      <w:r w:rsidR="008966B3">
        <w:t xml:space="preserve"> higher.</w:t>
      </w:r>
      <w:r w:rsidR="000C1415">
        <w:t xml:space="preserve"> The change in </w:t>
      </w:r>
      <w:proofErr w:type="spellStart"/>
      <w:r w:rsidR="009C1CE2">
        <w:t>m</w:t>
      </w:r>
      <w:r w:rsidR="009C1CE2" w:rsidRPr="001F0D9D">
        <w:rPr>
          <w:vertAlign w:val="subscript"/>
        </w:rPr>
        <w:t>w</w:t>
      </w:r>
      <w:r w:rsidR="009C1CE2" w:rsidRPr="000C1415">
        <w:rPr>
          <w:vertAlign w:val="subscript"/>
        </w:rPr>
        <w:t>s</w:t>
      </w:r>
      <w:proofErr w:type="spellEnd"/>
      <w:r w:rsidR="009C1CE2">
        <w:t xml:space="preserve"> </w:t>
      </w:r>
      <w:r w:rsidR="0092795D">
        <w:t xml:space="preserve">was </w:t>
      </w:r>
      <w:r w:rsidR="000C1415">
        <w:t xml:space="preserve">thus dominated by </w:t>
      </w:r>
      <w:proofErr w:type="spellStart"/>
      <w:r w:rsidR="000C1415">
        <w:t>m</w:t>
      </w:r>
      <w:r w:rsidR="000C1415" w:rsidRPr="000C1415">
        <w:rPr>
          <w:vertAlign w:val="subscript"/>
        </w:rPr>
        <w:t>p</w:t>
      </w:r>
      <w:proofErr w:type="spellEnd"/>
      <w:r w:rsidR="000C1415">
        <w:t xml:space="preserve">. </w:t>
      </w:r>
      <w:proofErr w:type="spellStart"/>
      <w:proofErr w:type="gramStart"/>
      <w:r w:rsidR="009C1CE2">
        <w:t>m</w:t>
      </w:r>
      <w:r w:rsidR="009C1CE2" w:rsidRPr="001F0D9D">
        <w:rPr>
          <w:vertAlign w:val="subscript"/>
        </w:rPr>
        <w:t>w</w:t>
      </w:r>
      <w:r w:rsidR="009C1CE2" w:rsidRPr="001A365C">
        <w:rPr>
          <w:vertAlign w:val="subscript"/>
        </w:rPr>
        <w:t>s</w:t>
      </w:r>
      <w:proofErr w:type="spellEnd"/>
      <w:proofErr w:type="gramEnd"/>
      <w:r w:rsidR="009C1CE2">
        <w:t xml:space="preserve"> </w:t>
      </w:r>
      <w:r w:rsidR="000C1415">
        <w:t>decrease</w:t>
      </w:r>
      <w:r w:rsidR="0092795D">
        <w:t>d</w:t>
      </w:r>
      <w:r w:rsidR="000C1415">
        <w:t xml:space="preserve"> on the increase of all variables except R</w:t>
      </w:r>
      <w:r w:rsidR="000C1415" w:rsidRPr="00C70445">
        <w:rPr>
          <w:vertAlign w:val="subscript"/>
        </w:rPr>
        <w:t>3</w:t>
      </w:r>
      <w:r w:rsidR="000C1415">
        <w:t>.</w:t>
      </w:r>
    </w:p>
    <w:p w14:paraId="2B23E599" w14:textId="3F578391" w:rsidR="00696FA7" w:rsidRPr="00D16362" w:rsidRDefault="005823E0" w:rsidP="00453E24">
      <w:pPr>
        <w:pStyle w:val="CETBodytext"/>
      </w:pPr>
      <w:proofErr w:type="spellStart"/>
      <w:r>
        <w:t>PEI</w:t>
      </w:r>
      <w:r w:rsidRPr="002E7AEF">
        <w:rPr>
          <w:vertAlign w:val="subscript"/>
        </w:rPr>
        <w:t>t</w:t>
      </w:r>
      <w:proofErr w:type="spellEnd"/>
      <w:r>
        <w:t xml:space="preserve"> </w:t>
      </w:r>
      <w:r w:rsidR="0092795D">
        <w:t>was</w:t>
      </w:r>
      <w:r>
        <w:t xml:space="preserve"> determined by the fore-cut since less than 0.5% of the total impact comes from the wastewater. The most important impact </w:t>
      </w:r>
      <w:r w:rsidR="0092795D">
        <w:t xml:space="preserve">was </w:t>
      </w:r>
      <w:r>
        <w:t xml:space="preserve">the </w:t>
      </w:r>
      <w:proofErr w:type="spellStart"/>
      <w:r>
        <w:t>ecotoxicity</w:t>
      </w:r>
      <w:proofErr w:type="spellEnd"/>
      <w:r>
        <w:t xml:space="preserve"> of CO</w:t>
      </w:r>
      <w:r w:rsidRPr="005823E0">
        <w:rPr>
          <w:vertAlign w:val="subscript"/>
        </w:rPr>
        <w:t>2</w:t>
      </w:r>
      <w:r>
        <w:t xml:space="preserve"> but the acidification potential, human and </w:t>
      </w:r>
      <w:proofErr w:type="spellStart"/>
      <w:r>
        <w:t>ecotoxicity</w:t>
      </w:r>
      <w:proofErr w:type="spellEnd"/>
      <w:r>
        <w:t xml:space="preserve"> of </w:t>
      </w:r>
      <w:proofErr w:type="spellStart"/>
      <w:r>
        <w:t>HCl</w:t>
      </w:r>
      <w:proofErr w:type="spellEnd"/>
      <w:r>
        <w:t xml:space="preserve"> </w:t>
      </w:r>
      <w:r w:rsidR="0092795D">
        <w:t xml:space="preserve">were </w:t>
      </w:r>
      <w:r>
        <w:t xml:space="preserve">also considerable. </w:t>
      </w:r>
      <w:proofErr w:type="spellStart"/>
      <w:r w:rsidR="00935176">
        <w:t>PEI</w:t>
      </w:r>
      <w:r w:rsidR="00935176" w:rsidRPr="00935176">
        <w:rPr>
          <w:vertAlign w:val="subscript"/>
        </w:rPr>
        <w:t>t</w:t>
      </w:r>
      <w:proofErr w:type="spellEnd"/>
      <w:r w:rsidR="00935176">
        <w:t xml:space="preserve"> </w:t>
      </w:r>
      <w:r w:rsidR="0092795D">
        <w:t xml:space="preserve">decreased </w:t>
      </w:r>
      <w:r w:rsidR="00935176">
        <w:t>on the increase of R</w:t>
      </w:r>
      <w:r w:rsidR="00935176" w:rsidRPr="00935176">
        <w:rPr>
          <w:vertAlign w:val="subscript"/>
        </w:rPr>
        <w:t>1</w:t>
      </w:r>
      <w:r w:rsidR="00935176">
        <w:t xml:space="preserve"> and Cr and it </w:t>
      </w:r>
      <w:r w:rsidR="0092795D">
        <w:t xml:space="preserve">was </w:t>
      </w:r>
      <w:r w:rsidR="00935176">
        <w:t>practically independent of R</w:t>
      </w:r>
      <w:r w:rsidR="00935176" w:rsidRPr="00935176">
        <w:rPr>
          <w:vertAlign w:val="subscript"/>
        </w:rPr>
        <w:t>2</w:t>
      </w:r>
      <w:r w:rsidR="00935176">
        <w:t xml:space="preserve"> and R</w:t>
      </w:r>
      <w:r w:rsidR="00935176" w:rsidRPr="00935176">
        <w:rPr>
          <w:vertAlign w:val="subscript"/>
        </w:rPr>
        <w:t>3</w:t>
      </w:r>
      <w:r w:rsidR="00935176">
        <w:t xml:space="preserve">. </w:t>
      </w:r>
      <w:r w:rsidR="009D15F0">
        <w:t>Due to the determining influence of CO</w:t>
      </w:r>
      <w:r w:rsidR="009D15F0" w:rsidRPr="009D15F0">
        <w:rPr>
          <w:vertAlign w:val="subscript"/>
        </w:rPr>
        <w:t>2</w:t>
      </w:r>
      <w:proofErr w:type="gramStart"/>
      <w:r w:rsidR="009D15F0" w:rsidRPr="009D15F0">
        <w:rPr>
          <w:vertAlign w:val="subscript"/>
        </w:rPr>
        <w:t>,inc</w:t>
      </w:r>
      <w:proofErr w:type="gramEnd"/>
      <w:r w:rsidR="009D15F0">
        <w:t xml:space="preserve"> and </w:t>
      </w:r>
      <w:proofErr w:type="spellStart"/>
      <w:r w:rsidR="009D15F0">
        <w:t>m</w:t>
      </w:r>
      <w:r w:rsidR="009D15F0" w:rsidRPr="009D15F0">
        <w:rPr>
          <w:vertAlign w:val="subscript"/>
        </w:rPr>
        <w:t>p</w:t>
      </w:r>
      <w:proofErr w:type="spellEnd"/>
      <w:r w:rsidR="009D15F0">
        <w:t xml:space="preserve">, </w:t>
      </w:r>
      <w:r w:rsidR="00935176">
        <w:t>PEI</w:t>
      </w:r>
      <w:r w:rsidR="00935176" w:rsidRPr="009D15F0">
        <w:rPr>
          <w:vertAlign w:val="subscript"/>
        </w:rPr>
        <w:t>s</w:t>
      </w:r>
      <w:r w:rsidR="00935176">
        <w:t xml:space="preserve"> </w:t>
      </w:r>
      <w:r w:rsidR="0092795D">
        <w:t xml:space="preserve">behaved </w:t>
      </w:r>
      <w:r w:rsidR="009D15F0">
        <w:t>similarly to CO</w:t>
      </w:r>
      <w:r w:rsidR="009D15F0" w:rsidRPr="009D15F0">
        <w:rPr>
          <w:vertAlign w:val="subscript"/>
        </w:rPr>
        <w:t>2,s</w:t>
      </w:r>
      <w:r w:rsidR="009D15F0">
        <w:t xml:space="preserve"> (except in the case of R</w:t>
      </w:r>
      <w:r w:rsidR="009D15F0" w:rsidRPr="009D15F0">
        <w:rPr>
          <w:vertAlign w:val="subscript"/>
        </w:rPr>
        <w:t>2</w:t>
      </w:r>
      <w:r w:rsidR="009D15F0">
        <w:t xml:space="preserve">). It </w:t>
      </w:r>
      <w:r w:rsidR="0092795D">
        <w:t xml:space="preserve">decreased </w:t>
      </w:r>
      <w:r w:rsidR="00935176">
        <w:t xml:space="preserve">on the increase of all </w:t>
      </w:r>
      <w:r>
        <w:t>va</w:t>
      </w:r>
      <w:r w:rsidR="00935176">
        <w:t>riab</w:t>
      </w:r>
      <w:r>
        <w:t>l</w:t>
      </w:r>
      <w:r w:rsidR="00935176">
        <w:t>es except R</w:t>
      </w:r>
      <w:r w:rsidR="00935176" w:rsidRPr="00935176">
        <w:rPr>
          <w:vertAlign w:val="subscript"/>
        </w:rPr>
        <w:t>3</w:t>
      </w:r>
      <w:r w:rsidR="00935176">
        <w:t xml:space="preserve">, which </w:t>
      </w:r>
      <w:r w:rsidR="0092795D">
        <w:t xml:space="preserve">had </w:t>
      </w:r>
      <w:r w:rsidR="00935176">
        <w:t>no effect on it.</w:t>
      </w:r>
    </w:p>
    <w:p w14:paraId="7C7F4B99" w14:textId="27754E04" w:rsidR="00696FA7" w:rsidRPr="00D16362" w:rsidRDefault="001A365C" w:rsidP="00453E24">
      <w:pPr>
        <w:pStyle w:val="CETBodytext"/>
      </w:pPr>
      <w:r>
        <w:t>Based on</w:t>
      </w:r>
      <w:r w:rsidR="00237D8D">
        <w:t xml:space="preserve"> the results, </w:t>
      </w:r>
      <w:r w:rsidR="009D15F0">
        <w:t xml:space="preserve">changes </w:t>
      </w:r>
      <w:r w:rsidR="0092795D">
        <w:t xml:space="preserve">were </w:t>
      </w:r>
      <w:r w:rsidR="009D15F0">
        <w:t>suggested to increase the profit and decrease SED and the values of the environmental indicators: R</w:t>
      </w:r>
      <w:r w:rsidR="009D15F0" w:rsidRPr="009D15F0">
        <w:rPr>
          <w:vertAlign w:val="subscript"/>
        </w:rPr>
        <w:t>1</w:t>
      </w:r>
      <w:r w:rsidR="009D15F0">
        <w:t xml:space="preserve"> and Cr should be as high, R</w:t>
      </w:r>
      <w:r w:rsidR="009D15F0" w:rsidRPr="009D15F0">
        <w:rPr>
          <w:vertAlign w:val="subscript"/>
        </w:rPr>
        <w:t>3</w:t>
      </w:r>
      <w:r w:rsidR="009D15F0">
        <w:t xml:space="preserve"> as low as possible, while R</w:t>
      </w:r>
      <w:r w:rsidR="009D15F0" w:rsidRPr="009D15F0">
        <w:rPr>
          <w:vertAlign w:val="subscript"/>
        </w:rPr>
        <w:t>2</w:t>
      </w:r>
      <w:r w:rsidR="009D15F0">
        <w:t xml:space="preserve"> </w:t>
      </w:r>
      <w:r w:rsidR="0092795D">
        <w:t xml:space="preserve">was </w:t>
      </w:r>
      <w:r w:rsidR="009D15F0">
        <w:t xml:space="preserve">selected </w:t>
      </w:r>
      <w:r w:rsidR="00237D8D">
        <w:t>as</w:t>
      </w:r>
      <w:r w:rsidR="009D15F0">
        <w:t xml:space="preserve"> 6.5 where CO</w:t>
      </w:r>
      <w:r w:rsidR="009D15F0" w:rsidRPr="002A1677">
        <w:rPr>
          <w:vertAlign w:val="subscript"/>
        </w:rPr>
        <w:t>2</w:t>
      </w:r>
      <w:proofErr w:type="gramStart"/>
      <w:r w:rsidR="009D15F0" w:rsidRPr="002A1677">
        <w:rPr>
          <w:vertAlign w:val="subscript"/>
        </w:rPr>
        <w:t>,s</w:t>
      </w:r>
      <w:proofErr w:type="gramEnd"/>
      <w:r w:rsidR="009D15F0">
        <w:t xml:space="preserve"> </w:t>
      </w:r>
      <w:r w:rsidR="0092795D">
        <w:t xml:space="preserve">had </w:t>
      </w:r>
      <w:r w:rsidR="009D15F0">
        <w:t>a minimum</w:t>
      </w:r>
      <w:r w:rsidR="00AB3F51">
        <w:t xml:space="preserve"> and P was close to its maximum</w:t>
      </w:r>
      <w:r w:rsidR="009D15F0">
        <w:t xml:space="preserve">. The simulation </w:t>
      </w:r>
      <w:r w:rsidR="0092795D">
        <w:t xml:space="preserve">was </w:t>
      </w:r>
      <w:r w:rsidR="009D15F0">
        <w:t xml:space="preserve">repeated with these values (Table 4). </w:t>
      </w:r>
      <w:r w:rsidR="0031650D">
        <w:t xml:space="preserve">C </w:t>
      </w:r>
      <w:r w:rsidR="0092795D">
        <w:t xml:space="preserve">was </w:t>
      </w:r>
      <w:r w:rsidR="0031650D">
        <w:t xml:space="preserve">obtained with a recovery of 88.2%. The A content of the product </w:t>
      </w:r>
      <w:r w:rsidR="0092795D">
        <w:t xml:space="preserve">was </w:t>
      </w:r>
      <w:r w:rsidR="0031650D">
        <w:t xml:space="preserve">negligible; its B content </w:t>
      </w:r>
      <w:r w:rsidR="0092795D">
        <w:t xml:space="preserve">was </w:t>
      </w:r>
      <w:r w:rsidR="0031650D">
        <w:t>higher than in the base case, but below its maxim</w:t>
      </w:r>
      <w:r w:rsidR="00237D8D">
        <w:t>al</w:t>
      </w:r>
      <w:r w:rsidR="0031650D">
        <w:t xml:space="preserve"> value.</w:t>
      </w:r>
      <w:r w:rsidR="002A1677">
        <w:t xml:space="preserve"> </w:t>
      </w:r>
      <w:proofErr w:type="spellStart"/>
      <w:proofErr w:type="gramStart"/>
      <w:r w:rsidR="00237D8D">
        <w:t>m</w:t>
      </w:r>
      <w:r w:rsidR="00237D8D" w:rsidRPr="00237D8D">
        <w:rPr>
          <w:vertAlign w:val="subscript"/>
        </w:rPr>
        <w:t>fc</w:t>
      </w:r>
      <w:proofErr w:type="spellEnd"/>
      <w:proofErr w:type="gramEnd"/>
      <w:r w:rsidR="00564A4A">
        <w:t xml:space="preserve"> </w:t>
      </w:r>
      <w:r w:rsidR="0092795D">
        <w:t xml:space="preserve">was </w:t>
      </w:r>
      <w:r w:rsidR="00564A4A">
        <w:t xml:space="preserve">greatly reduced (by 65%) and thus </w:t>
      </w:r>
      <w:proofErr w:type="spellStart"/>
      <w:r w:rsidR="00237D8D">
        <w:t>m</w:t>
      </w:r>
      <w:r w:rsidR="00237D8D" w:rsidRPr="00237D8D">
        <w:rPr>
          <w:vertAlign w:val="subscript"/>
        </w:rPr>
        <w:t>p</w:t>
      </w:r>
      <w:proofErr w:type="spellEnd"/>
      <w:r w:rsidR="00237D8D">
        <w:t xml:space="preserve"> </w:t>
      </w:r>
      <w:r w:rsidR="0092795D">
        <w:t xml:space="preserve">increased </w:t>
      </w:r>
      <w:r w:rsidR="00564A4A">
        <w:t xml:space="preserve">(by </w:t>
      </w:r>
      <w:r w:rsidR="00237D8D">
        <w:t xml:space="preserve">45%). t also </w:t>
      </w:r>
      <w:r w:rsidR="0092795D">
        <w:t xml:space="preserve">increased </w:t>
      </w:r>
      <w:r w:rsidR="00564A4A">
        <w:t>but only to a lower extent (by 26%).</w:t>
      </w:r>
      <w:r w:rsidR="009D15F0">
        <w:t xml:space="preserve"> </w:t>
      </w:r>
      <w:r w:rsidR="006F3589">
        <w:t xml:space="preserve">Therefore, the profit increased by </w:t>
      </w:r>
      <w:r w:rsidR="00AB3F51">
        <w:t>60</w:t>
      </w:r>
      <w:r w:rsidR="006F3589">
        <w:t>% and SED decreased by 13%</w:t>
      </w:r>
      <w:r w:rsidR="003D6CC2">
        <w:t xml:space="preserve">. The reduced amount of fore-cut </w:t>
      </w:r>
      <w:r w:rsidR="0092795D">
        <w:t xml:space="preserve">led </w:t>
      </w:r>
      <w:r w:rsidR="003D6CC2">
        <w:t>to a decrease in CO</w:t>
      </w:r>
      <w:r w:rsidR="003D6CC2" w:rsidRPr="003D6CC2">
        <w:rPr>
          <w:vertAlign w:val="subscript"/>
        </w:rPr>
        <w:t>2,t</w:t>
      </w:r>
      <w:r w:rsidR="003D6CC2">
        <w:t xml:space="preserve"> and </w:t>
      </w:r>
      <w:proofErr w:type="spellStart"/>
      <w:r w:rsidR="003D6CC2">
        <w:t>PEI</w:t>
      </w:r>
      <w:r w:rsidR="003D6CC2" w:rsidRPr="003D6CC2">
        <w:rPr>
          <w:vertAlign w:val="subscript"/>
        </w:rPr>
        <w:t>t</w:t>
      </w:r>
      <w:proofErr w:type="spellEnd"/>
      <w:r w:rsidR="003D6CC2">
        <w:t>, while a further decrease of CO</w:t>
      </w:r>
      <w:r w:rsidR="003D6CC2" w:rsidRPr="003D6CC2">
        <w:rPr>
          <w:vertAlign w:val="subscript"/>
        </w:rPr>
        <w:t>2,s</w:t>
      </w:r>
      <w:r w:rsidR="003D6CC2">
        <w:t xml:space="preserve"> and PEIs </w:t>
      </w:r>
      <w:r w:rsidR="00024F2F">
        <w:t xml:space="preserve">(by 73 and 61%, respectively) </w:t>
      </w:r>
      <w:r w:rsidR="0092795D">
        <w:t xml:space="preserve">was </w:t>
      </w:r>
      <w:r w:rsidR="003D6CC2">
        <w:t xml:space="preserve">caused by the increase of </w:t>
      </w:r>
      <w:proofErr w:type="spellStart"/>
      <w:r w:rsidR="003D6CC2">
        <w:t>m</w:t>
      </w:r>
      <w:r w:rsidR="003D6CC2" w:rsidRPr="003D6CC2">
        <w:rPr>
          <w:vertAlign w:val="subscript"/>
        </w:rPr>
        <w:t>p</w:t>
      </w:r>
      <w:proofErr w:type="spellEnd"/>
      <w:r w:rsidR="003D6CC2">
        <w:t>.</w:t>
      </w:r>
    </w:p>
    <w:p w14:paraId="55323FA9" w14:textId="25795F61" w:rsidR="00696FA7" w:rsidRPr="00D16362" w:rsidRDefault="00696FA7" w:rsidP="001F0D9D">
      <w:pPr>
        <w:pStyle w:val="CETHeading1"/>
        <w:tabs>
          <w:tab w:val="clear" w:pos="360"/>
        </w:tabs>
      </w:pPr>
      <w:r w:rsidRPr="00D16362">
        <w:t>Conclusion</w:t>
      </w:r>
    </w:p>
    <w:p w14:paraId="72F0D689" w14:textId="6C27A462" w:rsidR="00127417" w:rsidRDefault="00B750D9" w:rsidP="0030123F">
      <w:pPr>
        <w:pStyle w:val="CETBodytext"/>
      </w:pPr>
      <w:r>
        <w:t>T</w:t>
      </w:r>
      <w:r w:rsidR="0030123F">
        <w:t xml:space="preserve">he </w:t>
      </w:r>
      <w:r w:rsidR="00AC3702">
        <w:t>effects of varying the operational paramete</w:t>
      </w:r>
      <w:r w:rsidR="0030123F">
        <w:t>r</w:t>
      </w:r>
      <w:r w:rsidR="00AC3702">
        <w:t>s (r</w:t>
      </w:r>
      <w:r w:rsidR="0030123F">
        <w:t>e</w:t>
      </w:r>
      <w:r w:rsidR="00AC3702">
        <w:t xml:space="preserve">flux ratios of the steps and stopping </w:t>
      </w:r>
      <w:r w:rsidR="0030123F">
        <w:t>c</w:t>
      </w:r>
      <w:r w:rsidR="00AC3702">
        <w:t>riteri</w:t>
      </w:r>
      <w:r w:rsidR="0030123F">
        <w:t>o</w:t>
      </w:r>
      <w:r w:rsidR="00AC3702">
        <w:t>n of the fore-cut</w:t>
      </w:r>
      <w:r w:rsidR="00CE375E">
        <w:t xml:space="preserve"> (Cr)</w:t>
      </w:r>
      <w:r w:rsidR="00AC3702">
        <w:t xml:space="preserve">) on different sustainability indicators of a batch distillation solvent </w:t>
      </w:r>
      <w:r w:rsidR="0030123F">
        <w:t>r</w:t>
      </w:r>
      <w:r w:rsidR="00AC3702">
        <w:t>ecover</w:t>
      </w:r>
      <w:r w:rsidR="0030123F">
        <w:t xml:space="preserve">y </w:t>
      </w:r>
      <w:r w:rsidR="00AC3702">
        <w:t>pr</w:t>
      </w:r>
      <w:r w:rsidR="0030123F">
        <w:t>o</w:t>
      </w:r>
      <w:r w:rsidR="00AC3702">
        <w:t>cess were studied</w:t>
      </w:r>
      <w:r w:rsidR="00127417">
        <w:t xml:space="preserve">. </w:t>
      </w:r>
      <w:r w:rsidR="00127417">
        <w:lastRenderedPageBreak/>
        <w:t>A</w:t>
      </w:r>
      <w:r w:rsidR="00AC3702">
        <w:t>cetone</w:t>
      </w:r>
      <w:r w:rsidR="00127417">
        <w:t xml:space="preserve"> (C) wa</w:t>
      </w:r>
      <w:r w:rsidR="00AC3702">
        <w:t>s recovered from a</w:t>
      </w:r>
      <w:r w:rsidR="00127417">
        <w:t>n aqueous</w:t>
      </w:r>
      <w:r w:rsidR="00AC3702">
        <w:t xml:space="preserve"> </w:t>
      </w:r>
      <w:r w:rsidR="00127417">
        <w:t xml:space="preserve">waste solvent mixture containing dichloromethane and methyl </w:t>
      </w:r>
      <w:proofErr w:type="spellStart"/>
      <w:r w:rsidR="00127417">
        <w:t>tert</w:t>
      </w:r>
      <w:proofErr w:type="spellEnd"/>
      <w:r w:rsidR="00127417">
        <w:t>-butyl ether, as well</w:t>
      </w:r>
      <w:r w:rsidR="00AC3702">
        <w:t xml:space="preserve">. </w:t>
      </w:r>
      <w:r w:rsidR="00127417">
        <w:t>The components form multiple azeotropes. The o</w:t>
      </w:r>
      <w:r w:rsidR="00AC3702">
        <w:t>rganic pollutants were removed in</w:t>
      </w:r>
      <w:r w:rsidR="00127417">
        <w:t xml:space="preserve"> a </w:t>
      </w:r>
      <w:proofErr w:type="spellStart"/>
      <w:r w:rsidR="0030123F">
        <w:t>f</w:t>
      </w:r>
      <w:r w:rsidR="00127417">
        <w:t>ore</w:t>
      </w:r>
      <w:proofErr w:type="spellEnd"/>
      <w:r w:rsidR="00127417">
        <w:t>-cut</w:t>
      </w:r>
      <w:r w:rsidR="0030123F">
        <w:t xml:space="preserve"> </w:t>
      </w:r>
      <w:r w:rsidR="00127417">
        <w:t>with consider</w:t>
      </w:r>
      <w:r w:rsidR="0030123F">
        <w:t>a</w:t>
      </w:r>
      <w:r w:rsidR="00127417">
        <w:t xml:space="preserve">ble loss of C. C was obtained as main </w:t>
      </w:r>
      <w:r w:rsidR="0030123F">
        <w:t>c</w:t>
      </w:r>
      <w:r w:rsidR="00127417">
        <w:t>ut, while wastewater was obtained as still residue after taking an aft</w:t>
      </w:r>
      <w:r w:rsidR="0030123F">
        <w:t>e</w:t>
      </w:r>
      <w:r w:rsidR="00127417">
        <w:t>r-cu</w:t>
      </w:r>
      <w:r w:rsidR="0030123F">
        <w:t>t</w:t>
      </w:r>
      <w:r w:rsidR="00127417">
        <w:t>. The f</w:t>
      </w:r>
      <w:r w:rsidR="0030123F">
        <w:t>o</w:t>
      </w:r>
      <w:r w:rsidR="00127417">
        <w:t>re-cut was i</w:t>
      </w:r>
      <w:r w:rsidR="0030123F">
        <w:t>n</w:t>
      </w:r>
      <w:r w:rsidR="00127417">
        <w:t>cin</w:t>
      </w:r>
      <w:r w:rsidR="0030123F">
        <w:t>e</w:t>
      </w:r>
      <w:r w:rsidR="00127417">
        <w:t>rated, while the wastewater was sent to biological puri</w:t>
      </w:r>
      <w:r w:rsidR="0030123F">
        <w:t>f</w:t>
      </w:r>
      <w:r w:rsidR="00127417">
        <w:t>ication.</w:t>
      </w:r>
    </w:p>
    <w:p w14:paraId="695DB63C" w14:textId="53D9A001" w:rsidR="00FB5AA3" w:rsidRDefault="00127417" w:rsidP="0030123F">
      <w:pPr>
        <w:pStyle w:val="CETBodytext"/>
      </w:pPr>
      <w:r>
        <w:t>The following indicato</w:t>
      </w:r>
      <w:r w:rsidR="0030123F">
        <w:t>r</w:t>
      </w:r>
      <w:r>
        <w:t>s were studied: the profit of a batch</w:t>
      </w:r>
      <w:r w:rsidR="00956C34">
        <w:t xml:space="preserve"> (P)</w:t>
      </w:r>
      <w:r>
        <w:t>, specific energy demand</w:t>
      </w:r>
      <w:r w:rsidR="008140CD">
        <w:t xml:space="preserve"> (SED)</w:t>
      </w:r>
      <w:r>
        <w:t xml:space="preserve">, </w:t>
      </w:r>
      <w:r w:rsidR="00CE375E">
        <w:t xml:space="preserve">specific </w:t>
      </w:r>
      <w:r>
        <w:t>CO</w:t>
      </w:r>
      <w:r w:rsidRPr="00127417">
        <w:rPr>
          <w:vertAlign w:val="subscript"/>
        </w:rPr>
        <w:t>2</w:t>
      </w:r>
      <w:r>
        <w:t xml:space="preserve"> emission </w:t>
      </w:r>
      <w:r w:rsidR="008140CD">
        <w:t>(CO</w:t>
      </w:r>
      <w:r w:rsidR="008140CD" w:rsidRPr="008140CD">
        <w:rPr>
          <w:vertAlign w:val="subscript"/>
        </w:rPr>
        <w:t>2,s</w:t>
      </w:r>
      <w:r w:rsidR="008140CD">
        <w:t xml:space="preserve">) </w:t>
      </w:r>
      <w:r>
        <w:t xml:space="preserve">resulting from incineration and the generation of heating steam, </w:t>
      </w:r>
      <w:r w:rsidR="00CE375E">
        <w:t xml:space="preserve">specific </w:t>
      </w:r>
      <w:r>
        <w:t xml:space="preserve">wastewater generation </w:t>
      </w:r>
      <w:r w:rsidR="008140CD">
        <w:t>(</w:t>
      </w:r>
      <w:proofErr w:type="spellStart"/>
      <w:r w:rsidR="009C1CE2">
        <w:t>m</w:t>
      </w:r>
      <w:r w:rsidR="009C1CE2" w:rsidRPr="001F0D9D">
        <w:rPr>
          <w:vertAlign w:val="subscript"/>
        </w:rPr>
        <w:t>w</w:t>
      </w:r>
      <w:r w:rsidR="009C1CE2" w:rsidRPr="008140CD">
        <w:rPr>
          <w:vertAlign w:val="subscript"/>
        </w:rPr>
        <w:t>s</w:t>
      </w:r>
      <w:proofErr w:type="spellEnd"/>
      <w:r w:rsidR="008140CD">
        <w:t xml:space="preserve">) </w:t>
      </w:r>
      <w:r>
        <w:t xml:space="preserve">and </w:t>
      </w:r>
      <w:r w:rsidR="00CE375E">
        <w:t xml:space="preserve">specific </w:t>
      </w:r>
      <w:r>
        <w:t xml:space="preserve">potential environmental impacts </w:t>
      </w:r>
      <w:r w:rsidR="008140CD">
        <w:t>(PEI</w:t>
      </w:r>
      <w:r w:rsidR="008140CD" w:rsidRPr="008140CD">
        <w:rPr>
          <w:vertAlign w:val="subscript"/>
        </w:rPr>
        <w:t>s</w:t>
      </w:r>
      <w:r w:rsidR="008140CD">
        <w:t xml:space="preserve">) </w:t>
      </w:r>
      <w:r>
        <w:t xml:space="preserve">determined by the WAR algorithm. </w:t>
      </w:r>
      <w:r w:rsidR="008140CD">
        <w:t>On the increase of the reflux ratio of the fore-cut (R</w:t>
      </w:r>
      <w:r w:rsidR="008140CD" w:rsidRPr="008140CD">
        <w:rPr>
          <w:vertAlign w:val="subscript"/>
        </w:rPr>
        <w:t>1</w:t>
      </w:r>
      <w:r w:rsidR="008140CD">
        <w:t xml:space="preserve">), </w:t>
      </w:r>
      <w:r w:rsidR="00956C34">
        <w:t>P</w:t>
      </w:r>
      <w:r w:rsidR="008140CD">
        <w:t xml:space="preserve"> increased, SED hardly changed but had a minimum at 4.5, while CO</w:t>
      </w:r>
      <w:r w:rsidR="008140CD" w:rsidRPr="008140CD">
        <w:rPr>
          <w:vertAlign w:val="subscript"/>
        </w:rPr>
        <w:t>2</w:t>
      </w:r>
      <w:proofErr w:type="gramStart"/>
      <w:r w:rsidR="008140CD" w:rsidRPr="008140CD">
        <w:rPr>
          <w:vertAlign w:val="subscript"/>
        </w:rPr>
        <w:t>,s</w:t>
      </w:r>
      <w:proofErr w:type="gramEnd"/>
      <w:r w:rsidR="008140CD">
        <w:t xml:space="preserve">, </w:t>
      </w:r>
      <w:proofErr w:type="spellStart"/>
      <w:r w:rsidR="009C1CE2">
        <w:t>m</w:t>
      </w:r>
      <w:r w:rsidR="009C1CE2" w:rsidRPr="00DA4116">
        <w:rPr>
          <w:vertAlign w:val="subscript"/>
        </w:rPr>
        <w:t>w</w:t>
      </w:r>
      <w:r w:rsidR="009C1CE2" w:rsidRPr="008140CD">
        <w:rPr>
          <w:vertAlign w:val="subscript"/>
        </w:rPr>
        <w:t>s</w:t>
      </w:r>
      <w:proofErr w:type="spellEnd"/>
      <w:r w:rsidR="008140CD">
        <w:t xml:space="preserve"> and PEI</w:t>
      </w:r>
      <w:r w:rsidR="008140CD" w:rsidRPr="008140CD">
        <w:rPr>
          <w:vertAlign w:val="subscript"/>
        </w:rPr>
        <w:t>s</w:t>
      </w:r>
      <w:r w:rsidR="008140CD">
        <w:t xml:space="preserve"> decreased. The increase of Cr </w:t>
      </w:r>
      <w:r w:rsidR="00956C34">
        <w:t>made</w:t>
      </w:r>
      <w:r w:rsidR="008140CD">
        <w:t xml:space="preserve"> </w:t>
      </w:r>
      <w:r w:rsidR="00956C34">
        <w:t>P</w:t>
      </w:r>
      <w:r w:rsidR="008140CD">
        <w:t xml:space="preserve"> </w:t>
      </w:r>
      <w:r w:rsidR="00956C34">
        <w:t xml:space="preserve">higher </w:t>
      </w:r>
      <w:r w:rsidR="008140CD">
        <w:t>and decrease</w:t>
      </w:r>
      <w:r w:rsidR="00956C34">
        <w:t>d</w:t>
      </w:r>
      <w:r w:rsidR="008140CD">
        <w:t xml:space="preserve"> the other indicators. As a function of the reflux ratio of the main cut (R</w:t>
      </w:r>
      <w:r w:rsidR="008140CD" w:rsidRPr="008140CD">
        <w:rPr>
          <w:vertAlign w:val="subscript"/>
        </w:rPr>
        <w:t>2</w:t>
      </w:r>
      <w:r w:rsidR="008140CD">
        <w:t xml:space="preserve">), </w:t>
      </w:r>
      <w:r w:rsidR="00956C34">
        <w:t>P, SED and CO</w:t>
      </w:r>
      <w:r w:rsidR="00956C34" w:rsidRPr="00956C34">
        <w:rPr>
          <w:sz w:val="16"/>
          <w:vertAlign w:val="subscript"/>
        </w:rPr>
        <w:t>2</w:t>
      </w:r>
      <w:proofErr w:type="gramStart"/>
      <w:r w:rsidR="00956C34" w:rsidRPr="00956C34">
        <w:rPr>
          <w:sz w:val="16"/>
          <w:vertAlign w:val="subscript"/>
        </w:rPr>
        <w:t>,s</w:t>
      </w:r>
      <w:proofErr w:type="gramEnd"/>
      <w:r w:rsidR="00956C34">
        <w:t xml:space="preserve"> had a maximum</w:t>
      </w:r>
      <w:r w:rsidR="008140CD">
        <w:t xml:space="preserve"> </w:t>
      </w:r>
      <w:r w:rsidR="00956C34">
        <w:t>at 6.</w:t>
      </w:r>
      <w:r w:rsidR="00AB3F51">
        <w:t>0</w:t>
      </w:r>
      <w:r w:rsidR="00956C34">
        <w:t>, 6.0 and 6.5, respectively.</w:t>
      </w:r>
      <w:r w:rsidR="008140CD">
        <w:t xml:space="preserve"> </w:t>
      </w:r>
      <w:r w:rsidR="00956C34">
        <w:t xml:space="preserve">Both </w:t>
      </w:r>
      <w:proofErr w:type="spellStart"/>
      <w:r w:rsidR="009C1CE2">
        <w:t>m</w:t>
      </w:r>
      <w:r w:rsidR="009C1CE2" w:rsidRPr="00DA4116">
        <w:rPr>
          <w:vertAlign w:val="subscript"/>
        </w:rPr>
        <w:t>w</w:t>
      </w:r>
      <w:r w:rsidR="009C1CE2" w:rsidRPr="008140CD">
        <w:rPr>
          <w:vertAlign w:val="subscript"/>
        </w:rPr>
        <w:t>s</w:t>
      </w:r>
      <w:proofErr w:type="spellEnd"/>
      <w:r w:rsidR="00956C34">
        <w:t xml:space="preserve"> and PEI</w:t>
      </w:r>
      <w:r w:rsidR="00956C34" w:rsidRPr="00956C34">
        <w:rPr>
          <w:vertAlign w:val="subscript"/>
        </w:rPr>
        <w:t>s</w:t>
      </w:r>
      <w:r w:rsidR="00956C34">
        <w:t xml:space="preserve"> decreased on the increase of R</w:t>
      </w:r>
      <w:r w:rsidR="00956C34" w:rsidRPr="00956C34">
        <w:rPr>
          <w:vertAlign w:val="subscript"/>
        </w:rPr>
        <w:t>2</w:t>
      </w:r>
      <w:r w:rsidR="00956C34">
        <w:t>. The increase of the reflux ratio of the after-cut (R</w:t>
      </w:r>
      <w:r w:rsidR="00956C34" w:rsidRPr="00956C34">
        <w:rPr>
          <w:vertAlign w:val="subscript"/>
        </w:rPr>
        <w:t>3</w:t>
      </w:r>
      <w:r w:rsidR="00956C34">
        <w:t xml:space="preserve">) only had a significant effect on </w:t>
      </w:r>
      <w:proofErr w:type="spellStart"/>
      <w:r w:rsidR="009C1CE2">
        <w:t>m</w:t>
      </w:r>
      <w:r w:rsidR="009C1CE2" w:rsidRPr="00DA4116">
        <w:rPr>
          <w:vertAlign w:val="subscript"/>
        </w:rPr>
        <w:t>w</w:t>
      </w:r>
      <w:r w:rsidR="009C1CE2" w:rsidRPr="008140CD">
        <w:rPr>
          <w:vertAlign w:val="subscript"/>
        </w:rPr>
        <w:t>s</w:t>
      </w:r>
      <w:proofErr w:type="spellEnd"/>
      <w:r w:rsidR="00956C34">
        <w:t xml:space="preserve">, increasing its value. </w:t>
      </w:r>
      <w:r w:rsidR="0030123F">
        <w:t>Based on the</w:t>
      </w:r>
      <w:r w:rsidR="00956C34">
        <w:t>se</w:t>
      </w:r>
      <w:r w:rsidR="0030123F">
        <w:t xml:space="preserve"> </w:t>
      </w:r>
      <w:r w:rsidR="00956C34">
        <w:t>r</w:t>
      </w:r>
      <w:r w:rsidR="0030123F">
        <w:t>e</w:t>
      </w:r>
      <w:r w:rsidR="00956C34">
        <w:t>sults, a modified operational policy was proposed, which</w:t>
      </w:r>
      <w:r w:rsidR="0030123F">
        <w:t xml:space="preserve"> ha</w:t>
      </w:r>
      <w:r w:rsidR="00956C34">
        <w:t>d</w:t>
      </w:r>
      <w:r w:rsidR="0030123F">
        <w:t xml:space="preserve"> a </w:t>
      </w:r>
      <w:r w:rsidR="00956C34">
        <w:t>considerably</w:t>
      </w:r>
      <w:r w:rsidR="009C1CE2">
        <w:t xml:space="preserve"> (by 60%)</w:t>
      </w:r>
      <w:r w:rsidR="00956C34">
        <w:t xml:space="preserve"> </w:t>
      </w:r>
      <w:r w:rsidR="0030123F">
        <w:t>higher profit and lower environmental impacts</w:t>
      </w:r>
      <w:r w:rsidR="00956C34">
        <w:t xml:space="preserve"> at the same time than the base case.</w:t>
      </w:r>
      <w:r w:rsidR="0030123F">
        <w:t xml:space="preserve"> </w:t>
      </w:r>
      <w:r w:rsidR="00FB5AA3">
        <w:t>Th</w:t>
      </w:r>
      <w:r w:rsidR="0030123F">
        <w:t xml:space="preserve">e </w:t>
      </w:r>
      <w:r w:rsidR="00FB5AA3">
        <w:t xml:space="preserve">new policy’s </w:t>
      </w:r>
      <w:r w:rsidR="0030123F">
        <w:t>CO</w:t>
      </w:r>
      <w:r w:rsidR="0030123F" w:rsidRPr="002F531E">
        <w:rPr>
          <w:vertAlign w:val="subscript"/>
        </w:rPr>
        <w:t>2</w:t>
      </w:r>
      <w:proofErr w:type="gramStart"/>
      <w:r w:rsidR="00FB5AA3">
        <w:rPr>
          <w:vertAlign w:val="subscript"/>
        </w:rPr>
        <w:t>,s</w:t>
      </w:r>
      <w:proofErr w:type="gramEnd"/>
      <w:r w:rsidR="00FB5AA3" w:rsidRPr="00FB5AA3">
        <w:t>,</w:t>
      </w:r>
      <w:r w:rsidR="0030123F">
        <w:t xml:space="preserve"> </w:t>
      </w:r>
      <w:proofErr w:type="spellStart"/>
      <w:r w:rsidR="009C1CE2">
        <w:t>m</w:t>
      </w:r>
      <w:r w:rsidR="009C1CE2" w:rsidRPr="00DA4116">
        <w:rPr>
          <w:vertAlign w:val="subscript"/>
        </w:rPr>
        <w:t>w</w:t>
      </w:r>
      <w:r w:rsidR="009C1CE2" w:rsidRPr="008140CD">
        <w:rPr>
          <w:vertAlign w:val="subscript"/>
        </w:rPr>
        <w:t>s</w:t>
      </w:r>
      <w:proofErr w:type="spellEnd"/>
      <w:r w:rsidR="00FB5AA3">
        <w:t xml:space="preserve"> and PEI</w:t>
      </w:r>
      <w:r w:rsidR="00FB5AA3" w:rsidRPr="00FB5AA3">
        <w:rPr>
          <w:vertAlign w:val="subscript"/>
        </w:rPr>
        <w:t>s</w:t>
      </w:r>
      <w:r w:rsidR="00FB5AA3">
        <w:t xml:space="preserve"> valu</w:t>
      </w:r>
      <w:r w:rsidR="0030123F">
        <w:t>e</w:t>
      </w:r>
      <w:r w:rsidR="00FB5AA3">
        <w:t>s were lower by 73, 33 and 61%, respectively.</w:t>
      </w:r>
    </w:p>
    <w:p w14:paraId="21E33099" w14:textId="259873A2" w:rsidR="00696FA7" w:rsidRPr="00D16362" w:rsidRDefault="00FB5AA3" w:rsidP="00453E24">
      <w:pPr>
        <w:pStyle w:val="CETBodytext"/>
      </w:pPr>
      <w:r>
        <w:t xml:space="preserve">It </w:t>
      </w:r>
      <w:r w:rsidR="0030123F">
        <w:t>m</w:t>
      </w:r>
      <w:r>
        <w:t>ust be noted that the new policy i</w:t>
      </w:r>
      <w:r w:rsidR="0030123F" w:rsidRPr="00D16362">
        <w:t>s</w:t>
      </w:r>
      <w:r>
        <w:t xml:space="preserve"> not optimal with re</w:t>
      </w:r>
      <w:r w:rsidR="00B750D9">
        <w:t>s</w:t>
      </w:r>
      <w:r>
        <w:t xml:space="preserve">pect to any of the </w:t>
      </w:r>
      <w:r w:rsidR="0030123F">
        <w:t>i</w:t>
      </w:r>
      <w:r>
        <w:t>ndicat</w:t>
      </w:r>
      <w:r w:rsidR="0030123F">
        <w:t>o</w:t>
      </w:r>
      <w:r>
        <w:t>rs, mea</w:t>
      </w:r>
      <w:r w:rsidR="0030123F">
        <w:t>n</w:t>
      </w:r>
      <w:r>
        <w:t xml:space="preserve">ing that even further improvements </w:t>
      </w:r>
      <w:r w:rsidR="00495E03">
        <w:t>would</w:t>
      </w:r>
      <w:r>
        <w:t xml:space="preserve"> be </w:t>
      </w:r>
      <w:r w:rsidR="00495E03">
        <w:t>possible</w:t>
      </w:r>
      <w:r>
        <w:t xml:space="preserve"> in the </w:t>
      </w:r>
      <w:r w:rsidR="00495E03">
        <w:t>indicator</w:t>
      </w:r>
      <w:r>
        <w:t>s</w:t>
      </w:r>
      <w:r w:rsidR="00495E03">
        <w:t xml:space="preserve"> studied</w:t>
      </w:r>
      <w:r w:rsidR="009C1CE2">
        <w:t xml:space="preserve">, including </w:t>
      </w:r>
      <w:r w:rsidR="00495E03">
        <w:t>by taking two f</w:t>
      </w:r>
      <w:r w:rsidR="0030123F">
        <w:t>o</w:t>
      </w:r>
      <w:r w:rsidR="00495E03">
        <w:t>re-cuts and recycling the second one to a next batch</w:t>
      </w:r>
      <w:r w:rsidR="0030123F">
        <w:t>.</w:t>
      </w:r>
    </w:p>
    <w:p w14:paraId="2BC1214D" w14:textId="77777777" w:rsidR="0023645A" w:rsidRPr="00D16362" w:rsidRDefault="0023645A" w:rsidP="0023645A">
      <w:pPr>
        <w:pStyle w:val="CETHeadingxx"/>
        <w:sectPr w:rsidR="0023645A" w:rsidRPr="00D16362" w:rsidSect="007D095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418" w:bottom="1701" w:left="1701" w:header="1701" w:footer="0" w:gutter="0"/>
          <w:cols w:space="708"/>
          <w:formProt w:val="0"/>
          <w:titlePg/>
          <w:docGrid w:linePitch="360"/>
        </w:sectPr>
      </w:pPr>
      <w:r w:rsidRPr="00D16362">
        <w:t>Nomenclature</w:t>
      </w:r>
    </w:p>
    <w:p w14:paraId="1EF0D1CD" w14:textId="7E3BAE47" w:rsidR="0023645A" w:rsidRPr="00D16362" w:rsidRDefault="00192BF8" w:rsidP="0023645A">
      <w:pPr>
        <w:pStyle w:val="CETBodytext"/>
        <w:jc w:val="left"/>
        <w:rPr>
          <w:rFonts w:eastAsia="SimSun"/>
        </w:rPr>
        <w:sectPr w:rsidR="0023645A" w:rsidRPr="00D16362" w:rsidSect="0077098D">
          <w:type w:val="continuous"/>
          <w:pgSz w:w="11906" w:h="16838" w:code="9"/>
          <w:pgMar w:top="1701" w:right="1418" w:bottom="1701" w:left="1701" w:header="1701" w:footer="0" w:gutter="0"/>
          <w:cols w:space="708"/>
          <w:formProt w:val="0"/>
          <w:titlePg/>
          <w:docGrid w:linePitch="360"/>
        </w:sectPr>
      </w:pPr>
      <w:r w:rsidRPr="00D16362">
        <w:rPr>
          <w:rFonts w:eastAsia="SimSun"/>
        </w:rPr>
        <w:t>CO</w:t>
      </w:r>
      <w:r w:rsidRPr="00D16362">
        <w:rPr>
          <w:rFonts w:eastAsia="SimSun"/>
          <w:vertAlign w:val="subscript"/>
        </w:rPr>
        <w:t>2</w:t>
      </w:r>
      <w:proofErr w:type="gramStart"/>
      <w:r w:rsidRPr="00D16362">
        <w:rPr>
          <w:rFonts w:eastAsia="SimSun"/>
          <w:vertAlign w:val="subscript"/>
        </w:rPr>
        <w:t>,HS</w:t>
      </w:r>
      <w:proofErr w:type="gramEnd"/>
      <w:r w:rsidRPr="00D16362">
        <w:rPr>
          <w:rFonts w:eastAsia="SimSun"/>
        </w:rPr>
        <w:t xml:space="preserve"> – CO</w:t>
      </w:r>
      <w:r w:rsidRPr="00D16362">
        <w:rPr>
          <w:rFonts w:eastAsia="SimSun"/>
          <w:vertAlign w:val="subscript"/>
        </w:rPr>
        <w:t>2</w:t>
      </w:r>
      <w:r w:rsidRPr="00D16362">
        <w:rPr>
          <w:rFonts w:eastAsia="SimSun"/>
        </w:rPr>
        <w:t xml:space="preserve"> emission of heating steam, kg</w:t>
      </w:r>
    </w:p>
    <w:p w14:paraId="6D8FA910" w14:textId="11FF55CD" w:rsidR="001E2F72" w:rsidRPr="00D16362" w:rsidRDefault="001E2F72" w:rsidP="001E2F72">
      <w:pPr>
        <w:pStyle w:val="CETBodytext"/>
        <w:jc w:val="left"/>
        <w:rPr>
          <w:rFonts w:eastAsia="SimSun"/>
        </w:rPr>
      </w:pPr>
      <w:r w:rsidRPr="00D16362">
        <w:rPr>
          <w:rFonts w:eastAsia="SimSun"/>
        </w:rPr>
        <w:t>CO</w:t>
      </w:r>
      <w:r w:rsidRPr="00D16362">
        <w:rPr>
          <w:rFonts w:eastAsia="SimSun"/>
          <w:vertAlign w:val="subscript"/>
        </w:rPr>
        <w:t>2</w:t>
      </w:r>
      <w:proofErr w:type="gramStart"/>
      <w:r w:rsidRPr="00D16362">
        <w:rPr>
          <w:rFonts w:eastAsia="SimSun"/>
          <w:vertAlign w:val="subscript"/>
        </w:rPr>
        <w:t>,inc</w:t>
      </w:r>
      <w:proofErr w:type="gramEnd"/>
      <w:r w:rsidRPr="00D16362">
        <w:rPr>
          <w:rFonts w:eastAsia="SimSun"/>
        </w:rPr>
        <w:t xml:space="preserve"> – CO</w:t>
      </w:r>
      <w:r w:rsidRPr="00D16362">
        <w:rPr>
          <w:rFonts w:eastAsia="SimSun"/>
          <w:vertAlign w:val="subscript"/>
        </w:rPr>
        <w:t>2</w:t>
      </w:r>
      <w:r w:rsidRPr="00D16362">
        <w:rPr>
          <w:rFonts w:eastAsia="SimSun"/>
        </w:rPr>
        <w:t xml:space="preserve"> emission of incineration, kg</w:t>
      </w:r>
    </w:p>
    <w:p w14:paraId="3B55C2B3" w14:textId="36573227" w:rsidR="001E2F72" w:rsidRPr="00D16362" w:rsidRDefault="001E2F72" w:rsidP="001E2F72">
      <w:pPr>
        <w:pStyle w:val="CETBodytext"/>
        <w:jc w:val="left"/>
        <w:rPr>
          <w:rFonts w:eastAsia="SimSun"/>
        </w:rPr>
      </w:pPr>
      <w:r w:rsidRPr="00D16362">
        <w:rPr>
          <w:rFonts w:eastAsia="SimSun"/>
        </w:rPr>
        <w:t>CO</w:t>
      </w:r>
      <w:r w:rsidRPr="00D16362">
        <w:rPr>
          <w:rFonts w:eastAsia="SimSun"/>
          <w:vertAlign w:val="subscript"/>
        </w:rPr>
        <w:t>2</w:t>
      </w:r>
      <w:proofErr w:type="gramStart"/>
      <w:r w:rsidRPr="00D16362">
        <w:rPr>
          <w:rFonts w:eastAsia="SimSun"/>
          <w:vertAlign w:val="subscript"/>
        </w:rPr>
        <w:t>,s</w:t>
      </w:r>
      <w:proofErr w:type="gramEnd"/>
      <w:r w:rsidRPr="00D16362">
        <w:rPr>
          <w:rFonts w:eastAsia="SimSun"/>
        </w:rPr>
        <w:t xml:space="preserve"> – specific CO</w:t>
      </w:r>
      <w:r w:rsidRPr="00D16362">
        <w:rPr>
          <w:rFonts w:eastAsia="SimSun"/>
          <w:vertAlign w:val="subscript"/>
        </w:rPr>
        <w:t>2</w:t>
      </w:r>
      <w:r w:rsidRPr="00D16362">
        <w:rPr>
          <w:rFonts w:eastAsia="SimSun"/>
        </w:rPr>
        <w:t xml:space="preserve"> emission, kg/kg</w:t>
      </w:r>
    </w:p>
    <w:p w14:paraId="641B187A" w14:textId="7A14E660" w:rsidR="001E2F72" w:rsidRPr="00D16362" w:rsidRDefault="001E2F72" w:rsidP="001E2F72">
      <w:pPr>
        <w:pStyle w:val="CETBodytext"/>
        <w:jc w:val="left"/>
        <w:rPr>
          <w:rFonts w:eastAsia="SimSun"/>
        </w:rPr>
      </w:pPr>
      <w:r w:rsidRPr="00D16362">
        <w:rPr>
          <w:rFonts w:eastAsia="SimSun"/>
        </w:rPr>
        <w:t>CO</w:t>
      </w:r>
      <w:r w:rsidRPr="00D16362">
        <w:rPr>
          <w:rFonts w:eastAsia="SimSun"/>
          <w:vertAlign w:val="subscript"/>
        </w:rPr>
        <w:t>2</w:t>
      </w:r>
      <w:proofErr w:type="gramStart"/>
      <w:r w:rsidRPr="00D16362">
        <w:rPr>
          <w:rFonts w:eastAsia="SimSun"/>
          <w:vertAlign w:val="subscript"/>
        </w:rPr>
        <w:t>,t</w:t>
      </w:r>
      <w:proofErr w:type="gramEnd"/>
      <w:r w:rsidRPr="00D16362">
        <w:rPr>
          <w:rFonts w:eastAsia="SimSun"/>
        </w:rPr>
        <w:t xml:space="preserve"> – total CO</w:t>
      </w:r>
      <w:r w:rsidRPr="00D16362">
        <w:rPr>
          <w:rFonts w:eastAsia="SimSun"/>
          <w:vertAlign w:val="subscript"/>
        </w:rPr>
        <w:t>2</w:t>
      </w:r>
      <w:r w:rsidRPr="00D16362">
        <w:rPr>
          <w:rFonts w:eastAsia="SimSun"/>
        </w:rPr>
        <w:t xml:space="preserve"> emission, kg</w:t>
      </w:r>
    </w:p>
    <w:p w14:paraId="656AA931" w14:textId="5A83CF7B" w:rsidR="00520AE3" w:rsidRPr="00D16362" w:rsidRDefault="00520AE3" w:rsidP="0023645A">
      <w:pPr>
        <w:pStyle w:val="CETBodytext"/>
        <w:jc w:val="left"/>
        <w:rPr>
          <w:rFonts w:eastAsia="SimSun"/>
        </w:rPr>
      </w:pPr>
      <w:r w:rsidRPr="00D16362">
        <w:rPr>
          <w:rFonts w:eastAsia="SimSun"/>
        </w:rPr>
        <w:t>Cr – stopping criterion of the fore-cut, mass%</w:t>
      </w:r>
    </w:p>
    <w:p w14:paraId="0EB85502" w14:textId="18558D43" w:rsidR="001E2F72" w:rsidRPr="00D16362" w:rsidRDefault="001E2F72" w:rsidP="0023645A">
      <w:pPr>
        <w:pStyle w:val="CETBodytext"/>
        <w:jc w:val="left"/>
        <w:rPr>
          <w:rFonts w:eastAsia="SimSun"/>
        </w:rPr>
      </w:pPr>
      <w:proofErr w:type="spellStart"/>
      <w:proofErr w:type="gramStart"/>
      <w:r w:rsidRPr="00D16362">
        <w:rPr>
          <w:rFonts w:eastAsia="SimSun"/>
        </w:rPr>
        <w:t>m</w:t>
      </w:r>
      <w:r w:rsidRPr="00D16362">
        <w:rPr>
          <w:rFonts w:eastAsia="SimSun"/>
          <w:vertAlign w:val="subscript"/>
        </w:rPr>
        <w:t>fc</w:t>
      </w:r>
      <w:proofErr w:type="spellEnd"/>
      <w:proofErr w:type="gramEnd"/>
      <w:r w:rsidRPr="00D16362">
        <w:rPr>
          <w:rFonts w:eastAsia="SimSun"/>
        </w:rPr>
        <w:t xml:space="preserve"> – mass of fore-cut, kg</w:t>
      </w:r>
    </w:p>
    <w:p w14:paraId="27EB2396" w14:textId="6AB31370" w:rsidR="001E2F72" w:rsidRPr="00D16362" w:rsidRDefault="001E2F72" w:rsidP="001E2F72">
      <w:pPr>
        <w:pStyle w:val="CETBodytext"/>
        <w:jc w:val="left"/>
        <w:rPr>
          <w:rFonts w:eastAsia="SimSun"/>
        </w:rPr>
      </w:pPr>
      <w:proofErr w:type="spellStart"/>
      <w:proofErr w:type="gramStart"/>
      <w:r w:rsidRPr="00D16362">
        <w:rPr>
          <w:rFonts w:eastAsia="SimSun"/>
        </w:rPr>
        <w:t>m</w:t>
      </w:r>
      <w:r w:rsidRPr="00D16362">
        <w:rPr>
          <w:rFonts w:eastAsia="SimSun"/>
          <w:vertAlign w:val="subscript"/>
        </w:rPr>
        <w:t>p</w:t>
      </w:r>
      <w:proofErr w:type="spellEnd"/>
      <w:proofErr w:type="gramEnd"/>
      <w:r w:rsidRPr="00D16362">
        <w:rPr>
          <w:rFonts w:eastAsia="SimSun"/>
        </w:rPr>
        <w:t xml:space="preserve"> – mass of product (main cut), kg</w:t>
      </w:r>
    </w:p>
    <w:p w14:paraId="2B52F0C3" w14:textId="63157349" w:rsidR="001E2F72" w:rsidRDefault="001E2F72" w:rsidP="0023645A">
      <w:pPr>
        <w:pStyle w:val="CETBodytext"/>
        <w:jc w:val="left"/>
        <w:rPr>
          <w:rFonts w:eastAsia="SimSun"/>
        </w:rPr>
      </w:pPr>
      <w:proofErr w:type="gramStart"/>
      <w:r w:rsidRPr="00D16362">
        <w:rPr>
          <w:rFonts w:eastAsia="SimSun"/>
        </w:rPr>
        <w:t>m</w:t>
      </w:r>
      <w:r w:rsidRPr="00D16362">
        <w:rPr>
          <w:rFonts w:eastAsia="SimSun"/>
          <w:vertAlign w:val="subscript"/>
        </w:rPr>
        <w:t>w</w:t>
      </w:r>
      <w:proofErr w:type="gramEnd"/>
      <w:r w:rsidRPr="00D16362">
        <w:rPr>
          <w:rFonts w:eastAsia="SimSun"/>
        </w:rPr>
        <w:t xml:space="preserve"> – mass of wastewater, kg</w:t>
      </w:r>
    </w:p>
    <w:p w14:paraId="48F491F5" w14:textId="2FDFCB30" w:rsidR="009C1CE2" w:rsidRPr="00D16362" w:rsidRDefault="009C1CE2" w:rsidP="0023645A">
      <w:pPr>
        <w:pStyle w:val="CETBodytext"/>
        <w:jc w:val="left"/>
        <w:rPr>
          <w:rFonts w:eastAsia="SimSun"/>
        </w:rPr>
      </w:pPr>
      <w:proofErr w:type="spellStart"/>
      <w:proofErr w:type="gramStart"/>
      <w:r>
        <w:t>m</w:t>
      </w:r>
      <w:r w:rsidRPr="00DA4116">
        <w:rPr>
          <w:vertAlign w:val="subscript"/>
        </w:rPr>
        <w:t>w</w:t>
      </w:r>
      <w:r w:rsidRPr="008140CD">
        <w:rPr>
          <w:vertAlign w:val="subscript"/>
        </w:rPr>
        <w:t>s</w:t>
      </w:r>
      <w:proofErr w:type="spellEnd"/>
      <w:proofErr w:type="gramEnd"/>
      <w:r w:rsidRPr="001F0D9D">
        <w:t xml:space="preserve"> –</w:t>
      </w:r>
      <w:r w:rsidRPr="009C1CE2">
        <w:t xml:space="preserve"> </w:t>
      </w:r>
      <w:r w:rsidRPr="00D16362">
        <w:rPr>
          <w:rFonts w:eastAsia="SimSun"/>
        </w:rPr>
        <w:t>specific wastewater generation, kg/kg</w:t>
      </w:r>
    </w:p>
    <w:p w14:paraId="178844D8" w14:textId="66BE8F31" w:rsidR="0023645A" w:rsidRPr="00D16362" w:rsidRDefault="00520AE3" w:rsidP="0023645A">
      <w:pPr>
        <w:pStyle w:val="CETBodytext"/>
        <w:jc w:val="left"/>
        <w:rPr>
          <w:rFonts w:eastAsia="SimSun"/>
        </w:rPr>
      </w:pPr>
      <w:r w:rsidRPr="00D16362">
        <w:rPr>
          <w:rFonts w:eastAsia="SimSun"/>
        </w:rPr>
        <w:t>NIS</w:t>
      </w:r>
      <w:r w:rsidR="0023645A" w:rsidRPr="00D16362">
        <w:rPr>
          <w:rFonts w:eastAsia="SimSun"/>
        </w:rPr>
        <w:t xml:space="preserve"> – </w:t>
      </w:r>
      <w:proofErr w:type="spellStart"/>
      <w:r w:rsidR="001E2F72" w:rsidRPr="00D16362">
        <w:rPr>
          <w:rFonts w:eastAsia="SimSun"/>
        </w:rPr>
        <w:t>normalised</w:t>
      </w:r>
      <w:proofErr w:type="spellEnd"/>
      <w:r w:rsidR="001E2F72" w:rsidRPr="00D16362">
        <w:rPr>
          <w:rFonts w:eastAsia="SimSun"/>
        </w:rPr>
        <w:t xml:space="preserve"> impact score</w:t>
      </w:r>
      <w:r w:rsidR="0023645A" w:rsidRPr="00D16362">
        <w:rPr>
          <w:rFonts w:eastAsia="SimSun"/>
        </w:rPr>
        <w:t xml:space="preserve">, </w:t>
      </w:r>
      <w:r w:rsidR="001E2F72" w:rsidRPr="00D16362">
        <w:rPr>
          <w:rFonts w:eastAsia="SimSun"/>
        </w:rPr>
        <w:t>i</w:t>
      </w:r>
      <w:r w:rsidR="0023645A" w:rsidRPr="00D16362">
        <w:rPr>
          <w:rFonts w:eastAsia="SimSun"/>
        </w:rPr>
        <w:t>m</w:t>
      </w:r>
      <w:r w:rsidR="001E2F72" w:rsidRPr="00D16362">
        <w:rPr>
          <w:rFonts w:eastAsia="SimSun"/>
        </w:rPr>
        <w:t>p/kg</w:t>
      </w:r>
    </w:p>
    <w:p w14:paraId="124A030C" w14:textId="77777777" w:rsidR="001E2F72" w:rsidRPr="00D16362" w:rsidRDefault="001E2F72" w:rsidP="0023645A">
      <w:pPr>
        <w:pStyle w:val="CETBodytext"/>
        <w:jc w:val="left"/>
        <w:rPr>
          <w:rFonts w:eastAsia="SimSun"/>
        </w:rPr>
      </w:pPr>
      <w:r w:rsidRPr="00D16362">
        <w:rPr>
          <w:rFonts w:eastAsia="SimSun"/>
        </w:rPr>
        <w:t>P</w:t>
      </w:r>
      <w:r w:rsidR="0023645A" w:rsidRPr="00D16362">
        <w:rPr>
          <w:rFonts w:eastAsia="SimSun"/>
        </w:rPr>
        <w:t xml:space="preserve"> – </w:t>
      </w:r>
      <w:proofErr w:type="gramStart"/>
      <w:r w:rsidRPr="00D16362">
        <w:rPr>
          <w:rFonts w:eastAsia="SimSun"/>
        </w:rPr>
        <w:t>profit</w:t>
      </w:r>
      <w:proofErr w:type="gramEnd"/>
      <w:r w:rsidRPr="00D16362">
        <w:rPr>
          <w:rFonts w:eastAsia="SimSun"/>
        </w:rPr>
        <w:t>, $</w:t>
      </w:r>
    </w:p>
    <w:p w14:paraId="02B4D931" w14:textId="496E5DC4" w:rsidR="001E2F72" w:rsidRPr="00D16362" w:rsidRDefault="001E2F72" w:rsidP="0023645A">
      <w:pPr>
        <w:pStyle w:val="CETBodytext"/>
        <w:jc w:val="left"/>
        <w:rPr>
          <w:rFonts w:eastAsia="SimSun"/>
        </w:rPr>
      </w:pPr>
      <w:proofErr w:type="spellStart"/>
      <w:proofErr w:type="gramStart"/>
      <w:r w:rsidRPr="00D16362">
        <w:rPr>
          <w:rFonts w:eastAsia="SimSun"/>
        </w:rPr>
        <w:t>p</w:t>
      </w:r>
      <w:r w:rsidRPr="00D16362">
        <w:rPr>
          <w:rFonts w:eastAsia="SimSun"/>
          <w:vertAlign w:val="subscript"/>
        </w:rPr>
        <w:t>inc</w:t>
      </w:r>
      <w:proofErr w:type="spellEnd"/>
      <w:proofErr w:type="gramEnd"/>
      <w:r w:rsidRPr="00D16362">
        <w:rPr>
          <w:rFonts w:eastAsia="SimSun"/>
        </w:rPr>
        <w:t xml:space="preserve"> – price of i</w:t>
      </w:r>
      <w:r w:rsidR="0023645A" w:rsidRPr="00D16362">
        <w:rPr>
          <w:rFonts w:eastAsia="SimSun"/>
        </w:rPr>
        <w:t>n</w:t>
      </w:r>
      <w:r w:rsidRPr="00D16362">
        <w:rPr>
          <w:rFonts w:eastAsia="SimSun"/>
        </w:rPr>
        <w:t>cineration, $/t</w:t>
      </w:r>
    </w:p>
    <w:p w14:paraId="6BC7F12A" w14:textId="42A137E0" w:rsidR="001E2F72" w:rsidRPr="00D16362" w:rsidRDefault="001E2F72" w:rsidP="001E2F72">
      <w:pPr>
        <w:pStyle w:val="CETBodytext"/>
        <w:jc w:val="left"/>
        <w:rPr>
          <w:rFonts w:eastAsia="SimSun"/>
        </w:rPr>
      </w:pPr>
      <w:r w:rsidRPr="00D16362">
        <w:rPr>
          <w:rFonts w:eastAsia="SimSun"/>
        </w:rPr>
        <w:t>p</w:t>
      </w:r>
      <w:r w:rsidRPr="00D16362">
        <w:rPr>
          <w:rFonts w:eastAsia="SimSun"/>
          <w:vertAlign w:val="subscript"/>
        </w:rPr>
        <w:t>p</w:t>
      </w:r>
      <w:r w:rsidRPr="00D16362">
        <w:rPr>
          <w:rFonts w:eastAsia="SimSun"/>
        </w:rPr>
        <w:t xml:space="preserve"> – price of product (acetone), $/t</w:t>
      </w:r>
    </w:p>
    <w:p w14:paraId="707BD011" w14:textId="1CEC89A4" w:rsidR="001E2F72" w:rsidRPr="00D16362" w:rsidRDefault="001E2F72" w:rsidP="001E2F72">
      <w:pPr>
        <w:pStyle w:val="CETBodytext"/>
        <w:jc w:val="left"/>
        <w:rPr>
          <w:rFonts w:eastAsia="SimSun"/>
        </w:rPr>
      </w:pPr>
      <w:proofErr w:type="spellStart"/>
      <w:r w:rsidRPr="00D16362">
        <w:rPr>
          <w:rFonts w:eastAsia="SimSun"/>
        </w:rPr>
        <w:t>p</w:t>
      </w:r>
      <w:r w:rsidRPr="00D16362">
        <w:rPr>
          <w:rFonts w:eastAsia="SimSun"/>
          <w:vertAlign w:val="subscript"/>
        </w:rPr>
        <w:t>s</w:t>
      </w:r>
      <w:proofErr w:type="spellEnd"/>
      <w:r w:rsidRPr="00D16362">
        <w:rPr>
          <w:rFonts w:eastAsia="SimSun"/>
        </w:rPr>
        <w:t xml:space="preserve"> – </w:t>
      </w:r>
      <w:proofErr w:type="gramStart"/>
      <w:r w:rsidRPr="00D16362">
        <w:rPr>
          <w:rFonts w:eastAsia="SimSun"/>
        </w:rPr>
        <w:t>price</w:t>
      </w:r>
      <w:proofErr w:type="gramEnd"/>
      <w:r w:rsidRPr="00D16362">
        <w:rPr>
          <w:rFonts w:eastAsia="SimSun"/>
        </w:rPr>
        <w:t xml:space="preserve"> of heating steam, $/t</w:t>
      </w:r>
    </w:p>
    <w:p w14:paraId="6FC237C8" w14:textId="77777777" w:rsidR="001E2F72" w:rsidRPr="00D16362" w:rsidRDefault="001E2F72" w:rsidP="001E2F72">
      <w:pPr>
        <w:pStyle w:val="CETBodytext"/>
        <w:jc w:val="left"/>
        <w:rPr>
          <w:rFonts w:eastAsia="SimSun"/>
        </w:rPr>
      </w:pPr>
      <w:proofErr w:type="gramStart"/>
      <w:r w:rsidRPr="00D16362">
        <w:rPr>
          <w:rFonts w:eastAsia="SimSun"/>
        </w:rPr>
        <w:t>p</w:t>
      </w:r>
      <w:r w:rsidRPr="00D16362">
        <w:rPr>
          <w:rFonts w:eastAsia="SimSun"/>
          <w:vertAlign w:val="subscript"/>
        </w:rPr>
        <w:t>w</w:t>
      </w:r>
      <w:proofErr w:type="gramEnd"/>
      <w:r w:rsidRPr="00D16362">
        <w:rPr>
          <w:rFonts w:eastAsia="SimSun"/>
        </w:rPr>
        <w:t xml:space="preserve"> – price of biological purification, $/m</w:t>
      </w:r>
      <w:r w:rsidRPr="00D16362">
        <w:rPr>
          <w:rFonts w:eastAsia="SimSun"/>
          <w:vertAlign w:val="superscript"/>
        </w:rPr>
        <w:t>3</w:t>
      </w:r>
    </w:p>
    <w:p w14:paraId="70480954" w14:textId="52D290EA" w:rsidR="00D16362" w:rsidRPr="00D16362" w:rsidRDefault="00D16362" w:rsidP="001E2F72">
      <w:pPr>
        <w:pStyle w:val="CETBodytext"/>
        <w:jc w:val="left"/>
        <w:rPr>
          <w:rFonts w:eastAsia="SimSun"/>
        </w:rPr>
      </w:pPr>
      <w:r w:rsidRPr="00D16362">
        <w:rPr>
          <w:rFonts w:eastAsia="SimSun"/>
        </w:rPr>
        <w:t>PEI</w:t>
      </w:r>
      <w:r w:rsidRPr="00D16362">
        <w:rPr>
          <w:rFonts w:eastAsia="SimSun"/>
          <w:vertAlign w:val="subscript"/>
        </w:rPr>
        <w:t>s</w:t>
      </w:r>
      <w:r w:rsidRPr="00D16362">
        <w:rPr>
          <w:rFonts w:eastAsia="SimSun"/>
        </w:rPr>
        <w:t xml:space="preserve"> – specifi</w:t>
      </w:r>
      <w:r w:rsidR="001E2F72" w:rsidRPr="00D16362">
        <w:rPr>
          <w:rFonts w:eastAsia="SimSun"/>
        </w:rPr>
        <w:t>c</w:t>
      </w:r>
      <w:r w:rsidRPr="00D16362">
        <w:rPr>
          <w:rFonts w:eastAsia="SimSun"/>
        </w:rPr>
        <w:t xml:space="preserve"> potent</w:t>
      </w:r>
      <w:r w:rsidR="001E2F72" w:rsidRPr="00D16362">
        <w:rPr>
          <w:rFonts w:eastAsia="SimSun"/>
        </w:rPr>
        <w:t>i</w:t>
      </w:r>
      <w:r w:rsidRPr="00D16362">
        <w:rPr>
          <w:rFonts w:eastAsia="SimSun"/>
        </w:rPr>
        <w:t xml:space="preserve">al </w:t>
      </w:r>
      <w:proofErr w:type="spellStart"/>
      <w:r w:rsidRPr="00D16362">
        <w:rPr>
          <w:rFonts w:eastAsia="SimSun"/>
        </w:rPr>
        <w:t>e</w:t>
      </w:r>
      <w:r w:rsidR="001E2F72" w:rsidRPr="00D16362">
        <w:rPr>
          <w:rFonts w:eastAsia="SimSun"/>
        </w:rPr>
        <w:t>n</w:t>
      </w:r>
      <w:r w:rsidR="005E5930">
        <w:rPr>
          <w:rFonts w:eastAsia="SimSun"/>
        </w:rPr>
        <w:t>v</w:t>
      </w:r>
      <w:proofErr w:type="spellEnd"/>
      <w:r w:rsidR="005E5930">
        <w:rPr>
          <w:rFonts w:eastAsia="SimSun"/>
        </w:rPr>
        <w:t>.</w:t>
      </w:r>
      <w:r w:rsidRPr="00D16362">
        <w:rPr>
          <w:rFonts w:eastAsia="SimSun"/>
        </w:rPr>
        <w:t xml:space="preserve"> </w:t>
      </w:r>
      <w:proofErr w:type="gramStart"/>
      <w:r w:rsidRPr="00D16362">
        <w:rPr>
          <w:rFonts w:eastAsia="SimSun"/>
        </w:rPr>
        <w:t>impact</w:t>
      </w:r>
      <w:proofErr w:type="gramEnd"/>
      <w:r w:rsidRPr="00D16362">
        <w:rPr>
          <w:rFonts w:eastAsia="SimSun"/>
        </w:rPr>
        <w:t>, imp/kg</w:t>
      </w:r>
    </w:p>
    <w:p w14:paraId="0E27BCAC" w14:textId="31056B2E" w:rsidR="00D16362" w:rsidRPr="00D16362" w:rsidRDefault="00D16362" w:rsidP="00D16362">
      <w:pPr>
        <w:pStyle w:val="CETBodytext"/>
        <w:jc w:val="left"/>
        <w:rPr>
          <w:rFonts w:eastAsia="SimSun"/>
        </w:rPr>
      </w:pPr>
      <w:proofErr w:type="spellStart"/>
      <w:r w:rsidRPr="00D16362">
        <w:rPr>
          <w:rFonts w:eastAsia="SimSun"/>
        </w:rPr>
        <w:t>PEI</w:t>
      </w:r>
      <w:r w:rsidRPr="00D16362">
        <w:rPr>
          <w:rFonts w:eastAsia="SimSun"/>
          <w:vertAlign w:val="subscript"/>
        </w:rPr>
        <w:t>t</w:t>
      </w:r>
      <w:proofErr w:type="spellEnd"/>
      <w:r w:rsidRPr="00D16362">
        <w:rPr>
          <w:rFonts w:eastAsia="SimSun"/>
        </w:rPr>
        <w:t xml:space="preserve"> – total potential environmental impact, imp</w:t>
      </w:r>
    </w:p>
    <w:p w14:paraId="4967DA5E" w14:textId="77777777" w:rsidR="00D16362" w:rsidRPr="00D16362" w:rsidRDefault="00D16362" w:rsidP="0023645A">
      <w:pPr>
        <w:pStyle w:val="CETBodytext"/>
        <w:jc w:val="left"/>
        <w:rPr>
          <w:rFonts w:eastAsia="SimSun"/>
        </w:rPr>
      </w:pPr>
      <w:proofErr w:type="spellStart"/>
      <w:proofErr w:type="gramStart"/>
      <w:r w:rsidRPr="00D16362">
        <w:rPr>
          <w:rFonts w:eastAsia="SimSun"/>
        </w:rPr>
        <w:t>Q</w:t>
      </w:r>
      <w:r w:rsidRPr="00D16362">
        <w:rPr>
          <w:rFonts w:eastAsia="SimSun"/>
          <w:vertAlign w:val="subscript"/>
        </w:rPr>
        <w:t>r</w:t>
      </w:r>
      <w:proofErr w:type="spellEnd"/>
      <w:proofErr w:type="gramEnd"/>
      <w:r w:rsidRPr="00D16362">
        <w:rPr>
          <w:rFonts w:eastAsia="SimSun"/>
        </w:rPr>
        <w:t xml:space="preserve"> – reboiler heat d</w:t>
      </w:r>
      <w:r w:rsidR="0023645A" w:rsidRPr="00D16362">
        <w:rPr>
          <w:rFonts w:eastAsia="SimSun"/>
        </w:rPr>
        <w:t>u</w:t>
      </w:r>
      <w:r w:rsidRPr="00D16362">
        <w:rPr>
          <w:rFonts w:eastAsia="SimSun"/>
        </w:rPr>
        <w:t>ty, MJ/h</w:t>
      </w:r>
    </w:p>
    <w:p w14:paraId="68B12409" w14:textId="642C6F8C" w:rsidR="00D16362" w:rsidRPr="00D16362" w:rsidRDefault="00D16362" w:rsidP="0023645A">
      <w:pPr>
        <w:pStyle w:val="CETBodytext"/>
        <w:jc w:val="left"/>
        <w:rPr>
          <w:rFonts w:eastAsia="SimSun"/>
        </w:rPr>
      </w:pPr>
      <w:r w:rsidRPr="00D16362">
        <w:rPr>
          <w:rFonts w:eastAsia="SimSun"/>
        </w:rPr>
        <w:t>R</w:t>
      </w:r>
      <w:r w:rsidRPr="00D16362">
        <w:rPr>
          <w:rFonts w:eastAsia="SimSun"/>
          <w:vertAlign w:val="subscript"/>
        </w:rPr>
        <w:t>1</w:t>
      </w:r>
      <w:r w:rsidRPr="00D16362">
        <w:rPr>
          <w:rFonts w:eastAsia="SimSun"/>
        </w:rPr>
        <w:t xml:space="preserve"> – reflux ratio of fore-cut</w:t>
      </w:r>
    </w:p>
    <w:p w14:paraId="7B499948" w14:textId="04E2E2DE" w:rsidR="00D16362" w:rsidRPr="00D16362" w:rsidRDefault="00D16362" w:rsidP="00D16362">
      <w:pPr>
        <w:pStyle w:val="CETBodytext"/>
        <w:jc w:val="left"/>
        <w:rPr>
          <w:rFonts w:eastAsia="SimSun"/>
        </w:rPr>
      </w:pPr>
      <w:r w:rsidRPr="00D16362">
        <w:rPr>
          <w:rFonts w:eastAsia="SimSun"/>
        </w:rPr>
        <w:t>R</w:t>
      </w:r>
      <w:r w:rsidRPr="00D16362">
        <w:rPr>
          <w:rFonts w:eastAsia="SimSun"/>
          <w:vertAlign w:val="subscript"/>
        </w:rPr>
        <w:t>2</w:t>
      </w:r>
      <w:r w:rsidRPr="00D16362">
        <w:rPr>
          <w:rFonts w:eastAsia="SimSun"/>
        </w:rPr>
        <w:t xml:space="preserve"> – reflux ratio of main cut</w:t>
      </w:r>
    </w:p>
    <w:p w14:paraId="518A5F5C" w14:textId="28794834" w:rsidR="00D16362" w:rsidRPr="00D16362" w:rsidRDefault="00D16362" w:rsidP="00D16362">
      <w:pPr>
        <w:pStyle w:val="CETBodytext"/>
        <w:jc w:val="left"/>
        <w:rPr>
          <w:rFonts w:eastAsia="SimSun"/>
        </w:rPr>
      </w:pPr>
      <w:r w:rsidRPr="00D16362">
        <w:rPr>
          <w:rFonts w:eastAsia="SimSun"/>
        </w:rPr>
        <w:t>R</w:t>
      </w:r>
      <w:r w:rsidRPr="00D16362">
        <w:rPr>
          <w:rFonts w:eastAsia="SimSun"/>
          <w:vertAlign w:val="subscript"/>
        </w:rPr>
        <w:t>3</w:t>
      </w:r>
      <w:r w:rsidRPr="00D16362">
        <w:rPr>
          <w:rFonts w:eastAsia="SimSun"/>
        </w:rPr>
        <w:t xml:space="preserve"> – reflux ratio of after-cut</w:t>
      </w:r>
    </w:p>
    <w:p w14:paraId="17580D28" w14:textId="2C83ACAE" w:rsidR="00D16362" w:rsidRPr="00D16362" w:rsidRDefault="00D16362" w:rsidP="0023645A">
      <w:pPr>
        <w:pStyle w:val="CETBodytext"/>
        <w:jc w:val="left"/>
        <w:rPr>
          <w:rFonts w:eastAsia="SimSun"/>
        </w:rPr>
      </w:pPr>
      <w:r w:rsidRPr="00D16362">
        <w:rPr>
          <w:rFonts w:eastAsia="SimSun"/>
        </w:rPr>
        <w:t>SED – specific energy de</w:t>
      </w:r>
      <w:r w:rsidR="0023645A" w:rsidRPr="00D16362">
        <w:rPr>
          <w:rFonts w:eastAsia="SimSun"/>
        </w:rPr>
        <w:t>m</w:t>
      </w:r>
      <w:r w:rsidRPr="00D16362">
        <w:rPr>
          <w:rFonts w:eastAsia="SimSun"/>
        </w:rPr>
        <w:t>and, MJ/kg</w:t>
      </w:r>
    </w:p>
    <w:p w14:paraId="651E9549" w14:textId="77777777" w:rsidR="00D16362" w:rsidRPr="00D16362" w:rsidRDefault="00D16362" w:rsidP="0023645A">
      <w:pPr>
        <w:pStyle w:val="CETBodytext"/>
        <w:jc w:val="left"/>
        <w:rPr>
          <w:rFonts w:eastAsia="SimSun"/>
        </w:rPr>
      </w:pPr>
      <w:r w:rsidRPr="00D16362">
        <w:rPr>
          <w:rFonts w:eastAsia="SimSun"/>
        </w:rPr>
        <w:t xml:space="preserve">t – </w:t>
      </w:r>
      <w:proofErr w:type="gramStart"/>
      <w:r w:rsidRPr="00D16362">
        <w:rPr>
          <w:rFonts w:eastAsia="SimSun"/>
        </w:rPr>
        <w:t>duration</w:t>
      </w:r>
      <w:proofErr w:type="gramEnd"/>
      <w:r w:rsidRPr="00D16362">
        <w:rPr>
          <w:rFonts w:eastAsia="SimSun"/>
        </w:rPr>
        <w:t xml:space="preserve"> of the process, h</w:t>
      </w:r>
    </w:p>
    <w:p w14:paraId="729A5791" w14:textId="0EBF70C5" w:rsidR="00D16362" w:rsidRPr="00D16362" w:rsidRDefault="00D16362" w:rsidP="00D16362">
      <w:pPr>
        <w:pStyle w:val="CETBodytext"/>
        <w:jc w:val="left"/>
        <w:rPr>
          <w:rFonts w:eastAsia="SimSun"/>
        </w:rPr>
      </w:pPr>
      <w:proofErr w:type="spellStart"/>
      <w:r w:rsidRPr="00D16362">
        <w:rPr>
          <w:rFonts w:eastAsia="SimSun"/>
        </w:rPr>
        <w:t>T</w:t>
      </w:r>
      <w:r w:rsidRPr="00D16362">
        <w:rPr>
          <w:rFonts w:eastAsia="SimSun"/>
          <w:vertAlign w:val="subscript"/>
        </w:rPr>
        <w:t>bp</w:t>
      </w:r>
      <w:proofErr w:type="spellEnd"/>
      <w:r w:rsidRPr="00D16362">
        <w:rPr>
          <w:rFonts w:eastAsia="SimSun"/>
        </w:rPr>
        <w:t xml:space="preserve"> – boiling point, °C</w:t>
      </w:r>
    </w:p>
    <w:p w14:paraId="0589FF42" w14:textId="77777777" w:rsidR="00D16362" w:rsidRPr="00D16362" w:rsidRDefault="00D16362" w:rsidP="0023645A">
      <w:pPr>
        <w:pStyle w:val="CETBodytext"/>
        <w:jc w:val="left"/>
        <w:rPr>
          <w:rFonts w:eastAsia="SimSun"/>
        </w:rPr>
      </w:pPr>
      <w:r w:rsidRPr="00D16362">
        <w:rPr>
          <w:rFonts w:eastAsia="SimSun"/>
        </w:rPr>
        <w:t>U</w:t>
      </w:r>
      <w:r w:rsidRPr="00D16362">
        <w:rPr>
          <w:rFonts w:eastAsia="SimSun"/>
          <w:vertAlign w:val="subscript"/>
        </w:rPr>
        <w:t>12</w:t>
      </w:r>
      <w:r w:rsidRPr="00D16362">
        <w:rPr>
          <w:rFonts w:eastAsia="SimSun"/>
        </w:rPr>
        <w:t>-U</w:t>
      </w:r>
      <w:r w:rsidRPr="00D16362">
        <w:rPr>
          <w:rFonts w:eastAsia="SimSun"/>
          <w:vertAlign w:val="subscript"/>
        </w:rPr>
        <w:t>22</w:t>
      </w:r>
      <w:r w:rsidRPr="00D16362">
        <w:rPr>
          <w:rFonts w:eastAsia="SimSun"/>
        </w:rPr>
        <w:t xml:space="preserve"> – binary interacti</w:t>
      </w:r>
      <w:r w:rsidR="0023645A" w:rsidRPr="00D16362">
        <w:rPr>
          <w:rFonts w:eastAsia="SimSun"/>
        </w:rPr>
        <w:t>o</w:t>
      </w:r>
      <w:r w:rsidRPr="00D16362">
        <w:rPr>
          <w:rFonts w:eastAsia="SimSun"/>
        </w:rPr>
        <w:t xml:space="preserve">n parameter, </w:t>
      </w:r>
      <w:proofErr w:type="spellStart"/>
      <w:r w:rsidRPr="00D16362">
        <w:rPr>
          <w:rFonts w:eastAsia="SimSun"/>
        </w:rPr>
        <w:t>cal</w:t>
      </w:r>
      <w:proofErr w:type="spellEnd"/>
      <w:r w:rsidRPr="00D16362">
        <w:rPr>
          <w:rFonts w:eastAsia="SimSun"/>
        </w:rPr>
        <w:t>/</w:t>
      </w:r>
      <w:proofErr w:type="spellStart"/>
      <w:r w:rsidRPr="00D16362">
        <w:rPr>
          <w:rFonts w:eastAsia="SimSun"/>
        </w:rPr>
        <w:t>mol</w:t>
      </w:r>
      <w:proofErr w:type="spellEnd"/>
    </w:p>
    <w:p w14:paraId="4916FD47" w14:textId="458359D9" w:rsidR="00D16362" w:rsidRPr="00D16362" w:rsidRDefault="00D16362" w:rsidP="00D16362">
      <w:pPr>
        <w:pStyle w:val="CETBodytext"/>
        <w:jc w:val="left"/>
        <w:rPr>
          <w:rFonts w:eastAsia="SimSun"/>
        </w:rPr>
      </w:pPr>
      <w:r w:rsidRPr="00D16362">
        <w:rPr>
          <w:rFonts w:eastAsia="SimSun"/>
        </w:rPr>
        <w:t>U</w:t>
      </w:r>
      <w:r w:rsidRPr="00D16362">
        <w:rPr>
          <w:rFonts w:eastAsia="SimSun"/>
          <w:vertAlign w:val="subscript"/>
        </w:rPr>
        <w:t>21</w:t>
      </w:r>
      <w:r w:rsidRPr="00D16362">
        <w:rPr>
          <w:rFonts w:eastAsia="SimSun"/>
        </w:rPr>
        <w:t>-U</w:t>
      </w:r>
      <w:r w:rsidRPr="00D16362">
        <w:rPr>
          <w:rFonts w:eastAsia="SimSun"/>
          <w:vertAlign w:val="subscript"/>
        </w:rPr>
        <w:t>11</w:t>
      </w:r>
      <w:r w:rsidRPr="00D16362">
        <w:rPr>
          <w:rFonts w:eastAsia="SimSun"/>
        </w:rPr>
        <w:t xml:space="preserve"> – binary interaction parameter, </w:t>
      </w:r>
      <w:proofErr w:type="spellStart"/>
      <w:r w:rsidRPr="00D16362">
        <w:rPr>
          <w:rFonts w:eastAsia="SimSun"/>
        </w:rPr>
        <w:t>cal</w:t>
      </w:r>
      <w:proofErr w:type="spellEnd"/>
      <w:r w:rsidRPr="00D16362">
        <w:rPr>
          <w:rFonts w:eastAsia="SimSun"/>
        </w:rPr>
        <w:t>/</w:t>
      </w:r>
      <w:proofErr w:type="spellStart"/>
      <w:r w:rsidRPr="00D16362">
        <w:rPr>
          <w:rFonts w:eastAsia="SimSun"/>
        </w:rPr>
        <w:t>mol</w:t>
      </w:r>
      <w:proofErr w:type="spellEnd"/>
    </w:p>
    <w:p w14:paraId="54CB77F8" w14:textId="1B233318" w:rsidR="00D16362" w:rsidRPr="00D16362" w:rsidRDefault="00D16362" w:rsidP="0023645A">
      <w:pPr>
        <w:pStyle w:val="CETBodytext"/>
        <w:jc w:val="left"/>
        <w:rPr>
          <w:rFonts w:eastAsia="SimSun"/>
        </w:rPr>
      </w:pPr>
      <w:r w:rsidRPr="00D16362">
        <w:rPr>
          <w:rFonts w:eastAsia="SimSun"/>
        </w:rPr>
        <w:t xml:space="preserve">V – </w:t>
      </w:r>
      <w:proofErr w:type="gramStart"/>
      <w:r w:rsidRPr="00D16362">
        <w:rPr>
          <w:rFonts w:eastAsia="SimSun"/>
        </w:rPr>
        <w:t>volume</w:t>
      </w:r>
      <w:proofErr w:type="gramEnd"/>
      <w:r w:rsidRPr="00D16362">
        <w:rPr>
          <w:rFonts w:eastAsia="SimSun"/>
        </w:rPr>
        <w:t>, m</w:t>
      </w:r>
      <w:r w:rsidRPr="00D16362">
        <w:rPr>
          <w:rFonts w:eastAsia="SimSun"/>
          <w:vertAlign w:val="superscript"/>
        </w:rPr>
        <w:t>3</w:t>
      </w:r>
    </w:p>
    <w:p w14:paraId="0FC90609" w14:textId="482CB4D8" w:rsidR="00D16362" w:rsidRPr="00D16362" w:rsidRDefault="00D16362" w:rsidP="0023645A">
      <w:pPr>
        <w:pStyle w:val="CETBodytext"/>
        <w:jc w:val="left"/>
        <w:rPr>
          <w:rFonts w:eastAsia="SimSun"/>
        </w:rPr>
      </w:pPr>
      <w:proofErr w:type="spellStart"/>
      <w:proofErr w:type="gramStart"/>
      <w:r w:rsidRPr="00D16362">
        <w:rPr>
          <w:rFonts w:eastAsia="SimSun"/>
        </w:rPr>
        <w:t>x</w:t>
      </w:r>
      <w:r w:rsidRPr="00D16362">
        <w:rPr>
          <w:rFonts w:eastAsia="SimSun"/>
          <w:vertAlign w:val="subscript"/>
        </w:rPr>
        <w:t>D,</w:t>
      </w:r>
      <w:proofErr w:type="gramEnd"/>
      <w:r w:rsidRPr="00D16362">
        <w:rPr>
          <w:rFonts w:eastAsia="SimSun"/>
          <w:vertAlign w:val="subscript"/>
        </w:rPr>
        <w:t>B</w:t>
      </w:r>
      <w:proofErr w:type="spellEnd"/>
      <w:r w:rsidRPr="00D16362">
        <w:rPr>
          <w:rFonts w:eastAsia="SimSun"/>
        </w:rPr>
        <w:t xml:space="preserve"> –</w:t>
      </w:r>
      <w:r w:rsidR="0023645A" w:rsidRPr="00D16362">
        <w:rPr>
          <w:rFonts w:eastAsia="SimSun"/>
        </w:rPr>
        <w:t xml:space="preserve"> </w:t>
      </w:r>
      <w:r w:rsidRPr="00D16362">
        <w:rPr>
          <w:rFonts w:eastAsia="SimSun"/>
        </w:rPr>
        <w:t xml:space="preserve">B concentration in distillate, </w:t>
      </w:r>
      <w:r w:rsidR="0023645A" w:rsidRPr="00D16362">
        <w:rPr>
          <w:rFonts w:eastAsia="SimSun"/>
        </w:rPr>
        <w:t>m</w:t>
      </w:r>
      <w:r w:rsidRPr="00D16362">
        <w:rPr>
          <w:rFonts w:eastAsia="SimSun"/>
        </w:rPr>
        <w:t>ass%</w:t>
      </w:r>
    </w:p>
    <w:p w14:paraId="5A7BA754" w14:textId="77777777" w:rsidR="00D16362" w:rsidRPr="00D16362" w:rsidRDefault="00D16362" w:rsidP="0023645A">
      <w:pPr>
        <w:pStyle w:val="CETBodytext"/>
        <w:jc w:val="left"/>
        <w:rPr>
          <w:rFonts w:eastAsia="SimSun"/>
        </w:rPr>
      </w:pPr>
      <w:proofErr w:type="spellStart"/>
      <w:proofErr w:type="gramStart"/>
      <w:r w:rsidRPr="00D16362">
        <w:rPr>
          <w:rFonts w:eastAsia="SimSun"/>
        </w:rPr>
        <w:t>x</w:t>
      </w:r>
      <w:r w:rsidRPr="00D16362">
        <w:rPr>
          <w:rFonts w:eastAsia="SimSun"/>
          <w:vertAlign w:val="subscript"/>
        </w:rPr>
        <w:t>p</w:t>
      </w:r>
      <w:proofErr w:type="spellEnd"/>
      <w:proofErr w:type="gramEnd"/>
      <w:r w:rsidRPr="00D16362">
        <w:rPr>
          <w:rFonts w:eastAsia="SimSun"/>
        </w:rPr>
        <w:t xml:space="preserve"> – product composition, mass%</w:t>
      </w:r>
    </w:p>
    <w:p w14:paraId="2B219AC7" w14:textId="77777777" w:rsidR="00F90BAA" w:rsidRDefault="00D16362" w:rsidP="00D16362">
      <w:pPr>
        <w:pStyle w:val="CETBodytext"/>
        <w:jc w:val="left"/>
        <w:rPr>
          <w:rFonts w:eastAsia="SimSun"/>
        </w:rPr>
      </w:pPr>
      <w:proofErr w:type="gramStart"/>
      <w:r w:rsidRPr="00D16362">
        <w:rPr>
          <w:rFonts w:eastAsia="SimSun"/>
        </w:rPr>
        <w:t>α</w:t>
      </w:r>
      <w:r w:rsidR="00F90BAA" w:rsidRPr="00F90BAA">
        <w:rPr>
          <w:rFonts w:eastAsia="SimSun"/>
          <w:vertAlign w:val="subscript"/>
        </w:rPr>
        <w:t>A,</w:t>
      </w:r>
      <w:proofErr w:type="gramEnd"/>
      <w:r w:rsidR="00F90BAA" w:rsidRPr="00F90BAA">
        <w:rPr>
          <w:rFonts w:eastAsia="SimSun"/>
          <w:vertAlign w:val="subscript"/>
        </w:rPr>
        <w:t>C</w:t>
      </w:r>
      <w:r w:rsidRPr="00D16362">
        <w:rPr>
          <w:rFonts w:eastAsia="SimSun"/>
        </w:rPr>
        <w:t xml:space="preserve"> – </w:t>
      </w:r>
      <w:r w:rsidR="00F90BAA">
        <w:rPr>
          <w:rFonts w:eastAsia="SimSun"/>
        </w:rPr>
        <w:t>relative of volatility of A and C</w:t>
      </w:r>
    </w:p>
    <w:p w14:paraId="6053D9DA" w14:textId="3D467F98" w:rsidR="00F90BAA" w:rsidRDefault="00F90BAA" w:rsidP="00F90BAA">
      <w:pPr>
        <w:pStyle w:val="CETBodytext"/>
        <w:jc w:val="left"/>
        <w:rPr>
          <w:rFonts w:eastAsia="SimSun"/>
        </w:rPr>
      </w:pPr>
      <w:proofErr w:type="gramStart"/>
      <w:r w:rsidRPr="00D16362">
        <w:rPr>
          <w:rFonts w:eastAsia="SimSun"/>
        </w:rPr>
        <w:t>α</w:t>
      </w:r>
      <w:r>
        <w:rPr>
          <w:rFonts w:eastAsia="SimSun"/>
          <w:vertAlign w:val="subscript"/>
        </w:rPr>
        <w:t>C</w:t>
      </w:r>
      <w:r w:rsidRPr="00F90BAA">
        <w:rPr>
          <w:rFonts w:eastAsia="SimSun"/>
          <w:vertAlign w:val="subscript"/>
        </w:rPr>
        <w:t>,</w:t>
      </w:r>
      <w:proofErr w:type="gramEnd"/>
      <w:r>
        <w:rPr>
          <w:rFonts w:eastAsia="SimSun"/>
          <w:vertAlign w:val="subscript"/>
        </w:rPr>
        <w:t>D</w:t>
      </w:r>
      <w:r w:rsidRPr="00D16362">
        <w:rPr>
          <w:rFonts w:eastAsia="SimSun"/>
        </w:rPr>
        <w:t xml:space="preserve"> – </w:t>
      </w:r>
      <w:r>
        <w:rPr>
          <w:rFonts w:eastAsia="SimSun"/>
        </w:rPr>
        <w:t>relative of volatility of C and D</w:t>
      </w:r>
    </w:p>
    <w:p w14:paraId="44BC8648" w14:textId="3B299BA1" w:rsidR="0023645A" w:rsidRPr="00D16362" w:rsidRDefault="0023645A" w:rsidP="0023645A">
      <w:pPr>
        <w:pStyle w:val="CETBodytext"/>
        <w:jc w:val="left"/>
        <w:rPr>
          <w:rFonts w:eastAsia="SimSun"/>
        </w:rPr>
        <w:sectPr w:rsidR="0023645A" w:rsidRPr="00D16362" w:rsidSect="00F04D20">
          <w:type w:val="continuous"/>
          <w:pgSz w:w="11906" w:h="16838" w:code="9"/>
          <w:pgMar w:top="1701" w:right="1418" w:bottom="1701" w:left="1701" w:header="1701" w:footer="0" w:gutter="0"/>
          <w:cols w:num="2" w:space="708"/>
          <w:formProt w:val="0"/>
          <w:titlePg/>
          <w:docGrid w:linePitch="360"/>
        </w:sectPr>
      </w:pPr>
    </w:p>
    <w:p w14:paraId="0F784EB4" w14:textId="098BD485" w:rsidR="0023645A" w:rsidRPr="00D16362" w:rsidRDefault="0023645A" w:rsidP="0023645A">
      <w:pPr>
        <w:pStyle w:val="CETAcknowledgementstitle"/>
        <w:rPr>
          <w:lang w:val="en-US"/>
        </w:rPr>
      </w:pPr>
      <w:r w:rsidRPr="00D16362">
        <w:rPr>
          <w:lang w:val="en-US"/>
        </w:rPr>
        <w:t>Acknowledgements</w:t>
      </w:r>
    </w:p>
    <w:p w14:paraId="156FFB00" w14:textId="1A9FA9CD" w:rsidR="0023645A" w:rsidRPr="00D16362" w:rsidRDefault="007E001A" w:rsidP="0023645A">
      <w:pPr>
        <w:pStyle w:val="CETBodytext"/>
      </w:pPr>
      <w:r w:rsidRPr="00D16362">
        <w:t xml:space="preserve">The research was funded by the National Research, Development, and Innovation Fund of Hungary under Grants TKP2021-EGA-02, FK-143059, by the </w:t>
      </w:r>
      <w:proofErr w:type="spellStart"/>
      <w:r w:rsidRPr="00D16362">
        <w:t>János</w:t>
      </w:r>
      <w:proofErr w:type="spellEnd"/>
      <w:r w:rsidRPr="00D16362">
        <w:t xml:space="preserve"> </w:t>
      </w:r>
      <w:proofErr w:type="spellStart"/>
      <w:r w:rsidRPr="00D16362">
        <w:t>Bolyai</w:t>
      </w:r>
      <w:proofErr w:type="spellEnd"/>
      <w:r w:rsidRPr="00D16362">
        <w:t xml:space="preserve"> Research Scholarship of the Hungarian Academy of Sciences, and by the ÚNKP-22-5-BME-325 New National Excellence Program of the Ministry for Culture and Innovation from the source of the National Research, Development and Innovation Fund. </w:t>
      </w:r>
    </w:p>
    <w:p w14:paraId="03FCFDE7" w14:textId="77777777" w:rsidR="0023645A" w:rsidRPr="00D16362" w:rsidRDefault="0023645A" w:rsidP="0023645A">
      <w:pPr>
        <w:pStyle w:val="CETReference"/>
        <w:rPr>
          <w:lang w:val="en-US"/>
        </w:rPr>
      </w:pPr>
      <w:r w:rsidRPr="00D16362">
        <w:rPr>
          <w:lang w:val="en-US"/>
        </w:rPr>
        <w:t>References</w:t>
      </w:r>
    </w:p>
    <w:p w14:paraId="286058AB" w14:textId="7E92D323" w:rsidR="0023645A" w:rsidRPr="00D16362" w:rsidRDefault="0023645A" w:rsidP="00EB4285">
      <w:pPr>
        <w:pStyle w:val="CETReferencetext"/>
        <w:rPr>
          <w:lang w:val="en-US"/>
        </w:rPr>
      </w:pPr>
      <w:proofErr w:type="spellStart"/>
      <w:r w:rsidRPr="00D16362">
        <w:rPr>
          <w:lang w:val="en-US"/>
        </w:rPr>
        <w:t>Demirel</w:t>
      </w:r>
      <w:proofErr w:type="spellEnd"/>
      <w:r w:rsidRPr="00D16362">
        <w:rPr>
          <w:lang w:val="en-US"/>
        </w:rPr>
        <w:t xml:space="preserve"> Y., 2013, Sustainable Operations for Distillation Columns</w:t>
      </w:r>
      <w:r w:rsidR="002625D4" w:rsidRPr="00D16362">
        <w:rPr>
          <w:lang w:val="en-US"/>
        </w:rPr>
        <w:t>,</w:t>
      </w:r>
      <w:r w:rsidRPr="00D16362">
        <w:rPr>
          <w:lang w:val="en-US"/>
        </w:rPr>
        <w:t xml:space="preserve"> Chemical Engineering and Process Techniques, 1, 1005.</w:t>
      </w:r>
    </w:p>
    <w:p w14:paraId="771854B0" w14:textId="247AAE28" w:rsidR="00307EF5" w:rsidRPr="00D16362" w:rsidRDefault="00307EF5" w:rsidP="00EB4285">
      <w:pPr>
        <w:pStyle w:val="CETReferencetext"/>
        <w:rPr>
          <w:lang w:val="en-US"/>
        </w:rPr>
      </w:pPr>
      <w:proofErr w:type="spellStart"/>
      <w:r w:rsidRPr="00D16362">
        <w:rPr>
          <w:lang w:val="en-US"/>
        </w:rPr>
        <w:t>Echemi</w:t>
      </w:r>
      <w:proofErr w:type="spellEnd"/>
      <w:r w:rsidRPr="00D16362">
        <w:rPr>
          <w:lang w:val="en-US"/>
        </w:rPr>
        <w:t>, 2023, Acetone Market Price &amp; Analysis</w:t>
      </w:r>
      <w:r w:rsidR="00D77063" w:rsidRPr="00D16362">
        <w:rPr>
          <w:lang w:val="en-US"/>
        </w:rPr>
        <w:t>, ECHEMI Digital Technology Co., Ltd. &lt; www.echemi.com/productsInformation/pid_Rock3929-acetone.html&gt; accessed 13.03.2023.</w:t>
      </w:r>
    </w:p>
    <w:p w14:paraId="5E215FE5" w14:textId="7DD97D53" w:rsidR="005A6EA0" w:rsidRPr="00D16362" w:rsidRDefault="005A6EA0" w:rsidP="00EB4285">
      <w:pPr>
        <w:pStyle w:val="CETReferencetext"/>
        <w:rPr>
          <w:lang w:val="en-US"/>
        </w:rPr>
      </w:pPr>
      <w:proofErr w:type="spellStart"/>
      <w:r w:rsidRPr="00D16362">
        <w:rPr>
          <w:lang w:val="en-US"/>
        </w:rPr>
        <w:t>Gadalla</w:t>
      </w:r>
      <w:proofErr w:type="spellEnd"/>
      <w:r w:rsidRPr="00D16362">
        <w:rPr>
          <w:lang w:val="en-US"/>
        </w:rPr>
        <w:t xml:space="preserve"> M.A., </w:t>
      </w:r>
      <w:proofErr w:type="spellStart"/>
      <w:r w:rsidRPr="00D16362">
        <w:rPr>
          <w:lang w:val="en-US"/>
        </w:rPr>
        <w:t>Olujic</w:t>
      </w:r>
      <w:proofErr w:type="spellEnd"/>
      <w:r w:rsidRPr="00D16362">
        <w:rPr>
          <w:lang w:val="en-US"/>
        </w:rPr>
        <w:t xml:space="preserve"> Z., </w:t>
      </w:r>
      <w:proofErr w:type="spellStart"/>
      <w:r w:rsidRPr="00D16362">
        <w:rPr>
          <w:lang w:val="en-US"/>
        </w:rPr>
        <w:t>Jansens</w:t>
      </w:r>
      <w:proofErr w:type="spellEnd"/>
      <w:r w:rsidRPr="00D16362">
        <w:rPr>
          <w:lang w:val="en-US"/>
        </w:rPr>
        <w:t xml:space="preserve"> P.J., Jobson M., Smith R.</w:t>
      </w:r>
      <w:r w:rsidR="002625D4" w:rsidRPr="00D16362">
        <w:rPr>
          <w:lang w:val="en-US"/>
        </w:rPr>
        <w:t>,</w:t>
      </w:r>
      <w:r w:rsidRPr="00D16362">
        <w:rPr>
          <w:lang w:val="en-US"/>
        </w:rPr>
        <w:t xml:space="preserve"> 2005</w:t>
      </w:r>
      <w:r w:rsidR="002625D4" w:rsidRPr="00D16362">
        <w:rPr>
          <w:lang w:val="en-US"/>
        </w:rPr>
        <w:t>,</w:t>
      </w:r>
      <w:r w:rsidRPr="00D16362">
        <w:rPr>
          <w:lang w:val="en-US"/>
        </w:rPr>
        <w:t xml:space="preserve"> Reducing CO</w:t>
      </w:r>
      <w:r w:rsidRPr="00E33205">
        <w:rPr>
          <w:vertAlign w:val="subscript"/>
          <w:lang w:val="en-US"/>
        </w:rPr>
        <w:t>2</w:t>
      </w:r>
      <w:r w:rsidRPr="00D16362">
        <w:rPr>
          <w:lang w:val="en-US"/>
        </w:rPr>
        <w:t xml:space="preserve"> emissions and energy consumption of heat-integrated distillation systems</w:t>
      </w:r>
      <w:r w:rsidR="002625D4" w:rsidRPr="00D16362">
        <w:rPr>
          <w:lang w:val="en-US"/>
        </w:rPr>
        <w:t>,</w:t>
      </w:r>
      <w:r w:rsidRPr="00D16362">
        <w:rPr>
          <w:lang w:val="en-US"/>
        </w:rPr>
        <w:t xml:space="preserve"> Environmental Scien</w:t>
      </w:r>
      <w:r w:rsidR="001A365C">
        <w:rPr>
          <w:lang w:val="en-US"/>
        </w:rPr>
        <w:t>ce and Technology, 39, 6860</w:t>
      </w:r>
      <w:r w:rsidRPr="00D16362">
        <w:rPr>
          <w:lang w:val="en-US"/>
        </w:rPr>
        <w:t>.</w:t>
      </w:r>
    </w:p>
    <w:p w14:paraId="20CBAEA0" w14:textId="5C205B4B" w:rsidR="002625D4" w:rsidRPr="00D16362" w:rsidRDefault="002625D4" w:rsidP="002625D4">
      <w:pPr>
        <w:pStyle w:val="CETReferencetext"/>
        <w:rPr>
          <w:lang w:val="en-US"/>
        </w:rPr>
      </w:pPr>
      <w:r w:rsidRPr="00D16362">
        <w:rPr>
          <w:lang w:val="en-US"/>
        </w:rPr>
        <w:t>Kiss A.A., 2019, Rethinking energy use for a sustainable chemical industry, Chemical Engineering Transactions, 76, 13–18.</w:t>
      </w:r>
    </w:p>
    <w:p w14:paraId="4FA5A74A" w14:textId="42A4BA14" w:rsidR="008C0894" w:rsidRPr="00D16362" w:rsidRDefault="002625D4" w:rsidP="008C0894">
      <w:pPr>
        <w:pStyle w:val="CETReferencetext"/>
        <w:rPr>
          <w:lang w:val="en-US"/>
        </w:rPr>
      </w:pPr>
      <w:proofErr w:type="spellStart"/>
      <w:r w:rsidRPr="00D16362">
        <w:rPr>
          <w:lang w:val="en-US"/>
        </w:rPr>
        <w:t>Klemeš</w:t>
      </w:r>
      <w:proofErr w:type="spellEnd"/>
      <w:r w:rsidRPr="00D16362">
        <w:rPr>
          <w:lang w:val="en-US"/>
        </w:rPr>
        <w:t xml:space="preserve"> J., </w:t>
      </w:r>
      <w:proofErr w:type="spellStart"/>
      <w:r w:rsidRPr="00D16362">
        <w:rPr>
          <w:lang w:val="en-US"/>
        </w:rPr>
        <w:t>Friedler</w:t>
      </w:r>
      <w:proofErr w:type="spellEnd"/>
      <w:r w:rsidRPr="00D16362">
        <w:rPr>
          <w:lang w:val="en-US"/>
        </w:rPr>
        <w:t xml:space="preserve"> F., </w:t>
      </w:r>
      <w:proofErr w:type="spellStart"/>
      <w:r w:rsidRPr="00D16362">
        <w:rPr>
          <w:lang w:val="en-US"/>
        </w:rPr>
        <w:t>Bulatov</w:t>
      </w:r>
      <w:proofErr w:type="spellEnd"/>
      <w:r w:rsidRPr="00D16362">
        <w:rPr>
          <w:lang w:val="en-US"/>
        </w:rPr>
        <w:t xml:space="preserve"> I., </w:t>
      </w:r>
      <w:proofErr w:type="spellStart"/>
      <w:r w:rsidRPr="00D16362">
        <w:rPr>
          <w:lang w:val="en-US"/>
        </w:rPr>
        <w:t>Varbanov</w:t>
      </w:r>
      <w:proofErr w:type="spellEnd"/>
      <w:r w:rsidRPr="00D16362">
        <w:rPr>
          <w:lang w:val="en-US"/>
        </w:rPr>
        <w:t xml:space="preserve"> P.</w:t>
      </w:r>
      <w:r w:rsidR="00307EF5" w:rsidRPr="00D16362">
        <w:rPr>
          <w:lang w:val="en-US"/>
        </w:rPr>
        <w:t>, 2011,</w:t>
      </w:r>
      <w:r w:rsidRPr="00D16362">
        <w:rPr>
          <w:lang w:val="en-US"/>
        </w:rPr>
        <w:t xml:space="preserve"> Sustainability in the Process Industry: Integration and Optimization. McGraw-Hill Companies, Inc.</w:t>
      </w:r>
      <w:r w:rsidR="00307EF5" w:rsidRPr="00D16362">
        <w:rPr>
          <w:lang w:val="en-US"/>
        </w:rPr>
        <w:t>, New York, USA.</w:t>
      </w:r>
    </w:p>
    <w:p w14:paraId="3B3FF277" w14:textId="7F2668FC" w:rsidR="008C0894" w:rsidRPr="00D16362" w:rsidRDefault="008C0894" w:rsidP="008C0894">
      <w:pPr>
        <w:pStyle w:val="CETReferencetext"/>
        <w:rPr>
          <w:lang w:val="en-US"/>
        </w:rPr>
      </w:pPr>
      <w:proofErr w:type="spellStart"/>
      <w:r w:rsidRPr="00D16362">
        <w:rPr>
          <w:lang w:val="en-US"/>
        </w:rPr>
        <w:t>Mallick</w:t>
      </w:r>
      <w:proofErr w:type="spellEnd"/>
      <w:r w:rsidRPr="00D16362">
        <w:rPr>
          <w:lang w:val="en-US"/>
        </w:rPr>
        <w:t xml:space="preserve"> S.K., </w:t>
      </w:r>
      <w:proofErr w:type="spellStart"/>
      <w:r w:rsidRPr="00D16362">
        <w:rPr>
          <w:lang w:val="en-US"/>
        </w:rPr>
        <w:t>Cabezas</w:t>
      </w:r>
      <w:proofErr w:type="spellEnd"/>
      <w:r w:rsidRPr="00D16362">
        <w:rPr>
          <w:lang w:val="en-US"/>
        </w:rPr>
        <w:t xml:space="preserve"> H., Bare J.C., </w:t>
      </w:r>
      <w:proofErr w:type="spellStart"/>
      <w:r w:rsidRPr="00D16362">
        <w:rPr>
          <w:lang w:val="en-US"/>
        </w:rPr>
        <w:t>Sikdar</w:t>
      </w:r>
      <w:proofErr w:type="spellEnd"/>
      <w:r w:rsidRPr="00D16362">
        <w:rPr>
          <w:lang w:val="en-US"/>
        </w:rPr>
        <w:t xml:space="preserve"> S.K., 1996, A pollution reduction methodology for chemical process simulators, Industrial &amp; Eng</w:t>
      </w:r>
      <w:r w:rsidR="00436077" w:rsidRPr="00D16362">
        <w:rPr>
          <w:lang w:val="en-US"/>
        </w:rPr>
        <w:t>ineering Chemistry Research</w:t>
      </w:r>
      <w:r w:rsidRPr="00D16362">
        <w:rPr>
          <w:lang w:val="en-US"/>
        </w:rPr>
        <w:t>, 35, 4128-4138</w:t>
      </w:r>
      <w:r w:rsidR="00436077" w:rsidRPr="00D16362">
        <w:rPr>
          <w:lang w:val="en-US"/>
        </w:rPr>
        <w:t>.</w:t>
      </w:r>
    </w:p>
    <w:p w14:paraId="5A12CD10" w14:textId="3F124723" w:rsidR="00307EF5" w:rsidRPr="00D16362" w:rsidRDefault="00307EF5" w:rsidP="008C0894">
      <w:pPr>
        <w:pStyle w:val="CETReferencetext"/>
        <w:rPr>
          <w:lang w:val="en-US"/>
        </w:rPr>
      </w:pPr>
      <w:r w:rsidRPr="00D16362">
        <w:rPr>
          <w:lang w:val="en-US"/>
        </w:rPr>
        <w:t xml:space="preserve">Wien </w:t>
      </w:r>
      <w:proofErr w:type="spellStart"/>
      <w:r w:rsidRPr="00D16362">
        <w:rPr>
          <w:lang w:val="en-US"/>
        </w:rPr>
        <w:t>Energie</w:t>
      </w:r>
      <w:proofErr w:type="spellEnd"/>
      <w:r w:rsidR="007D5E4A" w:rsidRPr="00D16362">
        <w:rPr>
          <w:lang w:val="en-US"/>
        </w:rPr>
        <w:t>, 2021</w:t>
      </w:r>
      <w:r w:rsidRPr="00D16362">
        <w:rPr>
          <w:lang w:val="en-US"/>
        </w:rPr>
        <w:t>, P</w:t>
      </w:r>
      <w:r w:rsidR="007D5E4A" w:rsidRPr="00D16362">
        <w:rPr>
          <w:lang w:val="en-US"/>
        </w:rPr>
        <w:t>r</w:t>
      </w:r>
      <w:r w:rsidRPr="00D16362">
        <w:rPr>
          <w:lang w:val="en-US"/>
        </w:rPr>
        <w:t>i</w:t>
      </w:r>
      <w:r w:rsidR="007D5E4A" w:rsidRPr="00D16362">
        <w:rPr>
          <w:lang w:val="en-US"/>
        </w:rPr>
        <w:t>ce list</w:t>
      </w:r>
      <w:r w:rsidRPr="00D16362">
        <w:rPr>
          <w:lang w:val="en-US"/>
        </w:rPr>
        <w:t xml:space="preserve">, </w:t>
      </w:r>
      <w:r w:rsidR="007D5E4A" w:rsidRPr="00D16362">
        <w:rPr>
          <w:lang w:val="en-US"/>
        </w:rPr>
        <w:t>S</w:t>
      </w:r>
      <w:r w:rsidRPr="00D16362">
        <w:rPr>
          <w:lang w:val="en-US"/>
        </w:rPr>
        <w:t>e</w:t>
      </w:r>
      <w:r w:rsidR="007D5E4A" w:rsidRPr="00D16362">
        <w:rPr>
          <w:lang w:val="en-US"/>
        </w:rPr>
        <w:t>rv</w:t>
      </w:r>
      <w:r w:rsidRPr="00D16362">
        <w:rPr>
          <w:lang w:val="en-US"/>
        </w:rPr>
        <w:t>i</w:t>
      </w:r>
      <w:r w:rsidR="007D5E4A" w:rsidRPr="00D16362">
        <w:rPr>
          <w:lang w:val="en-US"/>
        </w:rPr>
        <w:t>ce De</w:t>
      </w:r>
      <w:r w:rsidRPr="00D16362">
        <w:rPr>
          <w:lang w:val="en-US"/>
        </w:rPr>
        <w:t>finition</w:t>
      </w:r>
      <w:r w:rsidR="007D5E4A" w:rsidRPr="00D16362">
        <w:rPr>
          <w:lang w:val="en-US"/>
        </w:rPr>
        <w:t>s</w:t>
      </w:r>
      <w:r w:rsidRPr="00D16362">
        <w:rPr>
          <w:lang w:val="en-US"/>
        </w:rPr>
        <w:t xml:space="preserve">, </w:t>
      </w:r>
      <w:r w:rsidR="007D5E4A" w:rsidRPr="00D16362">
        <w:rPr>
          <w:lang w:val="en-US"/>
        </w:rPr>
        <w:t>Genera</w:t>
      </w:r>
      <w:r w:rsidRPr="00D16362">
        <w:rPr>
          <w:lang w:val="en-US"/>
        </w:rPr>
        <w:t>l</w:t>
      </w:r>
      <w:r w:rsidR="007E001A" w:rsidRPr="00D16362">
        <w:rPr>
          <w:lang w:val="en-US"/>
        </w:rPr>
        <w:t xml:space="preserve"> T</w:t>
      </w:r>
      <w:r w:rsidRPr="00D16362">
        <w:rPr>
          <w:lang w:val="en-US"/>
        </w:rPr>
        <w:t>e</w:t>
      </w:r>
      <w:r w:rsidR="007E001A" w:rsidRPr="00D16362">
        <w:rPr>
          <w:lang w:val="en-US"/>
        </w:rPr>
        <w:t>r</w:t>
      </w:r>
      <w:r w:rsidRPr="00D16362">
        <w:rPr>
          <w:lang w:val="en-US"/>
        </w:rPr>
        <w:t>m</w:t>
      </w:r>
      <w:r w:rsidR="007E001A" w:rsidRPr="00D16362">
        <w:rPr>
          <w:lang w:val="en-US"/>
        </w:rPr>
        <w:t>s a</w:t>
      </w:r>
      <w:r w:rsidRPr="00D16362">
        <w:rPr>
          <w:lang w:val="en-US"/>
        </w:rPr>
        <w:t>n</w:t>
      </w:r>
      <w:r w:rsidR="007E001A" w:rsidRPr="00D16362">
        <w:rPr>
          <w:lang w:val="en-US"/>
        </w:rPr>
        <w:t>d Condition</w:t>
      </w:r>
      <w:r w:rsidRPr="00D16362">
        <w:rPr>
          <w:lang w:val="en-US"/>
        </w:rPr>
        <w:t xml:space="preserve">s, Wien </w:t>
      </w:r>
      <w:proofErr w:type="spellStart"/>
      <w:r w:rsidRPr="00D16362">
        <w:rPr>
          <w:lang w:val="en-US"/>
        </w:rPr>
        <w:t>Energie</w:t>
      </w:r>
      <w:proofErr w:type="spellEnd"/>
      <w:r w:rsidRPr="00D16362">
        <w:rPr>
          <w:lang w:val="en-US"/>
        </w:rPr>
        <w:t xml:space="preserve"> GmbH</w:t>
      </w:r>
      <w:r w:rsidR="007E001A" w:rsidRPr="00D16362">
        <w:rPr>
          <w:lang w:val="en-US"/>
        </w:rPr>
        <w:t>, Vienna, Austria.</w:t>
      </w:r>
    </w:p>
    <w:sectPr w:rsidR="00307EF5" w:rsidRPr="00D1636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9E4F" w14:textId="77777777" w:rsidR="00CF6B75" w:rsidRDefault="00CF6B75" w:rsidP="004F5E36">
      <w:r>
        <w:separator/>
      </w:r>
    </w:p>
  </w:endnote>
  <w:endnote w:type="continuationSeparator" w:id="0">
    <w:p w14:paraId="4312B2AF" w14:textId="77777777" w:rsidR="00CF6B75" w:rsidRDefault="00CF6B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BF47" w14:textId="77777777" w:rsidR="00E33205" w:rsidRDefault="00E3320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5441" w14:textId="77777777" w:rsidR="00E33205" w:rsidRDefault="00E3320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82E5" w14:textId="77777777" w:rsidR="00E33205" w:rsidRDefault="00E3320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DA56" w14:textId="77777777" w:rsidR="00CF6B75" w:rsidRDefault="00CF6B75" w:rsidP="004F5E36">
      <w:r>
        <w:separator/>
      </w:r>
    </w:p>
  </w:footnote>
  <w:footnote w:type="continuationSeparator" w:id="0">
    <w:p w14:paraId="34A4BDC6" w14:textId="77777777" w:rsidR="00CF6B75" w:rsidRDefault="00CF6B7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3A904" w14:textId="77777777" w:rsidR="00E33205" w:rsidRDefault="00E3320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B893" w14:textId="77777777" w:rsidR="00E33205" w:rsidRDefault="00E3320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8574" w14:textId="77777777" w:rsidR="00E33205" w:rsidRDefault="00E332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940054C"/>
    <w:multiLevelType w:val="multilevel"/>
    <w:tmpl w:val="C324EA4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38217E"/>
    <w:multiLevelType w:val="multilevel"/>
    <w:tmpl w:val="C0AAEB2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27C0"/>
    <w:rsid w:val="000052FB"/>
    <w:rsid w:val="000117CB"/>
    <w:rsid w:val="00024F2F"/>
    <w:rsid w:val="0003148D"/>
    <w:rsid w:val="00031EEC"/>
    <w:rsid w:val="00034246"/>
    <w:rsid w:val="00051566"/>
    <w:rsid w:val="00054CB8"/>
    <w:rsid w:val="000562A9"/>
    <w:rsid w:val="00062A9A"/>
    <w:rsid w:val="00065058"/>
    <w:rsid w:val="00086C39"/>
    <w:rsid w:val="000A03B2"/>
    <w:rsid w:val="000A440B"/>
    <w:rsid w:val="000A4CDF"/>
    <w:rsid w:val="000A73B6"/>
    <w:rsid w:val="000C1415"/>
    <w:rsid w:val="000C62E5"/>
    <w:rsid w:val="000C6FF3"/>
    <w:rsid w:val="000D0268"/>
    <w:rsid w:val="000D34BE"/>
    <w:rsid w:val="000D61ED"/>
    <w:rsid w:val="000E102F"/>
    <w:rsid w:val="000E36F1"/>
    <w:rsid w:val="000E3A73"/>
    <w:rsid w:val="000E414A"/>
    <w:rsid w:val="000F093C"/>
    <w:rsid w:val="000F28DB"/>
    <w:rsid w:val="000F787B"/>
    <w:rsid w:val="00103F3D"/>
    <w:rsid w:val="0012091F"/>
    <w:rsid w:val="00126BC2"/>
    <w:rsid w:val="00127417"/>
    <w:rsid w:val="001308B6"/>
    <w:rsid w:val="0013121F"/>
    <w:rsid w:val="00131FE6"/>
    <w:rsid w:val="0013263F"/>
    <w:rsid w:val="001331DF"/>
    <w:rsid w:val="00134DE4"/>
    <w:rsid w:val="0014034D"/>
    <w:rsid w:val="00144D16"/>
    <w:rsid w:val="00147A4F"/>
    <w:rsid w:val="00147F1B"/>
    <w:rsid w:val="00150374"/>
    <w:rsid w:val="00150E59"/>
    <w:rsid w:val="00152DE3"/>
    <w:rsid w:val="00164CF9"/>
    <w:rsid w:val="001667A6"/>
    <w:rsid w:val="00167F84"/>
    <w:rsid w:val="00184AD6"/>
    <w:rsid w:val="001853FF"/>
    <w:rsid w:val="00187D7F"/>
    <w:rsid w:val="0019093C"/>
    <w:rsid w:val="00192BF8"/>
    <w:rsid w:val="00194729"/>
    <w:rsid w:val="001A365C"/>
    <w:rsid w:val="001A4AF7"/>
    <w:rsid w:val="001A5FAA"/>
    <w:rsid w:val="001B0349"/>
    <w:rsid w:val="001B0A92"/>
    <w:rsid w:val="001B1E93"/>
    <w:rsid w:val="001B4FF0"/>
    <w:rsid w:val="001B56BE"/>
    <w:rsid w:val="001B65C1"/>
    <w:rsid w:val="001C684B"/>
    <w:rsid w:val="001D03CF"/>
    <w:rsid w:val="001D0CFB"/>
    <w:rsid w:val="001D21AF"/>
    <w:rsid w:val="001D53FC"/>
    <w:rsid w:val="001E2F72"/>
    <w:rsid w:val="001E57EE"/>
    <w:rsid w:val="001E7C7D"/>
    <w:rsid w:val="001F0D9D"/>
    <w:rsid w:val="001F42A5"/>
    <w:rsid w:val="001F7B9D"/>
    <w:rsid w:val="00201C93"/>
    <w:rsid w:val="0020575B"/>
    <w:rsid w:val="00213F42"/>
    <w:rsid w:val="00214DF4"/>
    <w:rsid w:val="002224B4"/>
    <w:rsid w:val="00232D4A"/>
    <w:rsid w:val="00232DF7"/>
    <w:rsid w:val="0023645A"/>
    <w:rsid w:val="00237D8D"/>
    <w:rsid w:val="002447EF"/>
    <w:rsid w:val="00251550"/>
    <w:rsid w:val="0026232A"/>
    <w:rsid w:val="002625D4"/>
    <w:rsid w:val="00263B05"/>
    <w:rsid w:val="0027221A"/>
    <w:rsid w:val="00275B61"/>
    <w:rsid w:val="00280FAF"/>
    <w:rsid w:val="00282656"/>
    <w:rsid w:val="002867BC"/>
    <w:rsid w:val="00296B83"/>
    <w:rsid w:val="002A1677"/>
    <w:rsid w:val="002B4015"/>
    <w:rsid w:val="002B78CE"/>
    <w:rsid w:val="002C1617"/>
    <w:rsid w:val="002C2FB6"/>
    <w:rsid w:val="002E5FA7"/>
    <w:rsid w:val="002E7AEF"/>
    <w:rsid w:val="002E7DE0"/>
    <w:rsid w:val="002F3309"/>
    <w:rsid w:val="002F4FAD"/>
    <w:rsid w:val="002F531E"/>
    <w:rsid w:val="002F5656"/>
    <w:rsid w:val="002F5D1E"/>
    <w:rsid w:val="003008CE"/>
    <w:rsid w:val="003009B7"/>
    <w:rsid w:val="00300E56"/>
    <w:rsid w:val="0030123F"/>
    <w:rsid w:val="0030152C"/>
    <w:rsid w:val="0030469C"/>
    <w:rsid w:val="0030756A"/>
    <w:rsid w:val="00307EF5"/>
    <w:rsid w:val="00311AEE"/>
    <w:rsid w:val="0031650D"/>
    <w:rsid w:val="00321CA6"/>
    <w:rsid w:val="00323763"/>
    <w:rsid w:val="00323C5F"/>
    <w:rsid w:val="00334C09"/>
    <w:rsid w:val="003370F2"/>
    <w:rsid w:val="00360DA4"/>
    <w:rsid w:val="003712FE"/>
    <w:rsid w:val="003723D4"/>
    <w:rsid w:val="0037406C"/>
    <w:rsid w:val="00381905"/>
    <w:rsid w:val="00382CBB"/>
    <w:rsid w:val="00384CC8"/>
    <w:rsid w:val="003856E5"/>
    <w:rsid w:val="00385F5B"/>
    <w:rsid w:val="003871FD"/>
    <w:rsid w:val="00394B7C"/>
    <w:rsid w:val="003A1E30"/>
    <w:rsid w:val="003A2829"/>
    <w:rsid w:val="003A6FC6"/>
    <w:rsid w:val="003A7D1C"/>
    <w:rsid w:val="003B304B"/>
    <w:rsid w:val="003B3146"/>
    <w:rsid w:val="003C0A31"/>
    <w:rsid w:val="003D6CC2"/>
    <w:rsid w:val="003F015E"/>
    <w:rsid w:val="003F31E7"/>
    <w:rsid w:val="00400414"/>
    <w:rsid w:val="0040251F"/>
    <w:rsid w:val="0041446B"/>
    <w:rsid w:val="00434A12"/>
    <w:rsid w:val="00436077"/>
    <w:rsid w:val="00437233"/>
    <w:rsid w:val="0044071E"/>
    <w:rsid w:val="0044329C"/>
    <w:rsid w:val="0044552E"/>
    <w:rsid w:val="00446860"/>
    <w:rsid w:val="00453E24"/>
    <w:rsid w:val="00454285"/>
    <w:rsid w:val="00457456"/>
    <w:rsid w:val="004577FE"/>
    <w:rsid w:val="00457B9C"/>
    <w:rsid w:val="0046164A"/>
    <w:rsid w:val="004628D2"/>
    <w:rsid w:val="00462DCD"/>
    <w:rsid w:val="004648AD"/>
    <w:rsid w:val="004674B8"/>
    <w:rsid w:val="004703A9"/>
    <w:rsid w:val="004760DE"/>
    <w:rsid w:val="004763D7"/>
    <w:rsid w:val="00487840"/>
    <w:rsid w:val="00495E03"/>
    <w:rsid w:val="004A004E"/>
    <w:rsid w:val="004A24CF"/>
    <w:rsid w:val="004B16B7"/>
    <w:rsid w:val="004B5B39"/>
    <w:rsid w:val="004C1E1C"/>
    <w:rsid w:val="004C3D1D"/>
    <w:rsid w:val="004C3D84"/>
    <w:rsid w:val="004C4CA6"/>
    <w:rsid w:val="004C5AE3"/>
    <w:rsid w:val="004C7913"/>
    <w:rsid w:val="004D03FA"/>
    <w:rsid w:val="004E4DD6"/>
    <w:rsid w:val="004F5E36"/>
    <w:rsid w:val="00507B47"/>
    <w:rsid w:val="00507BEF"/>
    <w:rsid w:val="00507CC9"/>
    <w:rsid w:val="005119A5"/>
    <w:rsid w:val="00515968"/>
    <w:rsid w:val="00516AAC"/>
    <w:rsid w:val="00520AE3"/>
    <w:rsid w:val="005278B7"/>
    <w:rsid w:val="00532016"/>
    <w:rsid w:val="0053287A"/>
    <w:rsid w:val="00532BD0"/>
    <w:rsid w:val="005346C8"/>
    <w:rsid w:val="00543E7D"/>
    <w:rsid w:val="00546D6C"/>
    <w:rsid w:val="00547A68"/>
    <w:rsid w:val="005531C9"/>
    <w:rsid w:val="00564A4A"/>
    <w:rsid w:val="00570C43"/>
    <w:rsid w:val="005716AE"/>
    <w:rsid w:val="005823E0"/>
    <w:rsid w:val="00592B2A"/>
    <w:rsid w:val="00594BB7"/>
    <w:rsid w:val="005A28AC"/>
    <w:rsid w:val="005A6EA0"/>
    <w:rsid w:val="005B2110"/>
    <w:rsid w:val="005B61E6"/>
    <w:rsid w:val="005C77E1"/>
    <w:rsid w:val="005D668A"/>
    <w:rsid w:val="005D6A2F"/>
    <w:rsid w:val="005E1A82"/>
    <w:rsid w:val="005E5930"/>
    <w:rsid w:val="005E794C"/>
    <w:rsid w:val="005E7C48"/>
    <w:rsid w:val="005F0A28"/>
    <w:rsid w:val="005F0E5E"/>
    <w:rsid w:val="00600535"/>
    <w:rsid w:val="00610CD6"/>
    <w:rsid w:val="00612B63"/>
    <w:rsid w:val="00620DEE"/>
    <w:rsid w:val="00621F92"/>
    <w:rsid w:val="0062280A"/>
    <w:rsid w:val="0062394C"/>
    <w:rsid w:val="00625639"/>
    <w:rsid w:val="00631B33"/>
    <w:rsid w:val="0064184D"/>
    <w:rsid w:val="006422CC"/>
    <w:rsid w:val="00642C08"/>
    <w:rsid w:val="006460AE"/>
    <w:rsid w:val="00660E3E"/>
    <w:rsid w:val="006615F6"/>
    <w:rsid w:val="00662E74"/>
    <w:rsid w:val="00680C23"/>
    <w:rsid w:val="00690047"/>
    <w:rsid w:val="00692839"/>
    <w:rsid w:val="00693766"/>
    <w:rsid w:val="00695D88"/>
    <w:rsid w:val="00696FA7"/>
    <w:rsid w:val="006A3281"/>
    <w:rsid w:val="006A4BEF"/>
    <w:rsid w:val="006B4888"/>
    <w:rsid w:val="006C2E45"/>
    <w:rsid w:val="006C351B"/>
    <w:rsid w:val="006C3527"/>
    <w:rsid w:val="006C359C"/>
    <w:rsid w:val="006C4C51"/>
    <w:rsid w:val="006C5579"/>
    <w:rsid w:val="006D6E8B"/>
    <w:rsid w:val="006E0A96"/>
    <w:rsid w:val="006E6938"/>
    <w:rsid w:val="006E737D"/>
    <w:rsid w:val="006F3589"/>
    <w:rsid w:val="006F361D"/>
    <w:rsid w:val="00702440"/>
    <w:rsid w:val="00713973"/>
    <w:rsid w:val="00720A24"/>
    <w:rsid w:val="00723987"/>
    <w:rsid w:val="00732386"/>
    <w:rsid w:val="0073514D"/>
    <w:rsid w:val="007407D8"/>
    <w:rsid w:val="00742C75"/>
    <w:rsid w:val="007447F3"/>
    <w:rsid w:val="0075499F"/>
    <w:rsid w:val="00754FE0"/>
    <w:rsid w:val="0076100F"/>
    <w:rsid w:val="00765818"/>
    <w:rsid w:val="007661C8"/>
    <w:rsid w:val="0077098D"/>
    <w:rsid w:val="00773C67"/>
    <w:rsid w:val="007931FA"/>
    <w:rsid w:val="00795748"/>
    <w:rsid w:val="007A0AE3"/>
    <w:rsid w:val="007A1CDD"/>
    <w:rsid w:val="007A4861"/>
    <w:rsid w:val="007A7BBA"/>
    <w:rsid w:val="007B0C50"/>
    <w:rsid w:val="007B48F9"/>
    <w:rsid w:val="007C1A43"/>
    <w:rsid w:val="007C4DB1"/>
    <w:rsid w:val="007D0951"/>
    <w:rsid w:val="007D504E"/>
    <w:rsid w:val="007D5E4A"/>
    <w:rsid w:val="007E001A"/>
    <w:rsid w:val="0080013E"/>
    <w:rsid w:val="00813288"/>
    <w:rsid w:val="008140CD"/>
    <w:rsid w:val="008168FC"/>
    <w:rsid w:val="0082199E"/>
    <w:rsid w:val="00825283"/>
    <w:rsid w:val="00827069"/>
    <w:rsid w:val="00830996"/>
    <w:rsid w:val="008345F1"/>
    <w:rsid w:val="00840F99"/>
    <w:rsid w:val="00865B07"/>
    <w:rsid w:val="008667EA"/>
    <w:rsid w:val="0087637F"/>
    <w:rsid w:val="0089009A"/>
    <w:rsid w:val="00892AD5"/>
    <w:rsid w:val="008934BC"/>
    <w:rsid w:val="00895A3F"/>
    <w:rsid w:val="008966B3"/>
    <w:rsid w:val="008A1512"/>
    <w:rsid w:val="008A2A7A"/>
    <w:rsid w:val="008B7054"/>
    <w:rsid w:val="008B7C03"/>
    <w:rsid w:val="008C0894"/>
    <w:rsid w:val="008D32B9"/>
    <w:rsid w:val="008D433B"/>
    <w:rsid w:val="008D4A16"/>
    <w:rsid w:val="008E566E"/>
    <w:rsid w:val="008F63B8"/>
    <w:rsid w:val="0090161A"/>
    <w:rsid w:val="00901EB6"/>
    <w:rsid w:val="00904C62"/>
    <w:rsid w:val="00922BA8"/>
    <w:rsid w:val="00924DAC"/>
    <w:rsid w:val="00927058"/>
    <w:rsid w:val="0092795D"/>
    <w:rsid w:val="00935176"/>
    <w:rsid w:val="009404E2"/>
    <w:rsid w:val="00942750"/>
    <w:rsid w:val="009450CE"/>
    <w:rsid w:val="009459BB"/>
    <w:rsid w:val="00947179"/>
    <w:rsid w:val="0095164B"/>
    <w:rsid w:val="00954090"/>
    <w:rsid w:val="00956C34"/>
    <w:rsid w:val="00956D60"/>
    <w:rsid w:val="009573E7"/>
    <w:rsid w:val="00957FAB"/>
    <w:rsid w:val="00961FA0"/>
    <w:rsid w:val="00963E05"/>
    <w:rsid w:val="00964A45"/>
    <w:rsid w:val="00967843"/>
    <w:rsid w:val="00967D54"/>
    <w:rsid w:val="00967D5C"/>
    <w:rsid w:val="00971028"/>
    <w:rsid w:val="00972ED4"/>
    <w:rsid w:val="009740FE"/>
    <w:rsid w:val="009802A8"/>
    <w:rsid w:val="00993B84"/>
    <w:rsid w:val="00996483"/>
    <w:rsid w:val="00996F5A"/>
    <w:rsid w:val="009971C1"/>
    <w:rsid w:val="009A23E6"/>
    <w:rsid w:val="009B041A"/>
    <w:rsid w:val="009B4A59"/>
    <w:rsid w:val="009C1CE2"/>
    <w:rsid w:val="009C32F1"/>
    <w:rsid w:val="009C37C3"/>
    <w:rsid w:val="009C7C86"/>
    <w:rsid w:val="009D15F0"/>
    <w:rsid w:val="009D2FF7"/>
    <w:rsid w:val="009E30F7"/>
    <w:rsid w:val="009E7884"/>
    <w:rsid w:val="009E788A"/>
    <w:rsid w:val="009F0E08"/>
    <w:rsid w:val="00A10627"/>
    <w:rsid w:val="00A11D44"/>
    <w:rsid w:val="00A13CB0"/>
    <w:rsid w:val="00A15CFE"/>
    <w:rsid w:val="00A1629C"/>
    <w:rsid w:val="00A1763D"/>
    <w:rsid w:val="00A17CEC"/>
    <w:rsid w:val="00A23F31"/>
    <w:rsid w:val="00A27EF0"/>
    <w:rsid w:val="00A30FBB"/>
    <w:rsid w:val="00A42361"/>
    <w:rsid w:val="00A45C1B"/>
    <w:rsid w:val="00A50B20"/>
    <w:rsid w:val="00A51390"/>
    <w:rsid w:val="00A5547E"/>
    <w:rsid w:val="00A60D13"/>
    <w:rsid w:val="00A64F6C"/>
    <w:rsid w:val="00A67DE5"/>
    <w:rsid w:val="00A7223D"/>
    <w:rsid w:val="00A72745"/>
    <w:rsid w:val="00A76EFC"/>
    <w:rsid w:val="00A86613"/>
    <w:rsid w:val="00A87D50"/>
    <w:rsid w:val="00A91010"/>
    <w:rsid w:val="00A97F29"/>
    <w:rsid w:val="00AA456F"/>
    <w:rsid w:val="00AA53DB"/>
    <w:rsid w:val="00AA702E"/>
    <w:rsid w:val="00AA7D26"/>
    <w:rsid w:val="00AB0964"/>
    <w:rsid w:val="00AB3F51"/>
    <w:rsid w:val="00AB5011"/>
    <w:rsid w:val="00AB6CB3"/>
    <w:rsid w:val="00AC1C7C"/>
    <w:rsid w:val="00AC3702"/>
    <w:rsid w:val="00AC643A"/>
    <w:rsid w:val="00AC7368"/>
    <w:rsid w:val="00AD16B9"/>
    <w:rsid w:val="00AE377D"/>
    <w:rsid w:val="00AF0EBA"/>
    <w:rsid w:val="00B00479"/>
    <w:rsid w:val="00B005DF"/>
    <w:rsid w:val="00B02C8A"/>
    <w:rsid w:val="00B0404A"/>
    <w:rsid w:val="00B17FBD"/>
    <w:rsid w:val="00B209B4"/>
    <w:rsid w:val="00B315A6"/>
    <w:rsid w:val="00B31813"/>
    <w:rsid w:val="00B33365"/>
    <w:rsid w:val="00B468FC"/>
    <w:rsid w:val="00B57B36"/>
    <w:rsid w:val="00B57E6F"/>
    <w:rsid w:val="00B750D9"/>
    <w:rsid w:val="00B8686D"/>
    <w:rsid w:val="00B93F69"/>
    <w:rsid w:val="00BB0957"/>
    <w:rsid w:val="00BB1DDC"/>
    <w:rsid w:val="00BB3AE7"/>
    <w:rsid w:val="00BC30C9"/>
    <w:rsid w:val="00BD077D"/>
    <w:rsid w:val="00BD0C6D"/>
    <w:rsid w:val="00BD69FC"/>
    <w:rsid w:val="00BE1901"/>
    <w:rsid w:val="00BE3E58"/>
    <w:rsid w:val="00C01616"/>
    <w:rsid w:val="00C0162B"/>
    <w:rsid w:val="00C068ED"/>
    <w:rsid w:val="00C1064C"/>
    <w:rsid w:val="00C117AD"/>
    <w:rsid w:val="00C22E0C"/>
    <w:rsid w:val="00C319EE"/>
    <w:rsid w:val="00C345B1"/>
    <w:rsid w:val="00C40142"/>
    <w:rsid w:val="00C52C3C"/>
    <w:rsid w:val="00C57182"/>
    <w:rsid w:val="00C57863"/>
    <w:rsid w:val="00C640AF"/>
    <w:rsid w:val="00C655FD"/>
    <w:rsid w:val="00C70445"/>
    <w:rsid w:val="00C75407"/>
    <w:rsid w:val="00C779B4"/>
    <w:rsid w:val="00C870A8"/>
    <w:rsid w:val="00C90D89"/>
    <w:rsid w:val="00C90E17"/>
    <w:rsid w:val="00C91513"/>
    <w:rsid w:val="00C94434"/>
    <w:rsid w:val="00CA0D4A"/>
    <w:rsid w:val="00CA0D75"/>
    <w:rsid w:val="00CA0F2C"/>
    <w:rsid w:val="00CA1C95"/>
    <w:rsid w:val="00CA5A9C"/>
    <w:rsid w:val="00CB2950"/>
    <w:rsid w:val="00CC4C20"/>
    <w:rsid w:val="00CD3399"/>
    <w:rsid w:val="00CD3517"/>
    <w:rsid w:val="00CD5FE2"/>
    <w:rsid w:val="00CE375E"/>
    <w:rsid w:val="00CE7C68"/>
    <w:rsid w:val="00CF0C19"/>
    <w:rsid w:val="00CF1BDA"/>
    <w:rsid w:val="00CF6B75"/>
    <w:rsid w:val="00D02B4C"/>
    <w:rsid w:val="00D040C4"/>
    <w:rsid w:val="00D16362"/>
    <w:rsid w:val="00D20AD1"/>
    <w:rsid w:val="00D46B7E"/>
    <w:rsid w:val="00D50CC3"/>
    <w:rsid w:val="00D522C3"/>
    <w:rsid w:val="00D5531D"/>
    <w:rsid w:val="00D57C84"/>
    <w:rsid w:val="00D6057D"/>
    <w:rsid w:val="00D648EC"/>
    <w:rsid w:val="00D65F46"/>
    <w:rsid w:val="00D71640"/>
    <w:rsid w:val="00D77063"/>
    <w:rsid w:val="00D836C5"/>
    <w:rsid w:val="00D84576"/>
    <w:rsid w:val="00D94CA9"/>
    <w:rsid w:val="00D959DD"/>
    <w:rsid w:val="00DA1399"/>
    <w:rsid w:val="00DA24C6"/>
    <w:rsid w:val="00DA4D7B"/>
    <w:rsid w:val="00DB079A"/>
    <w:rsid w:val="00DB2D98"/>
    <w:rsid w:val="00DD2065"/>
    <w:rsid w:val="00DD271C"/>
    <w:rsid w:val="00DE026A"/>
    <w:rsid w:val="00DE264A"/>
    <w:rsid w:val="00DF5072"/>
    <w:rsid w:val="00E02D18"/>
    <w:rsid w:val="00E03D3F"/>
    <w:rsid w:val="00E041E7"/>
    <w:rsid w:val="00E113F8"/>
    <w:rsid w:val="00E11FFE"/>
    <w:rsid w:val="00E23CA1"/>
    <w:rsid w:val="00E25C5D"/>
    <w:rsid w:val="00E33205"/>
    <w:rsid w:val="00E33DD7"/>
    <w:rsid w:val="00E409A8"/>
    <w:rsid w:val="00E47B14"/>
    <w:rsid w:val="00E50C12"/>
    <w:rsid w:val="00E65B91"/>
    <w:rsid w:val="00E7209D"/>
    <w:rsid w:val="00E721DE"/>
    <w:rsid w:val="00E72EAD"/>
    <w:rsid w:val="00E77223"/>
    <w:rsid w:val="00E77AE6"/>
    <w:rsid w:val="00E8528B"/>
    <w:rsid w:val="00E8590E"/>
    <w:rsid w:val="00E85B94"/>
    <w:rsid w:val="00E903E9"/>
    <w:rsid w:val="00E978D0"/>
    <w:rsid w:val="00EA4613"/>
    <w:rsid w:val="00EA6675"/>
    <w:rsid w:val="00EA7C14"/>
    <w:rsid w:val="00EA7F91"/>
    <w:rsid w:val="00EB1523"/>
    <w:rsid w:val="00EB2DC7"/>
    <w:rsid w:val="00EB4285"/>
    <w:rsid w:val="00EC0E49"/>
    <w:rsid w:val="00EC101F"/>
    <w:rsid w:val="00EC1D9F"/>
    <w:rsid w:val="00EC2A6A"/>
    <w:rsid w:val="00ED1287"/>
    <w:rsid w:val="00ED59C6"/>
    <w:rsid w:val="00EE0131"/>
    <w:rsid w:val="00EE17B0"/>
    <w:rsid w:val="00EE5287"/>
    <w:rsid w:val="00EF06D9"/>
    <w:rsid w:val="00F04D20"/>
    <w:rsid w:val="00F3049E"/>
    <w:rsid w:val="00F30C64"/>
    <w:rsid w:val="00F32BA2"/>
    <w:rsid w:val="00F32CDB"/>
    <w:rsid w:val="00F45DC0"/>
    <w:rsid w:val="00F46109"/>
    <w:rsid w:val="00F46547"/>
    <w:rsid w:val="00F565FE"/>
    <w:rsid w:val="00F63A70"/>
    <w:rsid w:val="00F63D8C"/>
    <w:rsid w:val="00F64140"/>
    <w:rsid w:val="00F6588E"/>
    <w:rsid w:val="00F7534E"/>
    <w:rsid w:val="00F760A8"/>
    <w:rsid w:val="00F8176B"/>
    <w:rsid w:val="00F90BAA"/>
    <w:rsid w:val="00F93EDF"/>
    <w:rsid w:val="00F95F13"/>
    <w:rsid w:val="00FA1802"/>
    <w:rsid w:val="00FA19F1"/>
    <w:rsid w:val="00FA21D0"/>
    <w:rsid w:val="00FA574C"/>
    <w:rsid w:val="00FA5F5F"/>
    <w:rsid w:val="00FB5AA3"/>
    <w:rsid w:val="00FB730C"/>
    <w:rsid w:val="00FC1F14"/>
    <w:rsid w:val="00FC2695"/>
    <w:rsid w:val="00FC3E03"/>
    <w:rsid w:val="00FC3FC1"/>
    <w:rsid w:val="00FC70EF"/>
    <w:rsid w:val="00FD6F9E"/>
    <w:rsid w:val="00FF286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740FE"/>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740F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rsid w:val="00280FAF"/>
    <w:pPr>
      <w:ind w:left="720"/>
      <w:contextualSpacing/>
    </w:pPr>
  </w:style>
  <w:style w:type="paragraph" w:styleId="Vltozat">
    <w:name w:val="Revision"/>
    <w:hidden/>
    <w:uiPriority w:val="99"/>
    <w:semiHidden/>
    <w:rsid w:val="00FF2863"/>
    <w:pPr>
      <w:spacing w:after="0" w:line="240" w:lineRule="auto"/>
    </w:pPr>
    <w:rPr>
      <w:rFonts w:ascii="Arial" w:eastAsia="Times New Roman" w:hAnsi="Arial" w:cs="Times New Roman"/>
      <w:sz w:val="18"/>
      <w:szCs w:val="20"/>
      <w:lang w:val="en-GB"/>
    </w:rPr>
  </w:style>
  <w:style w:type="character" w:styleId="Helyrzszveg">
    <w:name w:val="Placeholder Text"/>
    <w:basedOn w:val="Bekezdsalapbettpusa"/>
    <w:uiPriority w:val="99"/>
    <w:semiHidden/>
    <w:rsid w:val="003370F2"/>
    <w:rPr>
      <w:color w:val="808080"/>
    </w:rPr>
  </w:style>
  <w:style w:type="character" w:customStyle="1" w:styleId="UnresolvedMention1">
    <w:name w:val="Unresolved Mention1"/>
    <w:basedOn w:val="Bekezdsalapbettpusa"/>
    <w:uiPriority w:val="99"/>
    <w:semiHidden/>
    <w:unhideWhenUsed/>
    <w:rsid w:val="0076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597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EDCA-42A2-4A02-9FAE-379D7824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2855</Words>
  <Characters>19707</Characters>
  <Application>Microsoft Office Word</Application>
  <DocSecurity>0</DocSecurity>
  <Lines>164</Lines>
  <Paragraphs>45</Paragraphs>
  <ScaleCrop>false</ScaleCrop>
  <HeadingPairs>
    <vt:vector size="6" baseType="variant">
      <vt:variant>
        <vt:lpstr>Cím</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László Hégely</cp:lastModifiedBy>
  <cp:revision>3</cp:revision>
  <cp:lastPrinted>2015-05-12T18:31:00Z</cp:lastPrinted>
  <dcterms:created xsi:type="dcterms:W3CDTF">2023-05-31T14:10:00Z</dcterms:created>
  <dcterms:modified xsi:type="dcterms:W3CDTF">2023-05-31T14:11:00Z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http://www.zotero.org/styles/chemical-engineering-research-and-design</vt:lpwstr>
  </property>
  <property fmtid="{D5CDD505-2E9C-101B-9397-08002B2CF9AE}" pid="13" name="Mendeley Recent Style Name 4_1">
    <vt:lpwstr>Chemical Engineering Research and Design</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