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72326E"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72326E" w:rsidRDefault="000A03B2" w:rsidP="00DE264A">
            <w:pPr>
              <w:tabs>
                <w:tab w:val="left" w:pos="-108"/>
              </w:tabs>
              <w:ind w:left="-108"/>
              <w:jc w:val="left"/>
              <w:rPr>
                <w:rFonts w:cs="Arial"/>
                <w:b/>
                <w:bCs/>
                <w:i/>
                <w:iCs/>
                <w:color w:val="000066"/>
                <w:sz w:val="12"/>
                <w:szCs w:val="12"/>
                <w:lang w:val="en-US" w:eastAsia="it-IT"/>
              </w:rPr>
            </w:pPr>
            <w:r w:rsidRPr="0072326E">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72326E">
              <w:rPr>
                <w:rFonts w:ascii="AdvP6960" w:hAnsi="AdvP6960" w:cs="AdvP6960"/>
                <w:color w:val="241F20"/>
                <w:szCs w:val="18"/>
                <w:lang w:val="en-US" w:eastAsia="it-IT"/>
              </w:rPr>
              <w:t xml:space="preserve"> </w:t>
            </w:r>
            <w:r w:rsidRPr="0072326E">
              <w:rPr>
                <w:rFonts w:cs="Arial"/>
                <w:b/>
                <w:bCs/>
                <w:i/>
                <w:iCs/>
                <w:color w:val="000066"/>
                <w:sz w:val="24"/>
                <w:szCs w:val="24"/>
                <w:lang w:val="en-US" w:eastAsia="it-IT"/>
              </w:rPr>
              <w:t>CHEMICAL ENGINEERING</w:t>
            </w:r>
            <w:r w:rsidRPr="0072326E">
              <w:rPr>
                <w:rFonts w:cs="Arial"/>
                <w:b/>
                <w:bCs/>
                <w:i/>
                <w:iCs/>
                <w:color w:val="0033FF"/>
                <w:sz w:val="24"/>
                <w:szCs w:val="24"/>
                <w:lang w:val="en-US" w:eastAsia="it-IT"/>
              </w:rPr>
              <w:t xml:space="preserve"> </w:t>
            </w:r>
            <w:r w:rsidRPr="0072326E">
              <w:rPr>
                <w:rFonts w:cs="Arial"/>
                <w:b/>
                <w:bCs/>
                <w:i/>
                <w:iCs/>
                <w:color w:val="666666"/>
                <w:sz w:val="24"/>
                <w:szCs w:val="24"/>
                <w:lang w:val="en-US" w:eastAsia="it-IT"/>
              </w:rPr>
              <w:t>TRANSACTIONS</w:t>
            </w:r>
            <w:r w:rsidRPr="0072326E">
              <w:rPr>
                <w:color w:val="333333"/>
                <w:sz w:val="24"/>
                <w:szCs w:val="24"/>
                <w:lang w:val="en-US" w:eastAsia="it-IT"/>
              </w:rPr>
              <w:t xml:space="preserve"> </w:t>
            </w:r>
            <w:r w:rsidRPr="0072326E">
              <w:rPr>
                <w:rFonts w:cs="Arial"/>
                <w:b/>
                <w:bCs/>
                <w:i/>
                <w:iCs/>
                <w:color w:val="000066"/>
                <w:sz w:val="27"/>
                <w:szCs w:val="27"/>
                <w:lang w:val="en-US" w:eastAsia="it-IT"/>
              </w:rPr>
              <w:br/>
            </w:r>
          </w:p>
          <w:p w14:paraId="4B780582" w14:textId="530285EB" w:rsidR="000A03B2" w:rsidRPr="0072326E" w:rsidRDefault="00A76EFC" w:rsidP="001D21AF">
            <w:pPr>
              <w:tabs>
                <w:tab w:val="left" w:pos="-108"/>
              </w:tabs>
              <w:ind w:left="-108"/>
              <w:rPr>
                <w:rFonts w:cs="Arial"/>
                <w:b/>
                <w:bCs/>
                <w:i/>
                <w:iCs/>
                <w:color w:val="000066"/>
                <w:sz w:val="22"/>
                <w:szCs w:val="22"/>
                <w:lang w:val="en-US" w:eastAsia="it-IT"/>
              </w:rPr>
            </w:pPr>
            <w:r w:rsidRPr="0072326E">
              <w:rPr>
                <w:rFonts w:cs="Arial"/>
                <w:b/>
                <w:bCs/>
                <w:i/>
                <w:iCs/>
                <w:color w:val="000066"/>
                <w:sz w:val="22"/>
                <w:szCs w:val="22"/>
                <w:lang w:val="en-US" w:eastAsia="it-IT"/>
              </w:rPr>
              <w:t xml:space="preserve">VOL. </w:t>
            </w:r>
            <w:r w:rsidR="0030152C" w:rsidRPr="0072326E">
              <w:rPr>
                <w:rFonts w:cs="Arial"/>
                <w:b/>
                <w:bCs/>
                <w:i/>
                <w:iCs/>
                <w:color w:val="000066"/>
                <w:sz w:val="22"/>
                <w:szCs w:val="22"/>
                <w:lang w:val="en-US" w:eastAsia="it-IT"/>
              </w:rPr>
              <w:t xml:space="preserve">   </w:t>
            </w:r>
            <w:r w:rsidR="007B48F9" w:rsidRPr="0072326E">
              <w:rPr>
                <w:rFonts w:cs="Arial"/>
                <w:b/>
                <w:bCs/>
                <w:i/>
                <w:iCs/>
                <w:color w:val="000066"/>
                <w:sz w:val="22"/>
                <w:szCs w:val="22"/>
                <w:lang w:val="en-US" w:eastAsia="it-IT"/>
              </w:rPr>
              <w:t>,</w:t>
            </w:r>
            <w:r w:rsidR="00FA5F5F" w:rsidRPr="0072326E">
              <w:rPr>
                <w:rFonts w:cs="Arial"/>
                <w:b/>
                <w:bCs/>
                <w:i/>
                <w:iCs/>
                <w:color w:val="000066"/>
                <w:sz w:val="22"/>
                <w:szCs w:val="22"/>
                <w:lang w:val="en-US" w:eastAsia="it-IT"/>
              </w:rPr>
              <w:t xml:space="preserve"> </w:t>
            </w:r>
            <w:r w:rsidR="0030152C" w:rsidRPr="0072326E">
              <w:rPr>
                <w:rFonts w:cs="Arial"/>
                <w:b/>
                <w:bCs/>
                <w:i/>
                <w:iCs/>
                <w:color w:val="000066"/>
                <w:sz w:val="22"/>
                <w:szCs w:val="22"/>
                <w:lang w:val="en-US" w:eastAsia="it-IT"/>
              </w:rPr>
              <w:t>2023</w:t>
            </w:r>
          </w:p>
        </w:tc>
        <w:tc>
          <w:tcPr>
            <w:tcW w:w="1843" w:type="dxa"/>
            <w:tcBorders>
              <w:left w:val="single" w:sz="4" w:space="0" w:color="auto"/>
              <w:bottom w:val="nil"/>
              <w:right w:val="single" w:sz="4" w:space="0" w:color="auto"/>
            </w:tcBorders>
          </w:tcPr>
          <w:p w14:paraId="56782132" w14:textId="77777777" w:rsidR="000A03B2" w:rsidRPr="0072326E" w:rsidRDefault="000A03B2" w:rsidP="00CD5FE2">
            <w:pPr>
              <w:spacing w:line="140" w:lineRule="atLeast"/>
              <w:jc w:val="right"/>
              <w:rPr>
                <w:rFonts w:cs="Arial"/>
                <w:sz w:val="14"/>
                <w:szCs w:val="14"/>
                <w:lang w:val="en-US"/>
              </w:rPr>
            </w:pPr>
            <w:r w:rsidRPr="0072326E">
              <w:rPr>
                <w:rFonts w:cs="Arial"/>
                <w:sz w:val="14"/>
                <w:szCs w:val="14"/>
                <w:lang w:val="en-US"/>
              </w:rPr>
              <w:t>A publication of</w:t>
            </w:r>
          </w:p>
          <w:p w14:paraId="599E5441" w14:textId="77777777" w:rsidR="000A03B2" w:rsidRPr="0072326E" w:rsidRDefault="000A03B2" w:rsidP="00CD5FE2">
            <w:pPr>
              <w:jc w:val="right"/>
              <w:rPr>
                <w:lang w:val="en-US"/>
              </w:rPr>
            </w:pPr>
            <w:r w:rsidRPr="0072326E">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72326E" w14:paraId="380FA3CD" w14:textId="77777777" w:rsidTr="00DE264A">
        <w:trPr>
          <w:trHeight w:val="567"/>
          <w:jc w:val="center"/>
        </w:trPr>
        <w:tc>
          <w:tcPr>
            <w:tcW w:w="6946" w:type="dxa"/>
            <w:vMerge/>
            <w:tcBorders>
              <w:right w:val="single" w:sz="4" w:space="0" w:color="auto"/>
            </w:tcBorders>
          </w:tcPr>
          <w:p w14:paraId="39E5E4C1" w14:textId="77777777" w:rsidR="000A03B2" w:rsidRPr="0072326E" w:rsidRDefault="000A03B2" w:rsidP="00CD5FE2">
            <w:pPr>
              <w:tabs>
                <w:tab w:val="left" w:pos="-108"/>
              </w:tabs>
              <w:rPr>
                <w:lang w:val="en-US"/>
              </w:rPr>
            </w:pPr>
          </w:p>
        </w:tc>
        <w:tc>
          <w:tcPr>
            <w:tcW w:w="1843" w:type="dxa"/>
            <w:tcBorders>
              <w:left w:val="single" w:sz="4" w:space="0" w:color="auto"/>
              <w:bottom w:val="nil"/>
              <w:right w:val="single" w:sz="4" w:space="0" w:color="auto"/>
            </w:tcBorders>
          </w:tcPr>
          <w:p w14:paraId="43858A98" w14:textId="77777777" w:rsidR="000A03B2" w:rsidRPr="0072326E" w:rsidRDefault="000A03B2" w:rsidP="00CD5FE2">
            <w:pPr>
              <w:spacing w:line="140" w:lineRule="atLeast"/>
              <w:jc w:val="right"/>
              <w:rPr>
                <w:rFonts w:cs="Arial"/>
                <w:sz w:val="14"/>
                <w:szCs w:val="14"/>
                <w:lang w:val="en-US"/>
              </w:rPr>
            </w:pPr>
            <w:r w:rsidRPr="0072326E">
              <w:rPr>
                <w:rFonts w:cs="Arial"/>
                <w:sz w:val="14"/>
                <w:szCs w:val="14"/>
                <w:lang w:val="en-US"/>
              </w:rPr>
              <w:t>The Italian Association</w:t>
            </w:r>
          </w:p>
          <w:p w14:paraId="7522B1D2" w14:textId="77777777" w:rsidR="000A03B2" w:rsidRPr="0072326E" w:rsidRDefault="000A03B2" w:rsidP="00CD5FE2">
            <w:pPr>
              <w:spacing w:line="140" w:lineRule="atLeast"/>
              <w:jc w:val="right"/>
              <w:rPr>
                <w:rFonts w:cs="Arial"/>
                <w:sz w:val="14"/>
                <w:szCs w:val="14"/>
                <w:lang w:val="en-US"/>
              </w:rPr>
            </w:pPr>
            <w:r w:rsidRPr="0072326E">
              <w:rPr>
                <w:rFonts w:cs="Arial"/>
                <w:sz w:val="14"/>
                <w:szCs w:val="14"/>
                <w:lang w:val="en-US"/>
              </w:rPr>
              <w:t>of Chemical Engineering</w:t>
            </w:r>
          </w:p>
          <w:p w14:paraId="4F0CC5DE" w14:textId="47FDB2FC" w:rsidR="000A03B2" w:rsidRPr="0072326E" w:rsidRDefault="000D0268" w:rsidP="00CD5FE2">
            <w:pPr>
              <w:spacing w:line="140" w:lineRule="atLeast"/>
              <w:jc w:val="right"/>
              <w:rPr>
                <w:rFonts w:cs="Arial"/>
                <w:sz w:val="13"/>
                <w:szCs w:val="13"/>
                <w:lang w:val="en-US"/>
              </w:rPr>
            </w:pPr>
            <w:r w:rsidRPr="0072326E">
              <w:rPr>
                <w:rFonts w:cs="Arial"/>
                <w:sz w:val="13"/>
                <w:szCs w:val="13"/>
                <w:lang w:val="en-US"/>
              </w:rPr>
              <w:t>Online at www.cetjournal.it</w:t>
            </w:r>
          </w:p>
        </w:tc>
      </w:tr>
      <w:tr w:rsidR="000A03B2" w:rsidRPr="0072326E" w14:paraId="2D1B7169" w14:textId="77777777" w:rsidTr="00DE264A">
        <w:trPr>
          <w:trHeight w:val="68"/>
          <w:jc w:val="center"/>
        </w:trPr>
        <w:tc>
          <w:tcPr>
            <w:tcW w:w="8789" w:type="dxa"/>
            <w:gridSpan w:val="2"/>
          </w:tcPr>
          <w:p w14:paraId="1D8DD3C9" w14:textId="10669D10" w:rsidR="00AA7D26" w:rsidRPr="005D4B5F" w:rsidRDefault="00AA7D26" w:rsidP="00AA7D26">
            <w:pPr>
              <w:ind w:left="-107"/>
              <w:outlineLvl w:val="2"/>
              <w:rPr>
                <w:rFonts w:ascii="Tahoma" w:hAnsi="Tahoma" w:cs="Tahoma"/>
                <w:bCs/>
                <w:color w:val="000000"/>
                <w:sz w:val="14"/>
                <w:szCs w:val="14"/>
                <w:lang w:val="it-IT" w:eastAsia="it-IT"/>
              </w:rPr>
            </w:pPr>
            <w:r w:rsidRPr="005D4B5F">
              <w:rPr>
                <w:rFonts w:ascii="Tahoma" w:hAnsi="Tahoma" w:cs="Tahoma"/>
                <w:iCs/>
                <w:color w:val="333333"/>
                <w:sz w:val="14"/>
                <w:szCs w:val="14"/>
                <w:lang w:val="it-IT" w:eastAsia="it-IT"/>
              </w:rPr>
              <w:t>Guest Editors:</w:t>
            </w:r>
            <w:r w:rsidRPr="005D4B5F">
              <w:rPr>
                <w:rFonts w:ascii="Tahoma" w:hAnsi="Tahoma" w:cs="Tahoma"/>
                <w:color w:val="000000"/>
                <w:sz w:val="14"/>
                <w:szCs w:val="14"/>
                <w:shd w:val="clear" w:color="auto" w:fill="FFFFFF"/>
                <w:lang w:val="it-IT"/>
              </w:rPr>
              <w:t xml:space="preserve"> </w:t>
            </w:r>
            <w:r w:rsidR="005E7C48" w:rsidRPr="005D4B5F">
              <w:rPr>
                <w:sz w:val="14"/>
                <w:szCs w:val="14"/>
                <w:lang w:val="it-IT"/>
              </w:rPr>
              <w:t>David Bogle, Flavio Manenti, Piero Salatino</w:t>
            </w:r>
          </w:p>
          <w:p w14:paraId="1B0F1814" w14:textId="6981DC84" w:rsidR="000A03B2" w:rsidRPr="0072326E" w:rsidRDefault="00AA7D26" w:rsidP="00AA7D26">
            <w:pPr>
              <w:tabs>
                <w:tab w:val="left" w:pos="-108"/>
              </w:tabs>
              <w:spacing w:line="140" w:lineRule="atLeast"/>
              <w:ind w:left="-107"/>
              <w:jc w:val="left"/>
              <w:rPr>
                <w:lang w:val="en-US"/>
              </w:rPr>
            </w:pPr>
            <w:r w:rsidRPr="0072326E">
              <w:rPr>
                <w:rFonts w:ascii="Tahoma" w:hAnsi="Tahoma" w:cs="Tahoma"/>
                <w:iCs/>
                <w:color w:val="333333"/>
                <w:sz w:val="14"/>
                <w:szCs w:val="14"/>
                <w:lang w:val="en-US" w:eastAsia="it-IT"/>
              </w:rPr>
              <w:t>Copyright © 2023, AIDIC Servizi S.r.l.</w:t>
            </w:r>
            <w:r w:rsidRPr="0072326E">
              <w:rPr>
                <w:rFonts w:ascii="Tahoma" w:hAnsi="Tahoma" w:cs="Tahoma"/>
                <w:iCs/>
                <w:color w:val="333333"/>
                <w:sz w:val="14"/>
                <w:szCs w:val="14"/>
                <w:lang w:val="en-US" w:eastAsia="it-IT"/>
              </w:rPr>
              <w:br/>
            </w:r>
            <w:r w:rsidRPr="0072326E">
              <w:rPr>
                <w:rFonts w:ascii="Tahoma" w:hAnsi="Tahoma" w:cs="Tahoma"/>
                <w:b/>
                <w:iCs/>
                <w:color w:val="000000"/>
                <w:sz w:val="14"/>
                <w:szCs w:val="14"/>
                <w:lang w:val="en-US" w:eastAsia="it-IT"/>
              </w:rPr>
              <w:t>ISBN</w:t>
            </w:r>
            <w:r w:rsidRPr="0072326E">
              <w:rPr>
                <w:rFonts w:ascii="Tahoma" w:hAnsi="Tahoma" w:cs="Tahoma"/>
                <w:iCs/>
                <w:color w:val="000000"/>
                <w:sz w:val="14"/>
                <w:szCs w:val="14"/>
                <w:lang w:val="en-US" w:eastAsia="it-IT"/>
              </w:rPr>
              <w:t xml:space="preserve"> </w:t>
            </w:r>
            <w:r w:rsidR="008B7C03" w:rsidRPr="0072326E">
              <w:rPr>
                <w:rFonts w:ascii="Tahoma" w:hAnsi="Tahoma" w:cs="Tahoma"/>
                <w:sz w:val="14"/>
                <w:szCs w:val="14"/>
                <w:lang w:val="en-US"/>
              </w:rPr>
              <w:t>979-12-81206</w:t>
            </w:r>
            <w:r w:rsidRPr="0072326E">
              <w:rPr>
                <w:rFonts w:ascii="Tahoma" w:hAnsi="Tahoma" w:cs="Tahoma"/>
                <w:sz w:val="14"/>
                <w:szCs w:val="14"/>
                <w:lang w:val="en-US"/>
              </w:rPr>
              <w:t>-</w:t>
            </w:r>
            <w:r w:rsidR="00E33DD7" w:rsidRPr="0072326E">
              <w:rPr>
                <w:rFonts w:ascii="Tahoma" w:hAnsi="Tahoma" w:cs="Tahoma"/>
                <w:sz w:val="14"/>
                <w:szCs w:val="14"/>
                <w:lang w:val="en-US"/>
              </w:rPr>
              <w:t>0</w:t>
            </w:r>
            <w:r w:rsidR="005E7C48" w:rsidRPr="0072326E">
              <w:rPr>
                <w:rFonts w:ascii="Tahoma" w:hAnsi="Tahoma" w:cs="Tahoma"/>
                <w:sz w:val="14"/>
                <w:szCs w:val="14"/>
                <w:lang w:val="en-US"/>
              </w:rPr>
              <w:t>4</w:t>
            </w:r>
            <w:r w:rsidRPr="0072326E">
              <w:rPr>
                <w:rFonts w:ascii="Tahoma" w:hAnsi="Tahoma" w:cs="Tahoma"/>
                <w:sz w:val="14"/>
                <w:szCs w:val="14"/>
                <w:lang w:val="en-US"/>
              </w:rPr>
              <w:t>-</w:t>
            </w:r>
            <w:r w:rsidR="005E7C48" w:rsidRPr="0072326E">
              <w:rPr>
                <w:rFonts w:ascii="Tahoma" w:hAnsi="Tahoma" w:cs="Tahoma"/>
                <w:sz w:val="14"/>
                <w:szCs w:val="14"/>
                <w:lang w:val="en-US"/>
              </w:rPr>
              <w:t>5</w:t>
            </w:r>
            <w:r w:rsidRPr="0072326E">
              <w:rPr>
                <w:rFonts w:ascii="Tahoma" w:hAnsi="Tahoma" w:cs="Tahoma"/>
                <w:iCs/>
                <w:color w:val="333333"/>
                <w:sz w:val="14"/>
                <w:szCs w:val="14"/>
                <w:lang w:val="en-US" w:eastAsia="it-IT"/>
              </w:rPr>
              <w:t xml:space="preserve">; </w:t>
            </w:r>
            <w:r w:rsidRPr="0072326E">
              <w:rPr>
                <w:rFonts w:ascii="Tahoma" w:hAnsi="Tahoma" w:cs="Tahoma"/>
                <w:b/>
                <w:iCs/>
                <w:color w:val="333333"/>
                <w:sz w:val="14"/>
                <w:szCs w:val="14"/>
                <w:lang w:val="en-US" w:eastAsia="it-IT"/>
              </w:rPr>
              <w:t>ISSN</w:t>
            </w:r>
            <w:r w:rsidRPr="0072326E">
              <w:rPr>
                <w:rFonts w:ascii="Tahoma" w:hAnsi="Tahoma" w:cs="Tahoma"/>
                <w:iCs/>
                <w:color w:val="333333"/>
                <w:sz w:val="14"/>
                <w:szCs w:val="14"/>
                <w:lang w:val="en-US" w:eastAsia="it-IT"/>
              </w:rPr>
              <w:t xml:space="preserve"> 2283-9216</w:t>
            </w:r>
          </w:p>
        </w:tc>
      </w:tr>
    </w:tbl>
    <w:p w14:paraId="2E667253" w14:textId="6510274C" w:rsidR="00E978D0" w:rsidRPr="0072326E" w:rsidRDefault="00835E70" w:rsidP="00E978D0">
      <w:pPr>
        <w:pStyle w:val="CETTitle"/>
        <w:rPr>
          <w:lang w:val="en-US"/>
        </w:rPr>
      </w:pPr>
      <w:r w:rsidRPr="0072326E">
        <w:rPr>
          <w:lang w:val="en-US"/>
        </w:rPr>
        <w:t>Kinetic Modeling of Sewage Sludge Combustion and Gasification for Energy Generation</w:t>
      </w:r>
    </w:p>
    <w:p w14:paraId="0488FED2" w14:textId="62FFA2E2" w:rsidR="00B57E6F" w:rsidRPr="005D4B5F" w:rsidRDefault="00E12147" w:rsidP="00B57E6F">
      <w:pPr>
        <w:pStyle w:val="CETAuthors"/>
        <w:rPr>
          <w:lang w:val="it-IT"/>
        </w:rPr>
      </w:pPr>
      <w:r w:rsidRPr="005D4B5F">
        <w:rPr>
          <w:lang w:val="it-IT"/>
        </w:rPr>
        <w:t>Francesco Negri</w:t>
      </w:r>
      <w:r w:rsidR="00B57E6F" w:rsidRPr="005D4B5F">
        <w:rPr>
          <w:vertAlign w:val="superscript"/>
          <w:lang w:val="it-IT"/>
        </w:rPr>
        <w:t>a</w:t>
      </w:r>
      <w:r w:rsidRPr="005D4B5F">
        <w:rPr>
          <w:vertAlign w:val="superscript"/>
          <w:lang w:val="it-IT"/>
        </w:rPr>
        <w:t>,b</w:t>
      </w:r>
      <w:r w:rsidR="00B57E6F" w:rsidRPr="005D4B5F">
        <w:rPr>
          <w:lang w:val="it-IT"/>
        </w:rPr>
        <w:t xml:space="preserve">, </w:t>
      </w:r>
      <w:r w:rsidRPr="005D4B5F">
        <w:rPr>
          <w:lang w:val="it-IT"/>
        </w:rPr>
        <w:t>Francesco Gallo</w:t>
      </w:r>
      <w:r w:rsidRPr="005D4B5F">
        <w:rPr>
          <w:vertAlign w:val="superscript"/>
          <w:lang w:val="it-IT"/>
        </w:rPr>
        <w:t>a</w:t>
      </w:r>
      <w:r w:rsidRPr="005D4B5F">
        <w:rPr>
          <w:lang w:val="it-IT"/>
        </w:rPr>
        <w:t>, Fl</w:t>
      </w:r>
      <w:r w:rsidR="00B670CB" w:rsidRPr="005D4B5F">
        <w:rPr>
          <w:lang w:val="it-IT"/>
        </w:rPr>
        <w:t>a</w:t>
      </w:r>
      <w:r w:rsidRPr="005D4B5F">
        <w:rPr>
          <w:lang w:val="it-IT"/>
        </w:rPr>
        <w:t>vio Manenti</w:t>
      </w:r>
      <w:r w:rsidRPr="005D4B5F">
        <w:rPr>
          <w:vertAlign w:val="superscript"/>
          <w:lang w:val="it-IT"/>
        </w:rPr>
        <w:t>b,*</w:t>
      </w:r>
    </w:p>
    <w:p w14:paraId="6B2D21B3" w14:textId="323B53C2" w:rsidR="00B57E6F" w:rsidRPr="005D4B5F" w:rsidRDefault="00B57E6F" w:rsidP="00B57E6F">
      <w:pPr>
        <w:pStyle w:val="CETAddress"/>
        <w:rPr>
          <w:lang w:val="it-IT"/>
        </w:rPr>
      </w:pPr>
      <w:r w:rsidRPr="005D4B5F">
        <w:rPr>
          <w:vertAlign w:val="superscript"/>
          <w:lang w:val="it-IT"/>
        </w:rPr>
        <w:t>a</w:t>
      </w:r>
      <w:r w:rsidR="00B32E0C" w:rsidRPr="005D4B5F">
        <w:rPr>
          <w:lang w:val="it-IT"/>
        </w:rPr>
        <w:t xml:space="preserve">Itelyum Regeneration </w:t>
      </w:r>
      <w:r w:rsidR="0043643B">
        <w:rPr>
          <w:lang w:val="it-IT"/>
        </w:rPr>
        <w:t>SpA</w:t>
      </w:r>
      <w:r w:rsidR="00B32E0C" w:rsidRPr="005D4B5F">
        <w:rPr>
          <w:lang w:val="it-IT"/>
        </w:rPr>
        <w:t>, Via Tavernelle 19, Pieve Fissiraga 26854, Lodi, Italy</w:t>
      </w:r>
    </w:p>
    <w:p w14:paraId="3D72B0B0" w14:textId="1B996BB4" w:rsidR="00B57E6F" w:rsidRPr="005D4B5F" w:rsidRDefault="00B57E6F" w:rsidP="00F562D4">
      <w:pPr>
        <w:pStyle w:val="CETAddress"/>
        <w:rPr>
          <w:lang w:val="it-IT"/>
        </w:rPr>
      </w:pPr>
      <w:r w:rsidRPr="005D4B5F">
        <w:rPr>
          <w:vertAlign w:val="superscript"/>
          <w:lang w:val="it-IT"/>
        </w:rPr>
        <w:t>b</w:t>
      </w:r>
      <w:r w:rsidR="00F562D4" w:rsidRPr="005D4B5F">
        <w:rPr>
          <w:lang w:val="it-IT"/>
        </w:rPr>
        <w:t>Politecnico di Milano, Dipartimento di Chimica, Materiali e Ingegneria Chimica “Giulio Natta”, Milan 20133, Italy</w:t>
      </w:r>
    </w:p>
    <w:p w14:paraId="73F1267A" w14:textId="6758BFBB" w:rsidR="00B57E6F" w:rsidRPr="006B22C8" w:rsidRDefault="00B57E6F" w:rsidP="00B57E6F">
      <w:pPr>
        <w:pStyle w:val="CETemail"/>
        <w:rPr>
          <w:lang w:val="en-US"/>
        </w:rPr>
      </w:pPr>
      <w:r w:rsidRPr="005D4B5F">
        <w:rPr>
          <w:lang w:val="it-IT"/>
        </w:rPr>
        <w:t xml:space="preserve"> </w:t>
      </w:r>
      <w:r w:rsidR="001C2683" w:rsidRPr="006B22C8">
        <w:rPr>
          <w:lang w:val="en-US"/>
        </w:rPr>
        <w:t>flavio.manenti@polimi.it</w:t>
      </w:r>
    </w:p>
    <w:p w14:paraId="37A61FCE" w14:textId="3EDFA271" w:rsidR="00DA24C6" w:rsidRPr="00A35CB4" w:rsidRDefault="00A35CB4" w:rsidP="00020739">
      <w:pPr>
        <w:pStyle w:val="CETBodytext"/>
      </w:pPr>
      <w:r w:rsidRPr="00A35CB4">
        <w:t xml:space="preserve">Sewage sludge is </w:t>
      </w:r>
      <w:r w:rsidR="008522FF">
        <w:t xml:space="preserve">a waste that is difficult to </w:t>
      </w:r>
      <w:r w:rsidR="005D4F32">
        <w:t xml:space="preserve">valorize </w:t>
      </w:r>
      <w:r w:rsidR="00B168DD">
        <w:t>due to its high ash content and presence of p</w:t>
      </w:r>
      <w:r w:rsidR="00BE7B63">
        <w:t>ollut</w:t>
      </w:r>
      <w:r w:rsidR="005315F7">
        <w:t xml:space="preserve">ants. </w:t>
      </w:r>
      <w:r w:rsidR="002F2D66">
        <w:t xml:space="preserve">Thermal conversion of sewage sludge in waste-to-energy systems allows to add value to this waste by exploiting its energy content and </w:t>
      </w:r>
      <w:r w:rsidR="006335A9">
        <w:t>significantly reducing</w:t>
      </w:r>
      <w:r w:rsidR="002F2D66">
        <w:t xml:space="preserve"> the amount of final waste to be disposed in landfill</w:t>
      </w:r>
      <w:r w:rsidR="008157AB">
        <w:t xml:space="preserve">, </w:t>
      </w:r>
      <w:r w:rsidR="008400EA">
        <w:t xml:space="preserve">but </w:t>
      </w:r>
      <w:r w:rsidR="008157AB">
        <w:t>these</w:t>
      </w:r>
      <w:r w:rsidR="00BD3FA2">
        <w:t xml:space="preserve"> process</w:t>
      </w:r>
      <w:r w:rsidR="008157AB">
        <w:t>es</w:t>
      </w:r>
      <w:r w:rsidR="00BD3FA2">
        <w:t xml:space="preserve"> must be modeled in detail to obtain </w:t>
      </w:r>
      <w:r w:rsidR="00202538">
        <w:t>reliable</w:t>
      </w:r>
      <w:r w:rsidR="00BD3FA2">
        <w:t xml:space="preserve"> results</w:t>
      </w:r>
      <w:r w:rsidR="00B64732">
        <w:t xml:space="preserve">. The GasDS simulation suite can be used for </w:t>
      </w:r>
      <w:r w:rsidR="00EE24EA">
        <w:t>such purpose</w:t>
      </w:r>
      <w:r w:rsidR="00C62DCA">
        <w:t xml:space="preserve"> since it is an advanced tool for the </w:t>
      </w:r>
      <w:r w:rsidR="00F171A2">
        <w:t xml:space="preserve">detailed simulation of complex kinetic, mass, and energy transfer phenomena happening inside of </w:t>
      </w:r>
      <w:r w:rsidR="00733978">
        <w:t xml:space="preserve">gas-solid reacting systems. The peculiar characteristics of sewage sludge both in terms of chemical-physical </w:t>
      </w:r>
      <w:r w:rsidR="001B0066">
        <w:t>properties</w:t>
      </w:r>
      <w:r w:rsidR="00733978">
        <w:t xml:space="preserve"> and ther</w:t>
      </w:r>
      <w:r w:rsidR="002A795F">
        <w:t>mal decomposition behavior make</w:t>
      </w:r>
      <w:r w:rsidR="00733978">
        <w:t xml:space="preserve"> it necessary to add new information in the GasDS database. A simplified kinetic model based on lumps (sludge, gas, tar, char, H</w:t>
      </w:r>
      <w:r w:rsidR="00733978" w:rsidRPr="00733978">
        <w:rPr>
          <w:vertAlign w:val="subscript"/>
        </w:rPr>
        <w:t>2</w:t>
      </w:r>
      <w:r w:rsidR="00733978">
        <w:t xml:space="preserve">O) and two consecutive pyrolysis reactions is proposed </w:t>
      </w:r>
      <w:r w:rsidR="006335A9">
        <w:t xml:space="preserve">and fitted on experimental data, leading to a reaction scheme that can be implemented in the modeling suite. Simulations of air-based sewage sludge thermal conversion systems working at different degrees of oxidation severity are performed, and results regarding flowrate, temperature, and composition of </w:t>
      </w:r>
      <w:r w:rsidR="00820840">
        <w:t>gaseous effluent</w:t>
      </w:r>
      <w:r w:rsidR="006335A9">
        <w:t xml:space="preserve"> are </w:t>
      </w:r>
      <w:r w:rsidR="006C54B1">
        <w:t>shown</w:t>
      </w:r>
      <w:r w:rsidR="006335A9">
        <w:t>. Aspen HYSYS simulation software is used to model waste-to-energy systems for the production of electric power. Key performance indicators such as the specific net power output, energy yield, and CO</w:t>
      </w:r>
      <w:r w:rsidR="006335A9" w:rsidRPr="00B03B23">
        <w:rPr>
          <w:vertAlign w:val="subscript"/>
        </w:rPr>
        <w:t>2</w:t>
      </w:r>
      <w:r w:rsidR="006335A9">
        <w:t xml:space="preserve"> emissions are shown. Gasification-based combined cycles perform better with increasing ER and perform worse than combustion-bas</w:t>
      </w:r>
      <w:r w:rsidR="000C050A">
        <w:t xml:space="preserve">ed Rankine cycles at low </w:t>
      </w:r>
      <w:r w:rsidR="006335A9">
        <w:t>ER</w:t>
      </w:r>
      <w:r w:rsidR="000C050A">
        <w:t xml:space="preserve"> values</w:t>
      </w:r>
      <w:r w:rsidR="006335A9">
        <w:t>.</w:t>
      </w:r>
    </w:p>
    <w:p w14:paraId="476B2F2E" w14:textId="77777777" w:rsidR="00600535" w:rsidRPr="0072326E" w:rsidRDefault="00600535" w:rsidP="00600535">
      <w:pPr>
        <w:pStyle w:val="CETHeading1"/>
      </w:pPr>
      <w:r w:rsidRPr="0072326E">
        <w:t>Introduction</w:t>
      </w:r>
    </w:p>
    <w:p w14:paraId="4AC9595F" w14:textId="4D97D98D" w:rsidR="006C34E0" w:rsidRPr="0072326E" w:rsidRDefault="00A84AD3" w:rsidP="009113A2">
      <w:pPr>
        <w:pStyle w:val="CETBodytext"/>
      </w:pPr>
      <w:r w:rsidRPr="0072326E">
        <w:t>Sewage sludge is a</w:t>
      </w:r>
      <w:r w:rsidR="008B7A84" w:rsidRPr="0072326E">
        <w:t xml:space="preserve"> waste produced by </w:t>
      </w:r>
      <w:r w:rsidR="002575E6" w:rsidRPr="0072326E">
        <w:t xml:space="preserve">wastewater treatment </w:t>
      </w:r>
      <w:r w:rsidR="00A0652A" w:rsidRPr="0072326E">
        <w:t>plants</w:t>
      </w:r>
      <w:r w:rsidR="00E156D7" w:rsidRPr="0072326E">
        <w:t xml:space="preserve">. </w:t>
      </w:r>
      <w:r w:rsidR="00D778A4" w:rsidRPr="0072326E">
        <w:t>This substance</w:t>
      </w:r>
      <w:r w:rsidR="00597BB0" w:rsidRPr="0072326E">
        <w:t xml:space="preserve"> </w:t>
      </w:r>
      <w:r w:rsidR="006C34E0" w:rsidRPr="0072326E">
        <w:t xml:space="preserve">is difficult to valorize since it </w:t>
      </w:r>
      <w:r w:rsidR="00597BB0" w:rsidRPr="0072326E">
        <w:t>typically show</w:t>
      </w:r>
      <w:r w:rsidR="008D690A" w:rsidRPr="0072326E">
        <w:t>s</w:t>
      </w:r>
      <w:r w:rsidR="00597BB0" w:rsidRPr="0072326E">
        <w:t xml:space="preserve"> </w:t>
      </w:r>
      <w:r w:rsidR="006D7CB1" w:rsidRPr="0072326E">
        <w:t xml:space="preserve">a high content </w:t>
      </w:r>
      <w:r w:rsidR="00D778A4" w:rsidRPr="0072326E">
        <w:t xml:space="preserve">in ash compared with other bio-based </w:t>
      </w:r>
      <w:r w:rsidR="001A5E45" w:rsidRPr="0072326E">
        <w:t xml:space="preserve">feedstock, </w:t>
      </w:r>
      <w:r w:rsidR="00475125" w:rsidRPr="0072326E">
        <w:t>reaching</w:t>
      </w:r>
      <w:r w:rsidR="00AC4B78" w:rsidRPr="0072326E">
        <w:t xml:space="preserve"> </w:t>
      </w:r>
      <w:r w:rsidR="00D26F9B" w:rsidRPr="0072326E">
        <w:t>approximately</w:t>
      </w:r>
      <w:r w:rsidR="00F948C8">
        <w:t xml:space="preserve"> 50% of inorganic content</w:t>
      </w:r>
      <w:r w:rsidR="00010676">
        <w:t>,</w:t>
      </w:r>
      <w:r w:rsidR="006C34E0" w:rsidRPr="0072326E">
        <w:t xml:space="preserve"> and it contains a large number of contaminants such as persistent pollutants and heavy metals </w:t>
      </w:r>
      <w:r w:rsidR="006C34E0" w:rsidRPr="0072326E">
        <w:fldChar w:fldCharType="begin"/>
      </w:r>
      <w:r w:rsidR="006C34E0" w:rsidRPr="0072326E">
        <w:instrText xml:space="preserve"> ADDIN ZOTERO_ITEM CSL_CITATION {"citationID":"fh31adDG","properties":{"formattedCitation":"(Mateo-Sagasta et al., 2015)","plainCitation":"(Mateo-Sagasta et al., 2015)","noteIndex":0},"citationItems":[{"id":148,"uris":["http://zotero.org/users/11115034/items/GVLYFLG4"],"itemData":{"id":148,"type":"chapter","abstract":"Cities produce large amounts and very diverse types of waste including wastewater. The quality of these wastes depends on their source, the way in which they are collected and the treatment they receive. The final fate of these wastes is also very diverse. To better understand these systems this chapter provides definitions and reuse typologies and describes common reuse patterns and their driving factors. The chapter also shows that, while the prospects for resource recovery from wastewater and sludge are promising the potential is still largely untapped, except in the informal sector. The resources embedded in the approximately 330 km3/year of municipal wastewater that are globally generated would be theoretically enough to irrigate and fertilize millions of hectares of crops and to produce biogas to supply energy for millions of households. However, only a tiny proportion of these wastes is currently treated, and the portion which is safely reused is significantly smaller than the existing direct and especially indirect use of untreated wastewater, which are posing significant potential health risks. The chapter ends with a call for standardized data collection and reporting efforts across the formal and informal reuse sectors to provide more reliable and updated information on the wastewater and sludge cycles, essential to develop proper diagnosis and effective policies for the safe and productive use of these resources.","container-title":"Wastewater: Economic Asset in an Urbanizing World","event-place":"Dordrecht","ISBN":"978-94-017-9545-6","language":"en","note":"DOI: 10.1007/978-94-017-9545-6_2","page":"15-38","publisher":"Springer Netherlands","publisher-place":"Dordrecht","source":"Springer Link","title":"Global Wastewater and Sludge Production, Treatment and Use","URL":"https://doi.org/10.1007/978-94-017-9545-6_2","author":[{"family":"Mateo-Sagasta","given":"Javier"},{"family":"Raschid-Sally","given":"Liqa"},{"family":"Thebo","given":"Anne"}],"editor":[{"family":"Drechsel","given":"Pay"},{"family":"Qadir","given":"Manzoor"},{"family":"Wichelns","given":"Dennis"}],"accessed":{"date-parts":[["2023",3,30]]},"issued":{"date-parts":[["2015"]]}}}],"schema":"https://github.com/citation-style-language/schema/raw/master/csl-citation.json"} </w:instrText>
      </w:r>
      <w:r w:rsidR="006C34E0" w:rsidRPr="0072326E">
        <w:fldChar w:fldCharType="separate"/>
      </w:r>
      <w:r w:rsidR="006C34E0" w:rsidRPr="0072326E">
        <w:rPr>
          <w:rFonts w:cs="Arial"/>
        </w:rPr>
        <w:t>(Mateo-Sagasta et al., 2015)</w:t>
      </w:r>
      <w:r w:rsidR="006C34E0" w:rsidRPr="0072326E">
        <w:fldChar w:fldCharType="end"/>
      </w:r>
      <w:r w:rsidR="006C34E0" w:rsidRPr="0072326E">
        <w:t xml:space="preserve">. </w:t>
      </w:r>
      <w:r w:rsidR="00712365" w:rsidRPr="0072326E">
        <w:t xml:space="preserve">For this reason, the main route </w:t>
      </w:r>
      <w:r w:rsidR="008169AF" w:rsidRPr="0072326E">
        <w:t>for sewage sludge disposal starts with a</w:t>
      </w:r>
      <w:r w:rsidR="00712365" w:rsidRPr="0072326E">
        <w:t xml:space="preserve"> suitable stabilization that may be performed </w:t>
      </w:r>
      <w:r w:rsidR="00CD28E4" w:rsidRPr="0072326E">
        <w:t>via anaerobic digestion, aerobic</w:t>
      </w:r>
      <w:r w:rsidR="00712365" w:rsidRPr="0072326E">
        <w:t xml:space="preserve"> digestion</w:t>
      </w:r>
      <w:r w:rsidR="00CD28E4" w:rsidRPr="0072326E">
        <w:t>, chemical treatment</w:t>
      </w:r>
      <w:r w:rsidR="00712365" w:rsidRPr="0072326E">
        <w:t xml:space="preserve">, followed by </w:t>
      </w:r>
      <w:r w:rsidR="00CD28E4" w:rsidRPr="0072326E">
        <w:t xml:space="preserve">mechanical </w:t>
      </w:r>
      <w:r w:rsidR="00312282" w:rsidRPr="0072326E">
        <w:t>and/</w:t>
      </w:r>
      <w:r w:rsidR="00CD28E4" w:rsidRPr="0072326E">
        <w:t>or thermal dewatering</w:t>
      </w:r>
      <w:r w:rsidR="00312282" w:rsidRPr="0072326E">
        <w:t xml:space="preserve">, </w:t>
      </w:r>
      <w:r w:rsidR="00EF2643">
        <w:t>ending with</w:t>
      </w:r>
      <w:r w:rsidR="00312282" w:rsidRPr="0072326E">
        <w:t xml:space="preserve"> permanent</w:t>
      </w:r>
      <w:r w:rsidR="00CD28E4" w:rsidRPr="0072326E">
        <w:t xml:space="preserve"> </w:t>
      </w:r>
      <w:r w:rsidR="00B530D6" w:rsidRPr="0072326E">
        <w:t xml:space="preserve">disposal via </w:t>
      </w:r>
      <w:r w:rsidR="00712365" w:rsidRPr="0072326E">
        <w:t>landfilling</w:t>
      </w:r>
      <w:r w:rsidR="00CD28E4" w:rsidRPr="0072326E">
        <w:t xml:space="preserve"> </w:t>
      </w:r>
      <w:r w:rsidR="00CD28E4" w:rsidRPr="0072326E">
        <w:fldChar w:fldCharType="begin"/>
      </w:r>
      <w:r w:rsidR="00CD28E4" w:rsidRPr="0072326E">
        <w:instrText xml:space="preserve"> ADDIN ZOTERO_ITEM CSL_CITATION {"citationID":"FTTv4rsb","properties":{"formattedCitation":"(Kelessidis and Stasinakis, 2012)","plainCitation":"(Kelessidis and Stasinakis, 2012)","noteIndex":0},"citationItems":[{"id":152,"uris":["http://zotero.org/users/11115034/items/27MJ8AK8"],"itemData":{"id":152,"type":"article-journal","abstract":"Municipal wastewater treatment results to the production of large quantities of sewage sludge, which requires proper and environmentally accepted management before final disposal. In European Union, sludge management remains an open and challenging issue for the Member States as the relative European legislation is fragmentary and quite old, while the published data concerning sludge treatment and disposal in different European countries are often incomplete and inhomogeneous. The main objective of the current study was to outline the current situation and discuss future perspectives for sludge treatment and disposal in EU countries.According to the results, specific sludge production is differentiated significantly between European countries, ranging from 0.1. kg per population equivalent (p.e.) and year (Malta) to 30.8. kg per p.e. and year (Austria). More stringent legislations comparing to European Directive 86/278/EC have been adopted for sludge disposal in soil by several European countries, setting lower limit values for heavy metals as well as limit values for pathogens and organic micropollutants.A great variety of sludge treatment technologies are used in EU countries, while differences are observed between Member States. Anaerobic and aerobic digestion seems to be the most popular stabilization methods, applying in 24 and 20 countries, respectively. Mechanical sludge dewatering is preferred comparing to the use of drying beds, while thermal drying is mainly applied in EU-15 countries (old Member States) and especially in Germany, Italy, France and UK.Regarding sludge final disposal, sludge reuse (including direct agricultural application and composting) seems to be the predominant choice for sludge management in EU-15 (53% of produced sludge), following by incineration (21% of produced sludge). On the other hand, the most common disposal method in EU-12 countries (new Member States that joined EU after 2004) is still landfilling. Due to the obligations set by Directive 91/271/EC, a temporary increase of sludge amounts that are disposed in landfills is expected during the following years in EU-12 countries. Beside the above, sludge reuse in land and sludge incineration seem to be the main practices further adopted in EU-27 (all Member States) up to 2020. The reinforcement of these disposal practices will probably result to adoption of advanced sludge treatment technologies in order to achieve higher pathogens removal, odors control and removal of toxic compounds and ensure human health and environmental protection. © 2012 Elsevier Ltd.","archive":"Scopus","container-title":"Waste Management","DOI":"10.1016/j.wasman.2012.01.012","ISSN":"1879-2456","issue":"6","language":"English","page":"1186-1195","source":"Scopus","title":"Comparative study of the methods used for treatment and final disposal of sewage sludge in European countries","volume":"32","author":[{"family":"Kelessidis","given":"A."},{"family":"Stasinakis","given":"A.S."}],"issued":{"date-parts":[["2012"]]}}}],"schema":"https://github.com/citation-style-language/schema/raw/master/csl-citation.json"} </w:instrText>
      </w:r>
      <w:r w:rsidR="00CD28E4" w:rsidRPr="0072326E">
        <w:fldChar w:fldCharType="separate"/>
      </w:r>
      <w:r w:rsidR="00CD28E4" w:rsidRPr="0072326E">
        <w:rPr>
          <w:rFonts w:cs="Arial"/>
        </w:rPr>
        <w:t>(Kelessidis and Stasinakis, 2012)</w:t>
      </w:r>
      <w:r w:rsidR="00CD28E4" w:rsidRPr="0072326E">
        <w:fldChar w:fldCharType="end"/>
      </w:r>
      <w:r w:rsidR="00712365" w:rsidRPr="0072326E">
        <w:t xml:space="preserve">. </w:t>
      </w:r>
      <w:r w:rsidR="005F2B1B">
        <w:t>A possible way to</w:t>
      </w:r>
      <w:r w:rsidR="00127898">
        <w:t xml:space="preserve"> valorize sewage sludge while also significantly limiting the possible drawbacks coming from its pollutants is represented by thermal processes </w:t>
      </w:r>
      <w:r w:rsidR="00127898">
        <w:fldChar w:fldCharType="begin"/>
      </w:r>
      <w:r w:rsidR="00127898">
        <w:instrText xml:space="preserve"> ADDIN ZOTERO_ITEM CSL_CITATION {"citationID":"ikaDHLMw","properties":{"formattedCitation":"(Werther and Ogada, 1999)","plainCitation":"(Werther and Ogada, 1999)","noteIndex":0},"citationItems":[{"id":161,"uris":["http://zotero.org/users/11115034/items/MBTJZG24"],"itemData":{"id":161,"type":"article-journal","abstract":"In the current review paper, various issues related to the combustion of sewage sludge are discussed. After briefly explaining the formation and treatment of sewage sludge, current and future sludge production are discussed. Thereafter, the four sludge disposal methods which are currently used, i.e. recycling in agriculture, landfilling, dumping into sea and incineration, are examined, and the future trend presented showing the increasing role of sludge incineration. Thereafter, technologies for thermal processing of sewage sludge are presented. They are discussed in three groups, i.e. mono-combustion, co-combustion and alternative processes. Various mono-combustion incinerators, including multiple hearth, fluidized bed and smelting furnaces are briefly discussed, whereas for co-combustion, attention has been given to co-combustion with coals in pulverized and fluidized bed coal combustors, as well as co-incineration with municipal solid wastes in various furnaces. Where possible, data from large scale plants are presented. Currently being discussed in the sludge disposal cycles are the alternative thermal processes to sludge combustion. These include wet oxidation, pyrolysis, oil from sludge processes, and combinations of pyrolysis, combustion and gasification processes. Some of these alternative technologies are also briefly discussed. An important aspect during thermal processing of sewage sludge is its combustion mechanisms. Compared to coals, sewage sludge has very high contents of moisture and volatile matter which can affect the combustion process. The importance of the drying and devolatilization processes for sewage sludge combustion is thus examined. In a special case, the release and combustion of the volatiles during sludge combustion in fluidized bed combustors is analysed, and some information concerning the combustion of sludge char is presented. Another important issue of sludge combustion is the emissions of pollutants gases as well as the handling of solid by-products. Of concern include the heavy metals, mercury, dioxins and furans, acid gases, as well as NOx and N2O. These are also briefly discussed. A peculiar characteristic of sewage sludge is its high content of nitrogen, and attention has been given to see how this affects the N2O and NOx emissions. In a special case, emission performance of large scale combustors of sewage sludge is presented. © 1998 Elsevier Science 1998. All rights reserved.","archive":"Scopus","container-title":"Progress in Energy and Combustion Science","DOI":"10.1016/S0360-1285(98)00020-3","ISSN":"0360-1285","issue":"1","language":"English","page":"55-116","source":"Scopus","title":"Sewage sludge combustion","volume":"25","author":[{"family":"Werther","given":"J."},{"family":"Ogada","given":"T."}],"issued":{"date-parts":[["1999"]]}}}],"schema":"https://github.com/citation-style-language/schema/raw/master/csl-citation.json"} </w:instrText>
      </w:r>
      <w:r w:rsidR="00127898">
        <w:fldChar w:fldCharType="separate"/>
      </w:r>
      <w:r w:rsidR="00127898" w:rsidRPr="00127898">
        <w:rPr>
          <w:rFonts w:cs="Arial"/>
        </w:rPr>
        <w:t>(Werther and Ogada, 1999)</w:t>
      </w:r>
      <w:r w:rsidR="00127898">
        <w:fldChar w:fldCharType="end"/>
      </w:r>
      <w:r w:rsidR="00127898">
        <w:t>. Stabilized and dewatered sewage sludge is a suitable feedstock for waste-to-energy plants, where it can be used to generate electrical and</w:t>
      </w:r>
      <w:r w:rsidR="003A34C3">
        <w:t>/or</w:t>
      </w:r>
      <w:r w:rsidR="00127898">
        <w:t xml:space="preserve"> thermal energy</w:t>
      </w:r>
      <w:r w:rsidR="00EE770F">
        <w:t xml:space="preserve"> through complete thermal oxidation</w:t>
      </w:r>
      <w:r w:rsidR="00127898">
        <w:t xml:space="preserve"> </w:t>
      </w:r>
      <w:r w:rsidR="00127898">
        <w:fldChar w:fldCharType="begin"/>
      </w:r>
      <w:r w:rsidR="00127898">
        <w:instrText xml:space="preserve"> ADDIN ZOTERO_ITEM CSL_CITATION {"citationID":"JcQRwGUG","properties":{"formattedCitation":"(Stehl\\uc0\\u237{}k, 2009)","plainCitation":"(Stehlík, 2009)","noteIndex":0},"citationItems":[{"id":164,"uris":["http://zotero.org/users/11115034/items/ZSERTTP9"],"itemData":{"id":164,"type":"article-journal","abstract":"This paper presents a number of recent advances in technologies and improvements in units for the thermal processing of municipal solid waste (MSW) and various other types of waste. The focus is on the 'waste-to-energy' approach; various criteria for this approach are discussed, as well as the inconsistent attitudes about waste management approaches that are present in various countries in the European Union. The presented achievements include low-NOx burners, improved efficiency, heat exchangers, waste heat recovery systems, newly developed equipment for wet scrubbing, dioxin filters and systems for the treatment of sewage sludge. A new concept for a regional Waste-to-Energy Centre (WTEC) is outlined, the design of which is based on a combination of experience, know-how and a sophisticated approach. The proposed WTEC will use up-to-date technologies and will provide an adequate response to the growing population and rising standards of living as well to increasingly stringent environmental regulatory standards. Utilization of computational methods such as Computational Fluid Dynamics (CFD) for design optimisation and/or for troubleshooting is demonstrated with examples (flue gas duct, burner, combustion chamber). Several examples from industrial applications are summarized. © 2009 Elsevier Ltd. All rights reserved.","archive":"Scopus","container-title":"Journal of Cleaner Production","DOI":"10.1016/j.jclepro.2009.02.011","ISSN":"0959-6526","issue":"10","language":"English","page":"919-931","source":"Scopus","title":"Contribution to advances in waste-to-energy technologies","volume":"17","author":[{"family":"Stehlík","given":"P."}],"issued":{"date-parts":[["2009"]]}}}],"schema":"https://github.com/citation-style-language/schema/raw/master/csl-citation.json"} </w:instrText>
      </w:r>
      <w:r w:rsidR="00127898">
        <w:fldChar w:fldCharType="separate"/>
      </w:r>
      <w:r w:rsidR="00127898" w:rsidRPr="00127898">
        <w:rPr>
          <w:rFonts w:cs="Arial"/>
          <w:szCs w:val="24"/>
        </w:rPr>
        <w:t>(Stehlík, 2009)</w:t>
      </w:r>
      <w:r w:rsidR="00127898">
        <w:fldChar w:fldCharType="end"/>
      </w:r>
      <w:r w:rsidR="00CA095E">
        <w:t>.</w:t>
      </w:r>
      <w:r w:rsidR="00A904A7">
        <w:t xml:space="preserve"> </w:t>
      </w:r>
      <w:r w:rsidR="00386777">
        <w:t>Ther</w:t>
      </w:r>
      <w:r w:rsidR="0001169F">
        <w:t xml:space="preserve">e is also the possibility to stabilize the sludge by treating it at high temperature and pressure through the hydrothermal carbonization process, leading to the production of a type of bio-char called hydrochar </w:t>
      </w:r>
      <w:r w:rsidR="00C26FEB">
        <w:fldChar w:fldCharType="begin"/>
      </w:r>
      <w:r w:rsidR="00C26FEB">
        <w:instrText xml:space="preserve"> ADDIN ZOTERO_ITEM CSL_CITATION {"citationID":"wio9rRe7","properties":{"formattedCitation":"(Kambo and Dutta, 2015)","plainCitation":"(Kambo and Dutta, 2015)","noteIndex":0},"citationItems":[{"id":170,"uris":["http://zotero.org/users/11115034/items/GGKVEXSQ"],"itemData":{"id":170,"type":"article-journal","abstract":"Slow-pyrolysis of biomass for the production of biochar, a stable carbon-rich solid by-product, has gained considerable interest due to its proven role and application in the multidisciplinary areas of science and engineering. An alternative to slow-pyrolysis is a relatively new process called hydrothermal carbonization (HTC) of biomass, where the biomass is treated with hot compressed water instead of drying, has shown promising results. The HTC process offers several advantages over conventional dry-thermal pre-treatments like slow-pyrolysis in terms of improvements in the process performances and economic efficiency, especially its ability to process wet feedstock without pre-drying requirement. Char produced from both the processes exhibits significantly different physiochemical properties that affect their potential applications, which includes but is not limited to carbon sequestration, soil amelioration, bioenergy production, and wastewater pollution remediation. This paper provides an updated review on the fundamentals and reaction mechanisms of the slow-pyrolysis and HTC processes, identifies research gaps, and summarizes the physicochemical characteristics of chars for different applications in the industry. The literature reviewed in this study suggests that hydrochar (HTC char) is a valuable resource and is superior to biochar in certain ways. For example, it contains a reduced alkali and alkaline earth and heavy metal content, and an increased higher heating value compared to the biochar produced at the same operating process temperature. However, its effective utilization would require further experimental research and investigations in terms of feeding of biomass against pressure; effects and relationships among feedstocks compositions, hydrochar characteristics and process conditions; advancement in the production technique(s) for improvement in the physicochemical behavior of hydrochar; and development of a diverse range of processing options to produce hydrochar with characteristics required for various industry applications. © 2015 Elsevier Ltd. All rights reserved.","archive":"Scopus","container-title":"Renewable and Sustainable Energy Reviews","DOI":"10.1016/j.rser.2015.01.050","ISSN":"1364-0321","language":"English","page":"359-378","source":"Scopus","title":"A comparative review of biochar and hydrochar in terms of production, physico-chemical properties and applications","volume":"45","author":[{"family":"Kambo","given":"H.S."},{"family":"Dutta","given":"A."}],"issued":{"date-parts":[["2015"]]}}}],"schema":"https://github.com/citation-style-language/schema/raw/master/csl-citation.json"} </w:instrText>
      </w:r>
      <w:r w:rsidR="00C26FEB">
        <w:fldChar w:fldCharType="separate"/>
      </w:r>
      <w:r w:rsidR="00C26FEB" w:rsidRPr="00C26FEB">
        <w:rPr>
          <w:rFonts w:cs="Arial"/>
        </w:rPr>
        <w:t>(Kambo and Dutta, 2015)</w:t>
      </w:r>
      <w:r w:rsidR="00C26FEB">
        <w:fldChar w:fldCharType="end"/>
      </w:r>
      <w:r w:rsidR="00C26FEB">
        <w:t xml:space="preserve">. </w:t>
      </w:r>
      <w:r w:rsidR="00E648FC">
        <w:t xml:space="preserve">Hydrochar can then be valorized through energy generation </w:t>
      </w:r>
      <w:r w:rsidR="00E648FC">
        <w:fldChar w:fldCharType="begin"/>
      </w:r>
      <w:r w:rsidR="00E648FC">
        <w:instrText xml:space="preserve"> ADDIN ZOTERO_ITEM CSL_CITATION {"citationID":"yzC6SaGq","properties":{"formattedCitation":"(Prifti et al., 2021)","plainCitation":"(Prifti et al., 2021)","noteIndex":0},"citationItems":[{"id":178,"uris":["http://zotero.org/users/11115034/items/99GBB3A4"],"itemData":{"id":178,"type":"article-journal","abstract":"Hydrochar is produced by means of hydrothermal carbonization at relatively low temperatures (180-260°C) in sub-critical water. While, in many respects similar to biochar, its physical and chemical properties differ significantly (Basu, 2018). Of particular interest for this work are the higher energy density and lower ash content, that make hydrochar a possible feedstock for gasification plants with energy generation purposes. A gasification step is used instead of direct combustion to convert solid fuels in energy to achieve cleaner combustion and higher efficiency (Wang and Stiegel, 2016). In this work a 400 kg/h hydrochar gasification plant was modelled to identify optimal conditions and energetic yield of hydrochar obtained from municipal sewage. The fixed bed, updraft, gasification reactor was modeled in detail using a multi-scale, multiphase methodology already widely tested on biomass (Corbetta et al., 2015; Ranzi et al., 2014). The gas solid kinetic model was coupled with a detailed gas-phase kinetic scheme with over 200 species, including reaction intermediates, and 2000 reactions for reliable product yield prediction. Using Visual Basic Application as an interface, the predictions from the detailed simulation package were delivered to a commercial simulation package to model the energy generation section of the plant. Aspen HYSYS V10 was used for this purpose for the simplicity of integration and its widespread use in similar industrial plants. The gasification was carried out with air, air enriched in oxygen to 28%, air enriched in oxygen to 35% and pure oxygen with different amounts of steam to control the temperature in the chamber and at different values of equivalence ratio. The gasification performance was evaluated in terms of lower heating value of the generated fuel gas while the H2S formation was accounted for only in a superficial manner using rules of thumb derived from previous experimental experience. Copyright © 2021, AIDIC Servizi S.r.l.","archive":"Scopus","container-title":"Chemical Engineering Transactions","DOI":"10.3303/CET2186155","ISSN":"2283-9216","language":"English","page":"925-930","source":"Scopus","title":"Improving hydrothermal carbonization (HTC) processes by hydrochar gasification","volume":"86","author":[{"family":"Prifti","given":"K."},{"family":"Basso","given":"D."},{"family":"Pavanetto","given":"R."},{"family":"Manenti","given":"F."}],"issued":{"date-parts":[["2021"]]}}}],"schema":"https://github.com/citation-style-language/schema/raw/master/csl-citation.json"} </w:instrText>
      </w:r>
      <w:r w:rsidR="00E648FC">
        <w:fldChar w:fldCharType="separate"/>
      </w:r>
      <w:r w:rsidR="00E648FC" w:rsidRPr="00E648FC">
        <w:rPr>
          <w:rFonts w:cs="Arial"/>
        </w:rPr>
        <w:t>(Prifti et al., 2021)</w:t>
      </w:r>
      <w:r w:rsidR="00E648FC">
        <w:fldChar w:fldCharType="end"/>
      </w:r>
      <w:r w:rsidR="00E648FC">
        <w:t xml:space="preserve"> or even production of high-value chemicals </w:t>
      </w:r>
      <w:r w:rsidR="00E648FC">
        <w:fldChar w:fldCharType="begin"/>
      </w:r>
      <w:r w:rsidR="00E648FC">
        <w:instrText xml:space="preserve"> ADDIN ZOTERO_ITEM CSL_CITATION {"citationID":"n8jxuMdL","properties":{"formattedCitation":"(Negri et al., 2022)","plainCitation":"(Negri et al., 2022)","noteIndex":0},"citationItems":[{"id":176,"uris":["http://zotero.org/users/11115034/items/BBE2T4UB"],"itemData":{"id":176,"type":"article-journal","abstract":"Bio-dimethyl ether (bio-DME) is an environmentally friendly alternative fuel for diesel engines that has several advantages over conventional fossil diesel fuel, such as lower emissions of particulate matter, hydrocarbons, carbon monoxide, and nitrogen oxides. The purpose of this paper is to perform a techno-economic analysis of a novel bio-DME production plant based on sewage sludge gasification. The first part of the work is centred around the modelling of a fixed bed, updraft gasification reactor, which is performed using a multi-scale, multiphase methodology already tested and validated on biomass feedstock using the GasDS suite, a property package developed at Politecnico di Milano. The gas-solid kinetic model is coupled with a detailed gas-phase kinetic scheme including more than 200 species, and more than 2,000 reactions. The work then illustrates a new process scheme that undergoes techno-economic and sensitivity analyses to understand the most impacting parameters on the feasibility of the process. This procedure is useful to understand if sludge gasification could be considered as an alternative feedstock and a viable option for the future development of a sustainable supply chain for the production of bio-DME. The obtained results are promising, showing productivity of 19.3 kg/h of fuel-grade bio-DME from 100 kg/h of hydrochar with a market-competitive production cost ranging from -0.370 and 0.924 €/kgDME, and an average value of 0.277 €/kgDME. Copyright © 2022, AIDIC Servizi S.r.l.","archive":"Scopus","container-title":"Chemical Engineering Transactions","DOI":"10.3303/CET2294181","ISSN":"2283-9216","language":"English","page":"1087-1092","source":"Scopus","title":"Techno-Economic Analysis of Dimethyl Ether Biofuel Production Plant Based on Sewage Sludge Gasification","volume":"94","author":[{"family":"Negri","given":"F."},{"family":"Nova","given":"A."},{"family":"Basso","given":"D."},{"family":"Manenti","given":"F."}],"issued":{"date-parts":[["2022"]]}}}],"schema":"https://github.com/citation-style-language/schema/raw/master/csl-citation.json"} </w:instrText>
      </w:r>
      <w:r w:rsidR="00E648FC">
        <w:fldChar w:fldCharType="separate"/>
      </w:r>
      <w:r w:rsidR="00E648FC" w:rsidRPr="00E648FC">
        <w:rPr>
          <w:rFonts w:cs="Arial"/>
        </w:rPr>
        <w:t>(Negri et al., 2022)</w:t>
      </w:r>
      <w:r w:rsidR="00E648FC">
        <w:fldChar w:fldCharType="end"/>
      </w:r>
      <w:r w:rsidR="00E648FC">
        <w:t>.</w:t>
      </w:r>
      <w:r w:rsidR="00A80E2D">
        <w:t xml:space="preserve"> </w:t>
      </w:r>
      <w:r w:rsidR="0011193C">
        <w:t xml:space="preserve">It is important to have a detailed description of </w:t>
      </w:r>
      <w:r w:rsidR="009A27E5">
        <w:t xml:space="preserve">the complex kinetic, mass and energy transfer mechanisms that take place in sewage sludge thermal conversion processes in order to </w:t>
      </w:r>
      <w:r w:rsidR="00C72F29">
        <w:t>obtain a precise</w:t>
      </w:r>
      <w:r w:rsidR="0036232A">
        <w:t xml:space="preserve"> and reliable</w:t>
      </w:r>
      <w:r w:rsidR="00C72F29">
        <w:t xml:space="preserve"> estimate of the performances for suc</w:t>
      </w:r>
      <w:r w:rsidR="00E35CEB">
        <w:t xml:space="preserve">h systems. </w:t>
      </w:r>
      <w:r w:rsidR="00EE5419">
        <w:t xml:space="preserve">The GasDS suite </w:t>
      </w:r>
      <w:r w:rsidR="00BD75D6">
        <w:t>is a powerful tool that can</w:t>
      </w:r>
      <w:r w:rsidR="0023416E">
        <w:t xml:space="preserve"> be</w:t>
      </w:r>
      <w:r w:rsidR="008464FE">
        <w:t xml:space="preserve"> used to achieve this objective since it is capable of describing in </w:t>
      </w:r>
      <w:r w:rsidR="00A42039">
        <w:t xml:space="preserve">great </w:t>
      </w:r>
      <w:r w:rsidR="008464FE">
        <w:t>detail chemical kinetics and transport phenomena</w:t>
      </w:r>
      <w:r w:rsidR="006E35D1">
        <w:t xml:space="preserve"> happening</w:t>
      </w:r>
      <w:r w:rsidR="0023416E">
        <w:t xml:space="preserve"> </w:t>
      </w:r>
      <w:r w:rsidR="007037F7">
        <w:t xml:space="preserve">in thermal conversion processes both for biomass </w:t>
      </w:r>
      <w:r w:rsidR="007037F7">
        <w:fldChar w:fldCharType="begin"/>
      </w:r>
      <w:r w:rsidR="007037F7">
        <w:instrText xml:space="preserve"> ADDIN ZOTERO_ITEM CSL_CITATION {"citationID":"27To3PKk","properties":{"formattedCitation":"(Ranzi et al., 2014)","plainCitation":"(Ranzi et al., 2014)","noteIndex":0},"citationItems":[{"id":181,"uris":["http://zotero.org/users/11115034/items/NV7F9XN7"],"itemData":{"id":181,"type":"article-journal","abstract":"The comprehensive description of the thermal degradation and combustion of biomass materials is a very challenging problem, as its complexity occurs at several levels: (1) multi-component problem, with an intrinsic variability of biomass composition; (2) multi-phase problem since the biomass reacts both in the condensed and in the gas phase resulting in the formation of a solid bio-char, a liquid bio-oil, and a gas phase; (3) multi-scale problem since the intra and inter-phase transport phenomena need to be considered both at the particle and reactor scale and (4) multi-dimensional problem since the overall system could evolve along several coordinates such as the particle radius, biomass bed, and time. This complexity is further enhanced by the need of a coupled and comprehensive approach of the transport phenomena and the detailed kinetic schemes both in the solid and gas phase. After a review of the multi-step kinetic model adopted for the pyrolysis of biomass particles, the homogeneous gas phase reactions, and the heterogeneous reactions of the residual char, this paper analyzes the mathematical model at the particle and reactor scale. The mathematical models of a biomass gasifier and a traveling grate combustor constitute two working examples of the different scales from the biomass particle up to whole industrial devices. © 2013 Elsevier Ltd.","archive":"Scopus","container-title":"Chemical Engineering Science","DOI":"10.1016/j.ces.2013.08.014","ISSN":"0009-2509","language":"English","page":"2-12","source":"Scopus","title":"Kinetic modeling of the thermal degradation and combustion of biomass","volume":"110","author":[{"family":"Ranzi","given":"E."},{"family":"Corbetta","given":"M."},{"family":"Manenti","given":"F."},{"family":"Pierucci","given":"S."}],"issued":{"date-parts":[["2014"]]}}}],"schema":"https://github.com/citation-style-language/schema/raw/master/csl-citation.json"} </w:instrText>
      </w:r>
      <w:r w:rsidR="007037F7">
        <w:fldChar w:fldCharType="separate"/>
      </w:r>
      <w:r w:rsidR="007037F7" w:rsidRPr="007037F7">
        <w:rPr>
          <w:rFonts w:cs="Arial"/>
        </w:rPr>
        <w:t>(Ranzi et al., 2014)</w:t>
      </w:r>
      <w:r w:rsidR="007037F7">
        <w:fldChar w:fldCharType="end"/>
      </w:r>
      <w:r w:rsidR="007037F7">
        <w:t xml:space="preserve"> and coal </w:t>
      </w:r>
      <w:r w:rsidR="007037F7">
        <w:fldChar w:fldCharType="begin"/>
      </w:r>
      <w:r w:rsidR="007037F7">
        <w:instrText xml:space="preserve"> ADDIN ZOTERO_ITEM CSL_CITATION {"citationID":"PKWGrgOJ","properties":{"formattedCitation":"(Corbetta et al., 2015)","plainCitation":"(Corbetta et al., 2015)","noteIndex":0},"citationItems":[{"id":185,"uris":["http://zotero.org/users/11115034/items/F8IMQBWE"],"itemData":{"id":185,"type":"article-journal","abstract":"Gasification is a thermochemical process devoted to the production of syngas, starting from a solid fuel such as coal, biomass, or refuse-derived fuel (RDF). The gasification efficiency and the chemical composition of the produced syngas are strongly affected by the feedstock and the operating conditions of the process. Besides the direct use as a fuel for power generation, downstream applications of syngas for chemical production demand specific H2/CO ratios, as extensively reported in the literature. For this reason, in the present work, a comprehensive mechanistic approach is applied to the description of the coal gasification process, highlighting the sensitivity of key operating parameters on syngas quality. The solution of this multi-scale, multi-phase, and multi-component problem requires careful attention to the kinetics in the solid and the gas phase as well as the heterogeneous gas-solid reactions. The kinetic model is validated with experimental data obtained in updraft gasifiers (including the Sotacarbo pilot gasification plant), and the catalytic effects of ash on the reactivity of low-rank coals are also addressed and quantified. © 2015 American Chemical Society.","archive":"Scopus","container-title":"Energy and Fuels","DOI":"10.1021/acs.energyfuels.5b00648","ISSN":"0887-0624","issue":"6","language":"English","page":"3972-3984","source":"Scopus","title":"Multi-scale kinetic modeling and experimental investigation of syngas production from coal gasification in updraft gasifiers","volume":"29","author":[{"family":"Corbetta","given":"M."},{"family":"Bassani","given":"A."},{"family":"Manenti","given":"F."},{"family":"Pirola","given":"C."},{"family":"Maggio","given":"E."},{"family":"Pettinau","given":"A."},{"family":"Deiana","given":"P."},{"family":"Pierucci","given":"S."},{"family":"Ranzi","given":"E."}],"issued":{"date-parts":[["2015"]]}}}],"schema":"https://github.com/citation-style-language/schema/raw/master/csl-citation.json"} </w:instrText>
      </w:r>
      <w:r w:rsidR="007037F7">
        <w:fldChar w:fldCharType="separate"/>
      </w:r>
      <w:r w:rsidR="007037F7" w:rsidRPr="007037F7">
        <w:rPr>
          <w:rFonts w:cs="Arial"/>
        </w:rPr>
        <w:t>(Corbetta et al., 2015)</w:t>
      </w:r>
      <w:r w:rsidR="007037F7">
        <w:fldChar w:fldCharType="end"/>
      </w:r>
      <w:r w:rsidR="007037F7">
        <w:t>.</w:t>
      </w:r>
      <w:r w:rsidR="006E35D1">
        <w:t xml:space="preserve"> </w:t>
      </w:r>
      <w:r w:rsidR="004E5362">
        <w:t>It has been shown that</w:t>
      </w:r>
      <w:r w:rsidR="007037F7">
        <w:t xml:space="preserve"> the suite can be successfully used</w:t>
      </w:r>
      <w:r w:rsidR="004E5362">
        <w:t xml:space="preserve"> when sewage sludge is pretreated via hydrothermal carbonization</w:t>
      </w:r>
      <w:r w:rsidR="00FF3788">
        <w:t xml:space="preserve"> since the resulting hydrochar has a comp</w:t>
      </w:r>
      <w:r w:rsidR="001D0340">
        <w:t xml:space="preserve">osition resembling that of coal, making it possible to model its thermal decomposition with suitable species contained </w:t>
      </w:r>
      <w:r w:rsidR="001D0340">
        <w:lastRenderedPageBreak/>
        <w:t>in the software database</w:t>
      </w:r>
      <w:r w:rsidR="00B05916">
        <w:t xml:space="preserve"> </w:t>
      </w:r>
      <w:r w:rsidR="00B05916">
        <w:fldChar w:fldCharType="begin"/>
      </w:r>
      <w:r w:rsidR="00B05916">
        <w:instrText xml:space="preserve"> ADDIN ZOTERO_ITEM CSL_CITATION {"citationID":"LkVDwesz","properties":{"formattedCitation":"(Negri et al., 2022)","plainCitation":"(Negri et al., 2022)","noteIndex":0},"citationItems":[{"id":176,"uris":["http://zotero.org/users/11115034/items/BBE2T4UB"],"itemData":{"id":176,"type":"article-journal","abstract":"Bio-dimethyl ether (bio-DME) is an environmentally friendly alternative fuel for diesel engines that has several advantages over conventional fossil diesel fuel, such as lower emissions of particulate matter, hydrocarbons, carbon monoxide, and nitrogen oxides. The purpose of this paper is to perform a techno-economic analysis of a novel bio-DME production plant based on sewage sludge gasification. The first part of the work is centred around the modelling of a fixed bed, updraft gasification reactor, which is performed using a multi-scale, multiphase methodology already tested and validated on biomass feedstock using the GasDS suite, a property package developed at Politecnico di Milano. The gas-solid kinetic model is coupled with a detailed gas-phase kinetic scheme including more than 200 species, and more than 2,000 reactions. The work then illustrates a new process scheme that undergoes techno-economic and sensitivity analyses to understand the most impacting parameters on the feasibility of the process. This procedure is useful to understand if sludge gasification could be considered as an alternative feedstock and a viable option for the future development of a sustainable supply chain for the production of bio-DME. The obtained results are promising, showing productivity of 19.3 kg/h of fuel-grade bio-DME from 100 kg/h of hydrochar with a market-competitive production cost ranging from -0.370 and 0.924 €/kgDME, and an average value of 0.277 €/kgDME. Copyright © 2022, AIDIC Servizi S.r.l.","archive":"Scopus","container-title":"Chemical Engineering Transactions","DOI":"10.3303/CET2294181","ISSN":"2283-9216","language":"English","page":"1087-1092","source":"Scopus","title":"Techno-Economic Analysis of Dimethyl Ether Biofuel Production Plant Based on Sewage Sludge Gasification","volume":"94","author":[{"family":"Negri","given":"F."},{"family":"Nova","given":"A."},{"family":"Basso","given":"D."},{"family":"Manenti","given":"F."}],"issued":{"date-parts":[["2022"]]}}}],"schema":"https://github.com/citation-style-language/schema/raw/master/csl-citation.json"} </w:instrText>
      </w:r>
      <w:r w:rsidR="00B05916">
        <w:fldChar w:fldCharType="separate"/>
      </w:r>
      <w:r w:rsidR="00B05916" w:rsidRPr="00B05916">
        <w:rPr>
          <w:rFonts w:cs="Arial"/>
        </w:rPr>
        <w:t>(Negri et al., 2022)</w:t>
      </w:r>
      <w:r w:rsidR="00B05916">
        <w:fldChar w:fldCharType="end"/>
      </w:r>
      <w:r w:rsidR="001D0340">
        <w:t>.</w:t>
      </w:r>
      <w:r w:rsidR="00557F32">
        <w:t xml:space="preserve"> </w:t>
      </w:r>
      <w:r w:rsidR="00856B94">
        <w:t xml:space="preserve">However, this is </w:t>
      </w:r>
      <w:r w:rsidR="008B13DC">
        <w:t>not true anymore when considering</w:t>
      </w:r>
      <w:r w:rsidR="00856B94">
        <w:t xml:space="preserve"> sewage sludge stabilized through aerobic or anaerobic digestion, since its composition</w:t>
      </w:r>
      <w:r w:rsidR="003E2AED">
        <w:t xml:space="preserve"> and pyrolysis behavior</w:t>
      </w:r>
      <w:r w:rsidR="00856B94">
        <w:t xml:space="preserve"> </w:t>
      </w:r>
      <w:r w:rsidR="003E2AED">
        <w:t>are</w:t>
      </w:r>
      <w:r w:rsidR="00856B94">
        <w:t xml:space="preserve"> quite peculiar and </w:t>
      </w:r>
      <w:r w:rsidR="00EE6EAE">
        <w:t>do</w:t>
      </w:r>
      <w:r w:rsidR="00856B94">
        <w:t xml:space="preserve"> not fall within the </w:t>
      </w:r>
      <w:r w:rsidR="006216C5">
        <w:t>data domain</w:t>
      </w:r>
      <w:r w:rsidR="00856B94">
        <w:t xml:space="preserve"> already contained in the suite. </w:t>
      </w:r>
      <w:r w:rsidR="000F2A90">
        <w:t xml:space="preserve">Thermal conversion processes for such a complex substance can still be successfully modeled with the GasDS suite, but it is first necessary to add information to the database. Specifically, it is required to characterize the sewage sludge in terms of </w:t>
      </w:r>
      <w:r w:rsidR="000F2A90" w:rsidRPr="000F2A90">
        <w:t>chemical-physical properties</w:t>
      </w:r>
      <w:r w:rsidR="003678A4">
        <w:t xml:space="preserve"> and thermal degradation kinetics. The software </w:t>
      </w:r>
      <w:r w:rsidR="00AC567C">
        <w:t>can then</w:t>
      </w:r>
      <w:r w:rsidR="003678A4">
        <w:t xml:space="preserve"> integrate this information with kinetic schemes for the description of secondary gas-phase reactions and </w:t>
      </w:r>
      <w:r w:rsidR="00904AA7">
        <w:t xml:space="preserve">it is also capable </w:t>
      </w:r>
      <w:r w:rsidR="007B0D41">
        <w:t>to</w:t>
      </w:r>
      <w:r w:rsidR="00904AA7">
        <w:t xml:space="preserve"> analyze the mass and energy transfer phenomena for intra- and inter- particle </w:t>
      </w:r>
      <w:r w:rsidR="002A0630">
        <w:t>sections</w:t>
      </w:r>
      <w:r w:rsidR="000B0460">
        <w:t xml:space="preserve"> </w:t>
      </w:r>
      <w:r w:rsidR="000B0460">
        <w:fldChar w:fldCharType="begin"/>
      </w:r>
      <w:r w:rsidR="000B0460">
        <w:instrText xml:space="preserve"> ADDIN ZOTERO_ITEM CSL_CITATION {"citationID":"6YwHKCFY","properties":{"formattedCitation":"(Ranzi et al., 2016)","plainCitation":"(Ranzi et al., 2016)","noteIndex":0},"citationItems":[{"id":193,"uris":["http://zotero.org/users/11115034/items/HMAM2Y2Q"],"itemData":{"id":193,"type":"chapter","abstract":"The aim of this chapter is to discuss and summarize the research activities done at Politecnico di Milano in the field of the detailed kinetic modeling of pyrolysis, gasification, and combustion of solid fuels. Different critical steps are involved in this multicomponent, multiphase, and multiscale problem. The first complexity relies in the characterization of the solid fuels and their pyrolysis and devolatilization process. Detailed kinetic mechanisms, both in the solid and gas phase, involve a large number of species and reactions, which make the computations expensive and strongly reduce model applicability. For this reason, they need to be reduced and simplified, while still maintaining their description capability. Therefore, chemical lumping procedures are extensively applied to allow the development and validation of the overall mathematical model. Whereas the composition of plastics is usually well defined, coals, biomasses, and MSW (municipal solid waste) are typical fuels with a large composition variability and they require a characterization in terms of a few reference components. Multistep kinetic mechanisms with a lumped characterization of gas, tar, and residue are discussed, for the different solid fuels. Successive or secondary gas-phase reactions involve gas and tar components released during the devolatilization phase, while heterogeneous gasification or combustion reactions further modify the solid residue. Finally, the mathematical modeling of solid fuel gasification or combustion requires a comprehensive description of the coupled transport and kinetic processes, both at the particle and at the reactor scale. Several examples illustrate the capabilities and limitations of this model.","collection-title":"Thermochemical Process Engineering","container-title":"Advances in Chemical Engineering","language":"en","note":"DOI: 10.1016/bs.ache.2016.09.001","page":"1-94","publisher":"Academic Press","source":"ScienceDirect","title":"Chapter One - Pyrolysis, Gasification, and Combustion of Solid Fuels","URL":"https://www.sciencedirect.com/science/article/pii/S006523771630014X","volume":"49","author":[{"family":"Ranzi","given":"E."},{"family":"Faravelli","given":"T."},{"family":"Manenti","given":"F."}],"editor":[{"family":"Van Geem","given":"Kevin M."}],"accessed":{"date-parts":[["2023",3,30]]},"issued":{"date-parts":[["2016",1,1]]}}}],"schema":"https://github.com/citation-style-language/schema/raw/master/csl-citation.json"} </w:instrText>
      </w:r>
      <w:r w:rsidR="000B0460">
        <w:fldChar w:fldCharType="separate"/>
      </w:r>
      <w:r w:rsidR="000B0460" w:rsidRPr="000B0460">
        <w:rPr>
          <w:rFonts w:cs="Arial"/>
        </w:rPr>
        <w:t>(Ranzi et al., 2016)</w:t>
      </w:r>
      <w:r w:rsidR="000B0460">
        <w:fldChar w:fldCharType="end"/>
      </w:r>
      <w:r w:rsidR="002A0630">
        <w:t xml:space="preserve">. This paper illustrates </w:t>
      </w:r>
      <w:r w:rsidR="00AD7284">
        <w:t xml:space="preserve">a detailed evaluation </w:t>
      </w:r>
      <w:r w:rsidR="0029632A">
        <w:t>of sewage sludge valorization through thermal oxidation</w:t>
      </w:r>
      <w:r w:rsidR="002B2DB3">
        <w:t xml:space="preserve"> </w:t>
      </w:r>
      <w:r w:rsidR="0029632A">
        <w:t>for waste-to-energy purposes. The evaluation is carried out by including a dedicated species in the GasDS suite along with a thermal decomposition kinetic model developed starting from literature data</w:t>
      </w:r>
      <w:r w:rsidR="00F70CDA">
        <w:t xml:space="preserve"> </w:t>
      </w:r>
      <w:r w:rsidR="00556D63">
        <w:fldChar w:fldCharType="begin"/>
      </w:r>
      <w:r w:rsidR="00556D63">
        <w:instrText xml:space="preserve"> ADDIN ZOTERO_ITEM CSL_CITATION {"citationID":"3PZuCLWw","properties":{"formattedCitation":"(Stammbach et al., 1989)","plainCitation":"(Stammbach et al., 1989)","noteIndex":0},"citationItems":[{"id":144,"uris":["http://zotero.org/users/11115034/items/QX3E59EU"],"itemData":{"id":144,"type":"article-journal","abstract":"The pyrolysis of sewage sludge was investigated in an oxygen-free atmosphere in a fluidized bed. The yield of high quality liquid products could be improved by use of a fluid-cracking catalyst. The temperature is the most important process parameter although the other parameters should be chosen carefully as well. In particular, blow out of the sludge out of the reaction zone prior to complete reaction must be avoided as well as the use of big particles. The emission of Cd starts already below 600 °C and is therefore the actual limit for this process. At present the economics of the pyrolysis are not favorable. A further increase in the market price of the organic liquid products can be expected to make the process economical.","container-title":"Energy &amp; Fuels","DOI":"10.1021/ef00014a022","ISSN":"0887-0624, 1520-5029","issue":"2","journalAbbreviation":"Energy Fuels","language":"en","page":"255-259","source":"DOI.org (Crossref)","title":"Pyrolysis of sewage sludge in a fluidized bed","volume":"3","author":[{"family":"Stammbach","given":"Marc R."},{"family":"Kraaz","given":"Bruno"},{"family":"Hagenbucher","given":"Roland"},{"family":"Richarz","given":"Werner"}],"issued":{"date-parts":[["1989",3,1]]}}}],"schema":"https://github.com/citation-style-language/schema/raw/master/csl-citation.json"} </w:instrText>
      </w:r>
      <w:r w:rsidR="00556D63">
        <w:fldChar w:fldCharType="separate"/>
      </w:r>
      <w:r w:rsidR="00556D63" w:rsidRPr="00556D63">
        <w:rPr>
          <w:rFonts w:cs="Arial"/>
        </w:rPr>
        <w:t>(Stammbach et al., 1989)</w:t>
      </w:r>
      <w:r w:rsidR="00556D63">
        <w:fldChar w:fldCharType="end"/>
      </w:r>
      <w:r w:rsidR="0029632A">
        <w:t>.</w:t>
      </w:r>
      <w:r w:rsidR="00BB640D">
        <w:t xml:space="preserve"> Simulat</w:t>
      </w:r>
      <w:r w:rsidR="00CF367F">
        <w:t>ion results are</w:t>
      </w:r>
      <w:r w:rsidR="00415F39">
        <w:t xml:space="preserve"> shown and then</w:t>
      </w:r>
      <w:r w:rsidR="00CF367F">
        <w:t xml:space="preserve"> used to model different systems for the production of electrical energy</w:t>
      </w:r>
      <w:r w:rsidR="00433A95">
        <w:t xml:space="preserve"> from </w:t>
      </w:r>
      <w:r w:rsidR="00404719">
        <w:t xml:space="preserve">thermal conversion of </w:t>
      </w:r>
      <w:r w:rsidR="00433A95">
        <w:t>sewage sludge</w:t>
      </w:r>
      <w:r w:rsidR="00404719">
        <w:t xml:space="preserve"> at different degrees of oxidation severity</w:t>
      </w:r>
      <w:r w:rsidR="00CF367F">
        <w:t xml:space="preserve"> by using the simulation software Aspen HYSYS. The first system </w:t>
      </w:r>
      <w:r w:rsidR="00404719">
        <w:t>is a combustion based Rankine-cycle, the second one is a gasification-based combined cycle</w:t>
      </w:r>
      <w:r w:rsidR="00A32943">
        <w:t>.</w:t>
      </w:r>
      <w:r w:rsidR="00404719">
        <w:t xml:space="preserve"> Key performance indicators </w:t>
      </w:r>
      <w:r w:rsidR="004D6F1D">
        <w:t>such as net power output, energy yield, CO</w:t>
      </w:r>
      <w:r w:rsidR="004D6F1D" w:rsidRPr="004D6F1D">
        <w:rPr>
          <w:vertAlign w:val="subscript"/>
        </w:rPr>
        <w:t>2</w:t>
      </w:r>
      <w:r w:rsidR="004D6F1D">
        <w:t xml:space="preserve"> emissions </w:t>
      </w:r>
      <w:r w:rsidR="00404719">
        <w:t>are shown.</w:t>
      </w:r>
    </w:p>
    <w:p w14:paraId="5741900F" w14:textId="0CFE5666" w:rsidR="00453E24" w:rsidRPr="0072326E" w:rsidRDefault="0001600F" w:rsidP="00453E24">
      <w:pPr>
        <w:pStyle w:val="CETHeading1"/>
      </w:pPr>
      <w:r w:rsidRPr="0072326E">
        <w:t>Materials and m</w:t>
      </w:r>
      <w:r w:rsidR="00F2238B" w:rsidRPr="0072326E">
        <w:t>ethods</w:t>
      </w:r>
    </w:p>
    <w:p w14:paraId="09406386" w14:textId="1CC605EC" w:rsidR="00453E24" w:rsidRPr="0072326E" w:rsidRDefault="00EE59C3" w:rsidP="00453E24">
      <w:pPr>
        <w:pStyle w:val="CETBodytext"/>
      </w:pPr>
      <w:r>
        <w:t xml:space="preserve">Chemical-physical properties for sewage sludge stabilized via aerobic digestion are </w:t>
      </w:r>
      <w:r w:rsidR="007824D7">
        <w:t>inclu</w:t>
      </w:r>
      <w:r w:rsidR="000D47BB">
        <w:t>ded in the GasDS suite database. A dedicated and simplified thermal degradation kinetic model is then proposed and obtained starting from literature data</w:t>
      </w:r>
      <w:r w:rsidR="002514A4">
        <w:t xml:space="preserve">. The </w:t>
      </w:r>
      <w:r w:rsidR="004400B0">
        <w:t xml:space="preserve">electrically heated </w:t>
      </w:r>
      <w:r w:rsidR="002514A4">
        <w:t xml:space="preserve">experimental system </w:t>
      </w:r>
      <w:r w:rsidR="003F6AAB">
        <w:t>is</w:t>
      </w:r>
      <w:r w:rsidR="00535881">
        <w:t xml:space="preserve"> composed of a fluidi</w:t>
      </w:r>
      <w:r w:rsidR="00831758">
        <w:t>zed bed with a diameter of 0.14 m and a height of 0.8 m fed continuously by screw conveyors. The char is continuously discharged and the pyrolysis gas first goes through a cyclone, then enters another fluidized bed for possible further conversion, then enters a second cyclone, and finally it is cooled using three coolers to</w:t>
      </w:r>
      <w:r w:rsidR="00975BE4">
        <w:t xml:space="preserve"> separate condensable </w:t>
      </w:r>
      <w:r w:rsidR="00975BE4" w:rsidRPr="001B0D3A">
        <w:t>fractions</w:t>
      </w:r>
      <w:r w:rsidR="001B0D3A">
        <w:t>. Temperatures between 450-650°C a</w:t>
      </w:r>
      <w:r w:rsidR="00633161">
        <w:t>nd residence times between 25-</w:t>
      </w:r>
      <w:r w:rsidR="00FA30A3">
        <w:t>260</w:t>
      </w:r>
      <w:r w:rsidR="001B0D3A">
        <w:t xml:space="preserve"> min </w:t>
      </w:r>
      <w:r w:rsidR="00B34F6D">
        <w:t>have been</w:t>
      </w:r>
      <w:r w:rsidR="001B0D3A">
        <w:t xml:space="preserve"> investigated</w:t>
      </w:r>
      <w:r w:rsidR="00F26C7C">
        <w:t xml:space="preserve"> </w:t>
      </w:r>
      <w:r w:rsidR="00821A47">
        <w:fldChar w:fldCharType="begin"/>
      </w:r>
      <w:r w:rsidR="00821A47">
        <w:instrText xml:space="preserve"> ADDIN ZOTERO_ITEM CSL_CITATION {"citationID":"eGtcPbdl","properties":{"formattedCitation":"(Stammbach et al., 1989)","plainCitation":"(Stammbach et al., 1989)","noteIndex":0},"citationItems":[{"id":144,"uris":["http://zotero.org/users/11115034/items/QX3E59EU"],"itemData":{"id":144,"type":"article-journal","abstract":"The pyrolysis of sewage sludge was investigated in an oxygen-free atmosphere in a fluidized bed. The yield of high quality liquid products could be improved by use of a fluid-cracking catalyst. The temperature is the most important process parameter although the other parameters should be chosen carefully as well. In particular, blow out of the sludge out of the reaction zone prior to complete reaction must be avoided as well as the use of big particles. The emission of Cd starts already below 600 °C and is therefore the actual limit for this process. At present the economics of the pyrolysis are not favorable. A further increase in the market price of the organic liquid products can be expected to make the process economical.","container-title":"Energy &amp; Fuels","DOI":"10.1021/ef00014a022","ISSN":"0887-0624, 1520-5029","issue":"2","journalAbbreviation":"Energy Fuels","language":"en","page":"255-259","source":"DOI.org (Crossref)","title":"Pyrolysis of sewage sludge in a fluidized bed","volume":"3","author":[{"family":"Stammbach","given":"Marc R."},{"family":"Kraaz","given":"Bruno"},{"family":"Hagenbucher","given":"Roland"},{"family":"Richarz","given":"Werner"}],"issued":{"date-parts":[["1989",3,1]]}}}],"schema":"https://github.com/citation-style-language/schema/raw/master/csl-citation.json"} </w:instrText>
      </w:r>
      <w:r w:rsidR="00821A47">
        <w:fldChar w:fldCharType="separate"/>
      </w:r>
      <w:r w:rsidR="00821A47" w:rsidRPr="00821A47">
        <w:rPr>
          <w:rFonts w:cs="Arial"/>
        </w:rPr>
        <w:t>(Stammbach et al., 1989)</w:t>
      </w:r>
      <w:r w:rsidR="00821A47">
        <w:fldChar w:fldCharType="end"/>
      </w:r>
      <w:r w:rsidR="00821A47">
        <w:t xml:space="preserve">. </w:t>
      </w:r>
      <w:r w:rsidR="00F42F10">
        <w:t xml:space="preserve">Air-based processes </w:t>
      </w:r>
      <w:r w:rsidR="007619E8">
        <w:t>at</w:t>
      </w:r>
      <w:r w:rsidR="00F42F10">
        <w:t xml:space="preserve"> different oxidation severities are analyzed with the suite,</w:t>
      </w:r>
      <w:r w:rsidR="00B25A95">
        <w:t xml:space="preserve"> and</w:t>
      </w:r>
      <w:r w:rsidR="00F42F10">
        <w:t xml:space="preserve"> the results are used to model waste-to-energy systems in</w:t>
      </w:r>
      <w:r w:rsidR="00B25A95">
        <w:t xml:space="preserve"> </w:t>
      </w:r>
      <w:r w:rsidR="00F42F10">
        <w:t>Aspen HYSYS</w:t>
      </w:r>
      <w:r w:rsidR="00B25A95">
        <w:t xml:space="preserve"> software</w:t>
      </w:r>
      <w:r w:rsidR="00F42F10">
        <w:t>.</w:t>
      </w:r>
    </w:p>
    <w:p w14:paraId="0636B784" w14:textId="5E931148" w:rsidR="00453E24" w:rsidRPr="0072326E" w:rsidRDefault="00DC2AF5" w:rsidP="00453E24">
      <w:pPr>
        <w:pStyle w:val="CETheadingx"/>
      </w:pPr>
      <w:r>
        <w:t>Kinetic model for sewage sludge</w:t>
      </w:r>
      <w:r w:rsidR="00566C57">
        <w:t xml:space="preserve"> thermal degradation</w:t>
      </w:r>
    </w:p>
    <w:p w14:paraId="7C2B0064" w14:textId="3FDD379E" w:rsidR="00453E24" w:rsidRDefault="00BC66C0" w:rsidP="00453E24">
      <w:pPr>
        <w:pStyle w:val="CETBodytext"/>
      </w:pPr>
      <w:r>
        <w:t xml:space="preserve">Sewage sludge </w:t>
      </w:r>
      <w:r w:rsidR="00EF1324">
        <w:t>stabilized via aerobic digestion</w:t>
      </w:r>
      <w:r w:rsidR="00A924E4">
        <w:t xml:space="preserve"> (SS)</w:t>
      </w:r>
      <w:r w:rsidR="00EF1324">
        <w:t xml:space="preserve"> </w:t>
      </w:r>
      <w:r>
        <w:t>is added to the GasDS suite database as a new</w:t>
      </w:r>
      <w:r w:rsidR="00A16E3F">
        <w:t xml:space="preserve"> reacting solid</w:t>
      </w:r>
      <w:r>
        <w:t xml:space="preserve"> species by including literature data </w:t>
      </w:r>
      <w:r w:rsidR="00862A64">
        <w:t xml:space="preserve">regarding density, specific heat, thermal conductivity, darcy coefficient </w:t>
      </w:r>
      <w:r w:rsidR="00862A64">
        <w:fldChar w:fldCharType="begin"/>
      </w:r>
      <w:r w:rsidR="00862A64">
        <w:instrText xml:space="preserve"> ADDIN ZOTERO_ITEM CSL_CITATION {"citationID":"tbiiXx3m","properties":{"formattedCitation":"(Drechsel et al., 2015)","plainCitation":"(Drechsel et al., 2015)","noteIndex":0},"citationItems":[{"id":195,"uris":["http://zotero.org/users/11115034/items/NJ9EJ2CN"],"itemData":{"id":195,"type":"book","event-place":"Dordrecht","ISBN":"978-94-017-9544-9","language":"en","note":"DOI: 10.1007/978-94-017-9545-6","publisher":"Springer Netherlands","publisher-place":"Dordrecht","source":"DOI.org (Crossref)","title":"Wastewater: Economic Asset in an Urbanizing World","title-short":"Wastewater","URL":"https://link.springer.com/10.1007/978-94-017-9545-6","editor":[{"family":"Drechsel","given":"Pay"},{"family":"Qadir","given":"Manzoor"},{"family":"Wichelns","given":"Dennis"}],"accessed":{"date-parts":[["2023",3,30]]},"issued":{"date-parts":[["2015"]]}}}],"schema":"https://github.com/citation-style-language/schema/raw/master/csl-citation.json"} </w:instrText>
      </w:r>
      <w:r w:rsidR="00862A64">
        <w:fldChar w:fldCharType="separate"/>
      </w:r>
      <w:r w:rsidR="00862A64" w:rsidRPr="00862A64">
        <w:rPr>
          <w:rFonts w:cs="Arial"/>
        </w:rPr>
        <w:t>(Drechsel et al., 2015)</w:t>
      </w:r>
      <w:r w:rsidR="00862A64">
        <w:fldChar w:fldCharType="end"/>
      </w:r>
      <w:r w:rsidR="00CB0479">
        <w:t xml:space="preserve">, </w:t>
      </w:r>
      <w:r w:rsidR="00A924E4">
        <w:t>CHNSO composition</w:t>
      </w:r>
      <w:r w:rsidR="005D2A5C">
        <w:t>, ash, moisture</w:t>
      </w:r>
      <w:r w:rsidR="00A924E4">
        <w:t xml:space="preserve"> </w:t>
      </w:r>
      <w:r w:rsidR="00CB0479">
        <w:fldChar w:fldCharType="begin"/>
      </w:r>
      <w:r w:rsidR="00CB0479">
        <w:instrText xml:space="preserve"> ADDIN ZOTERO_ITEM CSL_CITATION {"citationID":"WHZpolHQ","properties":{"formattedCitation":"(Stammbach et al., 1989)","plainCitation":"(Stammbach et al., 1989)","noteIndex":0},"citationItems":[{"id":144,"uris":["http://zotero.org/users/11115034/items/QX3E59EU"],"itemData":{"id":144,"type":"article-journal","abstract":"The pyrolysis of sewage sludge was investigated in an oxygen-free atmosphere in a fluidized bed. The yield of high quality liquid products could be improved by use of a fluid-cracking catalyst. The temperature is the most important process parameter although the other parameters should be chosen carefully as well. In particular, blow out of the sludge out of the reaction zone prior to complete reaction must be avoided as well as the use of big particles. The emission of Cd starts already below 600 °C and is therefore the actual limit for this process. At present the economics of the pyrolysis are not favorable. A further increase in the market price of the organic liquid products can be expected to make the process economical.","container-title":"Energy &amp; Fuels","DOI":"10.1021/ef00014a022","ISSN":"0887-0624, 1520-5029","issue":"2","journalAbbreviation":"Energy Fuels","language":"en","page":"255-259","source":"DOI.org (Crossref)","title":"Pyrolysis of sewage sludge in a fluidized bed","volume":"3","author":[{"family":"Stammbach","given":"Marc R."},{"family":"Kraaz","given":"Bruno"},{"family":"Hagenbucher","given":"Roland"},{"family":"Richarz","given":"Werner"}],"issued":{"date-parts":[["1989",3,1]]}}}],"schema":"https://github.com/citation-style-language/schema/raw/master/csl-citation.json"} </w:instrText>
      </w:r>
      <w:r w:rsidR="00CB0479">
        <w:fldChar w:fldCharType="separate"/>
      </w:r>
      <w:r w:rsidR="00CB0479" w:rsidRPr="00CB0479">
        <w:rPr>
          <w:rFonts w:cs="Arial"/>
        </w:rPr>
        <w:t>(Stammbach et al., 1989)</w:t>
      </w:r>
      <w:r w:rsidR="00CB0479">
        <w:fldChar w:fldCharType="end"/>
      </w:r>
      <w:r w:rsidR="00CB0479">
        <w:t xml:space="preserve">, and LHV </w:t>
      </w:r>
      <w:r w:rsidR="00CB0479">
        <w:fldChar w:fldCharType="begin"/>
      </w:r>
      <w:r w:rsidR="00CB0479">
        <w:instrText xml:space="preserve"> ADDIN ZOTERO_ITEM CSL_CITATION {"citationID":"n5BYaITq","properties":{"formattedCitation":"(Font et al., 2005)","plainCitation":"(Font et al., 2005)","noteIndex":0},"citationItems":[{"id":139,"uris":["http://zotero.org/users/11115034/items/L7SRWS5P"],"itemData":{"id":139,"type":"article-journal","abstract":"Pyrolysis and combustion of two types of sewage sludge have been studied. The two sludges considered, considering their thermal decomposition, have different behaviors when comparing pyrolysis and combustion TG runs of each sludge. In one case, the combustion can be considered as an oxidative pyrolysis, where the decomposition process is accelerated by the presence of oxygen. In the other case, the TG combustion run has two parts, the ﬁrst one coinciding with the pyrolysis run and the second one with combustion of the char formed previously.","container-title":"Journal of Analytical and Applied Pyrolysis","DOI":"10.1016/j.jaap.2004.10.009","ISSN":"01652370","issue":"1-2","journalAbbreviation":"Journal of Analytical and Applied Pyrolysis","language":"en","page":"429-438","source":"DOI.org (Crossref)","title":"Kinetic models for the pyrolysis and combustion of two types of sewage sludge","volume":"74","author":[{"family":"Font","given":"R."},{"family":"Fullana","given":"A."},{"family":"Conesa","given":"J."}],"issued":{"date-parts":[["2005",8]]}}}],"schema":"https://github.com/citation-style-language/schema/raw/master/csl-citation.json"} </w:instrText>
      </w:r>
      <w:r w:rsidR="00CB0479">
        <w:fldChar w:fldCharType="separate"/>
      </w:r>
      <w:r w:rsidR="00CB0479" w:rsidRPr="00CB0479">
        <w:rPr>
          <w:rFonts w:cs="Arial"/>
        </w:rPr>
        <w:t>(Font et al., 2005)</w:t>
      </w:r>
      <w:r w:rsidR="00CB0479">
        <w:fldChar w:fldCharType="end"/>
      </w:r>
      <w:r w:rsidR="00CB0479">
        <w:t>. C</w:t>
      </w:r>
      <w:r w:rsidR="00A8233E">
        <w:t>hemical-physical data</w:t>
      </w:r>
      <w:r w:rsidR="00A924E4">
        <w:t xml:space="preserve"> </w:t>
      </w:r>
      <w:r w:rsidR="00742E94">
        <w:t xml:space="preserve">are shown in </w:t>
      </w:r>
      <w:r w:rsidR="00301336">
        <w:t>Table 1</w:t>
      </w:r>
      <w:r w:rsidR="00742E94">
        <w:t>.</w:t>
      </w:r>
    </w:p>
    <w:p w14:paraId="5915A6DA" w14:textId="0F17C450" w:rsidR="001E4712" w:rsidRPr="00B57B36" w:rsidRDefault="001E4712" w:rsidP="001E4712">
      <w:pPr>
        <w:pStyle w:val="CETTabletitle"/>
      </w:pPr>
      <w:r w:rsidRPr="00B57B36">
        <w:t xml:space="preserve">Table 1: </w:t>
      </w:r>
      <w:r w:rsidR="008C48A5">
        <w:t>Chemical-physical p</w:t>
      </w:r>
      <w:r w:rsidR="00CB0479">
        <w:t xml:space="preserve">roperties for </w:t>
      </w:r>
      <w:r w:rsidR="00022A79">
        <w:t xml:space="preserve">aerobically stabilized </w:t>
      </w:r>
      <w:r w:rsidR="00084CB7">
        <w:t>sewage s</w:t>
      </w:r>
      <w:r w:rsidR="00D74791">
        <w:t>ludge</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545"/>
        <w:gridCol w:w="2390"/>
        <w:gridCol w:w="2829"/>
        <w:gridCol w:w="12"/>
        <w:gridCol w:w="11"/>
      </w:tblGrid>
      <w:tr w:rsidR="00176CB5" w:rsidRPr="00B57B36" w14:paraId="5FF71B4B" w14:textId="77777777" w:rsidTr="008E08AC">
        <w:tc>
          <w:tcPr>
            <w:tcW w:w="2017" w:type="pct"/>
            <w:tcBorders>
              <w:top w:val="single" w:sz="12" w:space="0" w:color="008000"/>
              <w:bottom w:val="single" w:sz="6" w:space="0" w:color="008000"/>
            </w:tcBorders>
            <w:shd w:val="clear" w:color="auto" w:fill="FFFFFF"/>
          </w:tcPr>
          <w:p w14:paraId="2EAEE64B" w14:textId="33EB5BAE" w:rsidR="001E4712" w:rsidRPr="00B57B36" w:rsidRDefault="00620697" w:rsidP="00807AB6">
            <w:pPr>
              <w:pStyle w:val="CETBodytext"/>
              <w:rPr>
                <w:lang w:val="en-GB"/>
              </w:rPr>
            </w:pPr>
            <w:r>
              <w:rPr>
                <w:lang w:val="en-GB"/>
              </w:rPr>
              <w:t>Properties</w:t>
            </w:r>
            <w:r w:rsidR="001E4712" w:rsidRPr="00B57B36">
              <w:rPr>
                <w:lang w:val="en-GB"/>
              </w:rPr>
              <w:t xml:space="preserve"> </w:t>
            </w:r>
          </w:p>
        </w:tc>
        <w:tc>
          <w:tcPr>
            <w:tcW w:w="1360" w:type="pct"/>
            <w:tcBorders>
              <w:top w:val="single" w:sz="12" w:space="0" w:color="008000"/>
              <w:bottom w:val="single" w:sz="6" w:space="0" w:color="008000"/>
            </w:tcBorders>
            <w:shd w:val="clear" w:color="auto" w:fill="FFFFFF"/>
          </w:tcPr>
          <w:p w14:paraId="06C590B5" w14:textId="74451CC2" w:rsidR="001E4712" w:rsidRPr="00B57B36" w:rsidRDefault="008D4268" w:rsidP="00807AB6">
            <w:pPr>
              <w:pStyle w:val="CETBodytext"/>
              <w:rPr>
                <w:lang w:val="en-GB"/>
              </w:rPr>
            </w:pPr>
            <w:r>
              <w:rPr>
                <w:lang w:val="en-GB"/>
              </w:rPr>
              <w:t>Value</w:t>
            </w:r>
            <w:r w:rsidR="009248C5">
              <w:rPr>
                <w:lang w:val="en-GB"/>
              </w:rPr>
              <w:t>s</w:t>
            </w:r>
          </w:p>
        </w:tc>
        <w:tc>
          <w:tcPr>
            <w:tcW w:w="1610" w:type="pct"/>
            <w:tcBorders>
              <w:top w:val="single" w:sz="12" w:space="0" w:color="008000"/>
              <w:bottom w:val="single" w:sz="6" w:space="0" w:color="008000"/>
            </w:tcBorders>
            <w:shd w:val="clear" w:color="auto" w:fill="FFFFFF"/>
          </w:tcPr>
          <w:p w14:paraId="644D31D7" w14:textId="1A6D2BE0" w:rsidR="001E4712" w:rsidRPr="00B57B36" w:rsidRDefault="008D4268" w:rsidP="00807AB6">
            <w:pPr>
              <w:pStyle w:val="CETBodytext"/>
              <w:rPr>
                <w:lang w:val="en-GB"/>
              </w:rPr>
            </w:pPr>
            <w:r>
              <w:rPr>
                <w:lang w:val="en-GB"/>
              </w:rPr>
              <w:t>Unit</w:t>
            </w:r>
            <w:r w:rsidR="009248C5">
              <w:rPr>
                <w:lang w:val="en-GB"/>
              </w:rPr>
              <w:t>s</w:t>
            </w:r>
            <w:r>
              <w:rPr>
                <w:lang w:val="en-GB"/>
              </w:rPr>
              <w:t xml:space="preserve"> of measure</w:t>
            </w:r>
          </w:p>
        </w:tc>
        <w:tc>
          <w:tcPr>
            <w:tcW w:w="7" w:type="pct"/>
            <w:tcBorders>
              <w:top w:val="single" w:sz="12" w:space="0" w:color="008000"/>
              <w:bottom w:val="single" w:sz="6" w:space="0" w:color="008000"/>
            </w:tcBorders>
            <w:shd w:val="clear" w:color="auto" w:fill="FFFFFF"/>
          </w:tcPr>
          <w:p w14:paraId="007DE6E4" w14:textId="77777777" w:rsidR="001E4712" w:rsidRPr="00B57B36" w:rsidRDefault="001E4712" w:rsidP="00807AB6">
            <w:pPr>
              <w:pStyle w:val="CETBodytext"/>
              <w:ind w:right="-1"/>
              <w:rPr>
                <w:rFonts w:cs="Arial"/>
                <w:szCs w:val="18"/>
                <w:lang w:val="en-GB"/>
              </w:rPr>
            </w:pPr>
          </w:p>
        </w:tc>
        <w:tc>
          <w:tcPr>
            <w:tcW w:w="7" w:type="pct"/>
            <w:tcBorders>
              <w:top w:val="single" w:sz="12" w:space="0" w:color="008000"/>
              <w:bottom w:val="single" w:sz="6" w:space="0" w:color="008000"/>
            </w:tcBorders>
            <w:shd w:val="clear" w:color="auto" w:fill="FFFFFF"/>
          </w:tcPr>
          <w:p w14:paraId="790F6DE0" w14:textId="77777777" w:rsidR="001E4712" w:rsidRPr="00B57B36" w:rsidRDefault="001E4712" w:rsidP="00807AB6">
            <w:pPr>
              <w:pStyle w:val="CETBodytext"/>
              <w:ind w:right="-1"/>
              <w:rPr>
                <w:rFonts w:cs="Arial"/>
                <w:szCs w:val="18"/>
                <w:lang w:val="en-GB"/>
              </w:rPr>
            </w:pPr>
          </w:p>
        </w:tc>
      </w:tr>
      <w:tr w:rsidR="00176CB5" w:rsidRPr="00B57B36" w14:paraId="1C1D1D74" w14:textId="77777777" w:rsidTr="008E08AC">
        <w:tc>
          <w:tcPr>
            <w:tcW w:w="2017" w:type="pct"/>
            <w:shd w:val="clear" w:color="auto" w:fill="FFFFFF"/>
          </w:tcPr>
          <w:p w14:paraId="25DEE770" w14:textId="3DEECCFB" w:rsidR="001E4712" w:rsidRPr="00B57B36" w:rsidRDefault="00163D99" w:rsidP="00807AB6">
            <w:pPr>
              <w:pStyle w:val="CETBodytext"/>
              <w:rPr>
                <w:lang w:val="en-GB"/>
              </w:rPr>
            </w:pPr>
            <w:r>
              <w:rPr>
                <w:lang w:val="en-GB"/>
              </w:rPr>
              <w:t>Density at 25°C</w:t>
            </w:r>
          </w:p>
        </w:tc>
        <w:tc>
          <w:tcPr>
            <w:tcW w:w="1360" w:type="pct"/>
            <w:shd w:val="clear" w:color="auto" w:fill="FFFFFF"/>
          </w:tcPr>
          <w:p w14:paraId="73616955" w14:textId="70EE4CBB" w:rsidR="001E4712" w:rsidRPr="00B57B36" w:rsidRDefault="00346EF3" w:rsidP="00807AB6">
            <w:pPr>
              <w:pStyle w:val="CETBodytext"/>
              <w:rPr>
                <w:lang w:val="en-GB"/>
              </w:rPr>
            </w:pPr>
            <w:r>
              <w:rPr>
                <w:lang w:val="en-GB"/>
              </w:rPr>
              <w:t>1250</w:t>
            </w:r>
          </w:p>
        </w:tc>
        <w:tc>
          <w:tcPr>
            <w:tcW w:w="1610" w:type="pct"/>
            <w:shd w:val="clear" w:color="auto" w:fill="FFFFFF"/>
          </w:tcPr>
          <w:p w14:paraId="7B12E42D" w14:textId="733D191D" w:rsidR="001E4712" w:rsidRPr="00B57B36" w:rsidRDefault="00346EF3" w:rsidP="00807AB6">
            <w:pPr>
              <w:pStyle w:val="CETBodytext"/>
              <w:rPr>
                <w:lang w:val="en-GB"/>
              </w:rPr>
            </w:pPr>
            <w:r>
              <w:rPr>
                <w:lang w:val="en-GB"/>
              </w:rPr>
              <w:t>kg/m</w:t>
            </w:r>
            <w:r w:rsidRPr="00346EF3">
              <w:rPr>
                <w:vertAlign w:val="superscript"/>
                <w:lang w:val="en-GB"/>
              </w:rPr>
              <w:t>3</w:t>
            </w:r>
          </w:p>
        </w:tc>
        <w:tc>
          <w:tcPr>
            <w:tcW w:w="7" w:type="pct"/>
            <w:shd w:val="clear" w:color="auto" w:fill="FFFFFF"/>
          </w:tcPr>
          <w:p w14:paraId="1EC88DC2" w14:textId="77777777" w:rsidR="001E4712" w:rsidRPr="00B57B36" w:rsidRDefault="001E4712" w:rsidP="00807AB6">
            <w:pPr>
              <w:pStyle w:val="CETBodytext"/>
              <w:ind w:right="-1"/>
              <w:rPr>
                <w:rFonts w:cs="Arial"/>
                <w:szCs w:val="18"/>
                <w:lang w:val="en-GB"/>
              </w:rPr>
            </w:pPr>
          </w:p>
        </w:tc>
        <w:tc>
          <w:tcPr>
            <w:tcW w:w="7" w:type="pct"/>
            <w:shd w:val="clear" w:color="auto" w:fill="FFFFFF"/>
          </w:tcPr>
          <w:p w14:paraId="0EF30540" w14:textId="77777777" w:rsidR="001E4712" w:rsidRPr="00B57B36" w:rsidRDefault="001E4712" w:rsidP="00807AB6">
            <w:pPr>
              <w:pStyle w:val="CETBodytext"/>
              <w:ind w:right="-1"/>
              <w:rPr>
                <w:rFonts w:cs="Arial"/>
                <w:szCs w:val="18"/>
                <w:lang w:val="en-GB"/>
              </w:rPr>
            </w:pPr>
          </w:p>
        </w:tc>
      </w:tr>
      <w:tr w:rsidR="00163D99" w:rsidRPr="00B57B36" w14:paraId="7456EE1B" w14:textId="77777777" w:rsidTr="008E08AC">
        <w:tc>
          <w:tcPr>
            <w:tcW w:w="2017" w:type="pct"/>
            <w:shd w:val="clear" w:color="auto" w:fill="FFFFFF"/>
          </w:tcPr>
          <w:p w14:paraId="379D2FCB" w14:textId="1E1F993F" w:rsidR="00163D99" w:rsidRDefault="00346EF3" w:rsidP="00807AB6">
            <w:pPr>
              <w:pStyle w:val="CETBodytext"/>
              <w:rPr>
                <w:lang w:val="en-GB"/>
              </w:rPr>
            </w:pPr>
            <w:r>
              <w:rPr>
                <w:lang w:val="en-GB"/>
              </w:rPr>
              <w:t>Specific heat at 25°C</w:t>
            </w:r>
          </w:p>
        </w:tc>
        <w:tc>
          <w:tcPr>
            <w:tcW w:w="1360" w:type="pct"/>
            <w:shd w:val="clear" w:color="auto" w:fill="FFFFFF"/>
          </w:tcPr>
          <w:p w14:paraId="243F4541" w14:textId="38B67E6B" w:rsidR="00163D99" w:rsidRPr="00B57B36" w:rsidRDefault="00346EF3" w:rsidP="00807AB6">
            <w:pPr>
              <w:pStyle w:val="CETBodytext"/>
              <w:rPr>
                <w:lang w:val="en-GB"/>
              </w:rPr>
            </w:pPr>
            <w:r>
              <w:rPr>
                <w:lang w:val="en-GB"/>
              </w:rPr>
              <w:t>1390</w:t>
            </w:r>
          </w:p>
        </w:tc>
        <w:tc>
          <w:tcPr>
            <w:tcW w:w="1610" w:type="pct"/>
            <w:shd w:val="clear" w:color="auto" w:fill="FFFFFF"/>
          </w:tcPr>
          <w:p w14:paraId="2A50A588" w14:textId="03E13165" w:rsidR="00163D99" w:rsidRPr="00B57B36" w:rsidRDefault="00346EF3" w:rsidP="00807AB6">
            <w:pPr>
              <w:pStyle w:val="CETBodytext"/>
              <w:rPr>
                <w:lang w:val="en-GB"/>
              </w:rPr>
            </w:pPr>
            <w:r>
              <w:rPr>
                <w:lang w:val="en-GB"/>
              </w:rPr>
              <w:t>J/kg/K</w:t>
            </w:r>
          </w:p>
        </w:tc>
        <w:tc>
          <w:tcPr>
            <w:tcW w:w="7" w:type="pct"/>
            <w:shd w:val="clear" w:color="auto" w:fill="FFFFFF"/>
          </w:tcPr>
          <w:p w14:paraId="72EB20DA" w14:textId="77777777" w:rsidR="00163D99" w:rsidRPr="00B57B36" w:rsidRDefault="00163D99" w:rsidP="00807AB6">
            <w:pPr>
              <w:pStyle w:val="CETBodytext"/>
              <w:ind w:right="-1"/>
              <w:rPr>
                <w:rFonts w:cs="Arial"/>
                <w:szCs w:val="18"/>
                <w:lang w:val="en-GB"/>
              </w:rPr>
            </w:pPr>
          </w:p>
        </w:tc>
        <w:tc>
          <w:tcPr>
            <w:tcW w:w="7" w:type="pct"/>
            <w:shd w:val="clear" w:color="auto" w:fill="FFFFFF"/>
          </w:tcPr>
          <w:p w14:paraId="41585237" w14:textId="77777777" w:rsidR="00163D99" w:rsidRPr="00B57B36" w:rsidRDefault="00163D99" w:rsidP="00807AB6">
            <w:pPr>
              <w:pStyle w:val="CETBodytext"/>
              <w:ind w:right="-1"/>
              <w:rPr>
                <w:rFonts w:cs="Arial"/>
                <w:szCs w:val="18"/>
                <w:lang w:val="en-GB"/>
              </w:rPr>
            </w:pPr>
          </w:p>
        </w:tc>
      </w:tr>
      <w:tr w:rsidR="00163D99" w:rsidRPr="00B57B36" w14:paraId="014247DF" w14:textId="77777777" w:rsidTr="008E08AC">
        <w:tc>
          <w:tcPr>
            <w:tcW w:w="2017" w:type="pct"/>
            <w:shd w:val="clear" w:color="auto" w:fill="FFFFFF"/>
          </w:tcPr>
          <w:p w14:paraId="2FD54351" w14:textId="4B48F3CE" w:rsidR="00163D99" w:rsidRDefault="00346EF3" w:rsidP="00807AB6">
            <w:pPr>
              <w:pStyle w:val="CETBodytext"/>
              <w:rPr>
                <w:lang w:val="en-GB"/>
              </w:rPr>
            </w:pPr>
            <w:r>
              <w:rPr>
                <w:lang w:val="en-GB"/>
              </w:rPr>
              <w:t>Thermal conductivity at 25°C</w:t>
            </w:r>
          </w:p>
        </w:tc>
        <w:tc>
          <w:tcPr>
            <w:tcW w:w="1360" w:type="pct"/>
            <w:shd w:val="clear" w:color="auto" w:fill="FFFFFF"/>
          </w:tcPr>
          <w:p w14:paraId="238434B9" w14:textId="1A712F86" w:rsidR="00163D99" w:rsidRPr="00B57B36" w:rsidRDefault="00346EF3" w:rsidP="00807AB6">
            <w:pPr>
              <w:pStyle w:val="CETBodytext"/>
              <w:rPr>
                <w:lang w:val="en-GB"/>
              </w:rPr>
            </w:pPr>
            <w:r>
              <w:rPr>
                <w:lang w:val="en-GB"/>
              </w:rPr>
              <w:t>0.048</w:t>
            </w:r>
          </w:p>
        </w:tc>
        <w:tc>
          <w:tcPr>
            <w:tcW w:w="1610" w:type="pct"/>
            <w:shd w:val="clear" w:color="auto" w:fill="FFFFFF"/>
          </w:tcPr>
          <w:p w14:paraId="21E75CD3" w14:textId="5E5ECAA6" w:rsidR="00163D99" w:rsidRPr="00B57B36" w:rsidRDefault="00346EF3" w:rsidP="00807AB6">
            <w:pPr>
              <w:pStyle w:val="CETBodytext"/>
              <w:rPr>
                <w:lang w:val="en-GB"/>
              </w:rPr>
            </w:pPr>
            <w:r>
              <w:rPr>
                <w:lang w:val="en-GB"/>
              </w:rPr>
              <w:t>W/m/K</w:t>
            </w:r>
          </w:p>
        </w:tc>
        <w:tc>
          <w:tcPr>
            <w:tcW w:w="7" w:type="pct"/>
            <w:shd w:val="clear" w:color="auto" w:fill="FFFFFF"/>
          </w:tcPr>
          <w:p w14:paraId="43E0C64C" w14:textId="77777777" w:rsidR="00163D99" w:rsidRPr="00B57B36" w:rsidRDefault="00163D99" w:rsidP="00807AB6">
            <w:pPr>
              <w:pStyle w:val="CETBodytext"/>
              <w:ind w:right="-1"/>
              <w:rPr>
                <w:rFonts w:cs="Arial"/>
                <w:szCs w:val="18"/>
                <w:lang w:val="en-GB"/>
              </w:rPr>
            </w:pPr>
          </w:p>
        </w:tc>
        <w:tc>
          <w:tcPr>
            <w:tcW w:w="7" w:type="pct"/>
            <w:shd w:val="clear" w:color="auto" w:fill="FFFFFF"/>
          </w:tcPr>
          <w:p w14:paraId="21241B91" w14:textId="77777777" w:rsidR="00163D99" w:rsidRPr="00B57B36" w:rsidRDefault="00163D99" w:rsidP="00807AB6">
            <w:pPr>
              <w:pStyle w:val="CETBodytext"/>
              <w:ind w:right="-1"/>
              <w:rPr>
                <w:rFonts w:cs="Arial"/>
                <w:szCs w:val="18"/>
                <w:lang w:val="en-GB"/>
              </w:rPr>
            </w:pPr>
          </w:p>
        </w:tc>
      </w:tr>
      <w:tr w:rsidR="00163D99" w:rsidRPr="00B57B36" w14:paraId="6B0AFB4B" w14:textId="77777777" w:rsidTr="008E08AC">
        <w:tc>
          <w:tcPr>
            <w:tcW w:w="2017" w:type="pct"/>
            <w:shd w:val="clear" w:color="auto" w:fill="FFFFFF"/>
          </w:tcPr>
          <w:p w14:paraId="3F27F305" w14:textId="3044913E" w:rsidR="00163D99" w:rsidRDefault="00346EF3" w:rsidP="00807AB6">
            <w:pPr>
              <w:pStyle w:val="CETBodytext"/>
              <w:rPr>
                <w:lang w:val="en-GB"/>
              </w:rPr>
            </w:pPr>
            <w:r>
              <w:rPr>
                <w:lang w:val="en-GB"/>
              </w:rPr>
              <w:t>Darcy coefficient</w:t>
            </w:r>
          </w:p>
        </w:tc>
        <w:tc>
          <w:tcPr>
            <w:tcW w:w="1360" w:type="pct"/>
            <w:shd w:val="clear" w:color="auto" w:fill="FFFFFF"/>
          </w:tcPr>
          <w:p w14:paraId="7AA2EAEB" w14:textId="13258714" w:rsidR="00163D99" w:rsidRPr="00B57B36" w:rsidRDefault="00346EF3" w:rsidP="00807AB6">
            <w:pPr>
              <w:pStyle w:val="CETBodytext"/>
              <w:rPr>
                <w:lang w:val="en-GB"/>
              </w:rPr>
            </w:pPr>
            <w:r>
              <w:rPr>
                <w:lang w:val="en-GB"/>
              </w:rPr>
              <w:t>0.03</w:t>
            </w:r>
          </w:p>
        </w:tc>
        <w:tc>
          <w:tcPr>
            <w:tcW w:w="1610" w:type="pct"/>
            <w:shd w:val="clear" w:color="auto" w:fill="FFFFFF"/>
          </w:tcPr>
          <w:p w14:paraId="571B2CFC" w14:textId="21BBCBC1" w:rsidR="00163D99" w:rsidRPr="00B57B36" w:rsidRDefault="00346EF3" w:rsidP="00807AB6">
            <w:pPr>
              <w:pStyle w:val="CETBodytext"/>
              <w:rPr>
                <w:lang w:val="en-GB"/>
              </w:rPr>
            </w:pPr>
            <w:r>
              <w:rPr>
                <w:lang w:val="en-GB"/>
              </w:rPr>
              <w:t>-</w:t>
            </w:r>
          </w:p>
        </w:tc>
        <w:tc>
          <w:tcPr>
            <w:tcW w:w="7" w:type="pct"/>
            <w:shd w:val="clear" w:color="auto" w:fill="FFFFFF"/>
          </w:tcPr>
          <w:p w14:paraId="4899A3E0" w14:textId="77777777" w:rsidR="00163D99" w:rsidRPr="00B57B36" w:rsidRDefault="00163D99" w:rsidP="00807AB6">
            <w:pPr>
              <w:pStyle w:val="CETBodytext"/>
              <w:ind w:right="-1"/>
              <w:rPr>
                <w:rFonts w:cs="Arial"/>
                <w:szCs w:val="18"/>
                <w:lang w:val="en-GB"/>
              </w:rPr>
            </w:pPr>
          </w:p>
        </w:tc>
        <w:tc>
          <w:tcPr>
            <w:tcW w:w="7" w:type="pct"/>
            <w:shd w:val="clear" w:color="auto" w:fill="FFFFFF"/>
          </w:tcPr>
          <w:p w14:paraId="4930AA88" w14:textId="77777777" w:rsidR="00163D99" w:rsidRPr="00B57B36" w:rsidRDefault="00163D99" w:rsidP="00807AB6">
            <w:pPr>
              <w:pStyle w:val="CETBodytext"/>
              <w:ind w:right="-1"/>
              <w:rPr>
                <w:rFonts w:cs="Arial"/>
                <w:szCs w:val="18"/>
                <w:lang w:val="en-GB"/>
              </w:rPr>
            </w:pPr>
          </w:p>
        </w:tc>
      </w:tr>
      <w:tr w:rsidR="00163D99" w:rsidRPr="00B57B36" w14:paraId="328C9026" w14:textId="77777777" w:rsidTr="008E08AC">
        <w:tc>
          <w:tcPr>
            <w:tcW w:w="2017" w:type="pct"/>
            <w:shd w:val="clear" w:color="auto" w:fill="FFFFFF"/>
          </w:tcPr>
          <w:p w14:paraId="6C179628" w14:textId="74140C0B" w:rsidR="00163D99" w:rsidRDefault="009A2BB5" w:rsidP="00807AB6">
            <w:pPr>
              <w:pStyle w:val="CETBodytext"/>
              <w:rPr>
                <w:lang w:val="en-GB"/>
              </w:rPr>
            </w:pPr>
            <w:r>
              <w:rPr>
                <w:lang w:val="en-GB"/>
              </w:rPr>
              <w:t>C</w:t>
            </w:r>
          </w:p>
        </w:tc>
        <w:tc>
          <w:tcPr>
            <w:tcW w:w="1360" w:type="pct"/>
            <w:shd w:val="clear" w:color="auto" w:fill="FFFFFF"/>
          </w:tcPr>
          <w:p w14:paraId="5FE87E9B" w14:textId="400C0AE0" w:rsidR="00163D99" w:rsidRPr="00B57B36" w:rsidRDefault="00E534BE" w:rsidP="00807AB6">
            <w:pPr>
              <w:pStyle w:val="CETBodytext"/>
              <w:rPr>
                <w:lang w:val="en-GB"/>
              </w:rPr>
            </w:pPr>
            <w:r>
              <w:rPr>
                <w:lang w:val="en-GB"/>
              </w:rPr>
              <w:t>27.5</w:t>
            </w:r>
          </w:p>
        </w:tc>
        <w:tc>
          <w:tcPr>
            <w:tcW w:w="1610" w:type="pct"/>
            <w:shd w:val="clear" w:color="auto" w:fill="FFFFFF"/>
          </w:tcPr>
          <w:p w14:paraId="754DE6BC" w14:textId="550B9E10" w:rsidR="00163D99" w:rsidRPr="00B57B36" w:rsidRDefault="003C5328" w:rsidP="00807AB6">
            <w:pPr>
              <w:pStyle w:val="CETBodytext"/>
              <w:rPr>
                <w:lang w:val="en-GB"/>
              </w:rPr>
            </w:pPr>
            <w:r>
              <w:rPr>
                <w:lang w:val="en-GB"/>
              </w:rPr>
              <w:t>wt.% (dry basis)</w:t>
            </w:r>
          </w:p>
        </w:tc>
        <w:tc>
          <w:tcPr>
            <w:tcW w:w="7" w:type="pct"/>
            <w:shd w:val="clear" w:color="auto" w:fill="FFFFFF"/>
          </w:tcPr>
          <w:p w14:paraId="48999FC0" w14:textId="77777777" w:rsidR="00163D99" w:rsidRPr="00B57B36" w:rsidRDefault="00163D99" w:rsidP="00807AB6">
            <w:pPr>
              <w:pStyle w:val="CETBodytext"/>
              <w:ind w:right="-1"/>
              <w:rPr>
                <w:rFonts w:cs="Arial"/>
                <w:szCs w:val="18"/>
                <w:lang w:val="en-GB"/>
              </w:rPr>
            </w:pPr>
          </w:p>
        </w:tc>
        <w:tc>
          <w:tcPr>
            <w:tcW w:w="7" w:type="pct"/>
            <w:shd w:val="clear" w:color="auto" w:fill="FFFFFF"/>
          </w:tcPr>
          <w:p w14:paraId="4892607E" w14:textId="77777777" w:rsidR="00163D99" w:rsidRPr="00B57B36" w:rsidRDefault="00163D99" w:rsidP="00807AB6">
            <w:pPr>
              <w:pStyle w:val="CETBodytext"/>
              <w:ind w:right="-1"/>
              <w:rPr>
                <w:rFonts w:cs="Arial"/>
                <w:szCs w:val="18"/>
                <w:lang w:val="en-GB"/>
              </w:rPr>
            </w:pPr>
          </w:p>
        </w:tc>
      </w:tr>
      <w:tr w:rsidR="007C5717" w:rsidRPr="00B57B36" w14:paraId="7CD0F502" w14:textId="77777777" w:rsidTr="008E08AC">
        <w:tc>
          <w:tcPr>
            <w:tcW w:w="2017" w:type="pct"/>
            <w:shd w:val="clear" w:color="auto" w:fill="FFFFFF"/>
          </w:tcPr>
          <w:p w14:paraId="5D40240F" w14:textId="4628BC2E" w:rsidR="007C5717" w:rsidRDefault="007C5717" w:rsidP="007C5717">
            <w:pPr>
              <w:pStyle w:val="CETBodytext"/>
              <w:rPr>
                <w:lang w:val="en-GB"/>
              </w:rPr>
            </w:pPr>
            <w:r>
              <w:rPr>
                <w:lang w:val="en-GB"/>
              </w:rPr>
              <w:t>H</w:t>
            </w:r>
          </w:p>
        </w:tc>
        <w:tc>
          <w:tcPr>
            <w:tcW w:w="1360" w:type="pct"/>
            <w:shd w:val="clear" w:color="auto" w:fill="FFFFFF"/>
          </w:tcPr>
          <w:p w14:paraId="00B42EDE" w14:textId="245F1141" w:rsidR="007C5717" w:rsidRPr="00B57B36" w:rsidRDefault="00E534BE" w:rsidP="007C5717">
            <w:pPr>
              <w:pStyle w:val="CETBodytext"/>
              <w:rPr>
                <w:lang w:val="en-GB"/>
              </w:rPr>
            </w:pPr>
            <w:r>
              <w:rPr>
                <w:lang w:val="en-GB"/>
              </w:rPr>
              <w:t>3.8</w:t>
            </w:r>
          </w:p>
        </w:tc>
        <w:tc>
          <w:tcPr>
            <w:tcW w:w="1610" w:type="pct"/>
            <w:shd w:val="clear" w:color="auto" w:fill="FFFFFF"/>
          </w:tcPr>
          <w:p w14:paraId="1B769ED7" w14:textId="7AC3A7A3" w:rsidR="007C5717" w:rsidRPr="00B57B36" w:rsidRDefault="007C5717" w:rsidP="007C5717">
            <w:pPr>
              <w:pStyle w:val="CETBodytext"/>
              <w:rPr>
                <w:lang w:val="en-GB"/>
              </w:rPr>
            </w:pPr>
            <w:r>
              <w:rPr>
                <w:lang w:val="en-GB"/>
              </w:rPr>
              <w:t>wt.% (dry basis)</w:t>
            </w:r>
          </w:p>
        </w:tc>
        <w:tc>
          <w:tcPr>
            <w:tcW w:w="7" w:type="pct"/>
            <w:shd w:val="clear" w:color="auto" w:fill="FFFFFF"/>
          </w:tcPr>
          <w:p w14:paraId="30B86DAF" w14:textId="77777777" w:rsidR="007C5717" w:rsidRPr="00B57B36" w:rsidRDefault="007C5717" w:rsidP="007C5717">
            <w:pPr>
              <w:pStyle w:val="CETBodytext"/>
              <w:ind w:right="-1"/>
              <w:rPr>
                <w:rFonts w:cs="Arial"/>
                <w:szCs w:val="18"/>
                <w:lang w:val="en-GB"/>
              </w:rPr>
            </w:pPr>
          </w:p>
        </w:tc>
        <w:tc>
          <w:tcPr>
            <w:tcW w:w="7" w:type="pct"/>
            <w:shd w:val="clear" w:color="auto" w:fill="FFFFFF"/>
          </w:tcPr>
          <w:p w14:paraId="2E548DCE" w14:textId="77777777" w:rsidR="007C5717" w:rsidRPr="00B57B36" w:rsidRDefault="007C5717" w:rsidP="007C5717">
            <w:pPr>
              <w:pStyle w:val="CETBodytext"/>
              <w:ind w:right="-1"/>
              <w:rPr>
                <w:rFonts w:cs="Arial"/>
                <w:szCs w:val="18"/>
                <w:lang w:val="en-GB"/>
              </w:rPr>
            </w:pPr>
          </w:p>
        </w:tc>
      </w:tr>
      <w:tr w:rsidR="007C5717" w:rsidRPr="00B57B36" w14:paraId="71E9548F" w14:textId="77777777" w:rsidTr="008E08AC">
        <w:tc>
          <w:tcPr>
            <w:tcW w:w="2017" w:type="pct"/>
            <w:shd w:val="clear" w:color="auto" w:fill="FFFFFF"/>
          </w:tcPr>
          <w:p w14:paraId="6AEC8F24" w14:textId="23C809F4" w:rsidR="007C5717" w:rsidRDefault="007C5717" w:rsidP="007C5717">
            <w:pPr>
              <w:pStyle w:val="CETBodytext"/>
              <w:rPr>
                <w:lang w:val="en-GB"/>
              </w:rPr>
            </w:pPr>
            <w:r>
              <w:rPr>
                <w:lang w:val="en-GB"/>
              </w:rPr>
              <w:t>N</w:t>
            </w:r>
          </w:p>
        </w:tc>
        <w:tc>
          <w:tcPr>
            <w:tcW w:w="1360" w:type="pct"/>
            <w:shd w:val="clear" w:color="auto" w:fill="FFFFFF"/>
          </w:tcPr>
          <w:p w14:paraId="103C397D" w14:textId="7BF55CFF" w:rsidR="007C5717" w:rsidRPr="00B57B36" w:rsidRDefault="00E534BE" w:rsidP="007C5717">
            <w:pPr>
              <w:pStyle w:val="CETBodytext"/>
              <w:rPr>
                <w:lang w:val="en-GB"/>
              </w:rPr>
            </w:pPr>
            <w:r>
              <w:rPr>
                <w:lang w:val="en-GB"/>
              </w:rPr>
              <w:t>3.3</w:t>
            </w:r>
          </w:p>
        </w:tc>
        <w:tc>
          <w:tcPr>
            <w:tcW w:w="1610" w:type="pct"/>
            <w:shd w:val="clear" w:color="auto" w:fill="FFFFFF"/>
          </w:tcPr>
          <w:p w14:paraId="717628FA" w14:textId="56B4BBB9" w:rsidR="007C5717" w:rsidRPr="00B57B36" w:rsidRDefault="007C5717" w:rsidP="007C5717">
            <w:pPr>
              <w:pStyle w:val="CETBodytext"/>
              <w:rPr>
                <w:lang w:val="en-GB"/>
              </w:rPr>
            </w:pPr>
            <w:r>
              <w:rPr>
                <w:lang w:val="en-GB"/>
              </w:rPr>
              <w:t>wt.% (dry basis)</w:t>
            </w:r>
          </w:p>
        </w:tc>
        <w:tc>
          <w:tcPr>
            <w:tcW w:w="7" w:type="pct"/>
            <w:shd w:val="clear" w:color="auto" w:fill="FFFFFF"/>
          </w:tcPr>
          <w:p w14:paraId="5D0F0457" w14:textId="77777777" w:rsidR="007C5717" w:rsidRPr="00B57B36" w:rsidRDefault="007C5717" w:rsidP="007C5717">
            <w:pPr>
              <w:pStyle w:val="CETBodytext"/>
              <w:ind w:right="-1"/>
              <w:rPr>
                <w:rFonts w:cs="Arial"/>
                <w:szCs w:val="18"/>
                <w:lang w:val="en-GB"/>
              </w:rPr>
            </w:pPr>
          </w:p>
        </w:tc>
        <w:tc>
          <w:tcPr>
            <w:tcW w:w="7" w:type="pct"/>
            <w:shd w:val="clear" w:color="auto" w:fill="FFFFFF"/>
          </w:tcPr>
          <w:p w14:paraId="242671D2" w14:textId="77777777" w:rsidR="007C5717" w:rsidRPr="00B57B36" w:rsidRDefault="007C5717" w:rsidP="007C5717">
            <w:pPr>
              <w:pStyle w:val="CETBodytext"/>
              <w:ind w:right="-1"/>
              <w:rPr>
                <w:rFonts w:cs="Arial"/>
                <w:szCs w:val="18"/>
                <w:lang w:val="en-GB"/>
              </w:rPr>
            </w:pPr>
          </w:p>
        </w:tc>
      </w:tr>
      <w:tr w:rsidR="007C5717" w:rsidRPr="00B57B36" w14:paraId="4A5B9DC2" w14:textId="77777777" w:rsidTr="008E08AC">
        <w:tc>
          <w:tcPr>
            <w:tcW w:w="2017" w:type="pct"/>
            <w:shd w:val="clear" w:color="auto" w:fill="FFFFFF"/>
          </w:tcPr>
          <w:p w14:paraId="30707DD3" w14:textId="4C3295EE" w:rsidR="007C5717" w:rsidRDefault="007C5717" w:rsidP="007C5717">
            <w:pPr>
              <w:pStyle w:val="CETBodytext"/>
              <w:rPr>
                <w:lang w:val="en-GB"/>
              </w:rPr>
            </w:pPr>
            <w:r>
              <w:rPr>
                <w:lang w:val="en-GB"/>
              </w:rPr>
              <w:t>S</w:t>
            </w:r>
          </w:p>
        </w:tc>
        <w:tc>
          <w:tcPr>
            <w:tcW w:w="1360" w:type="pct"/>
            <w:shd w:val="clear" w:color="auto" w:fill="FFFFFF"/>
          </w:tcPr>
          <w:p w14:paraId="6697CED5" w14:textId="79BE5954" w:rsidR="007C5717" w:rsidRPr="00B57B36" w:rsidRDefault="00E534BE" w:rsidP="007C5717">
            <w:pPr>
              <w:pStyle w:val="CETBodytext"/>
              <w:rPr>
                <w:lang w:val="en-GB"/>
              </w:rPr>
            </w:pPr>
            <w:r>
              <w:rPr>
                <w:lang w:val="en-GB"/>
              </w:rPr>
              <w:t>0.5</w:t>
            </w:r>
          </w:p>
        </w:tc>
        <w:tc>
          <w:tcPr>
            <w:tcW w:w="1610" w:type="pct"/>
            <w:shd w:val="clear" w:color="auto" w:fill="FFFFFF"/>
          </w:tcPr>
          <w:p w14:paraId="68E6B0A5" w14:textId="5E27C090" w:rsidR="007C5717" w:rsidRPr="00B57B36" w:rsidRDefault="007C5717" w:rsidP="007C5717">
            <w:pPr>
              <w:pStyle w:val="CETBodytext"/>
              <w:rPr>
                <w:lang w:val="en-GB"/>
              </w:rPr>
            </w:pPr>
            <w:r>
              <w:rPr>
                <w:lang w:val="en-GB"/>
              </w:rPr>
              <w:t>wt.% (dry basis)</w:t>
            </w:r>
          </w:p>
        </w:tc>
        <w:tc>
          <w:tcPr>
            <w:tcW w:w="7" w:type="pct"/>
            <w:shd w:val="clear" w:color="auto" w:fill="FFFFFF"/>
          </w:tcPr>
          <w:p w14:paraId="7513A007" w14:textId="77777777" w:rsidR="007C5717" w:rsidRPr="00B57B36" w:rsidRDefault="007C5717" w:rsidP="007C5717">
            <w:pPr>
              <w:pStyle w:val="CETBodytext"/>
              <w:ind w:right="-1"/>
              <w:rPr>
                <w:rFonts w:cs="Arial"/>
                <w:szCs w:val="18"/>
                <w:lang w:val="en-GB"/>
              </w:rPr>
            </w:pPr>
          </w:p>
        </w:tc>
        <w:tc>
          <w:tcPr>
            <w:tcW w:w="7" w:type="pct"/>
            <w:shd w:val="clear" w:color="auto" w:fill="FFFFFF"/>
          </w:tcPr>
          <w:p w14:paraId="0CEF1093" w14:textId="77777777" w:rsidR="007C5717" w:rsidRPr="00B57B36" w:rsidRDefault="007C5717" w:rsidP="007C5717">
            <w:pPr>
              <w:pStyle w:val="CETBodytext"/>
              <w:ind w:right="-1"/>
              <w:rPr>
                <w:rFonts w:cs="Arial"/>
                <w:szCs w:val="18"/>
                <w:lang w:val="en-GB"/>
              </w:rPr>
            </w:pPr>
          </w:p>
        </w:tc>
      </w:tr>
      <w:tr w:rsidR="00176CB5" w:rsidRPr="00B57B36" w14:paraId="3FB6E0B4" w14:textId="77777777" w:rsidTr="008E08AC">
        <w:tc>
          <w:tcPr>
            <w:tcW w:w="2017" w:type="pct"/>
            <w:shd w:val="clear" w:color="auto" w:fill="FFFFFF"/>
          </w:tcPr>
          <w:p w14:paraId="23FF9D45" w14:textId="4BAE9F75" w:rsidR="007C5717" w:rsidRPr="00B57B36" w:rsidRDefault="007C5717" w:rsidP="007C5717">
            <w:pPr>
              <w:pStyle w:val="CETBodytext"/>
              <w:ind w:right="-1"/>
              <w:rPr>
                <w:rFonts w:cs="Arial"/>
                <w:szCs w:val="18"/>
                <w:lang w:val="en-GB"/>
              </w:rPr>
            </w:pPr>
            <w:r>
              <w:rPr>
                <w:rFonts w:cs="Arial"/>
                <w:szCs w:val="18"/>
                <w:lang w:val="en-GB"/>
              </w:rPr>
              <w:t>O</w:t>
            </w:r>
          </w:p>
        </w:tc>
        <w:tc>
          <w:tcPr>
            <w:tcW w:w="1360" w:type="pct"/>
            <w:shd w:val="clear" w:color="auto" w:fill="FFFFFF"/>
          </w:tcPr>
          <w:p w14:paraId="20412767" w14:textId="347395E7" w:rsidR="007C5717" w:rsidRPr="00B57B36" w:rsidRDefault="00E534BE" w:rsidP="007C5717">
            <w:pPr>
              <w:pStyle w:val="CETBodytext"/>
              <w:ind w:right="-1"/>
              <w:rPr>
                <w:rFonts w:cs="Arial"/>
                <w:szCs w:val="18"/>
                <w:lang w:val="en-GB"/>
              </w:rPr>
            </w:pPr>
            <w:r>
              <w:rPr>
                <w:rFonts w:cs="Arial"/>
                <w:szCs w:val="18"/>
                <w:lang w:val="en-GB"/>
              </w:rPr>
              <w:t>19.0</w:t>
            </w:r>
          </w:p>
        </w:tc>
        <w:tc>
          <w:tcPr>
            <w:tcW w:w="1610" w:type="pct"/>
            <w:shd w:val="clear" w:color="auto" w:fill="FFFFFF"/>
          </w:tcPr>
          <w:p w14:paraId="7E914AE5" w14:textId="514BF790" w:rsidR="007C5717" w:rsidRPr="00B57B36" w:rsidRDefault="007C5717" w:rsidP="007C5717">
            <w:pPr>
              <w:pStyle w:val="CETBodytext"/>
              <w:ind w:right="-1"/>
              <w:rPr>
                <w:rFonts w:cs="Arial"/>
                <w:szCs w:val="18"/>
                <w:lang w:val="en-GB"/>
              </w:rPr>
            </w:pPr>
            <w:r>
              <w:rPr>
                <w:lang w:val="en-GB"/>
              </w:rPr>
              <w:t>wt.% (dry basis)</w:t>
            </w:r>
          </w:p>
        </w:tc>
        <w:tc>
          <w:tcPr>
            <w:tcW w:w="7" w:type="pct"/>
            <w:shd w:val="clear" w:color="auto" w:fill="FFFFFF"/>
          </w:tcPr>
          <w:p w14:paraId="26F3210A" w14:textId="77777777" w:rsidR="007C5717" w:rsidRPr="00B57B36" w:rsidRDefault="007C5717" w:rsidP="007C5717">
            <w:pPr>
              <w:pStyle w:val="CETBodytext"/>
              <w:ind w:right="-1"/>
              <w:rPr>
                <w:rFonts w:cs="Arial"/>
                <w:szCs w:val="18"/>
                <w:lang w:val="en-GB"/>
              </w:rPr>
            </w:pPr>
          </w:p>
        </w:tc>
        <w:tc>
          <w:tcPr>
            <w:tcW w:w="7" w:type="pct"/>
            <w:shd w:val="clear" w:color="auto" w:fill="FFFFFF"/>
          </w:tcPr>
          <w:p w14:paraId="58473B32" w14:textId="77777777" w:rsidR="007C5717" w:rsidRPr="00B57B36" w:rsidRDefault="007C5717" w:rsidP="007C5717">
            <w:pPr>
              <w:pStyle w:val="CETBodytext"/>
              <w:ind w:right="-1"/>
              <w:rPr>
                <w:rFonts w:cs="Arial"/>
                <w:szCs w:val="18"/>
                <w:lang w:val="en-GB"/>
              </w:rPr>
            </w:pPr>
          </w:p>
        </w:tc>
      </w:tr>
      <w:tr w:rsidR="00E534BE" w:rsidRPr="00B57B36" w14:paraId="4DA65A84" w14:textId="77777777" w:rsidTr="008E08AC">
        <w:tc>
          <w:tcPr>
            <w:tcW w:w="2017" w:type="pct"/>
            <w:shd w:val="clear" w:color="auto" w:fill="FFFFFF"/>
          </w:tcPr>
          <w:p w14:paraId="46E07B64" w14:textId="0A55A72F" w:rsidR="00E534BE" w:rsidRDefault="00E534BE" w:rsidP="00E534BE">
            <w:pPr>
              <w:pStyle w:val="CETBodytext"/>
              <w:ind w:right="-1"/>
              <w:rPr>
                <w:rFonts w:cs="Arial"/>
                <w:szCs w:val="18"/>
                <w:lang w:val="en-GB"/>
              </w:rPr>
            </w:pPr>
            <w:r>
              <w:rPr>
                <w:rFonts w:cs="Arial"/>
                <w:szCs w:val="18"/>
                <w:lang w:val="en-GB"/>
              </w:rPr>
              <w:t>Ash</w:t>
            </w:r>
          </w:p>
        </w:tc>
        <w:tc>
          <w:tcPr>
            <w:tcW w:w="1360" w:type="pct"/>
            <w:shd w:val="clear" w:color="auto" w:fill="FFFFFF"/>
          </w:tcPr>
          <w:p w14:paraId="2CEA77E8" w14:textId="14CA2560" w:rsidR="00E534BE" w:rsidRPr="00B57B36" w:rsidRDefault="00E534BE" w:rsidP="00E534BE">
            <w:pPr>
              <w:pStyle w:val="CETBodytext"/>
              <w:ind w:right="-1"/>
              <w:rPr>
                <w:rFonts w:cs="Arial"/>
                <w:szCs w:val="18"/>
                <w:lang w:val="en-GB"/>
              </w:rPr>
            </w:pPr>
            <w:r>
              <w:rPr>
                <w:rFonts w:cs="Arial"/>
                <w:szCs w:val="18"/>
                <w:lang w:val="en-GB"/>
              </w:rPr>
              <w:t>45.9</w:t>
            </w:r>
          </w:p>
        </w:tc>
        <w:tc>
          <w:tcPr>
            <w:tcW w:w="1610" w:type="pct"/>
            <w:shd w:val="clear" w:color="auto" w:fill="FFFFFF"/>
          </w:tcPr>
          <w:p w14:paraId="3A06D6A6" w14:textId="5ABB6D92" w:rsidR="00E534BE" w:rsidRDefault="00E534BE" w:rsidP="00E534BE">
            <w:pPr>
              <w:pStyle w:val="CETBodytext"/>
              <w:ind w:right="-1"/>
              <w:rPr>
                <w:lang w:val="en-GB"/>
              </w:rPr>
            </w:pPr>
            <w:r>
              <w:rPr>
                <w:lang w:val="en-GB"/>
              </w:rPr>
              <w:t>wt.% (dry basis)</w:t>
            </w:r>
          </w:p>
        </w:tc>
        <w:tc>
          <w:tcPr>
            <w:tcW w:w="7" w:type="pct"/>
            <w:shd w:val="clear" w:color="auto" w:fill="FFFFFF"/>
          </w:tcPr>
          <w:p w14:paraId="33657034" w14:textId="77777777" w:rsidR="00E534BE" w:rsidRPr="00B57B36" w:rsidRDefault="00E534BE" w:rsidP="00E534BE">
            <w:pPr>
              <w:pStyle w:val="CETBodytext"/>
              <w:ind w:right="-1"/>
              <w:rPr>
                <w:rFonts w:cs="Arial"/>
                <w:szCs w:val="18"/>
                <w:lang w:val="en-GB"/>
              </w:rPr>
            </w:pPr>
          </w:p>
        </w:tc>
        <w:tc>
          <w:tcPr>
            <w:tcW w:w="7" w:type="pct"/>
            <w:shd w:val="clear" w:color="auto" w:fill="FFFFFF"/>
          </w:tcPr>
          <w:p w14:paraId="558E42D2" w14:textId="77777777" w:rsidR="00E534BE" w:rsidRPr="00B57B36" w:rsidRDefault="00E534BE" w:rsidP="00E534BE">
            <w:pPr>
              <w:pStyle w:val="CETBodytext"/>
              <w:ind w:right="-1"/>
              <w:rPr>
                <w:rFonts w:cs="Arial"/>
                <w:szCs w:val="18"/>
                <w:lang w:val="en-GB"/>
              </w:rPr>
            </w:pPr>
          </w:p>
        </w:tc>
      </w:tr>
      <w:tr w:rsidR="00E534BE" w:rsidRPr="00B57B36" w14:paraId="63CFB194" w14:textId="77777777" w:rsidTr="008E08AC">
        <w:tc>
          <w:tcPr>
            <w:tcW w:w="2017" w:type="pct"/>
            <w:shd w:val="clear" w:color="auto" w:fill="FFFFFF"/>
          </w:tcPr>
          <w:p w14:paraId="0F6B0481" w14:textId="234BB0BD" w:rsidR="00E534BE" w:rsidRDefault="00E534BE" w:rsidP="00E534BE">
            <w:pPr>
              <w:pStyle w:val="CETBodytext"/>
              <w:ind w:right="-1"/>
              <w:rPr>
                <w:rFonts w:cs="Arial"/>
                <w:szCs w:val="18"/>
                <w:lang w:val="en-GB"/>
              </w:rPr>
            </w:pPr>
            <w:r>
              <w:rPr>
                <w:rFonts w:cs="Arial"/>
                <w:szCs w:val="18"/>
                <w:lang w:val="en-GB"/>
              </w:rPr>
              <w:t>Moisture</w:t>
            </w:r>
          </w:p>
        </w:tc>
        <w:tc>
          <w:tcPr>
            <w:tcW w:w="1360" w:type="pct"/>
            <w:shd w:val="clear" w:color="auto" w:fill="FFFFFF"/>
          </w:tcPr>
          <w:p w14:paraId="17987021" w14:textId="781F8D45" w:rsidR="00E534BE" w:rsidRPr="00B57B36" w:rsidRDefault="00E534BE" w:rsidP="00E534BE">
            <w:pPr>
              <w:pStyle w:val="CETBodytext"/>
              <w:ind w:right="-1"/>
              <w:rPr>
                <w:rFonts w:cs="Arial"/>
                <w:szCs w:val="18"/>
                <w:lang w:val="en-GB"/>
              </w:rPr>
            </w:pPr>
            <w:r>
              <w:rPr>
                <w:rFonts w:cs="Arial"/>
                <w:szCs w:val="18"/>
                <w:lang w:val="en-GB"/>
              </w:rPr>
              <w:t>5.1</w:t>
            </w:r>
          </w:p>
        </w:tc>
        <w:tc>
          <w:tcPr>
            <w:tcW w:w="1610" w:type="pct"/>
            <w:shd w:val="clear" w:color="auto" w:fill="FFFFFF"/>
          </w:tcPr>
          <w:p w14:paraId="4E125C5B" w14:textId="7853DBE8" w:rsidR="00E534BE" w:rsidRPr="00B57B36" w:rsidRDefault="00E534BE" w:rsidP="00E534BE">
            <w:pPr>
              <w:pStyle w:val="CETBodytext"/>
              <w:ind w:right="-1"/>
              <w:rPr>
                <w:rFonts w:cs="Arial"/>
                <w:szCs w:val="18"/>
                <w:lang w:val="en-GB"/>
              </w:rPr>
            </w:pPr>
            <w:r>
              <w:rPr>
                <w:lang w:val="en-GB"/>
              </w:rPr>
              <w:t>wt.% (total)</w:t>
            </w:r>
          </w:p>
        </w:tc>
        <w:tc>
          <w:tcPr>
            <w:tcW w:w="7" w:type="pct"/>
            <w:shd w:val="clear" w:color="auto" w:fill="FFFFFF"/>
          </w:tcPr>
          <w:p w14:paraId="316DFC01" w14:textId="77777777" w:rsidR="00E534BE" w:rsidRPr="00B57B36" w:rsidRDefault="00E534BE" w:rsidP="00E534BE">
            <w:pPr>
              <w:pStyle w:val="CETBodytext"/>
              <w:ind w:right="-1"/>
              <w:rPr>
                <w:rFonts w:cs="Arial"/>
                <w:szCs w:val="18"/>
                <w:lang w:val="en-GB"/>
              </w:rPr>
            </w:pPr>
          </w:p>
        </w:tc>
        <w:tc>
          <w:tcPr>
            <w:tcW w:w="7" w:type="pct"/>
            <w:shd w:val="clear" w:color="auto" w:fill="FFFFFF"/>
          </w:tcPr>
          <w:p w14:paraId="6369903F" w14:textId="77777777" w:rsidR="00E534BE" w:rsidRPr="00B57B36" w:rsidRDefault="00E534BE" w:rsidP="00E534BE">
            <w:pPr>
              <w:pStyle w:val="CETBodytext"/>
              <w:ind w:right="-1"/>
              <w:rPr>
                <w:rFonts w:cs="Arial"/>
                <w:szCs w:val="18"/>
                <w:lang w:val="en-GB"/>
              </w:rPr>
            </w:pPr>
          </w:p>
        </w:tc>
      </w:tr>
      <w:tr w:rsidR="00DC11BA" w:rsidRPr="00B57B36" w14:paraId="36655195" w14:textId="77777777" w:rsidTr="008E08AC">
        <w:tc>
          <w:tcPr>
            <w:tcW w:w="2017" w:type="pct"/>
            <w:shd w:val="clear" w:color="auto" w:fill="FFFFFF"/>
          </w:tcPr>
          <w:p w14:paraId="538A6D4F" w14:textId="632D8027" w:rsidR="00DC11BA" w:rsidRDefault="00DC11BA" w:rsidP="00E534BE">
            <w:pPr>
              <w:pStyle w:val="CETBodytext"/>
              <w:ind w:right="-1"/>
              <w:rPr>
                <w:rFonts w:cs="Arial"/>
                <w:szCs w:val="18"/>
                <w:lang w:val="en-GB"/>
              </w:rPr>
            </w:pPr>
            <w:r>
              <w:rPr>
                <w:rFonts w:cs="Arial"/>
                <w:szCs w:val="18"/>
                <w:lang w:val="en-GB"/>
              </w:rPr>
              <w:t>LHV</w:t>
            </w:r>
          </w:p>
        </w:tc>
        <w:tc>
          <w:tcPr>
            <w:tcW w:w="1360" w:type="pct"/>
            <w:shd w:val="clear" w:color="auto" w:fill="FFFFFF"/>
          </w:tcPr>
          <w:p w14:paraId="00905143" w14:textId="43FA8CF5" w:rsidR="00DC11BA" w:rsidRDefault="00DC11BA" w:rsidP="00E534BE">
            <w:pPr>
              <w:pStyle w:val="CETBodytext"/>
              <w:ind w:right="-1"/>
              <w:rPr>
                <w:rFonts w:cs="Arial"/>
                <w:szCs w:val="18"/>
                <w:lang w:val="en-GB"/>
              </w:rPr>
            </w:pPr>
            <w:r>
              <w:rPr>
                <w:rFonts w:cs="Arial"/>
                <w:szCs w:val="18"/>
                <w:lang w:val="en-GB"/>
              </w:rPr>
              <w:t>12.6</w:t>
            </w:r>
          </w:p>
        </w:tc>
        <w:tc>
          <w:tcPr>
            <w:tcW w:w="1610" w:type="pct"/>
            <w:shd w:val="clear" w:color="auto" w:fill="FFFFFF"/>
          </w:tcPr>
          <w:p w14:paraId="3B8A177C" w14:textId="3BDF26FB" w:rsidR="00DC11BA" w:rsidRDefault="00DC11BA" w:rsidP="00E534BE">
            <w:pPr>
              <w:pStyle w:val="CETBodytext"/>
              <w:ind w:right="-1"/>
              <w:rPr>
                <w:lang w:val="en-GB"/>
              </w:rPr>
            </w:pPr>
            <w:r>
              <w:rPr>
                <w:lang w:val="en-GB"/>
              </w:rPr>
              <w:t>MJ/kg (dry basis)</w:t>
            </w:r>
          </w:p>
        </w:tc>
        <w:tc>
          <w:tcPr>
            <w:tcW w:w="7" w:type="pct"/>
            <w:shd w:val="clear" w:color="auto" w:fill="FFFFFF"/>
          </w:tcPr>
          <w:p w14:paraId="3BB3C6F7" w14:textId="77777777" w:rsidR="00DC11BA" w:rsidRPr="00B57B36" w:rsidRDefault="00DC11BA" w:rsidP="00E534BE">
            <w:pPr>
              <w:pStyle w:val="CETBodytext"/>
              <w:ind w:right="-1"/>
              <w:rPr>
                <w:rFonts w:cs="Arial"/>
                <w:szCs w:val="18"/>
                <w:lang w:val="en-GB"/>
              </w:rPr>
            </w:pPr>
          </w:p>
        </w:tc>
        <w:tc>
          <w:tcPr>
            <w:tcW w:w="7" w:type="pct"/>
            <w:shd w:val="clear" w:color="auto" w:fill="FFFFFF"/>
          </w:tcPr>
          <w:p w14:paraId="7AE4CBA4" w14:textId="77777777" w:rsidR="00DC11BA" w:rsidRPr="00B57B36" w:rsidRDefault="00DC11BA" w:rsidP="00E534BE">
            <w:pPr>
              <w:pStyle w:val="CETBodytext"/>
              <w:ind w:right="-1"/>
              <w:rPr>
                <w:rFonts w:cs="Arial"/>
                <w:szCs w:val="18"/>
                <w:lang w:val="en-GB"/>
              </w:rPr>
            </w:pPr>
          </w:p>
        </w:tc>
      </w:tr>
    </w:tbl>
    <w:p w14:paraId="4828311D" w14:textId="1441D4D0" w:rsidR="007E0D31" w:rsidRDefault="007E0D31" w:rsidP="00453E24">
      <w:pPr>
        <w:pStyle w:val="CETBodytext"/>
      </w:pPr>
    </w:p>
    <w:p w14:paraId="3C8DDA03" w14:textId="3659D5AE" w:rsidR="00F60E4B" w:rsidRDefault="004F3E80" w:rsidP="00453E24">
      <w:pPr>
        <w:pStyle w:val="CETBodytext"/>
      </w:pPr>
      <w:r>
        <w:t>It has been observed that the combustion of aerobically stabilized sewage sludge proceeds at first with a simple pyrolytic decomposition that starts around 170-200°C, leadin</w:t>
      </w:r>
      <w:r w:rsidR="00555D19">
        <w:t xml:space="preserve">g to the production of gas, </w:t>
      </w:r>
      <w:r w:rsidR="00E957DB">
        <w:t>tar</w:t>
      </w:r>
      <w:r>
        <w:t>, and water</w:t>
      </w:r>
      <w:r w:rsidR="007A3071">
        <w:t xml:space="preserve"> that are further decomposed in secondary gas-phase reactions</w:t>
      </w:r>
      <w:r>
        <w:t xml:space="preserve">. Then, at 450-500°C </w:t>
      </w:r>
      <w:r w:rsidR="00B25498">
        <w:t xml:space="preserve">char is formed in a consecutive reaction, and it starts to oxidize between 450-550°C </w:t>
      </w:r>
      <w:r w:rsidR="00B25498">
        <w:fldChar w:fldCharType="begin"/>
      </w:r>
      <w:r w:rsidR="00B25498">
        <w:instrText xml:space="preserve"> ADDIN ZOTERO_ITEM CSL_CITATION {"citationID":"wN3PCI9x","properties":{"formattedCitation":"(Font et al., 2005)","plainCitation":"(Font et al., 2005)","noteIndex":0},"citationItems":[{"id":139,"uris":["http://zotero.org/users/11115034/items/L7SRWS5P"],"itemData":{"id":139,"type":"article-journal","abstract":"Pyrolysis and combustion of two types of sewage sludge have been studied. The two sludges considered, considering their thermal decomposition, have different behaviors when comparing pyrolysis and combustion TG runs of each sludge. In one case, the combustion can be considered as an oxidative pyrolysis, where the decomposition process is accelerated by the presence of oxygen. In the other case, the TG combustion run has two parts, the ﬁrst one coinciding with the pyrolysis run and the second one with combustion of the char formed previously.","container-title":"Journal of Analytical and Applied Pyrolysis","DOI":"10.1016/j.jaap.2004.10.009","ISSN":"01652370","issue":"1-2","journalAbbreviation":"Journal of Analytical and Applied Pyrolysis","language":"en","page":"429-438","source":"DOI.org (Crossref)","title":"Kinetic models for the pyrolysis and combustion of two types of sewage sludge","volume":"74","author":[{"family":"Font","given":"R."},{"family":"Fullana","given":"A."},{"family":"Conesa","given":"J."}],"issued":{"date-parts":[["2005",8]]}}}],"schema":"https://github.com/citation-style-language/schema/raw/master/csl-citation.json"} </w:instrText>
      </w:r>
      <w:r w:rsidR="00B25498">
        <w:fldChar w:fldCharType="separate"/>
      </w:r>
      <w:r w:rsidR="00B25498" w:rsidRPr="00B25498">
        <w:rPr>
          <w:rFonts w:cs="Arial"/>
        </w:rPr>
        <w:t>(Font et al., 2005)</w:t>
      </w:r>
      <w:r w:rsidR="00B25498">
        <w:fldChar w:fldCharType="end"/>
      </w:r>
      <w:r w:rsidR="00B25498">
        <w:t xml:space="preserve">. </w:t>
      </w:r>
      <w:r w:rsidR="00153C5D">
        <w:t xml:space="preserve">The simplified kinetic scheme that is proposed in this </w:t>
      </w:r>
      <w:r w:rsidR="0070457B">
        <w:t>paper</w:t>
      </w:r>
      <w:r w:rsidR="00153C5D">
        <w:t xml:space="preserve"> </w:t>
      </w:r>
      <w:r w:rsidR="00350905">
        <w:t xml:space="preserve">for sludge pyrolysis </w:t>
      </w:r>
      <w:r w:rsidR="00153C5D">
        <w:t xml:space="preserve">is </w:t>
      </w:r>
      <w:r w:rsidR="00CB2E3E">
        <w:t>based on a lum</w:t>
      </w:r>
      <w:r w:rsidR="00555D19">
        <w:t xml:space="preserve">ped approach including gas, </w:t>
      </w:r>
      <w:r w:rsidR="00E957DB">
        <w:t>tar</w:t>
      </w:r>
      <w:r w:rsidR="00CB2E3E">
        <w:t xml:space="preserve">, </w:t>
      </w:r>
      <w:r w:rsidR="00350905">
        <w:t>char, and moisture</w:t>
      </w:r>
      <w:r w:rsidR="00056DD3">
        <w:t xml:space="preserve"> already </w:t>
      </w:r>
      <w:r w:rsidR="00981BA0">
        <w:t>used</w:t>
      </w:r>
      <w:r w:rsidR="00056DD3">
        <w:t xml:space="preserve"> in </w:t>
      </w:r>
      <w:r w:rsidR="006F3EBB">
        <w:t>scientific</w:t>
      </w:r>
      <w:r w:rsidR="00056DD3">
        <w:t xml:space="preserve"> literature </w:t>
      </w:r>
      <w:r w:rsidR="009967E7">
        <w:fldChar w:fldCharType="begin"/>
      </w:r>
      <w:r w:rsidR="009967E7">
        <w:instrText xml:space="preserve"> ADDIN ZOTERO_ITEM CSL_CITATION {"citationID":"wbtC3gpv","properties":{"formattedCitation":"(Stolarek and Ledakowicz, 2001)","plainCitation":"(Stolarek and Ledakowicz, 2001)","noteIndex":0},"citationItems":[{"id":196,"uris":["http://zotero.org/users/11115034/items/PGUHDY63"],"itemData":{"id":196,"type":"article-journal","abstract":"Thermal processing of sewage sludge including drying, pyrolysis and gasification or combustion may be an alternative to other ways of utilising it. In this paper thermogravimetric analysis (TGA) was employed in the investigation of thermal decomposition of sewage sludge. The kinetic parameters of drying, pyrolysis and gasification or combustion of sewage sludge have been determined in an inert-gas (argon) and additionally some series of the sludge decomposition experiments have been carried out in air, in order to compare pyrolysis and combustion. The pyrolysis char has been gasified with carbon dioxide. A typical approach to the kinetics of thermal decomposition of a solid waste is to divide the volatile evolution into a few fractions (lumps), each of which is represented by a single first-order reaction. If these lumps are assumed to be non-interacting and evolved by independent parallel reactions the first-order kinetic parameters such as activation energy Ei and pre-exponential factor Ai can be determined from mathematical evaluation of TG or DTG curves. The object of our investigations was a municipal sludge from the two wastewater treatment plants (WTP) in Poland. The experiments have been carried out in the thermobalance Mettler-Toledo type TGA/SDTA851 LF, in the temperature range 30-1,000 degrees C. Five different values of heating rate have been applied beta = 2, 5, 10, 15 and 20 K/min. The values of Ei and Ai have been determined for all recognised lumps of gaseous products. The method employed has also revealed its usefulness for the determination of kinetic parameters for municipal sludge, that possess an undefined content. An alternative route to combustion of sewage sludge is its gasification, which significantly increases the gaseous product (pyrolytic gas + syngas). Besides pyrolysis kinetics, gasification or combustion process kinetics have also been determined.","container-title":"Water Science and Technology: A Journal of the International Association on Water Pollution Research","ISSN":"0273-1223","issue":"10","journalAbbreviation":"Water Sci Technol","language":"eng","note":"PMID: 11794675","page":"333-339","source":"PubMed","title":"Thermal processing of sewage sludge by drying, pyrolysis, gasification and combustion","volume":"44","author":[{"family":"Stolarek","given":"P."},{"family":"Ledakowicz","given":"S."}],"issued":{"date-parts":[["2001"]]}}}],"schema":"https://github.com/citation-style-language/schema/raw/master/csl-citation.json"} </w:instrText>
      </w:r>
      <w:r w:rsidR="009967E7">
        <w:fldChar w:fldCharType="separate"/>
      </w:r>
      <w:r w:rsidR="009967E7" w:rsidRPr="009967E7">
        <w:rPr>
          <w:rFonts w:cs="Arial"/>
        </w:rPr>
        <w:t>(Stolarek and Ledakowicz, 2001)</w:t>
      </w:r>
      <w:r w:rsidR="009967E7">
        <w:fldChar w:fldCharType="end"/>
      </w:r>
      <w:r w:rsidR="00350905">
        <w:t xml:space="preserve">, and it is shown in </w:t>
      </w:r>
      <w:r w:rsidR="004C7DA4">
        <w:rPr>
          <w:highlight w:val="yellow"/>
        </w:rPr>
        <w:fldChar w:fldCharType="begin"/>
      </w:r>
      <w:r w:rsidR="004C7DA4">
        <w:instrText xml:space="preserve"> REF _Ref131088014 \h </w:instrText>
      </w:r>
      <w:r w:rsidR="004C7DA4">
        <w:rPr>
          <w:highlight w:val="yellow"/>
        </w:rPr>
      </w:r>
      <w:r w:rsidR="004C7DA4">
        <w:rPr>
          <w:highlight w:val="yellow"/>
        </w:rPr>
        <w:fldChar w:fldCharType="separate"/>
      </w:r>
      <w:r w:rsidR="004C7DA4">
        <w:t xml:space="preserve">Figure </w:t>
      </w:r>
      <w:r w:rsidR="004C7DA4">
        <w:rPr>
          <w:noProof/>
        </w:rPr>
        <w:t>1</w:t>
      </w:r>
      <w:r w:rsidR="004C7DA4">
        <w:rPr>
          <w:highlight w:val="yellow"/>
        </w:rPr>
        <w:fldChar w:fldCharType="end"/>
      </w:r>
      <w:r w:rsidR="00350905">
        <w:t>.</w:t>
      </w:r>
      <w:r w:rsidR="0077306B">
        <w:t xml:space="preserve"> The scheme includes a first, direct pyrolysis of sewage sludge leading to the production of gas, tar, and water, which is representative of the low-temperature pyrolysis observed in scientific literature</w:t>
      </w:r>
      <w:r w:rsidR="00426B86">
        <w:t>.</w:t>
      </w:r>
      <w:r w:rsidR="0077306B">
        <w:t xml:space="preserve"> Then, the scheme also considers the decomposition of the most unstable fraction of the tar </w:t>
      </w:r>
      <w:r w:rsidR="002F19CE">
        <w:t>lump</w:t>
      </w:r>
      <w:r w:rsidR="0077306B">
        <w:t xml:space="preserve"> (the one </w:t>
      </w:r>
      <w:r w:rsidR="002F19CE">
        <w:t>containing</w:t>
      </w:r>
      <w:r w:rsidR="0077306B">
        <w:t xml:space="preserve"> more oxygen)</w:t>
      </w:r>
      <w:r w:rsidR="002F19CE">
        <w:t xml:space="preserve">, </w:t>
      </w:r>
      <w:r w:rsidR="002F19CE">
        <w:lastRenderedPageBreak/>
        <w:t xml:space="preserve">leading to the production of secondary pyrolysis products such as gas, char, and a more stable tar </w:t>
      </w:r>
      <w:r w:rsidR="00070511">
        <w:t xml:space="preserve">fraction </w:t>
      </w:r>
      <w:r w:rsidR="002F19CE">
        <w:t>having no oxygen content.</w:t>
      </w:r>
      <w:r w:rsidR="008B0286">
        <w:t xml:space="preserve"> </w:t>
      </w:r>
      <w:r w:rsidR="006D211D">
        <w:t>When looking at experimental data, almost every fraction either monotonically decreases (sludge) or increases (gas, water, char) with the exception of</w:t>
      </w:r>
      <w:r w:rsidR="00555D19">
        <w:t xml:space="preserve"> </w:t>
      </w:r>
      <w:r w:rsidR="00E957DB">
        <w:t>tar</w:t>
      </w:r>
      <w:r w:rsidR="006D211D">
        <w:t>, which is the only lump showing a maximum yield around 500°C</w:t>
      </w:r>
      <w:r w:rsidR="00DB7DC5">
        <w:t xml:space="preserve"> </w:t>
      </w:r>
      <w:r w:rsidR="00DB7DC5">
        <w:fldChar w:fldCharType="begin"/>
      </w:r>
      <w:r w:rsidR="00DB7DC5">
        <w:instrText xml:space="preserve"> ADDIN ZOTERO_ITEM CSL_CITATION {"citationID":"qUVq0SRc","properties":{"formattedCitation":"(Stammbach et al., 1989)","plainCitation":"(Stammbach et al., 1989)","noteIndex":0},"citationItems":[{"id":144,"uris":["http://zotero.org/users/11115034/items/QX3E59EU"],"itemData":{"id":144,"type":"article-journal","abstract":"The pyrolysis of sewage sludge was investigated in an oxygen-free atmosphere in a fluidized bed. The yield of high quality liquid products could be improved by use of a fluid-cracking catalyst. The temperature is the most important process parameter although the other parameters should be chosen carefully as well. In particular, blow out of the sludge out of the reaction zone prior to complete reaction must be avoided as well as the use of big particles. The emission of Cd starts already below 600 °C and is therefore the actual limit for this process. At present the economics of the pyrolysis are not favorable. A further increase in the market price of the organic liquid products can be expected to make the process economical.","container-title":"Energy &amp; Fuels","DOI":"10.1021/ef00014a022","ISSN":"0887-0624, 1520-5029","issue":"2","journalAbbreviation":"Energy Fuels","language":"en","page":"255-259","source":"DOI.org (Crossref)","title":"Pyrolysis of sewage sludge in a fluidized bed","volume":"3","author":[{"family":"Stammbach","given":"Marc R."},{"family":"Kraaz","given":"Bruno"},{"family":"Hagenbucher","given":"Roland"},{"family":"Richarz","given":"Werner"}],"issued":{"date-parts":[["1989",3,1]]}}}],"schema":"https://github.com/citation-style-language/schema/raw/master/csl-citation.json"} </w:instrText>
      </w:r>
      <w:r w:rsidR="00DB7DC5">
        <w:fldChar w:fldCharType="separate"/>
      </w:r>
      <w:r w:rsidR="00DB7DC5" w:rsidRPr="00DB7DC5">
        <w:rPr>
          <w:rFonts w:cs="Arial"/>
        </w:rPr>
        <w:t>(Stammbach et al., 1989)</w:t>
      </w:r>
      <w:r w:rsidR="00DB7DC5">
        <w:fldChar w:fldCharType="end"/>
      </w:r>
      <w:r w:rsidR="006D211D">
        <w:t xml:space="preserve">. The </w:t>
      </w:r>
      <w:r w:rsidR="009F11F9">
        <w:t>proposed kinetic scheme</w:t>
      </w:r>
      <w:r w:rsidR="00105F83">
        <w:t xml:space="preserve"> mimics t</w:t>
      </w:r>
      <w:r w:rsidR="00555D19">
        <w:t xml:space="preserve">his behavior by considering </w:t>
      </w:r>
      <w:r w:rsidR="00E957DB">
        <w:t>tar</w:t>
      </w:r>
      <w:r w:rsidR="00105F83">
        <w:t xml:space="preserve"> as the </w:t>
      </w:r>
      <w:r w:rsidR="006D211D">
        <w:t xml:space="preserve">only </w:t>
      </w:r>
      <w:r w:rsidR="00105F83">
        <w:t>fraction</w:t>
      </w:r>
      <w:r w:rsidR="006D211D">
        <w:t xml:space="preserve"> that is unstable enough to further </w:t>
      </w:r>
      <w:r w:rsidR="00105F83">
        <w:t>decompose at higher temperature.</w:t>
      </w:r>
    </w:p>
    <w:p w14:paraId="40D30945" w14:textId="4CD3F62A" w:rsidR="00555D19" w:rsidRDefault="000E6822" w:rsidP="004D3482">
      <w:pPr>
        <w:pStyle w:val="CETBodytext"/>
        <w:keepNext/>
      </w:pPr>
      <w:r>
        <w:rPr>
          <w:noProof/>
          <w:lang w:val="it-IT" w:eastAsia="it-IT"/>
        </w:rPr>
        <w:drawing>
          <wp:inline distT="0" distB="0" distL="0" distR="0" wp14:anchorId="7A978B30" wp14:editId="1F1605C4">
            <wp:extent cx="3027218" cy="1032441"/>
            <wp:effectExtent l="0" t="0" r="1905"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inetics2.png"/>
                    <pic:cNvPicPr/>
                  </pic:nvPicPr>
                  <pic:blipFill>
                    <a:blip r:embed="rId10">
                      <a:extLst>
                        <a:ext uri="{28A0092B-C50C-407E-A947-70E740481C1C}">
                          <a14:useLocalDpi xmlns:a14="http://schemas.microsoft.com/office/drawing/2010/main" val="0"/>
                        </a:ext>
                      </a:extLst>
                    </a:blip>
                    <a:stretch>
                      <a:fillRect/>
                    </a:stretch>
                  </pic:blipFill>
                  <pic:spPr>
                    <a:xfrm>
                      <a:off x="0" y="0"/>
                      <a:ext cx="3114689" cy="1062273"/>
                    </a:xfrm>
                    <a:prstGeom prst="rect">
                      <a:avLst/>
                    </a:prstGeom>
                  </pic:spPr>
                </pic:pic>
              </a:graphicData>
            </a:graphic>
          </wp:inline>
        </w:drawing>
      </w:r>
    </w:p>
    <w:p w14:paraId="57B67E3E" w14:textId="42331BAF" w:rsidR="004D3482" w:rsidRDefault="004D3482" w:rsidP="004D3482">
      <w:pPr>
        <w:pStyle w:val="CETCaption"/>
      </w:pPr>
      <w:bookmarkStart w:id="0" w:name="_Ref131088014"/>
      <w:r>
        <w:t xml:space="preserve">Figure </w:t>
      </w:r>
      <w:r>
        <w:fldChar w:fldCharType="begin"/>
      </w:r>
      <w:r>
        <w:instrText xml:space="preserve"> SEQ Figure \* ARABIC </w:instrText>
      </w:r>
      <w:r>
        <w:fldChar w:fldCharType="separate"/>
      </w:r>
      <w:r w:rsidR="00E93DA2">
        <w:rPr>
          <w:noProof/>
        </w:rPr>
        <w:t>1</w:t>
      </w:r>
      <w:r>
        <w:fldChar w:fldCharType="end"/>
      </w:r>
      <w:bookmarkEnd w:id="0"/>
      <w:r w:rsidR="004F10EC">
        <w:t xml:space="preserve">: Lumped kinetic scheme proposed for </w:t>
      </w:r>
      <w:r w:rsidR="00E165FB">
        <w:t>aerobically stabilized sewage sludge thermal decomposition</w:t>
      </w:r>
    </w:p>
    <w:p w14:paraId="34CBCFBB" w14:textId="1B43465A" w:rsidR="006105F7" w:rsidRDefault="00DB7DC5" w:rsidP="006105F7">
      <w:pPr>
        <w:pStyle w:val="CETBodytext"/>
      </w:pPr>
      <w:r>
        <w:t xml:space="preserve">The numerical procedure used to fit the kinetic model with experimental data </w:t>
      </w:r>
      <w:r w:rsidR="00A90CAB">
        <w:t xml:space="preserve">starts with the definition of the </w:t>
      </w:r>
      <w:r w:rsidR="00EC11E6">
        <w:t>mass balance</w:t>
      </w:r>
      <w:r w:rsidR="00A0282F">
        <w:t xml:space="preserve"> that characterizes the system, which is shown in Eq(1).</w:t>
      </w:r>
    </w:p>
    <w:tbl>
      <w:tblPr>
        <w:tblW w:w="5000" w:type="pct"/>
        <w:tblLook w:val="04A0" w:firstRow="1" w:lastRow="0" w:firstColumn="1" w:lastColumn="0" w:noHBand="0" w:noVBand="1"/>
      </w:tblPr>
      <w:tblGrid>
        <w:gridCol w:w="7986"/>
        <w:gridCol w:w="801"/>
      </w:tblGrid>
      <w:tr w:rsidR="006F71B1" w:rsidRPr="00B57B36" w14:paraId="2AE13D89" w14:textId="77777777" w:rsidTr="00807AB6">
        <w:tc>
          <w:tcPr>
            <w:tcW w:w="8188" w:type="dxa"/>
            <w:shd w:val="clear" w:color="auto" w:fill="auto"/>
            <w:vAlign w:val="center"/>
          </w:tcPr>
          <w:p w14:paraId="5F695484" w14:textId="39226375" w:rsidR="006F71B1" w:rsidRPr="006F71B1" w:rsidRDefault="00EB119C" w:rsidP="00807AB6">
            <w:pPr>
              <w:pStyle w:val="CETEquation"/>
            </w:pPr>
            <m:oMathPara>
              <m:oMathParaPr>
                <m:jc m:val="left"/>
              </m:oMathParaPr>
              <m:oMath>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ω</m:t>
                                </m:r>
                              </m:e>
                              <m:sub>
                                <m:r>
                                  <w:rPr>
                                    <w:rFonts w:ascii="Cambria Math" w:hAnsi="Cambria Math"/>
                                  </w:rPr>
                                  <m:t>SS</m:t>
                                </m:r>
                              </m:sub>
                            </m:sSub>
                          </m:num>
                          <m:den>
                            <m:r>
                              <w:rPr>
                                <w:rFonts w:ascii="Cambria Math" w:hAnsi="Cambria Math"/>
                              </w:rPr>
                              <m:t>dt</m:t>
                            </m:r>
                          </m:den>
                        </m:f>
                        <m:r>
                          <w:rPr>
                            <w:rFonts w:ascii="Cambria Math" w:hAnsi="Cambria Math"/>
                          </w:rPr>
                          <m:t>=-k1</m:t>
                        </m:r>
                        <m:r>
                          <w:rPr>
                            <w:rFonts w:ascii="Times New Roman" w:hAnsi="Times New Roman"/>
                          </w:rPr>
                          <m:t>⸱</m:t>
                        </m:r>
                        <m:sSub>
                          <m:sSubPr>
                            <m:ctrlPr>
                              <w:rPr>
                                <w:rFonts w:ascii="Cambria Math" w:hAnsi="Cambria Math"/>
                                <w:i/>
                              </w:rPr>
                            </m:ctrlPr>
                          </m:sSubPr>
                          <m:e>
                            <m:r>
                              <w:rPr>
                                <w:rFonts w:ascii="Cambria Math" w:hAnsi="Cambria Math"/>
                              </w:rPr>
                              <m:t>ω</m:t>
                            </m:r>
                          </m:e>
                          <m:sub>
                            <m:r>
                              <w:rPr>
                                <w:rFonts w:ascii="Cambria Math" w:hAnsi="Cambria Math"/>
                              </w:rPr>
                              <m:t>SS</m:t>
                            </m:r>
                          </m:sub>
                        </m:sSub>
                      </m:e>
                      <m:e>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ω</m:t>
                                </m:r>
                              </m:e>
                              <m:sub>
                                <m:r>
                                  <w:rPr>
                                    <w:rFonts w:ascii="Cambria Math" w:hAnsi="Cambria Math"/>
                                  </w:rPr>
                                  <m:t>GAS</m:t>
                                </m:r>
                              </m:sub>
                            </m:sSub>
                          </m:num>
                          <m:den>
                            <m:r>
                              <w:rPr>
                                <w:rFonts w:ascii="Cambria Math" w:hAnsi="Cambria Math"/>
                              </w:rPr>
                              <m:t>dt</m:t>
                            </m:r>
                          </m:den>
                        </m:f>
                        <m:r>
                          <w:rPr>
                            <w:rFonts w:ascii="Cambria Math" w:hAnsi="Cambria Math"/>
                          </w:rPr>
                          <m:t>=k1</m:t>
                        </m:r>
                        <m:r>
                          <w:rPr>
                            <w:rFonts w:ascii="Times New Roman" w:hAnsi="Times New Roman"/>
                          </w:rPr>
                          <m:t>⸱</m:t>
                        </m:r>
                        <m:sSub>
                          <m:sSubPr>
                            <m:ctrlPr>
                              <w:rPr>
                                <w:rFonts w:ascii="Cambria Math" w:hAnsi="Cambria Math"/>
                                <w:i/>
                              </w:rPr>
                            </m:ctrlPr>
                          </m:sSubPr>
                          <m:e>
                            <m:r>
                              <w:rPr>
                                <w:rFonts w:ascii="Cambria Math" w:hAnsi="Cambria Math"/>
                              </w:rPr>
                              <m:t>ω</m:t>
                            </m:r>
                          </m:e>
                          <m:sub>
                            <m:r>
                              <w:rPr>
                                <w:rFonts w:ascii="Cambria Math" w:hAnsi="Cambria Math"/>
                              </w:rPr>
                              <m:t>SS</m:t>
                            </m:r>
                          </m:sub>
                        </m:sSub>
                        <m:r>
                          <w:rPr>
                            <w:rFonts w:ascii="Cambria Math" w:hAnsi="Cambria Math"/>
                          </w:rPr>
                          <m:t>+k2</m:t>
                        </m:r>
                        <m:r>
                          <w:rPr>
                            <w:rFonts w:ascii="Times New Roman" w:hAnsi="Times New Roman"/>
                          </w:rPr>
                          <m:t>⸱</m:t>
                        </m:r>
                        <m:sSub>
                          <m:sSubPr>
                            <m:ctrlPr>
                              <w:rPr>
                                <w:rFonts w:ascii="Cambria Math" w:hAnsi="Cambria Math"/>
                                <w:i/>
                              </w:rPr>
                            </m:ctrlPr>
                          </m:sSubPr>
                          <m:e>
                            <m:r>
                              <w:rPr>
                                <w:rFonts w:ascii="Cambria Math" w:hAnsi="Cambria Math"/>
                              </w:rPr>
                              <m:t>ω</m:t>
                            </m:r>
                          </m:e>
                          <m:sub>
                            <m:r>
                              <w:rPr>
                                <w:rFonts w:ascii="Cambria Math" w:hAnsi="Cambria Math"/>
                              </w:rPr>
                              <m:t>TAR3</m:t>
                            </m:r>
                          </m:sub>
                        </m:sSub>
                      </m:e>
                      <m:e>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ω</m:t>
                                </m:r>
                              </m:e>
                              <m:sub>
                                <m:r>
                                  <w:rPr>
                                    <w:rFonts w:ascii="Cambria Math" w:hAnsi="Cambria Math"/>
                                  </w:rPr>
                                  <m:t>TAR1</m:t>
                                </m:r>
                              </m:sub>
                            </m:sSub>
                          </m:num>
                          <m:den>
                            <m:r>
                              <w:rPr>
                                <w:rFonts w:ascii="Cambria Math" w:hAnsi="Cambria Math"/>
                              </w:rPr>
                              <m:t>dt</m:t>
                            </m:r>
                          </m:den>
                        </m:f>
                        <m:r>
                          <w:rPr>
                            <w:rFonts w:ascii="Cambria Math" w:hAnsi="Cambria Math"/>
                          </w:rPr>
                          <m:t>=k1</m:t>
                        </m:r>
                        <m:r>
                          <w:rPr>
                            <w:rFonts w:ascii="Times New Roman" w:hAnsi="Times New Roman"/>
                          </w:rPr>
                          <m:t>⸱</m:t>
                        </m:r>
                        <m:sSub>
                          <m:sSubPr>
                            <m:ctrlPr>
                              <w:rPr>
                                <w:rFonts w:ascii="Cambria Math" w:hAnsi="Cambria Math"/>
                                <w:i/>
                              </w:rPr>
                            </m:ctrlPr>
                          </m:sSubPr>
                          <m:e>
                            <m:r>
                              <w:rPr>
                                <w:rFonts w:ascii="Cambria Math" w:hAnsi="Cambria Math"/>
                              </w:rPr>
                              <m:t>ω</m:t>
                            </m:r>
                          </m:e>
                          <m:sub>
                            <m:r>
                              <w:rPr>
                                <w:rFonts w:ascii="Cambria Math" w:hAnsi="Cambria Math"/>
                              </w:rPr>
                              <m:t>SS</m:t>
                            </m:r>
                          </m:sub>
                        </m:sSub>
                        <m:r>
                          <w:rPr>
                            <w:rFonts w:ascii="Cambria Math" w:hAnsi="Cambria Math"/>
                          </w:rPr>
                          <m:t>+k2</m:t>
                        </m:r>
                        <m:r>
                          <w:rPr>
                            <w:rFonts w:ascii="Times New Roman" w:hAnsi="Times New Roman"/>
                          </w:rPr>
                          <m:t>⸱</m:t>
                        </m:r>
                        <m:sSub>
                          <m:sSubPr>
                            <m:ctrlPr>
                              <w:rPr>
                                <w:rFonts w:ascii="Cambria Math" w:hAnsi="Cambria Math"/>
                                <w:i/>
                              </w:rPr>
                            </m:ctrlPr>
                          </m:sSubPr>
                          <m:e>
                            <m:r>
                              <w:rPr>
                                <w:rFonts w:ascii="Cambria Math" w:hAnsi="Cambria Math"/>
                              </w:rPr>
                              <m:t>ω</m:t>
                            </m:r>
                          </m:e>
                          <m:sub>
                            <m:r>
                              <w:rPr>
                                <w:rFonts w:ascii="Cambria Math" w:hAnsi="Cambria Math"/>
                              </w:rPr>
                              <m:t>TAR3</m:t>
                            </m:r>
                          </m:sub>
                        </m:sSub>
                        <m:ctrlPr>
                          <w:rPr>
                            <w:rFonts w:ascii="Cambria Math" w:eastAsia="Cambria Math" w:hAnsi="Cambria Math" w:cs="Cambria Math"/>
                            <w:i/>
                          </w:rPr>
                        </m:ctrlPr>
                      </m:e>
                      <m:e>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ω</m:t>
                                </m:r>
                              </m:e>
                              <m:sub>
                                <m:r>
                                  <w:rPr>
                                    <w:rFonts w:ascii="Cambria Math" w:hAnsi="Cambria Math"/>
                                  </w:rPr>
                                  <m:t>TAR3</m:t>
                                </m:r>
                              </m:sub>
                            </m:sSub>
                          </m:num>
                          <m:den>
                            <m:r>
                              <w:rPr>
                                <w:rFonts w:ascii="Cambria Math" w:hAnsi="Cambria Math"/>
                              </w:rPr>
                              <m:t>dt</m:t>
                            </m:r>
                          </m:den>
                        </m:f>
                        <m:r>
                          <w:rPr>
                            <w:rFonts w:ascii="Cambria Math" w:hAnsi="Cambria Math"/>
                          </w:rPr>
                          <m:t>=k1</m:t>
                        </m:r>
                        <m:r>
                          <w:rPr>
                            <w:rFonts w:ascii="Times New Roman" w:hAnsi="Times New Roman"/>
                          </w:rPr>
                          <m:t>⸱</m:t>
                        </m:r>
                        <m:sSub>
                          <m:sSubPr>
                            <m:ctrlPr>
                              <w:rPr>
                                <w:rFonts w:ascii="Cambria Math" w:hAnsi="Cambria Math"/>
                                <w:i/>
                              </w:rPr>
                            </m:ctrlPr>
                          </m:sSubPr>
                          <m:e>
                            <m:r>
                              <w:rPr>
                                <w:rFonts w:ascii="Cambria Math" w:hAnsi="Cambria Math"/>
                              </w:rPr>
                              <m:t>ω</m:t>
                            </m:r>
                          </m:e>
                          <m:sub>
                            <m:r>
                              <w:rPr>
                                <w:rFonts w:ascii="Cambria Math" w:hAnsi="Cambria Math"/>
                              </w:rPr>
                              <m:t>SS</m:t>
                            </m:r>
                          </m:sub>
                        </m:sSub>
                        <m:r>
                          <w:rPr>
                            <w:rFonts w:ascii="Cambria Math" w:hAnsi="Cambria Math"/>
                          </w:rPr>
                          <m:t>-k2</m:t>
                        </m:r>
                        <m:r>
                          <w:rPr>
                            <w:rFonts w:ascii="Times New Roman" w:hAnsi="Times New Roman"/>
                          </w:rPr>
                          <m:t>⸱</m:t>
                        </m:r>
                        <m:sSub>
                          <m:sSubPr>
                            <m:ctrlPr>
                              <w:rPr>
                                <w:rFonts w:ascii="Cambria Math" w:hAnsi="Cambria Math"/>
                                <w:i/>
                              </w:rPr>
                            </m:ctrlPr>
                          </m:sSubPr>
                          <m:e>
                            <m:r>
                              <w:rPr>
                                <w:rFonts w:ascii="Cambria Math" w:hAnsi="Cambria Math"/>
                              </w:rPr>
                              <m:t>ω</m:t>
                            </m:r>
                          </m:e>
                          <m:sub>
                            <m:r>
                              <w:rPr>
                                <w:rFonts w:ascii="Cambria Math" w:hAnsi="Cambria Math"/>
                              </w:rPr>
                              <m:t>TAR3</m:t>
                            </m:r>
                          </m:sub>
                        </m:sSub>
                        <m:ctrlPr>
                          <w:rPr>
                            <w:rFonts w:ascii="Cambria Math" w:eastAsia="Cambria Math" w:hAnsi="Cambria Math" w:cs="Cambria Math"/>
                            <w:i/>
                          </w:rPr>
                        </m:ctrlPr>
                      </m:e>
                      <m:e>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ω</m:t>
                                </m:r>
                              </m:e>
                              <m:sub>
                                <m:r>
                                  <w:rPr>
                                    <w:rFonts w:ascii="Cambria Math" w:hAnsi="Cambria Math"/>
                                  </w:rPr>
                                  <m:t>CHAR</m:t>
                                </m:r>
                              </m:sub>
                            </m:sSub>
                          </m:num>
                          <m:den>
                            <m:r>
                              <w:rPr>
                                <w:rFonts w:ascii="Cambria Math" w:hAnsi="Cambria Math"/>
                              </w:rPr>
                              <m:t>dt</m:t>
                            </m:r>
                          </m:den>
                        </m:f>
                        <m:r>
                          <w:rPr>
                            <w:rFonts w:ascii="Cambria Math" w:hAnsi="Cambria Math"/>
                          </w:rPr>
                          <m:t>=k2</m:t>
                        </m:r>
                        <m:r>
                          <w:rPr>
                            <w:rFonts w:ascii="Times New Roman" w:hAnsi="Times New Roman"/>
                          </w:rPr>
                          <m:t>⸱</m:t>
                        </m:r>
                        <m:sSub>
                          <m:sSubPr>
                            <m:ctrlPr>
                              <w:rPr>
                                <w:rFonts w:ascii="Cambria Math" w:hAnsi="Cambria Math"/>
                                <w:i/>
                              </w:rPr>
                            </m:ctrlPr>
                          </m:sSubPr>
                          <m:e>
                            <m:r>
                              <w:rPr>
                                <w:rFonts w:ascii="Cambria Math" w:hAnsi="Cambria Math"/>
                              </w:rPr>
                              <m:t>ω</m:t>
                            </m:r>
                          </m:e>
                          <m:sub>
                            <m:r>
                              <w:rPr>
                                <w:rFonts w:ascii="Cambria Math" w:hAnsi="Cambria Math"/>
                              </w:rPr>
                              <m:t>TAR3</m:t>
                            </m:r>
                          </m:sub>
                        </m:sSub>
                        <m:ctrlPr>
                          <w:rPr>
                            <w:rFonts w:ascii="Cambria Math" w:eastAsia="Cambria Math" w:hAnsi="Cambria Math" w:cs="Cambria Math"/>
                            <w:i/>
                          </w:rPr>
                        </m:ctrlPr>
                      </m:e>
                      <m:e>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ω</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num>
                          <m:den>
                            <m:r>
                              <w:rPr>
                                <w:rFonts w:ascii="Cambria Math" w:hAnsi="Cambria Math"/>
                              </w:rPr>
                              <m:t>dt</m:t>
                            </m:r>
                          </m:den>
                        </m:f>
                        <m:r>
                          <w:rPr>
                            <w:rFonts w:ascii="Cambria Math" w:hAnsi="Cambria Math"/>
                          </w:rPr>
                          <m:t>=k1</m:t>
                        </m:r>
                        <m:r>
                          <w:rPr>
                            <w:rFonts w:ascii="Times New Roman" w:hAnsi="Times New Roman"/>
                          </w:rPr>
                          <m:t>⸱</m:t>
                        </m:r>
                        <m:sSub>
                          <m:sSubPr>
                            <m:ctrlPr>
                              <w:rPr>
                                <w:rFonts w:ascii="Cambria Math" w:hAnsi="Cambria Math"/>
                                <w:i/>
                              </w:rPr>
                            </m:ctrlPr>
                          </m:sSubPr>
                          <m:e>
                            <m:r>
                              <w:rPr>
                                <w:rFonts w:ascii="Cambria Math" w:hAnsi="Cambria Math"/>
                              </w:rPr>
                              <m:t>ω</m:t>
                            </m:r>
                          </m:e>
                          <m:sub>
                            <m:r>
                              <w:rPr>
                                <w:rFonts w:ascii="Cambria Math" w:hAnsi="Cambria Math"/>
                              </w:rPr>
                              <m:t>SS</m:t>
                            </m:r>
                          </m:sub>
                        </m:sSub>
                      </m:e>
                    </m:eqArr>
                  </m:e>
                </m:d>
              </m:oMath>
            </m:oMathPara>
          </w:p>
        </w:tc>
        <w:tc>
          <w:tcPr>
            <w:tcW w:w="815" w:type="dxa"/>
            <w:shd w:val="clear" w:color="auto" w:fill="auto"/>
            <w:vAlign w:val="center"/>
          </w:tcPr>
          <w:p w14:paraId="66DC421D" w14:textId="77777777" w:rsidR="006F71B1" w:rsidRPr="00B57B36" w:rsidRDefault="006F71B1" w:rsidP="00807AB6">
            <w:pPr>
              <w:pStyle w:val="CETEquation"/>
              <w:jc w:val="right"/>
            </w:pPr>
            <w:r w:rsidRPr="00B57B36">
              <w:t>(1)</w:t>
            </w:r>
          </w:p>
        </w:tc>
      </w:tr>
    </w:tbl>
    <w:p w14:paraId="7EEE988C" w14:textId="530315DB" w:rsidR="00A0282F" w:rsidRDefault="00A0282F" w:rsidP="006105F7">
      <w:pPr>
        <w:pStyle w:val="CETBodytext"/>
      </w:pPr>
    </w:p>
    <w:p w14:paraId="578F7C78" w14:textId="652D21DD" w:rsidR="006F71B1" w:rsidRDefault="00FE1670" w:rsidP="005A6FC9">
      <w:pPr>
        <w:pStyle w:val="CETBodytext"/>
      </w:pPr>
      <w:r>
        <w:t xml:space="preserve">Where </w:t>
      </w:r>
      <w:r>
        <w:rPr>
          <w:rFonts w:cs="Arial"/>
        </w:rPr>
        <w:t>ω</w:t>
      </w:r>
      <w:r w:rsidRPr="00FE1670">
        <w:rPr>
          <w:vertAlign w:val="subscript"/>
        </w:rPr>
        <w:t>i</w:t>
      </w:r>
      <w:r>
        <w:t xml:space="preserve"> is the mass fraction of the i-th species. Several </w:t>
      </w:r>
      <w:r w:rsidR="00200134">
        <w:t>approximations</w:t>
      </w:r>
      <w:r>
        <w:t xml:space="preserve"> have been </w:t>
      </w:r>
      <w:r w:rsidR="00200134">
        <w:t xml:space="preserve">introduced in the mass balance. </w:t>
      </w:r>
      <w:r w:rsidR="0071078A">
        <w:t xml:space="preserve">First, it is assumed that each decomposition reaction is irreversible and follows a simple first order kinetics. </w:t>
      </w:r>
      <w:r w:rsidR="00ED0E06">
        <w:t>Tar is decomposed in two fractions, both present in the GasDS database and respectively representing a sta</w:t>
      </w:r>
      <w:r w:rsidR="00CC1540">
        <w:t>ble, oxygen-free fraction (TAR1</w:t>
      </w:r>
      <w:r w:rsidR="00ED0E06">
        <w:t>)</w:t>
      </w:r>
      <w:r w:rsidR="00C65E19">
        <w:t xml:space="preserve"> </w:t>
      </w:r>
      <w:r w:rsidR="00ED0E06">
        <w:t>and a reactive, oxygen-rich fraction (TAR3).</w:t>
      </w:r>
      <w:r w:rsidR="00864168">
        <w:t xml:space="preserve"> </w:t>
      </w:r>
      <w:r w:rsidR="00032C8A">
        <w:t xml:space="preserve">The kinetic constants follow a simple Arrhenius law. </w:t>
      </w:r>
      <w:r w:rsidR="002B68A6">
        <w:t>The fitting between</w:t>
      </w:r>
      <w:r w:rsidR="008129DC">
        <w:t xml:space="preserve"> the proposed kinetic model and</w:t>
      </w:r>
      <w:r w:rsidR="002B68A6">
        <w:t xml:space="preserve"> experimental data is performed </w:t>
      </w:r>
      <w:r w:rsidR="008129DC">
        <w:t>by applying the least squares</w:t>
      </w:r>
      <w:r w:rsidR="00032C8A">
        <w:t xml:space="preserve"> method, with pre-exponential factors and activation energies for k1 and k2 as variable parameters. The composition of the gas phase is obtained from literature data </w:t>
      </w:r>
      <w:r w:rsidR="00032C8A">
        <w:fldChar w:fldCharType="begin"/>
      </w:r>
      <w:r w:rsidR="00032C8A">
        <w:instrText xml:space="preserve"> ADDIN ZOTERO_ITEM CSL_CITATION {"citationID":"8XM1lRy0","properties":{"formattedCitation":"(Stammbach et al., 1989)","plainCitation":"(Stammbach et al., 1989)","noteIndex":0},"citationItems":[{"id":144,"uris":["http://zotero.org/users/11115034/items/QX3E59EU"],"itemData":{"id":144,"type":"article-journal","abstract":"The pyrolysis of sewage sludge was investigated in an oxygen-free atmosphere in a fluidized bed. The yield of high quality liquid products could be improved by use of a fluid-cracking catalyst. The temperature is the most important process parameter although the other parameters should be chosen carefully as well. In particular, blow out of the sludge out of the reaction zone prior to complete reaction must be avoided as well as the use of big particles. The emission of Cd starts already below 600 °C and is therefore the actual limit for this process. At present the economics of the pyrolysis are not favorable. A further increase in the market price of the organic liquid products can be expected to make the process economical.","container-title":"Energy &amp; Fuels","DOI":"10.1021/ef00014a022","ISSN":"0887-0624, 1520-5029","issue":"2","journalAbbreviation":"Energy Fuels","language":"en","page":"255-259","source":"DOI.org (Crossref)","title":"Pyrolysis of sewage sludge in a fluidized bed","volume":"3","author":[{"family":"Stammbach","given":"Marc R."},{"family":"Kraaz","given":"Bruno"},{"family":"Hagenbucher","given":"Roland"},{"family":"Richarz","given":"Werner"}],"issued":{"date-parts":[["1989",3,1]]}}}],"schema":"https://github.com/citation-style-language/schema/raw/master/csl-citation.json"} </w:instrText>
      </w:r>
      <w:r w:rsidR="00032C8A">
        <w:fldChar w:fldCharType="separate"/>
      </w:r>
      <w:r w:rsidR="00032C8A" w:rsidRPr="00032C8A">
        <w:rPr>
          <w:rFonts w:cs="Arial"/>
        </w:rPr>
        <w:t>(Stammbach et al., 1989)</w:t>
      </w:r>
      <w:r w:rsidR="00032C8A">
        <w:fldChar w:fldCharType="end"/>
      </w:r>
      <w:r w:rsidR="00032C8A">
        <w:t xml:space="preserve">. </w:t>
      </w:r>
      <w:r w:rsidR="001D0146">
        <w:t>The stoichiometry of the reaction considers an equivalent formula for sewage sludge obtained from its elemental composition (C</w:t>
      </w:r>
      <w:r w:rsidR="001D0146" w:rsidRPr="001D0146">
        <w:rPr>
          <w:vertAlign w:val="subscript"/>
        </w:rPr>
        <w:t>6</w:t>
      </w:r>
      <w:r w:rsidR="001D0146">
        <w:t>H</w:t>
      </w:r>
      <w:r w:rsidR="001D0146" w:rsidRPr="001D0146">
        <w:rPr>
          <w:vertAlign w:val="subscript"/>
        </w:rPr>
        <w:t>10.2</w:t>
      </w:r>
      <w:r w:rsidR="001D0146">
        <w:t>O</w:t>
      </w:r>
      <w:r w:rsidR="001D0146" w:rsidRPr="001D0146">
        <w:rPr>
          <w:vertAlign w:val="subscript"/>
        </w:rPr>
        <w:t>3.1</w:t>
      </w:r>
      <w:r w:rsidR="001D0146">
        <w:t>)</w:t>
      </w:r>
      <w:r w:rsidR="00074FAB">
        <w:t xml:space="preserve"> and it is calculated so that atomic balances are respected and experimental yields are coherent with the literature </w:t>
      </w:r>
      <w:r w:rsidR="00074FAB">
        <w:fldChar w:fldCharType="begin"/>
      </w:r>
      <w:r w:rsidR="00074FAB">
        <w:instrText xml:space="preserve"> ADDIN ZOTERO_ITEM CSL_CITATION {"citationID":"6g5uvFWM","properties":{"formattedCitation":"(Stammbach et al., 1989)","plainCitation":"(Stammbach et al., 1989)","noteIndex":0},"citationItems":[{"id":144,"uris":["http://zotero.org/users/11115034/items/QX3E59EU"],"itemData":{"id":144,"type":"article-journal","abstract":"The pyrolysis of sewage sludge was investigated in an oxygen-free atmosphere in a fluidized bed. The yield of high quality liquid products could be improved by use of a fluid-cracking catalyst. The temperature is the most important process parameter although the other parameters should be chosen carefully as well. In particular, blow out of the sludge out of the reaction zone prior to complete reaction must be avoided as well as the use of big particles. The emission of Cd starts already below 600 °C and is therefore the actual limit for this process. At present the economics of the pyrolysis are not favorable. A further increase in the market price of the organic liquid products can be expected to make the process economical.","container-title":"Energy &amp; Fuels","DOI":"10.1021/ef00014a022","ISSN":"0887-0624, 1520-5029","issue":"2","journalAbbreviation":"Energy Fuels","language":"en","page":"255-259","source":"DOI.org (Crossref)","title":"Pyrolysis of sewage sludge in a fluidized bed","volume":"3","author":[{"family":"Stammbach","given":"Marc R."},{"family":"Kraaz","given":"Bruno"},{"family":"Hagenbucher","given":"Roland"},{"family":"Richarz","given":"Werner"}],"issued":{"date-parts":[["1989",3,1]]}}}],"schema":"https://github.com/citation-style-language/schema/raw/master/csl-citation.json"} </w:instrText>
      </w:r>
      <w:r w:rsidR="00074FAB">
        <w:fldChar w:fldCharType="separate"/>
      </w:r>
      <w:r w:rsidR="00074FAB" w:rsidRPr="00074FAB">
        <w:rPr>
          <w:rFonts w:cs="Arial"/>
        </w:rPr>
        <w:t>(Stammbach et al., 1989)</w:t>
      </w:r>
      <w:r w:rsidR="00074FAB">
        <w:fldChar w:fldCharType="end"/>
      </w:r>
      <w:r w:rsidR="00074FAB">
        <w:t>. The results from the fitting</w:t>
      </w:r>
      <w:r w:rsidR="00FF3B53">
        <w:t xml:space="preserve"> procedure are shown in </w:t>
      </w:r>
      <w:r w:rsidR="003349F1">
        <w:br/>
      </w:r>
      <w:r w:rsidR="00FF3B53">
        <w:t>Table 2, including pre-exponential factors (A) and activation energies (E).</w:t>
      </w:r>
      <w:r w:rsidR="00F170D4">
        <w:t xml:space="preserve"> Sulfur and nitrogen kinetics are not considered since their evolution can be reliably predicted by a simple thermodynamic analysis</w:t>
      </w:r>
      <w:r w:rsidR="0073202D">
        <w:t xml:space="preserve">, which is outside the scope of this work </w:t>
      </w:r>
      <w:r w:rsidR="0073202D">
        <w:fldChar w:fldCharType="begin"/>
      </w:r>
      <w:r w:rsidR="0073202D">
        <w:instrText xml:space="preserve"> ADDIN ZOTERO_ITEM CSL_CITATION {"citationID":"Pkfg1gPH","properties":{"formattedCitation":"(Ranzi et al., 2014)","plainCitation":"(Ranzi et al., 2014)","noteIndex":0},"citationItems":[{"id":181,"uris":["http://zotero.org/users/11115034/items/NV7F9XN7"],"itemData":{"id":181,"type":"article-journal","abstract":"The comprehensive description of the thermal degradation and combustion of biomass materials is a very challenging problem, as its complexity occurs at several levels: (1) multi-component problem, with an intrinsic variability of biomass composition; (2) multi-phase problem since the biomass reacts both in the condensed and in the gas phase resulting in the formation of a solid bio-char, a liquid bio-oil, and a gas phase; (3) multi-scale problem since the intra and inter-phase transport phenomena need to be considered both at the particle and reactor scale and (4) multi-dimensional problem since the overall system could evolve along several coordinates such as the particle radius, biomass bed, and time. This complexity is further enhanced by the need of a coupled and comprehensive approach of the transport phenomena and the detailed kinetic schemes both in the solid and gas phase. After a review of the multi-step kinetic model adopted for the pyrolysis of biomass particles, the homogeneous gas phase reactions, and the heterogeneous reactions of the residual char, this paper analyzes the mathematical model at the particle and reactor scale. The mathematical models of a biomass gasifier and a traveling grate combustor constitute two working examples of the different scales from the biomass particle up to whole industrial devices. © 2013 Elsevier Ltd.","archive":"Scopus","container-title":"Chemical Engineering Science","DOI":"10.1016/j.ces.2013.08.014","ISSN":"0009-2509","language":"English","page":"2-12","source":"Scopus","title":"Kinetic modeling of the thermal degradation and combustion of biomass","volume":"110","author":[{"family":"Ranzi","given":"E."},{"family":"Corbetta","given":"M."},{"family":"Manenti","given":"F."},{"family":"Pierucci","given":"S."}],"issued":{"date-parts":[["2014"]]}}}],"schema":"https://github.com/citation-style-language/schema/raw/master/csl-citation.json"} </w:instrText>
      </w:r>
      <w:r w:rsidR="0073202D">
        <w:fldChar w:fldCharType="separate"/>
      </w:r>
      <w:r w:rsidR="0073202D" w:rsidRPr="0073202D">
        <w:rPr>
          <w:rFonts w:cs="Arial"/>
        </w:rPr>
        <w:t>(Ranzi et al., 2014)</w:t>
      </w:r>
      <w:r w:rsidR="0073202D">
        <w:fldChar w:fldCharType="end"/>
      </w:r>
      <w:r w:rsidR="00F170D4">
        <w:t>.</w:t>
      </w:r>
      <w:r w:rsidR="008F4C44">
        <w:t xml:space="preserve"> </w:t>
      </w:r>
      <w:r w:rsidR="008F4C44">
        <w:t>Given that the equivalent formula for SS is C</w:t>
      </w:r>
      <w:r w:rsidR="008F4C44" w:rsidRPr="00F002AB">
        <w:rPr>
          <w:vertAlign w:val="subscript"/>
        </w:rPr>
        <w:t>6</w:t>
      </w:r>
      <w:r w:rsidR="008F4C44">
        <w:t>H</w:t>
      </w:r>
      <w:r w:rsidR="008F4C44" w:rsidRPr="00F002AB">
        <w:rPr>
          <w:vertAlign w:val="subscript"/>
        </w:rPr>
        <w:t>10.2</w:t>
      </w:r>
      <w:r w:rsidR="008F4C44">
        <w:t>O</w:t>
      </w:r>
      <w:r w:rsidR="008F4C44" w:rsidRPr="00F002AB">
        <w:rPr>
          <w:vertAlign w:val="subscript"/>
        </w:rPr>
        <w:t>3.1</w:t>
      </w:r>
      <w:r w:rsidR="008F4C44">
        <w:t xml:space="preserve">, </w:t>
      </w:r>
      <w:r w:rsidR="00507B36">
        <w:t xml:space="preserve">and that </w:t>
      </w:r>
      <w:r w:rsidR="000262BF">
        <w:t xml:space="preserve">TAR1, </w:t>
      </w:r>
      <w:r w:rsidR="008F4C44">
        <w:t>TAR3</w:t>
      </w:r>
      <w:r w:rsidR="000262BF">
        <w:t>,</w:t>
      </w:r>
      <w:r w:rsidR="006F7649">
        <w:t xml:space="preserve"> and</w:t>
      </w:r>
      <w:r w:rsidR="000262BF">
        <w:t xml:space="preserve"> CHAR</w:t>
      </w:r>
      <w:r w:rsidR="008F4C44">
        <w:t xml:space="preserve"> respectively have the formulae C</w:t>
      </w:r>
      <w:r w:rsidR="008F4C44" w:rsidRPr="0043590F">
        <w:rPr>
          <w:vertAlign w:val="subscript"/>
        </w:rPr>
        <w:t>12</w:t>
      </w:r>
      <w:r w:rsidR="008F4C44">
        <w:t>H</w:t>
      </w:r>
      <w:r w:rsidR="008F4C44" w:rsidRPr="0043590F">
        <w:rPr>
          <w:vertAlign w:val="subscript"/>
        </w:rPr>
        <w:t>11</w:t>
      </w:r>
      <w:r w:rsidR="000262BF">
        <w:t xml:space="preserve">, </w:t>
      </w:r>
      <w:r w:rsidR="008F4C44">
        <w:t>C</w:t>
      </w:r>
      <w:r w:rsidR="008F4C44" w:rsidRPr="0043590F">
        <w:rPr>
          <w:vertAlign w:val="subscript"/>
        </w:rPr>
        <w:t>11</w:t>
      </w:r>
      <w:r w:rsidR="008F4C44">
        <w:t>H</w:t>
      </w:r>
      <w:r w:rsidR="008F4C44" w:rsidRPr="0043590F">
        <w:rPr>
          <w:vertAlign w:val="subscript"/>
        </w:rPr>
        <w:t>10</w:t>
      </w:r>
      <w:r w:rsidR="008F4C44">
        <w:t>O</w:t>
      </w:r>
      <w:r w:rsidR="008F4C44" w:rsidRPr="0043590F">
        <w:rPr>
          <w:vertAlign w:val="subscript"/>
        </w:rPr>
        <w:t>2</w:t>
      </w:r>
      <w:r w:rsidR="008F4C44">
        <w:t xml:space="preserve">, </w:t>
      </w:r>
      <w:r w:rsidR="000262BF">
        <w:t xml:space="preserve">and C, </w:t>
      </w:r>
      <w:r w:rsidR="008F4C44">
        <w:t xml:space="preserve">the stoichiometry of the proposed reactions does not violate the principle of mass </w:t>
      </w:r>
      <w:r w:rsidR="00D96F00">
        <w:t>conservation on an atomic level</w:t>
      </w:r>
      <w:r w:rsidR="008F4C44">
        <w:t xml:space="preserve"> since the balances on carbon, hydrogen, and oxygen </w:t>
      </w:r>
      <w:r w:rsidR="00982033">
        <w:t>sum</w:t>
      </w:r>
      <w:r w:rsidR="008F4C44">
        <w:t xml:space="preserve"> to zero with an error smaller than 1E-3, which is considered acceptable</w:t>
      </w:r>
      <w:r w:rsidR="008F4C44">
        <w:t>.</w:t>
      </w:r>
    </w:p>
    <w:p w14:paraId="138C3F0E" w14:textId="6B4EBA9F" w:rsidR="005845DD" w:rsidRPr="005845DD" w:rsidRDefault="005845DD" w:rsidP="005845DD">
      <w:pPr>
        <w:pStyle w:val="CETTabletitle"/>
      </w:pPr>
      <w:r>
        <w:t>Table 2</w:t>
      </w:r>
      <w:r w:rsidRPr="00B57B36">
        <w:t xml:space="preserve">: </w:t>
      </w:r>
      <w:r>
        <w:t xml:space="preserve">Stoichiometry and kinetic data for the proposed reaction scheme </w:t>
      </w:r>
    </w:p>
    <w:tbl>
      <w:tblPr>
        <w:tblW w:w="5000" w:type="pct"/>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5953"/>
        <w:gridCol w:w="1418"/>
        <w:gridCol w:w="1376"/>
        <w:gridCol w:w="20"/>
        <w:gridCol w:w="20"/>
      </w:tblGrid>
      <w:tr w:rsidR="00DE4798" w:rsidRPr="00B57B36" w14:paraId="415A8570" w14:textId="77777777" w:rsidTr="002500DA">
        <w:tc>
          <w:tcPr>
            <w:tcW w:w="3387" w:type="pct"/>
            <w:tcBorders>
              <w:top w:val="single" w:sz="12" w:space="0" w:color="008000"/>
              <w:bottom w:val="single" w:sz="6" w:space="0" w:color="008000"/>
            </w:tcBorders>
            <w:shd w:val="clear" w:color="auto" w:fill="FFFFFF"/>
          </w:tcPr>
          <w:p w14:paraId="57523FC0" w14:textId="7B936383" w:rsidR="00871F1D" w:rsidRPr="00B57B36" w:rsidRDefault="00871F1D" w:rsidP="00807AB6">
            <w:pPr>
              <w:pStyle w:val="CETBodytext"/>
              <w:rPr>
                <w:lang w:val="en-GB"/>
              </w:rPr>
            </w:pPr>
            <w:r>
              <w:rPr>
                <w:lang w:val="en-GB"/>
              </w:rPr>
              <w:t>Reaction stoichiometry</w:t>
            </w:r>
          </w:p>
        </w:tc>
        <w:tc>
          <w:tcPr>
            <w:tcW w:w="807" w:type="pct"/>
            <w:tcBorders>
              <w:top w:val="single" w:sz="12" w:space="0" w:color="008000"/>
              <w:bottom w:val="single" w:sz="6" w:space="0" w:color="008000"/>
            </w:tcBorders>
            <w:shd w:val="clear" w:color="auto" w:fill="FFFFFF"/>
          </w:tcPr>
          <w:p w14:paraId="09648EE2" w14:textId="5CF5EAA1" w:rsidR="00871F1D" w:rsidRPr="00B57B36" w:rsidRDefault="00871F1D" w:rsidP="00807AB6">
            <w:pPr>
              <w:pStyle w:val="CETBodytext"/>
              <w:rPr>
                <w:lang w:val="en-GB"/>
              </w:rPr>
            </w:pPr>
            <w:r>
              <w:rPr>
                <w:lang w:val="en-GB"/>
              </w:rPr>
              <w:t>A [s</w:t>
            </w:r>
            <w:r w:rsidRPr="00871F1D">
              <w:rPr>
                <w:vertAlign w:val="superscript"/>
                <w:lang w:val="en-GB"/>
              </w:rPr>
              <w:t>-1</w:t>
            </w:r>
            <w:r>
              <w:rPr>
                <w:lang w:val="en-GB"/>
              </w:rPr>
              <w:t>]</w:t>
            </w:r>
          </w:p>
        </w:tc>
        <w:tc>
          <w:tcPr>
            <w:tcW w:w="783" w:type="pct"/>
            <w:tcBorders>
              <w:top w:val="single" w:sz="12" w:space="0" w:color="008000"/>
              <w:bottom w:val="single" w:sz="6" w:space="0" w:color="008000"/>
            </w:tcBorders>
            <w:shd w:val="clear" w:color="auto" w:fill="FFFFFF"/>
          </w:tcPr>
          <w:p w14:paraId="71CA1751" w14:textId="3C427041" w:rsidR="00871F1D" w:rsidRPr="00B57B36" w:rsidRDefault="002500DA" w:rsidP="00807AB6">
            <w:pPr>
              <w:pStyle w:val="CETBodytext"/>
              <w:rPr>
                <w:lang w:val="en-GB"/>
              </w:rPr>
            </w:pPr>
            <w:r>
              <w:rPr>
                <w:lang w:val="en-GB"/>
              </w:rPr>
              <w:t>E [</w:t>
            </w:r>
            <w:r w:rsidR="00871F1D">
              <w:rPr>
                <w:lang w:val="en-GB"/>
              </w:rPr>
              <w:t>J/mol]</w:t>
            </w:r>
          </w:p>
        </w:tc>
        <w:tc>
          <w:tcPr>
            <w:tcW w:w="11" w:type="pct"/>
            <w:tcBorders>
              <w:top w:val="single" w:sz="12" w:space="0" w:color="008000"/>
              <w:bottom w:val="single" w:sz="6" w:space="0" w:color="008000"/>
            </w:tcBorders>
            <w:shd w:val="clear" w:color="auto" w:fill="FFFFFF"/>
          </w:tcPr>
          <w:p w14:paraId="70ED6680" w14:textId="77777777" w:rsidR="00871F1D" w:rsidRPr="00B57B36" w:rsidRDefault="00871F1D" w:rsidP="00807AB6">
            <w:pPr>
              <w:pStyle w:val="CETBodytext"/>
              <w:ind w:right="-1"/>
              <w:rPr>
                <w:rFonts w:cs="Arial"/>
                <w:szCs w:val="18"/>
                <w:lang w:val="en-GB"/>
              </w:rPr>
            </w:pPr>
          </w:p>
        </w:tc>
        <w:tc>
          <w:tcPr>
            <w:tcW w:w="11" w:type="pct"/>
            <w:tcBorders>
              <w:top w:val="single" w:sz="12" w:space="0" w:color="008000"/>
              <w:bottom w:val="single" w:sz="6" w:space="0" w:color="008000"/>
            </w:tcBorders>
            <w:shd w:val="clear" w:color="auto" w:fill="FFFFFF"/>
          </w:tcPr>
          <w:p w14:paraId="5E8221E0" w14:textId="77777777" w:rsidR="00871F1D" w:rsidRPr="00B57B36" w:rsidRDefault="00871F1D" w:rsidP="00807AB6">
            <w:pPr>
              <w:pStyle w:val="CETBodytext"/>
              <w:ind w:right="-1"/>
              <w:rPr>
                <w:rFonts w:cs="Arial"/>
                <w:szCs w:val="18"/>
                <w:lang w:val="en-GB"/>
              </w:rPr>
            </w:pPr>
          </w:p>
        </w:tc>
      </w:tr>
      <w:tr w:rsidR="00DE4798" w:rsidRPr="00B57B36" w14:paraId="7C83A1DA" w14:textId="77777777" w:rsidTr="002500DA">
        <w:tc>
          <w:tcPr>
            <w:tcW w:w="3387" w:type="pct"/>
            <w:shd w:val="clear" w:color="auto" w:fill="FFFFFF"/>
          </w:tcPr>
          <w:p w14:paraId="7710D03E" w14:textId="097ECA21" w:rsidR="00EF6665" w:rsidRDefault="00DE4798" w:rsidP="00DE4798">
            <w:pPr>
              <w:pStyle w:val="CETBodytext"/>
              <w:rPr>
                <w:lang w:val="en-GB"/>
              </w:rPr>
            </w:pPr>
            <w:r>
              <w:rPr>
                <w:lang w:val="en-GB"/>
              </w:rPr>
              <w:t xml:space="preserve">SS </w:t>
            </w:r>
            <w:r>
              <w:rPr>
                <w:lang w:val="en-GB"/>
              </w:rPr>
              <w:sym w:font="Wingdings" w:char="F0E0"/>
            </w:r>
            <w:r>
              <w:rPr>
                <w:lang w:val="en-GB"/>
              </w:rPr>
              <w:t xml:space="preserve"> 0.35 CH</w:t>
            </w:r>
            <w:r w:rsidRPr="00DE4798">
              <w:rPr>
                <w:vertAlign w:val="subscript"/>
                <w:lang w:val="en-GB"/>
              </w:rPr>
              <w:t>4</w:t>
            </w:r>
            <w:r>
              <w:rPr>
                <w:lang w:val="en-GB"/>
              </w:rPr>
              <w:t xml:space="preserve"> + 0.34 CO + 0.28 CO</w:t>
            </w:r>
            <w:r w:rsidRPr="00DE4798">
              <w:rPr>
                <w:vertAlign w:val="subscript"/>
                <w:lang w:val="en-GB"/>
              </w:rPr>
              <w:t>2</w:t>
            </w:r>
            <w:r>
              <w:rPr>
                <w:lang w:val="en-GB"/>
              </w:rPr>
              <w:t xml:space="preserve"> + 0.16 H</w:t>
            </w:r>
            <w:r w:rsidRPr="00DE4798">
              <w:rPr>
                <w:vertAlign w:val="subscript"/>
                <w:lang w:val="en-GB"/>
              </w:rPr>
              <w:t>2</w:t>
            </w:r>
            <w:r>
              <w:rPr>
                <w:lang w:val="en-GB"/>
              </w:rPr>
              <w:t xml:space="preserve"> +</w:t>
            </w:r>
            <w:r w:rsidR="000A6D86">
              <w:rPr>
                <w:lang w:val="en-GB"/>
              </w:rPr>
              <w:t xml:space="preserve"> </w:t>
            </w:r>
            <w:r>
              <w:rPr>
                <w:lang w:val="en-GB"/>
              </w:rPr>
              <w:t>0.07 C</w:t>
            </w:r>
            <w:r w:rsidRPr="00DE4798">
              <w:rPr>
                <w:vertAlign w:val="subscript"/>
                <w:lang w:val="en-GB"/>
              </w:rPr>
              <w:t>2</w:t>
            </w:r>
            <w:r>
              <w:rPr>
                <w:lang w:val="en-GB"/>
              </w:rPr>
              <w:t>H</w:t>
            </w:r>
            <w:r w:rsidRPr="00DE4798">
              <w:rPr>
                <w:vertAlign w:val="subscript"/>
                <w:lang w:val="en-GB"/>
              </w:rPr>
              <w:t>4</w:t>
            </w:r>
            <w:r>
              <w:rPr>
                <w:lang w:val="en-GB"/>
              </w:rPr>
              <w:t xml:space="preserve"> +</w:t>
            </w:r>
            <w:r w:rsidR="00EF6665">
              <w:rPr>
                <w:lang w:val="en-GB"/>
              </w:rPr>
              <w:t xml:space="preserve"> </w:t>
            </w:r>
          </w:p>
          <w:p w14:paraId="6342FBC5" w14:textId="77777777" w:rsidR="00871F1D" w:rsidRDefault="00EF6665" w:rsidP="00DE4798">
            <w:pPr>
              <w:pStyle w:val="CETBodytext"/>
              <w:rPr>
                <w:lang w:val="en-GB"/>
              </w:rPr>
            </w:pPr>
            <w:r>
              <w:rPr>
                <w:lang w:val="en-GB"/>
              </w:rPr>
              <w:t xml:space="preserve">+ </w:t>
            </w:r>
            <w:r w:rsidR="00DE4798">
              <w:rPr>
                <w:lang w:val="en-GB"/>
              </w:rPr>
              <w:t>0.05 C</w:t>
            </w:r>
            <w:r w:rsidR="00DE4798" w:rsidRPr="00DE4798">
              <w:rPr>
                <w:vertAlign w:val="subscript"/>
                <w:lang w:val="en-GB"/>
              </w:rPr>
              <w:t>2</w:t>
            </w:r>
            <w:r w:rsidR="00DE4798">
              <w:rPr>
                <w:lang w:val="en-GB"/>
              </w:rPr>
              <w:t>H</w:t>
            </w:r>
            <w:r w:rsidR="00DE4798" w:rsidRPr="00DE4798">
              <w:rPr>
                <w:vertAlign w:val="subscript"/>
                <w:lang w:val="en-GB"/>
              </w:rPr>
              <w:t>6</w:t>
            </w:r>
            <w:r w:rsidR="00DE4798">
              <w:rPr>
                <w:lang w:val="en-GB"/>
              </w:rPr>
              <w:t xml:space="preserve"> + 0.02 C</w:t>
            </w:r>
            <w:r w:rsidR="00DE4798" w:rsidRPr="00DE4798">
              <w:rPr>
                <w:vertAlign w:val="subscript"/>
                <w:lang w:val="en-GB"/>
              </w:rPr>
              <w:t>3</w:t>
            </w:r>
            <w:r w:rsidR="00DE4798">
              <w:rPr>
                <w:lang w:val="en-GB"/>
              </w:rPr>
              <w:t>H</w:t>
            </w:r>
            <w:r w:rsidR="00DE4798" w:rsidRPr="00DE4798">
              <w:rPr>
                <w:vertAlign w:val="subscript"/>
                <w:lang w:val="en-GB"/>
              </w:rPr>
              <w:t>6</w:t>
            </w:r>
            <w:r w:rsidR="00DE4798">
              <w:rPr>
                <w:lang w:val="en-GB"/>
              </w:rPr>
              <w:t xml:space="preserve"> + 0.17 TAR1 + 0.24 TAR3 + 1.73 H</w:t>
            </w:r>
            <w:r w:rsidR="00DE4798" w:rsidRPr="00DE4798">
              <w:rPr>
                <w:vertAlign w:val="subscript"/>
                <w:lang w:val="en-GB"/>
              </w:rPr>
              <w:t>2</w:t>
            </w:r>
            <w:r w:rsidR="00DE4798">
              <w:rPr>
                <w:lang w:val="en-GB"/>
              </w:rPr>
              <w:t>O</w:t>
            </w:r>
          </w:p>
          <w:p w14:paraId="48BDE537" w14:textId="0B695733" w:rsidR="00F119BD" w:rsidRPr="00B57B36" w:rsidRDefault="00F119BD" w:rsidP="00DE4798">
            <w:pPr>
              <w:pStyle w:val="CETBodytext"/>
              <w:rPr>
                <w:lang w:val="en-GB"/>
              </w:rPr>
            </w:pPr>
          </w:p>
        </w:tc>
        <w:tc>
          <w:tcPr>
            <w:tcW w:w="807" w:type="pct"/>
            <w:shd w:val="clear" w:color="auto" w:fill="FFFFFF"/>
          </w:tcPr>
          <w:p w14:paraId="380F4C6B" w14:textId="786B7050" w:rsidR="00871F1D" w:rsidRPr="00B57B36" w:rsidRDefault="002500DA" w:rsidP="00807AB6">
            <w:pPr>
              <w:pStyle w:val="CETBodytext"/>
              <w:rPr>
                <w:lang w:val="en-GB"/>
              </w:rPr>
            </w:pPr>
            <w:r>
              <w:rPr>
                <w:lang w:val="en-GB"/>
              </w:rPr>
              <w:t>6.90E-03</w:t>
            </w:r>
          </w:p>
        </w:tc>
        <w:tc>
          <w:tcPr>
            <w:tcW w:w="783" w:type="pct"/>
            <w:shd w:val="clear" w:color="auto" w:fill="FFFFFF"/>
          </w:tcPr>
          <w:p w14:paraId="3DF36BC1" w14:textId="6D8DA342" w:rsidR="00871F1D" w:rsidRPr="00B57B36" w:rsidRDefault="002500DA" w:rsidP="002500DA">
            <w:pPr>
              <w:pStyle w:val="CETBodytext"/>
              <w:rPr>
                <w:lang w:val="en-GB"/>
              </w:rPr>
            </w:pPr>
            <w:r>
              <w:rPr>
                <w:lang w:val="en-GB"/>
              </w:rPr>
              <w:t>15561</w:t>
            </w:r>
          </w:p>
        </w:tc>
        <w:tc>
          <w:tcPr>
            <w:tcW w:w="11" w:type="pct"/>
            <w:shd w:val="clear" w:color="auto" w:fill="FFFFFF"/>
          </w:tcPr>
          <w:p w14:paraId="3E799E82" w14:textId="77777777" w:rsidR="00871F1D" w:rsidRPr="00B57B36" w:rsidRDefault="00871F1D" w:rsidP="00807AB6">
            <w:pPr>
              <w:pStyle w:val="CETBodytext"/>
              <w:ind w:right="-1"/>
              <w:rPr>
                <w:rFonts w:cs="Arial"/>
                <w:szCs w:val="18"/>
                <w:lang w:val="en-GB"/>
              </w:rPr>
            </w:pPr>
          </w:p>
        </w:tc>
        <w:tc>
          <w:tcPr>
            <w:tcW w:w="11" w:type="pct"/>
            <w:shd w:val="clear" w:color="auto" w:fill="FFFFFF"/>
          </w:tcPr>
          <w:p w14:paraId="5AC2C16F" w14:textId="77777777" w:rsidR="00871F1D" w:rsidRPr="00B57B36" w:rsidRDefault="00871F1D" w:rsidP="00807AB6">
            <w:pPr>
              <w:pStyle w:val="CETBodytext"/>
              <w:ind w:right="-1"/>
              <w:rPr>
                <w:rFonts w:cs="Arial"/>
                <w:szCs w:val="18"/>
                <w:lang w:val="en-GB"/>
              </w:rPr>
            </w:pPr>
          </w:p>
        </w:tc>
      </w:tr>
      <w:tr w:rsidR="00EF6665" w:rsidRPr="00B57B36" w14:paraId="1E99DE01" w14:textId="77777777" w:rsidTr="002500DA">
        <w:tc>
          <w:tcPr>
            <w:tcW w:w="3387" w:type="pct"/>
            <w:shd w:val="clear" w:color="auto" w:fill="FFFFFF"/>
          </w:tcPr>
          <w:p w14:paraId="2E576856" w14:textId="2EC33EDF" w:rsidR="00EF6665" w:rsidRDefault="00F119BD" w:rsidP="00EF6665">
            <w:pPr>
              <w:pStyle w:val="CETBodytext"/>
              <w:rPr>
                <w:lang w:val="en-GB"/>
              </w:rPr>
            </w:pPr>
            <w:r>
              <w:rPr>
                <w:lang w:val="en-GB"/>
              </w:rPr>
              <w:t>TAR3</w:t>
            </w:r>
            <w:r w:rsidR="00EF6665">
              <w:rPr>
                <w:lang w:val="en-GB"/>
              </w:rPr>
              <w:t xml:space="preserve"> </w:t>
            </w:r>
            <w:r w:rsidR="00EF6665">
              <w:rPr>
                <w:lang w:val="en-GB"/>
              </w:rPr>
              <w:sym w:font="Wingdings" w:char="F0E0"/>
            </w:r>
            <w:r w:rsidR="00EF6665">
              <w:rPr>
                <w:lang w:val="en-GB"/>
              </w:rPr>
              <w:t xml:space="preserve"> </w:t>
            </w:r>
            <w:r w:rsidR="00ED12D3">
              <w:rPr>
                <w:lang w:val="en-GB"/>
              </w:rPr>
              <w:t>0.79</w:t>
            </w:r>
            <w:r w:rsidR="00EF6665">
              <w:rPr>
                <w:lang w:val="en-GB"/>
              </w:rPr>
              <w:t xml:space="preserve"> CH</w:t>
            </w:r>
            <w:r w:rsidR="00EF6665" w:rsidRPr="00DE4798">
              <w:rPr>
                <w:vertAlign w:val="subscript"/>
                <w:lang w:val="en-GB"/>
              </w:rPr>
              <w:t>4</w:t>
            </w:r>
            <w:r w:rsidR="00EF6665">
              <w:rPr>
                <w:lang w:val="en-GB"/>
              </w:rPr>
              <w:t xml:space="preserve"> + </w:t>
            </w:r>
            <w:r w:rsidR="00ED12D3">
              <w:rPr>
                <w:lang w:val="en-GB"/>
              </w:rPr>
              <w:t>0.76</w:t>
            </w:r>
            <w:r w:rsidR="00EF6665">
              <w:rPr>
                <w:lang w:val="en-GB"/>
              </w:rPr>
              <w:t xml:space="preserve"> CO + </w:t>
            </w:r>
            <w:r w:rsidR="00ED12D3">
              <w:rPr>
                <w:lang w:val="en-GB"/>
              </w:rPr>
              <w:t>0.62</w:t>
            </w:r>
            <w:r w:rsidR="00EF6665">
              <w:rPr>
                <w:lang w:val="en-GB"/>
              </w:rPr>
              <w:t xml:space="preserve"> CO</w:t>
            </w:r>
            <w:r w:rsidR="00EF6665" w:rsidRPr="00DE4798">
              <w:rPr>
                <w:vertAlign w:val="subscript"/>
                <w:lang w:val="en-GB"/>
              </w:rPr>
              <w:t>2</w:t>
            </w:r>
            <w:r w:rsidR="00EF6665">
              <w:rPr>
                <w:lang w:val="en-GB"/>
              </w:rPr>
              <w:t xml:space="preserve"> + </w:t>
            </w:r>
            <w:r w:rsidR="00ED12D3">
              <w:rPr>
                <w:lang w:val="en-GB"/>
              </w:rPr>
              <w:t>0.36</w:t>
            </w:r>
            <w:r w:rsidR="00EF6665">
              <w:rPr>
                <w:lang w:val="en-GB"/>
              </w:rPr>
              <w:t xml:space="preserve"> H</w:t>
            </w:r>
            <w:r w:rsidR="00EF6665" w:rsidRPr="00DE4798">
              <w:rPr>
                <w:vertAlign w:val="subscript"/>
                <w:lang w:val="en-GB"/>
              </w:rPr>
              <w:t>2</w:t>
            </w:r>
            <w:r w:rsidR="00EF6665">
              <w:rPr>
                <w:lang w:val="en-GB"/>
              </w:rPr>
              <w:t xml:space="preserve"> </w:t>
            </w:r>
            <w:r w:rsidR="00ED12D3">
              <w:rPr>
                <w:lang w:val="en-GB"/>
              </w:rPr>
              <w:t>+</w:t>
            </w:r>
            <w:r w:rsidR="009532A5">
              <w:rPr>
                <w:lang w:val="en-GB"/>
              </w:rPr>
              <w:t xml:space="preserve"> </w:t>
            </w:r>
            <w:r w:rsidR="00ED12D3">
              <w:rPr>
                <w:lang w:val="en-GB"/>
              </w:rPr>
              <w:t>0.16</w:t>
            </w:r>
            <w:r w:rsidR="00EF6665">
              <w:rPr>
                <w:lang w:val="en-GB"/>
              </w:rPr>
              <w:t xml:space="preserve"> C</w:t>
            </w:r>
            <w:r w:rsidR="00EF6665" w:rsidRPr="00DE4798">
              <w:rPr>
                <w:vertAlign w:val="subscript"/>
                <w:lang w:val="en-GB"/>
              </w:rPr>
              <w:t>2</w:t>
            </w:r>
            <w:r w:rsidR="00EF6665">
              <w:rPr>
                <w:lang w:val="en-GB"/>
              </w:rPr>
              <w:t>H</w:t>
            </w:r>
            <w:r w:rsidR="00EF6665" w:rsidRPr="00DE4798">
              <w:rPr>
                <w:vertAlign w:val="subscript"/>
                <w:lang w:val="en-GB"/>
              </w:rPr>
              <w:t>4</w:t>
            </w:r>
            <w:r w:rsidR="00EF6665">
              <w:rPr>
                <w:lang w:val="en-GB"/>
              </w:rPr>
              <w:t xml:space="preserve"> + </w:t>
            </w:r>
          </w:p>
          <w:p w14:paraId="60E522ED" w14:textId="7B506AB8" w:rsidR="00EF6665" w:rsidRDefault="00EF6665" w:rsidP="00ED12D3">
            <w:pPr>
              <w:pStyle w:val="CETBodytext"/>
              <w:rPr>
                <w:lang w:val="en-GB"/>
              </w:rPr>
            </w:pPr>
            <w:r>
              <w:rPr>
                <w:lang w:val="en-GB"/>
              </w:rPr>
              <w:t xml:space="preserve">+ </w:t>
            </w:r>
            <w:r w:rsidR="00ED12D3">
              <w:rPr>
                <w:lang w:val="en-GB"/>
              </w:rPr>
              <w:t>0.11</w:t>
            </w:r>
            <w:r>
              <w:rPr>
                <w:lang w:val="en-GB"/>
              </w:rPr>
              <w:t xml:space="preserve"> C</w:t>
            </w:r>
            <w:r w:rsidRPr="00DE4798">
              <w:rPr>
                <w:vertAlign w:val="subscript"/>
                <w:lang w:val="en-GB"/>
              </w:rPr>
              <w:t>2</w:t>
            </w:r>
            <w:r>
              <w:rPr>
                <w:lang w:val="en-GB"/>
              </w:rPr>
              <w:t>H</w:t>
            </w:r>
            <w:r w:rsidRPr="00DE4798">
              <w:rPr>
                <w:vertAlign w:val="subscript"/>
                <w:lang w:val="en-GB"/>
              </w:rPr>
              <w:t>6</w:t>
            </w:r>
            <w:r>
              <w:rPr>
                <w:lang w:val="en-GB"/>
              </w:rPr>
              <w:t xml:space="preserve"> + </w:t>
            </w:r>
            <w:r w:rsidR="00ED12D3">
              <w:rPr>
                <w:lang w:val="en-GB"/>
              </w:rPr>
              <w:t>0.05</w:t>
            </w:r>
            <w:r>
              <w:rPr>
                <w:lang w:val="en-GB"/>
              </w:rPr>
              <w:t xml:space="preserve"> C</w:t>
            </w:r>
            <w:r w:rsidRPr="00DE4798">
              <w:rPr>
                <w:vertAlign w:val="subscript"/>
                <w:lang w:val="en-GB"/>
              </w:rPr>
              <w:t>3</w:t>
            </w:r>
            <w:r>
              <w:rPr>
                <w:lang w:val="en-GB"/>
              </w:rPr>
              <w:t>H</w:t>
            </w:r>
            <w:r w:rsidRPr="00DE4798">
              <w:rPr>
                <w:vertAlign w:val="subscript"/>
                <w:lang w:val="en-GB"/>
              </w:rPr>
              <w:t>6</w:t>
            </w:r>
            <w:r>
              <w:rPr>
                <w:lang w:val="en-GB"/>
              </w:rPr>
              <w:t xml:space="preserve"> + </w:t>
            </w:r>
            <w:r w:rsidR="00ED12D3">
              <w:rPr>
                <w:lang w:val="en-GB"/>
              </w:rPr>
              <w:t>0.41</w:t>
            </w:r>
            <w:r>
              <w:rPr>
                <w:lang w:val="en-GB"/>
              </w:rPr>
              <w:t xml:space="preserve"> TAR1 + </w:t>
            </w:r>
            <w:r w:rsidR="00ED12D3">
              <w:rPr>
                <w:lang w:val="en-GB"/>
              </w:rPr>
              <w:t>3.20</w:t>
            </w:r>
            <w:r>
              <w:rPr>
                <w:lang w:val="en-GB"/>
              </w:rPr>
              <w:t xml:space="preserve"> </w:t>
            </w:r>
            <w:r w:rsidR="00ED12D3">
              <w:rPr>
                <w:lang w:val="en-GB"/>
              </w:rPr>
              <w:t>C</w:t>
            </w:r>
            <w:r w:rsidR="00876990">
              <w:rPr>
                <w:lang w:val="en-GB"/>
              </w:rPr>
              <w:t>HAR</w:t>
            </w:r>
          </w:p>
        </w:tc>
        <w:tc>
          <w:tcPr>
            <w:tcW w:w="807" w:type="pct"/>
            <w:shd w:val="clear" w:color="auto" w:fill="FFFFFF"/>
          </w:tcPr>
          <w:p w14:paraId="5179CC51" w14:textId="4679A1E5" w:rsidR="00EF6665" w:rsidRPr="00B57B36" w:rsidRDefault="002500DA" w:rsidP="00EF6665">
            <w:pPr>
              <w:pStyle w:val="CETBodytext"/>
              <w:rPr>
                <w:lang w:val="en-GB"/>
              </w:rPr>
            </w:pPr>
            <w:r>
              <w:rPr>
                <w:lang w:val="en-GB"/>
              </w:rPr>
              <w:t>2.98E+00</w:t>
            </w:r>
          </w:p>
        </w:tc>
        <w:tc>
          <w:tcPr>
            <w:tcW w:w="783" w:type="pct"/>
            <w:shd w:val="clear" w:color="auto" w:fill="FFFFFF"/>
          </w:tcPr>
          <w:p w14:paraId="48A020AF" w14:textId="7EF2A8EA" w:rsidR="00EF6665" w:rsidRPr="00B57B36" w:rsidRDefault="002500DA" w:rsidP="00EF6665">
            <w:pPr>
              <w:pStyle w:val="CETBodytext"/>
              <w:rPr>
                <w:lang w:val="en-GB"/>
              </w:rPr>
            </w:pPr>
            <w:r>
              <w:rPr>
                <w:lang w:val="en-GB"/>
              </w:rPr>
              <w:t>65231</w:t>
            </w:r>
          </w:p>
        </w:tc>
        <w:tc>
          <w:tcPr>
            <w:tcW w:w="11" w:type="pct"/>
            <w:shd w:val="clear" w:color="auto" w:fill="FFFFFF"/>
          </w:tcPr>
          <w:p w14:paraId="4212AA92" w14:textId="77777777" w:rsidR="00EF6665" w:rsidRPr="00B57B36" w:rsidRDefault="00EF6665" w:rsidP="00EF6665">
            <w:pPr>
              <w:pStyle w:val="CETBodytext"/>
              <w:ind w:right="-1"/>
              <w:rPr>
                <w:rFonts w:cs="Arial"/>
                <w:szCs w:val="18"/>
                <w:lang w:val="en-GB"/>
              </w:rPr>
            </w:pPr>
          </w:p>
        </w:tc>
        <w:tc>
          <w:tcPr>
            <w:tcW w:w="11" w:type="pct"/>
            <w:shd w:val="clear" w:color="auto" w:fill="FFFFFF"/>
          </w:tcPr>
          <w:p w14:paraId="61268A70" w14:textId="77777777" w:rsidR="00EF6665" w:rsidRPr="00B57B36" w:rsidRDefault="00EF6665" w:rsidP="00EF6665">
            <w:pPr>
              <w:pStyle w:val="CETBodytext"/>
              <w:ind w:right="-1"/>
              <w:rPr>
                <w:rFonts w:cs="Arial"/>
                <w:szCs w:val="18"/>
                <w:lang w:val="en-GB"/>
              </w:rPr>
            </w:pPr>
          </w:p>
        </w:tc>
      </w:tr>
    </w:tbl>
    <w:p w14:paraId="03FF1BCA" w14:textId="42ECA155" w:rsidR="00074FAB" w:rsidRDefault="00074FAB" w:rsidP="005A6FC9">
      <w:pPr>
        <w:pStyle w:val="CETBodytext"/>
      </w:pPr>
    </w:p>
    <w:p w14:paraId="6C8D963E" w14:textId="302FD7E6" w:rsidR="00046CA2" w:rsidRDefault="00E819DC" w:rsidP="005A6FC9">
      <w:pPr>
        <w:pStyle w:val="CETBodytext"/>
      </w:pPr>
      <w:r>
        <w:t xml:space="preserve">The results obtained from the fitting procedure show good agreement with experimental data despite the approximations introduced in the analysis. </w:t>
      </w:r>
      <w:r w:rsidR="00D33F51">
        <w:t>First</w:t>
      </w:r>
      <w:r>
        <w:t xml:space="preserve">, activation </w:t>
      </w:r>
      <w:r w:rsidR="00507CD8">
        <w:t>ener</w:t>
      </w:r>
      <w:bookmarkStart w:id="1" w:name="_GoBack"/>
      <w:bookmarkEnd w:id="1"/>
      <w:r w:rsidR="00507CD8">
        <w:t xml:space="preserve">gies </w:t>
      </w:r>
      <w:r w:rsidR="00A56C3C">
        <w:t xml:space="preserve">show </w:t>
      </w:r>
      <w:r w:rsidR="00BE50A1">
        <w:t xml:space="preserve">rather </w:t>
      </w:r>
      <w:r w:rsidR="00A56C3C">
        <w:t>low values</w:t>
      </w:r>
      <w:r w:rsidR="00287E63">
        <w:t xml:space="preserve"> which are</w:t>
      </w:r>
      <w:r w:rsidR="00A56C3C">
        <w:t xml:space="preserve"> </w:t>
      </w:r>
      <w:r w:rsidR="00507CD8">
        <w:t>coherent</w:t>
      </w:r>
      <w:r>
        <w:t xml:space="preserve"> </w:t>
      </w:r>
      <w:r>
        <w:lastRenderedPageBreak/>
        <w:t xml:space="preserve">with </w:t>
      </w:r>
      <w:r w:rsidR="00A56C3C">
        <w:t>those</w:t>
      </w:r>
      <w:r w:rsidR="006D558B">
        <w:t xml:space="preserve"> </w:t>
      </w:r>
      <w:r w:rsidR="00A5765A">
        <w:t>reported</w:t>
      </w:r>
      <w:r>
        <w:t xml:space="preserve"> in previous scientific literature</w:t>
      </w:r>
      <w:r w:rsidR="00287E63">
        <w:t>, ranging from 18 to 124 kJ/mol</w:t>
      </w:r>
      <w:r w:rsidR="002621CF">
        <w:t xml:space="preserve"> for stabilized sludge</w:t>
      </w:r>
      <w:r>
        <w:t xml:space="preserve"> </w:t>
      </w:r>
      <w:r>
        <w:fldChar w:fldCharType="begin"/>
      </w:r>
      <w:r>
        <w:instrText xml:space="preserve"> ADDIN ZOTERO_ITEM CSL_CITATION {"citationID":"98RdvhYi","properties":{"formattedCitation":"(Stolarek and Ledakowicz, 2001)","plainCitation":"(Stolarek and Ledakowicz, 2001)","noteIndex":0},"citationItems":[{"id":196,"uris":["http://zotero.org/users/11115034/items/PGUHDY63"],"itemData":{"id":196,"type":"article-journal","abstract":"Thermal processing of sewage sludge including drying, pyrolysis and gasification or combustion may be an alternative to other ways of utilising it. In this paper thermogravimetric analysis (TGA) was employed in the investigation of thermal decomposition of sewage sludge. The kinetic parameters of drying, pyrolysis and gasification or combustion of sewage sludge have been determined in an inert-gas (argon) and additionally some series of the sludge decomposition experiments have been carried out in air, in order to compare pyrolysis and combustion. The pyrolysis char has been gasified with carbon dioxide. A typical approach to the kinetics of thermal decomposition of a solid waste is to divide the volatile evolution into a few fractions (lumps), each of which is represented by a single first-order reaction. If these lumps are assumed to be non-interacting and evolved by independent parallel reactions the first-order kinetic parameters such as activation energy Ei and pre-exponential factor Ai can be determined from mathematical evaluation of TG or DTG curves. The object of our investigations was a municipal sludge from the two wastewater treatment plants (WTP) in Poland. The experiments have been carried out in the thermobalance Mettler-Toledo type TGA/SDTA851 LF, in the temperature range 30-1,000 degrees C. Five different values of heating rate have been applied beta = 2, 5, 10, 15 and 20 K/min. The values of Ei and Ai have been determined for all recognised lumps of gaseous products. The method employed has also revealed its usefulness for the determination of kinetic parameters for municipal sludge, that possess an undefined content. An alternative route to combustion of sewage sludge is its gasification, which significantly increases the gaseous product (pyrolytic gas + syngas). Besides pyrolysis kinetics, gasification or combustion process kinetics have also been determined.","container-title":"Water Science and Technology: A Journal of the International Association on Water Pollution Research","ISSN":"0273-1223","issue":"10","journalAbbreviation":"Water Sci Technol","language":"eng","note":"PMID: 11794675","page":"333-339","source":"PubMed","title":"Thermal processing of sewage sludge by drying, pyrolysis, gasification and combustion","volume":"44","author":[{"family":"Stolarek","given":"P."},{"family":"Ledakowicz","given":"S."}],"issued":{"date-parts":[["2001"]]}}}],"schema":"https://github.com/citation-style-language/schema/raw/master/csl-citation.json"} </w:instrText>
      </w:r>
      <w:r>
        <w:fldChar w:fldCharType="separate"/>
      </w:r>
      <w:r w:rsidRPr="00E819DC">
        <w:rPr>
          <w:rFonts w:cs="Arial"/>
        </w:rPr>
        <w:t>(Stolarek and Ledakowicz, 2001)</w:t>
      </w:r>
      <w:r>
        <w:fldChar w:fldCharType="end"/>
      </w:r>
      <w:r w:rsidR="00D33F51">
        <w:t xml:space="preserve">. </w:t>
      </w:r>
      <w:r w:rsidR="00F82026">
        <w:t>Moreover</w:t>
      </w:r>
      <w:r w:rsidR="00D33F51">
        <w:t xml:space="preserve">, sewage sludge profile as a function of temperature </w:t>
      </w:r>
      <w:r w:rsidR="00B011DA">
        <w:t xml:space="preserve">at 1h reaction time is shown as an example in </w:t>
      </w:r>
      <w:r w:rsidR="00C71E24">
        <w:rPr>
          <w:highlight w:val="yellow"/>
        </w:rPr>
        <w:fldChar w:fldCharType="begin"/>
      </w:r>
      <w:r w:rsidR="00C71E24">
        <w:instrText xml:space="preserve"> REF _Ref131096694 \h </w:instrText>
      </w:r>
      <w:r w:rsidR="00C71E24">
        <w:rPr>
          <w:highlight w:val="yellow"/>
        </w:rPr>
      </w:r>
      <w:r w:rsidR="00C71E24">
        <w:rPr>
          <w:highlight w:val="yellow"/>
        </w:rPr>
        <w:fldChar w:fldCharType="separate"/>
      </w:r>
      <w:r w:rsidR="00C71E24">
        <w:t xml:space="preserve">Figure </w:t>
      </w:r>
      <w:r w:rsidR="00C71E24">
        <w:rPr>
          <w:noProof/>
        </w:rPr>
        <w:t>2</w:t>
      </w:r>
      <w:r w:rsidR="00C71E24">
        <w:rPr>
          <w:highlight w:val="yellow"/>
        </w:rPr>
        <w:fldChar w:fldCharType="end"/>
      </w:r>
      <w:r w:rsidR="00B011DA">
        <w:t xml:space="preserve">, where it is possible to observe good </w:t>
      </w:r>
      <w:r w:rsidR="00046CA2">
        <w:t>accordance</w:t>
      </w:r>
      <w:r w:rsidR="00F3320D">
        <w:t xml:space="preserve"> between </w:t>
      </w:r>
      <w:r w:rsidR="00071B6B">
        <w:t xml:space="preserve">the proposed </w:t>
      </w:r>
      <w:r w:rsidR="00F3320D">
        <w:t>model and experimental data, with a value for R</w:t>
      </w:r>
      <w:r w:rsidR="00F3320D" w:rsidRPr="003D379E">
        <w:rPr>
          <w:vertAlign w:val="superscript"/>
        </w:rPr>
        <w:t>2</w:t>
      </w:r>
      <w:r w:rsidR="00F3320D">
        <w:t xml:space="preserve"> coefficient equal to 0.</w:t>
      </w:r>
      <w:r w:rsidR="001C6592">
        <w:t>924</w:t>
      </w:r>
      <w:r w:rsidR="00F3320D">
        <w:t>.</w:t>
      </w:r>
    </w:p>
    <w:p w14:paraId="15B78873" w14:textId="00B84AC5" w:rsidR="003D379E" w:rsidRDefault="003F0C61" w:rsidP="003D379E">
      <w:pPr>
        <w:pStyle w:val="CETBodytext"/>
        <w:keepNext/>
      </w:pPr>
      <w:r>
        <w:rPr>
          <w:noProof/>
          <w:lang w:val="it-IT" w:eastAsia="it-IT"/>
        </w:rPr>
        <w:drawing>
          <wp:inline distT="0" distB="0" distL="0" distR="0" wp14:anchorId="391911E7" wp14:editId="4C71D037">
            <wp:extent cx="3491345" cy="2067114"/>
            <wp:effectExtent l="0" t="0" r="13970" b="9525"/>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021BEA" w14:textId="7F62CA49" w:rsidR="00F3320D" w:rsidRDefault="003D379E" w:rsidP="003D379E">
      <w:pPr>
        <w:pStyle w:val="CETCaption"/>
      </w:pPr>
      <w:bookmarkStart w:id="2" w:name="_Ref131096694"/>
      <w:r>
        <w:t xml:space="preserve">Figure </w:t>
      </w:r>
      <w:r>
        <w:fldChar w:fldCharType="begin"/>
      </w:r>
      <w:r>
        <w:instrText xml:space="preserve"> SEQ Figure \* ARABIC </w:instrText>
      </w:r>
      <w:r>
        <w:fldChar w:fldCharType="separate"/>
      </w:r>
      <w:r w:rsidR="00E93DA2">
        <w:rPr>
          <w:noProof/>
        </w:rPr>
        <w:t>2</w:t>
      </w:r>
      <w:r>
        <w:fldChar w:fldCharType="end"/>
      </w:r>
      <w:bookmarkEnd w:id="2"/>
      <w:r>
        <w:t>: Comparison between experimental data (dots) and model (line) for sewage sludge mass fraction</w:t>
      </w:r>
    </w:p>
    <w:p w14:paraId="18BAFA6F" w14:textId="32634078" w:rsidR="00453E24" w:rsidRPr="0072326E" w:rsidRDefault="00C544C5" w:rsidP="00453E24">
      <w:pPr>
        <w:pStyle w:val="CETheadingx"/>
      </w:pPr>
      <w:r>
        <w:t>Design of waste-to-energy systems based on combustion and gasification</w:t>
      </w:r>
    </w:p>
    <w:p w14:paraId="4CDCE91A" w14:textId="1892C281" w:rsidR="00AA68CC" w:rsidRDefault="00C544C5" w:rsidP="00B97A92">
      <w:pPr>
        <w:pStyle w:val="CETBodytext"/>
      </w:pPr>
      <w:r w:rsidRPr="0080449E">
        <w:t xml:space="preserve">The kinetic </w:t>
      </w:r>
      <w:r w:rsidR="00E14EFA" w:rsidRPr="0080449E">
        <w:t>scheme</w:t>
      </w:r>
      <w:r w:rsidR="00730CD0" w:rsidRPr="0080449E">
        <w:t xml:space="preserve"> </w:t>
      </w:r>
      <w:r w:rsidR="00405B9F" w:rsidRPr="0080449E">
        <w:t>proposed</w:t>
      </w:r>
      <w:r w:rsidR="00730CD0" w:rsidRPr="0080449E">
        <w:t xml:space="preserve"> in this work is used to model a </w:t>
      </w:r>
      <w:r w:rsidR="00E53651" w:rsidRPr="0080449E">
        <w:t>series of</w:t>
      </w:r>
      <w:r w:rsidR="00801D6E" w:rsidRPr="0080449E">
        <w:t xml:space="preserve"> air-based</w:t>
      </w:r>
      <w:r w:rsidR="00E53651" w:rsidRPr="0080449E">
        <w:t xml:space="preserve"> fluidized bed reactors </w:t>
      </w:r>
      <w:r w:rsidR="00B97A92" w:rsidRPr="0080449E">
        <w:t xml:space="preserve">that must treat 1000 kg/h of sewage sludge having an average </w:t>
      </w:r>
      <w:r w:rsidR="002B4670" w:rsidRPr="0080449E">
        <w:t xml:space="preserve">particle size </w:t>
      </w:r>
      <w:r w:rsidR="00450CF1" w:rsidRPr="0080449E">
        <w:t>of</w:t>
      </w:r>
      <w:r w:rsidR="002B4670" w:rsidRPr="0080449E">
        <w:t xml:space="preserve"> 1 mm</w:t>
      </w:r>
      <w:r w:rsidR="007D48D3" w:rsidRPr="0080449E">
        <w:t xml:space="preserve">, with an </w:t>
      </w:r>
      <w:r w:rsidR="00450CF1" w:rsidRPr="0080449E">
        <w:t xml:space="preserve">average gas </w:t>
      </w:r>
      <w:r w:rsidR="00A8026C" w:rsidRPr="0080449E">
        <w:t>velocity</w:t>
      </w:r>
      <w:r w:rsidR="00450CF1" w:rsidRPr="0080449E">
        <w:t xml:space="preserve"> inside the reactor equal to 1 m/s</w:t>
      </w:r>
      <w:r w:rsidR="007D48D3" w:rsidRPr="0080449E">
        <w:t xml:space="preserve"> and </w:t>
      </w:r>
      <w:r w:rsidR="002B4670" w:rsidRPr="0080449E">
        <w:t xml:space="preserve">with different oxidation severity. </w:t>
      </w:r>
      <w:r w:rsidR="00450CF1" w:rsidRPr="0080449E">
        <w:t>Combustion is mod</w:t>
      </w:r>
      <w:r w:rsidR="00C55FD5" w:rsidRPr="0080449E">
        <w:t>e</w:t>
      </w:r>
      <w:r w:rsidR="00DB56D2" w:rsidRPr="0080449E">
        <w:t xml:space="preserve">led by </w:t>
      </w:r>
      <w:r w:rsidR="00760289" w:rsidRPr="0080449E">
        <w:t>considering</w:t>
      </w:r>
      <w:r w:rsidR="00DB56D2" w:rsidRPr="0080449E">
        <w:t xml:space="preserve"> a 5% excess of air. Gasification is modeled by considering values of Equivalence Ratio (ER) of 20%, 30%, 40%. ER is defined as the ratio between the oxygen present in the system and the oxygen necessary to achieve stoichiometric combustion of the feedstock </w:t>
      </w:r>
      <w:r w:rsidR="00DB56D2" w:rsidRPr="0080449E">
        <w:fldChar w:fldCharType="begin"/>
      </w:r>
      <w:r w:rsidR="00DB56D2" w:rsidRPr="0080449E">
        <w:instrText xml:space="preserve"> ADDIN ZOTERO_ITEM CSL_CITATION {"citationID":"J7nBmmEP","properties":{"formattedCitation":"(Basu, 2006)","plainCitation":"(Basu, 2006)","noteIndex":0},"citationItems":[{"id":198,"uris":["http://zotero.org/users/11115034/items/I6SZNE7G"],"itemData":{"id":198,"type":"book","abstract":"Besides being one of the best Clean Coal Technologies, fluidized beds are also proving to be the most practical option for biomass conversion. Although the technology is well established, the field lacks a comprehensive guide to the design and operating principles of fluidized bed boilers and gasifiers. With more than 30 years of research and indus","event-place":"Boca Raton","ISBN":"978-0-429-07501-8","note":"DOI: 10.1201/9781420005158","number-of-pages":"496","publisher":"CRC Press","publisher-place":"Boca Raton","title":"Combustion and Gasification in Fluidized Beds","author":[{"family":"Basu","given":"Prabir"}],"issued":{"date-parts":[["2006",2,17]]}}}],"schema":"https://github.com/citation-style-language/schema/raw/master/csl-citation.json"} </w:instrText>
      </w:r>
      <w:r w:rsidR="00DB56D2" w:rsidRPr="0080449E">
        <w:fldChar w:fldCharType="separate"/>
      </w:r>
      <w:r w:rsidR="00DB56D2" w:rsidRPr="0080449E">
        <w:rPr>
          <w:rFonts w:cs="Arial"/>
        </w:rPr>
        <w:t>(Basu, 2006)</w:t>
      </w:r>
      <w:r w:rsidR="00DB56D2" w:rsidRPr="0080449E">
        <w:fldChar w:fldCharType="end"/>
      </w:r>
      <w:r w:rsidR="00DB56D2" w:rsidRPr="0080449E">
        <w:t xml:space="preserve">. </w:t>
      </w:r>
      <w:r w:rsidR="008C593E" w:rsidRPr="0080449E">
        <w:t>Two different waste-to-energy systems are designed here: one based on combustion and the other using gasification. The fluidized-bed combustion leads to the production of high-temperature flue gas that is used to generate steam.</w:t>
      </w:r>
      <w:r w:rsidR="00D54EC9" w:rsidRPr="0080449E">
        <w:t xml:space="preserve"> </w:t>
      </w:r>
      <w:r w:rsidR="00C127F6" w:rsidRPr="0080449E">
        <w:t xml:space="preserve">This system works by transforming pressurized water at </w:t>
      </w:r>
      <w:r w:rsidR="006513BE" w:rsidRPr="0080449E">
        <w:t>60</w:t>
      </w:r>
      <w:r w:rsidR="00C127F6" w:rsidRPr="0080449E">
        <w:t xml:space="preserve"> bar into</w:t>
      </w:r>
      <w:r w:rsidR="00D54EC9" w:rsidRPr="0080449E">
        <w:t xml:space="preserve"> superheated steam at 300°C, to be expanded in a steam turbine </w:t>
      </w:r>
      <w:r w:rsidR="008E3AFE">
        <w:t>where it exits at</w:t>
      </w:r>
      <w:r w:rsidR="00D54EC9" w:rsidRPr="0080449E">
        <w:t xml:space="preserve"> 60 mmHg for electric power generation. The effluent from the turbine is condensed by using cooling water, and the cycle repeats.</w:t>
      </w:r>
      <w:r w:rsidR="00C127F6" w:rsidRPr="0080449E">
        <w:t xml:space="preserve"> Caustic wash is applied as an emission-control system at the end of the energy generation section, once the </w:t>
      </w:r>
      <w:r w:rsidR="007757D5" w:rsidRPr="0080449E">
        <w:t xml:space="preserve">flue gas </w:t>
      </w:r>
      <w:r w:rsidR="00530867" w:rsidRPr="0080449E">
        <w:t>has</w:t>
      </w:r>
      <w:r w:rsidR="007757D5" w:rsidRPr="0080449E">
        <w:t xml:space="preserve"> reached a temperature of</w:t>
      </w:r>
      <w:r w:rsidR="008C64CC" w:rsidRPr="0080449E">
        <w:t xml:space="preserve"> 150°C</w:t>
      </w:r>
      <w:r w:rsidR="007757D5" w:rsidRPr="0080449E">
        <w:t>.</w:t>
      </w:r>
      <w:r w:rsidR="00743480" w:rsidRPr="0080449E">
        <w:t xml:space="preserve"> The </w:t>
      </w:r>
      <w:r w:rsidR="00F9209B" w:rsidRPr="0080449E">
        <w:t>fluidized</w:t>
      </w:r>
      <w:r w:rsidR="00743480" w:rsidRPr="0080449E">
        <w:t>-bed gasification is performed at different values of ER, each one leading to a different yield and composition of crude syngas. Raw syngas must be rapidly quenched to s</w:t>
      </w:r>
      <w:r w:rsidR="003E12A2">
        <w:t>top any recombination reactions</w:t>
      </w:r>
      <w:r w:rsidR="00743480" w:rsidRPr="0080449E">
        <w:t xml:space="preserve"> </w:t>
      </w:r>
      <w:r w:rsidR="009225A9">
        <w:t>that may lead to</w:t>
      </w:r>
      <w:r w:rsidR="00743480" w:rsidRPr="0080449E">
        <w:t xml:space="preserve"> soot and tar production</w:t>
      </w:r>
      <w:r w:rsidR="00F9209B" w:rsidRPr="0080449E">
        <w:t xml:space="preserve">, this is done while simultaneously producing steam at </w:t>
      </w:r>
      <w:r w:rsidR="0080449E" w:rsidRPr="0080449E">
        <w:t>60</w:t>
      </w:r>
      <w:r w:rsidR="00F9209B" w:rsidRPr="0080449E">
        <w:t xml:space="preserve"> bar, 300°C.</w:t>
      </w:r>
      <w:r w:rsidR="00743480" w:rsidRPr="0080449E">
        <w:t xml:space="preserve"> </w:t>
      </w:r>
      <w:r w:rsidR="00F9209B" w:rsidRPr="0080449E">
        <w:t xml:space="preserve">Syngas is then cleaned with a caustic wash to eliminate sulfur compounds generated in the unit, and it is then compressed to 30 bar and fed to a </w:t>
      </w:r>
      <w:r w:rsidR="00A04710">
        <w:t>burner</w:t>
      </w:r>
      <w:r w:rsidR="00F9209B" w:rsidRPr="0080449E">
        <w:t xml:space="preserve"> together with combustion air. The effluent exiting from the </w:t>
      </w:r>
      <w:r w:rsidR="00A04710">
        <w:t>burner is fed to a gas turbine where it exits</w:t>
      </w:r>
      <w:r w:rsidR="00F9209B" w:rsidRPr="0080449E">
        <w:t xml:space="preserve"> at 1 bar</w:t>
      </w:r>
      <w:r w:rsidR="00A04710">
        <w:t>,</w:t>
      </w:r>
      <w:r w:rsidR="00F9209B" w:rsidRPr="0080449E">
        <w:t xml:space="preserve"> </w:t>
      </w:r>
      <w:r w:rsidR="00A04710">
        <w:t xml:space="preserve">generating </w:t>
      </w:r>
      <w:r w:rsidR="00284224">
        <w:t>electric power</w:t>
      </w:r>
      <w:r w:rsidR="00A04710">
        <w:t xml:space="preserve">. The hot effluent is then used to further increase </w:t>
      </w:r>
      <w:r w:rsidR="005E2CCC">
        <w:t>electric power</w:t>
      </w:r>
      <w:r w:rsidR="00A04710">
        <w:t xml:space="preserve"> production by generating steam</w:t>
      </w:r>
      <w:r w:rsidR="00E82D8A" w:rsidRPr="00E82D8A">
        <w:t xml:space="preserve"> </w:t>
      </w:r>
      <w:r w:rsidR="00E82D8A" w:rsidRPr="0080449E">
        <w:t>at 60 bar, 300°C</w:t>
      </w:r>
      <w:r w:rsidR="00A04710">
        <w:t xml:space="preserve"> to be used in a</w:t>
      </w:r>
      <w:r w:rsidR="00F9209B" w:rsidRPr="0080449E">
        <w:t xml:space="preserve"> Rankine cycle </w:t>
      </w:r>
      <w:r w:rsidR="00C24D0F">
        <w:t>working at the same conditions</w:t>
      </w:r>
      <w:r w:rsidR="00F9209B" w:rsidRPr="0080449E">
        <w:t xml:space="preserve"> as the one model</w:t>
      </w:r>
      <w:r w:rsidR="00E82D8A">
        <w:t>ed for sewage sludge combustion</w:t>
      </w:r>
      <w:r w:rsidR="00F9209B" w:rsidRPr="0080449E">
        <w:t xml:space="preserve">. The two </w:t>
      </w:r>
      <w:r w:rsidR="00F663DD" w:rsidRPr="0080449E">
        <w:t xml:space="preserve">streams of superheated steam are </w:t>
      </w:r>
      <w:r w:rsidR="00EB654F" w:rsidRPr="0080449E">
        <w:t xml:space="preserve">expanded in a steam turbine down to 60 mmHg and the effluent is condensed with cooling water, </w:t>
      </w:r>
      <w:r w:rsidR="0033455B" w:rsidRPr="0080449E">
        <w:t>closing</w:t>
      </w:r>
      <w:r w:rsidR="00EB654F" w:rsidRPr="0080449E">
        <w:t xml:space="preserve"> the water cycle.</w:t>
      </w:r>
      <w:r w:rsidR="0033455B" w:rsidRPr="0080449E">
        <w:t xml:space="preserve"> A process flow diagram showing the two </w:t>
      </w:r>
      <w:r w:rsidR="0069187B" w:rsidRPr="0080449E">
        <w:t xml:space="preserve">process configurations is shown in </w:t>
      </w:r>
      <w:r w:rsidR="00C762E2" w:rsidRPr="0080449E">
        <w:fldChar w:fldCharType="begin"/>
      </w:r>
      <w:r w:rsidR="00C762E2" w:rsidRPr="0080449E">
        <w:instrText xml:space="preserve"> REF _Ref131148938 \h </w:instrText>
      </w:r>
      <w:r w:rsidR="0080449E">
        <w:instrText xml:space="preserve"> \* MERGEFORMAT </w:instrText>
      </w:r>
      <w:r w:rsidR="00C762E2" w:rsidRPr="0080449E">
        <w:fldChar w:fldCharType="separate"/>
      </w:r>
      <w:r w:rsidR="00C762E2" w:rsidRPr="0080449E">
        <w:t xml:space="preserve">Figure </w:t>
      </w:r>
      <w:r w:rsidR="00C762E2" w:rsidRPr="0080449E">
        <w:rPr>
          <w:noProof/>
        </w:rPr>
        <w:t>3</w:t>
      </w:r>
      <w:r w:rsidR="00C762E2" w:rsidRPr="0080449E">
        <w:fldChar w:fldCharType="end"/>
      </w:r>
      <w:r w:rsidR="0069187B" w:rsidRPr="0080449E">
        <w:t>.</w:t>
      </w:r>
    </w:p>
    <w:p w14:paraId="01CDC86A" w14:textId="77777777" w:rsidR="00251E51" w:rsidRDefault="00251E51" w:rsidP="00B97A92">
      <w:pPr>
        <w:pStyle w:val="CETBodytext"/>
      </w:pPr>
    </w:p>
    <w:p w14:paraId="59958DBB" w14:textId="5EE58566" w:rsidR="00E93DA2" w:rsidRDefault="00D06703" w:rsidP="00E93DA2">
      <w:pPr>
        <w:pStyle w:val="CETBodytext"/>
        <w:keepNext/>
      </w:pPr>
      <w:r>
        <w:rPr>
          <w:noProof/>
          <w:lang w:val="it-IT" w:eastAsia="it-IT"/>
        </w:rPr>
        <w:drawing>
          <wp:inline distT="0" distB="0" distL="0" distR="0" wp14:anchorId="263B83B5" wp14:editId="2EE7DA91">
            <wp:extent cx="5395222" cy="1567543"/>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FD_energy.png"/>
                    <pic:cNvPicPr/>
                  </pic:nvPicPr>
                  <pic:blipFill>
                    <a:blip r:embed="rId12">
                      <a:extLst>
                        <a:ext uri="{28A0092B-C50C-407E-A947-70E740481C1C}">
                          <a14:useLocalDpi xmlns:a14="http://schemas.microsoft.com/office/drawing/2010/main" val="0"/>
                        </a:ext>
                      </a:extLst>
                    </a:blip>
                    <a:stretch>
                      <a:fillRect/>
                    </a:stretch>
                  </pic:blipFill>
                  <pic:spPr>
                    <a:xfrm>
                      <a:off x="0" y="0"/>
                      <a:ext cx="5461747" cy="1586871"/>
                    </a:xfrm>
                    <a:prstGeom prst="rect">
                      <a:avLst/>
                    </a:prstGeom>
                  </pic:spPr>
                </pic:pic>
              </a:graphicData>
            </a:graphic>
          </wp:inline>
        </w:drawing>
      </w:r>
    </w:p>
    <w:p w14:paraId="52C64347" w14:textId="3DDBCE64" w:rsidR="007723F9" w:rsidRPr="0072326E" w:rsidRDefault="00E93DA2" w:rsidP="00E93DA2">
      <w:pPr>
        <w:pStyle w:val="CETCaption"/>
      </w:pPr>
      <w:bookmarkStart w:id="3" w:name="_Ref131148938"/>
      <w:r>
        <w:t xml:space="preserve">Figure </w:t>
      </w:r>
      <w:r>
        <w:fldChar w:fldCharType="begin"/>
      </w:r>
      <w:r>
        <w:instrText xml:space="preserve"> SEQ Figure \* ARABIC </w:instrText>
      </w:r>
      <w:r>
        <w:fldChar w:fldCharType="separate"/>
      </w:r>
      <w:r>
        <w:rPr>
          <w:noProof/>
        </w:rPr>
        <w:t>3</w:t>
      </w:r>
      <w:r>
        <w:fldChar w:fldCharType="end"/>
      </w:r>
      <w:bookmarkEnd w:id="3"/>
      <w:r>
        <w:t xml:space="preserve">: Process flow </w:t>
      </w:r>
      <w:r w:rsidR="00044BC6">
        <w:t>diagrams for sludge combustion on the left,</w:t>
      </w:r>
      <w:r>
        <w:t xml:space="preserve"> and </w:t>
      </w:r>
      <w:r w:rsidR="00B06585">
        <w:t xml:space="preserve">sludge </w:t>
      </w:r>
      <w:r w:rsidR="00044BC6">
        <w:t>gasification on the right</w:t>
      </w:r>
    </w:p>
    <w:p w14:paraId="677EBFF0" w14:textId="4483B67B" w:rsidR="00600535" w:rsidRPr="0072326E" w:rsidRDefault="003E7408" w:rsidP="00600535">
      <w:pPr>
        <w:pStyle w:val="CETHeading1"/>
        <w:tabs>
          <w:tab w:val="clear" w:pos="360"/>
          <w:tab w:val="right" w:pos="7100"/>
        </w:tabs>
        <w:jc w:val="both"/>
      </w:pPr>
      <w:r w:rsidRPr="0072326E">
        <w:lastRenderedPageBreak/>
        <w:t>Results and discussion</w:t>
      </w:r>
    </w:p>
    <w:p w14:paraId="0BFC6062" w14:textId="784F3FFD" w:rsidR="003E7408" w:rsidRDefault="0079347B" w:rsidP="003E7408">
      <w:pPr>
        <w:pStyle w:val="CETBodytext"/>
      </w:pPr>
      <w:r>
        <w:t xml:space="preserve">The </w:t>
      </w:r>
      <w:r w:rsidR="00E04354">
        <w:t xml:space="preserve">results from the </w:t>
      </w:r>
      <w:r>
        <w:t xml:space="preserve">simulations performed in the GasDS suite </w:t>
      </w:r>
      <w:r w:rsidR="00AB7ACF">
        <w:t xml:space="preserve">for </w:t>
      </w:r>
      <w:r w:rsidR="002D26E1">
        <w:t>the</w:t>
      </w:r>
      <w:r w:rsidR="00AB7ACF">
        <w:t xml:space="preserve"> thermal conversion </w:t>
      </w:r>
      <w:r w:rsidR="002D26E1">
        <w:t>of 1000 kg/h of sewage sludge</w:t>
      </w:r>
      <w:r w:rsidR="00AB7ACF">
        <w:t xml:space="preserve"> at different oxidation severities are reported in Table 3. </w:t>
      </w:r>
      <w:r w:rsidR="006B752B">
        <w:t>Gasification</w:t>
      </w:r>
      <w:r w:rsidR="0020327B">
        <w:t xml:space="preserve"> is studied at three different values of ER</w:t>
      </w:r>
      <w:r w:rsidR="00DD1F47">
        <w:t xml:space="preserve"> (30%, 40%, 50%)</w:t>
      </w:r>
      <w:r w:rsidR="0020327B">
        <w:t>,</w:t>
      </w:r>
      <w:r w:rsidR="00EC2757">
        <w:t xml:space="preserve"> while combustion is represented by the case at 105% ER, meaning that a 5 % excess of combustion air is used. It is possible to notice that the gas product flowrate, temperature, and concentration of oxidized spec</w:t>
      </w:r>
      <w:r w:rsidR="00BE5522">
        <w:t>ies monotonically increases with ER, whereas LHV decreases.</w:t>
      </w:r>
      <w:r w:rsidR="00326B4F">
        <w:t xml:space="preserve"> </w:t>
      </w:r>
      <w:r w:rsidR="007D4800">
        <w:t xml:space="preserve">Combustion </w:t>
      </w:r>
      <w:r w:rsidR="00135556">
        <w:t xml:space="preserve">leads to the production of a large amount of high-temperature flue gas that only contains thermal energy, and the </w:t>
      </w:r>
      <w:r w:rsidR="00187B2C">
        <w:t>best</w:t>
      </w:r>
      <w:r w:rsidR="00135556">
        <w:t xml:space="preserve"> way to exploit this energy is to </w:t>
      </w:r>
      <w:r w:rsidR="00DF3846">
        <w:t xml:space="preserve">generate steam to be used in a Rankine cycle for electric power generation. Gasification, being a partial oxidation, leads to the production of raw syngas </w:t>
      </w:r>
      <w:r w:rsidR="00F57074">
        <w:t xml:space="preserve">that has both thermal and chemical energy. Chemical energy content is </w:t>
      </w:r>
      <w:r w:rsidR="00FB514F">
        <w:t xml:space="preserve">indicated by the LHV, </w:t>
      </w:r>
      <w:r w:rsidR="001D3DB7">
        <w:t>and can be extracted by performin</w:t>
      </w:r>
      <w:r w:rsidR="006847F3">
        <w:t xml:space="preserve">g combustion of the syngas, followed by expansion in a gas turbine. </w:t>
      </w:r>
      <w:r w:rsidR="00802267">
        <w:t>In this case, t</w:t>
      </w:r>
      <w:r w:rsidR="00F22D36">
        <w:t>hermal energy can be recovered in two steps: first, it is po</w:t>
      </w:r>
      <w:r w:rsidR="00402EC2">
        <w:t>ssible to generate steam while quenching the syngas exiting the reactor, and then it is also possible to generate more steam by using the hot effluent from the gas turbine, similarly to what was done in the combustion plant. The result is a combined cycle that produces electric power both by gas turbine and steam turbine</w:t>
      </w:r>
      <w:r w:rsidR="006B10E4">
        <w:t xml:space="preserve"> </w:t>
      </w:r>
      <w:r w:rsidR="00A82D61">
        <w:fldChar w:fldCharType="begin"/>
      </w:r>
      <w:r w:rsidR="00A82D61">
        <w:instrText xml:space="preserve"> ADDIN ZOTERO_ITEM CSL_CITATION {"citationID":"Mf9Ix1ww","properties":{"formattedCitation":"(Ibrahim et al., 2011)","plainCitation":"(Ibrahim et al., 2011)","noteIndex":0},"citationItems":[{"id":146,"uris":["http://zotero.org/users/11115034/items/DU66HMWM"],"itemData":{"id":146,"type":"article-journal","abstract":"The thermodynamic analysis of combined cycle gas turbine with effect different configuration for gas turbine are presented and discussed in this paper. The effects of ambient temperature and compression ratio have been proposed to select optimum configuration for gas turbine and its effect on CCGT performance. The analysis performance code has been performed used the MATLAB software. The simulating code for gas turbine configuration results show that the simple gas turbine configuration is more suitable with regards to power output, but the regenerative gas turbine configuration has higher efficiency with effect ambient temperature. The simple gas turbine configuration has higher power output with effect the compression ratio, while the regenerative gas turbine configuration has higher efficiency with effect lower compression ratio, therefore the variation of total power output is insignificance at lower compression ratio. The extensive modelling performed in this study reveals that, the ambient temperature and compression ratios are strongly influence on the performance of combined cycle, a higher overall efficiency can be achieved for combined cycle with add regenerative to topping cycle.","container-title":"Procedia Engineering","DOI":"10.1016/j.proeng.2011.08.791","ISSN":"18777058","journalAbbreviation":"Procedia Engineering","language":"en","page":"4216-4223","source":"DOI.org (Crossref)","title":"Gas Turbine Configuration for Improving the performance of Combined Cycle Power Plant","volume":"15","author":[{"family":"Ibrahim","given":"Thamir K."},{"family":"Rahman","given":"M.M."},{"family":"Abdalla","given":"Ahmed N"}],"issued":{"date-parts":[["2011"]]}}}],"schema":"https://github.com/citation-style-language/schema/raw/master/csl-citation.json"} </w:instrText>
      </w:r>
      <w:r w:rsidR="00A82D61">
        <w:fldChar w:fldCharType="separate"/>
      </w:r>
      <w:r w:rsidR="00A82D61" w:rsidRPr="00A82D61">
        <w:rPr>
          <w:rFonts w:cs="Arial"/>
        </w:rPr>
        <w:t>(Ibrahim et al., 2011)</w:t>
      </w:r>
      <w:r w:rsidR="00A82D61">
        <w:fldChar w:fldCharType="end"/>
      </w:r>
      <w:r w:rsidR="00402EC2">
        <w:t>.</w:t>
      </w:r>
    </w:p>
    <w:p w14:paraId="413DBA1B" w14:textId="3780728F" w:rsidR="00A65993" w:rsidRPr="005845DD" w:rsidRDefault="00A65993" w:rsidP="00A65993">
      <w:pPr>
        <w:pStyle w:val="CETTabletitle"/>
      </w:pPr>
      <w:r>
        <w:t>Table 3</w:t>
      </w:r>
      <w:r w:rsidRPr="00B57B36">
        <w:t xml:space="preserve">: </w:t>
      </w:r>
      <w:r w:rsidR="0066641C">
        <w:t xml:space="preserve">Flowrate, temperature, and composition of gas product from sewage sludge </w:t>
      </w:r>
      <w:r w:rsidR="008C64CC">
        <w:t>air oxidation</w:t>
      </w:r>
      <w:r>
        <w:t xml:space="preserve"> </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
        <w:gridCol w:w="1460"/>
        <w:gridCol w:w="1457"/>
        <w:gridCol w:w="1457"/>
        <w:gridCol w:w="1457"/>
        <w:gridCol w:w="1457"/>
        <w:gridCol w:w="1457"/>
        <w:gridCol w:w="12"/>
        <w:gridCol w:w="12"/>
      </w:tblGrid>
      <w:tr w:rsidR="00651167" w:rsidRPr="00B57B36" w14:paraId="4EAC81F2" w14:textId="77777777" w:rsidTr="00651167">
        <w:tc>
          <w:tcPr>
            <w:tcW w:w="10" w:type="pct"/>
            <w:tcBorders>
              <w:top w:val="single" w:sz="12" w:space="0" w:color="008000"/>
              <w:bottom w:val="single" w:sz="6" w:space="0" w:color="008000"/>
            </w:tcBorders>
            <w:shd w:val="clear" w:color="auto" w:fill="FFFFFF"/>
          </w:tcPr>
          <w:p w14:paraId="4DC414B1" w14:textId="77777777" w:rsidR="00651167" w:rsidRDefault="00651167" w:rsidP="00D45B23">
            <w:pPr>
              <w:pStyle w:val="CETBodytext"/>
              <w:rPr>
                <w:lang w:val="en-GB"/>
              </w:rPr>
            </w:pPr>
          </w:p>
        </w:tc>
        <w:tc>
          <w:tcPr>
            <w:tcW w:w="831" w:type="pct"/>
            <w:tcBorders>
              <w:top w:val="single" w:sz="12" w:space="0" w:color="008000"/>
              <w:bottom w:val="single" w:sz="6" w:space="0" w:color="008000"/>
            </w:tcBorders>
            <w:shd w:val="clear" w:color="auto" w:fill="FFFFFF"/>
          </w:tcPr>
          <w:p w14:paraId="2E83B9C2" w14:textId="057DDBF1" w:rsidR="00651167" w:rsidRDefault="00651167" w:rsidP="00D45B23">
            <w:pPr>
              <w:pStyle w:val="CETBodytext"/>
              <w:rPr>
                <w:lang w:val="en-GB"/>
              </w:rPr>
            </w:pPr>
            <w:r>
              <w:rPr>
                <w:lang w:val="en-GB"/>
              </w:rPr>
              <w:t>Value</w:t>
            </w:r>
          </w:p>
        </w:tc>
        <w:tc>
          <w:tcPr>
            <w:tcW w:w="829" w:type="pct"/>
            <w:tcBorders>
              <w:top w:val="single" w:sz="12" w:space="0" w:color="008000"/>
              <w:bottom w:val="single" w:sz="6" w:space="0" w:color="008000"/>
            </w:tcBorders>
            <w:shd w:val="clear" w:color="auto" w:fill="FFFFFF"/>
          </w:tcPr>
          <w:p w14:paraId="7C1DDDFF" w14:textId="6E2A8E9F" w:rsidR="00651167" w:rsidRDefault="00651167" w:rsidP="00D45B23">
            <w:pPr>
              <w:pStyle w:val="CETBodytext"/>
              <w:rPr>
                <w:lang w:val="en-GB"/>
              </w:rPr>
            </w:pPr>
            <w:r>
              <w:rPr>
                <w:lang w:val="en-GB"/>
              </w:rPr>
              <w:t>UoM</w:t>
            </w:r>
          </w:p>
        </w:tc>
        <w:tc>
          <w:tcPr>
            <w:tcW w:w="829" w:type="pct"/>
            <w:tcBorders>
              <w:top w:val="single" w:sz="12" w:space="0" w:color="008000"/>
              <w:bottom w:val="single" w:sz="6" w:space="0" w:color="008000"/>
            </w:tcBorders>
            <w:shd w:val="clear" w:color="auto" w:fill="FFFFFF"/>
          </w:tcPr>
          <w:p w14:paraId="78197459" w14:textId="26614196" w:rsidR="00651167" w:rsidRPr="00B57B36" w:rsidRDefault="00651167" w:rsidP="00D45B23">
            <w:pPr>
              <w:pStyle w:val="CETBodytext"/>
              <w:rPr>
                <w:lang w:val="en-GB"/>
              </w:rPr>
            </w:pPr>
            <w:r>
              <w:rPr>
                <w:lang w:val="en-GB"/>
              </w:rPr>
              <w:t>ER 20%</w:t>
            </w:r>
          </w:p>
        </w:tc>
        <w:tc>
          <w:tcPr>
            <w:tcW w:w="829" w:type="pct"/>
            <w:tcBorders>
              <w:top w:val="single" w:sz="12" w:space="0" w:color="008000"/>
              <w:bottom w:val="single" w:sz="6" w:space="0" w:color="008000"/>
            </w:tcBorders>
            <w:shd w:val="clear" w:color="auto" w:fill="FFFFFF"/>
          </w:tcPr>
          <w:p w14:paraId="3CACFCCC" w14:textId="0B9ACC3F" w:rsidR="00651167" w:rsidRDefault="00651167" w:rsidP="00D45B23">
            <w:pPr>
              <w:pStyle w:val="CETBodytext"/>
              <w:rPr>
                <w:lang w:val="en-GB"/>
              </w:rPr>
            </w:pPr>
            <w:r>
              <w:rPr>
                <w:lang w:val="en-GB"/>
              </w:rPr>
              <w:t>ER 30%</w:t>
            </w:r>
          </w:p>
        </w:tc>
        <w:tc>
          <w:tcPr>
            <w:tcW w:w="829" w:type="pct"/>
            <w:tcBorders>
              <w:top w:val="single" w:sz="12" w:space="0" w:color="008000"/>
              <w:bottom w:val="single" w:sz="6" w:space="0" w:color="008000"/>
            </w:tcBorders>
            <w:shd w:val="clear" w:color="auto" w:fill="FFFFFF"/>
          </w:tcPr>
          <w:p w14:paraId="039172AC" w14:textId="025D9974" w:rsidR="00651167" w:rsidRPr="00B57B36" w:rsidRDefault="00651167" w:rsidP="00D45B23">
            <w:pPr>
              <w:pStyle w:val="CETBodytext"/>
              <w:rPr>
                <w:lang w:val="en-GB"/>
              </w:rPr>
            </w:pPr>
            <w:r>
              <w:rPr>
                <w:lang w:val="en-GB"/>
              </w:rPr>
              <w:t>ER 40%</w:t>
            </w:r>
          </w:p>
        </w:tc>
        <w:tc>
          <w:tcPr>
            <w:tcW w:w="829" w:type="pct"/>
            <w:tcBorders>
              <w:top w:val="single" w:sz="12" w:space="0" w:color="008000"/>
              <w:bottom w:val="single" w:sz="6" w:space="0" w:color="008000"/>
            </w:tcBorders>
            <w:shd w:val="clear" w:color="auto" w:fill="FFFFFF"/>
          </w:tcPr>
          <w:p w14:paraId="7DE8D92B" w14:textId="7EAA00C0" w:rsidR="00651167" w:rsidRPr="00B57B36" w:rsidRDefault="00651167" w:rsidP="00F115B8">
            <w:pPr>
              <w:pStyle w:val="CETBodytext"/>
              <w:rPr>
                <w:lang w:val="en-GB"/>
              </w:rPr>
            </w:pPr>
            <w:r>
              <w:rPr>
                <w:lang w:val="en-GB"/>
              </w:rPr>
              <w:t xml:space="preserve">ER </w:t>
            </w:r>
            <w:r w:rsidR="00F115B8">
              <w:rPr>
                <w:lang w:val="en-GB"/>
              </w:rPr>
              <w:t>105</w:t>
            </w:r>
            <w:r>
              <w:rPr>
                <w:lang w:val="en-GB"/>
              </w:rPr>
              <w:t>%</w:t>
            </w:r>
          </w:p>
        </w:tc>
        <w:tc>
          <w:tcPr>
            <w:tcW w:w="7" w:type="pct"/>
            <w:tcBorders>
              <w:top w:val="single" w:sz="12" w:space="0" w:color="008000"/>
              <w:bottom w:val="single" w:sz="6" w:space="0" w:color="008000"/>
            </w:tcBorders>
            <w:shd w:val="clear" w:color="auto" w:fill="FFFFFF"/>
          </w:tcPr>
          <w:p w14:paraId="68E038A9" w14:textId="45A30808" w:rsidR="00651167" w:rsidRPr="00B57B36" w:rsidRDefault="00651167" w:rsidP="00D45B23">
            <w:pPr>
              <w:pStyle w:val="CETBodytext"/>
              <w:ind w:right="-1"/>
              <w:rPr>
                <w:rFonts w:cs="Arial"/>
                <w:szCs w:val="18"/>
                <w:lang w:val="en-GB"/>
              </w:rPr>
            </w:pPr>
          </w:p>
        </w:tc>
        <w:tc>
          <w:tcPr>
            <w:tcW w:w="7" w:type="pct"/>
            <w:tcBorders>
              <w:top w:val="single" w:sz="12" w:space="0" w:color="008000"/>
              <w:bottom w:val="single" w:sz="6" w:space="0" w:color="008000"/>
            </w:tcBorders>
            <w:shd w:val="clear" w:color="auto" w:fill="FFFFFF"/>
          </w:tcPr>
          <w:p w14:paraId="7CEA96EA" w14:textId="77777777" w:rsidR="00651167" w:rsidRPr="00B57B36" w:rsidRDefault="00651167" w:rsidP="00D45B23">
            <w:pPr>
              <w:pStyle w:val="CETBodytext"/>
              <w:ind w:right="-1"/>
              <w:rPr>
                <w:rFonts w:cs="Arial"/>
                <w:szCs w:val="18"/>
                <w:lang w:val="en-GB"/>
              </w:rPr>
            </w:pPr>
          </w:p>
        </w:tc>
      </w:tr>
      <w:tr w:rsidR="00651167" w:rsidRPr="00B57B36" w14:paraId="5971D68F" w14:textId="77777777" w:rsidTr="00651167">
        <w:tc>
          <w:tcPr>
            <w:tcW w:w="10" w:type="pct"/>
            <w:shd w:val="clear" w:color="auto" w:fill="FFFFFF"/>
          </w:tcPr>
          <w:p w14:paraId="10BC0F35" w14:textId="77777777" w:rsidR="00651167" w:rsidRDefault="00651167" w:rsidP="00D45B23">
            <w:pPr>
              <w:pStyle w:val="CETBodytext"/>
              <w:rPr>
                <w:lang w:val="en-GB"/>
              </w:rPr>
            </w:pPr>
          </w:p>
        </w:tc>
        <w:tc>
          <w:tcPr>
            <w:tcW w:w="831" w:type="pct"/>
            <w:shd w:val="clear" w:color="auto" w:fill="FFFFFF"/>
          </w:tcPr>
          <w:p w14:paraId="7C88672D" w14:textId="711EC0B9" w:rsidR="00651167" w:rsidRDefault="00651167" w:rsidP="00D45B23">
            <w:pPr>
              <w:pStyle w:val="CETBodytext"/>
              <w:rPr>
                <w:lang w:val="en-GB"/>
              </w:rPr>
            </w:pPr>
            <w:r>
              <w:rPr>
                <w:lang w:val="en-GB"/>
              </w:rPr>
              <w:t>Flowrate</w:t>
            </w:r>
          </w:p>
        </w:tc>
        <w:tc>
          <w:tcPr>
            <w:tcW w:w="829" w:type="pct"/>
            <w:shd w:val="clear" w:color="auto" w:fill="FFFFFF"/>
          </w:tcPr>
          <w:p w14:paraId="78F711D1" w14:textId="6F0EFBE4" w:rsidR="00651167" w:rsidRDefault="00651167" w:rsidP="00D45B23">
            <w:pPr>
              <w:pStyle w:val="CETBodytext"/>
              <w:rPr>
                <w:lang w:val="en-GB"/>
              </w:rPr>
            </w:pPr>
            <w:r>
              <w:rPr>
                <w:lang w:val="en-GB"/>
              </w:rPr>
              <w:t>kg/h</w:t>
            </w:r>
          </w:p>
        </w:tc>
        <w:tc>
          <w:tcPr>
            <w:tcW w:w="829" w:type="pct"/>
            <w:shd w:val="clear" w:color="auto" w:fill="FFFFFF"/>
          </w:tcPr>
          <w:p w14:paraId="31806325" w14:textId="120E24E0" w:rsidR="00651167" w:rsidRDefault="00F115B8" w:rsidP="00D45B23">
            <w:pPr>
              <w:pStyle w:val="CETBodytext"/>
              <w:rPr>
                <w:lang w:val="en-GB"/>
              </w:rPr>
            </w:pPr>
            <w:r>
              <w:rPr>
                <w:lang w:val="en-GB"/>
              </w:rPr>
              <w:t>1457</w:t>
            </w:r>
          </w:p>
        </w:tc>
        <w:tc>
          <w:tcPr>
            <w:tcW w:w="829" w:type="pct"/>
            <w:shd w:val="clear" w:color="auto" w:fill="FFFFFF"/>
          </w:tcPr>
          <w:p w14:paraId="4AE7A93E" w14:textId="09EF31FB" w:rsidR="00651167" w:rsidRDefault="00F115B8" w:rsidP="00D45B23">
            <w:pPr>
              <w:pStyle w:val="CETBodytext"/>
              <w:rPr>
                <w:lang w:val="en-GB"/>
              </w:rPr>
            </w:pPr>
            <w:r>
              <w:rPr>
                <w:lang w:val="en-GB"/>
              </w:rPr>
              <w:t>1779</w:t>
            </w:r>
          </w:p>
        </w:tc>
        <w:tc>
          <w:tcPr>
            <w:tcW w:w="829" w:type="pct"/>
            <w:shd w:val="clear" w:color="auto" w:fill="FFFFFF"/>
          </w:tcPr>
          <w:p w14:paraId="25685FF4" w14:textId="65C78D63" w:rsidR="00651167" w:rsidRPr="00B57B36" w:rsidRDefault="00F115B8" w:rsidP="00D45B23">
            <w:pPr>
              <w:pStyle w:val="CETBodytext"/>
              <w:rPr>
                <w:lang w:val="en-GB"/>
              </w:rPr>
            </w:pPr>
            <w:r>
              <w:rPr>
                <w:lang w:val="en-GB"/>
              </w:rPr>
              <w:t>2107</w:t>
            </w:r>
          </w:p>
        </w:tc>
        <w:tc>
          <w:tcPr>
            <w:tcW w:w="829" w:type="pct"/>
            <w:shd w:val="clear" w:color="auto" w:fill="FFFFFF"/>
          </w:tcPr>
          <w:p w14:paraId="3035E17E" w14:textId="571C89B9" w:rsidR="00651167" w:rsidRPr="00B57B36" w:rsidRDefault="00F115B8" w:rsidP="00D45B23">
            <w:pPr>
              <w:pStyle w:val="CETBodytext"/>
              <w:rPr>
                <w:lang w:val="en-GB"/>
              </w:rPr>
            </w:pPr>
            <w:r>
              <w:rPr>
                <w:lang w:val="en-GB"/>
              </w:rPr>
              <w:t>4279</w:t>
            </w:r>
          </w:p>
        </w:tc>
        <w:tc>
          <w:tcPr>
            <w:tcW w:w="7" w:type="pct"/>
            <w:shd w:val="clear" w:color="auto" w:fill="FFFFFF"/>
          </w:tcPr>
          <w:p w14:paraId="1E186E0D" w14:textId="04713208" w:rsidR="00651167" w:rsidRPr="00B57B36" w:rsidRDefault="00651167" w:rsidP="00D45B23">
            <w:pPr>
              <w:pStyle w:val="CETBodytext"/>
              <w:ind w:right="-1"/>
              <w:rPr>
                <w:rFonts w:cs="Arial"/>
                <w:szCs w:val="18"/>
                <w:lang w:val="en-GB"/>
              </w:rPr>
            </w:pPr>
          </w:p>
        </w:tc>
        <w:tc>
          <w:tcPr>
            <w:tcW w:w="7" w:type="pct"/>
            <w:shd w:val="clear" w:color="auto" w:fill="FFFFFF"/>
          </w:tcPr>
          <w:p w14:paraId="2A42A2F2" w14:textId="77777777" w:rsidR="00651167" w:rsidRPr="00B57B36" w:rsidRDefault="00651167" w:rsidP="00D45B23">
            <w:pPr>
              <w:pStyle w:val="CETBodytext"/>
              <w:ind w:right="-1"/>
              <w:rPr>
                <w:rFonts w:cs="Arial"/>
                <w:szCs w:val="18"/>
                <w:lang w:val="en-GB"/>
              </w:rPr>
            </w:pPr>
          </w:p>
        </w:tc>
      </w:tr>
      <w:tr w:rsidR="005B5075" w:rsidRPr="00B57B36" w14:paraId="40ABAF74" w14:textId="77777777" w:rsidTr="00651167">
        <w:tc>
          <w:tcPr>
            <w:tcW w:w="10" w:type="pct"/>
            <w:shd w:val="clear" w:color="auto" w:fill="FFFFFF"/>
          </w:tcPr>
          <w:p w14:paraId="01D1FC8C" w14:textId="77777777" w:rsidR="005B5075" w:rsidRDefault="005B5075" w:rsidP="00D45B23">
            <w:pPr>
              <w:pStyle w:val="CETBodytext"/>
              <w:rPr>
                <w:lang w:val="en-GB"/>
              </w:rPr>
            </w:pPr>
          </w:p>
        </w:tc>
        <w:tc>
          <w:tcPr>
            <w:tcW w:w="831" w:type="pct"/>
            <w:shd w:val="clear" w:color="auto" w:fill="FFFFFF"/>
          </w:tcPr>
          <w:p w14:paraId="6FD22C2C" w14:textId="3D42EDDE" w:rsidR="005B5075" w:rsidRDefault="005B5075" w:rsidP="00D45B23">
            <w:pPr>
              <w:pStyle w:val="CETBodytext"/>
              <w:rPr>
                <w:lang w:val="en-GB"/>
              </w:rPr>
            </w:pPr>
            <w:r>
              <w:rPr>
                <w:lang w:val="en-GB"/>
              </w:rPr>
              <w:t>Temperature</w:t>
            </w:r>
          </w:p>
        </w:tc>
        <w:tc>
          <w:tcPr>
            <w:tcW w:w="829" w:type="pct"/>
            <w:shd w:val="clear" w:color="auto" w:fill="FFFFFF"/>
          </w:tcPr>
          <w:p w14:paraId="6CF57F5B" w14:textId="75837372" w:rsidR="005B5075" w:rsidRDefault="00215A35" w:rsidP="00D45B23">
            <w:pPr>
              <w:pStyle w:val="CETBodytext"/>
              <w:rPr>
                <w:lang w:val="en-GB"/>
              </w:rPr>
            </w:pPr>
            <w:r>
              <w:rPr>
                <w:lang w:val="en-GB"/>
              </w:rPr>
              <w:t>°C</w:t>
            </w:r>
          </w:p>
        </w:tc>
        <w:tc>
          <w:tcPr>
            <w:tcW w:w="829" w:type="pct"/>
            <w:shd w:val="clear" w:color="auto" w:fill="FFFFFF"/>
          </w:tcPr>
          <w:p w14:paraId="2123C211" w14:textId="13E5B403" w:rsidR="005B5075" w:rsidRDefault="00A86DE5" w:rsidP="00D45B23">
            <w:pPr>
              <w:pStyle w:val="CETBodytext"/>
              <w:rPr>
                <w:lang w:val="en-GB"/>
              </w:rPr>
            </w:pPr>
            <w:r>
              <w:rPr>
                <w:lang w:val="en-GB"/>
              </w:rPr>
              <w:t>934</w:t>
            </w:r>
          </w:p>
        </w:tc>
        <w:tc>
          <w:tcPr>
            <w:tcW w:w="829" w:type="pct"/>
            <w:shd w:val="clear" w:color="auto" w:fill="FFFFFF"/>
          </w:tcPr>
          <w:p w14:paraId="73D8D153" w14:textId="4F17DE4B" w:rsidR="005B5075" w:rsidRDefault="00A86DE5" w:rsidP="00D45B23">
            <w:pPr>
              <w:pStyle w:val="CETBodytext"/>
              <w:rPr>
                <w:lang w:val="en-GB"/>
              </w:rPr>
            </w:pPr>
            <w:r>
              <w:rPr>
                <w:lang w:val="en-GB"/>
              </w:rPr>
              <w:t>1084</w:t>
            </w:r>
          </w:p>
        </w:tc>
        <w:tc>
          <w:tcPr>
            <w:tcW w:w="829" w:type="pct"/>
            <w:shd w:val="clear" w:color="auto" w:fill="FFFFFF"/>
          </w:tcPr>
          <w:p w14:paraId="5FE36479" w14:textId="3A10CDA8" w:rsidR="005B5075" w:rsidRDefault="00A86DE5" w:rsidP="00D45B23">
            <w:pPr>
              <w:pStyle w:val="CETBodytext"/>
              <w:rPr>
                <w:lang w:val="en-GB"/>
              </w:rPr>
            </w:pPr>
            <w:r>
              <w:rPr>
                <w:lang w:val="en-GB"/>
              </w:rPr>
              <w:t>1211</w:t>
            </w:r>
          </w:p>
        </w:tc>
        <w:tc>
          <w:tcPr>
            <w:tcW w:w="829" w:type="pct"/>
            <w:shd w:val="clear" w:color="auto" w:fill="FFFFFF"/>
          </w:tcPr>
          <w:p w14:paraId="31925198" w14:textId="2D61DDE8" w:rsidR="005B5075" w:rsidRDefault="00A86DE5" w:rsidP="00D45B23">
            <w:pPr>
              <w:pStyle w:val="CETBodytext"/>
              <w:rPr>
                <w:lang w:val="en-GB"/>
              </w:rPr>
            </w:pPr>
            <w:r>
              <w:rPr>
                <w:lang w:val="en-GB"/>
              </w:rPr>
              <w:t>1820</w:t>
            </w:r>
          </w:p>
        </w:tc>
        <w:tc>
          <w:tcPr>
            <w:tcW w:w="7" w:type="pct"/>
            <w:shd w:val="clear" w:color="auto" w:fill="FFFFFF"/>
          </w:tcPr>
          <w:p w14:paraId="555113AD" w14:textId="77777777" w:rsidR="005B5075" w:rsidRPr="00B57B36" w:rsidRDefault="005B5075" w:rsidP="00D45B23">
            <w:pPr>
              <w:pStyle w:val="CETBodytext"/>
              <w:ind w:right="-1"/>
              <w:rPr>
                <w:rFonts w:cs="Arial"/>
                <w:szCs w:val="18"/>
                <w:lang w:val="en-GB"/>
              </w:rPr>
            </w:pPr>
          </w:p>
        </w:tc>
        <w:tc>
          <w:tcPr>
            <w:tcW w:w="7" w:type="pct"/>
            <w:shd w:val="clear" w:color="auto" w:fill="FFFFFF"/>
          </w:tcPr>
          <w:p w14:paraId="226CBD6C" w14:textId="77777777" w:rsidR="005B5075" w:rsidRPr="00B57B36" w:rsidRDefault="005B5075" w:rsidP="00D45B23">
            <w:pPr>
              <w:pStyle w:val="CETBodytext"/>
              <w:ind w:right="-1"/>
              <w:rPr>
                <w:rFonts w:cs="Arial"/>
                <w:szCs w:val="18"/>
                <w:lang w:val="en-GB"/>
              </w:rPr>
            </w:pPr>
          </w:p>
        </w:tc>
      </w:tr>
      <w:tr w:rsidR="005B5075" w:rsidRPr="00B57B36" w14:paraId="1E32452D" w14:textId="77777777" w:rsidTr="00651167">
        <w:tc>
          <w:tcPr>
            <w:tcW w:w="10" w:type="pct"/>
            <w:shd w:val="clear" w:color="auto" w:fill="FFFFFF"/>
          </w:tcPr>
          <w:p w14:paraId="515A326A" w14:textId="77777777" w:rsidR="005B5075" w:rsidRDefault="005B5075" w:rsidP="00D45B23">
            <w:pPr>
              <w:pStyle w:val="CETBodytext"/>
              <w:rPr>
                <w:lang w:val="en-GB"/>
              </w:rPr>
            </w:pPr>
          </w:p>
        </w:tc>
        <w:tc>
          <w:tcPr>
            <w:tcW w:w="831" w:type="pct"/>
            <w:shd w:val="clear" w:color="auto" w:fill="FFFFFF"/>
          </w:tcPr>
          <w:p w14:paraId="0C4CEAFF" w14:textId="62B4DEF2" w:rsidR="005B5075" w:rsidRDefault="00D025AC" w:rsidP="00D45B23">
            <w:pPr>
              <w:pStyle w:val="CETBodytext"/>
              <w:rPr>
                <w:lang w:val="en-GB"/>
              </w:rPr>
            </w:pPr>
            <w:r>
              <w:rPr>
                <w:lang w:val="en-GB"/>
              </w:rPr>
              <w:t>N</w:t>
            </w:r>
            <w:r w:rsidRPr="00D025AC">
              <w:rPr>
                <w:vertAlign w:val="subscript"/>
                <w:lang w:val="en-GB"/>
              </w:rPr>
              <w:t>2</w:t>
            </w:r>
          </w:p>
        </w:tc>
        <w:tc>
          <w:tcPr>
            <w:tcW w:w="829" w:type="pct"/>
            <w:shd w:val="clear" w:color="auto" w:fill="FFFFFF"/>
          </w:tcPr>
          <w:p w14:paraId="7DDFEDFB" w14:textId="0903C8C3" w:rsidR="005B5075" w:rsidRDefault="00215A35" w:rsidP="00D45B23">
            <w:pPr>
              <w:pStyle w:val="CETBodytext"/>
              <w:rPr>
                <w:lang w:val="en-GB"/>
              </w:rPr>
            </w:pPr>
            <w:r>
              <w:rPr>
                <w:lang w:val="en-GB"/>
              </w:rPr>
              <w:t>mol %</w:t>
            </w:r>
          </w:p>
        </w:tc>
        <w:tc>
          <w:tcPr>
            <w:tcW w:w="829" w:type="pct"/>
            <w:shd w:val="clear" w:color="auto" w:fill="FFFFFF"/>
          </w:tcPr>
          <w:p w14:paraId="12B9C2FA" w14:textId="47A7B80C" w:rsidR="005B5075" w:rsidRDefault="0080113F" w:rsidP="00D45B23">
            <w:pPr>
              <w:pStyle w:val="CETBodytext"/>
              <w:rPr>
                <w:lang w:val="en-GB"/>
              </w:rPr>
            </w:pPr>
            <w:r>
              <w:rPr>
                <w:lang w:val="en-GB"/>
              </w:rPr>
              <w:t>48.5</w:t>
            </w:r>
          </w:p>
        </w:tc>
        <w:tc>
          <w:tcPr>
            <w:tcW w:w="829" w:type="pct"/>
            <w:shd w:val="clear" w:color="auto" w:fill="FFFFFF"/>
          </w:tcPr>
          <w:p w14:paraId="7B79AFFB" w14:textId="7399B647" w:rsidR="005B5075" w:rsidRDefault="00E87626" w:rsidP="00D45B23">
            <w:pPr>
              <w:pStyle w:val="CETBodytext"/>
              <w:rPr>
                <w:lang w:val="en-GB"/>
              </w:rPr>
            </w:pPr>
            <w:r>
              <w:rPr>
                <w:lang w:val="en-GB"/>
              </w:rPr>
              <w:t>50.5</w:t>
            </w:r>
          </w:p>
        </w:tc>
        <w:tc>
          <w:tcPr>
            <w:tcW w:w="829" w:type="pct"/>
            <w:shd w:val="clear" w:color="auto" w:fill="FFFFFF"/>
          </w:tcPr>
          <w:p w14:paraId="0661351C" w14:textId="127660C6" w:rsidR="005B5075" w:rsidRDefault="00E87626" w:rsidP="00D45B23">
            <w:pPr>
              <w:pStyle w:val="CETBodytext"/>
              <w:rPr>
                <w:lang w:val="en-GB"/>
              </w:rPr>
            </w:pPr>
            <w:r>
              <w:rPr>
                <w:lang w:val="en-GB"/>
              </w:rPr>
              <w:t>53.0</w:t>
            </w:r>
          </w:p>
        </w:tc>
        <w:tc>
          <w:tcPr>
            <w:tcW w:w="829" w:type="pct"/>
            <w:shd w:val="clear" w:color="auto" w:fill="FFFFFF"/>
          </w:tcPr>
          <w:p w14:paraId="5A3F2FA3" w14:textId="7F289ACD" w:rsidR="005B5075" w:rsidRDefault="00FE5D8C" w:rsidP="00D45B23">
            <w:pPr>
              <w:pStyle w:val="CETBodytext"/>
              <w:rPr>
                <w:lang w:val="en-GB"/>
              </w:rPr>
            </w:pPr>
            <w:r>
              <w:rPr>
                <w:lang w:val="en-GB"/>
              </w:rPr>
              <w:t>69.9</w:t>
            </w:r>
          </w:p>
        </w:tc>
        <w:tc>
          <w:tcPr>
            <w:tcW w:w="7" w:type="pct"/>
            <w:shd w:val="clear" w:color="auto" w:fill="FFFFFF"/>
          </w:tcPr>
          <w:p w14:paraId="45137075" w14:textId="77777777" w:rsidR="005B5075" w:rsidRPr="00B57B36" w:rsidRDefault="005B5075" w:rsidP="00D45B23">
            <w:pPr>
              <w:pStyle w:val="CETBodytext"/>
              <w:ind w:right="-1"/>
              <w:rPr>
                <w:rFonts w:cs="Arial"/>
                <w:szCs w:val="18"/>
                <w:lang w:val="en-GB"/>
              </w:rPr>
            </w:pPr>
          </w:p>
        </w:tc>
        <w:tc>
          <w:tcPr>
            <w:tcW w:w="7" w:type="pct"/>
            <w:shd w:val="clear" w:color="auto" w:fill="FFFFFF"/>
          </w:tcPr>
          <w:p w14:paraId="15CE1618" w14:textId="77777777" w:rsidR="005B5075" w:rsidRPr="00B57B36" w:rsidRDefault="005B5075" w:rsidP="00D45B23">
            <w:pPr>
              <w:pStyle w:val="CETBodytext"/>
              <w:ind w:right="-1"/>
              <w:rPr>
                <w:rFonts w:cs="Arial"/>
                <w:szCs w:val="18"/>
                <w:lang w:val="en-GB"/>
              </w:rPr>
            </w:pPr>
          </w:p>
        </w:tc>
      </w:tr>
      <w:tr w:rsidR="00B71973" w:rsidRPr="00B57B36" w14:paraId="1D790DA6" w14:textId="77777777" w:rsidTr="00651167">
        <w:tc>
          <w:tcPr>
            <w:tcW w:w="10" w:type="pct"/>
            <w:shd w:val="clear" w:color="auto" w:fill="FFFFFF"/>
          </w:tcPr>
          <w:p w14:paraId="70CCB448" w14:textId="77777777" w:rsidR="00B71973" w:rsidRDefault="00B71973" w:rsidP="00D45B23">
            <w:pPr>
              <w:pStyle w:val="CETBodytext"/>
              <w:rPr>
                <w:lang w:val="en-GB"/>
              </w:rPr>
            </w:pPr>
          </w:p>
        </w:tc>
        <w:tc>
          <w:tcPr>
            <w:tcW w:w="831" w:type="pct"/>
            <w:shd w:val="clear" w:color="auto" w:fill="FFFFFF"/>
          </w:tcPr>
          <w:p w14:paraId="782D3360" w14:textId="61B92E8D" w:rsidR="00B71973" w:rsidRDefault="00D025AC" w:rsidP="00D45B23">
            <w:pPr>
              <w:pStyle w:val="CETBodytext"/>
              <w:rPr>
                <w:lang w:val="en-GB"/>
              </w:rPr>
            </w:pPr>
            <w:r>
              <w:rPr>
                <w:lang w:val="en-GB"/>
              </w:rPr>
              <w:t>O</w:t>
            </w:r>
            <w:r w:rsidRPr="00D025AC">
              <w:rPr>
                <w:vertAlign w:val="subscript"/>
                <w:lang w:val="en-GB"/>
              </w:rPr>
              <w:t>2</w:t>
            </w:r>
          </w:p>
        </w:tc>
        <w:tc>
          <w:tcPr>
            <w:tcW w:w="829" w:type="pct"/>
            <w:shd w:val="clear" w:color="auto" w:fill="FFFFFF"/>
          </w:tcPr>
          <w:p w14:paraId="7918E893" w14:textId="08FB83D3" w:rsidR="00B71973" w:rsidRDefault="00785823" w:rsidP="00D45B23">
            <w:pPr>
              <w:pStyle w:val="CETBodytext"/>
              <w:rPr>
                <w:lang w:val="en-GB"/>
              </w:rPr>
            </w:pPr>
            <w:r>
              <w:rPr>
                <w:lang w:val="en-GB"/>
              </w:rPr>
              <w:t>mol %</w:t>
            </w:r>
          </w:p>
        </w:tc>
        <w:tc>
          <w:tcPr>
            <w:tcW w:w="829" w:type="pct"/>
            <w:shd w:val="clear" w:color="auto" w:fill="FFFFFF"/>
          </w:tcPr>
          <w:p w14:paraId="4B9F5599" w14:textId="431E9EBC" w:rsidR="00B71973" w:rsidRDefault="0093436B" w:rsidP="00D45B23">
            <w:pPr>
              <w:pStyle w:val="CETBodytext"/>
              <w:rPr>
                <w:lang w:val="en-GB"/>
              </w:rPr>
            </w:pPr>
            <w:r>
              <w:rPr>
                <w:lang w:val="en-GB"/>
              </w:rPr>
              <w:t>0.0</w:t>
            </w:r>
          </w:p>
        </w:tc>
        <w:tc>
          <w:tcPr>
            <w:tcW w:w="829" w:type="pct"/>
            <w:shd w:val="clear" w:color="auto" w:fill="FFFFFF"/>
          </w:tcPr>
          <w:p w14:paraId="3AA3B4B6" w14:textId="1124EAC7" w:rsidR="00B71973" w:rsidRDefault="0093436B" w:rsidP="00D45B23">
            <w:pPr>
              <w:pStyle w:val="CETBodytext"/>
              <w:rPr>
                <w:lang w:val="en-GB"/>
              </w:rPr>
            </w:pPr>
            <w:r>
              <w:rPr>
                <w:lang w:val="en-GB"/>
              </w:rPr>
              <w:t>0.0</w:t>
            </w:r>
          </w:p>
        </w:tc>
        <w:tc>
          <w:tcPr>
            <w:tcW w:w="829" w:type="pct"/>
            <w:shd w:val="clear" w:color="auto" w:fill="FFFFFF"/>
          </w:tcPr>
          <w:p w14:paraId="355873B3" w14:textId="08CE5FA0" w:rsidR="00B71973" w:rsidRDefault="0093436B" w:rsidP="00D45B23">
            <w:pPr>
              <w:pStyle w:val="CETBodytext"/>
              <w:rPr>
                <w:lang w:val="en-GB"/>
              </w:rPr>
            </w:pPr>
            <w:r>
              <w:rPr>
                <w:lang w:val="en-GB"/>
              </w:rPr>
              <w:t>0.0</w:t>
            </w:r>
          </w:p>
        </w:tc>
        <w:tc>
          <w:tcPr>
            <w:tcW w:w="829" w:type="pct"/>
            <w:shd w:val="clear" w:color="auto" w:fill="FFFFFF"/>
          </w:tcPr>
          <w:p w14:paraId="1D5B5BBE" w14:textId="003BA325" w:rsidR="00B71973" w:rsidRDefault="0093436B" w:rsidP="00D45B23">
            <w:pPr>
              <w:pStyle w:val="CETBodytext"/>
              <w:rPr>
                <w:lang w:val="en-GB"/>
              </w:rPr>
            </w:pPr>
            <w:r>
              <w:rPr>
                <w:lang w:val="en-GB"/>
              </w:rPr>
              <w:t>1.8</w:t>
            </w:r>
          </w:p>
        </w:tc>
        <w:tc>
          <w:tcPr>
            <w:tcW w:w="7" w:type="pct"/>
            <w:shd w:val="clear" w:color="auto" w:fill="FFFFFF"/>
          </w:tcPr>
          <w:p w14:paraId="54DB46F6" w14:textId="77777777" w:rsidR="00B71973" w:rsidRPr="00B57B36" w:rsidRDefault="00B71973" w:rsidP="00D45B23">
            <w:pPr>
              <w:pStyle w:val="CETBodytext"/>
              <w:ind w:right="-1"/>
              <w:rPr>
                <w:rFonts w:cs="Arial"/>
                <w:szCs w:val="18"/>
                <w:lang w:val="en-GB"/>
              </w:rPr>
            </w:pPr>
          </w:p>
        </w:tc>
        <w:tc>
          <w:tcPr>
            <w:tcW w:w="7" w:type="pct"/>
            <w:shd w:val="clear" w:color="auto" w:fill="FFFFFF"/>
          </w:tcPr>
          <w:p w14:paraId="7B3E3B62" w14:textId="77777777" w:rsidR="00B71973" w:rsidRPr="00B57B36" w:rsidRDefault="00B71973" w:rsidP="00D45B23">
            <w:pPr>
              <w:pStyle w:val="CETBodytext"/>
              <w:ind w:right="-1"/>
              <w:rPr>
                <w:rFonts w:cs="Arial"/>
                <w:szCs w:val="18"/>
                <w:lang w:val="en-GB"/>
              </w:rPr>
            </w:pPr>
          </w:p>
        </w:tc>
      </w:tr>
      <w:tr w:rsidR="00D025AC" w:rsidRPr="00B57B36" w14:paraId="7D242A91" w14:textId="77777777" w:rsidTr="00651167">
        <w:tc>
          <w:tcPr>
            <w:tcW w:w="10" w:type="pct"/>
            <w:shd w:val="clear" w:color="auto" w:fill="FFFFFF"/>
          </w:tcPr>
          <w:p w14:paraId="7FBDDC3B" w14:textId="77777777" w:rsidR="00D025AC" w:rsidRDefault="00D025AC" w:rsidP="00D45B23">
            <w:pPr>
              <w:pStyle w:val="CETBodytext"/>
              <w:rPr>
                <w:lang w:val="en-GB"/>
              </w:rPr>
            </w:pPr>
          </w:p>
        </w:tc>
        <w:tc>
          <w:tcPr>
            <w:tcW w:w="831" w:type="pct"/>
            <w:shd w:val="clear" w:color="auto" w:fill="FFFFFF"/>
          </w:tcPr>
          <w:p w14:paraId="31B6B1F4" w14:textId="2554BBCE" w:rsidR="00D025AC" w:rsidRDefault="00D025AC" w:rsidP="00D45B23">
            <w:pPr>
              <w:pStyle w:val="CETBodytext"/>
              <w:rPr>
                <w:lang w:val="en-GB"/>
              </w:rPr>
            </w:pPr>
            <w:r>
              <w:rPr>
                <w:lang w:val="en-GB"/>
              </w:rPr>
              <w:t>CO</w:t>
            </w:r>
            <w:r w:rsidRPr="00D025AC">
              <w:rPr>
                <w:vertAlign w:val="subscript"/>
                <w:lang w:val="en-GB"/>
              </w:rPr>
              <w:t>2</w:t>
            </w:r>
          </w:p>
        </w:tc>
        <w:tc>
          <w:tcPr>
            <w:tcW w:w="829" w:type="pct"/>
            <w:shd w:val="clear" w:color="auto" w:fill="FFFFFF"/>
          </w:tcPr>
          <w:p w14:paraId="48D5B47B" w14:textId="33FCF604" w:rsidR="00D025AC" w:rsidRDefault="00785823" w:rsidP="00D45B23">
            <w:pPr>
              <w:pStyle w:val="CETBodytext"/>
              <w:rPr>
                <w:lang w:val="en-GB"/>
              </w:rPr>
            </w:pPr>
            <w:r>
              <w:rPr>
                <w:lang w:val="en-GB"/>
              </w:rPr>
              <w:t>mol %</w:t>
            </w:r>
          </w:p>
        </w:tc>
        <w:tc>
          <w:tcPr>
            <w:tcW w:w="829" w:type="pct"/>
            <w:shd w:val="clear" w:color="auto" w:fill="FFFFFF"/>
          </w:tcPr>
          <w:p w14:paraId="4979C087" w14:textId="7FB1D8FF" w:rsidR="00D025AC" w:rsidRDefault="0080113F" w:rsidP="00D45B23">
            <w:pPr>
              <w:pStyle w:val="CETBodytext"/>
              <w:rPr>
                <w:lang w:val="en-GB"/>
              </w:rPr>
            </w:pPr>
            <w:r>
              <w:rPr>
                <w:lang w:val="en-GB"/>
              </w:rPr>
              <w:t>11.0</w:t>
            </w:r>
          </w:p>
        </w:tc>
        <w:tc>
          <w:tcPr>
            <w:tcW w:w="829" w:type="pct"/>
            <w:shd w:val="clear" w:color="auto" w:fill="FFFFFF"/>
          </w:tcPr>
          <w:p w14:paraId="5EDBDFD2" w14:textId="45E0EEEE" w:rsidR="00D025AC" w:rsidRDefault="00E87626" w:rsidP="00D45B23">
            <w:pPr>
              <w:pStyle w:val="CETBodytext"/>
              <w:rPr>
                <w:lang w:val="en-GB"/>
              </w:rPr>
            </w:pPr>
            <w:r>
              <w:rPr>
                <w:lang w:val="en-GB"/>
              </w:rPr>
              <w:t>9.5</w:t>
            </w:r>
          </w:p>
        </w:tc>
        <w:tc>
          <w:tcPr>
            <w:tcW w:w="829" w:type="pct"/>
            <w:shd w:val="clear" w:color="auto" w:fill="FFFFFF"/>
          </w:tcPr>
          <w:p w14:paraId="342660E5" w14:textId="1ACD5C3B" w:rsidR="00D025AC" w:rsidRDefault="00FE5D8C" w:rsidP="00D45B23">
            <w:pPr>
              <w:pStyle w:val="CETBodytext"/>
              <w:rPr>
                <w:lang w:val="en-GB"/>
              </w:rPr>
            </w:pPr>
            <w:r>
              <w:rPr>
                <w:lang w:val="en-GB"/>
              </w:rPr>
              <w:t>8.3</w:t>
            </w:r>
          </w:p>
        </w:tc>
        <w:tc>
          <w:tcPr>
            <w:tcW w:w="829" w:type="pct"/>
            <w:shd w:val="clear" w:color="auto" w:fill="FFFFFF"/>
          </w:tcPr>
          <w:p w14:paraId="3F5FF05B" w14:textId="488E1359" w:rsidR="00D025AC" w:rsidRDefault="00FE5D8C" w:rsidP="00D45B23">
            <w:pPr>
              <w:pStyle w:val="CETBodytext"/>
              <w:rPr>
                <w:lang w:val="en-GB"/>
              </w:rPr>
            </w:pPr>
            <w:r>
              <w:rPr>
                <w:lang w:val="en-GB"/>
              </w:rPr>
              <w:t>14.3</w:t>
            </w:r>
          </w:p>
        </w:tc>
        <w:tc>
          <w:tcPr>
            <w:tcW w:w="7" w:type="pct"/>
            <w:shd w:val="clear" w:color="auto" w:fill="FFFFFF"/>
          </w:tcPr>
          <w:p w14:paraId="5E94B19E" w14:textId="77777777" w:rsidR="00D025AC" w:rsidRPr="00B57B36" w:rsidRDefault="00D025AC" w:rsidP="00D45B23">
            <w:pPr>
              <w:pStyle w:val="CETBodytext"/>
              <w:ind w:right="-1"/>
              <w:rPr>
                <w:rFonts w:cs="Arial"/>
                <w:szCs w:val="18"/>
                <w:lang w:val="en-GB"/>
              </w:rPr>
            </w:pPr>
          </w:p>
        </w:tc>
        <w:tc>
          <w:tcPr>
            <w:tcW w:w="7" w:type="pct"/>
            <w:shd w:val="clear" w:color="auto" w:fill="FFFFFF"/>
          </w:tcPr>
          <w:p w14:paraId="096EDD15" w14:textId="77777777" w:rsidR="00D025AC" w:rsidRPr="00B57B36" w:rsidRDefault="00D025AC" w:rsidP="00D45B23">
            <w:pPr>
              <w:pStyle w:val="CETBodytext"/>
              <w:ind w:right="-1"/>
              <w:rPr>
                <w:rFonts w:cs="Arial"/>
                <w:szCs w:val="18"/>
                <w:lang w:val="en-GB"/>
              </w:rPr>
            </w:pPr>
          </w:p>
        </w:tc>
      </w:tr>
      <w:tr w:rsidR="00D025AC" w:rsidRPr="00B57B36" w14:paraId="0406D427" w14:textId="77777777" w:rsidTr="00651167">
        <w:tc>
          <w:tcPr>
            <w:tcW w:w="10" w:type="pct"/>
            <w:shd w:val="clear" w:color="auto" w:fill="FFFFFF"/>
          </w:tcPr>
          <w:p w14:paraId="3AF3C554" w14:textId="77777777" w:rsidR="00D025AC" w:rsidRDefault="00D025AC" w:rsidP="00D45B23">
            <w:pPr>
              <w:pStyle w:val="CETBodytext"/>
              <w:rPr>
                <w:lang w:val="en-GB"/>
              </w:rPr>
            </w:pPr>
          </w:p>
        </w:tc>
        <w:tc>
          <w:tcPr>
            <w:tcW w:w="831" w:type="pct"/>
            <w:shd w:val="clear" w:color="auto" w:fill="FFFFFF"/>
          </w:tcPr>
          <w:p w14:paraId="34E5E961" w14:textId="074B6004" w:rsidR="00D025AC" w:rsidRPr="00D025AC" w:rsidRDefault="00D025AC" w:rsidP="00D45B23">
            <w:pPr>
              <w:pStyle w:val="CETBodytext"/>
              <w:rPr>
                <w:lang w:val="en-GB"/>
              </w:rPr>
            </w:pPr>
            <w:r>
              <w:rPr>
                <w:lang w:val="en-GB"/>
              </w:rPr>
              <w:t>H</w:t>
            </w:r>
            <w:r w:rsidRPr="00D025AC">
              <w:rPr>
                <w:vertAlign w:val="subscript"/>
                <w:lang w:val="en-GB"/>
              </w:rPr>
              <w:t>2</w:t>
            </w:r>
            <w:r>
              <w:rPr>
                <w:lang w:val="en-GB"/>
              </w:rPr>
              <w:t>O</w:t>
            </w:r>
          </w:p>
        </w:tc>
        <w:tc>
          <w:tcPr>
            <w:tcW w:w="829" w:type="pct"/>
            <w:shd w:val="clear" w:color="auto" w:fill="FFFFFF"/>
          </w:tcPr>
          <w:p w14:paraId="7336FB1D" w14:textId="0A76D26B" w:rsidR="00D025AC" w:rsidRDefault="00785823" w:rsidP="00D45B23">
            <w:pPr>
              <w:pStyle w:val="CETBodytext"/>
              <w:rPr>
                <w:lang w:val="en-GB"/>
              </w:rPr>
            </w:pPr>
            <w:r>
              <w:rPr>
                <w:lang w:val="en-GB"/>
              </w:rPr>
              <w:t>mol %</w:t>
            </w:r>
          </w:p>
        </w:tc>
        <w:tc>
          <w:tcPr>
            <w:tcW w:w="829" w:type="pct"/>
            <w:shd w:val="clear" w:color="auto" w:fill="FFFFFF"/>
          </w:tcPr>
          <w:p w14:paraId="1F4C6F50" w14:textId="3C2F28B0" w:rsidR="00D025AC" w:rsidRDefault="0080113F" w:rsidP="00D45B23">
            <w:pPr>
              <w:pStyle w:val="CETBodytext"/>
              <w:rPr>
                <w:lang w:val="en-GB"/>
              </w:rPr>
            </w:pPr>
            <w:r>
              <w:rPr>
                <w:lang w:val="en-GB"/>
              </w:rPr>
              <w:t>17.4</w:t>
            </w:r>
          </w:p>
        </w:tc>
        <w:tc>
          <w:tcPr>
            <w:tcW w:w="829" w:type="pct"/>
            <w:shd w:val="clear" w:color="auto" w:fill="FFFFFF"/>
          </w:tcPr>
          <w:p w14:paraId="52571991" w14:textId="708721DC" w:rsidR="00D025AC" w:rsidRDefault="00F2471B" w:rsidP="00F2471B">
            <w:pPr>
              <w:pStyle w:val="CETBodytext"/>
              <w:rPr>
                <w:lang w:val="en-GB"/>
              </w:rPr>
            </w:pPr>
            <w:r>
              <w:rPr>
                <w:lang w:val="en-GB"/>
              </w:rPr>
              <w:t>13</w:t>
            </w:r>
            <w:r w:rsidR="00E87626">
              <w:rPr>
                <w:lang w:val="en-GB"/>
              </w:rPr>
              <w:t>.3</w:t>
            </w:r>
          </w:p>
        </w:tc>
        <w:tc>
          <w:tcPr>
            <w:tcW w:w="829" w:type="pct"/>
            <w:shd w:val="clear" w:color="auto" w:fill="FFFFFF"/>
          </w:tcPr>
          <w:p w14:paraId="727CB0C8" w14:textId="015DC3B1" w:rsidR="00D025AC" w:rsidRDefault="0093436B" w:rsidP="00D45B23">
            <w:pPr>
              <w:pStyle w:val="CETBodytext"/>
              <w:rPr>
                <w:lang w:val="en-GB"/>
              </w:rPr>
            </w:pPr>
            <w:r>
              <w:rPr>
                <w:lang w:val="en-GB"/>
              </w:rPr>
              <w:t>1</w:t>
            </w:r>
            <w:r w:rsidR="00FE5D8C">
              <w:rPr>
                <w:lang w:val="en-GB"/>
              </w:rPr>
              <w:t>3.1</w:t>
            </w:r>
          </w:p>
        </w:tc>
        <w:tc>
          <w:tcPr>
            <w:tcW w:w="829" w:type="pct"/>
            <w:shd w:val="clear" w:color="auto" w:fill="FFFFFF"/>
          </w:tcPr>
          <w:p w14:paraId="3496D215" w14:textId="66416804" w:rsidR="00D025AC" w:rsidRDefault="00FE5D8C" w:rsidP="00D45B23">
            <w:pPr>
              <w:pStyle w:val="CETBodytext"/>
              <w:rPr>
                <w:lang w:val="en-GB"/>
              </w:rPr>
            </w:pPr>
            <w:r>
              <w:rPr>
                <w:lang w:val="en-GB"/>
              </w:rPr>
              <w:t>13.9</w:t>
            </w:r>
          </w:p>
        </w:tc>
        <w:tc>
          <w:tcPr>
            <w:tcW w:w="7" w:type="pct"/>
            <w:shd w:val="clear" w:color="auto" w:fill="FFFFFF"/>
          </w:tcPr>
          <w:p w14:paraId="190638FD" w14:textId="77777777" w:rsidR="00D025AC" w:rsidRPr="00B57B36" w:rsidRDefault="00D025AC" w:rsidP="00D45B23">
            <w:pPr>
              <w:pStyle w:val="CETBodytext"/>
              <w:ind w:right="-1"/>
              <w:rPr>
                <w:rFonts w:cs="Arial"/>
                <w:szCs w:val="18"/>
                <w:lang w:val="en-GB"/>
              </w:rPr>
            </w:pPr>
          </w:p>
        </w:tc>
        <w:tc>
          <w:tcPr>
            <w:tcW w:w="7" w:type="pct"/>
            <w:shd w:val="clear" w:color="auto" w:fill="FFFFFF"/>
          </w:tcPr>
          <w:p w14:paraId="1EC4EEB8" w14:textId="77777777" w:rsidR="00D025AC" w:rsidRPr="00B57B36" w:rsidRDefault="00D025AC" w:rsidP="00D45B23">
            <w:pPr>
              <w:pStyle w:val="CETBodytext"/>
              <w:ind w:right="-1"/>
              <w:rPr>
                <w:rFonts w:cs="Arial"/>
                <w:szCs w:val="18"/>
                <w:lang w:val="en-GB"/>
              </w:rPr>
            </w:pPr>
          </w:p>
        </w:tc>
      </w:tr>
      <w:tr w:rsidR="00D025AC" w:rsidRPr="00B57B36" w14:paraId="4DC4DBD4" w14:textId="77777777" w:rsidTr="00651167">
        <w:tc>
          <w:tcPr>
            <w:tcW w:w="10" w:type="pct"/>
            <w:shd w:val="clear" w:color="auto" w:fill="FFFFFF"/>
          </w:tcPr>
          <w:p w14:paraId="08A0EE6D" w14:textId="77777777" w:rsidR="00D025AC" w:rsidRDefault="00D025AC" w:rsidP="00D45B23">
            <w:pPr>
              <w:pStyle w:val="CETBodytext"/>
              <w:rPr>
                <w:lang w:val="en-GB"/>
              </w:rPr>
            </w:pPr>
          </w:p>
        </w:tc>
        <w:tc>
          <w:tcPr>
            <w:tcW w:w="831" w:type="pct"/>
            <w:shd w:val="clear" w:color="auto" w:fill="FFFFFF"/>
          </w:tcPr>
          <w:p w14:paraId="20E78419" w14:textId="39EBFF8E" w:rsidR="00D025AC" w:rsidRDefault="00D025AC" w:rsidP="00D45B23">
            <w:pPr>
              <w:pStyle w:val="CETBodytext"/>
              <w:rPr>
                <w:lang w:val="en-GB"/>
              </w:rPr>
            </w:pPr>
            <w:r>
              <w:rPr>
                <w:lang w:val="en-GB"/>
              </w:rPr>
              <w:t>CO</w:t>
            </w:r>
          </w:p>
        </w:tc>
        <w:tc>
          <w:tcPr>
            <w:tcW w:w="829" w:type="pct"/>
            <w:shd w:val="clear" w:color="auto" w:fill="FFFFFF"/>
          </w:tcPr>
          <w:p w14:paraId="6CC364E8" w14:textId="0B7319FB" w:rsidR="00D025AC" w:rsidRDefault="00785823" w:rsidP="00D45B23">
            <w:pPr>
              <w:pStyle w:val="CETBodytext"/>
              <w:rPr>
                <w:lang w:val="en-GB"/>
              </w:rPr>
            </w:pPr>
            <w:r>
              <w:rPr>
                <w:lang w:val="en-GB"/>
              </w:rPr>
              <w:t>mol %</w:t>
            </w:r>
          </w:p>
        </w:tc>
        <w:tc>
          <w:tcPr>
            <w:tcW w:w="829" w:type="pct"/>
            <w:shd w:val="clear" w:color="auto" w:fill="FFFFFF"/>
          </w:tcPr>
          <w:p w14:paraId="1F031078" w14:textId="4B90D2B4" w:rsidR="00D025AC" w:rsidRDefault="0080113F" w:rsidP="00D45B23">
            <w:pPr>
              <w:pStyle w:val="CETBodytext"/>
              <w:rPr>
                <w:lang w:val="en-GB"/>
              </w:rPr>
            </w:pPr>
            <w:r>
              <w:rPr>
                <w:lang w:val="en-GB"/>
              </w:rPr>
              <w:t>11.7</w:t>
            </w:r>
          </w:p>
        </w:tc>
        <w:tc>
          <w:tcPr>
            <w:tcW w:w="829" w:type="pct"/>
            <w:shd w:val="clear" w:color="auto" w:fill="FFFFFF"/>
          </w:tcPr>
          <w:p w14:paraId="539B8C8E" w14:textId="688A5157" w:rsidR="00D025AC" w:rsidRDefault="00E87626" w:rsidP="00D45B23">
            <w:pPr>
              <w:pStyle w:val="CETBodytext"/>
              <w:rPr>
                <w:lang w:val="en-GB"/>
              </w:rPr>
            </w:pPr>
            <w:r>
              <w:rPr>
                <w:lang w:val="en-GB"/>
              </w:rPr>
              <w:t>14.2</w:t>
            </w:r>
          </w:p>
        </w:tc>
        <w:tc>
          <w:tcPr>
            <w:tcW w:w="829" w:type="pct"/>
            <w:shd w:val="clear" w:color="auto" w:fill="FFFFFF"/>
          </w:tcPr>
          <w:p w14:paraId="116C0FEF" w14:textId="4B85E2DC" w:rsidR="00D025AC" w:rsidRDefault="00FE5D8C" w:rsidP="00D45B23">
            <w:pPr>
              <w:pStyle w:val="CETBodytext"/>
              <w:rPr>
                <w:lang w:val="en-GB"/>
              </w:rPr>
            </w:pPr>
            <w:r>
              <w:rPr>
                <w:lang w:val="en-GB"/>
              </w:rPr>
              <w:t>15.0</w:t>
            </w:r>
          </w:p>
        </w:tc>
        <w:tc>
          <w:tcPr>
            <w:tcW w:w="829" w:type="pct"/>
            <w:shd w:val="clear" w:color="auto" w:fill="FFFFFF"/>
          </w:tcPr>
          <w:p w14:paraId="79AC1053" w14:textId="128179DC" w:rsidR="00D025AC" w:rsidRDefault="00FE5D8C" w:rsidP="00D45B23">
            <w:pPr>
              <w:pStyle w:val="CETBodytext"/>
              <w:rPr>
                <w:lang w:val="en-GB"/>
              </w:rPr>
            </w:pPr>
            <w:r>
              <w:rPr>
                <w:lang w:val="en-GB"/>
              </w:rPr>
              <w:t>0.0</w:t>
            </w:r>
          </w:p>
        </w:tc>
        <w:tc>
          <w:tcPr>
            <w:tcW w:w="7" w:type="pct"/>
            <w:shd w:val="clear" w:color="auto" w:fill="FFFFFF"/>
          </w:tcPr>
          <w:p w14:paraId="58FB2B73" w14:textId="77777777" w:rsidR="00D025AC" w:rsidRPr="00B57B36" w:rsidRDefault="00D025AC" w:rsidP="00D45B23">
            <w:pPr>
              <w:pStyle w:val="CETBodytext"/>
              <w:ind w:right="-1"/>
              <w:rPr>
                <w:rFonts w:cs="Arial"/>
                <w:szCs w:val="18"/>
                <w:lang w:val="en-GB"/>
              </w:rPr>
            </w:pPr>
          </w:p>
        </w:tc>
        <w:tc>
          <w:tcPr>
            <w:tcW w:w="7" w:type="pct"/>
            <w:shd w:val="clear" w:color="auto" w:fill="FFFFFF"/>
          </w:tcPr>
          <w:p w14:paraId="36BEB8D0" w14:textId="77777777" w:rsidR="00D025AC" w:rsidRPr="00B57B36" w:rsidRDefault="00D025AC" w:rsidP="00D45B23">
            <w:pPr>
              <w:pStyle w:val="CETBodytext"/>
              <w:ind w:right="-1"/>
              <w:rPr>
                <w:rFonts w:cs="Arial"/>
                <w:szCs w:val="18"/>
                <w:lang w:val="en-GB"/>
              </w:rPr>
            </w:pPr>
          </w:p>
        </w:tc>
      </w:tr>
      <w:tr w:rsidR="00D025AC" w:rsidRPr="00B57B36" w14:paraId="186107F5" w14:textId="77777777" w:rsidTr="00651167">
        <w:tc>
          <w:tcPr>
            <w:tcW w:w="10" w:type="pct"/>
            <w:shd w:val="clear" w:color="auto" w:fill="FFFFFF"/>
          </w:tcPr>
          <w:p w14:paraId="7F7C91F3" w14:textId="77777777" w:rsidR="00D025AC" w:rsidRDefault="00D025AC" w:rsidP="00D45B23">
            <w:pPr>
              <w:pStyle w:val="CETBodytext"/>
              <w:rPr>
                <w:lang w:val="en-GB"/>
              </w:rPr>
            </w:pPr>
          </w:p>
        </w:tc>
        <w:tc>
          <w:tcPr>
            <w:tcW w:w="831" w:type="pct"/>
            <w:shd w:val="clear" w:color="auto" w:fill="FFFFFF"/>
          </w:tcPr>
          <w:p w14:paraId="68F81C93" w14:textId="198141CD" w:rsidR="00D025AC" w:rsidRDefault="00D025AC" w:rsidP="00D45B23">
            <w:pPr>
              <w:pStyle w:val="CETBodytext"/>
              <w:rPr>
                <w:lang w:val="en-GB"/>
              </w:rPr>
            </w:pPr>
            <w:r>
              <w:rPr>
                <w:lang w:val="en-GB"/>
              </w:rPr>
              <w:t>H</w:t>
            </w:r>
            <w:r w:rsidRPr="00D025AC">
              <w:rPr>
                <w:vertAlign w:val="subscript"/>
                <w:lang w:val="en-GB"/>
              </w:rPr>
              <w:t>2</w:t>
            </w:r>
          </w:p>
        </w:tc>
        <w:tc>
          <w:tcPr>
            <w:tcW w:w="829" w:type="pct"/>
            <w:shd w:val="clear" w:color="auto" w:fill="FFFFFF"/>
          </w:tcPr>
          <w:p w14:paraId="116D12A4" w14:textId="59B8741F" w:rsidR="00D025AC" w:rsidRDefault="00785823" w:rsidP="00D45B23">
            <w:pPr>
              <w:pStyle w:val="CETBodytext"/>
              <w:rPr>
                <w:lang w:val="en-GB"/>
              </w:rPr>
            </w:pPr>
            <w:r>
              <w:rPr>
                <w:lang w:val="en-GB"/>
              </w:rPr>
              <w:t>mol %</w:t>
            </w:r>
          </w:p>
        </w:tc>
        <w:tc>
          <w:tcPr>
            <w:tcW w:w="829" w:type="pct"/>
            <w:shd w:val="clear" w:color="auto" w:fill="FFFFFF"/>
          </w:tcPr>
          <w:p w14:paraId="2070CBE3" w14:textId="66FE5620" w:rsidR="00D025AC" w:rsidRDefault="0080113F" w:rsidP="00D45B23">
            <w:pPr>
              <w:pStyle w:val="CETBodytext"/>
              <w:rPr>
                <w:lang w:val="en-GB"/>
              </w:rPr>
            </w:pPr>
            <w:r>
              <w:rPr>
                <w:lang w:val="en-GB"/>
              </w:rPr>
              <w:t>6.2</w:t>
            </w:r>
          </w:p>
        </w:tc>
        <w:tc>
          <w:tcPr>
            <w:tcW w:w="829" w:type="pct"/>
            <w:shd w:val="clear" w:color="auto" w:fill="FFFFFF"/>
          </w:tcPr>
          <w:p w14:paraId="224A80AF" w14:textId="427981F5" w:rsidR="00D025AC" w:rsidRDefault="00DB5B2F" w:rsidP="00D45B23">
            <w:pPr>
              <w:pStyle w:val="CETBodytext"/>
              <w:rPr>
                <w:lang w:val="en-GB"/>
              </w:rPr>
            </w:pPr>
            <w:r>
              <w:rPr>
                <w:lang w:val="en-GB"/>
              </w:rPr>
              <w:t>9.4</w:t>
            </w:r>
          </w:p>
        </w:tc>
        <w:tc>
          <w:tcPr>
            <w:tcW w:w="829" w:type="pct"/>
            <w:shd w:val="clear" w:color="auto" w:fill="FFFFFF"/>
          </w:tcPr>
          <w:p w14:paraId="1F377C6A" w14:textId="4D991266" w:rsidR="00D025AC" w:rsidRDefault="00FE5D8C" w:rsidP="00D45B23">
            <w:pPr>
              <w:pStyle w:val="CETBodytext"/>
              <w:rPr>
                <w:lang w:val="en-GB"/>
              </w:rPr>
            </w:pPr>
            <w:r>
              <w:rPr>
                <w:lang w:val="en-GB"/>
              </w:rPr>
              <w:t>9.3</w:t>
            </w:r>
          </w:p>
        </w:tc>
        <w:tc>
          <w:tcPr>
            <w:tcW w:w="829" w:type="pct"/>
            <w:shd w:val="clear" w:color="auto" w:fill="FFFFFF"/>
          </w:tcPr>
          <w:p w14:paraId="2EACA2E2" w14:textId="1751EFBF" w:rsidR="00D025AC" w:rsidRDefault="0093436B" w:rsidP="00D45B23">
            <w:pPr>
              <w:pStyle w:val="CETBodytext"/>
              <w:rPr>
                <w:lang w:val="en-GB"/>
              </w:rPr>
            </w:pPr>
            <w:r>
              <w:rPr>
                <w:lang w:val="en-GB"/>
              </w:rPr>
              <w:t>0.0</w:t>
            </w:r>
          </w:p>
        </w:tc>
        <w:tc>
          <w:tcPr>
            <w:tcW w:w="7" w:type="pct"/>
            <w:shd w:val="clear" w:color="auto" w:fill="FFFFFF"/>
          </w:tcPr>
          <w:p w14:paraId="2FF190AB" w14:textId="77777777" w:rsidR="00D025AC" w:rsidRPr="00B57B36" w:rsidRDefault="00D025AC" w:rsidP="00D45B23">
            <w:pPr>
              <w:pStyle w:val="CETBodytext"/>
              <w:ind w:right="-1"/>
              <w:rPr>
                <w:rFonts w:cs="Arial"/>
                <w:szCs w:val="18"/>
                <w:lang w:val="en-GB"/>
              </w:rPr>
            </w:pPr>
          </w:p>
        </w:tc>
        <w:tc>
          <w:tcPr>
            <w:tcW w:w="7" w:type="pct"/>
            <w:shd w:val="clear" w:color="auto" w:fill="FFFFFF"/>
          </w:tcPr>
          <w:p w14:paraId="6147BE6B" w14:textId="77777777" w:rsidR="00D025AC" w:rsidRPr="00B57B36" w:rsidRDefault="00D025AC" w:rsidP="00D45B23">
            <w:pPr>
              <w:pStyle w:val="CETBodytext"/>
              <w:ind w:right="-1"/>
              <w:rPr>
                <w:rFonts w:cs="Arial"/>
                <w:szCs w:val="18"/>
                <w:lang w:val="en-GB"/>
              </w:rPr>
            </w:pPr>
          </w:p>
        </w:tc>
      </w:tr>
      <w:tr w:rsidR="00D025AC" w:rsidRPr="00B57B36" w14:paraId="002F50AA" w14:textId="77777777" w:rsidTr="00651167">
        <w:tc>
          <w:tcPr>
            <w:tcW w:w="10" w:type="pct"/>
            <w:shd w:val="clear" w:color="auto" w:fill="FFFFFF"/>
          </w:tcPr>
          <w:p w14:paraId="79FB7B0B" w14:textId="77777777" w:rsidR="00D025AC" w:rsidRDefault="00D025AC" w:rsidP="00D45B23">
            <w:pPr>
              <w:pStyle w:val="CETBodytext"/>
              <w:rPr>
                <w:lang w:val="en-GB"/>
              </w:rPr>
            </w:pPr>
          </w:p>
        </w:tc>
        <w:tc>
          <w:tcPr>
            <w:tcW w:w="831" w:type="pct"/>
            <w:shd w:val="clear" w:color="auto" w:fill="FFFFFF"/>
          </w:tcPr>
          <w:p w14:paraId="3FAC4CF5" w14:textId="6FE24D62" w:rsidR="00D025AC" w:rsidRDefault="00D025AC" w:rsidP="00D45B23">
            <w:pPr>
              <w:pStyle w:val="CETBodytext"/>
              <w:rPr>
                <w:lang w:val="en-GB"/>
              </w:rPr>
            </w:pPr>
            <w:r>
              <w:rPr>
                <w:lang w:val="en-GB"/>
              </w:rPr>
              <w:t>CH</w:t>
            </w:r>
            <w:r>
              <w:rPr>
                <w:vertAlign w:val="subscript"/>
                <w:lang w:val="en-GB"/>
              </w:rPr>
              <w:t>4</w:t>
            </w:r>
          </w:p>
        </w:tc>
        <w:tc>
          <w:tcPr>
            <w:tcW w:w="829" w:type="pct"/>
            <w:shd w:val="clear" w:color="auto" w:fill="FFFFFF"/>
          </w:tcPr>
          <w:p w14:paraId="50112580" w14:textId="144B9D1C" w:rsidR="00D025AC" w:rsidRDefault="00785823" w:rsidP="00D45B23">
            <w:pPr>
              <w:pStyle w:val="CETBodytext"/>
              <w:rPr>
                <w:lang w:val="en-GB"/>
              </w:rPr>
            </w:pPr>
            <w:r>
              <w:rPr>
                <w:lang w:val="en-GB"/>
              </w:rPr>
              <w:t>mol %</w:t>
            </w:r>
          </w:p>
        </w:tc>
        <w:tc>
          <w:tcPr>
            <w:tcW w:w="829" w:type="pct"/>
            <w:shd w:val="clear" w:color="auto" w:fill="FFFFFF"/>
          </w:tcPr>
          <w:p w14:paraId="3CD878D1" w14:textId="1A2F7208" w:rsidR="00D025AC" w:rsidRDefault="0080113F" w:rsidP="00D45B23">
            <w:pPr>
              <w:pStyle w:val="CETBodytext"/>
              <w:rPr>
                <w:lang w:val="en-GB"/>
              </w:rPr>
            </w:pPr>
            <w:r>
              <w:rPr>
                <w:lang w:val="en-GB"/>
              </w:rPr>
              <w:t>4.9</w:t>
            </w:r>
          </w:p>
        </w:tc>
        <w:tc>
          <w:tcPr>
            <w:tcW w:w="829" w:type="pct"/>
            <w:shd w:val="clear" w:color="auto" w:fill="FFFFFF"/>
          </w:tcPr>
          <w:p w14:paraId="579FB12E" w14:textId="2AE53D48" w:rsidR="00D025AC" w:rsidRDefault="0093436B" w:rsidP="00D45B23">
            <w:pPr>
              <w:pStyle w:val="CETBodytext"/>
              <w:rPr>
                <w:lang w:val="en-GB"/>
              </w:rPr>
            </w:pPr>
            <w:r>
              <w:rPr>
                <w:lang w:val="en-GB"/>
              </w:rPr>
              <w:t>2.9</w:t>
            </w:r>
          </w:p>
        </w:tc>
        <w:tc>
          <w:tcPr>
            <w:tcW w:w="829" w:type="pct"/>
            <w:shd w:val="clear" w:color="auto" w:fill="FFFFFF"/>
          </w:tcPr>
          <w:p w14:paraId="245D27F3" w14:textId="3CC5C2E2" w:rsidR="00D025AC" w:rsidRDefault="00FE5D8C" w:rsidP="00D45B23">
            <w:pPr>
              <w:pStyle w:val="CETBodytext"/>
              <w:rPr>
                <w:lang w:val="en-GB"/>
              </w:rPr>
            </w:pPr>
            <w:r>
              <w:rPr>
                <w:lang w:val="en-GB"/>
              </w:rPr>
              <w:t>1.1</w:t>
            </w:r>
          </w:p>
        </w:tc>
        <w:tc>
          <w:tcPr>
            <w:tcW w:w="829" w:type="pct"/>
            <w:shd w:val="clear" w:color="auto" w:fill="FFFFFF"/>
          </w:tcPr>
          <w:p w14:paraId="24D260E2" w14:textId="5338816E" w:rsidR="00D025AC" w:rsidRDefault="0093436B" w:rsidP="00D45B23">
            <w:pPr>
              <w:pStyle w:val="CETBodytext"/>
              <w:rPr>
                <w:lang w:val="en-GB"/>
              </w:rPr>
            </w:pPr>
            <w:r>
              <w:rPr>
                <w:lang w:val="en-GB"/>
              </w:rPr>
              <w:t>0.0</w:t>
            </w:r>
          </w:p>
        </w:tc>
        <w:tc>
          <w:tcPr>
            <w:tcW w:w="7" w:type="pct"/>
            <w:shd w:val="clear" w:color="auto" w:fill="FFFFFF"/>
          </w:tcPr>
          <w:p w14:paraId="35DB7C25" w14:textId="77777777" w:rsidR="00D025AC" w:rsidRPr="00B57B36" w:rsidRDefault="00D025AC" w:rsidP="00D45B23">
            <w:pPr>
              <w:pStyle w:val="CETBodytext"/>
              <w:ind w:right="-1"/>
              <w:rPr>
                <w:rFonts w:cs="Arial"/>
                <w:szCs w:val="18"/>
                <w:lang w:val="en-GB"/>
              </w:rPr>
            </w:pPr>
          </w:p>
        </w:tc>
        <w:tc>
          <w:tcPr>
            <w:tcW w:w="7" w:type="pct"/>
            <w:shd w:val="clear" w:color="auto" w:fill="FFFFFF"/>
          </w:tcPr>
          <w:p w14:paraId="40365A34" w14:textId="77777777" w:rsidR="00D025AC" w:rsidRPr="00B57B36" w:rsidRDefault="00D025AC" w:rsidP="00D45B23">
            <w:pPr>
              <w:pStyle w:val="CETBodytext"/>
              <w:ind w:right="-1"/>
              <w:rPr>
                <w:rFonts w:cs="Arial"/>
                <w:szCs w:val="18"/>
                <w:lang w:val="en-GB"/>
              </w:rPr>
            </w:pPr>
          </w:p>
        </w:tc>
      </w:tr>
      <w:tr w:rsidR="002F3228" w:rsidRPr="00B57B36" w14:paraId="0844FB0D" w14:textId="77777777" w:rsidTr="00651167">
        <w:tc>
          <w:tcPr>
            <w:tcW w:w="10" w:type="pct"/>
            <w:shd w:val="clear" w:color="auto" w:fill="FFFFFF"/>
          </w:tcPr>
          <w:p w14:paraId="122B8A21" w14:textId="77777777" w:rsidR="002F3228" w:rsidRDefault="002F3228" w:rsidP="00D45B23">
            <w:pPr>
              <w:pStyle w:val="CETBodytext"/>
              <w:rPr>
                <w:lang w:val="en-GB"/>
              </w:rPr>
            </w:pPr>
          </w:p>
        </w:tc>
        <w:tc>
          <w:tcPr>
            <w:tcW w:w="831" w:type="pct"/>
            <w:shd w:val="clear" w:color="auto" w:fill="FFFFFF"/>
          </w:tcPr>
          <w:p w14:paraId="2B5EBDE0" w14:textId="24D649BD" w:rsidR="002F3228" w:rsidRDefault="002F3228" w:rsidP="00D45B23">
            <w:pPr>
              <w:pStyle w:val="CETBodytext"/>
              <w:rPr>
                <w:lang w:val="en-GB"/>
              </w:rPr>
            </w:pPr>
            <w:r>
              <w:rPr>
                <w:lang w:val="en-GB"/>
              </w:rPr>
              <w:t>H</w:t>
            </w:r>
            <w:r w:rsidRPr="002F3228">
              <w:rPr>
                <w:vertAlign w:val="subscript"/>
                <w:lang w:val="en-GB"/>
              </w:rPr>
              <w:t>2</w:t>
            </w:r>
            <w:r>
              <w:rPr>
                <w:lang w:val="en-GB"/>
              </w:rPr>
              <w:t>S</w:t>
            </w:r>
          </w:p>
        </w:tc>
        <w:tc>
          <w:tcPr>
            <w:tcW w:w="829" w:type="pct"/>
            <w:shd w:val="clear" w:color="auto" w:fill="FFFFFF"/>
          </w:tcPr>
          <w:p w14:paraId="6CA70274" w14:textId="18166AF9" w:rsidR="002F3228" w:rsidRDefault="002F3228" w:rsidP="00D45B23">
            <w:pPr>
              <w:pStyle w:val="CETBodytext"/>
              <w:rPr>
                <w:lang w:val="en-GB"/>
              </w:rPr>
            </w:pPr>
            <w:r>
              <w:rPr>
                <w:lang w:val="en-GB"/>
              </w:rPr>
              <w:t>mol%</w:t>
            </w:r>
          </w:p>
        </w:tc>
        <w:tc>
          <w:tcPr>
            <w:tcW w:w="829" w:type="pct"/>
            <w:shd w:val="clear" w:color="auto" w:fill="FFFFFF"/>
          </w:tcPr>
          <w:p w14:paraId="5E16124D" w14:textId="769E2336" w:rsidR="002F3228" w:rsidRDefault="0080113F" w:rsidP="00D45B23">
            <w:pPr>
              <w:pStyle w:val="CETBodytext"/>
              <w:rPr>
                <w:lang w:val="en-GB"/>
              </w:rPr>
            </w:pPr>
            <w:r>
              <w:rPr>
                <w:lang w:val="en-GB"/>
              </w:rPr>
              <w:t>0.3</w:t>
            </w:r>
          </w:p>
        </w:tc>
        <w:tc>
          <w:tcPr>
            <w:tcW w:w="829" w:type="pct"/>
            <w:shd w:val="clear" w:color="auto" w:fill="FFFFFF"/>
          </w:tcPr>
          <w:p w14:paraId="0FC8FF0C" w14:textId="65C1B8C6" w:rsidR="002F3228" w:rsidRDefault="00E87626" w:rsidP="00D45B23">
            <w:pPr>
              <w:pStyle w:val="CETBodytext"/>
              <w:rPr>
                <w:lang w:val="en-GB"/>
              </w:rPr>
            </w:pPr>
            <w:r>
              <w:rPr>
                <w:lang w:val="en-GB"/>
              </w:rPr>
              <w:t>0.2</w:t>
            </w:r>
          </w:p>
        </w:tc>
        <w:tc>
          <w:tcPr>
            <w:tcW w:w="829" w:type="pct"/>
            <w:shd w:val="clear" w:color="auto" w:fill="FFFFFF"/>
          </w:tcPr>
          <w:p w14:paraId="2CED387E" w14:textId="6225AC3B" w:rsidR="002F3228" w:rsidRDefault="00FE5D8C" w:rsidP="00D45B23">
            <w:pPr>
              <w:pStyle w:val="CETBodytext"/>
              <w:rPr>
                <w:lang w:val="en-GB"/>
              </w:rPr>
            </w:pPr>
            <w:r>
              <w:rPr>
                <w:lang w:val="en-GB"/>
              </w:rPr>
              <w:t>0.2</w:t>
            </w:r>
          </w:p>
        </w:tc>
        <w:tc>
          <w:tcPr>
            <w:tcW w:w="829" w:type="pct"/>
            <w:shd w:val="clear" w:color="auto" w:fill="FFFFFF"/>
          </w:tcPr>
          <w:p w14:paraId="239CF80A" w14:textId="18D20D43" w:rsidR="002F3228" w:rsidRDefault="00FE5D8C" w:rsidP="00D45B23">
            <w:pPr>
              <w:pStyle w:val="CETBodytext"/>
              <w:rPr>
                <w:lang w:val="en-GB"/>
              </w:rPr>
            </w:pPr>
            <w:r>
              <w:rPr>
                <w:lang w:val="en-GB"/>
              </w:rPr>
              <w:t>0.0</w:t>
            </w:r>
          </w:p>
        </w:tc>
        <w:tc>
          <w:tcPr>
            <w:tcW w:w="7" w:type="pct"/>
            <w:shd w:val="clear" w:color="auto" w:fill="FFFFFF"/>
          </w:tcPr>
          <w:p w14:paraId="57E46F4C" w14:textId="77777777" w:rsidR="002F3228" w:rsidRPr="00B57B36" w:rsidRDefault="002F3228" w:rsidP="00D45B23">
            <w:pPr>
              <w:pStyle w:val="CETBodytext"/>
              <w:ind w:right="-1"/>
              <w:rPr>
                <w:rFonts w:cs="Arial"/>
                <w:szCs w:val="18"/>
                <w:lang w:val="en-GB"/>
              </w:rPr>
            </w:pPr>
          </w:p>
        </w:tc>
        <w:tc>
          <w:tcPr>
            <w:tcW w:w="7" w:type="pct"/>
            <w:shd w:val="clear" w:color="auto" w:fill="FFFFFF"/>
          </w:tcPr>
          <w:p w14:paraId="718EA460" w14:textId="77777777" w:rsidR="002F3228" w:rsidRPr="00B57B36" w:rsidRDefault="002F3228" w:rsidP="00D45B23">
            <w:pPr>
              <w:pStyle w:val="CETBodytext"/>
              <w:ind w:right="-1"/>
              <w:rPr>
                <w:rFonts w:cs="Arial"/>
                <w:szCs w:val="18"/>
                <w:lang w:val="en-GB"/>
              </w:rPr>
            </w:pPr>
          </w:p>
        </w:tc>
      </w:tr>
      <w:tr w:rsidR="000F3A43" w:rsidRPr="00B57B36" w14:paraId="73C52415" w14:textId="77777777" w:rsidTr="00651167">
        <w:tc>
          <w:tcPr>
            <w:tcW w:w="10" w:type="pct"/>
            <w:shd w:val="clear" w:color="auto" w:fill="FFFFFF"/>
          </w:tcPr>
          <w:p w14:paraId="336FD96F" w14:textId="77777777" w:rsidR="000F3A43" w:rsidRDefault="000F3A43" w:rsidP="00D45B23">
            <w:pPr>
              <w:pStyle w:val="CETBodytext"/>
              <w:rPr>
                <w:lang w:val="en-GB"/>
              </w:rPr>
            </w:pPr>
          </w:p>
        </w:tc>
        <w:tc>
          <w:tcPr>
            <w:tcW w:w="831" w:type="pct"/>
            <w:shd w:val="clear" w:color="auto" w:fill="FFFFFF"/>
          </w:tcPr>
          <w:p w14:paraId="64F53630" w14:textId="0321812D" w:rsidR="000F3A43" w:rsidRDefault="000F3A43" w:rsidP="00D45B23">
            <w:pPr>
              <w:pStyle w:val="CETBodytext"/>
              <w:rPr>
                <w:lang w:val="en-GB"/>
              </w:rPr>
            </w:pPr>
            <w:r>
              <w:rPr>
                <w:lang w:val="en-GB"/>
              </w:rPr>
              <w:t>SO</w:t>
            </w:r>
            <w:r w:rsidRPr="000F3A43">
              <w:rPr>
                <w:vertAlign w:val="subscript"/>
                <w:lang w:val="en-GB"/>
              </w:rPr>
              <w:t>2</w:t>
            </w:r>
          </w:p>
        </w:tc>
        <w:tc>
          <w:tcPr>
            <w:tcW w:w="829" w:type="pct"/>
            <w:shd w:val="clear" w:color="auto" w:fill="FFFFFF"/>
          </w:tcPr>
          <w:p w14:paraId="2E2CB87D" w14:textId="3E742A50" w:rsidR="000F3A43" w:rsidRDefault="000F3A43" w:rsidP="00D45B23">
            <w:pPr>
              <w:pStyle w:val="CETBodytext"/>
              <w:rPr>
                <w:lang w:val="en-GB"/>
              </w:rPr>
            </w:pPr>
            <w:r>
              <w:rPr>
                <w:lang w:val="en-GB"/>
              </w:rPr>
              <w:t>mol%</w:t>
            </w:r>
          </w:p>
        </w:tc>
        <w:tc>
          <w:tcPr>
            <w:tcW w:w="829" w:type="pct"/>
            <w:shd w:val="clear" w:color="auto" w:fill="FFFFFF"/>
          </w:tcPr>
          <w:p w14:paraId="04AE6037" w14:textId="5B0A9186" w:rsidR="000F3A43" w:rsidRDefault="0080113F" w:rsidP="00D45B23">
            <w:pPr>
              <w:pStyle w:val="CETBodytext"/>
              <w:rPr>
                <w:lang w:val="en-GB"/>
              </w:rPr>
            </w:pPr>
            <w:r>
              <w:rPr>
                <w:lang w:val="en-GB"/>
              </w:rPr>
              <w:t>0.0</w:t>
            </w:r>
          </w:p>
        </w:tc>
        <w:tc>
          <w:tcPr>
            <w:tcW w:w="829" w:type="pct"/>
            <w:shd w:val="clear" w:color="auto" w:fill="FFFFFF"/>
          </w:tcPr>
          <w:p w14:paraId="30ADD86D" w14:textId="45DFDD82" w:rsidR="000F3A43" w:rsidRDefault="00E87626" w:rsidP="00D45B23">
            <w:pPr>
              <w:pStyle w:val="CETBodytext"/>
              <w:rPr>
                <w:lang w:val="en-GB"/>
              </w:rPr>
            </w:pPr>
            <w:r>
              <w:rPr>
                <w:lang w:val="en-GB"/>
              </w:rPr>
              <w:t>0.0</w:t>
            </w:r>
          </w:p>
        </w:tc>
        <w:tc>
          <w:tcPr>
            <w:tcW w:w="829" w:type="pct"/>
            <w:shd w:val="clear" w:color="auto" w:fill="FFFFFF"/>
          </w:tcPr>
          <w:p w14:paraId="18549B27" w14:textId="3C4F45A3" w:rsidR="000F3A43" w:rsidRDefault="00FE5D8C" w:rsidP="00D45B23">
            <w:pPr>
              <w:pStyle w:val="CETBodytext"/>
              <w:rPr>
                <w:lang w:val="en-GB"/>
              </w:rPr>
            </w:pPr>
            <w:r>
              <w:rPr>
                <w:lang w:val="en-GB"/>
              </w:rPr>
              <w:t>0.0</w:t>
            </w:r>
          </w:p>
        </w:tc>
        <w:tc>
          <w:tcPr>
            <w:tcW w:w="829" w:type="pct"/>
            <w:shd w:val="clear" w:color="auto" w:fill="FFFFFF"/>
          </w:tcPr>
          <w:p w14:paraId="00D0DA93" w14:textId="1689526D" w:rsidR="000F3A43" w:rsidRDefault="00FE5D8C" w:rsidP="00D45B23">
            <w:pPr>
              <w:pStyle w:val="CETBodytext"/>
              <w:rPr>
                <w:lang w:val="en-GB"/>
              </w:rPr>
            </w:pPr>
            <w:r>
              <w:rPr>
                <w:lang w:val="en-GB"/>
              </w:rPr>
              <w:t>0.1</w:t>
            </w:r>
          </w:p>
        </w:tc>
        <w:tc>
          <w:tcPr>
            <w:tcW w:w="7" w:type="pct"/>
            <w:shd w:val="clear" w:color="auto" w:fill="FFFFFF"/>
          </w:tcPr>
          <w:p w14:paraId="675DDDBE" w14:textId="77777777" w:rsidR="000F3A43" w:rsidRPr="00B57B36" w:rsidRDefault="000F3A43" w:rsidP="00D45B23">
            <w:pPr>
              <w:pStyle w:val="CETBodytext"/>
              <w:ind w:right="-1"/>
              <w:rPr>
                <w:rFonts w:cs="Arial"/>
                <w:szCs w:val="18"/>
                <w:lang w:val="en-GB"/>
              </w:rPr>
            </w:pPr>
          </w:p>
        </w:tc>
        <w:tc>
          <w:tcPr>
            <w:tcW w:w="7" w:type="pct"/>
            <w:shd w:val="clear" w:color="auto" w:fill="FFFFFF"/>
          </w:tcPr>
          <w:p w14:paraId="17109F8A" w14:textId="77777777" w:rsidR="000F3A43" w:rsidRPr="00B57B36" w:rsidRDefault="000F3A43" w:rsidP="00D45B23">
            <w:pPr>
              <w:pStyle w:val="CETBodytext"/>
              <w:ind w:right="-1"/>
              <w:rPr>
                <w:rFonts w:cs="Arial"/>
                <w:szCs w:val="18"/>
                <w:lang w:val="en-GB"/>
              </w:rPr>
            </w:pPr>
          </w:p>
        </w:tc>
      </w:tr>
      <w:tr w:rsidR="008705E6" w:rsidRPr="00B57B36" w14:paraId="59F254B5" w14:textId="77777777" w:rsidTr="00651167">
        <w:tc>
          <w:tcPr>
            <w:tcW w:w="10" w:type="pct"/>
            <w:shd w:val="clear" w:color="auto" w:fill="FFFFFF"/>
          </w:tcPr>
          <w:p w14:paraId="373E9083" w14:textId="77777777" w:rsidR="008705E6" w:rsidRDefault="008705E6" w:rsidP="00D45B23">
            <w:pPr>
              <w:pStyle w:val="CETBodytext"/>
              <w:rPr>
                <w:lang w:val="en-GB"/>
              </w:rPr>
            </w:pPr>
          </w:p>
        </w:tc>
        <w:tc>
          <w:tcPr>
            <w:tcW w:w="831" w:type="pct"/>
            <w:shd w:val="clear" w:color="auto" w:fill="FFFFFF"/>
          </w:tcPr>
          <w:p w14:paraId="763AC641" w14:textId="28FC25D6" w:rsidR="008705E6" w:rsidRDefault="008705E6" w:rsidP="00D45B23">
            <w:pPr>
              <w:pStyle w:val="CETBodytext"/>
              <w:rPr>
                <w:lang w:val="en-GB"/>
              </w:rPr>
            </w:pPr>
            <w:r>
              <w:rPr>
                <w:lang w:val="en-GB"/>
              </w:rPr>
              <w:t>LHV</w:t>
            </w:r>
          </w:p>
        </w:tc>
        <w:tc>
          <w:tcPr>
            <w:tcW w:w="829" w:type="pct"/>
            <w:shd w:val="clear" w:color="auto" w:fill="FFFFFF"/>
          </w:tcPr>
          <w:p w14:paraId="47D4B58E" w14:textId="45CD9D6E" w:rsidR="008705E6" w:rsidRDefault="008705E6" w:rsidP="00D45B23">
            <w:pPr>
              <w:pStyle w:val="CETBodytext"/>
              <w:rPr>
                <w:lang w:val="en-GB"/>
              </w:rPr>
            </w:pPr>
            <w:r>
              <w:rPr>
                <w:lang w:val="en-GB"/>
              </w:rPr>
              <w:t>kJ/kg</w:t>
            </w:r>
          </w:p>
        </w:tc>
        <w:tc>
          <w:tcPr>
            <w:tcW w:w="829" w:type="pct"/>
            <w:shd w:val="clear" w:color="auto" w:fill="FFFFFF"/>
          </w:tcPr>
          <w:p w14:paraId="4645F1DC" w14:textId="69B424F6" w:rsidR="008705E6" w:rsidRDefault="00FB514F" w:rsidP="00D45B23">
            <w:pPr>
              <w:pStyle w:val="CETBodytext"/>
              <w:rPr>
                <w:lang w:val="en-GB"/>
              </w:rPr>
            </w:pPr>
            <w:r>
              <w:rPr>
                <w:lang w:val="en-GB"/>
              </w:rPr>
              <w:t>3391</w:t>
            </w:r>
          </w:p>
        </w:tc>
        <w:tc>
          <w:tcPr>
            <w:tcW w:w="829" w:type="pct"/>
            <w:shd w:val="clear" w:color="auto" w:fill="FFFFFF"/>
          </w:tcPr>
          <w:p w14:paraId="045C66A2" w14:textId="03FE2707" w:rsidR="008705E6" w:rsidRDefault="00FB514F" w:rsidP="00D45B23">
            <w:pPr>
              <w:pStyle w:val="CETBodytext"/>
              <w:rPr>
                <w:lang w:val="en-GB"/>
              </w:rPr>
            </w:pPr>
            <w:r>
              <w:rPr>
                <w:lang w:val="en-GB"/>
              </w:rPr>
              <w:t>3373</w:t>
            </w:r>
          </w:p>
        </w:tc>
        <w:tc>
          <w:tcPr>
            <w:tcW w:w="829" w:type="pct"/>
            <w:shd w:val="clear" w:color="auto" w:fill="FFFFFF"/>
          </w:tcPr>
          <w:p w14:paraId="67DA02EE" w14:textId="706799BA" w:rsidR="008705E6" w:rsidRDefault="00FB514F" w:rsidP="00D45B23">
            <w:pPr>
              <w:pStyle w:val="CETBodytext"/>
              <w:rPr>
                <w:lang w:val="en-GB"/>
              </w:rPr>
            </w:pPr>
            <w:r>
              <w:rPr>
                <w:lang w:val="en-GB"/>
              </w:rPr>
              <w:t>2893</w:t>
            </w:r>
          </w:p>
        </w:tc>
        <w:tc>
          <w:tcPr>
            <w:tcW w:w="829" w:type="pct"/>
            <w:shd w:val="clear" w:color="auto" w:fill="FFFFFF"/>
          </w:tcPr>
          <w:p w14:paraId="31AF5980" w14:textId="14726213" w:rsidR="008705E6" w:rsidRDefault="00760151" w:rsidP="00D45B23">
            <w:pPr>
              <w:pStyle w:val="CETBodytext"/>
              <w:rPr>
                <w:lang w:val="en-GB"/>
              </w:rPr>
            </w:pPr>
            <w:r>
              <w:rPr>
                <w:lang w:val="en-GB"/>
              </w:rPr>
              <w:t>0.0</w:t>
            </w:r>
          </w:p>
        </w:tc>
        <w:tc>
          <w:tcPr>
            <w:tcW w:w="7" w:type="pct"/>
            <w:shd w:val="clear" w:color="auto" w:fill="FFFFFF"/>
          </w:tcPr>
          <w:p w14:paraId="2F0952B3" w14:textId="77777777" w:rsidR="008705E6" w:rsidRPr="00B57B36" w:rsidRDefault="008705E6" w:rsidP="00D45B23">
            <w:pPr>
              <w:pStyle w:val="CETBodytext"/>
              <w:ind w:right="-1"/>
              <w:rPr>
                <w:rFonts w:cs="Arial"/>
                <w:szCs w:val="18"/>
                <w:lang w:val="en-GB"/>
              </w:rPr>
            </w:pPr>
          </w:p>
        </w:tc>
        <w:tc>
          <w:tcPr>
            <w:tcW w:w="7" w:type="pct"/>
            <w:shd w:val="clear" w:color="auto" w:fill="FFFFFF"/>
          </w:tcPr>
          <w:p w14:paraId="13B676A5" w14:textId="77777777" w:rsidR="008705E6" w:rsidRPr="00B57B36" w:rsidRDefault="008705E6" w:rsidP="00D45B23">
            <w:pPr>
              <w:pStyle w:val="CETBodytext"/>
              <w:ind w:right="-1"/>
              <w:rPr>
                <w:rFonts w:cs="Arial"/>
                <w:szCs w:val="18"/>
                <w:lang w:val="en-GB"/>
              </w:rPr>
            </w:pPr>
          </w:p>
        </w:tc>
      </w:tr>
    </w:tbl>
    <w:p w14:paraId="448FBB02" w14:textId="59060A40" w:rsidR="003D6401" w:rsidRDefault="003D6401" w:rsidP="003E7408">
      <w:pPr>
        <w:pStyle w:val="CETBodytext"/>
      </w:pPr>
    </w:p>
    <w:p w14:paraId="245BFB24" w14:textId="32368F82" w:rsidR="00AE2721" w:rsidRDefault="000E2995" w:rsidP="00E863D6">
      <w:pPr>
        <w:pStyle w:val="CETBodytext"/>
      </w:pPr>
      <w:r>
        <w:t xml:space="preserve">The results from the simulations performed in Aspen HYSYS for the </w:t>
      </w:r>
      <w:r w:rsidR="00960EE9">
        <w:t>utilization of</w:t>
      </w:r>
      <w:r>
        <w:t xml:space="preserve"> </w:t>
      </w:r>
      <w:r w:rsidR="00A871E2">
        <w:t xml:space="preserve">sewage-sludge-derived flue gas and syngas for energy generation are reported in </w:t>
      </w:r>
      <w:r w:rsidR="00AE2721">
        <w:t>Table 4.</w:t>
      </w:r>
      <w:r w:rsidR="00AD175E">
        <w:t xml:space="preserve"> </w:t>
      </w:r>
      <w:r w:rsidR="00230DC7">
        <w:t xml:space="preserve">Net electric power output and energy yield are </w:t>
      </w:r>
      <w:r w:rsidR="00E863D6">
        <w:t>key performance indicators</w:t>
      </w:r>
      <w:r w:rsidR="00230DC7">
        <w:t xml:space="preserve"> that refer</w:t>
      </w:r>
      <w:r w:rsidR="00E863D6">
        <w:t xml:space="preserve"> to </w:t>
      </w:r>
      <w:r w:rsidR="008247A2">
        <w:t xml:space="preserve">the unit of </w:t>
      </w:r>
      <w:r w:rsidR="00230DC7">
        <w:t>dry sewage sludge.</w:t>
      </w:r>
      <w:r w:rsidR="005F7E32">
        <w:t xml:space="preserve"> </w:t>
      </w:r>
      <w:r w:rsidR="0037200B">
        <w:t xml:space="preserve">The higher complexity of the process layout for the gasification-based combined cycle is not enough to guarantee better performances compared with </w:t>
      </w:r>
      <w:r w:rsidR="00092079">
        <w:t xml:space="preserve">the simpler combustion-based Rankine cycle. In fact, the choice of optimal operating conditions also plays a significant role in determining which technology is the best. </w:t>
      </w:r>
      <w:r w:rsidR="00156275">
        <w:t xml:space="preserve">Looking at </w:t>
      </w:r>
      <w:r w:rsidR="00985792">
        <w:t>Table 4</w:t>
      </w:r>
      <w:r w:rsidR="00247BA6">
        <w:t xml:space="preserve">, it is possible to notice that </w:t>
      </w:r>
      <w:r w:rsidR="00825440">
        <w:t xml:space="preserve">gasification-based systems show better performances </w:t>
      </w:r>
      <w:r w:rsidR="00985792">
        <w:t>as the value of ER increases</w:t>
      </w:r>
      <w:r w:rsidR="00420C1D">
        <w:t xml:space="preserve">. </w:t>
      </w:r>
      <w:r w:rsidR="00F967D0">
        <w:t>When comparing the gasification results</w:t>
      </w:r>
      <w:r w:rsidR="00420C1D">
        <w:t xml:space="preserve"> to </w:t>
      </w:r>
      <w:r w:rsidR="00741871">
        <w:t xml:space="preserve">those of </w:t>
      </w:r>
      <w:r w:rsidR="00420C1D">
        <w:t xml:space="preserve">combustion, the </w:t>
      </w:r>
      <w:r w:rsidR="00741871">
        <w:t>cases</w:t>
      </w:r>
      <w:r w:rsidR="00420C1D">
        <w:t xml:space="preserve"> at </w:t>
      </w:r>
      <w:r w:rsidR="00741871">
        <w:t>30</w:t>
      </w:r>
      <w:r w:rsidR="00420C1D">
        <w:t xml:space="preserve">% </w:t>
      </w:r>
      <w:r w:rsidR="00741871">
        <w:t xml:space="preserve">and 40% </w:t>
      </w:r>
      <w:r w:rsidR="00420C1D">
        <w:t xml:space="preserve">ER </w:t>
      </w:r>
      <w:r w:rsidR="00741871">
        <w:t>show better performances, while the case at 20% is worse.</w:t>
      </w:r>
      <w:r w:rsidR="00D111FE">
        <w:t xml:space="preserve"> </w:t>
      </w:r>
      <w:r w:rsidR="00E616C5">
        <w:t xml:space="preserve">It is interesting to notice that the value of energy yield around 20% is typical for such waste-to-energy plants, confirming the validity of the proposed approach </w:t>
      </w:r>
      <w:r w:rsidR="00E616C5">
        <w:fldChar w:fldCharType="begin"/>
      </w:r>
      <w:r w:rsidR="00E616C5">
        <w:instrText xml:space="preserve"> ADDIN ZOTERO_ITEM CSL_CITATION {"citationID":"1J2AjgxO","properties":{"formattedCitation":"(Pavlas et al., 2011)","plainCitation":"(Pavlas et al., 2011)","noteIndex":0},"citationItems":[{"id":201,"uris":["http://zotero.org/users/11115034/items/B742JXD5"],"itemData":{"id":201,"type":"article-journal","abstract":"Discussion about utilization of waste for energy production (waste-to-energy, WTE) has moved on to next development phase. Waste fired power plants are discussed and investigated. These facilities focus on electricity production whereas heat supply is diminished and operations are not limited by insufficient heat demand. Present results of simulation prove that increase of net electrical efficiency above 20% for units processing 100 kt/year (the most common ones) is problematic and tightly bound with increased investments. Very low useful heat production in Rankine-cycle based cogeneration system with standard steam parameters leads to ineffective utilization of energy. This is documented in this article with the help of newly developed methodology based on primary energy savings evaluation. This approach is confronted with common method for energy recovery efficiency evaluation required by EU legislation (Energy Efficiency—R1 Criteria). New term highly-efficient WTE is proposed and condition under which is the incinerator classified as highly efficient are specified and analyzed. Once sole electricity production is compelled by limited local heat demand, application of non-conventional arrangements is highly beneficial to secure effective energy utilization. In the paper a system where municipal solid waste incinerator is integrated with combined gas–steam cycle is evaluated in the same manner.","container-title":"Clean Technologies and Environmental Policy","DOI":"10.1007/s10098-011-0353-5","ISSN":"1618-9558","issue":"4","journalAbbreviation":"Clean Techn Environ Policy","language":"en","page":"595-605","source":"Springer Link","title":"Waste incineration with production of clean and reliable energy","volume":"13","author":[{"family":"Pavlas","given":"Martin"},{"family":"Touš","given":"Michal"},{"family":"Klimek","given":"Petr"},{"family":"Bébar","given":"Ladislav"}],"issued":{"date-parts":[["2011",8,1]]}}}],"schema":"https://github.com/citation-style-language/schema/raw/master/csl-citation.json"} </w:instrText>
      </w:r>
      <w:r w:rsidR="00E616C5">
        <w:fldChar w:fldCharType="separate"/>
      </w:r>
      <w:r w:rsidR="00E616C5" w:rsidRPr="00E616C5">
        <w:rPr>
          <w:rFonts w:cs="Arial"/>
        </w:rPr>
        <w:t>(Pavlas et al., 2011)</w:t>
      </w:r>
      <w:r w:rsidR="00E616C5">
        <w:fldChar w:fldCharType="end"/>
      </w:r>
      <w:r w:rsidR="00E616C5">
        <w:t>.</w:t>
      </w:r>
      <w:r w:rsidR="00EB5BEE">
        <w:t xml:space="preserve"> </w:t>
      </w:r>
      <w:r w:rsidR="00420C1D">
        <w:t xml:space="preserve"> </w:t>
      </w:r>
    </w:p>
    <w:p w14:paraId="77BE515E" w14:textId="4FAAEFFD" w:rsidR="00AE2721" w:rsidRPr="005845DD" w:rsidRDefault="00AE2721" w:rsidP="00AE2721">
      <w:pPr>
        <w:pStyle w:val="CETTabletitle"/>
      </w:pPr>
      <w:r>
        <w:t>Table 4</w:t>
      </w:r>
      <w:r w:rsidRPr="00B57B36">
        <w:t xml:space="preserve">: </w:t>
      </w:r>
      <w:r w:rsidR="002B7C3C">
        <w:t>Specific k</w:t>
      </w:r>
      <w:r w:rsidR="00284C4E">
        <w:t>ey performance indicators for se</w:t>
      </w:r>
      <w:r w:rsidR="00B7280F">
        <w:t>wage sludge oxidation processes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
        <w:gridCol w:w="2944"/>
        <w:gridCol w:w="1761"/>
        <w:gridCol w:w="977"/>
        <w:gridCol w:w="977"/>
        <w:gridCol w:w="977"/>
        <w:gridCol w:w="1125"/>
        <w:gridCol w:w="9"/>
        <w:gridCol w:w="9"/>
      </w:tblGrid>
      <w:tr w:rsidR="00401F58" w:rsidRPr="00B57B36" w14:paraId="3D8DDFAE" w14:textId="77777777" w:rsidTr="005049EB">
        <w:tc>
          <w:tcPr>
            <w:tcW w:w="5" w:type="pct"/>
            <w:tcBorders>
              <w:top w:val="single" w:sz="12" w:space="0" w:color="008000"/>
              <w:bottom w:val="single" w:sz="6" w:space="0" w:color="008000"/>
            </w:tcBorders>
            <w:shd w:val="clear" w:color="auto" w:fill="FFFFFF"/>
          </w:tcPr>
          <w:p w14:paraId="5B447351" w14:textId="77777777" w:rsidR="00AE2721" w:rsidRDefault="00AE2721" w:rsidP="00D45B23">
            <w:pPr>
              <w:pStyle w:val="CETBodytext"/>
              <w:rPr>
                <w:lang w:val="en-GB"/>
              </w:rPr>
            </w:pPr>
          </w:p>
        </w:tc>
        <w:tc>
          <w:tcPr>
            <w:tcW w:w="1675" w:type="pct"/>
            <w:tcBorders>
              <w:top w:val="single" w:sz="12" w:space="0" w:color="008000"/>
              <w:bottom w:val="single" w:sz="6" w:space="0" w:color="008000"/>
            </w:tcBorders>
            <w:shd w:val="clear" w:color="auto" w:fill="FFFFFF"/>
          </w:tcPr>
          <w:p w14:paraId="6C08C11E" w14:textId="77777777" w:rsidR="00AE2721" w:rsidRDefault="00AE2721" w:rsidP="00D45B23">
            <w:pPr>
              <w:pStyle w:val="CETBodytext"/>
              <w:rPr>
                <w:lang w:val="en-GB"/>
              </w:rPr>
            </w:pPr>
            <w:r>
              <w:rPr>
                <w:lang w:val="en-GB"/>
              </w:rPr>
              <w:t>Value</w:t>
            </w:r>
          </w:p>
        </w:tc>
        <w:tc>
          <w:tcPr>
            <w:tcW w:w="1002" w:type="pct"/>
            <w:tcBorders>
              <w:top w:val="single" w:sz="12" w:space="0" w:color="008000"/>
              <w:bottom w:val="single" w:sz="6" w:space="0" w:color="008000"/>
            </w:tcBorders>
            <w:shd w:val="clear" w:color="auto" w:fill="FFFFFF"/>
          </w:tcPr>
          <w:p w14:paraId="26E57BCF" w14:textId="77777777" w:rsidR="00AE2721" w:rsidRDefault="00AE2721" w:rsidP="00D45B23">
            <w:pPr>
              <w:pStyle w:val="CETBodytext"/>
              <w:rPr>
                <w:lang w:val="en-GB"/>
              </w:rPr>
            </w:pPr>
            <w:r>
              <w:rPr>
                <w:lang w:val="en-GB"/>
              </w:rPr>
              <w:t>UoM</w:t>
            </w:r>
          </w:p>
        </w:tc>
        <w:tc>
          <w:tcPr>
            <w:tcW w:w="556" w:type="pct"/>
            <w:tcBorders>
              <w:top w:val="single" w:sz="12" w:space="0" w:color="008000"/>
              <w:bottom w:val="single" w:sz="6" w:space="0" w:color="008000"/>
            </w:tcBorders>
            <w:shd w:val="clear" w:color="auto" w:fill="FFFFFF"/>
          </w:tcPr>
          <w:p w14:paraId="4CCB7ADB" w14:textId="77777777" w:rsidR="00AE2721" w:rsidRPr="00B57B36" w:rsidRDefault="00AE2721" w:rsidP="00D45B23">
            <w:pPr>
              <w:pStyle w:val="CETBodytext"/>
              <w:rPr>
                <w:lang w:val="en-GB"/>
              </w:rPr>
            </w:pPr>
            <w:r>
              <w:rPr>
                <w:lang w:val="en-GB"/>
              </w:rPr>
              <w:t>ER 20%</w:t>
            </w:r>
          </w:p>
        </w:tc>
        <w:tc>
          <w:tcPr>
            <w:tcW w:w="556" w:type="pct"/>
            <w:tcBorders>
              <w:top w:val="single" w:sz="12" w:space="0" w:color="008000"/>
              <w:bottom w:val="single" w:sz="6" w:space="0" w:color="008000"/>
            </w:tcBorders>
            <w:shd w:val="clear" w:color="auto" w:fill="FFFFFF"/>
          </w:tcPr>
          <w:p w14:paraId="3535086A" w14:textId="77777777" w:rsidR="00AE2721" w:rsidRDefault="00AE2721" w:rsidP="00D45B23">
            <w:pPr>
              <w:pStyle w:val="CETBodytext"/>
              <w:rPr>
                <w:lang w:val="en-GB"/>
              </w:rPr>
            </w:pPr>
            <w:r>
              <w:rPr>
                <w:lang w:val="en-GB"/>
              </w:rPr>
              <w:t>ER 30%</w:t>
            </w:r>
          </w:p>
        </w:tc>
        <w:tc>
          <w:tcPr>
            <w:tcW w:w="556" w:type="pct"/>
            <w:tcBorders>
              <w:top w:val="single" w:sz="12" w:space="0" w:color="008000"/>
              <w:bottom w:val="single" w:sz="6" w:space="0" w:color="008000"/>
            </w:tcBorders>
            <w:shd w:val="clear" w:color="auto" w:fill="FFFFFF"/>
          </w:tcPr>
          <w:p w14:paraId="4E9090B7" w14:textId="77777777" w:rsidR="00AE2721" w:rsidRPr="00B57B36" w:rsidRDefault="00AE2721" w:rsidP="00D45B23">
            <w:pPr>
              <w:pStyle w:val="CETBodytext"/>
              <w:rPr>
                <w:lang w:val="en-GB"/>
              </w:rPr>
            </w:pPr>
            <w:r>
              <w:rPr>
                <w:lang w:val="en-GB"/>
              </w:rPr>
              <w:t>ER 40%</w:t>
            </w:r>
          </w:p>
        </w:tc>
        <w:tc>
          <w:tcPr>
            <w:tcW w:w="640" w:type="pct"/>
            <w:tcBorders>
              <w:top w:val="single" w:sz="12" w:space="0" w:color="008000"/>
              <w:bottom w:val="single" w:sz="6" w:space="0" w:color="008000"/>
            </w:tcBorders>
            <w:shd w:val="clear" w:color="auto" w:fill="FFFFFF"/>
          </w:tcPr>
          <w:p w14:paraId="1B0C9DE4" w14:textId="77777777" w:rsidR="00AE2721" w:rsidRPr="00B57B36" w:rsidRDefault="00AE2721" w:rsidP="00D45B23">
            <w:pPr>
              <w:pStyle w:val="CETBodytext"/>
              <w:rPr>
                <w:lang w:val="en-GB"/>
              </w:rPr>
            </w:pPr>
            <w:r>
              <w:rPr>
                <w:lang w:val="en-GB"/>
              </w:rPr>
              <w:t>ER 105%</w:t>
            </w:r>
          </w:p>
        </w:tc>
        <w:tc>
          <w:tcPr>
            <w:tcW w:w="5" w:type="pct"/>
            <w:tcBorders>
              <w:top w:val="single" w:sz="12" w:space="0" w:color="008000"/>
              <w:bottom w:val="single" w:sz="6" w:space="0" w:color="008000"/>
            </w:tcBorders>
            <w:shd w:val="clear" w:color="auto" w:fill="FFFFFF"/>
          </w:tcPr>
          <w:p w14:paraId="4E11EC66" w14:textId="77777777" w:rsidR="00AE2721" w:rsidRPr="00B57B36" w:rsidRDefault="00AE2721" w:rsidP="00D45B23">
            <w:pPr>
              <w:pStyle w:val="CETBodytext"/>
              <w:ind w:right="-1"/>
              <w:rPr>
                <w:rFonts w:cs="Arial"/>
                <w:szCs w:val="18"/>
                <w:lang w:val="en-GB"/>
              </w:rPr>
            </w:pPr>
          </w:p>
        </w:tc>
        <w:tc>
          <w:tcPr>
            <w:tcW w:w="5" w:type="pct"/>
            <w:tcBorders>
              <w:top w:val="single" w:sz="12" w:space="0" w:color="008000"/>
              <w:bottom w:val="single" w:sz="6" w:space="0" w:color="008000"/>
            </w:tcBorders>
            <w:shd w:val="clear" w:color="auto" w:fill="FFFFFF"/>
          </w:tcPr>
          <w:p w14:paraId="20A6E437" w14:textId="77777777" w:rsidR="00AE2721" w:rsidRPr="00B57B36" w:rsidRDefault="00AE2721" w:rsidP="00D45B23">
            <w:pPr>
              <w:pStyle w:val="CETBodytext"/>
              <w:ind w:right="-1"/>
              <w:rPr>
                <w:rFonts w:cs="Arial"/>
                <w:szCs w:val="18"/>
                <w:lang w:val="en-GB"/>
              </w:rPr>
            </w:pPr>
          </w:p>
        </w:tc>
      </w:tr>
      <w:tr w:rsidR="00401F58" w:rsidRPr="00B57B36" w14:paraId="036FDAC2" w14:textId="77777777" w:rsidTr="005049EB">
        <w:tc>
          <w:tcPr>
            <w:tcW w:w="5" w:type="pct"/>
            <w:shd w:val="clear" w:color="auto" w:fill="FFFFFF"/>
          </w:tcPr>
          <w:p w14:paraId="06CAFDEA" w14:textId="77777777" w:rsidR="00AE2721" w:rsidRDefault="00AE2721" w:rsidP="00D45B23">
            <w:pPr>
              <w:pStyle w:val="CETBodytext"/>
              <w:rPr>
                <w:lang w:val="en-GB"/>
              </w:rPr>
            </w:pPr>
          </w:p>
        </w:tc>
        <w:tc>
          <w:tcPr>
            <w:tcW w:w="1675" w:type="pct"/>
            <w:shd w:val="clear" w:color="auto" w:fill="FFFFFF"/>
          </w:tcPr>
          <w:p w14:paraId="347BBC78" w14:textId="4D26574C" w:rsidR="00AE2721" w:rsidRDefault="009347C8" w:rsidP="009347C8">
            <w:pPr>
              <w:pStyle w:val="CETBodytext"/>
              <w:rPr>
                <w:lang w:val="en-GB"/>
              </w:rPr>
            </w:pPr>
            <w:r>
              <w:rPr>
                <w:lang w:val="en-GB"/>
              </w:rPr>
              <w:t xml:space="preserve">Net electric </w:t>
            </w:r>
            <w:r w:rsidR="000872DC">
              <w:rPr>
                <w:lang w:val="en-GB"/>
              </w:rPr>
              <w:t>power</w:t>
            </w:r>
            <w:r>
              <w:rPr>
                <w:lang w:val="en-GB"/>
              </w:rPr>
              <w:t xml:space="preserve"> output</w:t>
            </w:r>
          </w:p>
        </w:tc>
        <w:tc>
          <w:tcPr>
            <w:tcW w:w="1002" w:type="pct"/>
            <w:shd w:val="clear" w:color="auto" w:fill="FFFFFF"/>
          </w:tcPr>
          <w:p w14:paraId="09FA25DB" w14:textId="2201D2E5" w:rsidR="00AE2721" w:rsidRDefault="00401F58" w:rsidP="00D45B23">
            <w:pPr>
              <w:pStyle w:val="CETBodytext"/>
              <w:rPr>
                <w:lang w:val="en-GB"/>
              </w:rPr>
            </w:pPr>
            <w:r>
              <w:rPr>
                <w:lang w:val="en-GB"/>
              </w:rPr>
              <w:t>kW</w:t>
            </w:r>
            <w:r w:rsidR="00B319EE">
              <w:rPr>
                <w:lang w:val="en-GB"/>
              </w:rPr>
              <w:t>h</w:t>
            </w:r>
            <w:r>
              <w:rPr>
                <w:lang w:val="en-GB"/>
              </w:rPr>
              <w:t>e/kgSS</w:t>
            </w:r>
            <w:r w:rsidR="005049EB">
              <w:rPr>
                <w:lang w:val="en-GB"/>
              </w:rPr>
              <w:t>dry</w:t>
            </w:r>
          </w:p>
        </w:tc>
        <w:tc>
          <w:tcPr>
            <w:tcW w:w="556" w:type="pct"/>
            <w:shd w:val="clear" w:color="auto" w:fill="FFFFFF"/>
          </w:tcPr>
          <w:p w14:paraId="5C8B095D" w14:textId="0DF25BBC" w:rsidR="00AE2721" w:rsidRDefault="00075574" w:rsidP="00D45B23">
            <w:pPr>
              <w:pStyle w:val="CETBodytext"/>
              <w:rPr>
                <w:lang w:val="en-GB"/>
              </w:rPr>
            </w:pPr>
            <w:r>
              <w:rPr>
                <w:lang w:val="en-GB"/>
              </w:rPr>
              <w:t>0.638</w:t>
            </w:r>
          </w:p>
        </w:tc>
        <w:tc>
          <w:tcPr>
            <w:tcW w:w="556" w:type="pct"/>
            <w:shd w:val="clear" w:color="auto" w:fill="FFFFFF"/>
          </w:tcPr>
          <w:p w14:paraId="5CF32793" w14:textId="7F113DD7" w:rsidR="00AE2721" w:rsidRDefault="00075574" w:rsidP="00D45B23">
            <w:pPr>
              <w:pStyle w:val="CETBodytext"/>
              <w:rPr>
                <w:lang w:val="en-GB"/>
              </w:rPr>
            </w:pPr>
            <w:r>
              <w:rPr>
                <w:lang w:val="en-GB"/>
              </w:rPr>
              <w:t>0.798</w:t>
            </w:r>
          </w:p>
        </w:tc>
        <w:tc>
          <w:tcPr>
            <w:tcW w:w="556" w:type="pct"/>
            <w:shd w:val="clear" w:color="auto" w:fill="FFFFFF"/>
          </w:tcPr>
          <w:p w14:paraId="774216BA" w14:textId="3CC0668A" w:rsidR="00AE2721" w:rsidRPr="00B57B36" w:rsidRDefault="00075574" w:rsidP="00D45B23">
            <w:pPr>
              <w:pStyle w:val="CETBodytext"/>
              <w:rPr>
                <w:lang w:val="en-GB"/>
              </w:rPr>
            </w:pPr>
            <w:r>
              <w:rPr>
                <w:lang w:val="en-GB"/>
              </w:rPr>
              <w:t>0.838</w:t>
            </w:r>
          </w:p>
        </w:tc>
        <w:tc>
          <w:tcPr>
            <w:tcW w:w="640" w:type="pct"/>
            <w:shd w:val="clear" w:color="auto" w:fill="FFFFFF"/>
          </w:tcPr>
          <w:p w14:paraId="3D6EE617" w14:textId="5ADE67A9" w:rsidR="00AE2721" w:rsidRPr="00B57B36" w:rsidRDefault="00075574" w:rsidP="00D45B23">
            <w:pPr>
              <w:pStyle w:val="CETBodytext"/>
              <w:rPr>
                <w:lang w:val="en-GB"/>
              </w:rPr>
            </w:pPr>
            <w:r>
              <w:rPr>
                <w:lang w:val="en-GB"/>
              </w:rPr>
              <w:t>0.734</w:t>
            </w:r>
          </w:p>
        </w:tc>
        <w:tc>
          <w:tcPr>
            <w:tcW w:w="5" w:type="pct"/>
            <w:shd w:val="clear" w:color="auto" w:fill="FFFFFF"/>
          </w:tcPr>
          <w:p w14:paraId="627DD865" w14:textId="77777777" w:rsidR="00AE2721" w:rsidRPr="00B57B36" w:rsidRDefault="00AE2721" w:rsidP="00D45B23">
            <w:pPr>
              <w:pStyle w:val="CETBodytext"/>
              <w:ind w:right="-1"/>
              <w:rPr>
                <w:rFonts w:cs="Arial"/>
                <w:szCs w:val="18"/>
                <w:lang w:val="en-GB"/>
              </w:rPr>
            </w:pPr>
          </w:p>
        </w:tc>
        <w:tc>
          <w:tcPr>
            <w:tcW w:w="5" w:type="pct"/>
            <w:shd w:val="clear" w:color="auto" w:fill="FFFFFF"/>
          </w:tcPr>
          <w:p w14:paraId="10E384F1" w14:textId="77777777" w:rsidR="00AE2721" w:rsidRPr="00B57B36" w:rsidRDefault="00AE2721" w:rsidP="00D45B23">
            <w:pPr>
              <w:pStyle w:val="CETBodytext"/>
              <w:ind w:right="-1"/>
              <w:rPr>
                <w:rFonts w:cs="Arial"/>
                <w:szCs w:val="18"/>
                <w:lang w:val="en-GB"/>
              </w:rPr>
            </w:pPr>
          </w:p>
        </w:tc>
      </w:tr>
      <w:tr w:rsidR="00401F58" w:rsidRPr="00B57B36" w14:paraId="0DE3406A" w14:textId="77777777" w:rsidTr="005049EB">
        <w:tc>
          <w:tcPr>
            <w:tcW w:w="5" w:type="pct"/>
            <w:shd w:val="clear" w:color="auto" w:fill="FFFFFF"/>
          </w:tcPr>
          <w:p w14:paraId="752809B5" w14:textId="77777777" w:rsidR="00AE2721" w:rsidRDefault="00AE2721" w:rsidP="00D45B23">
            <w:pPr>
              <w:pStyle w:val="CETBodytext"/>
              <w:rPr>
                <w:lang w:val="en-GB"/>
              </w:rPr>
            </w:pPr>
          </w:p>
        </w:tc>
        <w:tc>
          <w:tcPr>
            <w:tcW w:w="1675" w:type="pct"/>
            <w:shd w:val="clear" w:color="auto" w:fill="FFFFFF"/>
          </w:tcPr>
          <w:p w14:paraId="1C095EAA" w14:textId="0DA01372" w:rsidR="00AE2721" w:rsidRDefault="009347C8" w:rsidP="00D45B23">
            <w:pPr>
              <w:pStyle w:val="CETBodytext"/>
              <w:rPr>
                <w:lang w:val="en-GB"/>
              </w:rPr>
            </w:pPr>
            <w:r>
              <w:rPr>
                <w:lang w:val="en-GB"/>
              </w:rPr>
              <w:t>Energy yield</w:t>
            </w:r>
          </w:p>
        </w:tc>
        <w:tc>
          <w:tcPr>
            <w:tcW w:w="1002" w:type="pct"/>
            <w:shd w:val="clear" w:color="auto" w:fill="FFFFFF"/>
          </w:tcPr>
          <w:p w14:paraId="2E81679E" w14:textId="24EF679D" w:rsidR="00AE2721" w:rsidRDefault="00401F58" w:rsidP="00AC4D2B">
            <w:pPr>
              <w:pStyle w:val="CETBodytext"/>
              <w:rPr>
                <w:lang w:val="en-GB"/>
              </w:rPr>
            </w:pPr>
            <w:r>
              <w:rPr>
                <w:lang w:val="en-GB"/>
              </w:rPr>
              <w:t>kWe/kWSS</w:t>
            </w:r>
            <w:r w:rsidR="007C6CBE">
              <w:rPr>
                <w:lang w:val="en-GB"/>
              </w:rPr>
              <w:t>dry</w:t>
            </w:r>
          </w:p>
        </w:tc>
        <w:tc>
          <w:tcPr>
            <w:tcW w:w="556" w:type="pct"/>
            <w:shd w:val="clear" w:color="auto" w:fill="FFFFFF"/>
          </w:tcPr>
          <w:p w14:paraId="3570D34B" w14:textId="6B35AEB0" w:rsidR="00AE2721" w:rsidRDefault="00820630" w:rsidP="00D45B23">
            <w:pPr>
              <w:pStyle w:val="CETBodytext"/>
              <w:rPr>
                <w:lang w:val="en-GB"/>
              </w:rPr>
            </w:pPr>
            <w:r>
              <w:rPr>
                <w:lang w:val="en-GB"/>
              </w:rPr>
              <w:t>18.2</w:t>
            </w:r>
            <w:r w:rsidR="00D10794">
              <w:rPr>
                <w:lang w:val="en-GB"/>
              </w:rPr>
              <w:t xml:space="preserve"> %</w:t>
            </w:r>
          </w:p>
        </w:tc>
        <w:tc>
          <w:tcPr>
            <w:tcW w:w="556" w:type="pct"/>
            <w:shd w:val="clear" w:color="auto" w:fill="FFFFFF"/>
          </w:tcPr>
          <w:p w14:paraId="4466B53E" w14:textId="0AB64617" w:rsidR="00AE2721" w:rsidRDefault="00820630" w:rsidP="00D45B23">
            <w:pPr>
              <w:pStyle w:val="CETBodytext"/>
              <w:rPr>
                <w:lang w:val="en-GB"/>
              </w:rPr>
            </w:pPr>
            <w:r>
              <w:rPr>
                <w:lang w:val="en-GB"/>
              </w:rPr>
              <w:t>22.8</w:t>
            </w:r>
            <w:r w:rsidR="00D10794">
              <w:rPr>
                <w:lang w:val="en-GB"/>
              </w:rPr>
              <w:t xml:space="preserve"> %</w:t>
            </w:r>
          </w:p>
        </w:tc>
        <w:tc>
          <w:tcPr>
            <w:tcW w:w="556" w:type="pct"/>
            <w:shd w:val="clear" w:color="auto" w:fill="FFFFFF"/>
          </w:tcPr>
          <w:p w14:paraId="3343F2ED" w14:textId="3178DF86" w:rsidR="00AE2721" w:rsidRDefault="00820630" w:rsidP="00D45B23">
            <w:pPr>
              <w:pStyle w:val="CETBodytext"/>
              <w:rPr>
                <w:lang w:val="en-GB"/>
              </w:rPr>
            </w:pPr>
            <w:r>
              <w:rPr>
                <w:lang w:val="en-GB"/>
              </w:rPr>
              <w:t>23.9</w:t>
            </w:r>
            <w:r w:rsidR="00D10794">
              <w:rPr>
                <w:lang w:val="en-GB"/>
              </w:rPr>
              <w:t xml:space="preserve"> %</w:t>
            </w:r>
          </w:p>
        </w:tc>
        <w:tc>
          <w:tcPr>
            <w:tcW w:w="640" w:type="pct"/>
            <w:shd w:val="clear" w:color="auto" w:fill="FFFFFF"/>
          </w:tcPr>
          <w:p w14:paraId="50CB3B0C" w14:textId="093A175C" w:rsidR="00AE2721" w:rsidRDefault="00820630" w:rsidP="00D45B23">
            <w:pPr>
              <w:pStyle w:val="CETBodytext"/>
              <w:rPr>
                <w:lang w:val="en-GB"/>
              </w:rPr>
            </w:pPr>
            <w:r>
              <w:rPr>
                <w:lang w:val="en-GB"/>
              </w:rPr>
              <w:t>21.0</w:t>
            </w:r>
            <w:r w:rsidR="00D10794">
              <w:rPr>
                <w:lang w:val="en-GB"/>
              </w:rPr>
              <w:t xml:space="preserve"> %</w:t>
            </w:r>
          </w:p>
        </w:tc>
        <w:tc>
          <w:tcPr>
            <w:tcW w:w="5" w:type="pct"/>
            <w:shd w:val="clear" w:color="auto" w:fill="FFFFFF"/>
          </w:tcPr>
          <w:p w14:paraId="1FA52A1B" w14:textId="77777777" w:rsidR="00AE2721" w:rsidRPr="00B57B36" w:rsidRDefault="00AE2721" w:rsidP="00D45B23">
            <w:pPr>
              <w:pStyle w:val="CETBodytext"/>
              <w:ind w:right="-1"/>
              <w:rPr>
                <w:rFonts w:cs="Arial"/>
                <w:szCs w:val="18"/>
                <w:lang w:val="en-GB"/>
              </w:rPr>
            </w:pPr>
          </w:p>
        </w:tc>
        <w:tc>
          <w:tcPr>
            <w:tcW w:w="5" w:type="pct"/>
            <w:shd w:val="clear" w:color="auto" w:fill="FFFFFF"/>
          </w:tcPr>
          <w:p w14:paraId="1E4D131F" w14:textId="77777777" w:rsidR="00AE2721" w:rsidRPr="00B57B36" w:rsidRDefault="00AE2721" w:rsidP="00D45B23">
            <w:pPr>
              <w:pStyle w:val="CETBodytext"/>
              <w:ind w:right="-1"/>
              <w:rPr>
                <w:rFonts w:cs="Arial"/>
                <w:szCs w:val="18"/>
                <w:lang w:val="en-GB"/>
              </w:rPr>
            </w:pPr>
          </w:p>
        </w:tc>
      </w:tr>
      <w:tr w:rsidR="00401F58" w:rsidRPr="00B57B36" w14:paraId="1EF797D2" w14:textId="77777777" w:rsidTr="005049EB">
        <w:tc>
          <w:tcPr>
            <w:tcW w:w="5" w:type="pct"/>
            <w:shd w:val="clear" w:color="auto" w:fill="FFFFFF"/>
          </w:tcPr>
          <w:p w14:paraId="622AE62B" w14:textId="77777777" w:rsidR="00AE2721" w:rsidRDefault="00AE2721" w:rsidP="00D45B23">
            <w:pPr>
              <w:pStyle w:val="CETBodytext"/>
              <w:rPr>
                <w:lang w:val="en-GB"/>
              </w:rPr>
            </w:pPr>
          </w:p>
        </w:tc>
        <w:tc>
          <w:tcPr>
            <w:tcW w:w="1675" w:type="pct"/>
            <w:shd w:val="clear" w:color="auto" w:fill="FFFFFF"/>
          </w:tcPr>
          <w:p w14:paraId="22CCDA49" w14:textId="41B21CBF" w:rsidR="00AE2721" w:rsidRDefault="009347C8" w:rsidP="00D45B23">
            <w:pPr>
              <w:pStyle w:val="CETBodytext"/>
              <w:rPr>
                <w:lang w:val="en-GB"/>
              </w:rPr>
            </w:pPr>
            <w:r>
              <w:rPr>
                <w:lang w:val="en-GB"/>
              </w:rPr>
              <w:t>CO</w:t>
            </w:r>
            <w:r w:rsidRPr="00765BF9">
              <w:rPr>
                <w:vertAlign w:val="subscript"/>
                <w:lang w:val="en-GB"/>
              </w:rPr>
              <w:t>2</w:t>
            </w:r>
            <w:r>
              <w:rPr>
                <w:lang w:val="en-GB"/>
              </w:rPr>
              <w:t xml:space="preserve"> emissions</w:t>
            </w:r>
          </w:p>
        </w:tc>
        <w:tc>
          <w:tcPr>
            <w:tcW w:w="1002" w:type="pct"/>
            <w:shd w:val="clear" w:color="auto" w:fill="FFFFFF"/>
          </w:tcPr>
          <w:p w14:paraId="27DEF41E" w14:textId="38F6EEAE" w:rsidR="00AE2721" w:rsidRDefault="00401F58" w:rsidP="002809E8">
            <w:pPr>
              <w:pStyle w:val="CETBodytext"/>
              <w:rPr>
                <w:lang w:val="en-GB"/>
              </w:rPr>
            </w:pPr>
            <w:r>
              <w:rPr>
                <w:lang w:val="en-GB"/>
              </w:rPr>
              <w:t>kgCO</w:t>
            </w:r>
            <w:r w:rsidRPr="00992989">
              <w:rPr>
                <w:vertAlign w:val="subscript"/>
                <w:lang w:val="en-GB"/>
              </w:rPr>
              <w:t>2</w:t>
            </w:r>
            <w:r>
              <w:rPr>
                <w:lang w:val="en-GB"/>
              </w:rPr>
              <w:t>/</w:t>
            </w:r>
            <w:r w:rsidR="002809E8">
              <w:rPr>
                <w:lang w:val="en-GB"/>
              </w:rPr>
              <w:t>kW</w:t>
            </w:r>
            <w:r w:rsidR="00B319EE">
              <w:rPr>
                <w:lang w:val="en-GB"/>
              </w:rPr>
              <w:t>h</w:t>
            </w:r>
            <w:r w:rsidR="002809E8">
              <w:rPr>
                <w:lang w:val="en-GB"/>
              </w:rPr>
              <w:t>e</w:t>
            </w:r>
          </w:p>
        </w:tc>
        <w:tc>
          <w:tcPr>
            <w:tcW w:w="556" w:type="pct"/>
            <w:shd w:val="clear" w:color="auto" w:fill="FFFFFF"/>
          </w:tcPr>
          <w:p w14:paraId="2F47F552" w14:textId="758DFECE" w:rsidR="00AE2721" w:rsidRDefault="00075574" w:rsidP="00D45B23">
            <w:pPr>
              <w:pStyle w:val="CETBodytext"/>
              <w:rPr>
                <w:lang w:val="en-GB"/>
              </w:rPr>
            </w:pPr>
            <w:r>
              <w:rPr>
                <w:lang w:val="en-GB"/>
              </w:rPr>
              <w:t>1.549</w:t>
            </w:r>
          </w:p>
        </w:tc>
        <w:tc>
          <w:tcPr>
            <w:tcW w:w="556" w:type="pct"/>
            <w:shd w:val="clear" w:color="auto" w:fill="FFFFFF"/>
          </w:tcPr>
          <w:p w14:paraId="769B1D22" w14:textId="333BC6E1" w:rsidR="00AE2721" w:rsidRDefault="00075574" w:rsidP="00D45B23">
            <w:pPr>
              <w:pStyle w:val="CETBodytext"/>
              <w:rPr>
                <w:lang w:val="en-GB"/>
              </w:rPr>
            </w:pPr>
            <w:r>
              <w:rPr>
                <w:lang w:val="en-GB"/>
              </w:rPr>
              <w:t>1.239</w:t>
            </w:r>
          </w:p>
        </w:tc>
        <w:tc>
          <w:tcPr>
            <w:tcW w:w="556" w:type="pct"/>
            <w:shd w:val="clear" w:color="auto" w:fill="FFFFFF"/>
          </w:tcPr>
          <w:p w14:paraId="37B99318" w14:textId="2DE018AF" w:rsidR="00AE2721" w:rsidRDefault="00075574" w:rsidP="00D45B23">
            <w:pPr>
              <w:pStyle w:val="CETBodytext"/>
              <w:rPr>
                <w:lang w:val="en-GB"/>
              </w:rPr>
            </w:pPr>
            <w:r>
              <w:rPr>
                <w:lang w:val="en-GB"/>
              </w:rPr>
              <w:t>1.179</w:t>
            </w:r>
          </w:p>
        </w:tc>
        <w:tc>
          <w:tcPr>
            <w:tcW w:w="640" w:type="pct"/>
            <w:shd w:val="clear" w:color="auto" w:fill="FFFFFF"/>
          </w:tcPr>
          <w:p w14:paraId="654CCF5E" w14:textId="225F0086" w:rsidR="00AE2721" w:rsidRDefault="00075574" w:rsidP="00D45B23">
            <w:pPr>
              <w:pStyle w:val="CETBodytext"/>
              <w:rPr>
                <w:lang w:val="en-GB"/>
              </w:rPr>
            </w:pPr>
            <w:r>
              <w:rPr>
                <w:lang w:val="en-GB"/>
              </w:rPr>
              <w:t>1.346</w:t>
            </w:r>
          </w:p>
        </w:tc>
        <w:tc>
          <w:tcPr>
            <w:tcW w:w="5" w:type="pct"/>
            <w:shd w:val="clear" w:color="auto" w:fill="FFFFFF"/>
          </w:tcPr>
          <w:p w14:paraId="4EBC2635" w14:textId="77777777" w:rsidR="00AE2721" w:rsidRPr="00B57B36" w:rsidRDefault="00AE2721" w:rsidP="00D45B23">
            <w:pPr>
              <w:pStyle w:val="CETBodytext"/>
              <w:ind w:right="-1"/>
              <w:rPr>
                <w:rFonts w:cs="Arial"/>
                <w:szCs w:val="18"/>
                <w:lang w:val="en-GB"/>
              </w:rPr>
            </w:pPr>
          </w:p>
        </w:tc>
        <w:tc>
          <w:tcPr>
            <w:tcW w:w="5" w:type="pct"/>
            <w:shd w:val="clear" w:color="auto" w:fill="FFFFFF"/>
          </w:tcPr>
          <w:p w14:paraId="2312B006" w14:textId="77777777" w:rsidR="00AE2721" w:rsidRPr="00B57B36" w:rsidRDefault="00AE2721" w:rsidP="00D45B23">
            <w:pPr>
              <w:pStyle w:val="CETBodytext"/>
              <w:ind w:right="-1"/>
              <w:rPr>
                <w:rFonts w:cs="Arial"/>
                <w:szCs w:val="18"/>
                <w:lang w:val="en-GB"/>
              </w:rPr>
            </w:pPr>
          </w:p>
        </w:tc>
      </w:tr>
    </w:tbl>
    <w:p w14:paraId="68D26B83" w14:textId="7CDE50D5" w:rsidR="00600535" w:rsidRPr="0072326E" w:rsidRDefault="00600535" w:rsidP="00600535">
      <w:pPr>
        <w:pStyle w:val="CETHeading1"/>
      </w:pPr>
      <w:r w:rsidRPr="0072326E">
        <w:t>Conclusions</w:t>
      </w:r>
    </w:p>
    <w:p w14:paraId="09D1F427" w14:textId="560E5982" w:rsidR="00E909D2" w:rsidRDefault="00167D4A" w:rsidP="00D236D7">
      <w:pPr>
        <w:pStyle w:val="CETBodytext"/>
      </w:pPr>
      <w:r>
        <w:t xml:space="preserve">The </w:t>
      </w:r>
      <w:r w:rsidR="00A214D4">
        <w:t xml:space="preserve">modeling of waste-to-energy process solutions based on sewage sludge air oxidation were analyzed by using the GasDS </w:t>
      </w:r>
      <w:r w:rsidR="00AE0190">
        <w:t xml:space="preserve">simulation </w:t>
      </w:r>
      <w:r w:rsidR="00A214D4">
        <w:t xml:space="preserve">suite. </w:t>
      </w:r>
      <w:r w:rsidR="00AE0190">
        <w:t xml:space="preserve">The procedure for adding </w:t>
      </w:r>
      <w:r w:rsidR="00A266A9">
        <w:t>new s</w:t>
      </w:r>
      <w:r w:rsidR="00103261">
        <w:t xml:space="preserve">pecies to the database </w:t>
      </w:r>
      <w:r w:rsidR="00A266A9">
        <w:t xml:space="preserve">was </w:t>
      </w:r>
      <w:r w:rsidR="00912890">
        <w:t xml:space="preserve">explained in detail, </w:t>
      </w:r>
      <w:r w:rsidR="00103261">
        <w:t xml:space="preserve">starting from gathering chemical-physical data for the new feedstock, and then proceeding with the development of a dedicated kinetic model </w:t>
      </w:r>
      <w:r w:rsidR="00AA2589">
        <w:t xml:space="preserve">for the description of its thermal decomposition. </w:t>
      </w:r>
      <w:r w:rsidR="00360E6E">
        <w:t xml:space="preserve">A simplified kinetic model for </w:t>
      </w:r>
      <w:r w:rsidR="008E1391">
        <w:t xml:space="preserve">aerobically stabilized sewage sludge was proposed by considering lumped </w:t>
      </w:r>
      <w:r w:rsidR="002823F5">
        <w:t xml:space="preserve">reacting </w:t>
      </w:r>
      <w:r w:rsidR="008E1391">
        <w:t>species (</w:t>
      </w:r>
      <w:r w:rsidR="00BF0246">
        <w:t>sludge, gas, tar, char, H</w:t>
      </w:r>
      <w:r w:rsidR="00BF0246" w:rsidRPr="00BF0246">
        <w:rPr>
          <w:vertAlign w:val="subscript"/>
        </w:rPr>
        <w:t>2</w:t>
      </w:r>
      <w:r w:rsidR="00BF0246">
        <w:t>O)</w:t>
      </w:r>
      <w:r w:rsidR="002823F5">
        <w:t xml:space="preserve"> and two consecutive reactions, one </w:t>
      </w:r>
      <w:r w:rsidR="003B0724">
        <w:t>for the primary pyrolysis reaction describing the direct thermal decomposition of sludge, and another one for the secondary pyrolysis reactions referring to the high-</w:t>
      </w:r>
      <w:r w:rsidR="003B0724">
        <w:lastRenderedPageBreak/>
        <w:t xml:space="preserve">temperature decomposition of the unstable tar fraction leading to the production of char. </w:t>
      </w:r>
      <w:r w:rsidR="00E4626E">
        <w:t xml:space="preserve">Least squares method was applied to find the optimal values for </w:t>
      </w:r>
      <w:r w:rsidR="0070004A">
        <w:t>kinetic parameters</w:t>
      </w:r>
      <w:r w:rsidR="00E4626E">
        <w:t xml:space="preserve"> in</w:t>
      </w:r>
      <w:r w:rsidR="0070004A">
        <w:t xml:space="preserve"> order to fit experimental data</w:t>
      </w:r>
      <w:r w:rsidR="00E4626E">
        <w:t xml:space="preserve">. The GasDS suite updated with the new </w:t>
      </w:r>
      <w:r w:rsidR="00611A7E">
        <w:t xml:space="preserve">information regarding sewage sludge decomposition </w:t>
      </w:r>
      <w:r w:rsidR="00641007">
        <w:t>was</w:t>
      </w:r>
      <w:r w:rsidR="00611A7E">
        <w:t xml:space="preserve"> then used to perform simulation of air-based oxidation processes at different oxidation severities. </w:t>
      </w:r>
      <w:r w:rsidR="0000436D">
        <w:t>The results from the simulation allow</w:t>
      </w:r>
      <w:r w:rsidR="00AD16A2">
        <w:t>ed</w:t>
      </w:r>
      <w:r w:rsidR="0000436D">
        <w:t xml:space="preserve"> to obtain a detailed description of the gaseous effluent exiting fr</w:t>
      </w:r>
      <w:r w:rsidR="0055378A">
        <w:t xml:space="preserve">om the thermal conversion step in terms of flowrate, temperature, and composition. Such data can be used in the development of waste-to-energy systems based on Rankine and </w:t>
      </w:r>
      <w:r w:rsidR="00AE33D4">
        <w:t xml:space="preserve">combined cycles </w:t>
      </w:r>
      <w:r w:rsidR="00177571">
        <w:t xml:space="preserve">for the production of electric power. </w:t>
      </w:r>
      <w:r w:rsidR="00872C3A">
        <w:t xml:space="preserve">Aspen HYSYS simulation software </w:t>
      </w:r>
      <w:r w:rsidR="005E645F">
        <w:t>was</w:t>
      </w:r>
      <w:r w:rsidR="00872C3A">
        <w:t xml:space="preserve"> used to model such systems and</w:t>
      </w:r>
      <w:r w:rsidR="001E5ACA">
        <w:t xml:space="preserve"> specific</w:t>
      </w:r>
      <w:r w:rsidR="00872C3A">
        <w:t xml:space="preserve"> key performance indicators</w:t>
      </w:r>
      <w:r w:rsidR="001E5ACA">
        <w:t xml:space="preserve"> such as net power output, energy yield, CO</w:t>
      </w:r>
      <w:r w:rsidR="001E5ACA" w:rsidRPr="001E5ACA">
        <w:rPr>
          <w:vertAlign w:val="subscript"/>
        </w:rPr>
        <w:t>2</w:t>
      </w:r>
      <w:r w:rsidR="001E5ACA">
        <w:t xml:space="preserve"> emissions</w:t>
      </w:r>
      <w:r w:rsidR="00872C3A">
        <w:t xml:space="preserve"> </w:t>
      </w:r>
      <w:r w:rsidR="005E645F">
        <w:t>could be</w:t>
      </w:r>
      <w:r w:rsidR="00872C3A">
        <w:t xml:space="preserve"> obtained</w:t>
      </w:r>
      <w:r w:rsidR="001E5ACA">
        <w:t xml:space="preserve">. The more complex gasification-based combined cycle shows better performances as the value of ER increases, and it performs better than the combustion-based Rankine cycle for ER values of 30% and 40%, whereas it performs worse in the case of 20% ER. </w:t>
      </w:r>
      <w:r w:rsidR="00541E99">
        <w:t>The methodology described in this paper can be used for othe</w:t>
      </w:r>
      <w:r w:rsidR="002741C9">
        <w:t>r types of sewage sludge that may show different chemical-physical properties and pyrolysis behavior, such as anaerobically or chemically stabilized sl</w:t>
      </w:r>
      <w:r w:rsidR="00117806">
        <w:t>udge or even raw sewage sludge.</w:t>
      </w:r>
    </w:p>
    <w:p w14:paraId="4F1327F8" w14:textId="1D2A134D" w:rsidR="00600535" w:rsidRPr="00E616C5" w:rsidRDefault="0072326E" w:rsidP="00600535">
      <w:pPr>
        <w:pStyle w:val="CETReference"/>
        <w:rPr>
          <w:lang w:val="en-US"/>
        </w:rPr>
      </w:pPr>
      <w:r w:rsidRPr="00E616C5">
        <w:rPr>
          <w:lang w:val="en-US"/>
        </w:rPr>
        <w:t>References</w:t>
      </w:r>
    </w:p>
    <w:p w14:paraId="3881107A" w14:textId="77777777" w:rsidR="00551F34" w:rsidRPr="00551F34" w:rsidRDefault="00381B88" w:rsidP="00551F34">
      <w:pPr>
        <w:pStyle w:val="Bibliografia"/>
        <w:rPr>
          <w:rFonts w:cs="Arial"/>
          <w:lang w:val="it-IT"/>
        </w:rPr>
      </w:pPr>
      <w:r w:rsidRPr="0072326E">
        <w:rPr>
          <w:lang w:val="en-US"/>
        </w:rPr>
        <w:fldChar w:fldCharType="begin"/>
      </w:r>
      <w:r w:rsidR="00551F34">
        <w:rPr>
          <w:lang w:val="en-US"/>
        </w:rPr>
        <w:instrText xml:space="preserve"> ADDIN ZOTERO_BIBL {"uncited":[],"omitted":[],"custom":[]} CSL_BIBLIOGRAPHY </w:instrText>
      </w:r>
      <w:r w:rsidRPr="0072326E">
        <w:rPr>
          <w:lang w:val="en-US"/>
        </w:rPr>
        <w:fldChar w:fldCharType="separate"/>
      </w:r>
      <w:r w:rsidR="00551F34" w:rsidRPr="00551F34">
        <w:rPr>
          <w:rFonts w:cs="Arial"/>
        </w:rPr>
        <w:t xml:space="preserve">Basu, P., 2006. Combustion and Gasification in Fluidized Beds. </w:t>
      </w:r>
      <w:r w:rsidR="00551F34" w:rsidRPr="00551F34">
        <w:rPr>
          <w:rFonts w:cs="Arial"/>
          <w:lang w:val="it-IT"/>
        </w:rPr>
        <w:t>CRC Press, Boca Raton. https://doi.org/10.1201/9781420005158</w:t>
      </w:r>
    </w:p>
    <w:p w14:paraId="4A61EB44" w14:textId="77777777" w:rsidR="00551F34" w:rsidRPr="00551F34" w:rsidRDefault="00551F34" w:rsidP="00551F34">
      <w:pPr>
        <w:pStyle w:val="Bibliografia"/>
        <w:rPr>
          <w:rFonts w:cs="Arial"/>
        </w:rPr>
      </w:pPr>
      <w:r w:rsidRPr="00551F34">
        <w:rPr>
          <w:rFonts w:cs="Arial"/>
          <w:lang w:val="it-IT"/>
        </w:rPr>
        <w:t xml:space="preserve">Corbetta, M., Bassani, A., Manenti, F., Pirola, C., Maggio, E., Pettinau, A., Deiana, P., Pierucci, S., Ranzi, E., 2015. </w:t>
      </w:r>
      <w:r w:rsidRPr="00551F34">
        <w:rPr>
          <w:rFonts w:cs="Arial"/>
        </w:rPr>
        <w:t>Multi-scale kinetic modeling and experimental investigation of syngas production from coal gasification in updraft gasifiers. Energy and Fuels 29, 3972–3984. https://doi.org/10.1021/acs.energyfuels.5b00648</w:t>
      </w:r>
    </w:p>
    <w:p w14:paraId="298B6C77" w14:textId="77777777" w:rsidR="00551F34" w:rsidRPr="00551F34" w:rsidRDefault="00551F34" w:rsidP="00551F34">
      <w:pPr>
        <w:pStyle w:val="Bibliografia"/>
        <w:rPr>
          <w:rFonts w:cs="Arial"/>
        </w:rPr>
      </w:pPr>
      <w:r w:rsidRPr="00551F34">
        <w:rPr>
          <w:rFonts w:cs="Arial"/>
        </w:rPr>
        <w:t>Drechsel, P., Qadir, M., Wichelns, D. (Eds.), 2015. Wastewater: Economic Asset in an Urbanizing World. Springer Netherlands, Dordrecht. https://doi.org/10.1007/978-94-017-9545-6</w:t>
      </w:r>
    </w:p>
    <w:p w14:paraId="64CCE61F" w14:textId="77777777" w:rsidR="00551F34" w:rsidRPr="00551F34" w:rsidRDefault="00551F34" w:rsidP="00551F34">
      <w:pPr>
        <w:pStyle w:val="Bibliografia"/>
        <w:rPr>
          <w:rFonts w:cs="Arial"/>
        </w:rPr>
      </w:pPr>
      <w:r w:rsidRPr="008400EA">
        <w:rPr>
          <w:rFonts w:cs="Arial"/>
          <w:lang w:val="en-US"/>
        </w:rPr>
        <w:t xml:space="preserve">Font, R., Fullana, A., Conesa, J., 2005. </w:t>
      </w:r>
      <w:r w:rsidRPr="00551F34">
        <w:rPr>
          <w:rFonts w:cs="Arial"/>
        </w:rPr>
        <w:t>Kinetic models for the pyrolysis and combustion of two types of sewage sludge. Journal of Analytical and Applied Pyrolysis 74, 429–438. https://doi.org/10.1016/j.jaap.2004.10.009</w:t>
      </w:r>
    </w:p>
    <w:p w14:paraId="23A52BC0" w14:textId="77777777" w:rsidR="00551F34" w:rsidRPr="00551F34" w:rsidRDefault="00551F34" w:rsidP="00551F34">
      <w:pPr>
        <w:pStyle w:val="Bibliografia"/>
        <w:rPr>
          <w:rFonts w:cs="Arial"/>
        </w:rPr>
      </w:pPr>
      <w:r w:rsidRPr="00551F34">
        <w:rPr>
          <w:rFonts w:cs="Arial"/>
        </w:rPr>
        <w:t>Ibrahim, T.K., Rahman, M.M., Abdalla, A.N., 2011. Gas Turbine Configuration for Improving the performance of Combined Cycle Power Plant. Procedia Engineering 15, 4216–4223. https://doi.org/10.1016/j.proeng.2011.08.791</w:t>
      </w:r>
    </w:p>
    <w:p w14:paraId="128C1B3A" w14:textId="77777777" w:rsidR="00551F34" w:rsidRPr="00551F34" w:rsidRDefault="00551F34" w:rsidP="00551F34">
      <w:pPr>
        <w:pStyle w:val="Bibliografia"/>
        <w:rPr>
          <w:rFonts w:cs="Arial"/>
        </w:rPr>
      </w:pPr>
      <w:r w:rsidRPr="00551F34">
        <w:rPr>
          <w:rFonts w:cs="Arial"/>
        </w:rPr>
        <w:t>Kambo, H.S., Dutta, A., 2015. A comparative review of biochar and hydrochar in terms of production, physico-chemical properties and applications. Renewable and Sustainable Energy Reviews 45, 359–378. https://doi.org/10.1016/j.rser.2015.01.050</w:t>
      </w:r>
    </w:p>
    <w:p w14:paraId="23FD3592" w14:textId="77777777" w:rsidR="00551F34" w:rsidRPr="00551F34" w:rsidRDefault="00551F34" w:rsidP="00551F34">
      <w:pPr>
        <w:pStyle w:val="Bibliografia"/>
        <w:rPr>
          <w:rFonts w:cs="Arial"/>
        </w:rPr>
      </w:pPr>
      <w:r w:rsidRPr="00551F34">
        <w:rPr>
          <w:rFonts w:cs="Arial"/>
        </w:rPr>
        <w:t>Kelessidis, A., Stasinakis, A.S., 2012. Comparative study of the methods used for treatment and final disposal of sewage sludge in European countries. Waste Management 32, 1186–1195. https://doi.org/10.1016/j.wasman.2012.01.012</w:t>
      </w:r>
    </w:p>
    <w:p w14:paraId="43FCF00A" w14:textId="77777777" w:rsidR="00551F34" w:rsidRPr="00551F34" w:rsidRDefault="00551F34" w:rsidP="00551F34">
      <w:pPr>
        <w:pStyle w:val="Bibliografia"/>
        <w:rPr>
          <w:rFonts w:cs="Arial"/>
          <w:lang w:val="it-IT"/>
        </w:rPr>
      </w:pPr>
      <w:r w:rsidRPr="00551F34">
        <w:rPr>
          <w:rFonts w:cs="Arial"/>
        </w:rPr>
        <w:t xml:space="preserve">Mateo-Sagasta, J., Raschid-Sally, L., Thebo, A., 2015. Global Wastewater and Sludge Production, Treatment and Use, in: Drechsel, P., Qadir, M., Wichelns, D. (Eds.), Wastewater: Economic Asset in an Urbanizing World. </w:t>
      </w:r>
      <w:r w:rsidRPr="00551F34">
        <w:rPr>
          <w:rFonts w:cs="Arial"/>
          <w:lang w:val="it-IT"/>
        </w:rPr>
        <w:t>Springer Netherlands, Dordrecht, pp. 15–38. https://doi.org/10.1007/978-94-017-9545-6_2</w:t>
      </w:r>
    </w:p>
    <w:p w14:paraId="59918CD8" w14:textId="77777777" w:rsidR="00551F34" w:rsidRPr="00551F34" w:rsidRDefault="00551F34" w:rsidP="00551F34">
      <w:pPr>
        <w:pStyle w:val="Bibliografia"/>
        <w:rPr>
          <w:rFonts w:cs="Arial"/>
        </w:rPr>
      </w:pPr>
      <w:r w:rsidRPr="00551F34">
        <w:rPr>
          <w:rFonts w:cs="Arial"/>
          <w:lang w:val="it-IT"/>
        </w:rPr>
        <w:t xml:space="preserve">Negri, F., Nova, A., Basso, D., Manenti, F., 2022. </w:t>
      </w:r>
      <w:r w:rsidRPr="00551F34">
        <w:rPr>
          <w:rFonts w:cs="Arial"/>
        </w:rPr>
        <w:t>Techno-Economic Analysis of Dimethyl Ether Biofuel Production Plant Based on Sewage Sludge Gasification. Chemical Engineering Transactions 94, 1087–1092. https://doi.org/10.3303/CET2294181</w:t>
      </w:r>
    </w:p>
    <w:p w14:paraId="3FD512CF" w14:textId="77777777" w:rsidR="00551F34" w:rsidRPr="00551F34" w:rsidRDefault="00551F34" w:rsidP="00551F34">
      <w:pPr>
        <w:pStyle w:val="Bibliografia"/>
        <w:rPr>
          <w:rFonts w:cs="Arial"/>
        </w:rPr>
      </w:pPr>
      <w:r w:rsidRPr="00551F34">
        <w:rPr>
          <w:rFonts w:cs="Arial"/>
        </w:rPr>
        <w:t>Pavlas, M., Touš, M., Klimek, P., Bébar, L., 2011. Waste incineration with production of clean and reliable energy. Clean Techn Environ Policy 13, 595–605. https://doi.org/10.1007/s10098-011-0353-5</w:t>
      </w:r>
    </w:p>
    <w:p w14:paraId="6C3F6EF5" w14:textId="77777777" w:rsidR="00551F34" w:rsidRPr="00551F34" w:rsidRDefault="00551F34" w:rsidP="00551F34">
      <w:pPr>
        <w:pStyle w:val="Bibliografia"/>
        <w:rPr>
          <w:rFonts w:cs="Arial"/>
        </w:rPr>
      </w:pPr>
      <w:r w:rsidRPr="00551F34">
        <w:rPr>
          <w:rFonts w:cs="Arial"/>
        </w:rPr>
        <w:t>Prifti, K., Basso, D., Pavanetto, R., Manenti, F., 2021. Improving hydrothermal carbonization (HTC) processes by hydrochar gasification. Chemical Engineering Transactions 86, 925–930. https://doi.org/10.3303/CET2186155</w:t>
      </w:r>
    </w:p>
    <w:p w14:paraId="58908C16" w14:textId="77777777" w:rsidR="00551F34" w:rsidRPr="00551F34" w:rsidRDefault="00551F34" w:rsidP="00551F34">
      <w:pPr>
        <w:pStyle w:val="Bibliografia"/>
        <w:rPr>
          <w:rFonts w:cs="Arial"/>
        </w:rPr>
      </w:pPr>
      <w:r w:rsidRPr="00551F34">
        <w:rPr>
          <w:rFonts w:cs="Arial"/>
        </w:rPr>
        <w:t>Ranzi, E., Corbetta, M., Manenti, F., Pierucci, S., 2014. Kinetic modeling of the thermal degradation and combustion of biomass. Chemical Engineering Science 110, 2–12. https://doi.org/10.1016/j.ces.2013.08.014</w:t>
      </w:r>
    </w:p>
    <w:p w14:paraId="3C5B152A" w14:textId="77777777" w:rsidR="00551F34" w:rsidRPr="00551F34" w:rsidRDefault="00551F34" w:rsidP="00551F34">
      <w:pPr>
        <w:pStyle w:val="Bibliografia"/>
        <w:rPr>
          <w:rFonts w:cs="Arial"/>
        </w:rPr>
      </w:pPr>
      <w:r w:rsidRPr="00551F34">
        <w:rPr>
          <w:rFonts w:cs="Arial"/>
        </w:rPr>
        <w:t>Ranzi, E., Faravelli, T., Manenti, F., 2016. Chapter One - Pyrolysis, Gasification, and Combustion of Solid Fuels, in: Van Geem, K.M. (Ed.), Advances in Chemical Engineering, Thermochemical Process Engineering. Academic Press, pp. 1–94. https://doi.org/10.1016/bs.ache.2016.09.001</w:t>
      </w:r>
    </w:p>
    <w:p w14:paraId="0D47B8B0" w14:textId="77777777" w:rsidR="00551F34" w:rsidRPr="00551F34" w:rsidRDefault="00551F34" w:rsidP="00551F34">
      <w:pPr>
        <w:pStyle w:val="Bibliografia"/>
        <w:rPr>
          <w:rFonts w:cs="Arial"/>
        </w:rPr>
      </w:pPr>
      <w:r w:rsidRPr="00551F34">
        <w:rPr>
          <w:rFonts w:cs="Arial"/>
        </w:rPr>
        <w:t>Stammbach, M.R., Kraaz, B., Hagenbucher, R., Richarz, W., 1989. Pyrolysis of sewage sludge in a fluidized bed. Energy Fuels 3, 255–259. https://doi.org/10.1021/ef00014a022</w:t>
      </w:r>
    </w:p>
    <w:p w14:paraId="1384F5E8" w14:textId="77777777" w:rsidR="00551F34" w:rsidRPr="00551F34" w:rsidRDefault="00551F34" w:rsidP="00551F34">
      <w:pPr>
        <w:pStyle w:val="Bibliografia"/>
        <w:rPr>
          <w:rFonts w:cs="Arial"/>
        </w:rPr>
      </w:pPr>
      <w:r w:rsidRPr="00551F34">
        <w:rPr>
          <w:rFonts w:cs="Arial"/>
        </w:rPr>
        <w:t>Stehlík, P., 2009. Contribution to advances in waste-to-energy technologies. Journal of Cleaner Production 17, 919–931. https://doi.org/10.1016/j.jclepro.2009.02.011</w:t>
      </w:r>
    </w:p>
    <w:p w14:paraId="6EDA8112" w14:textId="77777777" w:rsidR="00551F34" w:rsidRPr="00551F34" w:rsidRDefault="00551F34" w:rsidP="00551F34">
      <w:pPr>
        <w:pStyle w:val="Bibliografia"/>
        <w:rPr>
          <w:rFonts w:cs="Arial"/>
        </w:rPr>
      </w:pPr>
      <w:r w:rsidRPr="00551F34">
        <w:rPr>
          <w:rFonts w:cs="Arial"/>
        </w:rPr>
        <w:t>Stolarek, P., Ledakowicz, S., 2001. Thermal processing of sewage sludge by drying, pyrolysis, gasification and combustion. Water Sci Technol 44, 333–339.</w:t>
      </w:r>
    </w:p>
    <w:p w14:paraId="75DED2F7" w14:textId="55CA4B60" w:rsidR="00BA700D" w:rsidRPr="0072326E" w:rsidRDefault="00551F34" w:rsidP="00602D69">
      <w:pPr>
        <w:pStyle w:val="Bibliografia"/>
        <w:rPr>
          <w:lang w:val="en-US"/>
        </w:rPr>
      </w:pPr>
      <w:r w:rsidRPr="00551F34">
        <w:rPr>
          <w:rFonts w:cs="Arial"/>
        </w:rPr>
        <w:t>Werther, J., Ogada, T., 1999. Sewage sludge combustion. Progress in Energy and Combustion Science 25, 55–116. https://doi.org/10.1016/S0360-1285(98)00020-3</w:t>
      </w:r>
      <w:r w:rsidR="00381B88" w:rsidRPr="0072326E">
        <w:rPr>
          <w:lang w:val="en-US"/>
        </w:rPr>
        <w:fldChar w:fldCharType="end"/>
      </w:r>
    </w:p>
    <w:sectPr w:rsidR="00BA700D" w:rsidRPr="0072326E"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D520C" w14:textId="77777777" w:rsidR="00EB119C" w:rsidRDefault="00EB119C" w:rsidP="004F5E36">
      <w:r>
        <w:separator/>
      </w:r>
    </w:p>
  </w:endnote>
  <w:endnote w:type="continuationSeparator" w:id="0">
    <w:p w14:paraId="36B72B60" w14:textId="77777777" w:rsidR="00EB119C" w:rsidRDefault="00EB119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D3D87" w14:textId="77777777" w:rsidR="00EB119C" w:rsidRDefault="00EB119C" w:rsidP="004F5E36">
      <w:r>
        <w:separator/>
      </w:r>
    </w:p>
  </w:footnote>
  <w:footnote w:type="continuationSeparator" w:id="0">
    <w:p w14:paraId="1CEA4DEA" w14:textId="77777777" w:rsidR="00EB119C" w:rsidRDefault="00EB119C"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0D5EAD"/>
    <w:multiLevelType w:val="hybridMultilevel"/>
    <w:tmpl w:val="D426612E"/>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2"/>
  </w:num>
  <w:num w:numId="14">
    <w:abstractNumId w:val="19"/>
  </w:num>
  <w:num w:numId="15">
    <w:abstractNumId w:val="21"/>
  </w:num>
  <w:num w:numId="16">
    <w:abstractNumId w:val="20"/>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36D"/>
    <w:rsid w:val="000052FB"/>
    <w:rsid w:val="00010676"/>
    <w:rsid w:val="0001169F"/>
    <w:rsid w:val="000117CB"/>
    <w:rsid w:val="00013F79"/>
    <w:rsid w:val="00014D53"/>
    <w:rsid w:val="0001535D"/>
    <w:rsid w:val="0001600F"/>
    <w:rsid w:val="00020739"/>
    <w:rsid w:val="00022A79"/>
    <w:rsid w:val="000262BF"/>
    <w:rsid w:val="0003148D"/>
    <w:rsid w:val="00031EEC"/>
    <w:rsid w:val="00032C8A"/>
    <w:rsid w:val="00037CFB"/>
    <w:rsid w:val="0004222B"/>
    <w:rsid w:val="00044B9C"/>
    <w:rsid w:val="00044BC6"/>
    <w:rsid w:val="00045877"/>
    <w:rsid w:val="00046CA2"/>
    <w:rsid w:val="000505C7"/>
    <w:rsid w:val="00051566"/>
    <w:rsid w:val="00051E6B"/>
    <w:rsid w:val="0005478B"/>
    <w:rsid w:val="000562A9"/>
    <w:rsid w:val="00056DD3"/>
    <w:rsid w:val="00062A9A"/>
    <w:rsid w:val="00065058"/>
    <w:rsid w:val="00066934"/>
    <w:rsid w:val="00070511"/>
    <w:rsid w:val="00071190"/>
    <w:rsid w:val="00071B6B"/>
    <w:rsid w:val="00072D3F"/>
    <w:rsid w:val="00074FAB"/>
    <w:rsid w:val="00075574"/>
    <w:rsid w:val="00084CB7"/>
    <w:rsid w:val="00086C39"/>
    <w:rsid w:val="000872DC"/>
    <w:rsid w:val="00092079"/>
    <w:rsid w:val="000A03B2"/>
    <w:rsid w:val="000A198B"/>
    <w:rsid w:val="000A4CC6"/>
    <w:rsid w:val="000A6D86"/>
    <w:rsid w:val="000A7BD3"/>
    <w:rsid w:val="000B0460"/>
    <w:rsid w:val="000B1283"/>
    <w:rsid w:val="000B1ED5"/>
    <w:rsid w:val="000B317F"/>
    <w:rsid w:val="000C050A"/>
    <w:rsid w:val="000C32AD"/>
    <w:rsid w:val="000C5ED8"/>
    <w:rsid w:val="000D0268"/>
    <w:rsid w:val="000D144E"/>
    <w:rsid w:val="000D1BF7"/>
    <w:rsid w:val="000D34BE"/>
    <w:rsid w:val="000D47BB"/>
    <w:rsid w:val="000E102F"/>
    <w:rsid w:val="000E15DA"/>
    <w:rsid w:val="000E1E68"/>
    <w:rsid w:val="000E2995"/>
    <w:rsid w:val="000E36F1"/>
    <w:rsid w:val="000E3A73"/>
    <w:rsid w:val="000E414A"/>
    <w:rsid w:val="000E6822"/>
    <w:rsid w:val="000F093C"/>
    <w:rsid w:val="000F0EEC"/>
    <w:rsid w:val="000F27E1"/>
    <w:rsid w:val="000F2A90"/>
    <w:rsid w:val="000F3A43"/>
    <w:rsid w:val="000F68E7"/>
    <w:rsid w:val="000F787B"/>
    <w:rsid w:val="00103261"/>
    <w:rsid w:val="00103E2F"/>
    <w:rsid w:val="00104679"/>
    <w:rsid w:val="00105F83"/>
    <w:rsid w:val="0011136C"/>
    <w:rsid w:val="0011193C"/>
    <w:rsid w:val="00115FEE"/>
    <w:rsid w:val="00117806"/>
    <w:rsid w:val="0012091F"/>
    <w:rsid w:val="00120D8A"/>
    <w:rsid w:val="00121F1A"/>
    <w:rsid w:val="00125059"/>
    <w:rsid w:val="00126BC2"/>
    <w:rsid w:val="00127898"/>
    <w:rsid w:val="001308B6"/>
    <w:rsid w:val="0013121F"/>
    <w:rsid w:val="00131DAA"/>
    <w:rsid w:val="00131FE6"/>
    <w:rsid w:val="0013263F"/>
    <w:rsid w:val="001331DF"/>
    <w:rsid w:val="00134DE4"/>
    <w:rsid w:val="00135556"/>
    <w:rsid w:val="001356C1"/>
    <w:rsid w:val="0014034D"/>
    <w:rsid w:val="00144D16"/>
    <w:rsid w:val="001471B3"/>
    <w:rsid w:val="00150E59"/>
    <w:rsid w:val="00152DE3"/>
    <w:rsid w:val="00153C5D"/>
    <w:rsid w:val="00156275"/>
    <w:rsid w:val="00163D99"/>
    <w:rsid w:val="00164CF9"/>
    <w:rsid w:val="001667A6"/>
    <w:rsid w:val="00167D4A"/>
    <w:rsid w:val="0017162A"/>
    <w:rsid w:val="0017258E"/>
    <w:rsid w:val="0017619B"/>
    <w:rsid w:val="00176CB5"/>
    <w:rsid w:val="00177571"/>
    <w:rsid w:val="00182F56"/>
    <w:rsid w:val="00183B3B"/>
    <w:rsid w:val="00184AD6"/>
    <w:rsid w:val="00184D59"/>
    <w:rsid w:val="00187B2C"/>
    <w:rsid w:val="001A4AF7"/>
    <w:rsid w:val="001A5E45"/>
    <w:rsid w:val="001B0066"/>
    <w:rsid w:val="001B0349"/>
    <w:rsid w:val="001B0D3A"/>
    <w:rsid w:val="001B1E93"/>
    <w:rsid w:val="001B25F1"/>
    <w:rsid w:val="001B2B5E"/>
    <w:rsid w:val="001B65C1"/>
    <w:rsid w:val="001C2683"/>
    <w:rsid w:val="001C6592"/>
    <w:rsid w:val="001C684B"/>
    <w:rsid w:val="001C6E85"/>
    <w:rsid w:val="001C7059"/>
    <w:rsid w:val="001D0146"/>
    <w:rsid w:val="001D0340"/>
    <w:rsid w:val="001D0CFB"/>
    <w:rsid w:val="001D21AF"/>
    <w:rsid w:val="001D368D"/>
    <w:rsid w:val="001D3DB7"/>
    <w:rsid w:val="001D3F4D"/>
    <w:rsid w:val="001D53FC"/>
    <w:rsid w:val="001D56DD"/>
    <w:rsid w:val="001E03A0"/>
    <w:rsid w:val="001E4712"/>
    <w:rsid w:val="001E5ACA"/>
    <w:rsid w:val="001E6395"/>
    <w:rsid w:val="001F174E"/>
    <w:rsid w:val="001F42A5"/>
    <w:rsid w:val="001F7B9D"/>
    <w:rsid w:val="00200134"/>
    <w:rsid w:val="00201C93"/>
    <w:rsid w:val="00202538"/>
    <w:rsid w:val="0020327B"/>
    <w:rsid w:val="002042B7"/>
    <w:rsid w:val="00210B03"/>
    <w:rsid w:val="00211B56"/>
    <w:rsid w:val="00215A35"/>
    <w:rsid w:val="002224B4"/>
    <w:rsid w:val="00226F1B"/>
    <w:rsid w:val="00230DC7"/>
    <w:rsid w:val="0023416E"/>
    <w:rsid w:val="0023534F"/>
    <w:rsid w:val="00235AEF"/>
    <w:rsid w:val="002447EF"/>
    <w:rsid w:val="00247BA6"/>
    <w:rsid w:val="002500DA"/>
    <w:rsid w:val="002514A4"/>
    <w:rsid w:val="00251550"/>
    <w:rsid w:val="00251E51"/>
    <w:rsid w:val="00255F29"/>
    <w:rsid w:val="00255F2E"/>
    <w:rsid w:val="002575E6"/>
    <w:rsid w:val="002621CF"/>
    <w:rsid w:val="00263B05"/>
    <w:rsid w:val="0027221A"/>
    <w:rsid w:val="002741C9"/>
    <w:rsid w:val="00275B61"/>
    <w:rsid w:val="002809E8"/>
    <w:rsid w:val="00280FAF"/>
    <w:rsid w:val="00281636"/>
    <w:rsid w:val="002823F5"/>
    <w:rsid w:val="00282656"/>
    <w:rsid w:val="00282FF1"/>
    <w:rsid w:val="00283ABC"/>
    <w:rsid w:val="00284224"/>
    <w:rsid w:val="00284C4E"/>
    <w:rsid w:val="00287D16"/>
    <w:rsid w:val="00287E63"/>
    <w:rsid w:val="00290398"/>
    <w:rsid w:val="0029632A"/>
    <w:rsid w:val="00296B83"/>
    <w:rsid w:val="002A0630"/>
    <w:rsid w:val="002A25DC"/>
    <w:rsid w:val="002A795F"/>
    <w:rsid w:val="002B2DB3"/>
    <w:rsid w:val="002B4015"/>
    <w:rsid w:val="002B4670"/>
    <w:rsid w:val="002B68A6"/>
    <w:rsid w:val="002B78CE"/>
    <w:rsid w:val="002B7C3C"/>
    <w:rsid w:val="002C0430"/>
    <w:rsid w:val="002C1763"/>
    <w:rsid w:val="002C1BB7"/>
    <w:rsid w:val="002C2FB6"/>
    <w:rsid w:val="002D26E1"/>
    <w:rsid w:val="002E5FA7"/>
    <w:rsid w:val="002E76BC"/>
    <w:rsid w:val="002F00C3"/>
    <w:rsid w:val="002F19CE"/>
    <w:rsid w:val="002F2D66"/>
    <w:rsid w:val="002F3228"/>
    <w:rsid w:val="002F3309"/>
    <w:rsid w:val="002F6056"/>
    <w:rsid w:val="002F7B27"/>
    <w:rsid w:val="003008CE"/>
    <w:rsid w:val="003009B7"/>
    <w:rsid w:val="00300E56"/>
    <w:rsid w:val="00301336"/>
    <w:rsid w:val="0030152C"/>
    <w:rsid w:val="003035AC"/>
    <w:rsid w:val="0030469C"/>
    <w:rsid w:val="003049BC"/>
    <w:rsid w:val="00312282"/>
    <w:rsid w:val="00321CA6"/>
    <w:rsid w:val="00323763"/>
    <w:rsid w:val="00323C5F"/>
    <w:rsid w:val="00324DB8"/>
    <w:rsid w:val="00326B4F"/>
    <w:rsid w:val="0033455B"/>
    <w:rsid w:val="003349F1"/>
    <w:rsid w:val="00334C09"/>
    <w:rsid w:val="003408DC"/>
    <w:rsid w:val="00342C2E"/>
    <w:rsid w:val="00345BDB"/>
    <w:rsid w:val="00345DAB"/>
    <w:rsid w:val="00346EF3"/>
    <w:rsid w:val="00350905"/>
    <w:rsid w:val="00354E8F"/>
    <w:rsid w:val="00360E6E"/>
    <w:rsid w:val="003618F3"/>
    <w:rsid w:val="0036232A"/>
    <w:rsid w:val="00362B23"/>
    <w:rsid w:val="00363671"/>
    <w:rsid w:val="0036483D"/>
    <w:rsid w:val="0036492B"/>
    <w:rsid w:val="0036745D"/>
    <w:rsid w:val="00367572"/>
    <w:rsid w:val="003678A4"/>
    <w:rsid w:val="0037200B"/>
    <w:rsid w:val="003723D4"/>
    <w:rsid w:val="00375F41"/>
    <w:rsid w:val="00381905"/>
    <w:rsid w:val="00381B88"/>
    <w:rsid w:val="00382B86"/>
    <w:rsid w:val="00384CC8"/>
    <w:rsid w:val="00386777"/>
    <w:rsid w:val="003871FD"/>
    <w:rsid w:val="00392861"/>
    <w:rsid w:val="003A1E30"/>
    <w:rsid w:val="003A2829"/>
    <w:rsid w:val="003A34C3"/>
    <w:rsid w:val="003A4561"/>
    <w:rsid w:val="003A6FC6"/>
    <w:rsid w:val="003A7D1C"/>
    <w:rsid w:val="003B0724"/>
    <w:rsid w:val="003B11A7"/>
    <w:rsid w:val="003B304B"/>
    <w:rsid w:val="003B3146"/>
    <w:rsid w:val="003C0077"/>
    <w:rsid w:val="003C0D40"/>
    <w:rsid w:val="003C4534"/>
    <w:rsid w:val="003C5328"/>
    <w:rsid w:val="003C6CAB"/>
    <w:rsid w:val="003D04A4"/>
    <w:rsid w:val="003D2ED4"/>
    <w:rsid w:val="003D379E"/>
    <w:rsid w:val="003D4737"/>
    <w:rsid w:val="003D6401"/>
    <w:rsid w:val="003D7733"/>
    <w:rsid w:val="003E12A2"/>
    <w:rsid w:val="003E15BC"/>
    <w:rsid w:val="003E2AED"/>
    <w:rsid w:val="003E535F"/>
    <w:rsid w:val="003E7408"/>
    <w:rsid w:val="003F015E"/>
    <w:rsid w:val="003F0C61"/>
    <w:rsid w:val="003F0D3A"/>
    <w:rsid w:val="003F6AAB"/>
    <w:rsid w:val="00400414"/>
    <w:rsid w:val="00401F58"/>
    <w:rsid w:val="00402EC2"/>
    <w:rsid w:val="00404719"/>
    <w:rsid w:val="00405B9F"/>
    <w:rsid w:val="00406BAB"/>
    <w:rsid w:val="004074DC"/>
    <w:rsid w:val="0041446B"/>
    <w:rsid w:val="00415F39"/>
    <w:rsid w:val="00417DAA"/>
    <w:rsid w:val="00420C1D"/>
    <w:rsid w:val="004269ED"/>
    <w:rsid w:val="00426B86"/>
    <w:rsid w:val="00426D25"/>
    <w:rsid w:val="00433A95"/>
    <w:rsid w:val="0043590F"/>
    <w:rsid w:val="0043643B"/>
    <w:rsid w:val="004400B0"/>
    <w:rsid w:val="0044071E"/>
    <w:rsid w:val="0044329C"/>
    <w:rsid w:val="00444D78"/>
    <w:rsid w:val="00450CF1"/>
    <w:rsid w:val="00452B00"/>
    <w:rsid w:val="00453024"/>
    <w:rsid w:val="00453E24"/>
    <w:rsid w:val="004563C0"/>
    <w:rsid w:val="00457456"/>
    <w:rsid w:val="004577FE"/>
    <w:rsid w:val="00457B9C"/>
    <w:rsid w:val="0046164A"/>
    <w:rsid w:val="004628D2"/>
    <w:rsid w:val="00462DCD"/>
    <w:rsid w:val="004648AD"/>
    <w:rsid w:val="0046700E"/>
    <w:rsid w:val="004703A9"/>
    <w:rsid w:val="00472DF3"/>
    <w:rsid w:val="00473761"/>
    <w:rsid w:val="00475125"/>
    <w:rsid w:val="004760DE"/>
    <w:rsid w:val="004763D7"/>
    <w:rsid w:val="00483ED7"/>
    <w:rsid w:val="004879FD"/>
    <w:rsid w:val="0049408E"/>
    <w:rsid w:val="00495F34"/>
    <w:rsid w:val="004A004E"/>
    <w:rsid w:val="004A24CF"/>
    <w:rsid w:val="004A53E2"/>
    <w:rsid w:val="004B08E4"/>
    <w:rsid w:val="004B7651"/>
    <w:rsid w:val="004C0DBB"/>
    <w:rsid w:val="004C3D1D"/>
    <w:rsid w:val="004C3D84"/>
    <w:rsid w:val="004C7913"/>
    <w:rsid w:val="004C7DA4"/>
    <w:rsid w:val="004D3482"/>
    <w:rsid w:val="004D5244"/>
    <w:rsid w:val="004D6F1D"/>
    <w:rsid w:val="004E4DD6"/>
    <w:rsid w:val="004E5362"/>
    <w:rsid w:val="004E6AEA"/>
    <w:rsid w:val="004F10EC"/>
    <w:rsid w:val="004F284D"/>
    <w:rsid w:val="004F3E80"/>
    <w:rsid w:val="004F5E36"/>
    <w:rsid w:val="005049EB"/>
    <w:rsid w:val="00507B36"/>
    <w:rsid w:val="00507B47"/>
    <w:rsid w:val="00507BEF"/>
    <w:rsid w:val="00507CC9"/>
    <w:rsid w:val="00507CD8"/>
    <w:rsid w:val="005119A5"/>
    <w:rsid w:val="00511E14"/>
    <w:rsid w:val="00515CBB"/>
    <w:rsid w:val="00516AAC"/>
    <w:rsid w:val="00526CC0"/>
    <w:rsid w:val="005278B7"/>
    <w:rsid w:val="00530867"/>
    <w:rsid w:val="005312E1"/>
    <w:rsid w:val="005315F7"/>
    <w:rsid w:val="00532016"/>
    <w:rsid w:val="005346C8"/>
    <w:rsid w:val="00535881"/>
    <w:rsid w:val="00541E99"/>
    <w:rsid w:val="00543E7D"/>
    <w:rsid w:val="00547A68"/>
    <w:rsid w:val="00550E9F"/>
    <w:rsid w:val="00551F34"/>
    <w:rsid w:val="005531C9"/>
    <w:rsid w:val="0055378A"/>
    <w:rsid w:val="00555182"/>
    <w:rsid w:val="00555D19"/>
    <w:rsid w:val="00556D63"/>
    <w:rsid w:val="005578BA"/>
    <w:rsid w:val="00557AAE"/>
    <w:rsid w:val="00557F32"/>
    <w:rsid w:val="00560A62"/>
    <w:rsid w:val="00564047"/>
    <w:rsid w:val="00566642"/>
    <w:rsid w:val="00566C57"/>
    <w:rsid w:val="00570C43"/>
    <w:rsid w:val="00582075"/>
    <w:rsid w:val="005845DD"/>
    <w:rsid w:val="00584DAF"/>
    <w:rsid w:val="00592BD5"/>
    <w:rsid w:val="00597BB0"/>
    <w:rsid w:val="005A1007"/>
    <w:rsid w:val="005A1F6B"/>
    <w:rsid w:val="005A6FC9"/>
    <w:rsid w:val="005A76C2"/>
    <w:rsid w:val="005B2110"/>
    <w:rsid w:val="005B397E"/>
    <w:rsid w:val="005B5075"/>
    <w:rsid w:val="005B61E6"/>
    <w:rsid w:val="005C00A9"/>
    <w:rsid w:val="005C4115"/>
    <w:rsid w:val="005C77E1"/>
    <w:rsid w:val="005D1150"/>
    <w:rsid w:val="005D2A5C"/>
    <w:rsid w:val="005D3D9D"/>
    <w:rsid w:val="005D4B5F"/>
    <w:rsid w:val="005D4F32"/>
    <w:rsid w:val="005D668A"/>
    <w:rsid w:val="005D6A2F"/>
    <w:rsid w:val="005E1A82"/>
    <w:rsid w:val="005E2CCC"/>
    <w:rsid w:val="005E418E"/>
    <w:rsid w:val="005E5D10"/>
    <w:rsid w:val="005E645F"/>
    <w:rsid w:val="005E794C"/>
    <w:rsid w:val="005E7C48"/>
    <w:rsid w:val="005F0A28"/>
    <w:rsid w:val="005F0E5E"/>
    <w:rsid w:val="005F250E"/>
    <w:rsid w:val="005F2B1B"/>
    <w:rsid w:val="005F3677"/>
    <w:rsid w:val="005F7E32"/>
    <w:rsid w:val="00600535"/>
    <w:rsid w:val="00602D69"/>
    <w:rsid w:val="00606E57"/>
    <w:rsid w:val="006105F7"/>
    <w:rsid w:val="00610CD6"/>
    <w:rsid w:val="00611A7E"/>
    <w:rsid w:val="00616F33"/>
    <w:rsid w:val="00617B4B"/>
    <w:rsid w:val="00620697"/>
    <w:rsid w:val="0062074D"/>
    <w:rsid w:val="00620DEE"/>
    <w:rsid w:val="006216C5"/>
    <w:rsid w:val="00621F92"/>
    <w:rsid w:val="0062280A"/>
    <w:rsid w:val="00625639"/>
    <w:rsid w:val="006308FD"/>
    <w:rsid w:val="00631B33"/>
    <w:rsid w:val="00633161"/>
    <w:rsid w:val="006335A9"/>
    <w:rsid w:val="00641007"/>
    <w:rsid w:val="0064184D"/>
    <w:rsid w:val="006422CC"/>
    <w:rsid w:val="00643B3A"/>
    <w:rsid w:val="00651167"/>
    <w:rsid w:val="006513BE"/>
    <w:rsid w:val="0065143B"/>
    <w:rsid w:val="00660E3E"/>
    <w:rsid w:val="00662912"/>
    <w:rsid w:val="00662E74"/>
    <w:rsid w:val="00663648"/>
    <w:rsid w:val="00665624"/>
    <w:rsid w:val="00665D1B"/>
    <w:rsid w:val="00666187"/>
    <w:rsid w:val="0066641C"/>
    <w:rsid w:val="006742C8"/>
    <w:rsid w:val="00680C23"/>
    <w:rsid w:val="006847F3"/>
    <w:rsid w:val="0069187B"/>
    <w:rsid w:val="00693766"/>
    <w:rsid w:val="006A3281"/>
    <w:rsid w:val="006A50D7"/>
    <w:rsid w:val="006B10E4"/>
    <w:rsid w:val="006B22C8"/>
    <w:rsid w:val="006B4888"/>
    <w:rsid w:val="006B752B"/>
    <w:rsid w:val="006B79A1"/>
    <w:rsid w:val="006C2E45"/>
    <w:rsid w:val="006C34E0"/>
    <w:rsid w:val="006C359C"/>
    <w:rsid w:val="006C54B1"/>
    <w:rsid w:val="006C5579"/>
    <w:rsid w:val="006D211D"/>
    <w:rsid w:val="006D2B3B"/>
    <w:rsid w:val="006D558B"/>
    <w:rsid w:val="006D6C58"/>
    <w:rsid w:val="006D6E8B"/>
    <w:rsid w:val="006D7CB1"/>
    <w:rsid w:val="006E1E14"/>
    <w:rsid w:val="006E2EDC"/>
    <w:rsid w:val="006E35D1"/>
    <w:rsid w:val="006E6C1C"/>
    <w:rsid w:val="006E737D"/>
    <w:rsid w:val="006F32F7"/>
    <w:rsid w:val="006F3EBB"/>
    <w:rsid w:val="006F64AA"/>
    <w:rsid w:val="006F71B1"/>
    <w:rsid w:val="006F7649"/>
    <w:rsid w:val="0070004A"/>
    <w:rsid w:val="007035BF"/>
    <w:rsid w:val="007037F7"/>
    <w:rsid w:val="0070457B"/>
    <w:rsid w:val="007047A6"/>
    <w:rsid w:val="0071078A"/>
    <w:rsid w:val="00712365"/>
    <w:rsid w:val="00712677"/>
    <w:rsid w:val="00713973"/>
    <w:rsid w:val="00720A24"/>
    <w:rsid w:val="00720F13"/>
    <w:rsid w:val="00722C57"/>
    <w:rsid w:val="0072326E"/>
    <w:rsid w:val="00730CD0"/>
    <w:rsid w:val="0073202D"/>
    <w:rsid w:val="00732386"/>
    <w:rsid w:val="00733978"/>
    <w:rsid w:val="0073514D"/>
    <w:rsid w:val="00737F4F"/>
    <w:rsid w:val="00741871"/>
    <w:rsid w:val="00742E94"/>
    <w:rsid w:val="00743480"/>
    <w:rsid w:val="0074427D"/>
    <w:rsid w:val="007447F3"/>
    <w:rsid w:val="0075232B"/>
    <w:rsid w:val="0075499F"/>
    <w:rsid w:val="007573A4"/>
    <w:rsid w:val="00760151"/>
    <w:rsid w:val="00760289"/>
    <w:rsid w:val="007619E8"/>
    <w:rsid w:val="00762692"/>
    <w:rsid w:val="00765BF9"/>
    <w:rsid w:val="007661C8"/>
    <w:rsid w:val="0077098D"/>
    <w:rsid w:val="007723F9"/>
    <w:rsid w:val="0077306B"/>
    <w:rsid w:val="007757D5"/>
    <w:rsid w:val="007824D7"/>
    <w:rsid w:val="00783002"/>
    <w:rsid w:val="00785823"/>
    <w:rsid w:val="00791CE6"/>
    <w:rsid w:val="007931FA"/>
    <w:rsid w:val="0079347B"/>
    <w:rsid w:val="00794E0B"/>
    <w:rsid w:val="007A0362"/>
    <w:rsid w:val="007A3071"/>
    <w:rsid w:val="007A3557"/>
    <w:rsid w:val="007A4861"/>
    <w:rsid w:val="007A50EA"/>
    <w:rsid w:val="007A703D"/>
    <w:rsid w:val="007A78F5"/>
    <w:rsid w:val="007A7BBA"/>
    <w:rsid w:val="007B0C50"/>
    <w:rsid w:val="007B0D41"/>
    <w:rsid w:val="007B1DA5"/>
    <w:rsid w:val="007B2956"/>
    <w:rsid w:val="007B48F9"/>
    <w:rsid w:val="007C1A43"/>
    <w:rsid w:val="007C5717"/>
    <w:rsid w:val="007C6CBE"/>
    <w:rsid w:val="007D0951"/>
    <w:rsid w:val="007D4800"/>
    <w:rsid w:val="007D48D3"/>
    <w:rsid w:val="007E0C9B"/>
    <w:rsid w:val="007E0D31"/>
    <w:rsid w:val="007F014C"/>
    <w:rsid w:val="007F5DB0"/>
    <w:rsid w:val="0080013E"/>
    <w:rsid w:val="0080113F"/>
    <w:rsid w:val="00801D6E"/>
    <w:rsid w:val="00802267"/>
    <w:rsid w:val="00803523"/>
    <w:rsid w:val="0080449E"/>
    <w:rsid w:val="008129A0"/>
    <w:rsid w:val="008129DC"/>
    <w:rsid w:val="00813288"/>
    <w:rsid w:val="00813969"/>
    <w:rsid w:val="008157AB"/>
    <w:rsid w:val="008168FC"/>
    <w:rsid w:val="008169AF"/>
    <w:rsid w:val="00820630"/>
    <w:rsid w:val="00820840"/>
    <w:rsid w:val="00821A47"/>
    <w:rsid w:val="00822849"/>
    <w:rsid w:val="0082391B"/>
    <w:rsid w:val="008247A2"/>
    <w:rsid w:val="00825440"/>
    <w:rsid w:val="00830996"/>
    <w:rsid w:val="00831758"/>
    <w:rsid w:val="008345F1"/>
    <w:rsid w:val="00835E70"/>
    <w:rsid w:val="008400EA"/>
    <w:rsid w:val="00841FB1"/>
    <w:rsid w:val="0084649E"/>
    <w:rsid w:val="008464FE"/>
    <w:rsid w:val="008522FF"/>
    <w:rsid w:val="00855AFF"/>
    <w:rsid w:val="00856B94"/>
    <w:rsid w:val="0086196C"/>
    <w:rsid w:val="00862A64"/>
    <w:rsid w:val="00864168"/>
    <w:rsid w:val="00865B07"/>
    <w:rsid w:val="008667EA"/>
    <w:rsid w:val="008705E6"/>
    <w:rsid w:val="0087081A"/>
    <w:rsid w:val="00871F1D"/>
    <w:rsid w:val="00872722"/>
    <w:rsid w:val="00872761"/>
    <w:rsid w:val="00872C3A"/>
    <w:rsid w:val="00873F37"/>
    <w:rsid w:val="0087637F"/>
    <w:rsid w:val="00876990"/>
    <w:rsid w:val="008869CD"/>
    <w:rsid w:val="00892AD5"/>
    <w:rsid w:val="00893356"/>
    <w:rsid w:val="0089700C"/>
    <w:rsid w:val="008A108A"/>
    <w:rsid w:val="008A1512"/>
    <w:rsid w:val="008A15AF"/>
    <w:rsid w:val="008A55AD"/>
    <w:rsid w:val="008A7AC8"/>
    <w:rsid w:val="008B0286"/>
    <w:rsid w:val="008B0A7C"/>
    <w:rsid w:val="008B13DC"/>
    <w:rsid w:val="008B2E66"/>
    <w:rsid w:val="008B3589"/>
    <w:rsid w:val="008B623F"/>
    <w:rsid w:val="008B7A84"/>
    <w:rsid w:val="008B7C03"/>
    <w:rsid w:val="008C48A5"/>
    <w:rsid w:val="008C593E"/>
    <w:rsid w:val="008C64CC"/>
    <w:rsid w:val="008C7D24"/>
    <w:rsid w:val="008D14D2"/>
    <w:rsid w:val="008D32B9"/>
    <w:rsid w:val="008D4268"/>
    <w:rsid w:val="008D433B"/>
    <w:rsid w:val="008D4A16"/>
    <w:rsid w:val="008D5528"/>
    <w:rsid w:val="008D690A"/>
    <w:rsid w:val="008E08AC"/>
    <w:rsid w:val="008E1391"/>
    <w:rsid w:val="008E19C5"/>
    <w:rsid w:val="008E3AFE"/>
    <w:rsid w:val="008E566E"/>
    <w:rsid w:val="008E5C14"/>
    <w:rsid w:val="008E740E"/>
    <w:rsid w:val="008E79E8"/>
    <w:rsid w:val="008E7E1F"/>
    <w:rsid w:val="008F27C2"/>
    <w:rsid w:val="008F4C44"/>
    <w:rsid w:val="00901341"/>
    <w:rsid w:val="0090161A"/>
    <w:rsid w:val="00901EB6"/>
    <w:rsid w:val="00903BC2"/>
    <w:rsid w:val="00904AA7"/>
    <w:rsid w:val="00904C62"/>
    <w:rsid w:val="009113A2"/>
    <w:rsid w:val="00912890"/>
    <w:rsid w:val="00912B1E"/>
    <w:rsid w:val="009225A9"/>
    <w:rsid w:val="00922BA8"/>
    <w:rsid w:val="009248C5"/>
    <w:rsid w:val="00924DAC"/>
    <w:rsid w:val="00927058"/>
    <w:rsid w:val="009319B7"/>
    <w:rsid w:val="0093436B"/>
    <w:rsid w:val="009347C8"/>
    <w:rsid w:val="00942750"/>
    <w:rsid w:val="009450CE"/>
    <w:rsid w:val="009459BB"/>
    <w:rsid w:val="00947179"/>
    <w:rsid w:val="0095164B"/>
    <w:rsid w:val="009532A5"/>
    <w:rsid w:val="00954090"/>
    <w:rsid w:val="00954468"/>
    <w:rsid w:val="00956919"/>
    <w:rsid w:val="00957390"/>
    <w:rsid w:val="009573E7"/>
    <w:rsid w:val="00960EE9"/>
    <w:rsid w:val="00963E05"/>
    <w:rsid w:val="009648B3"/>
    <w:rsid w:val="00964A45"/>
    <w:rsid w:val="00967843"/>
    <w:rsid w:val="00967D54"/>
    <w:rsid w:val="00971028"/>
    <w:rsid w:val="009756B4"/>
    <w:rsid w:val="00975BE4"/>
    <w:rsid w:val="00981BA0"/>
    <w:rsid w:val="00982033"/>
    <w:rsid w:val="00982D0F"/>
    <w:rsid w:val="00985792"/>
    <w:rsid w:val="00992989"/>
    <w:rsid w:val="00993B84"/>
    <w:rsid w:val="00994903"/>
    <w:rsid w:val="00996483"/>
    <w:rsid w:val="009967E7"/>
    <w:rsid w:val="00996F5A"/>
    <w:rsid w:val="009A27E5"/>
    <w:rsid w:val="009A2BB5"/>
    <w:rsid w:val="009A50FA"/>
    <w:rsid w:val="009B041A"/>
    <w:rsid w:val="009B04D4"/>
    <w:rsid w:val="009C3561"/>
    <w:rsid w:val="009C37C3"/>
    <w:rsid w:val="009C7C86"/>
    <w:rsid w:val="009D2FF7"/>
    <w:rsid w:val="009E05BA"/>
    <w:rsid w:val="009E086D"/>
    <w:rsid w:val="009E4F47"/>
    <w:rsid w:val="009E54AA"/>
    <w:rsid w:val="009E7884"/>
    <w:rsid w:val="009E788A"/>
    <w:rsid w:val="009F0BA3"/>
    <w:rsid w:val="009F0E08"/>
    <w:rsid w:val="009F11F9"/>
    <w:rsid w:val="009F12D1"/>
    <w:rsid w:val="009F3D15"/>
    <w:rsid w:val="009F4CC1"/>
    <w:rsid w:val="00A00362"/>
    <w:rsid w:val="00A00E78"/>
    <w:rsid w:val="00A01218"/>
    <w:rsid w:val="00A0282F"/>
    <w:rsid w:val="00A04710"/>
    <w:rsid w:val="00A0652A"/>
    <w:rsid w:val="00A16E3F"/>
    <w:rsid w:val="00A174A0"/>
    <w:rsid w:val="00A1763D"/>
    <w:rsid w:val="00A17CEC"/>
    <w:rsid w:val="00A214D4"/>
    <w:rsid w:val="00A244A9"/>
    <w:rsid w:val="00A25480"/>
    <w:rsid w:val="00A266A9"/>
    <w:rsid w:val="00A270FE"/>
    <w:rsid w:val="00A27EF0"/>
    <w:rsid w:val="00A30B91"/>
    <w:rsid w:val="00A32943"/>
    <w:rsid w:val="00A35CB4"/>
    <w:rsid w:val="00A37BA8"/>
    <w:rsid w:val="00A37E4F"/>
    <w:rsid w:val="00A42039"/>
    <w:rsid w:val="00A4219E"/>
    <w:rsid w:val="00A42361"/>
    <w:rsid w:val="00A50B20"/>
    <w:rsid w:val="00A51390"/>
    <w:rsid w:val="00A521D5"/>
    <w:rsid w:val="00A56C3C"/>
    <w:rsid w:val="00A5765A"/>
    <w:rsid w:val="00A60D13"/>
    <w:rsid w:val="00A61CAF"/>
    <w:rsid w:val="00A65993"/>
    <w:rsid w:val="00A674A2"/>
    <w:rsid w:val="00A715A8"/>
    <w:rsid w:val="00A7223D"/>
    <w:rsid w:val="00A72745"/>
    <w:rsid w:val="00A739CC"/>
    <w:rsid w:val="00A7416A"/>
    <w:rsid w:val="00A75D71"/>
    <w:rsid w:val="00A767FA"/>
    <w:rsid w:val="00A76EFC"/>
    <w:rsid w:val="00A8026C"/>
    <w:rsid w:val="00A80E2D"/>
    <w:rsid w:val="00A8233E"/>
    <w:rsid w:val="00A82D61"/>
    <w:rsid w:val="00A84AD3"/>
    <w:rsid w:val="00A85D08"/>
    <w:rsid w:val="00A86372"/>
    <w:rsid w:val="00A86DE5"/>
    <w:rsid w:val="00A871E2"/>
    <w:rsid w:val="00A87D50"/>
    <w:rsid w:val="00A904A7"/>
    <w:rsid w:val="00A90CAB"/>
    <w:rsid w:val="00A91010"/>
    <w:rsid w:val="00A924E4"/>
    <w:rsid w:val="00A94EF6"/>
    <w:rsid w:val="00A97F29"/>
    <w:rsid w:val="00AA06EA"/>
    <w:rsid w:val="00AA2589"/>
    <w:rsid w:val="00AA5F3E"/>
    <w:rsid w:val="00AA68CC"/>
    <w:rsid w:val="00AA702E"/>
    <w:rsid w:val="00AA7519"/>
    <w:rsid w:val="00AA7D26"/>
    <w:rsid w:val="00AB0964"/>
    <w:rsid w:val="00AB5011"/>
    <w:rsid w:val="00AB7ACF"/>
    <w:rsid w:val="00AC4B78"/>
    <w:rsid w:val="00AC4D2B"/>
    <w:rsid w:val="00AC4D88"/>
    <w:rsid w:val="00AC567C"/>
    <w:rsid w:val="00AC6C0C"/>
    <w:rsid w:val="00AC7368"/>
    <w:rsid w:val="00AD16A2"/>
    <w:rsid w:val="00AD16B9"/>
    <w:rsid w:val="00AD175E"/>
    <w:rsid w:val="00AD1F38"/>
    <w:rsid w:val="00AD2EA0"/>
    <w:rsid w:val="00AD37E4"/>
    <w:rsid w:val="00AD3F24"/>
    <w:rsid w:val="00AD7284"/>
    <w:rsid w:val="00AE0190"/>
    <w:rsid w:val="00AE2721"/>
    <w:rsid w:val="00AE33D4"/>
    <w:rsid w:val="00AE377D"/>
    <w:rsid w:val="00AE73D8"/>
    <w:rsid w:val="00AF0EBA"/>
    <w:rsid w:val="00AF413F"/>
    <w:rsid w:val="00B011DA"/>
    <w:rsid w:val="00B02C8A"/>
    <w:rsid w:val="00B03627"/>
    <w:rsid w:val="00B03B23"/>
    <w:rsid w:val="00B041DA"/>
    <w:rsid w:val="00B05916"/>
    <w:rsid w:val="00B06585"/>
    <w:rsid w:val="00B168DD"/>
    <w:rsid w:val="00B17FBD"/>
    <w:rsid w:val="00B22675"/>
    <w:rsid w:val="00B24706"/>
    <w:rsid w:val="00B25498"/>
    <w:rsid w:val="00B25A95"/>
    <w:rsid w:val="00B315A6"/>
    <w:rsid w:val="00B31813"/>
    <w:rsid w:val="00B319EE"/>
    <w:rsid w:val="00B32E0C"/>
    <w:rsid w:val="00B33365"/>
    <w:rsid w:val="00B34F6D"/>
    <w:rsid w:val="00B361B5"/>
    <w:rsid w:val="00B43166"/>
    <w:rsid w:val="00B45A22"/>
    <w:rsid w:val="00B46F95"/>
    <w:rsid w:val="00B530D6"/>
    <w:rsid w:val="00B5508C"/>
    <w:rsid w:val="00B562B2"/>
    <w:rsid w:val="00B57B36"/>
    <w:rsid w:val="00B57E6F"/>
    <w:rsid w:val="00B64732"/>
    <w:rsid w:val="00B64A49"/>
    <w:rsid w:val="00B670CB"/>
    <w:rsid w:val="00B71973"/>
    <w:rsid w:val="00B7220E"/>
    <w:rsid w:val="00B7280F"/>
    <w:rsid w:val="00B74EA3"/>
    <w:rsid w:val="00B82C90"/>
    <w:rsid w:val="00B8686D"/>
    <w:rsid w:val="00B92667"/>
    <w:rsid w:val="00B92A20"/>
    <w:rsid w:val="00B93F69"/>
    <w:rsid w:val="00B97A92"/>
    <w:rsid w:val="00BA04CE"/>
    <w:rsid w:val="00BA693D"/>
    <w:rsid w:val="00BA700D"/>
    <w:rsid w:val="00BB1DDC"/>
    <w:rsid w:val="00BB3FF9"/>
    <w:rsid w:val="00BB5BE8"/>
    <w:rsid w:val="00BB640D"/>
    <w:rsid w:val="00BC30C9"/>
    <w:rsid w:val="00BC66C0"/>
    <w:rsid w:val="00BC7D7D"/>
    <w:rsid w:val="00BD077D"/>
    <w:rsid w:val="00BD3CF8"/>
    <w:rsid w:val="00BD3FA2"/>
    <w:rsid w:val="00BD48D9"/>
    <w:rsid w:val="00BD4D6A"/>
    <w:rsid w:val="00BD75D6"/>
    <w:rsid w:val="00BE1F2F"/>
    <w:rsid w:val="00BE2645"/>
    <w:rsid w:val="00BE3005"/>
    <w:rsid w:val="00BE3E58"/>
    <w:rsid w:val="00BE50A1"/>
    <w:rsid w:val="00BE5522"/>
    <w:rsid w:val="00BE7B63"/>
    <w:rsid w:val="00BF00DC"/>
    <w:rsid w:val="00BF0246"/>
    <w:rsid w:val="00BF0299"/>
    <w:rsid w:val="00BF3AF5"/>
    <w:rsid w:val="00C01616"/>
    <w:rsid w:val="00C0162B"/>
    <w:rsid w:val="00C01F02"/>
    <w:rsid w:val="00C05BEA"/>
    <w:rsid w:val="00C0673F"/>
    <w:rsid w:val="00C068ED"/>
    <w:rsid w:val="00C06925"/>
    <w:rsid w:val="00C1129F"/>
    <w:rsid w:val="00C127F6"/>
    <w:rsid w:val="00C15F54"/>
    <w:rsid w:val="00C22E0C"/>
    <w:rsid w:val="00C24D0F"/>
    <w:rsid w:val="00C26FEB"/>
    <w:rsid w:val="00C345B1"/>
    <w:rsid w:val="00C40142"/>
    <w:rsid w:val="00C41A20"/>
    <w:rsid w:val="00C5293B"/>
    <w:rsid w:val="00C52C3C"/>
    <w:rsid w:val="00C544C5"/>
    <w:rsid w:val="00C55FD5"/>
    <w:rsid w:val="00C57182"/>
    <w:rsid w:val="00C57863"/>
    <w:rsid w:val="00C62DCA"/>
    <w:rsid w:val="00C637D1"/>
    <w:rsid w:val="00C640AF"/>
    <w:rsid w:val="00C655FD"/>
    <w:rsid w:val="00C65E19"/>
    <w:rsid w:val="00C67E09"/>
    <w:rsid w:val="00C71E24"/>
    <w:rsid w:val="00C72F29"/>
    <w:rsid w:val="00C74900"/>
    <w:rsid w:val="00C75407"/>
    <w:rsid w:val="00C75513"/>
    <w:rsid w:val="00C762E2"/>
    <w:rsid w:val="00C82BED"/>
    <w:rsid w:val="00C85AB0"/>
    <w:rsid w:val="00C870A8"/>
    <w:rsid w:val="00C91E35"/>
    <w:rsid w:val="00C92B39"/>
    <w:rsid w:val="00C94284"/>
    <w:rsid w:val="00C94434"/>
    <w:rsid w:val="00CA095E"/>
    <w:rsid w:val="00CA0D4A"/>
    <w:rsid w:val="00CA0D75"/>
    <w:rsid w:val="00CA1C95"/>
    <w:rsid w:val="00CA5A9C"/>
    <w:rsid w:val="00CA6B48"/>
    <w:rsid w:val="00CA6BAA"/>
    <w:rsid w:val="00CB0479"/>
    <w:rsid w:val="00CB1C08"/>
    <w:rsid w:val="00CB2E3E"/>
    <w:rsid w:val="00CC1540"/>
    <w:rsid w:val="00CC4C20"/>
    <w:rsid w:val="00CC6001"/>
    <w:rsid w:val="00CD28E4"/>
    <w:rsid w:val="00CD3517"/>
    <w:rsid w:val="00CD35EE"/>
    <w:rsid w:val="00CD5FE2"/>
    <w:rsid w:val="00CE7C68"/>
    <w:rsid w:val="00CF367F"/>
    <w:rsid w:val="00D006F9"/>
    <w:rsid w:val="00D025AC"/>
    <w:rsid w:val="00D02B4C"/>
    <w:rsid w:val="00D040C4"/>
    <w:rsid w:val="00D06703"/>
    <w:rsid w:val="00D10794"/>
    <w:rsid w:val="00D111FE"/>
    <w:rsid w:val="00D13458"/>
    <w:rsid w:val="00D20AD1"/>
    <w:rsid w:val="00D236D7"/>
    <w:rsid w:val="00D26F9B"/>
    <w:rsid w:val="00D304D0"/>
    <w:rsid w:val="00D33F51"/>
    <w:rsid w:val="00D45C51"/>
    <w:rsid w:val="00D46B7E"/>
    <w:rsid w:val="00D54EC9"/>
    <w:rsid w:val="00D567A8"/>
    <w:rsid w:val="00D57C84"/>
    <w:rsid w:val="00D6057D"/>
    <w:rsid w:val="00D61A15"/>
    <w:rsid w:val="00D6200D"/>
    <w:rsid w:val="00D623BF"/>
    <w:rsid w:val="00D648EC"/>
    <w:rsid w:val="00D67774"/>
    <w:rsid w:val="00D713CE"/>
    <w:rsid w:val="00D71640"/>
    <w:rsid w:val="00D74791"/>
    <w:rsid w:val="00D76C02"/>
    <w:rsid w:val="00D778A4"/>
    <w:rsid w:val="00D836C5"/>
    <w:rsid w:val="00D84576"/>
    <w:rsid w:val="00D876B0"/>
    <w:rsid w:val="00D910A5"/>
    <w:rsid w:val="00D96F00"/>
    <w:rsid w:val="00D97FC7"/>
    <w:rsid w:val="00DA1399"/>
    <w:rsid w:val="00DA24C6"/>
    <w:rsid w:val="00DA4D7B"/>
    <w:rsid w:val="00DA4F66"/>
    <w:rsid w:val="00DB31EC"/>
    <w:rsid w:val="00DB56D2"/>
    <w:rsid w:val="00DB58D4"/>
    <w:rsid w:val="00DB5B2F"/>
    <w:rsid w:val="00DB7DC5"/>
    <w:rsid w:val="00DC11BA"/>
    <w:rsid w:val="00DC2AF5"/>
    <w:rsid w:val="00DC2D0B"/>
    <w:rsid w:val="00DD133D"/>
    <w:rsid w:val="00DD1F47"/>
    <w:rsid w:val="00DD271C"/>
    <w:rsid w:val="00DD77FE"/>
    <w:rsid w:val="00DE1E4D"/>
    <w:rsid w:val="00DE264A"/>
    <w:rsid w:val="00DE3A41"/>
    <w:rsid w:val="00DE4798"/>
    <w:rsid w:val="00DE7395"/>
    <w:rsid w:val="00DE74D2"/>
    <w:rsid w:val="00DF0C7C"/>
    <w:rsid w:val="00DF1FC2"/>
    <w:rsid w:val="00DF2621"/>
    <w:rsid w:val="00DF3846"/>
    <w:rsid w:val="00DF5072"/>
    <w:rsid w:val="00E02D18"/>
    <w:rsid w:val="00E03D3F"/>
    <w:rsid w:val="00E041E7"/>
    <w:rsid w:val="00E04354"/>
    <w:rsid w:val="00E062FF"/>
    <w:rsid w:val="00E11E8C"/>
    <w:rsid w:val="00E12147"/>
    <w:rsid w:val="00E14EFA"/>
    <w:rsid w:val="00E156D7"/>
    <w:rsid w:val="00E165FB"/>
    <w:rsid w:val="00E23CA1"/>
    <w:rsid w:val="00E32BBE"/>
    <w:rsid w:val="00E33DD7"/>
    <w:rsid w:val="00E35CEB"/>
    <w:rsid w:val="00E36CEF"/>
    <w:rsid w:val="00E409A8"/>
    <w:rsid w:val="00E43971"/>
    <w:rsid w:val="00E4626E"/>
    <w:rsid w:val="00E50C12"/>
    <w:rsid w:val="00E517F5"/>
    <w:rsid w:val="00E534BE"/>
    <w:rsid w:val="00E53651"/>
    <w:rsid w:val="00E56445"/>
    <w:rsid w:val="00E61682"/>
    <w:rsid w:val="00E616C5"/>
    <w:rsid w:val="00E648FC"/>
    <w:rsid w:val="00E65B91"/>
    <w:rsid w:val="00E7209D"/>
    <w:rsid w:val="00E72EAD"/>
    <w:rsid w:val="00E73484"/>
    <w:rsid w:val="00E77223"/>
    <w:rsid w:val="00E819DC"/>
    <w:rsid w:val="00E82D8A"/>
    <w:rsid w:val="00E82F46"/>
    <w:rsid w:val="00E8391D"/>
    <w:rsid w:val="00E8528B"/>
    <w:rsid w:val="00E85B94"/>
    <w:rsid w:val="00E863D6"/>
    <w:rsid w:val="00E87626"/>
    <w:rsid w:val="00E909D2"/>
    <w:rsid w:val="00E93DA2"/>
    <w:rsid w:val="00E957DB"/>
    <w:rsid w:val="00E978D0"/>
    <w:rsid w:val="00EA32AF"/>
    <w:rsid w:val="00EA4613"/>
    <w:rsid w:val="00EA7F91"/>
    <w:rsid w:val="00EB119C"/>
    <w:rsid w:val="00EB1523"/>
    <w:rsid w:val="00EB5BEE"/>
    <w:rsid w:val="00EB654F"/>
    <w:rsid w:val="00EC0E49"/>
    <w:rsid w:val="00EC101F"/>
    <w:rsid w:val="00EC11E6"/>
    <w:rsid w:val="00EC141F"/>
    <w:rsid w:val="00EC1D9F"/>
    <w:rsid w:val="00EC2757"/>
    <w:rsid w:val="00EC5437"/>
    <w:rsid w:val="00ED0E06"/>
    <w:rsid w:val="00ED12D3"/>
    <w:rsid w:val="00ED1944"/>
    <w:rsid w:val="00ED4F4A"/>
    <w:rsid w:val="00ED7CD5"/>
    <w:rsid w:val="00EE0131"/>
    <w:rsid w:val="00EE17B0"/>
    <w:rsid w:val="00EE24EA"/>
    <w:rsid w:val="00EE5419"/>
    <w:rsid w:val="00EE59C3"/>
    <w:rsid w:val="00EE6EAE"/>
    <w:rsid w:val="00EE770F"/>
    <w:rsid w:val="00EF06D9"/>
    <w:rsid w:val="00EF1324"/>
    <w:rsid w:val="00EF2643"/>
    <w:rsid w:val="00EF6665"/>
    <w:rsid w:val="00F002AB"/>
    <w:rsid w:val="00F10295"/>
    <w:rsid w:val="00F115B8"/>
    <w:rsid w:val="00F119BD"/>
    <w:rsid w:val="00F127C1"/>
    <w:rsid w:val="00F146F3"/>
    <w:rsid w:val="00F1649D"/>
    <w:rsid w:val="00F170D4"/>
    <w:rsid w:val="00F171A2"/>
    <w:rsid w:val="00F2238B"/>
    <w:rsid w:val="00F22D36"/>
    <w:rsid w:val="00F2471B"/>
    <w:rsid w:val="00F26C7C"/>
    <w:rsid w:val="00F3049E"/>
    <w:rsid w:val="00F30C64"/>
    <w:rsid w:val="00F32070"/>
    <w:rsid w:val="00F32BA2"/>
    <w:rsid w:val="00F32CDB"/>
    <w:rsid w:val="00F3320D"/>
    <w:rsid w:val="00F42F10"/>
    <w:rsid w:val="00F4308F"/>
    <w:rsid w:val="00F46C87"/>
    <w:rsid w:val="00F562D4"/>
    <w:rsid w:val="00F5640C"/>
    <w:rsid w:val="00F565FE"/>
    <w:rsid w:val="00F57074"/>
    <w:rsid w:val="00F60D90"/>
    <w:rsid w:val="00F60DFF"/>
    <w:rsid w:val="00F60E4B"/>
    <w:rsid w:val="00F63A70"/>
    <w:rsid w:val="00F63D8C"/>
    <w:rsid w:val="00F663DD"/>
    <w:rsid w:val="00F7023F"/>
    <w:rsid w:val="00F709CC"/>
    <w:rsid w:val="00F70CDA"/>
    <w:rsid w:val="00F7534E"/>
    <w:rsid w:val="00F810ED"/>
    <w:rsid w:val="00F82026"/>
    <w:rsid w:val="00F83F61"/>
    <w:rsid w:val="00F852D0"/>
    <w:rsid w:val="00F9209B"/>
    <w:rsid w:val="00F93EDF"/>
    <w:rsid w:val="00F948C8"/>
    <w:rsid w:val="00F967D0"/>
    <w:rsid w:val="00F97BA4"/>
    <w:rsid w:val="00FA1802"/>
    <w:rsid w:val="00FA21D0"/>
    <w:rsid w:val="00FA30A3"/>
    <w:rsid w:val="00FA46EF"/>
    <w:rsid w:val="00FA5F5F"/>
    <w:rsid w:val="00FB2969"/>
    <w:rsid w:val="00FB514F"/>
    <w:rsid w:val="00FB6217"/>
    <w:rsid w:val="00FB64FB"/>
    <w:rsid w:val="00FB730C"/>
    <w:rsid w:val="00FC2695"/>
    <w:rsid w:val="00FC3E03"/>
    <w:rsid w:val="00FC3FC1"/>
    <w:rsid w:val="00FD1023"/>
    <w:rsid w:val="00FD6607"/>
    <w:rsid w:val="00FE1670"/>
    <w:rsid w:val="00FE5D8C"/>
    <w:rsid w:val="00FF21AA"/>
    <w:rsid w:val="00FF3788"/>
    <w:rsid w:val="00FF3B5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452B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francesco.negri\Desktop\Progetti\Politecnico\Papers\E2DT_2023\KINETIC%20STUDY\kinetic%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'kinetic 3600'!$Q$14:$Q$22</c:f>
              <c:numCache>
                <c:formatCode>General</c:formatCode>
                <c:ptCount val="9"/>
                <c:pt idx="0">
                  <c:v>450</c:v>
                </c:pt>
                <c:pt idx="1">
                  <c:v>475</c:v>
                </c:pt>
                <c:pt idx="2">
                  <c:v>500</c:v>
                </c:pt>
                <c:pt idx="3">
                  <c:v>525</c:v>
                </c:pt>
                <c:pt idx="4">
                  <c:v>550</c:v>
                </c:pt>
                <c:pt idx="5">
                  <c:v>575</c:v>
                </c:pt>
                <c:pt idx="6">
                  <c:v>600</c:v>
                </c:pt>
                <c:pt idx="7">
                  <c:v>625</c:v>
                </c:pt>
                <c:pt idx="8">
                  <c:v>650</c:v>
                </c:pt>
              </c:numCache>
            </c:numRef>
          </c:xVal>
          <c:yVal>
            <c:numRef>
              <c:f>'kinetic 3600'!$S$14:$S$22</c:f>
              <c:numCache>
                <c:formatCode>0.0000</c:formatCode>
                <c:ptCount val="9"/>
                <c:pt idx="0">
                  <c:v>0.17414237098795809</c:v>
                </c:pt>
                <c:pt idx="1">
                  <c:v>0.13308941507672276</c:v>
                </c:pt>
                <c:pt idx="2">
                  <c:v>0.11736944642560146</c:v>
                </c:pt>
                <c:pt idx="3">
                  <c:v>8.4629703568445069E-2</c:v>
                </c:pt>
                <c:pt idx="4">
                  <c:v>6.6749763997388079E-2</c:v>
                </c:pt>
                <c:pt idx="5">
                  <c:v>5.9345398387635792E-2</c:v>
                </c:pt>
                <c:pt idx="6">
                  <c:v>4.4547880215587136E-2</c:v>
                </c:pt>
                <c:pt idx="7">
                  <c:v>4.5947686077749746E-2</c:v>
                </c:pt>
                <c:pt idx="8">
                  <c:v>4.901775175075461E-2</c:v>
                </c:pt>
              </c:numCache>
            </c:numRef>
          </c:yVal>
          <c:smooth val="0"/>
          <c:extLst>
            <c:ext xmlns:c16="http://schemas.microsoft.com/office/drawing/2014/chart" uri="{C3380CC4-5D6E-409C-BE32-E72D297353CC}">
              <c16:uniqueId val="{00000000-0CFA-41C2-8DAA-7DE70E664013}"/>
            </c:ext>
          </c:extLst>
        </c:ser>
        <c:ser>
          <c:idx val="1"/>
          <c:order val="1"/>
          <c:tx>
            <c:v>mod</c:v>
          </c:tx>
          <c:spPr>
            <a:ln w="25400" cap="rnd">
              <a:noFill/>
              <a:round/>
            </a:ln>
            <a:effectLst/>
          </c:spPr>
          <c:marker>
            <c:symbol val="none"/>
          </c:marker>
          <c:trendline>
            <c:spPr>
              <a:ln w="19050" cap="rnd">
                <a:solidFill>
                  <a:schemeClr val="accent2"/>
                </a:solidFill>
                <a:prstDash val="solid"/>
              </a:ln>
              <a:effectLst/>
            </c:spPr>
            <c:trendlineType val="poly"/>
            <c:order val="2"/>
            <c:dispRSqr val="0"/>
            <c:dispEq val="0"/>
          </c:trendline>
          <c:xVal>
            <c:numRef>
              <c:f>'kinetic 3600'!$Q$14:$Q$22</c:f>
              <c:numCache>
                <c:formatCode>General</c:formatCode>
                <c:ptCount val="9"/>
                <c:pt idx="0">
                  <c:v>450</c:v>
                </c:pt>
                <c:pt idx="1">
                  <c:v>475</c:v>
                </c:pt>
                <c:pt idx="2">
                  <c:v>500</c:v>
                </c:pt>
                <c:pt idx="3">
                  <c:v>525</c:v>
                </c:pt>
                <c:pt idx="4">
                  <c:v>550</c:v>
                </c:pt>
                <c:pt idx="5">
                  <c:v>575</c:v>
                </c:pt>
                <c:pt idx="6">
                  <c:v>600</c:v>
                </c:pt>
                <c:pt idx="7">
                  <c:v>625</c:v>
                </c:pt>
                <c:pt idx="8">
                  <c:v>650</c:v>
                </c:pt>
              </c:numCache>
            </c:numRef>
          </c:xVal>
          <c:yVal>
            <c:numRef>
              <c:f>'kinetic 3600'!$U$14:$U$22</c:f>
              <c:numCache>
                <c:formatCode>0.0000</c:formatCode>
                <c:ptCount val="9"/>
                <c:pt idx="0">
                  <c:v>0.15492124191473583</c:v>
                </c:pt>
                <c:pt idx="1">
                  <c:v>0.13089294920949804</c:v>
                </c:pt>
                <c:pt idx="2">
                  <c:v>0.11027582429154101</c:v>
                </c:pt>
                <c:pt idx="3">
                  <c:v>9.2687504215731673E-2</c:v>
                </c:pt>
                <c:pt idx="4">
                  <c:v>7.7756942746516414E-2</c:v>
                </c:pt>
                <c:pt idx="5">
                  <c:v>6.5135463099780383E-2</c:v>
                </c:pt>
                <c:pt idx="6">
                  <c:v>5.4503345076200617E-2</c:v>
                </c:pt>
                <c:pt idx="7">
                  <c:v>4.5573018458945763E-2</c:v>
                </c:pt>
                <c:pt idx="8">
                  <c:v>3.8089802937290446E-2</c:v>
                </c:pt>
              </c:numCache>
            </c:numRef>
          </c:yVal>
          <c:smooth val="0"/>
          <c:extLst>
            <c:ext xmlns:c16="http://schemas.microsoft.com/office/drawing/2014/chart" uri="{C3380CC4-5D6E-409C-BE32-E72D297353CC}">
              <c16:uniqueId val="{00000001-0CFA-41C2-8DAA-7DE70E664013}"/>
            </c:ext>
          </c:extLst>
        </c:ser>
        <c:dLbls>
          <c:showLegendKey val="0"/>
          <c:showVal val="0"/>
          <c:showCatName val="0"/>
          <c:showSerName val="0"/>
          <c:showPercent val="0"/>
          <c:showBubbleSize val="0"/>
        </c:dLbls>
        <c:axId val="384576024"/>
        <c:axId val="384572416"/>
      </c:scatterChart>
      <c:valAx>
        <c:axId val="384576024"/>
        <c:scaling>
          <c:orientation val="minMax"/>
          <c:min val="42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it-IT">
                    <a:latin typeface="Arial" panose="020B0604020202020204" pitchFamily="34" charset="0"/>
                    <a:cs typeface="Arial" panose="020B0604020202020204" pitchFamily="34" charset="0"/>
                  </a:rPr>
                  <a:t>Temperature [°C]</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it-IT"/>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it-IT"/>
          </a:p>
        </c:txPr>
        <c:crossAx val="384572416"/>
        <c:crosses val="autoZero"/>
        <c:crossBetween val="midCat"/>
      </c:valAx>
      <c:valAx>
        <c:axId val="384572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l-GR">
                    <a:latin typeface="Arial" panose="020B0604020202020204" pitchFamily="34" charset="0"/>
                    <a:cs typeface="Arial" panose="020B0604020202020204" pitchFamily="34" charset="0"/>
                  </a:rPr>
                  <a:t>ω</a:t>
                </a:r>
                <a:r>
                  <a:rPr lang="it-IT">
                    <a:latin typeface="Arial" panose="020B0604020202020204" pitchFamily="34" charset="0"/>
                    <a:cs typeface="Arial" panose="020B0604020202020204" pitchFamily="34" charset="0"/>
                  </a:rPr>
                  <a:t>SS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it-IT"/>
            </a:p>
          </c:txPr>
        </c:title>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it-IT"/>
          </a:p>
        </c:txPr>
        <c:crossAx val="3845760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34D50-873F-4CBC-8628-96E6C734B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1225</TotalTime>
  <Pages>6</Pages>
  <Words>12169</Words>
  <Characters>69364</Characters>
  <Application>Microsoft Office Word</Application>
  <DocSecurity>0</DocSecurity>
  <Lines>578</Lines>
  <Paragraphs>162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81371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Francesco Negri</cp:lastModifiedBy>
  <cp:revision>1443</cp:revision>
  <cp:lastPrinted>2015-05-12T18:31:00Z</cp:lastPrinted>
  <dcterms:created xsi:type="dcterms:W3CDTF">2022-09-21T08:52:00Z</dcterms:created>
  <dcterms:modified xsi:type="dcterms:W3CDTF">2023-06-09T12:52:00Z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zotero-version="6.0.19"&gt;&lt;session id="kO0XZ3TI"/&gt;&lt;style id="http://www.zotero.org/styles/elsevier-harvard" hasBibliography="1" bibliographyStyleHasBeenSet="1"/&gt;&lt;prefs&gt;&lt;pref name="fieldType" value="Field"/&gt;&lt;pref name="storeReferences"</vt:lpwstr>
  </property>
  <property fmtid="{D5CDD505-2E9C-101B-9397-08002B2CF9AE}" pid="3" name="ZOTERO_PREF_2">
    <vt:lpwstr> value="true"/&gt;&lt;/prefs&gt;&lt;/data&gt;</vt:lpwstr>
  </property>
</Properties>
</file>