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45BE6" w14:paraId="2A131A54" w14:textId="77777777" w:rsidTr="00D059F1">
        <w:trPr>
          <w:trHeight w:val="852"/>
          <w:jc w:val="center"/>
        </w:trPr>
        <w:tc>
          <w:tcPr>
            <w:tcW w:w="6940" w:type="dxa"/>
            <w:vMerge w:val="restart"/>
            <w:tcBorders>
              <w:right w:val="single" w:sz="4" w:space="0" w:color="auto"/>
            </w:tcBorders>
          </w:tcPr>
          <w:p w14:paraId="38C3D2BA" w14:textId="77777777" w:rsidR="000A03B2" w:rsidRPr="00245BE6" w:rsidRDefault="000A03B2" w:rsidP="00612E24">
            <w:pPr>
              <w:tabs>
                <w:tab w:val="left" w:pos="-108"/>
              </w:tabs>
              <w:ind w:left="-108"/>
              <w:rPr>
                <w:rFonts w:cs="Arial"/>
                <w:b/>
                <w:bCs/>
                <w:i/>
                <w:iCs/>
                <w:color w:val="000066"/>
                <w:sz w:val="12"/>
                <w:szCs w:val="12"/>
                <w:lang w:eastAsia="it-IT"/>
              </w:rPr>
            </w:pPr>
            <w:r w:rsidRPr="00245BE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45BE6">
              <w:rPr>
                <w:rFonts w:ascii="AdvP6960" w:hAnsi="AdvP6960" w:cs="AdvP6960"/>
                <w:color w:val="241F20"/>
                <w:szCs w:val="18"/>
                <w:lang w:eastAsia="it-IT"/>
              </w:rPr>
              <w:t xml:space="preserve"> </w:t>
            </w:r>
            <w:r w:rsidRPr="00245BE6">
              <w:rPr>
                <w:rFonts w:cs="Arial"/>
                <w:b/>
                <w:bCs/>
                <w:i/>
                <w:iCs/>
                <w:color w:val="000066"/>
                <w:sz w:val="24"/>
                <w:szCs w:val="24"/>
                <w:lang w:eastAsia="it-IT"/>
              </w:rPr>
              <w:t>CHEMICAL ENGINEERING</w:t>
            </w:r>
            <w:r w:rsidRPr="00245BE6">
              <w:rPr>
                <w:rFonts w:cs="Arial"/>
                <w:b/>
                <w:bCs/>
                <w:i/>
                <w:iCs/>
                <w:color w:val="0033FF"/>
                <w:sz w:val="24"/>
                <w:szCs w:val="24"/>
                <w:lang w:eastAsia="it-IT"/>
              </w:rPr>
              <w:t xml:space="preserve"> </w:t>
            </w:r>
            <w:r w:rsidRPr="00245BE6">
              <w:rPr>
                <w:rFonts w:cs="Arial"/>
                <w:b/>
                <w:bCs/>
                <w:i/>
                <w:iCs/>
                <w:color w:val="666666"/>
                <w:sz w:val="24"/>
                <w:szCs w:val="24"/>
                <w:lang w:eastAsia="it-IT"/>
              </w:rPr>
              <w:t>TRANSACTIONS</w:t>
            </w:r>
            <w:r w:rsidRPr="00245BE6">
              <w:rPr>
                <w:color w:val="333333"/>
                <w:sz w:val="24"/>
                <w:szCs w:val="24"/>
                <w:lang w:eastAsia="it-IT"/>
              </w:rPr>
              <w:t xml:space="preserve"> </w:t>
            </w:r>
            <w:r w:rsidRPr="00245BE6">
              <w:rPr>
                <w:rFonts w:cs="Arial"/>
                <w:b/>
                <w:bCs/>
                <w:i/>
                <w:iCs/>
                <w:color w:val="000066"/>
                <w:sz w:val="27"/>
                <w:szCs w:val="27"/>
                <w:lang w:eastAsia="it-IT"/>
              </w:rPr>
              <w:br/>
            </w:r>
          </w:p>
          <w:p w14:paraId="4B780582" w14:textId="2ABE30D6" w:rsidR="000A03B2" w:rsidRPr="00245BE6" w:rsidRDefault="00A76EFC" w:rsidP="00612E24">
            <w:pPr>
              <w:tabs>
                <w:tab w:val="left" w:pos="-108"/>
              </w:tabs>
              <w:ind w:left="-108"/>
              <w:rPr>
                <w:rFonts w:cs="Arial"/>
                <w:b/>
                <w:bCs/>
                <w:i/>
                <w:iCs/>
                <w:color w:val="000066"/>
                <w:sz w:val="22"/>
                <w:szCs w:val="22"/>
                <w:lang w:eastAsia="it-IT"/>
              </w:rPr>
            </w:pPr>
            <w:r w:rsidRPr="00245BE6">
              <w:rPr>
                <w:rFonts w:cs="Arial"/>
                <w:b/>
                <w:bCs/>
                <w:i/>
                <w:iCs/>
                <w:color w:val="000066"/>
                <w:sz w:val="22"/>
                <w:szCs w:val="22"/>
                <w:lang w:eastAsia="it-IT"/>
              </w:rPr>
              <w:t xml:space="preserve">VOL. </w:t>
            </w:r>
            <w:r w:rsidR="00D46B7E" w:rsidRPr="00245BE6">
              <w:rPr>
                <w:rFonts w:cs="Arial"/>
                <w:b/>
                <w:bCs/>
                <w:i/>
                <w:iCs/>
                <w:color w:val="000066"/>
                <w:sz w:val="22"/>
                <w:szCs w:val="22"/>
                <w:lang w:eastAsia="it-IT"/>
              </w:rPr>
              <w:t>9</w:t>
            </w:r>
            <w:r w:rsidR="004C3D84" w:rsidRPr="00245BE6">
              <w:rPr>
                <w:rFonts w:cs="Arial"/>
                <w:b/>
                <w:bCs/>
                <w:i/>
                <w:iCs/>
                <w:color w:val="000066"/>
                <w:sz w:val="22"/>
                <w:szCs w:val="22"/>
                <w:lang w:eastAsia="it-IT"/>
              </w:rPr>
              <w:t>6</w:t>
            </w:r>
            <w:r w:rsidR="007B48F9" w:rsidRPr="00245BE6">
              <w:rPr>
                <w:rFonts w:cs="Arial"/>
                <w:b/>
                <w:bCs/>
                <w:i/>
                <w:iCs/>
                <w:color w:val="000066"/>
                <w:sz w:val="22"/>
                <w:szCs w:val="22"/>
                <w:lang w:eastAsia="it-IT"/>
              </w:rPr>
              <w:t>,</w:t>
            </w:r>
            <w:r w:rsidR="00FA5F5F" w:rsidRPr="00245BE6">
              <w:rPr>
                <w:rFonts w:cs="Arial"/>
                <w:b/>
                <w:bCs/>
                <w:i/>
                <w:iCs/>
                <w:color w:val="000066"/>
                <w:sz w:val="22"/>
                <w:szCs w:val="22"/>
                <w:lang w:eastAsia="it-IT"/>
              </w:rPr>
              <w:t xml:space="preserve"> 20</w:t>
            </w:r>
            <w:r w:rsidR="00DF5072" w:rsidRPr="00245BE6">
              <w:rPr>
                <w:rFonts w:cs="Arial"/>
                <w:b/>
                <w:bCs/>
                <w:i/>
                <w:iCs/>
                <w:color w:val="000066"/>
                <w:sz w:val="22"/>
                <w:szCs w:val="22"/>
                <w:lang w:eastAsia="it-IT"/>
              </w:rPr>
              <w:t>2</w:t>
            </w:r>
            <w:r w:rsidR="007B48F9" w:rsidRPr="00245BE6">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245BE6" w:rsidRDefault="000A03B2" w:rsidP="00612E24">
            <w:pPr>
              <w:spacing w:line="140" w:lineRule="atLeast"/>
              <w:rPr>
                <w:rFonts w:cs="Arial"/>
                <w:sz w:val="14"/>
                <w:szCs w:val="14"/>
              </w:rPr>
            </w:pPr>
            <w:r w:rsidRPr="00245BE6">
              <w:rPr>
                <w:rFonts w:cs="Arial"/>
                <w:sz w:val="14"/>
                <w:szCs w:val="14"/>
              </w:rPr>
              <w:t>A publication of</w:t>
            </w:r>
          </w:p>
          <w:p w14:paraId="599E5441" w14:textId="77777777" w:rsidR="000A03B2" w:rsidRPr="00245BE6" w:rsidRDefault="000A03B2" w:rsidP="00612E24">
            <w:r w:rsidRPr="00245BE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45BE6" w14:paraId="380FA3CD" w14:textId="77777777" w:rsidTr="00D059F1">
        <w:trPr>
          <w:trHeight w:val="567"/>
          <w:jc w:val="center"/>
        </w:trPr>
        <w:tc>
          <w:tcPr>
            <w:tcW w:w="6940" w:type="dxa"/>
            <w:vMerge/>
            <w:tcBorders>
              <w:right w:val="single" w:sz="4" w:space="0" w:color="auto"/>
            </w:tcBorders>
          </w:tcPr>
          <w:p w14:paraId="39E5E4C1" w14:textId="77777777" w:rsidR="000A03B2" w:rsidRPr="00245BE6" w:rsidRDefault="000A03B2" w:rsidP="00612E24">
            <w:pPr>
              <w:tabs>
                <w:tab w:val="left" w:pos="-108"/>
              </w:tabs>
            </w:pPr>
          </w:p>
        </w:tc>
        <w:tc>
          <w:tcPr>
            <w:tcW w:w="1842" w:type="dxa"/>
            <w:tcBorders>
              <w:left w:val="single" w:sz="4" w:space="0" w:color="auto"/>
              <w:bottom w:val="nil"/>
              <w:right w:val="single" w:sz="4" w:space="0" w:color="auto"/>
            </w:tcBorders>
          </w:tcPr>
          <w:p w14:paraId="43858A98" w14:textId="77777777" w:rsidR="000A03B2" w:rsidRPr="00245BE6" w:rsidRDefault="000A03B2" w:rsidP="00612E24">
            <w:pPr>
              <w:spacing w:line="140" w:lineRule="atLeast"/>
              <w:rPr>
                <w:rFonts w:cs="Arial"/>
                <w:sz w:val="14"/>
                <w:szCs w:val="14"/>
              </w:rPr>
            </w:pPr>
            <w:r w:rsidRPr="00245BE6">
              <w:rPr>
                <w:rFonts w:cs="Arial"/>
                <w:sz w:val="14"/>
                <w:szCs w:val="14"/>
              </w:rPr>
              <w:t>The Italian Association</w:t>
            </w:r>
          </w:p>
          <w:p w14:paraId="7522B1D2" w14:textId="77777777" w:rsidR="000A03B2" w:rsidRPr="00245BE6" w:rsidRDefault="000A03B2" w:rsidP="00612E24">
            <w:pPr>
              <w:spacing w:line="140" w:lineRule="atLeast"/>
              <w:rPr>
                <w:rFonts w:cs="Arial"/>
                <w:sz w:val="14"/>
                <w:szCs w:val="14"/>
              </w:rPr>
            </w:pPr>
            <w:r w:rsidRPr="00245BE6">
              <w:rPr>
                <w:rFonts w:cs="Arial"/>
                <w:sz w:val="14"/>
                <w:szCs w:val="14"/>
              </w:rPr>
              <w:t>of Chemical Engineering</w:t>
            </w:r>
          </w:p>
          <w:p w14:paraId="4F0CC5DE" w14:textId="47FDB2FC" w:rsidR="000A03B2" w:rsidRPr="00245BE6" w:rsidRDefault="000D0268" w:rsidP="00612E24">
            <w:pPr>
              <w:spacing w:line="140" w:lineRule="atLeast"/>
              <w:rPr>
                <w:rFonts w:cs="Arial"/>
                <w:sz w:val="13"/>
                <w:szCs w:val="13"/>
              </w:rPr>
            </w:pPr>
            <w:r w:rsidRPr="00245BE6">
              <w:rPr>
                <w:rFonts w:cs="Arial"/>
                <w:sz w:val="13"/>
                <w:szCs w:val="13"/>
              </w:rPr>
              <w:t>Online at www.cetjournal.it</w:t>
            </w:r>
          </w:p>
        </w:tc>
      </w:tr>
      <w:tr w:rsidR="000A03B2" w:rsidRPr="00245BE6" w14:paraId="2D1B7169" w14:textId="77777777" w:rsidTr="00D059F1">
        <w:trPr>
          <w:trHeight w:val="68"/>
          <w:jc w:val="center"/>
        </w:trPr>
        <w:tc>
          <w:tcPr>
            <w:tcW w:w="8782" w:type="dxa"/>
            <w:gridSpan w:val="2"/>
          </w:tcPr>
          <w:p w14:paraId="4B0BB442" w14:textId="2E218E1D" w:rsidR="00300E56" w:rsidRPr="00245BE6" w:rsidRDefault="00300E56" w:rsidP="00612E24">
            <w:pPr>
              <w:ind w:left="-107"/>
              <w:outlineLvl w:val="2"/>
              <w:rPr>
                <w:rFonts w:ascii="Tahoma" w:hAnsi="Tahoma" w:cs="Tahoma"/>
                <w:bCs/>
                <w:color w:val="000000"/>
                <w:sz w:val="14"/>
                <w:szCs w:val="14"/>
                <w:lang w:eastAsia="it-IT"/>
              </w:rPr>
            </w:pPr>
            <w:r w:rsidRPr="00245BE6">
              <w:rPr>
                <w:rFonts w:ascii="Tahoma" w:hAnsi="Tahoma" w:cs="Tahoma"/>
                <w:iCs/>
                <w:color w:val="333333"/>
                <w:sz w:val="14"/>
                <w:szCs w:val="14"/>
                <w:lang w:eastAsia="it-IT"/>
              </w:rPr>
              <w:t>Guest Editors:</w:t>
            </w:r>
            <w:r w:rsidR="001D21AF" w:rsidRPr="00245BE6">
              <w:rPr>
                <w:rFonts w:ascii="Tahoma" w:hAnsi="Tahoma" w:cs="Tahoma"/>
                <w:color w:val="000000"/>
                <w:sz w:val="14"/>
                <w:szCs w:val="14"/>
                <w:shd w:val="clear" w:color="auto" w:fill="FFFFFF"/>
              </w:rPr>
              <w:t xml:space="preserve"> </w:t>
            </w:r>
            <w:r w:rsidR="004C3D84" w:rsidRPr="00245BE6">
              <w:rPr>
                <w:sz w:val="14"/>
                <w:szCs w:val="14"/>
              </w:rPr>
              <w:t>David Bogle, Flavio Manenti, Piero Salatino</w:t>
            </w:r>
          </w:p>
          <w:p w14:paraId="1B0F1814" w14:textId="17CEC68E" w:rsidR="000A03B2" w:rsidRPr="00245BE6" w:rsidRDefault="00FA5F5F" w:rsidP="00EC19ED">
            <w:pPr>
              <w:tabs>
                <w:tab w:val="left" w:pos="-108"/>
              </w:tabs>
              <w:spacing w:line="140" w:lineRule="atLeast"/>
              <w:ind w:left="-107"/>
              <w:jc w:val="left"/>
            </w:pPr>
            <w:r w:rsidRPr="00245BE6">
              <w:rPr>
                <w:rFonts w:ascii="Tahoma" w:hAnsi="Tahoma" w:cs="Tahoma"/>
                <w:iCs/>
                <w:color w:val="333333"/>
                <w:sz w:val="14"/>
                <w:szCs w:val="14"/>
                <w:lang w:eastAsia="it-IT"/>
              </w:rPr>
              <w:t>Copyright © 20</w:t>
            </w:r>
            <w:r w:rsidR="00DF5072" w:rsidRPr="00245BE6">
              <w:rPr>
                <w:rFonts w:ascii="Tahoma" w:hAnsi="Tahoma" w:cs="Tahoma"/>
                <w:iCs/>
                <w:color w:val="333333"/>
                <w:sz w:val="14"/>
                <w:szCs w:val="14"/>
                <w:lang w:eastAsia="it-IT"/>
              </w:rPr>
              <w:t>2</w:t>
            </w:r>
            <w:r w:rsidR="00E72EAD" w:rsidRPr="00245BE6">
              <w:rPr>
                <w:rFonts w:ascii="Tahoma" w:hAnsi="Tahoma" w:cs="Tahoma"/>
                <w:iCs/>
                <w:color w:val="333333"/>
                <w:sz w:val="14"/>
                <w:szCs w:val="14"/>
                <w:lang w:eastAsia="it-IT"/>
              </w:rPr>
              <w:t>2</w:t>
            </w:r>
            <w:r w:rsidR="00904C62" w:rsidRPr="00245BE6">
              <w:rPr>
                <w:rFonts w:ascii="Tahoma" w:hAnsi="Tahoma" w:cs="Tahoma"/>
                <w:iCs/>
                <w:color w:val="333333"/>
                <w:sz w:val="14"/>
                <w:szCs w:val="14"/>
                <w:lang w:eastAsia="it-IT"/>
              </w:rPr>
              <w:t>, AIDIC Servizi S.r.l.</w:t>
            </w:r>
            <w:r w:rsidR="00300E56" w:rsidRPr="00245BE6">
              <w:rPr>
                <w:rFonts w:ascii="Tahoma" w:hAnsi="Tahoma" w:cs="Tahoma"/>
                <w:iCs/>
                <w:color w:val="333333"/>
                <w:sz w:val="14"/>
                <w:szCs w:val="14"/>
                <w:lang w:eastAsia="it-IT"/>
              </w:rPr>
              <w:br/>
            </w:r>
            <w:r w:rsidR="00300E56" w:rsidRPr="00245BE6">
              <w:rPr>
                <w:rFonts w:ascii="Tahoma" w:hAnsi="Tahoma" w:cs="Tahoma"/>
                <w:b/>
                <w:iCs/>
                <w:color w:val="000000"/>
                <w:sz w:val="14"/>
                <w:szCs w:val="14"/>
                <w:lang w:eastAsia="it-IT"/>
              </w:rPr>
              <w:t>ISBN</w:t>
            </w:r>
            <w:r w:rsidR="00300E56" w:rsidRPr="00245BE6">
              <w:rPr>
                <w:rFonts w:ascii="Tahoma" w:hAnsi="Tahoma" w:cs="Tahoma"/>
                <w:iCs/>
                <w:color w:val="000000"/>
                <w:sz w:val="14"/>
                <w:szCs w:val="14"/>
                <w:lang w:eastAsia="it-IT"/>
              </w:rPr>
              <w:t xml:space="preserve"> </w:t>
            </w:r>
            <w:r w:rsidR="008D32B9" w:rsidRPr="00245BE6">
              <w:rPr>
                <w:rFonts w:ascii="Tahoma" w:hAnsi="Tahoma" w:cs="Tahoma"/>
                <w:sz w:val="14"/>
                <w:szCs w:val="14"/>
              </w:rPr>
              <w:t>978-88-95608</w:t>
            </w:r>
            <w:r w:rsidR="00D46B7E" w:rsidRPr="00245BE6">
              <w:rPr>
                <w:rFonts w:ascii="Tahoma" w:hAnsi="Tahoma" w:cs="Tahoma"/>
                <w:sz w:val="14"/>
                <w:szCs w:val="14"/>
              </w:rPr>
              <w:t>-</w:t>
            </w:r>
            <w:r w:rsidR="001D21AF" w:rsidRPr="00245BE6">
              <w:rPr>
                <w:rFonts w:ascii="Tahoma" w:hAnsi="Tahoma" w:cs="Tahoma"/>
                <w:sz w:val="14"/>
                <w:szCs w:val="14"/>
              </w:rPr>
              <w:t>9</w:t>
            </w:r>
            <w:r w:rsidR="008D4A16" w:rsidRPr="00245BE6">
              <w:rPr>
                <w:rFonts w:ascii="Tahoma" w:hAnsi="Tahoma" w:cs="Tahoma"/>
                <w:sz w:val="14"/>
                <w:szCs w:val="14"/>
              </w:rPr>
              <w:t>5</w:t>
            </w:r>
            <w:r w:rsidR="00D46B7E" w:rsidRPr="00245BE6">
              <w:rPr>
                <w:rFonts w:ascii="Tahoma" w:hAnsi="Tahoma" w:cs="Tahoma"/>
                <w:sz w:val="14"/>
                <w:szCs w:val="14"/>
              </w:rPr>
              <w:t>-</w:t>
            </w:r>
            <w:r w:rsidR="008D4A16" w:rsidRPr="00245BE6">
              <w:rPr>
                <w:rFonts w:ascii="Tahoma" w:hAnsi="Tahoma" w:cs="Tahoma"/>
                <w:sz w:val="14"/>
                <w:szCs w:val="14"/>
              </w:rPr>
              <w:t>2</w:t>
            </w:r>
            <w:r w:rsidR="007B48F9" w:rsidRPr="00245BE6">
              <w:rPr>
                <w:rFonts w:ascii="Tahoma" w:hAnsi="Tahoma" w:cs="Tahoma"/>
                <w:iCs/>
                <w:color w:val="333333"/>
                <w:sz w:val="14"/>
                <w:szCs w:val="14"/>
                <w:lang w:eastAsia="it-IT"/>
              </w:rPr>
              <w:t>;</w:t>
            </w:r>
            <w:r w:rsidR="00300E56" w:rsidRPr="00245BE6">
              <w:rPr>
                <w:rFonts w:ascii="Tahoma" w:hAnsi="Tahoma" w:cs="Tahoma"/>
                <w:iCs/>
                <w:color w:val="333333"/>
                <w:sz w:val="14"/>
                <w:szCs w:val="14"/>
                <w:lang w:eastAsia="it-IT"/>
              </w:rPr>
              <w:t xml:space="preserve"> </w:t>
            </w:r>
            <w:r w:rsidR="00300E56" w:rsidRPr="00245BE6">
              <w:rPr>
                <w:rFonts w:ascii="Tahoma" w:hAnsi="Tahoma" w:cs="Tahoma"/>
                <w:b/>
                <w:iCs/>
                <w:color w:val="333333"/>
                <w:sz w:val="14"/>
                <w:szCs w:val="14"/>
                <w:lang w:eastAsia="it-IT"/>
              </w:rPr>
              <w:t>ISSN</w:t>
            </w:r>
            <w:r w:rsidR="00300E56" w:rsidRPr="00245BE6">
              <w:rPr>
                <w:rFonts w:ascii="Tahoma" w:hAnsi="Tahoma" w:cs="Tahoma"/>
                <w:iCs/>
                <w:color w:val="333333"/>
                <w:sz w:val="14"/>
                <w:szCs w:val="14"/>
                <w:lang w:eastAsia="it-IT"/>
              </w:rPr>
              <w:t xml:space="preserve"> 2283-9216</w:t>
            </w:r>
          </w:p>
        </w:tc>
      </w:tr>
    </w:tbl>
    <w:p w14:paraId="2E667253" w14:textId="75110F59" w:rsidR="00E978D0" w:rsidRPr="00DE2C57" w:rsidRDefault="00D059F1" w:rsidP="00612E24">
      <w:pPr>
        <w:pStyle w:val="CETTitle"/>
        <w:jc w:val="both"/>
        <w:rPr>
          <w:lang w:val="en-US"/>
        </w:rPr>
      </w:pPr>
      <w:r w:rsidRPr="00DE2C57">
        <w:rPr>
          <w:lang w:val="en-US"/>
        </w:rPr>
        <w:t>Implementation and digitalization of a renewable hydrogen-based power system for social housing decarbonization</w:t>
      </w:r>
    </w:p>
    <w:p w14:paraId="0488FED2" w14:textId="0517E82B" w:rsidR="00B57E6F" w:rsidRPr="009C43BD" w:rsidRDefault="00AF3AE5" w:rsidP="00612E24">
      <w:pPr>
        <w:pStyle w:val="CETAuthors"/>
        <w:rPr>
          <w:lang w:val="es-ES"/>
        </w:rPr>
      </w:pPr>
      <w:r w:rsidRPr="009C43BD">
        <w:rPr>
          <w:lang w:val="es-ES"/>
        </w:rPr>
        <w:t>Víctor M. Maestre</w:t>
      </w:r>
      <w:r w:rsidR="00B57E6F" w:rsidRPr="009C43BD">
        <w:rPr>
          <w:lang w:val="es-ES"/>
        </w:rPr>
        <w:t xml:space="preserve">, </w:t>
      </w:r>
      <w:r w:rsidRPr="009C43BD">
        <w:rPr>
          <w:lang w:val="es-ES"/>
        </w:rPr>
        <w:t>Alfredo Ortiz, Inmaculada Ortiz*</w:t>
      </w:r>
    </w:p>
    <w:p w14:paraId="6B2D21B3" w14:textId="34F8C9A7" w:rsidR="00B57E6F" w:rsidRPr="00DE2C57" w:rsidRDefault="00AF3AE5" w:rsidP="00612E24">
      <w:pPr>
        <w:pStyle w:val="CETAddress"/>
        <w:jc w:val="both"/>
        <w:rPr>
          <w:lang w:val="en-US"/>
        </w:rPr>
      </w:pPr>
      <w:r w:rsidRPr="00DE2C57">
        <w:rPr>
          <w:lang w:val="en-US"/>
        </w:rPr>
        <w:t>Chemical and Biomolecular Engineering Department, Universidad de Cantabria,</w:t>
      </w:r>
      <w:r w:rsidRPr="00DE2C57">
        <w:rPr>
          <w:i/>
          <w:lang w:val="en-US"/>
        </w:rPr>
        <w:t xml:space="preserve"> </w:t>
      </w:r>
      <w:r w:rsidRPr="00DE2C57">
        <w:rPr>
          <w:lang w:val="en-US"/>
        </w:rPr>
        <w:t>Av. Los Castros 46, 39005, Santander, Spain</w:t>
      </w:r>
      <w:r w:rsidR="00B57E6F" w:rsidRPr="00DE2C57">
        <w:rPr>
          <w:lang w:val="en-US"/>
        </w:rPr>
        <w:t xml:space="preserve"> </w:t>
      </w:r>
    </w:p>
    <w:p w14:paraId="73F1267A" w14:textId="09F334D4" w:rsidR="00B57E6F" w:rsidRPr="00DE2C57" w:rsidRDefault="00AF3AE5" w:rsidP="00612E24">
      <w:pPr>
        <w:pStyle w:val="CETemail"/>
        <w:jc w:val="both"/>
        <w:rPr>
          <w:lang w:val="en-US"/>
        </w:rPr>
      </w:pPr>
      <w:r w:rsidRPr="00DE2C57">
        <w:rPr>
          <w:lang w:val="en-US"/>
        </w:rPr>
        <w:t xml:space="preserve">* Corresponding author: </w:t>
      </w:r>
      <w:hyperlink r:id="rId13" w:history="1">
        <w:r w:rsidRPr="00DE2C57">
          <w:rPr>
            <w:rStyle w:val="Collegamentoipertestuale"/>
            <w:lang w:val="en-US"/>
          </w:rPr>
          <w:t>ortizi@unican.es</w:t>
        </w:r>
      </w:hyperlink>
    </w:p>
    <w:p w14:paraId="7A305C6C" w14:textId="2549CF7A" w:rsidR="00FA034A" w:rsidRPr="00DE2C57" w:rsidRDefault="00FA034A" w:rsidP="00612E24">
      <w:pPr>
        <w:pStyle w:val="CETHeading1"/>
        <w:numPr>
          <w:ilvl w:val="0"/>
          <w:numId w:val="0"/>
        </w:numPr>
        <w:jc w:val="both"/>
      </w:pPr>
      <w:r w:rsidRPr="00DE2C57">
        <w:rPr>
          <w:b w:val="0"/>
          <w:sz w:val="18"/>
        </w:rPr>
        <w:t>The mitigation of greenhouse gases (GHG) triggered by the broad employment of fossil fuels requires a complete energy transition towards the utilization of renewable energy sources (RES), the increase in the efficiency of the systems, implementation of carbon, capture, storage, and utilization (CCSU) technologies to decarbonize the use of fossil fuels and switch to zero-emissions energy carriers. Thus, hydrogen has emerged as a clean and versatile energy carrier that ensures a higher RES penetration that is fundamental to achieving the required energy transition. In this context, the SUDOE ENERGY PUSH project combines RES, novel hydrogen technologies, building information model</w:t>
      </w:r>
      <w:r w:rsidR="006A1373" w:rsidRPr="00DE2C57">
        <w:rPr>
          <w:b w:val="0"/>
          <w:sz w:val="18"/>
        </w:rPr>
        <w:t>l</w:t>
      </w:r>
      <w:r w:rsidRPr="00DE2C57">
        <w:rPr>
          <w:b w:val="0"/>
          <w:sz w:val="18"/>
        </w:rPr>
        <w:t xml:space="preserve">ing (BIM) methodology, and passive renovation to improve the energy efficiency of social housing in the regions of </w:t>
      </w:r>
      <w:r w:rsidR="006A1373" w:rsidRPr="00DE2C57">
        <w:rPr>
          <w:b w:val="0"/>
          <w:sz w:val="18"/>
        </w:rPr>
        <w:t>south-western</w:t>
      </w:r>
      <w:r w:rsidRPr="00DE2C57">
        <w:rPr>
          <w:b w:val="0"/>
          <w:sz w:val="18"/>
        </w:rPr>
        <w:t xml:space="preserve"> Europe. In this context, the techno-economic feasibility of a combined renewable hydrogen-based system (RHS)</w:t>
      </w:r>
      <w:r w:rsidR="006A1373" w:rsidRPr="00DE2C57">
        <w:rPr>
          <w:b w:val="0"/>
          <w:sz w:val="18"/>
        </w:rPr>
        <w:t xml:space="preserve"> to supply electricity to a residential building</w:t>
      </w:r>
      <w:r w:rsidRPr="00DE2C57">
        <w:rPr>
          <w:b w:val="0"/>
          <w:sz w:val="18"/>
        </w:rPr>
        <w:t xml:space="preserve"> has </w:t>
      </w:r>
      <w:r w:rsidR="006A1373" w:rsidRPr="00DE2C57">
        <w:rPr>
          <w:b w:val="0"/>
          <w:sz w:val="18"/>
        </w:rPr>
        <w:t>been analy</w:t>
      </w:r>
      <w:r w:rsidR="00DE2C57">
        <w:rPr>
          <w:b w:val="0"/>
          <w:sz w:val="18"/>
        </w:rPr>
        <w:t>z</w:t>
      </w:r>
      <w:r w:rsidR="006A1373" w:rsidRPr="00DE2C57">
        <w:rPr>
          <w:b w:val="0"/>
          <w:sz w:val="18"/>
        </w:rPr>
        <w:t xml:space="preserve">ed in three different locations across the SUDOE region (Spain, </w:t>
      </w:r>
      <w:proofErr w:type="gramStart"/>
      <w:r w:rsidR="006A1373" w:rsidRPr="00DE2C57">
        <w:rPr>
          <w:b w:val="0"/>
          <w:sz w:val="18"/>
        </w:rPr>
        <w:t>France</w:t>
      </w:r>
      <w:proofErr w:type="gramEnd"/>
      <w:r w:rsidR="006A1373" w:rsidRPr="00DE2C57">
        <w:rPr>
          <w:b w:val="0"/>
          <w:sz w:val="18"/>
        </w:rPr>
        <w:t xml:space="preserve"> and Portugal)</w:t>
      </w:r>
      <w:r w:rsidR="00F41B7C" w:rsidRPr="00DE2C57">
        <w:rPr>
          <w:b w:val="0"/>
          <w:sz w:val="18"/>
        </w:rPr>
        <w:t xml:space="preserve"> where a pilot plant will be deployed</w:t>
      </w:r>
      <w:r w:rsidR="006A1373" w:rsidRPr="00DE2C57">
        <w:rPr>
          <w:b w:val="0"/>
          <w:sz w:val="18"/>
        </w:rPr>
        <w:t xml:space="preserve">. The evaluation has been carried out by means of HOMER Pro software, studying every configuration in terms of dimensions, energy mix, </w:t>
      </w:r>
      <w:proofErr w:type="spellStart"/>
      <w:r w:rsidR="006A1373" w:rsidRPr="00DE2C57">
        <w:rPr>
          <w:b w:val="0"/>
          <w:sz w:val="18"/>
        </w:rPr>
        <w:t>levelised</w:t>
      </w:r>
      <w:proofErr w:type="spellEnd"/>
      <w:r w:rsidR="006A1373" w:rsidRPr="00DE2C57">
        <w:rPr>
          <w:b w:val="0"/>
          <w:sz w:val="18"/>
        </w:rPr>
        <w:t xml:space="preserve"> cost of energy (LCOE), net present cost (NPC) and pollutant emissions. The work reflects a greater potential and competitiveness of an RHS located in Portugal as it is the location with the greatest RES potential and the highest electricity price.</w:t>
      </w:r>
    </w:p>
    <w:p w14:paraId="476B2F2E" w14:textId="76AD8766" w:rsidR="00600535" w:rsidRPr="00DE2C57" w:rsidRDefault="00600535" w:rsidP="00612E24">
      <w:pPr>
        <w:pStyle w:val="CETHeading1"/>
        <w:jc w:val="both"/>
      </w:pPr>
      <w:r w:rsidRPr="00DE2C57">
        <w:t>Introduction</w:t>
      </w:r>
    </w:p>
    <w:p w14:paraId="65C0CDFF" w14:textId="587A4F28" w:rsidR="005826E0" w:rsidRDefault="00413D29" w:rsidP="00612E24">
      <w:pPr>
        <w:pStyle w:val="CETBodytext"/>
      </w:pPr>
      <w:r w:rsidRPr="00DE2C57">
        <w:t xml:space="preserve">The anthropogenic contribution to the increase in GHG has triggered an unsustainable and urgent climate change situation. Therefore, governments, private companies, and stakeholders have been forced to define and implement a series of measures and policies to limit pollutants emissions </w:t>
      </w:r>
      <w:r w:rsidR="00F55A75" w:rsidRPr="00DE2C57">
        <w:rPr>
          <w:rStyle w:val="Rimandonotaapidipagina"/>
        </w:rPr>
        <w:fldChar w:fldCharType="begin" w:fldLock="1"/>
      </w:r>
      <w:r w:rsidR="00D62FFA">
        <w:instrText>ADDIN CSL_CITATION {"citationItems":[{"id":"ITEM-1","itemData":{"DOI":"10.1016/j.rser.2016.12.065","ISSN":"18790690","abstract":"This special issue is dedicated to the research presented and discussed at the 8th International Conference on Sustainable Energy &amp; Environmental Protection held from the 11th to the 14th August 2015 in Paisley, Scotland. The contents of this special issue are within the aims and scope of Renewable and Sustainable Energy Reviews. The aim of the International conferences on Sustainable Energy &amp; Environmental Protection is to gather experts, practitioners and early career researchers together in a relaxed environment to present their research findings. The articles published in this special issue summarise a snapshot of the diverse range of topics from bioenergy and biogas, energy storage and district heating and energy in buildings to carbon emissions, carbon flux in soil and social aspects of carbon discussed at the conference within the framework of sustainable development. A total of eighteen extended manuscripts were invited by for consideration for publication following the conference and after a robust review process by experts in the field a total of ten articles were accepted.","author":[{"dropping-particle":"","family":"Foley","given":"Aoife","non-dropping-particle":"","parse-names":false,"suffix":""},{"dropping-particle":"","family":"Olabi","given":"Abdul Ghani","non-dropping-particle":"","parse-names":false,"suffix":""}],"container-title":"Renewable and Sustainable Energy Reviews","id":"ITEM-1","issued":{"date-parts":[["2017","2","1"]]},"page":"1112-1114","publisher":"Elsevier Ltd","title":"Renewable energy technology developments, trends and policy implications that can underpin the drive for global climate change","type":"article","volume":"68"},"uris":["http://www.mendeley.com/documents/?uuid=5ef5a15e-18cb-318e-b6cb-f7e4d5c32777"]}],"mendeley":{"formattedCitation":"(Foley and Olabi 2017)","manualFormatting":"(Foley and Olabi, 2017)","plainTextFormattedCitation":"(Foley and Olabi 2017)","previouslyFormattedCitation":"(Foley and Olabi 2017)"},"properties":{"noteIndex":0},"schema":"https://github.com/citation-style-language/schema/raw/master/csl-citation.json"}</w:instrText>
      </w:r>
      <w:r w:rsidR="00F55A75" w:rsidRPr="00DE2C57">
        <w:rPr>
          <w:rStyle w:val="Rimandonotaapidipagina"/>
        </w:rPr>
        <w:fldChar w:fldCharType="separate"/>
      </w:r>
      <w:r w:rsidR="00F55A75" w:rsidRPr="00DE2C57">
        <w:rPr>
          <w:noProof/>
        </w:rPr>
        <w:t>(Foley and Olabi</w:t>
      </w:r>
      <w:r w:rsidR="007E7728">
        <w:rPr>
          <w:noProof/>
        </w:rPr>
        <w:t>,</w:t>
      </w:r>
      <w:r w:rsidR="00F55A75" w:rsidRPr="00DE2C57">
        <w:rPr>
          <w:noProof/>
        </w:rPr>
        <w:t xml:space="preserve"> 2017)</w:t>
      </w:r>
      <w:r w:rsidR="00F55A75" w:rsidRPr="00DE2C57">
        <w:rPr>
          <w:rStyle w:val="Rimandonotaapidipagina"/>
        </w:rPr>
        <w:fldChar w:fldCharType="end"/>
      </w:r>
      <w:r w:rsidRPr="00DE2C57">
        <w:t>. The increase in energy requirements has negatively influenced the growth of GHG in the atmosphere, and thus, it has aggravated other problems such as energy poverty compromising the social well-being of most vulnerable citizens.</w:t>
      </w:r>
      <w:r w:rsidR="005826E0">
        <w:t xml:space="preserve"> </w:t>
      </w:r>
      <w:r w:rsidRPr="00DE2C57">
        <w:t xml:space="preserve">The wide deployment of renewable energies (RES) is fundamental to achieve a sustainable climate situation and the required energy transition. However, despite the consistent increase of RES capacity worldwide, their contribution to the energy mix barely reaches 10% of the final energy consumed globally, and a six-fold increase is required to comply with the Paris agreement by 2050. To fight RES intermittency, energy storage systems (ESS) are key to foster </w:t>
      </w:r>
      <w:r w:rsidR="00997090" w:rsidRPr="00DE2C57">
        <w:t>systems</w:t>
      </w:r>
      <w:r w:rsidRPr="00DE2C57">
        <w:t xml:space="preserve"> reliability. In this regard, hydrogen has emerged as a very promising and feasible energy carrier representing an alternative to traditional ESS with important drawbacks related to their environmental impact and waste management </w:t>
      </w:r>
      <w:r w:rsidR="00F55A75" w:rsidRPr="00DE2C57">
        <w:rPr>
          <w:rStyle w:val="Rimandonotaapidipagina"/>
        </w:rPr>
        <w:fldChar w:fldCharType="begin" w:fldLock="1"/>
      </w:r>
      <w:r w:rsidR="00D62FFA">
        <w:instrText>ADDIN CSL_CITATION {"citationItems":[{"id":"ITEM-1","itemData":{"DOI":"10.1039/c8ee01157e","ISSN":"17545706","abstract":"Hydrogen technologies have experienced cycles of excessive expectations followed by disillusion. Nonetheless, a growing body of evidence suggests these technologies form an attractive option for the deep decarbonisation of global energy systems, and that recent improvements in their cost and performance point towards economic viability as well. This paper is a comprehensive review of the potential role that hydrogen could play in the provision of electricity, heat, industry, transport and energy storage in a low-carbon energy system, and an assessment of the status of hydrogen in being able to fulfil that potential. The picture that emerges is one of qualified promise: Hydrogen is well established in certain niches such as forklift trucks, while mainstream applications are now forthcoming. Hydrogen vehicles are available commercially in several countries, and 225000 fuel cell home heating systems have been sold. This represents a step change from the situation of only five years ago. This review shows that challenges around cost and performance remain, and considerable improvements are still required for hydrogen to become truly competitive. But such competitiveness in the medium-term future no longer seems an unrealistic prospect, which fully justifies the growing interest and policy support for these technologies around the world.","author":[{"dropping-particle":"","family":"Staffell","given":"Iain","non-dropping-particle":"","parse-names":false,"suffix":""},{"dropping-particle":"","family":"Scamman","given":"Daniel","non-dropping-particle":"","parse-names":false,"suffix":""},{"dropping-particle":"","family":"Velazquez Abad","given":"Anthony","non-dropping-particle":"","parse-names":false,"suffix":""},{"dropping-particle":"","family":"Balcombe","given":"Paul","non-dropping-particle":"","parse-names":false,"suffix":""},{"dropping-particle":"","family":"Dodds","given":"Paul E.","non-dropping-particle":"","parse-names":false,"suffix":""},{"dropping-particle":"","family":"Ekins","given":"Paul","non-dropping-particle":"","parse-names":false,"suffix":""},{"dropping-particle":"","family":"Shah","given":"Nilay","non-dropping-particle":"","parse-names":false,"suffix":""},{"dropping-particle":"","family":"Ward","given":"Kate R.","non-dropping-particle":"","parse-names":false,"suffix":""}],"container-title":"Energy and Environmental Science","id":"ITEM-1","issue":"2","issued":{"date-parts":[["2019","2","1"]]},"note":"Enfoque: estado a nivel internacional del sector de transporte, producción de calor, electricidad, infraestructuras y políticas.\n\nQ1","page":"463-491","publisher":"Royal Society of Chemistry","title":"The role of hydrogen and fuel cells in the global energy system","type":"article","volume":"12"},"uris":["http://www.mendeley.com/documents/?uuid=758d1896-2623-3052-8602-b34d2f7b91c7"]}],"mendeley":{"formattedCitation":"(Staffell et al. 2019)","manualFormatting":"(Staffell et al., 2019)","plainTextFormattedCitation":"(Staffell et al. 2019)","previouslyFormattedCitation":"(Staffell et al. 2019)"},"properties":{"noteIndex":0},"schema":"https://github.com/citation-style-language/schema/raw/master/csl-citation.json"}</w:instrText>
      </w:r>
      <w:r w:rsidR="00F55A75" w:rsidRPr="00DE2C57">
        <w:rPr>
          <w:rStyle w:val="Rimandonotaapidipagina"/>
        </w:rPr>
        <w:fldChar w:fldCharType="separate"/>
      </w:r>
      <w:r w:rsidR="00F55A75" w:rsidRPr="00DE2C57">
        <w:rPr>
          <w:noProof/>
        </w:rPr>
        <w:t>(Staffell et al.</w:t>
      </w:r>
      <w:r w:rsidR="007E7728">
        <w:rPr>
          <w:noProof/>
        </w:rPr>
        <w:t>,</w:t>
      </w:r>
      <w:r w:rsidR="00F55A75" w:rsidRPr="00DE2C57">
        <w:rPr>
          <w:noProof/>
        </w:rPr>
        <w:t xml:space="preserve"> 2019)</w:t>
      </w:r>
      <w:r w:rsidR="00F55A75" w:rsidRPr="00DE2C57">
        <w:rPr>
          <w:rStyle w:val="Rimandonotaapidipagina"/>
        </w:rPr>
        <w:fldChar w:fldCharType="end"/>
      </w:r>
      <w:r w:rsidRPr="00DE2C57">
        <w:t xml:space="preserve">. Therefore, the hybridization of hydrogen technologies and </w:t>
      </w:r>
      <w:r w:rsidR="00245BE6" w:rsidRPr="00DE2C57">
        <w:t>RES</w:t>
      </w:r>
      <w:r w:rsidRPr="00DE2C57">
        <w:t xml:space="preserve"> is an important opportunity to decarbonize different economy sectors</w:t>
      </w:r>
      <w:r w:rsidR="005826E0">
        <w:t xml:space="preserve"> </w:t>
      </w:r>
      <w:r w:rsidR="005826E0">
        <w:fldChar w:fldCharType="begin" w:fldLock="1"/>
      </w:r>
      <w:r w:rsidR="004401E5">
        <w:instrText>ADDIN CSL_CITATION {"citationItems":[{"id":"ITEM-1","itemData":{"DOI":"10.3303/CET2290127","ISBN":"978-88-95608-88-4","ISSN":"2283-9216","abstract":"While the international discourse on the hydrogen economy tends to focus on the importance of enabling the transition from fossil to renewable energy sources and the prospects for innovation and value creation, the communication concerning the implications for safety and risk is less consistent and often ambiguous. The safety-related properties of hydrogen imply that it is not straightforward to achieve the same level of safety for hydrogen systems, compared to similar systems using conventional fuels. Considering the long-term impact severe accidents may have on public perception, and the deployment of hydrogen technologies in society, the present study explores the framing of hydrogen safety by key stakeholders in the hydrogen ecosystem. This paper focuses on strategy documents published by selected intergovernmental organisations (IGOs), public private partnerships (PPPs), and other organisations engaged in the emerging hydrogen technologies. The methodology entails text analysis supported by a list of qualifying questions, following an approach developed as part of a previous study on national strategies. Compared to the results obtained for the national strategies, the framing of hydrogen safety by IGOs and PPPs is more diverse: the messages conveyed reflect the missions and visions of the organisations, and hence the context in which the source documents were produced. Furthermore, there is alarmingly low emphasis on vital aspects of hydrogen safety in the industry-driven roadmaps and policy guides. The overall results indicate a consistent lack of emphasis on the consequences of accidents and a persistent bias towards procedural and organisational measures of risk reduction.","author":[{"dropping-particle":"","family":"Derempouka","given":"Efthymia","non-dropping-particle":"","parse-names":false,"suffix":""},{"dropping-particle":"","family":"Skjold","given":"Trygve","non-dropping-particle":"","parse-names":false,"suffix":""},{"dropping-particle":"","family":"Njå","given":"Ove","non-dropping-particle":"","parse-names":false,"suffix":""},{"dropping-particle":"","family":"Haarstad","given":"Håvard","non-dropping-particle":"","parse-names":false,"suffix":""}],"container-title":"CHEMICAL ENGINEERING TRANSACTIONS","id":"ITEM-1","issued":{"date-parts":[["2022"]]},"title":"The Role of Safety in the Framing of the Hydrogen Economy by Selected Groups of Stakeholders","type":"article-journal"},"uris":["http://www.mendeley.com/documents/?uuid=4a36aeba-9a84-3520-a056-011326d73efa"]}],"mendeley":{"formattedCitation":"(Derempouka et al. 2022)","manualFormatting":"(Derempouka et al., 2022)","plainTextFormattedCitation":"(Derempouka et al. 2022)","previouslyFormattedCitation":"(Derempouka et al. 2022)"},"properties":{"noteIndex":0},"schema":"https://github.com/citation-style-language/schema/raw/master/csl-citation.json"}</w:instrText>
      </w:r>
      <w:r w:rsidR="005826E0">
        <w:fldChar w:fldCharType="separate"/>
      </w:r>
      <w:r w:rsidR="005826E0" w:rsidRPr="005826E0">
        <w:rPr>
          <w:noProof/>
        </w:rPr>
        <w:t>(</w:t>
      </w:r>
      <w:r w:rsidR="004401E5">
        <w:rPr>
          <w:noProof/>
        </w:rPr>
        <w:t xml:space="preserve">Derempouka </w:t>
      </w:r>
      <w:r w:rsidR="005826E0" w:rsidRPr="005826E0">
        <w:rPr>
          <w:noProof/>
        </w:rPr>
        <w:t>et al.</w:t>
      </w:r>
      <w:r w:rsidR="005826E0">
        <w:rPr>
          <w:noProof/>
        </w:rPr>
        <w:t>,</w:t>
      </w:r>
      <w:r w:rsidR="005826E0" w:rsidRPr="005826E0">
        <w:rPr>
          <w:noProof/>
        </w:rPr>
        <w:t xml:space="preserve"> 2022)</w:t>
      </w:r>
      <w:r w:rsidR="005826E0">
        <w:fldChar w:fldCharType="end"/>
      </w:r>
      <w:r w:rsidRPr="00DE2C57">
        <w:t>.</w:t>
      </w:r>
      <w:r w:rsidR="008630B6">
        <w:t xml:space="preserve"> </w:t>
      </w:r>
    </w:p>
    <w:p w14:paraId="03AF7D63" w14:textId="6FD9653A" w:rsidR="005826E0" w:rsidRDefault="00413D29" w:rsidP="00612E24">
      <w:pPr>
        <w:pStyle w:val="CETBodytext"/>
      </w:pPr>
      <w:r w:rsidRPr="00DE2C57">
        <w:t xml:space="preserve">Now, RES share in energy use in buildings is 36% for both heat and power. This value needs to be increased </w:t>
      </w:r>
      <w:r w:rsidR="00245BE6" w:rsidRPr="00DE2C57">
        <w:t xml:space="preserve">at least </w:t>
      </w:r>
      <w:r w:rsidRPr="00DE2C57">
        <w:t xml:space="preserve">up to 77% by 2050 to meet emission reduction targets </w:t>
      </w:r>
      <w:r w:rsidR="00F55A75" w:rsidRPr="00DE2C57">
        <w:rPr>
          <w:rStyle w:val="Rimandonotaapidipagina"/>
        </w:rPr>
        <w:fldChar w:fldCharType="begin" w:fldLock="1"/>
      </w:r>
      <w:r w:rsidR="00D62FFA">
        <w:instrText>ADDIN CSL_CITATION {"citationItems":[{"id":"ITEM-1","itemData":{"ISBN":"978-92-9260-059-4","author":[{"dropping-particle":"","family":"IRENA","given":"","non-dropping-particle":"","parse-names":false,"suffix":""}],"id":"ITEM-1","issued":{"date-parts":[["2018"]]},"title":"Global Energy Transformation: A Roadmap to 2050","type":"book"},"uris":["http://www.mendeley.com/documents/?uuid=f4d022c0-3984-3fe8-a49a-ff790b7bfcf2"]}],"mendeley":{"formattedCitation":"(IRENA 2018)","manualFormatting":"(IRENA, 2018)","plainTextFormattedCitation":"(IRENA 2018)","previouslyFormattedCitation":"(IRENA 2018)"},"properties":{"noteIndex":0},"schema":"https://github.com/citation-style-language/schema/raw/master/csl-citation.json"}</w:instrText>
      </w:r>
      <w:r w:rsidR="00F55A75" w:rsidRPr="00DE2C57">
        <w:rPr>
          <w:rStyle w:val="Rimandonotaapidipagina"/>
        </w:rPr>
        <w:fldChar w:fldCharType="separate"/>
      </w:r>
      <w:r w:rsidR="00F55A75" w:rsidRPr="00DE2C57">
        <w:rPr>
          <w:noProof/>
        </w:rPr>
        <w:t>(IRENA</w:t>
      </w:r>
      <w:r w:rsidR="007E7728">
        <w:rPr>
          <w:noProof/>
        </w:rPr>
        <w:t>,</w:t>
      </w:r>
      <w:r w:rsidR="00F55A75" w:rsidRPr="00DE2C57">
        <w:rPr>
          <w:noProof/>
        </w:rPr>
        <w:t xml:space="preserve"> 2018)</w:t>
      </w:r>
      <w:r w:rsidR="00F55A75" w:rsidRPr="00DE2C57">
        <w:rPr>
          <w:rStyle w:val="Rimandonotaapidipagina"/>
        </w:rPr>
        <w:fldChar w:fldCharType="end"/>
      </w:r>
      <w:r w:rsidRPr="00DE2C57">
        <w:t xml:space="preserve">. The most employed RES in buildings are PV panels, solar thermal collectors (STC), biomass (Bio), geothermal (Geo), and heat pumps. The energy consumption in European buildings is responsible for 40% of the total energy consumed and 36% of GHG emissions </w:t>
      </w:r>
      <w:r w:rsidR="00F55A75" w:rsidRPr="00DE2C57">
        <w:rPr>
          <w:rStyle w:val="Rimandonotaapidipagina"/>
        </w:rPr>
        <w:fldChar w:fldCharType="begin" w:fldLock="1"/>
      </w:r>
      <w:r w:rsidR="00D62FFA">
        <w:instrText>ADDIN CSL_CITATION {"citationItems":[{"id":"ITEM-1","itemData":{"author":[{"dropping-particle":"","family":"EU Comission","given":"","non-dropping-particle":"","parse-names":false,"suffix":""}],"id":"ITEM-1","issued":{"date-parts":[["2010"]]},"number-of-pages":"13-34","publisher-place":"Brussels, BE","title":"Directive 2010/31/EU of the European Parliament and of the Council of 19 May 2010 on the energy performance of buildings","type":"report"},"uris":["http://www.mendeley.com/documents/?uuid=930083be-09f6-3550-9ed0-0e0a31a7596c"]}],"mendeley":{"formattedCitation":"(EU Comission 2010)","manualFormatting":"(EU Comission, 2010)","plainTextFormattedCitation":"(EU Comission 2010)","previouslyFormattedCitation":"(EU Comission 2010)"},"properties":{"noteIndex":0},"schema":"https://github.com/citation-style-language/schema/raw/master/csl-citation.json"}</w:instrText>
      </w:r>
      <w:r w:rsidR="00F55A75" w:rsidRPr="00DE2C57">
        <w:rPr>
          <w:rStyle w:val="Rimandonotaapidipagina"/>
        </w:rPr>
        <w:fldChar w:fldCharType="separate"/>
      </w:r>
      <w:r w:rsidR="00F55A75" w:rsidRPr="00DE2C57">
        <w:rPr>
          <w:noProof/>
        </w:rPr>
        <w:t>(EU Comission</w:t>
      </w:r>
      <w:r w:rsidR="007E7728">
        <w:rPr>
          <w:noProof/>
        </w:rPr>
        <w:t>,</w:t>
      </w:r>
      <w:r w:rsidR="00F55A75" w:rsidRPr="00DE2C57">
        <w:rPr>
          <w:noProof/>
        </w:rPr>
        <w:t xml:space="preserve"> 2010)</w:t>
      </w:r>
      <w:r w:rsidR="00F55A75" w:rsidRPr="00DE2C57">
        <w:rPr>
          <w:rStyle w:val="Rimandonotaapidipagina"/>
        </w:rPr>
        <w:fldChar w:fldCharType="end"/>
      </w:r>
      <w:r w:rsidRPr="00DE2C57">
        <w:t xml:space="preserve">. Furthermore, 75% of these buildings are older than 25 years and highly inefficient, contributing to over 90% of emissions associated to this sector. Therefore, efforts are focused on the renovation of old buildings to improve their energy efficiency. </w:t>
      </w:r>
      <w:r w:rsidR="00D62FFA">
        <w:t xml:space="preserve">Recently, a proposal to renovate and prioritize energy efficiency has been raised by the European commission, where the new energy efficiency objective has been targeted in 32.5% for 2030 compared to 2007 benchmark </w:t>
      </w:r>
      <w:r w:rsidR="00D62FFA">
        <w:fldChar w:fldCharType="begin" w:fldLock="1"/>
      </w:r>
      <w:r w:rsidR="00D62FFA">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approach.","author":[{"dropping-particle":"","family":"EU Commission","given":"","non-dropping-particle":"","parse-names":false,"suffix":""}],"id":"ITEM-1","issued":{"date-parts":[["2021"]]},"title":"Proposal for a Directive of the European Parliament and of the council on energy efficiency (recast)","type":"report","volume":"0203"},"uris":["http://www.mendeley.com/documents/?uuid=523e33e9-663c-46ed-8d9a-fcb99d618de9"]}],"mendeley":{"formattedCitation":"(EU Commission 2021)","manualFormatting":"(EU Commission, 2021)","plainTextFormattedCitation":"(EU Commission 2021)","previouslyFormattedCitation":"(EU Commission 2021)"},"properties":{"noteIndex":0},"schema":"https://github.com/citation-style-language/schema/raw/master/csl-citation.json"}</w:instrText>
      </w:r>
      <w:r w:rsidR="00D62FFA">
        <w:fldChar w:fldCharType="separate"/>
      </w:r>
      <w:r w:rsidR="00D62FFA" w:rsidRPr="00D62FFA">
        <w:rPr>
          <w:noProof/>
        </w:rPr>
        <w:t>(EU Commission</w:t>
      </w:r>
      <w:r w:rsidR="00D62FFA">
        <w:rPr>
          <w:noProof/>
        </w:rPr>
        <w:t>,</w:t>
      </w:r>
      <w:r w:rsidR="00D62FFA" w:rsidRPr="00D62FFA">
        <w:rPr>
          <w:noProof/>
        </w:rPr>
        <w:t xml:space="preserve"> 2021)</w:t>
      </w:r>
      <w:r w:rsidR="00D62FFA">
        <w:fldChar w:fldCharType="end"/>
      </w:r>
      <w:r w:rsidRPr="00DE2C57">
        <w:t xml:space="preserve">. </w:t>
      </w:r>
      <w:r w:rsidR="00D62FFA">
        <w:t>Thus,</w:t>
      </w:r>
      <w:r w:rsidRPr="00DE2C57">
        <w:t xml:space="preserve"> renewable hydrogen-based strategies (RHS) can represent a great opportunity to achieve low-carbon energy supply for </w:t>
      </w:r>
      <w:r w:rsidRPr="00DE2C57">
        <w:lastRenderedPageBreak/>
        <w:t xml:space="preserve">buildings </w:t>
      </w:r>
      <w:r w:rsidR="00F55A75" w:rsidRPr="00DE2C57">
        <w:rPr>
          <w:rStyle w:val="Rimandonotaapidipagina"/>
        </w:rPr>
        <w:fldChar w:fldCharType="begin" w:fldLock="1"/>
      </w:r>
      <w:r w:rsidR="007E7728">
        <w:instrText>ADDIN CSL_CITATION {"citationItems":[{"id":"ITEM-1","itemData":{"DOI":"10.1002/jctb.6938","abstract":"The unsustainable and continuous growth of anthropogenic emissions of greenhouse gases (GHG) has pushed governments, private companies and stakeholders to adopt measures and policies to fight against climate change. Within this framework, increasing the contribution of renewable energy sources (RES) to final consumed energy plays a key role in the planned energy transition. Regarding the residential sector in Europe, 92% of GHG emissions comes from 75% of the building stock that is over 25 years old, and highly inefficient. Thus, this sector must raise RES penetration from the current 36% to 77% by 2050 to comply with emissions targets. In this regard, the hybridization of hydrogen-based technologies and RES represents a reliable and versatile solution to facilitate decarbonization of the residential sector. This study provides an overview and analysis of standalone renewable hydrogen-based systems (RHS) focusing on the residential and buildings sector, as well as critical infrastructures like telecom stations, data servers, etc. For detailed evaluation of RHS, several pilot plants and real demonstration plants implemented worldwide are reviewed. To this end, a techno-economic assessment of relevant parameters like self-sufficiency ratio, leve-lized cost of energy and hydrogen roundtrip efficiency is provided. Moreover, the performance of the different configurations is evaluated by comparing the installed power of each component and their energy contribution to cover the load over a defined period of time. Challenges ahead are identified for the wider deployment of RHS in the residential and buildings sector. NOMENCLATURE AC alternating current Bat battery BoP balance of plant C ann,tot total annualized cost of a system, US$ CHP combined heat and power DC direct current DG diesel generator E BAT total energy stored or provided by battery, kWh E COMP total energy consumed by compressor, kWh E DG total energy generated by diesel generator, kWh E EL total energy consumed by electrolyzer, kWh E FC total energy generated by fuel cell, kWh E GC total imported energy from the grid, kWh EL electrolyzer E load total energy consumed by load, kWh EMS energy management strategy E RES total energy generated by renewable energy sources, kWh ESS energy storage system E UNCOVERED total uncovered energy load, kWh FC fuel cell FCEV fuel cell electric vehicle GC grid connection GHG greenhouse gases HRE hydrogen roundtrip efficiency, % LCOE levelized cost of energy, US$ k…","author":[{"dropping-particle":"","family":"Maestre","given":"Víctor M","non-dropping-particle":"","parse-names":false,"suffix":""},{"dropping-particle":"","family":"Ortiz","given":"Alfredo","non-dropping-particle":"","parse-names":false,"suffix":""},{"dropping-particle":"","family":"Ortiz","given":"Inmaculada","non-dropping-particle":"","parse-names":false,"suffix":""}],"container-title":"Journal of Chemical Technology &amp; Biotechnology","id":"ITEM-1","issued":{"date-parts":[["2022"]]},"page":"561-574","title":"The role of hydrogen-based power systems in the energy transition of the residential sector","type":"article-journal","volume":"97"},"uris":["http://www.mendeley.com/documents/?uuid=fbac0dc8-4a1e-31e7-9dad-4872d04557a6"]}],"mendeley":{"formattedCitation":"(Maestre, Ortiz, and Ortiz 2022)","manualFormatting":"(Maestre et al., 2022)","plainTextFormattedCitation":"(Maestre, Ortiz, and Ortiz 2022)","previouslyFormattedCitation":"(Maestre, Ortiz, and Ortiz 2022)"},"properties":{"noteIndex":0},"schema":"https://github.com/citation-style-language/schema/raw/master/csl-citation.json"}</w:instrText>
      </w:r>
      <w:r w:rsidR="00F55A75" w:rsidRPr="00DE2C57">
        <w:rPr>
          <w:rStyle w:val="Rimandonotaapidipagina"/>
        </w:rPr>
        <w:fldChar w:fldCharType="separate"/>
      </w:r>
      <w:r w:rsidR="007E7728">
        <w:rPr>
          <w:noProof/>
        </w:rPr>
        <w:t>(Maestre et al.,</w:t>
      </w:r>
      <w:r w:rsidR="00A15F73" w:rsidRPr="00DE2C57">
        <w:rPr>
          <w:noProof/>
        </w:rPr>
        <w:t xml:space="preserve"> 2022)</w:t>
      </w:r>
      <w:r w:rsidR="00F55A75" w:rsidRPr="00DE2C57">
        <w:rPr>
          <w:rStyle w:val="Rimandonotaapidipagina"/>
        </w:rPr>
        <w:fldChar w:fldCharType="end"/>
      </w:r>
      <w:r w:rsidRPr="00DE2C57">
        <w:t>.</w:t>
      </w:r>
      <w:r w:rsidR="00C155B3" w:rsidRPr="00DE2C57">
        <w:t xml:space="preserve"> Thus, the coupling of RES with novel hydrogen technologies</w:t>
      </w:r>
      <w:r w:rsidR="004401E5">
        <w:t xml:space="preserve"> </w:t>
      </w:r>
      <w:r w:rsidR="004401E5">
        <w:fldChar w:fldCharType="begin" w:fldLock="1"/>
      </w:r>
      <w:r w:rsidR="004401E5">
        <w:instrText>ADDIN CSL_CITATION {"citationItems":[{"id":"ITEM-1","itemData":{"DOI":"10.3303/CET2290010","ISBN":"978-88-95608-88-4","ISSN":"2283-9216","abstract":"In the framework of energy transition, safety is a key requirement to be satisfied by novel process technologies. The aim of this study is to compare, from an inherent safety standpoint, three technologies for the production of green hydrogen via water splitting, powered by Renewable Energy Sources (RESs), in order to identify the inherently safest option and the critical equipment and/or operating conditions to be considered in the scale-up and industrialization of such technologies. The technologies considered for green hydrogen production are: alkaline electrolysis, proton exchange membrane electrolysis and reversible Solid Oxide Cells. The application of a consolidated methodology for inherent safety assessment based on Inherent Safety Key Performance Indicators (IS-KPIs) enabled to identify the most critical units within each process scheme and to select the inherently safest technological solution presently available for green hydrogen production.","author":[{"dropping-particle":"","family":"Cipolletta","given":"Mariasole","non-dropping-particle":"","parse-names":false,"suffix":""},{"dropping-particle":"","family":"Moreno","given":"Valeria Casson","non-dropping-particle":"","parse-names":false,"suffix":""},{"dropping-particle":"","family":"Cozzani","given":"Valerio","non-dropping-particle":"","parse-names":false,"suffix":""}],"container-title":"Chemical Engineering Transactions","id":"ITEM-1","issued":{"date-parts":[["2022"]]},"page":"55-60","title":"Green Hydrogen Production Routes: an Inherent Safety Assessment","type":"article-journal","volume":"90"},"uris":["http://www.mendeley.com/documents/?uuid=6ca194db-508a-3dd8-a07a-893a07b63da3"]}],"mendeley":{"formattedCitation":"(Cipolletta, Moreno, and Cozzani 2022)","manualFormatting":"(Cipolletta et al., 2022)","plainTextFormattedCitation":"(Cipolletta, Moreno, and Cozzani 2022)","previouslyFormattedCitation":"(Cipolletta, Moreno, and Cozzani 2022)"},"properties":{"noteIndex":0},"schema":"https://github.com/citation-style-language/schema/raw/master/csl-citation.json"}</w:instrText>
      </w:r>
      <w:r w:rsidR="004401E5">
        <w:fldChar w:fldCharType="separate"/>
      </w:r>
      <w:r w:rsidR="004401E5" w:rsidRPr="004401E5">
        <w:rPr>
          <w:noProof/>
        </w:rPr>
        <w:t>(</w:t>
      </w:r>
      <w:r w:rsidR="004401E5">
        <w:rPr>
          <w:noProof/>
        </w:rPr>
        <w:t>Cipolletta</w:t>
      </w:r>
      <w:r w:rsidR="004401E5" w:rsidRPr="004401E5">
        <w:rPr>
          <w:noProof/>
        </w:rPr>
        <w:t xml:space="preserve"> et al.</w:t>
      </w:r>
      <w:r w:rsidR="004401E5">
        <w:rPr>
          <w:noProof/>
        </w:rPr>
        <w:t>,</w:t>
      </w:r>
      <w:r w:rsidR="004401E5" w:rsidRPr="004401E5">
        <w:rPr>
          <w:noProof/>
        </w:rPr>
        <w:t xml:space="preserve"> 2022)</w:t>
      </w:r>
      <w:r w:rsidR="004401E5">
        <w:fldChar w:fldCharType="end"/>
      </w:r>
      <w:r w:rsidR="004401E5" w:rsidRPr="00DE2C57">
        <w:t xml:space="preserve"> </w:t>
      </w:r>
      <w:r w:rsidR="006E7A9E" w:rsidRPr="00DE2C57">
        <w:t xml:space="preserve"> has been studied in the last years as a sustainable and low-carbon alternative for differ</w:t>
      </w:r>
      <w:r w:rsidR="00E1060D" w:rsidRPr="00DE2C57">
        <w:t>ent</w:t>
      </w:r>
      <w:r w:rsidR="006E7A9E" w:rsidRPr="00DE2C57">
        <w:t xml:space="preserve"> kind of buildings</w:t>
      </w:r>
      <w:r w:rsidR="009350C0" w:rsidRPr="00DE2C57">
        <w:t>:</w:t>
      </w:r>
      <w:r w:rsidR="006E7A9E" w:rsidRPr="00DE2C57">
        <w:t xml:space="preserve"> remote areas </w:t>
      </w:r>
      <w:r w:rsidR="006E7A9E" w:rsidRPr="00DE2C57">
        <w:fldChar w:fldCharType="begin" w:fldLock="1"/>
      </w:r>
      <w:r w:rsidR="00D62FFA">
        <w:instrText>ADDIN CSL_CITATION {"citationItems":[{"id":"ITEM-1","itemData":{"DOI":"10.1016/j.renene.2020.09.042","ISSN":"18790682","abstract":"Reduction of carbon dioxide (CO2) emissions will have a positive impact on the environment by preventing adverse effects of global warming. To achieve an eco-environment, the primary source of energy needs to shift from fossil fuels to clean renewable energy. Thus, increased utilization of renewable energy overtime reduces air pollution and contributes to securing sustainable energy supply to satisfy future energy needs. The main purpose of this study is to investigate several sustainable hybrid renewable systems for electricity production in Iran. In this regard, critical indicators that have the strongest impact on the environment and energy sustainability are presented in this study. After a comprehensive review of environmental issues, data was collected from the meteorological organization and a techno-economic assessment was performed using HOMER software. It was concluded that the hybrid configuration composed of photovoltaic (PV), wind turbine, diesel generator and battery produced the best outcome with an energy cost of 0.151$/kWh and 15.6% return on investment. In addition, the results showed that with a higher renewable fraction exceeding 72%, this hybrid system can reduce more than 2000 Kg of CO2 emission per household annually. Although excess electricity generation is a challenge in stand-alone systems, by using the fuel cell, an electrolyzer, and a hydrogen tank unit, the amount of energy loss was reduced to less than one-sixth. These results show that selecting useful indicators such as appropriate implementation of policies of new enabling technologies and investments on renewable energy resources, has three potential benefits namely: CO2 reduction, greater sustainable electricity generation and provides an economic justication for stakeholders to invest in the renewable energy sector.","author":[{"dropping-particle":"","family":"Razmjoo","given":"A.","non-dropping-particle":"","parse-names":false,"suffix":""},{"dropping-particle":"","family":"Gakenia Kaigutha","given":"L.","non-dropping-particle":"","parse-names":false,"suffix":""},{"dropping-particle":"","family":"Vaziri Rad","given":"M. A.","non-dropping-particle":"","parse-names":false,"suffix":""},{"dropping-particle":"","family":"Marzband","given":"M.","non-dropping-particle":"","parse-names":false,"suffix":""},{"dropping-particle":"","family":"Davarpanah","given":"A.","non-dropping-particle":"","parse-names":false,"suffix":""},{"dropping-particle":"","family":"Denai","given":"M.","non-dropping-particle":"","parse-names":false,"suffix":""}],"container-title":"Renewable Energy","id":"ITEM-1","issued":{"date-parts":[["2021","2","1"]]},"note":"Simulation of optimal system in Iran, sensitivity analysis on solar radiation and wind speed to calculate cost of energy and CO2 emissions.","page":"46-57","publisher":"Elsevier Ltd","title":"A Technical analysis investigating energy sustainability utilizing reliable renewable energy sources to reduce CO2 emissions in a high potential area","type":"article-journal","volume":"164"},"uris":["http://www.mendeley.com/documents/?uuid=9889c309-1365-3393-ba93-a539931cc4a7"]}],"mendeley":{"formattedCitation":"(Razmjoo et al. 2021)","manualFormatting":"(Razmjoo et al., 2021)","plainTextFormattedCitation":"(Razmjoo et al. 2021)","previouslyFormattedCitation":"(Razmjoo et al. 2021)"},"properties":{"noteIndex":0},"schema":"https://github.com/citation-style-language/schema/raw/master/csl-citation.json"}</w:instrText>
      </w:r>
      <w:r w:rsidR="006E7A9E" w:rsidRPr="00DE2C57">
        <w:fldChar w:fldCharType="separate"/>
      </w:r>
      <w:r w:rsidR="006E7A9E" w:rsidRPr="00DE2C57">
        <w:rPr>
          <w:noProof/>
        </w:rPr>
        <w:t>(Razmjoo et al.</w:t>
      </w:r>
      <w:r w:rsidR="007E7728">
        <w:rPr>
          <w:noProof/>
        </w:rPr>
        <w:t>,</w:t>
      </w:r>
      <w:r w:rsidR="006E7A9E" w:rsidRPr="00DE2C57">
        <w:rPr>
          <w:noProof/>
        </w:rPr>
        <w:t xml:space="preserve"> 2021)</w:t>
      </w:r>
      <w:r w:rsidR="006E7A9E" w:rsidRPr="00DE2C57">
        <w:fldChar w:fldCharType="end"/>
      </w:r>
      <w:r w:rsidR="006E7A9E" w:rsidRPr="00DE2C57">
        <w:t xml:space="preserve">, </w:t>
      </w:r>
      <w:r w:rsidR="009350C0" w:rsidRPr="00DE2C57">
        <w:t xml:space="preserve">off-grid applications </w:t>
      </w:r>
      <w:r w:rsidR="009350C0" w:rsidRPr="00DE2C57">
        <w:fldChar w:fldCharType="begin" w:fldLock="1"/>
      </w:r>
      <w:r w:rsidR="00D62FFA">
        <w:instrText>ADDIN CSL_CITATION {"citationItems":[{"id":"ITEM-1","itemData":{"DOI":"10.1016/j.energy.2021.120110","ISSN":"03605442","abstract":"A techno-economic assessment is conducted for a hybrid combined generation system based on renewable storage technologies such as those offered by fuel cells and using hydrogen as a fuel, which is considered to be a sustainable energy vector. The proposed system consists of three subsystems: a photovoltaic system, which generates electrical energy through solar energy; the system for the generation, consumption and storage of hydrogen, where an electrolyzer is available to obtain hydrogen from water; the fuel cell, which will generate electrical and heat energy and a hydrogen tank to store the hydrogen; and a thermal system, consisting of a Heat Recovery Steam System and an absorption chiller where the thermal energy from the heat cell will be used for the thermal load. The electrical energy generated by the fuel cell serves as a support for the solar energy when, for whatever reason, it cannot meet the demand. The economic assessment, performed using the Hybrid Optimization of Multiple Energy Resources (HOMER) software, shows that the net present cost of the optimized system is $1,006,293 and the cost of energy $0.8399/kWh. The research here presented proved that, although this system is not economically viable at present, it is technically possible.","author":[{"dropping-particle":"","family":"Peláez-Peláez","given":"Sofía","non-dropping-particle":"","parse-names":false,"suffix":""},{"dropping-particle":"","family":"Colmenar-Santos","given":"Antonio","non-dropping-particle":"","parse-names":false,"suffix":""},{"dropping-particle":"","family":"Pérez-Molina","given":"Clara","non-dropping-particle":"","parse-names":false,"suffix":""},{"dropping-particle":"","family":"Rosales","given":"Ana Esther","non-dropping-particle":"","parse-names":false,"suffix":""},{"dropping-particle":"","family":"Rosales-Asensio","given":"Enrique","non-dropping-particle":"","parse-names":false,"suffix":""}],"container-title":"Energy","id":"ITEM-1","issued":{"date-parts":[["2021","6","1"]]},"note":"Simulation of heat and power consumption. Sensitivity analysis on:\n- FC heat recovery ratio and lifetime.\n- PV lifetime and derating.\n- Electrolyzer lifetime and efficiency.\n- Boiler efficiency.","publisher":"Elsevier Ltd","title":"Techno-economic analysis of a heat and power combination system based on hybrid photovoltaic-fuel cell systems using hydrogen as an energy vector","type":"article-journal","volume":"224"},"uris":["http://www.mendeley.com/documents/?uuid=e71ea310-c20e-37a9-8d51-8cb35275b173"]}],"mendeley":{"formattedCitation":"(Peláez-Peláez et al. 2021)","manualFormatting":"(Peláez-Peláez et al., 2021)","plainTextFormattedCitation":"(Peláez-Peláez et al. 2021)","previouslyFormattedCitation":"(Peláez-Peláez et al. 2021)"},"properties":{"noteIndex":0},"schema":"https://github.com/citation-style-language/schema/raw/master/csl-citation.json"}</w:instrText>
      </w:r>
      <w:r w:rsidR="009350C0" w:rsidRPr="00DE2C57">
        <w:fldChar w:fldCharType="separate"/>
      </w:r>
      <w:r w:rsidR="009350C0" w:rsidRPr="00DE2C57">
        <w:rPr>
          <w:noProof/>
        </w:rPr>
        <w:t>(Peláez-Peláez et al.</w:t>
      </w:r>
      <w:r w:rsidR="007E7728">
        <w:rPr>
          <w:noProof/>
        </w:rPr>
        <w:t>,</w:t>
      </w:r>
      <w:r w:rsidR="009350C0" w:rsidRPr="00DE2C57">
        <w:rPr>
          <w:noProof/>
        </w:rPr>
        <w:t xml:space="preserve"> 2021)</w:t>
      </w:r>
      <w:r w:rsidR="009350C0" w:rsidRPr="00DE2C57">
        <w:fldChar w:fldCharType="end"/>
      </w:r>
      <w:r w:rsidR="009350C0" w:rsidRPr="00DE2C57">
        <w:t xml:space="preserve">, </w:t>
      </w:r>
      <w:r w:rsidR="000454FA">
        <w:t xml:space="preserve">homes and </w:t>
      </w:r>
      <w:r w:rsidR="006E7A9E" w:rsidRPr="00DE2C57">
        <w:t xml:space="preserve">commercial buildings </w:t>
      </w:r>
      <w:r w:rsidR="006E7A9E" w:rsidRPr="00DE2C57">
        <w:fldChar w:fldCharType="begin" w:fldLock="1"/>
      </w:r>
      <w:r w:rsidR="00D62FFA">
        <w:instrText>ADDIN CSL_CITATION {"citationItems":[{"id":"ITEM-1","itemData":{"DOI":"10.1016/j.energy.2018.10.070","ISSN":"03605442","abstract":"The deployment of off-grid renewable systems using variable energy sources like solar and wind as an alternative to the grid extension in remote areas with no access to electricity is becoming widespread. However, due to the fluctuating nature of power outputs from these generators and that of the loads, an off-grid renewable power system should include an energy storage facility. Various energy storage technologies exist in the market, yet, each of them considered individually has not proven to be technically and economically viable. Integrating two or more energy storage devices as a single entity increases the reliability and security of supply in an off-grid renewable power system. In this study, a hybrid energy storage combining a hydrogen fuel cell and a supercapacitor is simulated, the objective is to find the optimal size of a composite energy storage system for a commercial load supplied from photovoltaic panels. The suitable architecture is adopted based on its technical feasibility and cost effectiveness. Sensitivity analysis on the projected costs of hydrogen storage is carried out to evaluate the impact of the hydrogen cost on the cost of the system and the levelized cost of energy. The simulation is performed under Cape Town weather conditions using HOMER Pro.","author":[{"dropping-particle":"","family":"Luta","given":"Doudou N.","non-dropping-particle":"","parse-names":false,"suffix":""},{"dropping-particle":"","family":"Raji","given":"Atanda K.","non-dropping-particle":"","parse-names":false,"suffix":""}],"container-title":"Energy","id":"ITEM-1","issued":{"date-parts":[["2019","1","1"]]},"note":"Paper interesante con descripción de método de optimización de HOMER Pro y criterios de optimización.","page":"530-540","publisher":"Elsevier Ltd","title":"Optimal sizing of hybrid fuel cell-supercapacitor storage system for off-grid renewable applications","type":"article-journal","volume":"166"},"uris":["http://www.mendeley.com/documents/?uuid=6533a750-c1d6-37b2-8e55-43f7862233af"]}],"mendeley":{"formattedCitation":"(Luta and Raji 2019)","manualFormatting":"(Luta and Raji, 2019)","plainTextFormattedCitation":"(Luta and Raji 2019)","previouslyFormattedCitation":"(Luta and Raji 2019)"},"properties":{"noteIndex":0},"schema":"https://github.com/citation-style-language/schema/raw/master/csl-citation.json"}</w:instrText>
      </w:r>
      <w:r w:rsidR="006E7A9E" w:rsidRPr="00DE2C57">
        <w:fldChar w:fldCharType="separate"/>
      </w:r>
      <w:r w:rsidR="006E7A9E" w:rsidRPr="00DE2C57">
        <w:rPr>
          <w:noProof/>
        </w:rPr>
        <w:t>(Luta and Raji</w:t>
      </w:r>
      <w:r w:rsidR="007E7728">
        <w:rPr>
          <w:noProof/>
        </w:rPr>
        <w:t>,</w:t>
      </w:r>
      <w:r w:rsidR="006E7A9E" w:rsidRPr="00DE2C57">
        <w:rPr>
          <w:noProof/>
        </w:rPr>
        <w:t xml:space="preserve"> 2019)</w:t>
      </w:r>
      <w:r w:rsidR="006E7A9E" w:rsidRPr="00DE2C57">
        <w:fldChar w:fldCharType="end"/>
      </w:r>
      <w:r w:rsidR="006E7A9E" w:rsidRPr="00DE2C57">
        <w:t>.</w:t>
      </w:r>
      <w:r w:rsidR="008630B6">
        <w:t xml:space="preserve"> </w:t>
      </w:r>
    </w:p>
    <w:p w14:paraId="4384893B" w14:textId="5D4037F4" w:rsidR="00413D29" w:rsidRPr="00DE2C57" w:rsidRDefault="00413D29" w:rsidP="00612E24">
      <w:pPr>
        <w:pStyle w:val="CETBodytext"/>
      </w:pPr>
      <w:r w:rsidRPr="00DE2C57">
        <w:t xml:space="preserve">In this context, the main objective of the </w:t>
      </w:r>
      <w:r w:rsidR="00C70E21" w:rsidRPr="00DE2C57">
        <w:t xml:space="preserve">SUDOE ENERGY PUSH </w:t>
      </w:r>
      <w:r w:rsidRPr="00DE2C57">
        <w:t>project is the increase of social housing efficiency to combat energy poverty in a sustainable way by combining renewable energy sources (RES) and hydrogen technologies</w:t>
      </w:r>
      <w:r w:rsidR="00A15F73" w:rsidRPr="00DE2C57">
        <w:t xml:space="preserve"> in the SUDOE REGION (south-western countries of Europe)</w:t>
      </w:r>
      <w:r w:rsidRPr="00DE2C57">
        <w:t xml:space="preserve">. To </w:t>
      </w:r>
      <w:r w:rsidR="00A15F73" w:rsidRPr="00DE2C57">
        <w:t>assess the capabilities of RHS</w:t>
      </w:r>
      <w:r w:rsidR="00D76647" w:rsidRPr="00DE2C57">
        <w:t>, three different locations from Spain, France and Portugal have been selected for the techno-economic assessment of these novel solutions for buildings decarbonization.</w:t>
      </w:r>
    </w:p>
    <w:p w14:paraId="5C330F2E" w14:textId="5F8CA1E6" w:rsidR="00C155B3" w:rsidRPr="00DE2C57" w:rsidRDefault="00741B7B" w:rsidP="00612E24">
      <w:pPr>
        <w:pStyle w:val="CETHeading1"/>
        <w:jc w:val="both"/>
      </w:pPr>
      <w:r w:rsidRPr="00DE2C57">
        <w:t>Methodology</w:t>
      </w:r>
    </w:p>
    <w:p w14:paraId="61D3D39C" w14:textId="014A9B2F" w:rsidR="00231AE8" w:rsidRPr="00DE2C57" w:rsidRDefault="00052724" w:rsidP="00612E24">
      <w:pPr>
        <w:pStyle w:val="CETBodytext"/>
      </w:pPr>
      <w:r w:rsidRPr="00DE2C57">
        <w:t xml:space="preserve">During the last decade, multiple </w:t>
      </w:r>
      <w:r w:rsidR="00C0038D" w:rsidRPr="00DE2C57">
        <w:t>RHS</w:t>
      </w:r>
      <w:r w:rsidRPr="00DE2C57">
        <w:t xml:space="preserve"> have been studied </w:t>
      </w:r>
      <w:r w:rsidR="00182EA2" w:rsidRPr="00DE2C57">
        <w:t xml:space="preserve">for a </w:t>
      </w:r>
      <w:proofErr w:type="gramStart"/>
      <w:r w:rsidR="00182EA2" w:rsidRPr="00DE2C57">
        <w:t>variety</w:t>
      </w:r>
      <w:r w:rsidRPr="00DE2C57">
        <w:t xml:space="preserve"> application</w:t>
      </w:r>
      <w:r w:rsidR="00182EA2" w:rsidRPr="00DE2C57">
        <w:t>s</w:t>
      </w:r>
      <w:proofErr w:type="gramEnd"/>
      <w:r w:rsidRPr="00DE2C57">
        <w:t xml:space="preserve"> in the framework of experimental studies and pilot projects.</w:t>
      </w:r>
      <w:r w:rsidR="00231AE8" w:rsidRPr="00DE2C57">
        <w:t xml:space="preserve"> </w:t>
      </w:r>
      <w:r w:rsidR="006E7B57" w:rsidRPr="00DE2C57">
        <w:t xml:space="preserve">To evaluate the potential benefits of deploying these novel facilities in buildings, a techno-economic assessment has been carried out on three </w:t>
      </w:r>
      <w:r w:rsidR="00D40B08" w:rsidRPr="00DE2C57">
        <w:t>constructions</w:t>
      </w:r>
      <w:r w:rsidR="006E7B57" w:rsidRPr="00DE2C57">
        <w:t xml:space="preserve"> considered in the application of the ENERGY PUSH project for the implementation of different pilot plants. These buildings </w:t>
      </w:r>
      <w:r w:rsidR="00D40B08" w:rsidRPr="00DE2C57">
        <w:t xml:space="preserve">consisting of 18 homes each </w:t>
      </w:r>
      <w:proofErr w:type="gramStart"/>
      <w:r w:rsidR="006E7B57" w:rsidRPr="00DE2C57">
        <w:t>are located in</w:t>
      </w:r>
      <w:proofErr w:type="gramEnd"/>
      <w:r w:rsidR="006E7B57" w:rsidRPr="00DE2C57">
        <w:t xml:space="preserve"> Bordeaux (France), Novales (</w:t>
      </w:r>
      <w:r w:rsidR="00D40B08" w:rsidRPr="00DE2C57">
        <w:t xml:space="preserve">Cantabria, </w:t>
      </w:r>
      <w:r w:rsidR="006E7B57" w:rsidRPr="00DE2C57">
        <w:t>Spain) and Vila Nova de Gaia (Portugal).</w:t>
      </w:r>
      <w:r w:rsidR="00764792" w:rsidRPr="00DE2C57">
        <w:t xml:space="preserve"> </w:t>
      </w:r>
    </w:p>
    <w:p w14:paraId="41467D4E" w14:textId="5D491092" w:rsidR="009B501B" w:rsidRPr="00DE2C57" w:rsidRDefault="00B15E68" w:rsidP="00612E24">
      <w:pPr>
        <w:pStyle w:val="CETBodytext"/>
      </w:pPr>
      <w:r w:rsidRPr="00DE2C57">
        <w:t xml:space="preserve">Final configurations depend on multiple factors. Climate zones and meteorological resources vary between locations as well as energy consumption in terms of daily average requirements, peak </w:t>
      </w:r>
      <w:proofErr w:type="gramStart"/>
      <w:r w:rsidRPr="00DE2C57">
        <w:t>load</w:t>
      </w:r>
      <w:proofErr w:type="gramEnd"/>
      <w:r w:rsidRPr="00DE2C57">
        <w:t xml:space="preserve"> and hourly distribution. </w:t>
      </w:r>
      <w:r w:rsidR="00920AB4" w:rsidRPr="00DE2C57">
        <w:t xml:space="preserve">To carry out the design and sizing of the RHS, HOMER Pro software has been employed. This tool </w:t>
      </w:r>
      <w:r w:rsidR="008630B6">
        <w:t>examines different RHS components and performs a techno-economic optimization, sorting all viable configurations according to the least net present cost</w:t>
      </w:r>
      <w:r w:rsidR="005826E0">
        <w:t xml:space="preserve"> and levelized cost of energy</w:t>
      </w:r>
      <w:r w:rsidR="008630B6">
        <w:t xml:space="preserve">. It </w:t>
      </w:r>
      <w:r w:rsidR="00182EA2" w:rsidRPr="00DE2C57">
        <w:t>uses</w:t>
      </w:r>
      <w:r w:rsidR="00920AB4" w:rsidRPr="00DE2C57">
        <w:t xml:space="preserve"> NASA databases of global horizontal irradiation and average wind speed</w:t>
      </w:r>
      <w:r w:rsidR="00182EA2" w:rsidRPr="00DE2C57">
        <w:t>s</w:t>
      </w:r>
      <w:r w:rsidR="00920AB4" w:rsidRPr="00DE2C57">
        <w:t xml:space="preserve"> to generate hourly distributions of photovoltaic (PV) and wind turbine (WT) </w:t>
      </w:r>
      <w:r w:rsidR="00F63AA8" w:rsidRPr="00DE2C57">
        <w:t xml:space="preserve">production during a year. </w:t>
      </w:r>
      <w:r w:rsidR="00182EA2" w:rsidRPr="00DE2C57">
        <w:t>Hence</w:t>
      </w:r>
      <w:r w:rsidRPr="00DE2C57">
        <w:t>, Figure 1 gathers the monthly PV production per installed kW and the monthly average wind speed</w:t>
      </w:r>
      <w:r w:rsidR="00182EA2" w:rsidRPr="00DE2C57">
        <w:t>s in the considered locations</w:t>
      </w:r>
      <w:r w:rsidR="009B501B">
        <w:t>.</w:t>
      </w:r>
    </w:p>
    <w:p w14:paraId="674AF206" w14:textId="77777777" w:rsidR="00F63AA8" w:rsidRPr="00DE2C57" w:rsidRDefault="00F63AA8" w:rsidP="00612E24">
      <w:pPr>
        <w:pStyle w:val="CETBodytext"/>
      </w:pPr>
    </w:p>
    <w:p w14:paraId="6101095B" w14:textId="4996DFD0" w:rsidR="00B15E68" w:rsidRPr="00DE2C57" w:rsidRDefault="00B15E68" w:rsidP="00612E24">
      <w:pPr>
        <w:pStyle w:val="CETBodytext"/>
      </w:pPr>
      <w:r w:rsidRPr="00DE2C57">
        <w:rPr>
          <w:noProof/>
          <w:lang w:val="en-GB" w:eastAsia="en-GB"/>
        </w:rPr>
        <w:drawing>
          <wp:inline distT="0" distB="0" distL="0" distR="0" wp14:anchorId="2229997A" wp14:editId="666E4E23">
            <wp:extent cx="5319423" cy="3365300"/>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25092" cy="3432151"/>
                    </a:xfrm>
                    <a:prstGeom prst="rect">
                      <a:avLst/>
                    </a:prstGeom>
                  </pic:spPr>
                </pic:pic>
              </a:graphicData>
            </a:graphic>
          </wp:inline>
        </w:drawing>
      </w:r>
    </w:p>
    <w:p w14:paraId="5290C063" w14:textId="63B2234E" w:rsidR="00B15E68" w:rsidRPr="00DE2C57" w:rsidRDefault="00B15E68" w:rsidP="00612E24">
      <w:pPr>
        <w:pStyle w:val="CETBodytext"/>
        <w:rPr>
          <w:i/>
        </w:rPr>
      </w:pPr>
      <w:r w:rsidRPr="00DE2C57">
        <w:rPr>
          <w:rStyle w:val="CETCaptionCarattere"/>
          <w:lang w:val="en-US"/>
        </w:rPr>
        <w:t xml:space="preserve">Figure 1: </w:t>
      </w:r>
      <w:r w:rsidRPr="00DE2C57">
        <w:rPr>
          <w:i/>
        </w:rPr>
        <w:t xml:space="preserve">PV production per kW </w:t>
      </w:r>
      <w:r w:rsidR="00764792" w:rsidRPr="00DE2C57">
        <w:rPr>
          <w:i/>
        </w:rPr>
        <w:t xml:space="preserve">(bars) </w:t>
      </w:r>
      <w:r w:rsidRPr="00DE2C57">
        <w:rPr>
          <w:i/>
        </w:rPr>
        <w:t>and average wind speed at 50m</w:t>
      </w:r>
      <w:r w:rsidR="00764792" w:rsidRPr="00DE2C57">
        <w:rPr>
          <w:i/>
        </w:rPr>
        <w:t xml:space="preserve"> (lines with markers)</w:t>
      </w:r>
      <w:r w:rsidRPr="00DE2C57">
        <w:rPr>
          <w:i/>
        </w:rPr>
        <w:t xml:space="preserve"> in different locations of SUDOE region.</w:t>
      </w:r>
    </w:p>
    <w:p w14:paraId="4401485E" w14:textId="539CF91F" w:rsidR="00835A7C" w:rsidRPr="00DE2C57" w:rsidRDefault="00835A7C" w:rsidP="00612E24">
      <w:pPr>
        <w:pStyle w:val="CETBodytext"/>
      </w:pPr>
    </w:p>
    <w:p w14:paraId="480E0C4D" w14:textId="441BF910" w:rsidR="00835A7C" w:rsidRPr="00DE2C57" w:rsidRDefault="00F63AA8" w:rsidP="00612E24">
      <w:pPr>
        <w:pStyle w:val="CETBodytext"/>
      </w:pPr>
      <w:r w:rsidRPr="00DE2C57">
        <w:t xml:space="preserve">On the other hand, it is necessary to define the load demand of the building. This consumption could be either modelled in HOMER Pro or imported from previously </w:t>
      </w:r>
      <w:r w:rsidR="00182EA2" w:rsidRPr="00DE2C57">
        <w:t>collected information</w:t>
      </w:r>
      <w:r w:rsidRPr="00DE2C57">
        <w:t>. In this case, the consumption of Novales has been built by compiling real hourly consumption data from the smart meter of a home during a whole year, while the buildings from Bordeaux and Vila Nova de Gaia have been modelled using yearly and monthly average demands respectively.</w:t>
      </w:r>
      <w:r w:rsidR="00CF786F" w:rsidRPr="00DE2C57">
        <w:t xml:space="preserve"> </w:t>
      </w:r>
      <w:proofErr w:type="gramStart"/>
      <w:r w:rsidR="00CF786F" w:rsidRPr="00DE2C57">
        <w:t>Taking into account</w:t>
      </w:r>
      <w:proofErr w:type="gramEnd"/>
      <w:r w:rsidR="00CF786F" w:rsidRPr="00DE2C57">
        <w:t xml:space="preserve"> these initial hypotheses, the characteristics of the demand in the three locations are shown in Table 1.</w:t>
      </w:r>
    </w:p>
    <w:p w14:paraId="735F6DD2" w14:textId="61251FF4" w:rsidR="00CF786F" w:rsidRPr="00DE2C57" w:rsidRDefault="00CF786F" w:rsidP="00612E24">
      <w:pPr>
        <w:pStyle w:val="CETTabletitle"/>
        <w:jc w:val="both"/>
        <w:rPr>
          <w:lang w:val="en-US"/>
        </w:rPr>
      </w:pPr>
      <w:r w:rsidRPr="00DE2C57">
        <w:rPr>
          <w:lang w:val="en-US"/>
        </w:rPr>
        <w:lastRenderedPageBreak/>
        <w:t>Table 1: Summary of energy consumption per location.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559"/>
        <w:gridCol w:w="1701"/>
        <w:gridCol w:w="2268"/>
      </w:tblGrid>
      <w:tr w:rsidR="00CF786F" w:rsidRPr="0073616C" w14:paraId="61770C07" w14:textId="77777777" w:rsidTr="00CF786F">
        <w:tc>
          <w:tcPr>
            <w:tcW w:w="2694" w:type="dxa"/>
            <w:tcBorders>
              <w:top w:val="single" w:sz="12" w:space="0" w:color="008000"/>
              <w:bottom w:val="single" w:sz="6" w:space="0" w:color="008000"/>
            </w:tcBorders>
            <w:shd w:val="clear" w:color="auto" w:fill="FFFFFF"/>
          </w:tcPr>
          <w:p w14:paraId="2F04F8FE" w14:textId="343E01E2" w:rsidR="00CF786F" w:rsidRPr="00DE2C57" w:rsidRDefault="00CF786F" w:rsidP="00612E24">
            <w:pPr>
              <w:pStyle w:val="CETBodytext"/>
            </w:pPr>
            <w:r w:rsidRPr="00DE2C57">
              <w:t xml:space="preserve">Description </w:t>
            </w:r>
          </w:p>
        </w:tc>
        <w:tc>
          <w:tcPr>
            <w:tcW w:w="1559" w:type="dxa"/>
            <w:tcBorders>
              <w:top w:val="single" w:sz="12" w:space="0" w:color="008000"/>
              <w:bottom w:val="single" w:sz="6" w:space="0" w:color="008000"/>
            </w:tcBorders>
            <w:shd w:val="clear" w:color="auto" w:fill="FFFFFF"/>
          </w:tcPr>
          <w:p w14:paraId="6CD0EABC" w14:textId="77192DD2" w:rsidR="00CF786F" w:rsidRPr="00DE2C57" w:rsidRDefault="00CF786F" w:rsidP="00612E24">
            <w:pPr>
              <w:pStyle w:val="CETBodytext"/>
            </w:pPr>
            <w:r w:rsidRPr="00DE2C57">
              <w:t>Novales, Spain</w:t>
            </w:r>
          </w:p>
        </w:tc>
        <w:tc>
          <w:tcPr>
            <w:tcW w:w="1701" w:type="dxa"/>
            <w:tcBorders>
              <w:top w:val="single" w:sz="12" w:space="0" w:color="008000"/>
              <w:bottom w:val="single" w:sz="6" w:space="0" w:color="008000"/>
            </w:tcBorders>
            <w:shd w:val="clear" w:color="auto" w:fill="FFFFFF"/>
          </w:tcPr>
          <w:p w14:paraId="25CA0C8F" w14:textId="794F07AA" w:rsidR="00CF786F" w:rsidRPr="00DE2C57" w:rsidRDefault="00CF786F" w:rsidP="00612E24">
            <w:pPr>
              <w:pStyle w:val="CETBodytext"/>
            </w:pPr>
            <w:r w:rsidRPr="00DE2C57">
              <w:t xml:space="preserve">Bordeaux, France </w:t>
            </w:r>
          </w:p>
        </w:tc>
        <w:tc>
          <w:tcPr>
            <w:tcW w:w="2268" w:type="dxa"/>
            <w:tcBorders>
              <w:top w:val="single" w:sz="12" w:space="0" w:color="008000"/>
              <w:bottom w:val="single" w:sz="6" w:space="0" w:color="008000"/>
            </w:tcBorders>
            <w:shd w:val="clear" w:color="auto" w:fill="FFFFFF"/>
          </w:tcPr>
          <w:p w14:paraId="535090E8" w14:textId="48363E58" w:rsidR="00CF786F" w:rsidRPr="009C43BD" w:rsidRDefault="00CF786F" w:rsidP="00612E24">
            <w:pPr>
              <w:pStyle w:val="CETBodytext"/>
              <w:ind w:right="-1"/>
              <w:rPr>
                <w:rFonts w:cs="Arial"/>
                <w:szCs w:val="18"/>
                <w:lang w:val="es-ES"/>
              </w:rPr>
            </w:pPr>
            <w:r w:rsidRPr="009C43BD">
              <w:rPr>
                <w:rFonts w:cs="Arial"/>
                <w:szCs w:val="18"/>
                <w:lang w:val="es-ES"/>
              </w:rPr>
              <w:t>Vila Nova de Gaia, Portugal</w:t>
            </w:r>
          </w:p>
        </w:tc>
      </w:tr>
      <w:tr w:rsidR="00CF786F" w:rsidRPr="00DE2C57" w14:paraId="49BC0169" w14:textId="77777777" w:rsidTr="00D365A2">
        <w:tc>
          <w:tcPr>
            <w:tcW w:w="2694" w:type="dxa"/>
            <w:shd w:val="clear" w:color="auto" w:fill="FFFFFF"/>
          </w:tcPr>
          <w:p w14:paraId="2F154B73" w14:textId="7DE0A891" w:rsidR="00CF786F" w:rsidRPr="00DE2C57" w:rsidRDefault="00CF786F" w:rsidP="00612E24">
            <w:pPr>
              <w:pStyle w:val="CETBodytext"/>
            </w:pPr>
            <w:r w:rsidRPr="00DE2C57">
              <w:t>Average consumption (kWh/day)</w:t>
            </w:r>
          </w:p>
        </w:tc>
        <w:tc>
          <w:tcPr>
            <w:tcW w:w="1559" w:type="dxa"/>
            <w:shd w:val="clear" w:color="auto" w:fill="FFFFFF"/>
            <w:vAlign w:val="center"/>
          </w:tcPr>
          <w:p w14:paraId="5EFC4BA0" w14:textId="6AA7A75B" w:rsidR="00CF786F" w:rsidRPr="00DE2C57" w:rsidRDefault="00CF786F" w:rsidP="00612E24">
            <w:pPr>
              <w:pStyle w:val="CETBodytext"/>
            </w:pPr>
            <w:r w:rsidRPr="00DE2C57">
              <w:t>94.38</w:t>
            </w:r>
          </w:p>
        </w:tc>
        <w:tc>
          <w:tcPr>
            <w:tcW w:w="1701" w:type="dxa"/>
            <w:shd w:val="clear" w:color="auto" w:fill="FFFFFF"/>
            <w:vAlign w:val="center"/>
          </w:tcPr>
          <w:p w14:paraId="0FEE1298" w14:textId="3CCC3C94" w:rsidR="00CF786F" w:rsidRPr="00DE2C57" w:rsidRDefault="00CF786F" w:rsidP="00612E24">
            <w:pPr>
              <w:pStyle w:val="CETBodytext"/>
            </w:pPr>
            <w:r w:rsidRPr="00DE2C57">
              <w:t>82.16</w:t>
            </w:r>
          </w:p>
        </w:tc>
        <w:tc>
          <w:tcPr>
            <w:tcW w:w="2268" w:type="dxa"/>
            <w:shd w:val="clear" w:color="auto" w:fill="FFFFFF"/>
            <w:vAlign w:val="center"/>
          </w:tcPr>
          <w:p w14:paraId="3B4C000D" w14:textId="023CD089" w:rsidR="00CF786F" w:rsidRPr="00DE2C57" w:rsidRDefault="00CF786F" w:rsidP="00612E24">
            <w:pPr>
              <w:pStyle w:val="CETBodytext"/>
              <w:ind w:right="-1"/>
              <w:rPr>
                <w:rFonts w:cs="Arial"/>
                <w:szCs w:val="18"/>
              </w:rPr>
            </w:pPr>
            <w:r w:rsidRPr="00DE2C57">
              <w:t>85.95</w:t>
            </w:r>
          </w:p>
        </w:tc>
      </w:tr>
      <w:tr w:rsidR="00CF786F" w:rsidRPr="00DE2C57" w14:paraId="6E9883CF" w14:textId="77777777" w:rsidTr="00D365A2">
        <w:tc>
          <w:tcPr>
            <w:tcW w:w="2694" w:type="dxa"/>
            <w:shd w:val="clear" w:color="auto" w:fill="FFFFFF"/>
          </w:tcPr>
          <w:p w14:paraId="4C8EF694" w14:textId="3264CD6A" w:rsidR="00CF786F" w:rsidRPr="00DE2C57" w:rsidRDefault="00CF786F" w:rsidP="00612E24">
            <w:pPr>
              <w:pStyle w:val="CETBodytext"/>
              <w:ind w:right="-1"/>
              <w:rPr>
                <w:rFonts w:cs="Arial"/>
                <w:szCs w:val="18"/>
              </w:rPr>
            </w:pPr>
            <w:r w:rsidRPr="00DE2C57">
              <w:rPr>
                <w:rFonts w:cs="Arial"/>
                <w:szCs w:val="18"/>
              </w:rPr>
              <w:t>Average demand (kW)</w:t>
            </w:r>
          </w:p>
        </w:tc>
        <w:tc>
          <w:tcPr>
            <w:tcW w:w="1559" w:type="dxa"/>
            <w:shd w:val="clear" w:color="auto" w:fill="FFFFFF"/>
            <w:vAlign w:val="center"/>
          </w:tcPr>
          <w:p w14:paraId="23967903" w14:textId="7218D848" w:rsidR="00CF786F" w:rsidRPr="00DE2C57" w:rsidRDefault="00CF786F" w:rsidP="00612E24">
            <w:pPr>
              <w:pStyle w:val="CETBodytext"/>
              <w:ind w:right="-1"/>
              <w:rPr>
                <w:rFonts w:cs="Arial"/>
                <w:szCs w:val="18"/>
              </w:rPr>
            </w:pPr>
            <w:r w:rsidRPr="00DE2C57">
              <w:t>3.97</w:t>
            </w:r>
          </w:p>
        </w:tc>
        <w:tc>
          <w:tcPr>
            <w:tcW w:w="1701" w:type="dxa"/>
            <w:shd w:val="clear" w:color="auto" w:fill="FFFFFF"/>
            <w:vAlign w:val="center"/>
          </w:tcPr>
          <w:p w14:paraId="5EAD3B7C" w14:textId="3E2E2B0F" w:rsidR="00CF786F" w:rsidRPr="00DE2C57" w:rsidRDefault="00CF786F" w:rsidP="00612E24">
            <w:pPr>
              <w:pStyle w:val="CETBodytext"/>
              <w:ind w:right="-1"/>
              <w:rPr>
                <w:rFonts w:cs="Arial"/>
                <w:szCs w:val="18"/>
              </w:rPr>
            </w:pPr>
            <w:r w:rsidRPr="00DE2C57">
              <w:t>3.42</w:t>
            </w:r>
          </w:p>
        </w:tc>
        <w:tc>
          <w:tcPr>
            <w:tcW w:w="2268" w:type="dxa"/>
            <w:shd w:val="clear" w:color="auto" w:fill="FFFFFF"/>
            <w:vAlign w:val="center"/>
          </w:tcPr>
          <w:p w14:paraId="36CFE441" w14:textId="0C36B465" w:rsidR="00CF786F" w:rsidRPr="00DE2C57" w:rsidRDefault="00CF786F" w:rsidP="00612E24">
            <w:pPr>
              <w:pStyle w:val="CETBodytext"/>
              <w:ind w:right="-1"/>
              <w:rPr>
                <w:rFonts w:cs="Arial"/>
                <w:szCs w:val="18"/>
              </w:rPr>
            </w:pPr>
            <w:r w:rsidRPr="00DE2C57">
              <w:t>3.58</w:t>
            </w:r>
          </w:p>
        </w:tc>
      </w:tr>
      <w:tr w:rsidR="00CF786F" w:rsidRPr="00DE2C57" w14:paraId="70320F4C" w14:textId="77777777" w:rsidTr="00D365A2">
        <w:tc>
          <w:tcPr>
            <w:tcW w:w="2694" w:type="dxa"/>
            <w:shd w:val="clear" w:color="auto" w:fill="FFFFFF"/>
          </w:tcPr>
          <w:p w14:paraId="1B29A3E1" w14:textId="6F10CD7E" w:rsidR="00CF786F" w:rsidRPr="00DE2C57" w:rsidRDefault="00CF786F" w:rsidP="00612E24">
            <w:pPr>
              <w:pStyle w:val="CETBodytext"/>
              <w:ind w:right="-1"/>
              <w:rPr>
                <w:rFonts w:cs="Arial"/>
                <w:szCs w:val="18"/>
              </w:rPr>
            </w:pPr>
            <w:r w:rsidRPr="00DE2C57">
              <w:rPr>
                <w:rFonts w:cs="Arial"/>
                <w:szCs w:val="18"/>
              </w:rPr>
              <w:t>Peak demand (kW)</w:t>
            </w:r>
          </w:p>
        </w:tc>
        <w:tc>
          <w:tcPr>
            <w:tcW w:w="1559" w:type="dxa"/>
            <w:shd w:val="clear" w:color="auto" w:fill="FFFFFF"/>
            <w:vAlign w:val="center"/>
          </w:tcPr>
          <w:p w14:paraId="2780A85C" w14:textId="29B34748" w:rsidR="00CF786F" w:rsidRPr="00DE2C57" w:rsidRDefault="00CF786F" w:rsidP="00612E24">
            <w:pPr>
              <w:pStyle w:val="CETBodytext"/>
              <w:ind w:right="-1"/>
              <w:rPr>
                <w:rFonts w:cs="Arial"/>
                <w:szCs w:val="18"/>
              </w:rPr>
            </w:pPr>
            <w:r w:rsidRPr="00DE2C57">
              <w:t>41.56</w:t>
            </w:r>
          </w:p>
        </w:tc>
        <w:tc>
          <w:tcPr>
            <w:tcW w:w="1701" w:type="dxa"/>
            <w:shd w:val="clear" w:color="auto" w:fill="FFFFFF"/>
            <w:vAlign w:val="center"/>
          </w:tcPr>
          <w:p w14:paraId="0DC79F0D" w14:textId="5DC25EA9" w:rsidR="00CF786F" w:rsidRPr="00DE2C57" w:rsidRDefault="00CF786F" w:rsidP="00612E24">
            <w:pPr>
              <w:pStyle w:val="CETBodytext"/>
              <w:ind w:right="-1"/>
              <w:rPr>
                <w:rFonts w:cs="Arial"/>
                <w:szCs w:val="18"/>
              </w:rPr>
            </w:pPr>
            <w:r w:rsidRPr="00DE2C57">
              <w:t>12.21</w:t>
            </w:r>
          </w:p>
        </w:tc>
        <w:tc>
          <w:tcPr>
            <w:tcW w:w="2268" w:type="dxa"/>
            <w:shd w:val="clear" w:color="auto" w:fill="FFFFFF"/>
            <w:vAlign w:val="center"/>
          </w:tcPr>
          <w:p w14:paraId="3E2D7018" w14:textId="04B65A81" w:rsidR="00CF786F" w:rsidRPr="00DE2C57" w:rsidRDefault="00CF786F" w:rsidP="00612E24">
            <w:pPr>
              <w:pStyle w:val="CETBodytext"/>
              <w:ind w:right="-1"/>
              <w:rPr>
                <w:rFonts w:cs="Arial"/>
                <w:szCs w:val="18"/>
              </w:rPr>
            </w:pPr>
            <w:r w:rsidRPr="00DE2C57">
              <w:t>9.85</w:t>
            </w:r>
          </w:p>
        </w:tc>
      </w:tr>
      <w:tr w:rsidR="00CF786F" w:rsidRPr="00DE2C57" w14:paraId="7B647E86" w14:textId="77777777" w:rsidTr="00D365A2">
        <w:tc>
          <w:tcPr>
            <w:tcW w:w="2694" w:type="dxa"/>
            <w:shd w:val="clear" w:color="auto" w:fill="FFFFFF"/>
          </w:tcPr>
          <w:p w14:paraId="22041410" w14:textId="14C2C588" w:rsidR="00CF786F" w:rsidRPr="00DE2C57" w:rsidRDefault="00CF786F" w:rsidP="00612E24">
            <w:pPr>
              <w:pStyle w:val="CETBodytext"/>
              <w:ind w:right="-1"/>
              <w:rPr>
                <w:rFonts w:cs="Arial"/>
                <w:szCs w:val="18"/>
                <w:vertAlign w:val="superscript"/>
              </w:rPr>
            </w:pPr>
            <w:r w:rsidRPr="00DE2C57">
              <w:rPr>
                <w:rFonts w:cs="Arial"/>
                <w:szCs w:val="18"/>
              </w:rPr>
              <w:t>Load factor</w:t>
            </w:r>
            <w:r w:rsidRPr="00DE2C57">
              <w:rPr>
                <w:rFonts w:cs="Arial"/>
                <w:szCs w:val="18"/>
                <w:vertAlign w:val="superscript"/>
              </w:rPr>
              <w:t xml:space="preserve"> a</w:t>
            </w:r>
          </w:p>
        </w:tc>
        <w:tc>
          <w:tcPr>
            <w:tcW w:w="1559" w:type="dxa"/>
            <w:shd w:val="clear" w:color="auto" w:fill="FFFFFF"/>
            <w:vAlign w:val="center"/>
          </w:tcPr>
          <w:p w14:paraId="1182751E" w14:textId="62BAC9EC" w:rsidR="00CF786F" w:rsidRPr="00DE2C57" w:rsidRDefault="00CF786F" w:rsidP="00612E24">
            <w:pPr>
              <w:pStyle w:val="CETBodytext"/>
              <w:ind w:right="-1"/>
              <w:rPr>
                <w:rFonts w:cs="Arial"/>
                <w:szCs w:val="18"/>
              </w:rPr>
            </w:pPr>
            <w:r w:rsidRPr="00DE2C57">
              <w:t>0.09</w:t>
            </w:r>
          </w:p>
        </w:tc>
        <w:tc>
          <w:tcPr>
            <w:tcW w:w="1701" w:type="dxa"/>
            <w:shd w:val="clear" w:color="auto" w:fill="FFFFFF"/>
            <w:vAlign w:val="center"/>
          </w:tcPr>
          <w:p w14:paraId="54D3C86E" w14:textId="32E15261" w:rsidR="00CF786F" w:rsidRPr="00DE2C57" w:rsidRDefault="00CF786F" w:rsidP="00612E24">
            <w:pPr>
              <w:pStyle w:val="CETBodytext"/>
              <w:ind w:right="-1"/>
              <w:rPr>
                <w:rFonts w:cs="Arial"/>
                <w:szCs w:val="18"/>
              </w:rPr>
            </w:pPr>
            <w:r w:rsidRPr="00DE2C57">
              <w:t>0.28</w:t>
            </w:r>
          </w:p>
        </w:tc>
        <w:tc>
          <w:tcPr>
            <w:tcW w:w="2268" w:type="dxa"/>
            <w:shd w:val="clear" w:color="auto" w:fill="FFFFFF"/>
            <w:vAlign w:val="center"/>
          </w:tcPr>
          <w:p w14:paraId="5BBCF734" w14:textId="09221F72" w:rsidR="00CF786F" w:rsidRPr="00DE2C57" w:rsidRDefault="00CF786F" w:rsidP="00612E24">
            <w:pPr>
              <w:pStyle w:val="CETBodytext"/>
              <w:ind w:right="-1"/>
              <w:rPr>
                <w:rFonts w:cs="Arial"/>
                <w:szCs w:val="18"/>
              </w:rPr>
            </w:pPr>
            <w:r w:rsidRPr="00DE2C57">
              <w:t>0.36</w:t>
            </w:r>
          </w:p>
        </w:tc>
      </w:tr>
    </w:tbl>
    <w:p w14:paraId="22364A8A" w14:textId="5FC6C9F0" w:rsidR="00CF786F" w:rsidRPr="00DE2C57" w:rsidRDefault="00CF786F" w:rsidP="00612E24">
      <w:pPr>
        <w:pStyle w:val="CETBodytext"/>
      </w:pPr>
      <w:r w:rsidRPr="00DE2C57">
        <w:rPr>
          <w:vertAlign w:val="superscript"/>
        </w:rPr>
        <w:t>a</w:t>
      </w:r>
      <w:r w:rsidRPr="00DE2C57">
        <w:t xml:space="preserve"> Load factor calculated as the ratio between average demand and peak demand</w:t>
      </w:r>
    </w:p>
    <w:p w14:paraId="683DE1A3" w14:textId="55D1C5C4" w:rsidR="00D5561D" w:rsidRPr="00DE2C57" w:rsidRDefault="00D5561D" w:rsidP="00612E24">
      <w:pPr>
        <w:pStyle w:val="CETBodytext"/>
      </w:pPr>
    </w:p>
    <w:p w14:paraId="2BDB796D" w14:textId="4A885645" w:rsidR="00D939FE" w:rsidRPr="00DE2C57" w:rsidRDefault="00D939FE" w:rsidP="00612E24">
      <w:pPr>
        <w:pStyle w:val="CETBodytext"/>
      </w:pPr>
      <w:r w:rsidRPr="00DE2C57">
        <w:t>The</w:t>
      </w:r>
      <w:r w:rsidR="00B22B07" w:rsidRPr="00DE2C57">
        <w:t xml:space="preserve"> resulting configurations </w:t>
      </w:r>
      <w:r w:rsidRPr="00DE2C57">
        <w:t>per location will consider the particularities of each country since they have different electricity mixes with different levels of carbon intensity and grid prices as reflected in Table 2.</w:t>
      </w:r>
    </w:p>
    <w:p w14:paraId="6C140A9E" w14:textId="77777777" w:rsidR="00D939FE" w:rsidRPr="00DE2C57" w:rsidRDefault="00D939FE" w:rsidP="00612E24">
      <w:pPr>
        <w:pStyle w:val="CETBodytext"/>
      </w:pPr>
    </w:p>
    <w:p w14:paraId="1DCE0C9D" w14:textId="13818EED" w:rsidR="00D939FE" w:rsidRPr="00DE2C57" w:rsidRDefault="00D939FE" w:rsidP="00612E24">
      <w:pPr>
        <w:pStyle w:val="CETBodytext"/>
      </w:pPr>
      <w:r w:rsidRPr="00DE2C57">
        <w:rPr>
          <w:i/>
        </w:rPr>
        <w:t>Table 2</w:t>
      </w:r>
      <w:r w:rsidRPr="00DE2C57">
        <w:rPr>
          <w:b/>
          <w:i/>
        </w:rPr>
        <w:t>:</w:t>
      </w:r>
      <w:r w:rsidRPr="00DE2C57">
        <w:rPr>
          <w:i/>
        </w:rPr>
        <w:t xml:space="preserve"> Summary of electricity grid prices and carbon intensities per location.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559"/>
        <w:gridCol w:w="1701"/>
        <w:gridCol w:w="2268"/>
      </w:tblGrid>
      <w:tr w:rsidR="00D939FE" w:rsidRPr="0073616C" w14:paraId="621C9102" w14:textId="77777777" w:rsidTr="00D365A2">
        <w:tc>
          <w:tcPr>
            <w:tcW w:w="2694" w:type="dxa"/>
            <w:tcBorders>
              <w:top w:val="single" w:sz="12" w:space="0" w:color="008000"/>
              <w:bottom w:val="single" w:sz="6" w:space="0" w:color="008000"/>
            </w:tcBorders>
            <w:shd w:val="clear" w:color="auto" w:fill="FFFFFF"/>
          </w:tcPr>
          <w:p w14:paraId="287F8F95" w14:textId="77777777" w:rsidR="00D939FE" w:rsidRPr="00DE2C57" w:rsidRDefault="00D939FE" w:rsidP="00612E24">
            <w:pPr>
              <w:pStyle w:val="CETBodytext"/>
            </w:pPr>
            <w:r w:rsidRPr="00DE2C57">
              <w:t xml:space="preserve">Description </w:t>
            </w:r>
          </w:p>
        </w:tc>
        <w:tc>
          <w:tcPr>
            <w:tcW w:w="1559" w:type="dxa"/>
            <w:tcBorders>
              <w:top w:val="single" w:sz="12" w:space="0" w:color="008000"/>
              <w:bottom w:val="single" w:sz="6" w:space="0" w:color="008000"/>
            </w:tcBorders>
            <w:shd w:val="clear" w:color="auto" w:fill="FFFFFF"/>
          </w:tcPr>
          <w:p w14:paraId="40B41BF3" w14:textId="77777777" w:rsidR="00D939FE" w:rsidRPr="00DE2C57" w:rsidRDefault="00D939FE" w:rsidP="00612E24">
            <w:pPr>
              <w:pStyle w:val="CETBodytext"/>
            </w:pPr>
            <w:r w:rsidRPr="00DE2C57">
              <w:t>Novales, Spain</w:t>
            </w:r>
          </w:p>
        </w:tc>
        <w:tc>
          <w:tcPr>
            <w:tcW w:w="1701" w:type="dxa"/>
            <w:tcBorders>
              <w:top w:val="single" w:sz="12" w:space="0" w:color="008000"/>
              <w:bottom w:val="single" w:sz="6" w:space="0" w:color="008000"/>
            </w:tcBorders>
            <w:shd w:val="clear" w:color="auto" w:fill="FFFFFF"/>
          </w:tcPr>
          <w:p w14:paraId="58A10FEE" w14:textId="77777777" w:rsidR="00D939FE" w:rsidRPr="00DE2C57" w:rsidRDefault="00D939FE" w:rsidP="00612E24">
            <w:pPr>
              <w:pStyle w:val="CETBodytext"/>
            </w:pPr>
            <w:r w:rsidRPr="00DE2C57">
              <w:t xml:space="preserve">Bordeaux, France </w:t>
            </w:r>
          </w:p>
        </w:tc>
        <w:tc>
          <w:tcPr>
            <w:tcW w:w="2268" w:type="dxa"/>
            <w:tcBorders>
              <w:top w:val="single" w:sz="12" w:space="0" w:color="008000"/>
              <w:bottom w:val="single" w:sz="6" w:space="0" w:color="008000"/>
            </w:tcBorders>
            <w:shd w:val="clear" w:color="auto" w:fill="FFFFFF"/>
          </w:tcPr>
          <w:p w14:paraId="35ED0D1B" w14:textId="77777777" w:rsidR="00D939FE" w:rsidRPr="009C43BD" w:rsidRDefault="00D939FE" w:rsidP="00612E24">
            <w:pPr>
              <w:pStyle w:val="CETBodytext"/>
              <w:rPr>
                <w:lang w:val="es-ES"/>
              </w:rPr>
            </w:pPr>
            <w:r w:rsidRPr="009C43BD">
              <w:rPr>
                <w:lang w:val="es-ES"/>
              </w:rPr>
              <w:t>Vila Nova de Gaia, Portugal</w:t>
            </w:r>
          </w:p>
        </w:tc>
      </w:tr>
      <w:tr w:rsidR="00D939FE" w:rsidRPr="00DE2C57" w14:paraId="26C3959B" w14:textId="77777777" w:rsidTr="00D365A2">
        <w:tc>
          <w:tcPr>
            <w:tcW w:w="2694" w:type="dxa"/>
            <w:shd w:val="clear" w:color="auto" w:fill="FFFFFF"/>
            <w:vAlign w:val="center"/>
          </w:tcPr>
          <w:p w14:paraId="7CF3EF83" w14:textId="4B2D8D41" w:rsidR="00D939FE" w:rsidRPr="00DE2C57" w:rsidRDefault="00D939FE" w:rsidP="00612E24">
            <w:pPr>
              <w:pStyle w:val="CETBodytext"/>
            </w:pPr>
            <w:r w:rsidRPr="00DE2C57">
              <w:t>Electricity Price (US$/kWh)</w:t>
            </w:r>
          </w:p>
        </w:tc>
        <w:tc>
          <w:tcPr>
            <w:tcW w:w="1559" w:type="dxa"/>
            <w:shd w:val="clear" w:color="auto" w:fill="FFFFFF"/>
            <w:vAlign w:val="center"/>
          </w:tcPr>
          <w:p w14:paraId="3538631C" w14:textId="4ED079FA" w:rsidR="00D939FE" w:rsidRPr="00DE2C57" w:rsidRDefault="00D939FE" w:rsidP="00612E24">
            <w:pPr>
              <w:pStyle w:val="CETBodytext"/>
            </w:pPr>
            <w:r w:rsidRPr="00DE2C57">
              <w:t>0.229</w:t>
            </w:r>
          </w:p>
        </w:tc>
        <w:tc>
          <w:tcPr>
            <w:tcW w:w="1701" w:type="dxa"/>
            <w:shd w:val="clear" w:color="auto" w:fill="FFFFFF"/>
            <w:vAlign w:val="center"/>
          </w:tcPr>
          <w:p w14:paraId="4F3F0003" w14:textId="049689FD" w:rsidR="00D939FE" w:rsidRPr="00DE2C57" w:rsidRDefault="00D939FE" w:rsidP="00612E24">
            <w:pPr>
              <w:pStyle w:val="CETBodytext"/>
            </w:pPr>
            <w:r w:rsidRPr="00DE2C57">
              <w:t>0.213</w:t>
            </w:r>
          </w:p>
        </w:tc>
        <w:tc>
          <w:tcPr>
            <w:tcW w:w="2268" w:type="dxa"/>
            <w:shd w:val="clear" w:color="auto" w:fill="FFFFFF"/>
            <w:vAlign w:val="center"/>
          </w:tcPr>
          <w:p w14:paraId="3EF060EF" w14:textId="717160AC" w:rsidR="00D939FE" w:rsidRPr="00DE2C57" w:rsidRDefault="00D939FE" w:rsidP="00612E24">
            <w:pPr>
              <w:pStyle w:val="CETBodytext"/>
            </w:pPr>
            <w:r w:rsidRPr="00DE2C57">
              <w:t>0.269</w:t>
            </w:r>
          </w:p>
        </w:tc>
      </w:tr>
      <w:tr w:rsidR="00D939FE" w:rsidRPr="00DE2C57" w14:paraId="0E1654CE" w14:textId="77777777" w:rsidTr="00D365A2">
        <w:tc>
          <w:tcPr>
            <w:tcW w:w="2694" w:type="dxa"/>
            <w:shd w:val="clear" w:color="auto" w:fill="FFFFFF"/>
            <w:vAlign w:val="center"/>
          </w:tcPr>
          <w:p w14:paraId="384F1A8D" w14:textId="6606C9BF" w:rsidR="00D939FE" w:rsidRPr="00DE2C57" w:rsidRDefault="00D939FE" w:rsidP="00612E24">
            <w:pPr>
              <w:pStyle w:val="CETBodytext"/>
            </w:pPr>
            <w:r w:rsidRPr="00DE2C57">
              <w:t>Carbon intensity (gCO</w:t>
            </w:r>
            <w:r w:rsidRPr="00DE2C57">
              <w:rPr>
                <w:vertAlign w:val="subscript"/>
              </w:rPr>
              <w:t>2</w:t>
            </w:r>
            <w:r w:rsidRPr="00DE2C57">
              <w:t>/kWh)</w:t>
            </w:r>
          </w:p>
        </w:tc>
        <w:tc>
          <w:tcPr>
            <w:tcW w:w="1559" w:type="dxa"/>
            <w:shd w:val="clear" w:color="auto" w:fill="FFFFFF"/>
            <w:vAlign w:val="center"/>
          </w:tcPr>
          <w:p w14:paraId="4DBA5263" w14:textId="1E324EF2" w:rsidR="00D939FE" w:rsidRPr="00DE2C57" w:rsidRDefault="00D939FE" w:rsidP="00612E24">
            <w:pPr>
              <w:pStyle w:val="CETBodytext"/>
            </w:pPr>
            <w:r w:rsidRPr="00DE2C57">
              <w:t>190</w:t>
            </w:r>
          </w:p>
        </w:tc>
        <w:tc>
          <w:tcPr>
            <w:tcW w:w="1701" w:type="dxa"/>
            <w:shd w:val="clear" w:color="auto" w:fill="FFFFFF"/>
            <w:vAlign w:val="center"/>
          </w:tcPr>
          <w:p w14:paraId="7FF77E85" w14:textId="50816F00" w:rsidR="00D939FE" w:rsidRPr="00DE2C57" w:rsidRDefault="00D939FE" w:rsidP="00612E24">
            <w:pPr>
              <w:pStyle w:val="CETBodytext"/>
            </w:pPr>
            <w:r w:rsidRPr="00DE2C57">
              <w:t>55</w:t>
            </w:r>
          </w:p>
        </w:tc>
        <w:tc>
          <w:tcPr>
            <w:tcW w:w="2268" w:type="dxa"/>
            <w:shd w:val="clear" w:color="auto" w:fill="FFFFFF"/>
            <w:vAlign w:val="center"/>
          </w:tcPr>
          <w:p w14:paraId="54BDBD5C" w14:textId="6F5B8659" w:rsidR="00D939FE" w:rsidRPr="00DE2C57" w:rsidRDefault="00D939FE" w:rsidP="00612E24">
            <w:pPr>
              <w:pStyle w:val="CETBodytext"/>
            </w:pPr>
            <w:r w:rsidRPr="00DE2C57">
              <w:t>201</w:t>
            </w:r>
          </w:p>
        </w:tc>
      </w:tr>
    </w:tbl>
    <w:p w14:paraId="1C43E67D" w14:textId="22D6AD8A" w:rsidR="00D939FE" w:rsidRPr="00DE2C57" w:rsidRDefault="00D939FE" w:rsidP="00612E24">
      <w:pPr>
        <w:pStyle w:val="CETBodytext"/>
      </w:pPr>
    </w:p>
    <w:p w14:paraId="6CC24D62" w14:textId="31077014" w:rsidR="00D939FE" w:rsidRPr="00DE2C57" w:rsidRDefault="00D939FE" w:rsidP="00612E24">
      <w:pPr>
        <w:pStyle w:val="CETBodytext"/>
      </w:pPr>
      <w:r w:rsidRPr="00DE2C57">
        <w:t xml:space="preserve">Moreover, the evaluation accounts the current technology readiness level (TRL), capital expenditures (CAPEX), operational expenditures (OPEX), maintenance costs and different levels of penetration of novel hybrid systems based on </w:t>
      </w:r>
      <w:r w:rsidR="00B22B07" w:rsidRPr="00DE2C57">
        <w:t>RES</w:t>
      </w:r>
      <w:r w:rsidRPr="00DE2C57">
        <w:t xml:space="preserve"> and hydrogen technologies. The</w:t>
      </w:r>
      <w:r w:rsidR="005826E0">
        <w:t>se</w:t>
      </w:r>
      <w:r w:rsidRPr="00DE2C57">
        <w:t xml:space="preserve"> prices </w:t>
      </w:r>
      <w:r w:rsidR="005826E0">
        <w:t>are</w:t>
      </w:r>
      <w:r w:rsidRPr="00DE2C57">
        <w:t xml:space="preserve"> </w:t>
      </w:r>
      <w:r w:rsidR="005826E0">
        <w:t>included</w:t>
      </w:r>
      <w:r w:rsidRPr="00DE2C57">
        <w:t xml:space="preserve"> in </w:t>
      </w:r>
      <w:r w:rsidR="005826E0">
        <w:t>HOMER Pro along with equipment characteristics (lifetime, efficiency, etc.)</w:t>
      </w:r>
      <w:r w:rsidRPr="00DE2C57">
        <w:t xml:space="preserve"> </w:t>
      </w:r>
      <w:r w:rsidR="005826E0">
        <w:t xml:space="preserve">for the optimization and </w:t>
      </w:r>
      <w:r w:rsidRPr="00DE2C57">
        <w:t xml:space="preserve">are collected in Table 3 from international agencies and organisms. Simulations consider average prices within the ranges reported for each technology. For both converter and </w:t>
      </w:r>
      <w:proofErr w:type="gramStart"/>
      <w:r w:rsidRPr="00DE2C57">
        <w:t>batteries</w:t>
      </w:r>
      <w:proofErr w:type="gramEnd"/>
      <w:r w:rsidRPr="00DE2C57">
        <w:t xml:space="preserve"> we use the default values that appear in HOMER Pro software which are 300 US$/kW and 700 US$/kWh respectively. </w:t>
      </w:r>
      <w:r w:rsidR="00705469" w:rsidRPr="00DE2C57">
        <w:t xml:space="preserve">The use of WT has been </w:t>
      </w:r>
      <w:r w:rsidR="007E7728" w:rsidRPr="00DE2C57">
        <w:t>dismissed,</w:t>
      </w:r>
      <w:r w:rsidR="00705469" w:rsidRPr="00DE2C57">
        <w:t xml:space="preserve"> as they are not very common</w:t>
      </w:r>
      <w:r w:rsidR="007E7728">
        <w:t>ly</w:t>
      </w:r>
      <w:r w:rsidR="00705469" w:rsidRPr="00DE2C57">
        <w:t xml:space="preserve"> integrated into buildings in urban areas.</w:t>
      </w:r>
      <w:r w:rsidR="008B7411" w:rsidRPr="00DE2C57">
        <w:t xml:space="preserve"> Additionally,</w:t>
      </w:r>
      <w:r w:rsidR="00B22B07" w:rsidRPr="00DE2C57">
        <w:t xml:space="preserve"> the</w:t>
      </w:r>
      <w:r w:rsidR="008B7411" w:rsidRPr="00DE2C57">
        <w:t xml:space="preserve"> size</w:t>
      </w:r>
      <w:r w:rsidR="00B22B07" w:rsidRPr="00DE2C57">
        <w:t xml:space="preserve"> of batteries</w:t>
      </w:r>
      <w:r w:rsidR="008B7411" w:rsidRPr="00DE2C57">
        <w:t xml:space="preserve"> is limited and restricted to cover the peak load during an approximate time of one hour.</w:t>
      </w:r>
    </w:p>
    <w:p w14:paraId="3D52055F" w14:textId="77777777" w:rsidR="00D939FE" w:rsidRPr="00DE2C57" w:rsidRDefault="00D939FE" w:rsidP="00612E24">
      <w:pPr>
        <w:pStyle w:val="CETBodytext"/>
      </w:pPr>
    </w:p>
    <w:p w14:paraId="2B6E0D72" w14:textId="202EAAFA" w:rsidR="00D939FE" w:rsidRPr="00DE2C57" w:rsidRDefault="00D939FE" w:rsidP="00612E24">
      <w:pPr>
        <w:pStyle w:val="CETBodytext"/>
      </w:pPr>
      <w:r w:rsidRPr="00DE2C57">
        <w:rPr>
          <w:i/>
        </w:rPr>
        <w:t>Table 3</w:t>
      </w:r>
      <w:r w:rsidRPr="00DE2C57">
        <w:rPr>
          <w:b/>
          <w:i/>
        </w:rPr>
        <w:t>:</w:t>
      </w:r>
      <w:r w:rsidRPr="00DE2C57">
        <w:rPr>
          <w:i/>
        </w:rPr>
        <w:t xml:space="preserve"> Summary of reported CAPEX prices by international agencies for main components of RHS.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5387"/>
      </w:tblGrid>
      <w:tr w:rsidR="00705469" w:rsidRPr="00DE2C57" w14:paraId="247E3DA3" w14:textId="77777777" w:rsidTr="00705469">
        <w:tc>
          <w:tcPr>
            <w:tcW w:w="1701" w:type="dxa"/>
            <w:tcBorders>
              <w:top w:val="single" w:sz="12" w:space="0" w:color="008000"/>
              <w:bottom w:val="single" w:sz="6" w:space="0" w:color="008000"/>
            </w:tcBorders>
            <w:shd w:val="clear" w:color="auto" w:fill="FFFFFF"/>
          </w:tcPr>
          <w:p w14:paraId="1578C67A" w14:textId="539D7944" w:rsidR="00705469" w:rsidRPr="00DE2C57" w:rsidRDefault="00705469" w:rsidP="00612E24">
            <w:pPr>
              <w:pStyle w:val="CETBodytext"/>
            </w:pPr>
            <w:r w:rsidRPr="00DE2C57">
              <w:t>Component</w:t>
            </w:r>
          </w:p>
        </w:tc>
        <w:tc>
          <w:tcPr>
            <w:tcW w:w="5387" w:type="dxa"/>
            <w:tcBorders>
              <w:top w:val="single" w:sz="12" w:space="0" w:color="008000"/>
              <w:bottom w:val="single" w:sz="6" w:space="0" w:color="008000"/>
            </w:tcBorders>
            <w:shd w:val="clear" w:color="auto" w:fill="FFFFFF"/>
          </w:tcPr>
          <w:p w14:paraId="0923263A" w14:textId="538B3034" w:rsidR="00705469" w:rsidRPr="00DE2C57" w:rsidRDefault="00705469" w:rsidP="007E7728">
            <w:pPr>
              <w:pStyle w:val="CETBodytext"/>
              <w:ind w:right="-1"/>
              <w:rPr>
                <w:rFonts w:cs="Arial"/>
                <w:szCs w:val="18"/>
              </w:rPr>
            </w:pPr>
            <w:r w:rsidRPr="00DE2C57">
              <w:rPr>
                <w:rFonts w:cs="Arial"/>
                <w:szCs w:val="18"/>
              </w:rPr>
              <w:t>Reported CAPEX Prices (US$/kW)</w:t>
            </w:r>
            <w:r w:rsidR="006B6CF5">
              <w:rPr>
                <w:rFonts w:cs="Arial"/>
                <w:szCs w:val="18"/>
              </w:rPr>
              <w:t xml:space="preserve"> </w:t>
            </w:r>
            <w:r w:rsidR="006B6CF5" w:rsidRPr="00DE2C57">
              <w:fldChar w:fldCharType="begin" w:fldLock="1"/>
            </w:r>
            <w:r w:rsidR="00D62FFA">
              <w:instrText>ADDIN CSL_CITATION {"citationItems":[{"id":"ITEM-1","itemData":{"DOI":"10.1016/j.rser.2021.111628","ISSN":"18790690","abstract":"The exponentially growing contribution of renewable energy sources in the electricity mix requires large systems for energy storage to tackle resources intermittency. In this context, the technologies for hydrogen production offer a clean and versatile alternative to boost renewables penetration and energy security. Hydrogen production as a strategy for the decarbonization of the energy sources mix has been investigated since the beginning of the 1990s. The stationary sector, i.e. all parts of the economy excluding the transportation sector, accounts for almost three-quarters of greenhouse gases (GHG) emissions (mass of CO2-eq) in the world associated with power generation. While several publications focus on the hybridization of renewables with traditional energy storage systems or in different pathways of hydrogen use (mainly power-to-gas), this study provides an insightful analysis of the state of art and evolution of renewable hydrogen-based systems (RHS) to power the stationary sector. The analysis started with a thorough review of RHS deployments for power-to-power stationary applications, such as in power generation, industry, residence, commercial building, and critical infrastructure. Then, a detailed evaluation of relevant techno-economic parameters such as levelized cost of energy (LCOE), hydrogen roundtrip efficiency (HRE), loss of power supply probability (LPSP), self-sufficiency ratio (SSR), or renewable fraction (fRES) is provided. Subsequently, lab-scale plants and pilot projects together with current market trends and commercial uptake of RHS and fuel cell systems are examined. Finally, the future techno-economic barriers and challenges for short and medium-term deployment of RHS are identified and discussed.","author":[{"dropping-particle":"","family":"Maestre","given":"V. M.","non-dropping-particle":"","parse-names":false,"suffix":""},{"dropping-particle":"","family":"Ortiz","given":"A.","non-dropping-particle":"","parse-names":false,"suffix":""},{"dropping-particle":"","family":"Ortiz","given":"I.","non-dropping-particle":"","parse-names":false,"suffix":""}],"container-title":"Renewable and Sustainable Energy Reviews","id":"ITEM-1","issued":{"date-parts":[["2021"]]},"page":"111628","publisher":"Elsevier Ltd","title":"Challenges and prospects of renewable hydrogen-based strategies for full decarbonization of stationary power applications","type":"article-journal","volume":"152"},"uris":["http://www.mendeley.com/documents/?uuid=301f10fa-f1ec-449a-bd2f-9b99a9d9cd74"]}],"mendeley":{"formattedCitation":"(Maestre, Ortiz, and Ortiz 2021)","manualFormatting":"(Maestre et al., 2021)","plainTextFormattedCitation":"(Maestre, Ortiz, and Ortiz 2021)","previouslyFormattedCitation":"(Maestre, Ortiz, and Ortiz 2021)"},"properties":{"noteIndex":0},"schema":"https://github.com/citation-style-language/schema/raw/master/csl-citation.json"}</w:instrText>
            </w:r>
            <w:r w:rsidR="006B6CF5" w:rsidRPr="00DE2C57">
              <w:fldChar w:fldCharType="separate"/>
            </w:r>
            <w:r w:rsidR="007E7728">
              <w:rPr>
                <w:noProof/>
              </w:rPr>
              <w:t>(Maestre et al.,</w:t>
            </w:r>
            <w:r w:rsidR="006B6CF5" w:rsidRPr="00DE2C57">
              <w:rPr>
                <w:noProof/>
              </w:rPr>
              <w:t xml:space="preserve"> 2021)</w:t>
            </w:r>
            <w:r w:rsidR="006B6CF5" w:rsidRPr="00DE2C57">
              <w:fldChar w:fldCharType="end"/>
            </w:r>
          </w:p>
        </w:tc>
      </w:tr>
      <w:tr w:rsidR="00705469" w:rsidRPr="00DE2C57" w14:paraId="15963EC5" w14:textId="77777777" w:rsidTr="00705469">
        <w:tc>
          <w:tcPr>
            <w:tcW w:w="1701" w:type="dxa"/>
            <w:shd w:val="clear" w:color="auto" w:fill="FFFFFF"/>
          </w:tcPr>
          <w:p w14:paraId="1A0F6365" w14:textId="79A099C7" w:rsidR="00705469" w:rsidRPr="00DE2C57" w:rsidRDefault="00705469" w:rsidP="00612E24">
            <w:pPr>
              <w:pStyle w:val="CETBodytext"/>
            </w:pPr>
            <w:r w:rsidRPr="00DE2C57">
              <w:t>Photovoltaic</w:t>
            </w:r>
          </w:p>
        </w:tc>
        <w:tc>
          <w:tcPr>
            <w:tcW w:w="5387" w:type="dxa"/>
            <w:shd w:val="clear" w:color="auto" w:fill="FFFFFF"/>
            <w:vAlign w:val="center"/>
          </w:tcPr>
          <w:p w14:paraId="3E2E699B" w14:textId="68398A9A" w:rsidR="00705469" w:rsidRPr="00DE2C57" w:rsidRDefault="00705469" w:rsidP="006B6CF5">
            <w:pPr>
              <w:pStyle w:val="CETBodytext"/>
              <w:ind w:right="-1"/>
              <w:rPr>
                <w:rFonts w:cs="Arial"/>
                <w:szCs w:val="18"/>
              </w:rPr>
            </w:pPr>
            <w:r w:rsidRPr="00DE2C57">
              <w:rPr>
                <w:bCs/>
              </w:rPr>
              <w:t>250 - 1,050</w:t>
            </w:r>
          </w:p>
        </w:tc>
      </w:tr>
      <w:tr w:rsidR="00705469" w:rsidRPr="00DE2C57" w14:paraId="5F305F51" w14:textId="77777777" w:rsidTr="00705469">
        <w:tc>
          <w:tcPr>
            <w:tcW w:w="1701" w:type="dxa"/>
            <w:shd w:val="clear" w:color="auto" w:fill="FFFFFF"/>
          </w:tcPr>
          <w:p w14:paraId="3FF2CEC7" w14:textId="5D270617" w:rsidR="00705469" w:rsidRPr="00DE2C57" w:rsidRDefault="00705469" w:rsidP="00612E24">
            <w:pPr>
              <w:pStyle w:val="CETBodytext"/>
              <w:ind w:right="-1"/>
              <w:rPr>
                <w:rFonts w:cs="Arial"/>
                <w:szCs w:val="18"/>
              </w:rPr>
            </w:pPr>
            <w:r w:rsidRPr="00DE2C57">
              <w:rPr>
                <w:rFonts w:cs="Arial"/>
                <w:szCs w:val="18"/>
              </w:rPr>
              <w:t>Fuel Cell</w:t>
            </w:r>
          </w:p>
        </w:tc>
        <w:tc>
          <w:tcPr>
            <w:tcW w:w="5387" w:type="dxa"/>
            <w:shd w:val="clear" w:color="auto" w:fill="FFFFFF"/>
          </w:tcPr>
          <w:p w14:paraId="69D65965" w14:textId="6D611423" w:rsidR="00705469" w:rsidRPr="00DE2C57" w:rsidRDefault="00705469" w:rsidP="006B6CF5">
            <w:pPr>
              <w:pStyle w:val="CETBodytext"/>
              <w:ind w:right="-1"/>
              <w:rPr>
                <w:rFonts w:cs="Arial"/>
                <w:szCs w:val="18"/>
              </w:rPr>
            </w:pPr>
            <w:r w:rsidRPr="00DE2C57">
              <w:t xml:space="preserve">1,600 - 6,000 </w:t>
            </w:r>
          </w:p>
        </w:tc>
      </w:tr>
      <w:tr w:rsidR="00705469" w:rsidRPr="00DE2C57" w14:paraId="74E766B1" w14:textId="77777777" w:rsidTr="00705469">
        <w:tc>
          <w:tcPr>
            <w:tcW w:w="1701" w:type="dxa"/>
            <w:shd w:val="clear" w:color="auto" w:fill="FFFFFF"/>
          </w:tcPr>
          <w:p w14:paraId="5DC58848" w14:textId="5254F140" w:rsidR="00705469" w:rsidRPr="00DE2C57" w:rsidRDefault="00705469" w:rsidP="00612E24">
            <w:pPr>
              <w:pStyle w:val="CETBodytext"/>
              <w:ind w:right="-1"/>
              <w:rPr>
                <w:rFonts w:cs="Arial"/>
                <w:szCs w:val="18"/>
              </w:rPr>
            </w:pPr>
            <w:proofErr w:type="spellStart"/>
            <w:r w:rsidRPr="00DE2C57">
              <w:rPr>
                <w:rFonts w:cs="Arial"/>
                <w:szCs w:val="18"/>
              </w:rPr>
              <w:t>Electrolyzer</w:t>
            </w:r>
            <w:proofErr w:type="spellEnd"/>
          </w:p>
        </w:tc>
        <w:tc>
          <w:tcPr>
            <w:tcW w:w="5387" w:type="dxa"/>
            <w:shd w:val="clear" w:color="auto" w:fill="FFFFFF"/>
          </w:tcPr>
          <w:p w14:paraId="402F62A0" w14:textId="774D85AC" w:rsidR="00705469" w:rsidRPr="00DE2C57" w:rsidRDefault="00705469" w:rsidP="006B6CF5">
            <w:pPr>
              <w:pStyle w:val="CETBodytext"/>
              <w:ind w:right="-1"/>
              <w:rPr>
                <w:rFonts w:cs="Arial"/>
                <w:szCs w:val="18"/>
              </w:rPr>
            </w:pPr>
            <w:r w:rsidRPr="00DE2C57">
              <w:t xml:space="preserve">500 - 5,600 </w:t>
            </w:r>
          </w:p>
        </w:tc>
      </w:tr>
      <w:tr w:rsidR="00705469" w:rsidRPr="00DE2C57" w14:paraId="041386D8" w14:textId="77777777" w:rsidTr="00705469">
        <w:tc>
          <w:tcPr>
            <w:tcW w:w="1701" w:type="dxa"/>
            <w:shd w:val="clear" w:color="auto" w:fill="FFFFFF"/>
          </w:tcPr>
          <w:p w14:paraId="6C5B9AF2" w14:textId="5C3CB51A" w:rsidR="00705469" w:rsidRPr="00DE2C57" w:rsidRDefault="00705469" w:rsidP="00612E24">
            <w:pPr>
              <w:pStyle w:val="CETBodytext"/>
              <w:ind w:right="-1"/>
              <w:rPr>
                <w:rFonts w:cs="Arial"/>
                <w:szCs w:val="18"/>
                <w:vertAlign w:val="superscript"/>
              </w:rPr>
            </w:pPr>
            <w:r w:rsidRPr="00DE2C57">
              <w:rPr>
                <w:rFonts w:cs="Arial"/>
                <w:szCs w:val="18"/>
              </w:rPr>
              <w:t>Hydrogen tank</w:t>
            </w:r>
          </w:p>
        </w:tc>
        <w:tc>
          <w:tcPr>
            <w:tcW w:w="5387" w:type="dxa"/>
            <w:shd w:val="clear" w:color="auto" w:fill="FFFFFF"/>
          </w:tcPr>
          <w:p w14:paraId="7C3B2551" w14:textId="3D44CF2F" w:rsidR="00705469" w:rsidRPr="00DE2C57" w:rsidRDefault="00705469" w:rsidP="006B6CF5">
            <w:pPr>
              <w:pStyle w:val="CETBodytext"/>
              <w:ind w:right="-1"/>
              <w:rPr>
                <w:rFonts w:cs="Arial"/>
                <w:szCs w:val="18"/>
              </w:rPr>
            </w:pPr>
            <w:r w:rsidRPr="00DE2C57">
              <w:t xml:space="preserve">700 – 1,000 US$/kg </w:t>
            </w:r>
          </w:p>
        </w:tc>
      </w:tr>
    </w:tbl>
    <w:p w14:paraId="75F0E930" w14:textId="37E9C9D6" w:rsidR="00705469" w:rsidRPr="00DE2C57" w:rsidRDefault="00705469" w:rsidP="00612E24">
      <w:pPr>
        <w:pStyle w:val="CETBodytext"/>
      </w:pPr>
    </w:p>
    <w:p w14:paraId="38068CFB" w14:textId="75E89033" w:rsidR="00D939FE" w:rsidRPr="00DE2C57" w:rsidRDefault="00D939FE" w:rsidP="00612E24">
      <w:pPr>
        <w:pStyle w:val="CETBodytext"/>
      </w:pPr>
      <w:r w:rsidRPr="00DE2C57">
        <w:t>To assess the potential deployment of these technologies, three different scenarios</w:t>
      </w:r>
      <w:r w:rsidR="00705469" w:rsidRPr="00DE2C57">
        <w:t xml:space="preserve"> shown in Figure 3</w:t>
      </w:r>
      <w:r w:rsidRPr="00DE2C57">
        <w:t xml:space="preserve"> ha</w:t>
      </w:r>
      <w:r w:rsidR="00705469" w:rsidRPr="00DE2C57">
        <w:t>ve</w:t>
      </w:r>
      <w:r w:rsidRPr="00DE2C57">
        <w:t xml:space="preserve"> been simulated during a period of 25 years:</w:t>
      </w:r>
    </w:p>
    <w:p w14:paraId="30BA7104" w14:textId="7F8CF5A0" w:rsidR="00705469" w:rsidRPr="00DE2C57" w:rsidRDefault="00DE2C57" w:rsidP="005826E0">
      <w:pPr>
        <w:pStyle w:val="CETBodytext"/>
        <w:jc w:val="center"/>
      </w:pPr>
      <w:r w:rsidRPr="00DE2C57">
        <w:rPr>
          <w:noProof/>
          <w:lang w:val="en-GB" w:eastAsia="en-GB"/>
        </w:rPr>
        <w:drawing>
          <wp:inline distT="0" distB="0" distL="0" distR="0" wp14:anchorId="20EF7802" wp14:editId="4743F94A">
            <wp:extent cx="5257800" cy="1889625"/>
            <wp:effectExtent l="0" t="0" r="0" b="0"/>
            <wp:docPr id="87"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n 86"/>
                    <pic:cNvPicPr>
                      <a:picLocks noChangeAspect="1"/>
                    </pic:cNvPicPr>
                  </pic:nvPicPr>
                  <pic:blipFill>
                    <a:blip r:embed="rId15"/>
                    <a:stretch>
                      <a:fillRect/>
                    </a:stretch>
                  </pic:blipFill>
                  <pic:spPr>
                    <a:xfrm>
                      <a:off x="0" y="0"/>
                      <a:ext cx="5391911" cy="1937824"/>
                    </a:xfrm>
                    <a:prstGeom prst="rect">
                      <a:avLst/>
                    </a:prstGeom>
                  </pic:spPr>
                </pic:pic>
              </a:graphicData>
            </a:graphic>
          </wp:inline>
        </w:drawing>
      </w:r>
    </w:p>
    <w:p w14:paraId="45D77648" w14:textId="4741BECF" w:rsidR="00705469" w:rsidRPr="00DE2C57" w:rsidRDefault="00705469" w:rsidP="00612E24">
      <w:pPr>
        <w:pStyle w:val="CETBodytext"/>
        <w:rPr>
          <w:i/>
        </w:rPr>
      </w:pPr>
      <w:r w:rsidRPr="00DE2C57">
        <w:rPr>
          <w:i/>
        </w:rPr>
        <w:t>Figure 3</w:t>
      </w:r>
      <w:r w:rsidRPr="00DE2C57">
        <w:rPr>
          <w:b/>
          <w:i/>
        </w:rPr>
        <w:t>:</w:t>
      </w:r>
      <w:r w:rsidRPr="00DE2C57">
        <w:rPr>
          <w:i/>
        </w:rPr>
        <w:t xml:space="preserve"> Different configurations analy</w:t>
      </w:r>
      <w:r w:rsidR="00DE2C57">
        <w:rPr>
          <w:i/>
        </w:rPr>
        <w:t>z</w:t>
      </w:r>
      <w:r w:rsidRPr="00DE2C57">
        <w:rPr>
          <w:i/>
        </w:rPr>
        <w:t>ed per location: grid-connected building, S2) grid-connected building and RHS, and S3) off-grid building with RHS.</w:t>
      </w:r>
      <w:r w:rsidR="00DE2C57">
        <w:rPr>
          <w:i/>
        </w:rPr>
        <w:t xml:space="preserve"> * The </w:t>
      </w:r>
      <w:proofErr w:type="spellStart"/>
      <w:r w:rsidR="00DE2C57">
        <w:rPr>
          <w:i/>
        </w:rPr>
        <w:t>electrolyzer</w:t>
      </w:r>
      <w:proofErr w:type="spellEnd"/>
      <w:r w:rsidR="00DE2C57">
        <w:rPr>
          <w:i/>
        </w:rPr>
        <w:t xml:space="preserve"> has an internal AC/DC converter.</w:t>
      </w:r>
    </w:p>
    <w:p w14:paraId="65A0F193" w14:textId="77777777" w:rsidR="00B22B07" w:rsidRPr="00DE2C57" w:rsidRDefault="00B22B07" w:rsidP="00612E24">
      <w:pPr>
        <w:pStyle w:val="CETBodytext"/>
        <w:rPr>
          <w:i/>
        </w:rPr>
      </w:pPr>
    </w:p>
    <w:p w14:paraId="6073C404" w14:textId="5F250940" w:rsidR="00B22B07" w:rsidRPr="00DE2C57" w:rsidRDefault="00D939FE" w:rsidP="00612E24">
      <w:pPr>
        <w:pStyle w:val="CETBodytext"/>
        <w:numPr>
          <w:ilvl w:val="0"/>
          <w:numId w:val="24"/>
        </w:numPr>
      </w:pPr>
      <w:r w:rsidRPr="00DE2C57">
        <w:rPr>
          <w:u w:val="single"/>
        </w:rPr>
        <w:t xml:space="preserve">Scenario 1 (S1), grid-connected </w:t>
      </w:r>
      <w:r w:rsidR="00705469" w:rsidRPr="00DE2C57">
        <w:rPr>
          <w:u w:val="single"/>
        </w:rPr>
        <w:t>building</w:t>
      </w:r>
      <w:r w:rsidRPr="00DE2C57">
        <w:t>: this scenario considers the current situation of the three buildings in the SUDOE region under study, which use electricity supplied by the grid.</w:t>
      </w:r>
    </w:p>
    <w:p w14:paraId="5F667852" w14:textId="19F2DAF2" w:rsidR="00D939FE" w:rsidRPr="00DE2C57" w:rsidRDefault="00D939FE" w:rsidP="00612E24">
      <w:pPr>
        <w:pStyle w:val="CETBodytext"/>
        <w:numPr>
          <w:ilvl w:val="0"/>
          <w:numId w:val="24"/>
        </w:numPr>
      </w:pPr>
      <w:r w:rsidRPr="00DE2C57">
        <w:rPr>
          <w:u w:val="single"/>
        </w:rPr>
        <w:t>Scenario 2 (S2)</w:t>
      </w:r>
      <w:r w:rsidR="00705469" w:rsidRPr="00DE2C57">
        <w:rPr>
          <w:u w:val="single"/>
        </w:rPr>
        <w:t>, grid-</w:t>
      </w:r>
      <w:r w:rsidRPr="00DE2C57">
        <w:rPr>
          <w:u w:val="single"/>
        </w:rPr>
        <w:t xml:space="preserve">connected </w:t>
      </w:r>
      <w:r w:rsidR="00705469" w:rsidRPr="00DE2C57">
        <w:rPr>
          <w:u w:val="single"/>
        </w:rPr>
        <w:t>building and RHS</w:t>
      </w:r>
      <w:r w:rsidRPr="00DE2C57">
        <w:t>: an intermediate solution for the improvement of energy efficiency and gradual decarbonization of the buildings studied is analy</w:t>
      </w:r>
      <w:r w:rsidR="00DE2C57">
        <w:t>z</w:t>
      </w:r>
      <w:r w:rsidRPr="00DE2C57">
        <w:t>ed.</w:t>
      </w:r>
    </w:p>
    <w:p w14:paraId="7922BD20" w14:textId="62D48A0D" w:rsidR="008630B6" w:rsidRDefault="00D939FE" w:rsidP="00612E24">
      <w:pPr>
        <w:pStyle w:val="CETBodytext"/>
        <w:numPr>
          <w:ilvl w:val="0"/>
          <w:numId w:val="24"/>
        </w:numPr>
      </w:pPr>
      <w:r w:rsidRPr="00DE2C57">
        <w:rPr>
          <w:u w:val="single"/>
        </w:rPr>
        <w:t xml:space="preserve">Scenario 3 (S3), </w:t>
      </w:r>
      <w:r w:rsidR="00705469" w:rsidRPr="00DE2C57">
        <w:rPr>
          <w:u w:val="single"/>
        </w:rPr>
        <w:t>off-grid building with RHS</w:t>
      </w:r>
      <w:r w:rsidRPr="00DE2C57">
        <w:rPr>
          <w:u w:val="single"/>
        </w:rPr>
        <w:t>:</w:t>
      </w:r>
      <w:r w:rsidRPr="00DE2C57">
        <w:t xml:space="preserve"> the potential for designing a decentralized energy supply system independent of the current power grid is evaluated.</w:t>
      </w:r>
    </w:p>
    <w:p w14:paraId="41240B17" w14:textId="77CC40F7" w:rsidR="008630B6" w:rsidRPr="00DE2C57" w:rsidRDefault="008630B6" w:rsidP="008630B6">
      <w:pPr>
        <w:pStyle w:val="CETHeading1"/>
        <w:jc w:val="both"/>
      </w:pPr>
      <w:r>
        <w:lastRenderedPageBreak/>
        <w:t>Results</w:t>
      </w:r>
    </w:p>
    <w:p w14:paraId="16CC21D8" w14:textId="6060EB97" w:rsidR="00A40EE3" w:rsidRPr="00DE2C57" w:rsidRDefault="00A40EE3" w:rsidP="00612E24">
      <w:pPr>
        <w:pStyle w:val="CETBodytext"/>
      </w:pPr>
      <w:r w:rsidRPr="00DE2C57">
        <w:t>The main results obtained through the simulation of the previously depicted scenarios are compared between them in terms of</w:t>
      </w:r>
      <w:r w:rsidR="00B22B07" w:rsidRPr="00DE2C57">
        <w:t xml:space="preserve"> s</w:t>
      </w:r>
      <w:r w:rsidRPr="00DE2C57">
        <w:t>ystem configur</w:t>
      </w:r>
      <w:r w:rsidR="00B22B07" w:rsidRPr="00DE2C57">
        <w:t>ation, dimensions</w:t>
      </w:r>
      <w:r w:rsidR="00A71866">
        <w:t xml:space="preserve">, </w:t>
      </w:r>
      <w:r w:rsidR="00B22B07" w:rsidRPr="00DE2C57">
        <w:t>energy mix, n</w:t>
      </w:r>
      <w:r w:rsidRPr="00DE2C57">
        <w:t xml:space="preserve">et </w:t>
      </w:r>
      <w:r w:rsidR="00A71866">
        <w:t xml:space="preserve">present cost, </w:t>
      </w:r>
      <w:r w:rsidRPr="00DE2C57">
        <w:t>leve</w:t>
      </w:r>
      <w:r w:rsidR="00B22B07" w:rsidRPr="00DE2C57">
        <w:t>lized cost of energy and g</w:t>
      </w:r>
      <w:r w:rsidRPr="00DE2C57">
        <w:t>reenhouse gases emissions.</w:t>
      </w:r>
    </w:p>
    <w:p w14:paraId="04963A06" w14:textId="542DFD64" w:rsidR="00600535" w:rsidRPr="00DE2C57" w:rsidRDefault="00A40EE3" w:rsidP="00612E24">
      <w:pPr>
        <w:pStyle w:val="CETheadingx"/>
        <w:jc w:val="both"/>
      </w:pPr>
      <w:r w:rsidRPr="00DE2C57">
        <w:t xml:space="preserve">System configuration, </w:t>
      </w:r>
      <w:proofErr w:type="gramStart"/>
      <w:r w:rsidRPr="00DE2C57">
        <w:t>dimensions</w:t>
      </w:r>
      <w:proofErr w:type="gramEnd"/>
      <w:r w:rsidRPr="00DE2C57">
        <w:t xml:space="preserve"> and energy mix</w:t>
      </w:r>
    </w:p>
    <w:p w14:paraId="035EC038" w14:textId="48AA9D74" w:rsidR="00A40EE3" w:rsidRPr="00DE2C57" w:rsidRDefault="00B65D9A" w:rsidP="00612E24">
      <w:pPr>
        <w:pStyle w:val="CETBodytext"/>
      </w:pPr>
      <w:r w:rsidRPr="00DE2C57">
        <w:t>T</w:t>
      </w:r>
      <w:r w:rsidR="00A40EE3" w:rsidRPr="00DE2C57">
        <w:t xml:space="preserve">he dimensions of the configuration obtained per location and scenario </w:t>
      </w:r>
      <w:r w:rsidRPr="00DE2C57">
        <w:t>are gathered in Table 4</w:t>
      </w:r>
      <w:r w:rsidR="00A40EE3" w:rsidRPr="00DE2C57">
        <w:t xml:space="preserve">. </w:t>
      </w:r>
      <w:r w:rsidRPr="00DE2C57">
        <w:t>As S1</w:t>
      </w:r>
      <w:r w:rsidR="00A40EE3" w:rsidRPr="00DE2C57">
        <w:t xml:space="preserve"> considers the current scenario where all the energy is purchased from the grid, </w:t>
      </w:r>
      <w:r w:rsidRPr="00DE2C57">
        <w:t xml:space="preserve">the analysis only reflects the components and </w:t>
      </w:r>
      <w:r w:rsidR="00B22B07" w:rsidRPr="00DE2C57">
        <w:t>their</w:t>
      </w:r>
      <w:r w:rsidRPr="00DE2C57">
        <w:t xml:space="preserve"> size of</w:t>
      </w:r>
      <w:r w:rsidR="00A40EE3" w:rsidRPr="00DE2C57">
        <w:t xml:space="preserve"> </w:t>
      </w:r>
      <w:r w:rsidRPr="00DE2C57">
        <w:t>S</w:t>
      </w:r>
      <w:r w:rsidR="00A40EE3" w:rsidRPr="00DE2C57">
        <w:t xml:space="preserve">2 and </w:t>
      </w:r>
      <w:r w:rsidRPr="00DE2C57">
        <w:t>S3:</w:t>
      </w:r>
      <w:r w:rsidR="00A40EE3" w:rsidRPr="00DE2C57">
        <w:t xml:space="preserve"> </w:t>
      </w:r>
    </w:p>
    <w:p w14:paraId="365EF34B" w14:textId="77777777" w:rsidR="00B65D9A" w:rsidRPr="00DE2C57" w:rsidRDefault="00B65D9A" w:rsidP="00612E24">
      <w:pPr>
        <w:pStyle w:val="CETBodytext"/>
      </w:pPr>
    </w:p>
    <w:p w14:paraId="22F2FEEB" w14:textId="43941F64" w:rsidR="00B65D9A" w:rsidRPr="00DE2C57" w:rsidRDefault="00B65D9A" w:rsidP="00612E24">
      <w:pPr>
        <w:pStyle w:val="CETBodytext"/>
      </w:pPr>
      <w:r w:rsidRPr="00DE2C57">
        <w:rPr>
          <w:i/>
        </w:rPr>
        <w:t>Table 4</w:t>
      </w:r>
      <w:r w:rsidRPr="00DE2C57">
        <w:rPr>
          <w:b/>
          <w:i/>
        </w:rPr>
        <w:t>:</w:t>
      </w:r>
      <w:r w:rsidRPr="00DE2C57">
        <w:rPr>
          <w:i/>
        </w:rPr>
        <w:t xml:space="preserve"> System configuration and dimensions for scenarios 2 &amp; </w:t>
      </w:r>
      <w:proofErr w:type="gramStart"/>
      <w:r w:rsidRPr="00DE2C57">
        <w:rPr>
          <w:i/>
        </w:rPr>
        <w:t>3..</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10"/>
        <w:gridCol w:w="1767"/>
        <w:gridCol w:w="1701"/>
        <w:gridCol w:w="1701"/>
        <w:gridCol w:w="2408"/>
      </w:tblGrid>
      <w:tr w:rsidR="00B65D9A" w:rsidRPr="0073616C" w14:paraId="1818DE95" w14:textId="1F8091D3" w:rsidTr="00B65D9A">
        <w:tc>
          <w:tcPr>
            <w:tcW w:w="1210" w:type="dxa"/>
            <w:tcBorders>
              <w:top w:val="single" w:sz="12" w:space="0" w:color="008000"/>
              <w:bottom w:val="single" w:sz="6" w:space="0" w:color="008000"/>
            </w:tcBorders>
            <w:shd w:val="clear" w:color="auto" w:fill="FFFFFF"/>
          </w:tcPr>
          <w:p w14:paraId="5F2A309F" w14:textId="4BDA6D1E" w:rsidR="00B65D9A" w:rsidRPr="00DE2C57" w:rsidRDefault="00B65D9A" w:rsidP="00612E24">
            <w:pPr>
              <w:pStyle w:val="CETBodytext"/>
            </w:pPr>
            <w:r w:rsidRPr="00DE2C57">
              <w:t>Scenario</w:t>
            </w:r>
          </w:p>
        </w:tc>
        <w:tc>
          <w:tcPr>
            <w:tcW w:w="1767" w:type="dxa"/>
            <w:tcBorders>
              <w:top w:val="single" w:sz="12" w:space="0" w:color="008000"/>
              <w:bottom w:val="single" w:sz="6" w:space="0" w:color="008000"/>
            </w:tcBorders>
            <w:shd w:val="clear" w:color="auto" w:fill="FFFFFF"/>
          </w:tcPr>
          <w:p w14:paraId="709826E4" w14:textId="62ED9B5D" w:rsidR="00B65D9A" w:rsidRPr="00DE2C57" w:rsidRDefault="00B65D9A" w:rsidP="00612E24">
            <w:pPr>
              <w:pStyle w:val="CETBodytext"/>
              <w:ind w:right="-1"/>
              <w:rPr>
                <w:rFonts w:cs="Arial"/>
                <w:szCs w:val="18"/>
              </w:rPr>
            </w:pPr>
            <w:r w:rsidRPr="00DE2C57">
              <w:rPr>
                <w:rFonts w:cs="Arial"/>
                <w:szCs w:val="18"/>
              </w:rPr>
              <w:t>Component</w:t>
            </w:r>
          </w:p>
        </w:tc>
        <w:tc>
          <w:tcPr>
            <w:tcW w:w="1701" w:type="dxa"/>
            <w:tcBorders>
              <w:top w:val="single" w:sz="12" w:space="0" w:color="008000"/>
              <w:bottom w:val="single" w:sz="6" w:space="0" w:color="008000"/>
            </w:tcBorders>
            <w:shd w:val="clear" w:color="auto" w:fill="FFFFFF"/>
          </w:tcPr>
          <w:p w14:paraId="3BAE88F1" w14:textId="6CF1216F" w:rsidR="00B65D9A" w:rsidRPr="00DE2C57" w:rsidRDefault="00B65D9A" w:rsidP="00612E24">
            <w:pPr>
              <w:pStyle w:val="CETBodytext"/>
              <w:ind w:right="-1"/>
              <w:rPr>
                <w:rFonts w:cs="Arial"/>
                <w:szCs w:val="18"/>
              </w:rPr>
            </w:pPr>
            <w:r w:rsidRPr="00DE2C57">
              <w:t>Novales, Spain</w:t>
            </w:r>
          </w:p>
        </w:tc>
        <w:tc>
          <w:tcPr>
            <w:tcW w:w="1701" w:type="dxa"/>
            <w:tcBorders>
              <w:top w:val="single" w:sz="12" w:space="0" w:color="008000"/>
              <w:bottom w:val="single" w:sz="6" w:space="0" w:color="008000"/>
            </w:tcBorders>
            <w:shd w:val="clear" w:color="auto" w:fill="FFFFFF"/>
          </w:tcPr>
          <w:p w14:paraId="1B0B4745" w14:textId="799C90FD" w:rsidR="00B65D9A" w:rsidRPr="00DE2C57" w:rsidRDefault="00B65D9A" w:rsidP="00612E24">
            <w:pPr>
              <w:pStyle w:val="CETBodytext"/>
              <w:ind w:right="-1"/>
              <w:rPr>
                <w:rFonts w:cs="Arial"/>
                <w:szCs w:val="18"/>
              </w:rPr>
            </w:pPr>
            <w:r w:rsidRPr="00DE2C57">
              <w:t xml:space="preserve">Bordeaux, France </w:t>
            </w:r>
          </w:p>
        </w:tc>
        <w:tc>
          <w:tcPr>
            <w:tcW w:w="2408" w:type="dxa"/>
            <w:tcBorders>
              <w:top w:val="single" w:sz="12" w:space="0" w:color="008000"/>
              <w:bottom w:val="single" w:sz="6" w:space="0" w:color="008000"/>
            </w:tcBorders>
            <w:shd w:val="clear" w:color="auto" w:fill="FFFFFF"/>
          </w:tcPr>
          <w:p w14:paraId="22670C8B" w14:textId="067328E2" w:rsidR="00B65D9A" w:rsidRPr="009C43BD" w:rsidRDefault="00B65D9A" w:rsidP="00612E24">
            <w:pPr>
              <w:pStyle w:val="CETBodytext"/>
              <w:ind w:right="-1"/>
              <w:rPr>
                <w:rFonts w:cs="Arial"/>
                <w:szCs w:val="18"/>
                <w:lang w:val="es-ES"/>
              </w:rPr>
            </w:pPr>
            <w:r w:rsidRPr="009C43BD">
              <w:rPr>
                <w:rFonts w:cs="Arial"/>
                <w:szCs w:val="18"/>
                <w:lang w:val="es-ES"/>
              </w:rPr>
              <w:t>Vila Nova de Gaia, Portugal</w:t>
            </w:r>
          </w:p>
        </w:tc>
      </w:tr>
      <w:tr w:rsidR="00B65D9A" w:rsidRPr="00DE2C57" w14:paraId="432294F6" w14:textId="6658EF82" w:rsidTr="00B65D9A">
        <w:tc>
          <w:tcPr>
            <w:tcW w:w="1210" w:type="dxa"/>
            <w:shd w:val="clear" w:color="auto" w:fill="FFFFFF"/>
          </w:tcPr>
          <w:p w14:paraId="0D1FC762" w14:textId="5BFD6A16" w:rsidR="00B65D9A" w:rsidRPr="00DE2C57" w:rsidRDefault="00B65D9A" w:rsidP="00612E24">
            <w:pPr>
              <w:pStyle w:val="CETBodytext"/>
            </w:pPr>
            <w:r w:rsidRPr="00DE2C57">
              <w:t>S2</w:t>
            </w:r>
          </w:p>
        </w:tc>
        <w:tc>
          <w:tcPr>
            <w:tcW w:w="1767" w:type="dxa"/>
            <w:shd w:val="clear" w:color="auto" w:fill="FFFFFF"/>
            <w:vAlign w:val="center"/>
          </w:tcPr>
          <w:p w14:paraId="1730B87F" w14:textId="550786EC" w:rsidR="00B65D9A" w:rsidRPr="00DE2C57" w:rsidRDefault="00B65D9A" w:rsidP="00612E24">
            <w:pPr>
              <w:pStyle w:val="CETBodytext"/>
              <w:ind w:right="-1"/>
              <w:rPr>
                <w:rFonts w:cs="Arial"/>
                <w:szCs w:val="18"/>
              </w:rPr>
            </w:pPr>
            <w:r w:rsidRPr="00DE2C57">
              <w:rPr>
                <w:rFonts w:cs="Arial"/>
                <w:szCs w:val="18"/>
              </w:rPr>
              <w:t>PV (kW)</w:t>
            </w:r>
          </w:p>
        </w:tc>
        <w:tc>
          <w:tcPr>
            <w:tcW w:w="1701" w:type="dxa"/>
            <w:shd w:val="clear" w:color="auto" w:fill="FFFFFF"/>
            <w:vAlign w:val="center"/>
          </w:tcPr>
          <w:p w14:paraId="6FE086E9" w14:textId="4BA5F4E6" w:rsidR="00B65D9A" w:rsidRPr="00DE2C57" w:rsidRDefault="00B65D9A" w:rsidP="00612E24">
            <w:pPr>
              <w:pStyle w:val="CETBodytext"/>
              <w:ind w:right="-1"/>
              <w:rPr>
                <w:bCs/>
              </w:rPr>
            </w:pPr>
            <w:r w:rsidRPr="00DE2C57">
              <w:t>22.8</w:t>
            </w:r>
          </w:p>
        </w:tc>
        <w:tc>
          <w:tcPr>
            <w:tcW w:w="1701" w:type="dxa"/>
            <w:shd w:val="clear" w:color="auto" w:fill="FFFFFF"/>
            <w:vAlign w:val="center"/>
          </w:tcPr>
          <w:p w14:paraId="676FD996" w14:textId="38B10C2C" w:rsidR="00B65D9A" w:rsidRPr="00DE2C57" w:rsidRDefault="00B65D9A" w:rsidP="00612E24">
            <w:pPr>
              <w:pStyle w:val="CETBodytext"/>
              <w:ind w:right="-1"/>
              <w:rPr>
                <w:bCs/>
              </w:rPr>
            </w:pPr>
            <w:r w:rsidRPr="00DE2C57">
              <w:t>13.8</w:t>
            </w:r>
          </w:p>
        </w:tc>
        <w:tc>
          <w:tcPr>
            <w:tcW w:w="2408" w:type="dxa"/>
            <w:shd w:val="clear" w:color="auto" w:fill="FFFFFF"/>
            <w:vAlign w:val="center"/>
          </w:tcPr>
          <w:p w14:paraId="7CE94536" w14:textId="7B2CCE0B" w:rsidR="00B65D9A" w:rsidRPr="00DE2C57" w:rsidRDefault="00B65D9A" w:rsidP="00612E24">
            <w:pPr>
              <w:pStyle w:val="CETBodytext"/>
              <w:ind w:right="-1"/>
              <w:rPr>
                <w:bCs/>
              </w:rPr>
            </w:pPr>
            <w:r w:rsidRPr="00DE2C57">
              <w:t>76.1</w:t>
            </w:r>
          </w:p>
        </w:tc>
      </w:tr>
      <w:tr w:rsidR="00B65D9A" w:rsidRPr="00DE2C57" w14:paraId="6AF16950" w14:textId="1C11138B" w:rsidTr="00B65D9A">
        <w:tc>
          <w:tcPr>
            <w:tcW w:w="1210" w:type="dxa"/>
            <w:vMerge w:val="restart"/>
            <w:shd w:val="clear" w:color="auto" w:fill="FFFFFF"/>
          </w:tcPr>
          <w:p w14:paraId="20B97D62" w14:textId="73626A48" w:rsidR="00B65D9A" w:rsidRPr="00DE2C57" w:rsidRDefault="00B65D9A" w:rsidP="00612E24">
            <w:pPr>
              <w:pStyle w:val="CETBodytext"/>
              <w:ind w:right="-1"/>
              <w:rPr>
                <w:rFonts w:cs="Arial"/>
                <w:szCs w:val="18"/>
              </w:rPr>
            </w:pPr>
            <w:r w:rsidRPr="00DE2C57">
              <w:rPr>
                <w:rFonts w:cs="Arial"/>
                <w:szCs w:val="18"/>
              </w:rPr>
              <w:t>S3</w:t>
            </w:r>
          </w:p>
        </w:tc>
        <w:tc>
          <w:tcPr>
            <w:tcW w:w="1767" w:type="dxa"/>
            <w:shd w:val="clear" w:color="auto" w:fill="FFFFFF"/>
          </w:tcPr>
          <w:p w14:paraId="070BCE2E" w14:textId="4EA5DF5E" w:rsidR="00B65D9A" w:rsidRPr="00DE2C57" w:rsidRDefault="00B65D9A" w:rsidP="00612E24">
            <w:pPr>
              <w:pStyle w:val="CETBodytext"/>
              <w:ind w:right="-1"/>
              <w:rPr>
                <w:rFonts w:cs="Arial"/>
                <w:szCs w:val="18"/>
              </w:rPr>
            </w:pPr>
            <w:r w:rsidRPr="00DE2C57">
              <w:rPr>
                <w:rFonts w:cs="Arial"/>
                <w:szCs w:val="18"/>
              </w:rPr>
              <w:t>PV (kW)</w:t>
            </w:r>
          </w:p>
        </w:tc>
        <w:tc>
          <w:tcPr>
            <w:tcW w:w="1701" w:type="dxa"/>
            <w:shd w:val="clear" w:color="auto" w:fill="FFFFFF"/>
            <w:vAlign w:val="center"/>
          </w:tcPr>
          <w:p w14:paraId="2A49A872" w14:textId="00E988F1" w:rsidR="00B65D9A" w:rsidRPr="00DE2C57" w:rsidRDefault="00B65D9A" w:rsidP="00612E24">
            <w:pPr>
              <w:pStyle w:val="CETBodytext"/>
              <w:ind w:right="-1"/>
            </w:pPr>
            <w:r w:rsidRPr="00DE2C57">
              <w:t>117</w:t>
            </w:r>
          </w:p>
        </w:tc>
        <w:tc>
          <w:tcPr>
            <w:tcW w:w="1701" w:type="dxa"/>
            <w:shd w:val="clear" w:color="auto" w:fill="FFFFFF"/>
            <w:vAlign w:val="center"/>
          </w:tcPr>
          <w:p w14:paraId="6A80E49A" w14:textId="1A372C4B" w:rsidR="00B65D9A" w:rsidRPr="00DE2C57" w:rsidRDefault="00B65D9A" w:rsidP="00612E24">
            <w:pPr>
              <w:pStyle w:val="CETBodytext"/>
              <w:ind w:right="-1"/>
            </w:pPr>
            <w:r w:rsidRPr="00DE2C57">
              <w:t>113</w:t>
            </w:r>
          </w:p>
        </w:tc>
        <w:tc>
          <w:tcPr>
            <w:tcW w:w="2408" w:type="dxa"/>
            <w:shd w:val="clear" w:color="auto" w:fill="FFFFFF"/>
            <w:vAlign w:val="center"/>
          </w:tcPr>
          <w:p w14:paraId="562776C3" w14:textId="51AAE933" w:rsidR="00B65D9A" w:rsidRPr="00DE2C57" w:rsidRDefault="00B65D9A" w:rsidP="00612E24">
            <w:pPr>
              <w:pStyle w:val="CETBodytext"/>
              <w:ind w:right="-1"/>
            </w:pPr>
            <w:r w:rsidRPr="00DE2C57">
              <w:t>92.8</w:t>
            </w:r>
          </w:p>
        </w:tc>
      </w:tr>
      <w:tr w:rsidR="00B65D9A" w:rsidRPr="00DE2C57" w14:paraId="462C653A" w14:textId="43040AAE" w:rsidTr="00B65D9A">
        <w:tc>
          <w:tcPr>
            <w:tcW w:w="1210" w:type="dxa"/>
            <w:vMerge/>
            <w:shd w:val="clear" w:color="auto" w:fill="FFFFFF"/>
          </w:tcPr>
          <w:p w14:paraId="4A622184" w14:textId="53478C61" w:rsidR="00B65D9A" w:rsidRPr="00DE2C57" w:rsidRDefault="00B65D9A" w:rsidP="00612E24">
            <w:pPr>
              <w:pStyle w:val="CETBodytext"/>
              <w:ind w:right="-1"/>
              <w:rPr>
                <w:rFonts w:cs="Arial"/>
                <w:szCs w:val="18"/>
              </w:rPr>
            </w:pPr>
          </w:p>
        </w:tc>
        <w:tc>
          <w:tcPr>
            <w:tcW w:w="1767" w:type="dxa"/>
            <w:shd w:val="clear" w:color="auto" w:fill="FFFFFF"/>
          </w:tcPr>
          <w:p w14:paraId="31AC9DBF" w14:textId="5C661A2F" w:rsidR="00B65D9A" w:rsidRPr="00DE2C57" w:rsidRDefault="00B65D9A" w:rsidP="00612E24">
            <w:pPr>
              <w:pStyle w:val="CETBodytext"/>
              <w:ind w:right="-1"/>
              <w:rPr>
                <w:rFonts w:cs="Arial"/>
                <w:szCs w:val="18"/>
              </w:rPr>
            </w:pPr>
            <w:r w:rsidRPr="00DE2C57">
              <w:rPr>
                <w:rFonts w:cs="Arial"/>
                <w:szCs w:val="18"/>
              </w:rPr>
              <w:t>EL (kW)</w:t>
            </w:r>
          </w:p>
        </w:tc>
        <w:tc>
          <w:tcPr>
            <w:tcW w:w="1701" w:type="dxa"/>
            <w:shd w:val="clear" w:color="auto" w:fill="FFFFFF"/>
            <w:vAlign w:val="center"/>
          </w:tcPr>
          <w:p w14:paraId="5150812D" w14:textId="24C13876" w:rsidR="00B65D9A" w:rsidRPr="00DE2C57" w:rsidRDefault="00B65D9A" w:rsidP="00612E24">
            <w:pPr>
              <w:pStyle w:val="CETBodytext"/>
              <w:ind w:right="-1"/>
            </w:pPr>
            <w:r w:rsidRPr="00DE2C57">
              <w:t>31</w:t>
            </w:r>
          </w:p>
        </w:tc>
        <w:tc>
          <w:tcPr>
            <w:tcW w:w="1701" w:type="dxa"/>
            <w:shd w:val="clear" w:color="auto" w:fill="FFFFFF"/>
            <w:vAlign w:val="center"/>
          </w:tcPr>
          <w:p w14:paraId="35A42BDE" w14:textId="239FCA74" w:rsidR="00B65D9A" w:rsidRPr="00DE2C57" w:rsidRDefault="00B65D9A" w:rsidP="00612E24">
            <w:pPr>
              <w:pStyle w:val="CETBodytext"/>
              <w:ind w:right="-1"/>
            </w:pPr>
            <w:r w:rsidRPr="00DE2C57">
              <w:t>50</w:t>
            </w:r>
          </w:p>
        </w:tc>
        <w:tc>
          <w:tcPr>
            <w:tcW w:w="2408" w:type="dxa"/>
            <w:shd w:val="clear" w:color="auto" w:fill="FFFFFF"/>
            <w:vAlign w:val="center"/>
          </w:tcPr>
          <w:p w14:paraId="0D1A8803" w14:textId="442697D6" w:rsidR="00B65D9A" w:rsidRPr="00DE2C57" w:rsidRDefault="00B65D9A" w:rsidP="00612E24">
            <w:pPr>
              <w:pStyle w:val="CETBodytext"/>
              <w:ind w:right="-1"/>
            </w:pPr>
            <w:r w:rsidRPr="00DE2C57">
              <w:t>41</w:t>
            </w:r>
          </w:p>
        </w:tc>
      </w:tr>
      <w:tr w:rsidR="00B65D9A" w:rsidRPr="00DE2C57" w14:paraId="0C39D844" w14:textId="4DE0838D" w:rsidTr="00B65D9A">
        <w:tc>
          <w:tcPr>
            <w:tcW w:w="1210" w:type="dxa"/>
            <w:vMerge/>
            <w:shd w:val="clear" w:color="auto" w:fill="FFFFFF"/>
          </w:tcPr>
          <w:p w14:paraId="30344ECB" w14:textId="2E6BB1DF" w:rsidR="00B65D9A" w:rsidRPr="00DE2C57" w:rsidRDefault="00B65D9A" w:rsidP="00612E24">
            <w:pPr>
              <w:pStyle w:val="CETBodytext"/>
              <w:ind w:right="-1"/>
              <w:rPr>
                <w:rFonts w:cs="Arial"/>
                <w:szCs w:val="18"/>
                <w:vertAlign w:val="superscript"/>
              </w:rPr>
            </w:pPr>
          </w:p>
        </w:tc>
        <w:tc>
          <w:tcPr>
            <w:tcW w:w="1767" w:type="dxa"/>
            <w:shd w:val="clear" w:color="auto" w:fill="FFFFFF"/>
          </w:tcPr>
          <w:p w14:paraId="61BF8AB9" w14:textId="423C0FF1" w:rsidR="00B65D9A" w:rsidRPr="00DE2C57" w:rsidRDefault="00B65D9A" w:rsidP="00612E24">
            <w:pPr>
              <w:pStyle w:val="CETBodytext"/>
              <w:ind w:right="-1"/>
              <w:rPr>
                <w:rFonts w:cs="Arial"/>
                <w:szCs w:val="18"/>
              </w:rPr>
            </w:pPr>
            <w:r w:rsidRPr="00DE2C57">
              <w:rPr>
                <w:rFonts w:cs="Arial"/>
                <w:szCs w:val="18"/>
              </w:rPr>
              <w:t>FC (kW)</w:t>
            </w:r>
          </w:p>
        </w:tc>
        <w:tc>
          <w:tcPr>
            <w:tcW w:w="1701" w:type="dxa"/>
            <w:shd w:val="clear" w:color="auto" w:fill="FFFFFF"/>
            <w:vAlign w:val="center"/>
          </w:tcPr>
          <w:p w14:paraId="603763FA" w14:textId="179BC277" w:rsidR="00B65D9A" w:rsidRPr="00DE2C57" w:rsidRDefault="00B65D9A" w:rsidP="00612E24">
            <w:pPr>
              <w:pStyle w:val="CETBodytext"/>
              <w:ind w:right="-1"/>
            </w:pPr>
            <w:r w:rsidRPr="00DE2C57">
              <w:t>20</w:t>
            </w:r>
          </w:p>
        </w:tc>
        <w:tc>
          <w:tcPr>
            <w:tcW w:w="1701" w:type="dxa"/>
            <w:shd w:val="clear" w:color="auto" w:fill="FFFFFF"/>
            <w:vAlign w:val="center"/>
          </w:tcPr>
          <w:p w14:paraId="3605639B" w14:textId="4D7FFAEA" w:rsidR="00B65D9A" w:rsidRPr="00DE2C57" w:rsidRDefault="00B65D9A" w:rsidP="00612E24">
            <w:pPr>
              <w:pStyle w:val="CETBodytext"/>
              <w:ind w:right="-1"/>
            </w:pPr>
            <w:r w:rsidRPr="00DE2C57">
              <w:t>7</w:t>
            </w:r>
          </w:p>
        </w:tc>
        <w:tc>
          <w:tcPr>
            <w:tcW w:w="2408" w:type="dxa"/>
            <w:shd w:val="clear" w:color="auto" w:fill="FFFFFF"/>
            <w:vAlign w:val="center"/>
          </w:tcPr>
          <w:p w14:paraId="3923955C" w14:textId="41C9B8E0" w:rsidR="00B65D9A" w:rsidRPr="00DE2C57" w:rsidRDefault="00B65D9A" w:rsidP="00612E24">
            <w:pPr>
              <w:pStyle w:val="CETBodytext"/>
              <w:ind w:right="-1"/>
            </w:pPr>
            <w:r w:rsidRPr="00DE2C57">
              <w:t>10</w:t>
            </w:r>
          </w:p>
        </w:tc>
      </w:tr>
      <w:tr w:rsidR="00B65D9A" w:rsidRPr="00DE2C57" w14:paraId="2615EC07" w14:textId="77777777" w:rsidTr="00B65D9A">
        <w:tc>
          <w:tcPr>
            <w:tcW w:w="1210" w:type="dxa"/>
            <w:vMerge/>
            <w:shd w:val="clear" w:color="auto" w:fill="FFFFFF"/>
          </w:tcPr>
          <w:p w14:paraId="75F3D01D" w14:textId="77777777" w:rsidR="00B65D9A" w:rsidRPr="00DE2C57" w:rsidRDefault="00B65D9A" w:rsidP="00612E24">
            <w:pPr>
              <w:pStyle w:val="CETBodytext"/>
              <w:ind w:right="-1"/>
              <w:rPr>
                <w:rFonts w:cs="Arial"/>
                <w:szCs w:val="18"/>
                <w:vertAlign w:val="superscript"/>
              </w:rPr>
            </w:pPr>
          </w:p>
        </w:tc>
        <w:tc>
          <w:tcPr>
            <w:tcW w:w="1767" w:type="dxa"/>
            <w:shd w:val="clear" w:color="auto" w:fill="FFFFFF"/>
          </w:tcPr>
          <w:p w14:paraId="2583D1F6" w14:textId="42729A11" w:rsidR="00B65D9A" w:rsidRPr="00DE2C57" w:rsidRDefault="00B65D9A" w:rsidP="00612E24">
            <w:pPr>
              <w:pStyle w:val="CETBodytext"/>
              <w:ind w:right="-1"/>
              <w:rPr>
                <w:rFonts w:cs="Arial"/>
                <w:szCs w:val="18"/>
              </w:rPr>
            </w:pPr>
            <w:r w:rsidRPr="00DE2C57">
              <w:rPr>
                <w:rFonts w:cs="Arial"/>
                <w:szCs w:val="18"/>
              </w:rPr>
              <w:t>Bat (kWh)</w:t>
            </w:r>
          </w:p>
        </w:tc>
        <w:tc>
          <w:tcPr>
            <w:tcW w:w="1701" w:type="dxa"/>
            <w:shd w:val="clear" w:color="auto" w:fill="FFFFFF"/>
            <w:vAlign w:val="center"/>
          </w:tcPr>
          <w:p w14:paraId="4D1A93B9" w14:textId="72C6495B" w:rsidR="00B65D9A" w:rsidRPr="00DE2C57" w:rsidRDefault="00B65D9A" w:rsidP="00612E24">
            <w:pPr>
              <w:pStyle w:val="CETBodytext"/>
              <w:ind w:right="-1"/>
            </w:pPr>
            <w:r w:rsidRPr="00DE2C57">
              <w:t>52</w:t>
            </w:r>
          </w:p>
        </w:tc>
        <w:tc>
          <w:tcPr>
            <w:tcW w:w="1701" w:type="dxa"/>
            <w:shd w:val="clear" w:color="auto" w:fill="FFFFFF"/>
            <w:vAlign w:val="center"/>
          </w:tcPr>
          <w:p w14:paraId="0FA1F361" w14:textId="3BF91C0C" w:rsidR="00B65D9A" w:rsidRPr="00DE2C57" w:rsidRDefault="00B65D9A" w:rsidP="00612E24">
            <w:pPr>
              <w:pStyle w:val="CETBodytext"/>
              <w:ind w:right="-1"/>
            </w:pPr>
            <w:r w:rsidRPr="00DE2C57">
              <w:t>13</w:t>
            </w:r>
          </w:p>
        </w:tc>
        <w:tc>
          <w:tcPr>
            <w:tcW w:w="2408" w:type="dxa"/>
            <w:shd w:val="clear" w:color="auto" w:fill="FFFFFF"/>
            <w:vAlign w:val="center"/>
          </w:tcPr>
          <w:p w14:paraId="53029B8A" w14:textId="5EB5D917" w:rsidR="00B65D9A" w:rsidRPr="00DE2C57" w:rsidRDefault="00B65D9A" w:rsidP="00612E24">
            <w:pPr>
              <w:pStyle w:val="CETBodytext"/>
              <w:ind w:right="-1"/>
            </w:pPr>
            <w:r w:rsidRPr="00DE2C57">
              <w:t>13</w:t>
            </w:r>
          </w:p>
        </w:tc>
      </w:tr>
      <w:tr w:rsidR="00B65D9A" w:rsidRPr="00DE2C57" w14:paraId="61003345" w14:textId="77777777" w:rsidTr="00B65D9A">
        <w:tc>
          <w:tcPr>
            <w:tcW w:w="1210" w:type="dxa"/>
            <w:vMerge/>
            <w:shd w:val="clear" w:color="auto" w:fill="FFFFFF"/>
          </w:tcPr>
          <w:p w14:paraId="671B6AA3" w14:textId="77777777" w:rsidR="00B65D9A" w:rsidRPr="00DE2C57" w:rsidRDefault="00B65D9A" w:rsidP="00612E24">
            <w:pPr>
              <w:pStyle w:val="CETBodytext"/>
              <w:ind w:right="-1"/>
              <w:rPr>
                <w:rFonts w:cs="Arial"/>
                <w:szCs w:val="18"/>
                <w:vertAlign w:val="superscript"/>
              </w:rPr>
            </w:pPr>
          </w:p>
        </w:tc>
        <w:tc>
          <w:tcPr>
            <w:tcW w:w="1767" w:type="dxa"/>
            <w:shd w:val="clear" w:color="auto" w:fill="FFFFFF"/>
          </w:tcPr>
          <w:p w14:paraId="21D6E993" w14:textId="59D2D55D" w:rsidR="00B65D9A" w:rsidRPr="00DE2C57" w:rsidRDefault="00B65D9A" w:rsidP="00612E24">
            <w:pPr>
              <w:pStyle w:val="CETBodytext"/>
              <w:ind w:right="-1"/>
              <w:rPr>
                <w:rFonts w:cs="Arial"/>
                <w:szCs w:val="18"/>
              </w:rPr>
            </w:pPr>
            <w:r w:rsidRPr="00DE2C57">
              <w:rPr>
                <w:bCs/>
              </w:rPr>
              <w:t>H</w:t>
            </w:r>
            <w:r w:rsidRPr="00DE2C57">
              <w:rPr>
                <w:bCs/>
                <w:vertAlign w:val="subscript"/>
              </w:rPr>
              <w:t>2</w:t>
            </w:r>
            <w:r w:rsidRPr="00DE2C57">
              <w:rPr>
                <w:bCs/>
              </w:rPr>
              <w:t xml:space="preserve"> tank (kg)</w:t>
            </w:r>
          </w:p>
        </w:tc>
        <w:tc>
          <w:tcPr>
            <w:tcW w:w="1701" w:type="dxa"/>
            <w:shd w:val="clear" w:color="auto" w:fill="FFFFFF"/>
            <w:vAlign w:val="center"/>
          </w:tcPr>
          <w:p w14:paraId="4CCB77A1" w14:textId="0156344E" w:rsidR="00B65D9A" w:rsidRPr="00DE2C57" w:rsidRDefault="00B65D9A" w:rsidP="00612E24">
            <w:pPr>
              <w:pStyle w:val="CETBodytext"/>
              <w:ind w:right="-1"/>
            </w:pPr>
            <w:r w:rsidRPr="00DE2C57">
              <w:t>41</w:t>
            </w:r>
          </w:p>
        </w:tc>
        <w:tc>
          <w:tcPr>
            <w:tcW w:w="1701" w:type="dxa"/>
            <w:shd w:val="clear" w:color="auto" w:fill="FFFFFF"/>
            <w:vAlign w:val="center"/>
          </w:tcPr>
          <w:p w14:paraId="34B9436A" w14:textId="63214BDB" w:rsidR="00B65D9A" w:rsidRPr="00DE2C57" w:rsidRDefault="00B65D9A" w:rsidP="00612E24">
            <w:pPr>
              <w:pStyle w:val="CETBodytext"/>
              <w:ind w:right="-1"/>
            </w:pPr>
            <w:r w:rsidRPr="00DE2C57">
              <w:t>55</w:t>
            </w:r>
          </w:p>
        </w:tc>
        <w:tc>
          <w:tcPr>
            <w:tcW w:w="2408" w:type="dxa"/>
            <w:shd w:val="clear" w:color="auto" w:fill="FFFFFF"/>
            <w:vAlign w:val="center"/>
          </w:tcPr>
          <w:p w14:paraId="425C10E0" w14:textId="0F680141" w:rsidR="00B65D9A" w:rsidRPr="00DE2C57" w:rsidRDefault="00B65D9A" w:rsidP="00612E24">
            <w:pPr>
              <w:pStyle w:val="CETBodytext"/>
              <w:ind w:right="-1"/>
            </w:pPr>
            <w:r w:rsidRPr="00DE2C57">
              <w:t>52</w:t>
            </w:r>
          </w:p>
        </w:tc>
      </w:tr>
    </w:tbl>
    <w:p w14:paraId="43A420A2" w14:textId="14F94025" w:rsidR="00B65D9A" w:rsidRPr="00DE2C57" w:rsidRDefault="00B65D9A" w:rsidP="00612E24">
      <w:pPr>
        <w:pStyle w:val="CETBodytext"/>
        <w:rPr>
          <w:sz w:val="16"/>
        </w:rPr>
      </w:pPr>
      <w:r w:rsidRPr="00DE2C57">
        <w:t>* Abbreviations: PV (Photovoltaic panels), EL (</w:t>
      </w:r>
      <w:proofErr w:type="spellStart"/>
      <w:r w:rsidRPr="00DE2C57">
        <w:t>Electrolyzer</w:t>
      </w:r>
      <w:proofErr w:type="spellEnd"/>
      <w:r w:rsidRPr="00DE2C57">
        <w:t>), FC (Fuel Cell), Bat (Battery).</w:t>
      </w:r>
    </w:p>
    <w:p w14:paraId="3A27402A" w14:textId="77777777" w:rsidR="00B65D9A" w:rsidRPr="00DE2C57" w:rsidRDefault="00B65D9A" w:rsidP="00612E24">
      <w:pPr>
        <w:pStyle w:val="CETBodytext"/>
      </w:pPr>
    </w:p>
    <w:p w14:paraId="20DBE3EE" w14:textId="4A35D85E" w:rsidR="00FC44B6" w:rsidRPr="00DE2C57" w:rsidRDefault="00294799" w:rsidP="00612E24">
      <w:pPr>
        <w:pStyle w:val="CETBodytext"/>
      </w:pPr>
      <w:r w:rsidRPr="00DE2C57">
        <w:t>T</w:t>
      </w:r>
      <w:r w:rsidR="00B65D9A" w:rsidRPr="00DE2C57">
        <w:t>he PV capacity installed in Vila Nova de Gaia is around 3 times more than the resulting capacity in Novales and 5 times more than in Bordeaux, which results in a lower dependence on the grid and a higher solar self-consumption. However, the dimensions of the PV panels are smaller for Vila Nova de Gaia in</w:t>
      </w:r>
      <w:r w:rsidRPr="00DE2C57">
        <w:t xml:space="preserve"> S</w:t>
      </w:r>
      <w:r w:rsidR="00B65D9A" w:rsidRPr="00DE2C57">
        <w:t>3 because no solar surplus is sold to the grid, so less installed capacity is needed to cover the same load due to the higher solar radiation.</w:t>
      </w:r>
      <w:r w:rsidR="00FC44B6" w:rsidRPr="00DE2C57">
        <w:t xml:space="preserve"> </w:t>
      </w:r>
      <w:r w:rsidR="00B65D9A" w:rsidRPr="00DE2C57">
        <w:t xml:space="preserve">As for the FC, it is shown that despite having a similar daily demand for the three locations, Novales has a system with a fuel cell twice the size or more due to the large peak load it has. In contrast, the </w:t>
      </w:r>
      <w:proofErr w:type="spellStart"/>
      <w:r w:rsidR="00B65D9A" w:rsidRPr="00DE2C57">
        <w:t>electrolyzer</w:t>
      </w:r>
      <w:proofErr w:type="spellEnd"/>
      <w:r w:rsidR="00B65D9A" w:rsidRPr="00DE2C57">
        <w:t xml:space="preserve"> and hydrogen tank are larger due to the smaller number of batteries installed. </w:t>
      </w:r>
      <w:r w:rsidR="00FC44B6" w:rsidRPr="00DE2C57">
        <w:t>Additionally, the energy mixes of scenarios 2 and 3 are shown in F</w:t>
      </w:r>
      <w:r w:rsidR="00E84DD4" w:rsidRPr="00DE2C57">
        <w:t>igure 4.</w:t>
      </w:r>
    </w:p>
    <w:p w14:paraId="0EBA5EC6" w14:textId="77777777" w:rsidR="00294799" w:rsidRPr="00DE2C57" w:rsidRDefault="00294799" w:rsidP="00612E24">
      <w:pPr>
        <w:pStyle w:val="CETBodytext"/>
      </w:pPr>
    </w:p>
    <w:p w14:paraId="7CDEE1C4" w14:textId="0308628B" w:rsidR="00FC44B6" w:rsidRPr="00DE2C57" w:rsidRDefault="00FC44B6" w:rsidP="00612E24">
      <w:pPr>
        <w:pStyle w:val="CETBodytext"/>
      </w:pPr>
      <w:r w:rsidRPr="00DE2C57">
        <w:rPr>
          <w:noProof/>
          <w:lang w:val="en-GB" w:eastAsia="en-GB"/>
        </w:rPr>
        <w:drawing>
          <wp:inline distT="0" distB="0" distL="0" distR="0" wp14:anchorId="0DCB330F" wp14:editId="4F92794C">
            <wp:extent cx="4896578" cy="1595424"/>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8602" cy="1657990"/>
                    </a:xfrm>
                    <a:prstGeom prst="rect">
                      <a:avLst/>
                    </a:prstGeom>
                    <a:noFill/>
                  </pic:spPr>
                </pic:pic>
              </a:graphicData>
            </a:graphic>
          </wp:inline>
        </w:drawing>
      </w:r>
    </w:p>
    <w:p w14:paraId="3EF6F1B8" w14:textId="7D22C2B2" w:rsidR="00FC44B6" w:rsidRPr="00DE2C57" w:rsidRDefault="00FC44B6" w:rsidP="00612E24">
      <w:pPr>
        <w:pStyle w:val="CETBodytext"/>
        <w:rPr>
          <w:i/>
        </w:rPr>
      </w:pPr>
      <w:r w:rsidRPr="00DE2C57">
        <w:rPr>
          <w:i/>
        </w:rPr>
        <w:t>Figure 4</w:t>
      </w:r>
      <w:r w:rsidRPr="00DE2C57">
        <w:rPr>
          <w:b/>
          <w:i/>
        </w:rPr>
        <w:t>:</w:t>
      </w:r>
      <w:r w:rsidRPr="00DE2C57">
        <w:rPr>
          <w:i/>
        </w:rPr>
        <w:t xml:space="preserve"> Percentage of the load covered by component and location in scenarios 2 and 3.</w:t>
      </w:r>
    </w:p>
    <w:p w14:paraId="39942CDD" w14:textId="3813897E" w:rsidR="00FC44B6" w:rsidRPr="00DE2C57" w:rsidRDefault="00FC44B6" w:rsidP="00612E24">
      <w:pPr>
        <w:pStyle w:val="CETBodytext"/>
      </w:pPr>
    </w:p>
    <w:p w14:paraId="608E6CAF" w14:textId="192C252E" w:rsidR="00FC44B6" w:rsidRPr="00DE2C57" w:rsidRDefault="00E37270" w:rsidP="00612E24">
      <w:pPr>
        <w:pStyle w:val="CETBodytext"/>
      </w:pPr>
      <w:r w:rsidRPr="00DE2C57">
        <w:t>As mentioned above in S2</w:t>
      </w:r>
      <w:r w:rsidR="00E84DD4" w:rsidRPr="00DE2C57">
        <w:t>,</w:t>
      </w:r>
      <w:r w:rsidRPr="00DE2C57">
        <w:t xml:space="preserve"> Vila Nova de Gaia has a large </w:t>
      </w:r>
      <w:r w:rsidR="00E84DD4" w:rsidRPr="00DE2C57">
        <w:t xml:space="preserve">PV capacity </w:t>
      </w:r>
      <w:r w:rsidRPr="00DE2C57">
        <w:t xml:space="preserve">installed which results in a greater economic benefit in terms of selling excess to the grid. </w:t>
      </w:r>
      <w:r w:rsidR="009E056A" w:rsidRPr="00DE2C57">
        <w:t xml:space="preserve">With respect to </w:t>
      </w:r>
      <w:r w:rsidR="00294799" w:rsidRPr="00DE2C57">
        <w:t>S</w:t>
      </w:r>
      <w:r w:rsidR="009E056A" w:rsidRPr="00DE2C57">
        <w:t xml:space="preserve">3, </w:t>
      </w:r>
      <w:r w:rsidR="00294799" w:rsidRPr="00DE2C57">
        <w:t>a great excess solar production</w:t>
      </w:r>
      <w:r w:rsidR="009E056A" w:rsidRPr="00DE2C57">
        <w:t xml:space="preserve"> is </w:t>
      </w:r>
      <w:r w:rsidR="00294799" w:rsidRPr="00DE2C57">
        <w:t>required for hydrogen generation and</w:t>
      </w:r>
      <w:r w:rsidR="009E056A" w:rsidRPr="00DE2C57">
        <w:t xml:space="preserve"> to charge the batteries</w:t>
      </w:r>
      <w:r w:rsidR="00294799" w:rsidRPr="00DE2C57">
        <w:t>. T</w:t>
      </w:r>
      <w:r w:rsidR="009E056A" w:rsidRPr="00DE2C57">
        <w:t xml:space="preserve">he remainder is </w:t>
      </w:r>
      <w:r w:rsidR="00294799" w:rsidRPr="00DE2C57">
        <w:t>energy excess and</w:t>
      </w:r>
      <w:r w:rsidR="009E056A" w:rsidRPr="00DE2C57">
        <w:t xml:space="preserve"> losses due to DC/AC conversion.</w:t>
      </w:r>
      <w:r w:rsidR="00294799" w:rsidRPr="00DE2C57">
        <w:t xml:space="preserve"> However, it could be sold to the grid or can be reused to cover the thermal needs of the building and its inhabitants through electric heaters and hot water storage tanks. </w:t>
      </w:r>
      <w:r w:rsidR="009E056A" w:rsidRPr="00DE2C57">
        <w:t xml:space="preserve"> Finally, </w:t>
      </w:r>
      <w:proofErr w:type="gramStart"/>
      <w:r w:rsidR="009E056A" w:rsidRPr="00DE2C57">
        <w:t>it can be seen that the</w:t>
      </w:r>
      <w:proofErr w:type="gramEnd"/>
      <w:r w:rsidR="00294799" w:rsidRPr="00DE2C57">
        <w:t xml:space="preserve"> FC</w:t>
      </w:r>
      <w:r w:rsidR="009E056A" w:rsidRPr="00DE2C57">
        <w:t xml:space="preserve"> has a greater contribution to cover the load in the locations with fewer batteries installed. Moreover, in Vila Nova de Gaia, the energy </w:t>
      </w:r>
      <w:r w:rsidR="00294799" w:rsidRPr="00DE2C57">
        <w:t>consumed by the load from</w:t>
      </w:r>
      <w:r w:rsidR="009E056A" w:rsidRPr="00DE2C57">
        <w:t xml:space="preserve"> the</w:t>
      </w:r>
      <w:r w:rsidR="00294799" w:rsidRPr="00DE2C57">
        <w:t xml:space="preserve"> FC</w:t>
      </w:r>
      <w:r w:rsidR="009E056A" w:rsidRPr="00DE2C57">
        <w:t xml:space="preserve"> is greater than that provided by the PV panels </w:t>
      </w:r>
      <w:r w:rsidR="00294799" w:rsidRPr="00DE2C57">
        <w:t>due to the large hydrogen storage tank.</w:t>
      </w:r>
    </w:p>
    <w:p w14:paraId="1F96CA21" w14:textId="551BE71E" w:rsidR="00600535" w:rsidRPr="00DE2C57" w:rsidRDefault="00E84DD4" w:rsidP="00612E24">
      <w:pPr>
        <w:pStyle w:val="CETheadingx"/>
        <w:jc w:val="both"/>
      </w:pPr>
      <w:r w:rsidRPr="00DE2C57">
        <w:t>Net present cost and levelized cost of energy</w:t>
      </w:r>
    </w:p>
    <w:p w14:paraId="263795CA" w14:textId="394514A0" w:rsidR="00E31EBE" w:rsidRPr="00DE2C57" w:rsidRDefault="00E84DD4" w:rsidP="00612E24">
      <w:pPr>
        <w:pStyle w:val="CETBodytext"/>
      </w:pPr>
      <w:r w:rsidRPr="00DE2C57">
        <w:t>The economic evaluation of the different scenarios previously reported is performed in terms of net present cost (NPC), levelized cost of energy (LCOE) and the annual operating cost of each system. In addition, a new scenario is included, named S3.2, which considers that all the surplus energy obtained in the case of S3 is sold-back to the grid. In this regard, a sale price to the grid of 50% of the purchase price is considered</w:t>
      </w:r>
      <w:r w:rsidR="00B53C85" w:rsidRPr="00DE2C57">
        <w:t xml:space="preserve"> (previously reported in Table 2)</w:t>
      </w:r>
      <w:r w:rsidRPr="00DE2C57">
        <w:t>. The results are collected in Table 5.</w:t>
      </w:r>
    </w:p>
    <w:p w14:paraId="4D81148D" w14:textId="5869B1F7" w:rsidR="00E31EBE" w:rsidRPr="00DE2C57" w:rsidRDefault="00E31EBE" w:rsidP="00612E24">
      <w:pPr>
        <w:pStyle w:val="CETBodytext"/>
      </w:pPr>
      <w:r w:rsidRPr="00DE2C57">
        <w:rPr>
          <w:i/>
        </w:rPr>
        <w:t>Table 5</w:t>
      </w:r>
      <w:r w:rsidRPr="00DE2C57">
        <w:rPr>
          <w:b/>
          <w:i/>
        </w:rPr>
        <w:t>:</w:t>
      </w:r>
      <w:r w:rsidRPr="00DE2C57">
        <w:rPr>
          <w:i/>
        </w:rPr>
        <w:t xml:space="preserve"> Net present cost, levelized cost of energy and operating cost per scenario and location.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2551"/>
        <w:gridCol w:w="1418"/>
        <w:gridCol w:w="1559"/>
        <w:gridCol w:w="2408"/>
      </w:tblGrid>
      <w:tr w:rsidR="00E31EBE" w:rsidRPr="0073616C" w14:paraId="332E6614" w14:textId="77777777" w:rsidTr="00E31EBE">
        <w:tc>
          <w:tcPr>
            <w:tcW w:w="851" w:type="dxa"/>
            <w:tcBorders>
              <w:top w:val="single" w:sz="12" w:space="0" w:color="008000"/>
              <w:bottom w:val="single" w:sz="6" w:space="0" w:color="008000"/>
            </w:tcBorders>
            <w:shd w:val="clear" w:color="auto" w:fill="FFFFFF"/>
          </w:tcPr>
          <w:p w14:paraId="6BFE365E" w14:textId="77777777" w:rsidR="00E31EBE" w:rsidRPr="00DE2C57" w:rsidRDefault="00E31EBE" w:rsidP="00612E24">
            <w:pPr>
              <w:pStyle w:val="CETBodytext"/>
            </w:pPr>
            <w:r w:rsidRPr="00DE2C57">
              <w:lastRenderedPageBreak/>
              <w:t>Scenario</w:t>
            </w:r>
          </w:p>
        </w:tc>
        <w:tc>
          <w:tcPr>
            <w:tcW w:w="2551" w:type="dxa"/>
            <w:tcBorders>
              <w:top w:val="single" w:sz="12" w:space="0" w:color="008000"/>
              <w:bottom w:val="single" w:sz="6" w:space="0" w:color="008000"/>
            </w:tcBorders>
            <w:shd w:val="clear" w:color="auto" w:fill="FFFFFF"/>
          </w:tcPr>
          <w:p w14:paraId="1278A97D" w14:textId="6760B4EE" w:rsidR="00E31EBE" w:rsidRPr="00DE2C57" w:rsidRDefault="00E31EBE" w:rsidP="00612E24">
            <w:pPr>
              <w:pStyle w:val="CETBodytext"/>
              <w:ind w:right="-1"/>
              <w:rPr>
                <w:rFonts w:cs="Arial"/>
                <w:szCs w:val="18"/>
              </w:rPr>
            </w:pPr>
            <w:r w:rsidRPr="00DE2C57">
              <w:rPr>
                <w:rFonts w:cs="Arial"/>
                <w:szCs w:val="18"/>
              </w:rPr>
              <w:t>Parameter</w:t>
            </w:r>
          </w:p>
        </w:tc>
        <w:tc>
          <w:tcPr>
            <w:tcW w:w="1418" w:type="dxa"/>
            <w:tcBorders>
              <w:top w:val="single" w:sz="12" w:space="0" w:color="008000"/>
              <w:bottom w:val="single" w:sz="6" w:space="0" w:color="008000"/>
            </w:tcBorders>
            <w:shd w:val="clear" w:color="auto" w:fill="FFFFFF"/>
          </w:tcPr>
          <w:p w14:paraId="3A0AE545" w14:textId="77777777" w:rsidR="00E31EBE" w:rsidRPr="00DE2C57" w:rsidRDefault="00E31EBE" w:rsidP="00612E24">
            <w:pPr>
              <w:pStyle w:val="CETBodytext"/>
              <w:ind w:right="-1"/>
              <w:rPr>
                <w:rFonts w:cs="Arial"/>
                <w:szCs w:val="18"/>
              </w:rPr>
            </w:pPr>
            <w:r w:rsidRPr="00DE2C57">
              <w:t>Novales, Spain</w:t>
            </w:r>
          </w:p>
        </w:tc>
        <w:tc>
          <w:tcPr>
            <w:tcW w:w="1559" w:type="dxa"/>
            <w:tcBorders>
              <w:top w:val="single" w:sz="12" w:space="0" w:color="008000"/>
              <w:bottom w:val="single" w:sz="6" w:space="0" w:color="008000"/>
            </w:tcBorders>
            <w:shd w:val="clear" w:color="auto" w:fill="FFFFFF"/>
          </w:tcPr>
          <w:p w14:paraId="4F0A5F22" w14:textId="77777777" w:rsidR="00E31EBE" w:rsidRPr="00DE2C57" w:rsidRDefault="00E31EBE" w:rsidP="00612E24">
            <w:pPr>
              <w:pStyle w:val="CETBodytext"/>
              <w:ind w:right="-1"/>
              <w:rPr>
                <w:rFonts w:cs="Arial"/>
                <w:szCs w:val="18"/>
              </w:rPr>
            </w:pPr>
            <w:r w:rsidRPr="00DE2C57">
              <w:t xml:space="preserve">Bordeaux, France </w:t>
            </w:r>
          </w:p>
        </w:tc>
        <w:tc>
          <w:tcPr>
            <w:tcW w:w="2408" w:type="dxa"/>
            <w:tcBorders>
              <w:top w:val="single" w:sz="12" w:space="0" w:color="008000"/>
              <w:bottom w:val="single" w:sz="6" w:space="0" w:color="008000"/>
            </w:tcBorders>
            <w:shd w:val="clear" w:color="auto" w:fill="FFFFFF"/>
          </w:tcPr>
          <w:p w14:paraId="5BF077BD" w14:textId="77777777" w:rsidR="00E31EBE" w:rsidRPr="009C43BD" w:rsidRDefault="00E31EBE" w:rsidP="00612E24">
            <w:pPr>
              <w:pStyle w:val="CETBodytext"/>
              <w:ind w:right="-1"/>
              <w:rPr>
                <w:rFonts w:cs="Arial"/>
                <w:szCs w:val="18"/>
                <w:lang w:val="es-ES"/>
              </w:rPr>
            </w:pPr>
            <w:r w:rsidRPr="009C43BD">
              <w:rPr>
                <w:rFonts w:cs="Arial"/>
                <w:szCs w:val="18"/>
                <w:lang w:val="es-ES"/>
              </w:rPr>
              <w:t>Vila Nova de Gaia, Portugal</w:t>
            </w:r>
          </w:p>
        </w:tc>
      </w:tr>
      <w:tr w:rsidR="00E31EBE" w:rsidRPr="00DE2C57" w14:paraId="3D14CD53" w14:textId="77777777" w:rsidTr="00E31EBE">
        <w:tc>
          <w:tcPr>
            <w:tcW w:w="851" w:type="dxa"/>
            <w:vMerge w:val="restart"/>
            <w:shd w:val="clear" w:color="auto" w:fill="FFFFFF"/>
          </w:tcPr>
          <w:p w14:paraId="0F0F5BD9" w14:textId="103B2586" w:rsidR="00E31EBE" w:rsidRPr="00DE2C57" w:rsidRDefault="00E31EBE" w:rsidP="00612E24">
            <w:pPr>
              <w:pStyle w:val="CETBodytext"/>
            </w:pPr>
            <w:r w:rsidRPr="00DE2C57">
              <w:t>S1</w:t>
            </w:r>
          </w:p>
        </w:tc>
        <w:tc>
          <w:tcPr>
            <w:tcW w:w="2551" w:type="dxa"/>
            <w:shd w:val="clear" w:color="auto" w:fill="FFFFFF"/>
            <w:vAlign w:val="center"/>
          </w:tcPr>
          <w:p w14:paraId="5B434A61" w14:textId="6F87C65F" w:rsidR="00E31EBE" w:rsidRPr="00DE2C57" w:rsidRDefault="00E31EBE" w:rsidP="00612E24">
            <w:pPr>
              <w:pStyle w:val="CETBodytext"/>
              <w:ind w:right="-1"/>
              <w:rPr>
                <w:rFonts w:cs="Arial"/>
                <w:szCs w:val="18"/>
              </w:rPr>
            </w:pPr>
            <w:r w:rsidRPr="00DE2C57">
              <w:t>NPC (US$)</w:t>
            </w:r>
          </w:p>
        </w:tc>
        <w:tc>
          <w:tcPr>
            <w:tcW w:w="1418" w:type="dxa"/>
            <w:shd w:val="clear" w:color="auto" w:fill="FFFFFF"/>
            <w:vAlign w:val="center"/>
          </w:tcPr>
          <w:p w14:paraId="3F894E12" w14:textId="0F03951E" w:rsidR="00E31EBE" w:rsidRPr="00DE2C57" w:rsidRDefault="00E31EBE" w:rsidP="00612E24">
            <w:pPr>
              <w:pStyle w:val="CETBodytext"/>
              <w:ind w:right="-1"/>
            </w:pPr>
            <w:r w:rsidRPr="00DE2C57">
              <w:t>101,977.80</w:t>
            </w:r>
          </w:p>
        </w:tc>
        <w:tc>
          <w:tcPr>
            <w:tcW w:w="1559" w:type="dxa"/>
            <w:shd w:val="clear" w:color="auto" w:fill="FFFFFF"/>
            <w:vAlign w:val="center"/>
          </w:tcPr>
          <w:p w14:paraId="1184D26C" w14:textId="177C6822" w:rsidR="00E31EBE" w:rsidRPr="00DE2C57" w:rsidRDefault="00E31EBE" w:rsidP="00612E24">
            <w:pPr>
              <w:pStyle w:val="CETBodytext"/>
              <w:ind w:right="-1"/>
            </w:pPr>
            <w:r w:rsidRPr="00DE2C57">
              <w:t>82,570.87</w:t>
            </w:r>
          </w:p>
        </w:tc>
        <w:tc>
          <w:tcPr>
            <w:tcW w:w="2408" w:type="dxa"/>
            <w:shd w:val="clear" w:color="auto" w:fill="FFFFFF"/>
            <w:vAlign w:val="center"/>
          </w:tcPr>
          <w:p w14:paraId="2F893075" w14:textId="1AB397BA" w:rsidR="00E31EBE" w:rsidRPr="00DE2C57" w:rsidRDefault="00E31EBE" w:rsidP="00612E24">
            <w:pPr>
              <w:pStyle w:val="CETBodytext"/>
              <w:ind w:right="-1"/>
            </w:pPr>
            <w:r w:rsidRPr="00DE2C57">
              <w:t>109,084.00</w:t>
            </w:r>
          </w:p>
        </w:tc>
      </w:tr>
      <w:tr w:rsidR="00E31EBE" w:rsidRPr="00DE2C57" w14:paraId="2A030E2A" w14:textId="77777777" w:rsidTr="00E31EBE">
        <w:tc>
          <w:tcPr>
            <w:tcW w:w="851" w:type="dxa"/>
            <w:vMerge/>
            <w:shd w:val="clear" w:color="auto" w:fill="FFFFFF"/>
          </w:tcPr>
          <w:p w14:paraId="21E425CB" w14:textId="77777777" w:rsidR="00E31EBE" w:rsidRPr="00DE2C57" w:rsidRDefault="00E31EBE" w:rsidP="00612E24">
            <w:pPr>
              <w:pStyle w:val="CETBodytext"/>
            </w:pPr>
          </w:p>
        </w:tc>
        <w:tc>
          <w:tcPr>
            <w:tcW w:w="2551" w:type="dxa"/>
            <w:shd w:val="clear" w:color="auto" w:fill="FFFFFF"/>
            <w:vAlign w:val="center"/>
          </w:tcPr>
          <w:p w14:paraId="488AB04A" w14:textId="04DDA157" w:rsidR="00E31EBE" w:rsidRPr="00DE2C57" w:rsidRDefault="00E31EBE" w:rsidP="00612E24">
            <w:pPr>
              <w:pStyle w:val="CETBodytext"/>
              <w:ind w:right="-1"/>
              <w:rPr>
                <w:rFonts w:cs="Arial"/>
                <w:szCs w:val="18"/>
              </w:rPr>
            </w:pPr>
            <w:r w:rsidRPr="00DE2C57">
              <w:t>LCOE (US$/kWh)</w:t>
            </w:r>
          </w:p>
        </w:tc>
        <w:tc>
          <w:tcPr>
            <w:tcW w:w="1418" w:type="dxa"/>
            <w:shd w:val="clear" w:color="auto" w:fill="FFFFFF"/>
            <w:vAlign w:val="center"/>
          </w:tcPr>
          <w:p w14:paraId="0B99F508" w14:textId="76D076F6" w:rsidR="00E31EBE" w:rsidRPr="00DE2C57" w:rsidRDefault="00E31EBE" w:rsidP="00612E24">
            <w:pPr>
              <w:pStyle w:val="CETBodytext"/>
              <w:ind w:right="-1"/>
            </w:pPr>
            <w:r w:rsidRPr="00DE2C57">
              <w:t>0.229</w:t>
            </w:r>
          </w:p>
        </w:tc>
        <w:tc>
          <w:tcPr>
            <w:tcW w:w="1559" w:type="dxa"/>
            <w:shd w:val="clear" w:color="auto" w:fill="FFFFFF"/>
            <w:vAlign w:val="center"/>
          </w:tcPr>
          <w:p w14:paraId="2C59E7D5" w14:textId="3670A4A4" w:rsidR="00E31EBE" w:rsidRPr="00DE2C57" w:rsidRDefault="00E31EBE" w:rsidP="00612E24">
            <w:pPr>
              <w:pStyle w:val="CETBodytext"/>
              <w:ind w:right="-1"/>
            </w:pPr>
            <w:r w:rsidRPr="00DE2C57">
              <w:t>0.213</w:t>
            </w:r>
          </w:p>
        </w:tc>
        <w:tc>
          <w:tcPr>
            <w:tcW w:w="2408" w:type="dxa"/>
            <w:shd w:val="clear" w:color="auto" w:fill="FFFFFF"/>
            <w:vAlign w:val="center"/>
          </w:tcPr>
          <w:p w14:paraId="101FAB80" w14:textId="1A69095D" w:rsidR="00E31EBE" w:rsidRPr="00DE2C57" w:rsidRDefault="00E31EBE" w:rsidP="00612E24">
            <w:pPr>
              <w:pStyle w:val="CETBodytext"/>
              <w:ind w:right="-1"/>
            </w:pPr>
            <w:r w:rsidRPr="00DE2C57">
              <w:t>0.269</w:t>
            </w:r>
          </w:p>
        </w:tc>
      </w:tr>
      <w:tr w:rsidR="00E31EBE" w:rsidRPr="00DE2C57" w14:paraId="29A322F1" w14:textId="77777777" w:rsidTr="00E31EBE">
        <w:tc>
          <w:tcPr>
            <w:tcW w:w="851" w:type="dxa"/>
            <w:vMerge/>
            <w:shd w:val="clear" w:color="auto" w:fill="FFFFFF"/>
          </w:tcPr>
          <w:p w14:paraId="31112910" w14:textId="77777777" w:rsidR="00E31EBE" w:rsidRPr="00DE2C57" w:rsidRDefault="00E31EBE" w:rsidP="00612E24">
            <w:pPr>
              <w:pStyle w:val="CETBodytext"/>
            </w:pPr>
          </w:p>
        </w:tc>
        <w:tc>
          <w:tcPr>
            <w:tcW w:w="2551" w:type="dxa"/>
            <w:shd w:val="clear" w:color="auto" w:fill="FFFFFF"/>
            <w:vAlign w:val="center"/>
          </w:tcPr>
          <w:p w14:paraId="7A611510" w14:textId="54723F28" w:rsidR="00E31EBE" w:rsidRPr="00DE2C57" w:rsidRDefault="00E31EBE" w:rsidP="00612E24">
            <w:pPr>
              <w:pStyle w:val="CETBodytext"/>
              <w:ind w:right="-1"/>
              <w:rPr>
                <w:rFonts w:cs="Arial"/>
                <w:szCs w:val="18"/>
              </w:rPr>
            </w:pPr>
            <w:r w:rsidRPr="00DE2C57">
              <w:t>Operating Costs (US$/kWh)</w:t>
            </w:r>
          </w:p>
        </w:tc>
        <w:tc>
          <w:tcPr>
            <w:tcW w:w="1418" w:type="dxa"/>
            <w:shd w:val="clear" w:color="auto" w:fill="FFFFFF"/>
            <w:vAlign w:val="center"/>
          </w:tcPr>
          <w:p w14:paraId="7972073D" w14:textId="4A98E9D6" w:rsidR="00E31EBE" w:rsidRPr="00DE2C57" w:rsidRDefault="00E31EBE" w:rsidP="00612E24">
            <w:pPr>
              <w:pStyle w:val="CETBodytext"/>
              <w:ind w:right="-1"/>
            </w:pPr>
            <w:r w:rsidRPr="00DE2C57">
              <w:t>7,888.43</w:t>
            </w:r>
          </w:p>
        </w:tc>
        <w:tc>
          <w:tcPr>
            <w:tcW w:w="1559" w:type="dxa"/>
            <w:shd w:val="clear" w:color="auto" w:fill="FFFFFF"/>
            <w:vAlign w:val="center"/>
          </w:tcPr>
          <w:p w14:paraId="268C95E4" w14:textId="674F814B" w:rsidR="00E31EBE" w:rsidRPr="00DE2C57" w:rsidRDefault="00E31EBE" w:rsidP="00612E24">
            <w:pPr>
              <w:pStyle w:val="CETBodytext"/>
              <w:ind w:right="-1"/>
            </w:pPr>
            <w:r w:rsidRPr="00DE2C57">
              <w:t>6,387.22</w:t>
            </w:r>
          </w:p>
        </w:tc>
        <w:tc>
          <w:tcPr>
            <w:tcW w:w="2408" w:type="dxa"/>
            <w:shd w:val="clear" w:color="auto" w:fill="FFFFFF"/>
            <w:vAlign w:val="center"/>
          </w:tcPr>
          <w:p w14:paraId="7A5F0080" w14:textId="7020102E" w:rsidR="00E31EBE" w:rsidRPr="00DE2C57" w:rsidRDefault="00E31EBE" w:rsidP="00612E24">
            <w:pPr>
              <w:pStyle w:val="CETBodytext"/>
              <w:ind w:right="-1"/>
            </w:pPr>
            <w:r w:rsidRPr="00DE2C57">
              <w:t>8,438.13</w:t>
            </w:r>
          </w:p>
        </w:tc>
      </w:tr>
      <w:tr w:rsidR="00E31EBE" w:rsidRPr="00DE2C57" w14:paraId="0268E0D1" w14:textId="77777777" w:rsidTr="00E31EBE">
        <w:tc>
          <w:tcPr>
            <w:tcW w:w="851" w:type="dxa"/>
            <w:vMerge w:val="restart"/>
            <w:shd w:val="clear" w:color="auto" w:fill="FFFFFF"/>
          </w:tcPr>
          <w:p w14:paraId="160ECDA2" w14:textId="77777777" w:rsidR="00E31EBE" w:rsidRPr="00DE2C57" w:rsidRDefault="00E31EBE" w:rsidP="00612E24">
            <w:pPr>
              <w:pStyle w:val="CETBodytext"/>
            </w:pPr>
            <w:r w:rsidRPr="00DE2C57">
              <w:t>S2</w:t>
            </w:r>
          </w:p>
        </w:tc>
        <w:tc>
          <w:tcPr>
            <w:tcW w:w="2551" w:type="dxa"/>
            <w:shd w:val="clear" w:color="auto" w:fill="FFFFFF"/>
            <w:vAlign w:val="center"/>
          </w:tcPr>
          <w:p w14:paraId="50F37473" w14:textId="2BA5CC21" w:rsidR="00E31EBE" w:rsidRPr="00DE2C57" w:rsidRDefault="00E31EBE" w:rsidP="00612E24">
            <w:pPr>
              <w:pStyle w:val="CETBodytext"/>
              <w:ind w:right="-1"/>
              <w:rPr>
                <w:rFonts w:cs="Arial"/>
                <w:szCs w:val="18"/>
              </w:rPr>
            </w:pPr>
            <w:r w:rsidRPr="00DE2C57">
              <w:t>NPC (US$)</w:t>
            </w:r>
          </w:p>
        </w:tc>
        <w:tc>
          <w:tcPr>
            <w:tcW w:w="1418" w:type="dxa"/>
            <w:shd w:val="clear" w:color="auto" w:fill="FFFFFF"/>
            <w:vAlign w:val="center"/>
          </w:tcPr>
          <w:p w14:paraId="26C74D40" w14:textId="1919B12B" w:rsidR="00E31EBE" w:rsidRPr="00DE2C57" w:rsidRDefault="00E31EBE" w:rsidP="00612E24">
            <w:pPr>
              <w:pStyle w:val="CETBodytext"/>
              <w:ind w:right="-1"/>
              <w:rPr>
                <w:bCs/>
              </w:rPr>
            </w:pPr>
            <w:r w:rsidRPr="00DE2C57">
              <w:t>92,116.25</w:t>
            </w:r>
          </w:p>
        </w:tc>
        <w:tc>
          <w:tcPr>
            <w:tcW w:w="1559" w:type="dxa"/>
            <w:shd w:val="clear" w:color="auto" w:fill="FFFFFF"/>
            <w:vAlign w:val="center"/>
          </w:tcPr>
          <w:p w14:paraId="46EB5230" w14:textId="09AE8D39" w:rsidR="00E31EBE" w:rsidRPr="00DE2C57" w:rsidRDefault="00E31EBE" w:rsidP="00612E24">
            <w:pPr>
              <w:pStyle w:val="CETBodytext"/>
              <w:ind w:right="-1"/>
              <w:rPr>
                <w:bCs/>
              </w:rPr>
            </w:pPr>
            <w:r w:rsidRPr="00DE2C57">
              <w:t>73,842.95</w:t>
            </w:r>
          </w:p>
        </w:tc>
        <w:tc>
          <w:tcPr>
            <w:tcW w:w="2408" w:type="dxa"/>
            <w:shd w:val="clear" w:color="auto" w:fill="FFFFFF"/>
            <w:vAlign w:val="center"/>
          </w:tcPr>
          <w:p w14:paraId="4CBCCF48" w14:textId="086C8BF1" w:rsidR="00E31EBE" w:rsidRPr="00DE2C57" w:rsidRDefault="00E31EBE" w:rsidP="00612E24">
            <w:pPr>
              <w:pStyle w:val="CETBodytext"/>
              <w:ind w:right="-1"/>
              <w:rPr>
                <w:bCs/>
              </w:rPr>
            </w:pPr>
            <w:r w:rsidRPr="00DE2C57">
              <w:t>64,874.06</w:t>
            </w:r>
          </w:p>
        </w:tc>
      </w:tr>
      <w:tr w:rsidR="00E31EBE" w:rsidRPr="00DE2C57" w14:paraId="3F88F985" w14:textId="77777777" w:rsidTr="00E31EBE">
        <w:tc>
          <w:tcPr>
            <w:tcW w:w="851" w:type="dxa"/>
            <w:vMerge/>
            <w:shd w:val="clear" w:color="auto" w:fill="FFFFFF"/>
          </w:tcPr>
          <w:p w14:paraId="55BEEF68" w14:textId="77777777" w:rsidR="00E31EBE" w:rsidRPr="00DE2C57" w:rsidRDefault="00E31EBE" w:rsidP="00612E24">
            <w:pPr>
              <w:pStyle w:val="CETBodytext"/>
            </w:pPr>
          </w:p>
        </w:tc>
        <w:tc>
          <w:tcPr>
            <w:tcW w:w="2551" w:type="dxa"/>
            <w:shd w:val="clear" w:color="auto" w:fill="FFFFFF"/>
            <w:vAlign w:val="center"/>
          </w:tcPr>
          <w:p w14:paraId="18F3520F" w14:textId="74ED88ED" w:rsidR="00E31EBE" w:rsidRPr="00DE2C57" w:rsidRDefault="00E31EBE" w:rsidP="00612E24">
            <w:pPr>
              <w:pStyle w:val="CETBodytext"/>
              <w:ind w:right="-1"/>
              <w:rPr>
                <w:rFonts w:cs="Arial"/>
                <w:szCs w:val="18"/>
              </w:rPr>
            </w:pPr>
            <w:r w:rsidRPr="00DE2C57">
              <w:t>LCOE (US$/kWh)</w:t>
            </w:r>
          </w:p>
        </w:tc>
        <w:tc>
          <w:tcPr>
            <w:tcW w:w="1418" w:type="dxa"/>
            <w:shd w:val="clear" w:color="auto" w:fill="FFFFFF"/>
            <w:vAlign w:val="center"/>
          </w:tcPr>
          <w:p w14:paraId="499FC4CB" w14:textId="474153EC" w:rsidR="00E31EBE" w:rsidRPr="00DE2C57" w:rsidRDefault="00E31EBE" w:rsidP="00612E24">
            <w:pPr>
              <w:pStyle w:val="CETBodytext"/>
              <w:ind w:right="-1"/>
            </w:pPr>
            <w:r w:rsidRPr="00DE2C57">
              <w:t>0.149</w:t>
            </w:r>
          </w:p>
        </w:tc>
        <w:tc>
          <w:tcPr>
            <w:tcW w:w="1559" w:type="dxa"/>
            <w:shd w:val="clear" w:color="auto" w:fill="FFFFFF"/>
            <w:vAlign w:val="center"/>
          </w:tcPr>
          <w:p w14:paraId="114D7432" w14:textId="303D677E" w:rsidR="00E31EBE" w:rsidRPr="00DE2C57" w:rsidRDefault="00E31EBE" w:rsidP="00612E24">
            <w:pPr>
              <w:pStyle w:val="CETBodytext"/>
              <w:ind w:right="-1"/>
            </w:pPr>
            <w:r w:rsidRPr="00DE2C57">
              <w:t>0.163</w:t>
            </w:r>
          </w:p>
        </w:tc>
        <w:tc>
          <w:tcPr>
            <w:tcW w:w="2408" w:type="dxa"/>
            <w:shd w:val="clear" w:color="auto" w:fill="FFFFFF"/>
            <w:vAlign w:val="center"/>
          </w:tcPr>
          <w:p w14:paraId="636F4A79" w14:textId="3EB80FAF" w:rsidR="00E31EBE" w:rsidRPr="00DE2C57" w:rsidRDefault="00E31EBE" w:rsidP="00612E24">
            <w:pPr>
              <w:pStyle w:val="CETBodytext"/>
              <w:ind w:right="-1"/>
            </w:pPr>
            <w:r w:rsidRPr="00DE2C57">
              <w:t>0.043</w:t>
            </w:r>
          </w:p>
        </w:tc>
      </w:tr>
      <w:tr w:rsidR="00E31EBE" w:rsidRPr="00DE2C57" w14:paraId="0C2EC9F0" w14:textId="77777777" w:rsidTr="00E31EBE">
        <w:tc>
          <w:tcPr>
            <w:tcW w:w="851" w:type="dxa"/>
            <w:vMerge/>
            <w:shd w:val="clear" w:color="auto" w:fill="FFFFFF"/>
          </w:tcPr>
          <w:p w14:paraId="08F21EFF" w14:textId="77777777" w:rsidR="00E31EBE" w:rsidRPr="00DE2C57" w:rsidRDefault="00E31EBE" w:rsidP="00612E24">
            <w:pPr>
              <w:pStyle w:val="CETBodytext"/>
            </w:pPr>
          </w:p>
        </w:tc>
        <w:tc>
          <w:tcPr>
            <w:tcW w:w="2551" w:type="dxa"/>
            <w:shd w:val="clear" w:color="auto" w:fill="FFFFFF"/>
            <w:vAlign w:val="center"/>
          </w:tcPr>
          <w:p w14:paraId="4B9BE218" w14:textId="533DD776" w:rsidR="00E31EBE" w:rsidRPr="00DE2C57" w:rsidRDefault="00E31EBE" w:rsidP="00612E24">
            <w:pPr>
              <w:pStyle w:val="CETBodytext"/>
              <w:ind w:right="-1"/>
              <w:rPr>
                <w:rFonts w:cs="Arial"/>
                <w:szCs w:val="18"/>
              </w:rPr>
            </w:pPr>
            <w:r w:rsidRPr="00DE2C57">
              <w:t>Operating Costs (US$/kWh)</w:t>
            </w:r>
          </w:p>
        </w:tc>
        <w:tc>
          <w:tcPr>
            <w:tcW w:w="1418" w:type="dxa"/>
            <w:shd w:val="clear" w:color="auto" w:fill="FFFFFF"/>
            <w:vAlign w:val="center"/>
          </w:tcPr>
          <w:p w14:paraId="363D9B2B" w14:textId="363E8E48" w:rsidR="00E31EBE" w:rsidRPr="00DE2C57" w:rsidRDefault="00E31EBE" w:rsidP="00612E24">
            <w:pPr>
              <w:pStyle w:val="CETBodytext"/>
              <w:ind w:right="-1"/>
            </w:pPr>
            <w:r w:rsidRPr="00DE2C57">
              <w:t>5,661.38</w:t>
            </w:r>
          </w:p>
        </w:tc>
        <w:tc>
          <w:tcPr>
            <w:tcW w:w="1559" w:type="dxa"/>
            <w:shd w:val="clear" w:color="auto" w:fill="FFFFFF"/>
            <w:vAlign w:val="center"/>
          </w:tcPr>
          <w:p w14:paraId="7476A266" w14:textId="18E5349A" w:rsidR="00E31EBE" w:rsidRPr="00DE2C57" w:rsidRDefault="00E31EBE" w:rsidP="00612E24">
            <w:pPr>
              <w:pStyle w:val="CETBodytext"/>
              <w:ind w:right="-1"/>
            </w:pPr>
            <w:r w:rsidRPr="00DE2C57">
              <w:t>4,828.22</w:t>
            </w:r>
          </w:p>
        </w:tc>
        <w:tc>
          <w:tcPr>
            <w:tcW w:w="2408" w:type="dxa"/>
            <w:shd w:val="clear" w:color="auto" w:fill="FFFFFF"/>
            <w:vAlign w:val="center"/>
          </w:tcPr>
          <w:p w14:paraId="064124D6" w14:textId="2C1FC69F" w:rsidR="00E31EBE" w:rsidRPr="00DE2C57" w:rsidRDefault="00E31EBE" w:rsidP="00612E24">
            <w:pPr>
              <w:pStyle w:val="CETBodytext"/>
              <w:ind w:right="-1"/>
            </w:pPr>
            <w:r w:rsidRPr="00DE2C57">
              <w:t>145.37</w:t>
            </w:r>
          </w:p>
        </w:tc>
      </w:tr>
      <w:tr w:rsidR="00E31EBE" w:rsidRPr="00DE2C57" w14:paraId="50259BD4" w14:textId="77777777" w:rsidTr="00D365A2">
        <w:tc>
          <w:tcPr>
            <w:tcW w:w="851" w:type="dxa"/>
            <w:vMerge w:val="restart"/>
            <w:shd w:val="clear" w:color="auto" w:fill="FFFFFF"/>
          </w:tcPr>
          <w:p w14:paraId="0C85555F" w14:textId="77777777" w:rsidR="00E31EBE" w:rsidRPr="00DE2C57" w:rsidRDefault="00E31EBE" w:rsidP="00612E24">
            <w:pPr>
              <w:pStyle w:val="CETBodytext"/>
              <w:ind w:right="-1"/>
              <w:rPr>
                <w:rFonts w:cs="Arial"/>
                <w:szCs w:val="18"/>
              </w:rPr>
            </w:pPr>
            <w:r w:rsidRPr="00DE2C57">
              <w:rPr>
                <w:rFonts w:cs="Arial"/>
                <w:szCs w:val="18"/>
              </w:rPr>
              <w:t>S3</w:t>
            </w:r>
          </w:p>
        </w:tc>
        <w:tc>
          <w:tcPr>
            <w:tcW w:w="2551" w:type="dxa"/>
            <w:shd w:val="clear" w:color="auto" w:fill="FFFFFF"/>
            <w:vAlign w:val="center"/>
          </w:tcPr>
          <w:p w14:paraId="7228CDC4" w14:textId="69760B66" w:rsidR="00E31EBE" w:rsidRPr="00DE2C57" w:rsidRDefault="00E31EBE" w:rsidP="00612E24">
            <w:pPr>
              <w:pStyle w:val="CETBodytext"/>
              <w:ind w:right="-1"/>
              <w:rPr>
                <w:rFonts w:cs="Arial"/>
                <w:szCs w:val="18"/>
              </w:rPr>
            </w:pPr>
            <w:r w:rsidRPr="00DE2C57">
              <w:t>NPC (US$)</w:t>
            </w:r>
          </w:p>
        </w:tc>
        <w:tc>
          <w:tcPr>
            <w:tcW w:w="1418" w:type="dxa"/>
            <w:shd w:val="clear" w:color="auto" w:fill="FFFFFF"/>
            <w:vAlign w:val="center"/>
          </w:tcPr>
          <w:p w14:paraId="226AC824" w14:textId="5A1390F6" w:rsidR="00E31EBE" w:rsidRPr="00DE2C57" w:rsidRDefault="00E31EBE" w:rsidP="00612E24">
            <w:pPr>
              <w:pStyle w:val="CETBodytext"/>
              <w:ind w:right="-1"/>
            </w:pPr>
            <w:r w:rsidRPr="00DE2C57">
              <w:t>414,176.80</w:t>
            </w:r>
          </w:p>
        </w:tc>
        <w:tc>
          <w:tcPr>
            <w:tcW w:w="1559" w:type="dxa"/>
            <w:shd w:val="clear" w:color="auto" w:fill="FFFFFF"/>
            <w:vAlign w:val="center"/>
          </w:tcPr>
          <w:p w14:paraId="758CBFA7" w14:textId="3BAD06FB" w:rsidR="00E31EBE" w:rsidRPr="00DE2C57" w:rsidRDefault="00E31EBE" w:rsidP="00612E24">
            <w:pPr>
              <w:pStyle w:val="CETBodytext"/>
              <w:ind w:right="-1"/>
            </w:pPr>
            <w:r w:rsidRPr="00DE2C57">
              <w:t>412,123.10</w:t>
            </w:r>
          </w:p>
        </w:tc>
        <w:tc>
          <w:tcPr>
            <w:tcW w:w="2408" w:type="dxa"/>
            <w:shd w:val="clear" w:color="auto" w:fill="FFFFFF"/>
            <w:vAlign w:val="center"/>
          </w:tcPr>
          <w:p w14:paraId="33A15AD0" w14:textId="77F1AE50" w:rsidR="00E31EBE" w:rsidRPr="00DE2C57" w:rsidRDefault="00E31EBE" w:rsidP="00612E24">
            <w:pPr>
              <w:pStyle w:val="CETBodytext"/>
              <w:ind w:right="-1"/>
            </w:pPr>
            <w:r w:rsidRPr="00DE2C57">
              <w:t>352,294.40</w:t>
            </w:r>
          </w:p>
        </w:tc>
      </w:tr>
      <w:tr w:rsidR="00E31EBE" w:rsidRPr="00DE2C57" w14:paraId="1334689E" w14:textId="77777777" w:rsidTr="00D365A2">
        <w:tc>
          <w:tcPr>
            <w:tcW w:w="851" w:type="dxa"/>
            <w:vMerge/>
            <w:shd w:val="clear" w:color="auto" w:fill="FFFFFF"/>
          </w:tcPr>
          <w:p w14:paraId="4DD7EBAE" w14:textId="77777777" w:rsidR="00E31EBE" w:rsidRPr="00DE2C57" w:rsidRDefault="00E31EBE" w:rsidP="00612E24">
            <w:pPr>
              <w:pStyle w:val="CETBodytext"/>
              <w:ind w:right="-1"/>
              <w:rPr>
                <w:rFonts w:cs="Arial"/>
                <w:szCs w:val="18"/>
              </w:rPr>
            </w:pPr>
          </w:p>
        </w:tc>
        <w:tc>
          <w:tcPr>
            <w:tcW w:w="2551" w:type="dxa"/>
            <w:shd w:val="clear" w:color="auto" w:fill="FFFFFF"/>
            <w:vAlign w:val="center"/>
          </w:tcPr>
          <w:p w14:paraId="6F795FFA" w14:textId="4CE4A179" w:rsidR="00E31EBE" w:rsidRPr="00DE2C57" w:rsidRDefault="00E31EBE" w:rsidP="00612E24">
            <w:pPr>
              <w:pStyle w:val="CETBodytext"/>
              <w:ind w:right="-1"/>
              <w:rPr>
                <w:rFonts w:cs="Arial"/>
                <w:szCs w:val="18"/>
              </w:rPr>
            </w:pPr>
            <w:r w:rsidRPr="00DE2C57">
              <w:t>LCOE (US$/kWh)</w:t>
            </w:r>
          </w:p>
        </w:tc>
        <w:tc>
          <w:tcPr>
            <w:tcW w:w="1418" w:type="dxa"/>
            <w:shd w:val="clear" w:color="auto" w:fill="FFFFFF"/>
            <w:vAlign w:val="center"/>
          </w:tcPr>
          <w:p w14:paraId="1E63FDFF" w14:textId="0DB918D2" w:rsidR="00E31EBE" w:rsidRPr="00DE2C57" w:rsidRDefault="00E31EBE" w:rsidP="00612E24">
            <w:pPr>
              <w:pStyle w:val="CETBodytext"/>
              <w:ind w:right="-1"/>
            </w:pPr>
            <w:r w:rsidRPr="00DE2C57">
              <w:t>0.931</w:t>
            </w:r>
          </w:p>
        </w:tc>
        <w:tc>
          <w:tcPr>
            <w:tcW w:w="1559" w:type="dxa"/>
            <w:shd w:val="clear" w:color="auto" w:fill="FFFFFF"/>
            <w:vAlign w:val="center"/>
          </w:tcPr>
          <w:p w14:paraId="7D13E2FE" w14:textId="10F9D72E" w:rsidR="00E31EBE" w:rsidRPr="00DE2C57" w:rsidRDefault="00E31EBE" w:rsidP="00612E24">
            <w:pPr>
              <w:pStyle w:val="CETBodytext"/>
              <w:ind w:right="-1"/>
            </w:pPr>
            <w:r w:rsidRPr="00DE2C57">
              <w:t>1.060</w:t>
            </w:r>
          </w:p>
        </w:tc>
        <w:tc>
          <w:tcPr>
            <w:tcW w:w="2408" w:type="dxa"/>
            <w:shd w:val="clear" w:color="auto" w:fill="FFFFFF"/>
            <w:vAlign w:val="center"/>
          </w:tcPr>
          <w:p w14:paraId="7EF835C9" w14:textId="5BC0BD9A" w:rsidR="00E31EBE" w:rsidRPr="00DE2C57" w:rsidRDefault="00E31EBE" w:rsidP="00612E24">
            <w:pPr>
              <w:pStyle w:val="CETBodytext"/>
              <w:ind w:right="-1"/>
            </w:pPr>
            <w:r w:rsidRPr="00DE2C57">
              <w:t>0.870</w:t>
            </w:r>
          </w:p>
        </w:tc>
      </w:tr>
      <w:tr w:rsidR="00E31EBE" w:rsidRPr="00DE2C57" w14:paraId="25361205" w14:textId="77777777" w:rsidTr="00D365A2">
        <w:tc>
          <w:tcPr>
            <w:tcW w:w="851" w:type="dxa"/>
            <w:vMerge/>
            <w:shd w:val="clear" w:color="auto" w:fill="FFFFFF"/>
          </w:tcPr>
          <w:p w14:paraId="5C9E2DF8" w14:textId="77777777" w:rsidR="00E31EBE" w:rsidRPr="00DE2C57" w:rsidRDefault="00E31EBE" w:rsidP="00612E24">
            <w:pPr>
              <w:pStyle w:val="CETBodytext"/>
              <w:ind w:right="-1"/>
              <w:rPr>
                <w:rFonts w:cs="Arial"/>
                <w:szCs w:val="18"/>
                <w:vertAlign w:val="superscript"/>
              </w:rPr>
            </w:pPr>
          </w:p>
        </w:tc>
        <w:tc>
          <w:tcPr>
            <w:tcW w:w="2551" w:type="dxa"/>
            <w:shd w:val="clear" w:color="auto" w:fill="FFFFFF"/>
            <w:vAlign w:val="center"/>
          </w:tcPr>
          <w:p w14:paraId="3B566241" w14:textId="56984C98" w:rsidR="00E31EBE" w:rsidRPr="00DE2C57" w:rsidRDefault="00E31EBE" w:rsidP="00612E24">
            <w:pPr>
              <w:pStyle w:val="CETBodytext"/>
              <w:ind w:right="-1"/>
              <w:rPr>
                <w:rFonts w:cs="Arial"/>
                <w:szCs w:val="18"/>
              </w:rPr>
            </w:pPr>
            <w:r w:rsidRPr="00DE2C57">
              <w:t>Operating Costs (US$/kWh)</w:t>
            </w:r>
          </w:p>
        </w:tc>
        <w:tc>
          <w:tcPr>
            <w:tcW w:w="1418" w:type="dxa"/>
            <w:shd w:val="clear" w:color="auto" w:fill="FFFFFF"/>
            <w:vAlign w:val="center"/>
          </w:tcPr>
          <w:p w14:paraId="7C042550" w14:textId="0C369823" w:rsidR="00E31EBE" w:rsidRPr="00DE2C57" w:rsidRDefault="00E31EBE" w:rsidP="00612E24">
            <w:pPr>
              <w:pStyle w:val="CETBodytext"/>
              <w:ind w:right="-1"/>
            </w:pPr>
            <w:r w:rsidRPr="00DE2C57">
              <w:t>14,321.03</w:t>
            </w:r>
          </w:p>
        </w:tc>
        <w:tc>
          <w:tcPr>
            <w:tcW w:w="1559" w:type="dxa"/>
            <w:shd w:val="clear" w:color="auto" w:fill="FFFFFF"/>
            <w:vAlign w:val="center"/>
          </w:tcPr>
          <w:p w14:paraId="461855C3" w14:textId="25772C5E" w:rsidR="00E31EBE" w:rsidRPr="00DE2C57" w:rsidRDefault="00E31EBE" w:rsidP="00612E24">
            <w:pPr>
              <w:pStyle w:val="CETBodytext"/>
              <w:ind w:right="-1"/>
            </w:pPr>
            <w:r w:rsidRPr="00DE2C57">
              <w:t>15,125.84</w:t>
            </w:r>
          </w:p>
        </w:tc>
        <w:tc>
          <w:tcPr>
            <w:tcW w:w="2408" w:type="dxa"/>
            <w:shd w:val="clear" w:color="auto" w:fill="FFFFFF"/>
            <w:vAlign w:val="center"/>
          </w:tcPr>
          <w:p w14:paraId="2E9F02AA" w14:textId="67EDC7B8" w:rsidR="00E31EBE" w:rsidRPr="00DE2C57" w:rsidRDefault="00E31EBE" w:rsidP="00612E24">
            <w:pPr>
              <w:pStyle w:val="CETBodytext"/>
              <w:ind w:right="-1"/>
            </w:pPr>
            <w:r w:rsidRPr="00DE2C57">
              <w:t>12,364.42</w:t>
            </w:r>
          </w:p>
        </w:tc>
      </w:tr>
      <w:tr w:rsidR="00E31EBE" w:rsidRPr="00DE2C57" w14:paraId="16E14D78" w14:textId="77777777" w:rsidTr="00D365A2">
        <w:tc>
          <w:tcPr>
            <w:tcW w:w="851" w:type="dxa"/>
            <w:vMerge w:val="restart"/>
            <w:shd w:val="clear" w:color="auto" w:fill="FFFFFF"/>
          </w:tcPr>
          <w:p w14:paraId="265E10A0" w14:textId="25CA657B" w:rsidR="00E31EBE" w:rsidRPr="00DE2C57" w:rsidRDefault="00E31EBE" w:rsidP="00612E24">
            <w:pPr>
              <w:pStyle w:val="CETBodytext"/>
              <w:ind w:right="-1"/>
              <w:rPr>
                <w:rFonts w:cs="Arial"/>
                <w:szCs w:val="18"/>
              </w:rPr>
            </w:pPr>
            <w:r w:rsidRPr="00DE2C57">
              <w:rPr>
                <w:rFonts w:cs="Arial"/>
                <w:szCs w:val="18"/>
              </w:rPr>
              <w:t>S3.2</w:t>
            </w:r>
          </w:p>
        </w:tc>
        <w:tc>
          <w:tcPr>
            <w:tcW w:w="2551" w:type="dxa"/>
            <w:shd w:val="clear" w:color="auto" w:fill="FFFFFF"/>
            <w:vAlign w:val="center"/>
          </w:tcPr>
          <w:p w14:paraId="01B0968E" w14:textId="62513D39" w:rsidR="00E31EBE" w:rsidRPr="00DE2C57" w:rsidRDefault="00E31EBE" w:rsidP="00612E24">
            <w:pPr>
              <w:pStyle w:val="CETBodytext"/>
              <w:ind w:right="-1"/>
              <w:rPr>
                <w:rFonts w:cs="Arial"/>
                <w:szCs w:val="18"/>
              </w:rPr>
            </w:pPr>
            <w:r w:rsidRPr="00DE2C57">
              <w:t>NPC (US$)</w:t>
            </w:r>
          </w:p>
        </w:tc>
        <w:tc>
          <w:tcPr>
            <w:tcW w:w="1418" w:type="dxa"/>
            <w:shd w:val="clear" w:color="auto" w:fill="FFFFFF"/>
            <w:vAlign w:val="center"/>
          </w:tcPr>
          <w:p w14:paraId="6E8C838D" w14:textId="2813D92D" w:rsidR="00E31EBE" w:rsidRPr="00DE2C57" w:rsidRDefault="00E31EBE" w:rsidP="00612E24">
            <w:pPr>
              <w:pStyle w:val="CETBodytext"/>
              <w:ind w:right="-1"/>
            </w:pPr>
            <w:r w:rsidRPr="00DE2C57">
              <w:t>161,002.47</w:t>
            </w:r>
          </w:p>
        </w:tc>
        <w:tc>
          <w:tcPr>
            <w:tcW w:w="1559" w:type="dxa"/>
            <w:shd w:val="clear" w:color="auto" w:fill="FFFFFF"/>
            <w:vAlign w:val="center"/>
          </w:tcPr>
          <w:p w14:paraId="1F9F9A62" w14:textId="1C7F6C71" w:rsidR="00E31EBE" w:rsidRPr="00DE2C57" w:rsidRDefault="00E31EBE" w:rsidP="00612E24">
            <w:pPr>
              <w:pStyle w:val="CETBodytext"/>
              <w:ind w:right="-1"/>
            </w:pPr>
            <w:r w:rsidRPr="00DE2C57">
              <w:t>199,732.21</w:t>
            </w:r>
          </w:p>
        </w:tc>
        <w:tc>
          <w:tcPr>
            <w:tcW w:w="2408" w:type="dxa"/>
            <w:shd w:val="clear" w:color="auto" w:fill="FFFFFF"/>
            <w:vAlign w:val="center"/>
          </w:tcPr>
          <w:p w14:paraId="48F26A35" w14:textId="5F6FDD67" w:rsidR="00E31EBE" w:rsidRPr="00DE2C57" w:rsidRDefault="00E31EBE" w:rsidP="00612E24">
            <w:pPr>
              <w:pStyle w:val="CETBodytext"/>
              <w:ind w:right="-1"/>
            </w:pPr>
            <w:r w:rsidRPr="00DE2C57">
              <w:t>149,135.01</w:t>
            </w:r>
          </w:p>
        </w:tc>
      </w:tr>
      <w:tr w:rsidR="00E31EBE" w:rsidRPr="00DE2C57" w14:paraId="4E629FE8" w14:textId="77777777" w:rsidTr="00D365A2">
        <w:tc>
          <w:tcPr>
            <w:tcW w:w="851" w:type="dxa"/>
            <w:vMerge/>
            <w:shd w:val="clear" w:color="auto" w:fill="FFFFFF"/>
          </w:tcPr>
          <w:p w14:paraId="3F05D7C7" w14:textId="77777777" w:rsidR="00E31EBE" w:rsidRPr="00DE2C57" w:rsidRDefault="00E31EBE" w:rsidP="00612E24">
            <w:pPr>
              <w:pStyle w:val="CETBodytext"/>
              <w:ind w:right="-1"/>
              <w:rPr>
                <w:rFonts w:cs="Arial"/>
                <w:szCs w:val="18"/>
                <w:vertAlign w:val="superscript"/>
              </w:rPr>
            </w:pPr>
          </w:p>
        </w:tc>
        <w:tc>
          <w:tcPr>
            <w:tcW w:w="2551" w:type="dxa"/>
            <w:shd w:val="clear" w:color="auto" w:fill="FFFFFF"/>
            <w:vAlign w:val="center"/>
          </w:tcPr>
          <w:p w14:paraId="5E33CAE0" w14:textId="50D2A007" w:rsidR="00E31EBE" w:rsidRPr="00DE2C57" w:rsidRDefault="00E31EBE" w:rsidP="00612E24">
            <w:pPr>
              <w:pStyle w:val="CETBodytext"/>
              <w:ind w:right="-1"/>
              <w:rPr>
                <w:rFonts w:cs="Arial"/>
                <w:szCs w:val="18"/>
              </w:rPr>
            </w:pPr>
            <w:r w:rsidRPr="00DE2C57">
              <w:t>LCOE (US$/kWh)</w:t>
            </w:r>
          </w:p>
        </w:tc>
        <w:tc>
          <w:tcPr>
            <w:tcW w:w="1418" w:type="dxa"/>
            <w:shd w:val="clear" w:color="auto" w:fill="FFFFFF"/>
            <w:vAlign w:val="center"/>
          </w:tcPr>
          <w:p w14:paraId="03FAEE90" w14:textId="618D94A7" w:rsidR="00E31EBE" w:rsidRPr="00DE2C57" w:rsidRDefault="00E31EBE" w:rsidP="00612E24">
            <w:pPr>
              <w:pStyle w:val="CETBodytext"/>
              <w:ind w:right="-1"/>
            </w:pPr>
            <w:r w:rsidRPr="00DE2C57">
              <w:t>0.362</w:t>
            </w:r>
          </w:p>
        </w:tc>
        <w:tc>
          <w:tcPr>
            <w:tcW w:w="1559" w:type="dxa"/>
            <w:shd w:val="clear" w:color="auto" w:fill="FFFFFF"/>
            <w:vAlign w:val="center"/>
          </w:tcPr>
          <w:p w14:paraId="4C9EAF1A" w14:textId="0F8CBB83" w:rsidR="00E31EBE" w:rsidRPr="00DE2C57" w:rsidRDefault="00E31EBE" w:rsidP="00612E24">
            <w:pPr>
              <w:pStyle w:val="CETBodytext"/>
              <w:ind w:right="-1"/>
            </w:pPr>
            <w:r w:rsidRPr="00DE2C57">
              <w:t>0.515</w:t>
            </w:r>
          </w:p>
        </w:tc>
        <w:tc>
          <w:tcPr>
            <w:tcW w:w="2408" w:type="dxa"/>
            <w:shd w:val="clear" w:color="auto" w:fill="FFFFFF"/>
            <w:vAlign w:val="center"/>
          </w:tcPr>
          <w:p w14:paraId="7EB05966" w14:textId="25025933" w:rsidR="00E31EBE" w:rsidRPr="00DE2C57" w:rsidRDefault="00E31EBE" w:rsidP="00612E24">
            <w:pPr>
              <w:pStyle w:val="CETBodytext"/>
              <w:ind w:right="-1"/>
            </w:pPr>
            <w:r w:rsidRPr="00DE2C57">
              <w:t>0.368</w:t>
            </w:r>
          </w:p>
        </w:tc>
      </w:tr>
      <w:tr w:rsidR="00E31EBE" w:rsidRPr="00DE2C57" w14:paraId="0B56D05D" w14:textId="77777777" w:rsidTr="00D365A2">
        <w:tc>
          <w:tcPr>
            <w:tcW w:w="851" w:type="dxa"/>
            <w:vMerge/>
            <w:shd w:val="clear" w:color="auto" w:fill="FFFFFF"/>
          </w:tcPr>
          <w:p w14:paraId="5C65C2BE" w14:textId="77777777" w:rsidR="00E31EBE" w:rsidRPr="00DE2C57" w:rsidRDefault="00E31EBE" w:rsidP="00612E24">
            <w:pPr>
              <w:pStyle w:val="CETBodytext"/>
              <w:ind w:right="-1"/>
              <w:rPr>
                <w:rFonts w:cs="Arial"/>
                <w:szCs w:val="18"/>
                <w:vertAlign w:val="superscript"/>
              </w:rPr>
            </w:pPr>
          </w:p>
        </w:tc>
        <w:tc>
          <w:tcPr>
            <w:tcW w:w="2551" w:type="dxa"/>
            <w:shd w:val="clear" w:color="auto" w:fill="FFFFFF"/>
            <w:vAlign w:val="center"/>
          </w:tcPr>
          <w:p w14:paraId="46ECDE2C" w14:textId="53DA3A23" w:rsidR="00E31EBE" w:rsidRPr="00DE2C57" w:rsidRDefault="00E31EBE" w:rsidP="00612E24">
            <w:pPr>
              <w:pStyle w:val="CETBodytext"/>
              <w:ind w:right="-1"/>
              <w:rPr>
                <w:rFonts w:cs="Arial"/>
                <w:szCs w:val="18"/>
              </w:rPr>
            </w:pPr>
            <w:r w:rsidRPr="00DE2C57">
              <w:t>Operating Costs (US$/kWh)</w:t>
            </w:r>
          </w:p>
        </w:tc>
        <w:tc>
          <w:tcPr>
            <w:tcW w:w="1418" w:type="dxa"/>
            <w:shd w:val="clear" w:color="auto" w:fill="FFFFFF"/>
            <w:vAlign w:val="center"/>
          </w:tcPr>
          <w:p w14:paraId="08140E16" w14:textId="6624AD60" w:rsidR="00E31EBE" w:rsidRPr="00DE2C57" w:rsidRDefault="00E31EBE" w:rsidP="00612E24">
            <w:pPr>
              <w:pStyle w:val="CETBodytext"/>
              <w:ind w:right="-1"/>
            </w:pPr>
            <w:r w:rsidRPr="00DE2C57">
              <w:t>5,572.39</w:t>
            </w:r>
          </w:p>
        </w:tc>
        <w:tc>
          <w:tcPr>
            <w:tcW w:w="1559" w:type="dxa"/>
            <w:shd w:val="clear" w:color="auto" w:fill="FFFFFF"/>
            <w:vAlign w:val="center"/>
          </w:tcPr>
          <w:p w14:paraId="046D1C24" w14:textId="281C3064" w:rsidR="00E31EBE" w:rsidRPr="00DE2C57" w:rsidRDefault="00E31EBE" w:rsidP="00612E24">
            <w:pPr>
              <w:pStyle w:val="CETBodytext"/>
              <w:ind w:right="-1"/>
            </w:pPr>
            <w:r w:rsidRPr="00DE2C57">
              <w:t>5,885.54</w:t>
            </w:r>
          </w:p>
        </w:tc>
        <w:tc>
          <w:tcPr>
            <w:tcW w:w="2408" w:type="dxa"/>
            <w:shd w:val="clear" w:color="auto" w:fill="FFFFFF"/>
            <w:vAlign w:val="center"/>
          </w:tcPr>
          <w:p w14:paraId="68DD42C1" w14:textId="5C79311C" w:rsidR="00E31EBE" w:rsidRPr="00DE2C57" w:rsidRDefault="00E31EBE" w:rsidP="00612E24">
            <w:pPr>
              <w:pStyle w:val="CETBodytext"/>
              <w:ind w:right="-1"/>
            </w:pPr>
            <w:r w:rsidRPr="00DE2C57">
              <w:t>4,811.06</w:t>
            </w:r>
          </w:p>
        </w:tc>
      </w:tr>
    </w:tbl>
    <w:p w14:paraId="7E8BB1CB" w14:textId="1E0A7B62" w:rsidR="00E31EBE" w:rsidRPr="00DE2C57" w:rsidRDefault="00E31EBE" w:rsidP="00612E24">
      <w:pPr>
        <w:pStyle w:val="CETBodytext"/>
      </w:pPr>
    </w:p>
    <w:p w14:paraId="132C1288" w14:textId="2F09ED37" w:rsidR="00E31EBE" w:rsidRPr="00DE2C57" w:rsidRDefault="00E31EBE" w:rsidP="00612E24">
      <w:pPr>
        <w:pStyle w:val="CETBodytext"/>
      </w:pPr>
      <w:r w:rsidRPr="00DE2C57">
        <w:t xml:space="preserve">The most </w:t>
      </w:r>
      <w:r w:rsidR="007958D6" w:rsidRPr="00DE2C57">
        <w:t>economic</w:t>
      </w:r>
      <w:r w:rsidRPr="00DE2C57">
        <w:t xml:space="preserve"> scenario </w:t>
      </w:r>
      <w:r w:rsidR="007958D6" w:rsidRPr="00DE2C57">
        <w:t>i</w:t>
      </w:r>
      <w:r w:rsidRPr="00DE2C57">
        <w:t xml:space="preserve">s S2, corresponding to a self-consumption installation with solar panels and without energy storage, particularly in the case of Vila Nova de Gaia. The effect of hydrogen and battery technologies on the NPC and LCOE of the system is appreciated in S3, being between 4 and 5 times higher than in S1. However, if solar surpluses are sold to the grid (S3.2), these values would be reduced by 50 to 60%. This new scenario reflects the potential of </w:t>
      </w:r>
      <w:r w:rsidR="007958D6" w:rsidRPr="00DE2C57">
        <w:t>RHS</w:t>
      </w:r>
      <w:r w:rsidRPr="00DE2C57">
        <w:t xml:space="preserve"> in the medium term, </w:t>
      </w:r>
      <w:proofErr w:type="gramStart"/>
      <w:r w:rsidRPr="00DE2C57">
        <w:t>taking into account</w:t>
      </w:r>
      <w:proofErr w:type="gramEnd"/>
      <w:r w:rsidRPr="00DE2C57">
        <w:t xml:space="preserve"> their techno-economic development and the exponential growth of electricity prices in recent months. In fact, the LCOE obtained in Novales and Vila Nova de Gaia is </w:t>
      </w:r>
      <w:r w:rsidR="005826E0">
        <w:t>c</w:t>
      </w:r>
      <w:r w:rsidRPr="00DE2C57">
        <w:t>omparable with grid prices in countries such as Germany.</w:t>
      </w:r>
    </w:p>
    <w:p w14:paraId="7382C781" w14:textId="2457FF08" w:rsidR="00600535" w:rsidRPr="00DE2C57" w:rsidRDefault="00B53C85" w:rsidP="00612E24">
      <w:pPr>
        <w:pStyle w:val="CETheadingx"/>
        <w:jc w:val="both"/>
      </w:pPr>
      <w:r w:rsidRPr="00DE2C57">
        <w:t>Greenhouse gases emissions</w:t>
      </w:r>
    </w:p>
    <w:p w14:paraId="44AD219F" w14:textId="3D0D2CA1" w:rsidR="00B53C85" w:rsidRDefault="00B53C85" w:rsidP="00612E24">
      <w:pPr>
        <w:pStyle w:val="CETBodytext"/>
      </w:pPr>
      <w:r w:rsidRPr="00DE2C57">
        <w:t>The energy consumption of buildings in the SUDOE region under study leads to a series of greenhouse gas emissions, including carbon dioxide (CO</w:t>
      </w:r>
      <w:r w:rsidRPr="00DE2C57">
        <w:rPr>
          <w:vertAlign w:val="subscript"/>
        </w:rPr>
        <w:t>2</w:t>
      </w:r>
      <w:r w:rsidRPr="00DE2C57">
        <w:t>), sulfur oxides (</w:t>
      </w:r>
      <w:proofErr w:type="spellStart"/>
      <w:r w:rsidRPr="00DE2C57">
        <w:t>SOx</w:t>
      </w:r>
      <w:proofErr w:type="spellEnd"/>
      <w:r w:rsidRPr="00DE2C57">
        <w:t>) and nitrogen oxides (NOx). The use of renewable energies and new hydrogen technologies for the electricity supply of these buildings makes it possible to greatly reduce or eliminate these emissions. Table 6 shows the comparative emissions associated with each of the different scenarios according to their location.</w:t>
      </w:r>
    </w:p>
    <w:p w14:paraId="3D75ECD0" w14:textId="77777777" w:rsidR="007E7728" w:rsidRPr="00DE2C57" w:rsidRDefault="007E7728" w:rsidP="00612E24">
      <w:pPr>
        <w:pStyle w:val="CETBodytext"/>
      </w:pPr>
    </w:p>
    <w:p w14:paraId="40EF9ED6" w14:textId="4EBF14C7" w:rsidR="00B53C85" w:rsidRPr="00DE2C57" w:rsidRDefault="00B53C85" w:rsidP="00612E24">
      <w:pPr>
        <w:pStyle w:val="CETBodytext"/>
      </w:pPr>
      <w:r w:rsidRPr="00DE2C57">
        <w:rPr>
          <w:i/>
        </w:rPr>
        <w:t>Table 6</w:t>
      </w:r>
      <w:r w:rsidRPr="00DE2C57">
        <w:rPr>
          <w:b/>
          <w:i/>
        </w:rPr>
        <w:t>:</w:t>
      </w:r>
      <w:r w:rsidRPr="00DE2C57">
        <w:rPr>
          <w:i/>
        </w:rPr>
        <w:t xml:space="preserve"> </w:t>
      </w:r>
      <w:r w:rsidR="009C43BD">
        <w:rPr>
          <w:i/>
        </w:rPr>
        <w:t xml:space="preserve">Carbon dioxide, nitrogen and </w:t>
      </w:r>
      <w:proofErr w:type="spellStart"/>
      <w:r w:rsidR="009C43BD">
        <w:rPr>
          <w:i/>
        </w:rPr>
        <w:t>sulphur</w:t>
      </w:r>
      <w:proofErr w:type="spellEnd"/>
      <w:r w:rsidR="009C43BD">
        <w:rPr>
          <w:i/>
        </w:rPr>
        <w:t xml:space="preserve"> oxide emissions per scenario and location.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2126"/>
        <w:gridCol w:w="1559"/>
        <w:gridCol w:w="1843"/>
        <w:gridCol w:w="2408"/>
      </w:tblGrid>
      <w:tr w:rsidR="00B53C85" w:rsidRPr="0073616C" w14:paraId="0A6662EE" w14:textId="77777777" w:rsidTr="00B53C85">
        <w:tc>
          <w:tcPr>
            <w:tcW w:w="851" w:type="dxa"/>
            <w:tcBorders>
              <w:top w:val="single" w:sz="12" w:space="0" w:color="008000"/>
              <w:bottom w:val="single" w:sz="6" w:space="0" w:color="008000"/>
            </w:tcBorders>
            <w:shd w:val="clear" w:color="auto" w:fill="FFFFFF"/>
          </w:tcPr>
          <w:p w14:paraId="43AD5BEC" w14:textId="77777777" w:rsidR="00B53C85" w:rsidRPr="00DE2C57" w:rsidRDefault="00B53C85" w:rsidP="00612E24">
            <w:pPr>
              <w:pStyle w:val="CETBodytext"/>
            </w:pPr>
            <w:r w:rsidRPr="00DE2C57">
              <w:t>Scenario</w:t>
            </w:r>
          </w:p>
        </w:tc>
        <w:tc>
          <w:tcPr>
            <w:tcW w:w="2126" w:type="dxa"/>
            <w:tcBorders>
              <w:top w:val="single" w:sz="12" w:space="0" w:color="008000"/>
              <w:bottom w:val="single" w:sz="6" w:space="0" w:color="008000"/>
            </w:tcBorders>
            <w:shd w:val="clear" w:color="auto" w:fill="FFFFFF"/>
          </w:tcPr>
          <w:p w14:paraId="6CAC40F4" w14:textId="476C023C" w:rsidR="00B53C85" w:rsidRPr="00DE2C57" w:rsidRDefault="00B53C85" w:rsidP="00612E24">
            <w:pPr>
              <w:pStyle w:val="CETBodytext"/>
              <w:ind w:right="-1"/>
              <w:rPr>
                <w:rFonts w:cs="Arial"/>
                <w:szCs w:val="18"/>
              </w:rPr>
            </w:pPr>
            <w:r w:rsidRPr="00DE2C57">
              <w:rPr>
                <w:rFonts w:cs="Arial"/>
                <w:szCs w:val="18"/>
              </w:rPr>
              <w:t>Gas emissions (kg/year)</w:t>
            </w:r>
          </w:p>
        </w:tc>
        <w:tc>
          <w:tcPr>
            <w:tcW w:w="1559" w:type="dxa"/>
            <w:tcBorders>
              <w:top w:val="single" w:sz="12" w:space="0" w:color="008000"/>
              <w:bottom w:val="single" w:sz="6" w:space="0" w:color="008000"/>
            </w:tcBorders>
            <w:shd w:val="clear" w:color="auto" w:fill="FFFFFF"/>
          </w:tcPr>
          <w:p w14:paraId="2744B0C7" w14:textId="77777777" w:rsidR="00B53C85" w:rsidRPr="00DE2C57" w:rsidRDefault="00B53C85" w:rsidP="00612E24">
            <w:pPr>
              <w:pStyle w:val="CETBodytext"/>
              <w:ind w:right="-1"/>
              <w:rPr>
                <w:rFonts w:cs="Arial"/>
                <w:szCs w:val="18"/>
              </w:rPr>
            </w:pPr>
            <w:r w:rsidRPr="00DE2C57">
              <w:t>Novales, Spain</w:t>
            </w:r>
          </w:p>
        </w:tc>
        <w:tc>
          <w:tcPr>
            <w:tcW w:w="1843" w:type="dxa"/>
            <w:tcBorders>
              <w:top w:val="single" w:sz="12" w:space="0" w:color="008000"/>
              <w:bottom w:val="single" w:sz="6" w:space="0" w:color="008000"/>
            </w:tcBorders>
            <w:shd w:val="clear" w:color="auto" w:fill="FFFFFF"/>
          </w:tcPr>
          <w:p w14:paraId="113E7792" w14:textId="77777777" w:rsidR="00B53C85" w:rsidRPr="00DE2C57" w:rsidRDefault="00B53C85" w:rsidP="00612E24">
            <w:pPr>
              <w:pStyle w:val="CETBodytext"/>
              <w:ind w:right="-1"/>
              <w:rPr>
                <w:rFonts w:cs="Arial"/>
                <w:szCs w:val="18"/>
              </w:rPr>
            </w:pPr>
            <w:r w:rsidRPr="00DE2C57">
              <w:t xml:space="preserve">Bordeaux, France </w:t>
            </w:r>
          </w:p>
        </w:tc>
        <w:tc>
          <w:tcPr>
            <w:tcW w:w="2408" w:type="dxa"/>
            <w:tcBorders>
              <w:top w:val="single" w:sz="12" w:space="0" w:color="008000"/>
              <w:bottom w:val="single" w:sz="6" w:space="0" w:color="008000"/>
            </w:tcBorders>
            <w:shd w:val="clear" w:color="auto" w:fill="FFFFFF"/>
          </w:tcPr>
          <w:p w14:paraId="247DD523" w14:textId="77777777" w:rsidR="00B53C85" w:rsidRPr="009C43BD" w:rsidRDefault="00B53C85" w:rsidP="00612E24">
            <w:pPr>
              <w:pStyle w:val="CETBodytext"/>
              <w:ind w:right="-1"/>
              <w:rPr>
                <w:rFonts w:cs="Arial"/>
                <w:szCs w:val="18"/>
                <w:lang w:val="es-ES"/>
              </w:rPr>
            </w:pPr>
            <w:r w:rsidRPr="009C43BD">
              <w:rPr>
                <w:rFonts w:cs="Arial"/>
                <w:szCs w:val="18"/>
                <w:lang w:val="es-ES"/>
              </w:rPr>
              <w:t>Vila Nova de Gaia, Portugal</w:t>
            </w:r>
          </w:p>
        </w:tc>
      </w:tr>
      <w:tr w:rsidR="00B53C85" w:rsidRPr="00DE2C57" w14:paraId="0EE39878" w14:textId="77777777" w:rsidTr="00B53C85">
        <w:tc>
          <w:tcPr>
            <w:tcW w:w="851" w:type="dxa"/>
            <w:vMerge w:val="restart"/>
            <w:shd w:val="clear" w:color="auto" w:fill="FFFFFF"/>
          </w:tcPr>
          <w:p w14:paraId="14EDF551" w14:textId="77777777" w:rsidR="00B53C85" w:rsidRPr="00DE2C57" w:rsidRDefault="00B53C85" w:rsidP="00612E24">
            <w:pPr>
              <w:pStyle w:val="CETBodytext"/>
            </w:pPr>
            <w:r w:rsidRPr="00DE2C57">
              <w:t>S1</w:t>
            </w:r>
          </w:p>
        </w:tc>
        <w:tc>
          <w:tcPr>
            <w:tcW w:w="2126" w:type="dxa"/>
            <w:shd w:val="clear" w:color="auto" w:fill="FFFFFF"/>
            <w:vAlign w:val="center"/>
          </w:tcPr>
          <w:p w14:paraId="07E8E864" w14:textId="4211D997" w:rsidR="00B53C85" w:rsidRPr="00DE2C57" w:rsidRDefault="00B53C85" w:rsidP="00612E24">
            <w:pPr>
              <w:pStyle w:val="CETBodytext"/>
              <w:ind w:right="-1"/>
              <w:rPr>
                <w:rFonts w:cs="Arial"/>
                <w:szCs w:val="18"/>
              </w:rPr>
            </w:pPr>
            <w:r w:rsidRPr="00DE2C57">
              <w:rPr>
                <w:bCs/>
              </w:rPr>
              <w:t>CO</w:t>
            </w:r>
            <w:r w:rsidRPr="00DE2C57">
              <w:rPr>
                <w:bCs/>
                <w:vertAlign w:val="subscript"/>
              </w:rPr>
              <w:t xml:space="preserve">2 </w:t>
            </w:r>
          </w:p>
        </w:tc>
        <w:tc>
          <w:tcPr>
            <w:tcW w:w="1559" w:type="dxa"/>
            <w:shd w:val="clear" w:color="auto" w:fill="FFFFFF"/>
            <w:vAlign w:val="center"/>
          </w:tcPr>
          <w:p w14:paraId="0D27EE24" w14:textId="4D1540EB" w:rsidR="00B53C85" w:rsidRPr="00DE2C57" w:rsidRDefault="00B53C85" w:rsidP="00612E24">
            <w:pPr>
              <w:pStyle w:val="CETBodytext"/>
              <w:ind w:right="-1"/>
            </w:pPr>
            <w:r w:rsidRPr="00DE2C57">
              <w:t>6,545</w:t>
            </w:r>
          </w:p>
        </w:tc>
        <w:tc>
          <w:tcPr>
            <w:tcW w:w="1843" w:type="dxa"/>
            <w:shd w:val="clear" w:color="auto" w:fill="FFFFFF"/>
            <w:vAlign w:val="center"/>
          </w:tcPr>
          <w:p w14:paraId="4FE79C31" w14:textId="1287C73C" w:rsidR="00B53C85" w:rsidRPr="00DE2C57" w:rsidRDefault="00B53C85" w:rsidP="00612E24">
            <w:pPr>
              <w:pStyle w:val="CETBodytext"/>
              <w:ind w:right="-1"/>
            </w:pPr>
            <w:r w:rsidRPr="00DE2C57">
              <w:t>1,649</w:t>
            </w:r>
          </w:p>
        </w:tc>
        <w:tc>
          <w:tcPr>
            <w:tcW w:w="2408" w:type="dxa"/>
            <w:shd w:val="clear" w:color="auto" w:fill="FFFFFF"/>
            <w:vAlign w:val="center"/>
          </w:tcPr>
          <w:p w14:paraId="035FD7B9" w14:textId="6E1DF717" w:rsidR="00B53C85" w:rsidRPr="00DE2C57" w:rsidRDefault="00B53C85" w:rsidP="00612E24">
            <w:pPr>
              <w:pStyle w:val="CETBodytext"/>
              <w:ind w:right="-1"/>
            </w:pPr>
            <w:r w:rsidRPr="00DE2C57">
              <w:t>6,305</w:t>
            </w:r>
          </w:p>
        </w:tc>
      </w:tr>
      <w:tr w:rsidR="00B53C85" w:rsidRPr="00DE2C57" w14:paraId="225C9AF0" w14:textId="77777777" w:rsidTr="00B53C85">
        <w:tc>
          <w:tcPr>
            <w:tcW w:w="851" w:type="dxa"/>
            <w:vMerge/>
            <w:shd w:val="clear" w:color="auto" w:fill="FFFFFF"/>
          </w:tcPr>
          <w:p w14:paraId="4C5CF947" w14:textId="77777777" w:rsidR="00B53C85" w:rsidRPr="00DE2C57" w:rsidRDefault="00B53C85" w:rsidP="00612E24">
            <w:pPr>
              <w:pStyle w:val="CETBodytext"/>
            </w:pPr>
          </w:p>
        </w:tc>
        <w:tc>
          <w:tcPr>
            <w:tcW w:w="2126" w:type="dxa"/>
            <w:shd w:val="clear" w:color="auto" w:fill="FFFFFF"/>
            <w:vAlign w:val="center"/>
          </w:tcPr>
          <w:p w14:paraId="25D3EFC9" w14:textId="32D96E42" w:rsidR="00B53C85" w:rsidRPr="00DE2C57" w:rsidRDefault="00B53C85" w:rsidP="00612E24">
            <w:pPr>
              <w:pStyle w:val="CETBodytext"/>
              <w:ind w:right="-1"/>
              <w:rPr>
                <w:rFonts w:cs="Arial"/>
                <w:szCs w:val="18"/>
              </w:rPr>
            </w:pPr>
            <w:proofErr w:type="spellStart"/>
            <w:r w:rsidRPr="00DE2C57">
              <w:rPr>
                <w:bCs/>
              </w:rPr>
              <w:t>SO</w:t>
            </w:r>
            <w:r w:rsidRPr="00DE2C57">
              <w:rPr>
                <w:bCs/>
                <w:vertAlign w:val="subscript"/>
              </w:rPr>
              <w:t>x</w:t>
            </w:r>
            <w:proofErr w:type="spellEnd"/>
            <w:r w:rsidRPr="00DE2C57">
              <w:rPr>
                <w:bCs/>
                <w:vertAlign w:val="subscript"/>
              </w:rPr>
              <w:t xml:space="preserve"> </w:t>
            </w:r>
          </w:p>
        </w:tc>
        <w:tc>
          <w:tcPr>
            <w:tcW w:w="1559" w:type="dxa"/>
            <w:shd w:val="clear" w:color="auto" w:fill="FFFFFF"/>
            <w:vAlign w:val="center"/>
          </w:tcPr>
          <w:p w14:paraId="4EA2C770" w14:textId="5C1BBE00" w:rsidR="00B53C85" w:rsidRPr="00DE2C57" w:rsidRDefault="00B53C85" w:rsidP="00612E24">
            <w:pPr>
              <w:pStyle w:val="CETBodytext"/>
              <w:ind w:right="-1"/>
            </w:pPr>
            <w:r w:rsidRPr="00DE2C57">
              <w:t>28.2</w:t>
            </w:r>
          </w:p>
        </w:tc>
        <w:tc>
          <w:tcPr>
            <w:tcW w:w="1843" w:type="dxa"/>
            <w:shd w:val="clear" w:color="auto" w:fill="FFFFFF"/>
            <w:vAlign w:val="center"/>
          </w:tcPr>
          <w:p w14:paraId="55C9F039" w14:textId="69A5840A" w:rsidR="00B53C85" w:rsidRPr="00DE2C57" w:rsidRDefault="00B53C85" w:rsidP="00612E24">
            <w:pPr>
              <w:pStyle w:val="CETBodytext"/>
              <w:ind w:right="-1"/>
            </w:pPr>
            <w:r w:rsidRPr="00DE2C57">
              <w:t>7.1</w:t>
            </w:r>
          </w:p>
        </w:tc>
        <w:tc>
          <w:tcPr>
            <w:tcW w:w="2408" w:type="dxa"/>
            <w:shd w:val="clear" w:color="auto" w:fill="FFFFFF"/>
            <w:vAlign w:val="center"/>
          </w:tcPr>
          <w:p w14:paraId="3F11A10F" w14:textId="32D142AC" w:rsidR="00B53C85" w:rsidRPr="00DE2C57" w:rsidRDefault="00B53C85" w:rsidP="00612E24">
            <w:pPr>
              <w:pStyle w:val="CETBodytext"/>
              <w:ind w:right="-1"/>
            </w:pPr>
            <w:r w:rsidRPr="00DE2C57">
              <w:t>27.3</w:t>
            </w:r>
          </w:p>
        </w:tc>
      </w:tr>
      <w:tr w:rsidR="00B53C85" w:rsidRPr="00DE2C57" w14:paraId="790212B3" w14:textId="77777777" w:rsidTr="00B53C85">
        <w:trPr>
          <w:trHeight w:val="140"/>
        </w:trPr>
        <w:tc>
          <w:tcPr>
            <w:tcW w:w="851" w:type="dxa"/>
            <w:vMerge/>
            <w:shd w:val="clear" w:color="auto" w:fill="FFFFFF"/>
          </w:tcPr>
          <w:p w14:paraId="55B09E89" w14:textId="77777777" w:rsidR="00B53C85" w:rsidRPr="00DE2C57" w:rsidRDefault="00B53C85" w:rsidP="00612E24">
            <w:pPr>
              <w:pStyle w:val="CETBodytext"/>
            </w:pPr>
          </w:p>
        </w:tc>
        <w:tc>
          <w:tcPr>
            <w:tcW w:w="2126" w:type="dxa"/>
            <w:shd w:val="clear" w:color="auto" w:fill="FFFFFF"/>
            <w:vAlign w:val="center"/>
          </w:tcPr>
          <w:p w14:paraId="73BED432" w14:textId="36C6B616" w:rsidR="00B53C85" w:rsidRPr="00DE2C57" w:rsidRDefault="00B53C85" w:rsidP="00612E24">
            <w:pPr>
              <w:pStyle w:val="CETBodytext"/>
              <w:ind w:right="-1"/>
              <w:rPr>
                <w:rFonts w:cs="Arial"/>
                <w:szCs w:val="18"/>
              </w:rPr>
            </w:pPr>
            <w:r w:rsidRPr="00DE2C57">
              <w:rPr>
                <w:bCs/>
              </w:rPr>
              <w:t>NO</w:t>
            </w:r>
            <w:r w:rsidRPr="00DE2C57">
              <w:rPr>
                <w:bCs/>
                <w:vertAlign w:val="subscript"/>
              </w:rPr>
              <w:t xml:space="preserve">x </w:t>
            </w:r>
          </w:p>
        </w:tc>
        <w:tc>
          <w:tcPr>
            <w:tcW w:w="1559" w:type="dxa"/>
            <w:shd w:val="clear" w:color="auto" w:fill="FFFFFF"/>
            <w:vAlign w:val="center"/>
          </w:tcPr>
          <w:p w14:paraId="7ADF679D" w14:textId="23C3A9D2" w:rsidR="00B53C85" w:rsidRPr="00DE2C57" w:rsidRDefault="00B53C85" w:rsidP="00612E24">
            <w:pPr>
              <w:pStyle w:val="CETBodytext"/>
              <w:ind w:right="-1"/>
            </w:pPr>
            <w:r w:rsidRPr="00DE2C57">
              <w:t>13.8</w:t>
            </w:r>
          </w:p>
        </w:tc>
        <w:tc>
          <w:tcPr>
            <w:tcW w:w="1843" w:type="dxa"/>
            <w:shd w:val="clear" w:color="auto" w:fill="FFFFFF"/>
            <w:vAlign w:val="center"/>
          </w:tcPr>
          <w:p w14:paraId="6796F023" w14:textId="2D68E269" w:rsidR="00B53C85" w:rsidRPr="00DE2C57" w:rsidRDefault="00B53C85" w:rsidP="00612E24">
            <w:pPr>
              <w:pStyle w:val="CETBodytext"/>
              <w:ind w:right="-1"/>
            </w:pPr>
            <w:r w:rsidRPr="00DE2C57">
              <w:t>3.5</w:t>
            </w:r>
          </w:p>
        </w:tc>
        <w:tc>
          <w:tcPr>
            <w:tcW w:w="2408" w:type="dxa"/>
            <w:shd w:val="clear" w:color="auto" w:fill="FFFFFF"/>
            <w:vAlign w:val="center"/>
          </w:tcPr>
          <w:p w14:paraId="24876388" w14:textId="677E815D" w:rsidR="00B53C85" w:rsidRPr="00DE2C57" w:rsidRDefault="00B53C85" w:rsidP="00612E24">
            <w:pPr>
              <w:pStyle w:val="CETBodytext"/>
              <w:ind w:right="-1"/>
            </w:pPr>
            <w:r w:rsidRPr="00DE2C57">
              <w:t>13.5</w:t>
            </w:r>
          </w:p>
        </w:tc>
      </w:tr>
      <w:tr w:rsidR="00B53C85" w:rsidRPr="00DE2C57" w14:paraId="3218F6BE" w14:textId="77777777" w:rsidTr="00B53C85">
        <w:tc>
          <w:tcPr>
            <w:tcW w:w="851" w:type="dxa"/>
            <w:vMerge w:val="restart"/>
            <w:shd w:val="clear" w:color="auto" w:fill="FFFFFF"/>
          </w:tcPr>
          <w:p w14:paraId="5F944301" w14:textId="77777777" w:rsidR="00B53C85" w:rsidRPr="00DE2C57" w:rsidRDefault="00B53C85" w:rsidP="00612E24">
            <w:pPr>
              <w:pStyle w:val="CETBodytext"/>
            </w:pPr>
            <w:r w:rsidRPr="00DE2C57">
              <w:t>S2</w:t>
            </w:r>
          </w:p>
        </w:tc>
        <w:tc>
          <w:tcPr>
            <w:tcW w:w="2126" w:type="dxa"/>
            <w:shd w:val="clear" w:color="auto" w:fill="FFFFFF"/>
            <w:vAlign w:val="center"/>
          </w:tcPr>
          <w:p w14:paraId="55DB5F72" w14:textId="68AB4DCB" w:rsidR="00B53C85" w:rsidRPr="00DE2C57" w:rsidRDefault="00B53C85" w:rsidP="00612E24">
            <w:pPr>
              <w:pStyle w:val="CETBodytext"/>
              <w:ind w:right="-1"/>
              <w:rPr>
                <w:rFonts w:cs="Arial"/>
                <w:szCs w:val="18"/>
              </w:rPr>
            </w:pPr>
            <w:r w:rsidRPr="00DE2C57">
              <w:rPr>
                <w:bCs/>
              </w:rPr>
              <w:t>CO</w:t>
            </w:r>
            <w:r w:rsidRPr="00DE2C57">
              <w:rPr>
                <w:bCs/>
                <w:vertAlign w:val="subscript"/>
              </w:rPr>
              <w:t xml:space="preserve">2 </w:t>
            </w:r>
          </w:p>
        </w:tc>
        <w:tc>
          <w:tcPr>
            <w:tcW w:w="1559" w:type="dxa"/>
            <w:shd w:val="clear" w:color="auto" w:fill="FFFFFF"/>
            <w:vAlign w:val="center"/>
          </w:tcPr>
          <w:p w14:paraId="5BE96956" w14:textId="704CAB36" w:rsidR="00B53C85" w:rsidRPr="00DE2C57" w:rsidRDefault="00B53C85" w:rsidP="00612E24">
            <w:pPr>
              <w:pStyle w:val="CETBodytext"/>
              <w:ind w:right="-1"/>
              <w:rPr>
                <w:bCs/>
              </w:rPr>
            </w:pPr>
            <w:r w:rsidRPr="00DE2C57">
              <w:t>4,325</w:t>
            </w:r>
          </w:p>
        </w:tc>
        <w:tc>
          <w:tcPr>
            <w:tcW w:w="1843" w:type="dxa"/>
            <w:shd w:val="clear" w:color="auto" w:fill="FFFFFF"/>
            <w:vAlign w:val="center"/>
          </w:tcPr>
          <w:p w14:paraId="247AE8AD" w14:textId="6CC27E47" w:rsidR="00B53C85" w:rsidRPr="00DE2C57" w:rsidRDefault="00B53C85" w:rsidP="00612E24">
            <w:pPr>
              <w:pStyle w:val="CETBodytext"/>
              <w:ind w:right="-1"/>
              <w:rPr>
                <w:bCs/>
              </w:rPr>
            </w:pPr>
            <w:r w:rsidRPr="00DE2C57">
              <w:t>1,076</w:t>
            </w:r>
          </w:p>
        </w:tc>
        <w:tc>
          <w:tcPr>
            <w:tcW w:w="2408" w:type="dxa"/>
            <w:shd w:val="clear" w:color="auto" w:fill="FFFFFF"/>
            <w:vAlign w:val="center"/>
          </w:tcPr>
          <w:p w14:paraId="1A3D05EC" w14:textId="70ADE4DD" w:rsidR="00B53C85" w:rsidRPr="00DE2C57" w:rsidRDefault="00B53C85" w:rsidP="00612E24">
            <w:pPr>
              <w:pStyle w:val="CETBodytext"/>
              <w:ind w:right="-1"/>
              <w:rPr>
                <w:bCs/>
              </w:rPr>
            </w:pPr>
            <w:r w:rsidRPr="00DE2C57">
              <w:t>3,710</w:t>
            </w:r>
          </w:p>
        </w:tc>
      </w:tr>
      <w:tr w:rsidR="00B53C85" w:rsidRPr="00DE2C57" w14:paraId="50C1A646" w14:textId="77777777" w:rsidTr="00B53C85">
        <w:tc>
          <w:tcPr>
            <w:tcW w:w="851" w:type="dxa"/>
            <w:vMerge/>
            <w:shd w:val="clear" w:color="auto" w:fill="FFFFFF"/>
          </w:tcPr>
          <w:p w14:paraId="02BE9FDC" w14:textId="77777777" w:rsidR="00B53C85" w:rsidRPr="00DE2C57" w:rsidRDefault="00B53C85" w:rsidP="00612E24">
            <w:pPr>
              <w:pStyle w:val="CETBodytext"/>
            </w:pPr>
          </w:p>
        </w:tc>
        <w:tc>
          <w:tcPr>
            <w:tcW w:w="2126" w:type="dxa"/>
            <w:shd w:val="clear" w:color="auto" w:fill="FFFFFF"/>
            <w:vAlign w:val="center"/>
          </w:tcPr>
          <w:p w14:paraId="66075D50" w14:textId="606584F4" w:rsidR="00B53C85" w:rsidRPr="00DE2C57" w:rsidRDefault="00B53C85" w:rsidP="00612E24">
            <w:pPr>
              <w:pStyle w:val="CETBodytext"/>
              <w:ind w:right="-1"/>
              <w:rPr>
                <w:rFonts w:cs="Arial"/>
                <w:szCs w:val="18"/>
              </w:rPr>
            </w:pPr>
            <w:proofErr w:type="spellStart"/>
            <w:r w:rsidRPr="00DE2C57">
              <w:rPr>
                <w:bCs/>
              </w:rPr>
              <w:t>SO</w:t>
            </w:r>
            <w:r w:rsidRPr="00DE2C57">
              <w:rPr>
                <w:bCs/>
                <w:vertAlign w:val="subscript"/>
              </w:rPr>
              <w:t>x</w:t>
            </w:r>
            <w:proofErr w:type="spellEnd"/>
            <w:r w:rsidRPr="00DE2C57">
              <w:rPr>
                <w:bCs/>
                <w:vertAlign w:val="subscript"/>
              </w:rPr>
              <w:t xml:space="preserve"> </w:t>
            </w:r>
          </w:p>
        </w:tc>
        <w:tc>
          <w:tcPr>
            <w:tcW w:w="1559" w:type="dxa"/>
            <w:shd w:val="clear" w:color="auto" w:fill="FFFFFF"/>
            <w:vAlign w:val="center"/>
          </w:tcPr>
          <w:p w14:paraId="4393AE37" w14:textId="6EE574D8" w:rsidR="00B53C85" w:rsidRPr="00DE2C57" w:rsidRDefault="00B53C85" w:rsidP="00612E24">
            <w:pPr>
              <w:pStyle w:val="CETBodytext"/>
              <w:ind w:right="-1"/>
            </w:pPr>
            <w:r w:rsidRPr="00DE2C57">
              <w:t>18.7</w:t>
            </w:r>
          </w:p>
        </w:tc>
        <w:tc>
          <w:tcPr>
            <w:tcW w:w="1843" w:type="dxa"/>
            <w:shd w:val="clear" w:color="auto" w:fill="FFFFFF"/>
            <w:vAlign w:val="center"/>
          </w:tcPr>
          <w:p w14:paraId="138F50E5" w14:textId="36B8E7D4" w:rsidR="00B53C85" w:rsidRPr="00DE2C57" w:rsidRDefault="00B53C85" w:rsidP="00612E24">
            <w:pPr>
              <w:pStyle w:val="CETBodytext"/>
              <w:ind w:right="-1"/>
            </w:pPr>
            <w:r w:rsidRPr="00DE2C57">
              <w:t>4.7</w:t>
            </w:r>
          </w:p>
        </w:tc>
        <w:tc>
          <w:tcPr>
            <w:tcW w:w="2408" w:type="dxa"/>
            <w:shd w:val="clear" w:color="auto" w:fill="FFFFFF"/>
            <w:vAlign w:val="center"/>
          </w:tcPr>
          <w:p w14:paraId="7C1F1DA8" w14:textId="6A1704AE" w:rsidR="00B53C85" w:rsidRPr="00DE2C57" w:rsidRDefault="00B53C85" w:rsidP="00612E24">
            <w:pPr>
              <w:pStyle w:val="CETBodytext"/>
              <w:ind w:right="-1"/>
            </w:pPr>
            <w:r w:rsidRPr="00DE2C57">
              <w:t>16.1</w:t>
            </w:r>
          </w:p>
        </w:tc>
      </w:tr>
      <w:tr w:rsidR="00B53C85" w:rsidRPr="00DE2C57" w14:paraId="18833905" w14:textId="77777777" w:rsidTr="00B53C85">
        <w:tc>
          <w:tcPr>
            <w:tcW w:w="851" w:type="dxa"/>
            <w:vMerge/>
            <w:shd w:val="clear" w:color="auto" w:fill="FFFFFF"/>
          </w:tcPr>
          <w:p w14:paraId="3014A92B" w14:textId="77777777" w:rsidR="00B53C85" w:rsidRPr="00DE2C57" w:rsidRDefault="00B53C85" w:rsidP="00612E24">
            <w:pPr>
              <w:pStyle w:val="CETBodytext"/>
            </w:pPr>
          </w:p>
        </w:tc>
        <w:tc>
          <w:tcPr>
            <w:tcW w:w="2126" w:type="dxa"/>
            <w:shd w:val="clear" w:color="auto" w:fill="FFFFFF"/>
            <w:vAlign w:val="center"/>
          </w:tcPr>
          <w:p w14:paraId="23AA9304" w14:textId="4BB4C538" w:rsidR="00B53C85" w:rsidRPr="00DE2C57" w:rsidRDefault="00B53C85" w:rsidP="00612E24">
            <w:pPr>
              <w:pStyle w:val="CETBodytext"/>
              <w:ind w:right="-1"/>
              <w:rPr>
                <w:rFonts w:cs="Arial"/>
                <w:szCs w:val="18"/>
              </w:rPr>
            </w:pPr>
            <w:r w:rsidRPr="00DE2C57">
              <w:rPr>
                <w:bCs/>
              </w:rPr>
              <w:t>NO</w:t>
            </w:r>
            <w:r w:rsidRPr="00DE2C57">
              <w:rPr>
                <w:bCs/>
                <w:vertAlign w:val="subscript"/>
              </w:rPr>
              <w:t xml:space="preserve">x </w:t>
            </w:r>
          </w:p>
        </w:tc>
        <w:tc>
          <w:tcPr>
            <w:tcW w:w="1559" w:type="dxa"/>
            <w:shd w:val="clear" w:color="auto" w:fill="FFFFFF"/>
            <w:vAlign w:val="center"/>
          </w:tcPr>
          <w:p w14:paraId="61D6C35D" w14:textId="43A389BD" w:rsidR="00B53C85" w:rsidRPr="00DE2C57" w:rsidRDefault="00B53C85" w:rsidP="00612E24">
            <w:pPr>
              <w:pStyle w:val="CETBodytext"/>
              <w:ind w:right="-1"/>
            </w:pPr>
            <w:r w:rsidRPr="00DE2C57">
              <w:t>9.1</w:t>
            </w:r>
          </w:p>
        </w:tc>
        <w:tc>
          <w:tcPr>
            <w:tcW w:w="1843" w:type="dxa"/>
            <w:shd w:val="clear" w:color="auto" w:fill="FFFFFF"/>
            <w:vAlign w:val="center"/>
          </w:tcPr>
          <w:p w14:paraId="0711A87F" w14:textId="25A3FC1A" w:rsidR="00B53C85" w:rsidRPr="00DE2C57" w:rsidRDefault="00B53C85" w:rsidP="00612E24">
            <w:pPr>
              <w:pStyle w:val="CETBodytext"/>
              <w:ind w:right="-1"/>
            </w:pPr>
            <w:r w:rsidRPr="00DE2C57">
              <w:t>2.4</w:t>
            </w:r>
          </w:p>
        </w:tc>
        <w:tc>
          <w:tcPr>
            <w:tcW w:w="2408" w:type="dxa"/>
            <w:shd w:val="clear" w:color="auto" w:fill="FFFFFF"/>
            <w:vAlign w:val="center"/>
          </w:tcPr>
          <w:p w14:paraId="4B79BE38" w14:textId="0E400D9C" w:rsidR="00B53C85" w:rsidRPr="00DE2C57" w:rsidRDefault="00B53C85" w:rsidP="00612E24">
            <w:pPr>
              <w:pStyle w:val="CETBodytext"/>
              <w:ind w:right="-1"/>
            </w:pPr>
            <w:r w:rsidRPr="00DE2C57">
              <w:t>7.9</w:t>
            </w:r>
          </w:p>
        </w:tc>
      </w:tr>
      <w:tr w:rsidR="00B53C85" w:rsidRPr="00DE2C57" w14:paraId="756209D2" w14:textId="77777777" w:rsidTr="00B53C85">
        <w:tc>
          <w:tcPr>
            <w:tcW w:w="851" w:type="dxa"/>
            <w:vMerge w:val="restart"/>
            <w:shd w:val="clear" w:color="auto" w:fill="FFFFFF"/>
          </w:tcPr>
          <w:p w14:paraId="7D2F4403" w14:textId="77777777" w:rsidR="00B53C85" w:rsidRPr="00DE2C57" w:rsidRDefault="00B53C85" w:rsidP="00612E24">
            <w:pPr>
              <w:pStyle w:val="CETBodytext"/>
              <w:ind w:right="-1"/>
              <w:rPr>
                <w:rFonts w:cs="Arial"/>
                <w:szCs w:val="18"/>
              </w:rPr>
            </w:pPr>
            <w:r w:rsidRPr="00DE2C57">
              <w:rPr>
                <w:rFonts w:cs="Arial"/>
                <w:szCs w:val="18"/>
              </w:rPr>
              <w:t>S3</w:t>
            </w:r>
          </w:p>
        </w:tc>
        <w:tc>
          <w:tcPr>
            <w:tcW w:w="2126" w:type="dxa"/>
            <w:shd w:val="clear" w:color="auto" w:fill="FFFFFF"/>
            <w:vAlign w:val="center"/>
          </w:tcPr>
          <w:p w14:paraId="19512712" w14:textId="7A8E741B" w:rsidR="00B53C85" w:rsidRPr="00DE2C57" w:rsidRDefault="00B53C85" w:rsidP="00612E24">
            <w:pPr>
              <w:pStyle w:val="CETBodytext"/>
              <w:ind w:right="-1"/>
              <w:rPr>
                <w:rFonts w:cs="Arial"/>
                <w:szCs w:val="18"/>
              </w:rPr>
            </w:pPr>
            <w:r w:rsidRPr="00DE2C57">
              <w:rPr>
                <w:bCs/>
              </w:rPr>
              <w:t>CO</w:t>
            </w:r>
            <w:r w:rsidRPr="00DE2C57">
              <w:rPr>
                <w:bCs/>
                <w:vertAlign w:val="subscript"/>
              </w:rPr>
              <w:t>2</w:t>
            </w:r>
          </w:p>
        </w:tc>
        <w:tc>
          <w:tcPr>
            <w:tcW w:w="1559" w:type="dxa"/>
            <w:shd w:val="clear" w:color="auto" w:fill="FFFFFF"/>
            <w:vAlign w:val="center"/>
          </w:tcPr>
          <w:p w14:paraId="59549A4E" w14:textId="745F2C91" w:rsidR="00B53C85" w:rsidRPr="00DE2C57" w:rsidRDefault="00B53C85" w:rsidP="00612E24">
            <w:pPr>
              <w:pStyle w:val="CETBodytext"/>
              <w:ind w:right="-1"/>
            </w:pPr>
            <w:r w:rsidRPr="00DE2C57">
              <w:t>0</w:t>
            </w:r>
          </w:p>
        </w:tc>
        <w:tc>
          <w:tcPr>
            <w:tcW w:w="1843" w:type="dxa"/>
            <w:shd w:val="clear" w:color="auto" w:fill="FFFFFF"/>
            <w:vAlign w:val="center"/>
          </w:tcPr>
          <w:p w14:paraId="1DB08817" w14:textId="1372B4F0" w:rsidR="00B53C85" w:rsidRPr="00DE2C57" w:rsidRDefault="00B53C85" w:rsidP="00612E24">
            <w:pPr>
              <w:pStyle w:val="CETBodytext"/>
              <w:ind w:right="-1"/>
            </w:pPr>
            <w:r w:rsidRPr="00DE2C57">
              <w:t>0</w:t>
            </w:r>
          </w:p>
        </w:tc>
        <w:tc>
          <w:tcPr>
            <w:tcW w:w="2408" w:type="dxa"/>
            <w:shd w:val="clear" w:color="auto" w:fill="FFFFFF"/>
            <w:vAlign w:val="center"/>
          </w:tcPr>
          <w:p w14:paraId="1861A776" w14:textId="76FA81CC" w:rsidR="00B53C85" w:rsidRPr="00DE2C57" w:rsidRDefault="00B53C85" w:rsidP="00612E24">
            <w:pPr>
              <w:pStyle w:val="CETBodytext"/>
              <w:ind w:right="-1"/>
            </w:pPr>
            <w:r w:rsidRPr="00DE2C57">
              <w:t>0</w:t>
            </w:r>
          </w:p>
        </w:tc>
      </w:tr>
      <w:tr w:rsidR="00B53C85" w:rsidRPr="00DE2C57" w14:paraId="49C765F3" w14:textId="77777777" w:rsidTr="00B53C85">
        <w:tc>
          <w:tcPr>
            <w:tcW w:w="851" w:type="dxa"/>
            <w:vMerge/>
            <w:shd w:val="clear" w:color="auto" w:fill="FFFFFF"/>
          </w:tcPr>
          <w:p w14:paraId="4D1FA0B8" w14:textId="77777777" w:rsidR="00B53C85" w:rsidRPr="00DE2C57" w:rsidRDefault="00B53C85" w:rsidP="00612E24">
            <w:pPr>
              <w:pStyle w:val="CETBodytext"/>
              <w:ind w:right="-1"/>
              <w:rPr>
                <w:rFonts w:cs="Arial"/>
                <w:szCs w:val="18"/>
              </w:rPr>
            </w:pPr>
          </w:p>
        </w:tc>
        <w:tc>
          <w:tcPr>
            <w:tcW w:w="2126" w:type="dxa"/>
            <w:shd w:val="clear" w:color="auto" w:fill="FFFFFF"/>
            <w:vAlign w:val="center"/>
          </w:tcPr>
          <w:p w14:paraId="51658E2E" w14:textId="3B910F9C" w:rsidR="00B53C85" w:rsidRPr="00DE2C57" w:rsidRDefault="00B53C85" w:rsidP="00612E24">
            <w:pPr>
              <w:pStyle w:val="CETBodytext"/>
              <w:ind w:right="-1"/>
              <w:rPr>
                <w:rFonts w:cs="Arial"/>
                <w:szCs w:val="18"/>
              </w:rPr>
            </w:pPr>
            <w:proofErr w:type="spellStart"/>
            <w:r w:rsidRPr="00DE2C57">
              <w:rPr>
                <w:bCs/>
              </w:rPr>
              <w:t>SO</w:t>
            </w:r>
            <w:r w:rsidRPr="00DE2C57">
              <w:rPr>
                <w:bCs/>
                <w:vertAlign w:val="subscript"/>
              </w:rPr>
              <w:t>x</w:t>
            </w:r>
            <w:proofErr w:type="spellEnd"/>
            <w:r w:rsidRPr="00DE2C57">
              <w:rPr>
                <w:bCs/>
                <w:vertAlign w:val="subscript"/>
              </w:rPr>
              <w:t xml:space="preserve"> </w:t>
            </w:r>
          </w:p>
        </w:tc>
        <w:tc>
          <w:tcPr>
            <w:tcW w:w="1559" w:type="dxa"/>
            <w:shd w:val="clear" w:color="auto" w:fill="FFFFFF"/>
            <w:vAlign w:val="center"/>
          </w:tcPr>
          <w:p w14:paraId="400C64A9" w14:textId="6BCEE42E" w:rsidR="00B53C85" w:rsidRPr="00DE2C57" w:rsidRDefault="00B53C85" w:rsidP="00612E24">
            <w:pPr>
              <w:pStyle w:val="CETBodytext"/>
              <w:ind w:right="-1"/>
            </w:pPr>
            <w:r w:rsidRPr="00DE2C57">
              <w:t>0</w:t>
            </w:r>
          </w:p>
        </w:tc>
        <w:tc>
          <w:tcPr>
            <w:tcW w:w="1843" w:type="dxa"/>
            <w:shd w:val="clear" w:color="auto" w:fill="FFFFFF"/>
            <w:vAlign w:val="center"/>
          </w:tcPr>
          <w:p w14:paraId="367E7B17" w14:textId="607EDEE6" w:rsidR="00B53C85" w:rsidRPr="00DE2C57" w:rsidRDefault="00B53C85" w:rsidP="00612E24">
            <w:pPr>
              <w:pStyle w:val="CETBodytext"/>
              <w:ind w:right="-1"/>
            </w:pPr>
            <w:r w:rsidRPr="00DE2C57">
              <w:t>0</w:t>
            </w:r>
          </w:p>
        </w:tc>
        <w:tc>
          <w:tcPr>
            <w:tcW w:w="2408" w:type="dxa"/>
            <w:shd w:val="clear" w:color="auto" w:fill="FFFFFF"/>
            <w:vAlign w:val="center"/>
          </w:tcPr>
          <w:p w14:paraId="2D44F713" w14:textId="1347532C" w:rsidR="00B53C85" w:rsidRPr="00DE2C57" w:rsidRDefault="00B53C85" w:rsidP="00612E24">
            <w:pPr>
              <w:pStyle w:val="CETBodytext"/>
              <w:ind w:right="-1"/>
            </w:pPr>
            <w:r w:rsidRPr="00DE2C57">
              <w:t>0</w:t>
            </w:r>
          </w:p>
        </w:tc>
      </w:tr>
      <w:tr w:rsidR="00B53C85" w:rsidRPr="00DE2C57" w14:paraId="3CD45902" w14:textId="77777777" w:rsidTr="00B53C85">
        <w:tc>
          <w:tcPr>
            <w:tcW w:w="851" w:type="dxa"/>
            <w:vMerge/>
            <w:shd w:val="clear" w:color="auto" w:fill="FFFFFF"/>
          </w:tcPr>
          <w:p w14:paraId="019EF126" w14:textId="77777777" w:rsidR="00B53C85" w:rsidRPr="00DE2C57" w:rsidRDefault="00B53C85" w:rsidP="00612E24">
            <w:pPr>
              <w:pStyle w:val="CETBodytext"/>
              <w:ind w:right="-1"/>
              <w:rPr>
                <w:rFonts w:cs="Arial"/>
                <w:szCs w:val="18"/>
                <w:vertAlign w:val="superscript"/>
              </w:rPr>
            </w:pPr>
          </w:p>
        </w:tc>
        <w:tc>
          <w:tcPr>
            <w:tcW w:w="2126" w:type="dxa"/>
            <w:shd w:val="clear" w:color="auto" w:fill="FFFFFF"/>
            <w:vAlign w:val="center"/>
          </w:tcPr>
          <w:p w14:paraId="4995F86D" w14:textId="210F26EE" w:rsidR="00B53C85" w:rsidRPr="00DE2C57" w:rsidRDefault="00B53C85" w:rsidP="00612E24">
            <w:pPr>
              <w:pStyle w:val="CETBodytext"/>
              <w:ind w:right="-1"/>
              <w:rPr>
                <w:rFonts w:cs="Arial"/>
                <w:szCs w:val="18"/>
              </w:rPr>
            </w:pPr>
            <w:r w:rsidRPr="00DE2C57">
              <w:rPr>
                <w:bCs/>
              </w:rPr>
              <w:t>NO</w:t>
            </w:r>
            <w:r w:rsidRPr="00DE2C57">
              <w:rPr>
                <w:bCs/>
                <w:vertAlign w:val="subscript"/>
              </w:rPr>
              <w:t>x</w:t>
            </w:r>
          </w:p>
        </w:tc>
        <w:tc>
          <w:tcPr>
            <w:tcW w:w="1559" w:type="dxa"/>
            <w:shd w:val="clear" w:color="auto" w:fill="FFFFFF"/>
            <w:vAlign w:val="center"/>
          </w:tcPr>
          <w:p w14:paraId="19683B3A" w14:textId="3D6F231D" w:rsidR="00B53C85" w:rsidRPr="00DE2C57" w:rsidRDefault="00B53C85" w:rsidP="00612E24">
            <w:pPr>
              <w:pStyle w:val="CETBodytext"/>
              <w:ind w:right="-1"/>
            </w:pPr>
            <w:r w:rsidRPr="00DE2C57">
              <w:t>0</w:t>
            </w:r>
          </w:p>
        </w:tc>
        <w:tc>
          <w:tcPr>
            <w:tcW w:w="1843" w:type="dxa"/>
            <w:shd w:val="clear" w:color="auto" w:fill="FFFFFF"/>
            <w:vAlign w:val="center"/>
          </w:tcPr>
          <w:p w14:paraId="4EB4E5E7" w14:textId="62E2E4ED" w:rsidR="00B53C85" w:rsidRPr="00DE2C57" w:rsidRDefault="00B53C85" w:rsidP="00612E24">
            <w:pPr>
              <w:pStyle w:val="CETBodytext"/>
              <w:ind w:right="-1"/>
            </w:pPr>
            <w:r w:rsidRPr="00DE2C57">
              <w:t>0</w:t>
            </w:r>
          </w:p>
        </w:tc>
        <w:tc>
          <w:tcPr>
            <w:tcW w:w="2408" w:type="dxa"/>
            <w:shd w:val="clear" w:color="auto" w:fill="FFFFFF"/>
            <w:vAlign w:val="center"/>
          </w:tcPr>
          <w:p w14:paraId="0CE4B3DA" w14:textId="6E98F85F" w:rsidR="00B53C85" w:rsidRPr="00DE2C57" w:rsidRDefault="00B53C85" w:rsidP="00612E24">
            <w:pPr>
              <w:pStyle w:val="CETBodytext"/>
              <w:ind w:right="-1"/>
            </w:pPr>
            <w:r w:rsidRPr="00DE2C57">
              <w:t>0</w:t>
            </w:r>
          </w:p>
        </w:tc>
      </w:tr>
    </w:tbl>
    <w:p w14:paraId="15726F77" w14:textId="77777777" w:rsidR="007E7728" w:rsidRDefault="007E7728" w:rsidP="00612E24">
      <w:pPr>
        <w:pStyle w:val="CETBodytext"/>
      </w:pPr>
    </w:p>
    <w:p w14:paraId="0731C41D" w14:textId="01AE43FA" w:rsidR="00B53C85" w:rsidRPr="00DE2C57" w:rsidRDefault="00B53C85" w:rsidP="00612E24">
      <w:pPr>
        <w:pStyle w:val="CETBodytext"/>
      </w:pPr>
      <w:r w:rsidRPr="00DE2C57">
        <w:t xml:space="preserve">Novales is the location with the highest emissions due to its higher energy consumption </w:t>
      </w:r>
      <w:proofErr w:type="gramStart"/>
      <w:r w:rsidRPr="00DE2C57">
        <w:t>despite the fact that</w:t>
      </w:r>
      <w:proofErr w:type="gramEnd"/>
      <w:r w:rsidRPr="00DE2C57">
        <w:t xml:space="preserve"> Portugal has the most carbon-intensive energy mix. With respect to the base case, Vila Nova de Gaia has the highest emissions reduction potential when combining both grid and hybrid system (around 59% with respect to S1) due to the higher potential for </w:t>
      </w:r>
      <w:r w:rsidR="007958D6" w:rsidRPr="00DE2C57">
        <w:t>PV</w:t>
      </w:r>
      <w:r w:rsidRPr="00DE2C57">
        <w:t xml:space="preserve"> production in this location. Powering the buildings solely with the hybrid renewable-hydrogen system (S3) means the complete elimination of emissions in all locations.</w:t>
      </w:r>
    </w:p>
    <w:p w14:paraId="68D26B83" w14:textId="77777777" w:rsidR="00600535" w:rsidRPr="00DE2C57" w:rsidRDefault="00600535" w:rsidP="00612E24">
      <w:pPr>
        <w:pStyle w:val="CETHeading1"/>
        <w:jc w:val="both"/>
      </w:pPr>
      <w:r w:rsidRPr="00DE2C57">
        <w:t>Conclusions</w:t>
      </w:r>
    </w:p>
    <w:p w14:paraId="001ECBD5" w14:textId="77777777" w:rsidR="005826E0" w:rsidRDefault="00245BE6" w:rsidP="005826E0">
      <w:pPr>
        <w:pStyle w:val="CETHeadingxx"/>
        <w:spacing w:before="0" w:after="0"/>
        <w:jc w:val="both"/>
        <w:rPr>
          <w:b w:val="0"/>
        </w:rPr>
      </w:pPr>
      <w:r w:rsidRPr="00DE2C57">
        <w:rPr>
          <w:b w:val="0"/>
        </w:rPr>
        <w:t xml:space="preserve">The unsustainable climate change situation has prompted governments, policymakers, private </w:t>
      </w:r>
      <w:proofErr w:type="gramStart"/>
      <w:r w:rsidRPr="00DE2C57">
        <w:rPr>
          <w:b w:val="0"/>
        </w:rPr>
        <w:t>companies</w:t>
      </w:r>
      <w:proofErr w:type="gramEnd"/>
      <w:r w:rsidRPr="00DE2C57">
        <w:rPr>
          <w:b w:val="0"/>
        </w:rPr>
        <w:t xml:space="preserve"> and stakeholders to take measures and mitigate the exponentially growing GHG emissions. Particularly, energy use in buildings is responsible for almost 20% of total emissions globally. Moreover, most of the building stock in Europe is highly inefficient as it is older than 25 years. These buildings are responsible of around 92% of total emissions associated to this sector. On the other hand, energy requirements are continuously </w:t>
      </w:r>
      <w:proofErr w:type="gramStart"/>
      <w:r w:rsidRPr="00DE2C57">
        <w:rPr>
          <w:b w:val="0"/>
        </w:rPr>
        <w:t>increasing;</w:t>
      </w:r>
      <w:proofErr w:type="gramEnd"/>
      <w:r w:rsidRPr="00DE2C57">
        <w:rPr>
          <w:b w:val="0"/>
        </w:rPr>
        <w:t xml:space="preserve"> aggravating the energy poverty of must unfavorable inhabitants. In this regard, </w:t>
      </w:r>
      <w:r w:rsidR="007958D6" w:rsidRPr="00DE2C57">
        <w:rPr>
          <w:b w:val="0"/>
        </w:rPr>
        <w:t xml:space="preserve">in the framework of </w:t>
      </w:r>
      <w:r w:rsidRPr="00DE2C57">
        <w:rPr>
          <w:b w:val="0"/>
        </w:rPr>
        <w:t xml:space="preserve">SUDOE </w:t>
      </w:r>
      <w:r w:rsidR="008630B6">
        <w:rPr>
          <w:b w:val="0"/>
        </w:rPr>
        <w:t>E</w:t>
      </w:r>
      <w:r w:rsidRPr="00DE2C57">
        <w:rPr>
          <w:b w:val="0"/>
        </w:rPr>
        <w:t xml:space="preserve">NERGY PUSH project </w:t>
      </w:r>
      <w:r w:rsidR="007958D6" w:rsidRPr="00DE2C57">
        <w:rPr>
          <w:b w:val="0"/>
        </w:rPr>
        <w:t>t</w:t>
      </w:r>
      <w:r w:rsidRPr="00DE2C57">
        <w:rPr>
          <w:b w:val="0"/>
        </w:rPr>
        <w:t xml:space="preserve">his study evaluates the techno-economic feasibility and the potential use of </w:t>
      </w:r>
      <w:r w:rsidR="007958D6" w:rsidRPr="00DE2C57">
        <w:rPr>
          <w:b w:val="0"/>
        </w:rPr>
        <w:t>renewable hydrogen-based systems</w:t>
      </w:r>
      <w:r w:rsidRPr="00DE2C57">
        <w:rPr>
          <w:b w:val="0"/>
        </w:rPr>
        <w:t xml:space="preserve"> for buildings in </w:t>
      </w:r>
      <w:r w:rsidR="007958D6" w:rsidRPr="00DE2C57">
        <w:rPr>
          <w:b w:val="0"/>
        </w:rPr>
        <w:t xml:space="preserve">three </w:t>
      </w:r>
      <w:r w:rsidRPr="00DE2C57">
        <w:rPr>
          <w:b w:val="0"/>
        </w:rPr>
        <w:t xml:space="preserve">different locations of the SUDOE region. </w:t>
      </w:r>
    </w:p>
    <w:p w14:paraId="1EB1666E" w14:textId="08ECD11C" w:rsidR="00245BE6" w:rsidRPr="00DE2C57" w:rsidRDefault="00245BE6" w:rsidP="005826E0">
      <w:pPr>
        <w:pStyle w:val="CETHeadingxx"/>
        <w:spacing w:before="0"/>
        <w:jc w:val="both"/>
        <w:rPr>
          <w:b w:val="0"/>
        </w:rPr>
      </w:pPr>
      <w:r w:rsidRPr="00DE2C57">
        <w:rPr>
          <w:b w:val="0"/>
        </w:rPr>
        <w:t xml:space="preserve">The assessment reflects that the combination of the current grid connection and PV panels is already more economic than the current scenario of grid-connected buildings. This cost-competitiveness is reached for all the </w:t>
      </w:r>
      <w:r w:rsidRPr="00DE2C57">
        <w:rPr>
          <w:b w:val="0"/>
        </w:rPr>
        <w:lastRenderedPageBreak/>
        <w:t>evaluated locations. Additionally, the regions with higher solar radiation (Vila Nova de Gaia in this case) are more appropriate to consider off-grid renewable hydrogen-based systems (RHS). These schemes are not as economic as the other scenarios, but the selling of energetic surpluses would make them affordable in the medium term. However, RHS report the highest savings in terms of pollutants as they enable the complete removal of GHG emissions. Besides, it is necessary to analy</w:t>
      </w:r>
      <w:r w:rsidR="00A71866">
        <w:rPr>
          <w:b w:val="0"/>
        </w:rPr>
        <w:t>ze</w:t>
      </w:r>
      <w:r w:rsidRPr="00DE2C57">
        <w:rPr>
          <w:b w:val="0"/>
        </w:rPr>
        <w:t xml:space="preserve"> th</w:t>
      </w:r>
      <w:r w:rsidR="00A71866">
        <w:rPr>
          <w:b w:val="0"/>
        </w:rPr>
        <w:t>eir</w:t>
      </w:r>
      <w:r w:rsidRPr="00DE2C57">
        <w:rPr>
          <w:b w:val="0"/>
        </w:rPr>
        <w:t xml:space="preserve"> dimensions considering not only the power capacity, but also the surface required for their deployment.</w:t>
      </w:r>
    </w:p>
    <w:p w14:paraId="07A6D20F" w14:textId="222FCBFD" w:rsidR="00280FAF" w:rsidRPr="00DE2C57" w:rsidRDefault="00280FAF" w:rsidP="009D2B05">
      <w:pPr>
        <w:pStyle w:val="CETHeadingxx"/>
        <w:spacing w:after="0"/>
        <w:jc w:val="both"/>
        <w:sectPr w:rsidR="00280FAF" w:rsidRPr="00DE2C57" w:rsidSect="007E7728">
          <w:type w:val="continuous"/>
          <w:pgSz w:w="11906" w:h="16838" w:code="9"/>
          <w:pgMar w:top="1701" w:right="1418" w:bottom="1701" w:left="1701" w:header="1701" w:footer="0" w:gutter="0"/>
          <w:cols w:space="708"/>
          <w:formProt w:val="0"/>
          <w:titlePg/>
          <w:docGrid w:linePitch="360"/>
        </w:sectPr>
      </w:pPr>
      <w:r w:rsidRPr="00DE2C57">
        <w:t>Nomenclature</w:t>
      </w:r>
    </w:p>
    <w:p w14:paraId="55B3B78E" w14:textId="2A69FB79" w:rsidR="0012624F" w:rsidRPr="0012624F" w:rsidRDefault="0012624F" w:rsidP="00612E24">
      <w:pPr>
        <w:pStyle w:val="CETBodytext"/>
      </w:pPr>
      <w:r>
        <w:t>Bat – Battery</w:t>
      </w:r>
    </w:p>
    <w:p w14:paraId="33D176ED" w14:textId="28370CCB" w:rsidR="00280FAF" w:rsidRPr="00DE2C57" w:rsidRDefault="007958D6" w:rsidP="00612E24">
      <w:pPr>
        <w:pStyle w:val="CETBodytext"/>
        <w:rPr>
          <w:rFonts w:eastAsia="SimSun"/>
        </w:rPr>
      </w:pPr>
      <w:r w:rsidRPr="00DE2C57">
        <w:rPr>
          <w:rFonts w:eastAsia="SimSun"/>
        </w:rPr>
        <w:t>BIM</w:t>
      </w:r>
      <w:r w:rsidR="00280FAF" w:rsidRPr="00DE2C57">
        <w:rPr>
          <w:rFonts w:eastAsia="SimSun"/>
        </w:rPr>
        <w:t xml:space="preserve"> – </w:t>
      </w:r>
      <w:r w:rsidRPr="00DE2C57">
        <w:rPr>
          <w:rFonts w:eastAsia="SimSun"/>
        </w:rPr>
        <w:t>Building information modeling</w:t>
      </w:r>
    </w:p>
    <w:p w14:paraId="7D38DF4E" w14:textId="66BB7FDB" w:rsidR="0012624F" w:rsidRDefault="0012624F" w:rsidP="00612E24">
      <w:pPr>
        <w:pStyle w:val="CETBodytext"/>
        <w:rPr>
          <w:rFonts w:eastAsia="SimSun"/>
        </w:rPr>
      </w:pPr>
      <w:r w:rsidRPr="00DE2C57">
        <w:rPr>
          <w:rFonts w:eastAsia="SimSun"/>
        </w:rPr>
        <w:t>CAPEX – Capital expenditures</w:t>
      </w:r>
    </w:p>
    <w:p w14:paraId="48CBDB88" w14:textId="3F12E211" w:rsidR="0012624F" w:rsidRDefault="0012624F" w:rsidP="00612E24">
      <w:pPr>
        <w:pStyle w:val="CETBodytext"/>
        <w:rPr>
          <w:rFonts w:eastAsia="SimSun"/>
        </w:rPr>
      </w:pPr>
      <w:r w:rsidRPr="0012624F">
        <w:rPr>
          <w:rFonts w:eastAsia="SimSun"/>
        </w:rPr>
        <w:t xml:space="preserve">CCSU – Carbon capture, </w:t>
      </w:r>
      <w:proofErr w:type="gramStart"/>
      <w:r w:rsidRPr="0012624F">
        <w:rPr>
          <w:rFonts w:eastAsia="SimSun"/>
        </w:rPr>
        <w:t>storage</w:t>
      </w:r>
      <w:proofErr w:type="gramEnd"/>
      <w:r w:rsidRPr="0012624F">
        <w:rPr>
          <w:rFonts w:eastAsia="SimSun"/>
        </w:rPr>
        <w:t xml:space="preserve"> and utilization</w:t>
      </w:r>
    </w:p>
    <w:p w14:paraId="77E3184D" w14:textId="76256946" w:rsidR="0012624F" w:rsidRPr="0012624F" w:rsidRDefault="0012624F" w:rsidP="00612E24">
      <w:pPr>
        <w:pStyle w:val="CETBodytext"/>
      </w:pPr>
      <w:r>
        <w:t>CO</w:t>
      </w:r>
      <w:r w:rsidRPr="00A71866">
        <w:rPr>
          <w:vertAlign w:val="subscript"/>
        </w:rPr>
        <w:t>2</w:t>
      </w:r>
      <w:r>
        <w:t xml:space="preserve"> – Carbon dioxide</w:t>
      </w:r>
    </w:p>
    <w:p w14:paraId="061BF013" w14:textId="7D1FB423" w:rsidR="0012624F" w:rsidRDefault="0012624F" w:rsidP="00612E24">
      <w:pPr>
        <w:pStyle w:val="CETBodytext"/>
        <w:rPr>
          <w:rFonts w:eastAsia="SimSun"/>
        </w:rPr>
      </w:pPr>
      <w:r>
        <w:t xml:space="preserve">EL – </w:t>
      </w:r>
      <w:proofErr w:type="spellStart"/>
      <w:r>
        <w:t>Electrolyzer</w:t>
      </w:r>
      <w:proofErr w:type="spellEnd"/>
    </w:p>
    <w:p w14:paraId="51DEFBAE" w14:textId="2B15A9DE" w:rsidR="0012624F" w:rsidRDefault="0012624F" w:rsidP="00612E24">
      <w:pPr>
        <w:pStyle w:val="CETBodytext"/>
        <w:rPr>
          <w:rFonts w:eastAsia="SimSun"/>
        </w:rPr>
      </w:pPr>
      <w:r w:rsidRPr="00DE2C57">
        <w:rPr>
          <w:rFonts w:eastAsia="SimSun"/>
        </w:rPr>
        <w:t>ESS – Energy storage system</w:t>
      </w:r>
    </w:p>
    <w:p w14:paraId="024EBAE9" w14:textId="03C31023" w:rsidR="0012624F" w:rsidRDefault="0012624F" w:rsidP="00612E24">
      <w:pPr>
        <w:pStyle w:val="CETBodytext"/>
        <w:rPr>
          <w:rFonts w:eastAsia="SimSun"/>
        </w:rPr>
      </w:pPr>
      <w:r>
        <w:t>FC – Fuel Cell</w:t>
      </w:r>
    </w:p>
    <w:p w14:paraId="0C1A8C17" w14:textId="188EE5FA" w:rsidR="0012624F" w:rsidRDefault="0012624F" w:rsidP="00612E24">
      <w:pPr>
        <w:pStyle w:val="CETBodytext"/>
        <w:rPr>
          <w:rFonts w:eastAsia="SimSun"/>
        </w:rPr>
      </w:pPr>
      <w:r w:rsidRPr="0012624F">
        <w:rPr>
          <w:rFonts w:eastAsia="SimSun"/>
        </w:rPr>
        <w:t>GHG – Greenhouse gases</w:t>
      </w:r>
    </w:p>
    <w:p w14:paraId="05CC3BA4" w14:textId="7945F6D0" w:rsidR="00280FAF" w:rsidRPr="00DE2C57" w:rsidRDefault="007958D6" w:rsidP="00612E24">
      <w:pPr>
        <w:pStyle w:val="CETBodytext"/>
        <w:rPr>
          <w:rFonts w:eastAsia="SimSun"/>
        </w:rPr>
      </w:pPr>
      <w:r w:rsidRPr="00DE2C57">
        <w:rPr>
          <w:rFonts w:eastAsia="SimSun"/>
        </w:rPr>
        <w:t>LCOE</w:t>
      </w:r>
      <w:r w:rsidR="00280FAF" w:rsidRPr="00DE2C57">
        <w:rPr>
          <w:rFonts w:eastAsia="SimSun"/>
        </w:rPr>
        <w:t xml:space="preserve"> – </w:t>
      </w:r>
      <w:r w:rsidRPr="00DE2C57">
        <w:rPr>
          <w:rFonts w:eastAsia="SimSun"/>
        </w:rPr>
        <w:t>Levelized cost of energy</w:t>
      </w:r>
    </w:p>
    <w:p w14:paraId="32DCD815" w14:textId="505AA96C" w:rsidR="0012624F" w:rsidRDefault="0012624F" w:rsidP="00612E24">
      <w:pPr>
        <w:pStyle w:val="CETBodytext"/>
        <w:rPr>
          <w:rFonts w:eastAsia="SimSun"/>
        </w:rPr>
      </w:pPr>
      <w:r>
        <w:t>NO</w:t>
      </w:r>
      <w:r>
        <w:rPr>
          <w:vertAlign w:val="subscript"/>
        </w:rPr>
        <w:t>x</w:t>
      </w:r>
      <w:r>
        <w:t xml:space="preserve"> – Nitrogen oxides</w:t>
      </w:r>
    </w:p>
    <w:p w14:paraId="45929C4D" w14:textId="2255063B" w:rsidR="00AB28C6" w:rsidRPr="00DE2C57" w:rsidRDefault="007958D6" w:rsidP="00612E24">
      <w:pPr>
        <w:pStyle w:val="CETBodytext"/>
        <w:rPr>
          <w:rFonts w:eastAsia="SimSun"/>
        </w:rPr>
      </w:pPr>
      <w:r w:rsidRPr="00DE2C57">
        <w:rPr>
          <w:rFonts w:eastAsia="SimSun"/>
        </w:rPr>
        <w:t>NPC</w:t>
      </w:r>
      <w:r w:rsidR="00280FAF" w:rsidRPr="00DE2C57">
        <w:rPr>
          <w:rFonts w:eastAsia="SimSun"/>
        </w:rPr>
        <w:t xml:space="preserve"> – </w:t>
      </w:r>
      <w:r w:rsidRPr="00DE2C57">
        <w:rPr>
          <w:rFonts w:eastAsia="SimSun"/>
        </w:rPr>
        <w:t>Net</w:t>
      </w:r>
      <w:r w:rsidR="00AB28C6" w:rsidRPr="00DE2C57">
        <w:rPr>
          <w:rFonts w:eastAsia="SimSun"/>
        </w:rPr>
        <w:t xml:space="preserve"> present cost</w:t>
      </w:r>
    </w:p>
    <w:p w14:paraId="63AB7028" w14:textId="3E0A72B7" w:rsidR="00280FAF" w:rsidRPr="00DE2C57" w:rsidRDefault="00AB28C6" w:rsidP="00612E24">
      <w:pPr>
        <w:pStyle w:val="CETBodytext"/>
        <w:rPr>
          <w:rFonts w:eastAsia="SimSun"/>
        </w:rPr>
      </w:pPr>
      <w:r w:rsidRPr="00DE2C57">
        <w:rPr>
          <w:rFonts w:eastAsia="SimSun"/>
        </w:rPr>
        <w:t>OPEX</w:t>
      </w:r>
      <w:r w:rsidR="00280FAF" w:rsidRPr="00DE2C57">
        <w:rPr>
          <w:rFonts w:eastAsia="SimSun"/>
        </w:rPr>
        <w:t xml:space="preserve"> – </w:t>
      </w:r>
      <w:r w:rsidRPr="00DE2C57">
        <w:rPr>
          <w:rFonts w:eastAsia="SimSun"/>
        </w:rPr>
        <w:t>Operational expenditures</w:t>
      </w:r>
    </w:p>
    <w:p w14:paraId="1D8B3AA5" w14:textId="2C5E1B89" w:rsidR="00A71866" w:rsidRDefault="00AB28C6" w:rsidP="00612E24">
      <w:pPr>
        <w:pStyle w:val="CETBodytext"/>
        <w:rPr>
          <w:rFonts w:eastAsia="SimSun"/>
        </w:rPr>
      </w:pPr>
      <w:r w:rsidRPr="00DE2C57">
        <w:rPr>
          <w:rFonts w:eastAsia="SimSun"/>
        </w:rPr>
        <w:t>PV</w:t>
      </w:r>
      <w:r w:rsidR="00280FAF" w:rsidRPr="00DE2C57">
        <w:rPr>
          <w:rFonts w:eastAsia="SimSun"/>
        </w:rPr>
        <w:t xml:space="preserve"> – </w:t>
      </w:r>
      <w:r w:rsidRPr="00DE2C57">
        <w:rPr>
          <w:rFonts w:eastAsia="SimSun"/>
        </w:rPr>
        <w:t xml:space="preserve">Photovoltaic </w:t>
      </w:r>
    </w:p>
    <w:p w14:paraId="3BE8A89D" w14:textId="6B2C867F" w:rsidR="0012624F" w:rsidRDefault="0012624F" w:rsidP="00612E24">
      <w:pPr>
        <w:pStyle w:val="CETBodytext"/>
        <w:rPr>
          <w:rFonts w:eastAsia="SimSun"/>
        </w:rPr>
      </w:pPr>
      <w:r w:rsidRPr="0012624F">
        <w:rPr>
          <w:rFonts w:eastAsia="SimSun"/>
        </w:rPr>
        <w:t>RES – Renewable energy sources</w:t>
      </w:r>
    </w:p>
    <w:p w14:paraId="6601B1D9" w14:textId="076400F9" w:rsidR="0012624F" w:rsidRDefault="0012624F" w:rsidP="00612E24">
      <w:pPr>
        <w:pStyle w:val="CETBodytext"/>
        <w:rPr>
          <w:rFonts w:eastAsia="SimSun"/>
        </w:rPr>
      </w:pPr>
      <w:r w:rsidRPr="00DE2C57">
        <w:rPr>
          <w:rFonts w:eastAsia="SimSun"/>
        </w:rPr>
        <w:t>RHS – Renewable hydrogen-based system</w:t>
      </w:r>
    </w:p>
    <w:p w14:paraId="05339C99" w14:textId="6F7D4256" w:rsidR="0012624F" w:rsidRDefault="00A71866" w:rsidP="00612E24">
      <w:pPr>
        <w:pStyle w:val="CETBodytext"/>
      </w:pPr>
      <w:proofErr w:type="spellStart"/>
      <w:r>
        <w:t>SO</w:t>
      </w:r>
      <w:r>
        <w:rPr>
          <w:vertAlign w:val="subscript"/>
        </w:rPr>
        <w:t>x</w:t>
      </w:r>
      <w:proofErr w:type="spellEnd"/>
      <w:r>
        <w:t xml:space="preserve"> – Sulfur oxides</w:t>
      </w:r>
    </w:p>
    <w:p w14:paraId="076A65F5" w14:textId="77777777" w:rsidR="0012624F" w:rsidRDefault="0012624F" w:rsidP="00612E24">
      <w:pPr>
        <w:pStyle w:val="CETBodytext"/>
        <w:rPr>
          <w:rFonts w:eastAsia="SimSun"/>
        </w:rPr>
      </w:pPr>
      <w:r w:rsidRPr="00DE2C57">
        <w:rPr>
          <w:rFonts w:eastAsia="SimSun"/>
        </w:rPr>
        <w:t>TRL – Technology readiness level</w:t>
      </w:r>
    </w:p>
    <w:p w14:paraId="23420B1C" w14:textId="40889732" w:rsidR="00A71866" w:rsidRPr="0012624F" w:rsidRDefault="0012624F" w:rsidP="00612E24">
      <w:pPr>
        <w:pStyle w:val="CETBodytext"/>
        <w:rPr>
          <w:rFonts w:eastAsia="SimSun"/>
        </w:rPr>
        <w:sectPr w:rsidR="00A71866" w:rsidRPr="0012624F" w:rsidSect="00AB28C6">
          <w:type w:val="continuous"/>
          <w:pgSz w:w="11906" w:h="16838" w:code="9"/>
          <w:pgMar w:top="1701" w:right="1418" w:bottom="1701" w:left="1701" w:header="1701" w:footer="0" w:gutter="0"/>
          <w:cols w:num="2" w:space="708"/>
          <w:formProt w:val="0"/>
          <w:titlePg/>
          <w:docGrid w:linePitch="360"/>
        </w:sectPr>
      </w:pPr>
      <w:r w:rsidRPr="00DE2C57">
        <w:rPr>
          <w:rFonts w:eastAsia="SimSun"/>
        </w:rPr>
        <w:t>WT – Wind turbine</w:t>
      </w:r>
      <w:r w:rsidR="00A71866">
        <w:t xml:space="preserve"> </w:t>
      </w:r>
    </w:p>
    <w:p w14:paraId="2E793BEA" w14:textId="4DA3C0B0" w:rsidR="007958D6" w:rsidRPr="00DE2C57" w:rsidRDefault="00600535" w:rsidP="009D2B05">
      <w:pPr>
        <w:pStyle w:val="CETAcknowledgementstitle"/>
        <w:spacing w:after="0"/>
        <w:jc w:val="both"/>
        <w:rPr>
          <w:lang w:val="en-US"/>
        </w:rPr>
      </w:pPr>
      <w:r w:rsidRPr="00DE2C57">
        <w:rPr>
          <w:lang w:val="en-US"/>
        </w:rPr>
        <w:t>Ackno</w:t>
      </w:r>
      <w:r w:rsidR="007958D6" w:rsidRPr="00DE2C57">
        <w:rPr>
          <w:lang w:val="en-US"/>
        </w:rPr>
        <w:t>wledgments</w:t>
      </w:r>
    </w:p>
    <w:p w14:paraId="24709B64" w14:textId="38C9BD8A" w:rsidR="00D365A2" w:rsidRPr="00DE2C57" w:rsidRDefault="00D365A2" w:rsidP="00612E24">
      <w:pPr>
        <w:pStyle w:val="CETAcknowledgementstitle"/>
        <w:jc w:val="both"/>
        <w:rPr>
          <w:lang w:val="en-US"/>
        </w:rPr>
      </w:pPr>
      <w:r w:rsidRPr="00DE2C57">
        <w:rPr>
          <w:b w:val="0"/>
          <w:lang w:val="en-US"/>
        </w:rPr>
        <w:t xml:space="preserve">This research is being supported by the Project ENERGY PUSH SOE3/P3/E0865, which is co-financed by the European Regional Development Fund (ERPF) in the framework of the INTERREG SUDOE </w:t>
      </w:r>
      <w:proofErr w:type="spellStart"/>
      <w:r w:rsidRPr="00DE2C57">
        <w:rPr>
          <w:b w:val="0"/>
          <w:lang w:val="en-US"/>
        </w:rPr>
        <w:t>Programme</w:t>
      </w:r>
      <w:proofErr w:type="spellEnd"/>
      <w:r w:rsidRPr="00DE2C57">
        <w:rPr>
          <w:b w:val="0"/>
          <w:lang w:val="en-US"/>
        </w:rPr>
        <w:t xml:space="preserve"> and the Spanish Ministry of Science, Innovation, and Universities (Projects: RTI2018-093310-B-I00 and PLEC2021- 007718).</w:t>
      </w:r>
    </w:p>
    <w:p w14:paraId="6067D500" w14:textId="77777777" w:rsidR="00160D46" w:rsidRPr="00DE2C57" w:rsidRDefault="00160D46" w:rsidP="009D2B05">
      <w:pPr>
        <w:pStyle w:val="CETReference"/>
        <w:spacing w:after="0"/>
        <w:rPr>
          <w:lang w:val="en-US"/>
        </w:rPr>
      </w:pPr>
      <w:r w:rsidRPr="00DE2C57">
        <w:rPr>
          <w:lang w:val="en-US"/>
        </w:rPr>
        <w:t>References</w:t>
      </w:r>
    </w:p>
    <w:p w14:paraId="19C4FC68" w14:textId="63DCC9DB" w:rsidR="004628D2" w:rsidRDefault="00612E24" w:rsidP="00612E24">
      <w:pPr>
        <w:pStyle w:val="CETReferencetext"/>
        <w:rPr>
          <w:rFonts w:cs="Arial"/>
          <w:iCs/>
          <w:noProof/>
          <w:szCs w:val="24"/>
          <w:lang w:val="en-US"/>
        </w:rPr>
      </w:pPr>
      <w:r>
        <w:t xml:space="preserve">BPIE, 2011, </w:t>
      </w:r>
      <w:r w:rsidRPr="00612E24">
        <w:rPr>
          <w:rFonts w:cs="Arial"/>
          <w:iCs/>
          <w:noProof/>
          <w:szCs w:val="24"/>
          <w:lang w:val="en-US"/>
        </w:rPr>
        <w:t>A Country-by-Country Review of the Energy Performance of Buildings &lt;https://bpie.eu/wp-content/uploads/2015/10/HR_EU_B_under_microscope_study.pdf&gt; accessed 16.03.2022.</w:t>
      </w:r>
    </w:p>
    <w:p w14:paraId="56F568FC" w14:textId="77777777" w:rsidR="004401E5" w:rsidRDefault="004401E5" w:rsidP="004401E5">
      <w:pPr>
        <w:widowControl w:val="0"/>
        <w:autoSpaceDE w:val="0"/>
        <w:autoSpaceDN w:val="0"/>
        <w:adjustRightInd w:val="0"/>
        <w:spacing w:line="240" w:lineRule="auto"/>
        <w:ind w:left="284" w:hanging="284"/>
        <w:rPr>
          <w:rFonts w:cs="Arial"/>
          <w:noProof/>
          <w:szCs w:val="24"/>
        </w:rPr>
      </w:pPr>
      <w:r>
        <w:rPr>
          <w:rFonts w:cs="Arial"/>
          <w:noProof/>
          <w:szCs w:val="24"/>
        </w:rPr>
        <w:t>C</w:t>
      </w:r>
      <w:r w:rsidRPr="004401E5">
        <w:rPr>
          <w:rFonts w:cs="Arial"/>
          <w:noProof/>
          <w:szCs w:val="24"/>
        </w:rPr>
        <w:t>ipolletta</w:t>
      </w:r>
      <w:r>
        <w:rPr>
          <w:rFonts w:cs="Arial"/>
          <w:noProof/>
          <w:szCs w:val="24"/>
        </w:rPr>
        <w:t xml:space="preserve"> </w:t>
      </w:r>
      <w:r w:rsidRPr="004401E5">
        <w:rPr>
          <w:rFonts w:cs="Arial"/>
          <w:noProof/>
          <w:szCs w:val="24"/>
        </w:rPr>
        <w:t>M</w:t>
      </w:r>
      <w:r>
        <w:rPr>
          <w:rFonts w:cs="Arial"/>
          <w:noProof/>
          <w:szCs w:val="24"/>
        </w:rPr>
        <w:t>.</w:t>
      </w:r>
      <w:r w:rsidRPr="004401E5">
        <w:rPr>
          <w:rFonts w:cs="Arial"/>
          <w:noProof/>
          <w:szCs w:val="24"/>
        </w:rPr>
        <w:t>, Moreno</w:t>
      </w:r>
      <w:r>
        <w:rPr>
          <w:rFonts w:cs="Arial"/>
          <w:noProof/>
          <w:szCs w:val="24"/>
        </w:rPr>
        <w:t xml:space="preserve"> V.</w:t>
      </w:r>
      <w:r w:rsidRPr="004401E5">
        <w:rPr>
          <w:rFonts w:cs="Arial"/>
          <w:noProof/>
          <w:szCs w:val="24"/>
        </w:rPr>
        <w:t>, and Cozzani</w:t>
      </w:r>
      <w:r>
        <w:rPr>
          <w:rFonts w:cs="Arial"/>
          <w:noProof/>
          <w:szCs w:val="24"/>
        </w:rPr>
        <w:t xml:space="preserve"> V</w:t>
      </w:r>
      <w:r w:rsidRPr="004401E5">
        <w:rPr>
          <w:rFonts w:cs="Arial"/>
          <w:noProof/>
          <w:szCs w:val="24"/>
        </w:rPr>
        <w:t>.</w:t>
      </w:r>
      <w:r>
        <w:rPr>
          <w:rFonts w:cs="Arial"/>
          <w:noProof/>
          <w:szCs w:val="24"/>
        </w:rPr>
        <w:t xml:space="preserve">, 2022, </w:t>
      </w:r>
      <w:r w:rsidRPr="004401E5">
        <w:rPr>
          <w:rFonts w:cs="Arial"/>
          <w:noProof/>
          <w:szCs w:val="24"/>
        </w:rPr>
        <w:t>Green Hydrogen Production Routes: An Inherent Safety As</w:t>
      </w:r>
      <w:r>
        <w:rPr>
          <w:rFonts w:cs="Arial"/>
          <w:noProof/>
          <w:szCs w:val="24"/>
        </w:rPr>
        <w:t>sessment,</w:t>
      </w:r>
      <w:r w:rsidRPr="004401E5">
        <w:rPr>
          <w:rFonts w:cs="Arial"/>
          <w:noProof/>
          <w:szCs w:val="24"/>
        </w:rPr>
        <w:t xml:space="preserve"> </w:t>
      </w:r>
      <w:r w:rsidRPr="004401E5">
        <w:rPr>
          <w:rFonts w:cs="Arial"/>
          <w:iCs/>
          <w:noProof/>
          <w:szCs w:val="24"/>
        </w:rPr>
        <w:t>Chemical Engineering Transactions</w:t>
      </w:r>
      <w:r>
        <w:rPr>
          <w:rFonts w:cs="Arial"/>
          <w:noProof/>
          <w:szCs w:val="24"/>
        </w:rPr>
        <w:t>,</w:t>
      </w:r>
      <w:r w:rsidRPr="004401E5">
        <w:rPr>
          <w:rFonts w:cs="Arial"/>
          <w:noProof/>
          <w:szCs w:val="24"/>
        </w:rPr>
        <w:t xml:space="preserve"> 90</w:t>
      </w:r>
      <w:r>
        <w:rPr>
          <w:rFonts w:cs="Arial"/>
          <w:noProof/>
          <w:szCs w:val="24"/>
        </w:rPr>
        <w:t xml:space="preserve">, </w:t>
      </w:r>
      <w:r w:rsidRPr="004401E5">
        <w:rPr>
          <w:rFonts w:cs="Arial"/>
          <w:noProof/>
          <w:szCs w:val="24"/>
        </w:rPr>
        <w:t>55–60.</w:t>
      </w:r>
    </w:p>
    <w:p w14:paraId="1FC964F0" w14:textId="77777777" w:rsidR="004401E5" w:rsidRPr="005826E0" w:rsidRDefault="004401E5" w:rsidP="004401E5">
      <w:pPr>
        <w:widowControl w:val="0"/>
        <w:autoSpaceDE w:val="0"/>
        <w:autoSpaceDN w:val="0"/>
        <w:adjustRightInd w:val="0"/>
        <w:spacing w:line="240" w:lineRule="auto"/>
        <w:ind w:left="284" w:hanging="284"/>
        <w:rPr>
          <w:rFonts w:cs="Arial"/>
          <w:noProof/>
          <w:szCs w:val="24"/>
        </w:rPr>
      </w:pPr>
      <w:r w:rsidRPr="005826E0">
        <w:rPr>
          <w:rFonts w:cs="Arial"/>
          <w:noProof/>
          <w:szCs w:val="24"/>
        </w:rPr>
        <w:t>Derempouka</w:t>
      </w:r>
      <w:r>
        <w:rPr>
          <w:rFonts w:cs="Arial"/>
          <w:noProof/>
          <w:szCs w:val="24"/>
        </w:rPr>
        <w:t xml:space="preserve"> E.</w:t>
      </w:r>
      <w:r w:rsidRPr="005826E0">
        <w:rPr>
          <w:rFonts w:cs="Arial"/>
          <w:noProof/>
          <w:szCs w:val="24"/>
        </w:rPr>
        <w:t>, Skjold</w:t>
      </w:r>
      <w:r>
        <w:rPr>
          <w:rFonts w:cs="Arial"/>
          <w:noProof/>
          <w:szCs w:val="24"/>
        </w:rPr>
        <w:t xml:space="preserve"> T.</w:t>
      </w:r>
      <w:r w:rsidRPr="005826E0">
        <w:rPr>
          <w:rFonts w:cs="Arial"/>
          <w:noProof/>
          <w:szCs w:val="24"/>
        </w:rPr>
        <w:t>, Nj</w:t>
      </w:r>
      <w:r>
        <w:rPr>
          <w:rFonts w:cs="Arial"/>
          <w:noProof/>
          <w:szCs w:val="24"/>
        </w:rPr>
        <w:t xml:space="preserve">å O., and Haarstad H., 2022, </w:t>
      </w:r>
      <w:r w:rsidRPr="005826E0">
        <w:rPr>
          <w:rFonts w:cs="Arial"/>
          <w:noProof/>
          <w:szCs w:val="24"/>
        </w:rPr>
        <w:t xml:space="preserve">The Role of Safety in the Framing of the Hydrogen Economy by </w:t>
      </w:r>
      <w:r>
        <w:rPr>
          <w:rFonts w:cs="Arial"/>
          <w:noProof/>
          <w:szCs w:val="24"/>
        </w:rPr>
        <w:t>Selected Groups of Stakeholders,</w:t>
      </w:r>
      <w:r w:rsidRPr="005826E0">
        <w:rPr>
          <w:rFonts w:cs="Arial"/>
          <w:noProof/>
          <w:szCs w:val="24"/>
        </w:rPr>
        <w:t xml:space="preserve"> </w:t>
      </w:r>
      <w:r>
        <w:rPr>
          <w:rFonts w:cs="Arial"/>
          <w:iCs/>
          <w:noProof/>
          <w:szCs w:val="24"/>
        </w:rPr>
        <w:t>Chemical Engineering Transactions</w:t>
      </w:r>
      <w:r>
        <w:rPr>
          <w:rFonts w:cs="Arial"/>
          <w:noProof/>
          <w:szCs w:val="24"/>
        </w:rPr>
        <w:t xml:space="preserve">, </w:t>
      </w:r>
      <w:r w:rsidRPr="00542B1C">
        <w:rPr>
          <w:rFonts w:cs="Arial"/>
          <w:noProof/>
          <w:szCs w:val="24"/>
        </w:rPr>
        <w:t>90, 757-762.</w:t>
      </w:r>
    </w:p>
    <w:p w14:paraId="0AC7CD54" w14:textId="497C08E3" w:rsidR="00612E24" w:rsidRDefault="00612E24" w:rsidP="00612E24">
      <w:pPr>
        <w:pStyle w:val="CETReferencetext"/>
        <w:rPr>
          <w:rFonts w:cs="Arial"/>
          <w:iCs/>
          <w:noProof/>
          <w:szCs w:val="24"/>
          <w:lang w:val="en-US"/>
        </w:rPr>
      </w:pPr>
      <w:r>
        <w:rPr>
          <w:lang w:val="en-US"/>
        </w:rPr>
        <w:t xml:space="preserve">EU Commission, 2010, </w:t>
      </w:r>
      <w:r w:rsidRPr="00612E24">
        <w:rPr>
          <w:rFonts w:cs="Arial"/>
          <w:iCs/>
          <w:noProof/>
          <w:szCs w:val="24"/>
          <w:lang w:val="en-US"/>
        </w:rPr>
        <w:t>Directive 2010/31/EU</w:t>
      </w:r>
      <w:r>
        <w:rPr>
          <w:rFonts w:cs="Arial"/>
          <w:iCs/>
          <w:noProof/>
          <w:szCs w:val="24"/>
          <w:lang w:val="en-US"/>
        </w:rPr>
        <w:t xml:space="preserve">: </w:t>
      </w:r>
      <w:r w:rsidRPr="00612E24">
        <w:rPr>
          <w:rFonts w:cs="Arial"/>
          <w:iCs/>
          <w:noProof/>
          <w:szCs w:val="24"/>
          <w:lang w:val="en-US"/>
        </w:rPr>
        <w:t>Energy Performance of Buildings</w:t>
      </w:r>
      <w:r>
        <w:rPr>
          <w:rFonts w:cs="Arial"/>
          <w:iCs/>
          <w:noProof/>
          <w:szCs w:val="24"/>
          <w:lang w:val="en-US"/>
        </w:rPr>
        <w:t xml:space="preserve"> &lt;</w:t>
      </w:r>
      <w:r w:rsidRPr="00612E24">
        <w:t xml:space="preserve"> </w:t>
      </w:r>
      <w:r w:rsidRPr="00612E24">
        <w:rPr>
          <w:rFonts w:cs="Arial"/>
          <w:iCs/>
          <w:noProof/>
          <w:szCs w:val="24"/>
          <w:lang w:val="en-US"/>
        </w:rPr>
        <w:t>https://eur-lex.europa.eu/LexUriServ/LexUriServ.do?uri=OJ:L:2010:153:0013:0035:EN:PDF</w:t>
      </w:r>
      <w:r>
        <w:rPr>
          <w:rFonts w:cs="Arial"/>
          <w:iCs/>
          <w:noProof/>
          <w:szCs w:val="24"/>
          <w:lang w:val="en-US"/>
        </w:rPr>
        <w:t xml:space="preserve">&gt; </w:t>
      </w:r>
      <w:r w:rsidRPr="00612E24">
        <w:rPr>
          <w:rFonts w:cs="Arial"/>
          <w:iCs/>
          <w:noProof/>
          <w:szCs w:val="24"/>
          <w:lang w:val="en-US"/>
        </w:rPr>
        <w:t>accessed 16.03.2022.</w:t>
      </w:r>
    </w:p>
    <w:p w14:paraId="3536E5A5" w14:textId="0BD962D1" w:rsidR="00612E24" w:rsidRDefault="00612E24" w:rsidP="00612E24">
      <w:pPr>
        <w:pStyle w:val="CETReferencetext"/>
        <w:rPr>
          <w:rFonts w:cs="Arial"/>
          <w:iCs/>
          <w:noProof/>
          <w:szCs w:val="24"/>
          <w:lang w:val="en-US"/>
        </w:rPr>
      </w:pPr>
      <w:r>
        <w:rPr>
          <w:lang w:val="en-US"/>
        </w:rPr>
        <w:t xml:space="preserve">EU Commission, 2018, </w:t>
      </w:r>
      <w:r w:rsidR="009E156A">
        <w:rPr>
          <w:rFonts w:cs="Arial"/>
          <w:iCs/>
          <w:noProof/>
          <w:szCs w:val="24"/>
          <w:lang w:val="en-US"/>
        </w:rPr>
        <w:t xml:space="preserve">DIRECTIVE (EU) 2018/844: </w:t>
      </w:r>
      <w:r w:rsidRPr="00612E24">
        <w:rPr>
          <w:rFonts w:cs="Arial"/>
          <w:iCs/>
          <w:noProof/>
          <w:szCs w:val="24"/>
          <w:lang w:val="en-US"/>
        </w:rPr>
        <w:t>Amending Directive 2010/31/EU on the Energy Performance of Buildings and Directive 2012/27/EU on Energy Efficiency</w:t>
      </w:r>
      <w:r>
        <w:rPr>
          <w:rFonts w:cs="Arial"/>
          <w:noProof/>
          <w:szCs w:val="24"/>
          <w:lang w:val="en-US"/>
        </w:rPr>
        <w:t xml:space="preserve"> &lt;</w:t>
      </w:r>
      <w:r w:rsidRPr="00612E24">
        <w:t xml:space="preserve"> </w:t>
      </w:r>
      <w:r w:rsidRPr="00612E24">
        <w:rPr>
          <w:rFonts w:cs="Arial"/>
          <w:noProof/>
          <w:szCs w:val="24"/>
          <w:lang w:val="en-US"/>
        </w:rPr>
        <w:t>https://eur-lex.europa.eu/legal-content/EN/TXT/PDF/?uri=CELEX:32018L0844&amp;from=EN</w:t>
      </w:r>
      <w:r>
        <w:rPr>
          <w:rFonts w:cs="Arial"/>
          <w:noProof/>
          <w:szCs w:val="24"/>
          <w:lang w:val="en-US"/>
        </w:rPr>
        <w:t xml:space="preserve">&gt; </w:t>
      </w:r>
      <w:r w:rsidRPr="00612E24">
        <w:rPr>
          <w:rFonts w:cs="Arial"/>
          <w:iCs/>
          <w:noProof/>
          <w:szCs w:val="24"/>
          <w:lang w:val="en-US"/>
        </w:rPr>
        <w:t>accessed 16.03.2022.</w:t>
      </w:r>
    </w:p>
    <w:p w14:paraId="2DB0A373" w14:textId="53868AE3" w:rsidR="00D62FFA" w:rsidRPr="009D2B05" w:rsidRDefault="00D62FFA" w:rsidP="004119A4">
      <w:pPr>
        <w:pStyle w:val="CETReferencetext"/>
      </w:pPr>
      <w:r>
        <w:rPr>
          <w:rFonts w:cs="Arial"/>
          <w:iCs/>
          <w:noProof/>
          <w:szCs w:val="24"/>
          <w:lang w:val="en-US"/>
        </w:rPr>
        <w:t xml:space="preserve">EU Commission, 2021, </w:t>
      </w:r>
      <w:r>
        <w:t xml:space="preserve">Proposal for a Directive of the European Parliament and of the council on energy efficiency (recast) </w:t>
      </w:r>
      <w:r w:rsidR="009D2B05" w:rsidRPr="009D2B05">
        <w:t>&lt;</w:t>
      </w:r>
      <w:hyperlink r:id="rId17" w:history="1">
        <w:r w:rsidR="004119A4" w:rsidRPr="00CA0265">
          <w:rPr>
            <w:rStyle w:val="Collegamentoipertestuale"/>
          </w:rPr>
          <w:t>https://ec.europa.eu/info/sites/default/files/</w:t>
        </w:r>
      </w:hyperlink>
      <w:r w:rsidR="004119A4">
        <w:t xml:space="preserve"> </w:t>
      </w:r>
      <w:r w:rsidR="009D2B05" w:rsidRPr="009D2B05">
        <w:t xml:space="preserve">proposal_for_a_directive_on_energy_efficiency_recast.pdf&gt; </w:t>
      </w:r>
      <w:r>
        <w:t>accessed 11.07.2022</w:t>
      </w:r>
    </w:p>
    <w:p w14:paraId="7832615F" w14:textId="3471CBCE" w:rsidR="009E156A" w:rsidRDefault="009E156A" w:rsidP="00612E24">
      <w:pPr>
        <w:pStyle w:val="CETReferencetext"/>
        <w:rPr>
          <w:rFonts w:cs="Arial"/>
          <w:noProof/>
          <w:szCs w:val="24"/>
          <w:lang w:val="en-US"/>
        </w:rPr>
      </w:pPr>
      <w:r>
        <w:rPr>
          <w:lang w:val="en-US"/>
        </w:rPr>
        <w:t xml:space="preserve">Foley A., </w:t>
      </w:r>
      <w:proofErr w:type="spellStart"/>
      <w:r>
        <w:rPr>
          <w:lang w:val="en-US"/>
        </w:rPr>
        <w:t>Olabi</w:t>
      </w:r>
      <w:proofErr w:type="spellEnd"/>
      <w:r>
        <w:rPr>
          <w:lang w:val="en-US"/>
        </w:rPr>
        <w:t xml:space="preserve"> A.G., </w:t>
      </w:r>
      <w:r w:rsidR="006B6CF5">
        <w:rPr>
          <w:lang w:val="en-US"/>
        </w:rPr>
        <w:t xml:space="preserve">2017, </w:t>
      </w:r>
      <w:r w:rsidRPr="00DE2C57">
        <w:rPr>
          <w:rFonts w:cs="Arial"/>
          <w:noProof/>
          <w:szCs w:val="24"/>
          <w:lang w:val="en-US"/>
        </w:rPr>
        <w:t xml:space="preserve">Renewable </w:t>
      </w:r>
      <w:r w:rsidR="008A7D64">
        <w:rPr>
          <w:rFonts w:cs="Arial"/>
          <w:noProof/>
          <w:szCs w:val="24"/>
          <w:lang w:val="en-US"/>
        </w:rPr>
        <w:t>e</w:t>
      </w:r>
      <w:r w:rsidRPr="00DE2C57">
        <w:rPr>
          <w:rFonts w:cs="Arial"/>
          <w:noProof/>
          <w:szCs w:val="24"/>
          <w:lang w:val="en-US"/>
        </w:rPr>
        <w:t xml:space="preserve">nergy </w:t>
      </w:r>
      <w:r w:rsidR="008A7D64">
        <w:rPr>
          <w:rFonts w:cs="Arial"/>
          <w:noProof/>
          <w:szCs w:val="24"/>
          <w:lang w:val="en-US"/>
        </w:rPr>
        <w:t>t</w:t>
      </w:r>
      <w:r w:rsidRPr="00DE2C57">
        <w:rPr>
          <w:rFonts w:cs="Arial"/>
          <w:noProof/>
          <w:szCs w:val="24"/>
          <w:lang w:val="en-US"/>
        </w:rPr>
        <w:t xml:space="preserve">echnology </w:t>
      </w:r>
      <w:r w:rsidR="008A7D64">
        <w:rPr>
          <w:rFonts w:cs="Arial"/>
          <w:noProof/>
          <w:szCs w:val="24"/>
          <w:lang w:val="en-US"/>
        </w:rPr>
        <w:t>d</w:t>
      </w:r>
      <w:r w:rsidRPr="00DE2C57">
        <w:rPr>
          <w:rFonts w:cs="Arial"/>
          <w:noProof/>
          <w:szCs w:val="24"/>
          <w:lang w:val="en-US"/>
        </w:rPr>
        <w:t xml:space="preserve">evelopments, </w:t>
      </w:r>
      <w:r w:rsidR="008A7D64">
        <w:rPr>
          <w:rFonts w:cs="Arial"/>
          <w:noProof/>
          <w:szCs w:val="24"/>
          <w:lang w:val="en-US"/>
        </w:rPr>
        <w:t>t</w:t>
      </w:r>
      <w:r w:rsidRPr="00DE2C57">
        <w:rPr>
          <w:rFonts w:cs="Arial"/>
          <w:noProof/>
          <w:szCs w:val="24"/>
          <w:lang w:val="en-US"/>
        </w:rPr>
        <w:t xml:space="preserve">rends and </w:t>
      </w:r>
      <w:r w:rsidR="008A7D64">
        <w:rPr>
          <w:rFonts w:cs="Arial"/>
          <w:noProof/>
          <w:szCs w:val="24"/>
          <w:lang w:val="en-US"/>
        </w:rPr>
        <w:t>p</w:t>
      </w:r>
      <w:r w:rsidRPr="00DE2C57">
        <w:rPr>
          <w:rFonts w:cs="Arial"/>
          <w:noProof/>
          <w:szCs w:val="24"/>
          <w:lang w:val="en-US"/>
        </w:rPr>
        <w:t xml:space="preserve">olicy </w:t>
      </w:r>
      <w:r w:rsidR="008A7D64">
        <w:rPr>
          <w:rFonts w:cs="Arial"/>
          <w:noProof/>
          <w:szCs w:val="24"/>
          <w:lang w:val="en-US"/>
        </w:rPr>
        <w:t>i</w:t>
      </w:r>
      <w:r w:rsidRPr="00DE2C57">
        <w:rPr>
          <w:rFonts w:cs="Arial"/>
          <w:noProof/>
          <w:szCs w:val="24"/>
          <w:lang w:val="en-US"/>
        </w:rPr>
        <w:t xml:space="preserve">mplications </w:t>
      </w:r>
      <w:r w:rsidR="008A7D64">
        <w:rPr>
          <w:rFonts w:cs="Arial"/>
          <w:noProof/>
          <w:szCs w:val="24"/>
          <w:lang w:val="en-US"/>
        </w:rPr>
        <w:t>t</w:t>
      </w:r>
      <w:r w:rsidRPr="00DE2C57">
        <w:rPr>
          <w:rFonts w:cs="Arial"/>
          <w:noProof/>
          <w:szCs w:val="24"/>
          <w:lang w:val="en-US"/>
        </w:rPr>
        <w:t xml:space="preserve">hat </w:t>
      </w:r>
      <w:r w:rsidR="008A7D64">
        <w:rPr>
          <w:rFonts w:cs="Arial"/>
          <w:noProof/>
          <w:szCs w:val="24"/>
          <w:lang w:val="en-US"/>
        </w:rPr>
        <w:t>c</w:t>
      </w:r>
      <w:r w:rsidRPr="00DE2C57">
        <w:rPr>
          <w:rFonts w:cs="Arial"/>
          <w:noProof/>
          <w:szCs w:val="24"/>
          <w:lang w:val="en-US"/>
        </w:rPr>
        <w:t xml:space="preserve">an </w:t>
      </w:r>
      <w:r w:rsidR="008A7D64">
        <w:rPr>
          <w:rFonts w:cs="Arial"/>
          <w:noProof/>
          <w:szCs w:val="24"/>
          <w:lang w:val="en-US"/>
        </w:rPr>
        <w:t>u</w:t>
      </w:r>
      <w:r w:rsidRPr="00DE2C57">
        <w:rPr>
          <w:rFonts w:cs="Arial"/>
          <w:noProof/>
          <w:szCs w:val="24"/>
          <w:lang w:val="en-US"/>
        </w:rPr>
        <w:t xml:space="preserve">nderpin the </w:t>
      </w:r>
      <w:r w:rsidR="008A7D64">
        <w:rPr>
          <w:rFonts w:cs="Arial"/>
          <w:noProof/>
          <w:szCs w:val="24"/>
          <w:lang w:val="en-US"/>
        </w:rPr>
        <w:t>d</w:t>
      </w:r>
      <w:r w:rsidRPr="00DE2C57">
        <w:rPr>
          <w:rFonts w:cs="Arial"/>
          <w:noProof/>
          <w:szCs w:val="24"/>
          <w:lang w:val="en-US"/>
        </w:rPr>
        <w:t xml:space="preserve">rive for </w:t>
      </w:r>
      <w:r w:rsidR="008A7D64">
        <w:rPr>
          <w:rFonts w:cs="Arial"/>
          <w:noProof/>
          <w:szCs w:val="24"/>
          <w:lang w:val="en-US"/>
        </w:rPr>
        <w:t>g</w:t>
      </w:r>
      <w:r w:rsidRPr="00DE2C57">
        <w:rPr>
          <w:rFonts w:cs="Arial"/>
          <w:noProof/>
          <w:szCs w:val="24"/>
          <w:lang w:val="en-US"/>
        </w:rPr>
        <w:t xml:space="preserve">lobal </w:t>
      </w:r>
      <w:r w:rsidR="008A7D64">
        <w:rPr>
          <w:rFonts w:cs="Arial"/>
          <w:noProof/>
          <w:szCs w:val="24"/>
          <w:lang w:val="en-US"/>
        </w:rPr>
        <w:t>c</w:t>
      </w:r>
      <w:r w:rsidRPr="00DE2C57">
        <w:rPr>
          <w:rFonts w:cs="Arial"/>
          <w:noProof/>
          <w:szCs w:val="24"/>
          <w:lang w:val="en-US"/>
        </w:rPr>
        <w:t xml:space="preserve">limate </w:t>
      </w:r>
      <w:r w:rsidR="008A7D64">
        <w:rPr>
          <w:rFonts w:cs="Arial"/>
          <w:noProof/>
          <w:szCs w:val="24"/>
          <w:lang w:val="en-US"/>
        </w:rPr>
        <w:t>c</w:t>
      </w:r>
      <w:r w:rsidRPr="00DE2C57">
        <w:rPr>
          <w:rFonts w:cs="Arial"/>
          <w:noProof/>
          <w:szCs w:val="24"/>
          <w:lang w:val="en-US"/>
        </w:rPr>
        <w:t>hange</w:t>
      </w:r>
      <w:r>
        <w:rPr>
          <w:rFonts w:cs="Arial"/>
          <w:noProof/>
          <w:szCs w:val="24"/>
          <w:lang w:val="en-US"/>
        </w:rPr>
        <w:t xml:space="preserve">, Renewable </w:t>
      </w:r>
      <w:r w:rsidR="008A7D64">
        <w:rPr>
          <w:rFonts w:cs="Arial"/>
          <w:noProof/>
          <w:szCs w:val="24"/>
          <w:lang w:val="en-US"/>
        </w:rPr>
        <w:t>&amp;</w:t>
      </w:r>
      <w:r>
        <w:rPr>
          <w:rFonts w:cs="Arial"/>
          <w:noProof/>
          <w:szCs w:val="24"/>
          <w:lang w:val="en-US"/>
        </w:rPr>
        <w:t xml:space="preserve"> Sustainable Energy Reviews, </w:t>
      </w:r>
      <w:r w:rsidRPr="00DE2C57">
        <w:rPr>
          <w:rFonts w:cs="Arial"/>
          <w:noProof/>
          <w:szCs w:val="24"/>
          <w:lang w:val="en-US"/>
        </w:rPr>
        <w:t>68:1112–14</w:t>
      </w:r>
      <w:r>
        <w:rPr>
          <w:rFonts w:cs="Arial"/>
          <w:noProof/>
          <w:szCs w:val="24"/>
          <w:lang w:val="en-US"/>
        </w:rPr>
        <w:t>.</w:t>
      </w:r>
    </w:p>
    <w:p w14:paraId="41AB8F11" w14:textId="7FCD94A9" w:rsidR="006B6CF5" w:rsidRDefault="006B6CF5" w:rsidP="00612E24">
      <w:pPr>
        <w:pStyle w:val="CETReferencetext"/>
        <w:rPr>
          <w:rFonts w:cs="Arial"/>
          <w:iCs/>
          <w:noProof/>
          <w:szCs w:val="24"/>
          <w:lang w:val="en-US"/>
        </w:rPr>
      </w:pPr>
      <w:r>
        <w:rPr>
          <w:rFonts w:cs="Arial"/>
          <w:noProof/>
          <w:szCs w:val="24"/>
        </w:rPr>
        <w:t>IRENA, 2018, Global energy transformation: A Roadmap to 2050 &lt;</w:t>
      </w:r>
      <w:hyperlink r:id="rId18" w:history="1">
        <w:r w:rsidR="004119A4" w:rsidRPr="00CA0265">
          <w:rPr>
            <w:rStyle w:val="Collegamentoipertestuale"/>
            <w:rFonts w:cs="Arial"/>
            <w:noProof/>
            <w:szCs w:val="24"/>
          </w:rPr>
          <w:t>https://www.irena.org/publications/</w:t>
        </w:r>
      </w:hyperlink>
      <w:r w:rsidR="004119A4">
        <w:rPr>
          <w:rFonts w:cs="Arial"/>
          <w:noProof/>
          <w:szCs w:val="24"/>
        </w:rPr>
        <w:t xml:space="preserve"> </w:t>
      </w:r>
      <w:r w:rsidRPr="006B6CF5">
        <w:rPr>
          <w:rFonts w:cs="Arial"/>
          <w:noProof/>
          <w:szCs w:val="24"/>
        </w:rPr>
        <w:t>2018/Apr/Global-Energy-Transition-A-Roadmap-to-2050</w:t>
      </w:r>
      <w:r>
        <w:rPr>
          <w:rFonts w:cs="Arial"/>
          <w:noProof/>
          <w:szCs w:val="24"/>
        </w:rPr>
        <w:t xml:space="preserve">&gt; </w:t>
      </w:r>
      <w:r w:rsidRPr="00612E24">
        <w:rPr>
          <w:rFonts w:cs="Arial"/>
          <w:iCs/>
          <w:noProof/>
          <w:szCs w:val="24"/>
          <w:lang w:val="en-US"/>
        </w:rPr>
        <w:t>accessed 16.03.2022.</w:t>
      </w:r>
    </w:p>
    <w:p w14:paraId="799A37CF" w14:textId="2A9A2A58" w:rsidR="009F25B5" w:rsidRDefault="009F25B5" w:rsidP="00612E24">
      <w:pPr>
        <w:pStyle w:val="CETReferencetext"/>
        <w:rPr>
          <w:rFonts w:cs="Arial"/>
          <w:noProof/>
          <w:szCs w:val="24"/>
        </w:rPr>
      </w:pPr>
      <w:r w:rsidRPr="009F25B5">
        <w:rPr>
          <w:rFonts w:cs="Arial"/>
          <w:noProof/>
          <w:szCs w:val="24"/>
        </w:rPr>
        <w:t xml:space="preserve">Luta D.N., Raji A.K., 2019, </w:t>
      </w:r>
      <w:r w:rsidRPr="006B6CF5">
        <w:rPr>
          <w:rFonts w:cs="Arial"/>
          <w:noProof/>
          <w:szCs w:val="24"/>
        </w:rPr>
        <w:t xml:space="preserve">Optimal </w:t>
      </w:r>
      <w:r w:rsidR="008A7D64">
        <w:rPr>
          <w:rFonts w:cs="Arial"/>
          <w:noProof/>
          <w:szCs w:val="24"/>
        </w:rPr>
        <w:t>s</w:t>
      </w:r>
      <w:r w:rsidRPr="006B6CF5">
        <w:rPr>
          <w:rFonts w:cs="Arial"/>
          <w:noProof/>
          <w:szCs w:val="24"/>
        </w:rPr>
        <w:t xml:space="preserve">izing of </w:t>
      </w:r>
      <w:r w:rsidR="008A7D64">
        <w:rPr>
          <w:rFonts w:cs="Arial"/>
          <w:noProof/>
          <w:szCs w:val="24"/>
        </w:rPr>
        <w:t>h</w:t>
      </w:r>
      <w:r w:rsidRPr="006B6CF5">
        <w:rPr>
          <w:rFonts w:cs="Arial"/>
          <w:noProof/>
          <w:szCs w:val="24"/>
        </w:rPr>
        <w:t xml:space="preserve">ybrid Fuel Cell-Supercapacitor </w:t>
      </w:r>
      <w:r w:rsidR="008A7D64">
        <w:rPr>
          <w:rFonts w:cs="Arial"/>
          <w:noProof/>
          <w:szCs w:val="24"/>
        </w:rPr>
        <w:t>s</w:t>
      </w:r>
      <w:r w:rsidRPr="006B6CF5">
        <w:rPr>
          <w:rFonts w:cs="Arial"/>
          <w:noProof/>
          <w:szCs w:val="24"/>
        </w:rPr>
        <w:t xml:space="preserve">torage </w:t>
      </w:r>
      <w:r w:rsidR="008A7D64">
        <w:rPr>
          <w:rFonts w:cs="Arial"/>
          <w:noProof/>
          <w:szCs w:val="24"/>
        </w:rPr>
        <w:t>s</w:t>
      </w:r>
      <w:r w:rsidRPr="006B6CF5">
        <w:rPr>
          <w:rFonts w:cs="Arial"/>
          <w:noProof/>
          <w:szCs w:val="24"/>
        </w:rPr>
        <w:t>ystem for of</w:t>
      </w:r>
      <w:r>
        <w:rPr>
          <w:rFonts w:cs="Arial"/>
          <w:noProof/>
          <w:szCs w:val="24"/>
        </w:rPr>
        <w:t xml:space="preserve">f-Grid </w:t>
      </w:r>
      <w:r w:rsidR="008A7D64">
        <w:rPr>
          <w:rFonts w:cs="Arial"/>
          <w:noProof/>
          <w:szCs w:val="24"/>
        </w:rPr>
        <w:t>r</w:t>
      </w:r>
      <w:r>
        <w:rPr>
          <w:rFonts w:cs="Arial"/>
          <w:noProof/>
          <w:szCs w:val="24"/>
        </w:rPr>
        <w:t xml:space="preserve">enewable </w:t>
      </w:r>
      <w:r w:rsidR="008A7D64">
        <w:rPr>
          <w:rFonts w:cs="Arial"/>
          <w:noProof/>
          <w:szCs w:val="24"/>
        </w:rPr>
        <w:t>a</w:t>
      </w:r>
      <w:r>
        <w:rPr>
          <w:rFonts w:cs="Arial"/>
          <w:noProof/>
          <w:szCs w:val="24"/>
        </w:rPr>
        <w:t xml:space="preserve">pplications, </w:t>
      </w:r>
      <w:r w:rsidRPr="009F25B5">
        <w:rPr>
          <w:rFonts w:cs="Arial"/>
          <w:iCs/>
          <w:noProof/>
          <w:szCs w:val="24"/>
        </w:rPr>
        <w:t>Energy</w:t>
      </w:r>
      <w:r>
        <w:rPr>
          <w:rFonts w:cs="Arial"/>
          <w:noProof/>
          <w:szCs w:val="24"/>
        </w:rPr>
        <w:t xml:space="preserve">, </w:t>
      </w:r>
      <w:r w:rsidRPr="006B6CF5">
        <w:rPr>
          <w:rFonts w:cs="Arial"/>
          <w:noProof/>
          <w:szCs w:val="24"/>
        </w:rPr>
        <w:t>166:530–40.</w:t>
      </w:r>
    </w:p>
    <w:p w14:paraId="55B0B08A" w14:textId="6ACF69A3" w:rsidR="009F25B5" w:rsidRPr="009F25B5" w:rsidRDefault="009F25B5" w:rsidP="009F25B5">
      <w:pPr>
        <w:pStyle w:val="CETReferencetext"/>
      </w:pPr>
      <w:r w:rsidRPr="009F25B5">
        <w:rPr>
          <w:rFonts w:cs="Arial"/>
          <w:noProof/>
          <w:szCs w:val="24"/>
        </w:rPr>
        <w:t xml:space="preserve">Maestre V.M., Ortiz A., Ortiz I., 2021, </w:t>
      </w:r>
      <w:r w:rsidRPr="006B6CF5">
        <w:rPr>
          <w:rFonts w:cs="Arial"/>
          <w:noProof/>
          <w:szCs w:val="24"/>
        </w:rPr>
        <w:t xml:space="preserve">Challenges and </w:t>
      </w:r>
      <w:r w:rsidR="008A7D64">
        <w:rPr>
          <w:rFonts w:cs="Arial"/>
          <w:noProof/>
          <w:szCs w:val="24"/>
        </w:rPr>
        <w:t>p</w:t>
      </w:r>
      <w:r w:rsidRPr="006B6CF5">
        <w:rPr>
          <w:rFonts w:cs="Arial"/>
          <w:noProof/>
          <w:szCs w:val="24"/>
        </w:rPr>
        <w:t xml:space="preserve">rospects of </w:t>
      </w:r>
      <w:r w:rsidR="008A7D64">
        <w:rPr>
          <w:rFonts w:cs="Arial"/>
          <w:noProof/>
          <w:szCs w:val="24"/>
        </w:rPr>
        <w:t>r</w:t>
      </w:r>
      <w:r w:rsidRPr="006B6CF5">
        <w:rPr>
          <w:rFonts w:cs="Arial"/>
          <w:noProof/>
          <w:szCs w:val="24"/>
        </w:rPr>
        <w:t xml:space="preserve">enewable </w:t>
      </w:r>
      <w:r w:rsidR="008A7D64">
        <w:rPr>
          <w:rFonts w:cs="Arial"/>
          <w:noProof/>
          <w:szCs w:val="24"/>
        </w:rPr>
        <w:t>h</w:t>
      </w:r>
      <w:r w:rsidRPr="006B6CF5">
        <w:rPr>
          <w:rFonts w:cs="Arial"/>
          <w:noProof/>
          <w:szCs w:val="24"/>
        </w:rPr>
        <w:t>ydrogen-</w:t>
      </w:r>
      <w:r w:rsidR="008A7D64">
        <w:rPr>
          <w:rFonts w:cs="Arial"/>
          <w:noProof/>
          <w:szCs w:val="24"/>
        </w:rPr>
        <w:t>b</w:t>
      </w:r>
      <w:r w:rsidRPr="006B6CF5">
        <w:rPr>
          <w:rFonts w:cs="Arial"/>
          <w:noProof/>
          <w:szCs w:val="24"/>
        </w:rPr>
        <w:t xml:space="preserve">ased </w:t>
      </w:r>
      <w:r w:rsidR="008A7D64">
        <w:rPr>
          <w:rFonts w:cs="Arial"/>
          <w:noProof/>
          <w:szCs w:val="24"/>
        </w:rPr>
        <w:t>s</w:t>
      </w:r>
      <w:r w:rsidRPr="006B6CF5">
        <w:rPr>
          <w:rFonts w:cs="Arial"/>
          <w:noProof/>
          <w:szCs w:val="24"/>
        </w:rPr>
        <w:t xml:space="preserve">trategies for </w:t>
      </w:r>
      <w:r w:rsidR="008A7D64">
        <w:rPr>
          <w:rFonts w:cs="Arial"/>
          <w:noProof/>
          <w:szCs w:val="24"/>
        </w:rPr>
        <w:t>f</w:t>
      </w:r>
      <w:r w:rsidRPr="006B6CF5">
        <w:rPr>
          <w:rFonts w:cs="Arial"/>
          <w:noProof/>
          <w:szCs w:val="24"/>
        </w:rPr>
        <w:t xml:space="preserve">ull </w:t>
      </w:r>
      <w:r w:rsidR="008A7D64">
        <w:rPr>
          <w:rFonts w:cs="Arial"/>
          <w:noProof/>
          <w:szCs w:val="24"/>
        </w:rPr>
        <w:t>d</w:t>
      </w:r>
      <w:r w:rsidRPr="006B6CF5">
        <w:rPr>
          <w:rFonts w:cs="Arial"/>
          <w:noProof/>
          <w:szCs w:val="24"/>
        </w:rPr>
        <w:t>ecarbonization of</w:t>
      </w:r>
      <w:r>
        <w:rPr>
          <w:rFonts w:cs="Arial"/>
          <w:noProof/>
          <w:szCs w:val="24"/>
        </w:rPr>
        <w:t xml:space="preserve"> </w:t>
      </w:r>
      <w:r w:rsidR="008A7D64">
        <w:rPr>
          <w:rFonts w:cs="Arial"/>
          <w:noProof/>
          <w:szCs w:val="24"/>
        </w:rPr>
        <w:t>s</w:t>
      </w:r>
      <w:r>
        <w:rPr>
          <w:rFonts w:cs="Arial"/>
          <w:noProof/>
          <w:szCs w:val="24"/>
        </w:rPr>
        <w:t xml:space="preserve">tationary </w:t>
      </w:r>
      <w:r w:rsidR="008A7D64">
        <w:rPr>
          <w:rFonts w:cs="Arial"/>
          <w:noProof/>
          <w:szCs w:val="24"/>
        </w:rPr>
        <w:t>p</w:t>
      </w:r>
      <w:r>
        <w:rPr>
          <w:rFonts w:cs="Arial"/>
          <w:noProof/>
          <w:szCs w:val="24"/>
        </w:rPr>
        <w:t xml:space="preserve">ower </w:t>
      </w:r>
      <w:r w:rsidR="008A7D64">
        <w:rPr>
          <w:rFonts w:cs="Arial"/>
          <w:noProof/>
          <w:szCs w:val="24"/>
        </w:rPr>
        <w:t>a</w:t>
      </w:r>
      <w:r>
        <w:rPr>
          <w:rFonts w:cs="Arial"/>
          <w:noProof/>
          <w:szCs w:val="24"/>
        </w:rPr>
        <w:t>pplications,</w:t>
      </w:r>
      <w:r w:rsidRPr="006B6CF5">
        <w:rPr>
          <w:rFonts w:cs="Arial"/>
          <w:noProof/>
          <w:szCs w:val="24"/>
        </w:rPr>
        <w:t xml:space="preserve"> </w:t>
      </w:r>
      <w:r w:rsidRPr="009F25B5">
        <w:rPr>
          <w:rFonts w:cs="Arial"/>
          <w:iCs/>
          <w:noProof/>
          <w:szCs w:val="24"/>
        </w:rPr>
        <w:t xml:space="preserve">Renewable </w:t>
      </w:r>
      <w:r w:rsidR="008A7D64">
        <w:rPr>
          <w:rFonts w:cs="Arial"/>
          <w:iCs/>
          <w:noProof/>
          <w:szCs w:val="24"/>
        </w:rPr>
        <w:t>&amp;</w:t>
      </w:r>
      <w:r w:rsidRPr="009F25B5">
        <w:rPr>
          <w:rFonts w:cs="Arial"/>
          <w:iCs/>
          <w:noProof/>
          <w:szCs w:val="24"/>
        </w:rPr>
        <w:t xml:space="preserve"> Sustainable Energy Reviews</w:t>
      </w:r>
      <w:r>
        <w:rPr>
          <w:rFonts w:cs="Arial"/>
          <w:noProof/>
          <w:szCs w:val="24"/>
        </w:rPr>
        <w:t>,</w:t>
      </w:r>
      <w:r w:rsidRPr="009F25B5">
        <w:rPr>
          <w:rFonts w:cs="Arial"/>
          <w:noProof/>
          <w:szCs w:val="24"/>
        </w:rPr>
        <w:t xml:space="preserve"> </w:t>
      </w:r>
      <w:r w:rsidRPr="006B6CF5">
        <w:rPr>
          <w:rFonts w:cs="Arial"/>
          <w:noProof/>
          <w:szCs w:val="24"/>
        </w:rPr>
        <w:t>152:111628.</w:t>
      </w:r>
    </w:p>
    <w:p w14:paraId="2A43E8C9" w14:textId="2B7EB08B" w:rsidR="009F25B5" w:rsidRDefault="009F25B5" w:rsidP="00612E24">
      <w:pPr>
        <w:pStyle w:val="CETReferencetext"/>
        <w:rPr>
          <w:rFonts w:cs="Arial"/>
          <w:noProof/>
          <w:szCs w:val="24"/>
        </w:rPr>
      </w:pPr>
      <w:r w:rsidRPr="009F25B5">
        <w:rPr>
          <w:rFonts w:cs="Arial"/>
          <w:noProof/>
          <w:szCs w:val="24"/>
        </w:rPr>
        <w:t xml:space="preserve">Maestre V.M., Ortiz A., Ortiz I., 2022, </w:t>
      </w:r>
      <w:r>
        <w:rPr>
          <w:rFonts w:cs="Arial"/>
          <w:noProof/>
          <w:szCs w:val="24"/>
        </w:rPr>
        <w:t>T</w:t>
      </w:r>
      <w:r w:rsidRPr="006B6CF5">
        <w:rPr>
          <w:rFonts w:cs="Arial"/>
          <w:noProof/>
          <w:szCs w:val="24"/>
        </w:rPr>
        <w:t xml:space="preserve">he </w:t>
      </w:r>
      <w:r w:rsidR="008A7D64">
        <w:rPr>
          <w:rFonts w:cs="Arial"/>
          <w:noProof/>
          <w:szCs w:val="24"/>
        </w:rPr>
        <w:t>r</w:t>
      </w:r>
      <w:r w:rsidRPr="006B6CF5">
        <w:rPr>
          <w:rFonts w:cs="Arial"/>
          <w:noProof/>
          <w:szCs w:val="24"/>
        </w:rPr>
        <w:t xml:space="preserve">ole of </w:t>
      </w:r>
      <w:r w:rsidR="008A7D64">
        <w:rPr>
          <w:rFonts w:cs="Arial"/>
          <w:noProof/>
          <w:szCs w:val="24"/>
        </w:rPr>
        <w:t>h</w:t>
      </w:r>
      <w:r w:rsidRPr="006B6CF5">
        <w:rPr>
          <w:rFonts w:cs="Arial"/>
          <w:noProof/>
          <w:szCs w:val="24"/>
        </w:rPr>
        <w:t>ydrogen-</w:t>
      </w:r>
      <w:r w:rsidR="008A7D64">
        <w:rPr>
          <w:rFonts w:cs="Arial"/>
          <w:noProof/>
          <w:szCs w:val="24"/>
        </w:rPr>
        <w:t>b</w:t>
      </w:r>
      <w:r w:rsidRPr="006B6CF5">
        <w:rPr>
          <w:rFonts w:cs="Arial"/>
          <w:noProof/>
          <w:szCs w:val="24"/>
        </w:rPr>
        <w:t xml:space="preserve">ased </w:t>
      </w:r>
      <w:r w:rsidR="008A7D64">
        <w:rPr>
          <w:rFonts w:cs="Arial"/>
          <w:noProof/>
          <w:szCs w:val="24"/>
        </w:rPr>
        <w:t>p</w:t>
      </w:r>
      <w:r w:rsidRPr="006B6CF5">
        <w:rPr>
          <w:rFonts w:cs="Arial"/>
          <w:noProof/>
          <w:szCs w:val="24"/>
        </w:rPr>
        <w:t xml:space="preserve">ower </w:t>
      </w:r>
      <w:r w:rsidR="008A7D64">
        <w:rPr>
          <w:rFonts w:cs="Arial"/>
          <w:noProof/>
          <w:szCs w:val="24"/>
        </w:rPr>
        <w:t>s</w:t>
      </w:r>
      <w:r w:rsidRPr="006B6CF5">
        <w:rPr>
          <w:rFonts w:cs="Arial"/>
          <w:noProof/>
          <w:szCs w:val="24"/>
        </w:rPr>
        <w:t xml:space="preserve">ystems in the </w:t>
      </w:r>
      <w:r w:rsidR="008A7D64">
        <w:rPr>
          <w:rFonts w:cs="Arial"/>
          <w:noProof/>
          <w:szCs w:val="24"/>
        </w:rPr>
        <w:t>e</w:t>
      </w:r>
      <w:r w:rsidRPr="006B6CF5">
        <w:rPr>
          <w:rFonts w:cs="Arial"/>
          <w:noProof/>
          <w:szCs w:val="24"/>
        </w:rPr>
        <w:t xml:space="preserve">nergy </w:t>
      </w:r>
      <w:r w:rsidR="008A7D64">
        <w:rPr>
          <w:rFonts w:cs="Arial"/>
          <w:noProof/>
          <w:szCs w:val="24"/>
        </w:rPr>
        <w:t>t</w:t>
      </w:r>
      <w:r w:rsidRPr="006B6CF5">
        <w:rPr>
          <w:rFonts w:cs="Arial"/>
          <w:noProof/>
          <w:szCs w:val="24"/>
        </w:rPr>
        <w:t xml:space="preserve">ransition of the </w:t>
      </w:r>
      <w:r w:rsidR="008A7D64">
        <w:rPr>
          <w:rFonts w:cs="Arial"/>
          <w:noProof/>
          <w:szCs w:val="24"/>
        </w:rPr>
        <w:t>r</w:t>
      </w:r>
      <w:r w:rsidRPr="006B6CF5">
        <w:rPr>
          <w:rFonts w:cs="Arial"/>
          <w:noProof/>
          <w:szCs w:val="24"/>
        </w:rPr>
        <w:t xml:space="preserve">esidential </w:t>
      </w:r>
      <w:r w:rsidR="008A7D64">
        <w:rPr>
          <w:rFonts w:cs="Arial"/>
          <w:noProof/>
          <w:szCs w:val="24"/>
        </w:rPr>
        <w:t>s</w:t>
      </w:r>
      <w:r w:rsidRPr="006B6CF5">
        <w:rPr>
          <w:rFonts w:cs="Arial"/>
          <w:noProof/>
          <w:szCs w:val="24"/>
        </w:rPr>
        <w:t>ector</w:t>
      </w:r>
      <w:r>
        <w:rPr>
          <w:rFonts w:cs="Arial"/>
          <w:noProof/>
          <w:szCs w:val="24"/>
        </w:rPr>
        <w:t>,</w:t>
      </w:r>
      <w:r w:rsidRPr="006B6CF5">
        <w:rPr>
          <w:rFonts w:cs="Arial"/>
          <w:noProof/>
          <w:szCs w:val="24"/>
        </w:rPr>
        <w:t xml:space="preserve"> </w:t>
      </w:r>
      <w:r w:rsidRPr="009F25B5">
        <w:rPr>
          <w:rFonts w:cs="Arial"/>
          <w:iCs/>
          <w:noProof/>
          <w:szCs w:val="24"/>
        </w:rPr>
        <w:t>Journal of Chemical Technology &amp; Biotechnology</w:t>
      </w:r>
      <w:r>
        <w:rPr>
          <w:rFonts w:cs="Arial"/>
          <w:noProof/>
          <w:szCs w:val="24"/>
        </w:rPr>
        <w:t>,</w:t>
      </w:r>
      <w:r w:rsidRPr="006B6CF5">
        <w:rPr>
          <w:rFonts w:cs="Arial"/>
          <w:noProof/>
          <w:szCs w:val="24"/>
        </w:rPr>
        <w:t xml:space="preserve"> 97:561–74.</w:t>
      </w:r>
    </w:p>
    <w:p w14:paraId="447B2EA2" w14:textId="27A9F728" w:rsidR="004C37CF" w:rsidRDefault="004C37CF" w:rsidP="00612E24">
      <w:pPr>
        <w:pStyle w:val="CETReferencetext"/>
        <w:rPr>
          <w:rFonts w:cs="Arial"/>
          <w:noProof/>
          <w:szCs w:val="24"/>
        </w:rPr>
      </w:pPr>
      <w:r w:rsidRPr="004C37CF">
        <w:rPr>
          <w:rFonts w:cs="Arial"/>
          <w:noProof/>
          <w:szCs w:val="24"/>
        </w:rPr>
        <w:t xml:space="preserve">Peláez S., Colmenar A., Pérez C., Rosales A.E., Rosales E., 2021, </w:t>
      </w:r>
      <w:r w:rsidRPr="006B6CF5">
        <w:rPr>
          <w:rFonts w:cs="Arial"/>
          <w:noProof/>
          <w:szCs w:val="24"/>
        </w:rPr>
        <w:t>Techno-</w:t>
      </w:r>
      <w:r w:rsidR="008A7D64">
        <w:rPr>
          <w:rFonts w:cs="Arial"/>
          <w:noProof/>
          <w:szCs w:val="24"/>
        </w:rPr>
        <w:t>e</w:t>
      </w:r>
      <w:r w:rsidRPr="006B6CF5">
        <w:rPr>
          <w:rFonts w:cs="Arial"/>
          <w:noProof/>
          <w:szCs w:val="24"/>
        </w:rPr>
        <w:t xml:space="preserve">conomic </w:t>
      </w:r>
      <w:r w:rsidR="008A7D64">
        <w:rPr>
          <w:rFonts w:cs="Arial"/>
          <w:noProof/>
          <w:szCs w:val="24"/>
        </w:rPr>
        <w:t>a</w:t>
      </w:r>
      <w:r w:rsidRPr="006B6CF5">
        <w:rPr>
          <w:rFonts w:cs="Arial"/>
          <w:noProof/>
          <w:szCs w:val="24"/>
        </w:rPr>
        <w:t xml:space="preserve">nalysis of a </w:t>
      </w:r>
      <w:r w:rsidR="008A7D64">
        <w:rPr>
          <w:rFonts w:cs="Arial"/>
          <w:noProof/>
          <w:szCs w:val="24"/>
        </w:rPr>
        <w:t>h</w:t>
      </w:r>
      <w:r w:rsidRPr="006B6CF5">
        <w:rPr>
          <w:rFonts w:cs="Arial"/>
          <w:noProof/>
          <w:szCs w:val="24"/>
        </w:rPr>
        <w:t xml:space="preserve">eat and </w:t>
      </w:r>
      <w:r w:rsidR="008A7D64">
        <w:rPr>
          <w:rFonts w:cs="Arial"/>
          <w:noProof/>
          <w:szCs w:val="24"/>
        </w:rPr>
        <w:t>p</w:t>
      </w:r>
      <w:r w:rsidRPr="006B6CF5">
        <w:rPr>
          <w:rFonts w:cs="Arial"/>
          <w:noProof/>
          <w:szCs w:val="24"/>
        </w:rPr>
        <w:t xml:space="preserve">ower </w:t>
      </w:r>
      <w:r w:rsidR="008A7D64">
        <w:rPr>
          <w:rFonts w:cs="Arial"/>
          <w:noProof/>
          <w:szCs w:val="24"/>
        </w:rPr>
        <w:t>co</w:t>
      </w:r>
      <w:r w:rsidRPr="006B6CF5">
        <w:rPr>
          <w:rFonts w:cs="Arial"/>
          <w:noProof/>
          <w:szCs w:val="24"/>
        </w:rPr>
        <w:t xml:space="preserve">mbination </w:t>
      </w:r>
      <w:r w:rsidR="008A7D64">
        <w:rPr>
          <w:rFonts w:cs="Arial"/>
          <w:noProof/>
          <w:szCs w:val="24"/>
        </w:rPr>
        <w:t>s</w:t>
      </w:r>
      <w:r w:rsidRPr="006B6CF5">
        <w:rPr>
          <w:rFonts w:cs="Arial"/>
          <w:noProof/>
          <w:szCs w:val="24"/>
        </w:rPr>
        <w:t xml:space="preserve">ystem </w:t>
      </w:r>
      <w:r w:rsidR="008A7D64">
        <w:rPr>
          <w:rFonts w:cs="Arial"/>
          <w:noProof/>
          <w:szCs w:val="24"/>
        </w:rPr>
        <w:t>b</w:t>
      </w:r>
      <w:r w:rsidRPr="006B6CF5">
        <w:rPr>
          <w:rFonts w:cs="Arial"/>
          <w:noProof/>
          <w:szCs w:val="24"/>
        </w:rPr>
        <w:t xml:space="preserve">ased on </w:t>
      </w:r>
      <w:r w:rsidR="008A7D64">
        <w:rPr>
          <w:rFonts w:cs="Arial"/>
          <w:noProof/>
          <w:szCs w:val="24"/>
        </w:rPr>
        <w:t>h</w:t>
      </w:r>
      <w:r w:rsidRPr="006B6CF5">
        <w:rPr>
          <w:rFonts w:cs="Arial"/>
          <w:noProof/>
          <w:szCs w:val="24"/>
        </w:rPr>
        <w:t xml:space="preserve">ybrid </w:t>
      </w:r>
      <w:r w:rsidR="008A7D64">
        <w:rPr>
          <w:rFonts w:cs="Arial"/>
          <w:noProof/>
          <w:szCs w:val="24"/>
        </w:rPr>
        <w:t>p</w:t>
      </w:r>
      <w:r w:rsidRPr="006B6CF5">
        <w:rPr>
          <w:rFonts w:cs="Arial"/>
          <w:noProof/>
          <w:szCs w:val="24"/>
        </w:rPr>
        <w:t>hotovoltaic-</w:t>
      </w:r>
      <w:r w:rsidR="008A7D64">
        <w:rPr>
          <w:rFonts w:cs="Arial"/>
          <w:noProof/>
          <w:szCs w:val="24"/>
        </w:rPr>
        <w:t>f</w:t>
      </w:r>
      <w:r w:rsidRPr="006B6CF5">
        <w:rPr>
          <w:rFonts w:cs="Arial"/>
          <w:noProof/>
          <w:szCs w:val="24"/>
        </w:rPr>
        <w:t xml:space="preserve">uel </w:t>
      </w:r>
      <w:r w:rsidR="008A7D64">
        <w:rPr>
          <w:rFonts w:cs="Arial"/>
          <w:noProof/>
          <w:szCs w:val="24"/>
        </w:rPr>
        <w:t>c</w:t>
      </w:r>
      <w:r w:rsidRPr="006B6CF5">
        <w:rPr>
          <w:rFonts w:cs="Arial"/>
          <w:noProof/>
          <w:szCs w:val="24"/>
        </w:rPr>
        <w:t xml:space="preserve">ell </w:t>
      </w:r>
      <w:r w:rsidR="008A7D64">
        <w:rPr>
          <w:rFonts w:cs="Arial"/>
          <w:noProof/>
          <w:szCs w:val="24"/>
        </w:rPr>
        <w:t>c</w:t>
      </w:r>
      <w:r w:rsidRPr="006B6CF5">
        <w:rPr>
          <w:rFonts w:cs="Arial"/>
          <w:noProof/>
          <w:szCs w:val="24"/>
        </w:rPr>
        <w:t xml:space="preserve">ystems </w:t>
      </w:r>
      <w:r w:rsidR="008A7D64">
        <w:rPr>
          <w:rFonts w:cs="Arial"/>
          <w:noProof/>
          <w:szCs w:val="24"/>
        </w:rPr>
        <w:t>u</w:t>
      </w:r>
      <w:r w:rsidRPr="006B6CF5">
        <w:rPr>
          <w:rFonts w:cs="Arial"/>
          <w:noProof/>
          <w:szCs w:val="24"/>
        </w:rPr>
        <w:t>sin</w:t>
      </w:r>
      <w:r>
        <w:rPr>
          <w:rFonts w:cs="Arial"/>
          <w:noProof/>
          <w:szCs w:val="24"/>
        </w:rPr>
        <w:t xml:space="preserve">g </w:t>
      </w:r>
      <w:r w:rsidR="008A7D64">
        <w:rPr>
          <w:rFonts w:cs="Arial"/>
          <w:noProof/>
          <w:szCs w:val="24"/>
        </w:rPr>
        <w:t>h</w:t>
      </w:r>
      <w:r>
        <w:rPr>
          <w:rFonts w:cs="Arial"/>
          <w:noProof/>
          <w:szCs w:val="24"/>
        </w:rPr>
        <w:t xml:space="preserve">ydrogen as an </w:t>
      </w:r>
      <w:r w:rsidR="008A7D64">
        <w:rPr>
          <w:rFonts w:cs="Arial"/>
          <w:noProof/>
          <w:szCs w:val="24"/>
        </w:rPr>
        <w:t>e</w:t>
      </w:r>
      <w:r>
        <w:rPr>
          <w:rFonts w:cs="Arial"/>
          <w:noProof/>
          <w:szCs w:val="24"/>
        </w:rPr>
        <w:t xml:space="preserve">nergy </w:t>
      </w:r>
      <w:r w:rsidR="008A7D64">
        <w:rPr>
          <w:rFonts w:cs="Arial"/>
          <w:noProof/>
          <w:szCs w:val="24"/>
        </w:rPr>
        <w:t>v</w:t>
      </w:r>
      <w:r>
        <w:rPr>
          <w:rFonts w:cs="Arial"/>
          <w:noProof/>
          <w:szCs w:val="24"/>
        </w:rPr>
        <w:t>ector,</w:t>
      </w:r>
      <w:r w:rsidRPr="006B6CF5">
        <w:rPr>
          <w:rFonts w:cs="Arial"/>
          <w:noProof/>
          <w:szCs w:val="24"/>
        </w:rPr>
        <w:t xml:space="preserve"> </w:t>
      </w:r>
      <w:r w:rsidRPr="004C37CF">
        <w:rPr>
          <w:rFonts w:cs="Arial"/>
          <w:iCs/>
          <w:noProof/>
          <w:szCs w:val="24"/>
        </w:rPr>
        <w:t>Energy</w:t>
      </w:r>
      <w:r>
        <w:rPr>
          <w:rFonts w:cs="Arial"/>
          <w:noProof/>
          <w:szCs w:val="24"/>
        </w:rPr>
        <w:t>, 224:120110.</w:t>
      </w:r>
    </w:p>
    <w:p w14:paraId="48A4B513" w14:textId="5BBA7BDD" w:rsidR="004C37CF" w:rsidRDefault="004C37CF" w:rsidP="00612E24">
      <w:pPr>
        <w:pStyle w:val="CETReferencetext"/>
        <w:rPr>
          <w:rFonts w:cs="Arial"/>
          <w:noProof/>
          <w:szCs w:val="24"/>
        </w:rPr>
      </w:pPr>
      <w:r w:rsidRPr="004C37CF">
        <w:rPr>
          <w:rFonts w:cs="Arial"/>
          <w:noProof/>
          <w:szCs w:val="24"/>
        </w:rPr>
        <w:t xml:space="preserve">Razmjoo A., Gakenia L., Vazari M.A., Marzband M., Davarpanah A., Denai </w:t>
      </w:r>
      <w:r>
        <w:rPr>
          <w:rFonts w:cs="Arial"/>
          <w:noProof/>
          <w:szCs w:val="24"/>
        </w:rPr>
        <w:t xml:space="preserve">M., 2021, </w:t>
      </w:r>
      <w:r w:rsidRPr="006B6CF5">
        <w:rPr>
          <w:rFonts w:cs="Arial"/>
          <w:noProof/>
          <w:szCs w:val="24"/>
        </w:rPr>
        <w:t>A Technical Analysis Investigating Energy Sustainability Utilizing Reliable Renewable Energy Sources to Reduce CO</w:t>
      </w:r>
      <w:r w:rsidRPr="004C37CF">
        <w:rPr>
          <w:rFonts w:cs="Arial"/>
          <w:noProof/>
          <w:szCs w:val="24"/>
          <w:vertAlign w:val="subscript"/>
        </w:rPr>
        <w:t>2</w:t>
      </w:r>
      <w:r w:rsidRPr="006B6CF5">
        <w:rPr>
          <w:rFonts w:cs="Arial"/>
          <w:noProof/>
          <w:szCs w:val="24"/>
        </w:rPr>
        <w:t xml:space="preserve"> Emissions in a High Potential Area</w:t>
      </w:r>
      <w:r>
        <w:rPr>
          <w:rFonts w:cs="Arial"/>
          <w:noProof/>
          <w:szCs w:val="24"/>
        </w:rPr>
        <w:t>,</w:t>
      </w:r>
      <w:r w:rsidRPr="006B6CF5">
        <w:rPr>
          <w:rFonts w:cs="Arial"/>
          <w:noProof/>
          <w:szCs w:val="24"/>
        </w:rPr>
        <w:t xml:space="preserve"> </w:t>
      </w:r>
      <w:r w:rsidRPr="004C37CF">
        <w:rPr>
          <w:rFonts w:cs="Arial"/>
          <w:iCs/>
          <w:noProof/>
          <w:szCs w:val="24"/>
        </w:rPr>
        <w:t>Renewable Energy</w:t>
      </w:r>
      <w:r>
        <w:rPr>
          <w:rFonts w:cs="Arial"/>
          <w:i/>
          <w:iCs/>
          <w:noProof/>
          <w:szCs w:val="24"/>
        </w:rPr>
        <w:t>,</w:t>
      </w:r>
      <w:r w:rsidRPr="006B6CF5">
        <w:rPr>
          <w:rFonts w:cs="Arial"/>
          <w:noProof/>
          <w:szCs w:val="24"/>
        </w:rPr>
        <w:t xml:space="preserve"> 164:46–57.</w:t>
      </w:r>
    </w:p>
    <w:p w14:paraId="01D0E59C" w14:textId="31D1CAA7" w:rsidR="005826E0" w:rsidRDefault="004C37CF" w:rsidP="00612E24">
      <w:pPr>
        <w:pStyle w:val="CETReferencetext"/>
        <w:rPr>
          <w:rFonts w:cs="Arial"/>
          <w:noProof/>
          <w:szCs w:val="24"/>
        </w:rPr>
      </w:pPr>
      <w:r>
        <w:rPr>
          <w:rFonts w:cs="Arial"/>
          <w:noProof/>
          <w:szCs w:val="24"/>
        </w:rPr>
        <w:t xml:space="preserve">Stafell I., Scamman D., Velazquez A., Balcombe P., Dodds P.E., Ekins P., Shah N., Ward K.R., 2019, </w:t>
      </w:r>
      <w:r w:rsidRPr="006B6CF5">
        <w:rPr>
          <w:rFonts w:cs="Arial"/>
          <w:noProof/>
          <w:szCs w:val="24"/>
        </w:rPr>
        <w:t xml:space="preserve">The </w:t>
      </w:r>
      <w:r w:rsidR="008A7D64">
        <w:rPr>
          <w:rFonts w:cs="Arial"/>
          <w:noProof/>
          <w:szCs w:val="24"/>
        </w:rPr>
        <w:t>r</w:t>
      </w:r>
      <w:r w:rsidRPr="006B6CF5">
        <w:rPr>
          <w:rFonts w:cs="Arial"/>
          <w:noProof/>
          <w:szCs w:val="24"/>
        </w:rPr>
        <w:t xml:space="preserve">ole of </w:t>
      </w:r>
      <w:r w:rsidR="008A7D64">
        <w:rPr>
          <w:rFonts w:cs="Arial"/>
          <w:noProof/>
          <w:szCs w:val="24"/>
        </w:rPr>
        <w:t>h</w:t>
      </w:r>
      <w:r w:rsidRPr="006B6CF5">
        <w:rPr>
          <w:rFonts w:cs="Arial"/>
          <w:noProof/>
          <w:szCs w:val="24"/>
        </w:rPr>
        <w:t xml:space="preserve">ydrogen and </w:t>
      </w:r>
      <w:r w:rsidR="008A7D64">
        <w:rPr>
          <w:rFonts w:cs="Arial"/>
          <w:noProof/>
          <w:szCs w:val="24"/>
        </w:rPr>
        <w:t>f</w:t>
      </w:r>
      <w:r w:rsidRPr="006B6CF5">
        <w:rPr>
          <w:rFonts w:cs="Arial"/>
          <w:noProof/>
          <w:szCs w:val="24"/>
        </w:rPr>
        <w:t xml:space="preserve">uel </w:t>
      </w:r>
      <w:r w:rsidR="008A7D64">
        <w:rPr>
          <w:rFonts w:cs="Arial"/>
          <w:noProof/>
          <w:szCs w:val="24"/>
        </w:rPr>
        <w:t>c</w:t>
      </w:r>
      <w:r w:rsidRPr="006B6CF5">
        <w:rPr>
          <w:rFonts w:cs="Arial"/>
          <w:noProof/>
          <w:szCs w:val="24"/>
        </w:rPr>
        <w:t>el</w:t>
      </w:r>
      <w:r>
        <w:rPr>
          <w:rFonts w:cs="Arial"/>
          <w:noProof/>
          <w:szCs w:val="24"/>
        </w:rPr>
        <w:t xml:space="preserve">ls in the </w:t>
      </w:r>
      <w:r w:rsidR="008A7D64">
        <w:rPr>
          <w:rFonts w:cs="Arial"/>
          <w:noProof/>
          <w:szCs w:val="24"/>
        </w:rPr>
        <w:t>g</w:t>
      </w:r>
      <w:r>
        <w:rPr>
          <w:rFonts w:cs="Arial"/>
          <w:noProof/>
          <w:szCs w:val="24"/>
        </w:rPr>
        <w:t xml:space="preserve">lobal </w:t>
      </w:r>
      <w:r w:rsidR="008A7D64">
        <w:rPr>
          <w:rFonts w:cs="Arial"/>
          <w:noProof/>
          <w:szCs w:val="24"/>
        </w:rPr>
        <w:t>e</w:t>
      </w:r>
      <w:r>
        <w:rPr>
          <w:rFonts w:cs="Arial"/>
          <w:noProof/>
          <w:szCs w:val="24"/>
        </w:rPr>
        <w:t xml:space="preserve">nergy </w:t>
      </w:r>
      <w:r w:rsidR="008A7D64">
        <w:rPr>
          <w:rFonts w:cs="Arial"/>
          <w:noProof/>
          <w:szCs w:val="24"/>
        </w:rPr>
        <w:t>e</w:t>
      </w:r>
      <w:r>
        <w:rPr>
          <w:rFonts w:cs="Arial"/>
          <w:noProof/>
          <w:szCs w:val="24"/>
        </w:rPr>
        <w:t>ystem,</w:t>
      </w:r>
      <w:r w:rsidRPr="006B6CF5">
        <w:rPr>
          <w:rFonts w:cs="Arial"/>
          <w:noProof/>
          <w:szCs w:val="24"/>
        </w:rPr>
        <w:t xml:space="preserve"> </w:t>
      </w:r>
      <w:r w:rsidRPr="004C37CF">
        <w:rPr>
          <w:rFonts w:cs="Arial"/>
          <w:iCs/>
          <w:noProof/>
          <w:szCs w:val="24"/>
        </w:rPr>
        <w:t>Energy and Environmental Science</w:t>
      </w:r>
      <w:r>
        <w:rPr>
          <w:rFonts w:cs="Arial"/>
          <w:noProof/>
          <w:szCs w:val="24"/>
        </w:rPr>
        <w:t>,</w:t>
      </w:r>
      <w:r w:rsidRPr="006B6CF5">
        <w:rPr>
          <w:rFonts w:cs="Arial"/>
          <w:noProof/>
          <w:szCs w:val="24"/>
        </w:rPr>
        <w:t xml:space="preserve"> 12(2):463–91.</w:t>
      </w:r>
      <w:r>
        <w:rPr>
          <w:rFonts w:cs="Arial"/>
          <w:noProof/>
          <w:szCs w:val="24"/>
        </w:rPr>
        <w:t xml:space="preserve"> </w:t>
      </w:r>
    </w:p>
    <w:sectPr w:rsidR="005826E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6596" w14:textId="77777777" w:rsidR="00D82D7A" w:rsidRDefault="00D82D7A" w:rsidP="004F5E36">
      <w:r>
        <w:separator/>
      </w:r>
    </w:p>
  </w:endnote>
  <w:endnote w:type="continuationSeparator" w:id="0">
    <w:p w14:paraId="058329A4" w14:textId="77777777" w:rsidR="00D82D7A" w:rsidRDefault="00D82D7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D874" w14:textId="77777777" w:rsidR="00D82D7A" w:rsidRDefault="00D82D7A" w:rsidP="004F5E36">
      <w:r>
        <w:separator/>
      </w:r>
    </w:p>
  </w:footnote>
  <w:footnote w:type="continuationSeparator" w:id="0">
    <w:p w14:paraId="494AC296" w14:textId="77777777" w:rsidR="00D82D7A" w:rsidRDefault="00D82D7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4F64795"/>
    <w:multiLevelType w:val="hybridMultilevel"/>
    <w:tmpl w:val="B322D66A"/>
    <w:lvl w:ilvl="0" w:tplc="4BCC3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50E4325"/>
    <w:multiLevelType w:val="hybridMultilevel"/>
    <w:tmpl w:val="5F4A1DEE"/>
    <w:lvl w:ilvl="0" w:tplc="5BDEBD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A43F6C"/>
    <w:multiLevelType w:val="hybridMultilevel"/>
    <w:tmpl w:val="3354708C"/>
    <w:lvl w:ilvl="0" w:tplc="3F645E6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32536"/>
    <w:multiLevelType w:val="hybridMultilevel"/>
    <w:tmpl w:val="0D48D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1859793">
    <w:abstractNumId w:val="11"/>
  </w:num>
  <w:num w:numId="2" w16cid:durableId="763526850">
    <w:abstractNumId w:val="8"/>
  </w:num>
  <w:num w:numId="3" w16cid:durableId="1855456701">
    <w:abstractNumId w:val="3"/>
  </w:num>
  <w:num w:numId="4" w16cid:durableId="2096511535">
    <w:abstractNumId w:val="2"/>
  </w:num>
  <w:num w:numId="5" w16cid:durableId="586571029">
    <w:abstractNumId w:val="1"/>
  </w:num>
  <w:num w:numId="6" w16cid:durableId="337121656">
    <w:abstractNumId w:val="0"/>
  </w:num>
  <w:num w:numId="7" w16cid:durableId="957298469">
    <w:abstractNumId w:val="9"/>
  </w:num>
  <w:num w:numId="8" w16cid:durableId="754975862">
    <w:abstractNumId w:val="7"/>
  </w:num>
  <w:num w:numId="9" w16cid:durableId="1541822124">
    <w:abstractNumId w:val="6"/>
  </w:num>
  <w:num w:numId="10" w16cid:durableId="1784418514">
    <w:abstractNumId w:val="5"/>
  </w:num>
  <w:num w:numId="11" w16cid:durableId="2145417385">
    <w:abstractNumId w:val="4"/>
  </w:num>
  <w:num w:numId="12" w16cid:durableId="559445932">
    <w:abstractNumId w:val="19"/>
  </w:num>
  <w:num w:numId="13" w16cid:durableId="191579177">
    <w:abstractNumId w:val="14"/>
  </w:num>
  <w:num w:numId="14" w16cid:durableId="1018459786">
    <w:abstractNumId w:val="20"/>
  </w:num>
  <w:num w:numId="15" w16cid:durableId="719594745">
    <w:abstractNumId w:val="24"/>
  </w:num>
  <w:num w:numId="16" w16cid:durableId="799761847">
    <w:abstractNumId w:val="23"/>
  </w:num>
  <w:num w:numId="17" w16cid:durableId="967050808">
    <w:abstractNumId w:val="13"/>
  </w:num>
  <w:num w:numId="18" w16cid:durableId="793133659">
    <w:abstractNumId w:val="14"/>
    <w:lvlOverride w:ilvl="0">
      <w:startOverride w:val="1"/>
    </w:lvlOverride>
  </w:num>
  <w:num w:numId="19" w16cid:durableId="391005786">
    <w:abstractNumId w:val="18"/>
  </w:num>
  <w:num w:numId="20" w16cid:durableId="1378629810">
    <w:abstractNumId w:val="17"/>
  </w:num>
  <w:num w:numId="21" w16cid:durableId="681471480">
    <w:abstractNumId w:val="16"/>
  </w:num>
  <w:num w:numId="22" w16cid:durableId="137260723">
    <w:abstractNumId w:val="15"/>
  </w:num>
  <w:num w:numId="23" w16cid:durableId="1553542464">
    <w:abstractNumId w:val="10"/>
  </w:num>
  <w:num w:numId="24" w16cid:durableId="1470242963">
    <w:abstractNumId w:val="21"/>
  </w:num>
  <w:num w:numId="25" w16cid:durableId="313604245">
    <w:abstractNumId w:val="12"/>
  </w:num>
  <w:num w:numId="26" w16cid:durableId="14760969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117CB"/>
    <w:rsid w:val="00016130"/>
    <w:rsid w:val="0003148D"/>
    <w:rsid w:val="00031EEC"/>
    <w:rsid w:val="000454FA"/>
    <w:rsid w:val="00051566"/>
    <w:rsid w:val="00052724"/>
    <w:rsid w:val="00062A9A"/>
    <w:rsid w:val="00065058"/>
    <w:rsid w:val="00086C39"/>
    <w:rsid w:val="000A03B2"/>
    <w:rsid w:val="000D0268"/>
    <w:rsid w:val="000D34BE"/>
    <w:rsid w:val="000E0EE1"/>
    <w:rsid w:val="000E102F"/>
    <w:rsid w:val="000E36F1"/>
    <w:rsid w:val="000E3A73"/>
    <w:rsid w:val="000E414A"/>
    <w:rsid w:val="000F093C"/>
    <w:rsid w:val="000F787B"/>
    <w:rsid w:val="0012091F"/>
    <w:rsid w:val="0012624F"/>
    <w:rsid w:val="00126BC2"/>
    <w:rsid w:val="001308B6"/>
    <w:rsid w:val="0013121F"/>
    <w:rsid w:val="00131FE6"/>
    <w:rsid w:val="0013263F"/>
    <w:rsid w:val="001331DF"/>
    <w:rsid w:val="00134DE4"/>
    <w:rsid w:val="0014034D"/>
    <w:rsid w:val="00144D16"/>
    <w:rsid w:val="00150E59"/>
    <w:rsid w:val="00152DE3"/>
    <w:rsid w:val="00160D46"/>
    <w:rsid w:val="00164CF9"/>
    <w:rsid w:val="001667A6"/>
    <w:rsid w:val="00182EA2"/>
    <w:rsid w:val="00184AD6"/>
    <w:rsid w:val="001A4AF7"/>
    <w:rsid w:val="001B0349"/>
    <w:rsid w:val="001B1E93"/>
    <w:rsid w:val="001B65C1"/>
    <w:rsid w:val="001C684B"/>
    <w:rsid w:val="001D0CFB"/>
    <w:rsid w:val="001D21AF"/>
    <w:rsid w:val="001D53FC"/>
    <w:rsid w:val="001F42A5"/>
    <w:rsid w:val="001F7B9D"/>
    <w:rsid w:val="00201C93"/>
    <w:rsid w:val="002224B4"/>
    <w:rsid w:val="00231AE8"/>
    <w:rsid w:val="002447EF"/>
    <w:rsid w:val="00245BE6"/>
    <w:rsid w:val="00251550"/>
    <w:rsid w:val="00263B05"/>
    <w:rsid w:val="0027221A"/>
    <w:rsid w:val="00275B61"/>
    <w:rsid w:val="00280FAF"/>
    <w:rsid w:val="00282656"/>
    <w:rsid w:val="00294799"/>
    <w:rsid w:val="00296B83"/>
    <w:rsid w:val="002B4015"/>
    <w:rsid w:val="002B78CE"/>
    <w:rsid w:val="002C2FB6"/>
    <w:rsid w:val="002E5FA7"/>
    <w:rsid w:val="002F3309"/>
    <w:rsid w:val="003008CE"/>
    <w:rsid w:val="003009B7"/>
    <w:rsid w:val="00300E56"/>
    <w:rsid w:val="0030469C"/>
    <w:rsid w:val="00321CA6"/>
    <w:rsid w:val="00323763"/>
    <w:rsid w:val="00334C09"/>
    <w:rsid w:val="003723D4"/>
    <w:rsid w:val="00381905"/>
    <w:rsid w:val="00384CC8"/>
    <w:rsid w:val="003871FD"/>
    <w:rsid w:val="003A1E30"/>
    <w:rsid w:val="003A2829"/>
    <w:rsid w:val="003A7D1C"/>
    <w:rsid w:val="003B304B"/>
    <w:rsid w:val="003B3146"/>
    <w:rsid w:val="003F015E"/>
    <w:rsid w:val="003F25FB"/>
    <w:rsid w:val="00400414"/>
    <w:rsid w:val="004119A4"/>
    <w:rsid w:val="00413D29"/>
    <w:rsid w:val="0041446B"/>
    <w:rsid w:val="004401E5"/>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7CF"/>
    <w:rsid w:val="004C3D1D"/>
    <w:rsid w:val="004C3D84"/>
    <w:rsid w:val="004C7913"/>
    <w:rsid w:val="004E4DD6"/>
    <w:rsid w:val="004F5E36"/>
    <w:rsid w:val="00507B47"/>
    <w:rsid w:val="00507BEF"/>
    <w:rsid w:val="00507CC9"/>
    <w:rsid w:val="005119A5"/>
    <w:rsid w:val="005278B7"/>
    <w:rsid w:val="00532016"/>
    <w:rsid w:val="005346C8"/>
    <w:rsid w:val="00542B1C"/>
    <w:rsid w:val="00543E7D"/>
    <w:rsid w:val="00547A68"/>
    <w:rsid w:val="005531C9"/>
    <w:rsid w:val="00570C43"/>
    <w:rsid w:val="005826E0"/>
    <w:rsid w:val="005B2110"/>
    <w:rsid w:val="005B61E6"/>
    <w:rsid w:val="005C184A"/>
    <w:rsid w:val="005C77E1"/>
    <w:rsid w:val="005D668A"/>
    <w:rsid w:val="005D6A2F"/>
    <w:rsid w:val="005E1A82"/>
    <w:rsid w:val="005E794C"/>
    <w:rsid w:val="005F0A28"/>
    <w:rsid w:val="005F0E5E"/>
    <w:rsid w:val="00600535"/>
    <w:rsid w:val="00610CD6"/>
    <w:rsid w:val="00612E24"/>
    <w:rsid w:val="00620DEE"/>
    <w:rsid w:val="00621F92"/>
    <w:rsid w:val="0062280A"/>
    <w:rsid w:val="00625639"/>
    <w:rsid w:val="00631B33"/>
    <w:rsid w:val="0064184D"/>
    <w:rsid w:val="006422CC"/>
    <w:rsid w:val="00660E3E"/>
    <w:rsid w:val="00662E74"/>
    <w:rsid w:val="00680C23"/>
    <w:rsid w:val="00693766"/>
    <w:rsid w:val="006A1373"/>
    <w:rsid w:val="006A3281"/>
    <w:rsid w:val="006B4888"/>
    <w:rsid w:val="006B6CF5"/>
    <w:rsid w:val="006C2E45"/>
    <w:rsid w:val="006C359C"/>
    <w:rsid w:val="006C5579"/>
    <w:rsid w:val="006D6E8B"/>
    <w:rsid w:val="006E737D"/>
    <w:rsid w:val="006E7A9E"/>
    <w:rsid w:val="006E7B57"/>
    <w:rsid w:val="00705469"/>
    <w:rsid w:val="00713973"/>
    <w:rsid w:val="00720A24"/>
    <w:rsid w:val="00732386"/>
    <w:rsid w:val="0073514D"/>
    <w:rsid w:val="0073616C"/>
    <w:rsid w:val="00741B7B"/>
    <w:rsid w:val="007447F3"/>
    <w:rsid w:val="0075499F"/>
    <w:rsid w:val="00764792"/>
    <w:rsid w:val="007661C8"/>
    <w:rsid w:val="0077098D"/>
    <w:rsid w:val="007931FA"/>
    <w:rsid w:val="007958D6"/>
    <w:rsid w:val="007A4861"/>
    <w:rsid w:val="007A7BBA"/>
    <w:rsid w:val="007B0C50"/>
    <w:rsid w:val="007B48F9"/>
    <w:rsid w:val="007C1A43"/>
    <w:rsid w:val="007E7728"/>
    <w:rsid w:val="0080013E"/>
    <w:rsid w:val="00813288"/>
    <w:rsid w:val="008168FC"/>
    <w:rsid w:val="00830996"/>
    <w:rsid w:val="008345F1"/>
    <w:rsid w:val="00835A7C"/>
    <w:rsid w:val="008630B6"/>
    <w:rsid w:val="00865B07"/>
    <w:rsid w:val="008667EA"/>
    <w:rsid w:val="0087637F"/>
    <w:rsid w:val="00892AD5"/>
    <w:rsid w:val="008A1512"/>
    <w:rsid w:val="008A7D64"/>
    <w:rsid w:val="008B7411"/>
    <w:rsid w:val="008C66C2"/>
    <w:rsid w:val="008D32B9"/>
    <w:rsid w:val="008D433B"/>
    <w:rsid w:val="008D4A16"/>
    <w:rsid w:val="008E566E"/>
    <w:rsid w:val="0090161A"/>
    <w:rsid w:val="00901EB6"/>
    <w:rsid w:val="0090440D"/>
    <w:rsid w:val="00904C62"/>
    <w:rsid w:val="00920AB4"/>
    <w:rsid w:val="00922BA8"/>
    <w:rsid w:val="00924DAC"/>
    <w:rsid w:val="00927058"/>
    <w:rsid w:val="009350C0"/>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97090"/>
    <w:rsid w:val="009B041A"/>
    <w:rsid w:val="009B501B"/>
    <w:rsid w:val="009C37C3"/>
    <w:rsid w:val="009C43BD"/>
    <w:rsid w:val="009C7C86"/>
    <w:rsid w:val="009D2648"/>
    <w:rsid w:val="009D2B05"/>
    <w:rsid w:val="009D2FF7"/>
    <w:rsid w:val="009E056A"/>
    <w:rsid w:val="009E156A"/>
    <w:rsid w:val="009E7884"/>
    <w:rsid w:val="009E788A"/>
    <w:rsid w:val="009F0E08"/>
    <w:rsid w:val="009F25B5"/>
    <w:rsid w:val="00A15F73"/>
    <w:rsid w:val="00A1763D"/>
    <w:rsid w:val="00A17CEC"/>
    <w:rsid w:val="00A27EF0"/>
    <w:rsid w:val="00A40EE3"/>
    <w:rsid w:val="00A42361"/>
    <w:rsid w:val="00A50B20"/>
    <w:rsid w:val="00A51390"/>
    <w:rsid w:val="00A60D13"/>
    <w:rsid w:val="00A71866"/>
    <w:rsid w:val="00A7223D"/>
    <w:rsid w:val="00A72745"/>
    <w:rsid w:val="00A76EFC"/>
    <w:rsid w:val="00A91010"/>
    <w:rsid w:val="00A97F29"/>
    <w:rsid w:val="00AA702E"/>
    <w:rsid w:val="00AB0964"/>
    <w:rsid w:val="00AB28C6"/>
    <w:rsid w:val="00AB5011"/>
    <w:rsid w:val="00AC7368"/>
    <w:rsid w:val="00AD16B9"/>
    <w:rsid w:val="00AE377D"/>
    <w:rsid w:val="00AF0EBA"/>
    <w:rsid w:val="00AF3AE5"/>
    <w:rsid w:val="00B02C8A"/>
    <w:rsid w:val="00B15E68"/>
    <w:rsid w:val="00B17FBD"/>
    <w:rsid w:val="00B22B07"/>
    <w:rsid w:val="00B315A6"/>
    <w:rsid w:val="00B31813"/>
    <w:rsid w:val="00B33365"/>
    <w:rsid w:val="00B53C85"/>
    <w:rsid w:val="00B57B36"/>
    <w:rsid w:val="00B57E6F"/>
    <w:rsid w:val="00B65D9A"/>
    <w:rsid w:val="00B8686D"/>
    <w:rsid w:val="00B93F69"/>
    <w:rsid w:val="00BB1DDC"/>
    <w:rsid w:val="00BC30C9"/>
    <w:rsid w:val="00BD077D"/>
    <w:rsid w:val="00BE3E58"/>
    <w:rsid w:val="00C0038D"/>
    <w:rsid w:val="00C01616"/>
    <w:rsid w:val="00C0162B"/>
    <w:rsid w:val="00C068ED"/>
    <w:rsid w:val="00C155B3"/>
    <w:rsid w:val="00C22E0C"/>
    <w:rsid w:val="00C345B1"/>
    <w:rsid w:val="00C40142"/>
    <w:rsid w:val="00C52C3C"/>
    <w:rsid w:val="00C57182"/>
    <w:rsid w:val="00C57863"/>
    <w:rsid w:val="00C640AF"/>
    <w:rsid w:val="00C655FD"/>
    <w:rsid w:val="00C70E21"/>
    <w:rsid w:val="00C75407"/>
    <w:rsid w:val="00C870A8"/>
    <w:rsid w:val="00C94434"/>
    <w:rsid w:val="00CA0D75"/>
    <w:rsid w:val="00CA1C95"/>
    <w:rsid w:val="00CA5A9C"/>
    <w:rsid w:val="00CC4C20"/>
    <w:rsid w:val="00CD3517"/>
    <w:rsid w:val="00CD5FE2"/>
    <w:rsid w:val="00CE7C68"/>
    <w:rsid w:val="00CF786F"/>
    <w:rsid w:val="00D02B4C"/>
    <w:rsid w:val="00D040C4"/>
    <w:rsid w:val="00D059F1"/>
    <w:rsid w:val="00D20AD1"/>
    <w:rsid w:val="00D365A2"/>
    <w:rsid w:val="00D40B08"/>
    <w:rsid w:val="00D46B7E"/>
    <w:rsid w:val="00D5561D"/>
    <w:rsid w:val="00D55A8F"/>
    <w:rsid w:val="00D57C84"/>
    <w:rsid w:val="00D6057D"/>
    <w:rsid w:val="00D62FFA"/>
    <w:rsid w:val="00D71640"/>
    <w:rsid w:val="00D76647"/>
    <w:rsid w:val="00D82D7A"/>
    <w:rsid w:val="00D836C5"/>
    <w:rsid w:val="00D84576"/>
    <w:rsid w:val="00D939FE"/>
    <w:rsid w:val="00DA1399"/>
    <w:rsid w:val="00DA24C6"/>
    <w:rsid w:val="00DA4D7B"/>
    <w:rsid w:val="00DD271C"/>
    <w:rsid w:val="00DE264A"/>
    <w:rsid w:val="00DE2C57"/>
    <w:rsid w:val="00DF5072"/>
    <w:rsid w:val="00E0110E"/>
    <w:rsid w:val="00E02D18"/>
    <w:rsid w:val="00E041E7"/>
    <w:rsid w:val="00E1060D"/>
    <w:rsid w:val="00E23CA1"/>
    <w:rsid w:val="00E31EBE"/>
    <w:rsid w:val="00E37270"/>
    <w:rsid w:val="00E409A8"/>
    <w:rsid w:val="00E50C12"/>
    <w:rsid w:val="00E65B91"/>
    <w:rsid w:val="00E7209D"/>
    <w:rsid w:val="00E72EAD"/>
    <w:rsid w:val="00E77223"/>
    <w:rsid w:val="00E84DD4"/>
    <w:rsid w:val="00E8528B"/>
    <w:rsid w:val="00E85B94"/>
    <w:rsid w:val="00E978D0"/>
    <w:rsid w:val="00EA4613"/>
    <w:rsid w:val="00EA7F91"/>
    <w:rsid w:val="00EB1523"/>
    <w:rsid w:val="00EC0E49"/>
    <w:rsid w:val="00EC101F"/>
    <w:rsid w:val="00EC19ED"/>
    <w:rsid w:val="00EC1D9F"/>
    <w:rsid w:val="00EE0131"/>
    <w:rsid w:val="00EE17B0"/>
    <w:rsid w:val="00EF06D9"/>
    <w:rsid w:val="00F30C64"/>
    <w:rsid w:val="00F32BA2"/>
    <w:rsid w:val="00F32CDB"/>
    <w:rsid w:val="00F41B7C"/>
    <w:rsid w:val="00F55A75"/>
    <w:rsid w:val="00F565FE"/>
    <w:rsid w:val="00F63A70"/>
    <w:rsid w:val="00F63AA8"/>
    <w:rsid w:val="00F7534E"/>
    <w:rsid w:val="00FA034A"/>
    <w:rsid w:val="00FA1802"/>
    <w:rsid w:val="00FA21D0"/>
    <w:rsid w:val="00FA5F5F"/>
    <w:rsid w:val="00FB730C"/>
    <w:rsid w:val="00FC2695"/>
    <w:rsid w:val="00FC3E03"/>
    <w:rsid w:val="00FC3FC1"/>
    <w:rsid w:val="00FC44B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Rimandonotaapidipagina">
    <w:name w:val="footnote reference"/>
    <w:basedOn w:val="Carpredefinitoparagrafo"/>
    <w:uiPriority w:val="99"/>
    <w:semiHidden/>
    <w:unhideWhenUsed/>
    <w:rsid w:val="00413D29"/>
    <w:rPr>
      <w:vertAlign w:val="superscript"/>
    </w:rPr>
  </w:style>
  <w:style w:type="table" w:styleId="Grigliatab4">
    <w:name w:val="Grid Table 4"/>
    <w:basedOn w:val="Tabellanormale"/>
    <w:uiPriority w:val="49"/>
    <w:rsid w:val="00D939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zionenonrisolta">
    <w:name w:val="Unresolved Mention"/>
    <w:basedOn w:val="Carpredefinitoparagrafo"/>
    <w:uiPriority w:val="99"/>
    <w:semiHidden/>
    <w:unhideWhenUsed/>
    <w:rsid w:val="0041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5922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tizi@unican.es" TargetMode="External"/><Relationship Id="rId18" Type="http://schemas.openxmlformats.org/officeDocument/2006/relationships/hyperlink" Target="https://www.irena.org/publ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c.europa.eu/info/sites/default/fil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22388896085214EB603C3782EBD34A0" ma:contentTypeVersion="11" ma:contentTypeDescription="Crear nuevo documento." ma:contentTypeScope="" ma:versionID="01820758dc57a957bdb24af45ba80807">
  <xsd:schema xmlns:xsd="http://www.w3.org/2001/XMLSchema" xmlns:xs="http://www.w3.org/2001/XMLSchema" xmlns:p="http://schemas.microsoft.com/office/2006/metadata/properties" xmlns:ns3="54d2e8ad-0cb4-4251-8e80-736aec5ac69f" targetNamespace="http://schemas.microsoft.com/office/2006/metadata/properties" ma:root="true" ma:fieldsID="a8a1d2360168c9ea9c5b3d6aaaa76754" ns3:_="">
    <xsd:import namespace="54d2e8ad-0cb4-4251-8e80-736aec5ac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2e8ad-0cb4-4251-8e80-736aec5a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C4348-0EDD-44EE-9B19-E4837DCAE0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FF82F3-1543-4A21-89A9-6973E51DF33C}">
  <ds:schemaRefs>
    <ds:schemaRef ds:uri="http://schemas.openxmlformats.org/officeDocument/2006/bibliography"/>
  </ds:schemaRefs>
</ds:datastoreItem>
</file>

<file path=customXml/itemProps3.xml><?xml version="1.0" encoding="utf-8"?>
<ds:datastoreItem xmlns:ds="http://schemas.openxmlformats.org/officeDocument/2006/customXml" ds:itemID="{E0813C35-5308-4E68-A6C6-60A847D4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2e8ad-0cb4-4251-8e80-736aec5a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73D71-FA05-4EB7-8673-D0481548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7830</Words>
  <Characters>44636</Characters>
  <Application>Microsoft Office Word</Application>
  <DocSecurity>0</DocSecurity>
  <Lines>371</Lines>
  <Paragraphs>104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9</cp:revision>
  <cp:lastPrinted>2015-05-12T18:31:00Z</cp:lastPrinted>
  <dcterms:created xsi:type="dcterms:W3CDTF">2022-07-11T10:43:00Z</dcterms:created>
  <dcterms:modified xsi:type="dcterms:W3CDTF">2022-08-10T11:00:00Z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0x010100B22388896085214EB603C3782EBD34A0</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http://www.zotero.org/styles/chemical-engineering-journal</vt:lpwstr>
  </property>
  <property fmtid="{D5CDD505-2E9C-101B-9397-08002B2CF9AE}" pid="8" name="Mendeley Recent Style Name 1_1">
    <vt:lpwstr>Chemical Engineering Journal</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http://www.zotero.org/styles/electrochimica-acta</vt:lpwstr>
  </property>
  <property fmtid="{D5CDD505-2E9C-101B-9397-08002B2CF9AE}" pid="12" name="Mendeley Recent Style Name 3_1">
    <vt:lpwstr>Electrochimica Acta</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http://www.zotero.org/styles/journal-of-power-sources</vt:lpwstr>
  </property>
  <property fmtid="{D5CDD505-2E9C-101B-9397-08002B2CF9AE}" pid="18" name="Mendeley Recent Style Name 6_1">
    <vt:lpwstr>Journal of Power Sources</vt:lpwstr>
  </property>
  <property fmtid="{D5CDD505-2E9C-101B-9397-08002B2CF9AE}" pid="19" name="Mendeley Recent Style Id 7_1">
    <vt:lpwstr>http://www.zotero.org/styles/renewable-energy</vt:lpwstr>
  </property>
  <property fmtid="{D5CDD505-2E9C-101B-9397-08002B2CF9AE}" pid="20" name="Mendeley Recent Style Name 7_1">
    <vt:lpwstr>Renewable Energy</vt:lpwstr>
  </property>
  <property fmtid="{D5CDD505-2E9C-101B-9397-08002B2CF9AE}" pid="21" name="Mendeley Recent Style Id 8_1">
    <vt:lpwstr>http://www.zotero.org/styles/renewable-and-sustainable-energy-reviews</vt:lpwstr>
  </property>
  <property fmtid="{D5CDD505-2E9C-101B-9397-08002B2CF9AE}" pid="22" name="Mendeley Recent Style Name 8_1">
    <vt:lpwstr>Renewable and Sustainable Energy Reviews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45205079-01d7-3c1a-ae63-94095b89077c</vt:lpwstr>
  </property>
  <property fmtid="{D5CDD505-2E9C-101B-9397-08002B2CF9AE}" pid="27" name="Mendeley Citation Style_1">
    <vt:lpwstr>http://www.zotero.org/styles/american-sociological-association</vt:lpwstr>
  </property>
</Properties>
</file>