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F1DA8">
        <w:trPr>
          <w:trHeight w:val="852"/>
          <w:jc w:val="center"/>
        </w:trPr>
        <w:tc>
          <w:tcPr>
            <w:tcW w:w="6940" w:type="dxa"/>
            <w:vMerge w:val="restart"/>
            <w:tcBorders>
              <w:right w:val="single" w:sz="4" w:space="0" w:color="auto"/>
            </w:tcBorders>
          </w:tcPr>
          <w:p w14:paraId="38C3D2BA" w14:textId="77777777" w:rsidR="000A03B2" w:rsidRPr="00B57B36" w:rsidRDefault="000A03B2" w:rsidP="00DA4DF8">
            <w:pPr>
              <w:tabs>
                <w:tab w:val="left" w:pos="-108"/>
              </w:tabs>
              <w:spacing w:line="240" w:lineRule="auto"/>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DA4DF8">
            <w:pPr>
              <w:tabs>
                <w:tab w:val="left" w:pos="-108"/>
              </w:tabs>
              <w:spacing w:line="240" w:lineRule="auto"/>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DA4DF8">
            <w:pPr>
              <w:spacing w:line="240" w:lineRule="auto"/>
              <w:jc w:val="right"/>
              <w:rPr>
                <w:rFonts w:cs="Arial"/>
                <w:sz w:val="14"/>
                <w:szCs w:val="14"/>
              </w:rPr>
            </w:pPr>
            <w:r w:rsidRPr="00B57B36">
              <w:rPr>
                <w:rFonts w:cs="Arial"/>
                <w:sz w:val="14"/>
                <w:szCs w:val="14"/>
              </w:rPr>
              <w:t>A publication of</w:t>
            </w:r>
          </w:p>
          <w:p w14:paraId="599E5441" w14:textId="77777777" w:rsidR="000A03B2" w:rsidRPr="00B57B36" w:rsidRDefault="000A03B2" w:rsidP="00DA4DF8">
            <w:pPr>
              <w:spacing w:line="240" w:lineRule="auto"/>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F1DA8">
        <w:trPr>
          <w:trHeight w:val="567"/>
          <w:jc w:val="center"/>
        </w:trPr>
        <w:tc>
          <w:tcPr>
            <w:tcW w:w="6940" w:type="dxa"/>
            <w:vMerge/>
            <w:tcBorders>
              <w:right w:val="single" w:sz="4" w:space="0" w:color="auto"/>
            </w:tcBorders>
          </w:tcPr>
          <w:p w14:paraId="39E5E4C1" w14:textId="77777777" w:rsidR="000A03B2" w:rsidRPr="00B57B36" w:rsidRDefault="000A03B2" w:rsidP="00DA4DF8">
            <w:pPr>
              <w:tabs>
                <w:tab w:val="left" w:pos="-108"/>
              </w:tabs>
              <w:spacing w:line="240" w:lineRule="auto"/>
            </w:pPr>
          </w:p>
        </w:tc>
        <w:tc>
          <w:tcPr>
            <w:tcW w:w="1842" w:type="dxa"/>
            <w:tcBorders>
              <w:left w:val="single" w:sz="4" w:space="0" w:color="auto"/>
              <w:bottom w:val="nil"/>
              <w:right w:val="single" w:sz="4" w:space="0" w:color="auto"/>
            </w:tcBorders>
          </w:tcPr>
          <w:p w14:paraId="43858A98" w14:textId="77777777" w:rsidR="000A03B2" w:rsidRPr="00B57B36" w:rsidRDefault="000A03B2" w:rsidP="00DA4DF8">
            <w:pPr>
              <w:spacing w:line="240" w:lineRule="auto"/>
              <w:jc w:val="right"/>
              <w:rPr>
                <w:rFonts w:cs="Arial"/>
                <w:sz w:val="14"/>
                <w:szCs w:val="14"/>
              </w:rPr>
            </w:pPr>
            <w:r w:rsidRPr="00B57B36">
              <w:rPr>
                <w:rFonts w:cs="Arial"/>
                <w:sz w:val="14"/>
                <w:szCs w:val="14"/>
              </w:rPr>
              <w:t>The Italian Association</w:t>
            </w:r>
          </w:p>
          <w:p w14:paraId="7522B1D2" w14:textId="77777777" w:rsidR="000A03B2" w:rsidRPr="00B57B36" w:rsidRDefault="000A03B2" w:rsidP="00DA4DF8">
            <w:pPr>
              <w:spacing w:line="240" w:lineRule="auto"/>
              <w:jc w:val="right"/>
              <w:rPr>
                <w:rFonts w:cs="Arial"/>
                <w:sz w:val="14"/>
                <w:szCs w:val="14"/>
              </w:rPr>
            </w:pPr>
            <w:r w:rsidRPr="00B57B36">
              <w:rPr>
                <w:rFonts w:cs="Arial"/>
                <w:sz w:val="14"/>
                <w:szCs w:val="14"/>
              </w:rPr>
              <w:t>of Chemical Engineering</w:t>
            </w:r>
          </w:p>
          <w:p w14:paraId="4F0CC5DE" w14:textId="47FDB2FC" w:rsidR="000A03B2" w:rsidRPr="000D0268" w:rsidRDefault="000D0268" w:rsidP="00DA4DF8">
            <w:pPr>
              <w:spacing w:line="240" w:lineRule="auto"/>
              <w:jc w:val="right"/>
              <w:rPr>
                <w:rFonts w:cs="Arial"/>
                <w:sz w:val="13"/>
                <w:szCs w:val="13"/>
              </w:rPr>
            </w:pPr>
            <w:r w:rsidRPr="000D0268">
              <w:rPr>
                <w:rFonts w:cs="Arial"/>
                <w:sz w:val="13"/>
                <w:szCs w:val="13"/>
              </w:rPr>
              <w:t>Online at www.cetjournal.it</w:t>
            </w:r>
          </w:p>
        </w:tc>
      </w:tr>
      <w:tr w:rsidR="000A03B2" w:rsidRPr="00B57B36" w14:paraId="2D1B7169" w14:textId="77777777" w:rsidTr="00CF1DA8">
        <w:trPr>
          <w:trHeight w:val="68"/>
          <w:jc w:val="center"/>
        </w:trPr>
        <w:tc>
          <w:tcPr>
            <w:tcW w:w="8782" w:type="dxa"/>
            <w:gridSpan w:val="2"/>
          </w:tcPr>
          <w:p w14:paraId="4B0BB442" w14:textId="2E218E1D" w:rsidR="00300E56" w:rsidRPr="0044071E" w:rsidRDefault="00300E56" w:rsidP="00DA4DF8">
            <w:pPr>
              <w:spacing w:line="240" w:lineRule="auto"/>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DA4DF8">
            <w:pPr>
              <w:tabs>
                <w:tab w:val="left" w:pos="-108"/>
              </w:tabs>
              <w:spacing w:line="240" w:lineRule="auto"/>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50A521A8" w14:textId="77777777" w:rsidR="00CF1DA8" w:rsidRDefault="00CF1DA8" w:rsidP="00DA4DF8">
      <w:pPr>
        <w:spacing w:line="240" w:lineRule="auto"/>
        <w:rPr>
          <w:rFonts w:cs="Arial"/>
          <w:sz w:val="32"/>
          <w:szCs w:val="32"/>
        </w:rPr>
      </w:pPr>
    </w:p>
    <w:p w14:paraId="58642D77" w14:textId="4EB5D35A" w:rsidR="0004426C" w:rsidRPr="00CF1DA8" w:rsidRDefault="0004426C" w:rsidP="0004426C">
      <w:pPr>
        <w:spacing w:line="240" w:lineRule="auto"/>
        <w:rPr>
          <w:rFonts w:cs="Arial"/>
          <w:sz w:val="32"/>
          <w:szCs w:val="32"/>
        </w:rPr>
      </w:pPr>
      <w:r w:rsidRPr="00CF1DA8">
        <w:rPr>
          <w:rFonts w:cs="Arial"/>
          <w:sz w:val="32"/>
          <w:szCs w:val="32"/>
        </w:rPr>
        <w:t>Evaluation of electrosorption process for phosphate and nitrate removal from wastewater.</w:t>
      </w:r>
    </w:p>
    <w:p w14:paraId="16310C6B" w14:textId="77777777" w:rsidR="0004426C" w:rsidRDefault="0004426C" w:rsidP="0004426C">
      <w:pPr>
        <w:spacing w:line="240" w:lineRule="auto"/>
        <w:rPr>
          <w:rFonts w:cs="Arial"/>
          <w:sz w:val="24"/>
          <w:szCs w:val="24"/>
        </w:rPr>
      </w:pPr>
      <w:r w:rsidRPr="00C70376">
        <w:rPr>
          <w:rFonts w:cs="Arial"/>
          <w:sz w:val="24"/>
          <w:szCs w:val="24"/>
        </w:rPr>
        <w:t>Shreenath Krishnamurthy</w:t>
      </w:r>
      <w:r w:rsidRPr="00C70376">
        <w:rPr>
          <w:rFonts w:cs="Arial"/>
          <w:sz w:val="24"/>
          <w:szCs w:val="24"/>
          <w:vertAlign w:val="superscript"/>
        </w:rPr>
        <w:t>1</w:t>
      </w:r>
      <w:r w:rsidRPr="00C70376">
        <w:rPr>
          <w:rFonts w:cs="Arial"/>
          <w:sz w:val="24"/>
          <w:szCs w:val="24"/>
        </w:rPr>
        <w:t>*, Kaushik Jayasayee</w:t>
      </w:r>
      <w:r w:rsidRPr="00C70376">
        <w:rPr>
          <w:rFonts w:cs="Arial"/>
          <w:sz w:val="24"/>
          <w:szCs w:val="24"/>
          <w:vertAlign w:val="superscript"/>
        </w:rPr>
        <w:t>2</w:t>
      </w:r>
      <w:r w:rsidRPr="00C70376">
        <w:rPr>
          <w:rFonts w:cs="Arial"/>
          <w:sz w:val="24"/>
          <w:szCs w:val="24"/>
        </w:rPr>
        <w:t>, Tom-Andre Enebakk Eide</w:t>
      </w:r>
      <w:r w:rsidRPr="00C70376">
        <w:rPr>
          <w:rFonts w:cs="Arial"/>
          <w:sz w:val="24"/>
          <w:szCs w:val="24"/>
          <w:vertAlign w:val="superscript"/>
        </w:rPr>
        <w:t>2</w:t>
      </w:r>
      <w:r w:rsidRPr="00C70376">
        <w:rPr>
          <w:rFonts w:cs="Arial"/>
          <w:sz w:val="24"/>
          <w:szCs w:val="24"/>
        </w:rPr>
        <w:t>, Katie McKay</w:t>
      </w:r>
      <w:r w:rsidRPr="00C70376">
        <w:rPr>
          <w:rFonts w:cs="Arial"/>
          <w:sz w:val="24"/>
          <w:szCs w:val="24"/>
          <w:vertAlign w:val="superscript"/>
        </w:rPr>
        <w:t>2</w:t>
      </w:r>
      <w:r w:rsidRPr="00C70376">
        <w:rPr>
          <w:rFonts w:cs="Arial"/>
          <w:sz w:val="24"/>
          <w:szCs w:val="24"/>
        </w:rPr>
        <w:t xml:space="preserve"> </w:t>
      </w:r>
      <w:r>
        <w:rPr>
          <w:rFonts w:cs="Arial"/>
          <w:sz w:val="24"/>
          <w:szCs w:val="24"/>
        </w:rPr>
        <w:t>Roman Tschentscher</w:t>
      </w:r>
      <w:r w:rsidRPr="00187A2F">
        <w:rPr>
          <w:rFonts w:cs="Arial"/>
          <w:sz w:val="24"/>
          <w:szCs w:val="24"/>
          <w:vertAlign w:val="superscript"/>
        </w:rPr>
        <w:t>1</w:t>
      </w:r>
      <w:r>
        <w:rPr>
          <w:rFonts w:cs="Arial"/>
          <w:sz w:val="24"/>
          <w:szCs w:val="24"/>
        </w:rPr>
        <w:t xml:space="preserve">, </w:t>
      </w:r>
      <w:r w:rsidRPr="00C70376">
        <w:rPr>
          <w:rFonts w:cs="Arial"/>
          <w:sz w:val="24"/>
          <w:szCs w:val="24"/>
        </w:rPr>
        <w:t>Ruth Elisabeth Stensrød</w:t>
      </w:r>
      <w:r w:rsidRPr="00C70376">
        <w:rPr>
          <w:rFonts w:cs="Arial"/>
          <w:sz w:val="24"/>
          <w:szCs w:val="24"/>
          <w:vertAlign w:val="superscript"/>
        </w:rPr>
        <w:t>1</w:t>
      </w:r>
      <w:r w:rsidRPr="00C70376">
        <w:rPr>
          <w:rFonts w:cs="Arial"/>
          <w:sz w:val="24"/>
          <w:szCs w:val="24"/>
        </w:rPr>
        <w:t xml:space="preserve"> and Martin Fleissner Sundig</w:t>
      </w:r>
      <w:r w:rsidRPr="00C70376">
        <w:rPr>
          <w:rFonts w:cs="Arial"/>
          <w:sz w:val="24"/>
          <w:szCs w:val="24"/>
          <w:vertAlign w:val="superscript"/>
        </w:rPr>
        <w:t>3</w:t>
      </w:r>
      <w:r w:rsidRPr="00C70376">
        <w:rPr>
          <w:rFonts w:cs="Arial"/>
          <w:sz w:val="24"/>
          <w:szCs w:val="24"/>
        </w:rPr>
        <w:t>.</w:t>
      </w:r>
    </w:p>
    <w:p w14:paraId="72B624B5" w14:textId="77777777" w:rsidR="0004426C" w:rsidRPr="00633AF5" w:rsidRDefault="0004426C" w:rsidP="0004426C">
      <w:pPr>
        <w:pStyle w:val="ListParagraph"/>
        <w:numPr>
          <w:ilvl w:val="0"/>
          <w:numId w:val="23"/>
        </w:numPr>
        <w:tabs>
          <w:tab w:val="clear" w:pos="7100"/>
        </w:tabs>
        <w:spacing w:after="160" w:line="240" w:lineRule="auto"/>
        <w:rPr>
          <w:rFonts w:cs="Arial"/>
          <w:sz w:val="20"/>
          <w:vertAlign w:val="superscript"/>
        </w:rPr>
      </w:pPr>
      <w:r w:rsidRPr="00633AF5">
        <w:rPr>
          <w:rFonts w:cs="Arial"/>
          <w:sz w:val="20"/>
          <w:vertAlign w:val="superscript"/>
        </w:rPr>
        <w:t>Process Technology, SINTEF Industry, Forskningsveien 1 Oslo 0373, Norway</w:t>
      </w:r>
    </w:p>
    <w:p w14:paraId="50AB2AAA" w14:textId="77777777" w:rsidR="0004426C" w:rsidRPr="00633AF5" w:rsidRDefault="0004426C" w:rsidP="0004426C">
      <w:pPr>
        <w:pStyle w:val="ListParagraph"/>
        <w:numPr>
          <w:ilvl w:val="0"/>
          <w:numId w:val="23"/>
        </w:numPr>
        <w:tabs>
          <w:tab w:val="clear" w:pos="7100"/>
        </w:tabs>
        <w:spacing w:after="160" w:line="240" w:lineRule="auto"/>
        <w:rPr>
          <w:rFonts w:cs="Arial"/>
          <w:sz w:val="20"/>
          <w:vertAlign w:val="superscript"/>
        </w:rPr>
      </w:pPr>
      <w:r w:rsidRPr="00633AF5">
        <w:rPr>
          <w:rFonts w:cs="Arial"/>
          <w:sz w:val="20"/>
          <w:vertAlign w:val="superscript"/>
        </w:rPr>
        <w:t>Sustainable Energy Technology, SINTEF Industry, Sem Sælands vei 12. 7034, Trondheim, Norway</w:t>
      </w:r>
    </w:p>
    <w:p w14:paraId="61C24787" w14:textId="3079F96A" w:rsidR="00BD5037" w:rsidRPr="00633AF5" w:rsidRDefault="008509D9" w:rsidP="00DA4DF8">
      <w:pPr>
        <w:pStyle w:val="ListParagraph"/>
        <w:numPr>
          <w:ilvl w:val="0"/>
          <w:numId w:val="23"/>
        </w:numPr>
        <w:tabs>
          <w:tab w:val="clear" w:pos="7100"/>
        </w:tabs>
        <w:spacing w:after="160" w:line="240" w:lineRule="auto"/>
        <w:rPr>
          <w:rFonts w:cs="Arial"/>
          <w:sz w:val="20"/>
          <w:vertAlign w:val="superscript"/>
        </w:rPr>
      </w:pPr>
      <w:r w:rsidRPr="00633AF5">
        <w:rPr>
          <w:rFonts w:cs="Arial"/>
          <w:sz w:val="20"/>
          <w:vertAlign w:val="superscript"/>
        </w:rPr>
        <w:t>Sustainable Energy Technology, SINTEF Industry, Forskningsveien 1 Oslo 0373, Norway</w:t>
      </w:r>
    </w:p>
    <w:p w14:paraId="18C25B65" w14:textId="77777777" w:rsidR="0048734B" w:rsidRDefault="0048734B" w:rsidP="0048734B">
      <w:pPr>
        <w:tabs>
          <w:tab w:val="clear" w:pos="7100"/>
        </w:tabs>
        <w:spacing w:after="160" w:line="240" w:lineRule="auto"/>
        <w:rPr>
          <w:rFonts w:cs="Arial"/>
          <w:szCs w:val="18"/>
          <w:vertAlign w:val="superscript"/>
        </w:rPr>
      </w:pPr>
    </w:p>
    <w:p w14:paraId="5AE93ACB" w14:textId="17954A98" w:rsidR="0048734B" w:rsidRDefault="00BC46FD" w:rsidP="00BC46FD">
      <w:pPr>
        <w:pStyle w:val="CETBodytext"/>
        <w:rPr>
          <w:lang w:val="en-GB"/>
        </w:rPr>
      </w:pPr>
      <w:r w:rsidRPr="00B57B36">
        <w:rPr>
          <w:lang w:val="en-GB"/>
        </w:rPr>
        <w:t>The</w:t>
      </w:r>
      <w:r>
        <w:rPr>
          <w:lang w:val="en-GB"/>
        </w:rPr>
        <w:t xml:space="preserve"> present work is dedicated to the preparation and characterization of </w:t>
      </w:r>
      <w:r w:rsidR="00700B5D">
        <w:rPr>
          <w:lang w:val="en-GB"/>
        </w:rPr>
        <w:t>carbon-based</w:t>
      </w:r>
      <w:r>
        <w:rPr>
          <w:lang w:val="en-GB"/>
        </w:rPr>
        <w:t xml:space="preserve"> electrodes</w:t>
      </w:r>
      <w:r w:rsidR="00D44E61">
        <w:rPr>
          <w:lang w:val="en-GB"/>
        </w:rPr>
        <w:t xml:space="preserve"> for the removal of phosphates and nitrate ions from wastewater</w:t>
      </w:r>
      <w:r w:rsidR="00700B5D">
        <w:rPr>
          <w:lang w:val="en-GB"/>
        </w:rPr>
        <w:t xml:space="preserve"> by CDI method</w:t>
      </w:r>
      <w:r w:rsidR="00D44E61">
        <w:rPr>
          <w:lang w:val="en-GB"/>
        </w:rPr>
        <w:t>.</w:t>
      </w:r>
      <w:r w:rsidR="00700B5D">
        <w:rPr>
          <w:lang w:val="en-GB"/>
        </w:rPr>
        <w:t xml:space="preserve"> Carbons obtained from</w:t>
      </w:r>
      <w:r w:rsidR="00D44E61">
        <w:rPr>
          <w:lang w:val="en-GB"/>
        </w:rPr>
        <w:t xml:space="preserve"> </w:t>
      </w:r>
      <w:r w:rsidR="00700B5D">
        <w:rPr>
          <w:lang w:val="en-GB"/>
        </w:rPr>
        <w:t xml:space="preserve">the </w:t>
      </w:r>
      <w:r w:rsidR="00854AC4">
        <w:rPr>
          <w:lang w:val="en-GB"/>
        </w:rPr>
        <w:t xml:space="preserve">pyrolysis were used to prepare electrodes and these electrodes were characterized using a number of experimental techniques. Based on the </w:t>
      </w:r>
      <w:r w:rsidR="00C77572">
        <w:rPr>
          <w:lang w:val="en-GB"/>
        </w:rPr>
        <w:t xml:space="preserve">experimental results, the electrodes showed a strong affinity towards the nitrates than phosphates. This was evident from the kinetic constants and significantly higher capacity </w:t>
      </w:r>
      <w:r w:rsidR="00F2677B">
        <w:rPr>
          <w:lang w:val="en-GB"/>
        </w:rPr>
        <w:t>of electrosorption. At 1mM solutions, representative of a typical wastewater, nitrate exhibited about 3.5 times higher concentration than phosphates on a molar basis. The electrodes were reasonably stable under low concentrations of nitrates. At higher concentrations, the electrodes were not completely regenerable when the desorption step was carried out at 0V.</w:t>
      </w:r>
      <w:r w:rsidR="0068065B">
        <w:rPr>
          <w:lang w:val="en-GB"/>
        </w:rPr>
        <w:t xml:space="preserve"> These results are covered in this manuscript.</w:t>
      </w:r>
    </w:p>
    <w:p w14:paraId="2E55FAF3" w14:textId="41A43D89" w:rsidR="0068065B" w:rsidRPr="00BC46FD" w:rsidRDefault="0068065B" w:rsidP="00BC46FD">
      <w:pPr>
        <w:pStyle w:val="CETBodytext"/>
        <w:rPr>
          <w:lang w:val="en-GB"/>
        </w:rPr>
      </w:pPr>
      <w:r>
        <w:rPr>
          <w:lang w:val="en-GB"/>
        </w:rPr>
        <w:t>Keywords:  CDI, Electrosorption, wastewater</w:t>
      </w:r>
      <w:r w:rsidR="002247C2">
        <w:rPr>
          <w:lang w:val="en-GB"/>
        </w:rPr>
        <w:t>, cyclic voltammetry.</w:t>
      </w:r>
    </w:p>
    <w:p w14:paraId="476B2F2E" w14:textId="77777777" w:rsidR="00600535" w:rsidRDefault="00600535" w:rsidP="00DA4DF8">
      <w:pPr>
        <w:pStyle w:val="CETHeading1"/>
        <w:rPr>
          <w:lang w:val="en-GB"/>
        </w:rPr>
      </w:pPr>
      <w:r w:rsidRPr="00B57B36">
        <w:rPr>
          <w:lang w:val="en-GB"/>
        </w:rPr>
        <w:t>Introduction</w:t>
      </w:r>
    </w:p>
    <w:p w14:paraId="6A7D8BEA" w14:textId="49E419F9" w:rsidR="00C85A49" w:rsidRPr="00C85A49" w:rsidRDefault="00C85A49" w:rsidP="00DA4DF8">
      <w:pPr>
        <w:pStyle w:val="ListParagraph"/>
        <w:spacing w:line="240" w:lineRule="auto"/>
        <w:ind w:left="0"/>
        <w:rPr>
          <w:rFonts w:cs="Arial"/>
          <w:szCs w:val="18"/>
        </w:rPr>
      </w:pPr>
      <w:r w:rsidRPr="00C85A49">
        <w:rPr>
          <w:rFonts w:cs="Arial"/>
          <w:szCs w:val="18"/>
        </w:rPr>
        <w:t>Capacitative deionization (CDI) is a technique that is gaining widespread attention for removal of ionic contaminants from wastewater</w:t>
      </w:r>
      <w:r w:rsidR="00D139A7">
        <w:rPr>
          <w:rFonts w:cs="Arial"/>
          <w:szCs w:val="18"/>
        </w:rPr>
        <w:t xml:space="preserve"> </w:t>
      </w:r>
      <w:r w:rsidR="00D139A7">
        <w:rPr>
          <w:rFonts w:cs="Arial"/>
          <w:szCs w:val="18"/>
        </w:rPr>
        <w:fldChar w:fldCharType="begin">
          <w:fldData xml:space="preserve">PEVuZE5vdGU+PENpdGU+PEF1dGhvcj5Qb3JhZGE8L0F1dGhvcj48WWVhcj4yMDEzPC9ZZWFyPjxS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</w:fldData>
        </w:fldChar>
      </w:r>
      <w:r w:rsidR="0058549A">
        <w:rPr>
          <w:rFonts w:cs="Arial"/>
          <w:szCs w:val="18"/>
        </w:rPr>
        <w:instrText xml:space="preserve"> ADDIN EN.CITE </w:instrText>
      </w:r>
      <w:r w:rsidR="0058549A">
        <w:rPr>
          <w:rFonts w:cs="Arial"/>
          <w:szCs w:val="18"/>
        </w:rPr>
        <w:fldChar w:fldCharType="begin">
          <w:fldData xml:space="preserve">PEVuZE5vdGU+PENpdGU+PEF1dGhvcj5Qb3JhZGE8L0F1dGhvcj48WWVhcj4yMDEzPC9ZZWFyPjxS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</w:fldData>
        </w:fldChar>
      </w:r>
      <w:r w:rsidR="0058549A">
        <w:rPr>
          <w:rFonts w:cs="Arial"/>
          <w:szCs w:val="18"/>
        </w:rPr>
        <w:instrText xml:space="preserve"> ADDIN EN.CITE.DATA </w:instrText>
      </w:r>
      <w:r w:rsidR="0058549A">
        <w:rPr>
          <w:rFonts w:cs="Arial"/>
          <w:szCs w:val="18"/>
        </w:rPr>
      </w:r>
      <w:r w:rsidR="0058549A">
        <w:rPr>
          <w:rFonts w:cs="Arial"/>
          <w:szCs w:val="18"/>
        </w:rPr>
        <w:fldChar w:fldCharType="end"/>
      </w:r>
      <w:r w:rsidR="00D139A7">
        <w:rPr>
          <w:rFonts w:cs="Arial"/>
          <w:szCs w:val="18"/>
        </w:rPr>
      </w:r>
      <w:r w:rsidR="00D139A7">
        <w:rPr>
          <w:rFonts w:cs="Arial"/>
          <w:szCs w:val="18"/>
        </w:rPr>
        <w:fldChar w:fldCharType="separate"/>
      </w:r>
      <w:r w:rsidR="0058549A">
        <w:rPr>
          <w:rFonts w:cs="Arial"/>
          <w:noProof/>
          <w:szCs w:val="18"/>
        </w:rPr>
        <w:t>[</w:t>
      </w:r>
      <w:r w:rsidR="0046070F">
        <w:rPr>
          <w:rFonts w:cs="Arial"/>
          <w:noProof/>
          <w:szCs w:val="18"/>
        </w:rPr>
        <w:t>Porada et al., 2013, Tang et al., 2015</w:t>
      </w:r>
      <w:r w:rsidR="0058549A">
        <w:rPr>
          <w:rFonts w:cs="Arial"/>
          <w:noProof/>
          <w:szCs w:val="18"/>
        </w:rPr>
        <w:t>]</w:t>
      </w:r>
      <w:r w:rsidR="00D139A7">
        <w:rPr>
          <w:rFonts w:cs="Arial"/>
          <w:szCs w:val="18"/>
        </w:rPr>
        <w:fldChar w:fldCharType="end"/>
      </w:r>
      <w:r w:rsidRPr="00C85A49">
        <w:rPr>
          <w:rFonts w:cs="Arial"/>
          <w:szCs w:val="18"/>
        </w:rPr>
        <w:t xml:space="preserve">. In this process, electrodes are charged and discharged in a cyclic manner. When the electrodes are charged, ions from solution migrate towards the electrode and form an electric double layer (EDL) at the liquid-solid interface. By applying a reverse polarity/shorting/applying no potential, the ions are discharged from the electrode, thereby, leaving no secondary waste. </w:t>
      </w:r>
    </w:p>
    <w:p w14:paraId="6D6D7310" w14:textId="77E2DF4D" w:rsidR="00C85A49" w:rsidRPr="00C85A49" w:rsidRDefault="00C85A49" w:rsidP="00DA4DF8">
      <w:pPr>
        <w:pStyle w:val="ListParagraph"/>
        <w:spacing w:line="240" w:lineRule="auto"/>
        <w:ind w:left="0"/>
        <w:rPr>
          <w:rFonts w:cs="Arial"/>
          <w:szCs w:val="18"/>
        </w:rPr>
      </w:pPr>
      <w:r w:rsidRPr="00C85A49">
        <w:rPr>
          <w:rFonts w:cs="Arial"/>
          <w:szCs w:val="18"/>
        </w:rPr>
        <w:t>Activated carbon is a well-known material in the wastewater treatment industry and it is a commercially available sorbent made from a variety of sources like plant wastes, coal, and plastics.  Activated carbon also has excellent electrical properties, and therefore is an excellent choice of material for electrodes for capacitative deionization</w:t>
      </w:r>
      <w:r w:rsidR="0006434B">
        <w:rPr>
          <w:rFonts w:cs="Arial"/>
          <w:szCs w:val="18"/>
        </w:rPr>
        <w:t xml:space="preserve"> </w:t>
      </w:r>
      <w:r w:rsidR="0006434B">
        <w:rPr>
          <w:rFonts w:cs="Arial"/>
          <w:szCs w:val="18"/>
        </w:rPr>
        <w:fldChar w:fldCharType="begin"/>
      </w:r>
      <w:r w:rsidR="0006434B">
        <w:rPr>
          <w:rFonts w:cs="Arial"/>
          <w:szCs w:val="18"/>
        </w:rPr>
        <w:instrText xml:space="preserve"> ADDIN EN.CITE &lt;EndNote&gt;&lt;Cite&gt;&lt;Author&gt;Zhao&lt;/Author&gt;&lt;Year&gt;2012&lt;/Year&gt;&lt;RecNum&gt;6&lt;/RecNum&gt;&lt;DisplayText&gt;[3]&lt;/DisplayText&gt;&lt;record&gt;&lt;rec-number&gt;6&lt;/rec-number&gt;&lt;foreign-keys&gt;&lt;key app="EN" db-id="vzfrxe2sn5zt9qef25ax2pwsd9zvfdtrxfrf" timestamp="1648814396"&gt;6&lt;/key&gt;&lt;/foreign-keys&gt;&lt;ref-type name="Journal Article"&gt;17&lt;/ref-type&gt;&lt;contributors&gt;&lt;authors&gt;&lt;author&gt;Zhao, R.&lt;/author&gt;&lt;author&gt;van Soestbergen, M.&lt;/author&gt;&lt;author&gt;Rijnaarts, H. H. M.&lt;/author&gt;&lt;author&gt;van der Wal, A.&lt;/author&gt;&lt;author&gt;Bazant, M. Z.&lt;/author&gt;&lt;author&gt;Biesheuvel, P. M.&lt;/author&gt;&lt;/authors&gt;&lt;/contributors&gt;&lt;titles&gt;&lt;title&gt;Time-dependent ion selectivity in capacitive charging of porous electrodes&lt;/title&gt;&lt;secondary-title&gt;Journal of Colloid and Interface Science&lt;/secondary-title&gt;&lt;/titles&gt;&lt;periodical&gt;&lt;full-title&gt;Journal of Colloid and Interface Science&lt;/full-title&gt;&lt;/periodical&gt;&lt;pages&gt;38-44&lt;/pages&gt;&lt;volume&gt;384&lt;/volume&gt;&lt;number&gt;1&lt;/number&gt;&lt;keywords&gt;&lt;keyword&gt;Water desalination&lt;/keyword&gt;&lt;keyword&gt;Porous electrode theory&lt;/keyword&gt;&lt;keyword&gt;Capacitive deionization&lt;/keyword&gt;&lt;keyword&gt;Electrostatic double layer theory&lt;/keyword&gt;&lt;/keywords&gt;&lt;dates&gt;&lt;year&gt;2012&lt;/year&gt;&lt;pub-dates&gt;&lt;date&gt;2012/10/15/&lt;/date&gt;&lt;/pub-dates&gt;&lt;/dates&gt;&lt;isbn&gt;0021-9797&lt;/isbn&gt;&lt;urls&gt;&lt;related-urls&gt;&lt;url&gt;https://www.sciencedirect.com/science/article/pii/S0021979712006364&lt;/url&gt;&lt;/related-urls&gt;&lt;/urls&gt;&lt;electronic-resource-num&gt;https://doi.org/10.1016/j.jcis.2012.06.022&lt;/electronic-resource-num&gt;&lt;/record&gt;&lt;/Cite&gt;&lt;/EndNote&gt;</w:instrText>
      </w:r>
      <w:r w:rsidR="0006434B">
        <w:rPr>
          <w:rFonts w:cs="Arial"/>
          <w:szCs w:val="18"/>
        </w:rPr>
        <w:fldChar w:fldCharType="separate"/>
      </w:r>
      <w:r w:rsidR="0006434B">
        <w:rPr>
          <w:rFonts w:cs="Arial"/>
          <w:noProof/>
          <w:szCs w:val="18"/>
        </w:rPr>
        <w:t>[</w:t>
      </w:r>
      <w:r w:rsidR="001151FC">
        <w:rPr>
          <w:rFonts w:cs="Arial"/>
          <w:noProof/>
          <w:szCs w:val="18"/>
        </w:rPr>
        <w:t>Zhao et al., 2012</w:t>
      </w:r>
      <w:r w:rsidR="0006434B">
        <w:rPr>
          <w:rFonts w:cs="Arial"/>
          <w:noProof/>
          <w:szCs w:val="18"/>
        </w:rPr>
        <w:t>]</w:t>
      </w:r>
      <w:r w:rsidR="0006434B">
        <w:rPr>
          <w:rFonts w:cs="Arial"/>
          <w:szCs w:val="18"/>
        </w:rPr>
        <w:fldChar w:fldCharType="end"/>
      </w:r>
      <w:r w:rsidRPr="00C85A49">
        <w:rPr>
          <w:rFonts w:cs="Arial"/>
          <w:szCs w:val="18"/>
        </w:rPr>
        <w:t>.</w:t>
      </w:r>
    </w:p>
    <w:p w14:paraId="069E12D1" w14:textId="07B3D562" w:rsidR="00351908" w:rsidRPr="00DA4DF8" w:rsidRDefault="00153E81" w:rsidP="00DA4DF8">
      <w:pPr>
        <w:pStyle w:val="ListParagraph"/>
        <w:spacing w:line="240" w:lineRule="auto"/>
        <w:ind w:left="0"/>
        <w:rPr>
          <w:rFonts w:cs="Arial"/>
          <w:szCs w:val="18"/>
        </w:rPr>
      </w:pPr>
      <w:r>
        <w:rPr>
          <w:rFonts w:cs="Arial"/>
          <w:szCs w:val="18"/>
        </w:rPr>
        <w:t>The aim of this work is</w:t>
      </w:r>
      <w:r w:rsidR="00C85A49" w:rsidRPr="00C85A49">
        <w:rPr>
          <w:rFonts w:cs="Arial"/>
          <w:szCs w:val="18"/>
        </w:rPr>
        <w:t xml:space="preserve"> to characterize electrodes for electrosorption of phosphates and nitrates. The electrodes were prepared using biochar obtained from European red pine, Pinus Sylvestris. Batch experiments were carried out at different phosphate and nitrate concentrations to study adsorption equilibrium and kinetics. The experiments were carried out for different voltages up to 1V to identify the effect of the voltage on the adsorption equilibrium. </w:t>
      </w:r>
      <w:r w:rsidR="003B695F">
        <w:rPr>
          <w:rFonts w:cs="Arial"/>
          <w:szCs w:val="18"/>
        </w:rPr>
        <w:t xml:space="preserve">Further </w:t>
      </w:r>
      <w:r w:rsidR="007D1973">
        <w:rPr>
          <w:rFonts w:cs="Arial"/>
          <w:szCs w:val="18"/>
        </w:rPr>
        <w:t>stability</w:t>
      </w:r>
      <w:r w:rsidR="00720431">
        <w:rPr>
          <w:rFonts w:cs="Arial"/>
          <w:szCs w:val="18"/>
        </w:rPr>
        <w:t xml:space="preserve"> tests were carried out </w:t>
      </w:r>
      <w:r w:rsidR="00747996">
        <w:rPr>
          <w:rFonts w:cs="Arial"/>
          <w:szCs w:val="18"/>
        </w:rPr>
        <w:t>to identify the cyclic performance of the electrodes.</w:t>
      </w:r>
    </w:p>
    <w:p w14:paraId="72BB6778" w14:textId="77777777" w:rsidR="00157D29" w:rsidRDefault="00D9605D" w:rsidP="00DA4DF8">
      <w:pPr>
        <w:pStyle w:val="CETHeading1"/>
      </w:pPr>
      <w:r>
        <w:t>Materials and methods</w:t>
      </w:r>
    </w:p>
    <w:p w14:paraId="49063EF5" w14:textId="78E1F2D0" w:rsidR="00157D29" w:rsidRPr="00FA5F08" w:rsidRDefault="00157D29" w:rsidP="00DA4DF8">
      <w:pPr>
        <w:pStyle w:val="CETHeading1"/>
        <w:numPr>
          <w:ilvl w:val="1"/>
          <w:numId w:val="25"/>
        </w:numPr>
        <w:rPr>
          <w:sz w:val="18"/>
          <w:szCs w:val="18"/>
        </w:rPr>
      </w:pPr>
      <w:r w:rsidRPr="00FA5F08">
        <w:rPr>
          <w:rFonts w:cs="Arial"/>
          <w:bCs/>
          <w:sz w:val="18"/>
          <w:szCs w:val="16"/>
        </w:rPr>
        <w:t>Preparation of electrolyte solutions</w:t>
      </w:r>
    </w:p>
    <w:p w14:paraId="0FAA0D1C" w14:textId="6D23C2CB" w:rsidR="00157D29" w:rsidRPr="00157D29" w:rsidRDefault="00157D29" w:rsidP="00DA4DF8">
      <w:pPr>
        <w:pStyle w:val="ListParagraph"/>
        <w:spacing w:line="240" w:lineRule="auto"/>
        <w:ind w:left="0"/>
        <w:rPr>
          <w:rFonts w:cs="Arial"/>
          <w:szCs w:val="18"/>
        </w:rPr>
      </w:pPr>
      <w:r w:rsidRPr="00157D29">
        <w:rPr>
          <w:rFonts w:cs="Arial"/>
          <w:szCs w:val="18"/>
        </w:rPr>
        <w:t>Ammonium nitrate (NH</w:t>
      </w:r>
      <w:r w:rsidRPr="00157D29">
        <w:rPr>
          <w:rFonts w:cs="Arial"/>
          <w:szCs w:val="18"/>
          <w:vertAlign w:val="subscript"/>
        </w:rPr>
        <w:t>4</w:t>
      </w:r>
      <w:r w:rsidRPr="00157D29">
        <w:rPr>
          <w:rFonts w:cs="Arial"/>
          <w:szCs w:val="18"/>
        </w:rPr>
        <w:t>NO</w:t>
      </w:r>
      <w:r w:rsidRPr="00157D29">
        <w:rPr>
          <w:rFonts w:cs="Arial"/>
          <w:szCs w:val="18"/>
          <w:vertAlign w:val="subscript"/>
        </w:rPr>
        <w:t>3</w:t>
      </w:r>
      <w:r w:rsidRPr="00157D29">
        <w:rPr>
          <w:rFonts w:cs="Arial"/>
          <w:szCs w:val="18"/>
        </w:rPr>
        <w:t>) (&gt;99% pure) and potassium phosphate monobasic (KH</w:t>
      </w:r>
      <w:r w:rsidRPr="00157D29">
        <w:rPr>
          <w:rFonts w:cs="Arial"/>
          <w:szCs w:val="18"/>
          <w:vertAlign w:val="subscript"/>
        </w:rPr>
        <w:t>2</w:t>
      </w:r>
      <w:r w:rsidRPr="00157D29">
        <w:rPr>
          <w:rFonts w:cs="Arial"/>
          <w:szCs w:val="18"/>
        </w:rPr>
        <w:t>PO</w:t>
      </w:r>
      <w:r w:rsidRPr="00157D29">
        <w:rPr>
          <w:rFonts w:cs="Arial"/>
          <w:szCs w:val="18"/>
          <w:vertAlign w:val="subscript"/>
        </w:rPr>
        <w:t>4</w:t>
      </w:r>
      <w:r w:rsidRPr="00157D29">
        <w:rPr>
          <w:rFonts w:cs="Arial"/>
          <w:szCs w:val="18"/>
        </w:rPr>
        <w:t>)</w:t>
      </w:r>
      <w:r w:rsidR="00575B24">
        <w:rPr>
          <w:rFonts w:cs="Arial"/>
          <w:szCs w:val="18"/>
        </w:rPr>
        <w:t xml:space="preserve"> </w:t>
      </w:r>
      <w:r w:rsidRPr="00157D29">
        <w:rPr>
          <w:rFonts w:cs="Arial"/>
          <w:szCs w:val="18"/>
        </w:rPr>
        <w:t>solutions (&gt;99% pure) were obtained from Merck and Sigma Aldrich, respectively. 250 ml solutions of the electrolytes at varying concentrations were prepared by dissolving the appropriate amount of the salt (for example 20 mg in 250 ml for NH</w:t>
      </w:r>
      <w:r w:rsidRPr="00157D29">
        <w:rPr>
          <w:rFonts w:cs="Arial"/>
          <w:szCs w:val="18"/>
          <w:vertAlign w:val="subscript"/>
        </w:rPr>
        <w:t>4</w:t>
      </w:r>
      <w:r w:rsidRPr="00157D29">
        <w:rPr>
          <w:rFonts w:cs="Arial"/>
          <w:szCs w:val="18"/>
        </w:rPr>
        <w:t>NO</w:t>
      </w:r>
      <w:r w:rsidRPr="00157D29">
        <w:rPr>
          <w:rFonts w:cs="Arial"/>
          <w:szCs w:val="18"/>
          <w:vertAlign w:val="subscript"/>
        </w:rPr>
        <w:t>3</w:t>
      </w:r>
      <w:r w:rsidRPr="00157D29">
        <w:rPr>
          <w:rFonts w:cs="Arial"/>
          <w:szCs w:val="18"/>
        </w:rPr>
        <w:t xml:space="preserve">) in distilled water. The solutions were stirred overnight using a magnetic stirrer (Heidoph MR 3002 C) prior to the experiments. The commercial activated carbon used in these experiments were purchased from Merck (Lot number 1.02184.1000). Carbon from pine wood was obtained through pyrolysis of the wood chips </w:t>
      </w:r>
      <w:r w:rsidRPr="00157D29">
        <w:rPr>
          <w:rFonts w:cs="Arial"/>
          <w:szCs w:val="18"/>
        </w:rPr>
        <w:lastRenderedPageBreak/>
        <w:t>at 700</w:t>
      </w:r>
      <w:r w:rsidRPr="00157D29">
        <w:rPr>
          <w:rFonts w:ascii="Cambria Math" w:hAnsi="Cambria Math" w:cs="Cambria Math"/>
          <w:szCs w:val="18"/>
        </w:rPr>
        <w:t>℃</w:t>
      </w:r>
      <w:r w:rsidRPr="00157D29">
        <w:rPr>
          <w:rFonts w:cs="Arial"/>
          <w:szCs w:val="18"/>
        </w:rPr>
        <w:t>, for 1.5 hours in CO</w:t>
      </w:r>
      <w:r w:rsidRPr="00157D29">
        <w:rPr>
          <w:rFonts w:cs="Arial"/>
          <w:szCs w:val="18"/>
          <w:vertAlign w:val="subscript"/>
        </w:rPr>
        <w:t>2</w:t>
      </w:r>
      <w:r w:rsidRPr="00157D29">
        <w:rPr>
          <w:rFonts w:cs="Arial"/>
          <w:szCs w:val="18"/>
        </w:rPr>
        <w:t xml:space="preserve"> atmosphere. More details about the pyrolysis are described in an earlier publication</w:t>
      </w:r>
      <w:r w:rsidR="0006434B">
        <w:rPr>
          <w:rFonts w:cs="Arial"/>
          <w:szCs w:val="18"/>
        </w:rPr>
        <w:t xml:space="preserve"> </w:t>
      </w:r>
      <w:r w:rsidR="0006434B">
        <w:rPr>
          <w:rFonts w:cs="Arial"/>
          <w:szCs w:val="18"/>
        </w:rPr>
        <w:fldChar w:fldCharType="begin"/>
      </w:r>
      <w:r w:rsidR="0006434B">
        <w:rPr>
          <w:rFonts w:cs="Arial"/>
          <w:szCs w:val="18"/>
        </w:rPr>
        <w:instrText xml:space="preserve"> ADDIN EN.CITE &lt;EndNote&gt;&lt;Cite&gt;&lt;Author&gt;Kalyani&lt;/Author&gt;&lt;Year&gt;2017&lt;/Year&gt;&lt;RecNum&gt;1&lt;/RecNum&gt;&lt;DisplayText&gt;[4]&lt;/DisplayText&gt;&lt;record&gt;&lt;rec-number&gt;1&lt;/rec-number&gt;&lt;foreign-keys&gt;&lt;key app="EN" db-id="vzfrxe2sn5zt9qef25ax2pwsd9zvfdtrxfrf" timestamp="1648812345"&gt;1&lt;/key&gt;&lt;/foreign-keys&gt;&lt;ref-type name="Journal Article"&gt;17&lt;/ref-type&gt;&lt;contributors&gt;&lt;authors&gt;&lt;author&gt;Kalyani, Dayanand C.&lt;/author&gt;&lt;author&gt;Fakin, Tomaz&lt;/author&gt;&lt;author&gt;Horn, Svein Jarle&lt;/author&gt;&lt;author&gt;Tschentscher, Roman&lt;/author&gt;&lt;/authors&gt;&lt;/contributors&gt;&lt;titles&gt;&lt;title&gt;Valorisation of woody biomass by combining enzymatic saccharification and pyrolysis&lt;/title&gt;&lt;secondary-title&gt;Green Chemistry&lt;/secondary-title&gt;&lt;/titles&gt;&lt;periodical&gt;&lt;full-title&gt;Green Chemistry&lt;/full-title&gt;&lt;/periodical&gt;&lt;pages&gt;3302-3312&lt;/pages&gt;&lt;volume&gt;19&lt;/volume&gt;&lt;number&gt;14&lt;/number&gt;&lt;dates&gt;&lt;year&gt;2017&lt;/year&gt;&lt;/dates&gt;&lt;publisher&gt;The Royal Society of Chemistry&lt;/publisher&gt;&lt;isbn&gt;1463-9262&lt;/isbn&gt;&lt;work-type&gt;10.1039/C7GC00936D&lt;/work-type&gt;&lt;urls&gt;&lt;related-urls&gt;&lt;url&gt;http://dx.doi.org/10.1039/C7GC00936D&lt;/url&gt;&lt;/related-urls&gt;&lt;/urls&gt;&lt;electronic-resource-num&gt;10.1039/C7GC00936D&lt;/electronic-resource-num&gt;&lt;/record&gt;&lt;/Cite&gt;&lt;/EndNote&gt;</w:instrText>
      </w:r>
      <w:r w:rsidR="0006434B">
        <w:rPr>
          <w:rFonts w:cs="Arial"/>
          <w:szCs w:val="18"/>
        </w:rPr>
        <w:fldChar w:fldCharType="separate"/>
      </w:r>
      <w:r w:rsidR="0006434B">
        <w:rPr>
          <w:rFonts w:cs="Arial"/>
          <w:noProof/>
          <w:szCs w:val="18"/>
        </w:rPr>
        <w:t>[</w:t>
      </w:r>
      <w:r w:rsidR="000D3557">
        <w:rPr>
          <w:rFonts w:cs="Arial"/>
          <w:noProof/>
          <w:szCs w:val="18"/>
        </w:rPr>
        <w:t>Kalayani et al., 2017</w:t>
      </w:r>
      <w:r w:rsidR="0006434B">
        <w:rPr>
          <w:rFonts w:cs="Arial"/>
          <w:noProof/>
          <w:szCs w:val="18"/>
        </w:rPr>
        <w:t>]</w:t>
      </w:r>
      <w:r w:rsidR="0006434B">
        <w:rPr>
          <w:rFonts w:cs="Arial"/>
          <w:szCs w:val="18"/>
        </w:rPr>
        <w:fldChar w:fldCharType="end"/>
      </w:r>
      <w:r w:rsidRPr="00157D29">
        <w:rPr>
          <w:rFonts w:cs="Arial"/>
          <w:szCs w:val="18"/>
        </w:rPr>
        <w:t>.</w:t>
      </w:r>
    </w:p>
    <w:p w14:paraId="7C2B0064" w14:textId="24572AC9" w:rsidR="00453E24" w:rsidRPr="00A04AC2" w:rsidRDefault="00387691" w:rsidP="00DA4DF8">
      <w:pPr>
        <w:pStyle w:val="CETBodytext"/>
        <w:numPr>
          <w:ilvl w:val="1"/>
          <w:numId w:val="25"/>
        </w:numPr>
        <w:spacing w:line="240" w:lineRule="auto"/>
        <w:rPr>
          <w:b/>
          <w:bCs/>
        </w:rPr>
      </w:pPr>
      <w:r w:rsidRPr="00A04AC2">
        <w:rPr>
          <w:b/>
          <w:bCs/>
        </w:rPr>
        <w:t>Electrode preparation</w:t>
      </w:r>
    </w:p>
    <w:p w14:paraId="124E2422" w14:textId="6D063FAA" w:rsidR="00387691" w:rsidRPr="00575B24" w:rsidRDefault="00387691" w:rsidP="00DA4DF8">
      <w:pPr>
        <w:spacing w:line="240" w:lineRule="auto"/>
        <w:rPr>
          <w:rFonts w:cs="Arial"/>
          <w:szCs w:val="18"/>
        </w:rPr>
      </w:pPr>
      <w:r w:rsidRPr="00A04AC2">
        <w:rPr>
          <w:rFonts w:cs="Arial"/>
          <w:szCs w:val="18"/>
        </w:rPr>
        <w:t>The stainless-steel substrates were pre-polished and cleaned using a solvent mixture containing DI water and isopropyl alcohol in an ultrasonic bath prior to coating with the carbon ink using a hand spray gun. Usual an ink based for two electrodes at a time were made of 100 mg carbon, 180 mg fumion solution and thinned out with a 50/50 ratio of DI water and iso propyl alcohol, receiving 2</w:t>
      </w:r>
      <w:r w:rsidR="00157505">
        <w:rPr>
          <w:rFonts w:cs="Arial"/>
          <w:szCs w:val="18"/>
        </w:rPr>
        <w:t>.</w:t>
      </w:r>
      <w:r w:rsidRPr="00A04AC2">
        <w:rPr>
          <w:rFonts w:cs="Arial"/>
          <w:szCs w:val="18"/>
        </w:rPr>
        <w:t>6% solids in liquid. The ink was then ultrasonicated for 15 minutes in sequences of 5 minutes, and stirred for an hour before pipetted out from a suspension and spray coated to a preheated substrate of 55-65°C.  After spray coating the sample was left drying while substrate cooled for approximately 15 minutes. To calculate carbon loading on the stainless-steel substrate it was weighed prior and after spray coating. The final electrode contained about 2 mg of carbon/cm².</w:t>
      </w:r>
    </w:p>
    <w:p w14:paraId="044D6CB1" w14:textId="3DA25A56" w:rsidR="005607D3" w:rsidRPr="00350494" w:rsidRDefault="0097321B" w:rsidP="00DA4DF8">
      <w:pPr>
        <w:pStyle w:val="CETheadingx"/>
        <w:numPr>
          <w:ilvl w:val="1"/>
          <w:numId w:val="25"/>
        </w:numPr>
        <w:spacing w:line="240" w:lineRule="auto"/>
        <w:rPr>
          <w:b/>
          <w:bCs w:val="0"/>
        </w:rPr>
      </w:pPr>
      <w:r w:rsidRPr="00350494">
        <w:rPr>
          <w:b/>
          <w:bCs w:val="0"/>
        </w:rPr>
        <w:t>Cyclic voltammetry</w:t>
      </w:r>
    </w:p>
    <w:p w14:paraId="079BD5FC" w14:textId="5FB02A23" w:rsidR="005607D3" w:rsidRDefault="005607D3" w:rsidP="00DA4DF8">
      <w:pPr>
        <w:pStyle w:val="CETheadingx"/>
        <w:spacing w:line="240" w:lineRule="auto"/>
      </w:pPr>
      <w:r w:rsidRPr="00FA02C0">
        <w:t>A three-electrode electrochemical cell from Gaskatel was used to record the cyclic voltammograms (CV) of the carbon-based electrodes. Different concentrations (10 mM, 100mM, 1000 mM) of NH</w:t>
      </w:r>
      <w:r w:rsidRPr="00FA02C0">
        <w:rPr>
          <w:vertAlign w:val="subscript"/>
        </w:rPr>
        <w:t>4</w:t>
      </w:r>
      <w:r w:rsidRPr="00FA02C0">
        <w:t>NO</w:t>
      </w:r>
      <w:r w:rsidRPr="00FA02C0">
        <w:rPr>
          <w:vertAlign w:val="subscript"/>
        </w:rPr>
        <w:t>3</w:t>
      </w:r>
      <w:r w:rsidRPr="00FA02C0">
        <w:t xml:space="preserve"> and (1 mM, 100 mM, and 1000 mM) KH</w:t>
      </w:r>
      <w:r w:rsidRPr="00FA02C0">
        <w:rPr>
          <w:vertAlign w:val="subscript"/>
        </w:rPr>
        <w:t>2</w:t>
      </w:r>
      <w:r w:rsidRPr="00FA02C0">
        <w:t>PO</w:t>
      </w:r>
      <w:r w:rsidRPr="00FA02C0">
        <w:rPr>
          <w:vertAlign w:val="subscript"/>
        </w:rPr>
        <w:t xml:space="preserve">4 </w:t>
      </w:r>
      <w:r w:rsidRPr="00FA02C0">
        <w:t>solutions were prepared. CV tests were performed by cyclic the voltage and measuring the resultant current. For the CV tests, different scan rates of 10, 20, 30, 40 and 50mV/s were used. About 2 cm</w:t>
      </w:r>
      <w:r w:rsidRPr="00FA02C0">
        <w:rPr>
          <w:vertAlign w:val="superscript"/>
        </w:rPr>
        <w:t>2</w:t>
      </w:r>
      <w:r w:rsidRPr="00FA02C0">
        <w:t xml:space="preserve"> of the electrode was exposed to the electrolyte.</w:t>
      </w:r>
    </w:p>
    <w:p w14:paraId="26C89A44" w14:textId="694A5754" w:rsidR="001A6594" w:rsidRPr="005F4DD3" w:rsidRDefault="001A6594" w:rsidP="00DA4DF8">
      <w:pPr>
        <w:pStyle w:val="ListParagraph"/>
        <w:numPr>
          <w:ilvl w:val="1"/>
          <w:numId w:val="25"/>
        </w:numPr>
        <w:spacing w:line="240" w:lineRule="auto"/>
        <w:rPr>
          <w:rFonts w:cs="Arial"/>
          <w:b/>
          <w:bCs/>
          <w:szCs w:val="18"/>
        </w:rPr>
      </w:pPr>
      <w:r w:rsidRPr="005F4DD3">
        <w:rPr>
          <w:rFonts w:cs="Arial"/>
          <w:b/>
          <w:bCs/>
          <w:szCs w:val="18"/>
        </w:rPr>
        <w:t>X-ray photoelectron spectroscopy (XPS)</w:t>
      </w:r>
    </w:p>
    <w:p w14:paraId="78D2F33F" w14:textId="77777777" w:rsidR="001A6594" w:rsidRPr="00100569" w:rsidRDefault="001A6594" w:rsidP="00DA4DF8">
      <w:pPr>
        <w:spacing w:line="240" w:lineRule="auto"/>
        <w:rPr>
          <w:rFonts w:cs="Arial"/>
          <w:szCs w:val="18"/>
        </w:rPr>
      </w:pPr>
      <w:r w:rsidRPr="00100569">
        <w:rPr>
          <w:rFonts w:cs="Arial"/>
          <w:szCs w:val="18"/>
        </w:rPr>
        <w:t>XPS measurements were carried out to study the electrode material after adsorption. They were carried out using an AxisUltra</w:t>
      </w:r>
      <w:r w:rsidRPr="00100569">
        <w:rPr>
          <w:rFonts w:cs="Arial"/>
          <w:szCs w:val="18"/>
          <w:vertAlign w:val="superscript"/>
        </w:rPr>
        <w:t>DLD</w:t>
      </w:r>
      <w:r w:rsidRPr="00100569">
        <w:rPr>
          <w:rFonts w:cs="Arial"/>
          <w:szCs w:val="18"/>
        </w:rPr>
        <w:t xml:space="preserve"> XP spectrometer from Kratos Analytical using monochromatic Al Kα radiation (hν=1486.6 eV). The analysis area is approximately 700 x 300 µm</w:t>
      </w:r>
      <w:r w:rsidRPr="00100569">
        <w:rPr>
          <w:rFonts w:cs="Arial"/>
          <w:szCs w:val="18"/>
          <w:vertAlign w:val="superscript"/>
        </w:rPr>
        <w:t>2</w:t>
      </w:r>
      <w:r w:rsidRPr="00100569">
        <w:rPr>
          <w:rFonts w:cs="Arial"/>
          <w:szCs w:val="18"/>
        </w:rPr>
        <w:t>. The resolution is 1.2 eV for the settings used for the survey spectra and 0.7 eV for the detail spectra, as determined by the full width at half maximum of the Ag 3d</w:t>
      </w:r>
      <w:r w:rsidRPr="00100569">
        <w:rPr>
          <w:rFonts w:cs="Arial"/>
          <w:szCs w:val="18"/>
          <w:vertAlign w:val="subscript"/>
        </w:rPr>
        <w:t>5/2</w:t>
      </w:r>
      <w:r w:rsidRPr="00100569">
        <w:rPr>
          <w:rFonts w:cs="Arial"/>
          <w:szCs w:val="18"/>
        </w:rPr>
        <w:t xml:space="preserve"> peak obtained on sputter cleaned silver. The energy scale was referenced based on the position of the C 1s peak from C-C/C-H bonds, set to 284.8 eV binding energy (BE), and quantification is based on the manufacturer's relative sensitivity factors. The analysis was carried out on the used and the unused parts of the electrode.</w:t>
      </w:r>
    </w:p>
    <w:p w14:paraId="1938A8EA" w14:textId="7B4C8ECB" w:rsidR="001A6594" w:rsidRPr="00A6548E" w:rsidRDefault="001A6594" w:rsidP="00DA4DF8">
      <w:pPr>
        <w:pStyle w:val="ListParagraph"/>
        <w:numPr>
          <w:ilvl w:val="1"/>
          <w:numId w:val="25"/>
        </w:numPr>
        <w:spacing w:line="240" w:lineRule="auto"/>
        <w:rPr>
          <w:rFonts w:cs="Arial"/>
          <w:b/>
          <w:bCs/>
          <w:szCs w:val="18"/>
        </w:rPr>
      </w:pPr>
      <w:r w:rsidRPr="00A6548E">
        <w:rPr>
          <w:rFonts w:cs="Arial"/>
          <w:b/>
          <w:bCs/>
          <w:szCs w:val="18"/>
        </w:rPr>
        <w:t>Batch tests</w:t>
      </w:r>
    </w:p>
    <w:p w14:paraId="2DB4EB35" w14:textId="77777777" w:rsidR="001A6594" w:rsidRPr="00100569" w:rsidRDefault="001A6594" w:rsidP="00DA4DF8">
      <w:pPr>
        <w:spacing w:line="240" w:lineRule="auto"/>
        <w:rPr>
          <w:rFonts w:cs="Arial"/>
          <w:szCs w:val="18"/>
        </w:rPr>
      </w:pPr>
      <w:r w:rsidRPr="00100569">
        <w:rPr>
          <w:rFonts w:cs="Arial"/>
          <w:szCs w:val="18"/>
        </w:rPr>
        <w:t xml:space="preserve">The batch test apparatus is a simple set up shown in Figure 1. It is made up of a beaker which contains the electrolyte of known concentration, the working electrode, counter electrode, and the reference electrode all of which are connected to the potentiostat. The working electrode and the counter electrode are made up of carbon coated onto a stainless-steel substrate. The thickness of the electrodes is approximately 0.5 mm.  The reference electrode is made up of Ag/AgCl (Metrohm). </w:t>
      </w:r>
    </w:p>
    <w:p w14:paraId="10B00DB3" w14:textId="77777777" w:rsidR="001A6594" w:rsidRPr="00100569" w:rsidRDefault="001A6594" w:rsidP="00634024">
      <w:pPr>
        <w:keepNext/>
        <w:spacing w:line="240" w:lineRule="auto"/>
        <w:rPr>
          <w:rFonts w:cs="Arial"/>
          <w:szCs w:val="18"/>
        </w:rPr>
      </w:pPr>
      <w:r w:rsidRPr="00100569">
        <w:rPr>
          <w:rFonts w:cs="Arial"/>
          <w:noProof/>
          <w:szCs w:val="18"/>
        </w:rPr>
        <w:drawing>
          <wp:inline distT="0" distB="0" distL="0" distR="0" wp14:anchorId="7CF5A6F9" wp14:editId="4F4D1990">
            <wp:extent cx="2184400" cy="2011757"/>
            <wp:effectExtent l="0" t="0" r="6350" b="762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91845" cy="2018613"/>
                    </a:xfrm>
                    <a:prstGeom prst="rect">
                      <a:avLst/>
                    </a:prstGeom>
                  </pic:spPr>
                </pic:pic>
              </a:graphicData>
            </a:graphic>
          </wp:inline>
        </w:drawing>
      </w:r>
    </w:p>
    <w:p w14:paraId="4D0A3D68" w14:textId="693A26CF" w:rsidR="001A6594" w:rsidRPr="00421E1F" w:rsidRDefault="001A6594" w:rsidP="00FB7D71">
      <w:pPr>
        <w:pStyle w:val="Caption"/>
        <w:jc w:val="left"/>
        <w:rPr>
          <w:rFonts w:cs="Arial"/>
          <w:b w:val="0"/>
          <w:bCs w:val="0"/>
          <w:i/>
          <w:iCs/>
          <w:color w:val="000000" w:themeColor="text1"/>
        </w:rPr>
      </w:pPr>
      <w:r w:rsidRPr="00421E1F">
        <w:rPr>
          <w:rFonts w:cs="Arial"/>
          <w:b w:val="0"/>
          <w:bCs w:val="0"/>
          <w:i/>
          <w:iCs/>
          <w:color w:val="000000" w:themeColor="text1"/>
        </w:rPr>
        <w:t xml:space="preserve">Figure </w:t>
      </w:r>
      <w:r w:rsidRPr="00421E1F">
        <w:rPr>
          <w:rFonts w:cs="Arial"/>
          <w:b w:val="0"/>
          <w:bCs w:val="0"/>
          <w:i/>
          <w:iCs/>
          <w:color w:val="000000" w:themeColor="text1"/>
        </w:rPr>
        <w:fldChar w:fldCharType="begin"/>
      </w:r>
      <w:r w:rsidRPr="00421E1F">
        <w:rPr>
          <w:rFonts w:cs="Arial"/>
          <w:b w:val="0"/>
          <w:bCs w:val="0"/>
          <w:i/>
          <w:iCs/>
          <w:color w:val="000000" w:themeColor="text1"/>
        </w:rPr>
        <w:instrText xml:space="preserve"> SEQ Figure \* ARABIC </w:instrText>
      </w:r>
      <w:r w:rsidRPr="00421E1F">
        <w:rPr>
          <w:rFonts w:cs="Arial"/>
          <w:b w:val="0"/>
          <w:bCs w:val="0"/>
          <w:i/>
          <w:iCs/>
          <w:color w:val="000000" w:themeColor="text1"/>
        </w:rPr>
        <w:fldChar w:fldCharType="separate"/>
      </w:r>
      <w:r w:rsidR="00795D2F" w:rsidRPr="00421E1F">
        <w:rPr>
          <w:rFonts w:cs="Arial"/>
          <w:b w:val="0"/>
          <w:bCs w:val="0"/>
          <w:i/>
          <w:iCs/>
          <w:noProof/>
          <w:color w:val="000000" w:themeColor="text1"/>
        </w:rPr>
        <w:t>1</w:t>
      </w:r>
      <w:r w:rsidRPr="00421E1F">
        <w:rPr>
          <w:rFonts w:cs="Arial"/>
          <w:b w:val="0"/>
          <w:bCs w:val="0"/>
          <w:i/>
          <w:iCs/>
          <w:color w:val="000000" w:themeColor="text1"/>
        </w:rPr>
        <w:fldChar w:fldCharType="end"/>
      </w:r>
      <w:r w:rsidRPr="00421E1F">
        <w:rPr>
          <w:rFonts w:cs="Arial"/>
          <w:b w:val="0"/>
          <w:bCs w:val="0"/>
          <w:i/>
          <w:iCs/>
          <w:color w:val="000000" w:themeColor="text1"/>
        </w:rPr>
        <w:t>: Schematic of the batch setup used in this study.</w:t>
      </w:r>
    </w:p>
    <w:p w14:paraId="60ADAE38" w14:textId="77777777" w:rsidR="00415485" w:rsidRPr="00415485" w:rsidRDefault="00415485" w:rsidP="00DA4DF8">
      <w:pPr>
        <w:spacing w:line="240" w:lineRule="auto"/>
      </w:pPr>
    </w:p>
    <w:p w14:paraId="1CE28D29" w14:textId="1B71C5A9" w:rsidR="001A6594" w:rsidRPr="00100569" w:rsidRDefault="001A6594" w:rsidP="00DA4DF8">
      <w:pPr>
        <w:spacing w:line="240" w:lineRule="auto"/>
        <w:rPr>
          <w:rFonts w:cs="Arial"/>
          <w:szCs w:val="18"/>
        </w:rPr>
      </w:pPr>
      <w:r w:rsidRPr="00100569">
        <w:rPr>
          <w:rFonts w:cs="Arial"/>
          <w:szCs w:val="18"/>
        </w:rPr>
        <w:t xml:space="preserve">The experiment consists of two steps, adsorption in which a known potential is applied and desorption where the potential across the two electrodes is set to 0. The experiment is begun by applying a known potential across the electrode at time t=0.The desorption step is performed by switching the voltage to 0V and in this step the ions migrate from the electrode surface to the solution. </w:t>
      </w:r>
    </w:p>
    <w:p w14:paraId="0CE1601A" w14:textId="5A27434E" w:rsidR="00415485" w:rsidRPr="006C7455" w:rsidRDefault="001A6594" w:rsidP="00DA4DF8">
      <w:pPr>
        <w:spacing w:line="240" w:lineRule="auto"/>
        <w:rPr>
          <w:rFonts w:cs="Arial"/>
          <w:szCs w:val="18"/>
        </w:rPr>
      </w:pPr>
      <w:r w:rsidRPr="00100569">
        <w:rPr>
          <w:rFonts w:cs="Arial"/>
          <w:szCs w:val="18"/>
        </w:rPr>
        <w:t>The experiments were carried out for 5 different voltages namely 0.2 V, 0.4V, 0.6V, 0.8V and 1V for four different concentrations of 1 mM, 10 mM, 100 mM and 1M electrolyte solutions for NH</w:t>
      </w:r>
      <w:r w:rsidRPr="00100569">
        <w:rPr>
          <w:rFonts w:cs="Arial"/>
          <w:szCs w:val="18"/>
          <w:vertAlign w:val="subscript"/>
        </w:rPr>
        <w:t>4</w:t>
      </w:r>
      <w:r w:rsidRPr="00100569">
        <w:rPr>
          <w:rFonts w:cs="Arial"/>
          <w:szCs w:val="18"/>
        </w:rPr>
        <w:t>NO</w:t>
      </w:r>
      <w:r w:rsidRPr="00100569">
        <w:rPr>
          <w:rFonts w:cs="Arial"/>
          <w:szCs w:val="18"/>
          <w:vertAlign w:val="subscript"/>
        </w:rPr>
        <w:t>3</w:t>
      </w:r>
      <w:r w:rsidRPr="00100569">
        <w:rPr>
          <w:rFonts w:cs="Arial"/>
          <w:szCs w:val="18"/>
        </w:rPr>
        <w:t xml:space="preserve"> and 0.1 mM, 1 mM, and 10 mM solutions for KH</w:t>
      </w:r>
      <w:r w:rsidRPr="00100569">
        <w:rPr>
          <w:rFonts w:cs="Arial"/>
          <w:szCs w:val="18"/>
          <w:vertAlign w:val="subscript"/>
        </w:rPr>
        <w:t>2</w:t>
      </w:r>
      <w:r w:rsidRPr="00100569">
        <w:rPr>
          <w:rFonts w:cs="Arial"/>
          <w:szCs w:val="18"/>
        </w:rPr>
        <w:t>PO4 for the electrodes made from both carbon sources.  The experiments were carried out by starting at the lowest voltage and increasing the voltage in steps of 0.2 V to 1V. The maximum voltage was fixed to 1V in order to avoid any current overload in the system and potentially to avoid being closer to 1.2V where faradaic reactions can occur.</w:t>
      </w:r>
    </w:p>
    <w:p w14:paraId="35FA2A0D" w14:textId="02017490" w:rsidR="001A6594" w:rsidRPr="00563628" w:rsidRDefault="001A6594" w:rsidP="00DA4DF8">
      <w:pPr>
        <w:spacing w:line="240" w:lineRule="auto"/>
        <w:rPr>
          <w:rFonts w:cs="Arial"/>
          <w:szCs w:val="18"/>
        </w:rPr>
      </w:pPr>
      <w:r w:rsidRPr="00563628">
        <w:rPr>
          <w:rFonts w:cs="Arial"/>
          <w:szCs w:val="18"/>
        </w:rPr>
        <w:t>The amount adsorbed is obtained by integrating the transient current response with respect to time given by the equation below:</w:t>
      </w:r>
    </w:p>
    <w:p w14:paraId="592C0784" w14:textId="344F40FF" w:rsidR="001A6594" w:rsidRPr="00563628" w:rsidRDefault="005B1A96" w:rsidP="00DA4DF8">
      <w:pPr>
        <w:spacing w:line="240" w:lineRule="auto"/>
        <w:rPr>
          <w:rFonts w:eastAsiaTheme="minorEastAsia" w:cs="Arial"/>
          <w:szCs w:val="18"/>
        </w:rPr>
      </w:pPr>
      <m:oMath>
        <m:r>
          <m:rPr>
            <m:sty m:val="p"/>
          </m:rPr>
          <w:rPr>
            <w:rFonts w:ascii="Cambria Math" w:hAnsi="Cambria Math" w:cs="Arial"/>
            <w:szCs w:val="18"/>
          </w:rPr>
          <m:t>Amount adsorbed=</m:t>
        </m:r>
        <m:f>
          <m:fPr>
            <m:ctrlPr>
              <w:rPr>
                <w:rFonts w:ascii="Cambria Math" w:hAnsi="Cambria Math" w:cs="Arial"/>
                <w:iCs/>
                <w:szCs w:val="18"/>
              </w:rPr>
            </m:ctrlPr>
          </m:fPr>
          <m:num>
            <m:sSub>
              <m:sSubPr>
                <m:ctrlPr>
                  <w:rPr>
                    <w:rFonts w:ascii="Cambria Math" w:hAnsi="Cambria Math" w:cs="Arial"/>
                    <w:iCs/>
                    <w:szCs w:val="18"/>
                  </w:rPr>
                </m:ctrlPr>
              </m:sSubPr>
              <m:e>
                <m:r>
                  <m:rPr>
                    <m:sty m:val="p"/>
                  </m:rPr>
                  <w:rPr>
                    <w:rFonts w:ascii="Cambria Math" w:hAnsi="Cambria Math" w:cs="Arial"/>
                    <w:szCs w:val="18"/>
                  </w:rPr>
                  <m:t>MW</m:t>
                </m:r>
              </m:e>
              <m:sub>
                <m:r>
                  <m:rPr>
                    <m:sty m:val="p"/>
                  </m:rPr>
                  <w:rPr>
                    <w:rFonts w:ascii="Cambria Math" w:hAnsi="Cambria Math" w:cs="Arial"/>
                    <w:szCs w:val="18"/>
                  </w:rPr>
                  <m:t>SALT</m:t>
                </m:r>
              </m:sub>
            </m:sSub>
          </m:num>
          <m:den>
            <m:r>
              <m:rPr>
                <m:sty m:val="p"/>
              </m:rPr>
              <w:rPr>
                <w:rFonts w:ascii="Cambria Math" w:hAnsi="Cambria Math" w:cs="Arial"/>
                <w:szCs w:val="18"/>
              </w:rPr>
              <m:t>F</m:t>
            </m:r>
            <m:sSub>
              <m:sSubPr>
                <m:ctrlPr>
                  <w:rPr>
                    <w:rFonts w:ascii="Cambria Math" w:hAnsi="Cambria Math" w:cs="Arial"/>
                    <w:iCs/>
                    <w:szCs w:val="18"/>
                  </w:rPr>
                </m:ctrlPr>
              </m:sSubPr>
              <m:e>
                <m:r>
                  <m:rPr>
                    <m:sty m:val="p"/>
                  </m:rPr>
                  <w:rPr>
                    <w:rFonts w:ascii="Cambria Math" w:hAnsi="Cambria Math" w:cs="Arial"/>
                    <w:szCs w:val="18"/>
                  </w:rPr>
                  <m:t>M</m:t>
                </m:r>
              </m:e>
              <m:sub>
                <m:r>
                  <m:rPr>
                    <m:sty m:val="p"/>
                  </m:rPr>
                  <w:rPr>
                    <w:rFonts w:ascii="Cambria Math" w:hAnsi="Cambria Math" w:cs="Arial"/>
                    <w:szCs w:val="18"/>
                  </w:rPr>
                  <m:t>carbon</m:t>
                </m:r>
              </m:sub>
            </m:sSub>
          </m:den>
        </m:f>
        <m:nary>
          <m:naryPr>
            <m:limLoc m:val="subSup"/>
            <m:ctrlPr>
              <w:rPr>
                <w:rFonts w:ascii="Cambria Math" w:hAnsi="Cambria Math" w:cs="Arial"/>
                <w:iCs/>
                <w:szCs w:val="18"/>
              </w:rPr>
            </m:ctrlPr>
          </m:naryPr>
          <m:sub>
            <m:r>
              <m:rPr>
                <m:sty m:val="p"/>
              </m:rPr>
              <w:rPr>
                <w:rFonts w:ascii="Cambria Math" w:hAnsi="Cambria Math" w:cs="Arial"/>
                <w:szCs w:val="18"/>
              </w:rPr>
              <m:t>0</m:t>
            </m:r>
          </m:sub>
          <m:sup>
            <m:r>
              <m:rPr>
                <m:sty m:val="p"/>
              </m:rPr>
              <w:rPr>
                <w:rFonts w:ascii="Cambria Math" w:hAnsi="Cambria Math" w:cs="Arial"/>
                <w:szCs w:val="18"/>
              </w:rPr>
              <m:t>t</m:t>
            </m:r>
          </m:sup>
          <m:e>
            <m:r>
              <m:rPr>
                <m:sty m:val="p"/>
              </m:rPr>
              <w:rPr>
                <w:rFonts w:ascii="Cambria Math" w:hAnsi="Cambria Math" w:cs="Arial"/>
                <w:szCs w:val="18"/>
              </w:rPr>
              <m:t>I</m:t>
            </m:r>
            <m:d>
              <m:dPr>
                <m:ctrlPr>
                  <w:rPr>
                    <w:rFonts w:ascii="Cambria Math" w:hAnsi="Cambria Math" w:cs="Arial"/>
                    <w:iCs/>
                    <w:szCs w:val="18"/>
                  </w:rPr>
                </m:ctrlPr>
              </m:dPr>
              <m:e>
                <m:r>
                  <m:rPr>
                    <m:sty m:val="p"/>
                  </m:rPr>
                  <w:rPr>
                    <w:rFonts w:ascii="Cambria Math" w:hAnsi="Cambria Math" w:cs="Arial"/>
                    <w:szCs w:val="18"/>
                  </w:rPr>
                  <m:t>t</m:t>
                </m:r>
              </m:e>
            </m:d>
            <m:r>
              <m:rPr>
                <m:sty m:val="p"/>
              </m:rPr>
              <w:rPr>
                <w:rFonts w:ascii="Cambria Math" w:hAnsi="Cambria Math" w:cs="Arial"/>
                <w:szCs w:val="18"/>
              </w:rPr>
              <m:t>dt</m:t>
            </m:r>
          </m:e>
        </m:nary>
      </m:oMath>
      <w:r w:rsidR="001A6594" w:rsidRPr="00563628">
        <w:rPr>
          <w:rFonts w:eastAsiaTheme="minorEastAsia" w:cs="Arial"/>
          <w:szCs w:val="18"/>
        </w:rPr>
        <w:t xml:space="preserve">   </w:t>
      </w:r>
      <w:r w:rsidR="001A6594" w:rsidRPr="00563628">
        <w:rPr>
          <w:rFonts w:eastAsiaTheme="minorEastAsia" w:cs="Arial"/>
          <w:szCs w:val="18"/>
        </w:rPr>
        <w:tab/>
      </w:r>
      <w:r w:rsidR="001A6594" w:rsidRPr="00563628">
        <w:rPr>
          <w:rFonts w:eastAsiaTheme="minorEastAsia" w:cs="Arial"/>
          <w:szCs w:val="18"/>
        </w:rPr>
        <w:tab/>
      </w:r>
      <w:r w:rsidR="0000380D">
        <w:rPr>
          <w:rFonts w:eastAsiaTheme="minorEastAsia" w:cs="Arial"/>
          <w:szCs w:val="18"/>
        </w:rPr>
        <w:t xml:space="preserve">        </w:t>
      </w:r>
      <w:r w:rsidR="001A6594" w:rsidRPr="00563628">
        <w:rPr>
          <w:rFonts w:eastAsiaTheme="minorEastAsia" w:cs="Arial"/>
          <w:szCs w:val="18"/>
        </w:rPr>
        <w:t>(1)</w:t>
      </w:r>
    </w:p>
    <w:p w14:paraId="09294825" w14:textId="77777777" w:rsidR="001A6594" w:rsidRPr="00563628" w:rsidRDefault="001A6594" w:rsidP="00DA4DF8">
      <w:pPr>
        <w:spacing w:line="240" w:lineRule="auto"/>
        <w:rPr>
          <w:rFonts w:eastAsiaTheme="minorEastAsia" w:cs="Arial"/>
          <w:szCs w:val="18"/>
        </w:rPr>
      </w:pPr>
      <w:r w:rsidRPr="00563628">
        <w:rPr>
          <w:rFonts w:eastAsiaTheme="minorEastAsia" w:cs="Arial"/>
          <w:szCs w:val="18"/>
        </w:rPr>
        <w:lastRenderedPageBreak/>
        <w:t>Here, F is the faraday Constant (96485.33 C/mol), MW</w:t>
      </w:r>
      <w:r w:rsidRPr="00563628">
        <w:rPr>
          <w:rFonts w:eastAsiaTheme="minorEastAsia" w:cs="Arial"/>
          <w:szCs w:val="18"/>
          <w:vertAlign w:val="subscript"/>
        </w:rPr>
        <w:t>SALT</w:t>
      </w:r>
      <w:r w:rsidRPr="00563628">
        <w:rPr>
          <w:rFonts w:eastAsiaTheme="minorEastAsia" w:cs="Arial"/>
          <w:szCs w:val="18"/>
        </w:rPr>
        <w:t xml:space="preserve"> is the molecular weight of the salt and M</w:t>
      </w:r>
      <w:r w:rsidRPr="00563628">
        <w:rPr>
          <w:rFonts w:eastAsiaTheme="minorEastAsia" w:cs="Arial"/>
          <w:szCs w:val="18"/>
          <w:vertAlign w:val="subscript"/>
        </w:rPr>
        <w:t>carbon</w:t>
      </w:r>
      <w:r w:rsidRPr="00563628">
        <w:rPr>
          <w:rFonts w:eastAsiaTheme="minorEastAsia" w:cs="Arial"/>
          <w:szCs w:val="18"/>
        </w:rPr>
        <w:t xml:space="preserve"> is the amount of carbon deposited in the working electrode. The amount adsorbed is expressed in mg/g.</w:t>
      </w:r>
    </w:p>
    <w:p w14:paraId="0FC16A38" w14:textId="77777777" w:rsidR="001A6594" w:rsidRPr="00563628" w:rsidRDefault="001A6594" w:rsidP="00DA4DF8">
      <w:pPr>
        <w:spacing w:line="240" w:lineRule="auto"/>
        <w:rPr>
          <w:rFonts w:eastAsiaTheme="minorEastAsia" w:cs="Arial"/>
          <w:szCs w:val="18"/>
        </w:rPr>
      </w:pPr>
      <w:r w:rsidRPr="00563628">
        <w:rPr>
          <w:rFonts w:eastAsiaTheme="minorEastAsia" w:cs="Arial"/>
          <w:szCs w:val="18"/>
        </w:rPr>
        <w:t>The transient responses were also used to study the adsorption kinetics by fitting the responses to a pseudo first order kinetics and a pseudo second order kinetics equation. The expression for the 1</w:t>
      </w:r>
      <w:r w:rsidRPr="00563628">
        <w:rPr>
          <w:rFonts w:eastAsiaTheme="minorEastAsia" w:cs="Arial"/>
          <w:szCs w:val="18"/>
          <w:vertAlign w:val="superscript"/>
        </w:rPr>
        <w:t>st</w:t>
      </w:r>
      <w:r w:rsidRPr="00563628">
        <w:rPr>
          <w:rFonts w:eastAsiaTheme="minorEastAsia" w:cs="Arial"/>
          <w:szCs w:val="18"/>
        </w:rPr>
        <w:t xml:space="preserve"> order and 2</w:t>
      </w:r>
      <w:r w:rsidRPr="00563628">
        <w:rPr>
          <w:rFonts w:eastAsiaTheme="minorEastAsia" w:cs="Arial"/>
          <w:szCs w:val="18"/>
          <w:vertAlign w:val="superscript"/>
        </w:rPr>
        <w:t>nd</w:t>
      </w:r>
      <w:r w:rsidRPr="00563628">
        <w:rPr>
          <w:rFonts w:eastAsiaTheme="minorEastAsia" w:cs="Arial"/>
          <w:szCs w:val="18"/>
        </w:rPr>
        <w:t xml:space="preserve"> order rate equation are as follows:</w:t>
      </w:r>
    </w:p>
    <w:p w14:paraId="0A14915B" w14:textId="097E66A0" w:rsidR="001A6594" w:rsidRPr="00563628" w:rsidRDefault="001A6594" w:rsidP="00DA4DF8">
      <w:pPr>
        <w:spacing w:line="240" w:lineRule="auto"/>
        <w:ind w:left="2160" w:firstLine="720"/>
        <w:rPr>
          <w:rFonts w:eastAsiaTheme="minorEastAsia" w:cs="Arial"/>
          <w:szCs w:val="18"/>
        </w:rPr>
      </w:pPr>
      <m:oMath>
        <m:r>
          <w:rPr>
            <w:rFonts w:ascii="Cambria Math" w:eastAsiaTheme="minorEastAsia" w:hAnsi="Cambria Math" w:cs="Arial"/>
            <w:szCs w:val="18"/>
          </w:rPr>
          <m:t>q</m:t>
        </m:r>
        <m:d>
          <m:dPr>
            <m:ctrlPr>
              <w:rPr>
                <w:rFonts w:ascii="Cambria Math" w:eastAsiaTheme="minorEastAsia" w:hAnsi="Cambria Math" w:cs="Arial"/>
                <w:iCs/>
                <w:szCs w:val="18"/>
              </w:rPr>
            </m:ctrlPr>
          </m:dPr>
          <m:e>
            <m:r>
              <m:rPr>
                <m:sty m:val="p"/>
              </m:rPr>
              <w:rPr>
                <w:rFonts w:ascii="Cambria Math" w:eastAsiaTheme="minorEastAsia" w:hAnsi="Cambria Math" w:cs="Arial"/>
                <w:szCs w:val="18"/>
              </w:rPr>
              <m:t>t</m:t>
            </m:r>
          </m:e>
        </m:d>
        <m:r>
          <m:rPr>
            <m:sty m:val="p"/>
          </m:rPr>
          <w:rPr>
            <w:rFonts w:ascii="Cambria Math" w:eastAsiaTheme="minorEastAsia" w:hAnsi="Cambria Math" w:cs="Arial"/>
            <w:szCs w:val="18"/>
          </w:rPr>
          <m:t>=</m:t>
        </m:r>
        <m:d>
          <m:dPr>
            <m:ctrlPr>
              <w:rPr>
                <w:rFonts w:ascii="Cambria Math" w:eastAsiaTheme="minorEastAsia" w:hAnsi="Cambria Math" w:cs="Arial"/>
                <w:iCs/>
                <w:szCs w:val="18"/>
              </w:rPr>
            </m:ctrlPr>
          </m:dPr>
          <m:e>
            <m:r>
              <m:rPr>
                <m:sty m:val="p"/>
              </m:rPr>
              <w:rPr>
                <w:rFonts w:ascii="Cambria Math" w:eastAsiaTheme="minorEastAsia" w:hAnsi="Cambria Math" w:cs="Arial"/>
                <w:szCs w:val="18"/>
              </w:rPr>
              <m:t>1-</m:t>
            </m:r>
            <m:sSup>
              <m:sSupPr>
                <m:ctrlPr>
                  <w:rPr>
                    <w:rFonts w:ascii="Cambria Math" w:eastAsiaTheme="minorEastAsia" w:hAnsi="Cambria Math" w:cs="Arial"/>
                    <w:iCs/>
                    <w:szCs w:val="18"/>
                  </w:rPr>
                </m:ctrlPr>
              </m:sSupPr>
              <m:e>
                <m:r>
                  <m:rPr>
                    <m:sty m:val="p"/>
                  </m:rPr>
                  <w:rPr>
                    <w:rFonts w:ascii="Cambria Math" w:eastAsiaTheme="minorEastAsia" w:hAnsi="Cambria Math" w:cs="Arial"/>
                    <w:szCs w:val="18"/>
                  </w:rPr>
                  <m:t>e</m:t>
                </m:r>
              </m:e>
              <m:sup>
                <m:r>
                  <m:rPr>
                    <m:sty m:val="p"/>
                  </m:rPr>
                  <w:rPr>
                    <w:rFonts w:ascii="Cambria Math" w:eastAsiaTheme="minorEastAsia" w:hAnsi="Cambria Math" w:cs="Arial"/>
                    <w:szCs w:val="18"/>
                  </w:rPr>
                  <m:t>-</m:t>
                </m:r>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k</m:t>
                    </m:r>
                  </m:e>
                  <m:sub>
                    <m:r>
                      <m:rPr>
                        <m:sty m:val="p"/>
                      </m:rPr>
                      <w:rPr>
                        <w:rFonts w:ascii="Cambria Math" w:eastAsiaTheme="minorEastAsia" w:hAnsi="Cambria Math" w:cs="Arial"/>
                        <w:szCs w:val="18"/>
                      </w:rPr>
                      <m:t>1</m:t>
                    </m:r>
                  </m:sub>
                </m:sSub>
                <m:r>
                  <m:rPr>
                    <m:sty m:val="p"/>
                  </m:rPr>
                  <w:rPr>
                    <w:rFonts w:ascii="Cambria Math" w:eastAsiaTheme="minorEastAsia" w:hAnsi="Cambria Math" w:cs="Arial"/>
                    <w:szCs w:val="18"/>
                  </w:rPr>
                  <m:t>t</m:t>
                </m:r>
              </m:sup>
            </m:sSup>
          </m:e>
        </m:d>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q</m:t>
            </m:r>
          </m:e>
          <m:sub>
            <m:r>
              <m:rPr>
                <m:sty m:val="p"/>
              </m:rPr>
              <w:rPr>
                <w:rFonts w:ascii="Cambria Math" w:eastAsiaTheme="minorEastAsia" w:hAnsi="Cambria Math" w:cs="Arial"/>
                <w:szCs w:val="18"/>
              </w:rPr>
              <m:t xml:space="preserve">e   </m:t>
            </m:r>
          </m:sub>
        </m:sSub>
      </m:oMath>
      <w:r w:rsidRPr="00563628">
        <w:rPr>
          <w:rFonts w:eastAsiaTheme="minorEastAsia" w:cs="Arial"/>
          <w:szCs w:val="18"/>
        </w:rPr>
        <w:tab/>
      </w:r>
      <w:r w:rsidRPr="00563628">
        <w:rPr>
          <w:rFonts w:eastAsiaTheme="minorEastAsia" w:cs="Arial"/>
          <w:szCs w:val="18"/>
        </w:rPr>
        <w:tab/>
      </w:r>
      <w:r w:rsidR="0000380D">
        <w:rPr>
          <w:rFonts w:eastAsiaTheme="minorEastAsia" w:cs="Arial"/>
          <w:szCs w:val="18"/>
        </w:rPr>
        <w:t xml:space="preserve">         </w:t>
      </w:r>
      <w:r w:rsidRPr="00563628">
        <w:rPr>
          <w:rFonts w:eastAsiaTheme="minorEastAsia" w:cs="Arial"/>
          <w:szCs w:val="18"/>
        </w:rPr>
        <w:t>(2)</w:t>
      </w:r>
    </w:p>
    <w:p w14:paraId="52190D93" w14:textId="77777777" w:rsidR="001A6594" w:rsidRPr="00563628" w:rsidRDefault="001A6594" w:rsidP="00DA4DF8">
      <w:pPr>
        <w:spacing w:line="240" w:lineRule="auto"/>
        <w:ind w:left="2160" w:firstLine="720"/>
        <w:rPr>
          <w:rFonts w:eastAsiaTheme="minorEastAsia" w:cs="Arial"/>
          <w:szCs w:val="18"/>
        </w:rPr>
      </w:pPr>
    </w:p>
    <w:p w14:paraId="262A9F1D" w14:textId="0B838655" w:rsidR="001A6594" w:rsidRPr="00645AE4" w:rsidRDefault="001A6594" w:rsidP="00DA4DF8">
      <w:pPr>
        <w:spacing w:line="240" w:lineRule="auto"/>
        <w:ind w:left="2160" w:firstLine="720"/>
        <w:rPr>
          <w:rFonts w:ascii="Times New Roman" w:eastAsiaTheme="minorEastAsia" w:hAnsi="Times New Roman"/>
          <w:sz w:val="24"/>
          <w:szCs w:val="24"/>
        </w:rPr>
      </w:pPr>
      <m:oMath>
        <m:r>
          <w:rPr>
            <w:rFonts w:ascii="Cambria Math" w:eastAsiaTheme="minorEastAsia" w:hAnsi="Cambria Math" w:cs="Arial"/>
            <w:szCs w:val="18"/>
          </w:rPr>
          <m:t>q</m:t>
        </m:r>
        <m:d>
          <m:dPr>
            <m:ctrlPr>
              <w:rPr>
                <w:rFonts w:ascii="Cambria Math" w:eastAsiaTheme="minorEastAsia" w:hAnsi="Cambria Math" w:cs="Arial"/>
                <w:i/>
                <w:szCs w:val="18"/>
              </w:rPr>
            </m:ctrlPr>
          </m:dPr>
          <m:e>
            <m:r>
              <w:rPr>
                <w:rFonts w:ascii="Cambria Math" w:eastAsiaTheme="minorEastAsia" w:hAnsi="Cambria Math" w:cs="Arial"/>
                <w:szCs w:val="18"/>
              </w:rPr>
              <m:t>t</m:t>
            </m:r>
          </m:e>
        </m:d>
        <m:r>
          <w:rPr>
            <w:rFonts w:ascii="Cambria Math" w:eastAsiaTheme="minorEastAsia" w:hAnsi="Cambria Math" w:cs="Arial"/>
            <w:szCs w:val="18"/>
          </w:rPr>
          <m:t>=</m:t>
        </m:r>
        <m:f>
          <m:fPr>
            <m:ctrlPr>
              <w:rPr>
                <w:rFonts w:ascii="Cambria Math" w:eastAsiaTheme="minorEastAsia" w:hAnsi="Cambria Math" w:cs="Arial"/>
                <w:i/>
                <w:szCs w:val="18"/>
              </w:rPr>
            </m:ctrlPr>
          </m:fPr>
          <m:num>
            <m:sSub>
              <m:sSubPr>
                <m:ctrlPr>
                  <w:rPr>
                    <w:rFonts w:ascii="Cambria Math" w:eastAsiaTheme="minorEastAsia" w:hAnsi="Cambria Math" w:cs="Arial"/>
                    <w:i/>
                    <w:szCs w:val="18"/>
                  </w:rPr>
                </m:ctrlPr>
              </m:sSubPr>
              <m:e>
                <m:r>
                  <w:rPr>
                    <w:rFonts w:ascii="Cambria Math" w:eastAsiaTheme="minorEastAsia" w:hAnsi="Cambria Math" w:cs="Arial"/>
                    <w:szCs w:val="18"/>
                  </w:rPr>
                  <m:t>q</m:t>
                </m:r>
              </m:e>
              <m:sub>
                <m:r>
                  <w:rPr>
                    <w:rFonts w:ascii="Cambria Math" w:eastAsiaTheme="minorEastAsia" w:hAnsi="Cambria Math" w:cs="Arial"/>
                    <w:szCs w:val="18"/>
                  </w:rPr>
                  <m:t>e</m:t>
                </m:r>
              </m:sub>
            </m:sSub>
            <m:sSub>
              <m:sSubPr>
                <m:ctrlPr>
                  <w:rPr>
                    <w:rFonts w:ascii="Cambria Math" w:eastAsiaTheme="minorEastAsia" w:hAnsi="Cambria Math" w:cs="Arial"/>
                    <w:i/>
                    <w:szCs w:val="18"/>
                  </w:rPr>
                </m:ctrlPr>
              </m:sSubPr>
              <m:e>
                <m:r>
                  <w:rPr>
                    <w:rFonts w:ascii="Cambria Math" w:eastAsiaTheme="minorEastAsia" w:hAnsi="Cambria Math" w:cs="Arial"/>
                    <w:szCs w:val="18"/>
                  </w:rPr>
                  <m:t>k</m:t>
                </m:r>
              </m:e>
              <m:sub>
                <m:r>
                  <w:rPr>
                    <w:rFonts w:ascii="Cambria Math" w:eastAsiaTheme="minorEastAsia" w:hAnsi="Cambria Math" w:cs="Arial"/>
                    <w:szCs w:val="18"/>
                  </w:rPr>
                  <m:t>2</m:t>
                </m:r>
              </m:sub>
            </m:sSub>
            <m:r>
              <w:rPr>
                <w:rFonts w:ascii="Cambria Math" w:eastAsiaTheme="minorEastAsia" w:hAnsi="Cambria Math" w:cs="Arial"/>
                <w:szCs w:val="18"/>
              </w:rPr>
              <m:t>t</m:t>
            </m:r>
          </m:num>
          <m:den>
            <m:r>
              <w:rPr>
                <w:rFonts w:ascii="Cambria Math" w:eastAsiaTheme="minorEastAsia" w:hAnsi="Cambria Math" w:cs="Arial"/>
                <w:szCs w:val="18"/>
              </w:rPr>
              <m:t>1+</m:t>
            </m:r>
            <m:sSub>
              <m:sSubPr>
                <m:ctrlPr>
                  <w:rPr>
                    <w:rFonts w:ascii="Cambria Math" w:eastAsiaTheme="minorEastAsia" w:hAnsi="Cambria Math" w:cs="Arial"/>
                    <w:i/>
                    <w:szCs w:val="18"/>
                  </w:rPr>
                </m:ctrlPr>
              </m:sSubPr>
              <m:e>
                <m:r>
                  <w:rPr>
                    <w:rFonts w:ascii="Cambria Math" w:eastAsiaTheme="minorEastAsia" w:hAnsi="Cambria Math" w:cs="Arial"/>
                    <w:szCs w:val="18"/>
                  </w:rPr>
                  <m:t>k</m:t>
                </m:r>
              </m:e>
              <m:sub>
                <m:r>
                  <w:rPr>
                    <w:rFonts w:ascii="Cambria Math" w:eastAsiaTheme="minorEastAsia" w:hAnsi="Cambria Math" w:cs="Arial"/>
                    <w:szCs w:val="18"/>
                  </w:rPr>
                  <m:t>2</m:t>
                </m:r>
              </m:sub>
            </m:sSub>
            <m:r>
              <w:rPr>
                <w:rFonts w:ascii="Cambria Math" w:eastAsiaTheme="minorEastAsia" w:hAnsi="Cambria Math" w:cs="Arial"/>
                <w:szCs w:val="18"/>
              </w:rPr>
              <m:t>t</m:t>
            </m:r>
          </m:den>
        </m:f>
      </m:oMath>
      <w:r w:rsidRPr="00350309">
        <w:rPr>
          <w:rFonts w:eastAsiaTheme="minorEastAsia" w:cs="Arial"/>
          <w:szCs w:val="18"/>
        </w:rPr>
        <w:t xml:space="preserve"> </w:t>
      </w:r>
      <w:r w:rsidR="00563628" w:rsidRPr="00350309">
        <w:rPr>
          <w:rFonts w:eastAsiaTheme="minorEastAsia" w:cs="Arial"/>
          <w:szCs w:val="18"/>
        </w:rPr>
        <w:t xml:space="preserve"> </w:t>
      </w:r>
      <w:r w:rsidR="00350309">
        <w:rPr>
          <w:rFonts w:eastAsiaTheme="minorEastAsia" w:cs="Arial"/>
          <w:szCs w:val="18"/>
        </w:rPr>
        <w:t xml:space="preserve">                                                                                       </w:t>
      </w:r>
      <w:r w:rsidR="00563628" w:rsidRPr="00350309">
        <w:rPr>
          <w:rFonts w:eastAsiaTheme="minorEastAsia" w:cs="Arial"/>
          <w:szCs w:val="18"/>
        </w:rPr>
        <w:t>(3)</w:t>
      </w:r>
      <w:r w:rsidRPr="00645AE4">
        <w:rPr>
          <w:rFonts w:ascii="Times New Roman" w:eastAsiaTheme="minorEastAsia" w:hAnsi="Times New Roman"/>
          <w:sz w:val="24"/>
          <w:szCs w:val="24"/>
        </w:rPr>
        <w:tab/>
      </w:r>
      <w:r w:rsidRPr="00645AE4">
        <w:rPr>
          <w:rFonts w:ascii="Times New Roman" w:eastAsiaTheme="minorEastAsia" w:hAnsi="Times New Roman"/>
          <w:sz w:val="24"/>
          <w:szCs w:val="24"/>
        </w:rPr>
        <w:tab/>
      </w:r>
      <w:r w:rsidRPr="00645AE4">
        <w:rPr>
          <w:rFonts w:ascii="Times New Roman" w:eastAsiaTheme="minorEastAsia" w:hAnsi="Times New Roman"/>
          <w:sz w:val="24"/>
          <w:szCs w:val="24"/>
        </w:rPr>
        <w:tab/>
        <w:t xml:space="preserve">  </w:t>
      </w:r>
    </w:p>
    <w:p w14:paraId="63B0F729" w14:textId="6E2292A9" w:rsidR="00556C22" w:rsidRDefault="001A6594" w:rsidP="00DA4DF8">
      <w:pPr>
        <w:spacing w:line="240" w:lineRule="auto"/>
        <w:rPr>
          <w:rFonts w:eastAsiaTheme="minorEastAsia" w:cs="Arial"/>
          <w:szCs w:val="18"/>
        </w:rPr>
      </w:pPr>
      <w:r w:rsidRPr="00444CD0">
        <w:rPr>
          <w:rFonts w:eastAsiaTheme="minorEastAsia" w:cs="Arial"/>
          <w:szCs w:val="18"/>
        </w:rPr>
        <w:t>Where, q</w:t>
      </w:r>
      <w:r w:rsidRPr="00444CD0">
        <w:rPr>
          <w:rFonts w:eastAsiaTheme="minorEastAsia" w:cs="Arial"/>
          <w:szCs w:val="18"/>
          <w:vertAlign w:val="subscript"/>
        </w:rPr>
        <w:t>e</w:t>
      </w:r>
      <w:r w:rsidRPr="00444CD0">
        <w:rPr>
          <w:rFonts w:eastAsiaTheme="minorEastAsia" w:cs="Arial"/>
          <w:szCs w:val="18"/>
        </w:rPr>
        <w:t xml:space="preserve"> is the concentration at equilibrium (mg/g), k</w:t>
      </w:r>
      <w:r w:rsidRPr="00444CD0">
        <w:rPr>
          <w:rFonts w:eastAsiaTheme="minorEastAsia" w:cs="Arial"/>
          <w:szCs w:val="18"/>
          <w:vertAlign w:val="subscript"/>
        </w:rPr>
        <w:t>1</w:t>
      </w:r>
      <w:r w:rsidRPr="00444CD0">
        <w:rPr>
          <w:rFonts w:eastAsiaTheme="minorEastAsia" w:cs="Arial"/>
          <w:szCs w:val="18"/>
        </w:rPr>
        <w:t xml:space="preserve"> and k</w:t>
      </w:r>
      <w:r w:rsidRPr="00444CD0">
        <w:rPr>
          <w:rFonts w:eastAsiaTheme="minorEastAsia" w:cs="Arial"/>
          <w:szCs w:val="18"/>
          <w:vertAlign w:val="subscript"/>
        </w:rPr>
        <w:t>2</w:t>
      </w:r>
      <w:r w:rsidRPr="00444CD0">
        <w:rPr>
          <w:rFonts w:eastAsiaTheme="minorEastAsia" w:cs="Arial"/>
          <w:szCs w:val="18"/>
        </w:rPr>
        <w:t xml:space="preserve"> are the pseudo 1</w:t>
      </w:r>
      <w:r w:rsidRPr="00444CD0">
        <w:rPr>
          <w:rFonts w:eastAsiaTheme="minorEastAsia" w:cs="Arial"/>
          <w:szCs w:val="18"/>
          <w:vertAlign w:val="superscript"/>
        </w:rPr>
        <w:t>st</w:t>
      </w:r>
      <w:r w:rsidRPr="00444CD0">
        <w:rPr>
          <w:rFonts w:eastAsiaTheme="minorEastAsia" w:cs="Arial"/>
          <w:szCs w:val="18"/>
        </w:rPr>
        <w:t xml:space="preserve"> and 2</w:t>
      </w:r>
      <w:r w:rsidRPr="00444CD0">
        <w:rPr>
          <w:rFonts w:eastAsiaTheme="minorEastAsia" w:cs="Arial"/>
          <w:szCs w:val="18"/>
          <w:vertAlign w:val="superscript"/>
        </w:rPr>
        <w:t>nd</w:t>
      </w:r>
      <w:r w:rsidRPr="00444CD0">
        <w:rPr>
          <w:rFonts w:eastAsiaTheme="minorEastAsia" w:cs="Arial"/>
          <w:szCs w:val="18"/>
        </w:rPr>
        <w:t xml:space="preserve"> order rate constants in (s</w:t>
      </w:r>
      <w:r w:rsidRPr="00444CD0">
        <w:rPr>
          <w:rFonts w:eastAsiaTheme="minorEastAsia" w:cs="Arial"/>
          <w:szCs w:val="18"/>
          <w:vertAlign w:val="superscript"/>
        </w:rPr>
        <w:t>-1</w:t>
      </w:r>
      <w:r w:rsidRPr="00444CD0">
        <w:rPr>
          <w:rFonts w:eastAsiaTheme="minorEastAsia" w:cs="Arial"/>
          <w:szCs w:val="18"/>
        </w:rPr>
        <w:t>), respectively and t is the time in seconds.</w:t>
      </w:r>
    </w:p>
    <w:p w14:paraId="7943C521" w14:textId="77777777" w:rsidR="00556C22" w:rsidRPr="00444CD0" w:rsidRDefault="00556C22" w:rsidP="00DA4DF8">
      <w:pPr>
        <w:spacing w:line="240" w:lineRule="auto"/>
        <w:rPr>
          <w:rFonts w:eastAsiaTheme="minorEastAsia" w:cs="Arial"/>
          <w:szCs w:val="18"/>
        </w:rPr>
      </w:pPr>
    </w:p>
    <w:p w14:paraId="4DC94257" w14:textId="4BA61C20" w:rsidR="001A6594" w:rsidRPr="007901DD" w:rsidRDefault="001A6594" w:rsidP="007901DD">
      <w:pPr>
        <w:pStyle w:val="ListParagraph"/>
        <w:numPr>
          <w:ilvl w:val="0"/>
          <w:numId w:val="25"/>
        </w:numPr>
        <w:spacing w:line="240" w:lineRule="auto"/>
        <w:rPr>
          <w:rFonts w:cs="Arial"/>
          <w:b/>
          <w:bCs/>
          <w:szCs w:val="18"/>
        </w:rPr>
      </w:pPr>
      <w:r w:rsidRPr="00375922">
        <w:rPr>
          <w:rFonts w:cs="Arial"/>
          <w:b/>
          <w:bCs/>
          <w:szCs w:val="18"/>
        </w:rPr>
        <w:t>Results and discussion</w:t>
      </w:r>
    </w:p>
    <w:p w14:paraId="3D02DEA5" w14:textId="77777777" w:rsidR="001A6594" w:rsidRDefault="001A6594" w:rsidP="00DA4DF8">
      <w:pPr>
        <w:spacing w:line="240" w:lineRule="auto"/>
        <w:rPr>
          <w:rFonts w:ascii="Times New Roman" w:hAnsi="Times New Roman"/>
          <w:b/>
          <w:bCs/>
          <w:sz w:val="24"/>
          <w:szCs w:val="24"/>
        </w:rPr>
      </w:pPr>
    </w:p>
    <w:p w14:paraId="32242E05" w14:textId="0160DB4A" w:rsidR="001A6594" w:rsidRPr="00375922" w:rsidRDefault="00375922" w:rsidP="00DA4DF8">
      <w:pPr>
        <w:pStyle w:val="ListParagraph"/>
        <w:numPr>
          <w:ilvl w:val="1"/>
          <w:numId w:val="25"/>
        </w:numPr>
        <w:spacing w:line="240" w:lineRule="auto"/>
        <w:rPr>
          <w:rFonts w:ascii="Times New Roman" w:hAnsi="Times New Roman"/>
          <w:b/>
          <w:bCs/>
          <w:sz w:val="24"/>
          <w:szCs w:val="24"/>
        </w:rPr>
      </w:pPr>
      <w:r>
        <w:rPr>
          <w:rFonts w:cs="Arial"/>
          <w:b/>
          <w:bCs/>
          <w:szCs w:val="18"/>
        </w:rPr>
        <w:t xml:space="preserve"> </w:t>
      </w:r>
      <w:r w:rsidR="001A6594" w:rsidRPr="00375922">
        <w:rPr>
          <w:rFonts w:cs="Arial"/>
          <w:b/>
          <w:bCs/>
          <w:szCs w:val="18"/>
        </w:rPr>
        <w:t>Cyclic voltammetry</w:t>
      </w:r>
    </w:p>
    <w:p w14:paraId="310633A2" w14:textId="77777777" w:rsidR="001A6594" w:rsidRPr="004E35AC" w:rsidRDefault="001A6594" w:rsidP="00DA4DF8">
      <w:pPr>
        <w:spacing w:line="240" w:lineRule="auto"/>
        <w:rPr>
          <w:rFonts w:cs="Arial"/>
          <w:szCs w:val="18"/>
        </w:rPr>
      </w:pPr>
      <w:r w:rsidRPr="004E35AC">
        <w:rPr>
          <w:rFonts w:cs="Arial"/>
          <w:szCs w:val="18"/>
        </w:rPr>
        <w:t>Figure 4 shows the current vs voltage curves for 1 mM NH</w:t>
      </w:r>
      <w:r w:rsidRPr="004E35AC">
        <w:rPr>
          <w:rFonts w:cs="Arial"/>
          <w:szCs w:val="18"/>
          <w:vertAlign w:val="subscript"/>
        </w:rPr>
        <w:t>4</w:t>
      </w:r>
      <w:r w:rsidRPr="004E35AC">
        <w:rPr>
          <w:rFonts w:cs="Arial"/>
          <w:szCs w:val="18"/>
        </w:rPr>
        <w:t>NO</w:t>
      </w:r>
      <w:r w:rsidRPr="004E35AC">
        <w:rPr>
          <w:rFonts w:cs="Arial"/>
          <w:szCs w:val="18"/>
          <w:vertAlign w:val="subscript"/>
        </w:rPr>
        <w:t xml:space="preserve">3 </w:t>
      </w:r>
      <w:r w:rsidRPr="004E35AC">
        <w:rPr>
          <w:rFonts w:cs="Arial"/>
          <w:szCs w:val="18"/>
        </w:rPr>
        <w:t>solution at different scan rates. The current is reported in milliamperes, and the voltage is in volts. The capacitance is defined as</w:t>
      </w:r>
    </w:p>
    <w:p w14:paraId="55F7A212" w14:textId="6BA6DD31" w:rsidR="001A6594" w:rsidRPr="004E35AC" w:rsidRDefault="001A6594" w:rsidP="00DA4DF8">
      <w:pPr>
        <w:spacing w:line="240" w:lineRule="auto"/>
        <w:rPr>
          <w:rFonts w:eastAsiaTheme="minorEastAsia" w:cs="Arial"/>
          <w:szCs w:val="18"/>
        </w:rPr>
      </w:pPr>
      <m:oMath>
        <m:r>
          <w:rPr>
            <w:rFonts w:ascii="Cambria Math" w:hAnsi="Cambria Math" w:cs="Arial"/>
            <w:szCs w:val="18"/>
          </w:rPr>
          <m:t>Capacitance C=</m:t>
        </m:r>
        <m:f>
          <m:fPr>
            <m:ctrlPr>
              <w:rPr>
                <w:rFonts w:ascii="Cambria Math" w:hAnsi="Cambria Math" w:cs="Arial"/>
                <w:i/>
                <w:szCs w:val="18"/>
              </w:rPr>
            </m:ctrlPr>
          </m:fPr>
          <m:num>
            <m:r>
              <w:rPr>
                <w:rFonts w:ascii="Cambria Math" w:hAnsi="Cambria Math" w:cs="Arial"/>
                <w:szCs w:val="18"/>
              </w:rPr>
              <m:t>Charge</m:t>
            </m:r>
          </m:num>
          <m:den>
            <m:r>
              <w:rPr>
                <w:rFonts w:ascii="Cambria Math" w:hAnsi="Cambria Math" w:cs="Arial"/>
                <w:szCs w:val="18"/>
              </w:rPr>
              <m:t>Voltage×mass of carbon</m:t>
            </m:r>
          </m:den>
        </m:f>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Current</m:t>
            </m:r>
          </m:num>
          <m:den>
            <m:r>
              <w:rPr>
                <w:rFonts w:ascii="Cambria Math" w:hAnsi="Cambria Math" w:cs="Arial"/>
                <w:szCs w:val="18"/>
              </w:rPr>
              <m:t xml:space="preserve">scan rate × mass of carbon </m:t>
            </m:r>
          </m:den>
        </m:f>
      </m:oMath>
      <w:r w:rsidRPr="004E35AC">
        <w:rPr>
          <w:rFonts w:eastAsiaTheme="minorEastAsia" w:cs="Arial"/>
          <w:szCs w:val="18"/>
        </w:rPr>
        <w:t xml:space="preserve"> </w:t>
      </w:r>
      <w:r w:rsidR="003B3076" w:rsidRPr="004E35AC">
        <w:rPr>
          <w:rFonts w:eastAsiaTheme="minorEastAsia" w:cs="Arial"/>
          <w:szCs w:val="18"/>
        </w:rPr>
        <w:t xml:space="preserve">                        </w:t>
      </w:r>
      <w:r w:rsidRPr="004E35AC">
        <w:rPr>
          <w:rFonts w:eastAsiaTheme="minorEastAsia" w:cs="Arial"/>
          <w:szCs w:val="18"/>
        </w:rPr>
        <w:t>(4)</w:t>
      </w:r>
    </w:p>
    <w:p w14:paraId="18116CAD" w14:textId="5690F042" w:rsidR="001A6594" w:rsidRPr="004E35AC" w:rsidRDefault="001A6594" w:rsidP="00DA4DF8">
      <w:pPr>
        <w:spacing w:line="240" w:lineRule="auto"/>
        <w:rPr>
          <w:rFonts w:eastAsiaTheme="minorEastAsia" w:cs="Arial"/>
          <w:szCs w:val="18"/>
        </w:rPr>
      </w:pPr>
      <w:r w:rsidRPr="004E35AC">
        <w:rPr>
          <w:rFonts w:eastAsiaTheme="minorEastAsia" w:cs="Arial"/>
          <w:szCs w:val="18"/>
        </w:rPr>
        <w:t xml:space="preserve">The above equation was used to calculate the capacitance in Farad/gram (F/g) by dividing the current in the y axis of figure by the scan rate. The mass of carbon used in the experiments was about 4 mg. One can see from Figure </w:t>
      </w:r>
      <w:r w:rsidR="00AE63E6">
        <w:rPr>
          <w:rFonts w:eastAsiaTheme="minorEastAsia" w:cs="Arial"/>
          <w:szCs w:val="18"/>
        </w:rPr>
        <w:t>2</w:t>
      </w:r>
      <w:r w:rsidRPr="004E35AC">
        <w:rPr>
          <w:rFonts w:eastAsiaTheme="minorEastAsia" w:cs="Arial"/>
          <w:szCs w:val="18"/>
        </w:rPr>
        <w:t xml:space="preserve"> that the capacitance is lower as the scan rate is increased. The capacitance values for the different electrolyte concentrations are shown in Figure </w:t>
      </w:r>
      <w:r w:rsidR="00B56B3C">
        <w:rPr>
          <w:rFonts w:eastAsiaTheme="minorEastAsia" w:cs="Arial"/>
          <w:szCs w:val="18"/>
        </w:rPr>
        <w:t>2</w:t>
      </w:r>
      <w:r w:rsidRPr="004E35AC">
        <w:rPr>
          <w:rFonts w:eastAsiaTheme="minorEastAsia" w:cs="Arial"/>
          <w:szCs w:val="18"/>
        </w:rPr>
        <w:t>. The capacitance values are 7, 13 and 18 F/g for 1, 100 and 1000 mM NH</w:t>
      </w:r>
      <w:r w:rsidRPr="004E35AC">
        <w:rPr>
          <w:rFonts w:eastAsiaTheme="minorEastAsia" w:cs="Arial"/>
          <w:szCs w:val="18"/>
          <w:vertAlign w:val="subscript"/>
        </w:rPr>
        <w:t>4</w:t>
      </w:r>
      <w:r w:rsidRPr="004E35AC">
        <w:rPr>
          <w:rFonts w:eastAsiaTheme="minorEastAsia" w:cs="Arial"/>
          <w:szCs w:val="18"/>
        </w:rPr>
        <w:t>NO</w:t>
      </w:r>
      <w:r w:rsidRPr="004E35AC">
        <w:rPr>
          <w:rFonts w:eastAsiaTheme="minorEastAsia" w:cs="Arial"/>
          <w:szCs w:val="18"/>
          <w:vertAlign w:val="subscript"/>
        </w:rPr>
        <w:t>3</w:t>
      </w:r>
      <w:r w:rsidRPr="004E35AC">
        <w:rPr>
          <w:rFonts w:eastAsiaTheme="minorEastAsia" w:cs="Arial"/>
          <w:szCs w:val="18"/>
        </w:rPr>
        <w:t xml:space="preserve"> solutions. These are close to the values reported by Pastushok et al</w:t>
      </w:r>
      <w:r w:rsidR="00987731">
        <w:rPr>
          <w:rFonts w:eastAsiaTheme="minorEastAsia" w:cs="Arial"/>
          <w:szCs w:val="18"/>
        </w:rPr>
        <w:t xml:space="preserve"> </w:t>
      </w:r>
      <w:r w:rsidR="00987731">
        <w:rPr>
          <w:rFonts w:eastAsiaTheme="minorEastAsia" w:cs="Arial"/>
          <w:szCs w:val="18"/>
        </w:rPr>
        <w:fldChar w:fldCharType="begin"/>
      </w:r>
      <w:r w:rsidR="00987731">
        <w:rPr>
          <w:rFonts w:eastAsiaTheme="minorEastAsia" w:cs="Arial"/>
          <w:szCs w:val="18"/>
        </w:rPr>
        <w:instrText xml:space="preserve"> ADDIN EN.CITE &lt;EndNote&gt;&lt;Cite&gt;&lt;Author&gt;Pastushok&lt;/Author&gt;&lt;Year&gt;2019&lt;/Year&gt;&lt;RecNum&gt;2&lt;/RecNum&gt;&lt;DisplayText&gt;[5]&lt;/DisplayText&gt;&lt;record&gt;&lt;rec-number&gt;2&lt;/rec-number&gt;&lt;foreign-keys&gt;&lt;key app="EN" db-id="vzfrxe2sn5zt9qef25ax2pwsd9zvfdtrxfrf" timestamp="1648812515"&gt;2&lt;/key&gt;&lt;/foreign-keys&gt;&lt;ref-type name="Journal Article"&gt;17&lt;/ref-type&gt;&lt;contributors&gt;&lt;authors&gt;&lt;author&gt;Pastushok, Olga&lt;/author&gt;&lt;author&gt;Zhao, Feiping&lt;/author&gt;&lt;author&gt;Ramasamy, Deepika L.&lt;/author&gt;&lt;author&gt;Sillanpää, Mika&lt;/author&gt;&lt;/authors&gt;&lt;/contributors&gt;&lt;titles&gt;&lt;title&gt;Nitrate removal and recovery by capacitive deionization (CDI)&lt;/title&gt;&lt;secondary-title&gt;Chemical Engineering Journal&lt;/secondary-title&gt;&lt;/titles&gt;&lt;periodical&gt;&lt;full-title&gt;Chemical Engineering Journal&lt;/full-title&gt;&lt;/periodical&gt;&lt;pages&gt;121943&lt;/pages&gt;&lt;volume&gt;375&lt;/volume&gt;&lt;keywords&gt;&lt;keyword&gt;Activated carbon&lt;/keyword&gt;&lt;keyword&gt;Capacitive deionization&lt;/keyword&gt;&lt;keyword&gt;Nitrate removal&lt;/keyword&gt;&lt;keyword&gt;Nitrate recovery&lt;/keyword&gt;&lt;keyword&gt;Porous carbon electrode&lt;/keyword&gt;&lt;/keywords&gt;&lt;dates&gt;&lt;year&gt;2019&lt;/year&gt;&lt;pub-dates&gt;&lt;date&gt;2019/11/01/&lt;/date&gt;&lt;/pub-dates&gt;&lt;/dates&gt;&lt;isbn&gt;1385-8947&lt;/isbn&gt;&lt;urls&gt;&lt;related-urls&gt;&lt;url&gt;https://www.sciencedirect.com/science/article/pii/S1385894719313373&lt;/url&gt;&lt;/related-urls&gt;&lt;/urls&gt;&lt;electronic-resource-num&gt;https://doi.org/10.1016/j.cej.2019.121943&lt;/electronic-resource-num&gt;&lt;/record&gt;&lt;/Cite&gt;&lt;/EndNote&gt;</w:instrText>
      </w:r>
      <w:r w:rsidR="00987731">
        <w:rPr>
          <w:rFonts w:eastAsiaTheme="minorEastAsia" w:cs="Arial"/>
          <w:szCs w:val="18"/>
        </w:rPr>
        <w:fldChar w:fldCharType="separate"/>
      </w:r>
      <w:r w:rsidR="00987731">
        <w:rPr>
          <w:rFonts w:eastAsiaTheme="minorEastAsia" w:cs="Arial"/>
          <w:noProof/>
          <w:szCs w:val="18"/>
        </w:rPr>
        <w:t>[</w:t>
      </w:r>
      <w:r w:rsidR="000D3557">
        <w:rPr>
          <w:rFonts w:eastAsiaTheme="minorEastAsia" w:cs="Arial"/>
          <w:noProof/>
          <w:szCs w:val="18"/>
        </w:rPr>
        <w:t>Pastushok et al., 2019</w:t>
      </w:r>
      <w:r w:rsidR="00987731">
        <w:rPr>
          <w:rFonts w:eastAsiaTheme="minorEastAsia" w:cs="Arial"/>
          <w:noProof/>
          <w:szCs w:val="18"/>
        </w:rPr>
        <w:t>]</w:t>
      </w:r>
      <w:r w:rsidR="00987731">
        <w:rPr>
          <w:rFonts w:eastAsiaTheme="minorEastAsia" w:cs="Arial"/>
          <w:szCs w:val="18"/>
        </w:rPr>
        <w:fldChar w:fldCharType="end"/>
      </w:r>
      <w:r w:rsidRPr="004E35AC">
        <w:rPr>
          <w:rFonts w:eastAsiaTheme="minorEastAsia" w:cs="Arial"/>
          <w:szCs w:val="18"/>
        </w:rPr>
        <w:t xml:space="preserve">.  The values are lower for phosphates and compared to that of nitrates. </w:t>
      </w:r>
      <w:r w:rsidR="00987731">
        <w:rPr>
          <w:rFonts w:eastAsiaTheme="minorEastAsia" w:cs="Arial"/>
          <w:szCs w:val="18"/>
        </w:rPr>
        <w:t>For phosphates, the values</w:t>
      </w:r>
      <w:r w:rsidRPr="004E35AC">
        <w:rPr>
          <w:rFonts w:eastAsiaTheme="minorEastAsia" w:cs="Arial"/>
          <w:szCs w:val="18"/>
        </w:rPr>
        <w:t xml:space="preserve"> are lower than the ones reported in literature and could be due to the differences in the type of the electrolyte as well as the method of the preparation of the electrode</w:t>
      </w:r>
      <w:r w:rsidR="001C228D">
        <w:rPr>
          <w:rFonts w:eastAsiaTheme="minorEastAsia" w:cs="Arial"/>
          <w:szCs w:val="18"/>
        </w:rPr>
        <w:t xml:space="preserve"> </w:t>
      </w:r>
      <w:r w:rsidR="001C228D">
        <w:rPr>
          <w:rFonts w:eastAsiaTheme="minorEastAsia" w:cs="Arial"/>
          <w:szCs w:val="18"/>
        </w:rPr>
        <w:fldChar w:fldCharType="begin">
          <w:fldData xml:space="preserve">PEVuZE5vdGU+PENpdGU+PEF1dGhvcj5IdWFuZzwvQXV0aG9yPjxZZWFyPjIwMTQ8L1llYXI+PFJl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</w:fldData>
        </w:fldChar>
      </w:r>
      <w:r w:rsidR="001C228D">
        <w:rPr>
          <w:rFonts w:eastAsiaTheme="minorEastAsia" w:cs="Arial"/>
          <w:szCs w:val="18"/>
        </w:rPr>
        <w:instrText xml:space="preserve"> ADDIN EN.CITE </w:instrText>
      </w:r>
      <w:r w:rsidR="001C228D">
        <w:rPr>
          <w:rFonts w:eastAsiaTheme="minorEastAsia" w:cs="Arial"/>
          <w:szCs w:val="18"/>
        </w:rPr>
        <w:fldChar w:fldCharType="begin">
          <w:fldData xml:space="preserve">PEVuZE5vdGU+PENpdGU+PEF1dGhvcj5IdWFuZzwvQXV0aG9yPjxZZWFyPjIwMTQ8L1llYXI+PFJl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</w:fldData>
        </w:fldChar>
      </w:r>
      <w:r w:rsidR="001C228D">
        <w:rPr>
          <w:rFonts w:eastAsiaTheme="minorEastAsia" w:cs="Arial"/>
          <w:szCs w:val="18"/>
        </w:rPr>
        <w:instrText xml:space="preserve"> ADDIN EN.CITE.DATA </w:instrText>
      </w:r>
      <w:r w:rsidR="001C228D">
        <w:rPr>
          <w:rFonts w:eastAsiaTheme="minorEastAsia" w:cs="Arial"/>
          <w:szCs w:val="18"/>
        </w:rPr>
      </w:r>
      <w:r w:rsidR="001C228D">
        <w:rPr>
          <w:rFonts w:eastAsiaTheme="minorEastAsia" w:cs="Arial"/>
          <w:szCs w:val="18"/>
        </w:rPr>
        <w:fldChar w:fldCharType="end"/>
      </w:r>
      <w:r w:rsidR="001C228D">
        <w:rPr>
          <w:rFonts w:eastAsiaTheme="minorEastAsia" w:cs="Arial"/>
          <w:szCs w:val="18"/>
        </w:rPr>
      </w:r>
      <w:r w:rsidR="001C228D">
        <w:rPr>
          <w:rFonts w:eastAsiaTheme="minorEastAsia" w:cs="Arial"/>
          <w:szCs w:val="18"/>
        </w:rPr>
        <w:fldChar w:fldCharType="separate"/>
      </w:r>
      <w:r w:rsidR="001C228D">
        <w:rPr>
          <w:rFonts w:eastAsiaTheme="minorEastAsia" w:cs="Arial"/>
          <w:noProof/>
          <w:szCs w:val="18"/>
        </w:rPr>
        <w:t>[</w:t>
      </w:r>
      <w:r w:rsidR="00C32C02">
        <w:rPr>
          <w:rFonts w:eastAsiaTheme="minorEastAsia" w:cs="Arial"/>
          <w:noProof/>
          <w:szCs w:val="18"/>
        </w:rPr>
        <w:t>Huang et al., 2014, Chen et al., 2020</w:t>
      </w:r>
      <w:r w:rsidR="001C228D">
        <w:rPr>
          <w:rFonts w:eastAsiaTheme="minorEastAsia" w:cs="Arial"/>
          <w:noProof/>
          <w:szCs w:val="18"/>
        </w:rPr>
        <w:t>]</w:t>
      </w:r>
      <w:r w:rsidR="001C228D">
        <w:rPr>
          <w:rFonts w:eastAsiaTheme="minorEastAsia" w:cs="Arial"/>
          <w:szCs w:val="18"/>
        </w:rPr>
        <w:fldChar w:fldCharType="end"/>
      </w:r>
      <w:r w:rsidRPr="004E35AC">
        <w:rPr>
          <w:rFonts w:eastAsiaTheme="minorEastAsia" w:cs="Arial"/>
          <w:szCs w:val="18"/>
        </w:rPr>
        <w:t>. The capacitance values of phosphates at concentrations &lt; 10 mM are not shown here. This is due to the significant resistance observed during the measurements at these concentrations, which could have led to erroneous values in the capacitance.</w:t>
      </w:r>
    </w:p>
    <w:p w14:paraId="360379EC" w14:textId="77777777" w:rsidR="00795D2F" w:rsidRDefault="00795D2F" w:rsidP="00795D2F">
      <w:pPr>
        <w:keepNext/>
        <w:spacing w:line="240" w:lineRule="auto"/>
      </w:pPr>
      <w:r>
        <w:rPr>
          <w:noProof/>
        </w:rPr>
        <w:drawing>
          <wp:inline distT="0" distB="0" distL="0" distR="0" wp14:anchorId="0068872E" wp14:editId="0CF85E09">
            <wp:extent cx="6274934" cy="159549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1978" cy="1610003"/>
                    </a:xfrm>
                    <a:prstGeom prst="rect">
                      <a:avLst/>
                    </a:prstGeom>
                    <a:noFill/>
                  </pic:spPr>
                </pic:pic>
              </a:graphicData>
            </a:graphic>
          </wp:inline>
        </w:drawing>
      </w:r>
    </w:p>
    <w:p w14:paraId="1ABB0FD7" w14:textId="5C5A6F43" w:rsidR="001C228D" w:rsidRPr="00421E1F" w:rsidRDefault="00795D2F" w:rsidP="00FB7D71">
      <w:pPr>
        <w:pStyle w:val="Caption"/>
        <w:jc w:val="left"/>
        <w:rPr>
          <w:b w:val="0"/>
          <w:bCs w:val="0"/>
          <w:i/>
          <w:iCs/>
          <w:color w:val="000000" w:themeColor="text1"/>
        </w:rPr>
      </w:pPr>
      <w:r w:rsidRPr="00421E1F">
        <w:rPr>
          <w:b w:val="0"/>
          <w:bCs w:val="0"/>
          <w:i/>
          <w:iCs/>
          <w:color w:val="000000" w:themeColor="text1"/>
        </w:rPr>
        <w:t xml:space="preserve">Figure </w:t>
      </w:r>
      <w:r w:rsidRPr="00421E1F">
        <w:rPr>
          <w:b w:val="0"/>
          <w:bCs w:val="0"/>
          <w:i/>
          <w:iCs/>
          <w:color w:val="000000" w:themeColor="text1"/>
        </w:rPr>
        <w:fldChar w:fldCharType="begin"/>
      </w:r>
      <w:r w:rsidRPr="00421E1F">
        <w:rPr>
          <w:b w:val="0"/>
          <w:bCs w:val="0"/>
          <w:i/>
          <w:iCs/>
          <w:color w:val="000000" w:themeColor="text1"/>
        </w:rPr>
        <w:instrText xml:space="preserve"> SEQ Figure \* ARABIC </w:instrText>
      </w:r>
      <w:r w:rsidRPr="00421E1F">
        <w:rPr>
          <w:b w:val="0"/>
          <w:bCs w:val="0"/>
          <w:i/>
          <w:iCs/>
          <w:color w:val="000000" w:themeColor="text1"/>
        </w:rPr>
        <w:fldChar w:fldCharType="separate"/>
      </w:r>
      <w:r w:rsidRPr="00421E1F">
        <w:rPr>
          <w:b w:val="0"/>
          <w:bCs w:val="0"/>
          <w:i/>
          <w:iCs/>
          <w:noProof/>
          <w:color w:val="000000" w:themeColor="text1"/>
        </w:rPr>
        <w:t>2</w:t>
      </w:r>
      <w:r w:rsidRPr="00421E1F">
        <w:rPr>
          <w:b w:val="0"/>
          <w:bCs w:val="0"/>
          <w:i/>
          <w:iCs/>
          <w:color w:val="000000" w:themeColor="text1"/>
        </w:rPr>
        <w:fldChar w:fldCharType="end"/>
      </w:r>
      <w:r w:rsidRPr="00421E1F">
        <w:rPr>
          <w:b w:val="0"/>
          <w:bCs w:val="0"/>
          <w:i/>
          <w:iCs/>
          <w:color w:val="000000" w:themeColor="text1"/>
        </w:rPr>
        <w:t>:</w:t>
      </w:r>
      <w:r w:rsidR="00421E1F" w:rsidRPr="00421E1F">
        <w:rPr>
          <w:b w:val="0"/>
          <w:bCs w:val="0"/>
          <w:i/>
          <w:iCs/>
          <w:color w:val="000000" w:themeColor="text1"/>
        </w:rPr>
        <w:t xml:space="preserve"> Potential vs current (Left</w:t>
      </w:r>
      <w:r w:rsidR="005504F9" w:rsidRPr="00421E1F">
        <w:rPr>
          <w:b w:val="0"/>
          <w:bCs w:val="0"/>
          <w:i/>
          <w:iCs/>
          <w:color w:val="000000" w:themeColor="text1"/>
        </w:rPr>
        <w:t>),</w:t>
      </w:r>
      <w:r w:rsidR="00421E1F" w:rsidRPr="00421E1F">
        <w:rPr>
          <w:b w:val="0"/>
          <w:bCs w:val="0"/>
          <w:i/>
          <w:iCs/>
          <w:color w:val="000000" w:themeColor="text1"/>
        </w:rPr>
        <w:t xml:space="preserve"> capacitance vs voltage (Middle) and capacitance vs concentration (Right)</w:t>
      </w:r>
    </w:p>
    <w:p w14:paraId="088FD7F3" w14:textId="77777777" w:rsidR="00795D2F" w:rsidRDefault="00795D2F" w:rsidP="00DA4DF8">
      <w:pPr>
        <w:spacing w:line="240" w:lineRule="auto"/>
      </w:pPr>
    </w:p>
    <w:p w14:paraId="6DACF4E9" w14:textId="77777777" w:rsidR="001C228D" w:rsidRPr="001C228D" w:rsidRDefault="001C228D" w:rsidP="00DA4DF8">
      <w:pPr>
        <w:spacing w:line="240" w:lineRule="auto"/>
      </w:pPr>
    </w:p>
    <w:p w14:paraId="133B1747" w14:textId="4A334C2C" w:rsidR="001A6594" w:rsidRPr="00906DF1" w:rsidRDefault="001A6594" w:rsidP="00DA4DF8">
      <w:pPr>
        <w:pStyle w:val="ListParagraph"/>
        <w:numPr>
          <w:ilvl w:val="1"/>
          <w:numId w:val="25"/>
        </w:numPr>
        <w:spacing w:line="240" w:lineRule="auto"/>
        <w:rPr>
          <w:rFonts w:cs="Arial"/>
          <w:b/>
          <w:bCs/>
          <w:szCs w:val="18"/>
        </w:rPr>
      </w:pPr>
      <w:r w:rsidRPr="00906DF1">
        <w:rPr>
          <w:rFonts w:cs="Arial"/>
          <w:b/>
          <w:bCs/>
          <w:szCs w:val="18"/>
        </w:rPr>
        <w:t>Batch tests</w:t>
      </w:r>
    </w:p>
    <w:p w14:paraId="5CF8A95A" w14:textId="33188BA8" w:rsidR="001A6594" w:rsidRPr="00906DF1" w:rsidRDefault="005C2E8D" w:rsidP="00DA4DF8">
      <w:pPr>
        <w:spacing w:line="240" w:lineRule="auto"/>
        <w:rPr>
          <w:rFonts w:cs="Arial"/>
          <w:b/>
          <w:bCs/>
          <w:szCs w:val="18"/>
        </w:rPr>
      </w:pPr>
      <w:r>
        <w:rPr>
          <w:rFonts w:cs="Arial"/>
          <w:b/>
          <w:bCs/>
          <w:szCs w:val="18"/>
        </w:rPr>
        <w:t xml:space="preserve">3.3.1 </w:t>
      </w:r>
      <w:r w:rsidR="001A6594" w:rsidRPr="00906DF1">
        <w:rPr>
          <w:rFonts w:cs="Arial"/>
          <w:b/>
          <w:bCs/>
          <w:szCs w:val="18"/>
        </w:rPr>
        <w:t>Adsorption equilibrium</w:t>
      </w:r>
    </w:p>
    <w:p w14:paraId="08753D10" w14:textId="2334A8F2" w:rsidR="001A6594" w:rsidRPr="00436B1B" w:rsidRDefault="001A6594" w:rsidP="00DA4DF8">
      <w:pPr>
        <w:spacing w:line="240" w:lineRule="auto"/>
        <w:rPr>
          <w:rFonts w:cs="Arial"/>
          <w:szCs w:val="18"/>
        </w:rPr>
      </w:pPr>
      <w:r w:rsidRPr="00436B1B">
        <w:rPr>
          <w:rFonts w:cs="Arial"/>
          <w:szCs w:val="18"/>
        </w:rPr>
        <w:t>Integrating the area under the transient current curve provide</w:t>
      </w:r>
      <w:r w:rsidR="00192E3A">
        <w:rPr>
          <w:rFonts w:cs="Arial"/>
          <w:szCs w:val="18"/>
        </w:rPr>
        <w:t>d</w:t>
      </w:r>
      <w:r w:rsidRPr="00436B1B">
        <w:rPr>
          <w:rFonts w:cs="Arial"/>
          <w:szCs w:val="18"/>
        </w:rPr>
        <w:t xml:space="preserve"> the capacity of the nitrate and the phosphate ions adsorbed in the electrode. The adsorption capacity of the nitrates (NO</w:t>
      </w:r>
      <w:r w:rsidRPr="00436B1B">
        <w:rPr>
          <w:rFonts w:cs="Arial"/>
          <w:szCs w:val="18"/>
          <w:vertAlign w:val="subscript"/>
        </w:rPr>
        <w:t>3</w:t>
      </w:r>
      <w:r w:rsidRPr="00436B1B">
        <w:rPr>
          <w:rFonts w:cs="Arial"/>
          <w:szCs w:val="18"/>
          <w:vertAlign w:val="superscript"/>
        </w:rPr>
        <w:t>-</w:t>
      </w:r>
      <w:r w:rsidRPr="00436B1B">
        <w:rPr>
          <w:rFonts w:cs="Arial"/>
          <w:szCs w:val="18"/>
        </w:rPr>
        <w:t>) was higher than that of the phosphate ions (H</w:t>
      </w:r>
      <w:r w:rsidRPr="00436B1B">
        <w:rPr>
          <w:rFonts w:cs="Arial"/>
          <w:szCs w:val="18"/>
          <w:vertAlign w:val="subscript"/>
        </w:rPr>
        <w:t>2</w:t>
      </w:r>
      <w:r w:rsidRPr="00436B1B">
        <w:rPr>
          <w:rFonts w:cs="Arial"/>
          <w:szCs w:val="18"/>
        </w:rPr>
        <w:t>PO</w:t>
      </w:r>
      <w:r w:rsidRPr="00436B1B">
        <w:rPr>
          <w:rFonts w:cs="Arial"/>
          <w:szCs w:val="18"/>
          <w:vertAlign w:val="subscript"/>
        </w:rPr>
        <w:t>4</w:t>
      </w:r>
      <w:r w:rsidRPr="00436B1B">
        <w:rPr>
          <w:rFonts w:cs="Arial"/>
          <w:szCs w:val="18"/>
          <w:vertAlign w:val="superscript"/>
        </w:rPr>
        <w:t>-</w:t>
      </w:r>
      <w:r w:rsidRPr="00436B1B">
        <w:rPr>
          <w:rFonts w:cs="Arial"/>
          <w:szCs w:val="18"/>
        </w:rPr>
        <w:t>) and this is consistent with the findings of Macias et al</w:t>
      </w:r>
      <w:r w:rsidR="0069361F">
        <w:rPr>
          <w:rFonts w:cs="Arial"/>
          <w:szCs w:val="18"/>
        </w:rPr>
        <w:t xml:space="preserve"> </w:t>
      </w:r>
      <w:r w:rsidR="0069361F">
        <w:rPr>
          <w:rFonts w:cs="Arial"/>
          <w:szCs w:val="18"/>
        </w:rPr>
        <w:fldChar w:fldCharType="begin"/>
      </w:r>
      <w:r w:rsidR="0069361F">
        <w:rPr>
          <w:rFonts w:cs="Arial"/>
          <w:szCs w:val="18"/>
        </w:rPr>
        <w:instrText xml:space="preserve"> ADDIN EN.CITE &lt;EndNote&gt;&lt;Cite&gt;&lt;Author&gt;Macías&lt;/Author&gt;&lt;Year&gt;2014&lt;/Year&gt;&lt;RecNum&gt;3&lt;/RecNum&gt;&lt;DisplayText&gt;[8]&lt;/DisplayText&gt;&lt;record&gt;&lt;rec-number&gt;3&lt;/rec-number&gt;&lt;foreign-keys&gt;&lt;key app="EN" db-id="vzfrxe2sn5zt9qef25ax2pwsd9zvfdtrxfrf" timestamp="1648812586"&gt;3&lt;/key&gt;&lt;/foreign-keys&gt;&lt;ref-type name="Journal Article"&gt;17&lt;/ref-type&gt;&lt;contributors&gt;&lt;authors&gt;&lt;author&gt;Macías, C.&lt;/author&gt;&lt;author&gt;Lavela, P.&lt;/author&gt;&lt;author&gt;Rasines, G.&lt;/author&gt;&lt;author&gt;Zafra, M. C.&lt;/author&gt;&lt;author&gt;Tirado, J. L.&lt;/author&gt;&lt;author&gt;Ania, C. O.&lt;/author&gt;&lt;/authors&gt;&lt;/contributors&gt;&lt;titles&gt;&lt;title&gt;Improved electro-assisted removal of phosphates and nitrates using mesoporous carbon aerogels with controlled porosity&lt;/title&gt;&lt;secondary-title&gt;Journal of Applied Electrochemistry&lt;/secondary-title&gt;&lt;/titles&gt;&lt;periodical&gt;&lt;full-title&gt;Journal of Applied Electrochemistry&lt;/full-title&gt;&lt;/periodical&gt;&lt;pages&gt;963-976&lt;/pages&gt;&lt;volume&gt;44&lt;/volume&gt;&lt;number&gt;8&lt;/number&gt;&lt;dates&gt;&lt;year&gt;2014&lt;/year&gt;&lt;pub-dates&gt;&lt;date&gt;2014/08/01&lt;/date&gt;&lt;/pub-dates&gt;&lt;/dates&gt;&lt;isbn&gt;1572-8838&lt;/isbn&gt;&lt;urls&gt;&lt;related-urls&gt;&lt;url&gt;https://doi.org/10.1007/s10800-014-0705-z&lt;/url&gt;&lt;/related-urls&gt;&lt;/urls&gt;&lt;electronic-resource-num&gt;10.1007/s10800-014-0705-z&lt;/electronic-resource-num&gt;&lt;/record&gt;&lt;/Cite&gt;&lt;/EndNote&gt;</w:instrText>
      </w:r>
      <w:r w:rsidR="0069361F">
        <w:rPr>
          <w:rFonts w:cs="Arial"/>
          <w:szCs w:val="18"/>
        </w:rPr>
        <w:fldChar w:fldCharType="separate"/>
      </w:r>
      <w:r w:rsidR="0069361F">
        <w:rPr>
          <w:rFonts w:cs="Arial"/>
          <w:noProof/>
          <w:szCs w:val="18"/>
        </w:rPr>
        <w:t>[</w:t>
      </w:r>
      <w:r w:rsidR="00A02B30">
        <w:rPr>
          <w:rFonts w:cs="Arial"/>
          <w:noProof/>
          <w:szCs w:val="18"/>
        </w:rPr>
        <w:t>Macias et al., 2014</w:t>
      </w:r>
      <w:r w:rsidR="0069361F">
        <w:rPr>
          <w:rFonts w:cs="Arial"/>
          <w:noProof/>
          <w:szCs w:val="18"/>
        </w:rPr>
        <w:t>]</w:t>
      </w:r>
      <w:r w:rsidR="0069361F">
        <w:rPr>
          <w:rFonts w:cs="Arial"/>
          <w:szCs w:val="18"/>
        </w:rPr>
        <w:fldChar w:fldCharType="end"/>
      </w:r>
      <w:r w:rsidRPr="00436B1B">
        <w:rPr>
          <w:rFonts w:cs="Arial"/>
          <w:szCs w:val="18"/>
        </w:rPr>
        <w:t>. Nitrate ion has a radius of 0.3 nm and the H</w:t>
      </w:r>
      <w:r w:rsidRPr="00436B1B">
        <w:rPr>
          <w:rFonts w:cs="Arial"/>
          <w:szCs w:val="18"/>
          <w:vertAlign w:val="subscript"/>
        </w:rPr>
        <w:t>2</w:t>
      </w:r>
      <w:r w:rsidRPr="00436B1B">
        <w:rPr>
          <w:rFonts w:cs="Arial"/>
          <w:szCs w:val="18"/>
        </w:rPr>
        <w:t>PO</w:t>
      </w:r>
      <w:r w:rsidRPr="00436B1B">
        <w:rPr>
          <w:rFonts w:cs="Arial"/>
          <w:szCs w:val="18"/>
          <w:vertAlign w:val="subscript"/>
        </w:rPr>
        <w:t>4</w:t>
      </w:r>
      <w:r w:rsidRPr="00436B1B">
        <w:rPr>
          <w:rFonts w:cs="Arial"/>
          <w:szCs w:val="18"/>
          <w:vertAlign w:val="superscript"/>
        </w:rPr>
        <w:t>-</w:t>
      </w:r>
      <w:r w:rsidRPr="00436B1B">
        <w:rPr>
          <w:rFonts w:cs="Arial"/>
          <w:szCs w:val="18"/>
        </w:rPr>
        <w:t xml:space="preserve"> ion has a radius of 0.45 nm. The smaller nitrate ion would be more energetically favourable for adsorption and hence the adsorption capacity is higher.</w:t>
      </w:r>
    </w:p>
    <w:p w14:paraId="0BFCB2FD" w14:textId="77777777" w:rsidR="00436B1B" w:rsidRPr="00436B1B" w:rsidRDefault="00436B1B" w:rsidP="00DA4DF8">
      <w:pPr>
        <w:spacing w:line="240" w:lineRule="auto"/>
      </w:pPr>
    </w:p>
    <w:p w14:paraId="51285C7F" w14:textId="23C570EB" w:rsidR="002F2EC0" w:rsidRPr="001C228D" w:rsidRDefault="001A6594" w:rsidP="00DA4DF8">
      <w:pPr>
        <w:spacing w:line="240" w:lineRule="auto"/>
        <w:rPr>
          <w:rFonts w:cs="Arial"/>
          <w:szCs w:val="18"/>
        </w:rPr>
      </w:pPr>
      <w:r w:rsidRPr="005C2E8D">
        <w:rPr>
          <w:rFonts w:cs="Arial"/>
          <w:szCs w:val="18"/>
        </w:rPr>
        <w:t>Table 1 summarizes the adsorption capacity for the different ions at different concentrations. One can clearly see that with an increase in concentration of the electrolyte, the adsorption capacity increases. This is consistent as an increased concentration in the solution would improve the driving force for the adsorption. In our work, we did not saturate the electrodes prior to the experiments and therefore the total capacity is probably that of the physisorption and electrosorption. Further, most of the experiments are based on flow cells in which a known concentration of electrolyte is introduced to the electrodes at known flowrates. The capacity is then calculated by integrating the transient concentration curve which may not be up to completion. This could primarily be the reason for the higher capacity reported in this work than what is observed in literature for nitrates and phosphate adsorption.</w:t>
      </w:r>
    </w:p>
    <w:p w14:paraId="4AECBB96" w14:textId="77777777" w:rsidR="00F2677B" w:rsidRDefault="00F2677B" w:rsidP="004423DC">
      <w:pPr>
        <w:pStyle w:val="Caption"/>
        <w:keepNext/>
        <w:jc w:val="left"/>
        <w:rPr>
          <w:rFonts w:cs="Arial"/>
          <w:b w:val="0"/>
          <w:bCs w:val="0"/>
          <w:color w:val="000000" w:themeColor="text1"/>
        </w:rPr>
      </w:pPr>
    </w:p>
    <w:p w14:paraId="113CC597" w14:textId="77777777" w:rsidR="00F2677B" w:rsidRDefault="00F2677B" w:rsidP="004423DC">
      <w:pPr>
        <w:pStyle w:val="Caption"/>
        <w:keepNext/>
        <w:jc w:val="left"/>
        <w:rPr>
          <w:rFonts w:cs="Arial"/>
          <w:b w:val="0"/>
          <w:bCs w:val="0"/>
          <w:color w:val="000000" w:themeColor="text1"/>
        </w:rPr>
      </w:pPr>
    </w:p>
    <w:p w14:paraId="3EAB47E1" w14:textId="1F94242E" w:rsidR="001A6594" w:rsidRDefault="001A6594" w:rsidP="004423DC">
      <w:pPr>
        <w:pStyle w:val="Caption"/>
        <w:keepNext/>
        <w:jc w:val="left"/>
        <w:rPr>
          <w:rFonts w:cs="Arial"/>
          <w:b w:val="0"/>
          <w:bCs w:val="0"/>
          <w:color w:val="000000" w:themeColor="text1"/>
        </w:rPr>
      </w:pPr>
      <w:r w:rsidRPr="00D71FC8">
        <w:rPr>
          <w:rFonts w:cs="Arial"/>
          <w:b w:val="0"/>
          <w:bCs w:val="0"/>
          <w:color w:val="000000" w:themeColor="text1"/>
        </w:rPr>
        <w:t xml:space="preserve">Table </w:t>
      </w:r>
      <w:r w:rsidRPr="00D71FC8">
        <w:rPr>
          <w:rFonts w:cs="Arial"/>
          <w:b w:val="0"/>
          <w:bCs w:val="0"/>
          <w:color w:val="000000" w:themeColor="text1"/>
        </w:rPr>
        <w:fldChar w:fldCharType="begin"/>
      </w:r>
      <w:r w:rsidRPr="00D71FC8">
        <w:rPr>
          <w:rFonts w:cs="Arial"/>
          <w:b w:val="0"/>
          <w:bCs w:val="0"/>
          <w:color w:val="000000" w:themeColor="text1"/>
        </w:rPr>
        <w:instrText xml:space="preserve"> SEQ Table \* ARABIC </w:instrText>
      </w:r>
      <w:r w:rsidRPr="00D71FC8">
        <w:rPr>
          <w:rFonts w:cs="Arial"/>
          <w:b w:val="0"/>
          <w:bCs w:val="0"/>
          <w:color w:val="000000" w:themeColor="text1"/>
        </w:rPr>
        <w:fldChar w:fldCharType="separate"/>
      </w:r>
      <w:r w:rsidRPr="00D71FC8">
        <w:rPr>
          <w:rFonts w:cs="Arial"/>
          <w:b w:val="0"/>
          <w:bCs w:val="0"/>
          <w:noProof/>
          <w:color w:val="000000" w:themeColor="text1"/>
        </w:rPr>
        <w:t>1</w:t>
      </w:r>
      <w:r w:rsidRPr="00D71FC8">
        <w:rPr>
          <w:rFonts w:cs="Arial"/>
          <w:b w:val="0"/>
          <w:bCs w:val="0"/>
          <w:color w:val="000000" w:themeColor="text1"/>
        </w:rPr>
        <w:fldChar w:fldCharType="end"/>
      </w:r>
      <w:r w:rsidRPr="00D71FC8">
        <w:rPr>
          <w:rFonts w:cs="Arial"/>
          <w:b w:val="0"/>
          <w:bCs w:val="0"/>
          <w:color w:val="000000" w:themeColor="text1"/>
        </w:rPr>
        <w:t>: Capacity values for different NH</w:t>
      </w:r>
      <w:r w:rsidRPr="00D71FC8">
        <w:rPr>
          <w:rFonts w:cs="Arial"/>
          <w:b w:val="0"/>
          <w:bCs w:val="0"/>
          <w:color w:val="000000" w:themeColor="text1"/>
          <w:vertAlign w:val="subscript"/>
        </w:rPr>
        <w:t>4</w:t>
      </w:r>
      <w:r w:rsidRPr="00D71FC8">
        <w:rPr>
          <w:rFonts w:cs="Arial"/>
          <w:b w:val="0"/>
          <w:bCs w:val="0"/>
          <w:color w:val="000000" w:themeColor="text1"/>
        </w:rPr>
        <w:t>NO</w:t>
      </w:r>
      <w:r w:rsidRPr="00D71FC8">
        <w:rPr>
          <w:rFonts w:cs="Arial"/>
          <w:b w:val="0"/>
          <w:bCs w:val="0"/>
          <w:color w:val="000000" w:themeColor="text1"/>
          <w:vertAlign w:val="subscript"/>
        </w:rPr>
        <w:t>3</w:t>
      </w:r>
      <w:r w:rsidRPr="00D71FC8">
        <w:rPr>
          <w:rFonts w:cs="Arial"/>
          <w:b w:val="0"/>
          <w:bCs w:val="0"/>
          <w:color w:val="000000" w:themeColor="text1"/>
        </w:rPr>
        <w:t xml:space="preserve"> and KH</w:t>
      </w:r>
      <w:r w:rsidRPr="00D71FC8">
        <w:rPr>
          <w:rFonts w:cs="Arial"/>
          <w:b w:val="0"/>
          <w:bCs w:val="0"/>
          <w:color w:val="000000" w:themeColor="text1"/>
          <w:vertAlign w:val="subscript"/>
        </w:rPr>
        <w:t>2</w:t>
      </w:r>
      <w:r w:rsidRPr="00D71FC8">
        <w:rPr>
          <w:rFonts w:cs="Arial"/>
          <w:b w:val="0"/>
          <w:bCs w:val="0"/>
          <w:color w:val="000000" w:themeColor="text1"/>
        </w:rPr>
        <w:t>PO</w:t>
      </w:r>
      <w:r w:rsidRPr="00D71FC8">
        <w:rPr>
          <w:rFonts w:cs="Arial"/>
          <w:b w:val="0"/>
          <w:bCs w:val="0"/>
          <w:color w:val="000000" w:themeColor="text1"/>
          <w:vertAlign w:val="subscript"/>
        </w:rPr>
        <w:t>4</w:t>
      </w:r>
      <w:r w:rsidRPr="00D71FC8">
        <w:rPr>
          <w:rFonts w:cs="Arial"/>
          <w:b w:val="0"/>
          <w:bCs w:val="0"/>
          <w:color w:val="000000" w:themeColor="text1"/>
        </w:rPr>
        <w:t xml:space="preserve"> solutions.</w:t>
      </w:r>
    </w:p>
    <w:p w14:paraId="25E31CFB" w14:textId="77777777" w:rsidR="003C5B40" w:rsidRDefault="003C5B40" w:rsidP="003C5B40"/>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5B775E" w:rsidRPr="00B57B36" w14:paraId="6AA7A94F" w14:textId="77777777" w:rsidTr="000754B9">
        <w:tc>
          <w:tcPr>
            <w:tcW w:w="1134" w:type="dxa"/>
            <w:tcBorders>
              <w:top w:val="single" w:sz="12" w:space="0" w:color="008000"/>
              <w:bottom w:val="single" w:sz="6" w:space="0" w:color="008000"/>
            </w:tcBorders>
            <w:shd w:val="clear" w:color="auto" w:fill="FFFFFF"/>
          </w:tcPr>
          <w:p w14:paraId="5836C448" w14:textId="3C7FCB92" w:rsidR="005B775E" w:rsidRPr="00B57B36" w:rsidRDefault="005B775E" w:rsidP="00273CA8">
            <w:pPr>
              <w:pStyle w:val="CETBodytext"/>
              <w:rPr>
                <w:lang w:val="en-GB"/>
              </w:rPr>
            </w:pPr>
            <w:r w:rsidRPr="00D71FC8">
              <w:rPr>
                <w:rFonts w:cs="Arial"/>
                <w:szCs w:val="18"/>
              </w:rPr>
              <w:t>Electrolyte</w:t>
            </w:r>
          </w:p>
        </w:tc>
        <w:tc>
          <w:tcPr>
            <w:tcW w:w="1134" w:type="dxa"/>
            <w:tcBorders>
              <w:top w:val="single" w:sz="12" w:space="0" w:color="008000"/>
              <w:bottom w:val="single" w:sz="6" w:space="0" w:color="008000"/>
            </w:tcBorders>
            <w:shd w:val="clear" w:color="auto" w:fill="FFFFFF"/>
          </w:tcPr>
          <w:p w14:paraId="4814E6E8" w14:textId="6AE00975" w:rsidR="005B775E" w:rsidRPr="00B57B36" w:rsidRDefault="005B775E" w:rsidP="00273CA8">
            <w:pPr>
              <w:pStyle w:val="CETBodytext"/>
              <w:rPr>
                <w:lang w:val="en-GB"/>
              </w:rPr>
            </w:pPr>
            <w:r w:rsidRPr="00D71FC8">
              <w:rPr>
                <w:rFonts w:cs="Arial"/>
                <w:szCs w:val="18"/>
              </w:rPr>
              <w:t>Concentration</w:t>
            </w:r>
          </w:p>
        </w:tc>
        <w:tc>
          <w:tcPr>
            <w:tcW w:w="1134" w:type="dxa"/>
            <w:tcBorders>
              <w:top w:val="single" w:sz="12" w:space="0" w:color="008000"/>
              <w:bottom w:val="single" w:sz="6" w:space="0" w:color="008000"/>
            </w:tcBorders>
            <w:shd w:val="clear" w:color="auto" w:fill="FFFFFF"/>
          </w:tcPr>
          <w:p w14:paraId="64EB2992" w14:textId="018BD214" w:rsidR="005B775E" w:rsidRPr="00B57B36" w:rsidRDefault="005B775E" w:rsidP="00273CA8">
            <w:pPr>
              <w:pStyle w:val="CETBodytext"/>
              <w:rPr>
                <w:lang w:val="en-GB"/>
              </w:rPr>
            </w:pPr>
            <w:r w:rsidRPr="00D71FC8">
              <w:rPr>
                <w:rFonts w:cs="Arial"/>
                <w:szCs w:val="18"/>
              </w:rPr>
              <w:t>Capacity (mol/kg)</w:t>
            </w:r>
          </w:p>
        </w:tc>
        <w:tc>
          <w:tcPr>
            <w:tcW w:w="1134" w:type="dxa"/>
            <w:tcBorders>
              <w:top w:val="single" w:sz="12" w:space="0" w:color="008000"/>
              <w:bottom w:val="single" w:sz="6" w:space="0" w:color="008000"/>
            </w:tcBorders>
            <w:shd w:val="clear" w:color="auto" w:fill="FFFFFF"/>
          </w:tcPr>
          <w:p w14:paraId="68BA7B7B" w14:textId="77777777" w:rsidR="005B775E" w:rsidRPr="00D71FC8" w:rsidRDefault="005B775E" w:rsidP="00273CA8">
            <w:pPr>
              <w:spacing w:line="240" w:lineRule="auto"/>
              <w:rPr>
                <w:rFonts w:cs="Arial"/>
                <w:szCs w:val="18"/>
              </w:rPr>
            </w:pPr>
            <w:r w:rsidRPr="00D71FC8">
              <w:rPr>
                <w:rFonts w:cs="Arial"/>
                <w:szCs w:val="18"/>
              </w:rPr>
              <w:t xml:space="preserve">Capacity </w:t>
            </w:r>
          </w:p>
          <w:p w14:paraId="12D403EF" w14:textId="55200A41" w:rsidR="005B775E" w:rsidRPr="00B57B36" w:rsidRDefault="005B775E" w:rsidP="00273CA8">
            <w:pPr>
              <w:pStyle w:val="CETBodytext"/>
              <w:ind w:right="-1"/>
              <w:rPr>
                <w:rFonts w:cs="Arial"/>
                <w:szCs w:val="18"/>
                <w:lang w:val="en-GB"/>
              </w:rPr>
            </w:pPr>
            <w:r w:rsidRPr="00D71FC8">
              <w:rPr>
                <w:rFonts w:cs="Arial"/>
                <w:szCs w:val="18"/>
              </w:rPr>
              <w:t>(mg/g)</w:t>
            </w:r>
          </w:p>
        </w:tc>
      </w:tr>
      <w:tr w:rsidR="005B775E" w:rsidRPr="00B57B36" w14:paraId="37891FA6" w14:textId="77777777" w:rsidTr="00022DD3">
        <w:tc>
          <w:tcPr>
            <w:tcW w:w="1134" w:type="dxa"/>
            <w:shd w:val="clear" w:color="auto" w:fill="FFFFFF"/>
          </w:tcPr>
          <w:p w14:paraId="3D173276" w14:textId="30DDF35C" w:rsidR="005B775E" w:rsidRPr="00B57B36" w:rsidRDefault="005B775E" w:rsidP="005B775E">
            <w:pPr>
              <w:pStyle w:val="CETBodytext"/>
              <w:rPr>
                <w:lang w:val="en-GB"/>
              </w:rPr>
            </w:pPr>
            <w:r w:rsidRPr="00D71FC8">
              <w:rPr>
                <w:rFonts w:cs="Arial"/>
                <w:szCs w:val="18"/>
              </w:rPr>
              <w:t>NH</w:t>
            </w:r>
            <w:r w:rsidRPr="00D71FC8">
              <w:rPr>
                <w:rFonts w:cs="Arial"/>
                <w:szCs w:val="18"/>
                <w:vertAlign w:val="subscript"/>
              </w:rPr>
              <w:t>4</w:t>
            </w:r>
            <w:r w:rsidRPr="00D71FC8">
              <w:rPr>
                <w:rFonts w:cs="Arial"/>
                <w:szCs w:val="18"/>
              </w:rPr>
              <w:t>NO</w:t>
            </w:r>
            <w:r w:rsidRPr="00D71FC8">
              <w:rPr>
                <w:rFonts w:cs="Arial"/>
                <w:szCs w:val="18"/>
                <w:vertAlign w:val="subscript"/>
              </w:rPr>
              <w:t>3</w:t>
            </w:r>
          </w:p>
        </w:tc>
        <w:tc>
          <w:tcPr>
            <w:tcW w:w="1134" w:type="dxa"/>
            <w:shd w:val="clear" w:color="auto" w:fill="FFFFFF"/>
          </w:tcPr>
          <w:p w14:paraId="3DF7AEE3" w14:textId="4DCDD402" w:rsidR="005B775E" w:rsidRPr="00B57B36" w:rsidRDefault="005B775E" w:rsidP="005B775E">
            <w:pPr>
              <w:pStyle w:val="CETBodytext"/>
              <w:rPr>
                <w:lang w:val="en-GB"/>
              </w:rPr>
            </w:pPr>
            <w:r w:rsidRPr="00D71FC8">
              <w:rPr>
                <w:rFonts w:cs="Arial"/>
                <w:szCs w:val="18"/>
              </w:rPr>
              <w:t>0.4 mM</w:t>
            </w:r>
          </w:p>
        </w:tc>
        <w:tc>
          <w:tcPr>
            <w:tcW w:w="1134" w:type="dxa"/>
            <w:shd w:val="clear" w:color="auto" w:fill="FFFFFF"/>
            <w:vAlign w:val="bottom"/>
          </w:tcPr>
          <w:p w14:paraId="61FD0205" w14:textId="6C4B246B" w:rsidR="005B775E" w:rsidRPr="00B57B36" w:rsidRDefault="005B775E" w:rsidP="005B775E">
            <w:pPr>
              <w:pStyle w:val="CETBodytext"/>
              <w:rPr>
                <w:lang w:val="en-GB"/>
              </w:rPr>
            </w:pPr>
            <w:r w:rsidRPr="00D71FC8">
              <w:rPr>
                <w:rFonts w:cs="Arial"/>
                <w:color w:val="000000"/>
                <w:szCs w:val="18"/>
              </w:rPr>
              <w:t>0.28</w:t>
            </w:r>
          </w:p>
        </w:tc>
        <w:tc>
          <w:tcPr>
            <w:tcW w:w="1134" w:type="dxa"/>
            <w:shd w:val="clear" w:color="auto" w:fill="FFFFFF"/>
            <w:vAlign w:val="bottom"/>
          </w:tcPr>
          <w:p w14:paraId="2E9C26CC" w14:textId="31B02DC4" w:rsidR="005B775E" w:rsidRPr="00B57B36" w:rsidRDefault="005B775E" w:rsidP="005B775E">
            <w:pPr>
              <w:pStyle w:val="CETBodytext"/>
              <w:ind w:right="-1"/>
              <w:rPr>
                <w:rFonts w:cs="Arial"/>
                <w:szCs w:val="18"/>
                <w:lang w:val="en-GB"/>
              </w:rPr>
            </w:pPr>
            <w:r w:rsidRPr="00D71FC8">
              <w:rPr>
                <w:rFonts w:cs="Arial"/>
                <w:color w:val="000000"/>
                <w:szCs w:val="18"/>
              </w:rPr>
              <w:t>22.25</w:t>
            </w:r>
          </w:p>
        </w:tc>
      </w:tr>
      <w:tr w:rsidR="005B775E" w:rsidRPr="00B57B36" w14:paraId="151AAAC4" w14:textId="77777777" w:rsidTr="00022DD3">
        <w:tc>
          <w:tcPr>
            <w:tcW w:w="1134" w:type="dxa"/>
            <w:shd w:val="clear" w:color="auto" w:fill="FFFFFF"/>
          </w:tcPr>
          <w:p w14:paraId="228FFE58" w14:textId="77777777" w:rsidR="005B775E" w:rsidRPr="00B57B36" w:rsidRDefault="005B775E" w:rsidP="005B775E">
            <w:pPr>
              <w:pStyle w:val="CETBodytext"/>
              <w:ind w:right="-1"/>
              <w:rPr>
                <w:rFonts w:cs="Arial"/>
                <w:szCs w:val="18"/>
                <w:lang w:val="en-GB"/>
              </w:rPr>
            </w:pPr>
          </w:p>
        </w:tc>
        <w:tc>
          <w:tcPr>
            <w:tcW w:w="1134" w:type="dxa"/>
            <w:shd w:val="clear" w:color="auto" w:fill="FFFFFF"/>
          </w:tcPr>
          <w:p w14:paraId="091D440C" w14:textId="1FE71AB0" w:rsidR="005B775E" w:rsidRPr="00B57B36" w:rsidRDefault="005B775E" w:rsidP="005B775E">
            <w:pPr>
              <w:pStyle w:val="CETBodytext"/>
              <w:ind w:right="-1"/>
              <w:rPr>
                <w:rFonts w:cs="Arial"/>
                <w:szCs w:val="18"/>
                <w:lang w:val="en-GB"/>
              </w:rPr>
            </w:pPr>
            <w:r w:rsidRPr="00D71FC8">
              <w:rPr>
                <w:rFonts w:cs="Arial"/>
                <w:szCs w:val="18"/>
              </w:rPr>
              <w:t>1 mM</w:t>
            </w:r>
          </w:p>
        </w:tc>
        <w:tc>
          <w:tcPr>
            <w:tcW w:w="1134" w:type="dxa"/>
            <w:shd w:val="clear" w:color="auto" w:fill="FFFFFF"/>
            <w:vAlign w:val="bottom"/>
          </w:tcPr>
          <w:p w14:paraId="42C83E2D" w14:textId="7FF7A7CD" w:rsidR="005B775E" w:rsidRPr="00B57B36" w:rsidRDefault="005B775E" w:rsidP="005B775E">
            <w:pPr>
              <w:pStyle w:val="CETBodytext"/>
              <w:ind w:right="-1"/>
              <w:rPr>
                <w:rFonts w:cs="Arial"/>
                <w:szCs w:val="18"/>
                <w:lang w:val="en-GB"/>
              </w:rPr>
            </w:pPr>
            <w:r w:rsidRPr="00D71FC8">
              <w:rPr>
                <w:rFonts w:cs="Arial"/>
                <w:color w:val="000000"/>
                <w:szCs w:val="18"/>
              </w:rPr>
              <w:t>1.43</w:t>
            </w:r>
          </w:p>
        </w:tc>
        <w:tc>
          <w:tcPr>
            <w:tcW w:w="1134" w:type="dxa"/>
            <w:shd w:val="clear" w:color="auto" w:fill="FFFFFF"/>
            <w:vAlign w:val="bottom"/>
          </w:tcPr>
          <w:p w14:paraId="5FE952CF" w14:textId="4ED875A5" w:rsidR="005B775E" w:rsidRPr="00B57B36" w:rsidRDefault="005B775E" w:rsidP="005B775E">
            <w:pPr>
              <w:pStyle w:val="CETBodytext"/>
              <w:ind w:right="-1"/>
              <w:rPr>
                <w:rFonts w:cs="Arial"/>
                <w:szCs w:val="18"/>
                <w:lang w:val="en-GB"/>
              </w:rPr>
            </w:pPr>
            <w:r w:rsidRPr="00D71FC8">
              <w:rPr>
                <w:rFonts w:cs="Arial"/>
                <w:color w:val="000000"/>
                <w:szCs w:val="18"/>
              </w:rPr>
              <w:t>114.14</w:t>
            </w:r>
          </w:p>
        </w:tc>
      </w:tr>
      <w:tr w:rsidR="005B775E" w:rsidRPr="00B57B36" w14:paraId="0E6B2761" w14:textId="77777777" w:rsidTr="00022DD3">
        <w:tc>
          <w:tcPr>
            <w:tcW w:w="1134" w:type="dxa"/>
            <w:shd w:val="clear" w:color="auto" w:fill="FFFFFF"/>
          </w:tcPr>
          <w:p w14:paraId="47EB23B6" w14:textId="77777777" w:rsidR="005B775E" w:rsidRPr="00B57B36" w:rsidRDefault="005B775E" w:rsidP="005B775E">
            <w:pPr>
              <w:pStyle w:val="CETBodytext"/>
              <w:ind w:right="-1"/>
              <w:rPr>
                <w:rFonts w:cs="Arial"/>
                <w:szCs w:val="18"/>
                <w:lang w:val="en-GB"/>
              </w:rPr>
            </w:pPr>
          </w:p>
        </w:tc>
        <w:tc>
          <w:tcPr>
            <w:tcW w:w="1134" w:type="dxa"/>
            <w:shd w:val="clear" w:color="auto" w:fill="FFFFFF"/>
          </w:tcPr>
          <w:p w14:paraId="22C5E173" w14:textId="3FD278B9" w:rsidR="005B775E" w:rsidRPr="00D71FC8" w:rsidRDefault="005B775E" w:rsidP="005B775E">
            <w:pPr>
              <w:pStyle w:val="CETBodytext"/>
              <w:ind w:right="-1"/>
              <w:rPr>
                <w:rFonts w:cs="Arial"/>
                <w:szCs w:val="18"/>
              </w:rPr>
            </w:pPr>
            <w:r w:rsidRPr="00D71FC8">
              <w:rPr>
                <w:rFonts w:cs="Arial"/>
                <w:szCs w:val="18"/>
              </w:rPr>
              <w:t>10 mM</w:t>
            </w:r>
          </w:p>
        </w:tc>
        <w:tc>
          <w:tcPr>
            <w:tcW w:w="1134" w:type="dxa"/>
            <w:shd w:val="clear" w:color="auto" w:fill="FFFFFF"/>
            <w:vAlign w:val="bottom"/>
          </w:tcPr>
          <w:p w14:paraId="1C66B493" w14:textId="086E2BCD" w:rsidR="005B775E" w:rsidRPr="00D71FC8" w:rsidRDefault="005B775E" w:rsidP="005B775E">
            <w:pPr>
              <w:pStyle w:val="CETBodytext"/>
              <w:ind w:right="-1"/>
              <w:rPr>
                <w:rFonts w:cs="Arial"/>
                <w:color w:val="000000"/>
                <w:szCs w:val="18"/>
              </w:rPr>
            </w:pPr>
            <w:r w:rsidRPr="00D71FC8">
              <w:rPr>
                <w:rFonts w:cs="Arial"/>
                <w:color w:val="000000"/>
                <w:szCs w:val="18"/>
              </w:rPr>
              <w:t>2.02</w:t>
            </w:r>
          </w:p>
        </w:tc>
        <w:tc>
          <w:tcPr>
            <w:tcW w:w="1134" w:type="dxa"/>
            <w:shd w:val="clear" w:color="auto" w:fill="FFFFFF"/>
            <w:vAlign w:val="bottom"/>
          </w:tcPr>
          <w:p w14:paraId="09A4B2C7" w14:textId="612612AE" w:rsidR="005B775E" w:rsidRPr="00B57B36" w:rsidRDefault="005B775E" w:rsidP="005B775E">
            <w:pPr>
              <w:pStyle w:val="CETBodytext"/>
              <w:ind w:right="-1"/>
              <w:rPr>
                <w:rFonts w:cs="Arial"/>
                <w:szCs w:val="18"/>
                <w:lang w:val="en-GB"/>
              </w:rPr>
            </w:pPr>
            <w:r w:rsidRPr="00D71FC8">
              <w:rPr>
                <w:rFonts w:cs="Arial"/>
                <w:color w:val="000000"/>
                <w:szCs w:val="18"/>
              </w:rPr>
              <w:t>161.6</w:t>
            </w:r>
          </w:p>
        </w:tc>
      </w:tr>
      <w:tr w:rsidR="005B775E" w:rsidRPr="00B57B36" w14:paraId="062BE19C" w14:textId="77777777" w:rsidTr="00022DD3">
        <w:tc>
          <w:tcPr>
            <w:tcW w:w="1134" w:type="dxa"/>
            <w:shd w:val="clear" w:color="auto" w:fill="FFFFFF"/>
          </w:tcPr>
          <w:p w14:paraId="7177CB06" w14:textId="77777777" w:rsidR="005B775E" w:rsidRPr="00B57B36" w:rsidRDefault="005B775E" w:rsidP="005B775E">
            <w:pPr>
              <w:pStyle w:val="CETBodytext"/>
              <w:ind w:right="-1"/>
              <w:rPr>
                <w:rFonts w:cs="Arial"/>
                <w:szCs w:val="18"/>
                <w:lang w:val="en-GB"/>
              </w:rPr>
            </w:pPr>
          </w:p>
        </w:tc>
        <w:tc>
          <w:tcPr>
            <w:tcW w:w="1134" w:type="dxa"/>
            <w:shd w:val="clear" w:color="auto" w:fill="FFFFFF"/>
          </w:tcPr>
          <w:p w14:paraId="1BB49FB1" w14:textId="5C7AD6FE" w:rsidR="005B775E" w:rsidRPr="00D71FC8" w:rsidRDefault="005B775E" w:rsidP="005B775E">
            <w:pPr>
              <w:pStyle w:val="CETBodytext"/>
              <w:ind w:right="-1"/>
              <w:rPr>
                <w:rFonts w:cs="Arial"/>
                <w:szCs w:val="18"/>
              </w:rPr>
            </w:pPr>
            <w:r w:rsidRPr="00D71FC8">
              <w:rPr>
                <w:rFonts w:cs="Arial"/>
                <w:szCs w:val="18"/>
              </w:rPr>
              <w:t>100 mM</w:t>
            </w:r>
          </w:p>
        </w:tc>
        <w:tc>
          <w:tcPr>
            <w:tcW w:w="1134" w:type="dxa"/>
            <w:shd w:val="clear" w:color="auto" w:fill="FFFFFF"/>
            <w:vAlign w:val="bottom"/>
          </w:tcPr>
          <w:p w14:paraId="7B5EFC2C" w14:textId="6F96A663" w:rsidR="005B775E" w:rsidRPr="00D71FC8" w:rsidRDefault="005B775E" w:rsidP="005B775E">
            <w:pPr>
              <w:pStyle w:val="CETBodytext"/>
              <w:ind w:right="-1"/>
              <w:rPr>
                <w:rFonts w:cs="Arial"/>
                <w:color w:val="000000"/>
                <w:szCs w:val="18"/>
              </w:rPr>
            </w:pPr>
            <w:r w:rsidRPr="00D71FC8">
              <w:rPr>
                <w:rFonts w:cs="Arial"/>
                <w:color w:val="000000"/>
                <w:szCs w:val="18"/>
              </w:rPr>
              <w:t>3.76</w:t>
            </w:r>
          </w:p>
        </w:tc>
        <w:tc>
          <w:tcPr>
            <w:tcW w:w="1134" w:type="dxa"/>
            <w:shd w:val="clear" w:color="auto" w:fill="FFFFFF"/>
            <w:vAlign w:val="bottom"/>
          </w:tcPr>
          <w:p w14:paraId="5D4DA125" w14:textId="0CA791F4" w:rsidR="005B775E" w:rsidRPr="00B57B36" w:rsidRDefault="005B775E" w:rsidP="005B775E">
            <w:pPr>
              <w:pStyle w:val="CETBodytext"/>
              <w:ind w:right="-1"/>
              <w:rPr>
                <w:rFonts w:cs="Arial"/>
                <w:szCs w:val="18"/>
                <w:lang w:val="en-GB"/>
              </w:rPr>
            </w:pPr>
            <w:r w:rsidRPr="00D71FC8">
              <w:rPr>
                <w:rFonts w:cs="Arial"/>
                <w:color w:val="000000"/>
                <w:szCs w:val="18"/>
              </w:rPr>
              <w:t>301.14</w:t>
            </w:r>
          </w:p>
        </w:tc>
      </w:tr>
      <w:tr w:rsidR="005B775E" w:rsidRPr="00B57B36" w14:paraId="598EBA3F" w14:textId="77777777" w:rsidTr="00022DD3">
        <w:tc>
          <w:tcPr>
            <w:tcW w:w="1134" w:type="dxa"/>
            <w:shd w:val="clear" w:color="auto" w:fill="FFFFFF"/>
          </w:tcPr>
          <w:p w14:paraId="3549736E" w14:textId="77777777" w:rsidR="005B775E" w:rsidRPr="00B57B36" w:rsidRDefault="005B775E" w:rsidP="005B775E">
            <w:pPr>
              <w:pStyle w:val="CETBodytext"/>
              <w:ind w:right="-1"/>
              <w:rPr>
                <w:rFonts w:cs="Arial"/>
                <w:szCs w:val="18"/>
                <w:lang w:val="en-GB"/>
              </w:rPr>
            </w:pPr>
          </w:p>
        </w:tc>
        <w:tc>
          <w:tcPr>
            <w:tcW w:w="1134" w:type="dxa"/>
            <w:shd w:val="clear" w:color="auto" w:fill="FFFFFF"/>
          </w:tcPr>
          <w:p w14:paraId="5DDE12AF" w14:textId="538BE26B" w:rsidR="005B775E" w:rsidRPr="00D71FC8" w:rsidRDefault="005B775E" w:rsidP="005B775E">
            <w:pPr>
              <w:pStyle w:val="CETBodytext"/>
              <w:ind w:right="-1"/>
              <w:rPr>
                <w:rFonts w:cs="Arial"/>
                <w:szCs w:val="18"/>
              </w:rPr>
            </w:pPr>
            <w:r w:rsidRPr="00D71FC8">
              <w:rPr>
                <w:rFonts w:cs="Arial"/>
                <w:szCs w:val="18"/>
              </w:rPr>
              <w:t>1 M</w:t>
            </w:r>
          </w:p>
        </w:tc>
        <w:tc>
          <w:tcPr>
            <w:tcW w:w="1134" w:type="dxa"/>
            <w:shd w:val="clear" w:color="auto" w:fill="FFFFFF"/>
            <w:vAlign w:val="bottom"/>
          </w:tcPr>
          <w:p w14:paraId="2B7FA79B" w14:textId="387A136A" w:rsidR="005B775E" w:rsidRPr="00D71FC8" w:rsidRDefault="005B775E" w:rsidP="005B775E">
            <w:pPr>
              <w:pStyle w:val="CETBodytext"/>
              <w:ind w:right="-1"/>
              <w:rPr>
                <w:rFonts w:cs="Arial"/>
                <w:color w:val="000000"/>
                <w:szCs w:val="18"/>
              </w:rPr>
            </w:pPr>
            <w:r w:rsidRPr="00D71FC8">
              <w:rPr>
                <w:rFonts w:cs="Arial"/>
                <w:color w:val="000000"/>
                <w:szCs w:val="18"/>
              </w:rPr>
              <w:t>5.43</w:t>
            </w:r>
          </w:p>
        </w:tc>
        <w:tc>
          <w:tcPr>
            <w:tcW w:w="1134" w:type="dxa"/>
            <w:shd w:val="clear" w:color="auto" w:fill="FFFFFF"/>
            <w:vAlign w:val="bottom"/>
          </w:tcPr>
          <w:p w14:paraId="4DBCA83B" w14:textId="1396F0F8" w:rsidR="005B775E" w:rsidRPr="00B57B36" w:rsidRDefault="005B775E" w:rsidP="005B775E">
            <w:pPr>
              <w:pStyle w:val="CETBodytext"/>
              <w:ind w:right="-1"/>
              <w:rPr>
                <w:rFonts w:cs="Arial"/>
                <w:szCs w:val="18"/>
                <w:lang w:val="en-GB"/>
              </w:rPr>
            </w:pPr>
            <w:r w:rsidRPr="00D71FC8">
              <w:rPr>
                <w:rFonts w:cs="Arial"/>
                <w:color w:val="000000"/>
                <w:szCs w:val="18"/>
              </w:rPr>
              <w:t>434.35</w:t>
            </w:r>
          </w:p>
        </w:tc>
      </w:tr>
      <w:tr w:rsidR="005B775E" w:rsidRPr="00B57B36" w14:paraId="50DBBD95" w14:textId="77777777" w:rsidTr="0011774A">
        <w:tc>
          <w:tcPr>
            <w:tcW w:w="1134" w:type="dxa"/>
            <w:shd w:val="clear" w:color="auto" w:fill="FFFFFF"/>
          </w:tcPr>
          <w:p w14:paraId="560891D1" w14:textId="1904CC42" w:rsidR="005B775E" w:rsidRPr="00B57B36" w:rsidRDefault="005B775E" w:rsidP="005B775E">
            <w:pPr>
              <w:pStyle w:val="CETBodytext"/>
              <w:ind w:right="-1"/>
              <w:rPr>
                <w:rFonts w:cs="Arial"/>
                <w:szCs w:val="18"/>
                <w:lang w:val="en-GB"/>
              </w:rPr>
            </w:pPr>
            <w:r w:rsidRPr="00D71FC8">
              <w:rPr>
                <w:rFonts w:cs="Arial"/>
                <w:szCs w:val="18"/>
              </w:rPr>
              <w:t>KH</w:t>
            </w:r>
            <w:r w:rsidRPr="00D71FC8">
              <w:rPr>
                <w:rFonts w:cs="Arial"/>
                <w:szCs w:val="18"/>
                <w:vertAlign w:val="subscript"/>
              </w:rPr>
              <w:t>2</w:t>
            </w:r>
            <w:r w:rsidRPr="00D71FC8">
              <w:rPr>
                <w:rFonts w:cs="Arial"/>
                <w:szCs w:val="18"/>
              </w:rPr>
              <w:t>PO</w:t>
            </w:r>
            <w:r w:rsidRPr="00D71FC8">
              <w:rPr>
                <w:rFonts w:cs="Arial"/>
                <w:szCs w:val="18"/>
                <w:vertAlign w:val="subscript"/>
              </w:rPr>
              <w:t>4</w:t>
            </w:r>
          </w:p>
        </w:tc>
        <w:tc>
          <w:tcPr>
            <w:tcW w:w="1134" w:type="dxa"/>
            <w:shd w:val="clear" w:color="auto" w:fill="FFFFFF"/>
          </w:tcPr>
          <w:p w14:paraId="21CEE009" w14:textId="681CAC42" w:rsidR="005B775E" w:rsidRPr="00D71FC8" w:rsidRDefault="005B775E" w:rsidP="005B775E">
            <w:pPr>
              <w:pStyle w:val="CETBodytext"/>
              <w:ind w:right="-1"/>
              <w:rPr>
                <w:rFonts w:cs="Arial"/>
                <w:szCs w:val="18"/>
              </w:rPr>
            </w:pPr>
            <w:r w:rsidRPr="00D71FC8">
              <w:rPr>
                <w:rFonts w:cs="Arial"/>
                <w:szCs w:val="18"/>
              </w:rPr>
              <w:t>0.2 mM</w:t>
            </w:r>
          </w:p>
        </w:tc>
        <w:tc>
          <w:tcPr>
            <w:tcW w:w="1134" w:type="dxa"/>
            <w:shd w:val="clear" w:color="auto" w:fill="FFFFFF"/>
          </w:tcPr>
          <w:p w14:paraId="18757C55" w14:textId="2F09473B" w:rsidR="005B775E" w:rsidRPr="00D71FC8" w:rsidRDefault="005B775E" w:rsidP="005B775E">
            <w:pPr>
              <w:pStyle w:val="CETBodytext"/>
              <w:ind w:right="-1"/>
              <w:rPr>
                <w:rFonts w:cs="Arial"/>
                <w:color w:val="000000"/>
                <w:szCs w:val="18"/>
              </w:rPr>
            </w:pPr>
            <w:r w:rsidRPr="00D71FC8">
              <w:rPr>
                <w:rFonts w:cs="Arial"/>
                <w:szCs w:val="18"/>
              </w:rPr>
              <w:t>0.08</w:t>
            </w:r>
          </w:p>
        </w:tc>
        <w:tc>
          <w:tcPr>
            <w:tcW w:w="1134" w:type="dxa"/>
            <w:shd w:val="clear" w:color="auto" w:fill="FFFFFF"/>
          </w:tcPr>
          <w:p w14:paraId="3206FB19" w14:textId="20A71DD5" w:rsidR="005B775E" w:rsidRPr="00B57B36" w:rsidRDefault="005B775E" w:rsidP="005B775E">
            <w:pPr>
              <w:pStyle w:val="CETBodytext"/>
              <w:ind w:right="-1"/>
              <w:rPr>
                <w:rFonts w:cs="Arial"/>
                <w:szCs w:val="18"/>
                <w:lang w:val="en-GB"/>
              </w:rPr>
            </w:pPr>
            <w:r w:rsidRPr="00D71FC8">
              <w:rPr>
                <w:rFonts w:cs="Arial"/>
                <w:szCs w:val="18"/>
              </w:rPr>
              <w:t>11.09</w:t>
            </w:r>
          </w:p>
        </w:tc>
      </w:tr>
      <w:tr w:rsidR="005B775E" w:rsidRPr="00B57B36" w14:paraId="0A23044C" w14:textId="77777777" w:rsidTr="0011774A">
        <w:tc>
          <w:tcPr>
            <w:tcW w:w="1134" w:type="dxa"/>
            <w:shd w:val="clear" w:color="auto" w:fill="FFFFFF"/>
          </w:tcPr>
          <w:p w14:paraId="6BFF53C9" w14:textId="77777777" w:rsidR="005B775E" w:rsidRPr="00D71FC8" w:rsidRDefault="005B775E" w:rsidP="005B775E">
            <w:pPr>
              <w:pStyle w:val="CETBodytext"/>
              <w:ind w:right="-1"/>
              <w:rPr>
                <w:rFonts w:cs="Arial"/>
                <w:szCs w:val="18"/>
              </w:rPr>
            </w:pPr>
          </w:p>
        </w:tc>
        <w:tc>
          <w:tcPr>
            <w:tcW w:w="1134" w:type="dxa"/>
            <w:shd w:val="clear" w:color="auto" w:fill="FFFFFF"/>
          </w:tcPr>
          <w:p w14:paraId="3D3E26AD" w14:textId="7C687AE6" w:rsidR="005B775E" w:rsidRPr="00D71FC8" w:rsidRDefault="005B775E" w:rsidP="005B775E">
            <w:pPr>
              <w:pStyle w:val="CETBodytext"/>
              <w:ind w:right="-1"/>
              <w:rPr>
                <w:rFonts w:cs="Arial"/>
                <w:szCs w:val="18"/>
              </w:rPr>
            </w:pPr>
            <w:r w:rsidRPr="00D71FC8">
              <w:rPr>
                <w:rFonts w:cs="Arial"/>
                <w:szCs w:val="18"/>
              </w:rPr>
              <w:t>1 mM</w:t>
            </w:r>
          </w:p>
        </w:tc>
        <w:tc>
          <w:tcPr>
            <w:tcW w:w="1134" w:type="dxa"/>
            <w:shd w:val="clear" w:color="auto" w:fill="FFFFFF"/>
          </w:tcPr>
          <w:p w14:paraId="145EA0FA" w14:textId="4F3FB899" w:rsidR="005B775E" w:rsidRPr="00D71FC8" w:rsidRDefault="005B775E" w:rsidP="005B775E">
            <w:pPr>
              <w:pStyle w:val="CETBodytext"/>
              <w:ind w:right="-1"/>
              <w:rPr>
                <w:rFonts w:cs="Arial"/>
                <w:szCs w:val="18"/>
              </w:rPr>
            </w:pPr>
            <w:r w:rsidRPr="00D71FC8">
              <w:rPr>
                <w:rFonts w:cs="Arial"/>
                <w:szCs w:val="18"/>
              </w:rPr>
              <w:t>0.11</w:t>
            </w:r>
          </w:p>
        </w:tc>
        <w:tc>
          <w:tcPr>
            <w:tcW w:w="1134" w:type="dxa"/>
            <w:shd w:val="clear" w:color="auto" w:fill="FFFFFF"/>
          </w:tcPr>
          <w:p w14:paraId="2C491122" w14:textId="46302FA6" w:rsidR="005B775E" w:rsidRPr="00B57B36" w:rsidRDefault="005B775E" w:rsidP="005B775E">
            <w:pPr>
              <w:pStyle w:val="CETBodytext"/>
              <w:ind w:right="-1"/>
              <w:rPr>
                <w:rFonts w:cs="Arial"/>
                <w:szCs w:val="18"/>
                <w:lang w:val="en-GB"/>
              </w:rPr>
            </w:pPr>
            <w:r w:rsidRPr="00D71FC8">
              <w:rPr>
                <w:rFonts w:cs="Arial"/>
                <w:szCs w:val="18"/>
              </w:rPr>
              <w:t>14.7</w:t>
            </w:r>
          </w:p>
        </w:tc>
      </w:tr>
      <w:tr w:rsidR="005B775E" w:rsidRPr="00B57B36" w14:paraId="0C31E5B1" w14:textId="77777777" w:rsidTr="0011774A">
        <w:tc>
          <w:tcPr>
            <w:tcW w:w="1134" w:type="dxa"/>
            <w:shd w:val="clear" w:color="auto" w:fill="FFFFFF"/>
          </w:tcPr>
          <w:p w14:paraId="4D92693D" w14:textId="77777777" w:rsidR="005B775E" w:rsidRPr="00D71FC8" w:rsidRDefault="005B775E" w:rsidP="005B775E">
            <w:pPr>
              <w:pStyle w:val="CETBodytext"/>
              <w:ind w:right="-1"/>
              <w:rPr>
                <w:rFonts w:cs="Arial"/>
                <w:szCs w:val="18"/>
              </w:rPr>
            </w:pPr>
          </w:p>
        </w:tc>
        <w:tc>
          <w:tcPr>
            <w:tcW w:w="1134" w:type="dxa"/>
            <w:shd w:val="clear" w:color="auto" w:fill="FFFFFF"/>
          </w:tcPr>
          <w:p w14:paraId="04DC2194" w14:textId="714564C8" w:rsidR="005B775E" w:rsidRPr="00D71FC8" w:rsidRDefault="005B775E" w:rsidP="005B775E">
            <w:pPr>
              <w:pStyle w:val="CETBodytext"/>
              <w:ind w:right="-1"/>
              <w:rPr>
                <w:rFonts w:cs="Arial"/>
                <w:szCs w:val="18"/>
              </w:rPr>
            </w:pPr>
            <w:r w:rsidRPr="00D71FC8">
              <w:rPr>
                <w:rFonts w:cs="Arial"/>
                <w:szCs w:val="18"/>
              </w:rPr>
              <w:t>10 mM</w:t>
            </w:r>
          </w:p>
        </w:tc>
        <w:tc>
          <w:tcPr>
            <w:tcW w:w="1134" w:type="dxa"/>
            <w:shd w:val="clear" w:color="auto" w:fill="FFFFFF"/>
          </w:tcPr>
          <w:p w14:paraId="0C00EB22" w14:textId="0E383050" w:rsidR="005B775E" w:rsidRPr="00D71FC8" w:rsidRDefault="005B775E" w:rsidP="005B775E">
            <w:pPr>
              <w:pStyle w:val="CETBodytext"/>
              <w:ind w:right="-1"/>
              <w:rPr>
                <w:rFonts w:cs="Arial"/>
                <w:szCs w:val="18"/>
              </w:rPr>
            </w:pPr>
            <w:r w:rsidRPr="00D71FC8">
              <w:rPr>
                <w:rFonts w:cs="Arial"/>
                <w:szCs w:val="18"/>
              </w:rPr>
              <w:t>0.14</w:t>
            </w:r>
          </w:p>
        </w:tc>
        <w:tc>
          <w:tcPr>
            <w:tcW w:w="1134" w:type="dxa"/>
            <w:shd w:val="clear" w:color="auto" w:fill="FFFFFF"/>
          </w:tcPr>
          <w:p w14:paraId="0427F6C0" w14:textId="41A0C0C8" w:rsidR="005B775E" w:rsidRPr="00B57B36" w:rsidRDefault="005B775E" w:rsidP="005B775E">
            <w:pPr>
              <w:pStyle w:val="CETBodytext"/>
              <w:ind w:right="-1"/>
              <w:rPr>
                <w:rFonts w:cs="Arial"/>
                <w:szCs w:val="18"/>
                <w:lang w:val="en-GB"/>
              </w:rPr>
            </w:pPr>
            <w:r w:rsidRPr="00D71FC8">
              <w:rPr>
                <w:rFonts w:cs="Arial"/>
                <w:szCs w:val="18"/>
              </w:rPr>
              <w:t>18.4</w:t>
            </w:r>
          </w:p>
        </w:tc>
      </w:tr>
    </w:tbl>
    <w:p w14:paraId="3C268930" w14:textId="77777777" w:rsidR="001A6594" w:rsidRDefault="001A6594" w:rsidP="00DA4DF8">
      <w:pPr>
        <w:spacing w:line="240" w:lineRule="auto"/>
        <w:rPr>
          <w:rFonts w:ascii="Times New Roman" w:hAnsi="Times New Roman"/>
          <w:sz w:val="24"/>
          <w:szCs w:val="24"/>
        </w:rPr>
      </w:pPr>
    </w:p>
    <w:p w14:paraId="2D69C351" w14:textId="56C5464E" w:rsidR="001A6594" w:rsidRPr="009F39E7" w:rsidRDefault="001A6594" w:rsidP="00DA4DF8">
      <w:pPr>
        <w:pStyle w:val="ListParagraph"/>
        <w:numPr>
          <w:ilvl w:val="2"/>
          <w:numId w:val="23"/>
        </w:numPr>
        <w:spacing w:line="240" w:lineRule="auto"/>
        <w:rPr>
          <w:rFonts w:cs="Arial"/>
          <w:b/>
          <w:bCs/>
          <w:szCs w:val="18"/>
        </w:rPr>
      </w:pPr>
      <w:r w:rsidRPr="009F39E7">
        <w:rPr>
          <w:rFonts w:cs="Arial"/>
          <w:b/>
          <w:bCs/>
          <w:szCs w:val="18"/>
        </w:rPr>
        <w:t>Electrosorption kinetics</w:t>
      </w:r>
    </w:p>
    <w:p w14:paraId="4D76BBD6" w14:textId="77777777" w:rsidR="001A6594" w:rsidRPr="009F39E7" w:rsidRDefault="001A6594" w:rsidP="00DA4DF8">
      <w:pPr>
        <w:spacing w:line="240" w:lineRule="auto"/>
        <w:rPr>
          <w:rFonts w:cs="Arial"/>
          <w:szCs w:val="18"/>
        </w:rPr>
      </w:pPr>
      <w:r w:rsidRPr="009F39E7">
        <w:rPr>
          <w:rFonts w:cs="Arial"/>
          <w:szCs w:val="18"/>
        </w:rPr>
        <w:t>The transient response of the current in the working electrode was first normalised based on the initial and final values of current. The normalised current value is a representation of the approach to the equilibrium adsorption capacity in the following manner:</w:t>
      </w:r>
    </w:p>
    <w:p w14:paraId="5F10F089" w14:textId="3EDA3D1F" w:rsidR="001A6594" w:rsidRPr="009F39E7" w:rsidRDefault="001A6594" w:rsidP="00DA4DF8">
      <w:pPr>
        <w:spacing w:line="240" w:lineRule="auto"/>
        <w:rPr>
          <w:rFonts w:eastAsiaTheme="minorEastAsia" w:cs="Arial"/>
          <w:szCs w:val="18"/>
        </w:rPr>
      </w:pPr>
      <m:oMath>
        <m:r>
          <w:rPr>
            <w:rFonts w:ascii="Cambria Math" w:eastAsiaTheme="minorEastAsia" w:hAnsi="Cambria Math" w:cs="Arial"/>
            <w:szCs w:val="18"/>
          </w:rPr>
          <m:t>q</m:t>
        </m:r>
        <m:d>
          <m:dPr>
            <m:ctrlPr>
              <w:rPr>
                <w:rFonts w:ascii="Cambria Math" w:eastAsiaTheme="minorEastAsia" w:hAnsi="Cambria Math" w:cs="Arial"/>
                <w:i/>
                <w:szCs w:val="18"/>
              </w:rPr>
            </m:ctrlPr>
          </m:dPr>
          <m:e>
            <m:r>
              <w:rPr>
                <w:rFonts w:ascii="Cambria Math" w:eastAsiaTheme="minorEastAsia" w:hAnsi="Cambria Math" w:cs="Arial"/>
                <w:szCs w:val="18"/>
              </w:rPr>
              <m:t>t</m:t>
            </m:r>
          </m:e>
        </m:d>
        <m:r>
          <w:rPr>
            <w:rFonts w:ascii="Cambria Math" w:eastAsiaTheme="minorEastAsia" w:hAnsi="Cambria Math" w:cs="Arial"/>
            <w:szCs w:val="18"/>
          </w:rPr>
          <m:t>=1-</m:t>
        </m:r>
        <m:f>
          <m:fPr>
            <m:ctrlPr>
              <w:rPr>
                <w:rFonts w:ascii="Cambria Math" w:eastAsiaTheme="minorEastAsia" w:hAnsi="Cambria Math" w:cs="Arial"/>
                <w:i/>
                <w:szCs w:val="18"/>
              </w:rPr>
            </m:ctrlPr>
          </m:fPr>
          <m:num>
            <m:r>
              <w:rPr>
                <w:rFonts w:ascii="Cambria Math" w:eastAsiaTheme="minorEastAsia" w:hAnsi="Cambria Math" w:cs="Arial"/>
                <w:szCs w:val="18"/>
              </w:rPr>
              <m:t>I</m:t>
            </m:r>
            <m:d>
              <m:dPr>
                <m:ctrlPr>
                  <w:rPr>
                    <w:rFonts w:ascii="Cambria Math" w:eastAsiaTheme="minorEastAsia" w:hAnsi="Cambria Math" w:cs="Arial"/>
                    <w:i/>
                    <w:szCs w:val="18"/>
                  </w:rPr>
                </m:ctrlPr>
              </m:dPr>
              <m:e>
                <m:r>
                  <w:rPr>
                    <w:rFonts w:ascii="Cambria Math" w:eastAsiaTheme="minorEastAsia" w:hAnsi="Cambria Math" w:cs="Arial"/>
                    <w:szCs w:val="18"/>
                  </w:rPr>
                  <m:t>t</m:t>
                </m:r>
              </m:e>
            </m:d>
            <m:r>
              <w:rPr>
                <w:rFonts w:ascii="Cambria Math" w:eastAsiaTheme="minorEastAsia" w:hAnsi="Cambria Math" w:cs="Arial"/>
                <w:szCs w:val="18"/>
              </w:rPr>
              <m:t>-</m:t>
            </m:r>
            <m:sSub>
              <m:sSubPr>
                <m:ctrlPr>
                  <w:rPr>
                    <w:rFonts w:ascii="Cambria Math" w:eastAsiaTheme="minorEastAsia" w:hAnsi="Cambria Math" w:cs="Arial"/>
                    <w:i/>
                    <w:szCs w:val="18"/>
                  </w:rPr>
                </m:ctrlPr>
              </m:sSubPr>
              <m:e>
                <m:r>
                  <w:rPr>
                    <w:rFonts w:ascii="Cambria Math" w:eastAsiaTheme="minorEastAsia" w:hAnsi="Cambria Math" w:cs="Arial"/>
                    <w:szCs w:val="18"/>
                  </w:rPr>
                  <m:t>I</m:t>
                </m:r>
              </m:e>
              <m:sub>
                <m:r>
                  <w:rPr>
                    <w:rFonts w:ascii="Cambria Math" w:eastAsiaTheme="minorEastAsia" w:hAnsi="Cambria Math" w:cs="Arial"/>
                    <w:szCs w:val="18"/>
                  </w:rPr>
                  <m:t>min</m:t>
                </m:r>
              </m:sub>
            </m:sSub>
          </m:num>
          <m:den>
            <m:sSub>
              <m:sSubPr>
                <m:ctrlPr>
                  <w:rPr>
                    <w:rFonts w:ascii="Cambria Math" w:eastAsiaTheme="minorEastAsia" w:hAnsi="Cambria Math" w:cs="Arial"/>
                    <w:i/>
                    <w:szCs w:val="18"/>
                  </w:rPr>
                </m:ctrlPr>
              </m:sSubPr>
              <m:e>
                <m:r>
                  <w:rPr>
                    <w:rFonts w:ascii="Cambria Math" w:eastAsiaTheme="minorEastAsia" w:hAnsi="Cambria Math" w:cs="Arial"/>
                    <w:szCs w:val="18"/>
                  </w:rPr>
                  <m:t>I</m:t>
                </m:r>
              </m:e>
              <m:sub>
                <m:r>
                  <w:rPr>
                    <w:rFonts w:ascii="Cambria Math" w:eastAsiaTheme="minorEastAsia" w:hAnsi="Cambria Math" w:cs="Arial"/>
                    <w:szCs w:val="18"/>
                  </w:rPr>
                  <m:t>max</m:t>
                </m:r>
              </m:sub>
            </m:sSub>
            <m:r>
              <w:rPr>
                <w:rFonts w:ascii="Cambria Math" w:eastAsiaTheme="minorEastAsia" w:hAnsi="Cambria Math" w:cs="Arial"/>
                <w:szCs w:val="18"/>
              </w:rPr>
              <m:t>-</m:t>
            </m:r>
            <m:sSub>
              <m:sSubPr>
                <m:ctrlPr>
                  <w:rPr>
                    <w:rFonts w:ascii="Cambria Math" w:eastAsiaTheme="minorEastAsia" w:hAnsi="Cambria Math" w:cs="Arial"/>
                    <w:i/>
                    <w:szCs w:val="18"/>
                  </w:rPr>
                </m:ctrlPr>
              </m:sSubPr>
              <m:e>
                <m:r>
                  <w:rPr>
                    <w:rFonts w:ascii="Cambria Math" w:eastAsiaTheme="minorEastAsia" w:hAnsi="Cambria Math" w:cs="Arial"/>
                    <w:szCs w:val="18"/>
                  </w:rPr>
                  <m:t>I</m:t>
                </m:r>
              </m:e>
              <m:sub>
                <m:r>
                  <w:rPr>
                    <w:rFonts w:ascii="Cambria Math" w:eastAsiaTheme="minorEastAsia" w:hAnsi="Cambria Math" w:cs="Arial"/>
                    <w:szCs w:val="18"/>
                  </w:rPr>
                  <m:t>min</m:t>
                </m:r>
              </m:sub>
            </m:sSub>
          </m:den>
        </m:f>
      </m:oMath>
      <w:r w:rsidRPr="009F39E7">
        <w:rPr>
          <w:rFonts w:eastAsiaTheme="minorEastAsia" w:cs="Arial"/>
          <w:szCs w:val="18"/>
        </w:rPr>
        <w:tab/>
        <w:t xml:space="preserve"> </w:t>
      </w:r>
      <w:r w:rsidRPr="009F39E7">
        <w:rPr>
          <w:rFonts w:eastAsiaTheme="minorEastAsia" w:cs="Arial"/>
          <w:szCs w:val="18"/>
        </w:rPr>
        <w:tab/>
      </w:r>
      <w:r w:rsidRPr="009F39E7">
        <w:rPr>
          <w:rFonts w:eastAsiaTheme="minorEastAsia" w:cs="Arial"/>
          <w:szCs w:val="18"/>
        </w:rPr>
        <w:tab/>
        <w:t>(4)</w:t>
      </w:r>
    </w:p>
    <w:p w14:paraId="27E891E9" w14:textId="5502B87C" w:rsidR="001A6594" w:rsidRPr="009F39E7" w:rsidRDefault="001A6594" w:rsidP="00DA4DF8">
      <w:pPr>
        <w:spacing w:line="240" w:lineRule="auto"/>
        <w:rPr>
          <w:rFonts w:eastAsiaTheme="minorEastAsia" w:cs="Arial"/>
          <w:szCs w:val="18"/>
        </w:rPr>
      </w:pPr>
      <w:r w:rsidRPr="009F39E7">
        <w:rPr>
          <w:rFonts w:eastAsiaTheme="minorEastAsia" w:cs="Arial"/>
          <w:szCs w:val="18"/>
        </w:rPr>
        <w:t>The resultant curves were fitted to the pseudo first order and second order kinetics equations for nitrate and phosphate. It can be seen that the pseudo second order model describes the adsorption well. The kinetic constant k</w:t>
      </w:r>
      <w:r w:rsidRPr="009F39E7">
        <w:rPr>
          <w:rFonts w:eastAsiaTheme="minorEastAsia" w:cs="Arial"/>
          <w:szCs w:val="18"/>
          <w:vertAlign w:val="subscript"/>
        </w:rPr>
        <w:t>2</w:t>
      </w:r>
      <w:r w:rsidRPr="009F39E7">
        <w:rPr>
          <w:rFonts w:eastAsiaTheme="minorEastAsia" w:cs="Arial"/>
          <w:szCs w:val="18"/>
        </w:rPr>
        <w:t xml:space="preserve"> increases with an increase in the concentration of nitrates and phosphates. This agrees with the transient response, where the adsorption is faster (i.e., the baseline is reached faster) at higher concentrations. A comparison between experiments and </w:t>
      </w:r>
      <w:r w:rsidR="00FB7D71">
        <w:rPr>
          <w:rFonts w:eastAsiaTheme="minorEastAsia" w:cs="Arial"/>
          <w:szCs w:val="18"/>
        </w:rPr>
        <w:t xml:space="preserve">the model </w:t>
      </w:r>
      <w:r w:rsidRPr="009F39E7">
        <w:rPr>
          <w:rFonts w:eastAsiaTheme="minorEastAsia" w:cs="Arial"/>
          <w:szCs w:val="18"/>
        </w:rPr>
        <w:t xml:space="preserve">are provided in Figure </w:t>
      </w:r>
      <w:r w:rsidR="00FB7D71">
        <w:rPr>
          <w:rFonts w:eastAsiaTheme="minorEastAsia" w:cs="Arial"/>
          <w:szCs w:val="18"/>
        </w:rPr>
        <w:t>3</w:t>
      </w:r>
      <w:r w:rsidRPr="009F39E7">
        <w:rPr>
          <w:rFonts w:eastAsiaTheme="minorEastAsia" w:cs="Arial"/>
          <w:szCs w:val="18"/>
        </w:rPr>
        <w:t>.</w:t>
      </w:r>
    </w:p>
    <w:p w14:paraId="20325ED4" w14:textId="5BDA7D3B" w:rsidR="001A6594" w:rsidRDefault="001A6594" w:rsidP="00DA4DF8">
      <w:pPr>
        <w:spacing w:line="240" w:lineRule="auto"/>
        <w:jc w:val="center"/>
        <w:rPr>
          <w:rFonts w:ascii="Times New Roman" w:eastAsiaTheme="minorEastAsia" w:hAnsi="Times New Roman"/>
          <w:sz w:val="24"/>
          <w:szCs w:val="24"/>
        </w:rPr>
      </w:pPr>
    </w:p>
    <w:p w14:paraId="476CB3EC" w14:textId="66F337A8" w:rsidR="001A6594" w:rsidRDefault="00C95467" w:rsidP="00634024">
      <w:pPr>
        <w:keepNext/>
        <w:spacing w:line="240" w:lineRule="auto"/>
      </w:pPr>
      <w:r>
        <w:rPr>
          <w:noProof/>
        </w:rPr>
        <w:drawing>
          <wp:inline distT="0" distB="0" distL="0" distR="0" wp14:anchorId="6C0EB885" wp14:editId="25DC49D2">
            <wp:extent cx="562802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415" cy="2194794"/>
                    </a:xfrm>
                    <a:prstGeom prst="rect">
                      <a:avLst/>
                    </a:prstGeom>
                    <a:noFill/>
                  </pic:spPr>
                </pic:pic>
              </a:graphicData>
            </a:graphic>
          </wp:inline>
        </w:drawing>
      </w:r>
    </w:p>
    <w:p w14:paraId="303F3476" w14:textId="4F7AC8C0" w:rsidR="001A6594" w:rsidRPr="00FB7D71" w:rsidRDefault="001A6594" w:rsidP="00FB7D71">
      <w:pPr>
        <w:pStyle w:val="Caption"/>
        <w:jc w:val="left"/>
        <w:rPr>
          <w:b w:val="0"/>
          <w:bCs w:val="0"/>
          <w:i/>
          <w:iCs/>
          <w:color w:val="000000" w:themeColor="text1"/>
        </w:rPr>
      </w:pPr>
      <w:r w:rsidRPr="00FB7D71">
        <w:rPr>
          <w:b w:val="0"/>
          <w:bCs w:val="0"/>
          <w:i/>
          <w:iCs/>
          <w:color w:val="000000" w:themeColor="text1"/>
        </w:rPr>
        <w:t xml:space="preserve">Figure </w:t>
      </w:r>
      <w:r w:rsidRPr="00FB7D71">
        <w:rPr>
          <w:b w:val="0"/>
          <w:bCs w:val="0"/>
          <w:i/>
          <w:iCs/>
          <w:color w:val="000000" w:themeColor="text1"/>
        </w:rPr>
        <w:fldChar w:fldCharType="begin"/>
      </w:r>
      <w:r w:rsidRPr="00FB7D71">
        <w:rPr>
          <w:b w:val="0"/>
          <w:bCs w:val="0"/>
          <w:i/>
          <w:iCs/>
          <w:color w:val="000000" w:themeColor="text1"/>
        </w:rPr>
        <w:instrText xml:space="preserve"> SEQ Figure \* ARABIC </w:instrText>
      </w:r>
      <w:r w:rsidRPr="00FB7D71">
        <w:rPr>
          <w:b w:val="0"/>
          <w:bCs w:val="0"/>
          <w:i/>
          <w:iCs/>
          <w:color w:val="000000" w:themeColor="text1"/>
        </w:rPr>
        <w:fldChar w:fldCharType="separate"/>
      </w:r>
      <w:r w:rsidR="00795D2F" w:rsidRPr="00FB7D71">
        <w:rPr>
          <w:b w:val="0"/>
          <w:bCs w:val="0"/>
          <w:i/>
          <w:iCs/>
          <w:noProof/>
          <w:color w:val="000000" w:themeColor="text1"/>
        </w:rPr>
        <w:t>3</w:t>
      </w:r>
      <w:r w:rsidRPr="00FB7D71">
        <w:rPr>
          <w:b w:val="0"/>
          <w:bCs w:val="0"/>
          <w:i/>
          <w:iCs/>
          <w:color w:val="000000" w:themeColor="text1"/>
        </w:rPr>
        <w:fldChar w:fldCharType="end"/>
      </w:r>
      <w:r w:rsidRPr="00FB7D71">
        <w:rPr>
          <w:b w:val="0"/>
          <w:bCs w:val="0"/>
          <w:i/>
          <w:iCs/>
          <w:color w:val="000000" w:themeColor="text1"/>
        </w:rPr>
        <w:t>: Capacity vs time for the different concentrations (a) NH</w:t>
      </w:r>
      <w:r w:rsidRPr="00FB7D71">
        <w:rPr>
          <w:b w:val="0"/>
          <w:bCs w:val="0"/>
          <w:i/>
          <w:iCs/>
          <w:color w:val="000000" w:themeColor="text1"/>
          <w:vertAlign w:val="subscript"/>
        </w:rPr>
        <w:t>4</w:t>
      </w:r>
      <w:r w:rsidRPr="00FB7D71">
        <w:rPr>
          <w:b w:val="0"/>
          <w:bCs w:val="0"/>
          <w:i/>
          <w:iCs/>
          <w:color w:val="000000" w:themeColor="text1"/>
        </w:rPr>
        <w:t>NO</w:t>
      </w:r>
      <w:r w:rsidRPr="00FB7D71">
        <w:rPr>
          <w:b w:val="0"/>
          <w:bCs w:val="0"/>
          <w:i/>
          <w:iCs/>
          <w:color w:val="000000" w:themeColor="text1"/>
          <w:vertAlign w:val="subscript"/>
        </w:rPr>
        <w:t>3</w:t>
      </w:r>
      <w:r w:rsidRPr="00FB7D71">
        <w:rPr>
          <w:b w:val="0"/>
          <w:bCs w:val="0"/>
          <w:i/>
          <w:iCs/>
          <w:color w:val="000000" w:themeColor="text1"/>
        </w:rPr>
        <w:t xml:space="preserve"> and (b) KH</w:t>
      </w:r>
      <w:r w:rsidRPr="00FB7D71">
        <w:rPr>
          <w:b w:val="0"/>
          <w:bCs w:val="0"/>
          <w:i/>
          <w:iCs/>
          <w:color w:val="000000" w:themeColor="text1"/>
          <w:vertAlign w:val="subscript"/>
        </w:rPr>
        <w:t>2</w:t>
      </w:r>
      <w:r w:rsidRPr="00FB7D71">
        <w:rPr>
          <w:b w:val="0"/>
          <w:bCs w:val="0"/>
          <w:i/>
          <w:iCs/>
          <w:color w:val="000000" w:themeColor="text1"/>
        </w:rPr>
        <w:t>PO</w:t>
      </w:r>
      <w:r w:rsidRPr="00FB7D71">
        <w:rPr>
          <w:b w:val="0"/>
          <w:bCs w:val="0"/>
          <w:i/>
          <w:iCs/>
          <w:color w:val="000000" w:themeColor="text1"/>
          <w:vertAlign w:val="subscript"/>
        </w:rPr>
        <w:t>4</w:t>
      </w:r>
      <w:r w:rsidRPr="00FB7D71">
        <w:rPr>
          <w:b w:val="0"/>
          <w:bCs w:val="0"/>
          <w:i/>
          <w:iCs/>
          <w:color w:val="000000" w:themeColor="text1"/>
        </w:rPr>
        <w:t>. Symbols denote experiments while line is the 2nd order model fit.</w:t>
      </w:r>
    </w:p>
    <w:p w14:paraId="0502DBEA" w14:textId="01DD94F7" w:rsidR="00BC62C0" w:rsidRPr="00BC62C0" w:rsidRDefault="00BC62C0" w:rsidP="00DA4DF8">
      <w:pPr>
        <w:spacing w:line="240" w:lineRule="auto"/>
      </w:pPr>
    </w:p>
    <w:p w14:paraId="4162410E" w14:textId="77777777" w:rsidR="00BC62C0" w:rsidRPr="00BC62C0" w:rsidRDefault="00BC62C0" w:rsidP="00DA4DF8">
      <w:pPr>
        <w:spacing w:line="240" w:lineRule="auto"/>
        <w:rPr>
          <w:rFonts w:eastAsiaTheme="minorEastAsia"/>
        </w:rPr>
      </w:pPr>
    </w:p>
    <w:p w14:paraId="03CC508A" w14:textId="75EBF193" w:rsidR="001A6594" w:rsidRPr="00BC62C0" w:rsidRDefault="00BC62C0" w:rsidP="00DA4DF8">
      <w:pPr>
        <w:spacing w:line="240" w:lineRule="auto"/>
        <w:rPr>
          <w:rFonts w:ascii="Times New Roman" w:eastAsiaTheme="minorEastAsia" w:hAnsi="Times New Roman"/>
          <w:b/>
          <w:bCs/>
          <w:szCs w:val="18"/>
        </w:rPr>
      </w:pPr>
      <w:r w:rsidRPr="00BC62C0">
        <w:rPr>
          <w:rFonts w:ascii="Times New Roman" w:eastAsiaTheme="minorEastAsia" w:hAnsi="Times New Roman"/>
          <w:b/>
          <w:bCs/>
          <w:szCs w:val="18"/>
        </w:rPr>
        <w:t xml:space="preserve">3.3.3 </w:t>
      </w:r>
      <w:r w:rsidR="001A6594" w:rsidRPr="00BC62C0">
        <w:rPr>
          <w:rFonts w:ascii="Times New Roman" w:eastAsiaTheme="minorEastAsia" w:hAnsi="Times New Roman"/>
          <w:b/>
          <w:bCs/>
          <w:szCs w:val="18"/>
        </w:rPr>
        <w:t>Stability</w:t>
      </w:r>
    </w:p>
    <w:p w14:paraId="503A5E0D" w14:textId="7222C75D" w:rsidR="001A6594" w:rsidRPr="00BC62C0" w:rsidRDefault="001A6594" w:rsidP="00DA4DF8">
      <w:pPr>
        <w:spacing w:line="240" w:lineRule="auto"/>
        <w:rPr>
          <w:rFonts w:eastAsiaTheme="minorEastAsia" w:cs="Arial"/>
          <w:szCs w:val="18"/>
        </w:rPr>
      </w:pPr>
      <w:r w:rsidRPr="00BC62C0">
        <w:rPr>
          <w:rFonts w:eastAsiaTheme="minorEastAsia" w:cs="Arial"/>
          <w:szCs w:val="18"/>
        </w:rPr>
        <w:t xml:space="preserve">Once the 1V experiments were complete, experiments were repeated first at 0.6V for 4 different cycles to study the capacity change with respect to repeated operation. These experiments were carried out after the 1V </w:t>
      </w:r>
      <w:r w:rsidR="002868FE" w:rsidRPr="00BC62C0">
        <w:rPr>
          <w:rFonts w:eastAsiaTheme="minorEastAsia" w:cs="Arial"/>
          <w:szCs w:val="18"/>
        </w:rPr>
        <w:t>experiment,</w:t>
      </w:r>
      <w:r w:rsidRPr="00BC62C0">
        <w:rPr>
          <w:rFonts w:eastAsiaTheme="minorEastAsia" w:cs="Arial"/>
          <w:szCs w:val="18"/>
        </w:rPr>
        <w:t xml:space="preserve"> and the capacity values are provided in Figure for 1mM solutions of NH</w:t>
      </w:r>
      <w:r w:rsidRPr="00BC62C0">
        <w:rPr>
          <w:rFonts w:eastAsiaTheme="minorEastAsia" w:cs="Arial"/>
          <w:szCs w:val="18"/>
          <w:vertAlign w:val="subscript"/>
        </w:rPr>
        <w:t>4</w:t>
      </w:r>
      <w:r w:rsidRPr="00BC62C0">
        <w:rPr>
          <w:rFonts w:eastAsiaTheme="minorEastAsia" w:cs="Arial"/>
          <w:szCs w:val="18"/>
        </w:rPr>
        <w:t>NO3 and KH</w:t>
      </w:r>
      <w:r w:rsidRPr="00BC62C0">
        <w:rPr>
          <w:rFonts w:eastAsiaTheme="minorEastAsia" w:cs="Arial"/>
          <w:szCs w:val="18"/>
          <w:vertAlign w:val="subscript"/>
        </w:rPr>
        <w:t>2</w:t>
      </w:r>
      <w:r w:rsidRPr="00BC62C0">
        <w:rPr>
          <w:rFonts w:eastAsiaTheme="minorEastAsia" w:cs="Arial"/>
          <w:szCs w:val="18"/>
        </w:rPr>
        <w:t>PO</w:t>
      </w:r>
      <w:r w:rsidRPr="00BC62C0">
        <w:rPr>
          <w:rFonts w:eastAsiaTheme="minorEastAsia" w:cs="Arial"/>
          <w:szCs w:val="18"/>
          <w:vertAlign w:val="subscript"/>
        </w:rPr>
        <w:t>4</w:t>
      </w:r>
      <w:r w:rsidRPr="00BC62C0">
        <w:rPr>
          <w:rFonts w:eastAsiaTheme="minorEastAsia" w:cs="Arial"/>
          <w:szCs w:val="18"/>
        </w:rPr>
        <w:t>. When experiments were carried out after the 1V experiment the drop in capacities were significant (16 vs 11.9 mg/g) for the 1</w:t>
      </w:r>
      <w:r w:rsidRPr="00BC62C0">
        <w:rPr>
          <w:rFonts w:eastAsiaTheme="minorEastAsia" w:cs="Arial"/>
          <w:szCs w:val="18"/>
          <w:vertAlign w:val="superscript"/>
        </w:rPr>
        <w:t>st</w:t>
      </w:r>
      <w:r w:rsidRPr="00BC62C0">
        <w:rPr>
          <w:rFonts w:eastAsiaTheme="minorEastAsia" w:cs="Arial"/>
          <w:szCs w:val="18"/>
        </w:rPr>
        <w:t xml:space="preserve"> run and with respect to subsequent run the drop in capacity was around 10% The drop in capacity with respect to run 1 and run 2 was nearly 70% and the capacity did not change much with subsequent runs. In this scenario, the durations of the adsorption and desorption steps were kept constant.</w:t>
      </w:r>
    </w:p>
    <w:p w14:paraId="6A370118" w14:textId="77777777" w:rsidR="001A6594" w:rsidRPr="00BC62C0" w:rsidRDefault="001A6594" w:rsidP="00DA4DF8">
      <w:pPr>
        <w:spacing w:line="240" w:lineRule="auto"/>
        <w:rPr>
          <w:rFonts w:eastAsiaTheme="minorEastAsia" w:cs="Arial"/>
          <w:szCs w:val="18"/>
        </w:rPr>
      </w:pPr>
      <w:r w:rsidRPr="00BC62C0">
        <w:rPr>
          <w:rFonts w:eastAsiaTheme="minorEastAsia" w:cs="Arial"/>
          <w:szCs w:val="18"/>
        </w:rPr>
        <w:t>In this work we have also studied the reuse of the electrodes that were exposed to higher electrolyte concentrations of 100 mM and 1 M Solutions. These electrodes were tested again with 1 mM NH</w:t>
      </w:r>
      <w:r w:rsidRPr="00BC62C0">
        <w:rPr>
          <w:rFonts w:eastAsiaTheme="minorEastAsia" w:cs="Arial"/>
          <w:szCs w:val="18"/>
          <w:vertAlign w:val="subscript"/>
        </w:rPr>
        <w:t>4</w:t>
      </w:r>
      <w:r w:rsidRPr="00BC62C0">
        <w:rPr>
          <w:rFonts w:eastAsiaTheme="minorEastAsia" w:cs="Arial"/>
          <w:szCs w:val="18"/>
        </w:rPr>
        <w:t>NO</w:t>
      </w:r>
      <w:r w:rsidRPr="00BC62C0">
        <w:rPr>
          <w:rFonts w:eastAsiaTheme="minorEastAsia" w:cs="Arial"/>
          <w:szCs w:val="18"/>
          <w:vertAlign w:val="subscript"/>
        </w:rPr>
        <w:t>3</w:t>
      </w:r>
      <w:r w:rsidRPr="00BC62C0">
        <w:rPr>
          <w:rFonts w:eastAsiaTheme="minorEastAsia" w:cs="Arial"/>
          <w:szCs w:val="18"/>
        </w:rPr>
        <w:t xml:space="preserve"> solution. In this case, the capacity dropped to 97 mg/g as opposed to 114 mg/g with respect to the pristine electrode and it could be that complete removal of the nitrate ions was not possible during the desorption step. The loss in capacity can be attributed to the desorption step being operated at 0 V. one may recommend switching to lower voltages for complete removal of ions.</w:t>
      </w:r>
    </w:p>
    <w:p w14:paraId="5B31F6E5" w14:textId="4D536A9A" w:rsidR="001A6594" w:rsidRPr="00BC62C0" w:rsidRDefault="001A6594" w:rsidP="00DA4DF8">
      <w:pPr>
        <w:spacing w:line="240" w:lineRule="auto"/>
        <w:rPr>
          <w:rFonts w:eastAsiaTheme="minorEastAsia" w:cs="Arial"/>
          <w:szCs w:val="18"/>
        </w:rPr>
      </w:pPr>
      <w:r w:rsidRPr="00BC62C0">
        <w:rPr>
          <w:rFonts w:eastAsiaTheme="minorEastAsia" w:cs="Arial"/>
          <w:szCs w:val="18"/>
        </w:rPr>
        <w:lastRenderedPageBreak/>
        <w:t xml:space="preserve">To understand this XPS acquisitions (Figure </w:t>
      </w:r>
      <w:r w:rsidR="00667D6B">
        <w:rPr>
          <w:rFonts w:eastAsiaTheme="minorEastAsia" w:cs="Arial"/>
          <w:szCs w:val="18"/>
        </w:rPr>
        <w:t>4</w:t>
      </w:r>
      <w:r w:rsidRPr="00BC62C0">
        <w:rPr>
          <w:rFonts w:eastAsiaTheme="minorEastAsia" w:cs="Arial"/>
          <w:szCs w:val="18"/>
        </w:rPr>
        <w:t>) were taken on the used and unused parts of the electrode to analyse the nitrogen content and chemistry. Three peaks from different nitrogen species can be discerned in the XP spectra, at binding energies typical, but not exclusive, for -NH</w:t>
      </w:r>
      <w:r w:rsidRPr="00BC62C0">
        <w:rPr>
          <w:rFonts w:eastAsiaTheme="minorEastAsia" w:cs="Arial"/>
          <w:szCs w:val="18"/>
          <w:vertAlign w:val="subscript"/>
        </w:rPr>
        <w:t>2</w:t>
      </w:r>
      <w:r w:rsidRPr="00BC62C0">
        <w:rPr>
          <w:rFonts w:eastAsiaTheme="minorEastAsia" w:cs="Arial"/>
          <w:szCs w:val="18"/>
        </w:rPr>
        <w:t xml:space="preserve"> bonds (400.0 ±0.3 eV BE), -NH</w:t>
      </w:r>
      <w:r w:rsidRPr="00BC62C0">
        <w:rPr>
          <w:rFonts w:eastAsiaTheme="minorEastAsia" w:cs="Arial"/>
          <w:szCs w:val="18"/>
          <w:vertAlign w:val="subscript"/>
        </w:rPr>
        <w:t>3</w:t>
      </w:r>
      <w:r w:rsidRPr="00BC62C0">
        <w:rPr>
          <w:rFonts w:eastAsiaTheme="minorEastAsia" w:cs="Arial"/>
          <w:szCs w:val="18"/>
          <w:vertAlign w:val="superscript"/>
        </w:rPr>
        <w:t>+</w:t>
      </w:r>
      <w:r w:rsidRPr="00BC62C0">
        <w:rPr>
          <w:rFonts w:eastAsiaTheme="minorEastAsia" w:cs="Arial"/>
          <w:szCs w:val="18"/>
        </w:rPr>
        <w:t xml:space="preserve"> bonds (402.4 ±0.3 eV BE) and -NO</w:t>
      </w:r>
      <w:r w:rsidRPr="00BC62C0">
        <w:rPr>
          <w:rFonts w:eastAsiaTheme="minorEastAsia" w:cs="Arial"/>
          <w:szCs w:val="18"/>
          <w:vertAlign w:val="subscript"/>
        </w:rPr>
        <w:t>2</w:t>
      </w:r>
      <w:r w:rsidRPr="00BC62C0">
        <w:rPr>
          <w:rFonts w:eastAsiaTheme="minorEastAsia" w:cs="Arial"/>
          <w:szCs w:val="18"/>
        </w:rPr>
        <w:t xml:space="preserve"> or -ONO</w:t>
      </w:r>
      <w:r w:rsidRPr="00BC62C0">
        <w:rPr>
          <w:rFonts w:eastAsiaTheme="minorEastAsia" w:cs="Arial"/>
          <w:szCs w:val="18"/>
          <w:vertAlign w:val="subscript"/>
        </w:rPr>
        <w:t>2</w:t>
      </w:r>
      <w:r w:rsidRPr="00BC62C0">
        <w:rPr>
          <w:rFonts w:eastAsiaTheme="minorEastAsia" w:cs="Arial"/>
          <w:szCs w:val="18"/>
        </w:rPr>
        <w:t xml:space="preserve"> groups (406.4 ±0.3 eV BE), both in the used and unused areas (fig</w:t>
      </w:r>
      <w:r w:rsidR="00376DB1">
        <w:rPr>
          <w:rFonts w:eastAsiaTheme="minorEastAsia" w:cs="Arial"/>
          <w:szCs w:val="18"/>
        </w:rPr>
        <w:t>ure</w:t>
      </w:r>
      <w:r w:rsidRPr="00BC62C0">
        <w:rPr>
          <w:rFonts w:eastAsiaTheme="minorEastAsia" w:cs="Arial"/>
          <w:szCs w:val="18"/>
        </w:rPr>
        <w:t xml:space="preserve">. </w:t>
      </w:r>
      <w:r w:rsidR="00003009">
        <w:rPr>
          <w:rFonts w:eastAsiaTheme="minorEastAsia" w:cs="Arial"/>
          <w:szCs w:val="18"/>
        </w:rPr>
        <w:t>4</w:t>
      </w:r>
      <w:r w:rsidRPr="00BC62C0">
        <w:rPr>
          <w:rFonts w:eastAsiaTheme="minorEastAsia" w:cs="Arial"/>
          <w:szCs w:val="18"/>
        </w:rPr>
        <w:t>)</w:t>
      </w:r>
      <w:r w:rsidR="00376DB1">
        <w:rPr>
          <w:rFonts w:eastAsiaTheme="minorEastAsia" w:cs="Arial"/>
          <w:szCs w:val="18"/>
        </w:rPr>
        <w:t xml:space="preserve"> </w:t>
      </w:r>
      <w:r w:rsidR="00376DB1">
        <w:rPr>
          <w:rFonts w:eastAsiaTheme="minorEastAsia" w:cs="Arial"/>
          <w:szCs w:val="18"/>
        </w:rPr>
        <w:fldChar w:fldCharType="begin"/>
      </w:r>
      <w:r w:rsidR="00376DB1">
        <w:rPr>
          <w:rFonts w:eastAsiaTheme="minorEastAsia" w:cs="Arial"/>
          <w:szCs w:val="18"/>
        </w:rPr>
        <w:instrText xml:space="preserve"> ADDIN EN.CITE &lt;EndNote&gt;&lt;Cite&gt;&lt;Author&gt;Hantsche&lt;/Author&gt;&lt;Year&gt;1993&lt;/Year&gt;&lt;RecNum&gt;9&lt;/RecNum&gt;&lt;DisplayText&gt;[9-11]&lt;/DisplayText&gt;&lt;record&gt;&lt;rec-number&gt;9&lt;/rec-number&gt;&lt;foreign-keys&gt;&lt;key app="EN" db-id="vzfrxe2sn5zt9qef25ax2pwsd9zvfdtrxfrf" timestamp="1648815218"&gt;9&lt;/key&gt;&lt;/foreign-keys&gt;&lt;ref-type name="Journal Article"&gt;17&lt;/ref-type&gt;&lt;contributors&gt;&lt;authors&gt;&lt;author&gt;Hantsche, Harald&lt;/author&gt;&lt;/authors&gt;&lt;/contributors&gt;&lt;titles&gt;&lt;title&gt;High resolution XPS of organic polymers, the scienta ESCA300 database. By G. Beamson and D. Briggs, Wiley, Chichester 1992, 295 pp., hardcover, £ 65.00, ISBN 0-471-93592-1&lt;/title&gt;&lt;secondary-title&gt;Advanced Materials&lt;/secondary-title&gt;&lt;/titles&gt;&lt;periodical&gt;&lt;full-title&gt;Advanced Materials&lt;/full-title&gt;&lt;/periodical&gt;&lt;pages&gt;778-778&lt;/pages&gt;&lt;volume&gt;5&lt;/volume&gt;&lt;number&gt;10&lt;/number&gt;&lt;dates&gt;&lt;year&gt;1993&lt;/year&gt;&lt;/dates&gt;&lt;isbn&gt;0935-9648&lt;/isbn&gt;&lt;urls&gt;&lt;related-urls&gt;&lt;url&gt;https://onlinelibrary.wiley.com/doi/abs/10.1002/adma.19930051035&lt;/url&gt;&lt;/related-urls&gt;&lt;/urls&gt;&lt;electronic-resource-num&gt;https://doi.org/10.1002/adma.19930051035&lt;/electronic-resource-num&gt;&lt;/record&gt;&lt;/Cite&gt;&lt;Cite&gt;&lt;RecNum&gt;10&lt;/RecNum&gt;&lt;record&gt;&lt;rec-number&gt;10&lt;/rec-number&gt;&lt;foreign-keys&gt;&lt;key app="EN" db-id="vzfrxe2sn5zt9qef25ax2pwsd9zvfdtrxfrf" timestamp="1648815313"&gt;10&lt;/key&gt;&lt;/foreign-keys&gt;&lt;ref-type name="Web Page"&gt;12&lt;/ref-type&gt;&lt;contributors&gt;&lt;/contributors&gt;&lt;titles&gt;&lt;title&gt;NIST X-ray Photoelectron Spectroscopy Database&lt;/title&gt;&lt;/titles&gt;&lt;dates&gt;&lt;/dates&gt;&lt;urls&gt;&lt;/urls&gt;&lt;electronic-resource-num&gt;http://dx.doi.org/10.18434/T4T88K&lt;/electronic-resource-num&gt;&lt;/record&gt;&lt;/Cite&gt;&lt;Cite&gt;&lt;Author&gt;Biesinger&lt;/Author&gt;&lt;RecNum&gt;11&lt;/RecNum&gt;&lt;record&gt;&lt;rec-number&gt;11&lt;/rec-number&gt;&lt;foreign-keys&gt;&lt;key app="EN" db-id="vzfrxe2sn5zt9qef25ax2pwsd9zvfdtrxfrf" timestamp="1648815460"&gt;11&lt;/key&gt;&lt;/foreign-keys&gt;&lt;ref-type name="Web Page"&gt;12&lt;/ref-type&gt;&lt;contributors&gt;&lt;authors&gt;&lt;author&gt;Biesinger, Mark&lt;/author&gt;&lt;/authors&gt;&lt;/contributors&gt;&lt;titles&gt;&lt;title&gt;X-ray Photoelectron Spectroscopy (XPS) Reference Pages&lt;/title&gt;&lt;/titles&gt;&lt;dates&gt;&lt;/dates&gt;&lt;urls&gt;&lt;/urls&gt;&lt;/record&gt;&lt;/Cite&gt;&lt;/EndNote&gt;</w:instrText>
      </w:r>
      <w:r w:rsidR="00376DB1">
        <w:rPr>
          <w:rFonts w:eastAsiaTheme="minorEastAsia" w:cs="Arial"/>
          <w:szCs w:val="18"/>
        </w:rPr>
        <w:fldChar w:fldCharType="separate"/>
      </w:r>
      <w:r w:rsidR="00376DB1">
        <w:rPr>
          <w:rFonts w:eastAsiaTheme="minorEastAsia" w:cs="Arial"/>
          <w:noProof/>
          <w:szCs w:val="18"/>
        </w:rPr>
        <w:t>[</w:t>
      </w:r>
      <w:r w:rsidR="00A02B30">
        <w:rPr>
          <w:rFonts w:eastAsiaTheme="minorEastAsia" w:cs="Arial"/>
          <w:noProof/>
          <w:szCs w:val="18"/>
        </w:rPr>
        <w:t xml:space="preserve">Beisinger M, </w:t>
      </w:r>
      <w:r w:rsidR="00003009">
        <w:rPr>
          <w:rFonts w:eastAsiaTheme="minorEastAsia" w:cs="Arial"/>
          <w:noProof/>
          <w:szCs w:val="18"/>
        </w:rPr>
        <w:t>NIST XPS data base, Hantsche 1993</w:t>
      </w:r>
      <w:r w:rsidR="00376DB1">
        <w:rPr>
          <w:rFonts w:eastAsiaTheme="minorEastAsia" w:cs="Arial"/>
          <w:noProof/>
          <w:szCs w:val="18"/>
        </w:rPr>
        <w:t>]</w:t>
      </w:r>
      <w:r w:rsidR="00376DB1">
        <w:rPr>
          <w:rFonts w:eastAsiaTheme="minorEastAsia" w:cs="Arial"/>
          <w:szCs w:val="18"/>
        </w:rPr>
        <w:fldChar w:fldCharType="end"/>
      </w:r>
      <w:r w:rsidRPr="00BC62C0">
        <w:rPr>
          <w:rFonts w:eastAsiaTheme="minorEastAsia" w:cs="Arial"/>
          <w:szCs w:val="18"/>
        </w:rPr>
        <w:t>. The proportion of the three nitrogen species differs, however, notably between the areas of the electrode: the concentration of the component at ~402.4 eV BE remains roughly constant while the content of both the low and high binding energy components increases notably in the used area</w:t>
      </w:r>
      <w:r w:rsidR="00667D6B">
        <w:rPr>
          <w:rFonts w:eastAsiaTheme="minorEastAsia" w:cs="Arial"/>
          <w:szCs w:val="18"/>
        </w:rPr>
        <w:t xml:space="preserve">. </w:t>
      </w:r>
      <w:r w:rsidRPr="00BC62C0">
        <w:rPr>
          <w:rFonts w:eastAsiaTheme="minorEastAsia" w:cs="Arial"/>
          <w:szCs w:val="18"/>
        </w:rPr>
        <w:t>This would mean that there is still residual nitrate left in the electrode which caused a loss in the capacity. The NH</w:t>
      </w:r>
      <w:r w:rsidRPr="00BC62C0">
        <w:rPr>
          <w:rFonts w:eastAsiaTheme="minorEastAsia" w:cs="Arial"/>
          <w:szCs w:val="18"/>
          <w:vertAlign w:val="subscript"/>
        </w:rPr>
        <w:t xml:space="preserve">2 </w:t>
      </w:r>
      <w:r w:rsidRPr="00BC62C0">
        <w:rPr>
          <w:rFonts w:eastAsiaTheme="minorEastAsia" w:cs="Arial"/>
          <w:szCs w:val="18"/>
        </w:rPr>
        <w:t>and other nitrogen containing groups may come from the fumion binder. Table 2 summarizes the area under the peaks for used and unused electrodes.</w:t>
      </w:r>
    </w:p>
    <w:p w14:paraId="26D98EBA" w14:textId="77777777" w:rsidR="001A6594" w:rsidRDefault="001A6594" w:rsidP="00DA4DF8">
      <w:pPr>
        <w:spacing w:line="240" w:lineRule="auto"/>
        <w:rPr>
          <w:rFonts w:ascii="Times New Roman" w:eastAsiaTheme="minorEastAsia" w:hAnsi="Times New Roman"/>
          <w:sz w:val="24"/>
          <w:szCs w:val="24"/>
        </w:rPr>
      </w:pPr>
    </w:p>
    <w:p w14:paraId="03453FC1" w14:textId="77777777" w:rsidR="001A6594" w:rsidRPr="00EF0818" w:rsidRDefault="001A6594" w:rsidP="00DA4DF8">
      <w:pPr>
        <w:spacing w:line="240" w:lineRule="auto"/>
        <w:rPr>
          <w:rFonts w:ascii="Times New Roman" w:eastAsiaTheme="minorEastAsia" w:hAnsi="Times New Roman"/>
          <w:sz w:val="24"/>
          <w:szCs w:val="24"/>
        </w:rPr>
      </w:pPr>
    </w:p>
    <w:p w14:paraId="12AB7BD9" w14:textId="77777777" w:rsidR="001A6594" w:rsidRDefault="001A6594" w:rsidP="00634024">
      <w:pPr>
        <w:keepNext/>
        <w:spacing w:line="240" w:lineRule="auto"/>
      </w:pPr>
      <w:r>
        <w:rPr>
          <w:rFonts w:ascii="Times New Roman" w:hAnsi="Times New Roman"/>
          <w:noProof/>
          <w:sz w:val="24"/>
          <w:szCs w:val="24"/>
          <w:highlight w:val="yellow"/>
        </w:rPr>
        <w:drawing>
          <wp:inline distT="0" distB="0" distL="0" distR="0" wp14:anchorId="3803F9F6" wp14:editId="2C1E0BB9">
            <wp:extent cx="2787650" cy="2792273"/>
            <wp:effectExtent l="0" t="0" r="0" b="8255"/>
            <wp:docPr id="8" name="Picture 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histo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162" cy="2806809"/>
                    </a:xfrm>
                    <a:prstGeom prst="rect">
                      <a:avLst/>
                    </a:prstGeom>
                    <a:noFill/>
                    <a:ln>
                      <a:noFill/>
                    </a:ln>
                  </pic:spPr>
                </pic:pic>
              </a:graphicData>
            </a:graphic>
          </wp:inline>
        </w:drawing>
      </w:r>
    </w:p>
    <w:p w14:paraId="57BAF82B" w14:textId="0BCBDDAF" w:rsidR="001A6594" w:rsidRPr="00634024" w:rsidRDefault="001A6594" w:rsidP="00634024">
      <w:pPr>
        <w:pStyle w:val="Caption"/>
        <w:jc w:val="left"/>
        <w:rPr>
          <w:b w:val="0"/>
          <w:bCs w:val="0"/>
          <w:i/>
          <w:iCs/>
          <w:color w:val="000000" w:themeColor="text1"/>
        </w:rPr>
      </w:pPr>
      <w:r w:rsidRPr="00634024">
        <w:rPr>
          <w:b w:val="0"/>
          <w:bCs w:val="0"/>
          <w:i/>
          <w:iCs/>
          <w:color w:val="000000" w:themeColor="text1"/>
        </w:rPr>
        <w:t xml:space="preserve">Figure </w:t>
      </w:r>
      <w:r w:rsidRPr="00634024">
        <w:rPr>
          <w:b w:val="0"/>
          <w:bCs w:val="0"/>
          <w:i/>
          <w:iCs/>
          <w:color w:val="000000" w:themeColor="text1"/>
        </w:rPr>
        <w:fldChar w:fldCharType="begin"/>
      </w:r>
      <w:r w:rsidRPr="00634024">
        <w:rPr>
          <w:b w:val="0"/>
          <w:bCs w:val="0"/>
          <w:i/>
          <w:iCs/>
          <w:color w:val="000000" w:themeColor="text1"/>
        </w:rPr>
        <w:instrText xml:space="preserve"> SEQ Figure \* ARABIC </w:instrText>
      </w:r>
      <w:r w:rsidRPr="00634024">
        <w:rPr>
          <w:b w:val="0"/>
          <w:bCs w:val="0"/>
          <w:i/>
          <w:iCs/>
          <w:color w:val="000000" w:themeColor="text1"/>
        </w:rPr>
        <w:fldChar w:fldCharType="separate"/>
      </w:r>
      <w:r w:rsidR="00795D2F" w:rsidRPr="00634024">
        <w:rPr>
          <w:b w:val="0"/>
          <w:bCs w:val="0"/>
          <w:i/>
          <w:iCs/>
          <w:noProof/>
          <w:color w:val="000000" w:themeColor="text1"/>
        </w:rPr>
        <w:t>4</w:t>
      </w:r>
      <w:r w:rsidRPr="00634024">
        <w:rPr>
          <w:b w:val="0"/>
          <w:bCs w:val="0"/>
          <w:i/>
          <w:iCs/>
          <w:color w:val="000000" w:themeColor="text1"/>
        </w:rPr>
        <w:fldChar w:fldCharType="end"/>
      </w:r>
      <w:r w:rsidRPr="00634024">
        <w:rPr>
          <w:b w:val="0"/>
          <w:bCs w:val="0"/>
          <w:i/>
          <w:iCs/>
          <w:color w:val="000000" w:themeColor="text1"/>
        </w:rPr>
        <w:t>: XPS spectra for used and unused electrodes.</w:t>
      </w:r>
    </w:p>
    <w:p w14:paraId="205B53EB" w14:textId="77777777" w:rsidR="00B20227" w:rsidRPr="008C4C56" w:rsidRDefault="00B20227" w:rsidP="00DA4DF8">
      <w:pPr>
        <w:spacing w:line="240" w:lineRule="auto"/>
        <w:rPr>
          <w:rFonts w:eastAsiaTheme="minorEastAsia"/>
        </w:rPr>
      </w:pPr>
    </w:p>
    <w:p w14:paraId="3ACF6D47" w14:textId="77777777" w:rsidR="001A6594" w:rsidRDefault="001A6594" w:rsidP="0048320B">
      <w:pPr>
        <w:pStyle w:val="Caption"/>
        <w:keepNext/>
        <w:jc w:val="left"/>
        <w:rPr>
          <w:b w:val="0"/>
          <w:bCs w:val="0"/>
          <w:i/>
          <w:iCs/>
          <w:color w:val="000000" w:themeColor="text1"/>
        </w:rPr>
      </w:pPr>
      <w:r w:rsidRPr="008C4C56">
        <w:rPr>
          <w:b w:val="0"/>
          <w:bCs w:val="0"/>
          <w:color w:val="000000" w:themeColor="text1"/>
        </w:rPr>
        <w:t xml:space="preserve">Table </w:t>
      </w:r>
      <w:r w:rsidRPr="008C4C56">
        <w:rPr>
          <w:b w:val="0"/>
          <w:bCs w:val="0"/>
          <w:color w:val="000000" w:themeColor="text1"/>
        </w:rPr>
        <w:fldChar w:fldCharType="begin"/>
      </w:r>
      <w:r w:rsidRPr="008C4C56">
        <w:rPr>
          <w:b w:val="0"/>
          <w:bCs w:val="0"/>
          <w:color w:val="000000" w:themeColor="text1"/>
        </w:rPr>
        <w:instrText xml:space="preserve"> SEQ Table \* ARABIC </w:instrText>
      </w:r>
      <w:r w:rsidRPr="008C4C56">
        <w:rPr>
          <w:b w:val="0"/>
          <w:bCs w:val="0"/>
          <w:color w:val="000000" w:themeColor="text1"/>
        </w:rPr>
        <w:fldChar w:fldCharType="separate"/>
      </w:r>
      <w:r w:rsidRPr="008C4C56">
        <w:rPr>
          <w:b w:val="0"/>
          <w:bCs w:val="0"/>
          <w:noProof/>
          <w:color w:val="000000" w:themeColor="text1"/>
        </w:rPr>
        <w:t>2</w:t>
      </w:r>
      <w:r w:rsidRPr="008C4C56">
        <w:rPr>
          <w:b w:val="0"/>
          <w:bCs w:val="0"/>
          <w:color w:val="000000" w:themeColor="text1"/>
        </w:rPr>
        <w:fldChar w:fldCharType="end"/>
      </w:r>
      <w:r w:rsidRPr="008C4C56">
        <w:rPr>
          <w:b w:val="0"/>
          <w:bCs w:val="0"/>
          <w:color w:val="000000" w:themeColor="text1"/>
        </w:rPr>
        <w:t>:  Area under the curve for different XPS spectra</w:t>
      </w:r>
      <w:r w:rsidRPr="00BE018D">
        <w:rPr>
          <w:b w:val="0"/>
          <w:bCs w:val="0"/>
          <w:i/>
          <w:iCs/>
          <w:color w:val="000000" w:themeColor="text1"/>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99"/>
        <w:gridCol w:w="1899"/>
        <w:gridCol w:w="1899"/>
        <w:gridCol w:w="1899"/>
      </w:tblGrid>
      <w:tr w:rsidR="005B775E" w:rsidRPr="00B57B36" w14:paraId="0F19AA4A" w14:textId="77777777" w:rsidTr="0048320B">
        <w:trPr>
          <w:trHeight w:val="458"/>
        </w:trPr>
        <w:tc>
          <w:tcPr>
            <w:tcW w:w="1899" w:type="dxa"/>
            <w:tcBorders>
              <w:top w:val="single" w:sz="12" w:space="0" w:color="008000"/>
              <w:bottom w:val="single" w:sz="6" w:space="0" w:color="008000"/>
            </w:tcBorders>
            <w:shd w:val="clear" w:color="auto" w:fill="FFFFFF"/>
            <w:vAlign w:val="center"/>
          </w:tcPr>
          <w:p w14:paraId="584A9498" w14:textId="549E58A1" w:rsidR="005B775E" w:rsidRPr="0048320B" w:rsidRDefault="005B775E" w:rsidP="005B775E">
            <w:pPr>
              <w:pStyle w:val="CETBodytext"/>
              <w:rPr>
                <w:rFonts w:cs="Arial"/>
                <w:szCs w:val="18"/>
                <w:lang w:val="en-GB"/>
              </w:rPr>
            </w:pPr>
            <w:r w:rsidRPr="0048320B">
              <w:rPr>
                <w:rFonts w:cs="Arial"/>
                <w:szCs w:val="18"/>
              </w:rPr>
              <w:t>-Type</w:t>
            </w:r>
          </w:p>
        </w:tc>
        <w:tc>
          <w:tcPr>
            <w:tcW w:w="1899" w:type="dxa"/>
            <w:tcBorders>
              <w:top w:val="single" w:sz="12" w:space="0" w:color="008000"/>
              <w:bottom w:val="single" w:sz="6" w:space="0" w:color="008000"/>
            </w:tcBorders>
            <w:shd w:val="clear" w:color="auto" w:fill="FFFFFF"/>
            <w:vAlign w:val="center"/>
          </w:tcPr>
          <w:p w14:paraId="40336BF4" w14:textId="3B644960" w:rsidR="005B775E" w:rsidRPr="0048320B" w:rsidRDefault="005B775E" w:rsidP="005B775E">
            <w:pPr>
              <w:pStyle w:val="CETBodytext"/>
              <w:rPr>
                <w:rFonts w:cs="Arial"/>
                <w:szCs w:val="18"/>
                <w:lang w:val="en-GB"/>
              </w:rPr>
            </w:pPr>
            <w:r w:rsidRPr="0048320B">
              <w:rPr>
                <w:rFonts w:cs="Arial"/>
                <w:szCs w:val="18"/>
              </w:rPr>
              <w:t>-NH</w:t>
            </w:r>
            <w:r w:rsidRPr="0048320B">
              <w:rPr>
                <w:rFonts w:cs="Arial"/>
                <w:szCs w:val="18"/>
                <w:vertAlign w:val="subscript"/>
              </w:rPr>
              <w:t>2</w:t>
            </w:r>
            <w:r w:rsidRPr="0048320B">
              <w:rPr>
                <w:rFonts w:cs="Arial"/>
                <w:szCs w:val="18"/>
              </w:rPr>
              <w:t>, ...</w:t>
            </w:r>
          </w:p>
        </w:tc>
        <w:tc>
          <w:tcPr>
            <w:tcW w:w="1899" w:type="dxa"/>
            <w:tcBorders>
              <w:top w:val="single" w:sz="12" w:space="0" w:color="008000"/>
              <w:bottom w:val="single" w:sz="6" w:space="0" w:color="008000"/>
            </w:tcBorders>
            <w:shd w:val="clear" w:color="auto" w:fill="FFFFFF"/>
            <w:vAlign w:val="center"/>
          </w:tcPr>
          <w:p w14:paraId="0FC1363A" w14:textId="2160BD9D" w:rsidR="005B775E" w:rsidRPr="0048320B" w:rsidRDefault="005B775E" w:rsidP="005B775E">
            <w:pPr>
              <w:pStyle w:val="CETBodytext"/>
              <w:rPr>
                <w:rFonts w:cs="Arial"/>
                <w:szCs w:val="18"/>
                <w:lang w:val="en-GB"/>
              </w:rPr>
            </w:pPr>
            <w:r w:rsidRPr="0048320B">
              <w:rPr>
                <w:rFonts w:cs="Arial"/>
                <w:szCs w:val="18"/>
              </w:rPr>
              <w:t>-NH</w:t>
            </w:r>
            <w:r w:rsidRPr="0048320B">
              <w:rPr>
                <w:rFonts w:cs="Arial"/>
                <w:szCs w:val="18"/>
                <w:vertAlign w:val="subscript"/>
              </w:rPr>
              <w:t>3</w:t>
            </w:r>
            <w:r w:rsidRPr="0048320B">
              <w:rPr>
                <w:rFonts w:cs="Arial"/>
                <w:szCs w:val="18"/>
                <w:vertAlign w:val="superscript"/>
              </w:rPr>
              <w:t>+</w:t>
            </w:r>
            <w:r w:rsidRPr="0048320B">
              <w:rPr>
                <w:rFonts w:cs="Arial"/>
                <w:szCs w:val="18"/>
              </w:rPr>
              <w:t>, ...</w:t>
            </w:r>
          </w:p>
        </w:tc>
        <w:tc>
          <w:tcPr>
            <w:tcW w:w="1899" w:type="dxa"/>
            <w:tcBorders>
              <w:top w:val="single" w:sz="12" w:space="0" w:color="008000"/>
              <w:bottom w:val="single" w:sz="6" w:space="0" w:color="008000"/>
            </w:tcBorders>
            <w:shd w:val="clear" w:color="auto" w:fill="FFFFFF"/>
            <w:vAlign w:val="center"/>
          </w:tcPr>
          <w:p w14:paraId="024A0699" w14:textId="7B8E0852" w:rsidR="005B775E" w:rsidRPr="0048320B" w:rsidRDefault="005B775E" w:rsidP="005B775E">
            <w:pPr>
              <w:pStyle w:val="CETBodytext"/>
              <w:ind w:right="-1"/>
              <w:rPr>
                <w:rFonts w:cs="Arial"/>
                <w:szCs w:val="18"/>
                <w:lang w:val="en-GB"/>
              </w:rPr>
            </w:pPr>
            <w:r w:rsidRPr="0048320B">
              <w:rPr>
                <w:rFonts w:cs="Arial"/>
                <w:szCs w:val="18"/>
              </w:rPr>
              <w:t>-NO</w:t>
            </w:r>
            <w:r w:rsidRPr="0048320B">
              <w:rPr>
                <w:rFonts w:cs="Arial"/>
                <w:szCs w:val="18"/>
                <w:vertAlign w:val="subscript"/>
              </w:rPr>
              <w:t>2</w:t>
            </w:r>
            <w:r w:rsidRPr="0048320B">
              <w:rPr>
                <w:rFonts w:cs="Arial"/>
                <w:szCs w:val="18"/>
              </w:rPr>
              <w:t>, -ONO</w:t>
            </w:r>
            <w:r w:rsidRPr="0048320B">
              <w:rPr>
                <w:rFonts w:cs="Arial"/>
                <w:szCs w:val="18"/>
                <w:vertAlign w:val="subscript"/>
              </w:rPr>
              <w:t>2</w:t>
            </w:r>
            <w:r w:rsidRPr="0048320B">
              <w:rPr>
                <w:rFonts w:cs="Arial"/>
                <w:szCs w:val="18"/>
              </w:rPr>
              <w:t>, ...</w:t>
            </w:r>
          </w:p>
        </w:tc>
      </w:tr>
      <w:tr w:rsidR="005B775E" w:rsidRPr="00B57B36" w14:paraId="19084421" w14:textId="77777777" w:rsidTr="0048320B">
        <w:trPr>
          <w:trHeight w:val="597"/>
        </w:trPr>
        <w:tc>
          <w:tcPr>
            <w:tcW w:w="1899" w:type="dxa"/>
            <w:shd w:val="clear" w:color="auto" w:fill="FFFFFF"/>
          </w:tcPr>
          <w:p w14:paraId="66A69D37" w14:textId="4EF5BFBC" w:rsidR="005B775E" w:rsidRPr="0048320B" w:rsidRDefault="005B775E" w:rsidP="005B775E">
            <w:pPr>
              <w:pStyle w:val="CETBodytext"/>
              <w:rPr>
                <w:rFonts w:cs="Arial"/>
                <w:szCs w:val="18"/>
                <w:lang w:val="en-GB"/>
              </w:rPr>
            </w:pPr>
          </w:p>
        </w:tc>
        <w:tc>
          <w:tcPr>
            <w:tcW w:w="1899" w:type="dxa"/>
            <w:shd w:val="clear" w:color="auto" w:fill="FFFFFF"/>
            <w:vAlign w:val="center"/>
          </w:tcPr>
          <w:p w14:paraId="20EA39FF" w14:textId="4A31782B" w:rsidR="005B775E" w:rsidRPr="0048320B" w:rsidRDefault="005B775E" w:rsidP="005B775E">
            <w:pPr>
              <w:pStyle w:val="CETBodytext"/>
              <w:rPr>
                <w:rFonts w:cs="Arial"/>
                <w:szCs w:val="18"/>
                <w:lang w:val="en-GB"/>
              </w:rPr>
            </w:pPr>
            <w:r w:rsidRPr="0048320B">
              <w:rPr>
                <w:rFonts w:cs="Arial"/>
                <w:szCs w:val="18"/>
              </w:rPr>
              <w:t>400.0 ±0.3 eV BE</w:t>
            </w:r>
          </w:p>
        </w:tc>
        <w:tc>
          <w:tcPr>
            <w:tcW w:w="1899" w:type="dxa"/>
            <w:shd w:val="clear" w:color="auto" w:fill="FFFFFF"/>
            <w:vAlign w:val="center"/>
          </w:tcPr>
          <w:p w14:paraId="54BFBE82" w14:textId="1EC89F7D" w:rsidR="005B775E" w:rsidRPr="0048320B" w:rsidRDefault="005B775E" w:rsidP="005B775E">
            <w:pPr>
              <w:pStyle w:val="CETBodytext"/>
              <w:rPr>
                <w:rFonts w:cs="Arial"/>
                <w:szCs w:val="18"/>
                <w:lang w:val="en-GB"/>
              </w:rPr>
            </w:pPr>
            <w:r w:rsidRPr="0048320B">
              <w:rPr>
                <w:rFonts w:cs="Arial"/>
                <w:szCs w:val="18"/>
              </w:rPr>
              <w:t>402.4 ±0.3 eV BE</w:t>
            </w:r>
          </w:p>
        </w:tc>
        <w:tc>
          <w:tcPr>
            <w:tcW w:w="1899" w:type="dxa"/>
            <w:shd w:val="clear" w:color="auto" w:fill="FFFFFF"/>
            <w:vAlign w:val="center"/>
          </w:tcPr>
          <w:p w14:paraId="5AFC5705" w14:textId="09E1229F" w:rsidR="005B775E" w:rsidRPr="0048320B" w:rsidRDefault="005B775E" w:rsidP="005B775E">
            <w:pPr>
              <w:pStyle w:val="CETBodytext"/>
              <w:ind w:right="-1"/>
              <w:rPr>
                <w:rFonts w:cs="Arial"/>
                <w:szCs w:val="18"/>
                <w:lang w:val="en-GB"/>
              </w:rPr>
            </w:pPr>
            <w:r w:rsidRPr="0048320B">
              <w:rPr>
                <w:rFonts w:cs="Arial"/>
                <w:szCs w:val="18"/>
              </w:rPr>
              <w:t>406.4 ±0.3 eV BE</w:t>
            </w:r>
          </w:p>
        </w:tc>
      </w:tr>
      <w:tr w:rsidR="005B775E" w:rsidRPr="00B57B36" w14:paraId="2B333950" w14:textId="77777777" w:rsidTr="0048320B">
        <w:trPr>
          <w:trHeight w:val="298"/>
        </w:trPr>
        <w:tc>
          <w:tcPr>
            <w:tcW w:w="1899" w:type="dxa"/>
            <w:shd w:val="clear" w:color="auto" w:fill="FFFFFF"/>
          </w:tcPr>
          <w:p w14:paraId="6D2A5FFB" w14:textId="2A6B6541" w:rsidR="005B775E" w:rsidRPr="0048320B" w:rsidRDefault="0048320B" w:rsidP="005B775E">
            <w:pPr>
              <w:pStyle w:val="CETBodytext"/>
              <w:ind w:right="-1"/>
              <w:rPr>
                <w:rFonts w:cs="Arial"/>
                <w:szCs w:val="18"/>
                <w:lang w:val="en-GB"/>
              </w:rPr>
            </w:pPr>
            <w:r w:rsidRPr="0048320B">
              <w:rPr>
                <w:rFonts w:cs="Arial"/>
                <w:szCs w:val="18"/>
                <w:lang w:val="en-GB"/>
              </w:rPr>
              <w:t>Used</w:t>
            </w:r>
          </w:p>
        </w:tc>
        <w:tc>
          <w:tcPr>
            <w:tcW w:w="1899" w:type="dxa"/>
            <w:shd w:val="clear" w:color="auto" w:fill="FFFFFF"/>
            <w:vAlign w:val="center"/>
          </w:tcPr>
          <w:p w14:paraId="0DB110A8" w14:textId="3C78CDD8" w:rsidR="005B775E" w:rsidRPr="0048320B" w:rsidRDefault="005B775E" w:rsidP="005B775E">
            <w:pPr>
              <w:pStyle w:val="CETBodytext"/>
              <w:ind w:right="-1"/>
              <w:rPr>
                <w:rFonts w:cs="Arial"/>
                <w:szCs w:val="18"/>
                <w:lang w:val="en-GB"/>
              </w:rPr>
            </w:pPr>
            <w:r w:rsidRPr="0048320B">
              <w:rPr>
                <w:rFonts w:cs="Arial"/>
                <w:szCs w:val="18"/>
              </w:rPr>
              <w:t>0.4</w:t>
            </w:r>
          </w:p>
        </w:tc>
        <w:tc>
          <w:tcPr>
            <w:tcW w:w="1899" w:type="dxa"/>
            <w:shd w:val="clear" w:color="auto" w:fill="FFFFFF"/>
            <w:vAlign w:val="center"/>
          </w:tcPr>
          <w:p w14:paraId="5CD8A2DE" w14:textId="4F8EE3C8" w:rsidR="005B775E" w:rsidRPr="0048320B" w:rsidRDefault="005B775E" w:rsidP="005B775E">
            <w:pPr>
              <w:pStyle w:val="CETBodytext"/>
              <w:ind w:right="-1"/>
              <w:rPr>
                <w:rFonts w:cs="Arial"/>
                <w:szCs w:val="18"/>
                <w:lang w:val="en-GB"/>
              </w:rPr>
            </w:pPr>
            <w:r w:rsidRPr="0048320B">
              <w:rPr>
                <w:rFonts w:cs="Arial"/>
                <w:szCs w:val="18"/>
              </w:rPr>
              <w:t>1.1</w:t>
            </w:r>
          </w:p>
        </w:tc>
        <w:tc>
          <w:tcPr>
            <w:tcW w:w="1899" w:type="dxa"/>
            <w:shd w:val="clear" w:color="auto" w:fill="FFFFFF"/>
            <w:vAlign w:val="center"/>
          </w:tcPr>
          <w:p w14:paraId="7DED146F" w14:textId="28CF112F" w:rsidR="005B775E" w:rsidRPr="0048320B" w:rsidRDefault="005B775E" w:rsidP="005B775E">
            <w:pPr>
              <w:pStyle w:val="CETBodytext"/>
              <w:ind w:right="-1"/>
              <w:rPr>
                <w:rFonts w:cs="Arial"/>
                <w:szCs w:val="18"/>
                <w:lang w:val="en-GB"/>
              </w:rPr>
            </w:pPr>
            <w:r w:rsidRPr="0048320B">
              <w:rPr>
                <w:rFonts w:cs="Arial"/>
                <w:szCs w:val="18"/>
              </w:rPr>
              <w:t>0.5</w:t>
            </w:r>
          </w:p>
        </w:tc>
      </w:tr>
      <w:tr w:rsidR="005B775E" w:rsidRPr="00B57B36" w14:paraId="12A115C9" w14:textId="77777777" w:rsidTr="0048320B">
        <w:trPr>
          <w:trHeight w:val="298"/>
        </w:trPr>
        <w:tc>
          <w:tcPr>
            <w:tcW w:w="1899" w:type="dxa"/>
            <w:shd w:val="clear" w:color="auto" w:fill="FFFFFF"/>
          </w:tcPr>
          <w:p w14:paraId="672A798B" w14:textId="6575577A" w:rsidR="005B775E" w:rsidRPr="0048320B" w:rsidRDefault="0048320B" w:rsidP="005B775E">
            <w:pPr>
              <w:pStyle w:val="CETBodytext"/>
              <w:ind w:right="-1"/>
              <w:rPr>
                <w:rFonts w:cs="Arial"/>
                <w:szCs w:val="18"/>
                <w:lang w:val="en-GB"/>
              </w:rPr>
            </w:pPr>
            <w:r w:rsidRPr="0048320B">
              <w:rPr>
                <w:rFonts w:cs="Arial"/>
                <w:szCs w:val="18"/>
                <w:lang w:val="en-GB"/>
              </w:rPr>
              <w:t>Unused</w:t>
            </w:r>
          </w:p>
        </w:tc>
        <w:tc>
          <w:tcPr>
            <w:tcW w:w="1899" w:type="dxa"/>
            <w:shd w:val="clear" w:color="auto" w:fill="FFFFFF"/>
            <w:vAlign w:val="center"/>
          </w:tcPr>
          <w:p w14:paraId="6385AE46" w14:textId="7E09F3AF" w:rsidR="005B775E" w:rsidRPr="0048320B" w:rsidRDefault="005B775E" w:rsidP="005B775E">
            <w:pPr>
              <w:pStyle w:val="CETBodytext"/>
              <w:ind w:right="-1"/>
              <w:rPr>
                <w:rFonts w:cs="Arial"/>
                <w:szCs w:val="18"/>
              </w:rPr>
            </w:pPr>
            <w:r w:rsidRPr="0048320B">
              <w:rPr>
                <w:rFonts w:cs="Arial"/>
                <w:szCs w:val="18"/>
              </w:rPr>
              <w:t>2.2</w:t>
            </w:r>
          </w:p>
        </w:tc>
        <w:tc>
          <w:tcPr>
            <w:tcW w:w="1899" w:type="dxa"/>
            <w:shd w:val="clear" w:color="auto" w:fill="FFFFFF"/>
            <w:vAlign w:val="center"/>
          </w:tcPr>
          <w:p w14:paraId="1A7B9909" w14:textId="67EBAF08" w:rsidR="005B775E" w:rsidRPr="0048320B" w:rsidRDefault="005B775E" w:rsidP="005B775E">
            <w:pPr>
              <w:pStyle w:val="CETBodytext"/>
              <w:ind w:right="-1"/>
              <w:rPr>
                <w:rFonts w:cs="Arial"/>
                <w:color w:val="000000"/>
                <w:szCs w:val="18"/>
              </w:rPr>
            </w:pPr>
            <w:r w:rsidRPr="0048320B">
              <w:rPr>
                <w:rFonts w:cs="Arial"/>
                <w:szCs w:val="18"/>
              </w:rPr>
              <w:t>1.4</w:t>
            </w:r>
          </w:p>
        </w:tc>
        <w:tc>
          <w:tcPr>
            <w:tcW w:w="1899" w:type="dxa"/>
            <w:shd w:val="clear" w:color="auto" w:fill="FFFFFF"/>
            <w:vAlign w:val="center"/>
          </w:tcPr>
          <w:p w14:paraId="12AAAD70" w14:textId="33221C52" w:rsidR="005B775E" w:rsidRPr="0048320B" w:rsidRDefault="005B775E" w:rsidP="005B775E">
            <w:pPr>
              <w:pStyle w:val="CETBodytext"/>
              <w:ind w:right="-1"/>
              <w:rPr>
                <w:rFonts w:cs="Arial"/>
                <w:color w:val="000000"/>
                <w:szCs w:val="18"/>
              </w:rPr>
            </w:pPr>
            <w:r w:rsidRPr="0048320B">
              <w:rPr>
                <w:rFonts w:cs="Arial"/>
                <w:szCs w:val="18"/>
              </w:rPr>
              <w:t>1.5</w:t>
            </w:r>
          </w:p>
        </w:tc>
      </w:tr>
    </w:tbl>
    <w:p w14:paraId="0BCADB2D" w14:textId="1ED7732A" w:rsidR="001A6594" w:rsidRPr="00B33824" w:rsidRDefault="001A6594" w:rsidP="00DA4DF8">
      <w:pPr>
        <w:pStyle w:val="ListParagraph"/>
        <w:spacing w:line="240" w:lineRule="auto"/>
        <w:rPr>
          <w:rFonts w:ascii="Times New Roman" w:hAnsi="Times New Roman"/>
          <w:sz w:val="24"/>
          <w:szCs w:val="24"/>
        </w:rPr>
      </w:pPr>
    </w:p>
    <w:p w14:paraId="004712E3" w14:textId="7D41B565" w:rsidR="001A6594" w:rsidRPr="00B33824" w:rsidRDefault="001A6594" w:rsidP="00DA4DF8">
      <w:pPr>
        <w:pStyle w:val="ListParagraph"/>
        <w:numPr>
          <w:ilvl w:val="0"/>
          <w:numId w:val="23"/>
        </w:numPr>
        <w:spacing w:line="240" w:lineRule="auto"/>
        <w:rPr>
          <w:rFonts w:cs="Arial"/>
          <w:b/>
          <w:bCs/>
          <w:szCs w:val="18"/>
        </w:rPr>
      </w:pPr>
      <w:r w:rsidRPr="00B33824">
        <w:rPr>
          <w:rFonts w:cs="Arial"/>
          <w:b/>
          <w:bCs/>
          <w:szCs w:val="18"/>
        </w:rPr>
        <w:t>Conclusions</w:t>
      </w:r>
    </w:p>
    <w:p w14:paraId="41AC3128" w14:textId="4A681698" w:rsidR="001A6594" w:rsidRDefault="001A6594" w:rsidP="00DA4DF8">
      <w:pPr>
        <w:spacing w:line="240" w:lineRule="auto"/>
        <w:rPr>
          <w:rFonts w:cs="Arial"/>
          <w:szCs w:val="18"/>
        </w:rPr>
      </w:pPr>
      <w:r w:rsidRPr="00B33824">
        <w:rPr>
          <w:rFonts w:cs="Arial"/>
          <w:szCs w:val="18"/>
        </w:rPr>
        <w:t>This work is just a basic step to characterize electrodes in the context of CDI process for nitrate and phosphate removal.</w:t>
      </w:r>
      <w:r w:rsidR="00D73191">
        <w:rPr>
          <w:rFonts w:cs="Arial"/>
          <w:szCs w:val="18"/>
        </w:rPr>
        <w:t xml:space="preserve"> The electrodes prepared by spray coating a carbon paint on a </w:t>
      </w:r>
      <w:r w:rsidR="0009023D">
        <w:rPr>
          <w:rFonts w:cs="Arial"/>
          <w:szCs w:val="18"/>
        </w:rPr>
        <w:t>stainless-steel</w:t>
      </w:r>
      <w:r w:rsidR="00D73191">
        <w:rPr>
          <w:rFonts w:cs="Arial"/>
          <w:szCs w:val="18"/>
        </w:rPr>
        <w:t xml:space="preserve"> substrate showed good affinity for phosphate and nitrate removal.</w:t>
      </w:r>
      <w:r w:rsidR="007B20C2">
        <w:rPr>
          <w:rFonts w:cs="Arial"/>
          <w:szCs w:val="18"/>
        </w:rPr>
        <w:t xml:space="preserve"> </w:t>
      </w:r>
      <w:r w:rsidR="0009023D">
        <w:rPr>
          <w:rFonts w:cs="Arial"/>
          <w:szCs w:val="18"/>
        </w:rPr>
        <w:t>However,</w:t>
      </w:r>
      <w:r w:rsidR="007B20C2">
        <w:rPr>
          <w:rFonts w:cs="Arial"/>
          <w:szCs w:val="18"/>
        </w:rPr>
        <w:t xml:space="preserve"> stability with at higher concentrations is a serious challenge and based on our preliminary studies, the CDI process is more suit</w:t>
      </w:r>
      <w:r w:rsidR="0009023D">
        <w:rPr>
          <w:rFonts w:cs="Arial"/>
          <w:szCs w:val="18"/>
        </w:rPr>
        <w:t>ed for the low concentration system</w:t>
      </w:r>
      <w:r w:rsidR="00CA0E56">
        <w:rPr>
          <w:rFonts w:cs="Arial"/>
          <w:szCs w:val="18"/>
        </w:rPr>
        <w:t xml:space="preserve"> of less than 1mM solutions for phosphate and nitrate removal</w:t>
      </w:r>
      <w:r w:rsidR="0009023D">
        <w:rPr>
          <w:rFonts w:cs="Arial"/>
          <w:szCs w:val="18"/>
        </w:rPr>
        <w:t xml:space="preserve">. </w:t>
      </w:r>
      <w:r w:rsidR="00B87763">
        <w:rPr>
          <w:rFonts w:cs="Arial"/>
          <w:szCs w:val="18"/>
        </w:rPr>
        <w:t>Further, more</w:t>
      </w:r>
      <w:r w:rsidR="00416420">
        <w:rPr>
          <w:rFonts w:cs="Arial"/>
          <w:szCs w:val="18"/>
        </w:rPr>
        <w:t xml:space="preserve"> </w:t>
      </w:r>
      <w:r w:rsidR="00B87763">
        <w:rPr>
          <w:rFonts w:cs="Arial"/>
          <w:szCs w:val="18"/>
        </w:rPr>
        <w:t xml:space="preserve">the </w:t>
      </w:r>
      <w:r w:rsidR="00416420">
        <w:rPr>
          <w:rFonts w:cs="Arial"/>
          <w:szCs w:val="18"/>
        </w:rPr>
        <w:t>understanding of the electrode performance under a real scenario in the presence of other ions like Cl</w:t>
      </w:r>
      <w:r w:rsidR="00416420" w:rsidRPr="00416420">
        <w:rPr>
          <w:rFonts w:cs="Arial"/>
          <w:szCs w:val="18"/>
          <w:vertAlign w:val="superscript"/>
        </w:rPr>
        <w:t>-</w:t>
      </w:r>
      <w:r w:rsidR="00416420">
        <w:rPr>
          <w:rFonts w:cs="Arial"/>
          <w:szCs w:val="18"/>
        </w:rPr>
        <w:t>, Ag+ Cu</w:t>
      </w:r>
      <w:r w:rsidR="00416420" w:rsidRPr="00416420">
        <w:rPr>
          <w:rFonts w:cs="Arial"/>
          <w:szCs w:val="18"/>
          <w:vertAlign w:val="superscript"/>
        </w:rPr>
        <w:t>2+</w:t>
      </w:r>
      <w:r w:rsidR="00416420">
        <w:rPr>
          <w:rFonts w:cs="Arial"/>
          <w:szCs w:val="18"/>
          <w:vertAlign w:val="superscript"/>
        </w:rPr>
        <w:t xml:space="preserve"> </w:t>
      </w:r>
      <w:r w:rsidR="00416420">
        <w:rPr>
          <w:rFonts w:cs="Arial"/>
          <w:szCs w:val="18"/>
        </w:rPr>
        <w:t>etc is needed</w:t>
      </w:r>
      <w:r w:rsidR="00FA639E">
        <w:rPr>
          <w:rFonts w:cs="Arial"/>
          <w:szCs w:val="18"/>
        </w:rPr>
        <w:t xml:space="preserve">. </w:t>
      </w:r>
      <w:r w:rsidR="00B87763">
        <w:rPr>
          <w:rFonts w:cs="Arial"/>
          <w:szCs w:val="18"/>
        </w:rPr>
        <w:t xml:space="preserve">Also, the electrodes needed to be studied under flow conditions to evaluate the separation potential of these electrodes. Nevertheless, the characterization </w:t>
      </w:r>
      <w:r w:rsidR="006528DB">
        <w:rPr>
          <w:rFonts w:cs="Arial"/>
          <w:szCs w:val="18"/>
        </w:rPr>
        <w:t>will serve as an important input for the technical and economic evaluation of the CDI process which would be reported in a further study.</w:t>
      </w:r>
    </w:p>
    <w:p w14:paraId="6087947B" w14:textId="77777777" w:rsidR="000E6551" w:rsidRDefault="000E6551" w:rsidP="00DA4DF8">
      <w:pPr>
        <w:spacing w:line="240" w:lineRule="auto"/>
        <w:rPr>
          <w:rFonts w:cs="Arial"/>
          <w:szCs w:val="18"/>
        </w:rPr>
      </w:pPr>
    </w:p>
    <w:p w14:paraId="765B1B73" w14:textId="129191FF" w:rsidR="000E6551" w:rsidRPr="008A3D08" w:rsidRDefault="008A3D08" w:rsidP="00DA4DF8">
      <w:pPr>
        <w:spacing w:line="240" w:lineRule="auto"/>
        <w:rPr>
          <w:rFonts w:cs="Arial"/>
          <w:b/>
          <w:bCs/>
          <w:szCs w:val="18"/>
        </w:rPr>
      </w:pPr>
      <w:r w:rsidRPr="008A3D08">
        <w:rPr>
          <w:rFonts w:cs="Arial"/>
          <w:b/>
          <w:bCs/>
          <w:szCs w:val="18"/>
        </w:rPr>
        <w:t>Acknowledgement</w:t>
      </w:r>
    </w:p>
    <w:p w14:paraId="4C22E457" w14:textId="5E19B038" w:rsidR="00376DB1" w:rsidRPr="00B33824" w:rsidRDefault="008A3D08" w:rsidP="00DA4DF8">
      <w:pPr>
        <w:spacing w:line="240" w:lineRule="auto"/>
        <w:rPr>
          <w:rFonts w:cs="Arial"/>
          <w:szCs w:val="18"/>
        </w:rPr>
      </w:pPr>
      <w:r>
        <w:rPr>
          <w:rFonts w:cs="Arial"/>
          <w:szCs w:val="18"/>
        </w:rPr>
        <w:t>This work is a part of the SINTEF's internally funded project, ELEPHONT</w:t>
      </w:r>
      <w:r w:rsidR="004A0F4E">
        <w:rPr>
          <w:rFonts w:cs="Arial"/>
          <w:szCs w:val="18"/>
        </w:rPr>
        <w:t>. The authors would also like to thank several people from the CDI community</w:t>
      </w:r>
      <w:r w:rsidR="00F51972">
        <w:rPr>
          <w:rFonts w:cs="Arial"/>
          <w:szCs w:val="18"/>
        </w:rPr>
        <w:t xml:space="preserve"> (Dr Biesheuvel</w:t>
      </w:r>
      <w:r w:rsidR="005C6C2B">
        <w:rPr>
          <w:rFonts w:cs="Arial"/>
          <w:szCs w:val="18"/>
        </w:rPr>
        <w:t xml:space="preserve"> of Wetsus</w:t>
      </w:r>
      <w:r w:rsidR="00F51972">
        <w:rPr>
          <w:rFonts w:cs="Arial"/>
          <w:szCs w:val="18"/>
        </w:rPr>
        <w:t>, Prof Dutta of KTH</w:t>
      </w:r>
      <w:r w:rsidR="008F5E08">
        <w:rPr>
          <w:rFonts w:cs="Arial"/>
          <w:szCs w:val="18"/>
        </w:rPr>
        <w:t xml:space="preserve"> </w:t>
      </w:r>
      <w:r w:rsidR="005C6C2B">
        <w:rPr>
          <w:rFonts w:cs="Arial"/>
          <w:szCs w:val="18"/>
        </w:rPr>
        <w:t xml:space="preserve">Stockholm, </w:t>
      </w:r>
      <w:r w:rsidR="002162BC">
        <w:rPr>
          <w:rFonts w:cs="Arial"/>
          <w:szCs w:val="18"/>
        </w:rPr>
        <w:t xml:space="preserve">Dr Steven </w:t>
      </w:r>
      <w:r w:rsidR="00EC49FF">
        <w:rPr>
          <w:rFonts w:cs="Arial"/>
          <w:szCs w:val="18"/>
        </w:rPr>
        <w:t>H</w:t>
      </w:r>
      <w:r w:rsidR="002162BC">
        <w:rPr>
          <w:rFonts w:cs="Arial"/>
          <w:szCs w:val="18"/>
        </w:rPr>
        <w:t>a</w:t>
      </w:r>
      <w:r w:rsidR="00EC49FF">
        <w:rPr>
          <w:rFonts w:cs="Arial"/>
          <w:szCs w:val="18"/>
        </w:rPr>
        <w:t>n</w:t>
      </w:r>
      <w:r w:rsidR="002162BC">
        <w:rPr>
          <w:rFonts w:cs="Arial"/>
          <w:szCs w:val="18"/>
        </w:rPr>
        <w:t>d of Car</w:t>
      </w:r>
      <w:r w:rsidR="006528DB">
        <w:rPr>
          <w:rFonts w:cs="Arial"/>
          <w:szCs w:val="18"/>
        </w:rPr>
        <w:t>o</w:t>
      </w:r>
      <w:r w:rsidR="002162BC">
        <w:rPr>
          <w:rFonts w:cs="Arial"/>
          <w:szCs w:val="18"/>
        </w:rPr>
        <w:t>llo Engineers</w:t>
      </w:r>
      <w:r w:rsidR="00EC49FF">
        <w:rPr>
          <w:rFonts w:cs="Arial"/>
          <w:szCs w:val="18"/>
        </w:rPr>
        <w:t xml:space="preserve"> and Tristan Hasseler of Stanford University) </w:t>
      </w:r>
      <w:r w:rsidR="004A0F4E">
        <w:rPr>
          <w:rFonts w:cs="Arial"/>
          <w:szCs w:val="18"/>
        </w:rPr>
        <w:t>for helping us out with their valuable inputs.</w:t>
      </w:r>
    </w:p>
    <w:p w14:paraId="0B740F76" w14:textId="77777777" w:rsidR="00D139A7" w:rsidRDefault="00D139A7" w:rsidP="00DA4DF8">
      <w:pPr>
        <w:spacing w:line="240" w:lineRule="auto"/>
        <w:rPr>
          <w:rFonts w:ascii="Times New Roman" w:hAnsi="Times New Roman"/>
          <w:sz w:val="24"/>
          <w:szCs w:val="24"/>
        </w:rPr>
      </w:pPr>
    </w:p>
    <w:p w14:paraId="341B10E4" w14:textId="77777777" w:rsidR="00363F28" w:rsidRDefault="00363F28" w:rsidP="00DA4DF8">
      <w:pPr>
        <w:spacing w:line="240" w:lineRule="auto"/>
        <w:rPr>
          <w:rFonts w:cs="Arial"/>
          <w:b/>
          <w:bCs/>
          <w:szCs w:val="18"/>
        </w:rPr>
      </w:pPr>
    </w:p>
    <w:p w14:paraId="4623D235" w14:textId="2F859E6A" w:rsidR="004A0F4E" w:rsidRPr="004A0F4E" w:rsidRDefault="004A0F4E" w:rsidP="00DA4DF8">
      <w:pPr>
        <w:spacing w:line="240" w:lineRule="auto"/>
        <w:rPr>
          <w:rFonts w:cs="Arial"/>
          <w:b/>
          <w:bCs/>
          <w:szCs w:val="18"/>
        </w:rPr>
      </w:pPr>
      <w:r w:rsidRPr="004A0F4E">
        <w:rPr>
          <w:rFonts w:cs="Arial"/>
          <w:b/>
          <w:bCs/>
          <w:szCs w:val="18"/>
        </w:rPr>
        <w:t>References</w:t>
      </w:r>
    </w:p>
    <w:p w14:paraId="546133F8" w14:textId="77777777" w:rsidR="00D139A7" w:rsidRDefault="00D139A7" w:rsidP="00DA4DF8">
      <w:pPr>
        <w:spacing w:line="240" w:lineRule="auto"/>
        <w:rPr>
          <w:rFonts w:ascii="Times New Roman" w:hAnsi="Times New Roman"/>
          <w:sz w:val="24"/>
          <w:szCs w:val="24"/>
        </w:rPr>
      </w:pPr>
    </w:p>
    <w:p w14:paraId="54E5036F" w14:textId="77777777" w:rsidR="00A02E3E" w:rsidRPr="00376DB1" w:rsidRDefault="00D139A7" w:rsidP="00A02E3E">
      <w:pPr>
        <w:pStyle w:val="EndNoteBibliography"/>
        <w:ind w:left="720" w:hanging="720"/>
      </w:pPr>
      <w:r>
        <w:rPr>
          <w:rFonts w:ascii="Times New Roman" w:hAnsi="Times New Roman"/>
          <w:sz w:val="24"/>
          <w:szCs w:val="24"/>
        </w:rPr>
        <w:fldChar w:fldCharType="begin"/>
      </w:r>
      <w:r>
        <w:rPr>
          <w:rFonts w:ascii="Times New Roman" w:hAnsi="Times New Roman"/>
          <w:sz w:val="24"/>
          <w:szCs w:val="24"/>
        </w:rPr>
        <w:instrText xml:space="preserve"> ADDIN EN.REFLIST </w:instrText>
      </w:r>
      <w:r>
        <w:rPr>
          <w:rFonts w:ascii="Times New Roman" w:hAnsi="Times New Roman"/>
          <w:sz w:val="24"/>
          <w:szCs w:val="24"/>
        </w:rPr>
        <w:fldChar w:fldCharType="separate"/>
      </w:r>
      <w:r w:rsidR="00376DB1" w:rsidRPr="00376DB1">
        <w:t>1.</w:t>
      </w:r>
      <w:r w:rsidR="006776E9" w:rsidRPr="006776E9">
        <w:t xml:space="preserve"> </w:t>
      </w:r>
      <w:r w:rsidR="00A02E3E" w:rsidRPr="00376DB1">
        <w:t xml:space="preserve">Biesinger, M. </w:t>
      </w:r>
      <w:r w:rsidR="00A02E3E" w:rsidRPr="00376DB1">
        <w:rPr>
          <w:i/>
        </w:rPr>
        <w:t>X-ray Photoelectron Spectroscopy (XPS) Reference Pages</w:t>
      </w:r>
      <w:r w:rsidR="00A02E3E" w:rsidRPr="00376DB1">
        <w:t>.</w:t>
      </w:r>
    </w:p>
    <w:p w14:paraId="09247FF2" w14:textId="77777777" w:rsidR="00A02E3E" w:rsidRDefault="00A02E3E" w:rsidP="00A02E3E">
      <w:pPr>
        <w:pStyle w:val="EndNoteBibliography"/>
      </w:pPr>
      <w:r>
        <w:t xml:space="preserve">2. </w:t>
      </w:r>
      <w:r w:rsidR="006776E9" w:rsidRPr="00376DB1">
        <w:t xml:space="preserve">Chen, F.-F., et al., </w:t>
      </w:r>
      <w:r w:rsidR="006776E9" w:rsidRPr="00376DB1">
        <w:rPr>
          <w:i/>
        </w:rPr>
        <w:t>Characteristic and model of phosphate adsorption by activated carbon electrodes in capacitive deionization.</w:t>
      </w:r>
      <w:r w:rsidR="006776E9" w:rsidRPr="00376DB1">
        <w:t xml:space="preserve"> Separation and Purification Technology, 2020. </w:t>
      </w:r>
      <w:r w:rsidR="006776E9" w:rsidRPr="00376DB1">
        <w:rPr>
          <w:b/>
        </w:rPr>
        <w:t>236</w:t>
      </w:r>
      <w:r w:rsidR="006776E9" w:rsidRPr="00376DB1">
        <w:t>: p. 116285.</w:t>
      </w:r>
    </w:p>
    <w:p w14:paraId="41F2ED1D" w14:textId="64F03032" w:rsidR="00A02E3E" w:rsidRDefault="00A02E3E" w:rsidP="00DA4DF8">
      <w:pPr>
        <w:pStyle w:val="EndNoteBibliography"/>
        <w:ind w:left="720" w:hanging="720"/>
      </w:pPr>
      <w:r>
        <w:t>3.</w:t>
      </w:r>
      <w:r w:rsidRPr="00A02E3E">
        <w:t xml:space="preserve"> </w:t>
      </w:r>
      <w:r w:rsidRPr="00376DB1">
        <w:t xml:space="preserve">Hantsche, H., </w:t>
      </w:r>
      <w:r w:rsidRPr="00376DB1">
        <w:rPr>
          <w:i/>
        </w:rPr>
        <w:t>High resolution XPS of organic polymers, the scienta ESCA300 database. By G. Beamson and</w:t>
      </w:r>
      <w:r>
        <w:rPr>
          <w:i/>
        </w:rPr>
        <w:t xml:space="preserve"> </w:t>
      </w:r>
      <w:r w:rsidRPr="00376DB1">
        <w:rPr>
          <w:i/>
        </w:rPr>
        <w:t>D. Briggs, Wiley, Chichester 1992, 295 pp., hardcover, £ 65.00, ISBN 0-471-93592-1.</w:t>
      </w:r>
      <w:r w:rsidRPr="00376DB1">
        <w:t xml:space="preserve"> Advanced Materials, 1993. </w:t>
      </w:r>
      <w:r w:rsidRPr="00376DB1">
        <w:rPr>
          <w:b/>
        </w:rPr>
        <w:t>5</w:t>
      </w:r>
      <w:r w:rsidRPr="00376DB1">
        <w:t>(10): p. 778-778.</w:t>
      </w:r>
    </w:p>
    <w:p w14:paraId="606E9C48" w14:textId="263B581B" w:rsidR="00A02E3E" w:rsidRDefault="00A02E3E" w:rsidP="00A02E3E">
      <w:pPr>
        <w:pStyle w:val="EndNoteBibliography"/>
        <w:ind w:left="720" w:hanging="720"/>
      </w:pPr>
      <w:r>
        <w:t>4.</w:t>
      </w:r>
      <w:r w:rsidRPr="00376DB1">
        <w:t xml:space="preserve">Huang, G.-H., et al., </w:t>
      </w:r>
      <w:r w:rsidRPr="00376DB1">
        <w:rPr>
          <w:i/>
        </w:rPr>
        <w:t>Capacitive deionization (CDI) for removal of phosphate from aqueous solution.</w:t>
      </w:r>
      <w:r w:rsidRPr="00376DB1">
        <w:t xml:space="preserve"> Desalination and Water Treatment, 2014. </w:t>
      </w:r>
      <w:r w:rsidRPr="00376DB1">
        <w:rPr>
          <w:b/>
        </w:rPr>
        <w:t>52</w:t>
      </w:r>
      <w:r w:rsidRPr="00376DB1">
        <w:t>(4-6): p. 759-765.</w:t>
      </w:r>
    </w:p>
    <w:p w14:paraId="1F7F50B2" w14:textId="6D9AC933" w:rsidR="00A02E3E" w:rsidRDefault="00A02E3E" w:rsidP="00A02E3E">
      <w:pPr>
        <w:pStyle w:val="EndNoteBibliography"/>
      </w:pPr>
      <w:r>
        <w:t xml:space="preserve">5. </w:t>
      </w:r>
      <w:r w:rsidRPr="00376DB1">
        <w:t xml:space="preserve">Kalyani, D.C., et al., </w:t>
      </w:r>
      <w:r w:rsidRPr="00376DB1">
        <w:rPr>
          <w:i/>
        </w:rPr>
        <w:t>Valorisation of woody biomass by combining enzymatic saccharification and pyrolysis.</w:t>
      </w:r>
      <w:r w:rsidRPr="00376DB1">
        <w:t xml:space="preserve"> Green Chemistry, 2017. </w:t>
      </w:r>
      <w:r w:rsidRPr="00376DB1">
        <w:rPr>
          <w:b/>
        </w:rPr>
        <w:t>19</w:t>
      </w:r>
      <w:r w:rsidRPr="00376DB1">
        <w:t>(14): p. 3302-3312.</w:t>
      </w:r>
    </w:p>
    <w:p w14:paraId="4327C41D" w14:textId="4CCDC99D" w:rsidR="00A02E3E" w:rsidRDefault="00A02E3E" w:rsidP="00A02E3E">
      <w:pPr>
        <w:pStyle w:val="EndNoteBibliography"/>
        <w:ind w:left="720" w:hanging="720"/>
      </w:pPr>
      <w:r>
        <w:t xml:space="preserve">6. </w:t>
      </w:r>
      <w:r w:rsidRPr="00376DB1">
        <w:t xml:space="preserve">Macías, C., et al., </w:t>
      </w:r>
      <w:r w:rsidRPr="00376DB1">
        <w:rPr>
          <w:i/>
        </w:rPr>
        <w:t>Improved electro-assisted removal of phosphates and nitrates using mesoporous carbon aerogels with controlled porosity.</w:t>
      </w:r>
      <w:r w:rsidRPr="00376DB1">
        <w:t xml:space="preserve"> Journal of Applied Electrochemistry, 2014. </w:t>
      </w:r>
      <w:r w:rsidRPr="00376DB1">
        <w:rPr>
          <w:b/>
        </w:rPr>
        <w:t>44</w:t>
      </w:r>
      <w:r w:rsidRPr="00376DB1">
        <w:t>(8): p. 963-976.</w:t>
      </w:r>
    </w:p>
    <w:p w14:paraId="25DABEF8" w14:textId="4A077166" w:rsidR="00A02E3E" w:rsidRDefault="00A02E3E" w:rsidP="00A02E3E">
      <w:pPr>
        <w:pStyle w:val="EndNoteBibliography"/>
        <w:ind w:left="720" w:hanging="720"/>
      </w:pPr>
      <w:r>
        <w:rPr>
          <w:i/>
        </w:rPr>
        <w:t xml:space="preserve">7. </w:t>
      </w:r>
      <w:r w:rsidRPr="00376DB1">
        <w:rPr>
          <w:i/>
        </w:rPr>
        <w:t>NIST X-ray Photoelectron Spectroscopy Database</w:t>
      </w:r>
      <w:r w:rsidRPr="00376DB1">
        <w:t>.</w:t>
      </w:r>
    </w:p>
    <w:p w14:paraId="3DF6B3B2" w14:textId="3C208CCC" w:rsidR="00A02E3E" w:rsidRDefault="00A02E3E" w:rsidP="00A02E3E">
      <w:pPr>
        <w:pStyle w:val="EndNoteBibliography"/>
        <w:ind w:left="720" w:hanging="720"/>
      </w:pPr>
      <w:r>
        <w:t xml:space="preserve">8. </w:t>
      </w:r>
      <w:r w:rsidRPr="00376DB1">
        <w:t xml:space="preserve">Pastushok, O., et al., </w:t>
      </w:r>
      <w:r w:rsidRPr="00376DB1">
        <w:rPr>
          <w:i/>
        </w:rPr>
        <w:t>Nitrate removal and recovery by capacitive deionization (CDI).</w:t>
      </w:r>
      <w:r w:rsidRPr="00376DB1">
        <w:t xml:space="preserve"> Chemical Engineering Journal, 2019. </w:t>
      </w:r>
      <w:r w:rsidRPr="00376DB1">
        <w:rPr>
          <w:b/>
        </w:rPr>
        <w:t>375</w:t>
      </w:r>
      <w:r w:rsidRPr="00376DB1">
        <w:t>: p. 121943.</w:t>
      </w:r>
    </w:p>
    <w:p w14:paraId="1FBD1CAD" w14:textId="30C3AA62" w:rsidR="00A02E3E" w:rsidRDefault="00A02E3E" w:rsidP="00A02E3E">
      <w:pPr>
        <w:pStyle w:val="EndNoteBibliography"/>
        <w:ind w:left="720" w:hanging="720"/>
      </w:pPr>
      <w:r>
        <w:t xml:space="preserve">9. </w:t>
      </w:r>
      <w:r w:rsidRPr="00376DB1">
        <w:t xml:space="preserve">Porada, S., et al., </w:t>
      </w:r>
      <w:r w:rsidRPr="00376DB1">
        <w:rPr>
          <w:i/>
        </w:rPr>
        <w:t>Review on the science and technology of water desalination by capacitive deionization.</w:t>
      </w:r>
      <w:r w:rsidRPr="00376DB1">
        <w:t xml:space="preserve"> Progress in Materials Science, 2013. </w:t>
      </w:r>
      <w:r w:rsidRPr="00376DB1">
        <w:rPr>
          <w:b/>
        </w:rPr>
        <w:t>58</w:t>
      </w:r>
      <w:r w:rsidRPr="00376DB1">
        <w:t>(8): p. 1388-1442.</w:t>
      </w:r>
    </w:p>
    <w:p w14:paraId="3B11AC9B" w14:textId="5FB9A8B1" w:rsidR="00A02E3E" w:rsidRDefault="00A02E3E" w:rsidP="00A02E3E">
      <w:pPr>
        <w:pStyle w:val="EndNoteBibliography"/>
        <w:ind w:left="720" w:hanging="720"/>
      </w:pPr>
      <w:r>
        <w:t xml:space="preserve">10. </w:t>
      </w:r>
      <w:r w:rsidRPr="00376DB1">
        <w:t xml:space="preserve">Tang, W., et al., </w:t>
      </w:r>
      <w:r w:rsidRPr="00376DB1">
        <w:rPr>
          <w:i/>
        </w:rPr>
        <w:t>Fluoride and nitrate removal from brackish groundwaters by batch-mode capacitive deionization.</w:t>
      </w:r>
      <w:r w:rsidRPr="00376DB1">
        <w:t xml:space="preserve"> Water Research, 2015. </w:t>
      </w:r>
      <w:r w:rsidRPr="00376DB1">
        <w:rPr>
          <w:b/>
        </w:rPr>
        <w:t>84</w:t>
      </w:r>
      <w:r w:rsidRPr="00376DB1">
        <w:t>: p. 342-349.</w:t>
      </w:r>
    </w:p>
    <w:p w14:paraId="34CE9CC7" w14:textId="78028E4E" w:rsidR="00A02E3E" w:rsidRPr="00376DB1" w:rsidRDefault="00A02E3E" w:rsidP="00A02E3E">
      <w:pPr>
        <w:pStyle w:val="EndNoteBibliography"/>
        <w:ind w:left="720" w:hanging="720"/>
      </w:pPr>
      <w:r>
        <w:t xml:space="preserve">11. </w:t>
      </w:r>
      <w:r w:rsidRPr="00376DB1">
        <w:t xml:space="preserve">Zhao, R., et al., </w:t>
      </w:r>
      <w:r w:rsidRPr="00376DB1">
        <w:rPr>
          <w:i/>
        </w:rPr>
        <w:t>Time-dependent ion selectivity in capacitive charging of porous electrodes.</w:t>
      </w:r>
      <w:r w:rsidRPr="00376DB1">
        <w:t xml:space="preserve"> Journal of Colloid and Interface Science, 2012. </w:t>
      </w:r>
      <w:r w:rsidRPr="00376DB1">
        <w:rPr>
          <w:b/>
        </w:rPr>
        <w:t>384</w:t>
      </w:r>
      <w:r w:rsidRPr="00376DB1">
        <w:t>(1): p. 38-44.</w:t>
      </w:r>
    </w:p>
    <w:p w14:paraId="15172AB8" w14:textId="77777777" w:rsidR="00A02E3E" w:rsidRPr="00376DB1" w:rsidRDefault="00A02E3E" w:rsidP="00A02E3E">
      <w:pPr>
        <w:pStyle w:val="EndNoteBibliography"/>
        <w:ind w:left="720" w:hanging="720"/>
      </w:pPr>
    </w:p>
    <w:p w14:paraId="4DB47A1A" w14:textId="77777777" w:rsidR="00A02E3E" w:rsidRPr="00376DB1" w:rsidRDefault="00A02E3E" w:rsidP="00A02E3E">
      <w:pPr>
        <w:pStyle w:val="EndNoteBibliography"/>
        <w:ind w:left="720" w:hanging="720"/>
      </w:pPr>
    </w:p>
    <w:p w14:paraId="73A28C8B" w14:textId="77777777" w:rsidR="00A02E3E" w:rsidRPr="00376DB1" w:rsidRDefault="00A02E3E" w:rsidP="00A02E3E">
      <w:pPr>
        <w:pStyle w:val="EndNoteBibliography"/>
        <w:ind w:left="720" w:hanging="720"/>
      </w:pPr>
    </w:p>
    <w:p w14:paraId="2DA81FDA" w14:textId="77777777" w:rsidR="00A02E3E" w:rsidRPr="00376DB1" w:rsidRDefault="00A02E3E" w:rsidP="00A02E3E">
      <w:pPr>
        <w:pStyle w:val="EndNoteBibliography"/>
        <w:ind w:left="720" w:hanging="720"/>
      </w:pPr>
    </w:p>
    <w:p w14:paraId="05E6A932" w14:textId="4B5B5E3B" w:rsidR="001A6594" w:rsidRPr="00645AE4" w:rsidRDefault="00D139A7" w:rsidP="00DA4DF8">
      <w:pPr>
        <w:spacing w:line="240" w:lineRule="auto"/>
        <w:rPr>
          <w:rFonts w:ascii="Times New Roman" w:hAnsi="Times New Roman"/>
          <w:sz w:val="24"/>
          <w:szCs w:val="24"/>
        </w:rPr>
      </w:pPr>
      <w:r>
        <w:rPr>
          <w:rFonts w:ascii="Times New Roman" w:hAnsi="Times New Roman"/>
          <w:sz w:val="24"/>
          <w:szCs w:val="24"/>
        </w:rPr>
        <w:fldChar w:fldCharType="end"/>
      </w:r>
    </w:p>
    <w:sectPr w:rsidR="001A6594" w:rsidRPr="00645AE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437C" w14:textId="77777777" w:rsidR="004406FE" w:rsidRDefault="004406FE" w:rsidP="004F5E36">
      <w:r>
        <w:separator/>
      </w:r>
    </w:p>
  </w:endnote>
  <w:endnote w:type="continuationSeparator" w:id="0">
    <w:p w14:paraId="38A68516" w14:textId="77777777" w:rsidR="004406FE" w:rsidRDefault="004406F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DA9FB" w14:textId="77777777" w:rsidR="004406FE" w:rsidRDefault="004406FE" w:rsidP="004F5E36">
      <w:r>
        <w:separator/>
      </w:r>
    </w:p>
  </w:footnote>
  <w:footnote w:type="continuationSeparator" w:id="0">
    <w:p w14:paraId="4EE81617" w14:textId="77777777" w:rsidR="004406FE" w:rsidRDefault="004406F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2C4DD0"/>
    <w:multiLevelType w:val="multilevel"/>
    <w:tmpl w:val="A32659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AE85419"/>
    <w:multiLevelType w:val="multilevel"/>
    <w:tmpl w:val="D24C34B6"/>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0FF50D9"/>
    <w:multiLevelType w:val="hybridMultilevel"/>
    <w:tmpl w:val="CC7A10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4820795">
    <w:abstractNumId w:val="11"/>
  </w:num>
  <w:num w:numId="2" w16cid:durableId="701590055">
    <w:abstractNumId w:val="8"/>
  </w:num>
  <w:num w:numId="3" w16cid:durableId="627784159">
    <w:abstractNumId w:val="3"/>
  </w:num>
  <w:num w:numId="4" w16cid:durableId="598684082">
    <w:abstractNumId w:val="2"/>
  </w:num>
  <w:num w:numId="5" w16cid:durableId="1346981691">
    <w:abstractNumId w:val="1"/>
  </w:num>
  <w:num w:numId="6" w16cid:durableId="1412311920">
    <w:abstractNumId w:val="0"/>
  </w:num>
  <w:num w:numId="7" w16cid:durableId="195848558">
    <w:abstractNumId w:val="9"/>
  </w:num>
  <w:num w:numId="8" w16cid:durableId="2064014902">
    <w:abstractNumId w:val="7"/>
  </w:num>
  <w:num w:numId="9" w16cid:durableId="1690062287">
    <w:abstractNumId w:val="6"/>
  </w:num>
  <w:num w:numId="10" w16cid:durableId="1604457676">
    <w:abstractNumId w:val="5"/>
  </w:num>
  <w:num w:numId="11" w16cid:durableId="809177609">
    <w:abstractNumId w:val="4"/>
  </w:num>
  <w:num w:numId="12" w16cid:durableId="621040516">
    <w:abstractNumId w:val="19"/>
  </w:num>
  <w:num w:numId="13" w16cid:durableId="356199385">
    <w:abstractNumId w:val="14"/>
  </w:num>
  <w:num w:numId="14" w16cid:durableId="843591651">
    <w:abstractNumId w:val="20"/>
  </w:num>
  <w:num w:numId="15" w16cid:durableId="2077703699">
    <w:abstractNumId w:val="23"/>
  </w:num>
  <w:num w:numId="16" w16cid:durableId="2118015268">
    <w:abstractNumId w:val="22"/>
  </w:num>
  <w:num w:numId="17" w16cid:durableId="478500146">
    <w:abstractNumId w:val="13"/>
  </w:num>
  <w:num w:numId="18" w16cid:durableId="762845988">
    <w:abstractNumId w:val="14"/>
    <w:lvlOverride w:ilvl="0">
      <w:startOverride w:val="1"/>
    </w:lvlOverride>
  </w:num>
  <w:num w:numId="19" w16cid:durableId="936400219">
    <w:abstractNumId w:val="18"/>
  </w:num>
  <w:num w:numId="20" w16cid:durableId="2012832888">
    <w:abstractNumId w:val="17"/>
  </w:num>
  <w:num w:numId="21" w16cid:durableId="1800102434">
    <w:abstractNumId w:val="16"/>
  </w:num>
  <w:num w:numId="22" w16cid:durableId="950745051">
    <w:abstractNumId w:val="15"/>
  </w:num>
  <w:num w:numId="23" w16cid:durableId="1266840159">
    <w:abstractNumId w:val="12"/>
  </w:num>
  <w:num w:numId="24" w16cid:durableId="54664289">
    <w:abstractNumId w:val="21"/>
  </w:num>
  <w:num w:numId="25" w16cid:durableId="1092166161">
    <w:abstractNumId w:val="10"/>
  </w:num>
  <w:num w:numId="26" w16cid:durableId="404570235">
    <w:abstractNumId w:val="11"/>
    <w:lvlOverride w:ilvl="0">
      <w:startOverride w:val="1"/>
    </w:lvlOverride>
    <w:lvlOverride w:ilvl="1">
      <w:startOverride w:val="2"/>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frxe2sn5zt9qef25ax2pwsd9zvfdtrxfrf&quot;&gt;Batchtest&lt;record-ids&gt;&lt;item&gt;1&lt;/item&gt;&lt;item&gt;2&lt;/item&gt;&lt;item&gt;3&lt;/item&gt;&lt;item&gt;4&lt;/item&gt;&lt;item&gt;5&lt;/item&gt;&lt;item&gt;6&lt;/item&gt;&lt;item&gt;7&lt;/item&gt;&lt;item&gt;8&lt;/item&gt;&lt;item&gt;9&lt;/item&gt;&lt;item&gt;10&lt;/item&gt;&lt;item&gt;11&lt;/item&gt;&lt;/record-ids&gt;&lt;/item&gt;&lt;/Libraries&gt;"/>
  </w:docVars>
  <w:rsids>
    <w:rsidRoot w:val="000E414A"/>
    <w:rsid w:val="000027C0"/>
    <w:rsid w:val="00003009"/>
    <w:rsid w:val="0000380D"/>
    <w:rsid w:val="000052FB"/>
    <w:rsid w:val="000117CB"/>
    <w:rsid w:val="0003148D"/>
    <w:rsid w:val="00031EEC"/>
    <w:rsid w:val="0004426C"/>
    <w:rsid w:val="00051566"/>
    <w:rsid w:val="00062A9A"/>
    <w:rsid w:val="0006434B"/>
    <w:rsid w:val="00065058"/>
    <w:rsid w:val="00086C39"/>
    <w:rsid w:val="0009023D"/>
    <w:rsid w:val="000A03B2"/>
    <w:rsid w:val="000D0268"/>
    <w:rsid w:val="000D34BE"/>
    <w:rsid w:val="000D3557"/>
    <w:rsid w:val="000D5307"/>
    <w:rsid w:val="000E102F"/>
    <w:rsid w:val="000E36F1"/>
    <w:rsid w:val="000E3A73"/>
    <w:rsid w:val="000E414A"/>
    <w:rsid w:val="000E6551"/>
    <w:rsid w:val="000F093C"/>
    <w:rsid w:val="000F787B"/>
    <w:rsid w:val="00100569"/>
    <w:rsid w:val="001151FC"/>
    <w:rsid w:val="0012091F"/>
    <w:rsid w:val="00122F84"/>
    <w:rsid w:val="00126BC2"/>
    <w:rsid w:val="001308B6"/>
    <w:rsid w:val="0013121F"/>
    <w:rsid w:val="00131FE6"/>
    <w:rsid w:val="0013263F"/>
    <w:rsid w:val="001331DF"/>
    <w:rsid w:val="00134DE4"/>
    <w:rsid w:val="0014034D"/>
    <w:rsid w:val="00144D16"/>
    <w:rsid w:val="00150E59"/>
    <w:rsid w:val="00152DE3"/>
    <w:rsid w:val="00153E81"/>
    <w:rsid w:val="00157505"/>
    <w:rsid w:val="00157D29"/>
    <w:rsid w:val="00164CF9"/>
    <w:rsid w:val="001667A6"/>
    <w:rsid w:val="00184AD6"/>
    <w:rsid w:val="00187A2F"/>
    <w:rsid w:val="00192E3A"/>
    <w:rsid w:val="001A4AF7"/>
    <w:rsid w:val="001A6594"/>
    <w:rsid w:val="001B0349"/>
    <w:rsid w:val="001B1E93"/>
    <w:rsid w:val="001B65C1"/>
    <w:rsid w:val="001C228D"/>
    <w:rsid w:val="001C684B"/>
    <w:rsid w:val="001D0CFB"/>
    <w:rsid w:val="001D21AF"/>
    <w:rsid w:val="001D53FC"/>
    <w:rsid w:val="001F42A5"/>
    <w:rsid w:val="001F7B9D"/>
    <w:rsid w:val="00201C93"/>
    <w:rsid w:val="002162BC"/>
    <w:rsid w:val="002224B4"/>
    <w:rsid w:val="0022252B"/>
    <w:rsid w:val="002247C2"/>
    <w:rsid w:val="00241C48"/>
    <w:rsid w:val="002447EF"/>
    <w:rsid w:val="00251550"/>
    <w:rsid w:val="00263B05"/>
    <w:rsid w:val="0027221A"/>
    <w:rsid w:val="00273CA8"/>
    <w:rsid w:val="00275B61"/>
    <w:rsid w:val="00280FAF"/>
    <w:rsid w:val="00282656"/>
    <w:rsid w:val="002868FE"/>
    <w:rsid w:val="00296B83"/>
    <w:rsid w:val="002A2F0D"/>
    <w:rsid w:val="002B4015"/>
    <w:rsid w:val="002B78CE"/>
    <w:rsid w:val="002C2FB6"/>
    <w:rsid w:val="002D4DEC"/>
    <w:rsid w:val="002E5FA7"/>
    <w:rsid w:val="002F2EC0"/>
    <w:rsid w:val="002F3309"/>
    <w:rsid w:val="003008CE"/>
    <w:rsid w:val="003009B7"/>
    <w:rsid w:val="00300E56"/>
    <w:rsid w:val="0030469C"/>
    <w:rsid w:val="00321CA6"/>
    <w:rsid w:val="00323763"/>
    <w:rsid w:val="00325E9A"/>
    <w:rsid w:val="00334C09"/>
    <w:rsid w:val="00350309"/>
    <w:rsid w:val="00350494"/>
    <w:rsid w:val="00351908"/>
    <w:rsid w:val="00363F28"/>
    <w:rsid w:val="003723D4"/>
    <w:rsid w:val="00372550"/>
    <w:rsid w:val="00375922"/>
    <w:rsid w:val="00376DB1"/>
    <w:rsid w:val="00381905"/>
    <w:rsid w:val="00384CC8"/>
    <w:rsid w:val="003871FD"/>
    <w:rsid w:val="00387691"/>
    <w:rsid w:val="003A1E30"/>
    <w:rsid w:val="003A2829"/>
    <w:rsid w:val="003A7D1C"/>
    <w:rsid w:val="003B304B"/>
    <w:rsid w:val="003B3076"/>
    <w:rsid w:val="003B3146"/>
    <w:rsid w:val="003B695F"/>
    <w:rsid w:val="003C5B40"/>
    <w:rsid w:val="003F015E"/>
    <w:rsid w:val="00400414"/>
    <w:rsid w:val="0041446B"/>
    <w:rsid w:val="00415485"/>
    <w:rsid w:val="00416420"/>
    <w:rsid w:val="00421E1F"/>
    <w:rsid w:val="00436B1B"/>
    <w:rsid w:val="004406FE"/>
    <w:rsid w:val="0044071E"/>
    <w:rsid w:val="004423DC"/>
    <w:rsid w:val="0044329C"/>
    <w:rsid w:val="00444CD0"/>
    <w:rsid w:val="00453E24"/>
    <w:rsid w:val="00457456"/>
    <w:rsid w:val="004577FE"/>
    <w:rsid w:val="00457B9C"/>
    <w:rsid w:val="0046070F"/>
    <w:rsid w:val="0046164A"/>
    <w:rsid w:val="004628D2"/>
    <w:rsid w:val="00462DCD"/>
    <w:rsid w:val="004648AD"/>
    <w:rsid w:val="00466522"/>
    <w:rsid w:val="004703A9"/>
    <w:rsid w:val="004760DE"/>
    <w:rsid w:val="004763D7"/>
    <w:rsid w:val="0048320B"/>
    <w:rsid w:val="0048734B"/>
    <w:rsid w:val="004A004E"/>
    <w:rsid w:val="004A0F4E"/>
    <w:rsid w:val="004A24CF"/>
    <w:rsid w:val="004C3D1D"/>
    <w:rsid w:val="004C3D84"/>
    <w:rsid w:val="004C7913"/>
    <w:rsid w:val="004E35AC"/>
    <w:rsid w:val="004E4DD6"/>
    <w:rsid w:val="004F5E36"/>
    <w:rsid w:val="00507B47"/>
    <w:rsid w:val="00507BEF"/>
    <w:rsid w:val="00507CC9"/>
    <w:rsid w:val="005119A5"/>
    <w:rsid w:val="005278B7"/>
    <w:rsid w:val="00532016"/>
    <w:rsid w:val="005346C8"/>
    <w:rsid w:val="00543E7D"/>
    <w:rsid w:val="00547A68"/>
    <w:rsid w:val="005504F9"/>
    <w:rsid w:val="005531C9"/>
    <w:rsid w:val="00556C22"/>
    <w:rsid w:val="005607D3"/>
    <w:rsid w:val="00563628"/>
    <w:rsid w:val="00570C43"/>
    <w:rsid w:val="00575B24"/>
    <w:rsid w:val="0058549A"/>
    <w:rsid w:val="005B1A96"/>
    <w:rsid w:val="005B2110"/>
    <w:rsid w:val="005B61E6"/>
    <w:rsid w:val="005B775E"/>
    <w:rsid w:val="005C2E8D"/>
    <w:rsid w:val="005C6C2B"/>
    <w:rsid w:val="005C77E1"/>
    <w:rsid w:val="005D668A"/>
    <w:rsid w:val="005D6A2F"/>
    <w:rsid w:val="005E1A82"/>
    <w:rsid w:val="005E794C"/>
    <w:rsid w:val="005F0A28"/>
    <w:rsid w:val="005F0E5E"/>
    <w:rsid w:val="005F4DD3"/>
    <w:rsid w:val="00600535"/>
    <w:rsid w:val="00610CD6"/>
    <w:rsid w:val="00620DEE"/>
    <w:rsid w:val="00621F92"/>
    <w:rsid w:val="0062280A"/>
    <w:rsid w:val="00625639"/>
    <w:rsid w:val="00631B33"/>
    <w:rsid w:val="00633AF5"/>
    <w:rsid w:val="00634024"/>
    <w:rsid w:val="0064184D"/>
    <w:rsid w:val="006422CC"/>
    <w:rsid w:val="006528DB"/>
    <w:rsid w:val="00660E3E"/>
    <w:rsid w:val="00662E74"/>
    <w:rsid w:val="00667D6B"/>
    <w:rsid w:val="006776E9"/>
    <w:rsid w:val="0068065B"/>
    <w:rsid w:val="00680C23"/>
    <w:rsid w:val="0069361F"/>
    <w:rsid w:val="00693766"/>
    <w:rsid w:val="006A3281"/>
    <w:rsid w:val="006B4888"/>
    <w:rsid w:val="006C2E45"/>
    <w:rsid w:val="006C359C"/>
    <w:rsid w:val="006C5579"/>
    <w:rsid w:val="006C7455"/>
    <w:rsid w:val="006D4660"/>
    <w:rsid w:val="006D6E8B"/>
    <w:rsid w:val="006E737D"/>
    <w:rsid w:val="00700B5D"/>
    <w:rsid w:val="00713973"/>
    <w:rsid w:val="00720431"/>
    <w:rsid w:val="00720A24"/>
    <w:rsid w:val="00732386"/>
    <w:rsid w:val="0073514D"/>
    <w:rsid w:val="007447F3"/>
    <w:rsid w:val="00746E34"/>
    <w:rsid w:val="00747996"/>
    <w:rsid w:val="0075499F"/>
    <w:rsid w:val="007661C8"/>
    <w:rsid w:val="0077098D"/>
    <w:rsid w:val="007901DD"/>
    <w:rsid w:val="007931FA"/>
    <w:rsid w:val="00795D2F"/>
    <w:rsid w:val="007A4861"/>
    <w:rsid w:val="007A7BBA"/>
    <w:rsid w:val="007B0C50"/>
    <w:rsid w:val="007B20C2"/>
    <w:rsid w:val="007B48F9"/>
    <w:rsid w:val="007C1A43"/>
    <w:rsid w:val="007D1973"/>
    <w:rsid w:val="007D3343"/>
    <w:rsid w:val="0080013E"/>
    <w:rsid w:val="0081281A"/>
    <w:rsid w:val="00813288"/>
    <w:rsid w:val="008168FC"/>
    <w:rsid w:val="00830729"/>
    <w:rsid w:val="00830996"/>
    <w:rsid w:val="008345F1"/>
    <w:rsid w:val="008509D9"/>
    <w:rsid w:val="00854AC4"/>
    <w:rsid w:val="00865B07"/>
    <w:rsid w:val="008667EA"/>
    <w:rsid w:val="0087637F"/>
    <w:rsid w:val="00892AD5"/>
    <w:rsid w:val="00894971"/>
    <w:rsid w:val="008A1512"/>
    <w:rsid w:val="008A3D08"/>
    <w:rsid w:val="008C4C56"/>
    <w:rsid w:val="008D32B9"/>
    <w:rsid w:val="008D433B"/>
    <w:rsid w:val="008D4A16"/>
    <w:rsid w:val="008E566E"/>
    <w:rsid w:val="008F5E08"/>
    <w:rsid w:val="0090161A"/>
    <w:rsid w:val="00901EB6"/>
    <w:rsid w:val="00904C62"/>
    <w:rsid w:val="00906DF1"/>
    <w:rsid w:val="00922BA8"/>
    <w:rsid w:val="00924DAC"/>
    <w:rsid w:val="00927058"/>
    <w:rsid w:val="00942750"/>
    <w:rsid w:val="009450CE"/>
    <w:rsid w:val="00947179"/>
    <w:rsid w:val="0095164B"/>
    <w:rsid w:val="00954090"/>
    <w:rsid w:val="009573E7"/>
    <w:rsid w:val="00963E05"/>
    <w:rsid w:val="00964A45"/>
    <w:rsid w:val="00967843"/>
    <w:rsid w:val="00967D54"/>
    <w:rsid w:val="00971028"/>
    <w:rsid w:val="0097321B"/>
    <w:rsid w:val="00980EA5"/>
    <w:rsid w:val="00987731"/>
    <w:rsid w:val="00990FD6"/>
    <w:rsid w:val="00993B84"/>
    <w:rsid w:val="00996483"/>
    <w:rsid w:val="00996F5A"/>
    <w:rsid w:val="009B041A"/>
    <w:rsid w:val="009C37C3"/>
    <w:rsid w:val="009C7C86"/>
    <w:rsid w:val="009D2FF7"/>
    <w:rsid w:val="009E7884"/>
    <w:rsid w:val="009E788A"/>
    <w:rsid w:val="009F0E08"/>
    <w:rsid w:val="009F39E7"/>
    <w:rsid w:val="00A02B30"/>
    <w:rsid w:val="00A02E3E"/>
    <w:rsid w:val="00A04AC2"/>
    <w:rsid w:val="00A1763D"/>
    <w:rsid w:val="00A17CEC"/>
    <w:rsid w:val="00A27EF0"/>
    <w:rsid w:val="00A42361"/>
    <w:rsid w:val="00A50B20"/>
    <w:rsid w:val="00A51390"/>
    <w:rsid w:val="00A60D13"/>
    <w:rsid w:val="00A6548E"/>
    <w:rsid w:val="00A7223D"/>
    <w:rsid w:val="00A72745"/>
    <w:rsid w:val="00A76EFC"/>
    <w:rsid w:val="00A91010"/>
    <w:rsid w:val="00A97F29"/>
    <w:rsid w:val="00AA702E"/>
    <w:rsid w:val="00AB0885"/>
    <w:rsid w:val="00AB0964"/>
    <w:rsid w:val="00AB5011"/>
    <w:rsid w:val="00AC7368"/>
    <w:rsid w:val="00AD16B9"/>
    <w:rsid w:val="00AE377D"/>
    <w:rsid w:val="00AE63E6"/>
    <w:rsid w:val="00AF0EBA"/>
    <w:rsid w:val="00B02C8A"/>
    <w:rsid w:val="00B17FBD"/>
    <w:rsid w:val="00B20227"/>
    <w:rsid w:val="00B315A6"/>
    <w:rsid w:val="00B31813"/>
    <w:rsid w:val="00B33365"/>
    <w:rsid w:val="00B33824"/>
    <w:rsid w:val="00B56B3C"/>
    <w:rsid w:val="00B57B36"/>
    <w:rsid w:val="00B57E6F"/>
    <w:rsid w:val="00B8492F"/>
    <w:rsid w:val="00B8686D"/>
    <w:rsid w:val="00B87763"/>
    <w:rsid w:val="00B93F69"/>
    <w:rsid w:val="00BA24FF"/>
    <w:rsid w:val="00BB1DDC"/>
    <w:rsid w:val="00BC30C9"/>
    <w:rsid w:val="00BC46FD"/>
    <w:rsid w:val="00BC62C0"/>
    <w:rsid w:val="00BD077D"/>
    <w:rsid w:val="00BD5037"/>
    <w:rsid w:val="00BE3E58"/>
    <w:rsid w:val="00C01616"/>
    <w:rsid w:val="00C0162B"/>
    <w:rsid w:val="00C068ED"/>
    <w:rsid w:val="00C22E0C"/>
    <w:rsid w:val="00C32C02"/>
    <w:rsid w:val="00C345B1"/>
    <w:rsid w:val="00C40142"/>
    <w:rsid w:val="00C5202B"/>
    <w:rsid w:val="00C52C3C"/>
    <w:rsid w:val="00C57182"/>
    <w:rsid w:val="00C57863"/>
    <w:rsid w:val="00C640AF"/>
    <w:rsid w:val="00C655FD"/>
    <w:rsid w:val="00C70376"/>
    <w:rsid w:val="00C75407"/>
    <w:rsid w:val="00C77572"/>
    <w:rsid w:val="00C816B2"/>
    <w:rsid w:val="00C85A49"/>
    <w:rsid w:val="00C870A8"/>
    <w:rsid w:val="00C94434"/>
    <w:rsid w:val="00C95467"/>
    <w:rsid w:val="00CA0D75"/>
    <w:rsid w:val="00CA0E56"/>
    <w:rsid w:val="00CA1C95"/>
    <w:rsid w:val="00CA5A9C"/>
    <w:rsid w:val="00CC4C20"/>
    <w:rsid w:val="00CD3517"/>
    <w:rsid w:val="00CD5FE2"/>
    <w:rsid w:val="00CE7C68"/>
    <w:rsid w:val="00CF1DA8"/>
    <w:rsid w:val="00D02B4C"/>
    <w:rsid w:val="00D040C4"/>
    <w:rsid w:val="00D139A7"/>
    <w:rsid w:val="00D20AD1"/>
    <w:rsid w:val="00D3250C"/>
    <w:rsid w:val="00D44E61"/>
    <w:rsid w:val="00D46B7E"/>
    <w:rsid w:val="00D57C84"/>
    <w:rsid w:val="00D6057D"/>
    <w:rsid w:val="00D71640"/>
    <w:rsid w:val="00D71FC8"/>
    <w:rsid w:val="00D73191"/>
    <w:rsid w:val="00D836C5"/>
    <w:rsid w:val="00D84576"/>
    <w:rsid w:val="00D9605D"/>
    <w:rsid w:val="00DA1399"/>
    <w:rsid w:val="00DA24C6"/>
    <w:rsid w:val="00DA4D7B"/>
    <w:rsid w:val="00DA4DF8"/>
    <w:rsid w:val="00DC4D6B"/>
    <w:rsid w:val="00DD271C"/>
    <w:rsid w:val="00DE264A"/>
    <w:rsid w:val="00DF5072"/>
    <w:rsid w:val="00E02D18"/>
    <w:rsid w:val="00E041E7"/>
    <w:rsid w:val="00E064DF"/>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C49FF"/>
    <w:rsid w:val="00EE0131"/>
    <w:rsid w:val="00EE17B0"/>
    <w:rsid w:val="00EF06D9"/>
    <w:rsid w:val="00F055EF"/>
    <w:rsid w:val="00F10A43"/>
    <w:rsid w:val="00F2677B"/>
    <w:rsid w:val="00F30C64"/>
    <w:rsid w:val="00F32BA2"/>
    <w:rsid w:val="00F32CDB"/>
    <w:rsid w:val="00F51972"/>
    <w:rsid w:val="00F565FE"/>
    <w:rsid w:val="00F56AD0"/>
    <w:rsid w:val="00F63A70"/>
    <w:rsid w:val="00F7534E"/>
    <w:rsid w:val="00F94685"/>
    <w:rsid w:val="00FA02C0"/>
    <w:rsid w:val="00FA1802"/>
    <w:rsid w:val="00FA21D0"/>
    <w:rsid w:val="00FA5F08"/>
    <w:rsid w:val="00FA5F5F"/>
    <w:rsid w:val="00FA639E"/>
    <w:rsid w:val="00FB730C"/>
    <w:rsid w:val="00FB7D71"/>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50494"/>
    <w:pPr>
      <w:keepNext/>
      <w:suppressAutoHyphens/>
      <w:spacing w:before="120" w:after="120" w:line="360" w:lineRule="auto"/>
      <w:jc w:val="both"/>
    </w:pPr>
    <w:rPr>
      <w:rFonts w:ascii="Arial" w:eastAsia="Times New Roman" w:hAnsi="Arial" w:cs="Times New Roman"/>
      <w:bCs/>
      <w:color w:val="000000" w:themeColor="text1"/>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50494"/>
    <w:rPr>
      <w:rFonts w:ascii="Arial" w:eastAsia="Times New Roman" w:hAnsi="Arial" w:cs="Times New Roman"/>
      <w:bCs/>
      <w:color w:val="000000" w:themeColor="text1"/>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color w:val="000000" w:themeColor="text1"/>
      <w:sz w:val="18"/>
      <w:szCs w:val="20"/>
      <w:lang w:val="en-US"/>
    </w:rPr>
  </w:style>
  <w:style w:type="paragraph" w:styleId="ListParagraph">
    <w:name w:val="List Paragraph"/>
    <w:basedOn w:val="Normal"/>
    <w:link w:val="ListParagraphChar"/>
    <w:uiPriority w:val="34"/>
    <w:qFormat/>
    <w:rsid w:val="00280FAF"/>
    <w:pPr>
      <w:ind w:left="720"/>
      <w:contextualSpacing/>
    </w:pPr>
  </w:style>
  <w:style w:type="paragraph" w:customStyle="1" w:styleId="EndNoteBibliographyTitle">
    <w:name w:val="EndNote Bibliography Title"/>
    <w:basedOn w:val="Normal"/>
    <w:link w:val="EndNoteBibliographyTitleChar"/>
    <w:rsid w:val="00D139A7"/>
    <w:pPr>
      <w:jc w:val="center"/>
    </w:pPr>
    <w:rPr>
      <w:rFonts w:cs="Arial"/>
      <w:noProof/>
      <w:lang w:val="en-US"/>
    </w:rPr>
  </w:style>
  <w:style w:type="character" w:customStyle="1" w:styleId="ListParagraphChar">
    <w:name w:val="List Paragraph Char"/>
    <w:basedOn w:val="DefaultParagraphFont"/>
    <w:link w:val="ListParagraph"/>
    <w:uiPriority w:val="34"/>
    <w:rsid w:val="00D139A7"/>
    <w:rPr>
      <w:rFonts w:ascii="Arial" w:eastAsia="Times New Roman" w:hAnsi="Arial" w:cs="Times New Roman"/>
      <w:sz w:val="18"/>
      <w:szCs w:val="20"/>
      <w:lang w:val="en-GB"/>
    </w:rPr>
  </w:style>
  <w:style w:type="character" w:customStyle="1" w:styleId="EndNoteBibliographyTitleChar">
    <w:name w:val="EndNote Bibliography Title Char"/>
    <w:basedOn w:val="ListParagraphChar"/>
    <w:link w:val="EndNoteBibliographyTitle"/>
    <w:rsid w:val="00D139A7"/>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D139A7"/>
    <w:pPr>
      <w:spacing w:line="240" w:lineRule="auto"/>
    </w:pPr>
    <w:rPr>
      <w:rFonts w:cs="Arial"/>
      <w:noProof/>
      <w:lang w:val="en-US"/>
    </w:rPr>
  </w:style>
  <w:style w:type="character" w:customStyle="1" w:styleId="EndNoteBibliographyChar">
    <w:name w:val="EndNote Bibliography Char"/>
    <w:basedOn w:val="ListParagraphChar"/>
    <w:link w:val="EndNoteBibliography"/>
    <w:rsid w:val="00D139A7"/>
    <w:rPr>
      <w:rFonts w:ascii="Arial" w:eastAsia="Times New Roman" w:hAnsi="Arial" w:cs="Arial"/>
      <w:noProof/>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Access xmlns="8bbd4995-53b7-43e2-b62f-10947586ac31">Kun navngitte medlemmer</CorpSiteAccess>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SiteProjectOwner xmlns="8bbd4995-53b7-43e2-b62f-10947586ac31">
      <UserInfo>
        <DisplayName/>
        <AccountId xsi:nil="true"/>
        <AccountType/>
      </UserInfo>
    </CorpSiteProjectOwner>
    <CorpDocPageClassificationNbNo xmlns="8bbd4995-53b7-43e2-b62f-10947586ac31">Åpen</CorpDocPageClassificationNbNo>
    <CorpDocClassificationEnUs xmlns="8bbd4995-53b7-43e2-b62f-10947586ac31">Unrestricted</CorpDocClassificationEnUs>
    <CorpDocClassificationNbNo xmlns="8bbd4995-53b7-43e2-b62f-10947586ac31">Åpen</CorpDocClassificationNbNo>
    <CorpWorkflowStatus xmlns="8bbd4995-53b7-43e2-b62f-10947586ac31" xsi:nil="true"/>
    <CorpSiteClassification xmlns="8bbd4995-53b7-43e2-b62f-10947586ac31">Åpen</CorpSiteClassification>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CorpDocPageClassificationEnUs xmlns="8bbd4995-53b7-43e2-b62f-10947586ac31">Unrestricted</CorpDocPageClassificationEnUs>
    <lcf76f155ced4ddcb4097134ff3c332f xmlns="ad235601-bf39-4233-9e5f-854670a1f27c">
      <Terms xmlns="http://schemas.microsoft.com/office/infopath/2007/PartnerControls"/>
    </lcf76f155ced4ddcb4097134ff3c332f>
    <TaxCatchAll xmlns="b981dcf2-7bf7-40f3-b300-cd96e46abed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4E1BFD9B9323D645A9D435506A277BD4" ma:contentTypeVersion="48" ma:contentTypeDescription="Create a new document." ma:contentTypeScope="" ma:versionID="dce8b3f4291221a79a0aec1aef49f3a7">
  <xsd:schema xmlns:xsd="http://www.w3.org/2001/XMLSchema" xmlns:xs="http://www.w3.org/2001/XMLSchema" xmlns:p="http://schemas.microsoft.com/office/2006/metadata/properties" xmlns:ns2="8bbd4995-53b7-43e2-b62f-10947586ac31" xmlns:ns3="ad235601-bf39-4233-9e5f-854670a1f27c" xmlns:ns4="b981dcf2-7bf7-40f3-b300-cd96e46abed2" targetNamespace="http://schemas.microsoft.com/office/2006/metadata/properties" ma:root="true" ma:fieldsID="cdfc8e230876338ad9e7e8be9246cbf9" ns2:_="" ns3:_="" ns4:_="">
    <xsd:import namespace="8bbd4995-53b7-43e2-b62f-10947586ac31"/>
    <xsd:import namespace="ad235601-bf39-4233-9e5f-854670a1f27c"/>
    <xsd:import namespace="b981dcf2-7bf7-40f3-b300-cd96e46abed2"/>
    <xsd:element name="properties">
      <xsd:complexType>
        <xsd:sequence>
          <xsd:element name="documentManagement">
            <xsd:complexType>
              <xsd:all>
                <xsd:element ref="ns2:ArchiveStatus" minOccurs="0"/>
                <xsd:element ref="ns2:CorpWorkflowApproval" minOccurs="0"/>
                <xsd:element ref="ns2:CorpWorkflowFeedback"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AutoKeyPoints" minOccurs="0"/>
                <xsd:element ref="ns3:MediaServiceKeyPoints" minOccurs="0"/>
                <xsd:element ref="ns2:CorpWorkflowStatu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chive Status" ma:internalName="ArchiveStatus">
      <xsd:simpleType>
        <xsd:restriction base="dms:Text">
          <xsd:maxLength value="255"/>
        </xsd:restriction>
      </xsd:simpleType>
    </xsd:element>
    <xsd:element name="CorpWorkflowApproval" ma:index="9" nillable="true" ma:displayName="Approval Status" ma:internalName="CorpWorkflowApproval">
      <xsd:simpleType>
        <xsd:restriction base="dms:Text">
          <xsd:maxLength value="255"/>
        </xsd:restriction>
      </xsd:simpleType>
    </xsd:element>
    <xsd:element name="CorpWorkflowFeedback" ma:index="10" nillable="true" ma:displayName="Reviewal Status" ma:internalName="CorpWorkflowFeedback">
      <xsd:simpleType>
        <xsd:restriction base="dms:Text">
          <xsd:maxLength value="255"/>
        </xsd:restriction>
      </xsd:simpleType>
    </xsd:element>
    <xsd:element name="CorpSiteProjectNumber" ma:index="11" nillable="true" ma:displayName="Project Number" ma:default="" ma:internalName="CorpSiteProjectNumber">
      <xsd:simpleType>
        <xsd:restriction base="dms:Text">
          <xsd:maxLength value="255"/>
        </xsd:restriction>
      </xsd:simpleType>
    </xsd:element>
    <xsd:element name="CorpSiteProjectName" ma:index="12" nillable="true" ma:displayName="Project Name" ma:internalName="CorpSiteProjectName">
      <xsd:simpleType>
        <xsd:restriction base="dms:Text">
          <xsd:maxLength value="255"/>
        </xsd:restriction>
      </xsd:simpleType>
    </xsd:element>
    <xsd:element name="CorpSiteSubTitle" ma:index="13" nillable="true" ma:displayName="Sub Title" ma:internalName="CorpSiteSubTitle">
      <xsd:simpleType>
        <xsd:restriction base="dms:Text">
          <xsd:maxLength value="255"/>
        </xsd:restriction>
      </xsd:simpleType>
    </xsd:element>
    <xsd:element name="CorpSiteAccess" ma:index="14" nillable="true" ma:displayName="Access level"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5" nillable="true" ma:displayName="Classification"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6" nillable="true" ma:displayName="Tags" ma:internalName="CorpSiteTags">
      <xsd:simpleType>
        <xsd:restriction base="dms:Text">
          <xsd:maxLength value="255"/>
        </xsd:restriction>
      </xsd:simpleType>
    </xsd:element>
    <xsd:element name="CorpSiteProjectQA" ma:index="17" nillable="true" ma:displayName="QA"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8" nillable="true" ma:displayName="Project Own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19" nillable="true" ma:displayName="Project Lea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0" nillable="true" ma:displayName="Report Number" ma:internalName="CorpSiteReportNumber">
      <xsd:simpleType>
        <xsd:restriction base="dms:Text">
          <xsd:maxLength value="255"/>
        </xsd:restriction>
      </xsd:simpleType>
    </xsd:element>
    <xsd:element name="CorpSiteISBN" ma:index="21" nillable="true" ma:displayName="ISBN" ma:internalName="CorpSiteISBN">
      <xsd:simpleType>
        <xsd:restriction base="dms:Text">
          <xsd:maxLength value="255"/>
        </xsd:restriction>
      </xsd:simpleType>
    </xsd:element>
    <xsd:element name="CorpSiteCoAuthors" ma:index="22" nillable="true" ma:displayName="Co Authors" ma:internalName="CorpSiteCoAuthors">
      <xsd:simpleType>
        <xsd:restriction base="dms:Text">
          <xsd:maxLength value="255"/>
        </xsd:restriction>
      </xsd:simpleType>
    </xsd:element>
    <xsd:element name="CorpSiteRecipientCompany" ma:index="23" nillable="true" ma:displayName="Recipient Company" ma:internalName="CorpSiteRecipientCompany">
      <xsd:simpleType>
        <xsd:restriction base="dms:Text">
          <xsd:maxLength value="255"/>
        </xsd:restriction>
      </xsd:simpleType>
    </xsd:element>
    <xsd:element name="CorpSiteRecipientPerson" ma:index="24" nillable="true" ma:displayName="Recipient Person" ma:internalName="CorpSiteRecipientPerson">
      <xsd:simpleType>
        <xsd:restriction base="dms:Text">
          <xsd:maxLength value="255"/>
        </xsd:restriction>
      </xsd:simpleType>
    </xsd:element>
    <xsd:element name="CorpSiteOurRef" ma:index="25" nillable="true" ma:displayName="Our Ref" ma:internalName="CorpSiteOurRef">
      <xsd:simpleType>
        <xsd:restriction base="dms:Text">
          <xsd:maxLength value="255"/>
        </xsd:restriction>
      </xsd:simpleType>
    </xsd:element>
    <xsd:element name="CorpSiteDocumentAuthor" ma:index="26" nillable="true" ma:displayName="Document Autho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7" nillable="true" ma:displayName="Address" ma:internalName="CorpSiteZipAddress">
      <xsd:simpleType>
        <xsd:restriction base="dms:Note">
          <xsd:maxLength value="255"/>
        </xsd:restriction>
      </xsd:simpleType>
    </xsd:element>
    <xsd:element name="CorpSiteZipContact" ma:index="28" nillable="true" ma:displayName="Contact" ma:internalName="CorpSiteZipContact">
      <xsd:simpleType>
        <xsd:restriction base="dms:Note">
          <xsd:maxLength value="255"/>
        </xsd:restriction>
      </xsd:simpleType>
    </xsd:element>
    <xsd:element name="CorpSiteVATNumber" ma:index="29" nillable="true" ma:displayName="VAT Number" ma:internalName="CorpSiteVATNumber">
      <xsd:simpleType>
        <xsd:restriction base="dms:Text">
          <xsd:maxLength value="255"/>
        </xsd:restriction>
      </xsd:simpleType>
    </xsd:element>
    <xsd:element name="CorpSiteInstituteEmail" ma:index="30" nillable="true" ma:displayName="Email Institute" ma:internalName="CorpSiteInstituteEmail">
      <xsd:simpleType>
        <xsd:restriction base="dms:Text">
          <xsd:maxLength value="255"/>
        </xsd:restriction>
      </xsd:simpleType>
    </xsd:element>
    <xsd:element name="CorpDocPageClassificationNbNo" ma:index="31"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2"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3"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4"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5" nillable="true" ma:displayName="InstituteEng" ma:internalName="CorpSiteInstituteEnUs">
      <xsd:simpleType>
        <xsd:restriction base="dms:Text">
          <xsd:maxLength value="255"/>
        </xsd:restriction>
      </xsd:simpleType>
    </xsd:element>
    <xsd:element name="CorpSiteInstitutePhone" ma:index="36" nillable="true" ma:displayName="Phone Instutute" ma:internalName="CorpSiteInstitutePhone">
      <xsd:simpleType>
        <xsd:restriction base="dms:Text">
          <xsd:maxLength value="255"/>
        </xsd:restriction>
      </xsd:simpleType>
    </xsd:element>
    <xsd:element name="CorpSiteDocLanguage" ma:index="37" nillable="true" ma:displayName="Language" ma:internalName="CorpSiteDocLanguage">
      <xsd:simpleType>
        <xsd:restriction base="dms:Text">
          <xsd:maxLength value="255"/>
        </xsd:restriction>
      </xsd:simpleType>
    </xsd:element>
    <xsd:element name="CorpDocInstitute" ma:index="38" nillable="true" ma:displayName="Institute" ma:internalName="CorpDocInstitute">
      <xsd:simpleType>
        <xsd:restriction base="dms:Text">
          <xsd:maxLength value="255"/>
        </xsd:restriction>
      </xsd:simpleType>
    </xsd:element>
    <xsd:element name="CorpDocVersion" ma:index="39" nillable="true" ma:displayName="Version" ma:internalName="CorpDocVersion">
      <xsd:simpleType>
        <xsd:restriction base="dms:Text">
          <xsd:maxLength value="255"/>
        </xsd:restriction>
      </xsd:simpleType>
    </xsd:element>
    <xsd:element name="CorpWorkflowStatus" ma:index="44" nillable="true" ma:displayName="Workflow Status" ma:internalName="CorpWorkflow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235601-bf39-4233-9e5f-854670a1f27c"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element name="MediaServiceAutoTags" ma:index="45" nillable="true" ma:displayName="Tags" ma:internalName="MediaServiceAutoTags" ma:readOnly="true">
      <xsd:simpleType>
        <xsd:restriction base="dms:Text"/>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322a372c-f9c2-4fd8-9939-aea158435b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1dcf2-7bf7-40f3-b300-cd96e46abed2"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TaxCatchAll" ma:index="53" nillable="true" ma:displayName="Taxonomy Catch All Column" ma:hidden="true" ma:list="{54bbe5a2-9239-45c3-8bd3-4ec04385a494}" ma:internalName="TaxCatchAll" ma:showField="CatchAllData" ma:web="b981dcf2-7bf7-40f3-b300-cd96e46ab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8BC04-86C5-4476-ABBA-70A4863F3AE6}">
  <ds:schemaRefs>
    <ds:schemaRef ds:uri="http://schemas.microsoft.com/sharepoint/v3/contenttype/forms"/>
  </ds:schemaRefs>
</ds:datastoreItem>
</file>

<file path=customXml/itemProps2.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3.xml><?xml version="1.0" encoding="utf-8"?>
<ds:datastoreItem xmlns:ds="http://schemas.openxmlformats.org/officeDocument/2006/customXml" ds:itemID="{35918F16-5A25-4387-85FE-A0D3E891E117}">
  <ds:schemaRefs>
    <ds:schemaRef ds:uri="http://schemas.microsoft.com/office/2006/metadata/properties"/>
    <ds:schemaRef ds:uri="http://schemas.microsoft.com/office/infopath/2007/PartnerControls"/>
    <ds:schemaRef ds:uri="8bbd4995-53b7-43e2-b62f-10947586ac31"/>
    <ds:schemaRef ds:uri="ad235601-bf39-4233-9e5f-854670a1f27c"/>
    <ds:schemaRef ds:uri="b981dcf2-7bf7-40f3-b300-cd96e46abed2"/>
  </ds:schemaRefs>
</ds:datastoreItem>
</file>

<file path=customXml/itemProps4.xml><?xml version="1.0" encoding="utf-8"?>
<ds:datastoreItem xmlns:ds="http://schemas.openxmlformats.org/officeDocument/2006/customXml" ds:itemID="{2B38E9F1-F126-41F0-B50C-92D8A5A8F751}"/>
</file>

<file path=docProps/app.xml><?xml version="1.0" encoding="utf-8"?>
<Properties xmlns="http://schemas.openxmlformats.org/officeDocument/2006/extended-properties" xmlns:vt="http://schemas.openxmlformats.org/officeDocument/2006/docPropsVTypes">
  <Template>Normal.dotm</Template>
  <TotalTime>218</TotalTime>
  <Pages>6</Pages>
  <Words>4162</Words>
  <Characters>22061</Characters>
  <Application>Microsoft Office Word</Application>
  <DocSecurity>0</DocSecurity>
  <Lines>183</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Shreenath Krishnamurthy</cp:lastModifiedBy>
  <cp:revision>141</cp:revision>
  <cp:lastPrinted>2015-05-12T18:31:00Z</cp:lastPrinted>
  <dcterms:created xsi:type="dcterms:W3CDTF">2022-04-01T10:35:00Z</dcterms:created>
  <dcterms:modified xsi:type="dcterms:W3CDTF">2022-08-04T11:03:00Z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0x01010031B82B69D2361148B4D8F7EC1568021308004E1BFD9B9323D645A9D435506A277BD4</vt:lpwstr>
  </property>
  <property fmtid="{D5CDD505-2E9C-101B-9397-08002B2CF9AE}" pid="5" name="MediaServiceImageTags">
    <vt:lpwstr/>
  </property>
</Properties>
</file>