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57A1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57A1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57A10">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5D98A1EA" w:rsidR="00E978D0" w:rsidRPr="004069AE" w:rsidRDefault="00857A10" w:rsidP="00E978D0">
      <w:pPr>
        <w:pStyle w:val="CETTitle"/>
      </w:pPr>
      <w:r w:rsidRPr="00857A10">
        <w:t>Biosorption of</w:t>
      </w:r>
      <w:r w:rsidR="004069AE">
        <w:t xml:space="preserve"> Aqueous</w:t>
      </w:r>
      <w:r w:rsidRPr="00857A10">
        <w:t xml:space="preserve"> </w:t>
      </w:r>
      <w:proofErr w:type="gramStart"/>
      <w:r w:rsidRPr="00857A10">
        <w:t>Pb(</w:t>
      </w:r>
      <w:proofErr w:type="gramEnd"/>
      <w:r w:rsidRPr="00857A10">
        <w:t xml:space="preserve">II) </w:t>
      </w:r>
      <w:r w:rsidR="004069AE">
        <w:t>by a</w:t>
      </w:r>
      <w:r w:rsidRPr="00857A10">
        <w:t xml:space="preserve"> </w:t>
      </w:r>
      <w:r w:rsidR="004069AE">
        <w:t>Metabolically Inactive</w:t>
      </w:r>
      <w:r w:rsidRPr="00857A10">
        <w:t xml:space="preserve"> </w:t>
      </w:r>
      <w:r w:rsidR="004069AE">
        <w:t xml:space="preserve">Industrial </w:t>
      </w:r>
      <w:r w:rsidRPr="004069AE">
        <w:rPr>
          <w:i/>
        </w:rPr>
        <w:t>Klebsiella pneumoniae</w:t>
      </w:r>
      <w:r w:rsidR="004069AE">
        <w:t xml:space="preserve"> Strain</w:t>
      </w:r>
    </w:p>
    <w:p w14:paraId="0488FED2" w14:textId="0E06F417" w:rsidR="00B57E6F" w:rsidRPr="00B57B36" w:rsidRDefault="00427495" w:rsidP="00427495">
      <w:pPr>
        <w:pStyle w:val="CETAuthors"/>
      </w:pPr>
      <w:r w:rsidRPr="00427495">
        <w:t>Patrick Y. Kpai</w:t>
      </w:r>
      <w:r>
        <w:rPr>
          <w:vertAlign w:val="superscript"/>
        </w:rPr>
        <w:t>a</w:t>
      </w:r>
      <w:r w:rsidR="00B57E6F" w:rsidRPr="00B57B36">
        <w:t xml:space="preserve">, </w:t>
      </w:r>
      <w:r w:rsidRPr="00427495">
        <w:t>Evans M. N. Chirwa</w:t>
      </w:r>
      <w:r>
        <w:rPr>
          <w:vertAlign w:val="superscript"/>
        </w:rPr>
        <w:t>b</w:t>
      </w:r>
      <w:r>
        <w:t>,</w:t>
      </w:r>
      <w:r w:rsidRPr="00427495">
        <w:t xml:space="preserve"> Hendrik G. Brink</w:t>
      </w:r>
      <w:r>
        <w:rPr>
          <w:vertAlign w:val="superscript"/>
        </w:rPr>
        <w:t>c</w:t>
      </w:r>
      <w:r w:rsidR="00B57E6F" w:rsidRPr="00B57B36">
        <w:rPr>
          <w:vertAlign w:val="superscript"/>
        </w:rPr>
        <w:t>,</w:t>
      </w:r>
      <w:r w:rsidR="00B57E6F" w:rsidRPr="00B57B36">
        <w:t>*</w:t>
      </w:r>
      <w:r>
        <w:t xml:space="preserve"> </w:t>
      </w:r>
    </w:p>
    <w:p w14:paraId="6B2D21B3" w14:textId="7723C662" w:rsidR="00B57E6F" w:rsidRPr="00B57B36" w:rsidRDefault="008C4846" w:rsidP="00B57E6F">
      <w:pPr>
        <w:pStyle w:val="CETAddress"/>
      </w:pPr>
      <w:r w:rsidRPr="008C4846">
        <w:t>Department of Chemical Engineering, Faculty of Engineering, Built Environment and Information Technology, University of Pretoria, Pretoria, South Africa.</w:t>
      </w:r>
      <w:r w:rsidR="00B57E6F" w:rsidRPr="00B57B36">
        <w:t xml:space="preserve"> </w:t>
      </w:r>
    </w:p>
    <w:p w14:paraId="3D72B0B0" w14:textId="1A383B77" w:rsidR="00B57E6F" w:rsidRPr="00B57B36" w:rsidRDefault="00B57E6F" w:rsidP="00B57E6F">
      <w:pPr>
        <w:pStyle w:val="CETAddress"/>
      </w:pPr>
    </w:p>
    <w:p w14:paraId="73F1267A" w14:textId="456D4651" w:rsidR="00B57E6F" w:rsidRDefault="008C4846" w:rsidP="00B57E6F">
      <w:pPr>
        <w:pStyle w:val="CETemail"/>
      </w:pPr>
      <w:r w:rsidRPr="008C4846">
        <w:t>deon.brink@up.ac.za</w:t>
      </w:r>
      <w:r w:rsidR="00B57E6F">
        <w:t xml:space="preserve"> </w:t>
      </w:r>
      <w:r w:rsidR="00B57E6F" w:rsidRPr="00B57B36">
        <w:t xml:space="preserve"> </w:t>
      </w:r>
    </w:p>
    <w:p w14:paraId="0C2F73CF" w14:textId="4E9D03BE" w:rsidR="00146C25" w:rsidRPr="00204E28" w:rsidRDefault="00146C25" w:rsidP="00204E28">
      <w:pPr>
        <w:pStyle w:val="CETBodytext"/>
      </w:pPr>
      <w:r w:rsidRPr="00146C25">
        <w:t>A microbial consortium which was obtained from lead contaminated soil at a battery recycling plant in South Africa was previously proved to be effective at</w:t>
      </w:r>
      <w:r>
        <w:t xml:space="preserve"> </w:t>
      </w:r>
      <w:r w:rsidR="006F435B">
        <w:t>removing approximately</w:t>
      </w:r>
      <w:r w:rsidR="004069AE">
        <w:t xml:space="preserve"> </w:t>
      </w:r>
      <w:r w:rsidR="006F435B">
        <w:t xml:space="preserve">50% </w:t>
      </w:r>
      <w:r w:rsidR="006F435B" w:rsidRPr="006F435B">
        <w:t xml:space="preserve">of </w:t>
      </w:r>
      <w:proofErr w:type="gramStart"/>
      <w:r w:rsidR="006F435B" w:rsidRPr="006F435B">
        <w:t>Pb(</w:t>
      </w:r>
      <w:proofErr w:type="gramEnd"/>
      <w:r w:rsidR="006F435B" w:rsidRPr="006F435B">
        <w:t>II) from solution within the first 3 h at</w:t>
      </w:r>
      <w:r w:rsidR="006F435B">
        <w:t xml:space="preserve"> 80 and 500</w:t>
      </w:r>
      <w:r w:rsidR="004069AE">
        <w:t xml:space="preserve"> </w:t>
      </w:r>
      <w:r w:rsidR="006F435B">
        <w:t>ppm Pb(II).</w:t>
      </w:r>
      <w:r w:rsidR="00AC30CB">
        <w:t xml:space="preserve"> </w:t>
      </w:r>
      <w:r w:rsidR="00AC30CB" w:rsidRPr="004069AE">
        <w:rPr>
          <w:i/>
        </w:rPr>
        <w:t>Klebsiella pneumoniae</w:t>
      </w:r>
      <w:r w:rsidR="00AC30CB">
        <w:t xml:space="preserve"> was determined to be the dominant species </w:t>
      </w:r>
      <w:r w:rsidR="00AC30CB" w:rsidRPr="00AC30CB">
        <w:t xml:space="preserve">responsible for </w:t>
      </w:r>
      <w:proofErr w:type="gramStart"/>
      <w:r w:rsidR="00AC30CB" w:rsidRPr="00AC30CB">
        <w:t>Pb(</w:t>
      </w:r>
      <w:proofErr w:type="gramEnd"/>
      <w:r w:rsidR="00AC30CB" w:rsidRPr="00AC30CB">
        <w:t>II) bioprecipitation which was the main lead removal mechanism</w:t>
      </w:r>
      <w:r w:rsidR="00AC30CB">
        <w:t xml:space="preserve">. </w:t>
      </w:r>
      <w:r w:rsidR="00216438">
        <w:t xml:space="preserve">In the current study, the purified </w:t>
      </w:r>
      <w:r w:rsidR="00216438" w:rsidRPr="004069AE">
        <w:rPr>
          <w:i/>
        </w:rPr>
        <w:t>K. pneumoniae</w:t>
      </w:r>
      <w:r w:rsidR="00216438">
        <w:t xml:space="preserve"> was metabolically deactivated by drying and the resulting biomass tested for </w:t>
      </w:r>
      <w:proofErr w:type="gramStart"/>
      <w:r w:rsidR="004069AE">
        <w:t>Pb(</w:t>
      </w:r>
      <w:proofErr w:type="gramEnd"/>
      <w:r w:rsidR="004069AE">
        <w:t>II)</w:t>
      </w:r>
      <w:r w:rsidR="00216438">
        <w:t xml:space="preserve"> adsorption properties. </w:t>
      </w:r>
      <w:r w:rsidR="00216438" w:rsidRPr="00216438">
        <w:t xml:space="preserve">Results demonstrated that the metabolically inactive </w:t>
      </w:r>
      <w:r w:rsidR="00216438" w:rsidRPr="004069AE">
        <w:rPr>
          <w:i/>
        </w:rPr>
        <w:t>K. pneumoniae</w:t>
      </w:r>
      <w:r w:rsidR="00216438" w:rsidRPr="00216438">
        <w:t xml:space="preserve"> biomass removed approximately 39% of a 100 ppm </w:t>
      </w:r>
      <w:proofErr w:type="gramStart"/>
      <w:r w:rsidR="004069AE">
        <w:t>Pb(</w:t>
      </w:r>
      <w:proofErr w:type="gramEnd"/>
      <w:r w:rsidR="004069AE">
        <w:t>II)</w:t>
      </w:r>
      <w:r w:rsidR="00216438" w:rsidRPr="00216438">
        <w:t xml:space="preserve"> solution in 3h.</w:t>
      </w:r>
      <w:r w:rsidR="00AC30CB">
        <w:t xml:space="preserve"> </w:t>
      </w:r>
      <w:r w:rsidR="006D6124" w:rsidRPr="006D6124">
        <w:t>pH measurements and FTIR spectroscopy</w:t>
      </w:r>
      <w:r w:rsidR="006D6124">
        <w:t xml:space="preserve"> </w:t>
      </w:r>
      <w:r w:rsidR="006D6124" w:rsidRPr="006D6124">
        <w:t xml:space="preserve">indicated cation exchange of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sidR="006D6124" w:rsidRPr="006D6124">
        <w:t>-ions</w:t>
      </w:r>
      <w:r w:rsidR="006D6124">
        <w:t xml:space="preserve"> for </w:t>
      </w:r>
      <w:r w:rsidR="004069AE">
        <w:t>Pb(II)</w:t>
      </w:r>
      <w:r w:rsidR="006D6124" w:rsidRPr="006D6124">
        <w:t xml:space="preserve"> as well as adsorption interactions</w:t>
      </w:r>
      <w:r w:rsidR="006D6124">
        <w:t xml:space="preserve"> </w:t>
      </w:r>
      <w:r w:rsidR="006D6124" w:rsidRPr="006D6124">
        <w:t>with</w:t>
      </w:r>
      <w:r w:rsidR="006D6124">
        <w:t xml:space="preserve"> </w:t>
      </w:r>
      <w:r w:rsidR="006D6124" w:rsidRPr="006D6124">
        <w:t>functional groups (hydroxyl compound and amide) as being responsible for this removal</w:t>
      </w:r>
      <w:r w:rsidR="003F1A5D">
        <w:t xml:space="preserve">. These results </w:t>
      </w:r>
      <w:r w:rsidR="003F1A5D" w:rsidRPr="003F1A5D">
        <w:t xml:space="preserve">confirmed biosorption being responsible for the initial phase of </w:t>
      </w:r>
      <w:proofErr w:type="gramStart"/>
      <w:r w:rsidR="004069AE">
        <w:t>Pb(</w:t>
      </w:r>
      <w:proofErr w:type="gramEnd"/>
      <w:r w:rsidR="004069AE">
        <w:t>II)</w:t>
      </w:r>
      <w:r w:rsidR="003F1A5D" w:rsidRPr="003F1A5D">
        <w:t xml:space="preserve"> removal which acts as a vehicle for concentrating </w:t>
      </w:r>
      <w:r w:rsidR="004069AE">
        <w:t>Pb(II)</w:t>
      </w:r>
      <w:r w:rsidR="003F1A5D" w:rsidRPr="003F1A5D">
        <w:t xml:space="preserve"> on the surface of the bacteria before bioprecipitation takes place. These results provide further insights into the </w:t>
      </w:r>
      <w:proofErr w:type="gramStart"/>
      <w:r w:rsidR="004069AE">
        <w:t>Pb(</w:t>
      </w:r>
      <w:proofErr w:type="gramEnd"/>
      <w:r w:rsidR="004069AE">
        <w:t>II)</w:t>
      </w:r>
      <w:r w:rsidR="003F1A5D" w:rsidRPr="003F1A5D">
        <w:t xml:space="preserve"> removal mechanisms involved in the </w:t>
      </w:r>
      <w:r w:rsidR="004069AE">
        <w:t>Pb(II)</w:t>
      </w:r>
      <w:r w:rsidR="003F1A5D" w:rsidRPr="003F1A5D">
        <w:t xml:space="preserve"> bioremediation processes required for eventual scaling of these processes.</w:t>
      </w:r>
      <w:r w:rsidR="00204E28">
        <w:t xml:space="preserve"> </w:t>
      </w:r>
    </w:p>
    <w:p w14:paraId="476B2F2E" w14:textId="1D497165" w:rsidR="00600535" w:rsidRDefault="00600535" w:rsidP="00600535">
      <w:pPr>
        <w:pStyle w:val="CETHeading1"/>
        <w:rPr>
          <w:lang w:val="en-GB"/>
        </w:rPr>
      </w:pPr>
      <w:r w:rsidRPr="00B57B36">
        <w:rPr>
          <w:lang w:val="en-GB"/>
        </w:rPr>
        <w:t>Introduction</w:t>
      </w:r>
    </w:p>
    <w:p w14:paraId="60564558" w14:textId="77777777" w:rsidR="009C2CD8" w:rsidRPr="009C2CD8" w:rsidRDefault="009C2CD8" w:rsidP="009C2CD8">
      <w:pPr>
        <w:pStyle w:val="CETBodytext"/>
        <w:rPr>
          <w:lang w:val="en-GB"/>
        </w:rPr>
      </w:pPr>
      <w:r w:rsidRPr="009C2CD8">
        <w:rPr>
          <w:lang w:val="en-GB"/>
        </w:rPr>
        <w:t xml:space="preserve">Rapid industrialization and unplanned urbanization have introduced heavy metals into the environment through improper dumping of industrial wastes directly on land and into water bodies (Dixit et al., 2015). Consequently, environmental contamination by heavy metals has emerged as a major concern (Hashem et al., 2017) and is associated with environmental pollution and bio-toxicity issues attributed to their ability to inhibit biodegradation activities (Masindi and Muedi, 2018). </w:t>
      </w:r>
    </w:p>
    <w:p w14:paraId="68AF31A9" w14:textId="77777777" w:rsidR="009C2CD8" w:rsidRPr="009C2CD8" w:rsidRDefault="009C2CD8" w:rsidP="009C2CD8">
      <w:pPr>
        <w:pStyle w:val="CETBodytext"/>
        <w:rPr>
          <w:lang w:val="en-GB"/>
        </w:rPr>
      </w:pPr>
      <w:r w:rsidRPr="009C2CD8">
        <w:rPr>
          <w:lang w:val="en-GB"/>
        </w:rPr>
        <w:t>Heavy metal contamination, especially lead, has been a constant common problem worldwide (Tong et al., 2000). Chronic exposure to heavy metals such as lead poses a major threat to soil, water, and food safety because of their inherent toxicity to living organisms, especially humans (</w:t>
      </w:r>
      <w:proofErr w:type="spellStart"/>
      <w:r w:rsidRPr="009C2CD8">
        <w:rPr>
          <w:lang w:val="en-GB"/>
        </w:rPr>
        <w:t>Fewtrell</w:t>
      </w:r>
      <w:proofErr w:type="spellEnd"/>
      <w:r w:rsidRPr="009C2CD8">
        <w:rPr>
          <w:lang w:val="en-GB"/>
        </w:rPr>
        <w:t xml:space="preserve"> et al., 2004). </w:t>
      </w:r>
    </w:p>
    <w:p w14:paraId="2411016E" w14:textId="03D7D93B" w:rsidR="009C2CD8" w:rsidRPr="009C2CD8" w:rsidRDefault="009C2CD8" w:rsidP="009C2CD8">
      <w:pPr>
        <w:pStyle w:val="CETBodytext"/>
        <w:rPr>
          <w:lang w:val="en-GB"/>
        </w:rPr>
      </w:pPr>
      <w:r w:rsidRPr="009C2CD8">
        <w:rPr>
          <w:lang w:val="en-GB"/>
        </w:rPr>
        <w:t>The permissible limit of lead in drinking water is 5 µg/L (</w:t>
      </w:r>
      <w:proofErr w:type="spellStart"/>
      <w:r w:rsidRPr="009C2CD8">
        <w:rPr>
          <w:lang w:val="en-GB"/>
        </w:rPr>
        <w:t>Waihung</w:t>
      </w:r>
      <w:proofErr w:type="spellEnd"/>
      <w:r w:rsidRPr="009C2CD8">
        <w:rPr>
          <w:lang w:val="en-GB"/>
        </w:rPr>
        <w:t xml:space="preserve"> et al., 1999). The presence of lead in drinking water above the permissible limit causes diseases such as </w:t>
      </w:r>
      <w:r w:rsidR="004069AE" w:rsidRPr="009C2CD8">
        <w:rPr>
          <w:lang w:val="en-GB"/>
        </w:rPr>
        <w:t>anaemia</w:t>
      </w:r>
      <w:r w:rsidRPr="009C2CD8">
        <w:rPr>
          <w:lang w:val="en-GB"/>
        </w:rPr>
        <w:t>, encephalopathy, hepatitis, and nephrotic syndrome (</w:t>
      </w:r>
      <w:proofErr w:type="spellStart"/>
      <w:r w:rsidRPr="009C2CD8">
        <w:rPr>
          <w:lang w:val="en-GB"/>
        </w:rPr>
        <w:t>Panchanadikar</w:t>
      </w:r>
      <w:proofErr w:type="spellEnd"/>
      <w:r w:rsidRPr="009C2CD8">
        <w:rPr>
          <w:lang w:val="en-GB"/>
        </w:rPr>
        <w:t xml:space="preserve"> and Das, 1994). </w:t>
      </w:r>
    </w:p>
    <w:p w14:paraId="7CB533B3" w14:textId="4012F401" w:rsidR="00E22CE3" w:rsidRPr="00E22CE3" w:rsidRDefault="009C2CD8" w:rsidP="00E22CE3">
      <w:pPr>
        <w:pStyle w:val="CETBodytext"/>
        <w:rPr>
          <w:lang w:val="en-GB"/>
        </w:rPr>
      </w:pPr>
      <w:r w:rsidRPr="009C2CD8">
        <w:rPr>
          <w:lang w:val="en-GB"/>
        </w:rPr>
        <w:t>Due to the increasing concern about the public health and environmental problems caused by lead contamination, developing highly efficient and stable treatment methods is necessary (</w:t>
      </w:r>
      <w:proofErr w:type="spellStart"/>
      <w:r w:rsidRPr="009C2CD8">
        <w:rPr>
          <w:lang w:val="en-GB"/>
        </w:rPr>
        <w:t>Jeong</w:t>
      </w:r>
      <w:proofErr w:type="spellEnd"/>
      <w:r w:rsidRPr="009C2CD8">
        <w:rPr>
          <w:lang w:val="en-GB"/>
        </w:rPr>
        <w:t xml:space="preserve"> et al., 2019).</w:t>
      </w:r>
      <w:r w:rsidR="008B790C" w:rsidRPr="008B790C">
        <w:t xml:space="preserve"> </w:t>
      </w:r>
      <w:r w:rsidR="008B790C" w:rsidRPr="008B790C">
        <w:rPr>
          <w:lang w:val="en-GB"/>
        </w:rPr>
        <w:t xml:space="preserve">Conventional techniques such as membrane filtration, adsorption, chemical precipitation, ion exchange and electrodialysis are employed in addressing lead pollution from waste streams by converting </w:t>
      </w:r>
      <w:proofErr w:type="gramStart"/>
      <w:r w:rsidR="004069AE">
        <w:rPr>
          <w:lang w:val="en-GB"/>
        </w:rPr>
        <w:t>Pb(</w:t>
      </w:r>
      <w:proofErr w:type="gramEnd"/>
      <w:r w:rsidR="004069AE">
        <w:rPr>
          <w:lang w:val="en-GB"/>
        </w:rPr>
        <w:t>II)</w:t>
      </w:r>
      <w:r w:rsidR="008B790C" w:rsidRPr="008B790C">
        <w:rPr>
          <w:lang w:val="en-GB"/>
        </w:rPr>
        <w:t xml:space="preserve"> ions to a less harmful state but requires supplementary treatment in the recovery of Pb (0) (Van </w:t>
      </w:r>
      <w:proofErr w:type="spellStart"/>
      <w:r w:rsidR="008B790C" w:rsidRPr="008B790C">
        <w:rPr>
          <w:lang w:val="en-GB"/>
        </w:rPr>
        <w:t>Veenhuyzen</w:t>
      </w:r>
      <w:proofErr w:type="spellEnd"/>
      <w:r w:rsidR="008B790C" w:rsidRPr="008B790C">
        <w:rPr>
          <w:lang w:val="en-GB"/>
        </w:rPr>
        <w:t xml:space="preserve"> et al., 2021a).</w:t>
      </w:r>
      <w:r w:rsidR="00E22CE3" w:rsidRPr="00E22CE3">
        <w:t xml:space="preserve"> </w:t>
      </w:r>
      <w:r w:rsidR="00E22CE3" w:rsidRPr="00E22CE3">
        <w:rPr>
          <w:lang w:val="en-GB"/>
        </w:rPr>
        <w:t xml:space="preserve">Most of these treatment techniques are advantageous due to high selectivity but are too costly in the treatment of waste streams with low </w:t>
      </w:r>
      <w:proofErr w:type="gramStart"/>
      <w:r w:rsidR="004069AE">
        <w:rPr>
          <w:lang w:val="en-GB"/>
        </w:rPr>
        <w:t>Pb(</w:t>
      </w:r>
      <w:proofErr w:type="gramEnd"/>
      <w:r w:rsidR="004069AE">
        <w:rPr>
          <w:lang w:val="en-GB"/>
        </w:rPr>
        <w:t>II)</w:t>
      </w:r>
      <w:r w:rsidR="00E22CE3" w:rsidRPr="00E22CE3">
        <w:rPr>
          <w:lang w:val="en-GB"/>
        </w:rPr>
        <w:t xml:space="preserve"> concentrations (Fu and Wang, 2011). </w:t>
      </w:r>
      <w:r w:rsidR="00D52F08">
        <w:rPr>
          <w:lang w:val="en-GB"/>
        </w:rPr>
        <w:t xml:space="preserve">The traditional </w:t>
      </w:r>
      <w:r w:rsidR="004E2773">
        <w:rPr>
          <w:lang w:val="en-GB"/>
        </w:rPr>
        <w:t>approaches</w:t>
      </w:r>
      <w:r w:rsidR="00D52F08">
        <w:rPr>
          <w:lang w:val="en-GB"/>
        </w:rPr>
        <w:t xml:space="preserve"> for </w:t>
      </w:r>
      <w:r w:rsidR="004E2773">
        <w:rPr>
          <w:lang w:val="en-GB"/>
        </w:rPr>
        <w:t>the removal of</w:t>
      </w:r>
      <w:r w:rsidR="00D52F08">
        <w:rPr>
          <w:lang w:val="en-GB"/>
        </w:rPr>
        <w:t xml:space="preserve"> </w:t>
      </w:r>
      <w:proofErr w:type="gramStart"/>
      <w:r w:rsidR="00D52F08">
        <w:rPr>
          <w:lang w:val="en-GB"/>
        </w:rPr>
        <w:t>Pb(</w:t>
      </w:r>
      <w:proofErr w:type="gramEnd"/>
      <w:r w:rsidR="00D52F08">
        <w:rPr>
          <w:lang w:val="en-GB"/>
        </w:rPr>
        <w:t xml:space="preserve">II) include reduction, extraction, ion exchange, precipitation, and membrane filtration which suffer the problems of low efficiency and high operating costs (He et al., 2019). </w:t>
      </w:r>
      <w:r w:rsidR="004E1223" w:rsidRPr="004E1223">
        <w:rPr>
          <w:lang w:val="en-GB"/>
        </w:rPr>
        <w:t>Adsorption has become one of the alternative treatments</w:t>
      </w:r>
      <w:r w:rsidR="00596F45">
        <w:rPr>
          <w:lang w:val="en-GB"/>
        </w:rPr>
        <w:t xml:space="preserve"> due to its low-cost, high performance and wide pH range</w:t>
      </w:r>
      <w:r w:rsidR="004E1223" w:rsidRPr="004E1223">
        <w:rPr>
          <w:lang w:val="en-GB"/>
        </w:rPr>
        <w:t>, in recent years, the search for low-cost adsorbents that have metal-binding capacities has intensified</w:t>
      </w:r>
      <w:r w:rsidR="004E1223">
        <w:rPr>
          <w:lang w:val="en-GB"/>
        </w:rPr>
        <w:t xml:space="preserve"> </w:t>
      </w:r>
      <w:r w:rsidR="002209BC">
        <w:rPr>
          <w:lang w:val="en-GB"/>
        </w:rPr>
        <w:t xml:space="preserve">(Leung et al., 2000). </w:t>
      </w:r>
      <w:r w:rsidR="00ED7501" w:rsidRPr="00ED7501">
        <w:rPr>
          <w:lang w:val="en-GB"/>
        </w:rPr>
        <w:t xml:space="preserve">The adsorbents </w:t>
      </w:r>
      <w:r w:rsidR="00ED7501" w:rsidRPr="00ED7501">
        <w:rPr>
          <w:lang w:val="en-GB"/>
        </w:rPr>
        <w:lastRenderedPageBreak/>
        <w:t>may be of mineral, organic or biological origin, zeolites, industrial by-products, agricultural wastes, biomass, and polymeric materials</w:t>
      </w:r>
      <w:r w:rsidR="00ED7501">
        <w:rPr>
          <w:lang w:val="en-GB"/>
        </w:rPr>
        <w:t xml:space="preserve"> (Kurniawan et al., 2005). </w:t>
      </w:r>
    </w:p>
    <w:p w14:paraId="631852F6" w14:textId="77777777" w:rsidR="00E22CE3" w:rsidRDefault="00E22CE3" w:rsidP="00E22CE3">
      <w:pPr>
        <w:pStyle w:val="CETBodytext"/>
        <w:rPr>
          <w:lang w:val="en-GB"/>
        </w:rPr>
      </w:pPr>
      <w:r w:rsidRPr="00E22CE3">
        <w:rPr>
          <w:lang w:val="en-GB"/>
        </w:rPr>
        <w:t xml:space="preserve">The most recent estimate of current lead ore reserves (88 Mt) means that raw lead could potentially be depleted by 2035 (Statista, 2019). Lead recovery is of ultimate importance as it does not only lead to an environmentally friendly cycle, but also results in the diminution of the adverse effects of lead mining. </w:t>
      </w:r>
    </w:p>
    <w:p w14:paraId="258FF29B" w14:textId="3FFBFBC0" w:rsidR="00204E28" w:rsidRDefault="00E22CE3" w:rsidP="00E22CE3">
      <w:pPr>
        <w:pStyle w:val="CETBodytext"/>
        <w:rPr>
          <w:lang w:val="en-GB"/>
        </w:rPr>
      </w:pPr>
      <w:r w:rsidRPr="00E22CE3">
        <w:rPr>
          <w:lang w:val="en-GB"/>
        </w:rPr>
        <w:t xml:space="preserve">A microbial consortium which was obtained from lead contaminated soil at a battery recycling plant in South Africa has been demonstrated to remove 90 % of </w:t>
      </w:r>
      <w:proofErr w:type="gramStart"/>
      <w:r w:rsidR="004069AE">
        <w:rPr>
          <w:lang w:val="en-GB"/>
        </w:rPr>
        <w:t>Pb(</w:t>
      </w:r>
      <w:proofErr w:type="gramEnd"/>
      <w:r w:rsidR="004069AE">
        <w:rPr>
          <w:lang w:val="en-GB"/>
        </w:rPr>
        <w:t>II)</w:t>
      </w:r>
      <w:r w:rsidRPr="00E22CE3">
        <w:rPr>
          <w:lang w:val="en-GB"/>
        </w:rPr>
        <w:t xml:space="preserve"> from an 80 </w:t>
      </w:r>
      <m:oMath>
        <m:f>
          <m:fPr>
            <m:type m:val="lin"/>
            <m:ctrlPr>
              <w:rPr>
                <w:rFonts w:ascii="Cambria Math" w:hAnsi="Cambria Math"/>
                <w:i/>
                <w:lang w:val="en-GB"/>
              </w:rPr>
            </m:ctrlPr>
          </m:fPr>
          <m:num>
            <m:r>
              <w:rPr>
                <w:rFonts w:ascii="Cambria Math" w:hAnsi="Cambria Math"/>
                <w:lang w:val="en-GB"/>
              </w:rPr>
              <m:t>mg</m:t>
            </m:r>
          </m:num>
          <m:den>
            <m:r>
              <w:rPr>
                <w:rFonts w:ascii="Cambria Math" w:hAnsi="Cambria Math"/>
                <w:lang w:val="en-GB"/>
              </w:rPr>
              <m:t>L</m:t>
            </m:r>
          </m:den>
        </m:f>
      </m:oMath>
      <w:r w:rsidRPr="00E22CE3">
        <w:rPr>
          <w:lang w:val="en-GB"/>
        </w:rPr>
        <w:t xml:space="preserve"> solution over a period of 7 days (Brink et al., 2017).  The consortium was effective at precipitating </w:t>
      </w:r>
      <w:proofErr w:type="gramStart"/>
      <w:r w:rsidR="004069AE">
        <w:rPr>
          <w:lang w:val="en-GB"/>
        </w:rPr>
        <w:t>Pb(</w:t>
      </w:r>
      <w:proofErr w:type="gramEnd"/>
      <w:r w:rsidR="004069AE">
        <w:rPr>
          <w:lang w:val="en-GB"/>
        </w:rPr>
        <w:t>II)</w:t>
      </w:r>
      <w:r w:rsidRPr="00E22CE3">
        <w:rPr>
          <w:lang w:val="en-GB"/>
        </w:rPr>
        <w:t xml:space="preserve"> from solution and was shown to remove approximately 50 % of </w:t>
      </w:r>
      <w:r w:rsidR="004069AE">
        <w:rPr>
          <w:lang w:val="en-GB"/>
        </w:rPr>
        <w:t>Pb(II)</w:t>
      </w:r>
      <w:r w:rsidRPr="00E22CE3">
        <w:rPr>
          <w:lang w:val="en-GB"/>
        </w:rPr>
        <w:t xml:space="preserve"> at conditions of 80 and 500 ppm within the first 3 hours (</w:t>
      </w:r>
      <w:proofErr w:type="spellStart"/>
      <w:r w:rsidRPr="00E22CE3">
        <w:rPr>
          <w:lang w:val="en-GB"/>
        </w:rPr>
        <w:t>Hörstmann</w:t>
      </w:r>
      <w:proofErr w:type="spellEnd"/>
      <w:r w:rsidRPr="00E22CE3">
        <w:rPr>
          <w:lang w:val="en-GB"/>
        </w:rPr>
        <w:t xml:space="preserve"> et al., 2020).</w:t>
      </w:r>
      <w:r w:rsidR="0016612C">
        <w:rPr>
          <w:lang w:val="en-GB"/>
        </w:rPr>
        <w:t xml:space="preserve"> </w:t>
      </w:r>
      <w:r w:rsidR="0016612C" w:rsidRPr="0016612C">
        <w:rPr>
          <w:lang w:val="en-GB"/>
        </w:rPr>
        <w:t xml:space="preserve">Study shows that the ionic lead in solution was precipitated out as </w:t>
      </w:r>
      <w:proofErr w:type="spellStart"/>
      <w:r w:rsidR="0016612C" w:rsidRPr="0016612C">
        <w:rPr>
          <w:lang w:val="en-GB"/>
        </w:rPr>
        <w:t>PbS</w:t>
      </w:r>
      <w:proofErr w:type="spellEnd"/>
      <w:r w:rsidR="0016612C" w:rsidRPr="0016612C">
        <w:rPr>
          <w:lang w:val="en-GB"/>
        </w:rPr>
        <w:t xml:space="preserve"> and elemental Pb by the microbes (Van </w:t>
      </w:r>
      <w:proofErr w:type="spellStart"/>
      <w:r w:rsidR="0016612C" w:rsidRPr="0016612C">
        <w:rPr>
          <w:lang w:val="en-GB"/>
        </w:rPr>
        <w:t>Veenhuyzen</w:t>
      </w:r>
      <w:proofErr w:type="spellEnd"/>
      <w:r w:rsidR="0016612C" w:rsidRPr="0016612C">
        <w:rPr>
          <w:lang w:val="en-GB"/>
        </w:rPr>
        <w:t xml:space="preserve"> et al., 2021a).</w:t>
      </w:r>
      <w:r w:rsidR="0016612C">
        <w:rPr>
          <w:lang w:val="en-GB"/>
        </w:rPr>
        <w:t xml:space="preserve"> </w:t>
      </w:r>
      <w:r w:rsidR="004A0255" w:rsidRPr="004A0255">
        <w:rPr>
          <w:lang w:val="en-GB"/>
        </w:rPr>
        <w:t xml:space="preserve">Further study on the battery recycling plant consortium shows that </w:t>
      </w:r>
      <w:r w:rsidR="004A0255" w:rsidRPr="004069AE">
        <w:rPr>
          <w:i/>
          <w:lang w:val="en-GB"/>
        </w:rPr>
        <w:t>K</w:t>
      </w:r>
      <w:r w:rsidR="004069AE">
        <w:rPr>
          <w:i/>
          <w:lang w:val="en-GB"/>
        </w:rPr>
        <w:t xml:space="preserve">. </w:t>
      </w:r>
      <w:r w:rsidR="004A0255" w:rsidRPr="004069AE">
        <w:rPr>
          <w:i/>
          <w:lang w:val="en-GB"/>
        </w:rPr>
        <w:t>pneumoniae</w:t>
      </w:r>
      <w:r w:rsidR="004A0255" w:rsidRPr="004A0255">
        <w:rPr>
          <w:lang w:val="en-GB"/>
        </w:rPr>
        <w:t xml:space="preserve"> was the dominant species responsible for </w:t>
      </w:r>
      <w:proofErr w:type="gramStart"/>
      <w:r w:rsidR="004069AE">
        <w:rPr>
          <w:lang w:val="en-GB"/>
        </w:rPr>
        <w:t>Pb(</w:t>
      </w:r>
      <w:proofErr w:type="gramEnd"/>
      <w:r w:rsidR="004069AE">
        <w:rPr>
          <w:lang w:val="en-GB"/>
        </w:rPr>
        <w:t>II)</w:t>
      </w:r>
      <w:r w:rsidR="004A0255" w:rsidRPr="004A0255">
        <w:rPr>
          <w:lang w:val="en-GB"/>
        </w:rPr>
        <w:t xml:space="preserve"> </w:t>
      </w:r>
      <w:r w:rsidR="004069AE" w:rsidRPr="004A0255">
        <w:rPr>
          <w:lang w:val="en-GB"/>
        </w:rPr>
        <w:t>bio precipitation</w:t>
      </w:r>
      <w:r w:rsidR="004A0255" w:rsidRPr="004A0255">
        <w:rPr>
          <w:lang w:val="en-GB"/>
        </w:rPr>
        <w:t xml:space="preserve"> which was the main lead removal mechanism (</w:t>
      </w:r>
      <w:proofErr w:type="spellStart"/>
      <w:r w:rsidR="004A0255" w:rsidRPr="004A0255">
        <w:rPr>
          <w:lang w:val="en-GB"/>
        </w:rPr>
        <w:t>Hörstmann</w:t>
      </w:r>
      <w:proofErr w:type="spellEnd"/>
      <w:r w:rsidR="004A0255" w:rsidRPr="004A0255">
        <w:rPr>
          <w:lang w:val="en-GB"/>
        </w:rPr>
        <w:t xml:space="preserve"> et al., 2020).</w:t>
      </w:r>
      <w:r w:rsidR="004A0255">
        <w:rPr>
          <w:lang w:val="en-GB"/>
        </w:rPr>
        <w:t xml:space="preserve"> </w:t>
      </w:r>
      <w:r w:rsidR="00EF7BBD" w:rsidRPr="00EF7BBD">
        <w:rPr>
          <w:lang w:val="en-GB"/>
        </w:rPr>
        <w:t xml:space="preserve">Non-living bacteria removed 61.7 ± 4.86 % of </w:t>
      </w:r>
      <w:proofErr w:type="gramStart"/>
      <w:r w:rsidR="004069AE">
        <w:rPr>
          <w:lang w:val="en-GB"/>
        </w:rPr>
        <w:t>Pb(</w:t>
      </w:r>
      <w:proofErr w:type="gramEnd"/>
      <w:r w:rsidR="004069AE">
        <w:rPr>
          <w:lang w:val="en-GB"/>
        </w:rPr>
        <w:t>II)</w:t>
      </w:r>
      <w:r w:rsidR="00EF7BBD" w:rsidRPr="00EF7BBD">
        <w:rPr>
          <w:lang w:val="en-GB"/>
        </w:rPr>
        <w:t xml:space="preserve"> in 3 hours, and FTIR spectroscopy supported the chemisorption of lead onto functional groups as being responsible for this removal confirming biosorption being responsible for the initial phase of </w:t>
      </w:r>
      <w:r w:rsidR="004069AE">
        <w:rPr>
          <w:lang w:val="en-GB"/>
        </w:rPr>
        <w:t>Pb(II)</w:t>
      </w:r>
      <w:r w:rsidR="00EF7BBD" w:rsidRPr="00EF7BBD">
        <w:rPr>
          <w:lang w:val="en-GB"/>
        </w:rPr>
        <w:t xml:space="preserve"> removal which acts as a vehicle for concentrating </w:t>
      </w:r>
      <w:r w:rsidR="004069AE">
        <w:rPr>
          <w:lang w:val="en-GB"/>
        </w:rPr>
        <w:t>Pb(II)</w:t>
      </w:r>
      <w:r w:rsidR="00EF7BBD" w:rsidRPr="00EF7BBD">
        <w:rPr>
          <w:lang w:val="en-GB"/>
        </w:rPr>
        <w:t xml:space="preserve"> on the surface of the bacteria before bioprecipitation takes place (Van </w:t>
      </w:r>
      <w:proofErr w:type="spellStart"/>
      <w:r w:rsidR="00EF7BBD" w:rsidRPr="00EF7BBD">
        <w:rPr>
          <w:lang w:val="en-GB"/>
        </w:rPr>
        <w:t>Veenhuyzen</w:t>
      </w:r>
      <w:proofErr w:type="spellEnd"/>
      <w:r w:rsidR="00EF7BBD" w:rsidRPr="00EF7BBD">
        <w:rPr>
          <w:lang w:val="en-GB"/>
        </w:rPr>
        <w:t xml:space="preserve"> et al., 2021a).</w:t>
      </w:r>
      <w:r w:rsidR="00EF7BBD">
        <w:rPr>
          <w:lang w:val="en-GB"/>
        </w:rPr>
        <w:t xml:space="preserve"> </w:t>
      </w:r>
    </w:p>
    <w:p w14:paraId="3C124FA2" w14:textId="628D29E4" w:rsidR="008B790C" w:rsidRPr="00204E28" w:rsidRDefault="00277E64" w:rsidP="00F0380B">
      <w:pPr>
        <w:pStyle w:val="CETBodytext"/>
        <w:rPr>
          <w:lang w:val="en-GB"/>
        </w:rPr>
      </w:pPr>
      <w:r w:rsidRPr="00277E64">
        <w:rPr>
          <w:lang w:val="en-GB"/>
        </w:rPr>
        <w:t xml:space="preserve">The main purpose of this study is to investigate the bioremediation removal effectiveness of </w:t>
      </w:r>
      <w:r w:rsidRPr="004069AE">
        <w:rPr>
          <w:i/>
          <w:lang w:val="en-GB"/>
        </w:rPr>
        <w:t>K</w:t>
      </w:r>
      <w:r w:rsidR="004069AE">
        <w:rPr>
          <w:i/>
          <w:lang w:val="en-GB"/>
        </w:rPr>
        <w:t>.</w:t>
      </w:r>
      <w:r w:rsidRPr="004069AE">
        <w:rPr>
          <w:i/>
          <w:lang w:val="en-GB"/>
        </w:rPr>
        <w:t xml:space="preserve"> pneumoniae</w:t>
      </w:r>
      <w:r w:rsidRPr="00277E64">
        <w:rPr>
          <w:lang w:val="en-GB"/>
        </w:rPr>
        <w:t xml:space="preserve">, an isolated microbial strain of the consortium to determine its contribution to </w:t>
      </w:r>
      <w:proofErr w:type="gramStart"/>
      <w:r w:rsidR="004069AE">
        <w:rPr>
          <w:lang w:val="en-GB"/>
        </w:rPr>
        <w:t>Pb(</w:t>
      </w:r>
      <w:proofErr w:type="gramEnd"/>
      <w:r w:rsidR="004069AE">
        <w:rPr>
          <w:lang w:val="en-GB"/>
        </w:rPr>
        <w:t>II)</w:t>
      </w:r>
      <w:r w:rsidRPr="00277E64">
        <w:rPr>
          <w:lang w:val="en-GB"/>
        </w:rPr>
        <w:t xml:space="preserve"> removal.</w:t>
      </w:r>
      <w:r w:rsidR="00F0380B">
        <w:rPr>
          <w:lang w:val="en-GB"/>
        </w:rPr>
        <w:t xml:space="preserve"> </w:t>
      </w:r>
      <w:r w:rsidR="00F0380B" w:rsidRPr="00F0380B">
        <w:rPr>
          <w:lang w:val="en-GB"/>
        </w:rPr>
        <w:t xml:space="preserve">This method of bio-removal could </w:t>
      </w:r>
      <w:r w:rsidR="00F0380B">
        <w:rPr>
          <w:lang w:val="en-GB"/>
        </w:rPr>
        <w:t xml:space="preserve">serve as the first step towards the design of a continuous reactor </w:t>
      </w:r>
      <w:r w:rsidR="00F0380B" w:rsidRPr="00F0380B">
        <w:rPr>
          <w:lang w:val="en-GB"/>
        </w:rPr>
        <w:t>for large-scale implementation in various industries as a simple cost-effective</w:t>
      </w:r>
      <w:r w:rsidR="00D06C4C">
        <w:rPr>
          <w:lang w:val="en-GB"/>
        </w:rPr>
        <w:t xml:space="preserve"> </w:t>
      </w:r>
      <w:r w:rsidR="00F0380B" w:rsidRPr="00F0380B">
        <w:rPr>
          <w:lang w:val="en-GB"/>
        </w:rPr>
        <w:t xml:space="preserve">method to remediate and </w:t>
      </w:r>
      <w:r w:rsidR="001C6813" w:rsidRPr="00F0380B">
        <w:rPr>
          <w:lang w:val="en-GB"/>
        </w:rPr>
        <w:t>regenerate</w:t>
      </w:r>
      <w:r w:rsidR="00F0380B" w:rsidRPr="00F0380B">
        <w:rPr>
          <w:lang w:val="en-GB"/>
        </w:rPr>
        <w:t xml:space="preserve"> Pb-containing effluent</w:t>
      </w:r>
      <w:r w:rsidR="00D06C4C">
        <w:rPr>
          <w:lang w:val="en-GB"/>
        </w:rPr>
        <w:t>s</w:t>
      </w:r>
      <w:r w:rsidR="00F0380B" w:rsidRPr="00F0380B">
        <w:rPr>
          <w:lang w:val="en-GB"/>
        </w:rPr>
        <w:t>.</w:t>
      </w:r>
    </w:p>
    <w:p w14:paraId="5741900F" w14:textId="2B18CE7D" w:rsidR="00453E24" w:rsidRDefault="001B6D83" w:rsidP="00453E24">
      <w:pPr>
        <w:pStyle w:val="CETHeading1"/>
      </w:pPr>
      <w:r w:rsidRPr="001B6D83">
        <w:t>Materials and methods</w:t>
      </w:r>
    </w:p>
    <w:p w14:paraId="0636B784" w14:textId="209911EE" w:rsidR="00453E24" w:rsidRDefault="001B6D83" w:rsidP="00185B93">
      <w:pPr>
        <w:pStyle w:val="CETheadingx"/>
      </w:pPr>
      <w:r w:rsidRPr="001B6D83">
        <w:t xml:space="preserve">Material </w:t>
      </w:r>
      <w:r w:rsidR="00DB2CA0">
        <w:t>p</w:t>
      </w:r>
      <w:r w:rsidRPr="001B6D83">
        <w:t>reparation</w:t>
      </w:r>
    </w:p>
    <w:p w14:paraId="28F9C716" w14:textId="76022B43" w:rsidR="001B6D83" w:rsidRDefault="003909CF" w:rsidP="003909CF">
      <w:pPr>
        <w:pStyle w:val="CETBodytext"/>
      </w:pPr>
      <w:r w:rsidRPr="004069AE">
        <w:rPr>
          <w:i/>
        </w:rPr>
        <w:t>K</w:t>
      </w:r>
      <w:r w:rsidR="004069AE">
        <w:rPr>
          <w:i/>
        </w:rPr>
        <w:t>.</w:t>
      </w:r>
      <w:r w:rsidRPr="004069AE">
        <w:rPr>
          <w:i/>
        </w:rPr>
        <w:t xml:space="preserve"> pneumoniae</w:t>
      </w:r>
      <w:r>
        <w:t xml:space="preserve"> was prepared from a battery recycling plant consortium frozen at -60 °C. The 100 mL pure culture was prepared under aerobic conditions in a batch reactor starting with 20 </w:t>
      </w:r>
      <m:oMath>
        <m:f>
          <m:fPr>
            <m:type m:val="lin"/>
            <m:ctrlPr>
              <w:rPr>
                <w:rFonts w:ascii="Cambria Math" w:hAnsi="Cambria Math"/>
                <w:i/>
              </w:rPr>
            </m:ctrlPr>
          </m:fPr>
          <m:num>
            <m:r>
              <w:rPr>
                <w:rFonts w:ascii="Cambria Math" w:hAnsi="Cambria Math"/>
              </w:rPr>
              <m:t>g</m:t>
            </m:r>
          </m:num>
          <m:den>
            <m:r>
              <w:rPr>
                <w:rFonts w:ascii="Cambria Math" w:hAnsi="Cambria Math"/>
              </w:rPr>
              <m:t>L</m:t>
            </m:r>
          </m:den>
        </m:f>
      </m:oMath>
      <w:r>
        <w:t xml:space="preserve"> tryptone, 10 </w:t>
      </w:r>
      <m:oMath>
        <m:f>
          <m:fPr>
            <m:type m:val="lin"/>
            <m:ctrlPr>
              <w:rPr>
                <w:rFonts w:ascii="Cambria Math" w:hAnsi="Cambria Math"/>
                <w:i/>
              </w:rPr>
            </m:ctrlPr>
          </m:fPr>
          <m:num>
            <m:r>
              <w:rPr>
                <w:rFonts w:ascii="Cambria Math" w:hAnsi="Cambria Math"/>
              </w:rPr>
              <m:t>g</m:t>
            </m:r>
          </m:num>
          <m:den>
            <m:r>
              <w:rPr>
                <w:rFonts w:ascii="Cambria Math" w:hAnsi="Cambria Math"/>
              </w:rPr>
              <m:t>L</m:t>
            </m:r>
          </m:den>
        </m:f>
      </m:oMath>
      <w:r>
        <w:t xml:space="preserve"> yeast extract and 1 ml of 100 </w:t>
      </w:r>
      <m:oMath>
        <m:f>
          <m:fPr>
            <m:type m:val="lin"/>
            <m:ctrlPr>
              <w:rPr>
                <w:rFonts w:ascii="Cambria Math" w:hAnsi="Cambria Math"/>
                <w:i/>
              </w:rPr>
            </m:ctrlPr>
          </m:fPr>
          <m:num>
            <m:r>
              <w:rPr>
                <w:rFonts w:ascii="Cambria Math" w:hAnsi="Cambria Math"/>
              </w:rPr>
              <m:t>g</m:t>
            </m:r>
          </m:num>
          <m:den>
            <m:r>
              <w:rPr>
                <w:rFonts w:ascii="Cambria Math" w:hAnsi="Cambria Math"/>
              </w:rPr>
              <m:t>L</m:t>
            </m:r>
          </m:den>
        </m:f>
      </m:oMath>
      <w:r>
        <w:t xml:space="preserve"> NaCl (</w:t>
      </w:r>
      <w:proofErr w:type="spellStart"/>
      <w:r>
        <w:t>Hörstmann</w:t>
      </w:r>
      <w:proofErr w:type="spellEnd"/>
      <w:r>
        <w:t xml:space="preserve"> et al., 2020). The culture was left to grow in a shaker-incubator for 24 h, 35 °C and 120 rpm. The pure culture was then centrifuged at 9000 rpm for 10 minutes at 4 °C, rinsing with ultrapure water, and centrifuging again before being oven dried at 74 °C for 24 h to successfully inhibit microbial respiratory chain and ensuring </w:t>
      </w:r>
      <w:proofErr w:type="gramStart"/>
      <w:r w:rsidR="004069AE">
        <w:t>Pb(</w:t>
      </w:r>
      <w:proofErr w:type="gramEnd"/>
      <w:r w:rsidR="004069AE">
        <w:t>II)</w:t>
      </w:r>
      <w:r>
        <w:t xml:space="preserve"> removal through biosorption alone.</w:t>
      </w:r>
    </w:p>
    <w:p w14:paraId="3561459E" w14:textId="677FD546" w:rsidR="005A1BAC" w:rsidRDefault="005A1BAC" w:rsidP="00185B93">
      <w:pPr>
        <w:pStyle w:val="CETheadingx"/>
      </w:pPr>
      <w:r w:rsidRPr="005A1BAC">
        <w:t xml:space="preserve">Optical </w:t>
      </w:r>
      <w:r w:rsidR="00DB2CA0">
        <w:t>d</w:t>
      </w:r>
      <w:r w:rsidRPr="005A1BAC">
        <w:t xml:space="preserve">ensity </w:t>
      </w:r>
      <w:r w:rsidR="00DB2CA0">
        <w:t>m</w:t>
      </w:r>
      <w:r w:rsidRPr="005A1BAC">
        <w:t>easurement</w:t>
      </w:r>
    </w:p>
    <w:p w14:paraId="411FAAE4" w14:textId="4A245C58" w:rsidR="00264F30" w:rsidRDefault="00264F30" w:rsidP="00264F30">
      <w:pPr>
        <w:pStyle w:val="CETBodytext"/>
      </w:pPr>
      <w:r w:rsidRPr="00264F30">
        <w:t xml:space="preserve">A spectrophotometer was used in reading the degree of light dispersed by the pure culture. For optical density reading </w:t>
      </w:r>
      <m:oMath>
        <m:sSub>
          <m:sSubPr>
            <m:ctrlPr>
              <w:rPr>
                <w:rFonts w:ascii="Cambria Math" w:hAnsi="Cambria Math"/>
                <w:i/>
              </w:rPr>
            </m:ctrlPr>
          </m:sSubPr>
          <m:e>
            <m:r>
              <w:rPr>
                <w:rFonts w:ascii="Cambria Math" w:hAnsi="Cambria Math"/>
              </w:rPr>
              <m:t>(OD</m:t>
            </m:r>
          </m:e>
          <m:sub>
            <m:r>
              <w:rPr>
                <w:rFonts w:ascii="Cambria Math" w:hAnsi="Cambria Math"/>
              </w:rPr>
              <m:t>600</m:t>
            </m:r>
          </m:sub>
        </m:sSub>
        <m:r>
          <w:rPr>
            <w:rFonts w:ascii="Cambria Math" w:hAnsi="Cambria Math"/>
          </w:rPr>
          <m:t>)</m:t>
        </m:r>
      </m:oMath>
      <w:r w:rsidRPr="00264F30">
        <w:t>, the sample was diluted 4 times before measurement was made at 600 nm.</w:t>
      </w:r>
    </w:p>
    <w:p w14:paraId="6FF767B8" w14:textId="102800E8" w:rsidR="00264F30" w:rsidRDefault="00264F30" w:rsidP="00185B93">
      <w:pPr>
        <w:pStyle w:val="CETheadingx"/>
      </w:pPr>
      <w:r w:rsidRPr="00264F30">
        <w:t xml:space="preserve">Metabolic </w:t>
      </w:r>
      <w:r w:rsidR="00DB2CA0">
        <w:t>a</w:t>
      </w:r>
      <w:r w:rsidRPr="00264F30">
        <w:t xml:space="preserve">ctivity </w:t>
      </w:r>
      <w:r w:rsidR="00DB2CA0">
        <w:t>m</w:t>
      </w:r>
      <w:r w:rsidRPr="00264F30">
        <w:t>easurement</w:t>
      </w:r>
    </w:p>
    <w:p w14:paraId="2FECED29" w14:textId="07E0C0A8" w:rsidR="00264F30" w:rsidRDefault="00057F9A" w:rsidP="00264F30">
      <w:pPr>
        <w:pStyle w:val="CETBodytext"/>
      </w:pPr>
      <w:r w:rsidRPr="00057F9A">
        <w:t xml:space="preserve">Metabolic activity was measured with 3-(4,5-dimethylthiazol-2-yl)-2,5-diphenyl tetrazolium bromide (MTT) which is a yellow dye reduced to formazan crystals by the dehydrogenase system of viable gram-negative bacterial cells (Van </w:t>
      </w:r>
      <w:proofErr w:type="spellStart"/>
      <w:r w:rsidRPr="00057F9A">
        <w:t>Veenhuyzen</w:t>
      </w:r>
      <w:proofErr w:type="spellEnd"/>
      <w:r w:rsidRPr="00057F9A">
        <w:t xml:space="preserve"> et al., 2021a).</w:t>
      </w:r>
      <w:r>
        <w:t xml:space="preserve"> </w:t>
      </w:r>
    </w:p>
    <w:p w14:paraId="0195919E" w14:textId="77777777" w:rsidR="0092488A" w:rsidRDefault="0092488A" w:rsidP="00264F30">
      <w:pPr>
        <w:pStyle w:val="CETBodytext"/>
      </w:pPr>
      <w:r w:rsidRPr="0092488A">
        <w:t xml:space="preserve">For metabolic activity readings, 0.5 mL filtered (0.45 µm) of the sample was added to 0.2 mL MTT and 1.3 mL sterilized ultrapure water. Also, 0.5 mL unfiltered sample was added to 0.2 mL MTT and 1.3 mL sterilized ultrapure water. Dimethyl sulfoxide was added to the solution after an hour incubation to dissolve the formazan crystals (Van </w:t>
      </w:r>
      <w:proofErr w:type="spellStart"/>
      <w:r w:rsidRPr="0092488A">
        <w:t>Veenhuyzen</w:t>
      </w:r>
      <w:proofErr w:type="spellEnd"/>
      <w:r w:rsidRPr="0092488A">
        <w:t xml:space="preserve"> et al., 2021a). </w:t>
      </w:r>
    </w:p>
    <w:p w14:paraId="0BAB2F33" w14:textId="7E2701B9" w:rsidR="00F27C13" w:rsidRDefault="0092488A" w:rsidP="00264F30">
      <w:pPr>
        <w:pStyle w:val="CETBodytext"/>
      </w:pPr>
      <w:r w:rsidRPr="0092488A">
        <w:t xml:space="preserve">A spectrophotometer was used in measuring light absorbed at 550 nm between the unfiltered and filtered samples to infer metabolic activity differences (Peens, 2018).  </w:t>
      </w:r>
    </w:p>
    <w:p w14:paraId="544B9604" w14:textId="60A84145" w:rsidR="0092488A" w:rsidRPr="00264F30" w:rsidRDefault="00F27C13" w:rsidP="00185B93">
      <w:pPr>
        <w:pStyle w:val="CETheadingx"/>
      </w:pPr>
      <w:r w:rsidRPr="00F27C13">
        <w:t>F</w:t>
      </w:r>
      <w:r w:rsidR="00DB2CA0">
        <w:t>TIR</w:t>
      </w:r>
      <w:r w:rsidRPr="00F27C13">
        <w:t xml:space="preserve"> </w:t>
      </w:r>
      <w:r w:rsidR="00DB2CA0">
        <w:t>a</w:t>
      </w:r>
      <w:r w:rsidRPr="00F27C13">
        <w:t>nalysis</w:t>
      </w:r>
      <w:r w:rsidR="0092488A">
        <w:t xml:space="preserve"> </w:t>
      </w:r>
    </w:p>
    <w:p w14:paraId="4C3D364C" w14:textId="1E92A781" w:rsidR="00264F30" w:rsidRDefault="00E27924" w:rsidP="00264F30">
      <w:pPr>
        <w:pStyle w:val="CETBodytext"/>
      </w:pPr>
      <w:r w:rsidRPr="00E27924">
        <w:t xml:space="preserve">Fourier-transform infrared (FTIR) spectra of the pure culture were measured after four successive processes. The first measurement was taken after 24 h growth period of the bacteria. The second measurement was taken after 24 h oven drying of the bacteria at 74 °C. The third measurement was taken after the bacteria was exposed to 100 ppm of </w:t>
      </w:r>
      <m:oMath>
        <m:sSub>
          <m:sSubPr>
            <m:ctrlPr>
              <w:rPr>
                <w:rFonts w:ascii="Cambria Math" w:hAnsi="Cambria Math"/>
                <w:i/>
              </w:rPr>
            </m:ctrlPr>
          </m:sSubPr>
          <m:e>
            <m:r>
              <w:rPr>
                <w:rFonts w:ascii="Cambria Math" w:hAnsi="Cambria Math"/>
              </w:rPr>
              <m:t>Pb</m:t>
            </m:r>
            <m:d>
              <m:dPr>
                <m:ctrlPr>
                  <w:rPr>
                    <w:rFonts w:ascii="Cambria Math" w:hAnsi="Cambria Math"/>
                    <w:i/>
                  </w:rPr>
                </m:ctrlPr>
              </m:dPr>
              <m:e>
                <m:sSub>
                  <m:sSubPr>
                    <m:ctrlPr>
                      <w:rPr>
                        <w:rFonts w:ascii="Cambria Math" w:hAnsi="Cambria Math"/>
                        <w:i/>
                      </w:rPr>
                    </m:ctrlPr>
                  </m:sSubPr>
                  <m:e>
                    <m:r>
                      <w:rPr>
                        <w:rFonts w:ascii="Cambria Math" w:hAnsi="Cambria Math"/>
                      </w:rPr>
                      <m:t>NO</m:t>
                    </m:r>
                  </m:e>
                  <m:sub>
                    <m:r>
                      <w:rPr>
                        <w:rFonts w:ascii="Cambria Math" w:hAnsi="Cambria Math"/>
                      </w:rPr>
                      <m:t>3</m:t>
                    </m:r>
                  </m:sub>
                </m:sSub>
              </m:e>
            </m:d>
          </m:e>
          <m:sub>
            <m:r>
              <w:rPr>
                <w:rFonts w:ascii="Cambria Math" w:hAnsi="Cambria Math"/>
              </w:rPr>
              <m:t>2</m:t>
            </m:r>
          </m:sub>
        </m:sSub>
      </m:oMath>
      <w:r>
        <w:t>.</w:t>
      </w:r>
      <w:r w:rsidR="00764EAB" w:rsidRPr="00764EAB">
        <w:t xml:space="preserve"> The last measurement was taken 14 h after the addition of 100 ppm </w:t>
      </w:r>
      <m:oMath>
        <m:sSub>
          <m:sSubPr>
            <m:ctrlPr>
              <w:rPr>
                <w:rFonts w:ascii="Cambria Math" w:hAnsi="Cambria Math"/>
                <w:i/>
              </w:rPr>
            </m:ctrlPr>
          </m:sSubPr>
          <m:e>
            <m:r>
              <w:rPr>
                <w:rFonts w:ascii="Cambria Math" w:hAnsi="Cambria Math"/>
              </w:rPr>
              <m:t>Pb</m:t>
            </m:r>
            <m:d>
              <m:dPr>
                <m:ctrlPr>
                  <w:rPr>
                    <w:rFonts w:ascii="Cambria Math" w:hAnsi="Cambria Math"/>
                    <w:i/>
                  </w:rPr>
                </m:ctrlPr>
              </m:dPr>
              <m:e>
                <m:sSub>
                  <m:sSubPr>
                    <m:ctrlPr>
                      <w:rPr>
                        <w:rFonts w:ascii="Cambria Math" w:hAnsi="Cambria Math"/>
                        <w:i/>
                      </w:rPr>
                    </m:ctrlPr>
                  </m:sSubPr>
                  <m:e>
                    <m:r>
                      <w:rPr>
                        <w:rFonts w:ascii="Cambria Math" w:hAnsi="Cambria Math"/>
                      </w:rPr>
                      <m:t>NO</m:t>
                    </m:r>
                  </m:e>
                  <m:sub>
                    <m:r>
                      <w:rPr>
                        <w:rFonts w:ascii="Cambria Math" w:hAnsi="Cambria Math"/>
                      </w:rPr>
                      <m:t>3</m:t>
                    </m:r>
                  </m:sub>
                </m:sSub>
              </m:e>
            </m:d>
          </m:e>
          <m:sub>
            <m:r>
              <w:rPr>
                <w:rFonts w:ascii="Cambria Math" w:hAnsi="Cambria Math"/>
              </w:rPr>
              <m:t>2</m:t>
            </m:r>
          </m:sub>
        </m:sSub>
      </m:oMath>
      <w:r w:rsidR="00764EAB" w:rsidRPr="00764EAB">
        <w:t xml:space="preserve"> to the pure culture.  An attenuated total reflection (ATR) attachment was used in recording spectra on a Perkin Elmer Spectrum 100 FTIR spectrometer.</w:t>
      </w:r>
      <w:r w:rsidR="00764EAB">
        <w:t xml:space="preserve"> </w:t>
      </w:r>
      <w:r w:rsidR="008553A1" w:rsidRPr="008553A1">
        <w:t>All FTIR spectra were recorded on a wavelength from 4000 to 900</w:t>
      </w:r>
      <w:r w:rsidR="008553A1">
        <w:t xml:space="preserve"> </w:t>
      </w:r>
      <m:oMath>
        <m:sSup>
          <m:sSupPr>
            <m:ctrlPr>
              <w:rPr>
                <w:rFonts w:ascii="Cambria Math" w:hAnsi="Cambria Math"/>
                <w:i/>
              </w:rPr>
            </m:ctrlPr>
          </m:sSupPr>
          <m:e>
            <m:r>
              <w:rPr>
                <w:rFonts w:ascii="Cambria Math" w:hAnsi="Cambria Math"/>
              </w:rPr>
              <m:t>cm</m:t>
            </m:r>
          </m:e>
          <m:sup>
            <m:r>
              <w:rPr>
                <w:rFonts w:ascii="Cambria Math" w:hAnsi="Cambria Math"/>
              </w:rPr>
              <m:t>-1</m:t>
            </m:r>
          </m:sup>
        </m:sSup>
      </m:oMath>
      <w:r w:rsidR="008553A1" w:rsidRPr="008553A1">
        <w:t xml:space="preserve"> and represent an average of 30 scans.</w:t>
      </w:r>
      <w:r w:rsidR="008553A1">
        <w:t xml:space="preserve"> </w:t>
      </w:r>
    </w:p>
    <w:p w14:paraId="7B30CFCF" w14:textId="3C059996" w:rsidR="00B2193E" w:rsidRDefault="00B2193E" w:rsidP="00185B93">
      <w:pPr>
        <w:pStyle w:val="CETheadingx"/>
      </w:pPr>
      <w:r w:rsidRPr="00B2193E">
        <w:t xml:space="preserve">Lead </w:t>
      </w:r>
      <w:r>
        <w:t>r</w:t>
      </w:r>
      <w:r w:rsidRPr="00B2193E">
        <w:t xml:space="preserve">emoval </w:t>
      </w:r>
      <w:r>
        <w:t>e</w:t>
      </w:r>
      <w:r w:rsidRPr="00B2193E">
        <w:t xml:space="preserve">xperiments  </w:t>
      </w:r>
    </w:p>
    <w:p w14:paraId="3DE1DD58" w14:textId="648B733E" w:rsidR="00B2193E" w:rsidRDefault="00F92B65" w:rsidP="00B2193E">
      <w:pPr>
        <w:pStyle w:val="CETBodytext"/>
      </w:pPr>
      <w:r w:rsidRPr="00F92B65">
        <w:t xml:space="preserve">Sterilized reactors containing 100 mL of ultrapure water, 1 ml of 1.711 M </w:t>
      </w:r>
      <m:oMath>
        <m:sSub>
          <m:sSubPr>
            <m:ctrlPr>
              <w:rPr>
                <w:rFonts w:ascii="Cambria Math" w:hAnsi="Cambria Math"/>
                <w:i/>
              </w:rPr>
            </m:ctrlPr>
          </m:sSubPr>
          <m:e>
            <m:r>
              <w:rPr>
                <w:rFonts w:ascii="Cambria Math" w:hAnsi="Cambria Math"/>
              </w:rPr>
              <m:t>NaNO</m:t>
            </m:r>
          </m:e>
          <m:sub>
            <m:r>
              <w:rPr>
                <w:rFonts w:ascii="Cambria Math" w:hAnsi="Cambria Math"/>
              </w:rPr>
              <m:t>3</m:t>
            </m:r>
          </m:sub>
        </m:sSub>
      </m:oMath>
      <w:r w:rsidRPr="00F92B65">
        <w:t xml:space="preserve"> salt substitute with oven dried-sterilized bacteria, and 100 ppm of </w:t>
      </w:r>
      <w:proofErr w:type="gramStart"/>
      <w:r w:rsidR="004069AE">
        <w:t>Pb(</w:t>
      </w:r>
      <w:proofErr w:type="gramEnd"/>
      <w:r w:rsidR="004069AE">
        <w:t>II)</w:t>
      </w:r>
      <w:r w:rsidRPr="00F92B65">
        <w:t xml:space="preserve"> was prepared</w:t>
      </w:r>
      <w:r w:rsidR="00F92CFA">
        <w:t xml:space="preserve">. This will serve as the concentration for the basis of </w:t>
      </w:r>
      <w:r w:rsidR="00F92CFA">
        <w:lastRenderedPageBreak/>
        <w:t xml:space="preserve">comparison with </w:t>
      </w:r>
      <w:r w:rsidR="008062F5">
        <w:t>other</w:t>
      </w:r>
      <w:r w:rsidR="00F92CFA">
        <w:t xml:space="preserve"> microbial strains</w:t>
      </w:r>
      <w:r w:rsidR="008062F5">
        <w:t xml:space="preserve"> of the consortium</w:t>
      </w:r>
      <w:r w:rsidRPr="00F92B65">
        <w:t xml:space="preserve">. The reactor was triplicated </w:t>
      </w:r>
      <w:r w:rsidR="00ED151A">
        <w:t xml:space="preserve">to </w:t>
      </w:r>
      <w:r w:rsidR="007057A5">
        <w:t>ensure repeatability</w:t>
      </w:r>
      <w:r w:rsidR="00ED151A">
        <w:t xml:space="preserve"> </w:t>
      </w:r>
      <w:r w:rsidRPr="00F92B65">
        <w:t xml:space="preserve">and the </w:t>
      </w:r>
      <w:proofErr w:type="gramStart"/>
      <w:r w:rsidR="004069AE">
        <w:t>Pb(</w:t>
      </w:r>
      <w:proofErr w:type="gramEnd"/>
      <w:r w:rsidR="004069AE">
        <w:t>II)</w:t>
      </w:r>
      <w:r w:rsidRPr="00F92B65">
        <w:t xml:space="preserve"> removal over a 14 h period was investigated.</w:t>
      </w:r>
      <w:r w:rsidR="002C2066">
        <w:t xml:space="preserve"> </w:t>
      </w:r>
    </w:p>
    <w:p w14:paraId="1533B855" w14:textId="5353FC1C" w:rsidR="009C29EA" w:rsidRDefault="009C29EA" w:rsidP="00B2193E">
      <w:pPr>
        <w:pStyle w:val="CETBodytext"/>
      </w:pPr>
      <w:r w:rsidRPr="009C29EA">
        <w:t xml:space="preserve">Reactors were sampled at various time intervals and filtered (0.45 µm) and initial and final pH readings of the samples were measured. The </w:t>
      </w:r>
      <w:proofErr w:type="gramStart"/>
      <w:r w:rsidR="004069AE">
        <w:t>Pb(</w:t>
      </w:r>
      <w:proofErr w:type="gramEnd"/>
      <w:r w:rsidR="004069AE">
        <w:t>II)</w:t>
      </w:r>
      <w:r w:rsidRPr="009C29EA">
        <w:t xml:space="preserve"> concentration in samples was measured using an atomic absorption spectroscopy (Perkin Elmer </w:t>
      </w:r>
      <w:proofErr w:type="spellStart"/>
      <w:r w:rsidRPr="009C29EA">
        <w:t>AAnalyst</w:t>
      </w:r>
      <w:proofErr w:type="spellEnd"/>
      <w:r w:rsidRPr="009C29EA">
        <w:t xml:space="preserve"> 400, Waltham, Massachusetts).</w:t>
      </w:r>
      <w:r>
        <w:t xml:space="preserve"> </w:t>
      </w:r>
    </w:p>
    <w:p w14:paraId="611031A8" w14:textId="58632243" w:rsidR="00264F30" w:rsidRPr="00264F30" w:rsidRDefault="006B7758" w:rsidP="00264F30">
      <w:pPr>
        <w:pStyle w:val="CETBodytext"/>
      </w:pPr>
      <w:r w:rsidRPr="006B7758">
        <w:t xml:space="preserve">The dry mass of bacteria per mL of pure culture was determined by centrifuging the pure culture at 9000 rpm for 10 min at 4 °C, rinsing with distilled water, and centrifuging again (Van </w:t>
      </w:r>
      <w:proofErr w:type="spellStart"/>
      <w:r w:rsidRPr="006B7758">
        <w:t>Veenhuyzen</w:t>
      </w:r>
      <w:proofErr w:type="spellEnd"/>
      <w:r w:rsidRPr="006B7758">
        <w:t xml:space="preserve"> et al., 2021a) before being oven dried at 74 °C for 24 h.</w:t>
      </w:r>
      <w:r>
        <w:t xml:space="preserve"> </w:t>
      </w:r>
    </w:p>
    <w:p w14:paraId="677EBFF0" w14:textId="3393C81C" w:rsidR="00600535" w:rsidRPr="00B57B36" w:rsidRDefault="0044009E" w:rsidP="00600535">
      <w:pPr>
        <w:pStyle w:val="CETHeading1"/>
        <w:tabs>
          <w:tab w:val="clear" w:pos="360"/>
          <w:tab w:val="right" w:pos="7100"/>
        </w:tabs>
        <w:jc w:val="both"/>
        <w:rPr>
          <w:lang w:val="en-GB"/>
        </w:rPr>
      </w:pPr>
      <w:r w:rsidRPr="0044009E">
        <w:rPr>
          <w:lang w:val="en-GB"/>
        </w:rPr>
        <w:t>Results and discussion</w:t>
      </w:r>
    </w:p>
    <w:p w14:paraId="04963A06" w14:textId="0A3B9746" w:rsidR="00600535" w:rsidRPr="00B57B36" w:rsidRDefault="00AD1A03" w:rsidP="00185B93">
      <w:pPr>
        <w:pStyle w:val="CETheadingx"/>
      </w:pPr>
      <w:r>
        <w:t>FTIR analysis</w:t>
      </w:r>
    </w:p>
    <w:p w14:paraId="123CB7DF" w14:textId="4A8EF996" w:rsidR="00600535" w:rsidRDefault="00AD1A03" w:rsidP="00600535">
      <w:pPr>
        <w:pStyle w:val="CETBodytext"/>
        <w:rPr>
          <w:lang w:val="en-GB"/>
        </w:rPr>
      </w:pPr>
      <w:r w:rsidRPr="00AD1A03">
        <w:rPr>
          <w:lang w:val="en-GB"/>
        </w:rPr>
        <w:t>FTIR analysis for functional groups revealed the presence of two functional groups in the samples. The wavelength and functional group obtained from the spectra are presented in Table 1.</w:t>
      </w:r>
    </w:p>
    <w:p w14:paraId="6A09DC36" w14:textId="32D3FDAA" w:rsidR="00613AEF" w:rsidRDefault="00613AEF" w:rsidP="00613AEF">
      <w:pPr>
        <w:pStyle w:val="CETTabletitle"/>
      </w:pPr>
      <w:r w:rsidRPr="00613AEF">
        <w:t xml:space="preserve">Table 1: FTIR spectra of </w:t>
      </w:r>
      <w:r w:rsidRPr="004069AE">
        <w:rPr>
          <w:i w:val="0"/>
        </w:rPr>
        <w:t>K</w:t>
      </w:r>
      <w:r w:rsidR="004069AE" w:rsidRPr="004069AE">
        <w:rPr>
          <w:i w:val="0"/>
        </w:rPr>
        <w:t>.</w:t>
      </w:r>
      <w:r w:rsidRPr="004069AE">
        <w:rPr>
          <w:i w:val="0"/>
        </w:rPr>
        <w:t xml:space="preserve"> pneumoniae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08"/>
        <w:gridCol w:w="2298"/>
        <w:gridCol w:w="1902"/>
        <w:gridCol w:w="27"/>
        <w:gridCol w:w="1532"/>
      </w:tblGrid>
      <w:tr w:rsidR="00426EF9" w:rsidRPr="00426EF9" w14:paraId="0246D047" w14:textId="77777777" w:rsidTr="00092D46">
        <w:trPr>
          <w:trHeight w:val="228"/>
        </w:trPr>
        <w:tc>
          <w:tcPr>
            <w:tcW w:w="2108" w:type="dxa"/>
            <w:tcBorders>
              <w:top w:val="single" w:sz="12" w:space="0" w:color="008000"/>
              <w:left w:val="nil"/>
              <w:bottom w:val="single" w:sz="6" w:space="0" w:color="008000"/>
              <w:right w:val="nil"/>
            </w:tcBorders>
            <w:shd w:val="clear" w:color="auto" w:fill="FFFFFF"/>
            <w:hideMark/>
          </w:tcPr>
          <w:p w14:paraId="1CE369E5" w14:textId="794311C0" w:rsidR="00426EF9" w:rsidRPr="00426EF9" w:rsidRDefault="00426EF9" w:rsidP="00426EF9">
            <w:r>
              <w:t>Wavelength (</w:t>
            </w:r>
            <m:oMath>
              <m:sSup>
                <m:sSupPr>
                  <m:ctrlPr>
                    <w:rPr>
                      <w:rFonts w:ascii="Cambria Math" w:hAnsi="Cambria Math"/>
                      <w:i/>
                    </w:rPr>
                  </m:ctrlPr>
                </m:sSupPr>
                <m:e>
                  <m:r>
                    <w:rPr>
                      <w:rFonts w:ascii="Cambria Math" w:hAnsi="Cambria Math"/>
                    </w:rPr>
                    <m:t>cm</m:t>
                  </m:r>
                </m:e>
                <m:sup>
                  <m:r>
                    <w:rPr>
                      <w:rFonts w:ascii="Cambria Math" w:hAnsi="Cambria Math"/>
                    </w:rPr>
                    <m:t>-1</m:t>
                  </m:r>
                </m:sup>
              </m:sSup>
              <m:r>
                <w:rPr>
                  <w:rFonts w:ascii="Cambria Math" w:hAnsi="Cambria Math"/>
                </w:rPr>
                <m:t>)</m:t>
              </m:r>
            </m:oMath>
            <w:r w:rsidRPr="00426EF9">
              <w:t xml:space="preserve"> </w:t>
            </w:r>
          </w:p>
        </w:tc>
        <w:tc>
          <w:tcPr>
            <w:tcW w:w="2298" w:type="dxa"/>
            <w:tcBorders>
              <w:top w:val="single" w:sz="12" w:space="0" w:color="008000"/>
              <w:left w:val="nil"/>
              <w:bottom w:val="single" w:sz="6" w:space="0" w:color="008000"/>
              <w:right w:val="nil"/>
            </w:tcBorders>
            <w:shd w:val="clear" w:color="auto" w:fill="FFFFFF"/>
            <w:hideMark/>
          </w:tcPr>
          <w:p w14:paraId="5B62416B" w14:textId="0BA0683A" w:rsidR="00426EF9" w:rsidRPr="00426EF9" w:rsidRDefault="00426EF9" w:rsidP="00426EF9">
            <w:r>
              <w:t>Functional group</w:t>
            </w:r>
          </w:p>
        </w:tc>
        <w:tc>
          <w:tcPr>
            <w:tcW w:w="1902" w:type="dxa"/>
            <w:tcBorders>
              <w:top w:val="single" w:sz="12" w:space="0" w:color="008000"/>
              <w:left w:val="nil"/>
              <w:bottom w:val="single" w:sz="6" w:space="0" w:color="008000"/>
              <w:right w:val="nil"/>
            </w:tcBorders>
            <w:shd w:val="clear" w:color="auto" w:fill="FFFFFF"/>
            <w:hideMark/>
          </w:tcPr>
          <w:p w14:paraId="63748DCB" w14:textId="06FCC98C" w:rsidR="00426EF9" w:rsidRPr="00426EF9" w:rsidRDefault="00426EF9" w:rsidP="00426EF9">
            <w:r>
              <w:t>Reference</w:t>
            </w:r>
          </w:p>
        </w:tc>
        <w:tc>
          <w:tcPr>
            <w:tcW w:w="27" w:type="dxa"/>
            <w:tcBorders>
              <w:top w:val="single" w:sz="12" w:space="0" w:color="008000"/>
              <w:left w:val="nil"/>
              <w:bottom w:val="single" w:sz="6" w:space="0" w:color="008000"/>
              <w:right w:val="nil"/>
            </w:tcBorders>
            <w:shd w:val="clear" w:color="auto" w:fill="FFFFFF"/>
          </w:tcPr>
          <w:p w14:paraId="0970A27B" w14:textId="77777777" w:rsidR="00426EF9" w:rsidRPr="00426EF9" w:rsidRDefault="00426EF9" w:rsidP="00426EF9">
            <w:pPr>
              <w:ind w:right="-1"/>
              <w:rPr>
                <w:rFonts w:cs="Arial"/>
                <w:szCs w:val="18"/>
              </w:rPr>
            </w:pPr>
          </w:p>
        </w:tc>
        <w:tc>
          <w:tcPr>
            <w:tcW w:w="1532" w:type="dxa"/>
            <w:tcBorders>
              <w:top w:val="single" w:sz="12" w:space="0" w:color="008000"/>
              <w:left w:val="nil"/>
              <w:bottom w:val="single" w:sz="6" w:space="0" w:color="008000"/>
              <w:right w:val="nil"/>
            </w:tcBorders>
            <w:shd w:val="clear" w:color="auto" w:fill="FFFFFF"/>
          </w:tcPr>
          <w:p w14:paraId="4115F438" w14:textId="77777777" w:rsidR="00426EF9" w:rsidRPr="00426EF9" w:rsidRDefault="00426EF9" w:rsidP="00426EF9">
            <w:pPr>
              <w:ind w:right="-1"/>
              <w:rPr>
                <w:rFonts w:cs="Arial"/>
                <w:szCs w:val="18"/>
              </w:rPr>
            </w:pPr>
          </w:p>
        </w:tc>
      </w:tr>
      <w:tr w:rsidR="00426EF9" w:rsidRPr="00426EF9" w14:paraId="02616860" w14:textId="77777777" w:rsidTr="00092D46">
        <w:trPr>
          <w:trHeight w:val="429"/>
        </w:trPr>
        <w:tc>
          <w:tcPr>
            <w:tcW w:w="2108" w:type="dxa"/>
            <w:tcBorders>
              <w:top w:val="nil"/>
              <w:left w:val="nil"/>
              <w:bottom w:val="nil"/>
              <w:right w:val="nil"/>
            </w:tcBorders>
            <w:shd w:val="clear" w:color="auto" w:fill="FFFFFF"/>
            <w:hideMark/>
          </w:tcPr>
          <w:p w14:paraId="71B0F5A7" w14:textId="65E95D4F" w:rsidR="00426EF9" w:rsidRPr="00426EF9" w:rsidRDefault="00426EF9" w:rsidP="00426EF9">
            <w:r>
              <w:t>3298</w:t>
            </w:r>
          </w:p>
        </w:tc>
        <w:tc>
          <w:tcPr>
            <w:tcW w:w="2298" w:type="dxa"/>
            <w:tcBorders>
              <w:top w:val="nil"/>
              <w:left w:val="nil"/>
              <w:bottom w:val="nil"/>
              <w:right w:val="nil"/>
            </w:tcBorders>
            <w:shd w:val="clear" w:color="auto" w:fill="FFFFFF"/>
          </w:tcPr>
          <w:p w14:paraId="2CCCFAE9" w14:textId="17A74FCE" w:rsidR="00426EF9" w:rsidRPr="00426EF9" w:rsidRDefault="00426EF9" w:rsidP="00426EF9">
            <w:r>
              <w:t>Hydroxyl compoun</w:t>
            </w:r>
            <w:r w:rsidR="00092D46">
              <w:t>d</w:t>
            </w:r>
          </w:p>
        </w:tc>
        <w:tc>
          <w:tcPr>
            <w:tcW w:w="1902" w:type="dxa"/>
            <w:tcBorders>
              <w:top w:val="nil"/>
              <w:left w:val="nil"/>
              <w:bottom w:val="nil"/>
              <w:right w:val="nil"/>
            </w:tcBorders>
            <w:shd w:val="clear" w:color="auto" w:fill="FFFFFF"/>
          </w:tcPr>
          <w:p w14:paraId="4EC29522" w14:textId="74148F6D" w:rsidR="00426EF9" w:rsidRPr="00426EF9" w:rsidRDefault="00426EF9" w:rsidP="00426EF9">
            <w:proofErr w:type="spellStart"/>
            <w:r w:rsidRPr="00426EF9">
              <w:t>Deepashree</w:t>
            </w:r>
            <w:proofErr w:type="spellEnd"/>
            <w:r w:rsidRPr="00426EF9">
              <w:t xml:space="preserve"> et al., 2013</w:t>
            </w:r>
          </w:p>
        </w:tc>
        <w:tc>
          <w:tcPr>
            <w:tcW w:w="27" w:type="dxa"/>
            <w:tcBorders>
              <w:top w:val="nil"/>
              <w:left w:val="nil"/>
              <w:bottom w:val="nil"/>
              <w:right w:val="nil"/>
            </w:tcBorders>
            <w:shd w:val="clear" w:color="auto" w:fill="FFFFFF"/>
          </w:tcPr>
          <w:p w14:paraId="19E0270D" w14:textId="77777777" w:rsidR="00426EF9" w:rsidRPr="00426EF9" w:rsidRDefault="00426EF9" w:rsidP="00426EF9">
            <w:pPr>
              <w:ind w:right="-1"/>
              <w:rPr>
                <w:rFonts w:cs="Arial"/>
                <w:szCs w:val="18"/>
              </w:rPr>
            </w:pPr>
          </w:p>
        </w:tc>
        <w:tc>
          <w:tcPr>
            <w:tcW w:w="1532" w:type="dxa"/>
            <w:tcBorders>
              <w:top w:val="nil"/>
              <w:left w:val="nil"/>
              <w:bottom w:val="nil"/>
              <w:right w:val="nil"/>
            </w:tcBorders>
            <w:shd w:val="clear" w:color="auto" w:fill="FFFFFF"/>
          </w:tcPr>
          <w:p w14:paraId="4746CE33" w14:textId="77777777" w:rsidR="00426EF9" w:rsidRPr="00426EF9" w:rsidRDefault="00426EF9" w:rsidP="00426EF9">
            <w:pPr>
              <w:ind w:right="-1"/>
              <w:rPr>
                <w:rFonts w:cs="Arial"/>
                <w:szCs w:val="18"/>
              </w:rPr>
            </w:pPr>
          </w:p>
        </w:tc>
      </w:tr>
      <w:tr w:rsidR="00426EF9" w:rsidRPr="00426EF9" w14:paraId="0F2B8D1F" w14:textId="77777777" w:rsidTr="00092D46">
        <w:trPr>
          <w:trHeight w:val="214"/>
        </w:trPr>
        <w:tc>
          <w:tcPr>
            <w:tcW w:w="2108" w:type="dxa"/>
            <w:tcBorders>
              <w:top w:val="nil"/>
              <w:left w:val="nil"/>
              <w:bottom w:val="single" w:sz="12" w:space="0" w:color="008000"/>
              <w:right w:val="nil"/>
            </w:tcBorders>
            <w:shd w:val="clear" w:color="auto" w:fill="FFFFFF"/>
          </w:tcPr>
          <w:p w14:paraId="6DEDE94A" w14:textId="4C6DBCA5" w:rsidR="00426EF9" w:rsidRPr="00426EF9" w:rsidRDefault="00092D46" w:rsidP="00426EF9">
            <w:pPr>
              <w:ind w:right="-1"/>
              <w:rPr>
                <w:rFonts w:cs="Arial"/>
                <w:szCs w:val="18"/>
              </w:rPr>
            </w:pPr>
            <w:r>
              <w:rPr>
                <w:rFonts w:cs="Arial"/>
                <w:szCs w:val="18"/>
              </w:rPr>
              <w:t>1640</w:t>
            </w:r>
          </w:p>
        </w:tc>
        <w:tc>
          <w:tcPr>
            <w:tcW w:w="2298" w:type="dxa"/>
            <w:tcBorders>
              <w:top w:val="nil"/>
              <w:left w:val="nil"/>
              <w:bottom w:val="single" w:sz="12" w:space="0" w:color="008000"/>
              <w:right w:val="nil"/>
            </w:tcBorders>
            <w:shd w:val="clear" w:color="auto" w:fill="FFFFFF"/>
          </w:tcPr>
          <w:p w14:paraId="5B1BA17D" w14:textId="1498C13F" w:rsidR="00426EF9" w:rsidRPr="00426EF9" w:rsidRDefault="00092D46" w:rsidP="00426EF9">
            <w:pPr>
              <w:ind w:right="-1"/>
              <w:rPr>
                <w:rFonts w:cs="Arial"/>
                <w:szCs w:val="18"/>
              </w:rPr>
            </w:pPr>
            <w:r>
              <w:rPr>
                <w:rFonts w:cs="Arial"/>
                <w:szCs w:val="18"/>
              </w:rPr>
              <w:t>Amide</w:t>
            </w:r>
          </w:p>
        </w:tc>
        <w:tc>
          <w:tcPr>
            <w:tcW w:w="1902" w:type="dxa"/>
            <w:tcBorders>
              <w:top w:val="nil"/>
              <w:left w:val="nil"/>
              <w:bottom w:val="single" w:sz="12" w:space="0" w:color="008000"/>
              <w:right w:val="nil"/>
            </w:tcBorders>
            <w:shd w:val="clear" w:color="auto" w:fill="FFFFFF"/>
          </w:tcPr>
          <w:p w14:paraId="4E0F0EA7" w14:textId="0A4C2D05" w:rsidR="00426EF9" w:rsidRPr="00426EF9" w:rsidRDefault="00092D46" w:rsidP="00426EF9">
            <w:pPr>
              <w:ind w:right="-1"/>
              <w:rPr>
                <w:rFonts w:cs="Arial"/>
                <w:szCs w:val="18"/>
              </w:rPr>
            </w:pPr>
            <w:r w:rsidRPr="00092D46">
              <w:rPr>
                <w:rFonts w:cs="Arial"/>
                <w:szCs w:val="18"/>
              </w:rPr>
              <w:t>Y. Liu et al., 2016</w:t>
            </w:r>
          </w:p>
        </w:tc>
        <w:tc>
          <w:tcPr>
            <w:tcW w:w="27" w:type="dxa"/>
            <w:tcBorders>
              <w:top w:val="nil"/>
              <w:left w:val="nil"/>
              <w:bottom w:val="single" w:sz="12" w:space="0" w:color="008000"/>
              <w:right w:val="nil"/>
            </w:tcBorders>
            <w:shd w:val="clear" w:color="auto" w:fill="FFFFFF"/>
          </w:tcPr>
          <w:p w14:paraId="32B1F921" w14:textId="77777777" w:rsidR="00426EF9" w:rsidRPr="00426EF9" w:rsidRDefault="00426EF9" w:rsidP="00426EF9">
            <w:pPr>
              <w:ind w:right="-1"/>
              <w:rPr>
                <w:rFonts w:cs="Arial"/>
                <w:szCs w:val="18"/>
              </w:rPr>
            </w:pPr>
          </w:p>
        </w:tc>
        <w:tc>
          <w:tcPr>
            <w:tcW w:w="1532" w:type="dxa"/>
            <w:tcBorders>
              <w:top w:val="nil"/>
              <w:left w:val="nil"/>
              <w:bottom w:val="single" w:sz="12" w:space="0" w:color="008000"/>
              <w:right w:val="nil"/>
            </w:tcBorders>
            <w:shd w:val="clear" w:color="auto" w:fill="FFFFFF"/>
          </w:tcPr>
          <w:p w14:paraId="70AF465F" w14:textId="77777777" w:rsidR="00426EF9" w:rsidRPr="00426EF9" w:rsidRDefault="00426EF9" w:rsidP="00426EF9">
            <w:pPr>
              <w:ind w:right="-1"/>
              <w:rPr>
                <w:rFonts w:cs="Arial"/>
                <w:szCs w:val="18"/>
              </w:rPr>
            </w:pPr>
          </w:p>
        </w:tc>
      </w:tr>
    </w:tbl>
    <w:p w14:paraId="0FDB6C5E" w14:textId="388A3AB2" w:rsidR="000E0851" w:rsidRDefault="000E0851" w:rsidP="000E0851">
      <w:pPr>
        <w:pStyle w:val="CETBodytext"/>
      </w:pPr>
    </w:p>
    <w:p w14:paraId="0875FFF3" w14:textId="6B9E8A44" w:rsidR="00DE3282" w:rsidRDefault="000E0851" w:rsidP="000E0851">
      <w:pPr>
        <w:pStyle w:val="CETBodytext"/>
      </w:pPr>
      <w:r>
        <w:t>The presence of</w:t>
      </w:r>
      <w:r w:rsidRPr="000E0851">
        <w:t xml:space="preserve"> hydroxyl compound was revealed due to the occurrence of the broad peak found at 3298 </w:t>
      </w:r>
      <m:oMath>
        <m:sSup>
          <m:sSupPr>
            <m:ctrlPr>
              <w:rPr>
                <w:rFonts w:ascii="Cambria Math" w:hAnsi="Cambria Math"/>
                <w:i/>
              </w:rPr>
            </m:ctrlPr>
          </m:sSupPr>
          <m:e>
            <m:r>
              <w:rPr>
                <w:rFonts w:ascii="Cambria Math" w:hAnsi="Cambria Math"/>
              </w:rPr>
              <m:t>cm</m:t>
            </m:r>
          </m:e>
          <m:sup>
            <m:r>
              <w:rPr>
                <w:rFonts w:ascii="Cambria Math" w:hAnsi="Cambria Math"/>
              </w:rPr>
              <m:t>-1</m:t>
            </m:r>
          </m:sup>
        </m:sSup>
      </m:oMath>
      <w:r w:rsidRPr="000E0851">
        <w:t xml:space="preserve"> which was caused by O-H stretching (Deepashree et al., 2013).</w:t>
      </w:r>
      <w:r w:rsidR="00B55A63">
        <w:t xml:space="preserve"> </w:t>
      </w:r>
      <w:r w:rsidR="00B55A63" w:rsidRPr="00B55A63">
        <w:t xml:space="preserve">This finding aligns with literature which shows that hydroxyl functional groups are mainly responsible for the adsorption of </w:t>
      </w:r>
      <w:proofErr w:type="gramStart"/>
      <w:r w:rsidR="004069AE">
        <w:t>Pb(</w:t>
      </w:r>
      <w:proofErr w:type="gramEnd"/>
      <w:r w:rsidR="004069AE">
        <w:t>II)</w:t>
      </w:r>
      <w:r w:rsidR="00B55A63" w:rsidRPr="00B55A63">
        <w:t xml:space="preserve"> (Xiaoping &amp; </w:t>
      </w:r>
      <w:proofErr w:type="spellStart"/>
      <w:r w:rsidR="00B55A63" w:rsidRPr="00B55A63">
        <w:t>Xiaoning</w:t>
      </w:r>
      <w:proofErr w:type="spellEnd"/>
      <w:r w:rsidR="00B55A63" w:rsidRPr="00B55A63">
        <w:t>, 2013).</w:t>
      </w:r>
      <w:r w:rsidR="001B40E5" w:rsidRPr="001B40E5">
        <w:t xml:space="preserve"> The band occurring at 1640</w:t>
      </w:r>
      <w:r w:rsidR="001B40E5">
        <w:t xml:space="preserve"> </w:t>
      </w:r>
      <m:oMath>
        <m:sSup>
          <m:sSupPr>
            <m:ctrlPr>
              <w:rPr>
                <w:rFonts w:ascii="Cambria Math" w:hAnsi="Cambria Math"/>
                <w:i/>
              </w:rPr>
            </m:ctrlPr>
          </m:sSupPr>
          <m:e>
            <m:r>
              <w:rPr>
                <w:rFonts w:ascii="Cambria Math" w:hAnsi="Cambria Math"/>
              </w:rPr>
              <m:t>cm</m:t>
            </m:r>
          </m:e>
          <m:sup>
            <m:r>
              <w:rPr>
                <w:rFonts w:ascii="Cambria Math" w:hAnsi="Cambria Math"/>
              </w:rPr>
              <m:t>-1</m:t>
            </m:r>
          </m:sup>
        </m:sSup>
      </m:oMath>
      <w:r w:rsidR="001B40E5" w:rsidRPr="001B40E5">
        <w:t xml:space="preserve"> was attributed to the occurrence of -C=O in amide I (Y. Liu et al., 2016).</w:t>
      </w:r>
      <w:r w:rsidR="00DE3282">
        <w:t xml:space="preserve"> </w:t>
      </w:r>
    </w:p>
    <w:p w14:paraId="29FAA3E5" w14:textId="69E2FA8D" w:rsidR="000E0851" w:rsidRDefault="00DE3282" w:rsidP="000E0851">
      <w:pPr>
        <w:pStyle w:val="CETBodytext"/>
      </w:pPr>
      <w:r w:rsidRPr="00DE3282">
        <w:t xml:space="preserve">No difference was observed in any of the four spectra which shows that the surface characteristics of the bacteria remain unchanged and oven drying the bacteria at 74 °C for 24 h did not rupture the cell wall of the bacteria. </w:t>
      </w:r>
      <w:r w:rsidR="00B55A63">
        <w:t xml:space="preserve"> </w:t>
      </w:r>
    </w:p>
    <w:p w14:paraId="43B2EF87" w14:textId="129BD094" w:rsidR="00652D7A" w:rsidRDefault="00E36B27" w:rsidP="00652D7A">
      <w:pPr>
        <w:pStyle w:val="CETBodytext"/>
      </w:pPr>
      <w:r>
        <w:rPr>
          <w:noProof/>
        </w:rPr>
        <w:drawing>
          <wp:inline distT="0" distB="0" distL="0" distR="0" wp14:anchorId="7E9D8638" wp14:editId="28011AEE">
            <wp:extent cx="5648325" cy="3657167"/>
            <wp:effectExtent l="0" t="0" r="0" b="63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10"/>
                    <a:stretch>
                      <a:fillRect/>
                    </a:stretch>
                  </pic:blipFill>
                  <pic:spPr>
                    <a:xfrm>
                      <a:off x="0" y="0"/>
                      <a:ext cx="5673577" cy="3673517"/>
                    </a:xfrm>
                    <a:prstGeom prst="rect">
                      <a:avLst/>
                    </a:prstGeom>
                  </pic:spPr>
                </pic:pic>
              </a:graphicData>
            </a:graphic>
          </wp:inline>
        </w:drawing>
      </w:r>
    </w:p>
    <w:p w14:paraId="5D1375B0" w14:textId="51DF5652" w:rsidR="00652D7A" w:rsidRPr="00652D7A" w:rsidRDefault="00652D7A" w:rsidP="00FC0549">
      <w:pPr>
        <w:pStyle w:val="CETCaption"/>
      </w:pPr>
      <w:r w:rsidRPr="00652D7A">
        <w:t xml:space="preserve">Figure 1: FTIR spectra of </w:t>
      </w:r>
      <w:r w:rsidRPr="004069AE">
        <w:rPr>
          <w:i w:val="0"/>
        </w:rPr>
        <w:t>K</w:t>
      </w:r>
      <w:r w:rsidR="004069AE" w:rsidRPr="004069AE">
        <w:rPr>
          <w:i w:val="0"/>
        </w:rPr>
        <w:t>.</w:t>
      </w:r>
      <w:r w:rsidRPr="004069AE">
        <w:rPr>
          <w:i w:val="0"/>
        </w:rPr>
        <w:t xml:space="preserve"> pneumoniae</w:t>
      </w:r>
      <w:r w:rsidRPr="00652D7A">
        <w:t xml:space="preserve"> a) after a growth period of 24 h, b) after oven drying for 24 h at 74°C, c) after exposure to </w:t>
      </w:r>
      <m:oMath>
        <m:sSub>
          <m:sSubPr>
            <m:ctrlPr>
              <w:rPr>
                <w:rFonts w:ascii="Cambria Math" w:hAnsi="Cambria Math"/>
              </w:rPr>
            </m:ctrlPr>
          </m:sSubPr>
          <m:e>
            <m:r>
              <w:rPr>
                <w:rFonts w:ascii="Cambria Math" w:hAnsi="Cambria Math"/>
              </w:rPr>
              <m:t>Pb</m:t>
            </m:r>
            <m:d>
              <m:dPr>
                <m:ctrlPr>
                  <w:rPr>
                    <w:rFonts w:ascii="Cambria Math" w:hAnsi="Cambria Math"/>
                  </w:rPr>
                </m:ctrlPr>
              </m:dPr>
              <m:e>
                <m:sSub>
                  <m:sSubPr>
                    <m:ctrlPr>
                      <w:rPr>
                        <w:rFonts w:ascii="Cambria Math" w:hAnsi="Cambria Math"/>
                      </w:rPr>
                    </m:ctrlPr>
                  </m:sSubPr>
                  <m:e>
                    <m:r>
                      <w:rPr>
                        <w:rFonts w:ascii="Cambria Math" w:hAnsi="Cambria Math"/>
                      </w:rPr>
                      <m:t>NO</m:t>
                    </m:r>
                  </m:e>
                  <m:sub>
                    <m:r>
                      <w:rPr>
                        <w:rFonts w:ascii="Cambria Math" w:hAnsi="Cambria Math"/>
                      </w:rPr>
                      <m:t>3</m:t>
                    </m:r>
                  </m:sub>
                </m:sSub>
              </m:e>
            </m:d>
          </m:e>
          <m:sub>
            <m:r>
              <w:rPr>
                <w:rFonts w:ascii="Cambria Math" w:hAnsi="Cambria Math"/>
              </w:rPr>
              <m:t>2</m:t>
            </m:r>
          </m:sub>
        </m:sSub>
      </m:oMath>
      <w:r w:rsidRPr="00652D7A">
        <w:t>, and d)14 h after adding</w:t>
      </w:r>
      <w:r w:rsidR="00FC0549">
        <w:t xml:space="preserve"> </w:t>
      </w:r>
      <m:oMath>
        <m:sSub>
          <m:sSubPr>
            <m:ctrlPr>
              <w:rPr>
                <w:rFonts w:ascii="Cambria Math" w:hAnsi="Cambria Math"/>
              </w:rPr>
            </m:ctrlPr>
          </m:sSubPr>
          <m:e>
            <m:r>
              <w:rPr>
                <w:rFonts w:ascii="Cambria Math" w:hAnsi="Cambria Math"/>
              </w:rPr>
              <m:t>Pb</m:t>
            </m:r>
            <m:d>
              <m:dPr>
                <m:ctrlPr>
                  <w:rPr>
                    <w:rFonts w:ascii="Cambria Math" w:hAnsi="Cambria Math"/>
                  </w:rPr>
                </m:ctrlPr>
              </m:dPr>
              <m:e>
                <m:sSub>
                  <m:sSubPr>
                    <m:ctrlPr>
                      <w:rPr>
                        <w:rFonts w:ascii="Cambria Math" w:hAnsi="Cambria Math"/>
                      </w:rPr>
                    </m:ctrlPr>
                  </m:sSubPr>
                  <m:e>
                    <m:r>
                      <w:rPr>
                        <w:rFonts w:ascii="Cambria Math" w:hAnsi="Cambria Math"/>
                      </w:rPr>
                      <m:t>NO</m:t>
                    </m:r>
                  </m:e>
                  <m:sub>
                    <m:r>
                      <w:rPr>
                        <w:rFonts w:ascii="Cambria Math" w:hAnsi="Cambria Math"/>
                      </w:rPr>
                      <m:t>3</m:t>
                    </m:r>
                  </m:sub>
                </m:sSub>
              </m:e>
            </m:d>
          </m:e>
          <m:sub>
            <m:r>
              <w:rPr>
                <w:rFonts w:ascii="Cambria Math" w:hAnsi="Cambria Math"/>
              </w:rPr>
              <m:t>2</m:t>
            </m:r>
          </m:sub>
        </m:sSub>
      </m:oMath>
      <w:r w:rsidR="00FC0549">
        <w:t>.</w:t>
      </w:r>
    </w:p>
    <w:p w14:paraId="571549A5" w14:textId="4ED9798E" w:rsidR="00B55A63" w:rsidRDefault="00185B93" w:rsidP="00185B93">
      <w:pPr>
        <w:pStyle w:val="CETheadingx"/>
      </w:pPr>
      <w:r>
        <w:lastRenderedPageBreak/>
        <w:t>Lead removal experiments</w:t>
      </w:r>
    </w:p>
    <w:p w14:paraId="08191F0C" w14:textId="1FBE2AA8" w:rsidR="00185B93" w:rsidRDefault="009D6404" w:rsidP="00185B93">
      <w:pPr>
        <w:pStyle w:val="CETBodytext"/>
      </w:pPr>
      <w:r w:rsidRPr="009D6404">
        <w:t>As shown in figure 2</w:t>
      </w:r>
      <w:r>
        <w:t xml:space="preserve">, 23.1 mg/g (38.8 %) </w:t>
      </w:r>
      <w:r w:rsidRPr="009D6404">
        <w:t xml:space="preserve">%) of the </w:t>
      </w:r>
      <w:proofErr w:type="gramStart"/>
      <w:r w:rsidR="004069AE">
        <w:t>Pb(</w:t>
      </w:r>
      <w:proofErr w:type="gramEnd"/>
      <w:r w:rsidR="004069AE">
        <w:t>II)</w:t>
      </w:r>
      <w:r w:rsidRPr="009D6404">
        <w:t xml:space="preserve"> was removed by oven dried sterilized bacteria in 3 h. A passive process was responsible for </w:t>
      </w:r>
      <w:proofErr w:type="gramStart"/>
      <w:r w:rsidR="004069AE">
        <w:t>Pb(</w:t>
      </w:r>
      <w:proofErr w:type="gramEnd"/>
      <w:r w:rsidR="004069AE">
        <w:t>II)</w:t>
      </w:r>
      <w:r w:rsidRPr="009D6404">
        <w:t xml:space="preserve"> removal from the solution as metabolic activity was not detected using MTT. Black or grey precipitate was not evident in the 14 h period, which indicates that </w:t>
      </w:r>
      <w:proofErr w:type="spellStart"/>
      <w:r w:rsidRPr="009D6404">
        <w:t>PbS</w:t>
      </w:r>
      <w:proofErr w:type="spellEnd"/>
      <w:r w:rsidRPr="009D6404">
        <w:t xml:space="preserve"> or Pb (0) was not formed</w:t>
      </w:r>
      <w:r w:rsidR="0022425D">
        <w:t xml:space="preserve">. </w:t>
      </w:r>
      <w:r w:rsidR="0022425D" w:rsidRPr="0022425D">
        <w:t>The Initial and final pH values of the reactors were 6.13 and 5.83 respectively. The drop in pH</w:t>
      </w:r>
      <w:r w:rsidR="0022425D">
        <w:t xml:space="preserve"> is likely due to the release of protons from the surface of the bacteria because of</w:t>
      </w:r>
      <w:r w:rsidR="0022425D" w:rsidRPr="0022425D">
        <w:t xml:space="preserve"> cation exchange processes in which the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sidR="0022425D" w:rsidRPr="0022425D">
        <w:t xml:space="preserve">-ions are displaced by the </w:t>
      </w:r>
      <w:proofErr w:type="gramStart"/>
      <w:r w:rsidR="004069AE">
        <w:t>Pb(</w:t>
      </w:r>
      <w:proofErr w:type="gramEnd"/>
      <w:r w:rsidR="004069AE">
        <w:t>II)</w:t>
      </w:r>
      <w:r w:rsidR="0022425D" w:rsidRPr="0022425D">
        <w:t>-ions on the surface (Van Veenhuyzen et al., 2021b).</w:t>
      </w:r>
      <w:r w:rsidR="0022425D">
        <w:t xml:space="preserve"> </w:t>
      </w:r>
    </w:p>
    <w:p w14:paraId="79C42EF6" w14:textId="08BA14E4" w:rsidR="00254FC7" w:rsidRDefault="00254FC7" w:rsidP="00185B93">
      <w:pPr>
        <w:pStyle w:val="CETBodytext"/>
      </w:pPr>
      <w:r>
        <w:rPr>
          <w:noProof/>
        </w:rPr>
        <w:drawing>
          <wp:inline distT="0" distB="0" distL="0" distR="0" wp14:anchorId="58AD3E54" wp14:editId="795338E1">
            <wp:extent cx="5438775" cy="3524072"/>
            <wp:effectExtent l="0" t="0" r="0" b="635"/>
            <wp:docPr id="7" name="Picture 7" descr="Chart, 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hape, rectangle&#10;&#10;Description automatically generated"/>
                    <pic:cNvPicPr/>
                  </pic:nvPicPr>
                  <pic:blipFill>
                    <a:blip r:embed="rId11"/>
                    <a:stretch>
                      <a:fillRect/>
                    </a:stretch>
                  </pic:blipFill>
                  <pic:spPr>
                    <a:xfrm>
                      <a:off x="0" y="0"/>
                      <a:ext cx="5483167" cy="3552836"/>
                    </a:xfrm>
                    <a:prstGeom prst="rect">
                      <a:avLst/>
                    </a:prstGeom>
                  </pic:spPr>
                </pic:pic>
              </a:graphicData>
            </a:graphic>
          </wp:inline>
        </w:drawing>
      </w:r>
    </w:p>
    <w:p w14:paraId="251EF5D0" w14:textId="01EF9F12" w:rsidR="00254FC7" w:rsidRDefault="00254FC7" w:rsidP="00254FC7">
      <w:pPr>
        <w:pStyle w:val="CETCaption"/>
      </w:pPr>
      <w:r w:rsidRPr="00254FC7">
        <w:t xml:space="preserve">Figure 2: Graph of </w:t>
      </w:r>
      <w:proofErr w:type="gramStart"/>
      <w:r w:rsidR="004069AE">
        <w:t>Pb(</w:t>
      </w:r>
      <w:proofErr w:type="gramEnd"/>
      <w:r w:rsidR="004069AE">
        <w:t>II)</w:t>
      </w:r>
      <w:r w:rsidRPr="00254FC7">
        <w:t xml:space="preserve"> removal by </w:t>
      </w:r>
      <w:r w:rsidRPr="004069AE">
        <w:rPr>
          <w:i w:val="0"/>
        </w:rPr>
        <w:t>K</w:t>
      </w:r>
      <w:r w:rsidR="004069AE" w:rsidRPr="004069AE">
        <w:rPr>
          <w:i w:val="0"/>
        </w:rPr>
        <w:t>.</w:t>
      </w:r>
      <w:r w:rsidRPr="004069AE">
        <w:rPr>
          <w:i w:val="0"/>
        </w:rPr>
        <w:t xml:space="preserve"> pneumoniae</w:t>
      </w:r>
      <w:r w:rsidRPr="00254FC7">
        <w:t xml:space="preserve"> in mg/g against time in minutes.</w:t>
      </w:r>
    </w:p>
    <w:p w14:paraId="74F866A5" w14:textId="6D7A0127" w:rsidR="00B95CD1" w:rsidRDefault="00B95CD1" w:rsidP="00B95CD1">
      <w:pPr>
        <w:pStyle w:val="CETBodytext"/>
      </w:pPr>
      <w:r w:rsidRPr="00B95CD1">
        <w:t xml:space="preserve">Table 2 shows a summary of comparable </w:t>
      </w:r>
      <w:proofErr w:type="gramStart"/>
      <w:r w:rsidR="004069AE">
        <w:t>Pb(</w:t>
      </w:r>
      <w:proofErr w:type="gramEnd"/>
      <w:r w:rsidR="004069AE">
        <w:t>II)</w:t>
      </w:r>
      <w:r w:rsidRPr="00B95CD1">
        <w:t xml:space="preserve"> adsorption studies from literature and demonstrates that the current study compares very </w:t>
      </w:r>
      <w:proofErr w:type="spellStart"/>
      <w:r w:rsidRPr="00B95CD1">
        <w:t>favourable</w:t>
      </w:r>
      <w:proofErr w:type="spellEnd"/>
      <w:r w:rsidRPr="00B95CD1">
        <w:t xml:space="preserve"> with studies from literature. This indicates that </w:t>
      </w:r>
      <w:r w:rsidRPr="004069AE">
        <w:rPr>
          <w:i/>
        </w:rPr>
        <w:t>K. pneumoniae</w:t>
      </w:r>
      <w:r w:rsidRPr="00B95CD1">
        <w:t xml:space="preserve"> has comparable biosorption properties when compared to results from literature. However, comparison of the adsorption capacity of the original consortium studied by Van </w:t>
      </w:r>
      <w:proofErr w:type="spellStart"/>
      <w:r w:rsidRPr="00B95CD1">
        <w:t>Veenhuyzen</w:t>
      </w:r>
      <w:proofErr w:type="spellEnd"/>
      <w:r w:rsidRPr="00B95CD1">
        <w:t xml:space="preserve"> et at (2021a) shows that </w:t>
      </w:r>
      <w:r w:rsidRPr="004069AE">
        <w:rPr>
          <w:i/>
        </w:rPr>
        <w:t>K. pneumoniae</w:t>
      </w:r>
      <w:r w:rsidRPr="00B95CD1">
        <w:t xml:space="preserve"> had an adsorption capacity an order of magnitude smaller than the overall consortium, indicating that </w:t>
      </w:r>
      <w:r w:rsidRPr="004069AE">
        <w:rPr>
          <w:i/>
        </w:rPr>
        <w:t>K. pneumoniae</w:t>
      </w:r>
      <w:r w:rsidRPr="00B95CD1">
        <w:t xml:space="preserve"> cannot be considered the dominant </w:t>
      </w:r>
      <w:proofErr w:type="spellStart"/>
      <w:r w:rsidRPr="00B95CD1">
        <w:t>biosorbing</w:t>
      </w:r>
      <w:proofErr w:type="spellEnd"/>
      <w:r w:rsidRPr="00B95CD1">
        <w:t xml:space="preserve"> species in the system.</w:t>
      </w:r>
      <w:r>
        <w:t xml:space="preserve"> </w:t>
      </w:r>
    </w:p>
    <w:p w14:paraId="747089D2" w14:textId="77777777" w:rsidR="00625B61" w:rsidRDefault="00625B61" w:rsidP="00B95CD1">
      <w:pPr>
        <w:pStyle w:val="CETBodytext"/>
      </w:pPr>
    </w:p>
    <w:p w14:paraId="7AE46BFB" w14:textId="0FFB9DFD" w:rsidR="00625B61" w:rsidRDefault="00625B61" w:rsidP="00625B61">
      <w:pPr>
        <w:pStyle w:val="CETTabletitle"/>
      </w:pPr>
      <w:r>
        <w:t xml:space="preserve">Table 2: </w:t>
      </w:r>
      <w:r w:rsidRPr="00625B61">
        <w:t>Lead removal assessment by various biomass adsorbents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134"/>
        <w:gridCol w:w="1223"/>
        <w:gridCol w:w="688"/>
        <w:gridCol w:w="588"/>
        <w:gridCol w:w="851"/>
        <w:gridCol w:w="141"/>
        <w:gridCol w:w="1418"/>
        <w:gridCol w:w="1134"/>
      </w:tblGrid>
      <w:tr w:rsidR="00F165BC" w:rsidRPr="00F165BC" w14:paraId="20F53A32" w14:textId="77777777" w:rsidTr="005D6517">
        <w:tc>
          <w:tcPr>
            <w:tcW w:w="1276" w:type="dxa"/>
            <w:tcBorders>
              <w:top w:val="single" w:sz="12" w:space="0" w:color="008000"/>
              <w:bottom w:val="single" w:sz="6" w:space="0" w:color="008000"/>
            </w:tcBorders>
            <w:shd w:val="clear" w:color="auto" w:fill="FFFFFF"/>
          </w:tcPr>
          <w:p w14:paraId="578FBB63" w14:textId="77777777" w:rsidR="00F165BC" w:rsidRPr="00F165BC" w:rsidRDefault="00F165BC" w:rsidP="00F165BC">
            <w:bookmarkStart w:id="0" w:name="_Hlk104859194"/>
            <w:r w:rsidRPr="00F165BC">
              <w:t xml:space="preserve">Biomass </w:t>
            </w:r>
          </w:p>
          <w:p w14:paraId="4014A699" w14:textId="77777777" w:rsidR="00F165BC" w:rsidRPr="00F165BC" w:rsidRDefault="00F165BC" w:rsidP="00F165BC">
            <w:r w:rsidRPr="00F165BC">
              <w:t>properties</w:t>
            </w:r>
          </w:p>
        </w:tc>
        <w:tc>
          <w:tcPr>
            <w:tcW w:w="1134" w:type="dxa"/>
            <w:tcBorders>
              <w:top w:val="single" w:sz="12" w:space="0" w:color="008000"/>
              <w:bottom w:val="single" w:sz="6" w:space="0" w:color="008000"/>
            </w:tcBorders>
            <w:shd w:val="clear" w:color="auto" w:fill="FFFFFF"/>
          </w:tcPr>
          <w:p w14:paraId="7348090E" w14:textId="77777777" w:rsidR="00F165BC" w:rsidRPr="00F165BC" w:rsidRDefault="00F165BC" w:rsidP="00F165BC">
            <w:r w:rsidRPr="00F165BC">
              <w:t>Adsorbent</w:t>
            </w:r>
          </w:p>
          <w:p w14:paraId="2D90573F" w14:textId="77777777" w:rsidR="00F165BC" w:rsidRPr="00F165BC" w:rsidRDefault="00F165BC" w:rsidP="00F165BC">
            <w:r w:rsidRPr="00F165BC">
              <w:t>Mass (mg)</w:t>
            </w:r>
          </w:p>
        </w:tc>
        <w:tc>
          <w:tcPr>
            <w:tcW w:w="1223" w:type="dxa"/>
            <w:tcBorders>
              <w:top w:val="single" w:sz="12" w:space="0" w:color="008000"/>
              <w:bottom w:val="single" w:sz="6" w:space="0" w:color="008000"/>
            </w:tcBorders>
            <w:shd w:val="clear" w:color="auto" w:fill="FFFFFF"/>
          </w:tcPr>
          <w:p w14:paraId="156FDACA" w14:textId="7FB71B6E" w:rsidR="00F165BC" w:rsidRPr="00F165BC" w:rsidRDefault="00F165BC" w:rsidP="00F165BC">
            <w:r w:rsidRPr="00F165BC">
              <w:t xml:space="preserve">Original </w:t>
            </w:r>
            <w:proofErr w:type="gramStart"/>
            <w:r w:rsidR="004069AE">
              <w:t>Pb(</w:t>
            </w:r>
            <w:proofErr w:type="gramEnd"/>
            <w:r w:rsidR="004069AE">
              <w:t>II)</w:t>
            </w:r>
          </w:p>
          <w:p w14:paraId="7F29351F" w14:textId="77777777" w:rsidR="00F165BC" w:rsidRPr="00F165BC" w:rsidRDefault="00F165BC" w:rsidP="00F165BC">
            <w:r w:rsidRPr="00F165BC">
              <w:t>concentration (mg/L)</w:t>
            </w:r>
          </w:p>
        </w:tc>
        <w:tc>
          <w:tcPr>
            <w:tcW w:w="688" w:type="dxa"/>
            <w:tcBorders>
              <w:top w:val="single" w:sz="12" w:space="0" w:color="008000"/>
              <w:bottom w:val="single" w:sz="6" w:space="0" w:color="008000"/>
            </w:tcBorders>
            <w:shd w:val="clear" w:color="auto" w:fill="FFFFFF"/>
          </w:tcPr>
          <w:p w14:paraId="6AE7D9E0" w14:textId="77777777" w:rsidR="00F165BC" w:rsidRPr="00F165BC" w:rsidRDefault="00F165BC" w:rsidP="00F165BC">
            <w:pPr>
              <w:ind w:right="-1"/>
              <w:rPr>
                <w:rFonts w:cs="Arial"/>
                <w:szCs w:val="18"/>
              </w:rPr>
            </w:pPr>
          </w:p>
        </w:tc>
        <w:tc>
          <w:tcPr>
            <w:tcW w:w="588" w:type="dxa"/>
            <w:tcBorders>
              <w:top w:val="single" w:sz="12" w:space="0" w:color="008000"/>
              <w:bottom w:val="single" w:sz="6" w:space="0" w:color="008000"/>
            </w:tcBorders>
            <w:shd w:val="clear" w:color="auto" w:fill="FFFFFF"/>
          </w:tcPr>
          <w:p w14:paraId="5B9E4AB4" w14:textId="77777777" w:rsidR="00F165BC" w:rsidRPr="00F165BC" w:rsidRDefault="00F165BC" w:rsidP="00F165BC">
            <w:pPr>
              <w:ind w:right="-1"/>
              <w:rPr>
                <w:rFonts w:cs="Arial"/>
                <w:szCs w:val="18"/>
              </w:rPr>
            </w:pPr>
            <w:r w:rsidRPr="00F165BC">
              <w:rPr>
                <w:rFonts w:cs="Arial"/>
                <w:szCs w:val="18"/>
              </w:rPr>
              <w:t>Time (h)</w:t>
            </w:r>
          </w:p>
        </w:tc>
        <w:tc>
          <w:tcPr>
            <w:tcW w:w="851" w:type="dxa"/>
            <w:tcBorders>
              <w:top w:val="single" w:sz="12" w:space="0" w:color="008000"/>
              <w:bottom w:val="single" w:sz="6" w:space="0" w:color="008000"/>
            </w:tcBorders>
            <w:shd w:val="clear" w:color="auto" w:fill="FFFFFF"/>
          </w:tcPr>
          <w:p w14:paraId="62A4BD9F" w14:textId="77777777" w:rsidR="00F165BC" w:rsidRPr="00F165BC" w:rsidRDefault="00F165BC" w:rsidP="00F165BC">
            <w:pPr>
              <w:ind w:right="-1"/>
              <w:rPr>
                <w:rFonts w:cs="Arial"/>
                <w:szCs w:val="18"/>
              </w:rPr>
            </w:pPr>
            <w:r w:rsidRPr="00F165BC">
              <w:rPr>
                <w:rFonts w:cs="Arial"/>
                <w:szCs w:val="18"/>
              </w:rPr>
              <w:t xml:space="preserve">Removal (%) </w:t>
            </w:r>
          </w:p>
        </w:tc>
        <w:tc>
          <w:tcPr>
            <w:tcW w:w="141" w:type="dxa"/>
            <w:tcBorders>
              <w:top w:val="single" w:sz="12" w:space="0" w:color="008000"/>
              <w:bottom w:val="single" w:sz="6" w:space="0" w:color="008000"/>
            </w:tcBorders>
            <w:shd w:val="clear" w:color="auto" w:fill="FFFFFF"/>
          </w:tcPr>
          <w:p w14:paraId="650B5B9E" w14:textId="77777777" w:rsidR="00F165BC" w:rsidRPr="00F165BC" w:rsidRDefault="00F165BC" w:rsidP="00F165BC">
            <w:pPr>
              <w:ind w:right="-1"/>
              <w:rPr>
                <w:rFonts w:cs="Arial"/>
                <w:szCs w:val="18"/>
              </w:rPr>
            </w:pPr>
          </w:p>
        </w:tc>
        <w:tc>
          <w:tcPr>
            <w:tcW w:w="1418" w:type="dxa"/>
            <w:tcBorders>
              <w:top w:val="single" w:sz="12" w:space="0" w:color="008000"/>
              <w:bottom w:val="single" w:sz="6" w:space="0" w:color="008000"/>
            </w:tcBorders>
            <w:shd w:val="clear" w:color="auto" w:fill="FFFFFF"/>
          </w:tcPr>
          <w:p w14:paraId="7FC6BAF3" w14:textId="77777777" w:rsidR="00F165BC" w:rsidRPr="00F165BC" w:rsidRDefault="00F165BC" w:rsidP="00F165BC">
            <w:pPr>
              <w:ind w:right="-1"/>
              <w:rPr>
                <w:rFonts w:cs="Arial"/>
                <w:szCs w:val="18"/>
              </w:rPr>
            </w:pPr>
            <w:r w:rsidRPr="00F165BC">
              <w:rPr>
                <w:rFonts w:cs="Arial"/>
                <w:szCs w:val="18"/>
              </w:rPr>
              <w:t>Maximum measured adsorption capacity (mg/g)</w:t>
            </w:r>
          </w:p>
        </w:tc>
        <w:tc>
          <w:tcPr>
            <w:tcW w:w="1134" w:type="dxa"/>
            <w:tcBorders>
              <w:top w:val="single" w:sz="12" w:space="0" w:color="008000"/>
              <w:bottom w:val="single" w:sz="6" w:space="0" w:color="008000"/>
            </w:tcBorders>
            <w:shd w:val="clear" w:color="auto" w:fill="FFFFFF"/>
          </w:tcPr>
          <w:p w14:paraId="05FEF477" w14:textId="77777777" w:rsidR="00F165BC" w:rsidRPr="00F165BC" w:rsidRDefault="00F165BC" w:rsidP="00F165BC">
            <w:pPr>
              <w:ind w:right="-1"/>
              <w:rPr>
                <w:rFonts w:cs="Arial"/>
                <w:szCs w:val="18"/>
              </w:rPr>
            </w:pPr>
            <w:r w:rsidRPr="00F165BC">
              <w:rPr>
                <w:rFonts w:cs="Arial"/>
                <w:szCs w:val="18"/>
              </w:rPr>
              <w:t>Reference</w:t>
            </w:r>
          </w:p>
        </w:tc>
      </w:tr>
      <w:tr w:rsidR="00F165BC" w:rsidRPr="00F165BC" w14:paraId="3A717B6B" w14:textId="77777777" w:rsidTr="005D6517">
        <w:tc>
          <w:tcPr>
            <w:tcW w:w="1276" w:type="dxa"/>
            <w:shd w:val="clear" w:color="auto" w:fill="FFFFFF"/>
          </w:tcPr>
          <w:p w14:paraId="7AC65625" w14:textId="77777777" w:rsidR="00F165BC" w:rsidRPr="00F165BC" w:rsidRDefault="00F165BC" w:rsidP="00F165BC">
            <w:r w:rsidRPr="00F165BC">
              <w:t xml:space="preserve">Battery recycling </w:t>
            </w:r>
          </w:p>
          <w:p w14:paraId="25E3BC4F" w14:textId="77777777" w:rsidR="00F165BC" w:rsidRPr="00F165BC" w:rsidRDefault="00F165BC" w:rsidP="00F165BC">
            <w:r w:rsidRPr="00F165BC">
              <w:t>plant consortium</w:t>
            </w:r>
          </w:p>
        </w:tc>
        <w:tc>
          <w:tcPr>
            <w:tcW w:w="1134" w:type="dxa"/>
            <w:shd w:val="clear" w:color="auto" w:fill="FFFFFF"/>
          </w:tcPr>
          <w:p w14:paraId="2CBBE7B6" w14:textId="77777777" w:rsidR="00F165BC" w:rsidRPr="00F165BC" w:rsidRDefault="00F165BC" w:rsidP="00F165BC">
            <w:r w:rsidRPr="00F165BC">
              <w:t>47.50</w:t>
            </w:r>
          </w:p>
        </w:tc>
        <w:tc>
          <w:tcPr>
            <w:tcW w:w="1223" w:type="dxa"/>
            <w:shd w:val="clear" w:color="auto" w:fill="FFFFFF"/>
          </w:tcPr>
          <w:p w14:paraId="3FB4EFC2" w14:textId="77777777" w:rsidR="00F165BC" w:rsidRPr="00F165BC" w:rsidRDefault="00F165BC" w:rsidP="00F165BC">
            <w:r w:rsidRPr="00F165BC">
              <w:t>150</w:t>
            </w:r>
          </w:p>
        </w:tc>
        <w:tc>
          <w:tcPr>
            <w:tcW w:w="688" w:type="dxa"/>
            <w:shd w:val="clear" w:color="auto" w:fill="FFFFFF"/>
          </w:tcPr>
          <w:p w14:paraId="1B5EB9A0" w14:textId="77777777" w:rsidR="00F165BC" w:rsidRPr="00F165BC" w:rsidRDefault="00F165BC" w:rsidP="00F165BC">
            <w:pPr>
              <w:ind w:right="-1"/>
              <w:rPr>
                <w:rFonts w:cs="Arial"/>
                <w:szCs w:val="18"/>
              </w:rPr>
            </w:pPr>
          </w:p>
        </w:tc>
        <w:tc>
          <w:tcPr>
            <w:tcW w:w="588" w:type="dxa"/>
            <w:shd w:val="clear" w:color="auto" w:fill="FFFFFF"/>
          </w:tcPr>
          <w:p w14:paraId="1C03E1EE" w14:textId="77777777" w:rsidR="00F165BC" w:rsidRPr="00F165BC" w:rsidRDefault="00F165BC" w:rsidP="00F165BC">
            <w:pPr>
              <w:ind w:right="-1"/>
              <w:rPr>
                <w:rFonts w:cs="Arial"/>
                <w:szCs w:val="18"/>
              </w:rPr>
            </w:pPr>
            <w:r w:rsidRPr="00F165BC">
              <w:rPr>
                <w:rFonts w:cs="Arial"/>
                <w:szCs w:val="18"/>
              </w:rPr>
              <w:t>3</w:t>
            </w:r>
          </w:p>
        </w:tc>
        <w:tc>
          <w:tcPr>
            <w:tcW w:w="851" w:type="dxa"/>
            <w:shd w:val="clear" w:color="auto" w:fill="FFFFFF"/>
          </w:tcPr>
          <w:p w14:paraId="5BFF20C8" w14:textId="77777777" w:rsidR="00F165BC" w:rsidRPr="00F165BC" w:rsidRDefault="00F165BC" w:rsidP="00F165BC">
            <w:pPr>
              <w:ind w:right="-1"/>
              <w:rPr>
                <w:rFonts w:cs="Arial"/>
                <w:szCs w:val="18"/>
              </w:rPr>
            </w:pPr>
            <w:r w:rsidRPr="00F165BC">
              <w:rPr>
                <w:rFonts w:cs="Arial"/>
                <w:szCs w:val="18"/>
              </w:rPr>
              <w:t>63</w:t>
            </w:r>
          </w:p>
        </w:tc>
        <w:tc>
          <w:tcPr>
            <w:tcW w:w="141" w:type="dxa"/>
            <w:shd w:val="clear" w:color="auto" w:fill="FFFFFF"/>
          </w:tcPr>
          <w:p w14:paraId="659970C5" w14:textId="77777777" w:rsidR="00F165BC" w:rsidRPr="00F165BC" w:rsidRDefault="00F165BC" w:rsidP="00F165BC">
            <w:pPr>
              <w:ind w:right="-1"/>
              <w:rPr>
                <w:rFonts w:cs="Arial"/>
                <w:szCs w:val="18"/>
              </w:rPr>
            </w:pPr>
          </w:p>
        </w:tc>
        <w:tc>
          <w:tcPr>
            <w:tcW w:w="1418" w:type="dxa"/>
            <w:shd w:val="clear" w:color="auto" w:fill="FFFFFF"/>
          </w:tcPr>
          <w:p w14:paraId="4A8826C8" w14:textId="77777777" w:rsidR="00F165BC" w:rsidRPr="00F165BC" w:rsidRDefault="00F165BC" w:rsidP="00F165BC">
            <w:pPr>
              <w:ind w:right="-1"/>
              <w:rPr>
                <w:rFonts w:cs="Arial"/>
                <w:szCs w:val="18"/>
              </w:rPr>
            </w:pPr>
            <w:r w:rsidRPr="00F165BC">
              <w:rPr>
                <w:rFonts w:cs="Arial"/>
                <w:szCs w:val="18"/>
              </w:rPr>
              <w:t>199</w:t>
            </w:r>
          </w:p>
        </w:tc>
        <w:tc>
          <w:tcPr>
            <w:tcW w:w="1134" w:type="dxa"/>
            <w:shd w:val="clear" w:color="auto" w:fill="FFFFFF"/>
          </w:tcPr>
          <w:p w14:paraId="6444B21A" w14:textId="77777777" w:rsidR="00F165BC" w:rsidRPr="00F165BC" w:rsidRDefault="00F165BC" w:rsidP="00F165BC">
            <w:pPr>
              <w:ind w:right="-1"/>
              <w:rPr>
                <w:rFonts w:cs="Arial"/>
                <w:szCs w:val="18"/>
              </w:rPr>
            </w:pPr>
            <w:r w:rsidRPr="00F165BC">
              <w:rPr>
                <w:rFonts w:cs="Arial"/>
                <w:szCs w:val="18"/>
              </w:rPr>
              <w:t xml:space="preserve">Van </w:t>
            </w:r>
            <w:proofErr w:type="spellStart"/>
            <w:r w:rsidRPr="00F165BC">
              <w:rPr>
                <w:rFonts w:cs="Arial"/>
                <w:szCs w:val="18"/>
              </w:rPr>
              <w:t>Veenhuyzen</w:t>
            </w:r>
            <w:proofErr w:type="spellEnd"/>
            <w:r w:rsidRPr="00F165BC">
              <w:rPr>
                <w:rFonts w:cs="Arial"/>
                <w:szCs w:val="18"/>
              </w:rPr>
              <w:t xml:space="preserve"> et al., 2021a</w:t>
            </w:r>
          </w:p>
        </w:tc>
      </w:tr>
      <w:tr w:rsidR="00F165BC" w:rsidRPr="00F165BC" w14:paraId="2E494C9C" w14:textId="77777777" w:rsidTr="005D6517">
        <w:tc>
          <w:tcPr>
            <w:tcW w:w="1276" w:type="dxa"/>
            <w:shd w:val="clear" w:color="auto" w:fill="FFFFFF"/>
          </w:tcPr>
          <w:p w14:paraId="2E9887E5" w14:textId="77777777" w:rsidR="00F165BC" w:rsidRPr="00F165BC" w:rsidRDefault="00F165BC" w:rsidP="00F165BC">
            <w:r w:rsidRPr="00F165BC">
              <w:t xml:space="preserve">Battery recycling </w:t>
            </w:r>
          </w:p>
          <w:p w14:paraId="2CA235BB" w14:textId="77777777" w:rsidR="00F165BC" w:rsidRPr="00F165BC" w:rsidRDefault="00F165BC" w:rsidP="00F165BC">
            <w:r w:rsidRPr="00F165BC">
              <w:t xml:space="preserve">plant </w:t>
            </w:r>
          </w:p>
          <w:p w14:paraId="65F42318" w14:textId="77777777" w:rsidR="00F165BC" w:rsidRPr="00F165BC" w:rsidRDefault="00F165BC" w:rsidP="00F165BC">
            <w:r w:rsidRPr="00F165BC">
              <w:t>consortium</w:t>
            </w:r>
          </w:p>
        </w:tc>
        <w:tc>
          <w:tcPr>
            <w:tcW w:w="1134" w:type="dxa"/>
            <w:shd w:val="clear" w:color="auto" w:fill="FFFFFF"/>
          </w:tcPr>
          <w:p w14:paraId="61F33997" w14:textId="77777777" w:rsidR="00F165BC" w:rsidRPr="00F165BC" w:rsidRDefault="00F165BC" w:rsidP="00F165BC">
            <w:r w:rsidRPr="00F165BC">
              <w:t>-</w:t>
            </w:r>
          </w:p>
        </w:tc>
        <w:tc>
          <w:tcPr>
            <w:tcW w:w="1223" w:type="dxa"/>
            <w:shd w:val="clear" w:color="auto" w:fill="FFFFFF"/>
          </w:tcPr>
          <w:p w14:paraId="4AF548F2" w14:textId="77777777" w:rsidR="00F165BC" w:rsidRPr="00F165BC" w:rsidRDefault="00F165BC" w:rsidP="00F165BC">
            <w:r w:rsidRPr="00F165BC">
              <w:t>80</w:t>
            </w:r>
          </w:p>
        </w:tc>
        <w:tc>
          <w:tcPr>
            <w:tcW w:w="688" w:type="dxa"/>
            <w:shd w:val="clear" w:color="auto" w:fill="FFFFFF"/>
          </w:tcPr>
          <w:p w14:paraId="3EFC45C1" w14:textId="77777777" w:rsidR="00F165BC" w:rsidRPr="00F165BC" w:rsidRDefault="00F165BC" w:rsidP="00F165BC">
            <w:pPr>
              <w:ind w:right="-1"/>
              <w:rPr>
                <w:rFonts w:cs="Arial"/>
                <w:szCs w:val="18"/>
              </w:rPr>
            </w:pPr>
          </w:p>
        </w:tc>
        <w:tc>
          <w:tcPr>
            <w:tcW w:w="588" w:type="dxa"/>
            <w:shd w:val="clear" w:color="auto" w:fill="FFFFFF"/>
          </w:tcPr>
          <w:p w14:paraId="6F0CCEC8" w14:textId="77777777" w:rsidR="00F165BC" w:rsidRPr="00F165BC" w:rsidRDefault="00F165BC" w:rsidP="00F165BC">
            <w:pPr>
              <w:ind w:right="-1"/>
              <w:rPr>
                <w:rFonts w:cs="Arial"/>
                <w:szCs w:val="18"/>
              </w:rPr>
            </w:pPr>
            <w:r w:rsidRPr="00F165BC">
              <w:rPr>
                <w:rFonts w:cs="Arial"/>
                <w:szCs w:val="18"/>
              </w:rPr>
              <w:t>3</w:t>
            </w:r>
          </w:p>
        </w:tc>
        <w:tc>
          <w:tcPr>
            <w:tcW w:w="851" w:type="dxa"/>
            <w:shd w:val="clear" w:color="auto" w:fill="FFFFFF"/>
          </w:tcPr>
          <w:p w14:paraId="5965CE68" w14:textId="3480FBE1" w:rsidR="00F165BC" w:rsidRPr="00F165BC" w:rsidRDefault="00F165BC" w:rsidP="00F165BC">
            <w:pPr>
              <w:ind w:right="-1"/>
              <w:rPr>
                <w:rFonts w:cs="Arial"/>
                <w:szCs w:val="18"/>
              </w:rPr>
            </w:pPr>
            <w:r w:rsidRPr="00F165BC">
              <w:rPr>
                <w:rFonts w:cs="Arial"/>
                <w:szCs w:val="18"/>
              </w:rPr>
              <w:t xml:space="preserve">50  </w:t>
            </w:r>
            <w:r>
              <w:rPr>
                <w:rFonts w:cs="Arial"/>
                <w:szCs w:val="18"/>
              </w:rPr>
              <w:t xml:space="preserve">            </w:t>
            </w:r>
          </w:p>
        </w:tc>
        <w:tc>
          <w:tcPr>
            <w:tcW w:w="141" w:type="dxa"/>
            <w:shd w:val="clear" w:color="auto" w:fill="FFFFFF"/>
          </w:tcPr>
          <w:p w14:paraId="31AC6072" w14:textId="77777777" w:rsidR="00F165BC" w:rsidRPr="00F165BC" w:rsidRDefault="00F165BC" w:rsidP="00F165BC">
            <w:pPr>
              <w:ind w:right="-1"/>
              <w:rPr>
                <w:rFonts w:cs="Arial"/>
                <w:szCs w:val="18"/>
              </w:rPr>
            </w:pPr>
            <w:r w:rsidRPr="00F165BC">
              <w:rPr>
                <w:rFonts w:cs="Arial"/>
                <w:szCs w:val="18"/>
              </w:rPr>
              <w:t>-</w:t>
            </w:r>
          </w:p>
        </w:tc>
        <w:tc>
          <w:tcPr>
            <w:tcW w:w="1418" w:type="dxa"/>
            <w:shd w:val="clear" w:color="auto" w:fill="FFFFFF"/>
          </w:tcPr>
          <w:p w14:paraId="3CFCC823" w14:textId="77777777" w:rsidR="00F165BC" w:rsidRPr="00F165BC" w:rsidRDefault="00F165BC" w:rsidP="00F165BC">
            <w:pPr>
              <w:ind w:right="-1"/>
              <w:rPr>
                <w:rFonts w:cs="Arial"/>
                <w:szCs w:val="18"/>
              </w:rPr>
            </w:pPr>
          </w:p>
        </w:tc>
        <w:tc>
          <w:tcPr>
            <w:tcW w:w="1134" w:type="dxa"/>
            <w:shd w:val="clear" w:color="auto" w:fill="FFFFFF"/>
          </w:tcPr>
          <w:p w14:paraId="4896AE92" w14:textId="77777777" w:rsidR="00F165BC" w:rsidRPr="00F165BC" w:rsidRDefault="00F165BC" w:rsidP="00F165BC">
            <w:pPr>
              <w:ind w:right="-1"/>
              <w:rPr>
                <w:rFonts w:cs="Arial"/>
                <w:szCs w:val="18"/>
              </w:rPr>
            </w:pPr>
            <w:proofErr w:type="spellStart"/>
            <w:r w:rsidRPr="00F165BC">
              <w:rPr>
                <w:rFonts w:cs="Arial"/>
                <w:szCs w:val="18"/>
              </w:rPr>
              <w:t>Hörstmann</w:t>
            </w:r>
            <w:proofErr w:type="spellEnd"/>
            <w:r w:rsidRPr="00F165BC">
              <w:rPr>
                <w:rFonts w:cs="Arial"/>
                <w:szCs w:val="18"/>
              </w:rPr>
              <w:t xml:space="preserve"> et al.,</w:t>
            </w:r>
          </w:p>
          <w:p w14:paraId="57B3F84B" w14:textId="77777777" w:rsidR="00F165BC" w:rsidRPr="00F165BC" w:rsidRDefault="00F165BC" w:rsidP="00F165BC">
            <w:pPr>
              <w:ind w:right="-1"/>
              <w:rPr>
                <w:rFonts w:cs="Arial"/>
                <w:szCs w:val="18"/>
              </w:rPr>
            </w:pPr>
            <w:r w:rsidRPr="00F165BC">
              <w:rPr>
                <w:rFonts w:cs="Arial"/>
                <w:szCs w:val="18"/>
              </w:rPr>
              <w:t>2020</w:t>
            </w:r>
          </w:p>
        </w:tc>
      </w:tr>
      <w:tr w:rsidR="00F165BC" w:rsidRPr="00F165BC" w14:paraId="3C2CB3AF" w14:textId="77777777" w:rsidTr="005D6517">
        <w:tc>
          <w:tcPr>
            <w:tcW w:w="1276" w:type="dxa"/>
            <w:shd w:val="clear" w:color="auto" w:fill="FFFFFF"/>
          </w:tcPr>
          <w:p w14:paraId="4D0CBDB6" w14:textId="77777777" w:rsidR="00F165BC" w:rsidRPr="00F165BC" w:rsidRDefault="00F165BC" w:rsidP="00F165BC">
            <w:proofErr w:type="spellStart"/>
            <w:r w:rsidRPr="004069AE">
              <w:rPr>
                <w:i/>
              </w:rPr>
              <w:t>Rhodococcus</w:t>
            </w:r>
            <w:proofErr w:type="spellEnd"/>
            <w:r w:rsidRPr="004069AE">
              <w:rPr>
                <w:i/>
              </w:rPr>
              <w:t xml:space="preserve"> </w:t>
            </w:r>
            <w:r w:rsidRPr="00F165BC">
              <w:t>sp. HX-2</w:t>
            </w:r>
          </w:p>
        </w:tc>
        <w:tc>
          <w:tcPr>
            <w:tcW w:w="1134" w:type="dxa"/>
            <w:shd w:val="clear" w:color="auto" w:fill="FFFFFF"/>
          </w:tcPr>
          <w:p w14:paraId="7CD6BC11" w14:textId="77777777" w:rsidR="00F165BC" w:rsidRPr="00F165BC" w:rsidRDefault="00F165BC" w:rsidP="00F165BC">
            <w:r w:rsidRPr="00F165BC">
              <w:t>750</w:t>
            </w:r>
          </w:p>
        </w:tc>
        <w:tc>
          <w:tcPr>
            <w:tcW w:w="1223" w:type="dxa"/>
            <w:shd w:val="clear" w:color="auto" w:fill="FFFFFF"/>
          </w:tcPr>
          <w:p w14:paraId="54F9C6EB" w14:textId="77777777" w:rsidR="00F165BC" w:rsidRPr="00F165BC" w:rsidRDefault="00F165BC" w:rsidP="00F165BC">
            <w:r w:rsidRPr="00F165BC">
              <w:t>200</w:t>
            </w:r>
          </w:p>
        </w:tc>
        <w:tc>
          <w:tcPr>
            <w:tcW w:w="688" w:type="dxa"/>
            <w:shd w:val="clear" w:color="auto" w:fill="FFFFFF"/>
          </w:tcPr>
          <w:p w14:paraId="0D511132" w14:textId="77777777" w:rsidR="00F165BC" w:rsidRPr="00F165BC" w:rsidRDefault="00F165BC" w:rsidP="00F165BC">
            <w:pPr>
              <w:ind w:right="-1"/>
              <w:rPr>
                <w:rFonts w:cs="Arial"/>
                <w:szCs w:val="18"/>
              </w:rPr>
            </w:pPr>
          </w:p>
        </w:tc>
        <w:tc>
          <w:tcPr>
            <w:tcW w:w="588" w:type="dxa"/>
            <w:shd w:val="clear" w:color="auto" w:fill="FFFFFF"/>
          </w:tcPr>
          <w:p w14:paraId="7A0D6D3F" w14:textId="77777777" w:rsidR="00F165BC" w:rsidRPr="00F165BC" w:rsidRDefault="00F165BC" w:rsidP="00F165BC">
            <w:pPr>
              <w:ind w:right="-1"/>
              <w:rPr>
                <w:rFonts w:cs="Arial"/>
                <w:szCs w:val="18"/>
              </w:rPr>
            </w:pPr>
            <w:r w:rsidRPr="00F165BC">
              <w:rPr>
                <w:rFonts w:cs="Arial"/>
                <w:szCs w:val="18"/>
              </w:rPr>
              <w:t>0.5</w:t>
            </w:r>
          </w:p>
        </w:tc>
        <w:tc>
          <w:tcPr>
            <w:tcW w:w="851" w:type="dxa"/>
            <w:shd w:val="clear" w:color="auto" w:fill="FFFFFF"/>
          </w:tcPr>
          <w:p w14:paraId="70251207" w14:textId="77777777" w:rsidR="00F165BC" w:rsidRPr="00F165BC" w:rsidRDefault="00F165BC" w:rsidP="00F165BC">
            <w:pPr>
              <w:ind w:right="-1"/>
              <w:rPr>
                <w:rFonts w:cs="Arial"/>
                <w:szCs w:val="18"/>
              </w:rPr>
            </w:pPr>
            <w:r w:rsidRPr="00F165BC">
              <w:rPr>
                <w:rFonts w:cs="Arial"/>
                <w:szCs w:val="18"/>
              </w:rPr>
              <w:t>47</w:t>
            </w:r>
          </w:p>
        </w:tc>
        <w:tc>
          <w:tcPr>
            <w:tcW w:w="141" w:type="dxa"/>
            <w:shd w:val="clear" w:color="auto" w:fill="FFFFFF"/>
          </w:tcPr>
          <w:p w14:paraId="59319864" w14:textId="77777777" w:rsidR="00F165BC" w:rsidRPr="00F165BC" w:rsidRDefault="00F165BC" w:rsidP="00F165BC">
            <w:pPr>
              <w:ind w:right="-1"/>
              <w:rPr>
                <w:rFonts w:cs="Arial"/>
                <w:szCs w:val="18"/>
              </w:rPr>
            </w:pPr>
          </w:p>
        </w:tc>
        <w:tc>
          <w:tcPr>
            <w:tcW w:w="1418" w:type="dxa"/>
            <w:shd w:val="clear" w:color="auto" w:fill="FFFFFF"/>
          </w:tcPr>
          <w:p w14:paraId="5EB02C49" w14:textId="77777777" w:rsidR="00F165BC" w:rsidRPr="00F165BC" w:rsidRDefault="00F165BC" w:rsidP="00F165BC">
            <w:pPr>
              <w:ind w:right="-1"/>
              <w:rPr>
                <w:rFonts w:cs="Arial"/>
                <w:szCs w:val="18"/>
              </w:rPr>
            </w:pPr>
            <w:r w:rsidRPr="00F165BC">
              <w:rPr>
                <w:rFonts w:cs="Arial"/>
                <w:szCs w:val="18"/>
              </w:rPr>
              <w:t>88.74</w:t>
            </w:r>
          </w:p>
        </w:tc>
        <w:tc>
          <w:tcPr>
            <w:tcW w:w="1134" w:type="dxa"/>
            <w:shd w:val="clear" w:color="auto" w:fill="FFFFFF"/>
          </w:tcPr>
          <w:p w14:paraId="279FE54E" w14:textId="77777777" w:rsidR="00F165BC" w:rsidRPr="00F165BC" w:rsidRDefault="00F165BC" w:rsidP="00F165BC">
            <w:pPr>
              <w:ind w:right="-1"/>
              <w:rPr>
                <w:rFonts w:cs="Arial"/>
                <w:szCs w:val="18"/>
              </w:rPr>
            </w:pPr>
            <w:r w:rsidRPr="00F165BC">
              <w:rPr>
                <w:rFonts w:cs="Arial"/>
                <w:szCs w:val="18"/>
              </w:rPr>
              <w:t>Hu et al., 2020</w:t>
            </w:r>
          </w:p>
        </w:tc>
      </w:tr>
      <w:tr w:rsidR="00F165BC" w:rsidRPr="00F165BC" w14:paraId="39055470" w14:textId="77777777" w:rsidTr="005D6517">
        <w:tc>
          <w:tcPr>
            <w:tcW w:w="1276" w:type="dxa"/>
            <w:shd w:val="clear" w:color="auto" w:fill="FFFFFF"/>
          </w:tcPr>
          <w:p w14:paraId="19F60BF4" w14:textId="77777777" w:rsidR="00F165BC" w:rsidRPr="004069AE" w:rsidRDefault="00F165BC" w:rsidP="00F165BC">
            <w:pPr>
              <w:rPr>
                <w:i/>
              </w:rPr>
            </w:pPr>
            <w:r w:rsidRPr="004069AE">
              <w:rPr>
                <w:i/>
              </w:rPr>
              <w:lastRenderedPageBreak/>
              <w:t>Streptomyces</w:t>
            </w:r>
          </w:p>
          <w:p w14:paraId="0F355F25" w14:textId="77777777" w:rsidR="00F165BC" w:rsidRPr="00F165BC" w:rsidRDefault="00F165BC" w:rsidP="00F165BC">
            <w:proofErr w:type="spellStart"/>
            <w:r w:rsidRPr="004069AE">
              <w:rPr>
                <w:i/>
              </w:rPr>
              <w:t>rimosus</w:t>
            </w:r>
            <w:proofErr w:type="spellEnd"/>
          </w:p>
        </w:tc>
        <w:tc>
          <w:tcPr>
            <w:tcW w:w="1134" w:type="dxa"/>
            <w:shd w:val="clear" w:color="auto" w:fill="FFFFFF"/>
          </w:tcPr>
          <w:p w14:paraId="0D8FB735" w14:textId="77777777" w:rsidR="00F165BC" w:rsidRPr="00F165BC" w:rsidRDefault="00F165BC" w:rsidP="00F165BC">
            <w:r w:rsidRPr="00F165BC">
              <w:t>3000</w:t>
            </w:r>
          </w:p>
        </w:tc>
        <w:tc>
          <w:tcPr>
            <w:tcW w:w="1223" w:type="dxa"/>
            <w:shd w:val="clear" w:color="auto" w:fill="FFFFFF"/>
          </w:tcPr>
          <w:p w14:paraId="5D741889" w14:textId="77777777" w:rsidR="00F165BC" w:rsidRPr="00F165BC" w:rsidRDefault="00F165BC" w:rsidP="00F165BC">
            <w:r w:rsidRPr="00F165BC">
              <w:t>500</w:t>
            </w:r>
          </w:p>
        </w:tc>
        <w:tc>
          <w:tcPr>
            <w:tcW w:w="688" w:type="dxa"/>
            <w:shd w:val="clear" w:color="auto" w:fill="FFFFFF"/>
          </w:tcPr>
          <w:p w14:paraId="49DE2705" w14:textId="77777777" w:rsidR="00F165BC" w:rsidRPr="00F165BC" w:rsidRDefault="00F165BC" w:rsidP="00F165BC">
            <w:pPr>
              <w:ind w:right="-1"/>
              <w:rPr>
                <w:rFonts w:cs="Arial"/>
                <w:szCs w:val="18"/>
              </w:rPr>
            </w:pPr>
          </w:p>
        </w:tc>
        <w:tc>
          <w:tcPr>
            <w:tcW w:w="588" w:type="dxa"/>
            <w:shd w:val="clear" w:color="auto" w:fill="FFFFFF"/>
          </w:tcPr>
          <w:p w14:paraId="6A8BD031" w14:textId="77777777" w:rsidR="00F165BC" w:rsidRPr="00F165BC" w:rsidRDefault="00F165BC" w:rsidP="00F165BC">
            <w:pPr>
              <w:ind w:right="-1"/>
              <w:rPr>
                <w:rFonts w:cs="Arial"/>
                <w:szCs w:val="18"/>
              </w:rPr>
            </w:pPr>
            <w:r w:rsidRPr="00F165BC">
              <w:rPr>
                <w:rFonts w:cs="Arial"/>
                <w:szCs w:val="18"/>
              </w:rPr>
              <w:t>3</w:t>
            </w:r>
          </w:p>
        </w:tc>
        <w:tc>
          <w:tcPr>
            <w:tcW w:w="851" w:type="dxa"/>
            <w:shd w:val="clear" w:color="auto" w:fill="FFFFFF"/>
          </w:tcPr>
          <w:p w14:paraId="10BEDECA" w14:textId="77777777" w:rsidR="00F165BC" w:rsidRPr="00F165BC" w:rsidRDefault="00F165BC" w:rsidP="00F165BC">
            <w:pPr>
              <w:ind w:right="-1"/>
              <w:rPr>
                <w:rFonts w:cs="Arial"/>
                <w:szCs w:val="18"/>
              </w:rPr>
            </w:pPr>
            <w:r w:rsidRPr="00F165BC">
              <w:rPr>
                <w:rFonts w:cs="Arial"/>
                <w:szCs w:val="18"/>
              </w:rPr>
              <w:t>20</w:t>
            </w:r>
          </w:p>
        </w:tc>
        <w:tc>
          <w:tcPr>
            <w:tcW w:w="141" w:type="dxa"/>
            <w:shd w:val="clear" w:color="auto" w:fill="FFFFFF"/>
          </w:tcPr>
          <w:p w14:paraId="0575AFF2" w14:textId="77777777" w:rsidR="00F165BC" w:rsidRPr="00F165BC" w:rsidRDefault="00F165BC" w:rsidP="00F165BC">
            <w:pPr>
              <w:ind w:right="-1"/>
              <w:rPr>
                <w:rFonts w:cs="Arial"/>
                <w:szCs w:val="18"/>
              </w:rPr>
            </w:pPr>
          </w:p>
        </w:tc>
        <w:tc>
          <w:tcPr>
            <w:tcW w:w="1418" w:type="dxa"/>
            <w:shd w:val="clear" w:color="auto" w:fill="FFFFFF"/>
          </w:tcPr>
          <w:p w14:paraId="0EEB921C" w14:textId="77777777" w:rsidR="00F165BC" w:rsidRPr="00F165BC" w:rsidRDefault="00F165BC" w:rsidP="00F165BC">
            <w:pPr>
              <w:ind w:right="-1"/>
              <w:rPr>
                <w:rFonts w:cs="Arial"/>
                <w:szCs w:val="18"/>
              </w:rPr>
            </w:pPr>
            <w:r w:rsidRPr="00F165BC">
              <w:rPr>
                <w:rFonts w:cs="Arial"/>
                <w:szCs w:val="18"/>
              </w:rPr>
              <w:t>135</w:t>
            </w:r>
          </w:p>
        </w:tc>
        <w:tc>
          <w:tcPr>
            <w:tcW w:w="1134" w:type="dxa"/>
            <w:shd w:val="clear" w:color="auto" w:fill="FFFFFF"/>
          </w:tcPr>
          <w:p w14:paraId="7E5102AD" w14:textId="77777777" w:rsidR="00F165BC" w:rsidRPr="00F165BC" w:rsidRDefault="00F165BC" w:rsidP="00F165BC">
            <w:pPr>
              <w:ind w:right="-1"/>
              <w:rPr>
                <w:rFonts w:cs="Arial"/>
                <w:szCs w:val="18"/>
              </w:rPr>
            </w:pPr>
            <w:proofErr w:type="spellStart"/>
            <w:r w:rsidRPr="00F165BC">
              <w:rPr>
                <w:rFonts w:cs="Arial"/>
                <w:szCs w:val="18"/>
              </w:rPr>
              <w:t>Selatnia</w:t>
            </w:r>
            <w:proofErr w:type="spellEnd"/>
            <w:r w:rsidRPr="00F165BC">
              <w:rPr>
                <w:rFonts w:cs="Arial"/>
                <w:szCs w:val="18"/>
              </w:rPr>
              <w:t xml:space="preserve"> et al.,</w:t>
            </w:r>
          </w:p>
          <w:p w14:paraId="04E0A422" w14:textId="77777777" w:rsidR="00F165BC" w:rsidRPr="00F165BC" w:rsidRDefault="00F165BC" w:rsidP="00F165BC">
            <w:pPr>
              <w:ind w:right="-1"/>
              <w:rPr>
                <w:rFonts w:cs="Arial"/>
                <w:szCs w:val="18"/>
              </w:rPr>
            </w:pPr>
            <w:r w:rsidRPr="00F165BC">
              <w:rPr>
                <w:rFonts w:cs="Arial"/>
                <w:szCs w:val="18"/>
              </w:rPr>
              <w:t>2004</w:t>
            </w:r>
          </w:p>
        </w:tc>
      </w:tr>
      <w:tr w:rsidR="00F165BC" w:rsidRPr="00F165BC" w14:paraId="0533DBBB" w14:textId="77777777" w:rsidTr="005D6517">
        <w:tc>
          <w:tcPr>
            <w:tcW w:w="1276" w:type="dxa"/>
            <w:shd w:val="clear" w:color="auto" w:fill="FFFFFF"/>
          </w:tcPr>
          <w:p w14:paraId="1C852D59" w14:textId="77777777" w:rsidR="00F165BC" w:rsidRPr="004069AE" w:rsidRDefault="00F165BC" w:rsidP="00F165BC">
            <w:pPr>
              <w:ind w:right="-1"/>
              <w:rPr>
                <w:rFonts w:cs="Arial"/>
                <w:i/>
                <w:szCs w:val="18"/>
              </w:rPr>
            </w:pPr>
            <w:r w:rsidRPr="004069AE">
              <w:rPr>
                <w:rFonts w:cs="Arial"/>
                <w:i/>
                <w:szCs w:val="18"/>
              </w:rPr>
              <w:t>Klebsiella pneumoniae</w:t>
            </w:r>
          </w:p>
        </w:tc>
        <w:tc>
          <w:tcPr>
            <w:tcW w:w="1134" w:type="dxa"/>
            <w:shd w:val="clear" w:color="auto" w:fill="FFFFFF"/>
          </w:tcPr>
          <w:p w14:paraId="3C296EF2" w14:textId="637521FB" w:rsidR="00F165BC" w:rsidRPr="00F165BC" w:rsidRDefault="00E55D3D" w:rsidP="00F165BC">
            <w:pPr>
              <w:ind w:right="-1"/>
              <w:rPr>
                <w:rFonts w:cs="Arial"/>
                <w:szCs w:val="18"/>
              </w:rPr>
            </w:pPr>
            <w:r>
              <w:rPr>
                <w:rFonts w:cs="Arial"/>
                <w:szCs w:val="18"/>
              </w:rPr>
              <w:t>36.2</w:t>
            </w:r>
          </w:p>
        </w:tc>
        <w:tc>
          <w:tcPr>
            <w:tcW w:w="1223" w:type="dxa"/>
            <w:shd w:val="clear" w:color="auto" w:fill="FFFFFF"/>
          </w:tcPr>
          <w:p w14:paraId="1C921BEC" w14:textId="77777777" w:rsidR="00F165BC" w:rsidRPr="00F165BC" w:rsidRDefault="00F165BC" w:rsidP="00F165BC">
            <w:pPr>
              <w:ind w:right="-1"/>
              <w:rPr>
                <w:rFonts w:cs="Arial"/>
                <w:szCs w:val="18"/>
              </w:rPr>
            </w:pPr>
            <w:r w:rsidRPr="00F165BC">
              <w:rPr>
                <w:rFonts w:cs="Arial"/>
                <w:szCs w:val="18"/>
              </w:rPr>
              <w:t>100</w:t>
            </w:r>
          </w:p>
        </w:tc>
        <w:tc>
          <w:tcPr>
            <w:tcW w:w="688" w:type="dxa"/>
            <w:shd w:val="clear" w:color="auto" w:fill="FFFFFF"/>
          </w:tcPr>
          <w:p w14:paraId="2C45F6B1" w14:textId="77777777" w:rsidR="00F165BC" w:rsidRPr="00F165BC" w:rsidRDefault="00F165BC" w:rsidP="00F165BC">
            <w:pPr>
              <w:ind w:right="-1"/>
              <w:rPr>
                <w:rFonts w:cs="Arial"/>
                <w:szCs w:val="18"/>
              </w:rPr>
            </w:pPr>
          </w:p>
        </w:tc>
        <w:tc>
          <w:tcPr>
            <w:tcW w:w="588" w:type="dxa"/>
            <w:shd w:val="clear" w:color="auto" w:fill="FFFFFF"/>
          </w:tcPr>
          <w:p w14:paraId="1315A27F" w14:textId="77777777" w:rsidR="00F165BC" w:rsidRPr="00F165BC" w:rsidRDefault="00F165BC" w:rsidP="00F165BC">
            <w:pPr>
              <w:ind w:right="-1"/>
              <w:rPr>
                <w:rFonts w:cs="Arial"/>
                <w:szCs w:val="18"/>
              </w:rPr>
            </w:pPr>
            <w:r w:rsidRPr="00F165BC">
              <w:rPr>
                <w:rFonts w:cs="Arial"/>
                <w:szCs w:val="18"/>
              </w:rPr>
              <w:t>3</w:t>
            </w:r>
          </w:p>
        </w:tc>
        <w:tc>
          <w:tcPr>
            <w:tcW w:w="851" w:type="dxa"/>
            <w:shd w:val="clear" w:color="auto" w:fill="FFFFFF"/>
          </w:tcPr>
          <w:p w14:paraId="40078C79" w14:textId="77777777" w:rsidR="00F165BC" w:rsidRPr="00F165BC" w:rsidRDefault="00F165BC" w:rsidP="00F165BC">
            <w:pPr>
              <w:ind w:right="-1"/>
              <w:rPr>
                <w:rFonts w:cs="Arial"/>
                <w:szCs w:val="18"/>
              </w:rPr>
            </w:pPr>
            <w:r w:rsidRPr="00F165BC">
              <w:rPr>
                <w:rFonts w:cs="Arial"/>
                <w:szCs w:val="18"/>
              </w:rPr>
              <w:t>38.8</w:t>
            </w:r>
          </w:p>
        </w:tc>
        <w:tc>
          <w:tcPr>
            <w:tcW w:w="141" w:type="dxa"/>
            <w:shd w:val="clear" w:color="auto" w:fill="FFFFFF"/>
          </w:tcPr>
          <w:p w14:paraId="7CA4C97B" w14:textId="77777777" w:rsidR="00F165BC" w:rsidRPr="00F165BC" w:rsidRDefault="00F165BC" w:rsidP="00F165BC">
            <w:pPr>
              <w:ind w:right="-1"/>
              <w:rPr>
                <w:rFonts w:cs="Arial"/>
                <w:szCs w:val="18"/>
              </w:rPr>
            </w:pPr>
          </w:p>
        </w:tc>
        <w:tc>
          <w:tcPr>
            <w:tcW w:w="1418" w:type="dxa"/>
            <w:shd w:val="clear" w:color="auto" w:fill="FFFFFF"/>
          </w:tcPr>
          <w:p w14:paraId="58D2777B" w14:textId="77777777" w:rsidR="00F165BC" w:rsidRPr="00F165BC" w:rsidRDefault="00F165BC" w:rsidP="00F165BC">
            <w:pPr>
              <w:ind w:right="-1"/>
              <w:rPr>
                <w:rFonts w:cs="Arial"/>
                <w:szCs w:val="18"/>
              </w:rPr>
            </w:pPr>
            <w:r w:rsidRPr="00F165BC">
              <w:rPr>
                <w:rFonts w:cs="Arial"/>
                <w:szCs w:val="18"/>
              </w:rPr>
              <w:t>23.1</w:t>
            </w:r>
          </w:p>
        </w:tc>
        <w:tc>
          <w:tcPr>
            <w:tcW w:w="1134" w:type="dxa"/>
            <w:shd w:val="clear" w:color="auto" w:fill="FFFFFF"/>
          </w:tcPr>
          <w:p w14:paraId="1D3E9702" w14:textId="77777777" w:rsidR="00F165BC" w:rsidRPr="00F165BC" w:rsidRDefault="00F165BC" w:rsidP="00F165BC">
            <w:pPr>
              <w:ind w:right="-1"/>
              <w:rPr>
                <w:rFonts w:cs="Arial"/>
                <w:szCs w:val="18"/>
              </w:rPr>
            </w:pPr>
            <w:r w:rsidRPr="00F165BC">
              <w:rPr>
                <w:rFonts w:cs="Arial"/>
                <w:szCs w:val="18"/>
              </w:rPr>
              <w:t>This study</w:t>
            </w:r>
          </w:p>
        </w:tc>
      </w:tr>
      <w:bookmarkEnd w:id="0"/>
    </w:tbl>
    <w:p w14:paraId="731E4AFD" w14:textId="104D7B55" w:rsidR="00625B61" w:rsidRPr="00185B93" w:rsidRDefault="00625B61" w:rsidP="00B95CD1">
      <w:pPr>
        <w:pStyle w:val="CETBodytext"/>
      </w:pPr>
    </w:p>
    <w:p w14:paraId="68D26B83" w14:textId="77777777" w:rsidR="00600535" w:rsidRPr="00B57B36" w:rsidRDefault="00600535" w:rsidP="00600535">
      <w:pPr>
        <w:pStyle w:val="CETHeading1"/>
        <w:rPr>
          <w:lang w:val="en-GB"/>
        </w:rPr>
      </w:pPr>
      <w:r w:rsidRPr="00B57B36">
        <w:rPr>
          <w:lang w:val="en-GB"/>
        </w:rPr>
        <w:t>Conclusions</w:t>
      </w:r>
    </w:p>
    <w:p w14:paraId="5E5C57A1" w14:textId="6BD0FEB9" w:rsidR="00F00B7F" w:rsidRDefault="00C818A7" w:rsidP="003B3B94">
      <w:pPr>
        <w:pStyle w:val="CETBodytext"/>
        <w:rPr>
          <w:lang w:val="en-GB"/>
        </w:rPr>
      </w:pPr>
      <w:r w:rsidRPr="00C818A7">
        <w:rPr>
          <w:lang w:val="en-GB"/>
        </w:rPr>
        <w:t>In our research,</w:t>
      </w:r>
      <w:r>
        <w:rPr>
          <w:lang w:val="en-GB"/>
        </w:rPr>
        <w:t xml:space="preserve"> </w:t>
      </w:r>
      <w:r w:rsidRPr="00C818A7">
        <w:rPr>
          <w:lang w:val="en-GB"/>
        </w:rPr>
        <w:t xml:space="preserve">metabolically inactive </w:t>
      </w:r>
      <w:r w:rsidRPr="004069AE">
        <w:rPr>
          <w:i/>
          <w:lang w:val="en-GB"/>
        </w:rPr>
        <w:t>K</w:t>
      </w:r>
      <w:r w:rsidR="004069AE" w:rsidRPr="004069AE">
        <w:rPr>
          <w:i/>
          <w:lang w:val="en-GB"/>
        </w:rPr>
        <w:t>.</w:t>
      </w:r>
      <w:r w:rsidRPr="004069AE">
        <w:rPr>
          <w:i/>
          <w:lang w:val="en-GB"/>
        </w:rPr>
        <w:t xml:space="preserve"> pneumoniae</w:t>
      </w:r>
      <w:r w:rsidRPr="00C818A7">
        <w:rPr>
          <w:lang w:val="en-GB"/>
        </w:rPr>
        <w:t xml:space="preserve"> was employed as a </w:t>
      </w:r>
      <w:proofErr w:type="spellStart"/>
      <w:r w:rsidRPr="00C818A7">
        <w:rPr>
          <w:lang w:val="en-GB"/>
        </w:rPr>
        <w:t>biosorbent</w:t>
      </w:r>
      <w:proofErr w:type="spellEnd"/>
      <w:r w:rsidRPr="00C818A7">
        <w:rPr>
          <w:lang w:val="en-GB"/>
        </w:rPr>
        <w:t xml:space="preserve"> to eliminate </w:t>
      </w:r>
      <w:proofErr w:type="gramStart"/>
      <w:r w:rsidR="004069AE">
        <w:rPr>
          <w:lang w:val="en-GB"/>
        </w:rPr>
        <w:t>Pb(</w:t>
      </w:r>
      <w:proofErr w:type="gramEnd"/>
      <w:r w:rsidR="004069AE">
        <w:rPr>
          <w:lang w:val="en-GB"/>
        </w:rPr>
        <w:t>II)</w:t>
      </w:r>
      <w:r w:rsidRPr="00C818A7">
        <w:rPr>
          <w:lang w:val="en-GB"/>
        </w:rPr>
        <w:t xml:space="preserve"> from aqueous solution. It was found that oven drying the bacteria at 74 °C for 24 h inhibited the metabolic activity of the bacteria without rupturing the cell wall.</w:t>
      </w:r>
      <w:r>
        <w:rPr>
          <w:lang w:val="en-GB"/>
        </w:rPr>
        <w:t xml:space="preserve"> </w:t>
      </w:r>
      <w:r w:rsidR="004069AE">
        <w:rPr>
          <w:lang w:val="en-GB"/>
        </w:rPr>
        <w:t>Metabolically inactive</w:t>
      </w:r>
      <w:r w:rsidRPr="00C818A7">
        <w:rPr>
          <w:lang w:val="en-GB"/>
        </w:rPr>
        <w:t xml:space="preserve"> </w:t>
      </w:r>
      <w:r w:rsidRPr="004069AE">
        <w:rPr>
          <w:i/>
          <w:lang w:val="en-GB"/>
        </w:rPr>
        <w:t>K</w:t>
      </w:r>
      <w:r w:rsidR="004069AE" w:rsidRPr="004069AE">
        <w:rPr>
          <w:i/>
          <w:lang w:val="en-GB"/>
        </w:rPr>
        <w:t>.</w:t>
      </w:r>
      <w:r w:rsidRPr="004069AE">
        <w:rPr>
          <w:i/>
          <w:lang w:val="en-GB"/>
        </w:rPr>
        <w:t xml:space="preserve"> pneumoniae</w:t>
      </w:r>
      <w:r w:rsidRPr="00C818A7">
        <w:rPr>
          <w:lang w:val="en-GB"/>
        </w:rPr>
        <w:t xml:space="preserve"> removed</w:t>
      </w:r>
      <w:r>
        <w:rPr>
          <w:lang w:val="en-GB"/>
        </w:rPr>
        <w:t xml:space="preserve"> 23.1 mg/g (38.8 %) </w:t>
      </w:r>
      <w:r w:rsidRPr="00C818A7">
        <w:rPr>
          <w:lang w:val="en-GB"/>
        </w:rPr>
        <w:t xml:space="preserve">of </w:t>
      </w:r>
      <w:proofErr w:type="gramStart"/>
      <w:r w:rsidR="004069AE">
        <w:rPr>
          <w:lang w:val="en-GB"/>
        </w:rPr>
        <w:t>Pb(</w:t>
      </w:r>
      <w:proofErr w:type="gramEnd"/>
      <w:r w:rsidR="004069AE">
        <w:rPr>
          <w:lang w:val="en-GB"/>
        </w:rPr>
        <w:t>II)</w:t>
      </w:r>
      <w:r w:rsidRPr="00C818A7">
        <w:rPr>
          <w:lang w:val="en-GB"/>
        </w:rPr>
        <w:t xml:space="preserve"> in 3 h, and FTIR spectroscopy indicated the biosorption of </w:t>
      </w:r>
      <w:r w:rsidR="004069AE">
        <w:rPr>
          <w:lang w:val="en-GB"/>
        </w:rPr>
        <w:t>Pb(II)</w:t>
      </w:r>
      <w:r w:rsidRPr="00C818A7">
        <w:rPr>
          <w:lang w:val="en-GB"/>
        </w:rPr>
        <w:t xml:space="preserve"> onto functional groups (Hydroxyl compound and Amide) as being responsible for this removal. It was found that, </w:t>
      </w:r>
      <w:r w:rsidRPr="004069AE">
        <w:rPr>
          <w:i/>
          <w:lang w:val="en-GB"/>
        </w:rPr>
        <w:t>K</w:t>
      </w:r>
      <w:r w:rsidR="004069AE" w:rsidRPr="004069AE">
        <w:rPr>
          <w:i/>
          <w:lang w:val="en-GB"/>
        </w:rPr>
        <w:t>.</w:t>
      </w:r>
      <w:r w:rsidRPr="004069AE">
        <w:rPr>
          <w:i/>
          <w:lang w:val="en-GB"/>
        </w:rPr>
        <w:t xml:space="preserve"> pneumoniae</w:t>
      </w:r>
      <w:r w:rsidRPr="00C818A7">
        <w:rPr>
          <w:lang w:val="en-GB"/>
        </w:rPr>
        <w:t xml:space="preserve"> lowered the pH of the solution by generating molecular hydrogen</w:t>
      </w:r>
      <w:r w:rsidR="004069AE">
        <w:rPr>
          <w:lang w:val="en-GB"/>
        </w:rPr>
        <w:t xml:space="preserve"> likely</w:t>
      </w:r>
      <w:r w:rsidRPr="00C818A7">
        <w:rPr>
          <w:lang w:val="en-GB"/>
        </w:rPr>
        <w:t xml:space="preserve"> due to </w:t>
      </w:r>
      <w:r w:rsidR="004069AE">
        <w:rPr>
          <w:lang w:val="en-GB"/>
        </w:rPr>
        <w:t xml:space="preserve">the cationic exchange of surface bound </w:t>
      </w:r>
      <w:r w:rsidR="003C1AF4">
        <w:rPr>
          <w:lang w:val="en-GB"/>
        </w:rPr>
        <w:t>protons</w:t>
      </w:r>
      <w:r w:rsidR="004069AE">
        <w:rPr>
          <w:lang w:val="en-GB"/>
        </w:rPr>
        <w:t xml:space="preserve"> with </w:t>
      </w:r>
      <w:proofErr w:type="gramStart"/>
      <w:r w:rsidR="004069AE">
        <w:rPr>
          <w:lang w:val="en-GB"/>
        </w:rPr>
        <w:t>Pb(</w:t>
      </w:r>
      <w:proofErr w:type="gramEnd"/>
      <w:r w:rsidR="004069AE">
        <w:rPr>
          <w:lang w:val="en-GB"/>
        </w:rPr>
        <w:t>II) ions</w:t>
      </w:r>
      <w:r w:rsidRPr="00C818A7">
        <w:rPr>
          <w:lang w:val="en-GB"/>
        </w:rPr>
        <w:t xml:space="preserve">. Conclusions drawn from this research allow for further study on the comparison of the biosorption effectiveness of the isolated microbial strains to the previously studied consortium to determine the respective contributions of the strains to </w:t>
      </w:r>
      <w:proofErr w:type="gramStart"/>
      <w:r w:rsidR="004069AE">
        <w:rPr>
          <w:lang w:val="en-GB"/>
        </w:rPr>
        <w:t>Pb(</w:t>
      </w:r>
      <w:proofErr w:type="gramEnd"/>
      <w:r w:rsidR="004069AE">
        <w:rPr>
          <w:lang w:val="en-GB"/>
        </w:rPr>
        <w:t>II)</w:t>
      </w:r>
      <w:r w:rsidRPr="00C818A7">
        <w:rPr>
          <w:lang w:val="en-GB"/>
        </w:rPr>
        <w:t xml:space="preserve"> removal</w:t>
      </w:r>
      <w:r w:rsidR="00E41520">
        <w:rPr>
          <w:lang w:val="en-GB"/>
        </w:rPr>
        <w:t xml:space="preserve"> which will be applied in concurrence with a kinetic model </w:t>
      </w:r>
      <w:r w:rsidR="003B3B94" w:rsidRPr="003B3B94">
        <w:rPr>
          <w:lang w:val="en-GB"/>
        </w:rPr>
        <w:t>to develop a design</w:t>
      </w:r>
      <w:r w:rsidR="00E41520">
        <w:rPr>
          <w:lang w:val="en-GB"/>
        </w:rPr>
        <w:t xml:space="preserve"> </w:t>
      </w:r>
      <w:r w:rsidR="003B3B94" w:rsidRPr="003B3B94">
        <w:rPr>
          <w:lang w:val="en-GB"/>
        </w:rPr>
        <w:t>and implementation strategy for continuous bio</w:t>
      </w:r>
      <w:r w:rsidR="00E41520">
        <w:rPr>
          <w:lang w:val="en-GB"/>
        </w:rPr>
        <w:t>-</w:t>
      </w:r>
      <w:r w:rsidR="003B3B94" w:rsidRPr="003B3B94">
        <w:rPr>
          <w:lang w:val="en-GB"/>
        </w:rPr>
        <w:t>removal and re</w:t>
      </w:r>
      <w:r w:rsidR="00E41520">
        <w:rPr>
          <w:lang w:val="en-GB"/>
        </w:rPr>
        <w:t>generation</w:t>
      </w:r>
      <w:r w:rsidR="003B3B94" w:rsidRPr="003B3B94">
        <w:rPr>
          <w:lang w:val="en-GB"/>
        </w:rPr>
        <w:t xml:space="preserve"> of Pb(II) from industrial effluents.</w:t>
      </w:r>
    </w:p>
    <w:p w14:paraId="459D05E6" w14:textId="77777777" w:rsidR="00600535" w:rsidRPr="00B57B36" w:rsidRDefault="00600535" w:rsidP="00600535">
      <w:pPr>
        <w:pStyle w:val="CETAcknowledgementstitle"/>
      </w:pPr>
      <w:r w:rsidRPr="00B57B36">
        <w:t>Acknowledgments</w:t>
      </w:r>
    </w:p>
    <w:p w14:paraId="33F8138F" w14:textId="36E71CAE" w:rsidR="00600535" w:rsidRPr="00B57B36" w:rsidRDefault="004069AE" w:rsidP="00600535">
      <w:pPr>
        <w:pStyle w:val="CETBodytext"/>
        <w:rPr>
          <w:lang w:val="en-GB"/>
        </w:rPr>
      </w:pPr>
      <w:r w:rsidRPr="004069AE">
        <w:rPr>
          <w:lang w:val="en-GB"/>
        </w:rPr>
        <w:t>This work is based on the research supported in part by the National Research Foundation of South Africa (Grant Numbers 120321, 145848, 121891 and 128088</w:t>
      </w:r>
      <w:r>
        <w:rPr>
          <w:lang w:val="en-GB"/>
        </w:rPr>
        <w:t>)</w:t>
      </w:r>
    </w:p>
    <w:p w14:paraId="03CEA04C" w14:textId="040F81DA" w:rsidR="00C52C3C" w:rsidRDefault="00600535" w:rsidP="00AF219E">
      <w:pPr>
        <w:pStyle w:val="CETReference"/>
      </w:pPr>
      <w:r w:rsidRPr="00B57B36">
        <w:t>References</w:t>
      </w:r>
    </w:p>
    <w:p w14:paraId="131700F4" w14:textId="283569A7" w:rsidR="0017236F" w:rsidRDefault="0017236F" w:rsidP="00D87710">
      <w:pPr>
        <w:pStyle w:val="CETReferencetext"/>
      </w:pPr>
      <w:r>
        <w:t>Barakat</w:t>
      </w:r>
      <w:r>
        <w:t xml:space="preserve"> M. A.</w:t>
      </w:r>
      <w:r>
        <w:t>,</w:t>
      </w:r>
      <w:r>
        <w:t xml:space="preserve"> 2011, </w:t>
      </w:r>
      <w:r>
        <w:t>New trends in removing heavy metals from industrial wastewater</w:t>
      </w:r>
      <w:r w:rsidR="00D87710">
        <w:t xml:space="preserve">. </w:t>
      </w:r>
      <w:r>
        <w:t>Arabian Journal of Chemistry,</w:t>
      </w:r>
      <w:r w:rsidR="00D87710">
        <w:t xml:space="preserve"> </w:t>
      </w:r>
      <w:r>
        <w:t>Volume 4, Issue 4,</w:t>
      </w:r>
      <w:r w:rsidR="00D87710">
        <w:t xml:space="preserve"> </w:t>
      </w:r>
      <w:r>
        <w:t>361-377</w:t>
      </w:r>
      <w:r w:rsidR="00D87710">
        <w:t xml:space="preserve">. </w:t>
      </w:r>
    </w:p>
    <w:p w14:paraId="0549840F" w14:textId="092CB48B" w:rsidR="0047025A" w:rsidRDefault="0047025A" w:rsidP="004364DF">
      <w:pPr>
        <w:pStyle w:val="CETReferencetext"/>
      </w:pPr>
      <w:r w:rsidRPr="0047025A">
        <w:t xml:space="preserve">Brink, H.G., </w:t>
      </w:r>
      <w:proofErr w:type="spellStart"/>
      <w:r w:rsidRPr="0047025A">
        <w:t>Lategan</w:t>
      </w:r>
      <w:proofErr w:type="spellEnd"/>
      <w:r w:rsidRPr="0047025A">
        <w:t xml:space="preserve">, M., </w:t>
      </w:r>
      <w:proofErr w:type="spellStart"/>
      <w:r w:rsidRPr="0047025A">
        <w:t>Naudé</w:t>
      </w:r>
      <w:proofErr w:type="spellEnd"/>
      <w:r w:rsidRPr="0047025A">
        <w:t>, K. and Chirwa, E., 2017</w:t>
      </w:r>
      <w:r>
        <w:t>,</w:t>
      </w:r>
      <w:r w:rsidRPr="0047025A">
        <w:t xml:space="preserve"> Lead removal using industrially sourced consortia: influence of lead and glucose concentrations.</w:t>
      </w:r>
    </w:p>
    <w:p w14:paraId="619CDCDB" w14:textId="203751CA" w:rsidR="00E4397A" w:rsidRDefault="00E4397A" w:rsidP="004364DF">
      <w:pPr>
        <w:pStyle w:val="CETReferencetext"/>
      </w:pPr>
      <w:proofErr w:type="spellStart"/>
      <w:r>
        <w:t>Deepashree</w:t>
      </w:r>
      <w:proofErr w:type="spellEnd"/>
      <w:r>
        <w:t xml:space="preserve"> C. L., Komal K. J., Prasad A. G. D., </w:t>
      </w:r>
      <w:proofErr w:type="spellStart"/>
      <w:r>
        <w:t>Zarei</w:t>
      </w:r>
      <w:proofErr w:type="spellEnd"/>
      <w:r>
        <w:t xml:space="preserve"> M., Gopal S., 2013, FTIR Spectroscopic Studies on Cleome </w:t>
      </w:r>
      <w:proofErr w:type="spellStart"/>
      <w:r>
        <w:t>Gynandra</w:t>
      </w:r>
      <w:proofErr w:type="spellEnd"/>
      <w:r>
        <w:t xml:space="preserve">-Comparative Analysis of Functional Group before and after Extraction. Romanian Journal of Biophysics, 22, 137-143.  </w:t>
      </w:r>
    </w:p>
    <w:p w14:paraId="34294704" w14:textId="26F9A4DC" w:rsidR="00E4397A" w:rsidRDefault="00AA55E7" w:rsidP="004364DF">
      <w:pPr>
        <w:pStyle w:val="CETReferencetext"/>
      </w:pPr>
      <w:r>
        <w:t xml:space="preserve">Dixit R., </w:t>
      </w:r>
      <w:proofErr w:type="spellStart"/>
      <w:r>
        <w:t>Wasiullah</w:t>
      </w:r>
      <w:proofErr w:type="spellEnd"/>
      <w:r>
        <w:t xml:space="preserve"> M. D., Pandiyan K., Singh U.B., </w:t>
      </w:r>
      <w:proofErr w:type="spellStart"/>
      <w:r>
        <w:t>Sahu</w:t>
      </w:r>
      <w:proofErr w:type="spellEnd"/>
      <w:r>
        <w:t xml:space="preserve"> A., Shukla R., Singh B.P., Rai J.P., Sharma P.K., Lade H., Paul D., 2015, Bioremediation of Heavy Metals from Soil and Aquatic Environment: An Overview of Principles and Criteria of Fundamental Processes Sustain, 2189 – 2212</w:t>
      </w:r>
      <w:r w:rsidR="00DD5C42">
        <w:t>.</w:t>
      </w:r>
    </w:p>
    <w:p w14:paraId="46D65BB5" w14:textId="64846E23" w:rsidR="00AA55E7" w:rsidRDefault="00AA55E7" w:rsidP="004364DF">
      <w:pPr>
        <w:pStyle w:val="CETReferencetext"/>
      </w:pPr>
      <w:proofErr w:type="spellStart"/>
      <w:r>
        <w:t>Fewtrell</w:t>
      </w:r>
      <w:proofErr w:type="spellEnd"/>
      <w:r>
        <w:t xml:space="preserve"> L. J., </w:t>
      </w:r>
      <w:proofErr w:type="spellStart"/>
      <w:r>
        <w:t>Pruss-Ustun</w:t>
      </w:r>
      <w:proofErr w:type="spellEnd"/>
      <w:r>
        <w:t xml:space="preserve"> A., </w:t>
      </w:r>
      <w:proofErr w:type="spellStart"/>
      <w:r>
        <w:t>Landrigan</w:t>
      </w:r>
      <w:proofErr w:type="spellEnd"/>
      <w:r>
        <w:t xml:space="preserve"> P., </w:t>
      </w:r>
      <w:proofErr w:type="spellStart"/>
      <w:r>
        <w:t>Ayuso-Mateos</w:t>
      </w:r>
      <w:proofErr w:type="spellEnd"/>
      <w:r>
        <w:t xml:space="preserve"> J. L., 2004, Estimating the Global Burden of Disease of Mild Mental Retardation and Cardiovascular Diseases from Environmental Lead Exposure. Environmental Research,</w:t>
      </w:r>
      <w:r w:rsidR="006251C0">
        <w:t xml:space="preserve"> </w:t>
      </w:r>
      <w:r>
        <w:t>Volume 94, No. 2, 120-133.</w:t>
      </w:r>
    </w:p>
    <w:p w14:paraId="6C65EE40" w14:textId="12DE0D3E" w:rsidR="00AA55E7" w:rsidRDefault="00AA55E7" w:rsidP="004364DF">
      <w:pPr>
        <w:pStyle w:val="CETReferencetext"/>
      </w:pPr>
      <w:r>
        <w:t>Fu F., Wang Q., 2011, Removal of Heavy Metal Ions from Wastewaters. Journal of</w:t>
      </w:r>
      <w:r w:rsidR="004364DF">
        <w:t xml:space="preserve"> </w:t>
      </w:r>
      <w:r>
        <w:t>Environmental Management, Volume 92, 407-418.</w:t>
      </w:r>
    </w:p>
    <w:p w14:paraId="6241460B" w14:textId="54BFA35E" w:rsidR="00AA55E7" w:rsidRDefault="00AA55E7" w:rsidP="006251C0">
      <w:pPr>
        <w:pStyle w:val="CETReferencetext"/>
      </w:pPr>
      <w:r>
        <w:t>Hashem M.A., Nur-A-</w:t>
      </w:r>
      <w:proofErr w:type="spellStart"/>
      <w:r>
        <w:t>Tomal</w:t>
      </w:r>
      <w:proofErr w:type="spellEnd"/>
      <w:r>
        <w:t xml:space="preserve"> M.S., Mondal N.R., Rahman M.A., 2017, Hair Burning and Liming in Tanneries is a Source of Pollution by Arsenic, Lead, Zinc, Manganese, and</w:t>
      </w:r>
      <w:r w:rsidR="006251C0">
        <w:t xml:space="preserve"> </w:t>
      </w:r>
      <w:r>
        <w:t>Iron Environ. Chem. Lett., 501-506</w:t>
      </w:r>
      <w:r w:rsidR="00DD5C42">
        <w:t>.</w:t>
      </w:r>
    </w:p>
    <w:p w14:paraId="56EB3081" w14:textId="5DF08678" w:rsidR="001D2448" w:rsidRDefault="001D2448" w:rsidP="006251C0">
      <w:pPr>
        <w:pStyle w:val="CETReferencetext"/>
      </w:pPr>
      <w:r w:rsidRPr="001D2448">
        <w:t xml:space="preserve">He Y., Wu P., Xiao W., Li G., Yi J., He Y., Chen C., Ding </w:t>
      </w:r>
      <w:proofErr w:type="spellStart"/>
      <w:proofErr w:type="gramStart"/>
      <w:r w:rsidRPr="001D2448">
        <w:t>P.,Duan</w:t>
      </w:r>
      <w:proofErr w:type="spellEnd"/>
      <w:proofErr w:type="gramEnd"/>
      <w:r w:rsidRPr="001D2448">
        <w:t xml:space="preserve"> Y., 2019, Efficient removal of Pb(II) from aqueous solution by a novel ion imprinted magnetic </w:t>
      </w:r>
      <w:proofErr w:type="spellStart"/>
      <w:r w:rsidRPr="001D2448">
        <w:t>biosorbent</w:t>
      </w:r>
      <w:proofErr w:type="spellEnd"/>
      <w:r w:rsidRPr="001D2448">
        <w:t xml:space="preserve">: Adsorption kinetics and mechanisms. </w:t>
      </w:r>
      <w:proofErr w:type="spellStart"/>
      <w:r w:rsidRPr="001D2448">
        <w:t>PloS</w:t>
      </w:r>
      <w:proofErr w:type="spellEnd"/>
      <w:r w:rsidRPr="001D2448">
        <w:t xml:space="preserve"> one.</w:t>
      </w:r>
    </w:p>
    <w:p w14:paraId="1691E304" w14:textId="61A4D72E" w:rsidR="00AA55E7" w:rsidRDefault="005F4DC3" w:rsidP="006251C0">
      <w:pPr>
        <w:pStyle w:val="CETReferencetext"/>
      </w:pPr>
      <w:proofErr w:type="spellStart"/>
      <w:r>
        <w:t>Hörstmann</w:t>
      </w:r>
      <w:proofErr w:type="spellEnd"/>
      <w:r w:rsidR="00BC2843">
        <w:t xml:space="preserve"> </w:t>
      </w:r>
      <w:r>
        <w:t xml:space="preserve">C., Brink, H.G. and Chirwa, E.M.N., 2020. </w:t>
      </w:r>
      <w:proofErr w:type="gramStart"/>
      <w:r>
        <w:t>Pb(</w:t>
      </w:r>
      <w:proofErr w:type="gramEnd"/>
      <w:r>
        <w:t>II) Bio-Removal, Viability, and</w:t>
      </w:r>
      <w:r w:rsidR="006251C0">
        <w:t xml:space="preserve"> </w:t>
      </w:r>
      <w:r>
        <w:t>Population Distribution of an Industrial Microbial Consortium: The Effect of Pb(II) and</w:t>
      </w:r>
      <w:r w:rsidR="006251C0">
        <w:t xml:space="preserve"> </w:t>
      </w:r>
      <w:r>
        <w:t>Nutrient Concentrations. Sustainability, p.2511.</w:t>
      </w:r>
    </w:p>
    <w:p w14:paraId="53391E88" w14:textId="1A364FFB" w:rsidR="00BC2843" w:rsidRDefault="00BC2843" w:rsidP="006251C0">
      <w:pPr>
        <w:pStyle w:val="CETReferencetext"/>
      </w:pPr>
      <w:r>
        <w:t xml:space="preserve">Hu X., Cao J., Yang H., Li D., </w:t>
      </w:r>
      <w:proofErr w:type="spellStart"/>
      <w:r>
        <w:t>Qiao</w:t>
      </w:r>
      <w:proofErr w:type="spellEnd"/>
      <w:r>
        <w:t xml:space="preserve"> Y., et al., 2020, </w:t>
      </w:r>
      <m:oMath>
        <m:sSup>
          <m:sSupPr>
            <m:ctrlPr>
              <w:rPr>
                <w:rFonts w:ascii="Cambria Math" w:hAnsi="Cambria Math"/>
                <w:i/>
              </w:rPr>
            </m:ctrlPr>
          </m:sSupPr>
          <m:e>
            <m:r>
              <w:rPr>
                <w:rFonts w:ascii="Cambria Math" w:hAnsi="Cambria Math"/>
              </w:rPr>
              <m:t>Pb</m:t>
            </m:r>
          </m:e>
          <m:sup>
            <m:r>
              <w:rPr>
                <w:rFonts w:ascii="Cambria Math" w:hAnsi="Cambria Math"/>
              </w:rPr>
              <m:t>2+</m:t>
            </m:r>
          </m:sup>
        </m:sSup>
      </m:oMath>
      <w:r>
        <w:t xml:space="preserve"> biosorption from aqueous</w:t>
      </w:r>
      <w:r w:rsidR="006251C0">
        <w:t xml:space="preserve"> </w:t>
      </w:r>
      <w:r>
        <w:t xml:space="preserve">solutions by live and dead </w:t>
      </w:r>
      <w:proofErr w:type="spellStart"/>
      <w:r>
        <w:t>biosorbents</w:t>
      </w:r>
      <w:proofErr w:type="spellEnd"/>
      <w:r>
        <w:t xml:space="preserve"> of the hydrocarbon-degrading strain </w:t>
      </w:r>
      <w:proofErr w:type="spellStart"/>
      <w:r>
        <w:t>Rhodococcus</w:t>
      </w:r>
      <w:proofErr w:type="spellEnd"/>
      <w:r>
        <w:t xml:space="preserve"> sp. HX-2. PLOS ONE 15(1)</w:t>
      </w:r>
      <w:r w:rsidR="00DD5C42">
        <w:t>.</w:t>
      </w:r>
    </w:p>
    <w:p w14:paraId="7730B33D" w14:textId="7EEDC1CF" w:rsidR="00BC2843" w:rsidRDefault="00BC2843" w:rsidP="006251C0">
      <w:pPr>
        <w:pStyle w:val="CETReferencetext"/>
      </w:pPr>
      <w:proofErr w:type="spellStart"/>
      <w:r>
        <w:t>Jeong</w:t>
      </w:r>
      <w:proofErr w:type="spellEnd"/>
      <w:r>
        <w:t xml:space="preserve"> S.W., Kim H.K., Yang J.E., Choi Y.J., 2019, Removal of </w:t>
      </w:r>
      <w:proofErr w:type="gramStart"/>
      <w:r w:rsidR="004069AE">
        <w:t>Pb(</w:t>
      </w:r>
      <w:proofErr w:type="gramEnd"/>
      <w:r w:rsidR="004069AE">
        <w:t>II)</w:t>
      </w:r>
      <w:r>
        <w:t xml:space="preserve"> by Pellicle-Like</w:t>
      </w:r>
      <w:r w:rsidR="006251C0">
        <w:t xml:space="preserve"> </w:t>
      </w:r>
      <w:r>
        <w:t xml:space="preserve">Biofilm-Producing </w:t>
      </w:r>
      <w:proofErr w:type="spellStart"/>
      <w:r>
        <w:t>Methylobacterium</w:t>
      </w:r>
      <w:proofErr w:type="spellEnd"/>
      <w:r>
        <w:t xml:space="preserve"> </w:t>
      </w:r>
      <w:proofErr w:type="spellStart"/>
      <w:r>
        <w:t>hispanicum</w:t>
      </w:r>
      <w:proofErr w:type="spellEnd"/>
      <w:r>
        <w:t xml:space="preserve"> EM2 Strain from Aqueous Media.</w:t>
      </w:r>
    </w:p>
    <w:p w14:paraId="02311B83" w14:textId="6BA376C8" w:rsidR="00CF6ACD" w:rsidRDefault="00CF6ACD" w:rsidP="006251C0">
      <w:pPr>
        <w:pStyle w:val="CETReferencetext"/>
      </w:pPr>
      <w:r w:rsidRPr="00CF6ACD">
        <w:t>Kurniawan, T.A., Chan, G.Y., Lo, W.H. and Babel, S., 2006. Comparisons of low-cost adsorbents for treating wastewaters laden with heavy metals. Science of the total environment, 366(2-3), pp.409-426.</w:t>
      </w:r>
    </w:p>
    <w:p w14:paraId="692C0A7F" w14:textId="03F03C46" w:rsidR="004E1223" w:rsidRDefault="004E1223" w:rsidP="006251C0">
      <w:pPr>
        <w:pStyle w:val="CETReferencetext"/>
      </w:pPr>
      <w:r w:rsidRPr="004E1223">
        <w:t>Leung, W.C., Wong, M.F., Chua, H., Lo, W., Yu, P.H.F. and Leung, C.K., 2000. Removal and recovery of heavy metals by bacteria isolated from activated sludge treating industrial effluents and municipal wastewater. Water science and technology, 41(12), pp.233-240.</w:t>
      </w:r>
    </w:p>
    <w:p w14:paraId="03931C1D" w14:textId="17CF5EBC" w:rsidR="00BC2843" w:rsidRDefault="004F6AAA" w:rsidP="00975307">
      <w:pPr>
        <w:pStyle w:val="CETReferencetext"/>
      </w:pPr>
      <w:r>
        <w:lastRenderedPageBreak/>
        <w:t xml:space="preserve">Liu Y., Alessi D.S., </w:t>
      </w:r>
      <w:proofErr w:type="spellStart"/>
      <w:r>
        <w:t>Owttrim</w:t>
      </w:r>
      <w:proofErr w:type="spellEnd"/>
      <w:r>
        <w:t xml:space="preserve"> G.W., Kenney J.P.L., Zhou Q., Lalonde S.V., </w:t>
      </w:r>
      <w:proofErr w:type="spellStart"/>
      <w:r>
        <w:t>Konhauser</w:t>
      </w:r>
      <w:proofErr w:type="spellEnd"/>
      <w:r>
        <w:t xml:space="preserve"> K.O., 2016, Cell Surface Acid-Base Properties of the Cyanobacterium </w:t>
      </w:r>
      <w:proofErr w:type="spellStart"/>
      <w:r>
        <w:t>Synechococcus</w:t>
      </w:r>
      <w:proofErr w:type="spellEnd"/>
      <w:r>
        <w:t>:</w:t>
      </w:r>
      <w:r w:rsidR="00975307">
        <w:t xml:space="preserve"> </w:t>
      </w:r>
      <w:r>
        <w:t>Influences of Nitrogen Source, Growth Phase and N:P Ratios, Acta 187, 179– 194.</w:t>
      </w:r>
    </w:p>
    <w:p w14:paraId="3D582C3B" w14:textId="16591C06" w:rsidR="004F6AAA" w:rsidRDefault="007F0AD3" w:rsidP="00975307">
      <w:pPr>
        <w:pStyle w:val="CETReferencetext"/>
      </w:pPr>
      <w:r>
        <w:t>Masindi, V., Muedi, K. L., 2018, 'Environmental Contamination by Heavy Metals', in H. E.</w:t>
      </w:r>
      <w:r w:rsidR="00975307">
        <w:t xml:space="preserve"> </w:t>
      </w:r>
      <w:r>
        <w:t xml:space="preserve">M. Saleh, R. F. </w:t>
      </w:r>
      <w:proofErr w:type="spellStart"/>
      <w:r>
        <w:t>Aglan</w:t>
      </w:r>
      <w:proofErr w:type="spellEnd"/>
      <w:r>
        <w:t xml:space="preserve"> (eds.), Heavy Metals, </w:t>
      </w:r>
      <w:proofErr w:type="spellStart"/>
      <w:r>
        <w:t>IntechOpen</w:t>
      </w:r>
      <w:proofErr w:type="spellEnd"/>
      <w:r>
        <w:t xml:space="preserve">, London. </w:t>
      </w:r>
    </w:p>
    <w:p w14:paraId="5C2D39AC" w14:textId="166D5420" w:rsidR="007F0AD3" w:rsidRDefault="007F0AD3" w:rsidP="00975307">
      <w:pPr>
        <w:pStyle w:val="CETReferencetext"/>
      </w:pPr>
      <w:proofErr w:type="spellStart"/>
      <w:r>
        <w:t>Panchanadikar</w:t>
      </w:r>
      <w:proofErr w:type="spellEnd"/>
      <w:r>
        <w:t xml:space="preserve"> V.V., Das R.P., 1994, Biosorption Process for Removing Lead (II) ions from Aqueous Effluents Using Pseudomonas </w:t>
      </w:r>
      <w:proofErr w:type="gramStart"/>
      <w:r>
        <w:t>sp.</w:t>
      </w:r>
      <w:proofErr w:type="gramEnd"/>
      <w:r>
        <w:t xml:space="preserve"> International Environmental Studies 46, 243-250.</w:t>
      </w:r>
    </w:p>
    <w:p w14:paraId="234A311D" w14:textId="6C345F28" w:rsidR="007F0AD3" w:rsidRDefault="007F0AD3" w:rsidP="007F0AD3">
      <w:pPr>
        <w:pStyle w:val="CETReferencetext"/>
      </w:pPr>
      <w:r w:rsidRPr="007F0AD3">
        <w:t>Peens J., Wu W.Y., Brink H.G., 2018. Chem. Eng. Trans. 64, 439–444.</w:t>
      </w:r>
    </w:p>
    <w:p w14:paraId="12FBA436" w14:textId="79B6CA61" w:rsidR="007F0AD3" w:rsidRDefault="006B62A3" w:rsidP="00975307">
      <w:pPr>
        <w:pStyle w:val="CETReferencetext"/>
      </w:pPr>
      <w:proofErr w:type="spellStart"/>
      <w:r>
        <w:t>Selatnia</w:t>
      </w:r>
      <w:proofErr w:type="spellEnd"/>
      <w:r>
        <w:t xml:space="preserve"> A., </w:t>
      </w:r>
      <w:proofErr w:type="spellStart"/>
      <w:r>
        <w:t>Boukazoula</w:t>
      </w:r>
      <w:proofErr w:type="spellEnd"/>
      <w:r>
        <w:t xml:space="preserve"> A., </w:t>
      </w:r>
      <w:proofErr w:type="spellStart"/>
      <w:r>
        <w:t>Kechid</w:t>
      </w:r>
      <w:proofErr w:type="spellEnd"/>
      <w:r>
        <w:t xml:space="preserve"> N., </w:t>
      </w:r>
      <w:proofErr w:type="spellStart"/>
      <w:r>
        <w:t>Bakhti</w:t>
      </w:r>
      <w:proofErr w:type="spellEnd"/>
      <w:r>
        <w:t xml:space="preserve"> M. Z., </w:t>
      </w:r>
      <w:proofErr w:type="spellStart"/>
      <w:r>
        <w:t>Chergui</w:t>
      </w:r>
      <w:proofErr w:type="spellEnd"/>
      <w:r>
        <w:t xml:space="preserve"> A., </w:t>
      </w:r>
      <w:proofErr w:type="spellStart"/>
      <w:r>
        <w:t>Kerchich</w:t>
      </w:r>
      <w:proofErr w:type="spellEnd"/>
      <w:r>
        <w:t xml:space="preserve"> Y., 2004,</w:t>
      </w:r>
      <w:r w:rsidR="00975307">
        <w:t xml:space="preserve"> </w:t>
      </w:r>
      <w:r>
        <w:t xml:space="preserve">Biosorption of lead (II) from aqueous solution by a bacterial dead Streptomyces </w:t>
      </w:r>
      <w:proofErr w:type="spellStart"/>
      <w:r>
        <w:t>rimosus</w:t>
      </w:r>
      <w:proofErr w:type="spellEnd"/>
      <w:r w:rsidR="00975307">
        <w:t xml:space="preserve"> </w:t>
      </w:r>
      <w:r>
        <w:t xml:space="preserve">biomass. </w:t>
      </w:r>
      <w:proofErr w:type="spellStart"/>
      <w:r>
        <w:t>Biochem</w:t>
      </w:r>
      <w:proofErr w:type="spellEnd"/>
      <w:r>
        <w:t>. Eng. J., 19: 127-135.</w:t>
      </w:r>
    </w:p>
    <w:p w14:paraId="747EF122" w14:textId="0569914A" w:rsidR="00AC7341" w:rsidRDefault="00AC7341" w:rsidP="00975307">
      <w:pPr>
        <w:pStyle w:val="CETReferencetext"/>
      </w:pPr>
      <w:r w:rsidRPr="00AC7341">
        <w:t>Statista.</w:t>
      </w:r>
      <w:r>
        <w:t xml:space="preserve">, </w:t>
      </w:r>
      <w:r w:rsidRPr="00AC7341">
        <w:t>2019</w:t>
      </w:r>
      <w:r>
        <w:t>,</w:t>
      </w:r>
      <w:r w:rsidRPr="00AC7341">
        <w:t xml:space="preserve"> Lead reserves worldwide by country in million metric tons.</w:t>
      </w:r>
      <w:r>
        <w:t xml:space="preserve"> </w:t>
      </w:r>
    </w:p>
    <w:p w14:paraId="03EE6D78" w14:textId="31146E4F" w:rsidR="006B62A3" w:rsidRDefault="002C5DF3" w:rsidP="00975307">
      <w:pPr>
        <w:pStyle w:val="CETReferencetext"/>
      </w:pPr>
      <w:r>
        <w:t xml:space="preserve">Tong S., von </w:t>
      </w:r>
      <w:proofErr w:type="spellStart"/>
      <w:r>
        <w:t>Schirnding</w:t>
      </w:r>
      <w:proofErr w:type="spellEnd"/>
      <w:r>
        <w:t xml:space="preserve"> Y.E., </w:t>
      </w:r>
      <w:proofErr w:type="spellStart"/>
      <w:r>
        <w:t>Prapamontol</w:t>
      </w:r>
      <w:proofErr w:type="spellEnd"/>
      <w:r>
        <w:t xml:space="preserve"> t., 2000, Environmental Lead Exposure: A Public Health Problem of Global Dimensions. Bulletin of the World Health Organization, Vol. 78, pp. 1068-1077.</w:t>
      </w:r>
    </w:p>
    <w:p w14:paraId="7C037CE8" w14:textId="279C6472" w:rsidR="00975307" w:rsidRDefault="00975307" w:rsidP="00975307">
      <w:pPr>
        <w:pStyle w:val="CETReferencetext"/>
      </w:pPr>
      <w:r>
        <w:t xml:space="preserve">Van </w:t>
      </w:r>
      <w:proofErr w:type="spellStart"/>
      <w:r>
        <w:t>Veenhuyzen</w:t>
      </w:r>
      <w:proofErr w:type="spellEnd"/>
      <w:r>
        <w:t xml:space="preserve"> B., Chirwa E.M., Brink H.G., 2021a, Microbial </w:t>
      </w:r>
      <w:proofErr w:type="gramStart"/>
      <w:r>
        <w:t>Pb(</w:t>
      </w:r>
      <w:proofErr w:type="gramEnd"/>
      <w:r>
        <w:t>II) Precipitation: the Role of Biosorption as a Pb(II) Removal Mechanism, Chemical Engineering Transactions, 86, 181-186.</w:t>
      </w:r>
    </w:p>
    <w:p w14:paraId="35C6273B" w14:textId="4A6CE7D7" w:rsidR="00EA7C28" w:rsidRDefault="00EA7C28" w:rsidP="00975307">
      <w:pPr>
        <w:pStyle w:val="CETReferencetext"/>
      </w:pPr>
      <w:r w:rsidRPr="00EA7C28">
        <w:t xml:space="preserve">Van </w:t>
      </w:r>
      <w:proofErr w:type="spellStart"/>
      <w:r w:rsidRPr="00EA7C28">
        <w:t>Veenhuyzen</w:t>
      </w:r>
      <w:proofErr w:type="spellEnd"/>
      <w:r w:rsidRPr="00EA7C28">
        <w:t xml:space="preserve"> B., </w:t>
      </w:r>
      <w:proofErr w:type="spellStart"/>
      <w:r w:rsidRPr="00EA7C28">
        <w:t>Tichapondwa</w:t>
      </w:r>
      <w:proofErr w:type="spellEnd"/>
      <w:r w:rsidRPr="00EA7C28">
        <w:t xml:space="preserve"> S., </w:t>
      </w:r>
      <w:proofErr w:type="spellStart"/>
      <w:r w:rsidRPr="00EA7C28">
        <w:t>Hörstmann</w:t>
      </w:r>
      <w:proofErr w:type="spellEnd"/>
      <w:r w:rsidRPr="00EA7C28">
        <w:t xml:space="preserve"> C., Chirwa E., Brink H.G., 2021b, High capacity </w:t>
      </w:r>
      <w:proofErr w:type="gramStart"/>
      <w:r w:rsidRPr="00EA7C28">
        <w:t>Pb(</w:t>
      </w:r>
      <w:proofErr w:type="gramEnd"/>
      <w:r w:rsidRPr="00EA7C28">
        <w:t>II) adsorption characteristics onto raw- and chemically activated waste activated sludge. Journal of Hazardous Materials, 416, 125943</w:t>
      </w:r>
      <w:r>
        <w:t>.</w:t>
      </w:r>
    </w:p>
    <w:p w14:paraId="4F07009E" w14:textId="7EEB2B30" w:rsidR="00EA7C28" w:rsidRDefault="00472B0F" w:rsidP="00472B0F">
      <w:pPr>
        <w:pStyle w:val="CETReferencetext"/>
      </w:pPr>
      <w:proofErr w:type="spellStart"/>
      <w:r>
        <w:t>Waihung</w:t>
      </w:r>
      <w:proofErr w:type="spellEnd"/>
      <w:r>
        <w:t xml:space="preserve"> L., Hong C., Kim-Hung L., Shu-Ping B.,1999, A comparative investigation on the biosorption of lead by filamentous fungal biomass, Chemosphere Volume 39,</w:t>
      </w:r>
      <w:r w:rsidR="005E02FD">
        <w:t xml:space="preserve"> </w:t>
      </w:r>
      <w:r>
        <w:t>2723-2736.</w:t>
      </w:r>
    </w:p>
    <w:p w14:paraId="1EE4CB2C" w14:textId="49F0C90B" w:rsidR="005E02FD" w:rsidRDefault="00736A13" w:rsidP="00736A13">
      <w:pPr>
        <w:pStyle w:val="CETReferencetext"/>
      </w:pPr>
      <w:r>
        <w:t xml:space="preserve">Xiaoping Y., </w:t>
      </w:r>
      <w:proofErr w:type="spellStart"/>
      <w:r>
        <w:t>Xiaoning</w:t>
      </w:r>
      <w:proofErr w:type="spellEnd"/>
      <w:r>
        <w:t xml:space="preserve"> C., 2013, Adsorption characteristics of </w:t>
      </w:r>
      <w:proofErr w:type="gramStart"/>
      <w:r w:rsidR="004069AE">
        <w:t>Pb(</w:t>
      </w:r>
      <w:proofErr w:type="gramEnd"/>
      <w:r w:rsidR="004069AE">
        <w:t>II)</w:t>
      </w:r>
      <w:r>
        <w:t xml:space="preserve"> on alkali treated tea residue, Water Resources and Industry, Volume 3,1-10.</w:t>
      </w:r>
    </w:p>
    <w:p w14:paraId="28227E9C" w14:textId="77777777" w:rsidR="00472B0F" w:rsidRDefault="00472B0F" w:rsidP="00472B0F">
      <w:pPr>
        <w:pStyle w:val="CETReferencetext"/>
      </w:pPr>
    </w:p>
    <w:p w14:paraId="344F61C9" w14:textId="77777777" w:rsidR="00975307" w:rsidRDefault="00975307" w:rsidP="00975307">
      <w:pPr>
        <w:pStyle w:val="CETReferencetext"/>
      </w:pPr>
    </w:p>
    <w:p w14:paraId="2F26AA9F" w14:textId="77777777" w:rsidR="002C5DF3" w:rsidRDefault="002C5DF3" w:rsidP="002C5DF3">
      <w:pPr>
        <w:pStyle w:val="CETReferencetext"/>
      </w:pPr>
    </w:p>
    <w:p w14:paraId="7B7AA34C" w14:textId="77777777" w:rsidR="004F6AAA" w:rsidRDefault="004F6AAA" w:rsidP="004F6AAA">
      <w:pPr>
        <w:pStyle w:val="CETReferencetext"/>
      </w:pPr>
    </w:p>
    <w:p w14:paraId="6654DFB3" w14:textId="77777777" w:rsidR="00BC2843" w:rsidRDefault="00BC2843" w:rsidP="00BC2843">
      <w:pPr>
        <w:pStyle w:val="CETReferencetext"/>
        <w:ind w:left="0" w:firstLine="0"/>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F526" w14:textId="77777777" w:rsidR="00DA1AA0" w:rsidRDefault="00DA1AA0" w:rsidP="004F5E36">
      <w:r>
        <w:separator/>
      </w:r>
    </w:p>
  </w:endnote>
  <w:endnote w:type="continuationSeparator" w:id="0">
    <w:p w14:paraId="6323B86C" w14:textId="77777777" w:rsidR="00DA1AA0" w:rsidRDefault="00DA1AA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1A3C" w14:textId="77777777" w:rsidR="00DA1AA0" w:rsidRDefault="00DA1AA0" w:rsidP="004F5E36">
      <w:r>
        <w:separator/>
      </w:r>
    </w:p>
  </w:footnote>
  <w:footnote w:type="continuationSeparator" w:id="0">
    <w:p w14:paraId="1E26A1A2" w14:textId="77777777" w:rsidR="00DA1AA0" w:rsidRDefault="00DA1AA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E060605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4048624">
    <w:abstractNumId w:val="10"/>
  </w:num>
  <w:num w:numId="2" w16cid:durableId="429548178">
    <w:abstractNumId w:val="8"/>
  </w:num>
  <w:num w:numId="3" w16cid:durableId="74938497">
    <w:abstractNumId w:val="3"/>
  </w:num>
  <w:num w:numId="4" w16cid:durableId="839008779">
    <w:abstractNumId w:val="2"/>
  </w:num>
  <w:num w:numId="5" w16cid:durableId="976880421">
    <w:abstractNumId w:val="1"/>
  </w:num>
  <w:num w:numId="6" w16cid:durableId="1665432825">
    <w:abstractNumId w:val="0"/>
  </w:num>
  <w:num w:numId="7" w16cid:durableId="1967269050">
    <w:abstractNumId w:val="9"/>
  </w:num>
  <w:num w:numId="8" w16cid:durableId="1750496552">
    <w:abstractNumId w:val="7"/>
  </w:num>
  <w:num w:numId="9" w16cid:durableId="976565026">
    <w:abstractNumId w:val="6"/>
  </w:num>
  <w:num w:numId="10" w16cid:durableId="354813632">
    <w:abstractNumId w:val="5"/>
  </w:num>
  <w:num w:numId="11" w16cid:durableId="2012487744">
    <w:abstractNumId w:val="4"/>
  </w:num>
  <w:num w:numId="12" w16cid:durableId="1707951568">
    <w:abstractNumId w:val="17"/>
  </w:num>
  <w:num w:numId="13" w16cid:durableId="1585070454">
    <w:abstractNumId w:val="12"/>
  </w:num>
  <w:num w:numId="14" w16cid:durableId="224726457">
    <w:abstractNumId w:val="18"/>
  </w:num>
  <w:num w:numId="15" w16cid:durableId="1105349979">
    <w:abstractNumId w:val="20"/>
  </w:num>
  <w:num w:numId="16" w16cid:durableId="1395084391">
    <w:abstractNumId w:val="19"/>
  </w:num>
  <w:num w:numId="17" w16cid:durableId="1538589118">
    <w:abstractNumId w:val="11"/>
  </w:num>
  <w:num w:numId="18" w16cid:durableId="817501319">
    <w:abstractNumId w:val="12"/>
    <w:lvlOverride w:ilvl="0">
      <w:startOverride w:val="1"/>
    </w:lvlOverride>
  </w:num>
  <w:num w:numId="19" w16cid:durableId="2144879358">
    <w:abstractNumId w:val="16"/>
  </w:num>
  <w:num w:numId="20" w16cid:durableId="2060548213">
    <w:abstractNumId w:val="15"/>
  </w:num>
  <w:num w:numId="21" w16cid:durableId="376860295">
    <w:abstractNumId w:val="14"/>
  </w:num>
  <w:num w:numId="22" w16cid:durableId="17968240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117CB"/>
    <w:rsid w:val="0003148D"/>
    <w:rsid w:val="00031EEC"/>
    <w:rsid w:val="00051566"/>
    <w:rsid w:val="00057F9A"/>
    <w:rsid w:val="00062A9A"/>
    <w:rsid w:val="00065058"/>
    <w:rsid w:val="00086C39"/>
    <w:rsid w:val="00092D46"/>
    <w:rsid w:val="000A03B2"/>
    <w:rsid w:val="000D0268"/>
    <w:rsid w:val="000D34BE"/>
    <w:rsid w:val="000E0851"/>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46C25"/>
    <w:rsid w:val="00150E59"/>
    <w:rsid w:val="00152DE3"/>
    <w:rsid w:val="00164CF9"/>
    <w:rsid w:val="0016612C"/>
    <w:rsid w:val="001667A6"/>
    <w:rsid w:val="0017236F"/>
    <w:rsid w:val="00184AD6"/>
    <w:rsid w:val="00185B93"/>
    <w:rsid w:val="00193969"/>
    <w:rsid w:val="001A4AF7"/>
    <w:rsid w:val="001B0349"/>
    <w:rsid w:val="001B1E93"/>
    <w:rsid w:val="001B40E5"/>
    <w:rsid w:val="001B65C1"/>
    <w:rsid w:val="001B6D83"/>
    <w:rsid w:val="001C6813"/>
    <w:rsid w:val="001C684B"/>
    <w:rsid w:val="001D0CFB"/>
    <w:rsid w:val="001D21AF"/>
    <w:rsid w:val="001D2448"/>
    <w:rsid w:val="001D4F64"/>
    <w:rsid w:val="001D53FC"/>
    <w:rsid w:val="001D6FBB"/>
    <w:rsid w:val="001F42A5"/>
    <w:rsid w:val="001F7B9D"/>
    <w:rsid w:val="00201C93"/>
    <w:rsid w:val="00204E28"/>
    <w:rsid w:val="00214EBC"/>
    <w:rsid w:val="00216438"/>
    <w:rsid w:val="002209BC"/>
    <w:rsid w:val="002224B4"/>
    <w:rsid w:val="0022425D"/>
    <w:rsid w:val="002447EF"/>
    <w:rsid w:val="00251550"/>
    <w:rsid w:val="00254FC7"/>
    <w:rsid w:val="00263B05"/>
    <w:rsid w:val="00264F30"/>
    <w:rsid w:val="0027221A"/>
    <w:rsid w:val="00275B61"/>
    <w:rsid w:val="00277E64"/>
    <w:rsid w:val="00280FAF"/>
    <w:rsid w:val="00282656"/>
    <w:rsid w:val="00296B83"/>
    <w:rsid w:val="002B4015"/>
    <w:rsid w:val="002B61D2"/>
    <w:rsid w:val="002B78CE"/>
    <w:rsid w:val="002C2066"/>
    <w:rsid w:val="002C2FB6"/>
    <w:rsid w:val="002C5DF3"/>
    <w:rsid w:val="002E49EA"/>
    <w:rsid w:val="002E5FA7"/>
    <w:rsid w:val="002F3309"/>
    <w:rsid w:val="003008CE"/>
    <w:rsid w:val="003009B7"/>
    <w:rsid w:val="00300E56"/>
    <w:rsid w:val="0030469C"/>
    <w:rsid w:val="00321CA6"/>
    <w:rsid w:val="00323763"/>
    <w:rsid w:val="00334C09"/>
    <w:rsid w:val="003723D4"/>
    <w:rsid w:val="00381905"/>
    <w:rsid w:val="00384CC8"/>
    <w:rsid w:val="003871FD"/>
    <w:rsid w:val="003909CF"/>
    <w:rsid w:val="00393AB6"/>
    <w:rsid w:val="003A1E30"/>
    <w:rsid w:val="003A2829"/>
    <w:rsid w:val="003A7D1C"/>
    <w:rsid w:val="003B304B"/>
    <w:rsid w:val="003B3146"/>
    <w:rsid w:val="003B3B94"/>
    <w:rsid w:val="003C1AF4"/>
    <w:rsid w:val="003D6FD6"/>
    <w:rsid w:val="003F015E"/>
    <w:rsid w:val="003F1A5D"/>
    <w:rsid w:val="00400414"/>
    <w:rsid w:val="004069AE"/>
    <w:rsid w:val="0041446B"/>
    <w:rsid w:val="00426EF9"/>
    <w:rsid w:val="00427495"/>
    <w:rsid w:val="004364DF"/>
    <w:rsid w:val="0044009E"/>
    <w:rsid w:val="0044071E"/>
    <w:rsid w:val="0044329C"/>
    <w:rsid w:val="00453E24"/>
    <w:rsid w:val="00457456"/>
    <w:rsid w:val="004577FE"/>
    <w:rsid w:val="00457B9C"/>
    <w:rsid w:val="0046164A"/>
    <w:rsid w:val="004628D2"/>
    <w:rsid w:val="00462DCD"/>
    <w:rsid w:val="004648AD"/>
    <w:rsid w:val="0047025A"/>
    <w:rsid w:val="004703A9"/>
    <w:rsid w:val="00472B0F"/>
    <w:rsid w:val="004760DE"/>
    <w:rsid w:val="004763D7"/>
    <w:rsid w:val="004A004E"/>
    <w:rsid w:val="004A0255"/>
    <w:rsid w:val="004A24CF"/>
    <w:rsid w:val="004C3D1D"/>
    <w:rsid w:val="004C3D84"/>
    <w:rsid w:val="004C7913"/>
    <w:rsid w:val="004D4FB9"/>
    <w:rsid w:val="004E1223"/>
    <w:rsid w:val="004E2773"/>
    <w:rsid w:val="004E4DD6"/>
    <w:rsid w:val="004F5E36"/>
    <w:rsid w:val="004F6AAA"/>
    <w:rsid w:val="00507B47"/>
    <w:rsid w:val="00507BEF"/>
    <w:rsid w:val="00507CC9"/>
    <w:rsid w:val="005119A5"/>
    <w:rsid w:val="005278B7"/>
    <w:rsid w:val="00532016"/>
    <w:rsid w:val="005346C8"/>
    <w:rsid w:val="00543E7D"/>
    <w:rsid w:val="00547A68"/>
    <w:rsid w:val="00551D5F"/>
    <w:rsid w:val="005531C9"/>
    <w:rsid w:val="00570C43"/>
    <w:rsid w:val="00596F45"/>
    <w:rsid w:val="005A1BAC"/>
    <w:rsid w:val="005B2110"/>
    <w:rsid w:val="005B61E6"/>
    <w:rsid w:val="005C77E1"/>
    <w:rsid w:val="005D668A"/>
    <w:rsid w:val="005D6A2F"/>
    <w:rsid w:val="005E02FD"/>
    <w:rsid w:val="005E1A82"/>
    <w:rsid w:val="005E794C"/>
    <w:rsid w:val="005F0A28"/>
    <w:rsid w:val="005F0E5E"/>
    <w:rsid w:val="005F4DC3"/>
    <w:rsid w:val="00600535"/>
    <w:rsid w:val="00610CD6"/>
    <w:rsid w:val="00613AEF"/>
    <w:rsid w:val="00620DEE"/>
    <w:rsid w:val="00621F92"/>
    <w:rsid w:val="0062280A"/>
    <w:rsid w:val="006251C0"/>
    <w:rsid w:val="00625639"/>
    <w:rsid w:val="00625B61"/>
    <w:rsid w:val="00631B33"/>
    <w:rsid w:val="00633108"/>
    <w:rsid w:val="0064184D"/>
    <w:rsid w:val="006422CC"/>
    <w:rsid w:val="00652D7A"/>
    <w:rsid w:val="00660E3E"/>
    <w:rsid w:val="00662E74"/>
    <w:rsid w:val="00680C23"/>
    <w:rsid w:val="00693766"/>
    <w:rsid w:val="006A3281"/>
    <w:rsid w:val="006B4888"/>
    <w:rsid w:val="006B62A3"/>
    <w:rsid w:val="006B7758"/>
    <w:rsid w:val="006C2E45"/>
    <w:rsid w:val="006C359C"/>
    <w:rsid w:val="006C5579"/>
    <w:rsid w:val="006D6124"/>
    <w:rsid w:val="006D6E8B"/>
    <w:rsid w:val="006E737D"/>
    <w:rsid w:val="006F435B"/>
    <w:rsid w:val="007057A5"/>
    <w:rsid w:val="00713973"/>
    <w:rsid w:val="00720A24"/>
    <w:rsid w:val="00732386"/>
    <w:rsid w:val="0073514D"/>
    <w:rsid w:val="00736A13"/>
    <w:rsid w:val="007447F3"/>
    <w:rsid w:val="0074556B"/>
    <w:rsid w:val="0075499F"/>
    <w:rsid w:val="00764EAB"/>
    <w:rsid w:val="007661C8"/>
    <w:rsid w:val="0077098D"/>
    <w:rsid w:val="007931FA"/>
    <w:rsid w:val="007A0DDF"/>
    <w:rsid w:val="007A1280"/>
    <w:rsid w:val="007A4861"/>
    <w:rsid w:val="007A7BBA"/>
    <w:rsid w:val="007B0C50"/>
    <w:rsid w:val="007B48F9"/>
    <w:rsid w:val="007C1A43"/>
    <w:rsid w:val="007E2FA4"/>
    <w:rsid w:val="007F0AD3"/>
    <w:rsid w:val="0080013E"/>
    <w:rsid w:val="00800196"/>
    <w:rsid w:val="008062F5"/>
    <w:rsid w:val="00813288"/>
    <w:rsid w:val="008168FC"/>
    <w:rsid w:val="00830996"/>
    <w:rsid w:val="008345F1"/>
    <w:rsid w:val="008553A1"/>
    <w:rsid w:val="00857A10"/>
    <w:rsid w:val="00865B07"/>
    <w:rsid w:val="008667EA"/>
    <w:rsid w:val="0087637F"/>
    <w:rsid w:val="00892AD5"/>
    <w:rsid w:val="008A1512"/>
    <w:rsid w:val="008B0664"/>
    <w:rsid w:val="008B790C"/>
    <w:rsid w:val="008C4846"/>
    <w:rsid w:val="008D32B9"/>
    <w:rsid w:val="008D433B"/>
    <w:rsid w:val="008D4A16"/>
    <w:rsid w:val="008E566E"/>
    <w:rsid w:val="008F7590"/>
    <w:rsid w:val="0090161A"/>
    <w:rsid w:val="00901EB6"/>
    <w:rsid w:val="00904C62"/>
    <w:rsid w:val="00922BA8"/>
    <w:rsid w:val="0092488A"/>
    <w:rsid w:val="00924DAC"/>
    <w:rsid w:val="00927058"/>
    <w:rsid w:val="00942750"/>
    <w:rsid w:val="009450CE"/>
    <w:rsid w:val="009468FC"/>
    <w:rsid w:val="00947179"/>
    <w:rsid w:val="0095164B"/>
    <w:rsid w:val="00954090"/>
    <w:rsid w:val="009573E7"/>
    <w:rsid w:val="00963E05"/>
    <w:rsid w:val="00964A45"/>
    <w:rsid w:val="00966F53"/>
    <w:rsid w:val="00967843"/>
    <w:rsid w:val="00967D54"/>
    <w:rsid w:val="00971028"/>
    <w:rsid w:val="00975307"/>
    <w:rsid w:val="00993B84"/>
    <w:rsid w:val="00996483"/>
    <w:rsid w:val="00996F5A"/>
    <w:rsid w:val="00997DEE"/>
    <w:rsid w:val="009A1068"/>
    <w:rsid w:val="009B041A"/>
    <w:rsid w:val="009C29EA"/>
    <w:rsid w:val="009C2CD8"/>
    <w:rsid w:val="009C37C3"/>
    <w:rsid w:val="009C7C86"/>
    <w:rsid w:val="009D2FF7"/>
    <w:rsid w:val="009D6404"/>
    <w:rsid w:val="009E7884"/>
    <w:rsid w:val="009E788A"/>
    <w:rsid w:val="009F0E08"/>
    <w:rsid w:val="00A1763D"/>
    <w:rsid w:val="00A17CEC"/>
    <w:rsid w:val="00A27EF0"/>
    <w:rsid w:val="00A42361"/>
    <w:rsid w:val="00A50B20"/>
    <w:rsid w:val="00A51390"/>
    <w:rsid w:val="00A60D13"/>
    <w:rsid w:val="00A7223D"/>
    <w:rsid w:val="00A72745"/>
    <w:rsid w:val="00A76EFC"/>
    <w:rsid w:val="00A91010"/>
    <w:rsid w:val="00A97F29"/>
    <w:rsid w:val="00AA55E7"/>
    <w:rsid w:val="00AA702E"/>
    <w:rsid w:val="00AB0964"/>
    <w:rsid w:val="00AB5011"/>
    <w:rsid w:val="00AC30CB"/>
    <w:rsid w:val="00AC7341"/>
    <w:rsid w:val="00AC7368"/>
    <w:rsid w:val="00AD16B9"/>
    <w:rsid w:val="00AD1A03"/>
    <w:rsid w:val="00AE377D"/>
    <w:rsid w:val="00AF0EBA"/>
    <w:rsid w:val="00AF219E"/>
    <w:rsid w:val="00AF2C6D"/>
    <w:rsid w:val="00B02C8A"/>
    <w:rsid w:val="00B17FBD"/>
    <w:rsid w:val="00B2193E"/>
    <w:rsid w:val="00B315A6"/>
    <w:rsid w:val="00B31813"/>
    <w:rsid w:val="00B33365"/>
    <w:rsid w:val="00B55A63"/>
    <w:rsid w:val="00B57B36"/>
    <w:rsid w:val="00B57E6F"/>
    <w:rsid w:val="00B8686D"/>
    <w:rsid w:val="00B93F69"/>
    <w:rsid w:val="00B95CD1"/>
    <w:rsid w:val="00BB1DDC"/>
    <w:rsid w:val="00BC2843"/>
    <w:rsid w:val="00BC30C9"/>
    <w:rsid w:val="00BD077D"/>
    <w:rsid w:val="00BE3E58"/>
    <w:rsid w:val="00BF4D66"/>
    <w:rsid w:val="00C01616"/>
    <w:rsid w:val="00C0162B"/>
    <w:rsid w:val="00C068ED"/>
    <w:rsid w:val="00C1345E"/>
    <w:rsid w:val="00C22E0C"/>
    <w:rsid w:val="00C345B1"/>
    <w:rsid w:val="00C40142"/>
    <w:rsid w:val="00C52C3C"/>
    <w:rsid w:val="00C57182"/>
    <w:rsid w:val="00C57863"/>
    <w:rsid w:val="00C640AF"/>
    <w:rsid w:val="00C655FD"/>
    <w:rsid w:val="00C75407"/>
    <w:rsid w:val="00C818A7"/>
    <w:rsid w:val="00C870A8"/>
    <w:rsid w:val="00C94434"/>
    <w:rsid w:val="00CA0D75"/>
    <w:rsid w:val="00CA1C95"/>
    <w:rsid w:val="00CA5A9C"/>
    <w:rsid w:val="00CA6D26"/>
    <w:rsid w:val="00CC4C20"/>
    <w:rsid w:val="00CD3517"/>
    <w:rsid w:val="00CD5FE2"/>
    <w:rsid w:val="00CE7C68"/>
    <w:rsid w:val="00CF6ACD"/>
    <w:rsid w:val="00D02B4C"/>
    <w:rsid w:val="00D040C4"/>
    <w:rsid w:val="00D04376"/>
    <w:rsid w:val="00D06C4C"/>
    <w:rsid w:val="00D20AD1"/>
    <w:rsid w:val="00D46B7E"/>
    <w:rsid w:val="00D52F08"/>
    <w:rsid w:val="00D57C84"/>
    <w:rsid w:val="00D6057D"/>
    <w:rsid w:val="00D71640"/>
    <w:rsid w:val="00D836C5"/>
    <w:rsid w:val="00D84576"/>
    <w:rsid w:val="00D87710"/>
    <w:rsid w:val="00DA1399"/>
    <w:rsid w:val="00DA1AA0"/>
    <w:rsid w:val="00DA24C6"/>
    <w:rsid w:val="00DA4D7B"/>
    <w:rsid w:val="00DB2CA0"/>
    <w:rsid w:val="00DC0A9E"/>
    <w:rsid w:val="00DD271C"/>
    <w:rsid w:val="00DD5C42"/>
    <w:rsid w:val="00DE264A"/>
    <w:rsid w:val="00DE3282"/>
    <w:rsid w:val="00DE719D"/>
    <w:rsid w:val="00DE7B72"/>
    <w:rsid w:val="00DF5072"/>
    <w:rsid w:val="00E02D18"/>
    <w:rsid w:val="00E041E7"/>
    <w:rsid w:val="00E22CE3"/>
    <w:rsid w:val="00E23CA1"/>
    <w:rsid w:val="00E27924"/>
    <w:rsid w:val="00E36B27"/>
    <w:rsid w:val="00E409A8"/>
    <w:rsid w:val="00E41520"/>
    <w:rsid w:val="00E4397A"/>
    <w:rsid w:val="00E50C12"/>
    <w:rsid w:val="00E55D3D"/>
    <w:rsid w:val="00E65B91"/>
    <w:rsid w:val="00E7209D"/>
    <w:rsid w:val="00E72EAD"/>
    <w:rsid w:val="00E77223"/>
    <w:rsid w:val="00E8528B"/>
    <w:rsid w:val="00E85B94"/>
    <w:rsid w:val="00E978D0"/>
    <w:rsid w:val="00EA1D4B"/>
    <w:rsid w:val="00EA4613"/>
    <w:rsid w:val="00EA7C28"/>
    <w:rsid w:val="00EA7F91"/>
    <w:rsid w:val="00EB1523"/>
    <w:rsid w:val="00EC0E49"/>
    <w:rsid w:val="00EC101F"/>
    <w:rsid w:val="00EC1D9F"/>
    <w:rsid w:val="00ED151A"/>
    <w:rsid w:val="00ED7501"/>
    <w:rsid w:val="00EE0131"/>
    <w:rsid w:val="00EE14CF"/>
    <w:rsid w:val="00EE17B0"/>
    <w:rsid w:val="00EF06D9"/>
    <w:rsid w:val="00EF7BBD"/>
    <w:rsid w:val="00F00B7F"/>
    <w:rsid w:val="00F0380B"/>
    <w:rsid w:val="00F165BC"/>
    <w:rsid w:val="00F27C13"/>
    <w:rsid w:val="00F30C64"/>
    <w:rsid w:val="00F32BA2"/>
    <w:rsid w:val="00F32CDB"/>
    <w:rsid w:val="00F565FE"/>
    <w:rsid w:val="00F63A70"/>
    <w:rsid w:val="00F7534E"/>
    <w:rsid w:val="00F92B65"/>
    <w:rsid w:val="00F92CFA"/>
    <w:rsid w:val="00FA1802"/>
    <w:rsid w:val="00FA21D0"/>
    <w:rsid w:val="00FA5F5F"/>
    <w:rsid w:val="00FB730C"/>
    <w:rsid w:val="00FC0549"/>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85B9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85B9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6D61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8075374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1BFC-249C-4FA4-AE2E-7670C34E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2809</Words>
  <Characters>16015</Characters>
  <Application>Microsoft Office Word</Application>
  <DocSecurity>0</DocSecurity>
  <Lines>133</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Patrick Kpai, Mr</cp:lastModifiedBy>
  <cp:revision>23</cp:revision>
  <cp:lastPrinted>2015-05-12T18:31:00Z</cp:lastPrinted>
  <dcterms:created xsi:type="dcterms:W3CDTF">2022-05-31T17:58:00Z</dcterms:created>
  <dcterms:modified xsi:type="dcterms:W3CDTF">2022-07-14T18:42:00Z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