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5315FA" w:rsidRPr="00FE2BDF"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FE2BDF" w:rsidRDefault="000A03B2" w:rsidP="00DE264A">
            <w:pPr>
              <w:tabs>
                <w:tab w:val="left" w:pos="-108"/>
              </w:tabs>
              <w:ind w:left="-108"/>
              <w:jc w:val="left"/>
              <w:rPr>
                <w:rFonts w:cs="Arial"/>
                <w:b/>
                <w:bCs/>
                <w:i/>
                <w:iCs/>
                <w:color w:val="000000" w:themeColor="text1"/>
                <w:sz w:val="12"/>
                <w:szCs w:val="12"/>
                <w:lang w:eastAsia="it-IT"/>
              </w:rPr>
            </w:pPr>
            <w:r w:rsidRPr="00FE2BDF">
              <w:rPr>
                <w:rFonts w:ascii="AdvP6960" w:hAnsi="AdvP6960" w:cs="AdvP6960"/>
                <w:noProof/>
                <w:color w:val="000000" w:themeColor="text1"/>
                <w:szCs w:val="18"/>
                <w:lang w:val="hu-HU" w:eastAsia="hu-HU"/>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E2BDF">
              <w:rPr>
                <w:rFonts w:ascii="AdvP6960" w:hAnsi="AdvP6960" w:cs="AdvP6960"/>
                <w:color w:val="000000" w:themeColor="text1"/>
                <w:szCs w:val="18"/>
                <w:lang w:eastAsia="it-IT"/>
              </w:rPr>
              <w:t xml:space="preserve"> </w:t>
            </w:r>
            <w:r w:rsidRPr="00FE2BDF">
              <w:rPr>
                <w:rFonts w:cs="Arial"/>
                <w:b/>
                <w:bCs/>
                <w:i/>
                <w:iCs/>
                <w:color w:val="000000" w:themeColor="text1"/>
                <w:sz w:val="24"/>
                <w:szCs w:val="24"/>
                <w:lang w:eastAsia="it-IT"/>
              </w:rPr>
              <w:t>CHEMICAL ENGINEERING TRANSACTIONS</w:t>
            </w:r>
            <w:r w:rsidRPr="00FE2BDF">
              <w:rPr>
                <w:color w:val="000000" w:themeColor="text1"/>
                <w:sz w:val="24"/>
                <w:szCs w:val="24"/>
                <w:lang w:eastAsia="it-IT"/>
              </w:rPr>
              <w:t xml:space="preserve"> </w:t>
            </w:r>
            <w:r w:rsidRPr="00FE2BDF">
              <w:rPr>
                <w:rFonts w:cs="Arial"/>
                <w:b/>
                <w:bCs/>
                <w:i/>
                <w:iCs/>
                <w:color w:val="000000" w:themeColor="text1"/>
                <w:sz w:val="27"/>
                <w:szCs w:val="27"/>
                <w:lang w:eastAsia="it-IT"/>
              </w:rPr>
              <w:br/>
            </w:r>
          </w:p>
          <w:p w14:paraId="4B780582" w14:textId="1EEF6F50" w:rsidR="000A03B2" w:rsidRPr="00FE2BDF" w:rsidRDefault="00A76EFC" w:rsidP="004C3D1D">
            <w:pPr>
              <w:tabs>
                <w:tab w:val="left" w:pos="-108"/>
              </w:tabs>
              <w:ind w:left="-108"/>
              <w:rPr>
                <w:rFonts w:cs="Arial"/>
                <w:b/>
                <w:bCs/>
                <w:i/>
                <w:iCs/>
                <w:color w:val="000000" w:themeColor="text1"/>
                <w:sz w:val="22"/>
                <w:szCs w:val="22"/>
                <w:lang w:eastAsia="it-IT"/>
              </w:rPr>
            </w:pPr>
            <w:r w:rsidRPr="00FE2BDF">
              <w:rPr>
                <w:rFonts w:cs="Arial"/>
                <w:b/>
                <w:bCs/>
                <w:i/>
                <w:iCs/>
                <w:color w:val="000000" w:themeColor="text1"/>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FE2BDF" w:rsidRDefault="000A03B2" w:rsidP="00CD5FE2">
            <w:pPr>
              <w:spacing w:line="140" w:lineRule="atLeast"/>
              <w:jc w:val="right"/>
              <w:rPr>
                <w:rFonts w:cs="Arial"/>
                <w:color w:val="000000" w:themeColor="text1"/>
                <w:sz w:val="14"/>
                <w:szCs w:val="14"/>
              </w:rPr>
            </w:pPr>
            <w:r w:rsidRPr="00FE2BDF">
              <w:rPr>
                <w:rFonts w:cs="Arial"/>
                <w:color w:val="000000" w:themeColor="text1"/>
                <w:sz w:val="14"/>
                <w:szCs w:val="14"/>
              </w:rPr>
              <w:t>A publication of</w:t>
            </w:r>
          </w:p>
          <w:p w14:paraId="599E5441" w14:textId="77777777" w:rsidR="000A03B2" w:rsidRPr="00FE2BDF" w:rsidRDefault="000A03B2" w:rsidP="00CD5FE2">
            <w:pPr>
              <w:jc w:val="right"/>
              <w:rPr>
                <w:color w:val="000000" w:themeColor="text1"/>
              </w:rPr>
            </w:pPr>
            <w:r w:rsidRPr="00FE2BDF">
              <w:rPr>
                <w:noProof/>
                <w:color w:val="000000" w:themeColor="text1"/>
                <w:lang w:val="hu-HU" w:eastAsia="hu-HU"/>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5315FA" w:rsidRPr="00FE2BDF" w14:paraId="380FA3CD" w14:textId="77777777" w:rsidTr="00DE264A">
        <w:trPr>
          <w:trHeight w:val="567"/>
          <w:jc w:val="center"/>
        </w:trPr>
        <w:tc>
          <w:tcPr>
            <w:tcW w:w="6946" w:type="dxa"/>
            <w:vMerge/>
            <w:tcBorders>
              <w:right w:val="single" w:sz="4" w:space="0" w:color="auto"/>
            </w:tcBorders>
          </w:tcPr>
          <w:p w14:paraId="39E5E4C1" w14:textId="77777777" w:rsidR="000A03B2" w:rsidRPr="00FE2BDF" w:rsidRDefault="000A03B2" w:rsidP="00CD5FE2">
            <w:pPr>
              <w:tabs>
                <w:tab w:val="left" w:pos="-108"/>
              </w:tabs>
              <w:rPr>
                <w:color w:val="000000" w:themeColor="text1"/>
              </w:rPr>
            </w:pPr>
          </w:p>
        </w:tc>
        <w:tc>
          <w:tcPr>
            <w:tcW w:w="1843" w:type="dxa"/>
            <w:tcBorders>
              <w:left w:val="single" w:sz="4" w:space="0" w:color="auto"/>
              <w:bottom w:val="nil"/>
              <w:right w:val="single" w:sz="4" w:space="0" w:color="auto"/>
            </w:tcBorders>
          </w:tcPr>
          <w:p w14:paraId="43858A98" w14:textId="77777777" w:rsidR="000A03B2" w:rsidRPr="00FE2BDF" w:rsidRDefault="000A03B2" w:rsidP="00CD5FE2">
            <w:pPr>
              <w:spacing w:line="140" w:lineRule="atLeast"/>
              <w:jc w:val="right"/>
              <w:rPr>
                <w:rFonts w:cs="Arial"/>
                <w:color w:val="000000" w:themeColor="text1"/>
                <w:sz w:val="14"/>
                <w:szCs w:val="14"/>
              </w:rPr>
            </w:pPr>
            <w:r w:rsidRPr="00FE2BDF">
              <w:rPr>
                <w:rFonts w:cs="Arial"/>
                <w:color w:val="000000" w:themeColor="text1"/>
                <w:sz w:val="14"/>
                <w:szCs w:val="14"/>
              </w:rPr>
              <w:t>The Italian Association</w:t>
            </w:r>
          </w:p>
          <w:p w14:paraId="7522B1D2" w14:textId="77777777" w:rsidR="000A03B2" w:rsidRPr="00FE2BDF" w:rsidRDefault="000A03B2" w:rsidP="00CD5FE2">
            <w:pPr>
              <w:spacing w:line="140" w:lineRule="atLeast"/>
              <w:jc w:val="right"/>
              <w:rPr>
                <w:rFonts w:cs="Arial"/>
                <w:color w:val="000000" w:themeColor="text1"/>
                <w:sz w:val="14"/>
                <w:szCs w:val="14"/>
              </w:rPr>
            </w:pPr>
            <w:r w:rsidRPr="00FE2BDF">
              <w:rPr>
                <w:rFonts w:cs="Arial"/>
                <w:color w:val="000000" w:themeColor="text1"/>
                <w:sz w:val="14"/>
                <w:szCs w:val="14"/>
              </w:rPr>
              <w:t>of Chemical Engineering</w:t>
            </w:r>
          </w:p>
          <w:p w14:paraId="4F0CC5DE" w14:textId="35204533" w:rsidR="000A03B2" w:rsidRPr="00FE2BDF" w:rsidRDefault="005A3E9C" w:rsidP="00CD5FE2">
            <w:pPr>
              <w:spacing w:line="140" w:lineRule="atLeast"/>
              <w:jc w:val="right"/>
              <w:rPr>
                <w:rFonts w:cs="Arial"/>
                <w:color w:val="000000" w:themeColor="text1"/>
                <w:sz w:val="14"/>
                <w:szCs w:val="14"/>
              </w:rPr>
            </w:pPr>
            <w:r w:rsidRPr="00FE2BDF">
              <w:rPr>
                <w:rFonts w:cs="Arial"/>
                <w:color w:val="000000" w:themeColor="text1"/>
                <w:sz w:val="13"/>
                <w:szCs w:val="13"/>
              </w:rPr>
              <w:t>Online at www.cetjournal.it</w:t>
            </w:r>
          </w:p>
        </w:tc>
      </w:tr>
      <w:tr w:rsidR="005315FA" w:rsidRPr="00FE2BDF" w14:paraId="2D1B7169" w14:textId="77777777" w:rsidTr="00DE264A">
        <w:trPr>
          <w:trHeight w:val="68"/>
          <w:jc w:val="center"/>
        </w:trPr>
        <w:tc>
          <w:tcPr>
            <w:tcW w:w="8789" w:type="dxa"/>
            <w:gridSpan w:val="2"/>
          </w:tcPr>
          <w:p w14:paraId="4B0BB442" w14:textId="7D24D70F" w:rsidR="00300E56" w:rsidRPr="00FE2BDF" w:rsidRDefault="00300E56" w:rsidP="00EC0E49">
            <w:pPr>
              <w:tabs>
                <w:tab w:val="left" w:pos="-108"/>
              </w:tabs>
              <w:spacing w:line="140" w:lineRule="atLeast"/>
              <w:ind w:left="-108"/>
              <w:jc w:val="left"/>
              <w:rPr>
                <w:rFonts w:ascii="Tahoma" w:hAnsi="Tahoma" w:cs="Tahoma"/>
                <w:iCs/>
                <w:color w:val="000000" w:themeColor="text1"/>
                <w:sz w:val="14"/>
                <w:szCs w:val="14"/>
                <w:lang w:val="en-US" w:eastAsia="it-IT"/>
              </w:rPr>
            </w:pPr>
            <w:r w:rsidRPr="00FE2BDF">
              <w:rPr>
                <w:rFonts w:ascii="Tahoma" w:hAnsi="Tahoma" w:cs="Tahoma"/>
                <w:iCs/>
                <w:color w:val="000000" w:themeColor="text1"/>
                <w:sz w:val="14"/>
                <w:szCs w:val="14"/>
                <w:lang w:val="en-US" w:eastAsia="it-IT"/>
              </w:rPr>
              <w:t>Guest Editors:</w:t>
            </w:r>
            <w:r w:rsidR="00904C62" w:rsidRPr="00FE2BDF">
              <w:rPr>
                <w:rFonts w:ascii="Tahoma" w:hAnsi="Tahoma" w:cs="Tahoma"/>
                <w:iCs/>
                <w:color w:val="000000" w:themeColor="text1"/>
                <w:sz w:val="14"/>
                <w:szCs w:val="14"/>
                <w:lang w:val="en-US" w:eastAsia="it-IT"/>
              </w:rPr>
              <w:t xml:space="preserve"> </w:t>
            </w:r>
          </w:p>
          <w:p w14:paraId="1B0F1814" w14:textId="6CE52C7C" w:rsidR="000A03B2" w:rsidRPr="00FE2BDF" w:rsidRDefault="0014464F" w:rsidP="00180860">
            <w:pPr>
              <w:tabs>
                <w:tab w:val="left" w:pos="-108"/>
              </w:tabs>
              <w:spacing w:line="140" w:lineRule="atLeast"/>
              <w:ind w:left="-108"/>
              <w:jc w:val="left"/>
              <w:rPr>
                <w:color w:val="000000" w:themeColor="text1"/>
              </w:rPr>
            </w:pPr>
            <w:r w:rsidRPr="00FE2BDF">
              <w:rPr>
                <w:rFonts w:ascii="Tahoma" w:hAnsi="Tahoma" w:cs="Tahoma"/>
                <w:iCs/>
                <w:color w:val="000000" w:themeColor="text1"/>
                <w:sz w:val="14"/>
                <w:szCs w:val="14"/>
                <w:lang w:eastAsia="it-IT"/>
              </w:rPr>
              <w:t xml:space="preserve">Copyright © </w:t>
            </w:r>
            <w:r w:rsidR="00904C62" w:rsidRPr="00FE2BDF">
              <w:rPr>
                <w:rFonts w:ascii="Tahoma" w:hAnsi="Tahoma" w:cs="Tahoma"/>
                <w:iCs/>
                <w:color w:val="000000" w:themeColor="text1"/>
                <w:sz w:val="14"/>
                <w:szCs w:val="14"/>
                <w:lang w:eastAsia="it-IT"/>
              </w:rPr>
              <w:t xml:space="preserve"> AIDIC Servizi S.r.l.</w:t>
            </w:r>
            <w:r w:rsidR="00300E56" w:rsidRPr="00FE2BDF">
              <w:rPr>
                <w:rFonts w:ascii="Tahoma" w:hAnsi="Tahoma" w:cs="Tahoma"/>
                <w:iCs/>
                <w:color w:val="000000" w:themeColor="text1"/>
                <w:sz w:val="14"/>
                <w:szCs w:val="14"/>
                <w:lang w:eastAsia="it-IT"/>
              </w:rPr>
              <w:br/>
            </w:r>
            <w:r w:rsidR="00180860" w:rsidRPr="00FE2BDF">
              <w:rPr>
                <w:rFonts w:ascii="Tahoma" w:hAnsi="Tahoma" w:cs="Tahoma"/>
                <w:b/>
                <w:iCs/>
                <w:color w:val="000000" w:themeColor="text1"/>
                <w:sz w:val="14"/>
                <w:szCs w:val="14"/>
                <w:lang w:eastAsia="it-IT"/>
              </w:rPr>
              <w:t xml:space="preserve">ISBN </w:t>
            </w:r>
            <w:r w:rsidR="00180860" w:rsidRPr="00FE2BDF">
              <w:rPr>
                <w:rFonts w:ascii="Tahoma" w:hAnsi="Tahoma" w:cs="Tahoma"/>
                <w:color w:val="000000" w:themeColor="text1"/>
                <w:sz w:val="14"/>
                <w:szCs w:val="14"/>
                <w:lang w:val="en-US"/>
              </w:rPr>
              <w:t xml:space="preserve">978-88-95608-xx-x </w:t>
            </w:r>
            <w:r w:rsidR="00300E56" w:rsidRPr="00FE2BDF">
              <w:rPr>
                <w:rFonts w:ascii="Tahoma" w:hAnsi="Tahoma" w:cs="Tahoma"/>
                <w:b/>
                <w:iCs/>
                <w:color w:val="000000" w:themeColor="text1"/>
                <w:sz w:val="14"/>
                <w:szCs w:val="14"/>
                <w:lang w:eastAsia="it-IT"/>
              </w:rPr>
              <w:t>ISSN</w:t>
            </w:r>
            <w:r w:rsidR="00300E56" w:rsidRPr="00FE2BDF">
              <w:rPr>
                <w:rFonts w:ascii="Tahoma" w:hAnsi="Tahoma" w:cs="Tahoma"/>
                <w:iCs/>
                <w:color w:val="000000" w:themeColor="text1"/>
                <w:sz w:val="14"/>
                <w:szCs w:val="14"/>
                <w:lang w:eastAsia="it-IT"/>
              </w:rPr>
              <w:t xml:space="preserve"> 2283-9216</w:t>
            </w:r>
          </w:p>
        </w:tc>
      </w:tr>
    </w:tbl>
    <w:p w14:paraId="10DAA130" w14:textId="77777777" w:rsidR="000A03B2" w:rsidRPr="00FE2BDF" w:rsidRDefault="000A03B2" w:rsidP="000A03B2">
      <w:pPr>
        <w:pStyle w:val="CETAuthors"/>
        <w:rPr>
          <w:color w:val="000000" w:themeColor="text1"/>
        </w:rPr>
        <w:sectPr w:rsidR="000A03B2" w:rsidRPr="00FE2BDF" w:rsidSect="00CD5FE2">
          <w:type w:val="continuous"/>
          <w:pgSz w:w="11906" w:h="16838" w:code="9"/>
          <w:pgMar w:top="1701" w:right="1418" w:bottom="1701" w:left="1701" w:header="1701" w:footer="0" w:gutter="0"/>
          <w:cols w:space="708"/>
          <w:titlePg/>
          <w:docGrid w:linePitch="360"/>
        </w:sectPr>
      </w:pPr>
    </w:p>
    <w:p w14:paraId="2E667253" w14:textId="5DF8675B" w:rsidR="00E978D0" w:rsidRPr="00FE2BDF" w:rsidRDefault="005315FA" w:rsidP="00E978D0">
      <w:pPr>
        <w:pStyle w:val="CETTitle"/>
        <w:rPr>
          <w:color w:val="000000" w:themeColor="text1"/>
        </w:rPr>
      </w:pPr>
      <w:r w:rsidRPr="00FE2BDF">
        <w:rPr>
          <w:color w:val="000000" w:themeColor="text1"/>
        </w:rPr>
        <w:t>Pyrolysis and gasification of sewage sludge using dolomite: the effect of reactor pressure</w:t>
      </w:r>
    </w:p>
    <w:p w14:paraId="2B3CA35C" w14:textId="3BA1C3A3" w:rsidR="00E978D0" w:rsidRPr="00FE2BDF" w:rsidRDefault="005315FA" w:rsidP="00AB5011">
      <w:pPr>
        <w:pStyle w:val="CETAuthors"/>
        <w:rPr>
          <w:color w:val="000000" w:themeColor="text1"/>
        </w:rPr>
      </w:pPr>
      <w:r w:rsidRPr="00FE2BDF">
        <w:rPr>
          <w:color w:val="000000" w:themeColor="text1"/>
        </w:rPr>
        <w:t>Norbert Miskolczi</w:t>
      </w:r>
      <w:r w:rsidR="00600535" w:rsidRPr="00FE2BDF">
        <w:rPr>
          <w:color w:val="000000" w:themeColor="text1"/>
          <w:vertAlign w:val="superscript"/>
        </w:rPr>
        <w:t>a</w:t>
      </w:r>
      <w:r w:rsidRPr="00FE2BDF">
        <w:rPr>
          <w:color w:val="000000" w:themeColor="text1"/>
          <w:vertAlign w:val="superscript"/>
        </w:rPr>
        <w:t>,*</w:t>
      </w:r>
      <w:r w:rsidR="00600535" w:rsidRPr="00FE2BDF">
        <w:rPr>
          <w:color w:val="000000" w:themeColor="text1"/>
        </w:rPr>
        <w:t xml:space="preserve">, </w:t>
      </w:r>
      <w:r w:rsidRPr="00FE2BDF">
        <w:rPr>
          <w:color w:val="000000" w:themeColor="text1"/>
        </w:rPr>
        <w:t>Szabina Tomasek</w:t>
      </w:r>
      <w:r w:rsidRPr="00FE2BDF">
        <w:rPr>
          <w:color w:val="000000" w:themeColor="text1"/>
          <w:vertAlign w:val="superscript"/>
        </w:rPr>
        <w:t>a</w:t>
      </w:r>
    </w:p>
    <w:p w14:paraId="16868521" w14:textId="1E542E46" w:rsidR="005315FA" w:rsidRPr="00FE2BDF" w:rsidRDefault="00E978D0" w:rsidP="005315FA">
      <w:pPr>
        <w:pStyle w:val="CETAddress"/>
        <w:rPr>
          <w:color w:val="000000" w:themeColor="text1"/>
        </w:rPr>
      </w:pPr>
      <w:r w:rsidRPr="00FE2BDF">
        <w:rPr>
          <w:color w:val="000000" w:themeColor="text1"/>
          <w:vertAlign w:val="superscript"/>
        </w:rPr>
        <w:t>a</w:t>
      </w:r>
      <w:r w:rsidR="005315FA" w:rsidRPr="00FE2BDF">
        <w:rPr>
          <w:color w:val="000000" w:themeColor="text1"/>
          <w:vertAlign w:val="superscript"/>
        </w:rPr>
        <w:t xml:space="preserve"> </w:t>
      </w:r>
      <w:r w:rsidR="005315FA" w:rsidRPr="00FE2BDF">
        <w:rPr>
          <w:color w:val="000000" w:themeColor="text1"/>
        </w:rPr>
        <w:t>University of Pannonia, Faculty of Engineering, Research Centre of Biochemical, Environmental and Chemical Engineering, MOL Department of Hydrocarbon &amp; Coal Processing, H-8200, Veszprém, Egyetem u. 10, Hungary</w:t>
      </w:r>
    </w:p>
    <w:p w14:paraId="4B3CA0AD" w14:textId="2500BC5E" w:rsidR="005315FA" w:rsidRPr="00FE2BDF" w:rsidRDefault="005315FA" w:rsidP="005315FA">
      <w:pPr>
        <w:pStyle w:val="CETemail"/>
        <w:rPr>
          <w:color w:val="000000" w:themeColor="text1"/>
        </w:rPr>
      </w:pPr>
      <w:r w:rsidRPr="00FE2BDF">
        <w:rPr>
          <w:color w:val="000000" w:themeColor="text1"/>
        </w:rPr>
        <w:t>* mnorbert@almos.uni-pannon.hu</w:t>
      </w:r>
    </w:p>
    <w:p w14:paraId="37A61FCE" w14:textId="176ABC2B" w:rsidR="00DA24C6" w:rsidRPr="00FE2BDF" w:rsidRDefault="005315FA" w:rsidP="005315FA">
      <w:pPr>
        <w:pStyle w:val="CETHeading1"/>
        <w:numPr>
          <w:ilvl w:val="0"/>
          <w:numId w:val="0"/>
        </w:numPr>
        <w:rPr>
          <w:color w:val="000000" w:themeColor="text1"/>
          <w:lang w:val="en-GB"/>
        </w:rPr>
      </w:pPr>
      <w:r w:rsidRPr="00FE2BDF">
        <w:rPr>
          <w:color w:val="000000" w:themeColor="text1"/>
          <w:lang w:val="en-GB"/>
        </w:rPr>
        <w:t>Abstract</w:t>
      </w:r>
    </w:p>
    <w:p w14:paraId="74C18E04" w14:textId="4D9341E0" w:rsidR="005315FA" w:rsidRPr="00FE2BDF" w:rsidRDefault="002848CD" w:rsidP="005315FA">
      <w:pPr>
        <w:pStyle w:val="CETListbullets"/>
        <w:ind w:left="113" w:firstLine="0"/>
        <w:rPr>
          <w:color w:val="000000" w:themeColor="text1"/>
        </w:rPr>
      </w:pPr>
      <w:r w:rsidRPr="00FE2BDF">
        <w:rPr>
          <w:color w:val="000000" w:themeColor="text1"/>
        </w:rPr>
        <w:t>This paper focus</w:t>
      </w:r>
      <w:r w:rsidR="003F2516" w:rsidRPr="00FE2BDF">
        <w:rPr>
          <w:color w:val="000000" w:themeColor="text1"/>
        </w:rPr>
        <w:t>es</w:t>
      </w:r>
      <w:r w:rsidRPr="00FE2BDF">
        <w:rPr>
          <w:color w:val="000000" w:themeColor="text1"/>
        </w:rPr>
        <w:t xml:space="preserve"> to the thermo</w:t>
      </w:r>
      <w:r w:rsidR="003C55F9" w:rsidRPr="00FE2BDF">
        <w:rPr>
          <w:color w:val="000000" w:themeColor="text1"/>
        </w:rPr>
        <w:t>-</w:t>
      </w:r>
      <w:r w:rsidRPr="00FE2BDF">
        <w:rPr>
          <w:color w:val="000000" w:themeColor="text1"/>
        </w:rPr>
        <w:t xml:space="preserve">chemical conversion of </w:t>
      </w:r>
      <w:r w:rsidR="005315FA" w:rsidRPr="00FE2BDF">
        <w:rPr>
          <w:color w:val="000000" w:themeColor="text1"/>
        </w:rPr>
        <w:t xml:space="preserve">sewage sludge </w:t>
      </w:r>
      <w:r w:rsidR="00B255ED" w:rsidRPr="00FE2BDF">
        <w:rPr>
          <w:color w:val="000000" w:themeColor="text1"/>
        </w:rPr>
        <w:t>into valuable products using</w:t>
      </w:r>
      <w:r w:rsidR="003C55F9" w:rsidRPr="00FE2BDF">
        <w:rPr>
          <w:color w:val="000000" w:themeColor="text1"/>
        </w:rPr>
        <w:t xml:space="preserve"> </w:t>
      </w:r>
      <w:r w:rsidR="003C55F9" w:rsidRPr="00FE2BDF">
        <w:rPr>
          <w:color w:val="000000" w:themeColor="text1"/>
        </w:rPr>
        <w:t>pressure</w:t>
      </w:r>
      <w:r w:rsidR="003C55F9" w:rsidRPr="00FE2BDF">
        <w:rPr>
          <w:color w:val="000000" w:themeColor="text1"/>
        </w:rPr>
        <w:t xml:space="preserve"> of</w:t>
      </w:r>
      <w:r w:rsidR="00B255ED" w:rsidRPr="00FE2BDF">
        <w:rPr>
          <w:color w:val="000000" w:themeColor="text1"/>
        </w:rPr>
        <w:t xml:space="preserve"> 0.1 and 1.0 bar, and </w:t>
      </w:r>
      <w:r w:rsidR="005315FA" w:rsidRPr="00FE2BDF">
        <w:rPr>
          <w:color w:val="000000" w:themeColor="text1"/>
        </w:rPr>
        <w:t>temperatures</w:t>
      </w:r>
      <w:r w:rsidR="00B255ED" w:rsidRPr="00FE2BDF">
        <w:rPr>
          <w:color w:val="000000" w:themeColor="text1"/>
        </w:rPr>
        <w:t xml:space="preserve"> of 500 and 900°C</w:t>
      </w:r>
      <w:r w:rsidR="00023091" w:rsidRPr="00FE2BDF">
        <w:rPr>
          <w:color w:val="000000" w:themeColor="text1"/>
        </w:rPr>
        <w:t xml:space="preserve"> in a tubular reactor</w:t>
      </w:r>
      <w:r w:rsidR="005315FA" w:rsidRPr="00FE2BDF">
        <w:rPr>
          <w:color w:val="000000" w:themeColor="text1"/>
        </w:rPr>
        <w:t xml:space="preserve">. </w:t>
      </w:r>
      <w:r w:rsidR="003C55F9" w:rsidRPr="00FE2BDF">
        <w:rPr>
          <w:color w:val="000000" w:themeColor="text1"/>
        </w:rPr>
        <w:t>B</w:t>
      </w:r>
      <w:r w:rsidR="005315FA" w:rsidRPr="00FE2BDF">
        <w:rPr>
          <w:color w:val="000000" w:themeColor="text1"/>
        </w:rPr>
        <w:t xml:space="preserve">oth the reactor pressure and </w:t>
      </w:r>
      <w:r w:rsidR="00B255ED" w:rsidRPr="00FE2BDF">
        <w:rPr>
          <w:color w:val="000000" w:themeColor="text1"/>
        </w:rPr>
        <w:t xml:space="preserve">pyrolysis </w:t>
      </w:r>
      <w:r w:rsidR="005315FA" w:rsidRPr="00FE2BDF">
        <w:rPr>
          <w:color w:val="000000" w:themeColor="text1"/>
        </w:rPr>
        <w:t xml:space="preserve">temperature had a significant effect on the product yields and composition. Higher gas yield was found </w:t>
      </w:r>
      <w:r w:rsidR="003C55F9" w:rsidRPr="00FE2BDF">
        <w:rPr>
          <w:color w:val="000000" w:themeColor="text1"/>
        </w:rPr>
        <w:t>at</w:t>
      </w:r>
      <w:r w:rsidR="005315FA" w:rsidRPr="00FE2BDF">
        <w:rPr>
          <w:color w:val="000000" w:themeColor="text1"/>
        </w:rPr>
        <w:t xml:space="preserve"> higher temperature and lower pressure. </w:t>
      </w:r>
      <w:r w:rsidR="003C55F9" w:rsidRPr="00FE2BDF">
        <w:rPr>
          <w:color w:val="000000" w:themeColor="text1"/>
        </w:rPr>
        <w:t>T</w:t>
      </w:r>
      <w:r w:rsidR="005315FA" w:rsidRPr="00FE2BDF">
        <w:rPr>
          <w:color w:val="000000" w:themeColor="text1"/>
        </w:rPr>
        <w:t>he lower reactor pressure resulted higher heating values of the gas fraction.</w:t>
      </w:r>
      <w:r w:rsidR="00B255ED" w:rsidRPr="00FE2BDF">
        <w:rPr>
          <w:color w:val="000000" w:themeColor="text1"/>
        </w:rPr>
        <w:t xml:space="preserve"> Due to its</w:t>
      </w:r>
      <w:r w:rsidR="005315FA" w:rsidRPr="00FE2BDF">
        <w:rPr>
          <w:color w:val="000000" w:themeColor="text1"/>
        </w:rPr>
        <w:t xml:space="preserve"> significantly higher carbon monoxide content, </w:t>
      </w:r>
      <w:r w:rsidR="003C55F9" w:rsidRPr="00FE2BDF">
        <w:rPr>
          <w:color w:val="000000" w:themeColor="text1"/>
        </w:rPr>
        <w:t>more</w:t>
      </w:r>
      <w:r w:rsidR="005315FA" w:rsidRPr="00FE2BDF">
        <w:rPr>
          <w:color w:val="000000" w:themeColor="text1"/>
        </w:rPr>
        <w:t xml:space="preserve"> syngas (hydrogen and carbon monoxide) was observed using 0.1 bar pressure. Regarding the char, their </w:t>
      </w:r>
      <w:r w:rsidR="00023091" w:rsidRPr="00FE2BDF">
        <w:rPr>
          <w:color w:val="000000" w:themeColor="text1"/>
        </w:rPr>
        <w:t>composition</w:t>
      </w:r>
      <w:r w:rsidR="005315FA" w:rsidRPr="00FE2BDF">
        <w:rPr>
          <w:color w:val="000000" w:themeColor="text1"/>
        </w:rPr>
        <w:t xml:space="preserve"> can be also significantly affected by the reactor pressure</w:t>
      </w:r>
      <w:r w:rsidR="00023091" w:rsidRPr="00FE2BDF">
        <w:rPr>
          <w:color w:val="000000" w:themeColor="text1"/>
        </w:rPr>
        <w:t>, however their morphology differed slightly</w:t>
      </w:r>
      <w:r w:rsidR="005315FA" w:rsidRPr="00FE2BDF">
        <w:rPr>
          <w:color w:val="000000" w:themeColor="text1"/>
        </w:rPr>
        <w:t xml:space="preserve">. </w:t>
      </w:r>
      <w:r w:rsidR="00B255ED" w:rsidRPr="00FE2BDF">
        <w:rPr>
          <w:color w:val="000000" w:themeColor="text1"/>
        </w:rPr>
        <w:t>To enhance the product yield and affect their properties natural sourced dolomite was</w:t>
      </w:r>
      <w:r w:rsidR="003C55F9" w:rsidRPr="00FE2BDF">
        <w:rPr>
          <w:color w:val="000000" w:themeColor="text1"/>
        </w:rPr>
        <w:t xml:space="preserve"> also</w:t>
      </w:r>
      <w:r w:rsidR="00B255ED" w:rsidRPr="00FE2BDF">
        <w:rPr>
          <w:color w:val="000000" w:themeColor="text1"/>
        </w:rPr>
        <w:t xml:space="preserve"> used. It was concluded, that </w:t>
      </w:r>
      <w:r w:rsidR="005315FA" w:rsidRPr="00FE2BDF">
        <w:rPr>
          <w:color w:val="000000" w:themeColor="text1"/>
        </w:rPr>
        <w:t>the dolomite mixing into the raw material can enhanced the dry reforming reactions and increase the syngas yield.</w:t>
      </w:r>
    </w:p>
    <w:p w14:paraId="5574C7AB" w14:textId="77777777" w:rsidR="005315FA" w:rsidRPr="00FE2BDF" w:rsidRDefault="005315FA" w:rsidP="005315FA">
      <w:pPr>
        <w:pStyle w:val="CETListbullets"/>
        <w:ind w:left="0" w:firstLine="0"/>
        <w:rPr>
          <w:b/>
          <w:color w:val="000000" w:themeColor="text1"/>
        </w:rPr>
      </w:pPr>
    </w:p>
    <w:p w14:paraId="7DCE7CD5" w14:textId="174E860F" w:rsidR="005315FA" w:rsidRPr="00FE2BDF" w:rsidRDefault="005315FA" w:rsidP="005315FA">
      <w:pPr>
        <w:pStyle w:val="CETListbullets"/>
        <w:ind w:left="0" w:firstLine="0"/>
        <w:rPr>
          <w:color w:val="000000" w:themeColor="text1"/>
        </w:rPr>
      </w:pPr>
      <w:r w:rsidRPr="00FE2BDF">
        <w:rPr>
          <w:b/>
          <w:color w:val="000000" w:themeColor="text1"/>
        </w:rPr>
        <w:t>Keywords:</w:t>
      </w:r>
      <w:r w:rsidRPr="00FE2BDF">
        <w:rPr>
          <w:color w:val="000000" w:themeColor="text1"/>
        </w:rPr>
        <w:t xml:space="preserve"> </w:t>
      </w:r>
      <w:r w:rsidRPr="00FE2BDF">
        <w:t>sewage sludge, pyrolysis</w:t>
      </w:r>
      <w:r w:rsidR="00B255ED" w:rsidRPr="00FE2BDF">
        <w:t xml:space="preserve">, </w:t>
      </w:r>
      <w:r w:rsidRPr="00FE2BDF">
        <w:t>pressure, syngas, products</w:t>
      </w:r>
    </w:p>
    <w:p w14:paraId="476B2F2E" w14:textId="77777777" w:rsidR="00600535" w:rsidRPr="00FE2BDF" w:rsidRDefault="00600535" w:rsidP="00600535">
      <w:pPr>
        <w:pStyle w:val="CETHeading1"/>
        <w:rPr>
          <w:color w:val="000000" w:themeColor="text1"/>
          <w:lang w:val="en-GB"/>
        </w:rPr>
      </w:pPr>
      <w:r w:rsidRPr="00FE2BDF">
        <w:rPr>
          <w:color w:val="000000" w:themeColor="text1"/>
          <w:lang w:val="en-GB"/>
        </w:rPr>
        <w:t>Introduction</w:t>
      </w:r>
    </w:p>
    <w:p w14:paraId="04D12F5F" w14:textId="7009516C" w:rsidR="005315FA" w:rsidRPr="00FE2BDF" w:rsidRDefault="005315FA" w:rsidP="005315FA">
      <w:pPr>
        <w:pStyle w:val="CETBodytext"/>
        <w:rPr>
          <w:color w:val="000000" w:themeColor="text1"/>
          <w:lang w:val="en-GB"/>
        </w:rPr>
      </w:pPr>
      <w:r w:rsidRPr="00FE2BDF">
        <w:rPr>
          <w:color w:val="000000" w:themeColor="text1"/>
          <w:lang w:val="en-GB"/>
        </w:rPr>
        <w:t>There is no</w:t>
      </w:r>
      <w:r w:rsidR="00327A80" w:rsidRPr="00FE2BDF">
        <w:rPr>
          <w:color w:val="000000" w:themeColor="text1"/>
          <w:lang w:val="en-GB"/>
        </w:rPr>
        <w:t>t a</w:t>
      </w:r>
      <w:r w:rsidRPr="00FE2BDF">
        <w:rPr>
          <w:color w:val="000000" w:themeColor="text1"/>
          <w:lang w:val="en-GB"/>
        </w:rPr>
        <w:t xml:space="preserve"> long term sustainable way to solve the problem of inc</w:t>
      </w:r>
      <w:r w:rsidR="00585DAF" w:rsidRPr="00FE2BDF">
        <w:rPr>
          <w:color w:val="000000" w:themeColor="text1"/>
          <w:lang w:val="en-GB"/>
        </w:rPr>
        <w:t>reasing amount of sewage sludge</w:t>
      </w:r>
      <w:r w:rsidR="003F2516" w:rsidRPr="00FE2BDF">
        <w:rPr>
          <w:color w:val="000000" w:themeColor="text1"/>
          <w:lang w:val="en-GB"/>
        </w:rPr>
        <w:t xml:space="preserve">; </w:t>
      </w:r>
      <w:r w:rsidR="00585DAF" w:rsidRPr="00FE2BDF">
        <w:rPr>
          <w:color w:val="000000" w:themeColor="text1"/>
          <w:lang w:val="en-GB"/>
        </w:rPr>
        <w:t>therefore their sustainable utilization is in the focus of nowadays research.</w:t>
      </w:r>
      <w:r w:rsidRPr="00FE2BDF">
        <w:rPr>
          <w:color w:val="000000" w:themeColor="text1"/>
          <w:lang w:val="en-GB"/>
        </w:rPr>
        <w:t xml:space="preserve"> </w:t>
      </w:r>
      <w:r w:rsidR="00327A80" w:rsidRPr="00FE2BDF">
        <w:rPr>
          <w:color w:val="000000" w:themeColor="text1"/>
          <w:lang w:val="en-GB"/>
        </w:rPr>
        <w:t>However</w:t>
      </w:r>
      <w:r w:rsidRPr="00FE2BDF">
        <w:rPr>
          <w:color w:val="000000" w:themeColor="text1"/>
          <w:lang w:val="en-GB"/>
        </w:rPr>
        <w:t>, thermal and thermo-catalytic methods seem to be a perspective direction</w:t>
      </w:r>
      <w:r w:rsidR="00327A80" w:rsidRPr="00FE2BDF">
        <w:rPr>
          <w:color w:val="000000" w:themeColor="text1"/>
          <w:lang w:val="en-GB"/>
        </w:rPr>
        <w:t xml:space="preserve"> for problem </w:t>
      </w:r>
      <w:r w:rsidR="003F6F90" w:rsidRPr="00FE2BDF">
        <w:rPr>
          <w:color w:val="000000" w:themeColor="text1"/>
          <w:lang w:val="en-GB"/>
        </w:rPr>
        <w:t>solution</w:t>
      </w:r>
      <w:r w:rsidRPr="00FE2BDF">
        <w:rPr>
          <w:color w:val="000000" w:themeColor="text1"/>
          <w:lang w:val="en-GB"/>
        </w:rPr>
        <w:t xml:space="preserve">. </w:t>
      </w:r>
      <w:r w:rsidR="003F6F90" w:rsidRPr="00FE2BDF">
        <w:rPr>
          <w:color w:val="000000" w:themeColor="text1"/>
          <w:lang w:val="en-GB"/>
        </w:rPr>
        <w:t>By</w:t>
      </w:r>
      <w:r w:rsidRPr="00FE2BDF">
        <w:rPr>
          <w:color w:val="000000" w:themeColor="text1"/>
          <w:lang w:val="en-GB"/>
        </w:rPr>
        <w:t xml:space="preserve"> these methods, sewage sludge can be transformed into </w:t>
      </w:r>
      <w:r w:rsidR="003F6F90" w:rsidRPr="00FE2BDF">
        <w:rPr>
          <w:color w:val="000000" w:themeColor="text1"/>
          <w:lang w:val="en-GB"/>
        </w:rPr>
        <w:t xml:space="preserve">different </w:t>
      </w:r>
      <w:r w:rsidRPr="00FE2BDF">
        <w:rPr>
          <w:color w:val="000000" w:themeColor="text1"/>
          <w:lang w:val="en-GB"/>
        </w:rPr>
        <w:t>products</w:t>
      </w:r>
      <w:r w:rsidR="00585DAF" w:rsidRPr="00FE2BDF">
        <w:rPr>
          <w:color w:val="000000" w:themeColor="text1"/>
          <w:lang w:val="en-GB"/>
        </w:rPr>
        <w:t>, such as gases, liquid fraction (bio-oil) and solid char</w:t>
      </w:r>
      <w:r w:rsidRPr="00FE2BDF">
        <w:rPr>
          <w:color w:val="000000" w:themeColor="text1"/>
          <w:lang w:val="en-GB"/>
        </w:rPr>
        <w:t xml:space="preserve">. </w:t>
      </w:r>
      <w:r w:rsidR="003F6F90" w:rsidRPr="00FE2BDF">
        <w:rPr>
          <w:color w:val="000000" w:themeColor="text1"/>
          <w:lang w:val="en-GB"/>
        </w:rPr>
        <w:t>In general, th</w:t>
      </w:r>
      <w:r w:rsidRPr="00FE2BDF">
        <w:rPr>
          <w:color w:val="000000" w:themeColor="text1"/>
          <w:lang w:val="en-GB"/>
        </w:rPr>
        <w:t>e pyrolysis and gasification processes take place in the</w:t>
      </w:r>
      <w:r w:rsidR="003F6F90" w:rsidRPr="00FE2BDF">
        <w:rPr>
          <w:color w:val="000000" w:themeColor="text1"/>
          <w:lang w:val="en-GB"/>
        </w:rPr>
        <w:t xml:space="preserve"> temperature range of 300-1000°C</w:t>
      </w:r>
      <w:r w:rsidRPr="00FE2BDF">
        <w:rPr>
          <w:color w:val="000000" w:themeColor="text1"/>
          <w:lang w:val="en-GB"/>
        </w:rPr>
        <w:t xml:space="preserve">, usually at atmospheric pressure </w:t>
      </w:r>
      <w:r w:rsidR="003F6F90" w:rsidRPr="00FE2BDF">
        <w:rPr>
          <w:color w:val="000000" w:themeColor="text1"/>
          <w:lang w:val="en-GB"/>
        </w:rPr>
        <w:t>using</w:t>
      </w:r>
      <w:r w:rsidRPr="00FE2BDF">
        <w:rPr>
          <w:color w:val="000000" w:themeColor="text1"/>
          <w:lang w:val="en-GB"/>
        </w:rPr>
        <w:t xml:space="preserve"> an inert atmosphere</w:t>
      </w:r>
      <w:r w:rsidR="00585DAF" w:rsidRPr="00FE2BDF">
        <w:rPr>
          <w:color w:val="000000" w:themeColor="text1"/>
          <w:lang w:val="en-GB"/>
        </w:rPr>
        <w:t xml:space="preserve"> (e.g. nitrogen, argon, etc.)</w:t>
      </w:r>
      <w:r w:rsidR="00023091" w:rsidRPr="00FE2BDF">
        <w:rPr>
          <w:color w:val="000000" w:themeColor="text1"/>
          <w:lang w:val="en-GB"/>
        </w:rPr>
        <w:t>, partial oxygen or air</w:t>
      </w:r>
      <w:r w:rsidRPr="00FE2BDF">
        <w:rPr>
          <w:color w:val="000000" w:themeColor="text1"/>
          <w:lang w:val="en-GB"/>
        </w:rPr>
        <w:t>.</w:t>
      </w:r>
      <w:r w:rsidR="003F6F90" w:rsidRPr="00FE2BDF">
        <w:rPr>
          <w:color w:val="000000" w:themeColor="text1"/>
          <w:lang w:val="en-GB"/>
        </w:rPr>
        <w:t xml:space="preserve"> Depending on the reaction conditions to be used, t</w:t>
      </w:r>
      <w:r w:rsidRPr="00FE2BDF">
        <w:rPr>
          <w:color w:val="000000" w:themeColor="text1"/>
          <w:lang w:val="en-GB"/>
        </w:rPr>
        <w:t>he gas product</w:t>
      </w:r>
      <w:r w:rsidR="003F6F90" w:rsidRPr="00FE2BDF">
        <w:rPr>
          <w:color w:val="000000" w:themeColor="text1"/>
          <w:lang w:val="en-GB"/>
        </w:rPr>
        <w:t xml:space="preserve"> </w:t>
      </w:r>
      <w:r w:rsidR="00023091" w:rsidRPr="00FE2BDF">
        <w:rPr>
          <w:color w:val="000000" w:themeColor="text1"/>
          <w:lang w:val="en-GB"/>
        </w:rPr>
        <w:t>contains hydrogen</w:t>
      </w:r>
      <w:r w:rsidRPr="00FE2BDF">
        <w:rPr>
          <w:color w:val="000000" w:themeColor="text1"/>
          <w:lang w:val="en-GB"/>
        </w:rPr>
        <w:t xml:space="preserve">, carbon monoxide, </w:t>
      </w:r>
      <w:r w:rsidR="00585DAF" w:rsidRPr="00FE2BDF">
        <w:rPr>
          <w:color w:val="000000" w:themeColor="text1"/>
          <w:lang w:val="en-GB"/>
        </w:rPr>
        <w:t>carbon dioxide,</w:t>
      </w:r>
      <w:r w:rsidR="003F6F90" w:rsidRPr="00FE2BDF">
        <w:rPr>
          <w:color w:val="000000" w:themeColor="text1"/>
          <w:lang w:val="en-GB"/>
        </w:rPr>
        <w:t xml:space="preserve"> hydrocarbons</w:t>
      </w:r>
      <w:r w:rsidR="00585DAF" w:rsidRPr="00FE2BDF">
        <w:rPr>
          <w:color w:val="000000" w:themeColor="text1"/>
          <w:lang w:val="en-GB"/>
        </w:rPr>
        <w:t xml:space="preserve"> (&lt;C</w:t>
      </w:r>
      <w:r w:rsidR="00585DAF" w:rsidRPr="00FE2BDF">
        <w:rPr>
          <w:color w:val="000000" w:themeColor="text1"/>
          <w:vertAlign w:val="subscript"/>
          <w:lang w:val="en-GB"/>
        </w:rPr>
        <w:t>6</w:t>
      </w:r>
      <w:r w:rsidR="00585DAF" w:rsidRPr="00FE2BDF">
        <w:rPr>
          <w:color w:val="000000" w:themeColor="text1"/>
          <w:lang w:val="en-GB"/>
        </w:rPr>
        <w:t>) and other components</w:t>
      </w:r>
      <w:r w:rsidRPr="00FE2BDF">
        <w:rPr>
          <w:color w:val="000000" w:themeColor="text1"/>
          <w:lang w:val="en-GB"/>
        </w:rPr>
        <w:t xml:space="preserve">. The liquid product </w:t>
      </w:r>
      <w:r w:rsidR="003C55F9" w:rsidRPr="00FE2BDF">
        <w:rPr>
          <w:color w:val="000000" w:themeColor="text1"/>
          <w:lang w:val="en-GB"/>
        </w:rPr>
        <w:t xml:space="preserve">of the pyrolysis </w:t>
      </w:r>
      <w:r w:rsidRPr="00FE2BDF">
        <w:rPr>
          <w:color w:val="000000" w:themeColor="text1"/>
          <w:lang w:val="en-GB"/>
        </w:rPr>
        <w:t>is a mixture of hydrocarbons that may have</w:t>
      </w:r>
      <w:r w:rsidR="00585DAF" w:rsidRPr="00FE2BDF">
        <w:rPr>
          <w:color w:val="000000" w:themeColor="text1"/>
          <w:lang w:val="en-GB"/>
        </w:rPr>
        <w:t xml:space="preserve"> a significant water content, while t</w:t>
      </w:r>
      <w:r w:rsidR="00023091" w:rsidRPr="00FE2BDF">
        <w:rPr>
          <w:color w:val="000000" w:themeColor="text1"/>
          <w:lang w:val="en-GB"/>
        </w:rPr>
        <w:t xml:space="preserve">he solid residue is </w:t>
      </w:r>
      <w:r w:rsidR="003C55F9" w:rsidRPr="00FE2BDF">
        <w:rPr>
          <w:color w:val="000000" w:themeColor="text1"/>
          <w:lang w:val="en-GB"/>
        </w:rPr>
        <w:t xml:space="preserve">the </w:t>
      </w:r>
      <w:r w:rsidR="003F6F90" w:rsidRPr="00FE2BDF">
        <w:rPr>
          <w:color w:val="000000" w:themeColor="text1"/>
          <w:lang w:val="en-GB"/>
        </w:rPr>
        <w:t>mixtures or agglomerates of</w:t>
      </w:r>
      <w:r w:rsidRPr="00FE2BDF">
        <w:rPr>
          <w:color w:val="000000" w:themeColor="text1"/>
          <w:lang w:val="en-GB"/>
        </w:rPr>
        <w:t xml:space="preserve"> inorganic oxides, inorganic carbonates, and other carbonaceous substances [</w:t>
      </w:r>
      <w:r w:rsidR="006A67BB" w:rsidRPr="00FE2BDF">
        <w:rPr>
          <w:color w:val="000000" w:themeColor="text1"/>
          <w:lang w:val="en-GB"/>
        </w:rPr>
        <w:t>Kang et al. 2019</w:t>
      </w:r>
      <w:r w:rsidRPr="00FE2BDF">
        <w:rPr>
          <w:color w:val="000000" w:themeColor="text1"/>
          <w:lang w:val="en-GB"/>
        </w:rPr>
        <w:t>].</w:t>
      </w:r>
      <w:r w:rsidR="00B255ED" w:rsidRPr="00FE2BDF">
        <w:rPr>
          <w:color w:val="000000" w:themeColor="text1"/>
          <w:lang w:val="en-GB"/>
        </w:rPr>
        <w:t xml:space="preserve"> </w:t>
      </w:r>
      <w:r w:rsidR="003F6F90" w:rsidRPr="00FE2BDF">
        <w:rPr>
          <w:color w:val="000000" w:themeColor="text1"/>
          <w:lang w:val="en-GB"/>
        </w:rPr>
        <w:t>I</w:t>
      </w:r>
      <w:r w:rsidRPr="00FE2BDF">
        <w:rPr>
          <w:color w:val="000000" w:themeColor="text1"/>
          <w:lang w:val="en-GB"/>
        </w:rPr>
        <w:t xml:space="preserve">t can be </w:t>
      </w:r>
      <w:r w:rsidR="003F6F90" w:rsidRPr="00FE2BDF">
        <w:rPr>
          <w:color w:val="000000" w:themeColor="text1"/>
          <w:lang w:val="en-GB"/>
        </w:rPr>
        <w:t xml:space="preserve">also </w:t>
      </w:r>
      <w:r w:rsidRPr="00FE2BDF">
        <w:rPr>
          <w:color w:val="000000" w:themeColor="text1"/>
          <w:lang w:val="en-GB"/>
        </w:rPr>
        <w:t xml:space="preserve">said that the </w:t>
      </w:r>
      <w:r w:rsidR="00585DAF" w:rsidRPr="00FE2BDF">
        <w:rPr>
          <w:color w:val="000000" w:themeColor="text1"/>
          <w:lang w:val="en-GB"/>
        </w:rPr>
        <w:t>chemical reactions</w:t>
      </w:r>
      <w:r w:rsidRPr="00FE2BDF">
        <w:rPr>
          <w:color w:val="000000" w:themeColor="text1"/>
          <w:lang w:val="en-GB"/>
        </w:rPr>
        <w:t xml:space="preserve"> that take place </w:t>
      </w:r>
      <w:r w:rsidR="00585DAF" w:rsidRPr="00FE2BDF">
        <w:rPr>
          <w:color w:val="000000" w:themeColor="text1"/>
          <w:lang w:val="en-GB"/>
        </w:rPr>
        <w:t xml:space="preserve">during the process </w:t>
      </w:r>
      <w:r w:rsidRPr="00FE2BDF">
        <w:rPr>
          <w:color w:val="000000" w:themeColor="text1"/>
          <w:lang w:val="en-GB"/>
        </w:rPr>
        <w:t xml:space="preserve">are significantly influenced </w:t>
      </w:r>
      <w:r w:rsidR="00585DAF" w:rsidRPr="00FE2BDF">
        <w:rPr>
          <w:color w:val="000000" w:themeColor="text1"/>
          <w:lang w:val="en-GB"/>
        </w:rPr>
        <w:t xml:space="preserve">e.g. </w:t>
      </w:r>
      <w:r w:rsidRPr="00FE2BDF">
        <w:rPr>
          <w:color w:val="000000" w:themeColor="text1"/>
          <w:lang w:val="en-GB"/>
        </w:rPr>
        <w:t>by the temperature</w:t>
      </w:r>
      <w:r w:rsidR="003F6F90" w:rsidRPr="00FE2BDF">
        <w:rPr>
          <w:color w:val="000000" w:themeColor="text1"/>
          <w:lang w:val="en-GB"/>
        </w:rPr>
        <w:t xml:space="preserve">, the </w:t>
      </w:r>
      <w:r w:rsidRPr="00FE2BDF">
        <w:rPr>
          <w:color w:val="000000" w:themeColor="text1"/>
          <w:lang w:val="en-GB"/>
        </w:rPr>
        <w:t>reactor</w:t>
      </w:r>
      <w:r w:rsidR="003F6F90" w:rsidRPr="00FE2BDF">
        <w:rPr>
          <w:color w:val="000000" w:themeColor="text1"/>
          <w:lang w:val="en-GB"/>
        </w:rPr>
        <w:t xml:space="preserve"> configuration</w:t>
      </w:r>
      <w:r w:rsidR="00585DAF" w:rsidRPr="00FE2BDF">
        <w:rPr>
          <w:color w:val="000000" w:themeColor="text1"/>
          <w:lang w:val="en-GB"/>
        </w:rPr>
        <w:t>, the pressure, the</w:t>
      </w:r>
      <w:r w:rsidRPr="00FE2BDF">
        <w:rPr>
          <w:color w:val="000000" w:themeColor="text1"/>
          <w:lang w:val="en-GB"/>
        </w:rPr>
        <w:t xml:space="preserve"> presence of catalysts or the residence time [</w:t>
      </w:r>
      <w:r w:rsidR="006A67BB" w:rsidRPr="00FE2BDF">
        <w:rPr>
          <w:color w:val="000000" w:themeColor="text1"/>
          <w:lang w:val="en-GB"/>
        </w:rPr>
        <w:t>Soria-Verdugo 2020</w:t>
      </w:r>
      <w:r w:rsidRPr="00FE2BDF">
        <w:rPr>
          <w:color w:val="000000" w:themeColor="text1"/>
          <w:lang w:val="en-GB"/>
        </w:rPr>
        <w:t>].</w:t>
      </w:r>
      <w:r w:rsidR="001A1F9B" w:rsidRPr="00FE2BDF">
        <w:rPr>
          <w:color w:val="000000" w:themeColor="text1"/>
          <w:lang w:val="en-GB"/>
        </w:rPr>
        <w:t xml:space="preserve"> </w:t>
      </w:r>
      <w:r w:rsidRPr="00FE2BDF">
        <w:rPr>
          <w:color w:val="000000" w:themeColor="text1"/>
          <w:lang w:val="en-GB"/>
        </w:rPr>
        <w:t>Increasing</w:t>
      </w:r>
      <w:r w:rsidR="001A1F9B" w:rsidRPr="00FE2BDF">
        <w:rPr>
          <w:color w:val="000000" w:themeColor="text1"/>
          <w:lang w:val="en-GB"/>
        </w:rPr>
        <w:t xml:space="preserve"> in</w:t>
      </w:r>
      <w:r w:rsidRPr="00FE2BDF">
        <w:rPr>
          <w:color w:val="000000" w:themeColor="text1"/>
          <w:lang w:val="en-GB"/>
        </w:rPr>
        <w:t xml:space="preserve"> temperature and </w:t>
      </w:r>
      <w:r w:rsidR="001A1F9B" w:rsidRPr="00FE2BDF">
        <w:rPr>
          <w:color w:val="000000" w:themeColor="text1"/>
          <w:lang w:val="en-GB"/>
        </w:rPr>
        <w:t xml:space="preserve">the </w:t>
      </w:r>
      <w:r w:rsidRPr="00FE2BDF">
        <w:rPr>
          <w:color w:val="000000" w:themeColor="text1"/>
          <w:lang w:val="en-GB"/>
        </w:rPr>
        <w:t>presence of catalysts clearly increases the amou</w:t>
      </w:r>
      <w:r w:rsidR="003F6F90" w:rsidRPr="00FE2BDF">
        <w:rPr>
          <w:color w:val="000000" w:themeColor="text1"/>
          <w:lang w:val="en-GB"/>
        </w:rPr>
        <w:t xml:space="preserve">nt of </w:t>
      </w:r>
      <w:r w:rsidR="001A1F9B" w:rsidRPr="00FE2BDF">
        <w:rPr>
          <w:color w:val="000000" w:themeColor="text1"/>
          <w:lang w:val="en-GB"/>
        </w:rPr>
        <w:t xml:space="preserve">volatiles (e.g. </w:t>
      </w:r>
      <w:r w:rsidR="003F6F90" w:rsidRPr="00FE2BDF">
        <w:rPr>
          <w:color w:val="000000" w:themeColor="text1"/>
          <w:lang w:val="en-GB"/>
        </w:rPr>
        <w:t>gas</w:t>
      </w:r>
      <w:r w:rsidR="001A1F9B" w:rsidRPr="00FE2BDF">
        <w:rPr>
          <w:color w:val="000000" w:themeColor="text1"/>
          <w:lang w:val="en-GB"/>
        </w:rPr>
        <w:t>es)</w:t>
      </w:r>
      <w:r w:rsidR="003F6F90" w:rsidRPr="00FE2BDF">
        <w:rPr>
          <w:color w:val="000000" w:themeColor="text1"/>
          <w:lang w:val="en-GB"/>
        </w:rPr>
        <w:t xml:space="preserve">. </w:t>
      </w:r>
      <w:r w:rsidR="001A1F9B" w:rsidRPr="00FE2BDF">
        <w:rPr>
          <w:color w:val="000000" w:themeColor="text1"/>
          <w:lang w:val="en-GB"/>
        </w:rPr>
        <w:t xml:space="preserve">The main decomposition steps take place up to 500°C, while the obtained primary products can further reacted in secondary chemical reactions in the temperature range of 500-700°C. </w:t>
      </w:r>
      <w:r w:rsidR="003F6F90" w:rsidRPr="00FE2BDF">
        <w:rPr>
          <w:color w:val="000000" w:themeColor="text1"/>
          <w:lang w:val="en-GB"/>
        </w:rPr>
        <w:t>Above 750°C</w:t>
      </w:r>
      <w:r w:rsidRPr="00FE2BDF">
        <w:rPr>
          <w:color w:val="000000" w:themeColor="text1"/>
          <w:lang w:val="en-GB"/>
        </w:rPr>
        <w:t xml:space="preserve"> the amount of gas</w:t>
      </w:r>
      <w:r w:rsidR="001A1F9B" w:rsidRPr="00FE2BDF">
        <w:rPr>
          <w:color w:val="000000" w:themeColor="text1"/>
          <w:lang w:val="en-GB"/>
        </w:rPr>
        <w:t>es</w:t>
      </w:r>
      <w:r w:rsidR="00CA31B0" w:rsidRPr="00FE2BDF">
        <w:rPr>
          <w:color w:val="000000" w:themeColor="text1"/>
          <w:lang w:val="en-GB"/>
        </w:rPr>
        <w:t xml:space="preserve"> are</w:t>
      </w:r>
      <w:r w:rsidRPr="00FE2BDF">
        <w:rPr>
          <w:color w:val="000000" w:themeColor="text1"/>
          <w:lang w:val="en-GB"/>
        </w:rPr>
        <w:t xml:space="preserve"> </w:t>
      </w:r>
      <w:r w:rsidR="003F6F90" w:rsidRPr="00FE2BDF">
        <w:rPr>
          <w:color w:val="000000" w:themeColor="text1"/>
          <w:lang w:val="en-GB"/>
        </w:rPr>
        <w:t>dominant</w:t>
      </w:r>
      <w:r w:rsidR="00CA31B0" w:rsidRPr="00FE2BDF">
        <w:rPr>
          <w:color w:val="000000" w:themeColor="text1"/>
          <w:lang w:val="en-GB"/>
        </w:rPr>
        <w:t xml:space="preserve"> and its composition shifts toward the higher </w:t>
      </w:r>
      <w:r w:rsidRPr="00FE2BDF">
        <w:rPr>
          <w:color w:val="000000" w:themeColor="text1"/>
          <w:lang w:val="en-GB"/>
        </w:rPr>
        <w:t xml:space="preserve">proportion of lighter hydrocarbons </w:t>
      </w:r>
      <w:r w:rsidR="003F6F90" w:rsidRPr="00FE2BDF">
        <w:rPr>
          <w:color w:val="000000" w:themeColor="text1"/>
          <w:lang w:val="en-GB"/>
        </w:rPr>
        <w:t>and</w:t>
      </w:r>
      <w:r w:rsidRPr="00FE2BDF">
        <w:rPr>
          <w:color w:val="000000" w:themeColor="text1"/>
          <w:lang w:val="en-GB"/>
        </w:rPr>
        <w:t xml:space="preserve"> hydr</w:t>
      </w:r>
      <w:r w:rsidR="003F6F90" w:rsidRPr="00FE2BDF">
        <w:rPr>
          <w:color w:val="000000" w:themeColor="text1"/>
          <w:lang w:val="en-GB"/>
        </w:rPr>
        <w:t>ogen</w:t>
      </w:r>
      <w:r w:rsidR="00D51C8A" w:rsidRPr="00FE2BDF">
        <w:rPr>
          <w:color w:val="000000" w:themeColor="text1"/>
          <w:lang w:val="en-GB"/>
        </w:rPr>
        <w:t xml:space="preserve"> [Fonts et al</w:t>
      </w:r>
      <w:r w:rsidR="003F2516" w:rsidRPr="00FE2BDF">
        <w:rPr>
          <w:color w:val="000000" w:themeColor="text1"/>
          <w:lang w:val="en-GB"/>
        </w:rPr>
        <w:t>.</w:t>
      </w:r>
      <w:r w:rsidR="00D51C8A" w:rsidRPr="00FE2BDF">
        <w:rPr>
          <w:color w:val="000000" w:themeColor="text1"/>
          <w:lang w:val="en-GB"/>
        </w:rPr>
        <w:t xml:space="preserve"> 2008]</w:t>
      </w:r>
      <w:r w:rsidR="003F6F90" w:rsidRPr="00FE2BDF">
        <w:rPr>
          <w:color w:val="000000" w:themeColor="text1"/>
          <w:lang w:val="en-GB"/>
        </w:rPr>
        <w:t>. At higher temperatures (&gt;800°C</w:t>
      </w:r>
      <w:r w:rsidRPr="00FE2BDF">
        <w:rPr>
          <w:color w:val="000000" w:themeColor="text1"/>
          <w:lang w:val="en-GB"/>
        </w:rPr>
        <w:t>) the ratio of CO to CO</w:t>
      </w:r>
      <w:r w:rsidRPr="00FE2BDF">
        <w:rPr>
          <w:color w:val="000000" w:themeColor="text1"/>
          <w:vertAlign w:val="subscript"/>
          <w:lang w:val="en-GB"/>
        </w:rPr>
        <w:t>2</w:t>
      </w:r>
      <w:r w:rsidRPr="00FE2BDF">
        <w:rPr>
          <w:color w:val="000000" w:themeColor="text1"/>
          <w:lang w:val="en-GB"/>
        </w:rPr>
        <w:t xml:space="preserve"> as well as the amount of methane can vary significantly [</w:t>
      </w:r>
      <w:r w:rsidR="00CB5C86" w:rsidRPr="00FE2BDF">
        <w:rPr>
          <w:color w:val="000000" w:themeColor="text1"/>
          <w:lang w:val="en-GB"/>
        </w:rPr>
        <w:t>Hossain et al. 2011</w:t>
      </w:r>
      <w:r w:rsidRPr="00FE2BDF">
        <w:rPr>
          <w:color w:val="000000" w:themeColor="text1"/>
          <w:lang w:val="en-GB"/>
        </w:rPr>
        <w:t>].</w:t>
      </w:r>
      <w:r w:rsidR="00B255ED" w:rsidRPr="00FE2BDF">
        <w:rPr>
          <w:color w:val="000000" w:themeColor="text1"/>
          <w:lang w:val="en-GB"/>
        </w:rPr>
        <w:t xml:space="preserve"> </w:t>
      </w:r>
      <w:r w:rsidRPr="00FE2BDF">
        <w:rPr>
          <w:color w:val="000000" w:themeColor="text1"/>
          <w:lang w:val="en-GB"/>
        </w:rPr>
        <w:t xml:space="preserve">For catalysts, </w:t>
      </w:r>
      <w:r w:rsidR="003F6F90" w:rsidRPr="00FE2BDF">
        <w:rPr>
          <w:color w:val="000000" w:themeColor="text1"/>
          <w:lang w:val="en-GB"/>
        </w:rPr>
        <w:t>mainly</w:t>
      </w:r>
      <w:r w:rsidRPr="00FE2BDF">
        <w:rPr>
          <w:color w:val="000000" w:themeColor="text1"/>
          <w:lang w:val="en-GB"/>
        </w:rPr>
        <w:t xml:space="preserve"> zeolites with a high specific surface area or acidic character are</w:t>
      </w:r>
      <w:r w:rsidR="00CA31B0" w:rsidRPr="00FE2BDF">
        <w:rPr>
          <w:color w:val="000000" w:themeColor="text1"/>
          <w:lang w:val="en-GB"/>
        </w:rPr>
        <w:t xml:space="preserve"> </w:t>
      </w:r>
      <w:r w:rsidR="00A12812" w:rsidRPr="00FE2BDF">
        <w:rPr>
          <w:color w:val="000000" w:themeColor="text1"/>
          <w:lang w:val="en-GB"/>
        </w:rPr>
        <w:t>widely</w:t>
      </w:r>
      <w:r w:rsidRPr="00FE2BDF">
        <w:rPr>
          <w:color w:val="000000" w:themeColor="text1"/>
          <w:lang w:val="en-GB"/>
        </w:rPr>
        <w:t xml:space="preserve"> used. In addition to increasing the amount of volatile products, the catalysts can also modify their composition in a more </w:t>
      </w:r>
      <w:r w:rsidR="003F6F90" w:rsidRPr="00FE2BDF">
        <w:rPr>
          <w:color w:val="000000" w:themeColor="text1"/>
          <w:lang w:val="en-GB"/>
        </w:rPr>
        <w:t>favourable</w:t>
      </w:r>
      <w:r w:rsidR="00D51C8A" w:rsidRPr="00FE2BDF">
        <w:rPr>
          <w:color w:val="000000" w:themeColor="text1"/>
          <w:lang w:val="en-GB"/>
        </w:rPr>
        <w:t xml:space="preserve"> [Gao et al. 2020]</w:t>
      </w:r>
      <w:r w:rsidRPr="00FE2BDF">
        <w:rPr>
          <w:color w:val="000000" w:themeColor="text1"/>
          <w:lang w:val="en-GB"/>
        </w:rPr>
        <w:t xml:space="preserve">. Several attempts have been made to reduce the amount of harmful components </w:t>
      </w:r>
      <w:r w:rsidR="001A1F9B" w:rsidRPr="00FE2BDF">
        <w:rPr>
          <w:color w:val="000000" w:themeColor="text1"/>
          <w:lang w:val="en-GB"/>
        </w:rPr>
        <w:t>obtained in</w:t>
      </w:r>
      <w:r w:rsidRPr="00FE2BDF">
        <w:rPr>
          <w:color w:val="000000" w:themeColor="text1"/>
          <w:lang w:val="en-GB"/>
        </w:rPr>
        <w:t xml:space="preserve"> the thermal conversion of sewage sludge with catalysts [</w:t>
      </w:r>
      <w:r w:rsidR="00D51C8A" w:rsidRPr="00FE2BDF">
        <w:rPr>
          <w:color w:val="000000" w:themeColor="text1"/>
          <w:lang w:val="en-GB"/>
        </w:rPr>
        <w:t>M</w:t>
      </w:r>
      <w:r w:rsidR="00CB5C86" w:rsidRPr="00FE2BDF">
        <w:rPr>
          <w:color w:val="000000" w:themeColor="text1"/>
          <w:lang w:val="en-GB"/>
        </w:rPr>
        <w:t>orni et al. 2021</w:t>
      </w:r>
      <w:r w:rsidRPr="00FE2BDF">
        <w:rPr>
          <w:color w:val="000000" w:themeColor="text1"/>
          <w:lang w:val="en-GB"/>
        </w:rPr>
        <w:t>].</w:t>
      </w:r>
      <w:r w:rsidR="00B255ED" w:rsidRPr="00FE2BDF">
        <w:rPr>
          <w:color w:val="000000" w:themeColor="text1"/>
          <w:lang w:val="en-GB"/>
        </w:rPr>
        <w:t xml:space="preserve"> </w:t>
      </w:r>
      <w:r w:rsidRPr="00FE2BDF">
        <w:rPr>
          <w:color w:val="000000" w:themeColor="text1"/>
          <w:lang w:val="en-GB"/>
        </w:rPr>
        <w:t>The description of the effect of the pressure applied in the reactors wa</w:t>
      </w:r>
      <w:r w:rsidR="003F6F90" w:rsidRPr="00FE2BDF">
        <w:rPr>
          <w:color w:val="000000" w:themeColor="text1"/>
          <w:lang w:val="en-GB"/>
        </w:rPr>
        <w:t xml:space="preserve">s dealt with significantly less, </w:t>
      </w:r>
      <w:r w:rsidRPr="00FE2BDF">
        <w:rPr>
          <w:color w:val="000000" w:themeColor="text1"/>
          <w:lang w:val="en-GB"/>
        </w:rPr>
        <w:t xml:space="preserve">than the study </w:t>
      </w:r>
      <w:r w:rsidRPr="00FE2BDF">
        <w:rPr>
          <w:color w:val="000000" w:themeColor="text1"/>
          <w:lang w:val="en-GB"/>
        </w:rPr>
        <w:lastRenderedPageBreak/>
        <w:t xml:space="preserve">of the effect </w:t>
      </w:r>
      <w:r w:rsidR="003C55F9" w:rsidRPr="00FE2BDF">
        <w:rPr>
          <w:color w:val="000000" w:themeColor="text1"/>
          <w:lang w:val="en-GB"/>
        </w:rPr>
        <w:t xml:space="preserve">of the other parameters. In </w:t>
      </w:r>
      <w:r w:rsidRPr="00FE2BDF">
        <w:rPr>
          <w:color w:val="000000" w:themeColor="text1"/>
          <w:lang w:val="en-GB"/>
        </w:rPr>
        <w:t xml:space="preserve">case where higher pressures </w:t>
      </w:r>
      <w:r w:rsidR="003F6F90" w:rsidRPr="00FE2BDF">
        <w:rPr>
          <w:color w:val="000000" w:themeColor="text1"/>
          <w:lang w:val="en-GB"/>
        </w:rPr>
        <w:t>were</w:t>
      </w:r>
      <w:r w:rsidRPr="00FE2BDF">
        <w:rPr>
          <w:color w:val="000000" w:themeColor="text1"/>
          <w:lang w:val="en-GB"/>
        </w:rPr>
        <w:t xml:space="preserve"> used, hydrogen atmosphere seems to be advantageous, because in this case, hydrogenation reactions also t</w:t>
      </w:r>
      <w:r w:rsidR="00D41614" w:rsidRPr="00FE2BDF">
        <w:rPr>
          <w:color w:val="000000" w:themeColor="text1"/>
          <w:lang w:val="en-GB"/>
        </w:rPr>
        <w:t>ook</w:t>
      </w:r>
      <w:r w:rsidRPr="00FE2BDF">
        <w:rPr>
          <w:color w:val="000000" w:themeColor="text1"/>
          <w:lang w:val="en-GB"/>
        </w:rPr>
        <w:t xml:space="preserve"> place. As a result, not only the quantity of products </w:t>
      </w:r>
      <w:r w:rsidR="00D41614" w:rsidRPr="00FE2BDF">
        <w:rPr>
          <w:color w:val="000000" w:themeColor="text1"/>
          <w:lang w:val="en-GB"/>
        </w:rPr>
        <w:t xml:space="preserve">can </w:t>
      </w:r>
      <w:r w:rsidRPr="00FE2BDF">
        <w:rPr>
          <w:color w:val="000000" w:themeColor="text1"/>
          <w:lang w:val="en-GB"/>
        </w:rPr>
        <w:t xml:space="preserve">be modified, but also their contaminant </w:t>
      </w:r>
      <w:r w:rsidR="001A1F9B" w:rsidRPr="00FE2BDF">
        <w:rPr>
          <w:color w:val="000000" w:themeColor="text1"/>
          <w:lang w:val="en-GB"/>
        </w:rPr>
        <w:t>level</w:t>
      </w:r>
      <w:r w:rsidRPr="00FE2BDF">
        <w:rPr>
          <w:color w:val="000000" w:themeColor="text1"/>
          <w:lang w:val="en-GB"/>
        </w:rPr>
        <w:t xml:space="preserve"> can be </w:t>
      </w:r>
      <w:r w:rsidR="000B1510" w:rsidRPr="00FE2BDF">
        <w:rPr>
          <w:color w:val="000000" w:themeColor="text1"/>
          <w:lang w:val="en-GB"/>
        </w:rPr>
        <w:t xml:space="preserve">also </w:t>
      </w:r>
      <w:r w:rsidRPr="00FE2BDF">
        <w:rPr>
          <w:color w:val="000000" w:themeColor="text1"/>
          <w:lang w:val="en-GB"/>
        </w:rPr>
        <w:t>reduced [</w:t>
      </w:r>
      <w:r w:rsidR="00D51C8A" w:rsidRPr="00FE2BDF">
        <w:rPr>
          <w:color w:val="000000" w:themeColor="text1"/>
          <w:lang w:val="en-GB"/>
        </w:rPr>
        <w:t>Qui et al. 2020</w:t>
      </w:r>
      <w:r w:rsidRPr="00FE2BDF">
        <w:rPr>
          <w:color w:val="000000" w:themeColor="text1"/>
          <w:lang w:val="en-GB"/>
        </w:rPr>
        <w:t>]. It has</w:t>
      </w:r>
      <w:r w:rsidR="00D41614" w:rsidRPr="00FE2BDF">
        <w:rPr>
          <w:color w:val="000000" w:themeColor="text1"/>
          <w:lang w:val="en-GB"/>
        </w:rPr>
        <w:t xml:space="preserve"> </w:t>
      </w:r>
      <w:r w:rsidRPr="00FE2BDF">
        <w:rPr>
          <w:color w:val="000000" w:themeColor="text1"/>
          <w:lang w:val="en-GB"/>
        </w:rPr>
        <w:t xml:space="preserve">been observed that at higher pressures, </w:t>
      </w:r>
      <w:r w:rsidR="00D41614" w:rsidRPr="00FE2BDF">
        <w:rPr>
          <w:color w:val="000000" w:themeColor="text1"/>
          <w:lang w:val="en-GB"/>
        </w:rPr>
        <w:t>the</w:t>
      </w:r>
      <w:r w:rsidRPr="00FE2BDF">
        <w:rPr>
          <w:color w:val="000000" w:themeColor="text1"/>
          <w:lang w:val="en-GB"/>
        </w:rPr>
        <w:t xml:space="preserve"> gas </w:t>
      </w:r>
      <w:r w:rsidR="00D41614" w:rsidRPr="00FE2BDF">
        <w:rPr>
          <w:color w:val="000000" w:themeColor="text1"/>
          <w:lang w:val="en-GB"/>
        </w:rPr>
        <w:t>yield increased</w:t>
      </w:r>
      <w:r w:rsidRPr="00FE2BDF">
        <w:rPr>
          <w:color w:val="000000" w:themeColor="text1"/>
          <w:lang w:val="en-GB"/>
        </w:rPr>
        <w:t>, and the CO</w:t>
      </w:r>
      <w:r w:rsidRPr="00FE2BDF">
        <w:rPr>
          <w:color w:val="000000" w:themeColor="text1"/>
          <w:vertAlign w:val="subscript"/>
          <w:lang w:val="en-GB"/>
        </w:rPr>
        <w:t>2</w:t>
      </w:r>
      <w:r w:rsidR="00D41614" w:rsidRPr="00FE2BDF">
        <w:rPr>
          <w:color w:val="000000" w:themeColor="text1"/>
          <w:lang w:val="en-GB"/>
        </w:rPr>
        <w:t xml:space="preserve"> content of the products has</w:t>
      </w:r>
      <w:r w:rsidRPr="00FE2BDF">
        <w:rPr>
          <w:color w:val="000000" w:themeColor="text1"/>
          <w:lang w:val="en-GB"/>
        </w:rPr>
        <w:t xml:space="preserve"> decreased</w:t>
      </w:r>
      <w:r w:rsidR="00D51C8A" w:rsidRPr="00FE2BDF">
        <w:rPr>
          <w:color w:val="000000" w:themeColor="text1"/>
          <w:lang w:val="en-GB"/>
        </w:rPr>
        <w:t xml:space="preserve"> [</w:t>
      </w:r>
      <w:r w:rsidR="00D51C8A" w:rsidRPr="00FE2BDF">
        <w:rPr>
          <w:lang w:val="en-GB"/>
        </w:rPr>
        <w:t>Yang et al</w:t>
      </w:r>
      <w:r w:rsidR="000102EF" w:rsidRPr="00FE2BDF">
        <w:rPr>
          <w:lang w:val="en-GB"/>
        </w:rPr>
        <w:t>.</w:t>
      </w:r>
      <w:r w:rsidR="00D51C8A" w:rsidRPr="00FE2BDF">
        <w:rPr>
          <w:lang w:val="en-GB"/>
        </w:rPr>
        <w:t xml:space="preserve"> 2015</w:t>
      </w:r>
      <w:r w:rsidR="00D51C8A" w:rsidRPr="00FE2BDF">
        <w:rPr>
          <w:color w:val="000000" w:themeColor="text1"/>
          <w:lang w:val="en-GB"/>
        </w:rPr>
        <w:t>]</w:t>
      </w:r>
      <w:r w:rsidRPr="00FE2BDF">
        <w:rPr>
          <w:lang w:val="en-GB"/>
        </w:rPr>
        <w:t xml:space="preserve">. Processes </w:t>
      </w:r>
      <w:r w:rsidR="00D41614" w:rsidRPr="00FE2BDF">
        <w:rPr>
          <w:lang w:val="en-GB"/>
        </w:rPr>
        <w:t>&lt;1bar</w:t>
      </w:r>
      <w:r w:rsidRPr="00FE2BDF">
        <w:rPr>
          <w:lang w:val="en-GB"/>
        </w:rPr>
        <w:t xml:space="preserve"> pressure generally result in a more energy-efficient composition of the gas products [</w:t>
      </w:r>
      <w:r w:rsidR="00D51C8A" w:rsidRPr="00FE2BDF">
        <w:rPr>
          <w:lang w:val="en-GB"/>
        </w:rPr>
        <w:t>Zhang et al. 2015</w:t>
      </w:r>
      <w:r w:rsidR="00CA31B0" w:rsidRPr="00FE2BDF">
        <w:rPr>
          <w:lang w:val="en-GB"/>
        </w:rPr>
        <w:t>]. By using</w:t>
      </w:r>
      <w:r w:rsidRPr="00FE2BDF">
        <w:rPr>
          <w:lang w:val="en-GB"/>
        </w:rPr>
        <w:t xml:space="preserve"> vacuum, the reaction time and the amount of </w:t>
      </w:r>
      <w:r w:rsidR="00D41614" w:rsidRPr="00FE2BDF">
        <w:rPr>
          <w:lang w:val="en-GB"/>
        </w:rPr>
        <w:t>unfavourable</w:t>
      </w:r>
      <w:r w:rsidRPr="00FE2BDF">
        <w:rPr>
          <w:lang w:val="en-GB"/>
        </w:rPr>
        <w:t xml:space="preserve"> components caused by secondary reactions can be reduced [</w:t>
      </w:r>
      <w:r w:rsidR="00D51C8A" w:rsidRPr="00FE2BDF">
        <w:rPr>
          <w:lang w:val="en-GB"/>
        </w:rPr>
        <w:t>Zaker et al. 2021</w:t>
      </w:r>
      <w:r w:rsidRPr="00FE2BDF">
        <w:rPr>
          <w:lang w:val="en-GB"/>
        </w:rPr>
        <w:t>].</w:t>
      </w:r>
    </w:p>
    <w:p w14:paraId="761ECA26" w14:textId="05BE9DB7" w:rsidR="005315FA" w:rsidRPr="00FE2BDF" w:rsidRDefault="00D41614" w:rsidP="005315FA">
      <w:pPr>
        <w:pStyle w:val="CETBodytext"/>
        <w:rPr>
          <w:lang w:val="en-GB"/>
        </w:rPr>
      </w:pPr>
      <w:r w:rsidRPr="00FE2BDF">
        <w:rPr>
          <w:lang w:val="en-GB"/>
        </w:rPr>
        <w:t>The goal of</w:t>
      </w:r>
      <w:r w:rsidR="00CA31B0" w:rsidRPr="00FE2BDF">
        <w:rPr>
          <w:lang w:val="en-GB"/>
        </w:rPr>
        <w:t xml:space="preserve"> this work was to investigate</w:t>
      </w:r>
      <w:r w:rsidRPr="00FE2BDF">
        <w:rPr>
          <w:lang w:val="en-GB"/>
        </w:rPr>
        <w:t xml:space="preserve"> </w:t>
      </w:r>
      <w:r w:rsidR="005315FA" w:rsidRPr="00FE2BDF">
        <w:rPr>
          <w:lang w:val="en-GB"/>
        </w:rPr>
        <w:t xml:space="preserve">the thermal </w:t>
      </w:r>
      <w:r w:rsidRPr="00FE2BDF">
        <w:rPr>
          <w:lang w:val="en-GB"/>
        </w:rPr>
        <w:t>decomposition</w:t>
      </w:r>
      <w:r w:rsidR="005315FA" w:rsidRPr="00FE2BDF">
        <w:rPr>
          <w:lang w:val="en-GB"/>
        </w:rPr>
        <w:t xml:space="preserve"> of animal manure using different pressures in a horizontal tubular reactor. Dolomite was also used to modify the product structure and their amount.</w:t>
      </w:r>
    </w:p>
    <w:p w14:paraId="63022FAC" w14:textId="23A0AB65" w:rsidR="00AF65AD" w:rsidRPr="00FE2BDF" w:rsidRDefault="00AF65AD" w:rsidP="00AF65AD">
      <w:pPr>
        <w:pStyle w:val="CETHeading1"/>
        <w:rPr>
          <w:color w:val="000000" w:themeColor="text1"/>
          <w:lang w:val="en-GB"/>
        </w:rPr>
      </w:pPr>
      <w:r w:rsidRPr="00FE2BDF">
        <w:rPr>
          <w:color w:val="000000" w:themeColor="text1"/>
          <w:lang w:val="en-GB"/>
        </w:rPr>
        <w:t>Experimental</w:t>
      </w:r>
    </w:p>
    <w:p w14:paraId="39023121" w14:textId="3C60974E" w:rsidR="00AB2E83" w:rsidRPr="00FE2BDF" w:rsidRDefault="00AB2E83" w:rsidP="00AF65AD">
      <w:pPr>
        <w:pStyle w:val="CETheadingx"/>
      </w:pPr>
      <w:r w:rsidRPr="00FE2BDF">
        <w:t>Raw materials</w:t>
      </w:r>
    </w:p>
    <w:p w14:paraId="163E101D" w14:textId="534EC21F" w:rsidR="005315FA" w:rsidRPr="00FE2BDF" w:rsidRDefault="00AB2E83" w:rsidP="00600535">
      <w:pPr>
        <w:pStyle w:val="CETBodytext"/>
        <w:rPr>
          <w:lang w:val="en-GB"/>
        </w:rPr>
      </w:pPr>
      <w:r w:rsidRPr="00FE2BDF">
        <w:rPr>
          <w:lang w:val="en-GB"/>
        </w:rPr>
        <w:t>Animal sewage sludge (cattle manure) was used in this work. The raw material has ca</w:t>
      </w:r>
      <w:r w:rsidR="00B047FD" w:rsidRPr="00FE2BDF">
        <w:rPr>
          <w:lang w:val="en-GB"/>
        </w:rPr>
        <w:t>rbon of 24.8%, hydrogen of 3.0%</w:t>
      </w:r>
      <w:r w:rsidRPr="00FE2BDF">
        <w:rPr>
          <w:lang w:val="en-GB"/>
        </w:rPr>
        <w:t xml:space="preserve"> nitrogen of 2.9%, sulphur of 1.3%, oxygen of 45.5%, and 22.7% other elements. It has 5.9% fixed carbon, 40.6% ash content and 53.5% volatiles. To enhance the chemical reactions natural sourced dolomite was used. Based on the thermogravimetric result, the dolomite has significant weight loss from </w:t>
      </w:r>
      <w:r w:rsidR="00C76F5D" w:rsidRPr="00FE2BDF">
        <w:rPr>
          <w:lang w:val="en-GB"/>
        </w:rPr>
        <w:t>600°C to 870°C, when the weight loss changed from 5.1% to 74.1%. At 900°C</w:t>
      </w:r>
      <w:r w:rsidR="000B1510" w:rsidRPr="00FE2BDF">
        <w:rPr>
          <w:lang w:val="en-GB"/>
        </w:rPr>
        <w:t>,</w:t>
      </w:r>
      <w:r w:rsidR="000E43E6" w:rsidRPr="00FE2BDF">
        <w:rPr>
          <w:lang w:val="en-GB"/>
        </w:rPr>
        <w:t xml:space="preserve"> </w:t>
      </w:r>
      <w:r w:rsidR="00C76F5D" w:rsidRPr="00FE2BDF">
        <w:rPr>
          <w:lang w:val="en-GB"/>
        </w:rPr>
        <w:t>the 25.7% of the raw material remain as char.</w:t>
      </w:r>
    </w:p>
    <w:p w14:paraId="5582AD90" w14:textId="25B25610" w:rsidR="00AF65AD" w:rsidRPr="00FE2BDF" w:rsidRDefault="00AF65AD" w:rsidP="00AF65AD">
      <w:pPr>
        <w:pStyle w:val="CETheadingx"/>
      </w:pPr>
      <w:r w:rsidRPr="00FE2BDF">
        <w:t>Pyrolysis-gasification process</w:t>
      </w:r>
    </w:p>
    <w:p w14:paraId="776E2577" w14:textId="31BB0F3C" w:rsidR="00805065" w:rsidRPr="00FE2BDF" w:rsidRDefault="00AF65AD" w:rsidP="00805065">
      <w:pPr>
        <w:pStyle w:val="CETBodytext"/>
        <w:rPr>
          <w:color w:val="000000" w:themeColor="text1"/>
        </w:rPr>
      </w:pPr>
      <w:r w:rsidRPr="00FE2BDF">
        <w:rPr>
          <w:color w:val="000000" w:themeColor="text1"/>
          <w:lang w:val="en-GB"/>
        </w:rPr>
        <w:t xml:space="preserve">Raw materials had been </w:t>
      </w:r>
      <w:r w:rsidR="00E11771" w:rsidRPr="00FE2BDF">
        <w:rPr>
          <w:color w:val="000000" w:themeColor="text1"/>
          <w:lang w:val="en-GB"/>
        </w:rPr>
        <w:t>thermally treated</w:t>
      </w:r>
      <w:r w:rsidRPr="00FE2BDF">
        <w:rPr>
          <w:color w:val="000000" w:themeColor="text1"/>
          <w:lang w:val="en-GB"/>
        </w:rPr>
        <w:t xml:space="preserve"> in a horizontal tubular reactor at 500°C and </w:t>
      </w:r>
      <w:r w:rsidR="00805065" w:rsidRPr="00FE2BDF">
        <w:rPr>
          <w:color w:val="000000" w:themeColor="text1"/>
          <w:lang w:val="en-GB"/>
        </w:rPr>
        <w:t>900°C using argon as inert atmosphere.</w:t>
      </w:r>
      <w:r w:rsidR="00E11771" w:rsidRPr="00FE2BDF">
        <w:rPr>
          <w:color w:val="000000" w:themeColor="text1"/>
          <w:lang w:val="en-GB"/>
        </w:rPr>
        <w:t xml:space="preserve"> </w:t>
      </w:r>
      <w:r w:rsidR="00805065" w:rsidRPr="00FE2BDF">
        <w:rPr>
          <w:color w:val="000000" w:themeColor="text1"/>
        </w:rPr>
        <w:t>The process layout is shown in Figure 1.</w:t>
      </w:r>
    </w:p>
    <w:p w14:paraId="57A02F04" w14:textId="60B67BC1" w:rsidR="00805065" w:rsidRPr="00FE2BDF" w:rsidRDefault="00A12812" w:rsidP="00805065">
      <w:pPr>
        <w:pStyle w:val="CETBodytext"/>
        <w:rPr>
          <w:color w:val="000000" w:themeColor="text1"/>
        </w:rPr>
      </w:pPr>
      <w:r w:rsidRPr="00FE2BDF">
        <w:rPr>
          <w:noProof/>
          <w:lang w:val="hu-HU" w:eastAsia="hu-HU"/>
        </w:rPr>
        <w:drawing>
          <wp:inline distT="0" distB="0" distL="0" distR="0" wp14:anchorId="53B687AF" wp14:editId="2EC9C67D">
            <wp:extent cx="3447146" cy="1073727"/>
            <wp:effectExtent l="0" t="0" r="127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4211" cy="1088387"/>
                    </a:xfrm>
                    <a:prstGeom prst="rect">
                      <a:avLst/>
                    </a:prstGeom>
                  </pic:spPr>
                </pic:pic>
              </a:graphicData>
            </a:graphic>
          </wp:inline>
        </w:drawing>
      </w:r>
    </w:p>
    <w:p w14:paraId="1E9583E4" w14:textId="77777777" w:rsidR="00805065" w:rsidRPr="00FE2BDF" w:rsidRDefault="00805065" w:rsidP="00805065">
      <w:pPr>
        <w:pStyle w:val="CETBodytext"/>
        <w:rPr>
          <w:i/>
          <w:color w:val="000000" w:themeColor="text1"/>
        </w:rPr>
      </w:pPr>
      <w:r w:rsidRPr="00FE2BDF">
        <w:rPr>
          <w:i/>
          <w:color w:val="000000" w:themeColor="text1"/>
        </w:rPr>
        <w:t>Figure 1: The process layout</w:t>
      </w:r>
    </w:p>
    <w:p w14:paraId="1239827E" w14:textId="77777777" w:rsidR="00805065" w:rsidRPr="00FE2BDF" w:rsidRDefault="00805065" w:rsidP="00805065">
      <w:pPr>
        <w:pStyle w:val="CETBodytext"/>
        <w:rPr>
          <w:color w:val="000000" w:themeColor="text1"/>
        </w:rPr>
      </w:pPr>
    </w:p>
    <w:p w14:paraId="30CE7146" w14:textId="706D7B0B" w:rsidR="00E11771" w:rsidRPr="00FE2BDF" w:rsidRDefault="00E11771" w:rsidP="00805065">
      <w:pPr>
        <w:pStyle w:val="CETBodytext"/>
        <w:rPr>
          <w:color w:val="000000" w:themeColor="text1"/>
        </w:rPr>
      </w:pPr>
      <w:r w:rsidRPr="00FE2BDF">
        <w:rPr>
          <w:color w:val="000000" w:themeColor="text1"/>
        </w:rPr>
        <w:t xml:space="preserve">Firstly, 5g of raw material was placed into the reactor, than the temperature was elevated till 500°C or 900°C with 100°C/min heating ramp. </w:t>
      </w:r>
      <w:r w:rsidRPr="00FE2BDF">
        <w:rPr>
          <w:color w:val="000000" w:themeColor="text1"/>
          <w:lang w:val="en-GB"/>
        </w:rPr>
        <w:t>The reaction time was 30 mins after the pre-heating period.</w:t>
      </w:r>
      <w:r w:rsidRPr="00FE2BDF">
        <w:rPr>
          <w:color w:val="000000" w:themeColor="text1"/>
        </w:rPr>
        <w:t xml:space="preserve"> Regarding the used reactor pressure, atmospheric (1 bar) and vacuum (0.1</w:t>
      </w:r>
      <w:r w:rsidR="008927E7" w:rsidRPr="00FE2BDF">
        <w:rPr>
          <w:color w:val="000000" w:themeColor="text1"/>
        </w:rPr>
        <w:t xml:space="preserve"> </w:t>
      </w:r>
      <w:r w:rsidRPr="00FE2BDF">
        <w:rPr>
          <w:color w:val="000000" w:themeColor="text1"/>
        </w:rPr>
        <w:t>bar) pressure were tested.</w:t>
      </w:r>
      <w:r w:rsidR="000E43E6" w:rsidRPr="00FE2BDF">
        <w:rPr>
          <w:color w:val="000000" w:themeColor="text1"/>
        </w:rPr>
        <w:t xml:space="preserve"> In some cases dolomite was mixed i</w:t>
      </w:r>
      <w:r w:rsidR="00A12812" w:rsidRPr="00FE2BDF">
        <w:rPr>
          <w:color w:val="000000" w:themeColor="text1"/>
        </w:rPr>
        <w:t>nto the raw material and pyrolyz</w:t>
      </w:r>
      <w:r w:rsidR="000E43E6" w:rsidRPr="00FE2BDF">
        <w:rPr>
          <w:color w:val="000000" w:themeColor="text1"/>
        </w:rPr>
        <w:t>ed together.</w:t>
      </w:r>
    </w:p>
    <w:p w14:paraId="434FE4AE" w14:textId="01A7E1EC" w:rsidR="00805065" w:rsidRPr="00FE2BDF" w:rsidRDefault="00805065" w:rsidP="00805065">
      <w:pPr>
        <w:pStyle w:val="CETheadingx"/>
      </w:pPr>
      <w:r w:rsidRPr="00FE2BDF">
        <w:t>Product analysis</w:t>
      </w:r>
    </w:p>
    <w:p w14:paraId="2ECE486A" w14:textId="17B0208E" w:rsidR="00B93528" w:rsidRPr="00FE2BDF" w:rsidRDefault="00AA34DD" w:rsidP="00AA34DD">
      <w:pPr>
        <w:pStyle w:val="CETBodytext"/>
        <w:rPr>
          <w:color w:val="000000" w:themeColor="text1"/>
        </w:rPr>
      </w:pPr>
      <w:r w:rsidRPr="00FE2BDF">
        <w:rPr>
          <w:color w:val="000000" w:themeColor="text1"/>
        </w:rPr>
        <w:t>The composition of gases was investigated by a gas chromatography. Regarding the hydrocarbon composition DANI GC was used fitted with FID, Rtx-1 PONA type 100 m long column with an internal diameter of 0.25 mm and film thickness of 0.5 μm (the column temperature was 35°C, while the detector and injector temperatures were 230°C).</w:t>
      </w:r>
      <w:r w:rsidR="00B93528" w:rsidRPr="00FE2BDF">
        <w:rPr>
          <w:color w:val="000000" w:themeColor="text1"/>
        </w:rPr>
        <w:t xml:space="preserve"> </w:t>
      </w:r>
      <w:r w:rsidRPr="00FE2BDF">
        <w:rPr>
          <w:color w:val="000000" w:themeColor="text1"/>
        </w:rPr>
        <w:t>The hydrogen, the carbon monoxide and carbon dioxide, and methane content of the gaseous products was investigated by DANI GC fitted with TCD detector, Carboxen</w:t>
      </w:r>
      <w:r w:rsidRPr="00FE2BDF">
        <w:rPr>
          <w:color w:val="000000" w:themeColor="text1"/>
          <w:vertAlign w:val="superscript"/>
        </w:rPr>
        <w:t>TM</w:t>
      </w:r>
      <w:r w:rsidRPr="00FE2BDF">
        <w:rPr>
          <w:color w:val="000000" w:themeColor="text1"/>
        </w:rPr>
        <w:t xml:space="preserve"> 1006 PLOT (30m×0.53mm) </w:t>
      </w:r>
      <w:r w:rsidR="009F7FB7" w:rsidRPr="00FE2BDF">
        <w:rPr>
          <w:color w:val="000000" w:themeColor="text1"/>
        </w:rPr>
        <w:t>column</w:t>
      </w:r>
      <w:r w:rsidRPr="00FE2BDF">
        <w:rPr>
          <w:color w:val="000000" w:themeColor="text1"/>
        </w:rPr>
        <w:t>. The column space temperature was 30°C used till 18 minutes</w:t>
      </w:r>
      <w:r w:rsidR="00B93528" w:rsidRPr="00FE2BDF">
        <w:rPr>
          <w:color w:val="000000" w:themeColor="text1"/>
        </w:rPr>
        <w:t xml:space="preserve">, then </w:t>
      </w:r>
      <w:r w:rsidRPr="00FE2BDF">
        <w:rPr>
          <w:color w:val="000000" w:themeColor="text1"/>
        </w:rPr>
        <w:t xml:space="preserve">it was </w:t>
      </w:r>
      <w:r w:rsidR="00B93528" w:rsidRPr="00FE2BDF">
        <w:rPr>
          <w:color w:val="000000" w:themeColor="text1"/>
        </w:rPr>
        <w:t>increased</w:t>
      </w:r>
      <w:r w:rsidRPr="00FE2BDF">
        <w:rPr>
          <w:color w:val="000000" w:themeColor="text1"/>
        </w:rPr>
        <w:t xml:space="preserve"> to 120°C </w:t>
      </w:r>
      <w:r w:rsidR="00B93528" w:rsidRPr="00FE2BDF">
        <w:rPr>
          <w:color w:val="000000" w:themeColor="text1"/>
        </w:rPr>
        <w:t>(</w:t>
      </w:r>
      <w:r w:rsidRPr="00FE2BDF">
        <w:rPr>
          <w:color w:val="000000" w:themeColor="text1"/>
        </w:rPr>
        <w:t>15°C/min</w:t>
      </w:r>
      <w:r w:rsidR="00B93528" w:rsidRPr="00FE2BDF">
        <w:rPr>
          <w:color w:val="000000" w:themeColor="text1"/>
        </w:rPr>
        <w:t xml:space="preserve">). Finally </w:t>
      </w:r>
      <w:r w:rsidRPr="00FE2BDF">
        <w:rPr>
          <w:color w:val="000000" w:themeColor="text1"/>
        </w:rPr>
        <w:t xml:space="preserve">the temperature was </w:t>
      </w:r>
      <w:r w:rsidR="00B93528" w:rsidRPr="00FE2BDF">
        <w:rPr>
          <w:color w:val="000000" w:themeColor="text1"/>
        </w:rPr>
        <w:t xml:space="preserve">modified to </w:t>
      </w:r>
      <w:r w:rsidRPr="00FE2BDF">
        <w:rPr>
          <w:color w:val="000000" w:themeColor="text1"/>
        </w:rPr>
        <w:t>150°C for 2 minutes.</w:t>
      </w:r>
    </w:p>
    <w:p w14:paraId="7843E206" w14:textId="0C404ACD" w:rsidR="00B93528" w:rsidRPr="00FE2BDF" w:rsidRDefault="00B93528" w:rsidP="00B93528">
      <w:pPr>
        <w:pStyle w:val="CETHeading1"/>
        <w:rPr>
          <w:color w:val="000000" w:themeColor="text1"/>
          <w:lang w:val="en-GB"/>
        </w:rPr>
      </w:pPr>
      <w:r w:rsidRPr="00FE2BDF">
        <w:rPr>
          <w:color w:val="000000" w:themeColor="text1"/>
          <w:lang w:val="en-GB"/>
        </w:rPr>
        <w:t>Result and discussion</w:t>
      </w:r>
    </w:p>
    <w:p w14:paraId="5F42EFE5" w14:textId="3728D2BE" w:rsidR="00B93528" w:rsidRPr="00FE2BDF" w:rsidRDefault="00B93528" w:rsidP="00B93528">
      <w:pPr>
        <w:pStyle w:val="CETheadingx"/>
      </w:pPr>
      <w:r w:rsidRPr="00FE2BDF">
        <w:t>Product yields</w:t>
      </w:r>
    </w:p>
    <w:p w14:paraId="52485A9E" w14:textId="15784929" w:rsidR="00697EA4" w:rsidRPr="00FE2BDF" w:rsidRDefault="00697EA4" w:rsidP="00AA34DD">
      <w:pPr>
        <w:pStyle w:val="CETBodytext"/>
        <w:rPr>
          <w:color w:val="000000" w:themeColor="text1"/>
        </w:rPr>
      </w:pPr>
      <w:r w:rsidRPr="00FE2BDF">
        <w:rPr>
          <w:color w:val="000000" w:themeColor="text1"/>
        </w:rPr>
        <w:t>The product</w:t>
      </w:r>
      <w:r w:rsidR="000B1510" w:rsidRPr="00FE2BDF">
        <w:rPr>
          <w:color w:val="000000" w:themeColor="text1"/>
        </w:rPr>
        <w:t xml:space="preserve"> yield</w:t>
      </w:r>
      <w:r w:rsidRPr="00FE2BDF">
        <w:rPr>
          <w:color w:val="000000" w:themeColor="text1"/>
        </w:rPr>
        <w:t xml:space="preserve"> obtaine</w:t>
      </w:r>
      <w:r w:rsidR="009F7FB7" w:rsidRPr="00FE2BDF">
        <w:rPr>
          <w:color w:val="000000" w:themeColor="text1"/>
        </w:rPr>
        <w:t xml:space="preserve">d at pyrolysis </w:t>
      </w:r>
      <w:r w:rsidRPr="00FE2BDF">
        <w:rPr>
          <w:color w:val="000000" w:themeColor="text1"/>
        </w:rPr>
        <w:t>reactions using 0.1 and 1.0</w:t>
      </w:r>
      <w:r w:rsidR="008927E7" w:rsidRPr="00FE2BDF">
        <w:rPr>
          <w:color w:val="000000" w:themeColor="text1"/>
        </w:rPr>
        <w:t xml:space="preserve"> </w:t>
      </w:r>
      <w:r w:rsidRPr="00FE2BDF">
        <w:rPr>
          <w:color w:val="000000" w:themeColor="text1"/>
        </w:rPr>
        <w:t>bar press</w:t>
      </w:r>
      <w:r w:rsidR="000B1510" w:rsidRPr="00FE2BDF">
        <w:rPr>
          <w:color w:val="000000" w:themeColor="text1"/>
        </w:rPr>
        <w:t xml:space="preserve">ure are summarized in Figure 1. </w:t>
      </w:r>
      <w:r w:rsidRPr="00FE2BDF">
        <w:rPr>
          <w:color w:val="000000" w:themeColor="text1"/>
        </w:rPr>
        <w:t xml:space="preserve">It is important to mentioned, that no liquid products was found in any case, only gases and solid char was remain after the thermal treatment </w:t>
      </w:r>
      <w:r w:rsidR="000B1510" w:rsidRPr="00FE2BDF">
        <w:rPr>
          <w:color w:val="000000" w:themeColor="text1"/>
        </w:rPr>
        <w:t xml:space="preserve">at </w:t>
      </w:r>
      <w:r w:rsidRPr="00FE2BDF">
        <w:rPr>
          <w:color w:val="000000" w:themeColor="text1"/>
        </w:rPr>
        <w:t xml:space="preserve">both </w:t>
      </w:r>
      <w:r w:rsidR="000B1510" w:rsidRPr="00FE2BDF">
        <w:rPr>
          <w:color w:val="000000" w:themeColor="text1"/>
        </w:rPr>
        <w:t>temperatures</w:t>
      </w:r>
      <w:r w:rsidRPr="00FE2BDF">
        <w:rPr>
          <w:color w:val="000000" w:themeColor="text1"/>
        </w:rPr>
        <w:t xml:space="preserve">. Regarding the yields of volatiles (gases), it is clear, that more gases </w:t>
      </w:r>
      <w:r w:rsidR="000102EF" w:rsidRPr="00FE2BDF">
        <w:rPr>
          <w:color w:val="000000" w:themeColor="text1"/>
        </w:rPr>
        <w:t>were</w:t>
      </w:r>
      <w:r w:rsidRPr="00FE2BDF">
        <w:rPr>
          <w:color w:val="000000" w:themeColor="text1"/>
        </w:rPr>
        <w:t xml:space="preserve"> found at 900°C, than </w:t>
      </w:r>
      <w:r w:rsidR="000B1510" w:rsidRPr="00FE2BDF">
        <w:rPr>
          <w:color w:val="000000" w:themeColor="text1"/>
        </w:rPr>
        <w:t xml:space="preserve">that of </w:t>
      </w:r>
      <w:r w:rsidRPr="00FE2BDF">
        <w:rPr>
          <w:color w:val="000000" w:themeColor="text1"/>
        </w:rPr>
        <w:t>at 500°C, which was the consequence of the lower thermal stability of components at higher temperatures. The application of vacuum can enhance the gas formation, because higher yield of gaseous products was shown under 0.1</w:t>
      </w:r>
      <w:r w:rsidR="008927E7" w:rsidRPr="00FE2BDF">
        <w:rPr>
          <w:color w:val="000000" w:themeColor="text1"/>
        </w:rPr>
        <w:t xml:space="preserve"> </w:t>
      </w:r>
      <w:r w:rsidRPr="00FE2BDF">
        <w:rPr>
          <w:color w:val="000000" w:themeColor="text1"/>
        </w:rPr>
        <w:t>bar pressure, than that of at 1.0</w:t>
      </w:r>
      <w:r w:rsidR="008927E7" w:rsidRPr="00FE2BDF">
        <w:rPr>
          <w:color w:val="000000" w:themeColor="text1"/>
        </w:rPr>
        <w:t xml:space="preserve"> </w:t>
      </w:r>
      <w:r w:rsidRPr="00FE2BDF">
        <w:rPr>
          <w:color w:val="000000" w:themeColor="text1"/>
        </w:rPr>
        <w:t>bar. Presumably, the difference in partial pressure of components at 0.1</w:t>
      </w:r>
      <w:r w:rsidR="008927E7" w:rsidRPr="00FE2BDF">
        <w:rPr>
          <w:color w:val="000000" w:themeColor="text1"/>
        </w:rPr>
        <w:t xml:space="preserve"> </w:t>
      </w:r>
      <w:r w:rsidRPr="00FE2BDF">
        <w:rPr>
          <w:color w:val="000000" w:themeColor="text1"/>
        </w:rPr>
        <w:t>bar and 1.0</w:t>
      </w:r>
      <w:r w:rsidR="008927E7" w:rsidRPr="00FE2BDF">
        <w:rPr>
          <w:color w:val="000000" w:themeColor="text1"/>
        </w:rPr>
        <w:t xml:space="preserve"> </w:t>
      </w:r>
      <w:r w:rsidRPr="00FE2BDF">
        <w:rPr>
          <w:color w:val="000000" w:themeColor="text1"/>
        </w:rPr>
        <w:t xml:space="preserve">bar could be blamed for that </w:t>
      </w:r>
      <w:r w:rsidR="00D17436" w:rsidRPr="00FE2BDF">
        <w:rPr>
          <w:color w:val="000000" w:themeColor="text1"/>
        </w:rPr>
        <w:t>phenomenon</w:t>
      </w:r>
      <w:r w:rsidRPr="00FE2BDF">
        <w:rPr>
          <w:color w:val="000000" w:themeColor="text1"/>
        </w:rPr>
        <w:t xml:space="preserve">. Glancing the effect of dolomite, </w:t>
      </w:r>
      <w:r w:rsidR="009E5E8F" w:rsidRPr="00FE2BDF">
        <w:rPr>
          <w:color w:val="000000" w:themeColor="text1"/>
        </w:rPr>
        <w:t>enhancement in the formation of volatiles can be concluded, because higher yield of gaseous products was found in the presence of dolomite, than that of in absence.</w:t>
      </w:r>
    </w:p>
    <w:p w14:paraId="368E8BA4" w14:textId="77777777" w:rsidR="00B93528" w:rsidRPr="00FE2BDF" w:rsidRDefault="00B93528" w:rsidP="00AA34DD">
      <w:pPr>
        <w:pStyle w:val="CETBodytext"/>
        <w:rPr>
          <w:color w:val="000000" w:themeColor="text1"/>
        </w:rPr>
      </w:pPr>
      <w:r w:rsidRPr="00FE2BDF">
        <w:rPr>
          <w:noProof/>
          <w:color w:val="000000" w:themeColor="text1"/>
          <w:lang w:val="hu-HU" w:eastAsia="hu-HU"/>
        </w:rPr>
        <w:lastRenderedPageBreak/>
        <w:drawing>
          <wp:inline distT="0" distB="0" distL="0" distR="0" wp14:anchorId="7E303E1F" wp14:editId="46E091F8">
            <wp:extent cx="2733675" cy="171957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7619" cy="1753502"/>
                    </a:xfrm>
                    <a:prstGeom prst="rect">
                      <a:avLst/>
                    </a:prstGeom>
                    <a:noFill/>
                    <a:ln>
                      <a:noFill/>
                    </a:ln>
                  </pic:spPr>
                </pic:pic>
              </a:graphicData>
            </a:graphic>
          </wp:inline>
        </w:drawing>
      </w:r>
    </w:p>
    <w:p w14:paraId="4B3A2FE4" w14:textId="12ABF06D" w:rsidR="00B93528" w:rsidRPr="00FE2BDF" w:rsidRDefault="00B93528" w:rsidP="00B93528">
      <w:pPr>
        <w:pStyle w:val="CETBodytext"/>
        <w:rPr>
          <w:i/>
          <w:color w:val="000000" w:themeColor="text1"/>
        </w:rPr>
      </w:pPr>
      <w:r w:rsidRPr="00FE2BDF">
        <w:rPr>
          <w:i/>
          <w:color w:val="000000" w:themeColor="text1"/>
        </w:rPr>
        <w:t>Figure 2: The yield of gases</w:t>
      </w:r>
    </w:p>
    <w:p w14:paraId="1B215067" w14:textId="77777777" w:rsidR="00B255ED" w:rsidRPr="00FE2BDF" w:rsidRDefault="009E5E8F" w:rsidP="00B255ED">
      <w:pPr>
        <w:pStyle w:val="CETheadingx"/>
      </w:pPr>
      <w:r w:rsidRPr="00FE2BDF">
        <w:t>Gases</w:t>
      </w:r>
    </w:p>
    <w:p w14:paraId="37B8B250" w14:textId="5EBDAD45" w:rsidR="00D81E12" w:rsidRPr="00FE2BDF" w:rsidRDefault="00D81E12" w:rsidP="00B255ED">
      <w:pPr>
        <w:pStyle w:val="CETheadingx"/>
        <w:numPr>
          <w:ilvl w:val="2"/>
          <w:numId w:val="32"/>
        </w:numPr>
        <w:ind w:left="426" w:hanging="426"/>
      </w:pPr>
      <w:r w:rsidRPr="00FE2BDF">
        <w:t>Composition</w:t>
      </w:r>
    </w:p>
    <w:p w14:paraId="134199AA" w14:textId="06E0873C" w:rsidR="00486C2F" w:rsidRPr="00FE2BDF" w:rsidRDefault="009E5E8F" w:rsidP="00AA34DD">
      <w:pPr>
        <w:pStyle w:val="CETBodytext"/>
        <w:rPr>
          <w:color w:val="000000" w:themeColor="text1"/>
        </w:rPr>
      </w:pPr>
      <w:r w:rsidRPr="00FE2BDF">
        <w:rPr>
          <w:color w:val="000000" w:themeColor="text1"/>
        </w:rPr>
        <w:t>The composition of gases was follow</w:t>
      </w:r>
      <w:r w:rsidR="00131BB5" w:rsidRPr="00FE2BDF">
        <w:rPr>
          <w:color w:val="000000" w:themeColor="text1"/>
        </w:rPr>
        <w:t>ed by GC-FID and GC-TCD methods (</w:t>
      </w:r>
      <w:r w:rsidR="00BD6B8D" w:rsidRPr="00FE2BDF">
        <w:rPr>
          <w:color w:val="000000" w:themeColor="text1"/>
        </w:rPr>
        <w:t>Figure 3</w:t>
      </w:r>
      <w:r w:rsidR="00131BB5" w:rsidRPr="00FE2BDF">
        <w:rPr>
          <w:color w:val="000000" w:themeColor="text1"/>
        </w:rPr>
        <w:t>)</w:t>
      </w:r>
      <w:r w:rsidR="00BD6B8D" w:rsidRPr="00FE2BDF">
        <w:rPr>
          <w:color w:val="000000" w:themeColor="text1"/>
        </w:rPr>
        <w:t>.</w:t>
      </w:r>
      <w:r w:rsidR="004D2E49" w:rsidRPr="00FE2BDF">
        <w:rPr>
          <w:color w:val="000000" w:themeColor="text1"/>
        </w:rPr>
        <w:t xml:space="preserve"> Based on the results, there are clear differences in the composition of the gas products obtained </w:t>
      </w:r>
      <w:r w:rsidR="00FB4773" w:rsidRPr="00FE2BDF">
        <w:rPr>
          <w:color w:val="000000" w:themeColor="text1"/>
        </w:rPr>
        <w:t xml:space="preserve">by the using of </w:t>
      </w:r>
      <w:r w:rsidR="004D2E49" w:rsidRPr="00FE2BDF">
        <w:rPr>
          <w:color w:val="000000" w:themeColor="text1"/>
        </w:rPr>
        <w:t>different operating parameters. The amount of hydrogen was significantly higher at highe</w:t>
      </w:r>
      <w:r w:rsidR="000B1510" w:rsidRPr="00FE2BDF">
        <w:rPr>
          <w:color w:val="000000" w:themeColor="text1"/>
        </w:rPr>
        <w:t>r temperature</w:t>
      </w:r>
      <w:r w:rsidR="00FB4773" w:rsidRPr="00FE2BDF">
        <w:rPr>
          <w:color w:val="000000" w:themeColor="text1"/>
        </w:rPr>
        <w:t xml:space="preserve">. At 500°C, </w:t>
      </w:r>
      <w:r w:rsidR="004D2E49" w:rsidRPr="00FE2BDF">
        <w:rPr>
          <w:color w:val="000000" w:themeColor="text1"/>
        </w:rPr>
        <w:t>the amount of hydrogen in the gas product</w:t>
      </w:r>
      <w:r w:rsidR="00FB4773" w:rsidRPr="00FE2BDF">
        <w:rPr>
          <w:color w:val="000000" w:themeColor="text1"/>
        </w:rPr>
        <w:t>s was 1.7-10.4%, while at 900°C</w:t>
      </w:r>
      <w:r w:rsidR="004D2E49" w:rsidRPr="00FE2BDF">
        <w:rPr>
          <w:color w:val="000000" w:themeColor="text1"/>
        </w:rPr>
        <w:t xml:space="preserve"> it was 14.1-</w:t>
      </w:r>
      <w:r w:rsidR="004D4588" w:rsidRPr="00FE2BDF">
        <w:rPr>
          <w:color w:val="000000" w:themeColor="text1"/>
        </w:rPr>
        <w:t xml:space="preserve">25.2%. In parallel, the amounts </w:t>
      </w:r>
      <w:r w:rsidR="004D2E49" w:rsidRPr="00FE2BDF">
        <w:rPr>
          <w:color w:val="000000" w:themeColor="text1"/>
        </w:rPr>
        <w:t>of methane and C</w:t>
      </w:r>
      <w:r w:rsidR="004D2E49" w:rsidRPr="00FE2BDF">
        <w:rPr>
          <w:color w:val="000000" w:themeColor="text1"/>
          <w:vertAlign w:val="subscript"/>
        </w:rPr>
        <w:t>2</w:t>
      </w:r>
      <w:r w:rsidR="004D2E49" w:rsidRPr="00FE2BDF">
        <w:rPr>
          <w:color w:val="000000" w:themeColor="text1"/>
        </w:rPr>
        <w:t>-C</w:t>
      </w:r>
      <w:r w:rsidR="004D2E49" w:rsidRPr="00FE2BDF">
        <w:rPr>
          <w:color w:val="000000" w:themeColor="text1"/>
          <w:vertAlign w:val="subscript"/>
        </w:rPr>
        <w:t>6</w:t>
      </w:r>
      <w:r w:rsidR="004D2E49" w:rsidRPr="00FE2BDF">
        <w:rPr>
          <w:color w:val="000000" w:themeColor="text1"/>
        </w:rPr>
        <w:t xml:space="preserve"> hydrocarbons were significantly lower at 900</w:t>
      </w:r>
      <w:r w:rsidR="00FB4773" w:rsidRPr="00FE2BDF">
        <w:rPr>
          <w:color w:val="000000" w:themeColor="text1"/>
        </w:rPr>
        <w:t>°C</w:t>
      </w:r>
      <w:r w:rsidR="002067FB" w:rsidRPr="00FE2BDF">
        <w:rPr>
          <w:color w:val="000000" w:themeColor="text1"/>
        </w:rPr>
        <w:t>,</w:t>
      </w:r>
      <w:r w:rsidR="004D2E49" w:rsidRPr="00FE2BDF">
        <w:rPr>
          <w:color w:val="000000" w:themeColor="text1"/>
        </w:rPr>
        <w:t xml:space="preserve"> than at 500</w:t>
      </w:r>
      <w:r w:rsidR="00FB4773" w:rsidRPr="00FE2BDF">
        <w:rPr>
          <w:color w:val="000000" w:themeColor="text1"/>
        </w:rPr>
        <w:t>°C</w:t>
      </w:r>
      <w:r w:rsidR="004D2E49" w:rsidRPr="00FE2BDF">
        <w:rPr>
          <w:color w:val="000000" w:themeColor="text1"/>
        </w:rPr>
        <w:t>. The amount of carbon monoxide and carbon dioxide did not change significant</w:t>
      </w:r>
      <w:r w:rsidR="00FB4773" w:rsidRPr="00FE2BDF">
        <w:rPr>
          <w:color w:val="000000" w:themeColor="text1"/>
        </w:rPr>
        <w:t>ly in terms of their ranges as</w:t>
      </w:r>
      <w:r w:rsidR="004D2E49" w:rsidRPr="00FE2BDF">
        <w:rPr>
          <w:color w:val="000000" w:themeColor="text1"/>
        </w:rPr>
        <w:t xml:space="preserve"> function of temperature. The concentration ra</w:t>
      </w:r>
      <w:r w:rsidR="00FB4773" w:rsidRPr="00FE2BDF">
        <w:rPr>
          <w:color w:val="000000" w:themeColor="text1"/>
        </w:rPr>
        <w:t>nge for CO was 7.9-45.0% (500°C) and 26.5-48.9% (900°C</w:t>
      </w:r>
      <w:r w:rsidR="004D2E49" w:rsidRPr="00FE2BDF">
        <w:rPr>
          <w:color w:val="000000" w:themeColor="text1"/>
        </w:rPr>
        <w:t>), while for CO</w:t>
      </w:r>
      <w:r w:rsidR="004D2E49" w:rsidRPr="00FE2BDF">
        <w:rPr>
          <w:color w:val="000000" w:themeColor="text1"/>
          <w:vertAlign w:val="subscript"/>
        </w:rPr>
        <w:t>2</w:t>
      </w:r>
      <w:r w:rsidR="004D2E49" w:rsidRPr="00FE2BDF">
        <w:rPr>
          <w:color w:val="000000" w:themeColor="text1"/>
        </w:rPr>
        <w:t xml:space="preserve"> it was 1.8-5.7% (500</w:t>
      </w:r>
      <w:r w:rsidR="00FB4773" w:rsidRPr="00FE2BDF">
        <w:rPr>
          <w:color w:val="000000" w:themeColor="text1"/>
        </w:rPr>
        <w:t>°C</w:t>
      </w:r>
      <w:r w:rsidR="004D2E49" w:rsidRPr="00FE2BDF">
        <w:rPr>
          <w:color w:val="000000" w:themeColor="text1"/>
        </w:rPr>
        <w:t>) and 3.1-8.7% (900</w:t>
      </w:r>
      <w:r w:rsidR="00FB4773" w:rsidRPr="00FE2BDF">
        <w:rPr>
          <w:color w:val="000000" w:themeColor="text1"/>
        </w:rPr>
        <w:t>°C</w:t>
      </w:r>
      <w:r w:rsidR="004D2E49" w:rsidRPr="00FE2BDF">
        <w:rPr>
          <w:color w:val="000000" w:themeColor="text1"/>
        </w:rPr>
        <w:t xml:space="preserve">). </w:t>
      </w:r>
      <w:r w:rsidR="00FB4773" w:rsidRPr="00FE2BDF">
        <w:rPr>
          <w:color w:val="000000" w:themeColor="text1"/>
        </w:rPr>
        <w:t>Regarding</w:t>
      </w:r>
      <w:r w:rsidR="004D4588" w:rsidRPr="00FE2BDF">
        <w:rPr>
          <w:color w:val="000000" w:themeColor="text1"/>
        </w:rPr>
        <w:t xml:space="preserve"> </w:t>
      </w:r>
      <w:r w:rsidR="004D2E49" w:rsidRPr="00FE2BDF">
        <w:rPr>
          <w:color w:val="000000" w:themeColor="text1"/>
        </w:rPr>
        <w:t>the effect of pressure, it can be said that at lower pressures (0.1 bar) significantly more CO was generated in all cases, while the amou</w:t>
      </w:r>
      <w:r w:rsidR="004D4588" w:rsidRPr="00FE2BDF">
        <w:rPr>
          <w:color w:val="000000" w:themeColor="text1"/>
        </w:rPr>
        <w:t>nt of other components was less</w:t>
      </w:r>
      <w:r w:rsidR="004D2E49" w:rsidRPr="00FE2BDF">
        <w:rPr>
          <w:color w:val="000000" w:themeColor="text1"/>
        </w:rPr>
        <w:t>. No clear correlations were found in the amount of C</w:t>
      </w:r>
      <w:r w:rsidR="004D2E49" w:rsidRPr="00FE2BDF">
        <w:rPr>
          <w:color w:val="000000" w:themeColor="text1"/>
          <w:vertAlign w:val="subscript"/>
        </w:rPr>
        <w:t>2</w:t>
      </w:r>
      <w:r w:rsidR="004D2E49" w:rsidRPr="00FE2BDF">
        <w:rPr>
          <w:color w:val="000000" w:themeColor="text1"/>
        </w:rPr>
        <w:t>-C</w:t>
      </w:r>
      <w:r w:rsidR="004D2E49" w:rsidRPr="00FE2BDF">
        <w:rPr>
          <w:color w:val="000000" w:themeColor="text1"/>
          <w:vertAlign w:val="subscript"/>
        </w:rPr>
        <w:t>6</w:t>
      </w:r>
      <w:r w:rsidR="004D2E49" w:rsidRPr="00FE2BDF">
        <w:rPr>
          <w:color w:val="000000" w:themeColor="text1"/>
        </w:rPr>
        <w:t xml:space="preserve"> components because it decreased at 500</w:t>
      </w:r>
      <w:r w:rsidR="00FB4773" w:rsidRPr="00FE2BDF">
        <w:rPr>
          <w:color w:val="000000" w:themeColor="text1"/>
        </w:rPr>
        <w:t xml:space="preserve">°C </w:t>
      </w:r>
      <w:r w:rsidR="004D2E49" w:rsidRPr="00FE2BDF">
        <w:rPr>
          <w:color w:val="000000" w:themeColor="text1"/>
        </w:rPr>
        <w:t>without catalyst,</w:t>
      </w:r>
      <w:r w:rsidR="00FB4773" w:rsidRPr="00FE2BDF">
        <w:rPr>
          <w:color w:val="000000" w:themeColor="text1"/>
        </w:rPr>
        <w:t xml:space="preserve"> and</w:t>
      </w:r>
      <w:r w:rsidR="004D2E49" w:rsidRPr="00FE2BDF">
        <w:rPr>
          <w:color w:val="000000" w:themeColor="text1"/>
        </w:rPr>
        <w:t xml:space="preserve"> increased </w:t>
      </w:r>
      <w:r w:rsidR="00FB4773" w:rsidRPr="00FE2BDF">
        <w:rPr>
          <w:color w:val="000000" w:themeColor="text1"/>
        </w:rPr>
        <w:t xml:space="preserve">in the presence </w:t>
      </w:r>
      <w:r w:rsidR="00486C2F" w:rsidRPr="00FE2BDF">
        <w:rPr>
          <w:color w:val="000000" w:themeColor="text1"/>
        </w:rPr>
        <w:t>of catalyst. A</w:t>
      </w:r>
      <w:r w:rsidR="00FB4773" w:rsidRPr="00FE2BDF">
        <w:rPr>
          <w:color w:val="000000" w:themeColor="text1"/>
        </w:rPr>
        <w:t>t 900°C</w:t>
      </w:r>
      <w:r w:rsidR="002067FB" w:rsidRPr="00FE2BDF">
        <w:rPr>
          <w:color w:val="000000" w:themeColor="text1"/>
        </w:rPr>
        <w:t>,</w:t>
      </w:r>
      <w:r w:rsidR="00FB4773" w:rsidRPr="00FE2BDF">
        <w:rPr>
          <w:color w:val="000000" w:themeColor="text1"/>
        </w:rPr>
        <w:t xml:space="preserve"> </w:t>
      </w:r>
      <w:r w:rsidR="004D2E49" w:rsidRPr="00FE2BDF">
        <w:rPr>
          <w:color w:val="000000" w:themeColor="text1"/>
        </w:rPr>
        <w:t xml:space="preserve">both without catalyst and in its presence the amount of light hydrocarbons </w:t>
      </w:r>
      <w:r w:rsidR="00486C2F" w:rsidRPr="00FE2BDF">
        <w:rPr>
          <w:color w:val="000000" w:themeColor="text1"/>
        </w:rPr>
        <w:t>decreased with increasing pressure.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486C2F" w:rsidRPr="00FE2BDF" w14:paraId="33C75327" w14:textId="77777777" w:rsidTr="00867E0E">
        <w:tc>
          <w:tcPr>
            <w:tcW w:w="4388" w:type="dxa"/>
          </w:tcPr>
          <w:p w14:paraId="6793FA4E" w14:textId="77777777" w:rsidR="00486C2F" w:rsidRPr="00FE2BDF" w:rsidRDefault="00486C2F" w:rsidP="00867E0E">
            <w:pPr>
              <w:pStyle w:val="CETBodytext"/>
              <w:jc w:val="center"/>
              <w:rPr>
                <w:color w:val="000000" w:themeColor="text1"/>
                <w:sz w:val="14"/>
                <w:szCs w:val="14"/>
              </w:rPr>
            </w:pPr>
            <w:r w:rsidRPr="00FE2BDF">
              <w:rPr>
                <w:noProof/>
                <w:color w:val="000000" w:themeColor="text1"/>
                <w:sz w:val="14"/>
                <w:szCs w:val="14"/>
                <w:lang w:val="hu-HU" w:eastAsia="hu-HU"/>
              </w:rPr>
              <w:drawing>
                <wp:inline distT="0" distB="0" distL="0" distR="0" wp14:anchorId="7F825566" wp14:editId="461330DA">
                  <wp:extent cx="2520000" cy="16848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84800"/>
                          </a:xfrm>
                          <a:prstGeom prst="rect">
                            <a:avLst/>
                          </a:prstGeom>
                          <a:noFill/>
                          <a:ln>
                            <a:noFill/>
                          </a:ln>
                        </pic:spPr>
                      </pic:pic>
                    </a:graphicData>
                  </a:graphic>
                </wp:inline>
              </w:drawing>
            </w:r>
          </w:p>
        </w:tc>
        <w:tc>
          <w:tcPr>
            <w:tcW w:w="4389" w:type="dxa"/>
          </w:tcPr>
          <w:p w14:paraId="32F673DA" w14:textId="77777777" w:rsidR="00486C2F" w:rsidRPr="00FE2BDF" w:rsidRDefault="00486C2F" w:rsidP="00867E0E">
            <w:pPr>
              <w:pStyle w:val="CETBodytext"/>
              <w:jc w:val="center"/>
              <w:rPr>
                <w:color w:val="000000" w:themeColor="text1"/>
                <w:sz w:val="14"/>
                <w:szCs w:val="14"/>
              </w:rPr>
            </w:pPr>
            <w:r w:rsidRPr="00FE2BDF">
              <w:rPr>
                <w:noProof/>
                <w:color w:val="000000" w:themeColor="text1"/>
                <w:sz w:val="14"/>
                <w:szCs w:val="14"/>
                <w:lang w:val="hu-HU" w:eastAsia="hu-HU"/>
              </w:rPr>
              <w:drawing>
                <wp:inline distT="0" distB="0" distL="0" distR="0" wp14:anchorId="6945EC57" wp14:editId="3A88BAF2">
                  <wp:extent cx="2520000" cy="168480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84800"/>
                          </a:xfrm>
                          <a:prstGeom prst="rect">
                            <a:avLst/>
                          </a:prstGeom>
                          <a:noFill/>
                          <a:ln>
                            <a:noFill/>
                          </a:ln>
                        </pic:spPr>
                      </pic:pic>
                    </a:graphicData>
                  </a:graphic>
                </wp:inline>
              </w:drawing>
            </w:r>
          </w:p>
        </w:tc>
      </w:tr>
      <w:tr w:rsidR="00486C2F" w:rsidRPr="00FE2BDF" w14:paraId="5D35830A" w14:textId="77777777" w:rsidTr="00867E0E">
        <w:tc>
          <w:tcPr>
            <w:tcW w:w="4388" w:type="dxa"/>
          </w:tcPr>
          <w:p w14:paraId="00CDDAA9" w14:textId="77777777" w:rsidR="00486C2F" w:rsidRPr="00FE2BDF" w:rsidRDefault="00486C2F" w:rsidP="00867E0E">
            <w:pPr>
              <w:pStyle w:val="CETBodytext"/>
              <w:jc w:val="center"/>
              <w:rPr>
                <w:color w:val="000000" w:themeColor="text1"/>
                <w:sz w:val="14"/>
                <w:szCs w:val="14"/>
              </w:rPr>
            </w:pPr>
            <w:r w:rsidRPr="00FE2BDF">
              <w:rPr>
                <w:color w:val="000000" w:themeColor="text1"/>
                <w:sz w:val="14"/>
                <w:szCs w:val="14"/>
              </w:rPr>
              <w:t>500°C</w:t>
            </w:r>
          </w:p>
        </w:tc>
        <w:tc>
          <w:tcPr>
            <w:tcW w:w="4389" w:type="dxa"/>
          </w:tcPr>
          <w:p w14:paraId="744A308D" w14:textId="77777777" w:rsidR="00486C2F" w:rsidRPr="00FE2BDF" w:rsidRDefault="00486C2F" w:rsidP="00867E0E">
            <w:pPr>
              <w:pStyle w:val="CETBodytext"/>
              <w:jc w:val="center"/>
              <w:rPr>
                <w:color w:val="000000" w:themeColor="text1"/>
                <w:sz w:val="14"/>
                <w:szCs w:val="14"/>
              </w:rPr>
            </w:pPr>
            <w:r w:rsidRPr="00FE2BDF">
              <w:rPr>
                <w:color w:val="000000" w:themeColor="text1"/>
                <w:sz w:val="14"/>
                <w:szCs w:val="14"/>
              </w:rPr>
              <w:t>900°C</w:t>
            </w:r>
          </w:p>
        </w:tc>
      </w:tr>
    </w:tbl>
    <w:p w14:paraId="68F0F8B6" w14:textId="77777777" w:rsidR="00486C2F" w:rsidRPr="00FE2BDF" w:rsidRDefault="00486C2F" w:rsidP="00486C2F">
      <w:pPr>
        <w:pStyle w:val="CETBodytext"/>
        <w:rPr>
          <w:i/>
          <w:color w:val="000000" w:themeColor="text1"/>
        </w:rPr>
      </w:pPr>
      <w:r w:rsidRPr="00FE2BDF">
        <w:rPr>
          <w:i/>
          <w:color w:val="000000" w:themeColor="text1"/>
        </w:rPr>
        <w:t>Figure 3: The composition of gases</w:t>
      </w:r>
    </w:p>
    <w:p w14:paraId="5AB16587" w14:textId="77777777" w:rsidR="00486C2F" w:rsidRPr="00FE2BDF" w:rsidRDefault="00486C2F" w:rsidP="00AA34DD">
      <w:pPr>
        <w:pStyle w:val="CETBodytext"/>
        <w:rPr>
          <w:color w:val="000000" w:themeColor="text1"/>
        </w:rPr>
      </w:pPr>
    </w:p>
    <w:p w14:paraId="489FF141" w14:textId="7C1823E4" w:rsidR="00545F90" w:rsidRPr="00FE2BDF" w:rsidRDefault="00486C2F" w:rsidP="00AA34DD">
      <w:pPr>
        <w:pStyle w:val="CETBodytext"/>
        <w:rPr>
          <w:color w:val="000000" w:themeColor="text1"/>
        </w:rPr>
      </w:pPr>
      <w:r w:rsidRPr="00FE2BDF">
        <w:rPr>
          <w:color w:val="000000" w:themeColor="text1"/>
        </w:rPr>
        <w:t>Glancing the effect of</w:t>
      </w:r>
      <w:r w:rsidR="004D2E49" w:rsidRPr="00FE2BDF">
        <w:rPr>
          <w:color w:val="000000" w:themeColor="text1"/>
        </w:rPr>
        <w:t xml:space="preserve"> catalys</w:t>
      </w:r>
      <w:r w:rsidRPr="00FE2BDF">
        <w:rPr>
          <w:color w:val="000000" w:themeColor="text1"/>
        </w:rPr>
        <w:t>t, it can be said that at 500°C</w:t>
      </w:r>
      <w:r w:rsidR="004D2E49" w:rsidRPr="00FE2BDF">
        <w:rPr>
          <w:color w:val="000000" w:themeColor="text1"/>
        </w:rPr>
        <w:t xml:space="preserve"> more hydrogen and CO</w:t>
      </w:r>
      <w:r w:rsidR="004D2E49" w:rsidRPr="00FE2BDF">
        <w:rPr>
          <w:color w:val="000000" w:themeColor="text1"/>
          <w:vertAlign w:val="subscript"/>
        </w:rPr>
        <w:t>2</w:t>
      </w:r>
      <w:r w:rsidR="004D2E49" w:rsidRPr="00FE2BDF">
        <w:rPr>
          <w:color w:val="000000" w:themeColor="text1"/>
        </w:rPr>
        <w:t xml:space="preserve"> were formed in the</w:t>
      </w:r>
      <w:r w:rsidRPr="00FE2BDF">
        <w:rPr>
          <w:color w:val="000000" w:themeColor="text1"/>
        </w:rPr>
        <w:t xml:space="preserve"> presence of dolomite. At 900°C,</w:t>
      </w:r>
      <w:r w:rsidR="004D2E49" w:rsidRPr="00FE2BDF">
        <w:rPr>
          <w:color w:val="000000" w:themeColor="text1"/>
        </w:rPr>
        <w:t xml:space="preserve"> opposite trend </w:t>
      </w:r>
      <w:r w:rsidR="002067FB" w:rsidRPr="00FE2BDF">
        <w:rPr>
          <w:color w:val="000000" w:themeColor="text1"/>
        </w:rPr>
        <w:t>was</w:t>
      </w:r>
      <w:r w:rsidR="004D2E49" w:rsidRPr="00FE2BDF">
        <w:rPr>
          <w:color w:val="000000" w:themeColor="text1"/>
        </w:rPr>
        <w:t xml:space="preserve"> observed, because in this case less hydrogen and CO</w:t>
      </w:r>
      <w:r w:rsidR="004D2E49" w:rsidRPr="00FE2BDF">
        <w:rPr>
          <w:color w:val="000000" w:themeColor="text1"/>
          <w:vertAlign w:val="subscript"/>
        </w:rPr>
        <w:t>2</w:t>
      </w:r>
      <w:r w:rsidR="004D2E49" w:rsidRPr="00FE2BDF">
        <w:rPr>
          <w:color w:val="000000" w:themeColor="text1"/>
        </w:rPr>
        <w:t xml:space="preserve"> were formed in the presence of dolomite. The a</w:t>
      </w:r>
      <w:r w:rsidR="004D4588" w:rsidRPr="00FE2BDF">
        <w:rPr>
          <w:color w:val="000000" w:themeColor="text1"/>
        </w:rPr>
        <w:t>mount of CO</w:t>
      </w:r>
      <w:r w:rsidR="004D2E49" w:rsidRPr="00FE2BDF">
        <w:rPr>
          <w:color w:val="000000" w:themeColor="text1"/>
        </w:rPr>
        <w:t xml:space="preserve"> was higher </w:t>
      </w:r>
      <w:r w:rsidR="004D4588" w:rsidRPr="00FE2BDF">
        <w:rPr>
          <w:color w:val="000000" w:themeColor="text1"/>
        </w:rPr>
        <w:t xml:space="preserve">at both temperatures </w:t>
      </w:r>
      <w:r w:rsidR="004D2E49" w:rsidRPr="00FE2BDF">
        <w:rPr>
          <w:color w:val="000000" w:themeColor="text1"/>
        </w:rPr>
        <w:t>in the presence of dolo</w:t>
      </w:r>
      <w:r w:rsidRPr="00FE2BDF">
        <w:rPr>
          <w:color w:val="000000" w:themeColor="text1"/>
        </w:rPr>
        <w:t>mite than without it. At 500°C</w:t>
      </w:r>
      <w:r w:rsidR="004D2E49" w:rsidRPr="00FE2BDF">
        <w:rPr>
          <w:color w:val="000000" w:themeColor="text1"/>
        </w:rPr>
        <w:t xml:space="preserve">, </w:t>
      </w:r>
      <w:r w:rsidRPr="00FE2BDF">
        <w:rPr>
          <w:color w:val="000000" w:themeColor="text1"/>
        </w:rPr>
        <w:t xml:space="preserve">using </w:t>
      </w:r>
      <w:r w:rsidR="004D2E49" w:rsidRPr="00FE2BDF">
        <w:rPr>
          <w:color w:val="000000" w:themeColor="text1"/>
        </w:rPr>
        <w:t>0.1 bar in the presence of dolomite more methane and less C</w:t>
      </w:r>
      <w:r w:rsidR="004D2E49" w:rsidRPr="00FE2BDF">
        <w:rPr>
          <w:color w:val="000000" w:themeColor="text1"/>
          <w:vertAlign w:val="subscript"/>
        </w:rPr>
        <w:t>2</w:t>
      </w:r>
      <w:r w:rsidR="004D2E49" w:rsidRPr="00FE2BDF">
        <w:rPr>
          <w:color w:val="000000" w:themeColor="text1"/>
        </w:rPr>
        <w:t>-C</w:t>
      </w:r>
      <w:r w:rsidR="004D2E49" w:rsidRPr="00FE2BDF">
        <w:rPr>
          <w:color w:val="000000" w:themeColor="text1"/>
          <w:vertAlign w:val="subscript"/>
        </w:rPr>
        <w:t>6</w:t>
      </w:r>
      <w:r w:rsidR="004D2E49" w:rsidRPr="00FE2BDF">
        <w:rPr>
          <w:color w:val="000000" w:themeColor="text1"/>
        </w:rPr>
        <w:t xml:space="preserve"> hydrocarbons</w:t>
      </w:r>
      <w:r w:rsidR="002067FB" w:rsidRPr="00FE2BDF">
        <w:rPr>
          <w:color w:val="000000" w:themeColor="text1"/>
        </w:rPr>
        <w:t xml:space="preserve"> were </w:t>
      </w:r>
      <w:r w:rsidR="002067FB" w:rsidRPr="00FE2BDF">
        <w:rPr>
          <w:color w:val="000000" w:themeColor="text1"/>
        </w:rPr>
        <w:t>produced</w:t>
      </w:r>
      <w:r w:rsidRPr="00FE2BDF">
        <w:rPr>
          <w:color w:val="000000" w:themeColor="text1"/>
        </w:rPr>
        <w:t>,</w:t>
      </w:r>
      <w:r w:rsidR="004D2E49" w:rsidRPr="00FE2BDF">
        <w:rPr>
          <w:color w:val="000000" w:themeColor="text1"/>
        </w:rPr>
        <w:t xml:space="preserve"> than without i</w:t>
      </w:r>
      <w:r w:rsidRPr="00FE2BDF">
        <w:rPr>
          <w:color w:val="000000" w:themeColor="text1"/>
        </w:rPr>
        <w:t xml:space="preserve">t. However </w:t>
      </w:r>
      <w:r w:rsidR="004D2E49" w:rsidRPr="00FE2BDF">
        <w:rPr>
          <w:color w:val="000000" w:themeColor="text1"/>
        </w:rPr>
        <w:t>opposite trend was observed at 1.0 bar, because in this case the amount of methane decreased, while that of C</w:t>
      </w:r>
      <w:r w:rsidR="004D2E49" w:rsidRPr="00FE2BDF">
        <w:rPr>
          <w:color w:val="000000" w:themeColor="text1"/>
          <w:vertAlign w:val="subscript"/>
        </w:rPr>
        <w:t>2</w:t>
      </w:r>
      <w:r w:rsidRPr="00FE2BDF">
        <w:rPr>
          <w:color w:val="000000" w:themeColor="text1"/>
        </w:rPr>
        <w:t>-</w:t>
      </w:r>
      <w:r w:rsidR="004D2E49" w:rsidRPr="00FE2BDF">
        <w:rPr>
          <w:color w:val="000000" w:themeColor="text1"/>
        </w:rPr>
        <w:t>C</w:t>
      </w:r>
      <w:r w:rsidR="004D2E49" w:rsidRPr="00FE2BDF">
        <w:rPr>
          <w:color w:val="000000" w:themeColor="text1"/>
          <w:vertAlign w:val="subscript"/>
        </w:rPr>
        <w:t>6</w:t>
      </w:r>
      <w:r w:rsidR="004D2E49" w:rsidRPr="00FE2BDF">
        <w:rPr>
          <w:color w:val="000000" w:themeColor="text1"/>
        </w:rPr>
        <w:t xml:space="preserve"> hydrocarbons increas</w:t>
      </w:r>
      <w:r w:rsidRPr="00FE2BDF">
        <w:rPr>
          <w:color w:val="000000" w:themeColor="text1"/>
        </w:rPr>
        <w:t xml:space="preserve">ed in the presence of dolomite. </w:t>
      </w:r>
      <w:r w:rsidR="004D2E49" w:rsidRPr="00FE2BDF">
        <w:rPr>
          <w:color w:val="000000" w:themeColor="text1"/>
        </w:rPr>
        <w:t>At 900</w:t>
      </w:r>
      <w:r w:rsidRPr="00FE2BDF">
        <w:rPr>
          <w:color w:val="000000" w:themeColor="text1"/>
        </w:rPr>
        <w:t>°C</w:t>
      </w:r>
      <w:r w:rsidR="004D2E49" w:rsidRPr="00FE2BDF">
        <w:rPr>
          <w:color w:val="000000" w:themeColor="text1"/>
        </w:rPr>
        <w:t>, a similar trend was observed for methane as at 500</w:t>
      </w:r>
      <w:r w:rsidRPr="00FE2BDF">
        <w:rPr>
          <w:color w:val="000000" w:themeColor="text1"/>
        </w:rPr>
        <w:t>°C</w:t>
      </w:r>
      <w:r w:rsidR="004D2E49" w:rsidRPr="00FE2BDF">
        <w:rPr>
          <w:color w:val="000000" w:themeColor="text1"/>
        </w:rPr>
        <w:t xml:space="preserve">, however, </w:t>
      </w:r>
      <w:r w:rsidRPr="00FE2BDF">
        <w:rPr>
          <w:color w:val="000000" w:themeColor="text1"/>
        </w:rPr>
        <w:t>t</w:t>
      </w:r>
      <w:r w:rsidR="004D2E49" w:rsidRPr="00FE2BDF">
        <w:rPr>
          <w:color w:val="000000" w:themeColor="text1"/>
        </w:rPr>
        <w:t>he amount of C</w:t>
      </w:r>
      <w:r w:rsidR="004D2E49" w:rsidRPr="00FE2BDF">
        <w:rPr>
          <w:color w:val="000000" w:themeColor="text1"/>
          <w:vertAlign w:val="subscript"/>
        </w:rPr>
        <w:t>2</w:t>
      </w:r>
      <w:r w:rsidRPr="00FE2BDF">
        <w:rPr>
          <w:color w:val="000000" w:themeColor="text1"/>
        </w:rPr>
        <w:t>-</w:t>
      </w:r>
      <w:r w:rsidR="004D2E49" w:rsidRPr="00FE2BDF">
        <w:rPr>
          <w:color w:val="000000" w:themeColor="text1"/>
        </w:rPr>
        <w:t>C</w:t>
      </w:r>
      <w:r w:rsidR="004D2E49" w:rsidRPr="00FE2BDF">
        <w:rPr>
          <w:color w:val="000000" w:themeColor="text1"/>
          <w:vertAlign w:val="subscript"/>
        </w:rPr>
        <w:t>6</w:t>
      </w:r>
      <w:r w:rsidR="004D2E49" w:rsidRPr="00FE2BDF">
        <w:rPr>
          <w:color w:val="000000" w:themeColor="text1"/>
        </w:rPr>
        <w:t xml:space="preserve"> hydrocarbons was lower in the presence of dolomite than without it, regardless of the pressure.</w:t>
      </w:r>
      <w:r w:rsidR="00545F90" w:rsidRPr="00FE2BDF">
        <w:rPr>
          <w:color w:val="000000" w:themeColor="text1"/>
        </w:rPr>
        <w:t xml:space="preserve"> Comparing the data with Francis diagram, it is clear, that due to its higher stability the reduction in the concentration of C</w:t>
      </w:r>
      <w:r w:rsidR="00545F90" w:rsidRPr="00FE2BDF">
        <w:rPr>
          <w:color w:val="000000" w:themeColor="text1"/>
          <w:vertAlign w:val="subscript"/>
        </w:rPr>
        <w:t>2</w:t>
      </w:r>
      <w:r w:rsidR="00545F90" w:rsidRPr="00FE2BDF">
        <w:rPr>
          <w:color w:val="000000" w:themeColor="text1"/>
        </w:rPr>
        <w:t>-C</w:t>
      </w:r>
      <w:r w:rsidR="00545F90" w:rsidRPr="00FE2BDF">
        <w:rPr>
          <w:color w:val="000000" w:themeColor="text1"/>
          <w:vertAlign w:val="subscript"/>
        </w:rPr>
        <w:t>6</w:t>
      </w:r>
      <w:r w:rsidR="00545F90" w:rsidRPr="00FE2BDF">
        <w:rPr>
          <w:color w:val="000000" w:themeColor="text1"/>
        </w:rPr>
        <w:t xml:space="preserve"> hydrocarbons was higher than that of methane from 500°C to 900°C. Furthermore, in general methane has higher concentration than C</w:t>
      </w:r>
      <w:r w:rsidR="00545F90" w:rsidRPr="00FE2BDF">
        <w:rPr>
          <w:color w:val="000000" w:themeColor="text1"/>
          <w:vertAlign w:val="subscript"/>
        </w:rPr>
        <w:t>2</w:t>
      </w:r>
      <w:r w:rsidR="00545F90" w:rsidRPr="00FE2BDF">
        <w:rPr>
          <w:color w:val="000000" w:themeColor="text1"/>
        </w:rPr>
        <w:t>-C</w:t>
      </w:r>
      <w:r w:rsidR="00545F90" w:rsidRPr="00FE2BDF">
        <w:rPr>
          <w:color w:val="000000" w:themeColor="text1"/>
          <w:vertAlign w:val="subscript"/>
        </w:rPr>
        <w:t>6</w:t>
      </w:r>
      <w:r w:rsidR="00545F90" w:rsidRPr="00FE2BDF">
        <w:rPr>
          <w:color w:val="000000" w:themeColor="text1"/>
        </w:rPr>
        <w:t xml:space="preserve"> compounds.</w:t>
      </w:r>
    </w:p>
    <w:p w14:paraId="60B79E82" w14:textId="59895D9E" w:rsidR="00D81E12" w:rsidRPr="00FE2BDF" w:rsidRDefault="00D81E12" w:rsidP="00B255ED">
      <w:pPr>
        <w:pStyle w:val="CETheadingx"/>
        <w:numPr>
          <w:ilvl w:val="2"/>
          <w:numId w:val="32"/>
        </w:numPr>
        <w:ind w:left="426" w:hanging="426"/>
      </w:pPr>
      <w:r w:rsidRPr="00FE2BDF">
        <w:t>Syngas</w:t>
      </w:r>
      <w:r w:rsidR="00214FD5" w:rsidRPr="00FE2BDF">
        <w:t xml:space="preserve"> yield</w:t>
      </w:r>
      <w:r w:rsidRPr="00FE2BDF">
        <w:t>, heating value and hydrogen/CO ratio</w:t>
      </w:r>
    </w:p>
    <w:p w14:paraId="5D1EF767" w14:textId="4396BD62" w:rsidR="00214FD5" w:rsidRPr="00FE2BDF" w:rsidRDefault="004D2E49" w:rsidP="004D2E49">
      <w:pPr>
        <w:rPr>
          <w:rFonts w:cs="Arial"/>
          <w:szCs w:val="18"/>
        </w:rPr>
      </w:pPr>
      <w:r w:rsidRPr="00FE2BDF">
        <w:rPr>
          <w:rFonts w:cs="Arial"/>
          <w:szCs w:val="18"/>
        </w:rPr>
        <w:t>The syngas yield, the</w:t>
      </w:r>
      <w:r w:rsidR="00214FD5" w:rsidRPr="00FE2BDF">
        <w:rPr>
          <w:rFonts w:cs="Arial"/>
          <w:szCs w:val="18"/>
        </w:rPr>
        <w:t xml:space="preserve"> heating value and the hydrogen</w:t>
      </w:r>
      <w:r w:rsidRPr="00FE2BDF">
        <w:rPr>
          <w:rFonts w:cs="Arial"/>
          <w:szCs w:val="18"/>
        </w:rPr>
        <w:t>/CO ratio of gases are summarized in Figure 4. Based on the results, it is clear that the amount of syn</w:t>
      </w:r>
      <w:r w:rsidR="00214FD5" w:rsidRPr="00FE2BDF">
        <w:rPr>
          <w:rFonts w:cs="Arial"/>
          <w:szCs w:val="18"/>
        </w:rPr>
        <w:t>thesis gas was higher at 900°C (46.6-67.4mmol/</w:t>
      </w:r>
      <w:r w:rsidRPr="00FE2BDF">
        <w:rPr>
          <w:rFonts w:cs="Arial"/>
          <w:szCs w:val="18"/>
        </w:rPr>
        <w:t>g raw material)</w:t>
      </w:r>
      <w:r w:rsidR="00214FD5" w:rsidRPr="00FE2BDF">
        <w:rPr>
          <w:rFonts w:cs="Arial"/>
          <w:szCs w:val="18"/>
        </w:rPr>
        <w:t>,</w:t>
      </w:r>
      <w:r w:rsidRPr="00FE2BDF">
        <w:rPr>
          <w:rFonts w:cs="Arial"/>
          <w:szCs w:val="18"/>
        </w:rPr>
        <w:t xml:space="preserve"> </w:t>
      </w:r>
      <w:r w:rsidR="00214FD5" w:rsidRPr="00FE2BDF">
        <w:rPr>
          <w:rFonts w:cs="Arial"/>
          <w:szCs w:val="18"/>
        </w:rPr>
        <w:t>than at 500°C (12.5-46.6mmol/</w:t>
      </w:r>
      <w:r w:rsidRPr="00FE2BDF">
        <w:rPr>
          <w:rFonts w:cs="Arial"/>
          <w:szCs w:val="18"/>
        </w:rPr>
        <w:t>g raw material), mainly due to the formation</w:t>
      </w:r>
      <w:bookmarkStart w:id="0" w:name="_GoBack"/>
      <w:bookmarkEnd w:id="0"/>
      <w:r w:rsidRPr="00FE2BDF">
        <w:rPr>
          <w:rFonts w:cs="Arial"/>
          <w:szCs w:val="18"/>
        </w:rPr>
        <w:t xml:space="preserve"> of more hydrogen. Regarding the </w:t>
      </w:r>
      <w:r w:rsidRPr="00FE2BDF">
        <w:rPr>
          <w:rFonts w:cs="Arial"/>
          <w:szCs w:val="18"/>
        </w:rPr>
        <w:lastRenderedPageBreak/>
        <w:t>effect of temperature, it can be said that the increase in the amount of synthesis gas was higher (227-268%) at a pressure of 1.0 bar than in a vacuum (45-55%). This is also due to the fact that the amount of CO at atmospheric pressure also increased significantly (275-315</w:t>
      </w:r>
      <w:r w:rsidR="00214FD5" w:rsidRPr="00FE2BDF">
        <w:rPr>
          <w:rFonts w:cs="Arial"/>
          <w:szCs w:val="18"/>
        </w:rPr>
        <w:t xml:space="preserve">%) with increasing temperature. However, it is worth to mention that in the presence of dolomite, </w:t>
      </w:r>
      <w:r w:rsidR="006C17F1" w:rsidRPr="00FE2BDF">
        <w:rPr>
          <w:rFonts w:cs="Arial"/>
          <w:szCs w:val="18"/>
        </w:rPr>
        <w:t>a bit more</w:t>
      </w:r>
      <w:r w:rsidR="00214FD5" w:rsidRPr="00FE2BDF">
        <w:rPr>
          <w:rFonts w:cs="Arial"/>
          <w:szCs w:val="18"/>
        </w:rPr>
        <w:t xml:space="preserve"> synthesis gas could be expected in the gas mixture than without it.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214FD5" w:rsidRPr="00FE2BDF" w14:paraId="2B6287FF" w14:textId="77777777" w:rsidTr="00C30983">
        <w:tc>
          <w:tcPr>
            <w:tcW w:w="4388" w:type="dxa"/>
          </w:tcPr>
          <w:p w14:paraId="1341ECB1" w14:textId="77777777" w:rsidR="00214FD5" w:rsidRPr="00FE2BDF" w:rsidRDefault="00214FD5" w:rsidP="00C30983">
            <w:pPr>
              <w:jc w:val="center"/>
              <w:rPr>
                <w:rFonts w:cs="Arial"/>
                <w:color w:val="000000" w:themeColor="text1"/>
                <w:szCs w:val="18"/>
              </w:rPr>
            </w:pPr>
            <w:r w:rsidRPr="00FE2BDF">
              <w:rPr>
                <w:rFonts w:cs="Arial"/>
                <w:noProof/>
                <w:color w:val="000000" w:themeColor="text1"/>
                <w:szCs w:val="18"/>
                <w:lang w:val="hu-HU" w:eastAsia="hu-HU"/>
              </w:rPr>
              <w:drawing>
                <wp:inline distT="0" distB="0" distL="0" distR="0" wp14:anchorId="7304F114" wp14:editId="1FA186DA">
                  <wp:extent cx="2520000" cy="181080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810800"/>
                          </a:xfrm>
                          <a:prstGeom prst="rect">
                            <a:avLst/>
                          </a:prstGeom>
                          <a:noFill/>
                          <a:ln>
                            <a:noFill/>
                          </a:ln>
                        </pic:spPr>
                      </pic:pic>
                    </a:graphicData>
                  </a:graphic>
                </wp:inline>
              </w:drawing>
            </w:r>
          </w:p>
        </w:tc>
        <w:tc>
          <w:tcPr>
            <w:tcW w:w="4389" w:type="dxa"/>
          </w:tcPr>
          <w:p w14:paraId="6322068F" w14:textId="77777777" w:rsidR="00214FD5" w:rsidRPr="00FE2BDF" w:rsidRDefault="00214FD5" w:rsidP="00C30983">
            <w:pPr>
              <w:jc w:val="center"/>
              <w:rPr>
                <w:rFonts w:cs="Arial"/>
                <w:color w:val="000000" w:themeColor="text1"/>
                <w:szCs w:val="18"/>
              </w:rPr>
            </w:pPr>
            <w:r w:rsidRPr="00FE2BDF">
              <w:rPr>
                <w:rFonts w:cs="Arial"/>
                <w:noProof/>
                <w:color w:val="000000" w:themeColor="text1"/>
                <w:szCs w:val="18"/>
                <w:lang w:val="hu-HU" w:eastAsia="hu-HU"/>
              </w:rPr>
              <w:drawing>
                <wp:inline distT="0" distB="0" distL="0" distR="0" wp14:anchorId="12BF12F8" wp14:editId="4747694B">
                  <wp:extent cx="2520000" cy="18108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1810800"/>
                          </a:xfrm>
                          <a:prstGeom prst="rect">
                            <a:avLst/>
                          </a:prstGeom>
                          <a:noFill/>
                          <a:ln>
                            <a:noFill/>
                          </a:ln>
                        </pic:spPr>
                      </pic:pic>
                    </a:graphicData>
                  </a:graphic>
                </wp:inline>
              </w:drawing>
            </w:r>
          </w:p>
        </w:tc>
      </w:tr>
      <w:tr w:rsidR="00214FD5" w:rsidRPr="00FE2BDF" w14:paraId="4A0D79D1" w14:textId="77777777" w:rsidTr="00C30983">
        <w:tc>
          <w:tcPr>
            <w:tcW w:w="4388" w:type="dxa"/>
          </w:tcPr>
          <w:p w14:paraId="7E0818A0" w14:textId="77777777" w:rsidR="00214FD5" w:rsidRPr="00FE2BDF" w:rsidRDefault="00214FD5" w:rsidP="00C30983">
            <w:pPr>
              <w:jc w:val="center"/>
              <w:rPr>
                <w:rFonts w:cs="Arial"/>
                <w:color w:val="000000" w:themeColor="text1"/>
                <w:sz w:val="14"/>
                <w:szCs w:val="14"/>
              </w:rPr>
            </w:pPr>
            <w:r w:rsidRPr="00FE2BDF">
              <w:rPr>
                <w:rFonts w:cs="Arial"/>
                <w:color w:val="000000" w:themeColor="text1"/>
                <w:sz w:val="14"/>
                <w:szCs w:val="14"/>
              </w:rPr>
              <w:t>500°C</w:t>
            </w:r>
          </w:p>
        </w:tc>
        <w:tc>
          <w:tcPr>
            <w:tcW w:w="4389" w:type="dxa"/>
          </w:tcPr>
          <w:p w14:paraId="17A5ADE9" w14:textId="77777777" w:rsidR="00214FD5" w:rsidRPr="00FE2BDF" w:rsidRDefault="00214FD5" w:rsidP="00C30983">
            <w:pPr>
              <w:jc w:val="center"/>
              <w:rPr>
                <w:rFonts w:cs="Arial"/>
                <w:color w:val="000000" w:themeColor="text1"/>
                <w:sz w:val="14"/>
                <w:szCs w:val="14"/>
              </w:rPr>
            </w:pPr>
            <w:r w:rsidRPr="00FE2BDF">
              <w:rPr>
                <w:rFonts w:cs="Arial"/>
                <w:color w:val="000000" w:themeColor="text1"/>
                <w:sz w:val="14"/>
                <w:szCs w:val="14"/>
              </w:rPr>
              <w:t>900°C</w:t>
            </w:r>
          </w:p>
        </w:tc>
      </w:tr>
      <w:tr w:rsidR="00214FD5" w:rsidRPr="00FE2BDF" w14:paraId="6860DB47" w14:textId="77777777" w:rsidTr="00C30983">
        <w:tc>
          <w:tcPr>
            <w:tcW w:w="8777" w:type="dxa"/>
            <w:gridSpan w:val="2"/>
          </w:tcPr>
          <w:p w14:paraId="02072D48" w14:textId="77777777" w:rsidR="00214FD5" w:rsidRPr="00FE2BDF" w:rsidRDefault="00214FD5" w:rsidP="00C30983">
            <w:pPr>
              <w:jc w:val="center"/>
              <w:rPr>
                <w:rFonts w:cs="Arial"/>
                <w:color w:val="000000" w:themeColor="text1"/>
                <w:sz w:val="14"/>
                <w:szCs w:val="14"/>
              </w:rPr>
            </w:pPr>
            <w:r w:rsidRPr="00FE2BDF">
              <w:rPr>
                <w:rFonts w:cs="Arial"/>
                <w:color w:val="000000" w:themeColor="text1"/>
                <w:sz w:val="14"/>
                <w:szCs w:val="14"/>
              </w:rPr>
              <w:t>Syngas yield</w:t>
            </w:r>
          </w:p>
        </w:tc>
      </w:tr>
      <w:tr w:rsidR="00214FD5" w:rsidRPr="00FE2BDF" w14:paraId="5733E1A2" w14:textId="77777777" w:rsidTr="00C30983">
        <w:tc>
          <w:tcPr>
            <w:tcW w:w="4388" w:type="dxa"/>
          </w:tcPr>
          <w:p w14:paraId="66C90E81" w14:textId="77777777" w:rsidR="00214FD5" w:rsidRPr="00FE2BDF" w:rsidRDefault="00214FD5" w:rsidP="00C30983">
            <w:pPr>
              <w:rPr>
                <w:rFonts w:cs="Arial"/>
                <w:color w:val="000000" w:themeColor="text1"/>
                <w:szCs w:val="18"/>
              </w:rPr>
            </w:pPr>
            <w:r w:rsidRPr="00FE2BDF">
              <w:rPr>
                <w:rFonts w:cs="Arial"/>
                <w:noProof/>
                <w:color w:val="000000" w:themeColor="text1"/>
                <w:szCs w:val="18"/>
                <w:lang w:val="hu-HU" w:eastAsia="hu-HU"/>
              </w:rPr>
              <w:drawing>
                <wp:inline distT="0" distB="0" distL="0" distR="0" wp14:anchorId="199F3ABD" wp14:editId="0C9D2BFF">
                  <wp:extent cx="2520000" cy="179640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000" cy="1796400"/>
                          </a:xfrm>
                          <a:prstGeom prst="rect">
                            <a:avLst/>
                          </a:prstGeom>
                          <a:noFill/>
                          <a:ln>
                            <a:noFill/>
                          </a:ln>
                        </pic:spPr>
                      </pic:pic>
                    </a:graphicData>
                  </a:graphic>
                </wp:inline>
              </w:drawing>
            </w:r>
          </w:p>
        </w:tc>
        <w:tc>
          <w:tcPr>
            <w:tcW w:w="4389" w:type="dxa"/>
          </w:tcPr>
          <w:p w14:paraId="4A3E684B" w14:textId="77777777" w:rsidR="00214FD5" w:rsidRPr="00FE2BDF" w:rsidRDefault="00214FD5" w:rsidP="00C30983">
            <w:pPr>
              <w:rPr>
                <w:rFonts w:cs="Arial"/>
                <w:color w:val="000000" w:themeColor="text1"/>
                <w:szCs w:val="18"/>
              </w:rPr>
            </w:pPr>
            <w:r w:rsidRPr="00FE2BDF">
              <w:rPr>
                <w:rFonts w:cs="Arial"/>
                <w:noProof/>
                <w:color w:val="000000" w:themeColor="text1"/>
                <w:szCs w:val="18"/>
                <w:lang w:val="hu-HU" w:eastAsia="hu-HU"/>
              </w:rPr>
              <w:drawing>
                <wp:inline distT="0" distB="0" distL="0" distR="0" wp14:anchorId="04AD861F" wp14:editId="0FFEF462">
                  <wp:extent cx="2520000" cy="1807200"/>
                  <wp:effectExtent l="0" t="0" r="0" b="317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0000" cy="1807200"/>
                          </a:xfrm>
                          <a:prstGeom prst="rect">
                            <a:avLst/>
                          </a:prstGeom>
                          <a:noFill/>
                          <a:ln>
                            <a:noFill/>
                          </a:ln>
                        </pic:spPr>
                      </pic:pic>
                    </a:graphicData>
                  </a:graphic>
                </wp:inline>
              </w:drawing>
            </w:r>
          </w:p>
        </w:tc>
      </w:tr>
      <w:tr w:rsidR="00214FD5" w:rsidRPr="00FE2BDF" w14:paraId="67BE6DFF" w14:textId="77777777" w:rsidTr="00C30983">
        <w:tc>
          <w:tcPr>
            <w:tcW w:w="4388" w:type="dxa"/>
          </w:tcPr>
          <w:p w14:paraId="7C63DC43" w14:textId="77777777" w:rsidR="00214FD5" w:rsidRPr="00FE2BDF" w:rsidRDefault="00214FD5" w:rsidP="00C30983">
            <w:pPr>
              <w:jc w:val="center"/>
              <w:rPr>
                <w:rFonts w:cs="Arial"/>
                <w:noProof/>
                <w:color w:val="000000" w:themeColor="text1"/>
                <w:sz w:val="14"/>
                <w:szCs w:val="14"/>
                <w:lang w:val="hu-HU" w:eastAsia="hu-HU"/>
              </w:rPr>
            </w:pPr>
            <w:r w:rsidRPr="00FE2BDF">
              <w:rPr>
                <w:rFonts w:cs="Arial"/>
                <w:noProof/>
                <w:color w:val="000000" w:themeColor="text1"/>
                <w:sz w:val="14"/>
                <w:szCs w:val="14"/>
                <w:lang w:val="hu-HU" w:eastAsia="hu-HU"/>
              </w:rPr>
              <w:t>Heating value</w:t>
            </w:r>
          </w:p>
        </w:tc>
        <w:tc>
          <w:tcPr>
            <w:tcW w:w="4389" w:type="dxa"/>
          </w:tcPr>
          <w:p w14:paraId="1E06036F" w14:textId="77777777" w:rsidR="00214FD5" w:rsidRPr="00FE2BDF" w:rsidRDefault="00214FD5" w:rsidP="00C30983">
            <w:pPr>
              <w:jc w:val="center"/>
              <w:rPr>
                <w:rFonts w:cs="Arial"/>
                <w:noProof/>
                <w:color w:val="000000" w:themeColor="text1"/>
                <w:sz w:val="14"/>
                <w:szCs w:val="14"/>
                <w:lang w:val="hu-HU" w:eastAsia="hu-HU"/>
              </w:rPr>
            </w:pPr>
            <w:r w:rsidRPr="00FE2BDF">
              <w:rPr>
                <w:rFonts w:cs="Arial"/>
                <w:noProof/>
                <w:color w:val="000000" w:themeColor="text1"/>
                <w:sz w:val="14"/>
                <w:szCs w:val="14"/>
                <w:lang w:val="hu-HU" w:eastAsia="hu-HU"/>
              </w:rPr>
              <w:t>Hydrogen/CO ratio</w:t>
            </w:r>
          </w:p>
        </w:tc>
      </w:tr>
    </w:tbl>
    <w:p w14:paraId="0F8EC414" w14:textId="77777777" w:rsidR="00214FD5" w:rsidRPr="00FE2BDF" w:rsidRDefault="00214FD5" w:rsidP="00214FD5">
      <w:pPr>
        <w:pStyle w:val="CETBodytext"/>
        <w:rPr>
          <w:i/>
          <w:color w:val="000000" w:themeColor="text1"/>
        </w:rPr>
      </w:pPr>
      <w:r w:rsidRPr="00FE2BDF">
        <w:rPr>
          <w:i/>
          <w:color w:val="000000" w:themeColor="text1"/>
        </w:rPr>
        <w:t xml:space="preserve">Figure 4: The </w:t>
      </w:r>
      <w:r w:rsidRPr="00FE2BDF">
        <w:rPr>
          <w:rFonts w:cs="Arial"/>
          <w:i/>
          <w:szCs w:val="18"/>
        </w:rPr>
        <w:t>syngas yield, the heating value and the hydrogen/CO ratio</w:t>
      </w:r>
      <w:r w:rsidRPr="00FE2BDF">
        <w:rPr>
          <w:i/>
          <w:color w:val="000000" w:themeColor="text1"/>
        </w:rPr>
        <w:t xml:space="preserve"> of gases</w:t>
      </w:r>
    </w:p>
    <w:p w14:paraId="616B6EF6" w14:textId="77777777" w:rsidR="00214FD5" w:rsidRPr="00FE2BDF" w:rsidRDefault="00214FD5" w:rsidP="004D2E49">
      <w:pPr>
        <w:rPr>
          <w:rFonts w:cs="Arial"/>
          <w:szCs w:val="18"/>
        </w:rPr>
      </w:pPr>
    </w:p>
    <w:p w14:paraId="2D5B0ABC" w14:textId="62C4FA9D" w:rsidR="00214FD5" w:rsidRPr="00FE2BDF" w:rsidRDefault="00214FD5" w:rsidP="004D2E49">
      <w:pPr>
        <w:rPr>
          <w:rFonts w:cs="Arial"/>
          <w:szCs w:val="18"/>
        </w:rPr>
      </w:pPr>
      <w:r w:rsidRPr="00FE2BDF">
        <w:rPr>
          <w:rFonts w:cs="Arial"/>
          <w:szCs w:val="18"/>
        </w:rPr>
        <w:t>In terms of hydrogen/</w:t>
      </w:r>
      <w:r w:rsidR="004D2E49" w:rsidRPr="00FE2BDF">
        <w:rPr>
          <w:rFonts w:cs="Arial"/>
          <w:szCs w:val="18"/>
        </w:rPr>
        <w:t>CO ratio, lower values ​​were obtained in vacu</w:t>
      </w:r>
      <w:r w:rsidRPr="00FE2BDF">
        <w:rPr>
          <w:rFonts w:cs="Arial"/>
          <w:szCs w:val="18"/>
        </w:rPr>
        <w:t>um</w:t>
      </w:r>
      <w:r w:rsidR="004D2E49" w:rsidRPr="00FE2BDF">
        <w:rPr>
          <w:rFonts w:cs="Arial"/>
          <w:szCs w:val="18"/>
        </w:rPr>
        <w:t xml:space="preserve"> at both temperatures than at atmospheric pressure. </w:t>
      </w:r>
      <w:r w:rsidR="002067FB" w:rsidRPr="00FE2BDF">
        <w:rPr>
          <w:rFonts w:cs="Arial"/>
          <w:szCs w:val="18"/>
        </w:rPr>
        <w:t>The</w:t>
      </w:r>
      <w:r w:rsidR="004D2E49" w:rsidRPr="00FE2BDF">
        <w:rPr>
          <w:rFonts w:cs="Arial"/>
          <w:szCs w:val="18"/>
        </w:rPr>
        <w:t xml:space="preserve"> significantly more CO</w:t>
      </w:r>
      <w:r w:rsidRPr="00FE2BDF">
        <w:rPr>
          <w:rFonts w:cs="Arial"/>
          <w:szCs w:val="18"/>
        </w:rPr>
        <w:t xml:space="preserve"> using </w:t>
      </w:r>
      <w:r w:rsidR="004D2E49" w:rsidRPr="00FE2BDF">
        <w:rPr>
          <w:rFonts w:cs="Arial"/>
          <w:szCs w:val="18"/>
        </w:rPr>
        <w:t>vacuum</w:t>
      </w:r>
      <w:r w:rsidR="002067FB" w:rsidRPr="00FE2BDF">
        <w:rPr>
          <w:rFonts w:cs="Arial"/>
          <w:szCs w:val="18"/>
        </w:rPr>
        <w:t xml:space="preserve"> was the reason for this phenomenon</w:t>
      </w:r>
      <w:r w:rsidR="004D2E49" w:rsidRPr="00FE2BDF">
        <w:rPr>
          <w:rFonts w:cs="Arial"/>
          <w:szCs w:val="18"/>
        </w:rPr>
        <w:t xml:space="preserve">. </w:t>
      </w:r>
      <w:r w:rsidRPr="00FE2BDF">
        <w:rPr>
          <w:rFonts w:cs="Arial"/>
          <w:szCs w:val="18"/>
        </w:rPr>
        <w:t>To investigate</w:t>
      </w:r>
      <w:r w:rsidR="004D2E49" w:rsidRPr="00FE2BDF">
        <w:rPr>
          <w:rFonts w:cs="Arial"/>
          <w:szCs w:val="18"/>
        </w:rPr>
        <w:t xml:space="preserve"> the effect of temperature, it </w:t>
      </w:r>
      <w:r w:rsidRPr="00FE2BDF">
        <w:rPr>
          <w:rFonts w:cs="Arial"/>
          <w:szCs w:val="18"/>
        </w:rPr>
        <w:t>is clear</w:t>
      </w:r>
      <w:r w:rsidR="004D2E49" w:rsidRPr="00FE2BDF">
        <w:rPr>
          <w:rFonts w:cs="Arial"/>
          <w:szCs w:val="18"/>
        </w:rPr>
        <w:t xml:space="preserve"> that </w:t>
      </w:r>
      <w:r w:rsidRPr="00FE2BDF">
        <w:rPr>
          <w:rFonts w:cs="Arial"/>
          <w:szCs w:val="18"/>
        </w:rPr>
        <w:t>both i</w:t>
      </w:r>
      <w:r w:rsidR="004D2E49" w:rsidRPr="00FE2BDF">
        <w:rPr>
          <w:rFonts w:cs="Arial"/>
          <w:szCs w:val="18"/>
        </w:rPr>
        <w:t xml:space="preserve">n the absence </w:t>
      </w:r>
      <w:r w:rsidRPr="00FE2BDF">
        <w:rPr>
          <w:rFonts w:cs="Arial"/>
          <w:szCs w:val="18"/>
        </w:rPr>
        <w:t>and</w:t>
      </w:r>
      <w:r w:rsidR="004D2E49" w:rsidRPr="00FE2BDF">
        <w:rPr>
          <w:rFonts w:cs="Arial"/>
          <w:szCs w:val="18"/>
        </w:rPr>
        <w:t xml:space="preserve"> </w:t>
      </w:r>
      <w:r w:rsidR="002067FB" w:rsidRPr="00FE2BDF">
        <w:rPr>
          <w:rFonts w:cs="Arial"/>
          <w:szCs w:val="18"/>
        </w:rPr>
        <w:t xml:space="preserve">presence of catalyst, the hydrogen/CO ratio </w:t>
      </w:r>
      <w:r w:rsidR="004D2E49" w:rsidRPr="00FE2BDF">
        <w:rPr>
          <w:rFonts w:cs="Arial"/>
          <w:szCs w:val="18"/>
        </w:rPr>
        <w:t>obtained a</w:t>
      </w:r>
      <w:r w:rsidRPr="00FE2BDF">
        <w:rPr>
          <w:rFonts w:cs="Arial"/>
          <w:szCs w:val="18"/>
        </w:rPr>
        <w:t>t atmospheric pressure</w:t>
      </w:r>
      <w:r w:rsidR="004D4588" w:rsidRPr="00FE2BDF">
        <w:rPr>
          <w:rFonts w:cs="Arial"/>
          <w:szCs w:val="18"/>
        </w:rPr>
        <w:t xml:space="preserve"> and</w:t>
      </w:r>
      <w:r w:rsidRPr="00FE2BDF">
        <w:rPr>
          <w:rFonts w:cs="Arial"/>
          <w:szCs w:val="18"/>
        </w:rPr>
        <w:t xml:space="preserve"> at 500°C</w:t>
      </w:r>
      <w:r w:rsidR="004D2E49" w:rsidRPr="00FE2BDF">
        <w:rPr>
          <w:rFonts w:cs="Arial"/>
          <w:szCs w:val="18"/>
        </w:rPr>
        <w:t xml:space="preserve"> was higher, while in vacuum the </w:t>
      </w:r>
      <w:r w:rsidR="00203AA4" w:rsidRPr="00FE2BDF">
        <w:rPr>
          <w:rFonts w:cs="Arial"/>
          <w:szCs w:val="18"/>
        </w:rPr>
        <w:t xml:space="preserve">hydrogen/CO </w:t>
      </w:r>
      <w:r w:rsidR="004D2E49" w:rsidRPr="00FE2BDF">
        <w:rPr>
          <w:rFonts w:cs="Arial"/>
          <w:szCs w:val="18"/>
        </w:rPr>
        <w:t>ratio obtained at 900</w:t>
      </w:r>
      <w:r w:rsidRPr="00FE2BDF">
        <w:rPr>
          <w:rFonts w:cs="Arial"/>
          <w:szCs w:val="18"/>
        </w:rPr>
        <w:t>°C</w:t>
      </w:r>
      <w:r w:rsidR="004D2E49" w:rsidRPr="00FE2BDF">
        <w:rPr>
          <w:rFonts w:cs="Arial"/>
          <w:szCs w:val="18"/>
        </w:rPr>
        <w:t xml:space="preserve"> was higher, </w:t>
      </w:r>
      <w:r w:rsidR="004D4588" w:rsidRPr="00FE2BDF">
        <w:rPr>
          <w:rFonts w:cs="Arial"/>
          <w:szCs w:val="18"/>
        </w:rPr>
        <w:t>regardless of whether the dolomite</w:t>
      </w:r>
      <w:r w:rsidR="004D2E49" w:rsidRPr="00FE2BDF">
        <w:rPr>
          <w:rFonts w:cs="Arial"/>
          <w:szCs w:val="18"/>
        </w:rPr>
        <w:t xml:space="preserve"> was used or not</w:t>
      </w:r>
      <w:r w:rsidRPr="00FE2BDF">
        <w:rPr>
          <w:rFonts w:cs="Arial"/>
          <w:szCs w:val="18"/>
        </w:rPr>
        <w:t>.</w:t>
      </w:r>
    </w:p>
    <w:p w14:paraId="2F2EF1D4" w14:textId="4FBCDE8C" w:rsidR="004D2E49" w:rsidRPr="00FE2BDF" w:rsidRDefault="00203AA4" w:rsidP="004D2E49">
      <w:pPr>
        <w:rPr>
          <w:rFonts w:cs="Arial"/>
          <w:szCs w:val="18"/>
        </w:rPr>
      </w:pPr>
      <w:r w:rsidRPr="00FE2BDF">
        <w:rPr>
          <w:rFonts w:cs="Arial"/>
          <w:szCs w:val="18"/>
        </w:rPr>
        <w:t xml:space="preserve">Due to </w:t>
      </w:r>
      <w:r w:rsidR="004D2E49" w:rsidRPr="00FE2BDF">
        <w:rPr>
          <w:rFonts w:cs="Arial"/>
          <w:szCs w:val="18"/>
        </w:rPr>
        <w:t>the higher proportion of hydroca</w:t>
      </w:r>
      <w:r w:rsidR="004D4588" w:rsidRPr="00FE2BDF">
        <w:rPr>
          <w:rFonts w:cs="Arial"/>
          <w:szCs w:val="18"/>
        </w:rPr>
        <w:t xml:space="preserve">rbons, the calculated heating </w:t>
      </w:r>
      <w:r w:rsidR="004D2E49" w:rsidRPr="00FE2BDF">
        <w:rPr>
          <w:rFonts w:cs="Arial"/>
          <w:szCs w:val="18"/>
        </w:rPr>
        <w:t xml:space="preserve">values ​​were higher in all cases for </w:t>
      </w:r>
      <w:r w:rsidR="00214FD5" w:rsidRPr="00FE2BDF">
        <w:rPr>
          <w:rFonts w:cs="Arial"/>
          <w:szCs w:val="18"/>
        </w:rPr>
        <w:t>the products obtained at 500°C</w:t>
      </w:r>
      <w:r w:rsidR="004D2E49" w:rsidRPr="00FE2BDF">
        <w:rPr>
          <w:rFonts w:cs="Arial"/>
          <w:szCs w:val="18"/>
        </w:rPr>
        <w:t xml:space="preserve">. However, due to the presence of </w:t>
      </w:r>
      <w:r w:rsidRPr="00FE2BDF">
        <w:rPr>
          <w:rFonts w:cs="Arial"/>
          <w:szCs w:val="18"/>
        </w:rPr>
        <w:t>more</w:t>
      </w:r>
      <w:r w:rsidR="004D2E49" w:rsidRPr="00FE2BDF">
        <w:rPr>
          <w:rFonts w:cs="Arial"/>
          <w:szCs w:val="18"/>
        </w:rPr>
        <w:t xml:space="preserve"> CO</w:t>
      </w:r>
      <w:r w:rsidR="004D4588" w:rsidRPr="00FE2BDF">
        <w:rPr>
          <w:rFonts w:cs="Arial"/>
          <w:szCs w:val="18"/>
        </w:rPr>
        <w:t>,</w:t>
      </w:r>
      <w:r w:rsidR="004D2E49" w:rsidRPr="00FE2BDF">
        <w:rPr>
          <w:rFonts w:cs="Arial"/>
          <w:szCs w:val="18"/>
        </w:rPr>
        <w:t xml:space="preserve"> lower calorific values</w:t>
      </w:r>
      <w:r w:rsidR="00214FD5" w:rsidRPr="00FE2BDF">
        <w:rPr>
          <w:rFonts w:cs="Arial"/>
          <w:szCs w:val="18"/>
        </w:rPr>
        <w:t xml:space="preserve"> were found at lower pressure</w:t>
      </w:r>
      <w:r w:rsidR="004D2E49" w:rsidRPr="00FE2BDF">
        <w:rPr>
          <w:rFonts w:cs="Arial"/>
          <w:szCs w:val="18"/>
        </w:rPr>
        <w:t>.</w:t>
      </w:r>
    </w:p>
    <w:p w14:paraId="148DF6CE" w14:textId="4CC25832" w:rsidR="00F62B8C" w:rsidRPr="00FE2BDF" w:rsidRDefault="00F62B8C" w:rsidP="00B255ED">
      <w:pPr>
        <w:pStyle w:val="CETheadingx"/>
        <w:numPr>
          <w:ilvl w:val="2"/>
          <w:numId w:val="32"/>
        </w:numPr>
        <w:ind w:left="426" w:hanging="426"/>
      </w:pPr>
      <w:r w:rsidRPr="00FE2BDF">
        <w:t>The CO/CO</w:t>
      </w:r>
      <w:r w:rsidRPr="00FE2BDF">
        <w:rPr>
          <w:vertAlign w:val="subscript"/>
        </w:rPr>
        <w:t>2</w:t>
      </w:r>
      <w:r w:rsidRPr="00FE2BDF">
        <w:t xml:space="preserve"> and hydrogen/methane ratio</w:t>
      </w:r>
    </w:p>
    <w:p w14:paraId="4137B595" w14:textId="03AC8A67" w:rsidR="00F62B8C" w:rsidRPr="00FE2BDF" w:rsidRDefault="00F62B8C" w:rsidP="004D2E49">
      <w:pPr>
        <w:rPr>
          <w:rFonts w:cs="Arial"/>
          <w:szCs w:val="18"/>
        </w:rPr>
      </w:pPr>
      <w:r w:rsidRPr="00FE2BDF">
        <w:rPr>
          <w:rFonts w:cs="Arial"/>
          <w:szCs w:val="18"/>
        </w:rPr>
        <w:t>Figure 5 shows the CO/CO</w:t>
      </w:r>
      <w:r w:rsidRPr="00FE2BDF">
        <w:rPr>
          <w:rFonts w:cs="Arial"/>
          <w:szCs w:val="18"/>
          <w:vertAlign w:val="subscript"/>
        </w:rPr>
        <w:t>2</w:t>
      </w:r>
      <w:r w:rsidRPr="00FE2BDF">
        <w:rPr>
          <w:rFonts w:cs="Arial"/>
          <w:szCs w:val="18"/>
        </w:rPr>
        <w:t xml:space="preserve"> and hydrogen/methane ratios. Due to significantly more CO in gases obtained under vacuum, notably higher CO/CO</w:t>
      </w:r>
      <w:r w:rsidRPr="00FE2BDF">
        <w:rPr>
          <w:rFonts w:cs="Arial"/>
          <w:szCs w:val="18"/>
          <w:vertAlign w:val="subscript"/>
        </w:rPr>
        <w:t>2</w:t>
      </w:r>
      <w:r w:rsidRPr="00FE2BDF">
        <w:rPr>
          <w:rFonts w:cs="Arial"/>
          <w:szCs w:val="18"/>
        </w:rPr>
        <w:t xml:space="preserve"> ratios </w:t>
      </w:r>
      <w:r w:rsidR="00596AFF" w:rsidRPr="00FE2BDF">
        <w:rPr>
          <w:rFonts w:cs="Arial"/>
          <w:szCs w:val="18"/>
        </w:rPr>
        <w:t xml:space="preserve">were </w:t>
      </w:r>
      <w:r w:rsidR="005D46DB" w:rsidRPr="00FE2BDF">
        <w:rPr>
          <w:rFonts w:cs="Arial"/>
          <w:szCs w:val="18"/>
        </w:rPr>
        <w:t>observed using 0.1</w:t>
      </w:r>
      <w:r w:rsidR="008927E7" w:rsidRPr="00FE2BDF">
        <w:rPr>
          <w:rFonts w:cs="Arial"/>
          <w:szCs w:val="18"/>
        </w:rPr>
        <w:t xml:space="preserve"> </w:t>
      </w:r>
      <w:r w:rsidR="005D46DB" w:rsidRPr="00FE2BDF">
        <w:rPr>
          <w:rFonts w:cs="Arial"/>
          <w:szCs w:val="18"/>
        </w:rPr>
        <w:t>bar reactor pressure.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62B8C" w:rsidRPr="00FE2BDF" w14:paraId="524CC47C" w14:textId="77777777" w:rsidTr="00F62B8C">
        <w:tc>
          <w:tcPr>
            <w:tcW w:w="4388" w:type="dxa"/>
          </w:tcPr>
          <w:p w14:paraId="32DEF360" w14:textId="0131D3AA" w:rsidR="00F62B8C" w:rsidRPr="00FE2BDF" w:rsidRDefault="00F62B8C" w:rsidP="004D2E49">
            <w:pPr>
              <w:rPr>
                <w:rFonts w:cs="Arial"/>
                <w:szCs w:val="18"/>
              </w:rPr>
            </w:pPr>
            <w:r w:rsidRPr="00FE2BDF">
              <w:rPr>
                <w:rFonts w:cs="Arial"/>
                <w:noProof/>
                <w:szCs w:val="18"/>
                <w:lang w:val="hu-HU" w:eastAsia="hu-HU"/>
              </w:rPr>
              <w:drawing>
                <wp:inline distT="0" distB="0" distL="0" distR="0" wp14:anchorId="7410627E" wp14:editId="2393E108">
                  <wp:extent cx="2520000" cy="15876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0000" cy="1587600"/>
                          </a:xfrm>
                          <a:prstGeom prst="rect">
                            <a:avLst/>
                          </a:prstGeom>
                          <a:noFill/>
                          <a:ln>
                            <a:noFill/>
                          </a:ln>
                        </pic:spPr>
                      </pic:pic>
                    </a:graphicData>
                  </a:graphic>
                </wp:inline>
              </w:drawing>
            </w:r>
          </w:p>
        </w:tc>
        <w:tc>
          <w:tcPr>
            <w:tcW w:w="4389" w:type="dxa"/>
          </w:tcPr>
          <w:p w14:paraId="2E2B684B" w14:textId="4B414F81" w:rsidR="00F62B8C" w:rsidRPr="00FE2BDF" w:rsidRDefault="00F62B8C" w:rsidP="004D2E49">
            <w:pPr>
              <w:rPr>
                <w:rFonts w:cs="Arial"/>
                <w:szCs w:val="18"/>
              </w:rPr>
            </w:pPr>
            <w:r w:rsidRPr="00FE2BDF">
              <w:rPr>
                <w:rFonts w:cs="Arial"/>
                <w:noProof/>
                <w:szCs w:val="18"/>
                <w:lang w:val="hu-HU" w:eastAsia="hu-HU"/>
              </w:rPr>
              <w:drawing>
                <wp:inline distT="0" distB="0" distL="0" distR="0" wp14:anchorId="5288F694" wp14:editId="7B2CA939">
                  <wp:extent cx="2520000" cy="15876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0000" cy="1587600"/>
                          </a:xfrm>
                          <a:prstGeom prst="rect">
                            <a:avLst/>
                          </a:prstGeom>
                          <a:noFill/>
                          <a:ln>
                            <a:noFill/>
                          </a:ln>
                        </pic:spPr>
                      </pic:pic>
                    </a:graphicData>
                  </a:graphic>
                </wp:inline>
              </w:drawing>
            </w:r>
          </w:p>
        </w:tc>
      </w:tr>
    </w:tbl>
    <w:p w14:paraId="6A12724A" w14:textId="16E215BA" w:rsidR="00F62B8C" w:rsidRPr="00FE2BDF" w:rsidRDefault="00F62B8C" w:rsidP="00F62B8C">
      <w:pPr>
        <w:pStyle w:val="CETBodytext"/>
        <w:rPr>
          <w:i/>
          <w:color w:val="000000" w:themeColor="text1"/>
        </w:rPr>
      </w:pPr>
      <w:r w:rsidRPr="00FE2BDF">
        <w:rPr>
          <w:i/>
          <w:color w:val="000000" w:themeColor="text1"/>
        </w:rPr>
        <w:t xml:space="preserve">Figure 5: The </w:t>
      </w:r>
      <w:r w:rsidRPr="00FE2BDF">
        <w:rPr>
          <w:rFonts w:cs="Arial"/>
          <w:i/>
          <w:szCs w:val="18"/>
        </w:rPr>
        <w:t>CO/CO</w:t>
      </w:r>
      <w:r w:rsidRPr="00FE2BDF">
        <w:rPr>
          <w:rFonts w:cs="Arial"/>
          <w:i/>
          <w:szCs w:val="18"/>
          <w:vertAlign w:val="subscript"/>
        </w:rPr>
        <w:t>2</w:t>
      </w:r>
      <w:r w:rsidRPr="00FE2BDF">
        <w:rPr>
          <w:rFonts w:cs="Arial"/>
          <w:i/>
          <w:szCs w:val="18"/>
        </w:rPr>
        <w:t xml:space="preserve"> and the hydrogen/methane ratio</w:t>
      </w:r>
      <w:r w:rsidRPr="00FE2BDF">
        <w:rPr>
          <w:i/>
          <w:color w:val="000000" w:themeColor="text1"/>
        </w:rPr>
        <w:t xml:space="preserve"> of gases</w:t>
      </w:r>
    </w:p>
    <w:p w14:paraId="01B36D88" w14:textId="0D464426" w:rsidR="005D46DB" w:rsidRPr="00FE2BDF" w:rsidRDefault="005D46DB" w:rsidP="00F62B8C">
      <w:pPr>
        <w:pStyle w:val="CETBodytext"/>
        <w:rPr>
          <w:color w:val="000000" w:themeColor="text1"/>
        </w:rPr>
      </w:pPr>
      <w:r w:rsidRPr="00FE2BDF">
        <w:rPr>
          <w:color w:val="000000" w:themeColor="text1"/>
        </w:rPr>
        <w:lastRenderedPageBreak/>
        <w:t>Comparing the two temperatures to be used, the CO/CO</w:t>
      </w:r>
      <w:r w:rsidRPr="00FE2BDF">
        <w:rPr>
          <w:color w:val="000000" w:themeColor="text1"/>
          <w:vertAlign w:val="subscript"/>
        </w:rPr>
        <w:t>2</w:t>
      </w:r>
      <w:r w:rsidRPr="00FE2BDF">
        <w:rPr>
          <w:color w:val="000000" w:themeColor="text1"/>
        </w:rPr>
        <w:t xml:space="preserve"> ratio was significantly higher at 500°C, than at 900°C, but only when 0.1</w:t>
      </w:r>
      <w:r w:rsidR="008927E7" w:rsidRPr="00FE2BDF">
        <w:rPr>
          <w:color w:val="000000" w:themeColor="text1"/>
        </w:rPr>
        <w:t xml:space="preserve"> </w:t>
      </w:r>
      <w:r w:rsidRPr="00FE2BDF">
        <w:rPr>
          <w:color w:val="000000" w:themeColor="text1"/>
        </w:rPr>
        <w:t>bar vacuum was used in the reactor. At 1.0</w:t>
      </w:r>
      <w:r w:rsidR="008927E7" w:rsidRPr="00FE2BDF">
        <w:rPr>
          <w:color w:val="000000" w:themeColor="text1"/>
        </w:rPr>
        <w:t xml:space="preserve"> </w:t>
      </w:r>
      <w:r w:rsidRPr="00FE2BDF">
        <w:rPr>
          <w:color w:val="000000" w:themeColor="text1"/>
        </w:rPr>
        <w:t>bar reactor pressure, the CO/CO</w:t>
      </w:r>
      <w:r w:rsidRPr="00FE2BDF">
        <w:rPr>
          <w:color w:val="000000" w:themeColor="text1"/>
          <w:vertAlign w:val="subscript"/>
        </w:rPr>
        <w:t>2</w:t>
      </w:r>
      <w:r w:rsidRPr="00FE2BDF">
        <w:rPr>
          <w:color w:val="000000" w:themeColor="text1"/>
        </w:rPr>
        <w:t xml:space="preserve"> ratio was higher in case of 900°C temperature. Glancing the effect of dolomite, it is also clear, that higher CO/CO</w:t>
      </w:r>
      <w:r w:rsidRPr="00FE2BDF">
        <w:rPr>
          <w:color w:val="000000" w:themeColor="text1"/>
          <w:vertAlign w:val="subscript"/>
        </w:rPr>
        <w:t>2</w:t>
      </w:r>
      <w:r w:rsidRPr="00FE2BDF">
        <w:rPr>
          <w:color w:val="000000" w:themeColor="text1"/>
        </w:rPr>
        <w:t xml:space="preserve"> ratios </w:t>
      </w:r>
      <w:r w:rsidR="008927E7" w:rsidRPr="00FE2BDF">
        <w:rPr>
          <w:color w:val="000000" w:themeColor="text1"/>
        </w:rPr>
        <w:t xml:space="preserve">were </w:t>
      </w:r>
      <w:r w:rsidRPr="00FE2BDF">
        <w:rPr>
          <w:color w:val="000000" w:themeColor="text1"/>
        </w:rPr>
        <w:t>observed at both reactor pressures.</w:t>
      </w:r>
    </w:p>
    <w:p w14:paraId="488783D4" w14:textId="420D9821" w:rsidR="005D46DB" w:rsidRPr="00FE2BDF" w:rsidRDefault="005D46DB" w:rsidP="00F62B8C">
      <w:pPr>
        <w:pStyle w:val="CETBodytext"/>
        <w:rPr>
          <w:color w:val="000000" w:themeColor="text1"/>
        </w:rPr>
      </w:pPr>
      <w:r w:rsidRPr="00FE2BDF">
        <w:rPr>
          <w:color w:val="000000" w:themeColor="text1"/>
        </w:rPr>
        <w:t>Regarding the hydrogen/methane ratio, due to the enhanced hydrogen formation at 900°C, significantly higher values were found independently from the reactor pressure.</w:t>
      </w:r>
    </w:p>
    <w:p w14:paraId="5019CEDA" w14:textId="70A7FB02" w:rsidR="00214FD5" w:rsidRPr="00FE2BDF" w:rsidRDefault="00214FD5" w:rsidP="00214FD5">
      <w:pPr>
        <w:pStyle w:val="CETheadingx"/>
      </w:pPr>
      <w:r w:rsidRPr="00FE2BDF">
        <w:t>Char</w:t>
      </w:r>
    </w:p>
    <w:p w14:paraId="67090987" w14:textId="33F892C5" w:rsidR="00D81E12" w:rsidRPr="00FE2BDF" w:rsidRDefault="00D12C51" w:rsidP="00D81E12">
      <w:pPr>
        <w:rPr>
          <w:rFonts w:cs="Arial"/>
          <w:color w:val="000000" w:themeColor="text1"/>
          <w:szCs w:val="18"/>
        </w:rPr>
      </w:pPr>
      <w:r w:rsidRPr="00FE2BDF">
        <w:rPr>
          <w:rFonts w:cs="Arial"/>
          <w:color w:val="000000" w:themeColor="text1"/>
          <w:szCs w:val="18"/>
        </w:rPr>
        <w:t>The elemental composition</w:t>
      </w:r>
      <w:r w:rsidR="00707D0F" w:rsidRPr="00FE2BDF">
        <w:rPr>
          <w:rFonts w:cs="Arial"/>
          <w:color w:val="000000" w:themeColor="text1"/>
          <w:szCs w:val="18"/>
        </w:rPr>
        <w:t xml:space="preserve"> of char samples obtained at different reaction conditions are summarized in Table</w:t>
      </w:r>
      <w:r w:rsidR="008927E7" w:rsidRPr="00FE2BDF">
        <w:rPr>
          <w:rFonts w:cs="Arial"/>
          <w:color w:val="000000" w:themeColor="text1"/>
          <w:szCs w:val="18"/>
        </w:rPr>
        <w:t xml:space="preserve"> </w:t>
      </w:r>
      <w:r w:rsidR="00707D0F" w:rsidRPr="00FE2BDF">
        <w:rPr>
          <w:rFonts w:cs="Arial"/>
          <w:color w:val="000000" w:themeColor="text1"/>
          <w:szCs w:val="18"/>
        </w:rPr>
        <w:t xml:space="preserve">1. The results well show, that the concentration of carbon </w:t>
      </w:r>
      <w:r w:rsidR="00A01D2E" w:rsidRPr="00FE2BDF">
        <w:rPr>
          <w:rFonts w:cs="Arial"/>
          <w:color w:val="000000" w:themeColor="text1"/>
          <w:szCs w:val="18"/>
        </w:rPr>
        <w:t xml:space="preserve">increased a bit at 500°C without dolomite, while it </w:t>
      </w:r>
      <w:r w:rsidR="00707D0F" w:rsidRPr="00FE2BDF">
        <w:rPr>
          <w:rFonts w:cs="Arial"/>
          <w:color w:val="000000" w:themeColor="text1"/>
          <w:szCs w:val="18"/>
        </w:rPr>
        <w:t>decreased</w:t>
      </w:r>
      <w:r w:rsidR="00A01D2E" w:rsidRPr="00FE2BDF">
        <w:rPr>
          <w:rFonts w:cs="Arial"/>
          <w:color w:val="000000" w:themeColor="text1"/>
          <w:szCs w:val="18"/>
        </w:rPr>
        <w:t xml:space="preserve"> in any other cases. The </w:t>
      </w:r>
      <w:r w:rsidR="00707D0F" w:rsidRPr="00FE2BDF">
        <w:rPr>
          <w:rFonts w:cs="Arial"/>
          <w:color w:val="000000" w:themeColor="text1"/>
          <w:szCs w:val="18"/>
        </w:rPr>
        <w:t xml:space="preserve">hydrogen </w:t>
      </w:r>
      <w:r w:rsidR="00A01D2E" w:rsidRPr="00FE2BDF">
        <w:rPr>
          <w:rFonts w:cs="Arial"/>
          <w:color w:val="000000" w:themeColor="text1"/>
          <w:szCs w:val="18"/>
        </w:rPr>
        <w:t xml:space="preserve">content of raw material was 3.0%, which decreased in the range of 0.32-1.72%, while the nitrogen content </w:t>
      </w:r>
      <w:r w:rsidR="00277044" w:rsidRPr="00FE2BDF">
        <w:rPr>
          <w:rFonts w:cs="Arial"/>
          <w:color w:val="000000" w:themeColor="text1"/>
          <w:szCs w:val="18"/>
        </w:rPr>
        <w:t xml:space="preserve">changed from 2.9% </w:t>
      </w:r>
      <w:r w:rsidRPr="00FE2BDF">
        <w:rPr>
          <w:rFonts w:cs="Arial"/>
          <w:color w:val="000000" w:themeColor="text1"/>
          <w:szCs w:val="18"/>
        </w:rPr>
        <w:t xml:space="preserve">(cattle manure) </w:t>
      </w:r>
      <w:r w:rsidR="00277044" w:rsidRPr="00FE2BDF">
        <w:rPr>
          <w:rFonts w:cs="Arial"/>
          <w:color w:val="000000" w:themeColor="text1"/>
          <w:szCs w:val="18"/>
        </w:rPr>
        <w:t>to 0.50-3.14%</w:t>
      </w:r>
      <w:r w:rsidRPr="00FE2BDF">
        <w:rPr>
          <w:rFonts w:cs="Arial"/>
          <w:color w:val="000000" w:themeColor="text1"/>
          <w:szCs w:val="18"/>
        </w:rPr>
        <w:t xml:space="preserve"> (char products)</w:t>
      </w:r>
      <w:r w:rsidR="00277044" w:rsidRPr="00FE2BDF">
        <w:rPr>
          <w:rFonts w:cs="Arial"/>
          <w:color w:val="000000" w:themeColor="text1"/>
          <w:szCs w:val="18"/>
        </w:rPr>
        <w:t xml:space="preserve">. When 500°C was used, the elemental composition changed only in small portion without </w:t>
      </w:r>
      <w:r w:rsidR="008927E7" w:rsidRPr="00FE2BDF">
        <w:rPr>
          <w:rFonts w:cs="Arial"/>
          <w:color w:val="000000" w:themeColor="text1"/>
          <w:szCs w:val="18"/>
        </w:rPr>
        <w:t>dolomite;</w:t>
      </w:r>
      <w:r w:rsidR="00277044" w:rsidRPr="00FE2BDF">
        <w:rPr>
          <w:rFonts w:cs="Arial"/>
          <w:color w:val="000000" w:themeColor="text1"/>
          <w:szCs w:val="18"/>
        </w:rPr>
        <w:t xml:space="preserve"> however the dolomite presence had a significant effect to the C, H, N and other element content. The carbon content of the chars was lower using vacuum without </w:t>
      </w:r>
      <w:r w:rsidR="008927E7" w:rsidRPr="00FE2BDF">
        <w:rPr>
          <w:rFonts w:cs="Arial"/>
          <w:color w:val="000000" w:themeColor="text1"/>
          <w:szCs w:val="18"/>
        </w:rPr>
        <w:t>dolomite;</w:t>
      </w:r>
      <w:r w:rsidR="00277044" w:rsidRPr="00FE2BDF">
        <w:rPr>
          <w:rFonts w:cs="Arial"/>
          <w:color w:val="000000" w:themeColor="text1"/>
          <w:szCs w:val="18"/>
        </w:rPr>
        <w:t xml:space="preserve"> however opposite trend was found in the presence of dolomite at both 500°C and 900°C.</w:t>
      </w:r>
      <w:r w:rsidRPr="00FE2BDF">
        <w:rPr>
          <w:rFonts w:cs="Arial"/>
          <w:color w:val="000000" w:themeColor="text1"/>
          <w:szCs w:val="18"/>
        </w:rPr>
        <w:t xml:space="preserve"> The less carbon in</w:t>
      </w:r>
      <w:r w:rsidR="001C449B" w:rsidRPr="00FE2BDF">
        <w:rPr>
          <w:rFonts w:cs="Arial"/>
          <w:color w:val="000000" w:themeColor="text1"/>
          <w:szCs w:val="18"/>
        </w:rPr>
        <w:t xml:space="preserve"> chars obtained at 900°C was the consequence of Boudouard reaction.</w:t>
      </w:r>
      <w:r w:rsidR="00D17436" w:rsidRPr="00FE2BDF">
        <w:rPr>
          <w:rFonts w:cs="Arial"/>
          <w:color w:val="000000" w:themeColor="text1"/>
          <w:szCs w:val="18"/>
        </w:rPr>
        <w:t xml:space="preserve"> Regarding the HHV, the results are correlate with the carbon content, furthermore, due to the low carbon content, it was not measureable in case of samples obtained at 900°C.</w:t>
      </w:r>
    </w:p>
    <w:p w14:paraId="0E4CD090" w14:textId="0EA5DA4A" w:rsidR="00707D0F" w:rsidRPr="00FE2BDF" w:rsidRDefault="00707D0F" w:rsidP="00707D0F">
      <w:pPr>
        <w:pStyle w:val="CETTabletitle"/>
      </w:pPr>
      <w:r w:rsidRPr="00FE2BDF">
        <w:t xml:space="preserve">Table 1: The </w:t>
      </w:r>
      <w:r w:rsidR="00A12812" w:rsidRPr="00FE2BDF">
        <w:t>main properties of chars</w:t>
      </w:r>
    </w:p>
    <w:tbl>
      <w:tblPr>
        <w:tblW w:w="875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73"/>
        <w:gridCol w:w="973"/>
        <w:gridCol w:w="973"/>
        <w:gridCol w:w="973"/>
        <w:gridCol w:w="973"/>
        <w:gridCol w:w="973"/>
        <w:gridCol w:w="973"/>
        <w:gridCol w:w="973"/>
        <w:gridCol w:w="973"/>
      </w:tblGrid>
      <w:tr w:rsidR="00A12812" w:rsidRPr="00FE2BDF" w14:paraId="127C7E07" w14:textId="2EB8402B" w:rsidTr="00A12812">
        <w:trPr>
          <w:trHeight w:val="460"/>
        </w:trPr>
        <w:tc>
          <w:tcPr>
            <w:tcW w:w="973" w:type="dxa"/>
            <w:tcBorders>
              <w:top w:val="single" w:sz="12" w:space="0" w:color="008000"/>
              <w:bottom w:val="single" w:sz="6" w:space="0" w:color="008000"/>
            </w:tcBorders>
            <w:shd w:val="clear" w:color="auto" w:fill="FFFFFF"/>
          </w:tcPr>
          <w:p w14:paraId="33E9E966" w14:textId="2BC0B770" w:rsidR="006A0D67" w:rsidRPr="00FE2BDF" w:rsidRDefault="006A0D67" w:rsidP="006A0D67">
            <w:pPr>
              <w:pStyle w:val="CETBodytext"/>
              <w:rPr>
                <w:lang w:val="en-GB"/>
              </w:rPr>
            </w:pPr>
            <w:r w:rsidRPr="00FE2BDF">
              <w:rPr>
                <w:lang w:val="en-GB"/>
              </w:rPr>
              <w:t xml:space="preserve">Elements </w:t>
            </w:r>
          </w:p>
        </w:tc>
        <w:tc>
          <w:tcPr>
            <w:tcW w:w="973" w:type="dxa"/>
            <w:tcBorders>
              <w:top w:val="single" w:sz="12" w:space="0" w:color="008000"/>
              <w:bottom w:val="single" w:sz="6" w:space="0" w:color="008000"/>
            </w:tcBorders>
            <w:shd w:val="clear" w:color="auto" w:fill="FFFFFF"/>
          </w:tcPr>
          <w:p w14:paraId="0AF5792B" w14:textId="2C3A5FEC" w:rsidR="006A0D67" w:rsidRPr="00FE2BDF" w:rsidRDefault="00A01D2E" w:rsidP="006A0D67">
            <w:pPr>
              <w:pStyle w:val="CETBodytext"/>
              <w:rPr>
                <w:lang w:val="en-GB"/>
              </w:rPr>
            </w:pPr>
            <w:r w:rsidRPr="00FE2BDF">
              <w:rPr>
                <w:lang w:val="en-GB"/>
              </w:rPr>
              <w:t>0.</w:t>
            </w:r>
            <w:r w:rsidR="006A0D67" w:rsidRPr="00FE2BDF">
              <w:rPr>
                <w:lang w:val="en-GB"/>
              </w:rPr>
              <w:t>1bar,</w:t>
            </w:r>
          </w:p>
          <w:p w14:paraId="2FABB3AA" w14:textId="06361741" w:rsidR="006A0D67" w:rsidRPr="00FE2BDF" w:rsidRDefault="006A0D67" w:rsidP="006A0D67">
            <w:pPr>
              <w:pStyle w:val="CETBodytext"/>
              <w:rPr>
                <w:lang w:val="en-GB"/>
              </w:rPr>
            </w:pPr>
            <w:r w:rsidRPr="00FE2BDF">
              <w:rPr>
                <w:lang w:val="en-GB"/>
              </w:rPr>
              <w:t>500°C</w:t>
            </w:r>
          </w:p>
        </w:tc>
        <w:tc>
          <w:tcPr>
            <w:tcW w:w="973" w:type="dxa"/>
            <w:tcBorders>
              <w:top w:val="single" w:sz="12" w:space="0" w:color="008000"/>
              <w:bottom w:val="single" w:sz="6" w:space="0" w:color="008000"/>
            </w:tcBorders>
            <w:shd w:val="clear" w:color="auto" w:fill="FFFFFF"/>
          </w:tcPr>
          <w:p w14:paraId="6F2F2D7D" w14:textId="77777777" w:rsidR="00A01D2E" w:rsidRPr="00FE2BDF" w:rsidRDefault="00A01D2E" w:rsidP="006A0D67">
            <w:pPr>
              <w:pStyle w:val="CETBodytext"/>
              <w:rPr>
                <w:lang w:val="en-GB"/>
              </w:rPr>
            </w:pPr>
            <w:r w:rsidRPr="00FE2BDF">
              <w:rPr>
                <w:lang w:val="en-GB"/>
              </w:rPr>
              <w:t>1bar,</w:t>
            </w:r>
          </w:p>
          <w:p w14:paraId="691850C7" w14:textId="51A983B9" w:rsidR="006A0D67" w:rsidRPr="00FE2BDF" w:rsidRDefault="006A0D67" w:rsidP="006A0D67">
            <w:pPr>
              <w:pStyle w:val="CETBodytext"/>
              <w:rPr>
                <w:lang w:val="en-GB"/>
              </w:rPr>
            </w:pPr>
            <w:r w:rsidRPr="00FE2BDF">
              <w:rPr>
                <w:lang w:val="en-GB"/>
              </w:rPr>
              <w:t xml:space="preserve">500°C </w:t>
            </w:r>
          </w:p>
        </w:tc>
        <w:tc>
          <w:tcPr>
            <w:tcW w:w="973" w:type="dxa"/>
            <w:tcBorders>
              <w:top w:val="single" w:sz="12" w:space="0" w:color="008000"/>
              <w:bottom w:val="single" w:sz="6" w:space="0" w:color="008000"/>
            </w:tcBorders>
            <w:shd w:val="clear" w:color="auto" w:fill="FFFFFF"/>
          </w:tcPr>
          <w:p w14:paraId="40A4B016" w14:textId="53F12BCB" w:rsidR="006A0D67" w:rsidRPr="00FE2BDF" w:rsidRDefault="00A01D2E" w:rsidP="006A0D67">
            <w:pPr>
              <w:pStyle w:val="CETBodytext"/>
              <w:ind w:right="-1"/>
              <w:rPr>
                <w:lang w:val="en-GB"/>
              </w:rPr>
            </w:pPr>
            <w:r w:rsidRPr="00FE2BDF">
              <w:rPr>
                <w:lang w:val="en-GB"/>
              </w:rPr>
              <w:t>0.</w:t>
            </w:r>
            <w:r w:rsidR="006A0D67" w:rsidRPr="00FE2BDF">
              <w:rPr>
                <w:lang w:val="en-GB"/>
              </w:rPr>
              <w:t>1bar,</w:t>
            </w:r>
          </w:p>
          <w:p w14:paraId="64DFE232" w14:textId="0904008E" w:rsidR="006A0D67" w:rsidRPr="00FE2BDF" w:rsidRDefault="006A0D67" w:rsidP="006A0D67">
            <w:pPr>
              <w:pStyle w:val="CETBodytext"/>
              <w:ind w:right="-1"/>
              <w:rPr>
                <w:rFonts w:cs="Arial"/>
                <w:szCs w:val="18"/>
                <w:lang w:val="en-GB"/>
              </w:rPr>
            </w:pPr>
            <w:r w:rsidRPr="00FE2BDF">
              <w:rPr>
                <w:lang w:val="en-GB"/>
              </w:rPr>
              <w:t>500°C dolomite</w:t>
            </w:r>
          </w:p>
        </w:tc>
        <w:tc>
          <w:tcPr>
            <w:tcW w:w="973" w:type="dxa"/>
            <w:tcBorders>
              <w:top w:val="single" w:sz="12" w:space="0" w:color="008000"/>
              <w:bottom w:val="single" w:sz="6" w:space="0" w:color="008000"/>
            </w:tcBorders>
            <w:shd w:val="clear" w:color="auto" w:fill="FFFFFF"/>
          </w:tcPr>
          <w:p w14:paraId="2A8CD73D" w14:textId="77777777" w:rsidR="00A01D2E" w:rsidRPr="00FE2BDF" w:rsidRDefault="00A01D2E" w:rsidP="006A0D67">
            <w:pPr>
              <w:pStyle w:val="CETBodytext"/>
              <w:ind w:right="-1"/>
              <w:rPr>
                <w:lang w:val="en-GB"/>
              </w:rPr>
            </w:pPr>
            <w:r w:rsidRPr="00FE2BDF">
              <w:rPr>
                <w:lang w:val="en-GB"/>
              </w:rPr>
              <w:t>1bar,</w:t>
            </w:r>
          </w:p>
          <w:p w14:paraId="7BF57453" w14:textId="5F827344" w:rsidR="006A0D67" w:rsidRPr="00FE2BDF" w:rsidRDefault="006A0D67" w:rsidP="006A0D67">
            <w:pPr>
              <w:pStyle w:val="CETBodytext"/>
              <w:ind w:right="-1"/>
              <w:rPr>
                <w:rFonts w:cs="Arial"/>
                <w:szCs w:val="18"/>
                <w:lang w:val="en-GB"/>
              </w:rPr>
            </w:pPr>
            <w:r w:rsidRPr="00FE2BDF">
              <w:rPr>
                <w:lang w:val="en-GB"/>
              </w:rPr>
              <w:t>500°C dolomite</w:t>
            </w:r>
          </w:p>
        </w:tc>
        <w:tc>
          <w:tcPr>
            <w:tcW w:w="973" w:type="dxa"/>
            <w:tcBorders>
              <w:top w:val="single" w:sz="12" w:space="0" w:color="008000"/>
              <w:bottom w:val="single" w:sz="6" w:space="0" w:color="008000"/>
            </w:tcBorders>
            <w:shd w:val="clear" w:color="auto" w:fill="FFFFFF"/>
          </w:tcPr>
          <w:p w14:paraId="3EC6C7A8" w14:textId="11C6ED5B" w:rsidR="006A0D67" w:rsidRPr="00FE2BDF" w:rsidRDefault="00A01D2E" w:rsidP="006A0D67">
            <w:pPr>
              <w:pStyle w:val="CETBodytext"/>
              <w:ind w:right="-1"/>
              <w:rPr>
                <w:lang w:val="en-GB"/>
              </w:rPr>
            </w:pPr>
            <w:r w:rsidRPr="00FE2BDF">
              <w:rPr>
                <w:lang w:val="en-GB"/>
              </w:rPr>
              <w:t>0.</w:t>
            </w:r>
            <w:r w:rsidR="006A0D67" w:rsidRPr="00FE2BDF">
              <w:rPr>
                <w:lang w:val="en-GB"/>
              </w:rPr>
              <w:t>1bar,</w:t>
            </w:r>
          </w:p>
          <w:p w14:paraId="6D827162" w14:textId="723B3EAF" w:rsidR="006A0D67" w:rsidRPr="00FE2BDF" w:rsidRDefault="006A0D67" w:rsidP="006A0D67">
            <w:pPr>
              <w:pStyle w:val="CETBodytext"/>
              <w:ind w:right="-1"/>
              <w:rPr>
                <w:lang w:val="en-GB"/>
              </w:rPr>
            </w:pPr>
            <w:r w:rsidRPr="00FE2BDF">
              <w:rPr>
                <w:lang w:val="en-GB"/>
              </w:rPr>
              <w:t>900°C</w:t>
            </w:r>
          </w:p>
        </w:tc>
        <w:tc>
          <w:tcPr>
            <w:tcW w:w="973" w:type="dxa"/>
            <w:tcBorders>
              <w:top w:val="single" w:sz="12" w:space="0" w:color="008000"/>
              <w:bottom w:val="single" w:sz="6" w:space="0" w:color="008000"/>
            </w:tcBorders>
            <w:shd w:val="clear" w:color="auto" w:fill="FFFFFF"/>
          </w:tcPr>
          <w:p w14:paraId="62DABACC" w14:textId="77777777" w:rsidR="00A01D2E" w:rsidRPr="00FE2BDF" w:rsidRDefault="006A0D67" w:rsidP="00A01D2E">
            <w:pPr>
              <w:pStyle w:val="CETBodytext"/>
              <w:ind w:right="-1"/>
              <w:rPr>
                <w:lang w:val="en-GB"/>
              </w:rPr>
            </w:pPr>
            <w:r w:rsidRPr="00FE2BDF">
              <w:rPr>
                <w:lang w:val="en-GB"/>
              </w:rPr>
              <w:t>1bar,</w:t>
            </w:r>
          </w:p>
          <w:p w14:paraId="4044AC8B" w14:textId="7C3D1E2A" w:rsidR="006A0D67" w:rsidRPr="00FE2BDF" w:rsidRDefault="006A0D67" w:rsidP="00A01D2E">
            <w:pPr>
              <w:pStyle w:val="CETBodytext"/>
              <w:ind w:right="-1"/>
              <w:rPr>
                <w:lang w:val="en-GB"/>
              </w:rPr>
            </w:pPr>
            <w:r w:rsidRPr="00FE2BDF">
              <w:rPr>
                <w:lang w:val="en-GB"/>
              </w:rPr>
              <w:t xml:space="preserve">900°C </w:t>
            </w:r>
          </w:p>
        </w:tc>
        <w:tc>
          <w:tcPr>
            <w:tcW w:w="973" w:type="dxa"/>
            <w:tcBorders>
              <w:top w:val="single" w:sz="12" w:space="0" w:color="008000"/>
              <w:bottom w:val="single" w:sz="6" w:space="0" w:color="008000"/>
            </w:tcBorders>
            <w:shd w:val="clear" w:color="auto" w:fill="FFFFFF"/>
          </w:tcPr>
          <w:p w14:paraId="1746454A" w14:textId="0BD12939" w:rsidR="006A0D67" w:rsidRPr="00FE2BDF" w:rsidRDefault="00A01D2E" w:rsidP="006A0D67">
            <w:pPr>
              <w:pStyle w:val="CETBodytext"/>
              <w:ind w:right="-1"/>
              <w:rPr>
                <w:lang w:val="en-GB"/>
              </w:rPr>
            </w:pPr>
            <w:r w:rsidRPr="00FE2BDF">
              <w:rPr>
                <w:lang w:val="en-GB"/>
              </w:rPr>
              <w:t>0.</w:t>
            </w:r>
            <w:r w:rsidR="006A0D67" w:rsidRPr="00FE2BDF">
              <w:rPr>
                <w:lang w:val="en-GB"/>
              </w:rPr>
              <w:t xml:space="preserve">1bar, </w:t>
            </w:r>
          </w:p>
          <w:p w14:paraId="259C38B9" w14:textId="067F30CF" w:rsidR="006A0D67" w:rsidRPr="00FE2BDF" w:rsidRDefault="006A0D67" w:rsidP="006A0D67">
            <w:pPr>
              <w:pStyle w:val="CETBodytext"/>
              <w:ind w:right="-1"/>
              <w:rPr>
                <w:lang w:val="en-GB"/>
              </w:rPr>
            </w:pPr>
            <w:r w:rsidRPr="00FE2BDF">
              <w:rPr>
                <w:lang w:val="en-GB"/>
              </w:rPr>
              <w:t>900°C dolomite</w:t>
            </w:r>
          </w:p>
        </w:tc>
        <w:tc>
          <w:tcPr>
            <w:tcW w:w="973" w:type="dxa"/>
            <w:tcBorders>
              <w:top w:val="single" w:sz="12" w:space="0" w:color="008000"/>
              <w:bottom w:val="single" w:sz="6" w:space="0" w:color="008000"/>
            </w:tcBorders>
            <w:shd w:val="clear" w:color="auto" w:fill="FFFFFF"/>
          </w:tcPr>
          <w:p w14:paraId="5AC734A7" w14:textId="77777777" w:rsidR="00A01D2E" w:rsidRPr="00FE2BDF" w:rsidRDefault="00A01D2E" w:rsidP="006A0D67">
            <w:pPr>
              <w:pStyle w:val="CETBodytext"/>
              <w:ind w:right="-1"/>
              <w:rPr>
                <w:lang w:val="en-GB"/>
              </w:rPr>
            </w:pPr>
            <w:r w:rsidRPr="00FE2BDF">
              <w:rPr>
                <w:lang w:val="en-GB"/>
              </w:rPr>
              <w:t>1bar,</w:t>
            </w:r>
          </w:p>
          <w:p w14:paraId="7538DE15" w14:textId="4FBB2D57" w:rsidR="006A0D67" w:rsidRPr="00FE2BDF" w:rsidRDefault="006A0D67" w:rsidP="006A0D67">
            <w:pPr>
              <w:pStyle w:val="CETBodytext"/>
              <w:ind w:right="-1"/>
              <w:rPr>
                <w:lang w:val="en-GB"/>
              </w:rPr>
            </w:pPr>
            <w:r w:rsidRPr="00FE2BDF">
              <w:rPr>
                <w:lang w:val="en-GB"/>
              </w:rPr>
              <w:t>900°C dolomite</w:t>
            </w:r>
          </w:p>
        </w:tc>
      </w:tr>
      <w:tr w:rsidR="00A12812" w:rsidRPr="00FE2BDF" w14:paraId="342E3BBA" w14:textId="77777777" w:rsidTr="00A12812">
        <w:trPr>
          <w:trHeight w:val="248"/>
        </w:trPr>
        <w:tc>
          <w:tcPr>
            <w:tcW w:w="973" w:type="dxa"/>
            <w:shd w:val="clear" w:color="auto" w:fill="FFFFFF"/>
          </w:tcPr>
          <w:p w14:paraId="70D1FBC2" w14:textId="1637A4D7" w:rsidR="00A12812" w:rsidRPr="00FE2BDF" w:rsidRDefault="00A12812" w:rsidP="00A12812">
            <w:pPr>
              <w:pStyle w:val="CETBodytext"/>
              <w:rPr>
                <w:lang w:val="en-GB"/>
              </w:rPr>
            </w:pPr>
            <w:r w:rsidRPr="00FE2BDF">
              <w:rPr>
                <w:lang w:val="en-GB"/>
              </w:rPr>
              <w:t>C, %</w:t>
            </w:r>
          </w:p>
        </w:tc>
        <w:tc>
          <w:tcPr>
            <w:tcW w:w="973" w:type="dxa"/>
            <w:shd w:val="clear" w:color="auto" w:fill="FFFFFF"/>
          </w:tcPr>
          <w:p w14:paraId="42B42522" w14:textId="015FA671" w:rsidR="00A12812" w:rsidRPr="00FE2BDF" w:rsidRDefault="00A12812" w:rsidP="00A12812">
            <w:pPr>
              <w:pStyle w:val="CETBodytext"/>
              <w:rPr>
                <w:lang w:val="en-GB"/>
              </w:rPr>
            </w:pPr>
            <w:r w:rsidRPr="00FE2BDF">
              <w:t>24.5</w:t>
            </w:r>
          </w:p>
        </w:tc>
        <w:tc>
          <w:tcPr>
            <w:tcW w:w="973" w:type="dxa"/>
            <w:shd w:val="clear" w:color="auto" w:fill="FFFFFF"/>
          </w:tcPr>
          <w:p w14:paraId="1401534F" w14:textId="653C6C5D" w:rsidR="00A12812" w:rsidRPr="00FE2BDF" w:rsidRDefault="00A12812" w:rsidP="00A12812">
            <w:pPr>
              <w:pStyle w:val="CETBodytext"/>
              <w:rPr>
                <w:lang w:val="en-GB"/>
              </w:rPr>
            </w:pPr>
            <w:r w:rsidRPr="00FE2BDF">
              <w:t>30.4</w:t>
            </w:r>
          </w:p>
        </w:tc>
        <w:tc>
          <w:tcPr>
            <w:tcW w:w="973" w:type="dxa"/>
            <w:shd w:val="clear" w:color="auto" w:fill="FFFFFF"/>
          </w:tcPr>
          <w:p w14:paraId="11E5BBE5" w14:textId="1B8649EB" w:rsidR="00A12812" w:rsidRPr="00FE2BDF" w:rsidRDefault="00A12812" w:rsidP="00A12812">
            <w:pPr>
              <w:pStyle w:val="CETBodytext"/>
              <w:ind w:right="-1"/>
              <w:rPr>
                <w:rFonts w:cs="Arial"/>
                <w:szCs w:val="18"/>
                <w:lang w:val="en-GB"/>
              </w:rPr>
            </w:pPr>
            <w:r w:rsidRPr="00FE2BDF">
              <w:t>23.1</w:t>
            </w:r>
          </w:p>
        </w:tc>
        <w:tc>
          <w:tcPr>
            <w:tcW w:w="973" w:type="dxa"/>
            <w:shd w:val="clear" w:color="auto" w:fill="FFFFFF"/>
          </w:tcPr>
          <w:p w14:paraId="3565EA87" w14:textId="51661554" w:rsidR="00A12812" w:rsidRPr="00FE2BDF" w:rsidRDefault="00A12812" w:rsidP="00A12812">
            <w:pPr>
              <w:pStyle w:val="CETBodytext"/>
              <w:ind w:right="-1"/>
              <w:rPr>
                <w:rFonts w:cs="Arial"/>
                <w:szCs w:val="18"/>
                <w:lang w:val="en-GB"/>
              </w:rPr>
            </w:pPr>
            <w:r w:rsidRPr="00FE2BDF">
              <w:t>14.6</w:t>
            </w:r>
          </w:p>
        </w:tc>
        <w:tc>
          <w:tcPr>
            <w:tcW w:w="973" w:type="dxa"/>
            <w:shd w:val="clear" w:color="auto" w:fill="FFFFFF"/>
          </w:tcPr>
          <w:p w14:paraId="21E30893" w14:textId="2CF2D279" w:rsidR="00A12812" w:rsidRPr="00FE2BDF" w:rsidRDefault="00A12812" w:rsidP="00A12812">
            <w:pPr>
              <w:pStyle w:val="CETBodytext"/>
              <w:ind w:right="-1"/>
              <w:rPr>
                <w:rFonts w:cs="Arial"/>
                <w:szCs w:val="18"/>
                <w:lang w:val="en-GB"/>
              </w:rPr>
            </w:pPr>
            <w:r w:rsidRPr="00FE2BDF">
              <w:t>10.5</w:t>
            </w:r>
          </w:p>
        </w:tc>
        <w:tc>
          <w:tcPr>
            <w:tcW w:w="973" w:type="dxa"/>
            <w:shd w:val="clear" w:color="auto" w:fill="FFFFFF"/>
          </w:tcPr>
          <w:p w14:paraId="1DCCA67A" w14:textId="486BA24E" w:rsidR="00A12812" w:rsidRPr="00FE2BDF" w:rsidRDefault="00A12812" w:rsidP="00A12812">
            <w:pPr>
              <w:pStyle w:val="CETBodytext"/>
              <w:ind w:right="-1"/>
              <w:rPr>
                <w:rFonts w:cs="Arial"/>
                <w:szCs w:val="18"/>
                <w:lang w:val="en-GB"/>
              </w:rPr>
            </w:pPr>
            <w:r w:rsidRPr="00FE2BDF">
              <w:t>15.9</w:t>
            </w:r>
          </w:p>
        </w:tc>
        <w:tc>
          <w:tcPr>
            <w:tcW w:w="973" w:type="dxa"/>
            <w:shd w:val="clear" w:color="auto" w:fill="FFFFFF"/>
          </w:tcPr>
          <w:p w14:paraId="4F1B5D34" w14:textId="477670F4" w:rsidR="00A12812" w:rsidRPr="00FE2BDF" w:rsidRDefault="00A12812" w:rsidP="00A12812">
            <w:pPr>
              <w:pStyle w:val="CETBodytext"/>
              <w:ind w:right="-1"/>
              <w:rPr>
                <w:rFonts w:cs="Arial"/>
                <w:szCs w:val="18"/>
                <w:lang w:val="en-GB"/>
              </w:rPr>
            </w:pPr>
            <w:r w:rsidRPr="00FE2BDF">
              <w:t>4.6</w:t>
            </w:r>
          </w:p>
        </w:tc>
        <w:tc>
          <w:tcPr>
            <w:tcW w:w="973" w:type="dxa"/>
            <w:shd w:val="clear" w:color="auto" w:fill="FFFFFF"/>
          </w:tcPr>
          <w:p w14:paraId="67D36749" w14:textId="6CF00433" w:rsidR="00A12812" w:rsidRPr="00FE2BDF" w:rsidRDefault="00A12812" w:rsidP="00A12812">
            <w:pPr>
              <w:pStyle w:val="CETBodytext"/>
              <w:ind w:right="-1"/>
              <w:rPr>
                <w:rFonts w:cs="Arial"/>
                <w:szCs w:val="18"/>
                <w:lang w:val="en-GB"/>
              </w:rPr>
            </w:pPr>
            <w:r w:rsidRPr="00FE2BDF">
              <w:t>4.1</w:t>
            </w:r>
          </w:p>
        </w:tc>
      </w:tr>
      <w:tr w:rsidR="00A12812" w:rsidRPr="00FE2BDF" w14:paraId="33AA4050" w14:textId="77777777" w:rsidTr="00A12812">
        <w:trPr>
          <w:trHeight w:val="248"/>
        </w:trPr>
        <w:tc>
          <w:tcPr>
            <w:tcW w:w="973" w:type="dxa"/>
            <w:shd w:val="clear" w:color="auto" w:fill="FFFFFF"/>
          </w:tcPr>
          <w:p w14:paraId="6CB63119" w14:textId="0B4908A1" w:rsidR="00A12812" w:rsidRPr="00FE2BDF" w:rsidRDefault="00A12812" w:rsidP="00A12812">
            <w:pPr>
              <w:pStyle w:val="CETBodytext"/>
              <w:rPr>
                <w:lang w:val="en-GB"/>
              </w:rPr>
            </w:pPr>
            <w:r w:rsidRPr="00FE2BDF">
              <w:rPr>
                <w:lang w:val="en-GB"/>
              </w:rPr>
              <w:t>H, %</w:t>
            </w:r>
          </w:p>
        </w:tc>
        <w:tc>
          <w:tcPr>
            <w:tcW w:w="973" w:type="dxa"/>
            <w:shd w:val="clear" w:color="auto" w:fill="FFFFFF"/>
          </w:tcPr>
          <w:p w14:paraId="248686D1" w14:textId="38539C19" w:rsidR="00A12812" w:rsidRPr="00FE2BDF" w:rsidRDefault="00A12812" w:rsidP="00A12812">
            <w:pPr>
              <w:pStyle w:val="CETBodytext"/>
              <w:rPr>
                <w:lang w:val="en-GB"/>
              </w:rPr>
            </w:pPr>
            <w:r w:rsidRPr="00FE2BDF">
              <w:t>1.7</w:t>
            </w:r>
          </w:p>
        </w:tc>
        <w:tc>
          <w:tcPr>
            <w:tcW w:w="973" w:type="dxa"/>
            <w:shd w:val="clear" w:color="auto" w:fill="FFFFFF"/>
          </w:tcPr>
          <w:p w14:paraId="57EEC7C8" w14:textId="3B9F25AE" w:rsidR="00A12812" w:rsidRPr="00FE2BDF" w:rsidRDefault="00A12812" w:rsidP="00A12812">
            <w:pPr>
              <w:pStyle w:val="CETBodytext"/>
              <w:rPr>
                <w:lang w:val="en-GB"/>
              </w:rPr>
            </w:pPr>
            <w:r w:rsidRPr="00FE2BDF">
              <w:t>1.4</w:t>
            </w:r>
          </w:p>
        </w:tc>
        <w:tc>
          <w:tcPr>
            <w:tcW w:w="973" w:type="dxa"/>
            <w:shd w:val="clear" w:color="auto" w:fill="FFFFFF"/>
          </w:tcPr>
          <w:p w14:paraId="7E7324E9" w14:textId="2586CE59" w:rsidR="00A12812" w:rsidRPr="00FE2BDF" w:rsidRDefault="00A12812" w:rsidP="00A12812">
            <w:pPr>
              <w:pStyle w:val="CETBodytext"/>
              <w:ind w:right="-1"/>
              <w:rPr>
                <w:rFonts w:cs="Arial"/>
                <w:szCs w:val="18"/>
                <w:lang w:val="en-GB"/>
              </w:rPr>
            </w:pPr>
            <w:r w:rsidRPr="00FE2BDF">
              <w:t>0.8</w:t>
            </w:r>
          </w:p>
        </w:tc>
        <w:tc>
          <w:tcPr>
            <w:tcW w:w="973" w:type="dxa"/>
            <w:shd w:val="clear" w:color="auto" w:fill="FFFFFF"/>
          </w:tcPr>
          <w:p w14:paraId="225BF602" w14:textId="04CA217D" w:rsidR="00A12812" w:rsidRPr="00FE2BDF" w:rsidRDefault="00A12812" w:rsidP="00A12812">
            <w:pPr>
              <w:pStyle w:val="CETBodytext"/>
              <w:ind w:right="-1"/>
              <w:rPr>
                <w:rFonts w:cs="Arial"/>
                <w:szCs w:val="18"/>
                <w:lang w:val="en-GB"/>
              </w:rPr>
            </w:pPr>
            <w:r w:rsidRPr="00FE2BDF">
              <w:t>0.5</w:t>
            </w:r>
          </w:p>
        </w:tc>
        <w:tc>
          <w:tcPr>
            <w:tcW w:w="973" w:type="dxa"/>
            <w:shd w:val="clear" w:color="auto" w:fill="FFFFFF"/>
          </w:tcPr>
          <w:p w14:paraId="3CF96BD7" w14:textId="3CDEEB0D" w:rsidR="00A12812" w:rsidRPr="00FE2BDF" w:rsidRDefault="00A12812" w:rsidP="00A12812">
            <w:pPr>
              <w:pStyle w:val="CETBodytext"/>
              <w:ind w:right="-1"/>
              <w:rPr>
                <w:rFonts w:cs="Arial"/>
                <w:szCs w:val="18"/>
                <w:lang w:val="en-GB"/>
              </w:rPr>
            </w:pPr>
            <w:r w:rsidRPr="00FE2BDF">
              <w:t>0.3</w:t>
            </w:r>
          </w:p>
        </w:tc>
        <w:tc>
          <w:tcPr>
            <w:tcW w:w="973" w:type="dxa"/>
            <w:shd w:val="clear" w:color="auto" w:fill="FFFFFF"/>
          </w:tcPr>
          <w:p w14:paraId="47AAEB06" w14:textId="53111ED9" w:rsidR="00A12812" w:rsidRPr="00FE2BDF" w:rsidRDefault="00A12812" w:rsidP="00A12812">
            <w:pPr>
              <w:pStyle w:val="CETBodytext"/>
              <w:ind w:right="-1"/>
              <w:rPr>
                <w:rFonts w:cs="Arial"/>
                <w:szCs w:val="18"/>
                <w:lang w:val="en-GB"/>
              </w:rPr>
            </w:pPr>
            <w:r w:rsidRPr="00FE2BDF">
              <w:t>0.4</w:t>
            </w:r>
          </w:p>
        </w:tc>
        <w:tc>
          <w:tcPr>
            <w:tcW w:w="973" w:type="dxa"/>
            <w:shd w:val="clear" w:color="auto" w:fill="FFFFFF"/>
          </w:tcPr>
          <w:p w14:paraId="03072FCF" w14:textId="76E3ECDB" w:rsidR="00A12812" w:rsidRPr="00FE2BDF" w:rsidRDefault="00A12812" w:rsidP="00A12812">
            <w:pPr>
              <w:pStyle w:val="CETBodytext"/>
              <w:ind w:right="-1"/>
              <w:rPr>
                <w:rFonts w:cs="Arial"/>
                <w:szCs w:val="18"/>
                <w:lang w:val="en-GB"/>
              </w:rPr>
            </w:pPr>
            <w:r w:rsidRPr="00FE2BDF">
              <w:t>0.9</w:t>
            </w:r>
          </w:p>
        </w:tc>
        <w:tc>
          <w:tcPr>
            <w:tcW w:w="973" w:type="dxa"/>
            <w:shd w:val="clear" w:color="auto" w:fill="FFFFFF"/>
          </w:tcPr>
          <w:p w14:paraId="45C1B785" w14:textId="79F9C41A" w:rsidR="00A12812" w:rsidRPr="00FE2BDF" w:rsidRDefault="00A12812" w:rsidP="00A12812">
            <w:pPr>
              <w:pStyle w:val="CETBodytext"/>
              <w:ind w:right="-1"/>
              <w:rPr>
                <w:rFonts w:cs="Arial"/>
                <w:szCs w:val="18"/>
                <w:lang w:val="en-GB"/>
              </w:rPr>
            </w:pPr>
            <w:r w:rsidRPr="00FE2BDF">
              <w:t>0.8</w:t>
            </w:r>
          </w:p>
        </w:tc>
      </w:tr>
      <w:tr w:rsidR="00A12812" w:rsidRPr="00FE2BDF" w14:paraId="4A8ABCFC" w14:textId="77777777" w:rsidTr="00A12812">
        <w:trPr>
          <w:trHeight w:val="248"/>
        </w:trPr>
        <w:tc>
          <w:tcPr>
            <w:tcW w:w="973" w:type="dxa"/>
            <w:shd w:val="clear" w:color="auto" w:fill="FFFFFF"/>
          </w:tcPr>
          <w:p w14:paraId="2572031F" w14:textId="30E124D9" w:rsidR="00A12812" w:rsidRPr="00FE2BDF" w:rsidRDefault="00A12812" w:rsidP="00A12812">
            <w:pPr>
              <w:pStyle w:val="CETBodytext"/>
              <w:rPr>
                <w:lang w:val="en-GB"/>
              </w:rPr>
            </w:pPr>
            <w:r w:rsidRPr="00FE2BDF">
              <w:rPr>
                <w:lang w:val="en-GB"/>
              </w:rPr>
              <w:t>N, %</w:t>
            </w:r>
          </w:p>
        </w:tc>
        <w:tc>
          <w:tcPr>
            <w:tcW w:w="973" w:type="dxa"/>
            <w:shd w:val="clear" w:color="auto" w:fill="FFFFFF"/>
          </w:tcPr>
          <w:p w14:paraId="21EE8FBC" w14:textId="56C881A3" w:rsidR="00A12812" w:rsidRPr="00FE2BDF" w:rsidRDefault="00A12812" w:rsidP="00A12812">
            <w:pPr>
              <w:pStyle w:val="CETBodytext"/>
              <w:rPr>
                <w:lang w:val="en-GB"/>
              </w:rPr>
            </w:pPr>
            <w:r w:rsidRPr="00FE2BDF">
              <w:t>3.1</w:t>
            </w:r>
          </w:p>
        </w:tc>
        <w:tc>
          <w:tcPr>
            <w:tcW w:w="973" w:type="dxa"/>
            <w:shd w:val="clear" w:color="auto" w:fill="FFFFFF"/>
          </w:tcPr>
          <w:p w14:paraId="580CE01C" w14:textId="6BF5E5ED" w:rsidR="00A12812" w:rsidRPr="00FE2BDF" w:rsidRDefault="00A12812" w:rsidP="00A12812">
            <w:pPr>
              <w:pStyle w:val="CETBodytext"/>
              <w:rPr>
                <w:lang w:val="en-GB"/>
              </w:rPr>
            </w:pPr>
            <w:r w:rsidRPr="00FE2BDF">
              <w:t>2.4</w:t>
            </w:r>
          </w:p>
        </w:tc>
        <w:tc>
          <w:tcPr>
            <w:tcW w:w="973" w:type="dxa"/>
            <w:shd w:val="clear" w:color="auto" w:fill="FFFFFF"/>
          </w:tcPr>
          <w:p w14:paraId="00FE7096" w14:textId="54C906E1" w:rsidR="00A12812" w:rsidRPr="00FE2BDF" w:rsidRDefault="00A12812" w:rsidP="00A12812">
            <w:pPr>
              <w:pStyle w:val="CETBodytext"/>
              <w:ind w:right="-1"/>
              <w:rPr>
                <w:rFonts w:cs="Arial"/>
                <w:szCs w:val="18"/>
                <w:lang w:val="en-GB"/>
              </w:rPr>
            </w:pPr>
            <w:r w:rsidRPr="00FE2BDF">
              <w:t>1.8</w:t>
            </w:r>
          </w:p>
        </w:tc>
        <w:tc>
          <w:tcPr>
            <w:tcW w:w="973" w:type="dxa"/>
            <w:shd w:val="clear" w:color="auto" w:fill="FFFFFF"/>
          </w:tcPr>
          <w:p w14:paraId="3C31D8E0" w14:textId="5AEE35E4" w:rsidR="00A12812" w:rsidRPr="00FE2BDF" w:rsidRDefault="00A12812" w:rsidP="00A12812">
            <w:pPr>
              <w:pStyle w:val="CETBodytext"/>
              <w:ind w:right="-1"/>
              <w:rPr>
                <w:rFonts w:cs="Arial"/>
                <w:szCs w:val="18"/>
                <w:lang w:val="en-GB"/>
              </w:rPr>
            </w:pPr>
            <w:r w:rsidRPr="00FE2BDF">
              <w:t>1.0</w:t>
            </w:r>
          </w:p>
        </w:tc>
        <w:tc>
          <w:tcPr>
            <w:tcW w:w="973" w:type="dxa"/>
            <w:shd w:val="clear" w:color="auto" w:fill="FFFFFF"/>
          </w:tcPr>
          <w:p w14:paraId="5F59CD8F" w14:textId="463FFD29" w:rsidR="00A12812" w:rsidRPr="00FE2BDF" w:rsidRDefault="00A12812" w:rsidP="00A12812">
            <w:pPr>
              <w:pStyle w:val="CETBodytext"/>
              <w:ind w:right="-1"/>
              <w:rPr>
                <w:rFonts w:cs="Arial"/>
                <w:szCs w:val="18"/>
                <w:lang w:val="en-GB"/>
              </w:rPr>
            </w:pPr>
            <w:r w:rsidRPr="00FE2BDF">
              <w:t>0.7</w:t>
            </w:r>
          </w:p>
        </w:tc>
        <w:tc>
          <w:tcPr>
            <w:tcW w:w="973" w:type="dxa"/>
            <w:shd w:val="clear" w:color="auto" w:fill="FFFFFF"/>
          </w:tcPr>
          <w:p w14:paraId="132FD77F" w14:textId="6A3D3AD0" w:rsidR="00A12812" w:rsidRPr="00FE2BDF" w:rsidRDefault="00A12812" w:rsidP="00A12812">
            <w:pPr>
              <w:pStyle w:val="CETBodytext"/>
              <w:ind w:right="-1"/>
              <w:rPr>
                <w:rFonts w:cs="Arial"/>
                <w:szCs w:val="18"/>
                <w:lang w:val="en-GB"/>
              </w:rPr>
            </w:pPr>
            <w:r w:rsidRPr="00FE2BDF">
              <w:t>0.9</w:t>
            </w:r>
          </w:p>
        </w:tc>
        <w:tc>
          <w:tcPr>
            <w:tcW w:w="973" w:type="dxa"/>
            <w:shd w:val="clear" w:color="auto" w:fill="FFFFFF"/>
          </w:tcPr>
          <w:p w14:paraId="2D6ACFDF" w14:textId="6B68664A" w:rsidR="00A12812" w:rsidRPr="00FE2BDF" w:rsidRDefault="00A12812" w:rsidP="00A12812">
            <w:pPr>
              <w:pStyle w:val="CETBodytext"/>
              <w:ind w:right="-1"/>
              <w:rPr>
                <w:rFonts w:cs="Arial"/>
                <w:szCs w:val="18"/>
                <w:lang w:val="en-GB"/>
              </w:rPr>
            </w:pPr>
            <w:r w:rsidRPr="00FE2BDF">
              <w:t>0.5</w:t>
            </w:r>
          </w:p>
        </w:tc>
        <w:tc>
          <w:tcPr>
            <w:tcW w:w="973" w:type="dxa"/>
            <w:shd w:val="clear" w:color="auto" w:fill="FFFFFF"/>
          </w:tcPr>
          <w:p w14:paraId="75B56258" w14:textId="047B7D0B" w:rsidR="00A12812" w:rsidRPr="00FE2BDF" w:rsidRDefault="00A12812" w:rsidP="00A12812">
            <w:pPr>
              <w:pStyle w:val="CETBodytext"/>
              <w:ind w:right="-1"/>
              <w:rPr>
                <w:rFonts w:cs="Arial"/>
                <w:szCs w:val="18"/>
                <w:lang w:val="en-GB"/>
              </w:rPr>
            </w:pPr>
            <w:r w:rsidRPr="00FE2BDF">
              <w:t>0.9</w:t>
            </w:r>
          </w:p>
        </w:tc>
      </w:tr>
      <w:tr w:rsidR="00A12812" w:rsidRPr="00FE2BDF" w14:paraId="3A5373E7" w14:textId="21ACB368" w:rsidTr="00A12812">
        <w:trPr>
          <w:trHeight w:val="248"/>
        </w:trPr>
        <w:tc>
          <w:tcPr>
            <w:tcW w:w="973" w:type="dxa"/>
            <w:shd w:val="clear" w:color="auto" w:fill="FFFFFF"/>
          </w:tcPr>
          <w:p w14:paraId="4CFB9F58" w14:textId="29A750E7" w:rsidR="00A12812" w:rsidRPr="00FE2BDF" w:rsidRDefault="00A12812" w:rsidP="00A12812">
            <w:pPr>
              <w:pStyle w:val="CETBodytext"/>
              <w:rPr>
                <w:lang w:val="en-GB"/>
              </w:rPr>
            </w:pPr>
            <w:r w:rsidRPr="00FE2BDF">
              <w:rPr>
                <w:lang w:val="en-GB"/>
              </w:rPr>
              <w:t>S, %</w:t>
            </w:r>
          </w:p>
        </w:tc>
        <w:tc>
          <w:tcPr>
            <w:tcW w:w="973" w:type="dxa"/>
            <w:shd w:val="clear" w:color="auto" w:fill="FFFFFF"/>
          </w:tcPr>
          <w:p w14:paraId="6C1CD3C6" w14:textId="7834390D" w:rsidR="00A12812" w:rsidRPr="00FE2BDF" w:rsidRDefault="00A12812" w:rsidP="00A12812">
            <w:pPr>
              <w:pStyle w:val="CETBodytext"/>
              <w:rPr>
                <w:lang w:val="en-GB"/>
              </w:rPr>
            </w:pPr>
            <w:r w:rsidRPr="00FE2BDF">
              <w:rPr>
                <w:lang w:val="en-GB"/>
              </w:rPr>
              <w:t>-</w:t>
            </w:r>
          </w:p>
        </w:tc>
        <w:tc>
          <w:tcPr>
            <w:tcW w:w="973" w:type="dxa"/>
            <w:shd w:val="clear" w:color="auto" w:fill="FFFFFF"/>
          </w:tcPr>
          <w:p w14:paraId="28F546D8" w14:textId="067DA2FC" w:rsidR="00A12812" w:rsidRPr="00FE2BDF" w:rsidRDefault="00A12812" w:rsidP="00A12812">
            <w:pPr>
              <w:pStyle w:val="CETBodytext"/>
              <w:rPr>
                <w:lang w:val="en-GB"/>
              </w:rPr>
            </w:pPr>
            <w:r w:rsidRPr="00FE2BDF">
              <w:rPr>
                <w:lang w:val="en-GB"/>
              </w:rPr>
              <w:t>-</w:t>
            </w:r>
          </w:p>
        </w:tc>
        <w:tc>
          <w:tcPr>
            <w:tcW w:w="973" w:type="dxa"/>
            <w:shd w:val="clear" w:color="auto" w:fill="FFFFFF"/>
          </w:tcPr>
          <w:p w14:paraId="64ABA64E" w14:textId="1CE24962" w:rsidR="00A12812" w:rsidRPr="00FE2BDF" w:rsidRDefault="00A12812" w:rsidP="00A12812">
            <w:pPr>
              <w:pStyle w:val="CETBodytext"/>
              <w:ind w:right="-1"/>
              <w:rPr>
                <w:rFonts w:cs="Arial"/>
                <w:szCs w:val="18"/>
                <w:lang w:val="en-GB"/>
              </w:rPr>
            </w:pPr>
            <w:r w:rsidRPr="00FE2BDF">
              <w:rPr>
                <w:rFonts w:cs="Arial"/>
                <w:szCs w:val="18"/>
                <w:lang w:val="en-GB"/>
              </w:rPr>
              <w:t>-</w:t>
            </w:r>
          </w:p>
        </w:tc>
        <w:tc>
          <w:tcPr>
            <w:tcW w:w="973" w:type="dxa"/>
            <w:shd w:val="clear" w:color="auto" w:fill="FFFFFF"/>
          </w:tcPr>
          <w:p w14:paraId="2817F65F" w14:textId="3025F20B" w:rsidR="00A12812" w:rsidRPr="00FE2BDF" w:rsidRDefault="00A12812" w:rsidP="00A12812">
            <w:pPr>
              <w:pStyle w:val="CETBodytext"/>
              <w:ind w:right="-1"/>
              <w:rPr>
                <w:rFonts w:cs="Arial"/>
                <w:szCs w:val="18"/>
                <w:lang w:val="en-GB"/>
              </w:rPr>
            </w:pPr>
            <w:r w:rsidRPr="00FE2BDF">
              <w:rPr>
                <w:rFonts w:cs="Arial"/>
                <w:szCs w:val="18"/>
                <w:lang w:val="en-GB"/>
              </w:rPr>
              <w:t>-</w:t>
            </w:r>
          </w:p>
        </w:tc>
        <w:tc>
          <w:tcPr>
            <w:tcW w:w="973" w:type="dxa"/>
            <w:shd w:val="clear" w:color="auto" w:fill="FFFFFF"/>
          </w:tcPr>
          <w:p w14:paraId="796B6648" w14:textId="3AC367BD" w:rsidR="00A12812" w:rsidRPr="00FE2BDF" w:rsidRDefault="00A12812" w:rsidP="00A12812">
            <w:pPr>
              <w:pStyle w:val="CETBodytext"/>
              <w:ind w:right="-1"/>
              <w:rPr>
                <w:rFonts w:cs="Arial"/>
                <w:szCs w:val="18"/>
                <w:lang w:val="en-GB"/>
              </w:rPr>
            </w:pPr>
            <w:r w:rsidRPr="00FE2BDF">
              <w:rPr>
                <w:rFonts w:cs="Arial"/>
                <w:szCs w:val="18"/>
                <w:lang w:val="en-GB"/>
              </w:rPr>
              <w:t>-</w:t>
            </w:r>
          </w:p>
        </w:tc>
        <w:tc>
          <w:tcPr>
            <w:tcW w:w="973" w:type="dxa"/>
            <w:shd w:val="clear" w:color="auto" w:fill="FFFFFF"/>
          </w:tcPr>
          <w:p w14:paraId="283FDFA1" w14:textId="756F8C08" w:rsidR="00A12812" w:rsidRPr="00FE2BDF" w:rsidRDefault="00A12812" w:rsidP="00A12812">
            <w:pPr>
              <w:pStyle w:val="CETBodytext"/>
              <w:ind w:right="-1"/>
              <w:rPr>
                <w:rFonts w:cs="Arial"/>
                <w:szCs w:val="18"/>
                <w:lang w:val="en-GB"/>
              </w:rPr>
            </w:pPr>
            <w:r w:rsidRPr="00FE2BDF">
              <w:rPr>
                <w:rFonts w:cs="Arial"/>
                <w:szCs w:val="18"/>
                <w:lang w:val="en-GB"/>
              </w:rPr>
              <w:t>-</w:t>
            </w:r>
          </w:p>
        </w:tc>
        <w:tc>
          <w:tcPr>
            <w:tcW w:w="973" w:type="dxa"/>
            <w:shd w:val="clear" w:color="auto" w:fill="FFFFFF"/>
          </w:tcPr>
          <w:p w14:paraId="3572E68D" w14:textId="01A46656" w:rsidR="00A12812" w:rsidRPr="00FE2BDF" w:rsidRDefault="00A12812" w:rsidP="00A12812">
            <w:pPr>
              <w:pStyle w:val="CETBodytext"/>
              <w:ind w:right="-1"/>
              <w:rPr>
                <w:rFonts w:cs="Arial"/>
                <w:szCs w:val="18"/>
                <w:lang w:val="en-GB"/>
              </w:rPr>
            </w:pPr>
            <w:r w:rsidRPr="00FE2BDF">
              <w:t>4.4</w:t>
            </w:r>
          </w:p>
        </w:tc>
        <w:tc>
          <w:tcPr>
            <w:tcW w:w="973" w:type="dxa"/>
            <w:shd w:val="clear" w:color="auto" w:fill="FFFFFF"/>
          </w:tcPr>
          <w:p w14:paraId="14037881" w14:textId="0042B93E" w:rsidR="00A12812" w:rsidRPr="00FE2BDF" w:rsidRDefault="00A12812" w:rsidP="00A12812">
            <w:pPr>
              <w:pStyle w:val="CETBodytext"/>
              <w:ind w:right="-1"/>
              <w:rPr>
                <w:rFonts w:cs="Arial"/>
                <w:szCs w:val="18"/>
                <w:lang w:val="en-GB"/>
              </w:rPr>
            </w:pPr>
            <w:r w:rsidRPr="00FE2BDF">
              <w:t>7.7</w:t>
            </w:r>
          </w:p>
        </w:tc>
      </w:tr>
      <w:tr w:rsidR="00A12812" w:rsidRPr="00FE2BDF" w14:paraId="04CBB787" w14:textId="77777777" w:rsidTr="00A12812">
        <w:trPr>
          <w:trHeight w:val="223"/>
        </w:trPr>
        <w:tc>
          <w:tcPr>
            <w:tcW w:w="973" w:type="dxa"/>
            <w:shd w:val="clear" w:color="auto" w:fill="FFFFFF"/>
          </w:tcPr>
          <w:p w14:paraId="793330EC" w14:textId="6D1921D7" w:rsidR="00A12812" w:rsidRPr="00FE2BDF" w:rsidRDefault="00A12812" w:rsidP="00A12812">
            <w:pPr>
              <w:pStyle w:val="CETBodytext"/>
              <w:ind w:right="-1"/>
              <w:rPr>
                <w:rFonts w:cs="Arial"/>
                <w:szCs w:val="18"/>
                <w:lang w:val="en-GB"/>
              </w:rPr>
            </w:pPr>
            <w:r w:rsidRPr="00FE2BDF">
              <w:rPr>
                <w:rFonts w:cs="Arial"/>
                <w:szCs w:val="18"/>
                <w:lang w:val="en-GB"/>
              </w:rPr>
              <w:t>Other, %</w:t>
            </w:r>
          </w:p>
        </w:tc>
        <w:tc>
          <w:tcPr>
            <w:tcW w:w="973" w:type="dxa"/>
            <w:shd w:val="clear" w:color="auto" w:fill="FFFFFF"/>
          </w:tcPr>
          <w:p w14:paraId="3BE8C5B2" w14:textId="30A42C0C" w:rsidR="00A12812" w:rsidRPr="00FE2BDF" w:rsidRDefault="00A12812" w:rsidP="00A12812">
            <w:pPr>
              <w:pStyle w:val="CETBodytext"/>
              <w:ind w:right="-1"/>
              <w:rPr>
                <w:rFonts w:cs="Arial"/>
                <w:szCs w:val="18"/>
                <w:lang w:val="en-GB"/>
              </w:rPr>
            </w:pPr>
            <w:r w:rsidRPr="00FE2BDF">
              <w:t>70.7</w:t>
            </w:r>
          </w:p>
        </w:tc>
        <w:tc>
          <w:tcPr>
            <w:tcW w:w="973" w:type="dxa"/>
            <w:shd w:val="clear" w:color="auto" w:fill="FFFFFF"/>
          </w:tcPr>
          <w:p w14:paraId="6BF51028" w14:textId="51137250" w:rsidR="00A12812" w:rsidRPr="00FE2BDF" w:rsidRDefault="00A12812" w:rsidP="00A12812">
            <w:pPr>
              <w:pStyle w:val="CETBodytext"/>
              <w:ind w:right="-1"/>
              <w:rPr>
                <w:rFonts w:cs="Arial"/>
                <w:szCs w:val="18"/>
                <w:lang w:val="en-GB"/>
              </w:rPr>
            </w:pPr>
            <w:r w:rsidRPr="00FE2BDF">
              <w:t>65.8</w:t>
            </w:r>
          </w:p>
        </w:tc>
        <w:tc>
          <w:tcPr>
            <w:tcW w:w="973" w:type="dxa"/>
            <w:shd w:val="clear" w:color="auto" w:fill="FFFFFF"/>
          </w:tcPr>
          <w:p w14:paraId="3379CE36" w14:textId="350FD7FD" w:rsidR="00A12812" w:rsidRPr="00FE2BDF" w:rsidRDefault="00A12812" w:rsidP="00A12812">
            <w:pPr>
              <w:pStyle w:val="CETBodytext"/>
              <w:ind w:right="-1"/>
              <w:rPr>
                <w:rFonts w:cs="Arial"/>
                <w:szCs w:val="18"/>
                <w:lang w:val="en-GB"/>
              </w:rPr>
            </w:pPr>
            <w:r w:rsidRPr="00FE2BDF">
              <w:t>74.3</w:t>
            </w:r>
          </w:p>
        </w:tc>
        <w:tc>
          <w:tcPr>
            <w:tcW w:w="973" w:type="dxa"/>
            <w:shd w:val="clear" w:color="auto" w:fill="FFFFFF"/>
          </w:tcPr>
          <w:p w14:paraId="62E8B4DF" w14:textId="4783D6C5" w:rsidR="00A12812" w:rsidRPr="00FE2BDF" w:rsidRDefault="00A12812" w:rsidP="00A12812">
            <w:pPr>
              <w:pStyle w:val="CETBodytext"/>
              <w:ind w:right="-1"/>
              <w:rPr>
                <w:rFonts w:cs="Arial"/>
                <w:szCs w:val="18"/>
                <w:lang w:val="en-GB"/>
              </w:rPr>
            </w:pPr>
            <w:r w:rsidRPr="00FE2BDF">
              <w:t>83.9</w:t>
            </w:r>
          </w:p>
        </w:tc>
        <w:tc>
          <w:tcPr>
            <w:tcW w:w="973" w:type="dxa"/>
            <w:shd w:val="clear" w:color="auto" w:fill="FFFFFF"/>
          </w:tcPr>
          <w:p w14:paraId="146FC540" w14:textId="695B2D9B" w:rsidR="00A12812" w:rsidRPr="00FE2BDF" w:rsidRDefault="00A12812" w:rsidP="00A12812">
            <w:pPr>
              <w:pStyle w:val="CETBodytext"/>
              <w:ind w:right="-1"/>
              <w:rPr>
                <w:rFonts w:cs="Arial"/>
                <w:szCs w:val="18"/>
                <w:lang w:val="en-GB"/>
              </w:rPr>
            </w:pPr>
            <w:r w:rsidRPr="00FE2BDF">
              <w:t>88.5</w:t>
            </w:r>
          </w:p>
        </w:tc>
        <w:tc>
          <w:tcPr>
            <w:tcW w:w="973" w:type="dxa"/>
            <w:shd w:val="clear" w:color="auto" w:fill="FFFFFF"/>
          </w:tcPr>
          <w:p w14:paraId="1EEEF3DB" w14:textId="718CF317" w:rsidR="00A12812" w:rsidRPr="00FE2BDF" w:rsidRDefault="00A12812" w:rsidP="00A12812">
            <w:pPr>
              <w:pStyle w:val="CETBodytext"/>
              <w:ind w:right="-1"/>
              <w:rPr>
                <w:rFonts w:cs="Arial"/>
                <w:szCs w:val="18"/>
                <w:lang w:val="en-GB"/>
              </w:rPr>
            </w:pPr>
            <w:r w:rsidRPr="00FE2BDF">
              <w:t>82.8</w:t>
            </w:r>
          </w:p>
        </w:tc>
        <w:tc>
          <w:tcPr>
            <w:tcW w:w="973" w:type="dxa"/>
            <w:shd w:val="clear" w:color="auto" w:fill="FFFFFF"/>
          </w:tcPr>
          <w:p w14:paraId="500DD699" w14:textId="62E04E4D" w:rsidR="00A12812" w:rsidRPr="00FE2BDF" w:rsidRDefault="00A12812" w:rsidP="00A12812">
            <w:pPr>
              <w:pStyle w:val="CETBodytext"/>
              <w:ind w:right="-1"/>
              <w:rPr>
                <w:rFonts w:cs="Arial"/>
                <w:szCs w:val="18"/>
                <w:lang w:val="en-GB"/>
              </w:rPr>
            </w:pPr>
            <w:r w:rsidRPr="00FE2BDF">
              <w:t>89.7</w:t>
            </w:r>
          </w:p>
        </w:tc>
        <w:tc>
          <w:tcPr>
            <w:tcW w:w="973" w:type="dxa"/>
            <w:shd w:val="clear" w:color="auto" w:fill="FFFFFF"/>
          </w:tcPr>
          <w:p w14:paraId="3DEE94B5" w14:textId="01F3F524" w:rsidR="00A12812" w:rsidRPr="00FE2BDF" w:rsidRDefault="00A12812" w:rsidP="00A12812">
            <w:pPr>
              <w:pStyle w:val="CETBodytext"/>
              <w:ind w:right="-1"/>
              <w:rPr>
                <w:rFonts w:cs="Arial"/>
                <w:szCs w:val="18"/>
                <w:lang w:val="en-GB"/>
              </w:rPr>
            </w:pPr>
            <w:r w:rsidRPr="00FE2BDF">
              <w:t>86.6</w:t>
            </w:r>
          </w:p>
        </w:tc>
      </w:tr>
      <w:tr w:rsidR="00A12812" w:rsidRPr="00FE2BDF" w14:paraId="74C8041B" w14:textId="6432B910" w:rsidTr="00A12812">
        <w:trPr>
          <w:trHeight w:val="223"/>
        </w:trPr>
        <w:tc>
          <w:tcPr>
            <w:tcW w:w="973" w:type="dxa"/>
            <w:shd w:val="clear" w:color="auto" w:fill="FFFFFF"/>
          </w:tcPr>
          <w:p w14:paraId="2E923325" w14:textId="11301EC7" w:rsidR="006A0D67" w:rsidRPr="00FE2BDF" w:rsidRDefault="00A12812" w:rsidP="00A12812">
            <w:pPr>
              <w:pStyle w:val="CETBodytext"/>
              <w:ind w:right="-1"/>
              <w:rPr>
                <w:rFonts w:cs="Arial"/>
                <w:szCs w:val="18"/>
                <w:lang w:val="en-GB"/>
              </w:rPr>
            </w:pPr>
            <w:r w:rsidRPr="00FE2BDF">
              <w:rPr>
                <w:rFonts w:cs="Arial"/>
                <w:szCs w:val="18"/>
                <w:lang w:val="en-GB"/>
              </w:rPr>
              <w:t>HHV, MJ/kg</w:t>
            </w:r>
          </w:p>
        </w:tc>
        <w:tc>
          <w:tcPr>
            <w:tcW w:w="973" w:type="dxa"/>
            <w:shd w:val="clear" w:color="auto" w:fill="FFFFFF"/>
          </w:tcPr>
          <w:p w14:paraId="39C0DE32" w14:textId="571BC438" w:rsidR="006A0D67" w:rsidRPr="00FE2BDF" w:rsidRDefault="009C6A5B" w:rsidP="006A0D67">
            <w:pPr>
              <w:pStyle w:val="CETBodytext"/>
              <w:ind w:right="-1"/>
              <w:rPr>
                <w:rFonts w:cs="Arial"/>
                <w:szCs w:val="18"/>
                <w:lang w:val="en-GB"/>
              </w:rPr>
            </w:pPr>
            <w:r w:rsidRPr="00FE2BDF">
              <w:rPr>
                <w:rFonts w:cs="Arial"/>
                <w:szCs w:val="18"/>
                <w:lang w:val="en-GB"/>
              </w:rPr>
              <w:t>8.06</w:t>
            </w:r>
          </w:p>
        </w:tc>
        <w:tc>
          <w:tcPr>
            <w:tcW w:w="973" w:type="dxa"/>
            <w:shd w:val="clear" w:color="auto" w:fill="FFFFFF"/>
          </w:tcPr>
          <w:p w14:paraId="3718F024" w14:textId="5F438F8E" w:rsidR="006A0D67" w:rsidRPr="00FE2BDF" w:rsidRDefault="009C6A5B" w:rsidP="006A0D67">
            <w:pPr>
              <w:pStyle w:val="CETBodytext"/>
              <w:ind w:right="-1"/>
              <w:rPr>
                <w:rFonts w:cs="Arial"/>
                <w:szCs w:val="18"/>
                <w:lang w:val="en-GB"/>
              </w:rPr>
            </w:pPr>
            <w:r w:rsidRPr="00FE2BDF">
              <w:rPr>
                <w:rFonts w:cs="Arial"/>
                <w:szCs w:val="18"/>
                <w:lang w:val="en-GB"/>
              </w:rPr>
              <w:t>8.17</w:t>
            </w:r>
          </w:p>
        </w:tc>
        <w:tc>
          <w:tcPr>
            <w:tcW w:w="973" w:type="dxa"/>
            <w:shd w:val="clear" w:color="auto" w:fill="FFFFFF"/>
          </w:tcPr>
          <w:p w14:paraId="52C175F6" w14:textId="151EBEEB" w:rsidR="006A0D67" w:rsidRPr="00FE2BDF" w:rsidRDefault="00D17436" w:rsidP="006A0D67">
            <w:pPr>
              <w:pStyle w:val="CETBodytext"/>
              <w:ind w:right="-1"/>
              <w:rPr>
                <w:rFonts w:cs="Arial"/>
                <w:szCs w:val="18"/>
                <w:lang w:val="en-GB"/>
              </w:rPr>
            </w:pPr>
            <w:r w:rsidRPr="00FE2BDF">
              <w:rPr>
                <w:rFonts w:cs="Arial"/>
                <w:szCs w:val="18"/>
                <w:lang w:val="en-GB"/>
              </w:rPr>
              <w:t>7.77</w:t>
            </w:r>
          </w:p>
        </w:tc>
        <w:tc>
          <w:tcPr>
            <w:tcW w:w="973" w:type="dxa"/>
            <w:shd w:val="clear" w:color="auto" w:fill="FFFFFF"/>
          </w:tcPr>
          <w:p w14:paraId="62D732E2" w14:textId="578EF6D7" w:rsidR="006A0D67" w:rsidRPr="00FE2BDF" w:rsidRDefault="00D17436" w:rsidP="006A0D67">
            <w:pPr>
              <w:pStyle w:val="CETBodytext"/>
              <w:ind w:right="-1"/>
              <w:rPr>
                <w:rFonts w:cs="Arial"/>
                <w:szCs w:val="18"/>
                <w:lang w:val="en-GB"/>
              </w:rPr>
            </w:pPr>
            <w:r w:rsidRPr="00FE2BDF">
              <w:rPr>
                <w:rFonts w:cs="Arial"/>
                <w:szCs w:val="18"/>
                <w:lang w:val="en-GB"/>
              </w:rPr>
              <w:t>5.87</w:t>
            </w:r>
          </w:p>
        </w:tc>
        <w:tc>
          <w:tcPr>
            <w:tcW w:w="973" w:type="dxa"/>
            <w:shd w:val="clear" w:color="auto" w:fill="FFFFFF"/>
          </w:tcPr>
          <w:p w14:paraId="08F2909A" w14:textId="22A07C29" w:rsidR="006A0D67" w:rsidRPr="00FE2BDF" w:rsidRDefault="00D17436" w:rsidP="006A0D67">
            <w:pPr>
              <w:pStyle w:val="CETBodytext"/>
              <w:ind w:right="-1"/>
              <w:rPr>
                <w:rFonts w:cs="Arial"/>
                <w:szCs w:val="18"/>
                <w:lang w:val="en-GB"/>
              </w:rPr>
            </w:pPr>
            <w:r w:rsidRPr="00FE2BDF">
              <w:rPr>
                <w:rFonts w:cs="Arial"/>
                <w:szCs w:val="18"/>
                <w:lang w:val="en-GB"/>
              </w:rPr>
              <w:t>n.a.</w:t>
            </w:r>
          </w:p>
        </w:tc>
        <w:tc>
          <w:tcPr>
            <w:tcW w:w="973" w:type="dxa"/>
            <w:shd w:val="clear" w:color="auto" w:fill="FFFFFF"/>
          </w:tcPr>
          <w:p w14:paraId="5CA22C1A" w14:textId="01C7F383" w:rsidR="006A0D67" w:rsidRPr="00FE2BDF" w:rsidRDefault="00D17436" w:rsidP="006A0D67">
            <w:pPr>
              <w:pStyle w:val="CETBodytext"/>
              <w:ind w:right="-1"/>
              <w:rPr>
                <w:rFonts w:cs="Arial"/>
                <w:szCs w:val="18"/>
                <w:lang w:val="en-GB"/>
              </w:rPr>
            </w:pPr>
            <w:r w:rsidRPr="00FE2BDF">
              <w:rPr>
                <w:rFonts w:cs="Arial"/>
                <w:szCs w:val="18"/>
                <w:lang w:val="en-GB"/>
              </w:rPr>
              <w:t>n.a.</w:t>
            </w:r>
          </w:p>
        </w:tc>
        <w:tc>
          <w:tcPr>
            <w:tcW w:w="973" w:type="dxa"/>
            <w:shd w:val="clear" w:color="auto" w:fill="FFFFFF"/>
          </w:tcPr>
          <w:p w14:paraId="5482B836" w14:textId="6ED5880F" w:rsidR="006A0D67" w:rsidRPr="00FE2BDF" w:rsidRDefault="00D17436" w:rsidP="006A0D67">
            <w:pPr>
              <w:pStyle w:val="CETBodytext"/>
              <w:ind w:right="-1"/>
              <w:rPr>
                <w:rFonts w:cs="Arial"/>
                <w:szCs w:val="18"/>
                <w:lang w:val="en-GB"/>
              </w:rPr>
            </w:pPr>
            <w:r w:rsidRPr="00FE2BDF">
              <w:rPr>
                <w:rFonts w:cs="Arial"/>
                <w:szCs w:val="18"/>
                <w:lang w:val="en-GB"/>
              </w:rPr>
              <w:t>n.a.</w:t>
            </w:r>
          </w:p>
        </w:tc>
        <w:tc>
          <w:tcPr>
            <w:tcW w:w="973" w:type="dxa"/>
            <w:shd w:val="clear" w:color="auto" w:fill="FFFFFF"/>
          </w:tcPr>
          <w:p w14:paraId="35E1D67F" w14:textId="10D18C62" w:rsidR="006A0D67" w:rsidRPr="00FE2BDF" w:rsidRDefault="00D17436" w:rsidP="006A0D67">
            <w:pPr>
              <w:pStyle w:val="CETBodytext"/>
              <w:ind w:right="-1"/>
              <w:rPr>
                <w:rFonts w:cs="Arial"/>
                <w:szCs w:val="18"/>
                <w:lang w:val="en-GB"/>
              </w:rPr>
            </w:pPr>
            <w:r w:rsidRPr="00FE2BDF">
              <w:rPr>
                <w:rFonts w:cs="Arial"/>
                <w:szCs w:val="18"/>
                <w:lang w:val="en-GB"/>
              </w:rPr>
              <w:t>n.a.</w:t>
            </w:r>
          </w:p>
        </w:tc>
      </w:tr>
    </w:tbl>
    <w:p w14:paraId="2EB14028" w14:textId="77777777" w:rsidR="002848CD" w:rsidRPr="00FE2BDF" w:rsidRDefault="002848CD" w:rsidP="002848CD">
      <w:pPr>
        <w:rPr>
          <w:rFonts w:cs="Arial"/>
          <w:color w:val="000000" w:themeColor="text1"/>
          <w:szCs w:val="18"/>
        </w:rPr>
      </w:pPr>
    </w:p>
    <w:p w14:paraId="5FA919FD" w14:textId="66A94BF1" w:rsidR="00D17436" w:rsidRPr="00FE2BDF" w:rsidRDefault="002848CD" w:rsidP="002848CD">
      <w:pPr>
        <w:rPr>
          <w:rFonts w:cs="Arial"/>
          <w:color w:val="000000" w:themeColor="text1"/>
          <w:szCs w:val="18"/>
        </w:rPr>
      </w:pPr>
      <w:r w:rsidRPr="00FE2BDF">
        <w:rPr>
          <w:rFonts w:cs="Arial"/>
          <w:color w:val="000000" w:themeColor="text1"/>
          <w:szCs w:val="18"/>
        </w:rPr>
        <w:t>The SEM micrographs of the chars are shown in Figure 6.</w:t>
      </w:r>
      <w:r w:rsidR="000840BC" w:rsidRPr="00FE2BDF">
        <w:rPr>
          <w:rFonts w:cs="Arial"/>
          <w:color w:val="000000" w:themeColor="text1"/>
          <w:szCs w:val="18"/>
        </w:rPr>
        <w:t xml:space="preserve"> As results demonstrate, the surface of the sewage sludge derived chars were amorphous containing many of particles with sh</w:t>
      </w:r>
      <w:r w:rsidR="00D12C51" w:rsidRPr="00FE2BDF">
        <w:rPr>
          <w:rFonts w:cs="Arial"/>
          <w:color w:val="000000" w:themeColor="text1"/>
          <w:szCs w:val="18"/>
        </w:rPr>
        <w:t xml:space="preserve">arp boundary edges. There only small </w:t>
      </w:r>
      <w:r w:rsidR="000840BC" w:rsidRPr="00FE2BDF">
        <w:rPr>
          <w:rFonts w:cs="Arial"/>
          <w:color w:val="000000" w:themeColor="text1"/>
          <w:szCs w:val="18"/>
        </w:rPr>
        <w:t>difference</w:t>
      </w:r>
      <w:r w:rsidR="00D12C51" w:rsidRPr="00FE2BDF">
        <w:rPr>
          <w:rFonts w:cs="Arial"/>
          <w:color w:val="000000" w:themeColor="text1"/>
          <w:szCs w:val="18"/>
        </w:rPr>
        <w:t>s</w:t>
      </w:r>
      <w:r w:rsidR="000840BC" w:rsidRPr="00FE2BDF">
        <w:rPr>
          <w:rFonts w:cs="Arial"/>
          <w:color w:val="000000" w:themeColor="text1"/>
          <w:szCs w:val="18"/>
        </w:rPr>
        <w:t xml:space="preserve"> in morphology of different chars</w:t>
      </w:r>
      <w:r w:rsidR="00D12C51" w:rsidRPr="00FE2BDF">
        <w:rPr>
          <w:rFonts w:cs="Arial"/>
          <w:color w:val="000000" w:themeColor="text1"/>
          <w:szCs w:val="18"/>
        </w:rPr>
        <w:t>, because in some cases agglomerates with different size and shape were found</w:t>
      </w:r>
      <w:r w:rsidR="000840BC" w:rsidRPr="00FE2BDF">
        <w:rPr>
          <w:rFonts w:cs="Arial"/>
          <w:color w:val="000000" w:themeColor="text1"/>
          <w:szCs w:val="18"/>
        </w:rPr>
        <w:t xml:space="preserve">. In some pictures long fibres are </w:t>
      </w:r>
      <w:r w:rsidR="00D12C51" w:rsidRPr="00FE2BDF">
        <w:rPr>
          <w:rFonts w:cs="Arial"/>
          <w:color w:val="000000" w:themeColor="text1"/>
          <w:szCs w:val="18"/>
        </w:rPr>
        <w:t xml:space="preserve">also </w:t>
      </w:r>
      <w:r w:rsidR="000840BC" w:rsidRPr="00FE2BDF">
        <w:rPr>
          <w:rFonts w:cs="Arial"/>
          <w:color w:val="000000" w:themeColor="text1"/>
          <w:szCs w:val="18"/>
        </w:rPr>
        <w:t>visible, w</w:t>
      </w:r>
      <w:r w:rsidR="00D12C51" w:rsidRPr="00FE2BDF">
        <w:rPr>
          <w:rFonts w:cs="Arial"/>
          <w:color w:val="000000" w:themeColor="text1"/>
          <w:szCs w:val="18"/>
        </w:rPr>
        <w:t>hich was the glass wool to be used for sample placement during the pyrolysis reactions</w:t>
      </w:r>
      <w:r w:rsidR="000840BC" w:rsidRPr="00FE2BDF">
        <w:rPr>
          <w:rFonts w:cs="Arial"/>
          <w:color w:val="000000" w:themeColor="text1"/>
          <w:szCs w:val="18"/>
        </w:rPr>
        <w:t>.</w:t>
      </w:r>
    </w:p>
    <w:p w14:paraId="70072F53" w14:textId="77777777" w:rsidR="002848CD" w:rsidRPr="00FE2BDF" w:rsidRDefault="002848CD" w:rsidP="002848CD">
      <w:pPr>
        <w:pStyle w:val="CETBodytext"/>
        <w:rPr>
          <w:color w:val="000000" w:themeColor="text1"/>
        </w:rPr>
      </w:pPr>
    </w:p>
    <w:tbl>
      <w:tblPr>
        <w:tblStyle w:val="Rcsostblzat"/>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4"/>
        <w:gridCol w:w="2264"/>
        <w:gridCol w:w="2264"/>
      </w:tblGrid>
      <w:tr w:rsidR="00A01D2E" w:rsidRPr="00FE2BDF" w14:paraId="46DA7EC9" w14:textId="77777777" w:rsidTr="00F16734">
        <w:tc>
          <w:tcPr>
            <w:tcW w:w="2264" w:type="dxa"/>
          </w:tcPr>
          <w:p w14:paraId="04EC7C77" w14:textId="77777777" w:rsidR="00A01D2E" w:rsidRPr="00FE2BDF" w:rsidRDefault="00A01D2E" w:rsidP="00F16734">
            <w:pPr>
              <w:pStyle w:val="CETBodytext"/>
              <w:ind w:left="-113"/>
              <w:jc w:val="center"/>
              <w:rPr>
                <w:color w:val="000000" w:themeColor="text1"/>
              </w:rPr>
            </w:pPr>
            <w:r w:rsidRPr="00FE2BDF">
              <w:rPr>
                <w:noProof/>
                <w:color w:val="000000" w:themeColor="text1"/>
                <w:lang w:val="hu-HU" w:eastAsia="hu-HU"/>
              </w:rPr>
              <w:drawing>
                <wp:inline distT="0" distB="0" distL="0" distR="0" wp14:anchorId="0DB9C3B8" wp14:editId="2A96209E">
                  <wp:extent cx="1371600" cy="1242060"/>
                  <wp:effectExtent l="0" t="0" r="0"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242060"/>
                          </a:xfrm>
                          <a:prstGeom prst="rect">
                            <a:avLst/>
                          </a:prstGeom>
                          <a:noFill/>
                        </pic:spPr>
                      </pic:pic>
                    </a:graphicData>
                  </a:graphic>
                </wp:inline>
              </w:drawing>
            </w:r>
          </w:p>
        </w:tc>
        <w:tc>
          <w:tcPr>
            <w:tcW w:w="2264" w:type="dxa"/>
          </w:tcPr>
          <w:p w14:paraId="7F6F9035" w14:textId="77777777" w:rsidR="00A01D2E" w:rsidRPr="00FE2BDF" w:rsidRDefault="00A01D2E" w:rsidP="00F16734">
            <w:pPr>
              <w:pStyle w:val="CETBodytext"/>
              <w:ind w:left="-113"/>
              <w:jc w:val="center"/>
              <w:rPr>
                <w:noProof/>
                <w:color w:val="000000" w:themeColor="text1"/>
                <w:lang w:val="hu-HU" w:eastAsia="hu-HU"/>
              </w:rPr>
            </w:pPr>
            <w:r w:rsidRPr="00FE2BDF">
              <w:rPr>
                <w:noProof/>
                <w:color w:val="000000" w:themeColor="text1"/>
                <w:lang w:val="hu-HU" w:eastAsia="hu-HU"/>
              </w:rPr>
              <w:drawing>
                <wp:inline distT="0" distB="0" distL="0" distR="0" wp14:anchorId="5C6E1EC5" wp14:editId="079F4F73">
                  <wp:extent cx="1371600" cy="124206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242060"/>
                          </a:xfrm>
                          <a:prstGeom prst="rect">
                            <a:avLst/>
                          </a:prstGeom>
                          <a:noFill/>
                        </pic:spPr>
                      </pic:pic>
                    </a:graphicData>
                  </a:graphic>
                </wp:inline>
              </w:drawing>
            </w:r>
          </w:p>
        </w:tc>
        <w:tc>
          <w:tcPr>
            <w:tcW w:w="2264" w:type="dxa"/>
          </w:tcPr>
          <w:p w14:paraId="75FC3D2F" w14:textId="77777777" w:rsidR="00A01D2E" w:rsidRPr="00FE2BDF" w:rsidRDefault="00A01D2E" w:rsidP="00F16734">
            <w:pPr>
              <w:pStyle w:val="CETBodytext"/>
              <w:ind w:left="-113"/>
              <w:jc w:val="center"/>
              <w:rPr>
                <w:noProof/>
                <w:color w:val="000000" w:themeColor="text1"/>
                <w:lang w:val="hu-HU" w:eastAsia="hu-HU"/>
              </w:rPr>
            </w:pPr>
            <w:r w:rsidRPr="00FE2BDF">
              <w:rPr>
                <w:noProof/>
                <w:color w:val="000000" w:themeColor="text1"/>
                <w:lang w:val="hu-HU" w:eastAsia="hu-HU"/>
              </w:rPr>
              <w:drawing>
                <wp:inline distT="0" distB="0" distL="0" distR="0" wp14:anchorId="05B7A721" wp14:editId="719340E0">
                  <wp:extent cx="1371600" cy="1242060"/>
                  <wp:effectExtent l="0" t="0" r="0" b="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242060"/>
                          </a:xfrm>
                          <a:prstGeom prst="rect">
                            <a:avLst/>
                          </a:prstGeom>
                          <a:noFill/>
                        </pic:spPr>
                      </pic:pic>
                    </a:graphicData>
                  </a:graphic>
                </wp:inline>
              </w:drawing>
            </w:r>
          </w:p>
        </w:tc>
        <w:tc>
          <w:tcPr>
            <w:tcW w:w="2264" w:type="dxa"/>
          </w:tcPr>
          <w:p w14:paraId="68C41EB2" w14:textId="77777777" w:rsidR="00A01D2E" w:rsidRPr="00FE2BDF" w:rsidRDefault="00A01D2E" w:rsidP="00F16734">
            <w:pPr>
              <w:pStyle w:val="CETBodytext"/>
              <w:ind w:left="-113"/>
              <w:jc w:val="center"/>
              <w:rPr>
                <w:noProof/>
                <w:color w:val="000000" w:themeColor="text1"/>
                <w:lang w:val="hu-HU" w:eastAsia="hu-HU"/>
              </w:rPr>
            </w:pPr>
            <w:r w:rsidRPr="00FE2BDF">
              <w:rPr>
                <w:noProof/>
                <w:color w:val="000000" w:themeColor="text1"/>
                <w:lang w:val="hu-HU" w:eastAsia="hu-HU"/>
              </w:rPr>
              <w:drawing>
                <wp:inline distT="0" distB="0" distL="0" distR="0" wp14:anchorId="392CD1CE" wp14:editId="07798C34">
                  <wp:extent cx="1371600" cy="1242060"/>
                  <wp:effectExtent l="0" t="0" r="0"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1242060"/>
                          </a:xfrm>
                          <a:prstGeom prst="rect">
                            <a:avLst/>
                          </a:prstGeom>
                          <a:noFill/>
                        </pic:spPr>
                      </pic:pic>
                    </a:graphicData>
                  </a:graphic>
                </wp:inline>
              </w:drawing>
            </w:r>
          </w:p>
        </w:tc>
      </w:tr>
      <w:tr w:rsidR="00A01D2E" w:rsidRPr="00FE2BDF" w14:paraId="5F66E9AD" w14:textId="77777777" w:rsidTr="00F16734">
        <w:tc>
          <w:tcPr>
            <w:tcW w:w="2264" w:type="dxa"/>
          </w:tcPr>
          <w:p w14:paraId="473EC2FB" w14:textId="629D8FFB" w:rsidR="00A01D2E" w:rsidRPr="00FE2BDF" w:rsidRDefault="00A01D2E" w:rsidP="00F16734">
            <w:pPr>
              <w:pStyle w:val="CETBodytext"/>
              <w:ind w:left="-113"/>
              <w:jc w:val="center"/>
              <w:rPr>
                <w:color w:val="000000" w:themeColor="text1"/>
              </w:rPr>
            </w:pPr>
            <w:r w:rsidRPr="00FE2BDF">
              <w:rPr>
                <w:color w:val="000000" w:themeColor="text1"/>
                <w:lang w:val="en-GB"/>
              </w:rPr>
              <w:t>1bar, 500°C</w:t>
            </w:r>
          </w:p>
        </w:tc>
        <w:tc>
          <w:tcPr>
            <w:tcW w:w="2264" w:type="dxa"/>
          </w:tcPr>
          <w:p w14:paraId="4DCAE87B" w14:textId="77777777" w:rsidR="00A01D2E" w:rsidRPr="00FE2BDF" w:rsidRDefault="00A01D2E" w:rsidP="00F16734">
            <w:pPr>
              <w:pStyle w:val="CETBodytext"/>
              <w:ind w:left="-113"/>
              <w:jc w:val="center"/>
              <w:rPr>
                <w:color w:val="000000" w:themeColor="text1"/>
                <w:lang w:val="en-GB"/>
              </w:rPr>
            </w:pPr>
            <w:r w:rsidRPr="00FE2BDF">
              <w:rPr>
                <w:color w:val="000000" w:themeColor="text1"/>
                <w:lang w:val="en-GB"/>
              </w:rPr>
              <w:t>1bar, 500°C</w:t>
            </w:r>
          </w:p>
        </w:tc>
        <w:tc>
          <w:tcPr>
            <w:tcW w:w="2264" w:type="dxa"/>
          </w:tcPr>
          <w:p w14:paraId="7C459397" w14:textId="77777777" w:rsidR="00A01D2E" w:rsidRPr="00FE2BDF" w:rsidRDefault="00A01D2E" w:rsidP="00F16734">
            <w:pPr>
              <w:pStyle w:val="CETBodytext"/>
              <w:ind w:left="-113"/>
              <w:jc w:val="center"/>
              <w:rPr>
                <w:color w:val="000000" w:themeColor="text1"/>
                <w:lang w:val="en-GB"/>
              </w:rPr>
            </w:pPr>
            <w:r w:rsidRPr="00FE2BDF">
              <w:rPr>
                <w:color w:val="000000" w:themeColor="text1"/>
                <w:lang w:val="en-GB"/>
              </w:rPr>
              <w:t>0.1bar, 500°C dolomite</w:t>
            </w:r>
          </w:p>
        </w:tc>
        <w:tc>
          <w:tcPr>
            <w:tcW w:w="2264" w:type="dxa"/>
          </w:tcPr>
          <w:p w14:paraId="143C110D" w14:textId="77777777" w:rsidR="00A01D2E" w:rsidRPr="00FE2BDF" w:rsidRDefault="00A01D2E" w:rsidP="00F16734">
            <w:pPr>
              <w:pStyle w:val="CETBodytext"/>
              <w:ind w:left="-113"/>
              <w:jc w:val="center"/>
              <w:rPr>
                <w:color w:val="000000" w:themeColor="text1"/>
                <w:lang w:val="en-GB"/>
              </w:rPr>
            </w:pPr>
            <w:r w:rsidRPr="00FE2BDF">
              <w:rPr>
                <w:color w:val="000000" w:themeColor="text1"/>
                <w:lang w:val="en-GB"/>
              </w:rPr>
              <w:t>1bar, 500°C dolomite</w:t>
            </w:r>
          </w:p>
        </w:tc>
      </w:tr>
      <w:tr w:rsidR="00A01D2E" w:rsidRPr="00FE2BDF" w14:paraId="0A275728" w14:textId="77777777" w:rsidTr="00F16734">
        <w:tc>
          <w:tcPr>
            <w:tcW w:w="2264" w:type="dxa"/>
          </w:tcPr>
          <w:p w14:paraId="0A1F7668" w14:textId="77777777" w:rsidR="00A01D2E" w:rsidRPr="00FE2BDF" w:rsidRDefault="00A01D2E" w:rsidP="00F16734">
            <w:pPr>
              <w:pStyle w:val="CETBodytext"/>
              <w:ind w:left="-113"/>
              <w:jc w:val="center"/>
              <w:rPr>
                <w:color w:val="000000" w:themeColor="text1"/>
              </w:rPr>
            </w:pPr>
            <w:r w:rsidRPr="00FE2BDF">
              <w:rPr>
                <w:noProof/>
                <w:color w:val="000000" w:themeColor="text1"/>
                <w:lang w:val="hu-HU" w:eastAsia="hu-HU"/>
              </w:rPr>
              <w:drawing>
                <wp:inline distT="0" distB="0" distL="0" distR="0" wp14:anchorId="5D045B7D" wp14:editId="0B36B7E2">
                  <wp:extent cx="1371600" cy="1242060"/>
                  <wp:effectExtent l="0" t="0" r="0" b="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1242060"/>
                          </a:xfrm>
                          <a:prstGeom prst="rect">
                            <a:avLst/>
                          </a:prstGeom>
                          <a:noFill/>
                        </pic:spPr>
                      </pic:pic>
                    </a:graphicData>
                  </a:graphic>
                </wp:inline>
              </w:drawing>
            </w:r>
          </w:p>
        </w:tc>
        <w:tc>
          <w:tcPr>
            <w:tcW w:w="2264" w:type="dxa"/>
          </w:tcPr>
          <w:p w14:paraId="740E1E1D" w14:textId="77777777" w:rsidR="00A01D2E" w:rsidRPr="00FE2BDF" w:rsidRDefault="00A01D2E" w:rsidP="00F16734">
            <w:pPr>
              <w:pStyle w:val="CETBodytext"/>
              <w:ind w:left="-113"/>
              <w:jc w:val="center"/>
              <w:rPr>
                <w:noProof/>
                <w:color w:val="000000" w:themeColor="text1"/>
                <w:lang w:val="hu-HU" w:eastAsia="hu-HU"/>
              </w:rPr>
            </w:pPr>
            <w:r w:rsidRPr="00FE2BDF">
              <w:rPr>
                <w:noProof/>
                <w:color w:val="000000" w:themeColor="text1"/>
                <w:lang w:val="hu-HU" w:eastAsia="hu-HU"/>
              </w:rPr>
              <w:drawing>
                <wp:inline distT="0" distB="0" distL="0" distR="0" wp14:anchorId="4D391B0A" wp14:editId="22CF227B">
                  <wp:extent cx="1371600" cy="1242060"/>
                  <wp:effectExtent l="0" t="0" r="0" b="0"/>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1242060"/>
                          </a:xfrm>
                          <a:prstGeom prst="rect">
                            <a:avLst/>
                          </a:prstGeom>
                          <a:noFill/>
                        </pic:spPr>
                      </pic:pic>
                    </a:graphicData>
                  </a:graphic>
                </wp:inline>
              </w:drawing>
            </w:r>
          </w:p>
        </w:tc>
        <w:tc>
          <w:tcPr>
            <w:tcW w:w="2264" w:type="dxa"/>
          </w:tcPr>
          <w:p w14:paraId="5CA6306D" w14:textId="77777777" w:rsidR="00A01D2E" w:rsidRPr="00FE2BDF" w:rsidRDefault="00A01D2E" w:rsidP="00F16734">
            <w:pPr>
              <w:pStyle w:val="CETBodytext"/>
              <w:ind w:left="-113"/>
              <w:jc w:val="center"/>
              <w:rPr>
                <w:noProof/>
                <w:color w:val="000000" w:themeColor="text1"/>
                <w:lang w:val="hu-HU" w:eastAsia="hu-HU"/>
              </w:rPr>
            </w:pPr>
            <w:r w:rsidRPr="00FE2BDF">
              <w:rPr>
                <w:noProof/>
                <w:color w:val="000000" w:themeColor="text1"/>
                <w:lang w:val="hu-HU" w:eastAsia="hu-HU"/>
              </w:rPr>
              <w:drawing>
                <wp:inline distT="0" distB="0" distL="0" distR="0" wp14:anchorId="7F6A85F9" wp14:editId="34A291A0">
                  <wp:extent cx="1371600" cy="1242060"/>
                  <wp:effectExtent l="0" t="0" r="0" b="0"/>
                  <wp:docPr id="28"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1242060"/>
                          </a:xfrm>
                          <a:prstGeom prst="rect">
                            <a:avLst/>
                          </a:prstGeom>
                          <a:noFill/>
                        </pic:spPr>
                      </pic:pic>
                    </a:graphicData>
                  </a:graphic>
                </wp:inline>
              </w:drawing>
            </w:r>
          </w:p>
        </w:tc>
        <w:tc>
          <w:tcPr>
            <w:tcW w:w="2264" w:type="dxa"/>
          </w:tcPr>
          <w:p w14:paraId="6E9CA308" w14:textId="77777777" w:rsidR="00A01D2E" w:rsidRPr="00FE2BDF" w:rsidRDefault="00A01D2E" w:rsidP="00F16734">
            <w:pPr>
              <w:pStyle w:val="CETBodytext"/>
              <w:ind w:left="-113"/>
              <w:jc w:val="center"/>
              <w:rPr>
                <w:noProof/>
                <w:color w:val="000000" w:themeColor="text1"/>
                <w:lang w:val="hu-HU" w:eastAsia="hu-HU"/>
              </w:rPr>
            </w:pPr>
            <w:r w:rsidRPr="00FE2BDF">
              <w:rPr>
                <w:noProof/>
                <w:color w:val="000000" w:themeColor="text1"/>
                <w:lang w:val="hu-HU" w:eastAsia="hu-HU"/>
              </w:rPr>
              <w:drawing>
                <wp:inline distT="0" distB="0" distL="0" distR="0" wp14:anchorId="5BB97DD1" wp14:editId="761C9AD5">
                  <wp:extent cx="1371600" cy="1249680"/>
                  <wp:effectExtent l="0" t="0" r="0" b="762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1249680"/>
                          </a:xfrm>
                          <a:prstGeom prst="rect">
                            <a:avLst/>
                          </a:prstGeom>
                          <a:noFill/>
                        </pic:spPr>
                      </pic:pic>
                    </a:graphicData>
                  </a:graphic>
                </wp:inline>
              </w:drawing>
            </w:r>
          </w:p>
        </w:tc>
      </w:tr>
      <w:tr w:rsidR="00A01D2E" w:rsidRPr="00FE2BDF" w14:paraId="70FF5055" w14:textId="77777777" w:rsidTr="00F16734">
        <w:tc>
          <w:tcPr>
            <w:tcW w:w="2264" w:type="dxa"/>
          </w:tcPr>
          <w:p w14:paraId="224746B7" w14:textId="77777777" w:rsidR="00A01D2E" w:rsidRPr="00FE2BDF" w:rsidRDefault="00A01D2E" w:rsidP="00F16734">
            <w:pPr>
              <w:pStyle w:val="CETBodytext"/>
              <w:ind w:left="-113"/>
              <w:jc w:val="center"/>
              <w:rPr>
                <w:color w:val="000000" w:themeColor="text1"/>
              </w:rPr>
            </w:pPr>
            <w:r w:rsidRPr="00FE2BDF">
              <w:rPr>
                <w:color w:val="000000" w:themeColor="text1"/>
                <w:lang w:val="en-GB"/>
              </w:rPr>
              <w:t>0.1bar, 900°C</w:t>
            </w:r>
          </w:p>
        </w:tc>
        <w:tc>
          <w:tcPr>
            <w:tcW w:w="2264" w:type="dxa"/>
          </w:tcPr>
          <w:p w14:paraId="2370A244" w14:textId="77777777" w:rsidR="00A01D2E" w:rsidRPr="00FE2BDF" w:rsidRDefault="00A01D2E" w:rsidP="00F16734">
            <w:pPr>
              <w:pStyle w:val="CETBodytext"/>
              <w:ind w:left="-113"/>
              <w:jc w:val="center"/>
              <w:rPr>
                <w:color w:val="000000" w:themeColor="text1"/>
                <w:lang w:val="en-GB"/>
              </w:rPr>
            </w:pPr>
            <w:r w:rsidRPr="00FE2BDF">
              <w:rPr>
                <w:color w:val="000000" w:themeColor="text1"/>
                <w:lang w:val="en-GB"/>
              </w:rPr>
              <w:t>1bar, 900°C</w:t>
            </w:r>
          </w:p>
        </w:tc>
        <w:tc>
          <w:tcPr>
            <w:tcW w:w="2264" w:type="dxa"/>
          </w:tcPr>
          <w:p w14:paraId="330DBEA1" w14:textId="77777777" w:rsidR="00A01D2E" w:rsidRPr="00FE2BDF" w:rsidRDefault="00A01D2E" w:rsidP="00F16734">
            <w:pPr>
              <w:pStyle w:val="CETBodytext"/>
              <w:ind w:left="-113"/>
              <w:jc w:val="center"/>
              <w:rPr>
                <w:color w:val="000000" w:themeColor="text1"/>
                <w:lang w:val="en-GB"/>
              </w:rPr>
            </w:pPr>
            <w:r w:rsidRPr="00FE2BDF">
              <w:rPr>
                <w:color w:val="000000" w:themeColor="text1"/>
                <w:lang w:val="en-GB"/>
              </w:rPr>
              <w:t>0.1bar, 900°C dolomite</w:t>
            </w:r>
          </w:p>
        </w:tc>
        <w:tc>
          <w:tcPr>
            <w:tcW w:w="2264" w:type="dxa"/>
          </w:tcPr>
          <w:p w14:paraId="3156FB9C" w14:textId="77777777" w:rsidR="00A01D2E" w:rsidRPr="00FE2BDF" w:rsidRDefault="00A01D2E" w:rsidP="00F16734">
            <w:pPr>
              <w:pStyle w:val="CETBodytext"/>
              <w:ind w:left="-113"/>
              <w:jc w:val="center"/>
              <w:rPr>
                <w:color w:val="000000" w:themeColor="text1"/>
                <w:lang w:val="en-GB"/>
              </w:rPr>
            </w:pPr>
            <w:r w:rsidRPr="00FE2BDF">
              <w:rPr>
                <w:color w:val="000000" w:themeColor="text1"/>
                <w:lang w:val="en-GB"/>
              </w:rPr>
              <w:t>1bar, 900°C dolomite</w:t>
            </w:r>
          </w:p>
        </w:tc>
      </w:tr>
    </w:tbl>
    <w:p w14:paraId="6DF1CB0A" w14:textId="41A49FCE" w:rsidR="002848CD" w:rsidRPr="00FE2BDF" w:rsidRDefault="00011438" w:rsidP="002848CD">
      <w:pPr>
        <w:pStyle w:val="CETBodytext"/>
        <w:rPr>
          <w:i/>
          <w:color w:val="000000" w:themeColor="text1"/>
        </w:rPr>
      </w:pPr>
      <w:r w:rsidRPr="00FE2BDF">
        <w:rPr>
          <w:i/>
          <w:color w:val="000000" w:themeColor="text1"/>
        </w:rPr>
        <w:t>Figure 6</w:t>
      </w:r>
      <w:r w:rsidR="002848CD" w:rsidRPr="00FE2BDF">
        <w:rPr>
          <w:i/>
          <w:color w:val="000000" w:themeColor="text1"/>
        </w:rPr>
        <w:t xml:space="preserve">: The </w:t>
      </w:r>
      <w:r w:rsidR="0067145D" w:rsidRPr="00FE2BDF">
        <w:rPr>
          <w:i/>
          <w:color w:val="000000" w:themeColor="text1"/>
        </w:rPr>
        <w:t>SEM micrographs of sewage sludge derived char</w:t>
      </w:r>
    </w:p>
    <w:p w14:paraId="72DC18DF" w14:textId="77777777" w:rsidR="00FB4773" w:rsidRPr="00FE2BDF" w:rsidRDefault="00FB4773" w:rsidP="00FB4773">
      <w:pPr>
        <w:pStyle w:val="CETHeading1"/>
        <w:rPr>
          <w:color w:val="000000" w:themeColor="text1"/>
          <w:lang w:val="en-GB"/>
        </w:rPr>
      </w:pPr>
      <w:r w:rsidRPr="00FE2BDF">
        <w:rPr>
          <w:color w:val="000000" w:themeColor="text1"/>
          <w:lang w:val="en-GB"/>
        </w:rPr>
        <w:lastRenderedPageBreak/>
        <w:t>Conclusions</w:t>
      </w:r>
    </w:p>
    <w:p w14:paraId="727AA41E" w14:textId="682E1506" w:rsidR="006C17F1" w:rsidRPr="00FE2BDF" w:rsidRDefault="006C17F1" w:rsidP="006C17F1">
      <w:pPr>
        <w:pStyle w:val="CETBodytext"/>
      </w:pPr>
      <w:r w:rsidRPr="00FE2BDF">
        <w:rPr>
          <w:color w:val="000000" w:themeColor="text1"/>
          <w:lang w:val="en-GB"/>
        </w:rPr>
        <w:t>In this work the pyrolysis of cattle manure was investigated using horizontal tubular reactor at 500 and 900°C under vacuum (0.1</w:t>
      </w:r>
      <w:r w:rsidR="008927E7" w:rsidRPr="00FE2BDF">
        <w:rPr>
          <w:color w:val="000000" w:themeColor="text1"/>
          <w:lang w:val="en-GB"/>
        </w:rPr>
        <w:t xml:space="preserve"> </w:t>
      </w:r>
      <w:r w:rsidRPr="00FE2BDF">
        <w:rPr>
          <w:color w:val="000000" w:themeColor="text1"/>
          <w:lang w:val="en-GB"/>
        </w:rPr>
        <w:t>bar) and atmospheric pressure (1.0</w:t>
      </w:r>
      <w:r w:rsidR="008927E7" w:rsidRPr="00FE2BDF">
        <w:rPr>
          <w:color w:val="000000" w:themeColor="text1"/>
          <w:lang w:val="en-GB"/>
        </w:rPr>
        <w:t xml:space="preserve"> </w:t>
      </w:r>
      <w:r w:rsidRPr="00FE2BDF">
        <w:rPr>
          <w:color w:val="000000" w:themeColor="text1"/>
          <w:lang w:val="en-GB"/>
        </w:rPr>
        <w:t>bar). In some cases, to affect the product yields and composition dolomite was used from natural source. It was concluded, that the higher temperature the presence of dolomite and the vacuum favoured to the increasing in gas yield. At 500°C, gases contained vast amount of CO using vacuum, while methane and C</w:t>
      </w:r>
      <w:r w:rsidRPr="00FE2BDF">
        <w:rPr>
          <w:color w:val="000000" w:themeColor="text1"/>
          <w:vertAlign w:val="subscript"/>
          <w:lang w:val="en-GB"/>
        </w:rPr>
        <w:t>2</w:t>
      </w:r>
      <w:r w:rsidRPr="00FE2BDF">
        <w:rPr>
          <w:color w:val="000000" w:themeColor="text1"/>
          <w:lang w:val="en-GB"/>
        </w:rPr>
        <w:t>-C</w:t>
      </w:r>
      <w:r w:rsidRPr="00FE2BDF">
        <w:rPr>
          <w:color w:val="000000" w:themeColor="text1"/>
          <w:vertAlign w:val="subscript"/>
          <w:lang w:val="en-GB"/>
        </w:rPr>
        <w:t>6</w:t>
      </w:r>
      <w:r w:rsidRPr="00FE2BDF">
        <w:rPr>
          <w:color w:val="000000" w:themeColor="text1"/>
          <w:lang w:val="en-GB"/>
        </w:rPr>
        <w:t xml:space="preserve"> compounds at 1</w:t>
      </w:r>
      <w:r w:rsidR="008927E7" w:rsidRPr="00FE2BDF">
        <w:rPr>
          <w:color w:val="000000" w:themeColor="text1"/>
          <w:lang w:val="en-GB"/>
        </w:rPr>
        <w:t>.0</w:t>
      </w:r>
      <w:r w:rsidRPr="00FE2BDF">
        <w:rPr>
          <w:color w:val="000000" w:themeColor="text1"/>
          <w:lang w:val="en-GB"/>
        </w:rPr>
        <w:t xml:space="preserve"> bar pressure. The temperature of 900°C enhanced the hydrogen production, which can be further increase by the using of dolomite. It is important to mentioned, that the lower pressure in the pyrolysis reactor decreased the concentration of hydrogen, CO and methane at both 500 and 900°C. More syngas was summarized at 900°C </w:t>
      </w:r>
      <w:r w:rsidRPr="00FE2BDF">
        <w:rPr>
          <w:rFonts w:cs="Arial"/>
          <w:szCs w:val="18"/>
        </w:rPr>
        <w:t>(46.6-67.4mmol/g raw material), furthermore, due to the more CO content, the lower pressure favored to the higher syngas yield</w:t>
      </w:r>
      <w:r w:rsidRPr="00FE2BDF">
        <w:rPr>
          <w:color w:val="000000" w:themeColor="text1"/>
          <w:lang w:val="en-GB"/>
        </w:rPr>
        <w:t xml:space="preserve">. Regarding the hydrogen/CO ratio, </w:t>
      </w:r>
      <w:r w:rsidRPr="00FE2BDF">
        <w:rPr>
          <w:rFonts w:cs="Arial"/>
          <w:szCs w:val="18"/>
        </w:rPr>
        <w:t>lower values ​​were found in vacuum at both temperatures than at atmospheric pressure, however, higher CO/CO</w:t>
      </w:r>
      <w:r w:rsidRPr="00FE2BDF">
        <w:rPr>
          <w:rFonts w:cs="Arial"/>
          <w:szCs w:val="18"/>
          <w:vertAlign w:val="subscript"/>
        </w:rPr>
        <w:t>2</w:t>
      </w:r>
      <w:r w:rsidRPr="00FE2BDF">
        <w:rPr>
          <w:rFonts w:cs="Arial"/>
          <w:szCs w:val="18"/>
        </w:rPr>
        <w:t xml:space="preserve"> ratios was calculated using vacuum or lower temperature. Furthermore, the dolomite can also increase the CO/CO</w:t>
      </w:r>
      <w:r w:rsidRPr="00FE2BDF">
        <w:rPr>
          <w:rFonts w:cs="Arial"/>
          <w:szCs w:val="18"/>
          <w:vertAlign w:val="subscript"/>
        </w:rPr>
        <w:t>2</w:t>
      </w:r>
      <w:r w:rsidRPr="00FE2BDF">
        <w:rPr>
          <w:rFonts w:cs="Arial"/>
          <w:szCs w:val="18"/>
        </w:rPr>
        <w:t xml:space="preserve"> ratio. Regarding the char, due to Boudouard reaction, significantly less carbon was measured in char obtained at 900°C, than that of at 500°C. SEM micrographs shows, that the chars looks amorphous with </w:t>
      </w:r>
      <w:r w:rsidRPr="00FE2BDF">
        <w:rPr>
          <w:rFonts w:cs="Arial"/>
          <w:color w:val="000000" w:themeColor="text1"/>
          <w:szCs w:val="18"/>
        </w:rPr>
        <w:t>many of particles with sharp boundary edges.</w:t>
      </w:r>
    </w:p>
    <w:p w14:paraId="72CB0D31" w14:textId="77777777" w:rsidR="00FB4773" w:rsidRPr="00FE2BDF" w:rsidRDefault="00FB4773" w:rsidP="00FB4773">
      <w:pPr>
        <w:pStyle w:val="CETAcknowledgementstitle"/>
        <w:rPr>
          <w:color w:val="000000" w:themeColor="text1"/>
        </w:rPr>
      </w:pPr>
      <w:r w:rsidRPr="00FE2BDF">
        <w:rPr>
          <w:color w:val="000000" w:themeColor="text1"/>
        </w:rPr>
        <w:t>Acknowledgments</w:t>
      </w:r>
    </w:p>
    <w:p w14:paraId="72C5FF65" w14:textId="77777777" w:rsidR="00FB4773" w:rsidRPr="00FE2BDF" w:rsidRDefault="00FB4773" w:rsidP="00011438">
      <w:pPr>
        <w:pStyle w:val="CETReference"/>
        <w:jc w:val="both"/>
        <w:rPr>
          <w:b w:val="0"/>
          <w:color w:val="000000" w:themeColor="text1"/>
        </w:rPr>
      </w:pPr>
      <w:r w:rsidRPr="00FE2BDF">
        <w:rPr>
          <w:b w:val="0"/>
          <w:color w:val="000000" w:themeColor="text1"/>
        </w:rPr>
        <w:t>This project (2019-2.1.13-TÉT_IN-2020-00071) was financed by the Ministry of Innovation and Technology from the National Research Development and Innovation Fund, within the 2019-2.1.13-TÉT_IN program.</w:t>
      </w:r>
    </w:p>
    <w:p w14:paraId="30E3AEF8" w14:textId="77777777" w:rsidR="00FB4773" w:rsidRPr="00FE2BDF" w:rsidRDefault="00FB4773" w:rsidP="00FB4773">
      <w:pPr>
        <w:pStyle w:val="CETReference"/>
        <w:rPr>
          <w:color w:val="000000" w:themeColor="text1"/>
        </w:rPr>
      </w:pPr>
      <w:r w:rsidRPr="00FE2BDF">
        <w:rPr>
          <w:color w:val="000000" w:themeColor="text1"/>
        </w:rPr>
        <w:t>References</w:t>
      </w:r>
    </w:p>
    <w:p w14:paraId="2B18DD98" w14:textId="77777777" w:rsidR="00D479E0" w:rsidRPr="00FE2BDF" w:rsidRDefault="00D479E0" w:rsidP="00D479E0">
      <w:pPr>
        <w:pStyle w:val="CETReferencetext"/>
        <w:rPr>
          <w:color w:val="000000" w:themeColor="text1"/>
        </w:rPr>
      </w:pPr>
      <w:r w:rsidRPr="00FE2BDF">
        <w:rPr>
          <w:color w:val="000000" w:themeColor="text1"/>
        </w:rPr>
        <w:t>Fonts I., Juan A., Gea G., Murillo M.B., Sanchez J.L., 2008, Sewage sludge pyrolysis in fluidized bed, 1: influence of operational conditions on the product distribution, Industrial &amp; Engineering Chemistry Research, 47, 5376-5385</w:t>
      </w:r>
    </w:p>
    <w:p w14:paraId="6EC27F01" w14:textId="1DE44D23" w:rsidR="00FB4773" w:rsidRPr="00FE2BDF" w:rsidRDefault="00FB4773" w:rsidP="006A0D67">
      <w:pPr>
        <w:pStyle w:val="CETReferencetext"/>
        <w:rPr>
          <w:color w:val="000000" w:themeColor="text1"/>
        </w:rPr>
      </w:pPr>
      <w:r w:rsidRPr="00FE2BDF">
        <w:rPr>
          <w:color w:val="000000" w:themeColor="text1"/>
        </w:rPr>
        <w:t>Gao</w:t>
      </w:r>
      <w:r w:rsidR="006A0D67" w:rsidRPr="00FE2BDF">
        <w:rPr>
          <w:color w:val="000000" w:themeColor="text1"/>
        </w:rPr>
        <w:t xml:space="preserve"> N.</w:t>
      </w:r>
      <w:r w:rsidRPr="00FE2BDF">
        <w:rPr>
          <w:color w:val="000000" w:themeColor="text1"/>
        </w:rPr>
        <w:t>, Kamran</w:t>
      </w:r>
      <w:r w:rsidR="006A0D67" w:rsidRPr="00FE2BDF">
        <w:rPr>
          <w:color w:val="000000" w:themeColor="text1"/>
        </w:rPr>
        <w:t xml:space="preserve"> K</w:t>
      </w:r>
      <w:r w:rsidRPr="00FE2BDF">
        <w:rPr>
          <w:color w:val="000000" w:themeColor="text1"/>
        </w:rPr>
        <w:t>, Quan</w:t>
      </w:r>
      <w:r w:rsidR="006A0D67" w:rsidRPr="00FE2BDF">
        <w:rPr>
          <w:color w:val="000000" w:themeColor="text1"/>
        </w:rPr>
        <w:t xml:space="preserve"> C.</w:t>
      </w:r>
      <w:r w:rsidRPr="00FE2BDF">
        <w:rPr>
          <w:color w:val="000000" w:themeColor="text1"/>
        </w:rPr>
        <w:t>, Williams</w:t>
      </w:r>
      <w:r w:rsidR="00681B93" w:rsidRPr="00FE2BDF">
        <w:rPr>
          <w:color w:val="000000" w:themeColor="text1"/>
        </w:rPr>
        <w:t xml:space="preserve"> P</w:t>
      </w:r>
      <w:r w:rsidR="006A0D67" w:rsidRPr="00FE2BDF">
        <w:rPr>
          <w:color w:val="000000" w:themeColor="text1"/>
        </w:rPr>
        <w:t xml:space="preserve">T., 2020, </w:t>
      </w:r>
      <w:r w:rsidRPr="00FE2BDF">
        <w:rPr>
          <w:color w:val="000000" w:themeColor="text1"/>
        </w:rPr>
        <w:t>Thermochemical conversion of s</w:t>
      </w:r>
      <w:r w:rsidR="006A0D67" w:rsidRPr="00FE2BDF">
        <w:rPr>
          <w:color w:val="000000" w:themeColor="text1"/>
        </w:rPr>
        <w:t>ewage sludge: a critical review,</w:t>
      </w:r>
      <w:r w:rsidRPr="00FE2BDF">
        <w:rPr>
          <w:color w:val="000000" w:themeColor="text1"/>
        </w:rPr>
        <w:t xml:space="preserve"> Progress in Energy and Combustion Science</w:t>
      </w:r>
      <w:r w:rsidR="006A0D67" w:rsidRPr="00FE2BDF">
        <w:rPr>
          <w:color w:val="000000" w:themeColor="text1"/>
        </w:rPr>
        <w:t>,</w:t>
      </w:r>
      <w:r w:rsidRPr="00FE2BDF">
        <w:rPr>
          <w:color w:val="000000" w:themeColor="text1"/>
        </w:rPr>
        <w:t xml:space="preserve"> 79</w:t>
      </w:r>
      <w:r w:rsidR="006A0D67" w:rsidRPr="00FE2BDF">
        <w:rPr>
          <w:color w:val="000000" w:themeColor="text1"/>
        </w:rPr>
        <w:t>,</w:t>
      </w:r>
      <w:r w:rsidRPr="00FE2BDF">
        <w:rPr>
          <w:color w:val="000000" w:themeColor="text1"/>
        </w:rPr>
        <w:t xml:space="preserve"> 100843.</w:t>
      </w:r>
    </w:p>
    <w:p w14:paraId="2FAA14A8" w14:textId="77777777" w:rsidR="00D479E0" w:rsidRPr="00FE2BDF" w:rsidRDefault="00D479E0" w:rsidP="00D479E0">
      <w:pPr>
        <w:pStyle w:val="CETReferencetext"/>
        <w:rPr>
          <w:color w:val="000000" w:themeColor="text1"/>
        </w:rPr>
      </w:pPr>
      <w:r w:rsidRPr="00FE2BDF">
        <w:rPr>
          <w:color w:val="000000" w:themeColor="text1"/>
        </w:rPr>
        <w:t>Hossain M.K., Strezov V., Chan K.Y., Ziolkowski A., Nelson P.F., 2011, Influence of pyrolysis temperature on production and nutrient properties of wastewater sludge biochar, Journal of Environmental Management, 92, 223-228</w:t>
      </w:r>
    </w:p>
    <w:p w14:paraId="368F43DF" w14:textId="19E144E3" w:rsidR="00FB4773" w:rsidRPr="00FE2BDF" w:rsidRDefault="00FB4773" w:rsidP="00681B93">
      <w:pPr>
        <w:pStyle w:val="CETReferencetext"/>
        <w:rPr>
          <w:color w:val="000000" w:themeColor="text1"/>
        </w:rPr>
      </w:pPr>
      <w:r w:rsidRPr="00FE2BDF">
        <w:rPr>
          <w:color w:val="000000" w:themeColor="text1"/>
        </w:rPr>
        <w:t>Kang</w:t>
      </w:r>
      <w:r w:rsidR="006A0D67" w:rsidRPr="00FE2BDF">
        <w:rPr>
          <w:color w:val="000000" w:themeColor="text1"/>
        </w:rPr>
        <w:t xml:space="preserve"> K.</w:t>
      </w:r>
      <w:r w:rsidRPr="00FE2BDF">
        <w:rPr>
          <w:color w:val="000000" w:themeColor="text1"/>
        </w:rPr>
        <w:t>, Qiu</w:t>
      </w:r>
      <w:r w:rsidR="006A0D67" w:rsidRPr="00FE2BDF">
        <w:rPr>
          <w:color w:val="000000" w:themeColor="text1"/>
        </w:rPr>
        <w:t xml:space="preserve"> L.</w:t>
      </w:r>
      <w:r w:rsidRPr="00FE2BDF">
        <w:rPr>
          <w:color w:val="000000" w:themeColor="text1"/>
        </w:rPr>
        <w:t>, Sun</w:t>
      </w:r>
      <w:r w:rsidR="006A0D67" w:rsidRPr="00FE2BDF">
        <w:rPr>
          <w:color w:val="000000" w:themeColor="text1"/>
        </w:rPr>
        <w:t xml:space="preserve"> G.</w:t>
      </w:r>
      <w:r w:rsidRPr="00FE2BDF">
        <w:rPr>
          <w:color w:val="000000" w:themeColor="text1"/>
        </w:rPr>
        <w:t>, Zhu</w:t>
      </w:r>
      <w:r w:rsidR="006A0D67" w:rsidRPr="00FE2BDF">
        <w:rPr>
          <w:color w:val="000000" w:themeColor="text1"/>
        </w:rPr>
        <w:t xml:space="preserve"> M.</w:t>
      </w:r>
      <w:r w:rsidRPr="00FE2BDF">
        <w:rPr>
          <w:color w:val="000000" w:themeColor="text1"/>
        </w:rPr>
        <w:t>, Yang</w:t>
      </w:r>
      <w:r w:rsidR="006A0D67" w:rsidRPr="00FE2BDF">
        <w:rPr>
          <w:color w:val="000000" w:themeColor="text1"/>
        </w:rPr>
        <w:t xml:space="preserve"> X</w:t>
      </w:r>
      <w:r w:rsidRPr="00FE2BDF">
        <w:rPr>
          <w:color w:val="000000" w:themeColor="text1"/>
        </w:rPr>
        <w:t>, Yao</w:t>
      </w:r>
      <w:r w:rsidR="006A0D67" w:rsidRPr="00FE2BDF">
        <w:rPr>
          <w:color w:val="000000" w:themeColor="text1"/>
        </w:rPr>
        <w:t xml:space="preserve"> Y.</w:t>
      </w:r>
      <w:r w:rsidRPr="00FE2BDF">
        <w:rPr>
          <w:color w:val="000000" w:themeColor="text1"/>
        </w:rPr>
        <w:t>, Sun</w:t>
      </w:r>
      <w:r w:rsidR="006A0D67" w:rsidRPr="00FE2BDF">
        <w:rPr>
          <w:color w:val="000000" w:themeColor="text1"/>
        </w:rPr>
        <w:t xml:space="preserve"> R., 2019,</w:t>
      </w:r>
      <w:r w:rsidRPr="00FE2BDF">
        <w:rPr>
          <w:color w:val="000000" w:themeColor="text1"/>
        </w:rPr>
        <w:t xml:space="preserve"> Co</w:t>
      </w:r>
      <w:r w:rsidR="00A12812" w:rsidRPr="00FE2BDF">
        <w:rPr>
          <w:color w:val="000000" w:themeColor="text1"/>
        </w:rPr>
        <w:t xml:space="preserve"> </w:t>
      </w:r>
      <w:r w:rsidRPr="00FE2BDF">
        <w:rPr>
          <w:color w:val="000000" w:themeColor="text1"/>
        </w:rPr>
        <w:t>densification technology as a critical strategy for energy recovery from biomass and other resources - A review, Renewable and Sustainable Ener</w:t>
      </w:r>
      <w:r w:rsidR="00A12812" w:rsidRPr="00FE2BDF">
        <w:rPr>
          <w:color w:val="000000" w:themeColor="text1"/>
        </w:rPr>
        <w:t>g</w:t>
      </w:r>
      <w:r w:rsidRPr="00FE2BDF">
        <w:rPr>
          <w:color w:val="000000" w:themeColor="text1"/>
        </w:rPr>
        <w:t>y Reviews, 116</w:t>
      </w:r>
      <w:r w:rsidR="006A0D67" w:rsidRPr="00FE2BDF">
        <w:rPr>
          <w:color w:val="000000" w:themeColor="text1"/>
        </w:rPr>
        <w:t>,</w:t>
      </w:r>
      <w:r w:rsidRPr="00FE2BDF">
        <w:rPr>
          <w:color w:val="000000" w:themeColor="text1"/>
        </w:rPr>
        <w:t xml:space="preserve"> 109414</w:t>
      </w:r>
    </w:p>
    <w:p w14:paraId="220FC00D" w14:textId="3B85DFA3" w:rsidR="00D479E0" w:rsidRPr="00FE2BDF" w:rsidRDefault="00D479E0" w:rsidP="00D479E0">
      <w:pPr>
        <w:pStyle w:val="CETReferencetext"/>
        <w:rPr>
          <w:color w:val="000000" w:themeColor="text1"/>
        </w:rPr>
      </w:pPr>
      <w:r w:rsidRPr="00FE2BDF">
        <w:rPr>
          <w:color w:val="000000" w:themeColor="text1"/>
        </w:rPr>
        <w:t>Morni N.A.H., Yeung C.M., Tian H., Yang Y., Phusunti N., Bakar M.S.A., Azad A.K., 2021, Catalytic fast Co-Pyrolysis of sewage sludge</w:t>
      </w:r>
      <w:r w:rsidR="00A12812" w:rsidRPr="00FE2BDF">
        <w:rPr>
          <w:color w:val="000000" w:themeColor="text1"/>
        </w:rPr>
        <w:t xml:space="preserve"> </w:t>
      </w:r>
      <w:r w:rsidRPr="00FE2BDF">
        <w:rPr>
          <w:color w:val="000000" w:themeColor="text1"/>
        </w:rPr>
        <w:t>sawdust using mixed metal oxides modified with ZSM-5 catalysts on dual-catalysts for product upgrading, Journal of Energy Institute, 94, 387-397</w:t>
      </w:r>
    </w:p>
    <w:p w14:paraId="1D22490A" w14:textId="77777777" w:rsidR="00D479E0" w:rsidRPr="00FE2BDF" w:rsidRDefault="00D479E0" w:rsidP="00D479E0">
      <w:pPr>
        <w:pStyle w:val="CETReferencetext"/>
        <w:rPr>
          <w:color w:val="000000" w:themeColor="text1"/>
        </w:rPr>
      </w:pPr>
      <w:r w:rsidRPr="00FE2BDF">
        <w:rPr>
          <w:color w:val="000000" w:themeColor="text1"/>
        </w:rPr>
        <w:t>Qi G.-X., Li C., Mei Y., Xu W., Shen Y., Gao X., 2020, A new strategy for nitrogen containing compounds recovery from gaseous products during sewage sludge pyrolysis under vacuum condition, Journal of Environmental Chemical Engineering, 8, 104452</w:t>
      </w:r>
    </w:p>
    <w:p w14:paraId="312B9B41" w14:textId="042F7574" w:rsidR="00FB4773" w:rsidRPr="00FE2BDF" w:rsidRDefault="00FB4773" w:rsidP="00681B93">
      <w:pPr>
        <w:pStyle w:val="CETReferencetext"/>
        <w:rPr>
          <w:color w:val="000000" w:themeColor="text1"/>
        </w:rPr>
      </w:pPr>
      <w:r w:rsidRPr="00FE2BDF">
        <w:rPr>
          <w:color w:val="000000" w:themeColor="text1"/>
        </w:rPr>
        <w:t>Soria-Verdugo</w:t>
      </w:r>
      <w:r w:rsidR="00D479E0" w:rsidRPr="00FE2BDF">
        <w:rPr>
          <w:color w:val="000000" w:themeColor="text1"/>
        </w:rPr>
        <w:t xml:space="preserve"> A.</w:t>
      </w:r>
      <w:r w:rsidR="006A0D67" w:rsidRPr="00FE2BDF">
        <w:rPr>
          <w:color w:val="000000" w:themeColor="text1"/>
        </w:rPr>
        <w:t>, 2020,</w:t>
      </w:r>
      <w:r w:rsidRPr="00FE2BDF">
        <w:rPr>
          <w:color w:val="000000" w:themeColor="text1"/>
        </w:rPr>
        <w:t xml:space="preserve"> Wastewater Treatment Residues as Resources for Biorefinery Products and Biofuels, </w:t>
      </w:r>
      <w:r w:rsidR="006A0D67" w:rsidRPr="00FE2BDF">
        <w:rPr>
          <w:color w:val="000000" w:themeColor="text1"/>
        </w:rPr>
        <w:t>Chapter</w:t>
      </w:r>
      <w:r w:rsidRPr="00FE2BDF">
        <w:rPr>
          <w:color w:val="000000" w:themeColor="text1"/>
        </w:rPr>
        <w:t xml:space="preserve"> 8</w:t>
      </w:r>
      <w:r w:rsidR="006A0D67" w:rsidRPr="00FE2BDF">
        <w:rPr>
          <w:color w:val="000000" w:themeColor="text1"/>
        </w:rPr>
        <w:t xml:space="preserve">, </w:t>
      </w:r>
      <w:r w:rsidRPr="00FE2BDF">
        <w:rPr>
          <w:color w:val="000000" w:themeColor="text1"/>
        </w:rPr>
        <w:t>155-181</w:t>
      </w:r>
    </w:p>
    <w:p w14:paraId="73DF6697" w14:textId="00ABA2A1" w:rsidR="00FB4773" w:rsidRPr="00FE2BDF" w:rsidRDefault="00FB4773" w:rsidP="00D479E0">
      <w:pPr>
        <w:pStyle w:val="CETReferencetext"/>
        <w:rPr>
          <w:color w:val="000000" w:themeColor="text1"/>
        </w:rPr>
      </w:pPr>
      <w:r w:rsidRPr="00FE2BDF">
        <w:rPr>
          <w:color w:val="000000" w:themeColor="text1"/>
        </w:rPr>
        <w:t>Yang</w:t>
      </w:r>
      <w:r w:rsidR="00D479E0" w:rsidRPr="00FE2BDF">
        <w:rPr>
          <w:color w:val="000000" w:themeColor="text1"/>
        </w:rPr>
        <w:t xml:space="preserve"> P.</w:t>
      </w:r>
      <w:r w:rsidRPr="00FE2BDF">
        <w:rPr>
          <w:color w:val="000000" w:themeColor="text1"/>
        </w:rPr>
        <w:t>, Wei</w:t>
      </w:r>
      <w:r w:rsidR="00D479E0" w:rsidRPr="00FE2BDF">
        <w:rPr>
          <w:color w:val="000000" w:themeColor="text1"/>
        </w:rPr>
        <w:t xml:space="preserve"> J.</w:t>
      </w:r>
      <w:r w:rsidRPr="00FE2BDF">
        <w:rPr>
          <w:color w:val="000000" w:themeColor="text1"/>
        </w:rPr>
        <w:t>, Qu</w:t>
      </w:r>
      <w:r w:rsidR="00D479E0" w:rsidRPr="00FE2BDF">
        <w:rPr>
          <w:color w:val="000000" w:themeColor="text1"/>
        </w:rPr>
        <w:t xml:space="preserve">., 2015, </w:t>
      </w:r>
      <w:r w:rsidRPr="00FE2BDF">
        <w:rPr>
          <w:color w:val="000000" w:themeColor="text1"/>
        </w:rPr>
        <w:t>Vacuum pyrolysis of oil sludge from yanchang oilfield. Environ</w:t>
      </w:r>
      <w:r w:rsidR="00D479E0" w:rsidRPr="00FE2BDF">
        <w:rPr>
          <w:color w:val="000000" w:themeColor="text1"/>
        </w:rPr>
        <w:t>mental</w:t>
      </w:r>
      <w:r w:rsidRPr="00FE2BDF">
        <w:rPr>
          <w:color w:val="000000" w:themeColor="text1"/>
        </w:rPr>
        <w:t xml:space="preserve"> Eng</w:t>
      </w:r>
      <w:r w:rsidR="00D479E0" w:rsidRPr="00FE2BDF">
        <w:rPr>
          <w:color w:val="000000" w:themeColor="text1"/>
        </w:rPr>
        <w:t>ineering,</w:t>
      </w:r>
      <w:r w:rsidRPr="00FE2BDF">
        <w:rPr>
          <w:color w:val="000000" w:themeColor="text1"/>
        </w:rPr>
        <w:t xml:space="preserve"> 33</w:t>
      </w:r>
      <w:r w:rsidR="00D479E0" w:rsidRPr="00FE2BDF">
        <w:rPr>
          <w:color w:val="000000" w:themeColor="text1"/>
        </w:rPr>
        <w:t>,</w:t>
      </w:r>
      <w:r w:rsidRPr="00FE2BDF">
        <w:rPr>
          <w:color w:val="000000" w:themeColor="text1"/>
        </w:rPr>
        <w:t xml:space="preserve"> 101</w:t>
      </w:r>
      <w:r w:rsidR="00D479E0" w:rsidRPr="00FE2BDF">
        <w:rPr>
          <w:color w:val="000000" w:themeColor="text1"/>
        </w:rPr>
        <w:t>-</w:t>
      </w:r>
      <w:r w:rsidRPr="00FE2BDF">
        <w:rPr>
          <w:color w:val="000000" w:themeColor="text1"/>
        </w:rPr>
        <w:t>103.</w:t>
      </w:r>
    </w:p>
    <w:p w14:paraId="153C48DB" w14:textId="77777777" w:rsidR="00D479E0" w:rsidRPr="00FE2BDF" w:rsidRDefault="00D479E0" w:rsidP="00D479E0">
      <w:pPr>
        <w:pStyle w:val="CETReferencetext"/>
        <w:rPr>
          <w:color w:val="000000" w:themeColor="text1"/>
        </w:rPr>
      </w:pPr>
      <w:r w:rsidRPr="00FE2BDF">
        <w:rPr>
          <w:color w:val="000000" w:themeColor="text1"/>
        </w:rPr>
        <w:t>Zaker A., Chen Z., Zaheer-Uddin M., 2021, Catalytic pyrolysis of sewage sludge with HZSM5 and sludge-derived activated char: A comparative study using TGA-MS and artificial neural networks, Journal of Environmental Chemical Engineering, 9, 105891</w:t>
      </w:r>
    </w:p>
    <w:p w14:paraId="5C6FA876" w14:textId="40DDA7FA" w:rsidR="00FB4773" w:rsidRPr="00D479E0" w:rsidRDefault="00FB4773" w:rsidP="00D479E0">
      <w:pPr>
        <w:pStyle w:val="CETReferencetext"/>
        <w:rPr>
          <w:color w:val="000000" w:themeColor="text1"/>
        </w:rPr>
      </w:pPr>
      <w:r w:rsidRPr="00FE2BDF">
        <w:rPr>
          <w:color w:val="000000" w:themeColor="text1"/>
        </w:rPr>
        <w:t>Zhang</w:t>
      </w:r>
      <w:r w:rsidR="00D479E0" w:rsidRPr="00FE2BDF">
        <w:rPr>
          <w:color w:val="000000" w:themeColor="text1"/>
        </w:rPr>
        <w:t xml:space="preserve"> W.</w:t>
      </w:r>
      <w:r w:rsidRPr="00FE2BDF">
        <w:rPr>
          <w:color w:val="000000" w:themeColor="text1"/>
        </w:rPr>
        <w:t>, Yuan</w:t>
      </w:r>
      <w:r w:rsidR="00D479E0" w:rsidRPr="00FE2BDF">
        <w:rPr>
          <w:color w:val="000000" w:themeColor="text1"/>
        </w:rPr>
        <w:t xml:space="preserve"> C.</w:t>
      </w:r>
      <w:r w:rsidRPr="00FE2BDF">
        <w:rPr>
          <w:color w:val="000000" w:themeColor="text1"/>
        </w:rPr>
        <w:t>, Xu</w:t>
      </w:r>
      <w:r w:rsidR="00D479E0" w:rsidRPr="00FE2BDF">
        <w:rPr>
          <w:color w:val="000000" w:themeColor="text1"/>
        </w:rPr>
        <w:t xml:space="preserve"> J.</w:t>
      </w:r>
      <w:r w:rsidRPr="00FE2BDF">
        <w:rPr>
          <w:color w:val="000000" w:themeColor="text1"/>
        </w:rPr>
        <w:t>, Yang</w:t>
      </w:r>
      <w:r w:rsidR="00D479E0" w:rsidRPr="00FE2BDF">
        <w:rPr>
          <w:color w:val="000000" w:themeColor="text1"/>
        </w:rPr>
        <w:t xml:space="preserve"> X., 2015,</w:t>
      </w:r>
      <w:r w:rsidRPr="00FE2BDF">
        <w:rPr>
          <w:color w:val="000000" w:themeColor="text1"/>
        </w:rPr>
        <w:t xml:space="preserve"> Beneficial synergetic effect on gas production during co-pyrolysis of sewage sludge and biomass in a vacuum reactor, Bioresource Technology</w:t>
      </w:r>
      <w:r w:rsidR="00D479E0" w:rsidRPr="00FE2BDF">
        <w:rPr>
          <w:color w:val="000000" w:themeColor="text1"/>
        </w:rPr>
        <w:t xml:space="preserve">, </w:t>
      </w:r>
      <w:r w:rsidRPr="00FE2BDF">
        <w:rPr>
          <w:color w:val="000000" w:themeColor="text1"/>
        </w:rPr>
        <w:t>183</w:t>
      </w:r>
      <w:r w:rsidR="00D479E0" w:rsidRPr="00FE2BDF">
        <w:rPr>
          <w:color w:val="000000" w:themeColor="text1"/>
        </w:rPr>
        <w:t>,</w:t>
      </w:r>
      <w:r w:rsidRPr="00FE2BDF">
        <w:rPr>
          <w:color w:val="000000" w:themeColor="text1"/>
        </w:rPr>
        <w:t xml:space="preserve"> 255-258</w:t>
      </w:r>
    </w:p>
    <w:p w14:paraId="6D764F06" w14:textId="77777777" w:rsidR="00FB4773" w:rsidRDefault="00FB4773">
      <w:pPr>
        <w:tabs>
          <w:tab w:val="clear" w:pos="7100"/>
        </w:tabs>
        <w:spacing w:after="200" w:line="276" w:lineRule="auto"/>
        <w:jc w:val="left"/>
        <w:rPr>
          <w:b/>
          <w:color w:val="000000" w:themeColor="text1"/>
          <w:lang w:val="en-US"/>
        </w:rPr>
      </w:pPr>
    </w:p>
    <w:sectPr w:rsidR="00FB4773"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F9D4F" w14:textId="77777777" w:rsidR="00817EE5" w:rsidRDefault="00817EE5" w:rsidP="004F5E36">
      <w:r>
        <w:separator/>
      </w:r>
    </w:p>
  </w:endnote>
  <w:endnote w:type="continuationSeparator" w:id="0">
    <w:p w14:paraId="20C3A118" w14:textId="77777777" w:rsidR="00817EE5" w:rsidRDefault="00817EE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10C32" w14:textId="77777777" w:rsidR="00817EE5" w:rsidRDefault="00817EE5" w:rsidP="004F5E36">
      <w:r>
        <w:separator/>
      </w:r>
    </w:p>
  </w:footnote>
  <w:footnote w:type="continuationSeparator" w:id="0">
    <w:p w14:paraId="081C402E" w14:textId="77777777" w:rsidR="00817EE5" w:rsidRDefault="00817EE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086800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DAC61DF"/>
    <w:multiLevelType w:val="multilevel"/>
    <w:tmpl w:val="F970C030"/>
    <w:lvl w:ilvl="0">
      <w:start w:val="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2006D8"/>
    <w:multiLevelType w:val="hybridMultilevel"/>
    <w:tmpl w:val="799CC812"/>
    <w:lvl w:ilvl="0" w:tplc="1898DE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 w:numId="23">
    <w:abstractNumId w:val="10"/>
  </w:num>
  <w:num w:numId="24">
    <w:abstractNumId w:val="10"/>
  </w:num>
  <w:num w:numId="25">
    <w:abstractNumId w:val="21"/>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1"/>
  </w:num>
  <w:num w:numId="33">
    <w:abstractNumId w:val="1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2EF"/>
    <w:rsid w:val="00011438"/>
    <w:rsid w:val="000117CB"/>
    <w:rsid w:val="00023091"/>
    <w:rsid w:val="0003148D"/>
    <w:rsid w:val="000444CE"/>
    <w:rsid w:val="00051566"/>
    <w:rsid w:val="00062A9A"/>
    <w:rsid w:val="00065058"/>
    <w:rsid w:val="000840BC"/>
    <w:rsid w:val="00086C39"/>
    <w:rsid w:val="000A03B2"/>
    <w:rsid w:val="000B1510"/>
    <w:rsid w:val="000D34BE"/>
    <w:rsid w:val="000E102F"/>
    <w:rsid w:val="000E36F1"/>
    <w:rsid w:val="000E3A73"/>
    <w:rsid w:val="000E414A"/>
    <w:rsid w:val="000E43E6"/>
    <w:rsid w:val="000F093C"/>
    <w:rsid w:val="000F787B"/>
    <w:rsid w:val="00110202"/>
    <w:rsid w:val="0012091F"/>
    <w:rsid w:val="00126BC2"/>
    <w:rsid w:val="001308B6"/>
    <w:rsid w:val="0013121F"/>
    <w:rsid w:val="00131BB5"/>
    <w:rsid w:val="00131FE6"/>
    <w:rsid w:val="0013263F"/>
    <w:rsid w:val="00134DE4"/>
    <w:rsid w:val="0014034D"/>
    <w:rsid w:val="0014464F"/>
    <w:rsid w:val="00150E59"/>
    <w:rsid w:val="00152DE3"/>
    <w:rsid w:val="00164CF9"/>
    <w:rsid w:val="00180860"/>
    <w:rsid w:val="00184AD6"/>
    <w:rsid w:val="001A1F9B"/>
    <w:rsid w:val="001A5B78"/>
    <w:rsid w:val="001B0349"/>
    <w:rsid w:val="001B65C1"/>
    <w:rsid w:val="001C449B"/>
    <w:rsid w:val="001C684B"/>
    <w:rsid w:val="001D53FC"/>
    <w:rsid w:val="001F42A5"/>
    <w:rsid w:val="001F7B9D"/>
    <w:rsid w:val="00203AA4"/>
    <w:rsid w:val="002067FB"/>
    <w:rsid w:val="00214FD5"/>
    <w:rsid w:val="002224B4"/>
    <w:rsid w:val="002447EF"/>
    <w:rsid w:val="00251550"/>
    <w:rsid w:val="00263B05"/>
    <w:rsid w:val="0027221A"/>
    <w:rsid w:val="00275B61"/>
    <w:rsid w:val="00277044"/>
    <w:rsid w:val="00282656"/>
    <w:rsid w:val="002848CD"/>
    <w:rsid w:val="00296B83"/>
    <w:rsid w:val="002B78CE"/>
    <w:rsid w:val="002C2FB6"/>
    <w:rsid w:val="003009B7"/>
    <w:rsid w:val="00300E56"/>
    <w:rsid w:val="0030469C"/>
    <w:rsid w:val="00321CA6"/>
    <w:rsid w:val="00327A80"/>
    <w:rsid w:val="00334C09"/>
    <w:rsid w:val="0034185F"/>
    <w:rsid w:val="003723D4"/>
    <w:rsid w:val="00383F4B"/>
    <w:rsid w:val="00384CC8"/>
    <w:rsid w:val="003871FD"/>
    <w:rsid w:val="003A16FA"/>
    <w:rsid w:val="003A1E30"/>
    <w:rsid w:val="003A7D1C"/>
    <w:rsid w:val="003B304B"/>
    <w:rsid w:val="003B3146"/>
    <w:rsid w:val="003C55F9"/>
    <w:rsid w:val="003F015E"/>
    <w:rsid w:val="003F2516"/>
    <w:rsid w:val="003F6F90"/>
    <w:rsid w:val="00400414"/>
    <w:rsid w:val="0041446B"/>
    <w:rsid w:val="00415D3B"/>
    <w:rsid w:val="0044329C"/>
    <w:rsid w:val="004577FE"/>
    <w:rsid w:val="00457B9C"/>
    <w:rsid w:val="0046164A"/>
    <w:rsid w:val="004628D2"/>
    <w:rsid w:val="00462DCD"/>
    <w:rsid w:val="004648AD"/>
    <w:rsid w:val="004703A9"/>
    <w:rsid w:val="004760DE"/>
    <w:rsid w:val="00486C2F"/>
    <w:rsid w:val="004A004E"/>
    <w:rsid w:val="004A24CF"/>
    <w:rsid w:val="004C3D1D"/>
    <w:rsid w:val="004C7913"/>
    <w:rsid w:val="004D2E49"/>
    <w:rsid w:val="004D4588"/>
    <w:rsid w:val="004E4DD6"/>
    <w:rsid w:val="004F5E36"/>
    <w:rsid w:val="00507B47"/>
    <w:rsid w:val="00507CC9"/>
    <w:rsid w:val="005119A5"/>
    <w:rsid w:val="00513BCE"/>
    <w:rsid w:val="00516D93"/>
    <w:rsid w:val="005278B7"/>
    <w:rsid w:val="005315FA"/>
    <w:rsid w:val="00532016"/>
    <w:rsid w:val="005346C8"/>
    <w:rsid w:val="00543E7D"/>
    <w:rsid w:val="00545F90"/>
    <w:rsid w:val="00547A68"/>
    <w:rsid w:val="005531C9"/>
    <w:rsid w:val="00584CD8"/>
    <w:rsid w:val="00585DAF"/>
    <w:rsid w:val="00596AFF"/>
    <w:rsid w:val="005A3E9C"/>
    <w:rsid w:val="005B2110"/>
    <w:rsid w:val="005B61E6"/>
    <w:rsid w:val="005C77E1"/>
    <w:rsid w:val="005D46DB"/>
    <w:rsid w:val="005D6A2F"/>
    <w:rsid w:val="005E1A82"/>
    <w:rsid w:val="005E794C"/>
    <w:rsid w:val="005F0A28"/>
    <w:rsid w:val="005F0E5E"/>
    <w:rsid w:val="00600535"/>
    <w:rsid w:val="00610CD6"/>
    <w:rsid w:val="00614D76"/>
    <w:rsid w:val="00620C11"/>
    <w:rsid w:val="00620DEE"/>
    <w:rsid w:val="00621F92"/>
    <w:rsid w:val="00625639"/>
    <w:rsid w:val="00631B33"/>
    <w:rsid w:val="0064184D"/>
    <w:rsid w:val="00660E3E"/>
    <w:rsid w:val="00662E74"/>
    <w:rsid w:val="0067145D"/>
    <w:rsid w:val="00680C23"/>
    <w:rsid w:val="00681B93"/>
    <w:rsid w:val="00693766"/>
    <w:rsid w:val="00697EA4"/>
    <w:rsid w:val="006A0D67"/>
    <w:rsid w:val="006A3281"/>
    <w:rsid w:val="006A67BB"/>
    <w:rsid w:val="006B4888"/>
    <w:rsid w:val="006C17F1"/>
    <w:rsid w:val="006C2E45"/>
    <w:rsid w:val="006C359C"/>
    <w:rsid w:val="006C5579"/>
    <w:rsid w:val="006E737D"/>
    <w:rsid w:val="00707D0F"/>
    <w:rsid w:val="00720A24"/>
    <w:rsid w:val="00732386"/>
    <w:rsid w:val="007447F3"/>
    <w:rsid w:val="0075499F"/>
    <w:rsid w:val="007661C8"/>
    <w:rsid w:val="0077098D"/>
    <w:rsid w:val="007A1D1D"/>
    <w:rsid w:val="007A7BBA"/>
    <w:rsid w:val="007B0C50"/>
    <w:rsid w:val="007C1A43"/>
    <w:rsid w:val="00805065"/>
    <w:rsid w:val="00813288"/>
    <w:rsid w:val="008168FC"/>
    <w:rsid w:val="00817EE5"/>
    <w:rsid w:val="00830996"/>
    <w:rsid w:val="008345F1"/>
    <w:rsid w:val="008371A4"/>
    <w:rsid w:val="00865B07"/>
    <w:rsid w:val="008667EA"/>
    <w:rsid w:val="00873D70"/>
    <w:rsid w:val="0087637F"/>
    <w:rsid w:val="00883962"/>
    <w:rsid w:val="008857DB"/>
    <w:rsid w:val="008927E7"/>
    <w:rsid w:val="00892AD5"/>
    <w:rsid w:val="008A1512"/>
    <w:rsid w:val="008D433B"/>
    <w:rsid w:val="008E566E"/>
    <w:rsid w:val="008F582F"/>
    <w:rsid w:val="0090161A"/>
    <w:rsid w:val="00901EB6"/>
    <w:rsid w:val="00904C62"/>
    <w:rsid w:val="00924DAC"/>
    <w:rsid w:val="00927058"/>
    <w:rsid w:val="009450CE"/>
    <w:rsid w:val="00947179"/>
    <w:rsid w:val="0095164B"/>
    <w:rsid w:val="00954090"/>
    <w:rsid w:val="009573E7"/>
    <w:rsid w:val="00963E05"/>
    <w:rsid w:val="00967D54"/>
    <w:rsid w:val="00996483"/>
    <w:rsid w:val="00996F5A"/>
    <w:rsid w:val="009B041A"/>
    <w:rsid w:val="009C6A5B"/>
    <w:rsid w:val="009C7C86"/>
    <w:rsid w:val="009D2FF7"/>
    <w:rsid w:val="009E2F06"/>
    <w:rsid w:val="009E5E8F"/>
    <w:rsid w:val="009E7884"/>
    <w:rsid w:val="009E788A"/>
    <w:rsid w:val="009F0E08"/>
    <w:rsid w:val="009F7F64"/>
    <w:rsid w:val="009F7FB7"/>
    <w:rsid w:val="00A01D2E"/>
    <w:rsid w:val="00A12812"/>
    <w:rsid w:val="00A1763D"/>
    <w:rsid w:val="00A17CEC"/>
    <w:rsid w:val="00A27EF0"/>
    <w:rsid w:val="00A50B20"/>
    <w:rsid w:val="00A51390"/>
    <w:rsid w:val="00A60D13"/>
    <w:rsid w:val="00A72745"/>
    <w:rsid w:val="00A76EFC"/>
    <w:rsid w:val="00A91010"/>
    <w:rsid w:val="00A97F29"/>
    <w:rsid w:val="00AA34DD"/>
    <w:rsid w:val="00AA702E"/>
    <w:rsid w:val="00AB0964"/>
    <w:rsid w:val="00AB2E83"/>
    <w:rsid w:val="00AB5011"/>
    <w:rsid w:val="00AB5E95"/>
    <w:rsid w:val="00AC7368"/>
    <w:rsid w:val="00AD16B9"/>
    <w:rsid w:val="00AE377D"/>
    <w:rsid w:val="00AF65AD"/>
    <w:rsid w:val="00B047FD"/>
    <w:rsid w:val="00B17FBD"/>
    <w:rsid w:val="00B255ED"/>
    <w:rsid w:val="00B315A6"/>
    <w:rsid w:val="00B31813"/>
    <w:rsid w:val="00B33365"/>
    <w:rsid w:val="00B53ADE"/>
    <w:rsid w:val="00B57B36"/>
    <w:rsid w:val="00B8686D"/>
    <w:rsid w:val="00B86DCD"/>
    <w:rsid w:val="00B93528"/>
    <w:rsid w:val="00BC30C9"/>
    <w:rsid w:val="00BC6D9A"/>
    <w:rsid w:val="00BD6B8D"/>
    <w:rsid w:val="00BE3E58"/>
    <w:rsid w:val="00BF2E07"/>
    <w:rsid w:val="00C01616"/>
    <w:rsid w:val="00C0162B"/>
    <w:rsid w:val="00C345B1"/>
    <w:rsid w:val="00C40142"/>
    <w:rsid w:val="00C56A43"/>
    <w:rsid w:val="00C57182"/>
    <w:rsid w:val="00C57863"/>
    <w:rsid w:val="00C655FD"/>
    <w:rsid w:val="00C71FB5"/>
    <w:rsid w:val="00C76F5D"/>
    <w:rsid w:val="00C870A8"/>
    <w:rsid w:val="00C94434"/>
    <w:rsid w:val="00CA0D75"/>
    <w:rsid w:val="00CA1C95"/>
    <w:rsid w:val="00CA31B0"/>
    <w:rsid w:val="00CA5A9C"/>
    <w:rsid w:val="00CB5C86"/>
    <w:rsid w:val="00CD5FE2"/>
    <w:rsid w:val="00CD7329"/>
    <w:rsid w:val="00CE7C68"/>
    <w:rsid w:val="00D02B4C"/>
    <w:rsid w:val="00D040C4"/>
    <w:rsid w:val="00D12C51"/>
    <w:rsid w:val="00D17436"/>
    <w:rsid w:val="00D41614"/>
    <w:rsid w:val="00D479E0"/>
    <w:rsid w:val="00D51C8A"/>
    <w:rsid w:val="00D57C84"/>
    <w:rsid w:val="00D6057D"/>
    <w:rsid w:val="00D81E12"/>
    <w:rsid w:val="00D84576"/>
    <w:rsid w:val="00DA1399"/>
    <w:rsid w:val="00DA24C6"/>
    <w:rsid w:val="00DA4D7B"/>
    <w:rsid w:val="00DA65A9"/>
    <w:rsid w:val="00DA6ACB"/>
    <w:rsid w:val="00DE264A"/>
    <w:rsid w:val="00E02D18"/>
    <w:rsid w:val="00E041E7"/>
    <w:rsid w:val="00E11771"/>
    <w:rsid w:val="00E23CA1"/>
    <w:rsid w:val="00E409A8"/>
    <w:rsid w:val="00E50C12"/>
    <w:rsid w:val="00E65B91"/>
    <w:rsid w:val="00E7209D"/>
    <w:rsid w:val="00E77223"/>
    <w:rsid w:val="00E8528B"/>
    <w:rsid w:val="00E85B94"/>
    <w:rsid w:val="00E978D0"/>
    <w:rsid w:val="00EA4613"/>
    <w:rsid w:val="00EA7F91"/>
    <w:rsid w:val="00EB1523"/>
    <w:rsid w:val="00EC0E49"/>
    <w:rsid w:val="00EC6199"/>
    <w:rsid w:val="00EE0131"/>
    <w:rsid w:val="00EF2299"/>
    <w:rsid w:val="00EF2394"/>
    <w:rsid w:val="00F30C64"/>
    <w:rsid w:val="00F32CDB"/>
    <w:rsid w:val="00F370D2"/>
    <w:rsid w:val="00F62B8C"/>
    <w:rsid w:val="00F63A70"/>
    <w:rsid w:val="00FA21D0"/>
    <w:rsid w:val="00FA5F5F"/>
    <w:rsid w:val="00FB4773"/>
    <w:rsid w:val="00FB730C"/>
    <w:rsid w:val="00FC2695"/>
    <w:rsid w:val="00FC3852"/>
    <w:rsid w:val="00FC3E03"/>
    <w:rsid w:val="00FC3FC1"/>
    <w:rsid w:val="00FE2BDF"/>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1D04FD4-929A-4C6F-880F-AD2CE1D2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F65AD"/>
    <w:pPr>
      <w:keepNext/>
      <w:numPr>
        <w:ilvl w:val="2"/>
        <w:numId w:val="1"/>
      </w:numPr>
      <w:suppressAutoHyphens/>
      <w:spacing w:before="120" w:after="120" w:line="240" w:lineRule="auto"/>
    </w:pPr>
    <w:rPr>
      <w:rFonts w:ascii="Arial" w:eastAsia="Times New Roman" w:hAnsi="Arial" w:cs="Times New Roman"/>
      <w:b/>
      <w:color w:val="000000" w:themeColor="text1"/>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F65AD"/>
    <w:rPr>
      <w:rFonts w:ascii="Arial" w:eastAsia="Times New Roman" w:hAnsi="Arial" w:cs="Times New Roman"/>
      <w:b/>
      <w:color w:val="000000" w:themeColor="text1"/>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a">
    <w:name w:val="E-mail Signature"/>
    <w:basedOn w:val="Norml"/>
    <w:link w:val="E-mailalrsaChar"/>
    <w:uiPriority w:val="99"/>
    <w:semiHidden/>
    <w:unhideWhenUsed/>
    <w:rsid w:val="0003148D"/>
    <w:pPr>
      <w:spacing w:line="240" w:lineRule="auto"/>
    </w:pPr>
  </w:style>
  <w:style w:type="character" w:customStyle="1" w:styleId="E-mailalrsaChar">
    <w:name w:val="E-mail aláírása Char"/>
    <w:basedOn w:val="Bekezdsalapbettpusa"/>
    <w:link w:val="E-mailalrsa"/>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FB4773"/>
    <w:pPr>
      <w:tabs>
        <w:tab w:val="clear" w:pos="7100"/>
      </w:tabs>
      <w:spacing w:after="160" w:line="259" w:lineRule="auto"/>
      <w:ind w:left="720"/>
      <w:contextualSpacing/>
      <w:jc w:val="left"/>
    </w:pPr>
    <w:rPr>
      <w:rFonts w:asciiTheme="minorHAnsi" w:eastAsiaTheme="minorHAnsi" w:hAnsiTheme="minorHAnsi" w:cstheme="minorBidi"/>
      <w:sz w:val="22"/>
      <w:szCs w:val="22"/>
      <w:lang w:val="hu-HU"/>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FB4773"/>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10E8-382C-4743-BA66-14E97279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16429</Characters>
  <Application>Microsoft Office Word</Application>
  <DocSecurity>0</DocSecurity>
  <Lines>136</Lines>
  <Paragraphs>37</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olaj_user</cp:lastModifiedBy>
  <cp:revision>2</cp:revision>
  <cp:lastPrinted>2015-05-12T18:31:00Z</cp:lastPrinted>
  <dcterms:created xsi:type="dcterms:W3CDTF">2022-07-15T14:41:00Z</dcterms:created>
  <dcterms:modified xsi:type="dcterms:W3CDTF">2022-07-15T14:41:00Z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