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C6D8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C6D8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C6D83">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61410001" w:rsidR="00E978D0" w:rsidRPr="00B57B36" w:rsidRDefault="00FC6D83" w:rsidP="00E978D0">
      <w:pPr>
        <w:pStyle w:val="CETTitle"/>
      </w:pPr>
      <w:r w:rsidRPr="00FC6D83">
        <w:t>On the stability of metallic Pt-Ni foams during oxidative steam reforming of fuel grade ethanol</w:t>
      </w:r>
    </w:p>
    <w:p w14:paraId="0488FED2" w14:textId="322A0158" w:rsidR="00B57E6F" w:rsidRPr="00FC6D83" w:rsidRDefault="00FC6D83" w:rsidP="00B57E6F">
      <w:pPr>
        <w:pStyle w:val="CETAuthors"/>
        <w:rPr>
          <w:lang w:val="it-IT"/>
        </w:rPr>
      </w:pPr>
      <w:r w:rsidRPr="00FC6D83">
        <w:rPr>
          <w:lang w:val="it-IT"/>
        </w:rPr>
        <w:t>Concetta Ruocco*</w:t>
      </w:r>
      <w:r w:rsidR="00B57E6F" w:rsidRPr="00FC6D83">
        <w:rPr>
          <w:lang w:val="it-IT"/>
        </w:rPr>
        <w:t xml:space="preserve">, </w:t>
      </w:r>
      <w:r w:rsidRPr="00FC6D83">
        <w:rPr>
          <w:lang w:val="it-IT"/>
        </w:rPr>
        <w:t>Vincenzo Palma</w:t>
      </w:r>
      <w:r w:rsidR="00B57E6F" w:rsidRPr="00FC6D83">
        <w:rPr>
          <w:lang w:val="it-IT"/>
        </w:rPr>
        <w:t xml:space="preserve">, </w:t>
      </w:r>
      <w:r w:rsidRPr="00FC6D83">
        <w:rPr>
          <w:lang w:val="it-IT"/>
        </w:rPr>
        <w:t>Antonio C</w:t>
      </w:r>
      <w:r>
        <w:rPr>
          <w:lang w:val="it-IT"/>
        </w:rPr>
        <w:t>oppola</w:t>
      </w:r>
    </w:p>
    <w:p w14:paraId="3D72B0B0" w14:textId="570C44E1" w:rsidR="00B57E6F" w:rsidRPr="00B57B36" w:rsidRDefault="00FC6D83" w:rsidP="00B57E6F">
      <w:pPr>
        <w:pStyle w:val="CETAddress"/>
      </w:pPr>
      <w:r w:rsidRPr="00FC6D83">
        <w:t>University of Salerno, Department of Industrial Engineering, Via Giovanni Paolo II 132, 84084 Fisciano (SA), Italy</w:t>
      </w:r>
    </w:p>
    <w:p w14:paraId="73F1267A" w14:textId="6238A489" w:rsidR="00B57E6F" w:rsidRPr="00B57B36" w:rsidRDefault="00FC6D83" w:rsidP="00B57E6F">
      <w:pPr>
        <w:pStyle w:val="CETemail"/>
      </w:pPr>
      <w:r>
        <w:t>cruocco@unisa.it</w:t>
      </w:r>
      <w:r w:rsidR="00B57E6F" w:rsidRPr="00B57B36">
        <w:t>]</w:t>
      </w:r>
    </w:p>
    <w:p w14:paraId="738F9AC3" w14:textId="5DD17EA4" w:rsidR="00FC6D83" w:rsidRDefault="00FC6D83" w:rsidP="00600535">
      <w:pPr>
        <w:pStyle w:val="CETBodytext"/>
        <w:rPr>
          <w:lang w:val="en-GB"/>
        </w:rPr>
      </w:pPr>
    </w:p>
    <w:p w14:paraId="48F45403" w14:textId="71C52BB8" w:rsidR="00FC6D83" w:rsidRPr="00802E2B" w:rsidRDefault="00FC6D83" w:rsidP="00FC6D83">
      <w:pPr>
        <w:pStyle w:val="CETBodytext"/>
        <w:rPr>
          <w:lang w:val="en-GB"/>
        </w:rPr>
      </w:pPr>
      <w:r>
        <w:rPr>
          <w:lang w:val="en-GB"/>
        </w:rPr>
        <w:t>In this work, b</w:t>
      </w:r>
      <w:r w:rsidRPr="00FC6D83">
        <w:rPr>
          <w:lang w:val="en-GB"/>
        </w:rPr>
        <w:t>imetallic catalysts (Pt-Ni/CeO</w:t>
      </w:r>
      <w:r w:rsidRPr="00FC6D83">
        <w:rPr>
          <w:vertAlign w:val="subscript"/>
          <w:lang w:val="en-GB"/>
        </w:rPr>
        <w:t>2</w:t>
      </w:r>
      <w:r w:rsidRPr="00FC6D83">
        <w:rPr>
          <w:lang w:val="en-GB"/>
        </w:rPr>
        <w:t>-Al</w:t>
      </w:r>
      <w:r w:rsidRPr="00FC6D83">
        <w:rPr>
          <w:vertAlign w:val="subscript"/>
          <w:lang w:val="en-GB"/>
        </w:rPr>
        <w:t>2</w:t>
      </w:r>
      <w:r w:rsidRPr="00FC6D83">
        <w:rPr>
          <w:lang w:val="en-GB"/>
        </w:rPr>
        <w:t>O</w:t>
      </w:r>
      <w:r w:rsidRPr="00FC6D83">
        <w:rPr>
          <w:vertAlign w:val="subscript"/>
          <w:lang w:val="en-GB"/>
        </w:rPr>
        <w:t>3</w:t>
      </w:r>
      <w:r w:rsidR="00DD5AF3">
        <w:rPr>
          <w:lang w:val="en-GB"/>
        </w:rPr>
        <w:t>) in the form of powder and</w:t>
      </w:r>
      <w:r w:rsidRPr="00FC6D83">
        <w:rPr>
          <w:lang w:val="en-GB"/>
        </w:rPr>
        <w:t xml:space="preserve"> structured </w:t>
      </w:r>
      <w:r>
        <w:rPr>
          <w:lang w:val="en-GB"/>
        </w:rPr>
        <w:t>samples</w:t>
      </w:r>
      <w:r w:rsidRPr="00FC6D83">
        <w:rPr>
          <w:lang w:val="en-GB"/>
        </w:rPr>
        <w:t xml:space="preserve"> were employed</w:t>
      </w:r>
      <w:r>
        <w:rPr>
          <w:lang w:val="en-GB"/>
        </w:rPr>
        <w:t xml:space="preserve"> for the oxidative s</w:t>
      </w:r>
      <w:r w:rsidRPr="00802E2B">
        <w:rPr>
          <w:lang w:val="en-GB"/>
        </w:rPr>
        <w:t xml:space="preserve">team reforming of fuel grade bioethanol. </w:t>
      </w:r>
      <w:r w:rsidR="00DD5AF3" w:rsidRPr="00802E2B">
        <w:rPr>
          <w:lang w:val="en-GB"/>
        </w:rPr>
        <w:t>The s</w:t>
      </w:r>
      <w:r w:rsidRPr="00802E2B">
        <w:rPr>
          <w:lang w:val="en-GB"/>
        </w:rPr>
        <w:t xml:space="preserve">tability performance of </w:t>
      </w:r>
      <w:r w:rsidR="00E43EF2" w:rsidRPr="00802E2B">
        <w:rPr>
          <w:lang w:val="en-GB"/>
        </w:rPr>
        <w:t>the above samples</w:t>
      </w:r>
      <w:r w:rsidRPr="00802E2B">
        <w:rPr>
          <w:lang w:val="en-GB"/>
        </w:rPr>
        <w:t xml:space="preserve"> was investigated in a </w:t>
      </w:r>
      <w:r w:rsidR="00C94E4D" w:rsidRPr="00802E2B">
        <w:rPr>
          <w:lang w:val="en-GB"/>
        </w:rPr>
        <w:t xml:space="preserve">stainless steel </w:t>
      </w:r>
      <w:r w:rsidRPr="00802E2B">
        <w:rPr>
          <w:lang w:val="en-GB"/>
        </w:rPr>
        <w:t xml:space="preserve">tubular reactor at 500°C and 1 atm by feeding </w:t>
      </w:r>
      <w:r w:rsidR="00DD5AF3" w:rsidRPr="00802E2B">
        <w:rPr>
          <w:lang w:val="en-GB"/>
        </w:rPr>
        <w:t xml:space="preserve">a </w:t>
      </w:r>
      <w:r w:rsidRPr="00802E2B">
        <w:rPr>
          <w:lang w:val="en-GB"/>
        </w:rPr>
        <w:t>commercial fuel grade ethanol stream with a H</w:t>
      </w:r>
      <w:r w:rsidRPr="00802E2B">
        <w:rPr>
          <w:vertAlign w:val="subscript"/>
          <w:lang w:val="en-GB"/>
        </w:rPr>
        <w:t>2</w:t>
      </w:r>
      <w:r w:rsidRPr="00802E2B">
        <w:rPr>
          <w:lang w:val="en-GB"/>
        </w:rPr>
        <w:t>O/C</w:t>
      </w:r>
      <w:r w:rsidRPr="00802E2B">
        <w:rPr>
          <w:vertAlign w:val="subscript"/>
          <w:lang w:val="en-GB"/>
        </w:rPr>
        <w:t>2</w:t>
      </w:r>
      <w:r w:rsidRPr="00802E2B">
        <w:rPr>
          <w:lang w:val="en-GB"/>
        </w:rPr>
        <w:t>H</w:t>
      </w:r>
      <w:r w:rsidRPr="00802E2B">
        <w:rPr>
          <w:vertAlign w:val="subscript"/>
          <w:lang w:val="en-GB"/>
        </w:rPr>
        <w:t>5</w:t>
      </w:r>
      <w:r w:rsidRPr="00802E2B">
        <w:rPr>
          <w:lang w:val="en-GB"/>
        </w:rPr>
        <w:t>OH</w:t>
      </w:r>
      <w:r w:rsidR="008C1AAB" w:rsidRPr="00802E2B">
        <w:rPr>
          <w:lang w:val="en-GB"/>
        </w:rPr>
        <w:t xml:space="preserve"> </w:t>
      </w:r>
      <w:r w:rsidRPr="00802E2B">
        <w:rPr>
          <w:lang w:val="en-GB"/>
        </w:rPr>
        <w:t>=</w:t>
      </w:r>
      <w:r w:rsidR="008C1AAB" w:rsidRPr="00802E2B">
        <w:rPr>
          <w:lang w:val="en-GB"/>
        </w:rPr>
        <w:t xml:space="preserve"> </w:t>
      </w:r>
      <w:r w:rsidRPr="00802E2B">
        <w:rPr>
          <w:lang w:val="en-GB"/>
        </w:rPr>
        <w:t>4 and O</w:t>
      </w:r>
      <w:r w:rsidRPr="00802E2B">
        <w:rPr>
          <w:vertAlign w:val="subscript"/>
          <w:lang w:val="en-GB"/>
        </w:rPr>
        <w:t>2</w:t>
      </w:r>
      <w:r w:rsidRPr="00802E2B">
        <w:rPr>
          <w:lang w:val="en-GB"/>
        </w:rPr>
        <w:t>/C</w:t>
      </w:r>
      <w:r w:rsidRPr="00802E2B">
        <w:rPr>
          <w:vertAlign w:val="subscript"/>
          <w:lang w:val="en-GB"/>
        </w:rPr>
        <w:t>2</w:t>
      </w:r>
      <w:r w:rsidRPr="00802E2B">
        <w:rPr>
          <w:lang w:val="en-GB"/>
        </w:rPr>
        <w:t>H</w:t>
      </w:r>
      <w:r w:rsidRPr="00802E2B">
        <w:rPr>
          <w:vertAlign w:val="subscript"/>
          <w:lang w:val="en-GB"/>
        </w:rPr>
        <w:t>5</w:t>
      </w:r>
      <w:r w:rsidRPr="00802E2B">
        <w:rPr>
          <w:lang w:val="en-GB"/>
        </w:rPr>
        <w:t>OH</w:t>
      </w:r>
      <w:r w:rsidR="008C1AAB" w:rsidRPr="00802E2B">
        <w:rPr>
          <w:lang w:val="en-GB"/>
        </w:rPr>
        <w:t xml:space="preserve"> </w:t>
      </w:r>
      <w:r w:rsidRPr="00802E2B">
        <w:rPr>
          <w:lang w:val="en-GB"/>
        </w:rPr>
        <w:t>=</w:t>
      </w:r>
      <w:r w:rsidR="008C1AAB" w:rsidRPr="00802E2B">
        <w:rPr>
          <w:lang w:val="en-GB"/>
        </w:rPr>
        <w:t xml:space="preserve"> </w:t>
      </w:r>
      <w:r w:rsidRPr="00802E2B">
        <w:rPr>
          <w:lang w:val="en-GB"/>
        </w:rPr>
        <w:t>0.5.</w:t>
      </w:r>
      <w:r w:rsidR="00E43EF2" w:rsidRPr="00802E2B">
        <w:rPr>
          <w:lang w:val="en-GB"/>
        </w:rPr>
        <w:t xml:space="preserve"> Preliminarily, the ceria loading (between 25 and 45 wt%) as well as the Pt content (between 2 and 5 wt%) were optimized </w:t>
      </w:r>
      <w:r w:rsidR="008C1AAB" w:rsidRPr="00802E2B">
        <w:rPr>
          <w:lang w:val="en-GB"/>
        </w:rPr>
        <w:t xml:space="preserve">with respect to the washcoat (wc) content </w:t>
      </w:r>
      <w:r w:rsidR="00E43EF2" w:rsidRPr="00802E2B">
        <w:rPr>
          <w:lang w:val="en-GB"/>
        </w:rPr>
        <w:t>for the powder sample</w:t>
      </w:r>
      <w:r w:rsidR="008C1AAB" w:rsidRPr="00802E2B">
        <w:rPr>
          <w:lang w:val="en-GB"/>
        </w:rPr>
        <w:t>. S</w:t>
      </w:r>
      <w:r w:rsidR="00E43EF2" w:rsidRPr="00802E2B">
        <w:rPr>
          <w:lang w:val="en-GB"/>
        </w:rPr>
        <w:t>tability tests were carried out for 2</w:t>
      </w:r>
      <w:r w:rsidR="001D15C8" w:rsidRPr="00802E2B">
        <w:rPr>
          <w:lang w:val="en-GB"/>
        </w:rPr>
        <w:t xml:space="preserve">4 hours at 500°C and </w:t>
      </w:r>
      <w:r w:rsidR="00DD5AF3" w:rsidRPr="00802E2B">
        <w:rPr>
          <w:lang w:val="en-GB"/>
        </w:rPr>
        <w:t>WHSV</w:t>
      </w:r>
      <w:r w:rsidR="008C1AAB" w:rsidRPr="00802E2B">
        <w:rPr>
          <w:lang w:val="en-GB"/>
        </w:rPr>
        <w:t xml:space="preserve"> (Weight Hourly Space Velocity) </w:t>
      </w:r>
      <w:r w:rsidR="00DD5AF3" w:rsidRPr="00802E2B">
        <w:rPr>
          <w:lang w:val="en-GB"/>
        </w:rPr>
        <w:t>=</w:t>
      </w:r>
      <w:r w:rsidR="008C1AAB" w:rsidRPr="00802E2B">
        <w:rPr>
          <w:lang w:val="en-GB"/>
        </w:rPr>
        <w:t xml:space="preserve"> </w:t>
      </w:r>
      <w:r w:rsidR="00DD5AF3" w:rsidRPr="00802E2B">
        <w:rPr>
          <w:lang w:val="en-GB"/>
        </w:rPr>
        <w:t xml:space="preserve">12 </w:t>
      </w:r>
      <w:r w:rsidR="00E43EF2" w:rsidRPr="00802E2B">
        <w:rPr>
          <w:lang w:val="en-GB"/>
        </w:rPr>
        <w:t>h</w:t>
      </w:r>
      <w:r w:rsidR="00E43EF2" w:rsidRPr="00802E2B">
        <w:rPr>
          <w:vertAlign w:val="superscript"/>
          <w:lang w:val="en-GB"/>
        </w:rPr>
        <w:t>-1</w:t>
      </w:r>
      <w:r w:rsidR="00E43EF2" w:rsidRPr="00802E2B">
        <w:rPr>
          <w:lang w:val="en-GB"/>
        </w:rPr>
        <w:t>. The highest endurance performance was recorded over the 3Pt-10Ni/35CeO</w:t>
      </w:r>
      <w:r w:rsidR="00E43EF2" w:rsidRPr="00802E2B">
        <w:rPr>
          <w:vertAlign w:val="subscript"/>
          <w:lang w:val="en-GB"/>
        </w:rPr>
        <w:t>2</w:t>
      </w:r>
      <w:r w:rsidR="00E43EF2" w:rsidRPr="00802E2B">
        <w:rPr>
          <w:lang w:val="en-GB"/>
        </w:rPr>
        <w:t xml:space="preserve">/wc, which assured an ethanol conversion of almost 98% at the end of the test with a corresponding hydrogen yield of 50%. When the most promising formulation was transferred on a Ni-Fe substrate (made of an open cell foam), a clear improvement in the catalyst performance </w:t>
      </w:r>
      <w:r w:rsidR="008C1AAB" w:rsidRPr="00802E2B">
        <w:rPr>
          <w:lang w:val="en-GB"/>
        </w:rPr>
        <w:t>was recorded. In particular,</w:t>
      </w:r>
      <w:r w:rsidR="00E43EF2" w:rsidRPr="00802E2B">
        <w:rPr>
          <w:lang w:val="en-GB"/>
        </w:rPr>
        <w:t xml:space="preserve"> the structured catalyst, able to assure a very good heat management within the catalytic bed as well as an improved mass transport, displayed a more stable behaviour compared to the corresponding powder, even in the presence of the typical bioethanol impurities; moreover,</w:t>
      </w:r>
      <w:r w:rsidR="00BB688A" w:rsidRPr="00802E2B">
        <w:rPr>
          <w:lang w:val="en-GB"/>
        </w:rPr>
        <w:t xml:space="preserve"> no significant</w:t>
      </w:r>
      <w:r w:rsidR="00E43EF2" w:rsidRPr="00802E2B">
        <w:rPr>
          <w:lang w:val="en-GB"/>
        </w:rPr>
        <w:t xml:space="preserve"> formation of unwanted by-products (coke precursors) was </w:t>
      </w:r>
      <w:r w:rsidR="00BB688A" w:rsidRPr="00802E2B">
        <w:rPr>
          <w:lang w:val="en-GB"/>
        </w:rPr>
        <w:t>observed during 24 hours of time-on- stream (TOS)</w:t>
      </w:r>
      <w:r w:rsidR="00E43EF2" w:rsidRPr="00802E2B">
        <w:rPr>
          <w:lang w:val="en-GB"/>
        </w:rPr>
        <w:t>.</w:t>
      </w:r>
    </w:p>
    <w:p w14:paraId="476B2F2E" w14:textId="77777777" w:rsidR="00600535" w:rsidRPr="00802E2B" w:rsidRDefault="00600535" w:rsidP="00600535">
      <w:pPr>
        <w:pStyle w:val="CETHeading1"/>
        <w:rPr>
          <w:lang w:val="en-GB"/>
        </w:rPr>
      </w:pPr>
      <w:r w:rsidRPr="00802E2B">
        <w:rPr>
          <w:lang w:val="en-GB"/>
        </w:rPr>
        <w:t>Introduction</w:t>
      </w:r>
    </w:p>
    <w:p w14:paraId="2636BDA9" w14:textId="0180AB94" w:rsidR="00990574" w:rsidRPr="00802E2B" w:rsidRDefault="008C1AAB" w:rsidP="00990574">
      <w:pPr>
        <w:pStyle w:val="CETListbullets"/>
        <w:ind w:left="142" w:hanging="29"/>
      </w:pPr>
      <w:r w:rsidRPr="00802E2B">
        <w:t>Energy demand growth and t</w:t>
      </w:r>
      <w:r w:rsidR="00BB688A" w:rsidRPr="00802E2B">
        <w:t>he serious concerns about pollution produce a</w:t>
      </w:r>
      <w:r w:rsidR="00DD5AF3" w:rsidRPr="00802E2B">
        <w:t xml:space="preserve"> considerable boost towards the </w:t>
      </w:r>
      <w:r w:rsidR="00BB688A" w:rsidRPr="00802E2B">
        <w:t>use of alternative fuels (i.e.</w:t>
      </w:r>
      <w:r w:rsidR="00734F35" w:rsidRPr="00802E2B">
        <w:t xml:space="preserve"> </w:t>
      </w:r>
      <w:r w:rsidR="00BB688A" w:rsidRPr="00802E2B">
        <w:t xml:space="preserve">hydrogen). In this regard, </w:t>
      </w:r>
      <w:r w:rsidRPr="00802E2B">
        <w:t>the use of renewable sources</w:t>
      </w:r>
      <w:r w:rsidR="00BB688A" w:rsidRPr="00802E2B">
        <w:t xml:space="preserve"> allow</w:t>
      </w:r>
      <w:r w:rsidRPr="00802E2B">
        <w:t>s</w:t>
      </w:r>
      <w:r w:rsidR="00BB688A" w:rsidRPr="00802E2B">
        <w:t xml:space="preserve"> generating almost zero greenhouse gases</w:t>
      </w:r>
      <w:r w:rsidR="007E76B3" w:rsidRPr="00802E2B">
        <w:t xml:space="preserve"> (Peres A.P.G. et al., 2013)</w:t>
      </w:r>
      <w:r w:rsidR="00BB688A" w:rsidRPr="00802E2B">
        <w:t xml:space="preserve">. Bioethanol, obtained via the </w:t>
      </w:r>
      <w:r w:rsidR="0092376E" w:rsidRPr="00802E2B">
        <w:t xml:space="preserve">microbial </w:t>
      </w:r>
      <w:r w:rsidR="00BB688A" w:rsidRPr="00802E2B">
        <w:t>fermentation of biomass wastes, can be directly used for H</w:t>
      </w:r>
      <w:r w:rsidR="00BB688A" w:rsidRPr="00802E2B">
        <w:rPr>
          <w:vertAlign w:val="subscript"/>
        </w:rPr>
        <w:t>2</w:t>
      </w:r>
      <w:r w:rsidR="00BB688A" w:rsidRPr="00802E2B">
        <w:t xml:space="preserve"> generation through the reforming process</w:t>
      </w:r>
      <w:r w:rsidR="00734F35" w:rsidRPr="00802E2B">
        <w:t xml:space="preserve"> (Mulewa W. et al., 2017)</w:t>
      </w:r>
      <w:r w:rsidR="00BB688A" w:rsidRPr="00802E2B">
        <w:t xml:space="preserve">. </w:t>
      </w:r>
      <w:r w:rsidR="00EF6CCD" w:rsidRPr="00802E2B">
        <w:t xml:space="preserve">Bioethanol is produced from renewable feedstocks (i.e. cereal crops, sugar cane and lignocellulosic crops); however, in the last </w:t>
      </w:r>
      <w:r w:rsidRPr="00802E2B">
        <w:t xml:space="preserve">few </w:t>
      </w:r>
      <w:r w:rsidR="00EF6CCD" w:rsidRPr="00802E2B">
        <w:t xml:space="preserve">years, heavy concerns related to the use of food crops for fuel purposes have pushed the </w:t>
      </w:r>
      <w:r w:rsidR="0092376E" w:rsidRPr="00802E2B">
        <w:t>researchers’</w:t>
      </w:r>
      <w:r w:rsidR="00EF6CCD" w:rsidRPr="00802E2B">
        <w:t xml:space="preserve"> interests</w:t>
      </w:r>
      <w:r w:rsidR="00DD5AF3" w:rsidRPr="00802E2B">
        <w:t xml:space="preserve"> towards the employment of second</w:t>
      </w:r>
      <w:r w:rsidR="00EF6CCD" w:rsidRPr="00802E2B">
        <w:t xml:space="preserve"> generation ethanol</w:t>
      </w:r>
      <w:r w:rsidR="00D64C60" w:rsidRPr="00802E2B">
        <w:t>. In fact, the latter source is</w:t>
      </w:r>
      <w:r w:rsidR="00DD5AF3" w:rsidRPr="00802E2B">
        <w:t xml:space="preserve"> based on non-food raw material, which do not compete against food supplies</w:t>
      </w:r>
      <w:r w:rsidR="00990574" w:rsidRPr="00802E2B">
        <w:t xml:space="preserve"> </w:t>
      </w:r>
      <w:r w:rsidR="00EF6CCD" w:rsidRPr="00802E2B">
        <w:t>(</w:t>
      </w:r>
      <w:r w:rsidR="00E04704" w:rsidRPr="00802E2B">
        <w:t>Kumar D. et al., 2012).</w:t>
      </w:r>
      <w:r w:rsidR="0092376E" w:rsidRPr="00802E2B">
        <w:t xml:space="preserve"> </w:t>
      </w:r>
    </w:p>
    <w:p w14:paraId="54C9EA55" w14:textId="14712A4A" w:rsidR="00EF6CCD" w:rsidRPr="00802E2B" w:rsidRDefault="0092376E" w:rsidP="00990574">
      <w:pPr>
        <w:pStyle w:val="CETListbullets"/>
        <w:ind w:left="142" w:hanging="29"/>
      </w:pPr>
      <w:r w:rsidRPr="00802E2B">
        <w:t xml:space="preserve">The main components of crude bioethanol </w:t>
      </w:r>
      <w:r w:rsidR="00D64C60" w:rsidRPr="00802E2B">
        <w:t>(i.e. bioethanol produced from biomass</w:t>
      </w:r>
      <w:r w:rsidR="007623F8" w:rsidRPr="00802E2B">
        <w:t xml:space="preserve"> without downstream purification</w:t>
      </w:r>
      <w:r w:rsidR="00D64C60" w:rsidRPr="00802E2B">
        <w:t xml:space="preserve">) </w:t>
      </w:r>
      <w:r w:rsidRPr="00802E2B">
        <w:t>are water, ethanol, and a series of impurities such as alcohols (C1, C3, and C4), aldehydes (C3 and C4), acetone, organic acids (acetic acid and lact</w:t>
      </w:r>
      <w:r w:rsidR="00DD5AF3" w:rsidRPr="00802E2B">
        <w:t xml:space="preserve">ic acid), amines, glycerol, and </w:t>
      </w:r>
      <w:r w:rsidRPr="00802E2B">
        <w:t>esters in different concentrations depending on the bioethanol source</w:t>
      </w:r>
      <w:r w:rsidR="00A540B9" w:rsidRPr="00802E2B">
        <w:t xml:space="preserve"> (Lazar D.M. et al., 2019</w:t>
      </w:r>
      <w:r w:rsidR="00990574" w:rsidRPr="00802E2B">
        <w:t>, Souza E.L.</w:t>
      </w:r>
      <w:r w:rsidR="00B12054" w:rsidRPr="00802E2B">
        <w:t xml:space="preserve"> et al., 2014</w:t>
      </w:r>
      <w:r w:rsidR="00A540B9" w:rsidRPr="00802E2B">
        <w:t>)</w:t>
      </w:r>
      <w:r w:rsidRPr="00802E2B">
        <w:t>.</w:t>
      </w:r>
    </w:p>
    <w:p w14:paraId="330C025E" w14:textId="25768A0C" w:rsidR="00177ED2" w:rsidRPr="00802E2B" w:rsidRDefault="00D64C60" w:rsidP="00A540B9">
      <w:pPr>
        <w:pStyle w:val="CETListbullets"/>
        <w:ind w:left="113" w:firstLine="0"/>
      </w:pPr>
      <w:r w:rsidRPr="00802E2B">
        <w:t>T</w:t>
      </w:r>
      <w:r w:rsidR="0092376E" w:rsidRPr="00802E2B">
        <w:t xml:space="preserve">he ethanol </w:t>
      </w:r>
      <w:r w:rsidRPr="00802E2B">
        <w:t xml:space="preserve">steam </w:t>
      </w:r>
      <w:r w:rsidR="0092376E" w:rsidRPr="00802E2B">
        <w:t>reforming</w:t>
      </w:r>
      <w:r w:rsidR="00BB688A" w:rsidRPr="00802E2B">
        <w:t xml:space="preserve"> reaction is expected to involve only CO</w:t>
      </w:r>
      <w:r w:rsidR="00BB688A" w:rsidRPr="00802E2B">
        <w:rPr>
          <w:vertAlign w:val="subscript"/>
        </w:rPr>
        <w:t>2</w:t>
      </w:r>
      <w:r w:rsidR="00BB688A" w:rsidRPr="00802E2B">
        <w:t xml:space="preserve"> and H</w:t>
      </w:r>
      <w:r w:rsidR="00BB688A" w:rsidRPr="00802E2B">
        <w:rPr>
          <w:vertAlign w:val="subscript"/>
        </w:rPr>
        <w:t>2</w:t>
      </w:r>
      <w:r w:rsidR="00BB688A" w:rsidRPr="00802E2B">
        <w:t xml:space="preserve"> formation</w:t>
      </w:r>
      <w:r w:rsidR="00835116" w:rsidRPr="00802E2B">
        <w:t xml:space="preserve"> (</w:t>
      </w:r>
      <w:r w:rsidR="00517649" w:rsidRPr="00802E2B">
        <w:t>Anil et al., 2022</w:t>
      </w:r>
      <w:r w:rsidR="00835116" w:rsidRPr="00802E2B">
        <w:t>)</w:t>
      </w:r>
      <w:r w:rsidRPr="00802E2B">
        <w:t xml:space="preserve">. However, </w:t>
      </w:r>
      <w:r w:rsidR="00BB688A" w:rsidRPr="00802E2B">
        <w:t xml:space="preserve">many side pathways may occur, causing reduced yields and carbon deposition. This latter issue appears even more prominent when raw feeds are selected, which may cause a faster coke accumulation. </w:t>
      </w:r>
      <w:r w:rsidR="00177ED2" w:rsidRPr="00802E2B">
        <w:t>Thus, ethanol reforming in the presence of the typical bioethanol impurities has been rarely investigated in recent literature (Ruocco C. et al., 2022)</w:t>
      </w:r>
      <w:r w:rsidRPr="00802E2B">
        <w:t xml:space="preserve">. In this regard, </w:t>
      </w:r>
      <w:r w:rsidR="00177ED2" w:rsidRPr="00802E2B">
        <w:t>the search for highly active, selective and stable catalysts appear</w:t>
      </w:r>
      <w:r w:rsidR="009B2DDC" w:rsidRPr="00802E2B">
        <w:t>s</w:t>
      </w:r>
      <w:r w:rsidR="00177ED2" w:rsidRPr="00802E2B">
        <w:t xml:space="preserve"> a long-standing topic.</w:t>
      </w:r>
      <w:r w:rsidR="00093C69" w:rsidRPr="00802E2B">
        <w:t xml:space="preserve"> In particular, </w:t>
      </w:r>
      <w:r w:rsidRPr="00802E2B">
        <w:t xml:space="preserve">when crude bioethanol is fed to the reformer, </w:t>
      </w:r>
      <w:r w:rsidR="00093C69" w:rsidRPr="00802E2B">
        <w:t>higher alcohol</w:t>
      </w:r>
      <w:r w:rsidR="00EF6CCD" w:rsidRPr="00802E2B">
        <w:t>ic</w:t>
      </w:r>
      <w:r w:rsidR="00093C69" w:rsidRPr="00802E2B">
        <w:t xml:space="preserve"> contaminants may improve hydrogen yield (due to the enhanced cont</w:t>
      </w:r>
      <w:r w:rsidRPr="00802E2B">
        <w:t>ribution of reforming pathways). However,</w:t>
      </w:r>
      <w:r w:rsidR="00093C69" w:rsidRPr="00802E2B">
        <w:t xml:space="preserve"> the catalyst deactivation rate can also grow, as a consequence of the promoted carbon deposition. Among the previous formulations employed for raw bioethanol reforming, the samples containing rare earth </w:t>
      </w:r>
      <w:r w:rsidR="00093C69" w:rsidRPr="00802E2B">
        <w:lastRenderedPageBreak/>
        <w:t>oxides (i.e. CeO</w:t>
      </w:r>
      <w:r w:rsidR="00093C69" w:rsidRPr="00802E2B">
        <w:rPr>
          <w:vertAlign w:val="subscript"/>
        </w:rPr>
        <w:t>2</w:t>
      </w:r>
      <w:r w:rsidR="00093C69" w:rsidRPr="00802E2B">
        <w:t xml:space="preserve"> or La</w:t>
      </w:r>
      <w:r w:rsidR="00093C69" w:rsidRPr="00802E2B">
        <w:rPr>
          <w:vertAlign w:val="subscript"/>
        </w:rPr>
        <w:t>2</w:t>
      </w:r>
      <w:r w:rsidR="00093C69" w:rsidRPr="00802E2B">
        <w:t>O</w:t>
      </w:r>
      <w:r w:rsidR="00093C69" w:rsidRPr="00802E2B">
        <w:rPr>
          <w:vertAlign w:val="subscript"/>
        </w:rPr>
        <w:t>3</w:t>
      </w:r>
      <w:r w:rsidR="00093C69" w:rsidRPr="00802E2B">
        <w:t>) were shown to improve the gasification rate of eventually deposited carbon species (both i</w:t>
      </w:r>
      <w:r w:rsidR="00491765" w:rsidRPr="00802E2B">
        <w:t>n amorphous and graphitic form)</w:t>
      </w:r>
      <w:r w:rsidRPr="00802E2B">
        <w:t xml:space="preserve"> (Cerdà-Moreno C. et al., 2019). L</w:t>
      </w:r>
      <w:r w:rsidR="00491765" w:rsidRPr="00802E2B">
        <w:t>ikewise, addition of noble metals such as Pt and Rh to the catalyst lead to reduced carbon formation even in the presence of amines</w:t>
      </w:r>
      <w:r w:rsidR="00093C69" w:rsidRPr="00802E2B">
        <w:t xml:space="preserve"> </w:t>
      </w:r>
      <w:r w:rsidR="00965CBB" w:rsidRPr="00802E2B">
        <w:t>(Bilal M. et al., 2017).</w:t>
      </w:r>
    </w:p>
    <w:p w14:paraId="714D9027" w14:textId="0FB8096C" w:rsidR="00BB688A" w:rsidRPr="00802E2B" w:rsidRDefault="00BB688A" w:rsidP="00963C33">
      <w:pPr>
        <w:pStyle w:val="CETListbullets"/>
        <w:ind w:left="113" w:firstLine="0"/>
      </w:pPr>
      <w:r w:rsidRPr="00802E2B">
        <w:t>Recently, structured catalysts were shown to increase the durability of the conventional counterparts, due to the overcome heat and mass transfer limitations. However, to the best of our knowledge, structured catalysts have been rarely employed for the oxidative steam reforming of raw bioethanol.</w:t>
      </w:r>
    </w:p>
    <w:p w14:paraId="224E3B32" w14:textId="56FF351D" w:rsidR="00A540B9" w:rsidRPr="00802E2B" w:rsidRDefault="00A540B9" w:rsidP="00177ED2">
      <w:pPr>
        <w:pStyle w:val="CETListbullets"/>
        <w:ind w:left="113" w:firstLine="0"/>
      </w:pPr>
      <w:r w:rsidRPr="00802E2B">
        <w:t xml:space="preserve">In this work, the effect of the deposition of a bimetallic catalyst formulation on a structured </w:t>
      </w:r>
      <w:r w:rsidR="00D64C60" w:rsidRPr="00802E2B">
        <w:t xml:space="preserve">metallic </w:t>
      </w:r>
      <w:r w:rsidRPr="00802E2B">
        <w:t>carrier has been investigated for oxidative steam reforming of ethanol</w:t>
      </w:r>
      <w:r w:rsidR="00B60028" w:rsidRPr="00802E2B">
        <w:t xml:space="preserve"> (OESR)</w:t>
      </w:r>
      <w:r w:rsidRPr="00802E2B">
        <w:t xml:space="preserve">. </w:t>
      </w:r>
      <w:r w:rsidR="00FE573C" w:rsidRPr="00802E2B">
        <w:t xml:space="preserve">In order to assure a </w:t>
      </w:r>
      <w:r w:rsidR="00E37C5A" w:rsidRPr="00802E2B">
        <w:t>good</w:t>
      </w:r>
      <w:r w:rsidR="00FE573C" w:rsidRPr="00802E2B">
        <w:t xml:space="preserve"> adhesion of </w:t>
      </w:r>
      <w:r w:rsidR="000402CF" w:rsidRPr="00802E2B">
        <w:t xml:space="preserve">the catalyst of the metallic foam, </w:t>
      </w:r>
      <w:r w:rsidR="009B2DDC" w:rsidRPr="00802E2B">
        <w:t>the formulation of a</w:t>
      </w:r>
      <w:r w:rsidRPr="00802E2B">
        <w:t xml:space="preserve"> previous developed catalyst (P</w:t>
      </w:r>
      <w:r w:rsidR="00FE573C" w:rsidRPr="00802E2B">
        <w:t>t-Ni/CeO</w:t>
      </w:r>
      <w:r w:rsidR="00FE573C" w:rsidRPr="00802E2B">
        <w:rPr>
          <w:vertAlign w:val="subscript"/>
        </w:rPr>
        <w:t>2</w:t>
      </w:r>
      <w:r w:rsidR="00FE573C" w:rsidRPr="00802E2B">
        <w:t>) was properly modified through the addition of Al</w:t>
      </w:r>
      <w:r w:rsidR="00FE573C" w:rsidRPr="00802E2B">
        <w:rPr>
          <w:vertAlign w:val="subscript"/>
        </w:rPr>
        <w:t>2</w:t>
      </w:r>
      <w:r w:rsidR="00FE573C" w:rsidRPr="00802E2B">
        <w:t>O</w:t>
      </w:r>
      <w:r w:rsidR="00FE573C" w:rsidRPr="00802E2B">
        <w:rPr>
          <w:vertAlign w:val="subscript"/>
        </w:rPr>
        <w:t>3</w:t>
      </w:r>
      <w:r w:rsidR="00FE573C" w:rsidRPr="00802E2B">
        <w:t xml:space="preserve"> </w:t>
      </w:r>
      <w:r w:rsidR="00EF0479" w:rsidRPr="00802E2B">
        <w:t>(Ruocco et al., 2019). In particular, this study was focused on the evaluation of the</w:t>
      </w:r>
      <w:r w:rsidR="00C339FB" w:rsidRPr="00802E2B">
        <w:t xml:space="preserve"> influence of the</w:t>
      </w:r>
      <w:r w:rsidR="00B60028" w:rsidRPr="00802E2B">
        <w:t xml:space="preserve"> </w:t>
      </w:r>
      <w:r w:rsidR="00EF0479" w:rsidRPr="00802E2B">
        <w:t>CeO</w:t>
      </w:r>
      <w:r w:rsidR="00EF0479" w:rsidRPr="00802E2B">
        <w:rPr>
          <w:vertAlign w:val="subscript"/>
        </w:rPr>
        <w:t>2</w:t>
      </w:r>
      <w:r w:rsidR="00EF0479" w:rsidRPr="00802E2B">
        <w:t>/Al</w:t>
      </w:r>
      <w:r w:rsidR="00EF0479" w:rsidRPr="00802E2B">
        <w:rPr>
          <w:vertAlign w:val="subscript"/>
        </w:rPr>
        <w:t>2</w:t>
      </w:r>
      <w:r w:rsidR="00EF0479" w:rsidRPr="00802E2B">
        <w:t>O</w:t>
      </w:r>
      <w:r w:rsidR="00EF0479" w:rsidRPr="00802E2B">
        <w:rPr>
          <w:vertAlign w:val="subscript"/>
        </w:rPr>
        <w:t>3</w:t>
      </w:r>
      <w:r w:rsidR="00B60028" w:rsidRPr="00802E2B">
        <w:t xml:space="preserve"> ratio </w:t>
      </w:r>
      <w:r w:rsidR="00487C53" w:rsidRPr="00802E2B">
        <w:t xml:space="preserve">(ranging from 25 to 45 %) </w:t>
      </w:r>
      <w:r w:rsidR="00B60028" w:rsidRPr="00802E2B">
        <w:t xml:space="preserve">as well as Pt content </w:t>
      </w:r>
      <w:r w:rsidR="00487C53" w:rsidRPr="00802E2B">
        <w:t xml:space="preserve">(in the interval 3-5%) </w:t>
      </w:r>
      <w:r w:rsidR="00B60028" w:rsidRPr="00802E2B">
        <w:t>on</w:t>
      </w:r>
      <w:r w:rsidR="00EF0479" w:rsidRPr="00802E2B">
        <w:t xml:space="preserve"> the </w:t>
      </w:r>
      <w:r w:rsidR="00ED4BBE" w:rsidRPr="00802E2B">
        <w:t>catalyst’s</w:t>
      </w:r>
      <w:r w:rsidR="00B60028" w:rsidRPr="00802E2B">
        <w:t xml:space="preserve"> performance during OESR</w:t>
      </w:r>
      <w:r w:rsidR="00E37C5A" w:rsidRPr="00802E2B">
        <w:t>. Catalyst activity and stability was investigated</w:t>
      </w:r>
      <w:r w:rsidR="00B60028" w:rsidRPr="00802E2B">
        <w:t xml:space="preserve"> at 500°C, H</w:t>
      </w:r>
      <w:r w:rsidR="00B60028" w:rsidRPr="00802E2B">
        <w:rPr>
          <w:vertAlign w:val="subscript"/>
        </w:rPr>
        <w:t>2</w:t>
      </w:r>
      <w:r w:rsidR="00B60028" w:rsidRPr="00802E2B">
        <w:t>O/C</w:t>
      </w:r>
      <w:r w:rsidR="00B60028" w:rsidRPr="00802E2B">
        <w:rPr>
          <w:vertAlign w:val="subscript"/>
        </w:rPr>
        <w:t>2</w:t>
      </w:r>
      <w:r w:rsidR="00B60028" w:rsidRPr="00802E2B">
        <w:t>H</w:t>
      </w:r>
      <w:r w:rsidR="00B60028" w:rsidRPr="00802E2B">
        <w:rPr>
          <w:vertAlign w:val="subscript"/>
        </w:rPr>
        <w:t>5</w:t>
      </w:r>
      <w:r w:rsidR="00B60028" w:rsidRPr="00802E2B">
        <w:t>OH=4 and O</w:t>
      </w:r>
      <w:r w:rsidR="00B60028" w:rsidRPr="00802E2B">
        <w:rPr>
          <w:vertAlign w:val="subscript"/>
        </w:rPr>
        <w:t>2</w:t>
      </w:r>
      <w:r w:rsidR="00B60028" w:rsidRPr="00802E2B">
        <w:t>/C</w:t>
      </w:r>
      <w:r w:rsidR="00B60028" w:rsidRPr="00802E2B">
        <w:rPr>
          <w:vertAlign w:val="subscript"/>
        </w:rPr>
        <w:t>2</w:t>
      </w:r>
      <w:r w:rsidR="00B60028" w:rsidRPr="00802E2B">
        <w:t>H</w:t>
      </w:r>
      <w:r w:rsidR="00B60028" w:rsidRPr="00802E2B">
        <w:rPr>
          <w:vertAlign w:val="subscript"/>
        </w:rPr>
        <w:t>5</w:t>
      </w:r>
      <w:r w:rsidR="00B60028" w:rsidRPr="00802E2B">
        <w:t>OH=0.5 and WHSV=12 h</w:t>
      </w:r>
      <w:r w:rsidR="00B60028" w:rsidRPr="00802E2B">
        <w:rPr>
          <w:vertAlign w:val="superscript"/>
        </w:rPr>
        <w:t>-1</w:t>
      </w:r>
      <w:r w:rsidR="00B60028" w:rsidRPr="00802E2B">
        <w:t xml:space="preserve">. The most stable formulation was identified from the above screening and transferred on a structured carrier (Ni-Fe open-cells foam); the </w:t>
      </w:r>
      <w:r w:rsidR="00C339FB" w:rsidRPr="00802E2B">
        <w:t>effect</w:t>
      </w:r>
      <w:r w:rsidR="00B60028" w:rsidRPr="00802E2B">
        <w:t xml:space="preserve"> of the foam structure on the activity and durability of the final catalyst was also investigated.</w:t>
      </w:r>
    </w:p>
    <w:p w14:paraId="5741900F" w14:textId="1CEA0C5A" w:rsidR="00453E24" w:rsidRPr="00802E2B" w:rsidRDefault="00953682" w:rsidP="00453E24">
      <w:pPr>
        <w:pStyle w:val="CETHeading1"/>
      </w:pPr>
      <w:r w:rsidRPr="00802E2B">
        <w:t>Experimental</w:t>
      </w:r>
    </w:p>
    <w:p w14:paraId="527AFC62" w14:textId="46396211" w:rsidR="00487C53" w:rsidRPr="00802E2B" w:rsidRDefault="00FD6F2D" w:rsidP="00487C53">
      <w:pPr>
        <w:pStyle w:val="CETBodytext"/>
      </w:pPr>
      <w:r w:rsidRPr="00802E2B">
        <w:t>The</w:t>
      </w:r>
      <w:r w:rsidR="00487C53" w:rsidRPr="00802E2B">
        <w:t xml:space="preserve"> powder catalysts used in this work were </w:t>
      </w:r>
      <w:r w:rsidR="00E37C5A" w:rsidRPr="00802E2B">
        <w:t>synthetized</w:t>
      </w:r>
      <w:r w:rsidRPr="00802E2B">
        <w:t xml:space="preserve"> from the</w:t>
      </w:r>
      <w:r w:rsidR="001A3DFA" w:rsidRPr="00802E2B">
        <w:t xml:space="preserve"> </w:t>
      </w:r>
      <w:r w:rsidR="00487C53" w:rsidRPr="00802E2B">
        <w:t xml:space="preserve">calcined washcoat (wc) slurry. </w:t>
      </w:r>
      <w:r w:rsidRPr="00802E2B">
        <w:t>For the washocat preparation,</w:t>
      </w:r>
      <w:r w:rsidR="00487C53" w:rsidRPr="00802E2B">
        <w:t xml:space="preserve"> ɣ-alumina (PURALOX SCCa 150/200, SASOL), </w:t>
      </w:r>
      <w:r w:rsidRPr="00802E2B">
        <w:t>was grinded</w:t>
      </w:r>
      <w:r w:rsidR="00487C53" w:rsidRPr="00802E2B">
        <w:t xml:space="preserve"> </w:t>
      </w:r>
      <w:r w:rsidRPr="00802E2B">
        <w:t>by means of a</w:t>
      </w:r>
      <w:r w:rsidR="00487C53" w:rsidRPr="00802E2B">
        <w:t xml:space="preserve"> Retsch RM100 mill to reach a particles s</w:t>
      </w:r>
      <w:r w:rsidRPr="00802E2B">
        <w:t xml:space="preserve">ize </w:t>
      </w:r>
      <w:r w:rsidR="00E37C5A" w:rsidRPr="00802E2B">
        <w:t>dimension lower than 10 µm. S</w:t>
      </w:r>
      <w:r w:rsidRPr="00802E2B">
        <w:t>ubsequently</w:t>
      </w:r>
      <w:r w:rsidR="00E37C5A" w:rsidRPr="00802E2B">
        <w:t>, alumina was</w:t>
      </w:r>
      <w:r w:rsidR="00487C53" w:rsidRPr="00802E2B">
        <w:t xml:space="preserve"> added to a colloidal solution </w:t>
      </w:r>
      <w:r w:rsidRPr="00802E2B">
        <w:t>containing</w:t>
      </w:r>
      <w:r w:rsidR="00487C53" w:rsidRPr="00802E2B">
        <w:t xml:space="preserve"> methylcellulose (Sigma-Aldrich) </w:t>
      </w:r>
      <w:r w:rsidRPr="00802E2B">
        <w:t>and</w:t>
      </w:r>
      <w:r w:rsidR="00487C53" w:rsidRPr="00802E2B">
        <w:t xml:space="preserve"> pseudoboehmite</w:t>
      </w:r>
      <w:r w:rsidR="00E37C5A" w:rsidRPr="00802E2B">
        <w:t xml:space="preserve"> (Pural SB, provided by SASOL). T</w:t>
      </w:r>
      <w:r w:rsidRPr="00802E2B">
        <w:t>he resulting suspension was</w:t>
      </w:r>
      <w:r w:rsidR="001A3DFA" w:rsidRPr="00802E2B">
        <w:t xml:space="preserve"> </w:t>
      </w:r>
      <w:r w:rsidR="00487C53" w:rsidRPr="00802E2B">
        <w:t xml:space="preserve">acidified at pH= 4 with nitric acid (65%, Carlo Erba Reagenti). </w:t>
      </w:r>
      <w:r w:rsidRPr="00802E2B">
        <w:t xml:space="preserve">Thereafter, </w:t>
      </w:r>
      <w:r w:rsidR="00487C53" w:rsidRPr="00802E2B">
        <w:t>the milled alumina</w:t>
      </w:r>
      <w:r w:rsidR="00C339FB" w:rsidRPr="00802E2B">
        <w:t xml:space="preserve"> was added</w:t>
      </w:r>
      <w:r w:rsidR="00487C53" w:rsidRPr="00802E2B">
        <w:t xml:space="preserve"> in the colloidal solution, which was vigorously mixed under mechanical stirring. The final composition of the slurry was: 1 wt% of methylcellulose, 4.6 wt% of pseudoboehmite and 15.4 wt% of ɣ-alumina. </w:t>
      </w:r>
      <w:r w:rsidRPr="00802E2B">
        <w:t>Finally, the slurry was dried overnight and calcined at 600°C for 3 hours. CeO</w:t>
      </w:r>
      <w:r w:rsidRPr="00802E2B">
        <w:rPr>
          <w:vertAlign w:val="subscript"/>
        </w:rPr>
        <w:t>2</w:t>
      </w:r>
      <w:r w:rsidRPr="00802E2B">
        <w:t xml:space="preserve">, Ni and Pt were sequentially deposited </w:t>
      </w:r>
      <w:r w:rsidR="00AF3710" w:rsidRPr="00802E2B">
        <w:t xml:space="preserve">on the calcined washcoat starting from </w:t>
      </w:r>
      <w:r w:rsidR="00487C53" w:rsidRPr="00802E2B">
        <w:t>Cerium(III) 2,4-pen</w:t>
      </w:r>
      <w:r w:rsidR="00AF3710" w:rsidRPr="00802E2B">
        <w:t>tanedionate hydrate, nickel nitrate hexahydrate</w:t>
      </w:r>
      <w:r w:rsidR="00487C53" w:rsidRPr="00802E2B">
        <w:t xml:space="preserve"> and platinum chloride (</w:t>
      </w:r>
      <w:r w:rsidR="00AF3710" w:rsidRPr="00802E2B">
        <w:t>provided by Carlo Erba</w:t>
      </w:r>
      <w:r w:rsidR="00C278EE" w:rsidRPr="00802E2B">
        <w:t xml:space="preserve">), respectively. </w:t>
      </w:r>
      <w:r w:rsidR="00487C53" w:rsidRPr="00802E2B">
        <w:t>Different catalysts were prepared by changing the ceria content in the interval 25-45 wt% (with respect to the washcoat mass) and the Pt loading from 2 to 5 wt% (with respect to the ceria content)</w:t>
      </w:r>
      <w:r w:rsidR="00E37C5A" w:rsidRPr="00802E2B">
        <w:t>. Conversely, the Ni content</w:t>
      </w:r>
      <w:r w:rsidR="00487C53" w:rsidRPr="00802E2B">
        <w:t xml:space="preserve"> was fixed to 10 wt% with respect to the ceria mass</w:t>
      </w:r>
      <w:r w:rsidR="00E37C5A" w:rsidRPr="00802E2B">
        <w:t>, on the basis of previous studies (Ruocco C. et al., 2019).</w:t>
      </w:r>
      <w:r w:rsidR="00487C53" w:rsidRPr="00802E2B">
        <w:t xml:space="preserve"> The catalytic samples were denoted as a</w:t>
      </w:r>
      <w:r w:rsidR="003829E0" w:rsidRPr="00802E2B">
        <w:t xml:space="preserve"> </w:t>
      </w:r>
      <w:r w:rsidR="00487C53" w:rsidRPr="00802E2B">
        <w:t>Pt-10Ni/bCeO</w:t>
      </w:r>
      <w:r w:rsidR="00487C53" w:rsidRPr="00802E2B">
        <w:rPr>
          <w:vertAlign w:val="subscript"/>
        </w:rPr>
        <w:t>2</w:t>
      </w:r>
      <w:r w:rsidR="00487C53" w:rsidRPr="00802E2B">
        <w:t>/wc, where a and b refer to Pt and CeO</w:t>
      </w:r>
      <w:r w:rsidR="00487C53" w:rsidRPr="00802E2B">
        <w:rPr>
          <w:vertAlign w:val="subscript"/>
        </w:rPr>
        <w:t>2</w:t>
      </w:r>
      <w:r w:rsidR="00487C53" w:rsidRPr="00802E2B">
        <w:t xml:space="preserve"> content, respectively.</w:t>
      </w:r>
    </w:p>
    <w:p w14:paraId="69F8473D" w14:textId="36E2298C" w:rsidR="00C278EE" w:rsidRPr="00802E2B" w:rsidRDefault="00C278EE" w:rsidP="00487C53">
      <w:pPr>
        <w:pStyle w:val="CETBodytext"/>
      </w:pPr>
      <w:r w:rsidRPr="00802E2B">
        <w:t xml:space="preserve">For the preparation of the structured catalyst, </w:t>
      </w:r>
      <w:r w:rsidR="00C339FB" w:rsidRPr="00802E2B">
        <w:t xml:space="preserve">the </w:t>
      </w:r>
      <w:r w:rsidR="00487C53" w:rsidRPr="00802E2B">
        <w:t>washcoat</w:t>
      </w:r>
      <w:r w:rsidR="00C339FB" w:rsidRPr="00802E2B">
        <w:t>,</w:t>
      </w:r>
      <w:r w:rsidR="00487C53" w:rsidRPr="00802E2B">
        <w:t xml:space="preserve"> </w:t>
      </w:r>
      <w:r w:rsidR="00DE048B" w:rsidRPr="00802E2B">
        <w:t>ceria</w:t>
      </w:r>
      <w:r w:rsidR="00487C53" w:rsidRPr="00802E2B">
        <w:t xml:space="preserve"> </w:t>
      </w:r>
      <w:r w:rsidR="00C339FB" w:rsidRPr="00802E2B">
        <w:t xml:space="preserve">and </w:t>
      </w:r>
      <w:r w:rsidR="00487C53" w:rsidRPr="00802E2B">
        <w:t>active species deposition</w:t>
      </w:r>
      <w:r w:rsidRPr="00802E2B">
        <w:t xml:space="preserve"> were sequentially carried out. </w:t>
      </w:r>
      <w:r w:rsidR="00487C53" w:rsidRPr="00802E2B">
        <w:t xml:space="preserve">Ni-Fe open cell foams, </w:t>
      </w:r>
      <w:r w:rsidR="00DE6C34" w:rsidRPr="00802E2B">
        <w:t>(15-20 ppi</w:t>
      </w:r>
      <w:r w:rsidRPr="00802E2B">
        <w:t>, d=2 cm, L=5 cm</w:t>
      </w:r>
      <w:r w:rsidR="00487C53" w:rsidRPr="00802E2B">
        <w:t xml:space="preserve">) provided by VIM technology Ltd, </w:t>
      </w:r>
      <w:r w:rsidRPr="00802E2B">
        <w:t>were</w:t>
      </w:r>
      <w:r w:rsidR="00DE048B" w:rsidRPr="00802E2B">
        <w:t xml:space="preserve"> </w:t>
      </w:r>
      <w:r w:rsidR="00487C53" w:rsidRPr="00802E2B">
        <w:t>dipped into the washcoat suspension for 20 min at ambient temperature. Thereafter, centrifugation, drying and calcination occurred; the washcoating procedure was repeated until reaching a final loading of 0.2 g·cm</w:t>
      </w:r>
      <w:r w:rsidR="00487C53" w:rsidRPr="00802E2B">
        <w:rPr>
          <w:vertAlign w:val="superscript"/>
        </w:rPr>
        <w:t>-3</w:t>
      </w:r>
      <w:r w:rsidR="00487C53" w:rsidRPr="00802E2B">
        <w:t xml:space="preserve">. </w:t>
      </w:r>
      <w:r w:rsidR="00E37C5A" w:rsidRPr="00802E2B">
        <w:t>Once deposited the washcoat on the carrier, t</w:t>
      </w:r>
      <w:r w:rsidR="00487C53" w:rsidRPr="00802E2B">
        <w:t>he following step</w:t>
      </w:r>
      <w:r w:rsidRPr="00802E2B">
        <w:t xml:space="preserve">s of ceria, nickel and platinum deposition were </w:t>
      </w:r>
      <w:r w:rsidR="00C339FB" w:rsidRPr="00802E2B">
        <w:t>carried out</w:t>
      </w:r>
      <w:r w:rsidRPr="00802E2B">
        <w:t xml:space="preserve"> as described above</w:t>
      </w:r>
      <w:r w:rsidR="00C339FB" w:rsidRPr="00802E2B">
        <w:t xml:space="preserve"> for the powder samples</w:t>
      </w:r>
      <w:r w:rsidRPr="00802E2B">
        <w:t>.</w:t>
      </w:r>
    </w:p>
    <w:p w14:paraId="59E8905E" w14:textId="3130E521" w:rsidR="00487C53" w:rsidRPr="00802E2B" w:rsidRDefault="00487C53" w:rsidP="00487C53">
      <w:pPr>
        <w:pStyle w:val="CETBodytext"/>
      </w:pPr>
      <w:r w:rsidRPr="00802E2B">
        <w:t>The fresh and spent catalysts were characterized by surface area measurements (BET analysis), X-ray diffraction analysis</w:t>
      </w:r>
      <w:r w:rsidR="00DE6C34" w:rsidRPr="00802E2B">
        <w:t xml:space="preserve"> (XRD) </w:t>
      </w:r>
      <w:r w:rsidRPr="00802E2B">
        <w:t>and Temperature Programmed Reduction (TPR) measurements.</w:t>
      </w:r>
      <w:r w:rsidR="00C278EE" w:rsidRPr="00802E2B">
        <w:t xml:space="preserve"> In addition, t</w:t>
      </w:r>
      <w:r w:rsidRPr="00802E2B">
        <w:t xml:space="preserve">he amount of carbon deposited </w:t>
      </w:r>
      <w:r w:rsidR="00DE6C34" w:rsidRPr="00802E2B">
        <w:t>during OESR reaction</w:t>
      </w:r>
      <w:r w:rsidRPr="00802E2B">
        <w:t xml:space="preserve"> was measured via Thermogravimetric </w:t>
      </w:r>
      <w:r w:rsidR="00C278EE" w:rsidRPr="00802E2B">
        <w:t>analysis.</w:t>
      </w:r>
    </w:p>
    <w:p w14:paraId="754A8D0A" w14:textId="4F9AC726" w:rsidR="00C278EE" w:rsidRPr="00802E2B" w:rsidRDefault="00E52B80" w:rsidP="001A3DFA">
      <w:pPr>
        <w:pStyle w:val="CETBodytext"/>
      </w:pPr>
      <w:r w:rsidRPr="00802E2B">
        <w:t>T</w:t>
      </w:r>
      <w:r w:rsidR="001A3DFA" w:rsidRPr="00802E2B">
        <w:t xml:space="preserve">he </w:t>
      </w:r>
      <w:r w:rsidR="00C278EE" w:rsidRPr="00802E2B">
        <w:t xml:space="preserve">catalysts </w:t>
      </w:r>
      <w:r w:rsidRPr="00802E2B">
        <w:t xml:space="preserve">performance </w:t>
      </w:r>
      <w:r w:rsidR="00C278EE" w:rsidRPr="00802E2B">
        <w:t>during the oxidative steam reforming (OESR) of commercial fuel grade bioethanol was investigated at 500°C under atmos</w:t>
      </w:r>
      <w:r w:rsidR="001A3DFA" w:rsidRPr="00802E2B">
        <w:t xml:space="preserve">pheric pressure in a </w:t>
      </w:r>
      <w:r w:rsidR="00C278EE" w:rsidRPr="00802E2B">
        <w:t>tubular quartz reactor (i.d.=</w:t>
      </w:r>
      <w:r w:rsidR="00A261B7" w:rsidRPr="00802E2B">
        <w:t xml:space="preserve"> </w:t>
      </w:r>
      <w:r w:rsidR="00C278EE" w:rsidRPr="00802E2B">
        <w:t>2.54 cm)</w:t>
      </w:r>
      <w:r w:rsidR="00E37C5A" w:rsidRPr="00802E2B">
        <w:t xml:space="preserve">. The </w:t>
      </w:r>
      <w:r w:rsidRPr="00802E2B">
        <w:t>p</w:t>
      </w:r>
      <w:r w:rsidR="00C339FB" w:rsidRPr="00802E2B">
        <w:t>owder catalyst</w:t>
      </w:r>
      <w:r w:rsidR="00E37C5A" w:rsidRPr="00802E2B">
        <w:t xml:space="preserve"> (typically 1.5 g)</w:t>
      </w:r>
      <w:r w:rsidR="00C339FB" w:rsidRPr="00802E2B">
        <w:t>,</w:t>
      </w:r>
      <w:r w:rsidRPr="00802E2B">
        <w:t xml:space="preserve"> crushed and sieved </w:t>
      </w:r>
      <w:r w:rsidR="00C278EE" w:rsidRPr="00802E2B">
        <w:t>to reach a particle size distribution of 180-355 µm, was diluted with quartz</w:t>
      </w:r>
      <w:r w:rsidR="00E37C5A" w:rsidRPr="00802E2B">
        <w:t xml:space="preserve"> particles</w:t>
      </w:r>
      <w:r w:rsidR="00C278EE" w:rsidRPr="00802E2B">
        <w:t xml:space="preserve"> (500-710 µm</w:t>
      </w:r>
      <w:r w:rsidR="00E37C5A" w:rsidRPr="00802E2B">
        <w:t>) in a volumetric ratio of 1:</w:t>
      </w:r>
      <w:r w:rsidR="00C278EE" w:rsidRPr="00802E2B">
        <w:t>1</w:t>
      </w:r>
      <w:r w:rsidRPr="00802E2B">
        <w:t>, sandwiched between two quartz wool flakes</w:t>
      </w:r>
      <w:r w:rsidR="00C278EE" w:rsidRPr="00802E2B">
        <w:t xml:space="preserve"> and loaded into the r</w:t>
      </w:r>
      <w:r w:rsidRPr="00802E2B">
        <w:t>eactor</w:t>
      </w:r>
      <w:r w:rsidR="00C278EE" w:rsidRPr="00802E2B">
        <w:t>. For the structured catalysts tests, the foam was simply wrapped into the</w:t>
      </w:r>
      <w:r w:rsidRPr="00802E2B">
        <w:t xml:space="preserve"> quartz wool. After catalyst reduction in situ, </w:t>
      </w:r>
      <w:r w:rsidR="00C278EE" w:rsidRPr="00802E2B">
        <w:t xml:space="preserve">the feeding stream (bioethanol, water and diluting argon) </w:t>
      </w:r>
      <w:r w:rsidRPr="00802E2B">
        <w:t xml:space="preserve">was </w:t>
      </w:r>
      <w:r w:rsidR="001A3DFA" w:rsidRPr="00802E2B">
        <w:t>sent</w:t>
      </w:r>
      <w:r w:rsidR="004621C7" w:rsidRPr="00802E2B">
        <w:t xml:space="preserve"> </w:t>
      </w:r>
      <w:r w:rsidR="00C278EE" w:rsidRPr="00802E2B">
        <w:t>to a boiler for vapor</w:t>
      </w:r>
      <w:r w:rsidR="004621C7" w:rsidRPr="00802E2B">
        <w:t>ization (T=170°C)</w:t>
      </w:r>
      <w:r w:rsidR="00C278EE" w:rsidRPr="00802E2B">
        <w:t>; oxygen can be mixed with the reacting stream directly in correspondence</w:t>
      </w:r>
      <w:r w:rsidR="004621C7" w:rsidRPr="00802E2B">
        <w:t xml:space="preserve"> to the reactor inlet.</w:t>
      </w:r>
      <w:r w:rsidR="000E1DAC" w:rsidRPr="00802E2B">
        <w:t xml:space="preserve"> The feeding composition</w:t>
      </w:r>
      <w:r w:rsidR="00C278EE" w:rsidRPr="00802E2B">
        <w:t xml:space="preserve"> can be monitored online by means of a mass spectrometer provided by Hiden Analytical; meanwhile, it is possible to wash the reactor with a stream of nitrogen. A system of 4 two-way valves, placed into a heated block, allows to switch from the by-pass to reactor configuration. The final composition of the reacting stream was: 10% bioethanol, 40% H</w:t>
      </w:r>
      <w:r w:rsidR="00C278EE" w:rsidRPr="00802E2B">
        <w:rPr>
          <w:vertAlign w:val="subscript"/>
        </w:rPr>
        <w:t>2</w:t>
      </w:r>
      <w:r w:rsidR="00C278EE" w:rsidRPr="00802E2B">
        <w:t>O, 5%O</w:t>
      </w:r>
      <w:r w:rsidR="00C278EE" w:rsidRPr="00802E2B">
        <w:rPr>
          <w:vertAlign w:val="subscript"/>
        </w:rPr>
        <w:t>2</w:t>
      </w:r>
      <w:r w:rsidR="00E37C5A" w:rsidRPr="00802E2B">
        <w:t xml:space="preserve"> and 45% Ar. T</w:t>
      </w:r>
      <w:r w:rsidR="00C278EE" w:rsidRPr="00802E2B">
        <w:t>he weight hourly space velocity (WHSV), defined as the ethanol mass flow-rate normalized with respect to the ca</w:t>
      </w:r>
      <w:r w:rsidR="00DE048B" w:rsidRPr="00802E2B">
        <w:t xml:space="preserve">talytic mass, was fixed at 12 </w:t>
      </w:r>
      <w:r w:rsidR="00C278EE" w:rsidRPr="00802E2B">
        <w:t>h</w:t>
      </w:r>
      <w:r w:rsidR="00C278EE" w:rsidRPr="00802E2B">
        <w:rPr>
          <w:vertAlign w:val="superscript"/>
        </w:rPr>
        <w:t>-1</w:t>
      </w:r>
      <w:r w:rsidR="00C278EE" w:rsidRPr="00802E2B">
        <w:t>. The corresponding contact</w:t>
      </w:r>
      <w:r w:rsidR="00DE048B" w:rsidRPr="00802E2B">
        <w:t xml:space="preserve"> time</w:t>
      </w:r>
      <w:r w:rsidR="00C278EE" w:rsidRPr="00802E2B">
        <w:t xml:space="preserve"> </w:t>
      </w:r>
      <w:r w:rsidR="00DE048B" w:rsidRPr="00802E2B">
        <w:t>(</w:t>
      </w:r>
      <w:r w:rsidR="00C278EE" w:rsidRPr="00802E2B">
        <w:t>80 ms</w:t>
      </w:r>
      <w:r w:rsidR="00DE048B" w:rsidRPr="00802E2B">
        <w:t>) was very low</w:t>
      </w:r>
      <w:r w:rsidR="00C278EE" w:rsidRPr="00802E2B">
        <w:t xml:space="preserve"> and was chosen to study the catalytic </w:t>
      </w:r>
      <w:r w:rsidR="000E1DAC" w:rsidRPr="00802E2B">
        <w:t>behavior</w:t>
      </w:r>
      <w:r w:rsidR="001A3DFA" w:rsidRPr="00802E2B">
        <w:t xml:space="preserve"> under stressing conditions</w:t>
      </w:r>
      <w:r w:rsidR="00C278EE" w:rsidRPr="00802E2B">
        <w:t>.</w:t>
      </w:r>
      <w:r w:rsidR="00617E1B" w:rsidRPr="00802E2B">
        <w:t xml:space="preserve"> </w:t>
      </w:r>
      <w:r w:rsidR="00C278EE" w:rsidRPr="00802E2B">
        <w:t>The results of the stability tests were compared in terms of ethanol conversion</w:t>
      </w:r>
      <w:r w:rsidR="004B1ED0" w:rsidRPr="00802E2B">
        <w:t xml:space="preserve"> (X)</w:t>
      </w:r>
      <w:r w:rsidR="00C278EE" w:rsidRPr="00802E2B">
        <w:t>, H</w:t>
      </w:r>
      <w:r w:rsidR="00C278EE" w:rsidRPr="00802E2B">
        <w:rPr>
          <w:vertAlign w:val="subscript"/>
        </w:rPr>
        <w:t>2</w:t>
      </w:r>
      <w:r w:rsidR="00C278EE" w:rsidRPr="00802E2B">
        <w:t xml:space="preserve"> yield </w:t>
      </w:r>
      <w:r w:rsidR="004B1ED0" w:rsidRPr="00802E2B">
        <w:t>(Y</w:t>
      </w:r>
      <w:r w:rsidR="004B1ED0" w:rsidRPr="00802E2B">
        <w:rPr>
          <w:vertAlign w:val="subscript"/>
        </w:rPr>
        <w:t>H2</w:t>
      </w:r>
      <w:r w:rsidR="004B1ED0" w:rsidRPr="00802E2B">
        <w:t xml:space="preserve">) </w:t>
      </w:r>
      <w:r w:rsidR="00C278EE" w:rsidRPr="00802E2B">
        <w:t>and C-containing products yield</w:t>
      </w:r>
      <w:r w:rsidR="004B1ED0" w:rsidRPr="00802E2B">
        <w:t xml:space="preserve"> (Y</w:t>
      </w:r>
      <w:r w:rsidR="004B1ED0" w:rsidRPr="00802E2B">
        <w:rPr>
          <w:vertAlign w:val="subscript"/>
        </w:rPr>
        <w:t>i</w:t>
      </w:r>
      <w:r w:rsidR="004B1ED0" w:rsidRPr="00802E2B">
        <w:t>)</w:t>
      </w:r>
      <w:r w:rsidR="00C278EE" w:rsidRPr="00802E2B">
        <w:t xml:space="preserve">, as </w:t>
      </w:r>
      <w:r w:rsidR="001A3DFA" w:rsidRPr="00802E2B">
        <w:t xml:space="preserve">previously </w:t>
      </w:r>
      <w:r w:rsidR="004B1ED0" w:rsidRPr="00802E2B">
        <w:t>defined</w:t>
      </w:r>
      <w:r w:rsidR="00DF1CEB" w:rsidRPr="00802E2B">
        <w:t xml:space="preserve"> </w:t>
      </w:r>
      <w:r w:rsidR="001A3DFA" w:rsidRPr="00802E2B">
        <w:t>(Ruocco C. et al., 2019).</w:t>
      </w:r>
    </w:p>
    <w:p w14:paraId="10C97448" w14:textId="78E50039" w:rsidR="00DD04CD" w:rsidRPr="00802E2B" w:rsidRDefault="00BE07FA" w:rsidP="001A3DFA">
      <w:pPr>
        <w:pStyle w:val="CETBodytext"/>
      </w:pPr>
      <w:r w:rsidRPr="00802E2B">
        <w:t xml:space="preserve">After stability tests, the amount of carbon eventually </w:t>
      </w:r>
      <w:r w:rsidR="00593DB3" w:rsidRPr="00802E2B">
        <w:t>deposited on the spent catalysts was evaluated through temperature programmed oxidation measurements (TPO), perf</w:t>
      </w:r>
      <w:r w:rsidR="009A6AF2" w:rsidRPr="00802E2B">
        <w:t>ormed by heating the sample from</w:t>
      </w:r>
      <w:r w:rsidR="00593DB3" w:rsidRPr="00802E2B">
        <w:t xml:space="preserve"> ambient </w:t>
      </w:r>
      <w:r w:rsidR="00593DB3" w:rsidRPr="00802E2B">
        <w:lastRenderedPageBreak/>
        <w:t xml:space="preserve">temperature to 1000°C under </w:t>
      </w:r>
      <w:r w:rsidR="00DD04CD" w:rsidRPr="00802E2B">
        <w:t>a 5%O</w:t>
      </w:r>
      <w:r w:rsidR="00DD04CD" w:rsidRPr="00802E2B">
        <w:rPr>
          <w:vertAlign w:val="subscript"/>
        </w:rPr>
        <w:t>2</w:t>
      </w:r>
      <w:r w:rsidR="00DD04CD" w:rsidRPr="00802E2B">
        <w:t xml:space="preserve"> in Ar stream. The resulting c</w:t>
      </w:r>
      <w:r w:rsidR="001D15C8" w:rsidRPr="00802E2B">
        <w:t>arbon formation rate (CFR) was calculated</w:t>
      </w:r>
      <w:r w:rsidR="00DD04CD" w:rsidRPr="00802E2B">
        <w:t xml:space="preserve"> by normalizing the carbon mass with respect to the catalytic mass, the hours of test and the amount of carbon fed as ethanol.</w:t>
      </w:r>
    </w:p>
    <w:p w14:paraId="677EBFF0" w14:textId="44B241F0" w:rsidR="00600535" w:rsidRPr="00802E2B" w:rsidRDefault="00953682" w:rsidP="00600535">
      <w:pPr>
        <w:pStyle w:val="CETHeading1"/>
        <w:tabs>
          <w:tab w:val="clear" w:pos="360"/>
          <w:tab w:val="right" w:pos="7100"/>
        </w:tabs>
        <w:jc w:val="both"/>
        <w:rPr>
          <w:lang w:val="en-GB"/>
        </w:rPr>
      </w:pPr>
      <w:r w:rsidRPr="00802E2B">
        <w:rPr>
          <w:lang w:val="en-GB"/>
        </w:rPr>
        <w:t>Results &amp; Discussion</w:t>
      </w:r>
    </w:p>
    <w:p w14:paraId="04963A06" w14:textId="31ACA8E2" w:rsidR="00600535" w:rsidRPr="00802E2B" w:rsidRDefault="00DE048B" w:rsidP="00FA5F5F">
      <w:pPr>
        <w:pStyle w:val="CETheadingx"/>
      </w:pPr>
      <w:r w:rsidRPr="00802E2B">
        <w:t xml:space="preserve">Results of </w:t>
      </w:r>
      <w:r w:rsidR="00DE6C34" w:rsidRPr="00802E2B">
        <w:t xml:space="preserve">the </w:t>
      </w:r>
      <w:r w:rsidRPr="00802E2B">
        <w:t>fresh catalysts characterization</w:t>
      </w:r>
    </w:p>
    <w:p w14:paraId="4113C9E6" w14:textId="3BA3B53D" w:rsidR="00CB0E53" w:rsidRPr="00802E2B" w:rsidRDefault="00CB0E53" w:rsidP="00CB0E53">
      <w:pPr>
        <w:pStyle w:val="CETListbullets"/>
        <w:ind w:left="0" w:firstLine="0"/>
      </w:pPr>
      <w:r w:rsidRPr="00802E2B">
        <w:t>The results of BET, XRD and TPR analysis were synthetized in Table 1.</w:t>
      </w:r>
      <w:r w:rsidR="00963C33" w:rsidRPr="00802E2B">
        <w:t xml:space="preserve"> Due to the increase of ceria content, a slight reduction of the specific surface ar</w:t>
      </w:r>
      <w:r w:rsidR="00445CB9" w:rsidRPr="00802E2B">
        <w:t>eas of the samples was recorded, with a consequent growth of the ceria particles sizes. Conversely, by changing the Pt loading from 2 to 5 wt%, an improvement in terms of both surface area and ceria particles dispersion was achieved.</w:t>
      </w:r>
    </w:p>
    <w:p w14:paraId="15B9B882" w14:textId="2FEBAA03" w:rsidR="00CB0E53" w:rsidRPr="00802E2B" w:rsidRDefault="00600535" w:rsidP="00CB0E53">
      <w:pPr>
        <w:pStyle w:val="CETTabletitle"/>
      </w:pPr>
      <w:r w:rsidRPr="00802E2B">
        <w:t xml:space="preserve"> </w:t>
      </w:r>
      <w:r w:rsidR="00CB0E53" w:rsidRPr="00802E2B">
        <w:t>Table 1: BET, XRD and TPR values recorded for the powder catalysts.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134"/>
        <w:gridCol w:w="992"/>
        <w:gridCol w:w="1985"/>
        <w:gridCol w:w="2211"/>
      </w:tblGrid>
      <w:tr w:rsidR="00802E2B" w:rsidRPr="00802E2B" w14:paraId="3A96BC59" w14:textId="77777777" w:rsidTr="00AB00E0">
        <w:tc>
          <w:tcPr>
            <w:tcW w:w="1985" w:type="dxa"/>
            <w:tcBorders>
              <w:top w:val="single" w:sz="12" w:space="0" w:color="008000"/>
              <w:bottom w:val="single" w:sz="6" w:space="0" w:color="008000"/>
            </w:tcBorders>
            <w:shd w:val="clear" w:color="auto" w:fill="FFFFFF"/>
          </w:tcPr>
          <w:p w14:paraId="10E80C8D" w14:textId="1FB6ACE2" w:rsidR="00CB0E53" w:rsidRPr="00802E2B" w:rsidRDefault="00CB0E53" w:rsidP="00A37532">
            <w:pPr>
              <w:pStyle w:val="CETBodytext"/>
              <w:rPr>
                <w:lang w:val="en-GB"/>
              </w:rPr>
            </w:pPr>
            <w:r w:rsidRPr="00802E2B">
              <w:rPr>
                <w:lang w:val="en-GB"/>
              </w:rPr>
              <w:t xml:space="preserve"> Sample</w:t>
            </w:r>
          </w:p>
        </w:tc>
        <w:tc>
          <w:tcPr>
            <w:tcW w:w="1134" w:type="dxa"/>
            <w:tcBorders>
              <w:top w:val="single" w:sz="12" w:space="0" w:color="008000"/>
              <w:bottom w:val="single" w:sz="6" w:space="0" w:color="008000"/>
            </w:tcBorders>
            <w:shd w:val="clear" w:color="auto" w:fill="FFFFFF"/>
          </w:tcPr>
          <w:p w14:paraId="31362EFA" w14:textId="39C7E7B2" w:rsidR="00CB0E53" w:rsidRPr="00802E2B" w:rsidRDefault="00CB0E53" w:rsidP="00A37532">
            <w:pPr>
              <w:pStyle w:val="CETBodytext"/>
              <w:rPr>
                <w:lang w:val="en-GB"/>
              </w:rPr>
            </w:pPr>
            <w:r w:rsidRPr="00802E2B">
              <w:rPr>
                <w:lang w:val="en-GB"/>
              </w:rPr>
              <w:t>BET (m</w:t>
            </w:r>
            <w:r w:rsidRPr="00802E2B">
              <w:rPr>
                <w:vertAlign w:val="superscript"/>
                <w:lang w:val="en-GB"/>
              </w:rPr>
              <w:t>2</w:t>
            </w:r>
            <w:r w:rsidRPr="00802E2B">
              <w:rPr>
                <w:rFonts w:ascii="Times New Roman" w:hAnsi="Times New Roman"/>
                <w:lang w:val="en-GB"/>
              </w:rPr>
              <w:t>∙</w:t>
            </w:r>
            <w:r w:rsidRPr="00802E2B">
              <w:rPr>
                <w:lang w:val="en-GB"/>
              </w:rPr>
              <w:t>g</w:t>
            </w:r>
            <w:r w:rsidRPr="00802E2B">
              <w:rPr>
                <w:vertAlign w:val="superscript"/>
                <w:lang w:val="en-GB"/>
              </w:rPr>
              <w:t>-1</w:t>
            </w:r>
            <w:r w:rsidRPr="00802E2B">
              <w:rPr>
                <w:lang w:val="en-GB"/>
              </w:rPr>
              <w:t>)</w:t>
            </w:r>
          </w:p>
        </w:tc>
        <w:tc>
          <w:tcPr>
            <w:tcW w:w="992" w:type="dxa"/>
            <w:tcBorders>
              <w:top w:val="single" w:sz="12" w:space="0" w:color="008000"/>
              <w:bottom w:val="single" w:sz="6" w:space="0" w:color="008000"/>
            </w:tcBorders>
            <w:shd w:val="clear" w:color="auto" w:fill="FFFFFF"/>
          </w:tcPr>
          <w:p w14:paraId="06B4F7AD" w14:textId="5574A9E3" w:rsidR="00CB0E53" w:rsidRPr="00802E2B" w:rsidRDefault="00CB0E53" w:rsidP="00A37532">
            <w:pPr>
              <w:pStyle w:val="CETBodytext"/>
              <w:rPr>
                <w:lang w:val="en-GB"/>
              </w:rPr>
            </w:pPr>
            <w:r w:rsidRPr="00802E2B">
              <w:rPr>
                <w:lang w:val="en-GB"/>
              </w:rPr>
              <w:t>d</w:t>
            </w:r>
            <w:r w:rsidRPr="00802E2B">
              <w:rPr>
                <w:vertAlign w:val="subscript"/>
                <w:lang w:val="en-GB"/>
              </w:rPr>
              <w:t>CeO2</w:t>
            </w:r>
            <w:r w:rsidRPr="00802E2B">
              <w:rPr>
                <w:lang w:val="en-GB"/>
              </w:rPr>
              <w:t xml:space="preserve"> (nm)</w:t>
            </w:r>
          </w:p>
        </w:tc>
        <w:tc>
          <w:tcPr>
            <w:tcW w:w="1985" w:type="dxa"/>
            <w:tcBorders>
              <w:top w:val="single" w:sz="12" w:space="0" w:color="008000"/>
              <w:bottom w:val="single" w:sz="6" w:space="0" w:color="008000"/>
            </w:tcBorders>
            <w:shd w:val="clear" w:color="auto" w:fill="FFFFFF"/>
          </w:tcPr>
          <w:p w14:paraId="678E6CEE" w14:textId="77D7995C" w:rsidR="00CB0E53" w:rsidRPr="00802E2B" w:rsidRDefault="00CB0E53" w:rsidP="00A37532">
            <w:pPr>
              <w:pStyle w:val="CETBodytext"/>
              <w:ind w:right="-1"/>
              <w:rPr>
                <w:rFonts w:cs="Arial"/>
                <w:szCs w:val="18"/>
                <w:lang w:val="en-GB"/>
              </w:rPr>
            </w:pPr>
            <w:r w:rsidRPr="00802E2B">
              <w:rPr>
                <w:rFonts w:cs="Arial"/>
                <w:szCs w:val="18"/>
                <w:lang w:val="en-GB"/>
              </w:rPr>
              <w:t>H</w:t>
            </w:r>
            <w:r w:rsidRPr="00802E2B">
              <w:rPr>
                <w:rFonts w:cs="Arial"/>
                <w:szCs w:val="18"/>
                <w:vertAlign w:val="subscript"/>
                <w:lang w:val="en-GB"/>
              </w:rPr>
              <w:t>2</w:t>
            </w:r>
            <w:r w:rsidRPr="00802E2B">
              <w:rPr>
                <w:rFonts w:cs="Arial"/>
                <w:szCs w:val="18"/>
                <w:lang w:val="en-GB"/>
              </w:rPr>
              <w:t xml:space="preserve"> uptake (Theoretical)</w:t>
            </w:r>
          </w:p>
        </w:tc>
        <w:tc>
          <w:tcPr>
            <w:tcW w:w="2211" w:type="dxa"/>
            <w:tcBorders>
              <w:top w:val="single" w:sz="12" w:space="0" w:color="008000"/>
              <w:bottom w:val="single" w:sz="6" w:space="0" w:color="008000"/>
            </w:tcBorders>
            <w:shd w:val="clear" w:color="auto" w:fill="FFFFFF"/>
          </w:tcPr>
          <w:p w14:paraId="5DF5D26E" w14:textId="64502B7C" w:rsidR="00CB0E53" w:rsidRPr="00802E2B" w:rsidRDefault="00CB0E53" w:rsidP="00A37532">
            <w:pPr>
              <w:pStyle w:val="CETBodytext"/>
              <w:ind w:right="-1"/>
              <w:rPr>
                <w:rFonts w:cs="Arial"/>
                <w:szCs w:val="18"/>
                <w:lang w:val="en-GB"/>
              </w:rPr>
            </w:pPr>
            <w:r w:rsidRPr="00802E2B">
              <w:rPr>
                <w:rFonts w:cs="Arial"/>
                <w:szCs w:val="18"/>
                <w:lang w:val="en-GB"/>
              </w:rPr>
              <w:t>H</w:t>
            </w:r>
            <w:r w:rsidRPr="00802E2B">
              <w:rPr>
                <w:rFonts w:cs="Arial"/>
                <w:szCs w:val="18"/>
                <w:vertAlign w:val="subscript"/>
                <w:lang w:val="en-GB"/>
              </w:rPr>
              <w:t>2</w:t>
            </w:r>
            <w:r w:rsidRPr="00802E2B">
              <w:rPr>
                <w:rFonts w:cs="Arial"/>
                <w:szCs w:val="18"/>
                <w:lang w:val="en-GB"/>
              </w:rPr>
              <w:t xml:space="preserve"> uptake (</w:t>
            </w:r>
            <w:r w:rsidR="00AB00E0" w:rsidRPr="00802E2B">
              <w:rPr>
                <w:rFonts w:cs="Arial"/>
                <w:szCs w:val="18"/>
                <w:lang w:val="en-GB"/>
              </w:rPr>
              <w:t>Experimental</w:t>
            </w:r>
            <w:r w:rsidRPr="00802E2B">
              <w:rPr>
                <w:rFonts w:cs="Arial"/>
                <w:szCs w:val="18"/>
                <w:lang w:val="en-GB"/>
              </w:rPr>
              <w:t>)</w:t>
            </w:r>
          </w:p>
        </w:tc>
      </w:tr>
      <w:tr w:rsidR="00802E2B" w:rsidRPr="00802E2B" w14:paraId="55C22E1D" w14:textId="77777777" w:rsidTr="00AB00E0">
        <w:tc>
          <w:tcPr>
            <w:tcW w:w="1985" w:type="dxa"/>
            <w:shd w:val="clear" w:color="auto" w:fill="FFFFFF"/>
          </w:tcPr>
          <w:p w14:paraId="43C47BDF" w14:textId="79A1BF61" w:rsidR="00CB0E53" w:rsidRPr="00802E2B" w:rsidRDefault="00CB0E53" w:rsidP="00A37532">
            <w:pPr>
              <w:pStyle w:val="CETBodytext"/>
              <w:rPr>
                <w:lang w:val="en-GB"/>
              </w:rPr>
            </w:pPr>
            <w:r w:rsidRPr="00802E2B">
              <w:rPr>
                <w:lang w:val="en-GB"/>
              </w:rPr>
              <w:t>2Pt-10Ni/25CeO</w:t>
            </w:r>
            <w:r w:rsidRPr="00802E2B">
              <w:rPr>
                <w:vertAlign w:val="subscript"/>
                <w:lang w:val="en-GB"/>
              </w:rPr>
              <w:t>2</w:t>
            </w:r>
            <w:r w:rsidRPr="00802E2B">
              <w:rPr>
                <w:lang w:val="en-GB"/>
              </w:rPr>
              <w:t>/wc</w:t>
            </w:r>
          </w:p>
        </w:tc>
        <w:tc>
          <w:tcPr>
            <w:tcW w:w="1134" w:type="dxa"/>
            <w:shd w:val="clear" w:color="auto" w:fill="FFFFFF"/>
          </w:tcPr>
          <w:p w14:paraId="63D0F62C" w14:textId="491E06BC" w:rsidR="00CB0E53" w:rsidRPr="00802E2B" w:rsidRDefault="00395692" w:rsidP="00A37532">
            <w:pPr>
              <w:pStyle w:val="CETBodytext"/>
              <w:rPr>
                <w:lang w:val="en-GB"/>
              </w:rPr>
            </w:pPr>
            <w:r w:rsidRPr="00802E2B">
              <w:rPr>
                <w:lang w:val="en-GB"/>
              </w:rPr>
              <w:t>114</w:t>
            </w:r>
          </w:p>
        </w:tc>
        <w:tc>
          <w:tcPr>
            <w:tcW w:w="992" w:type="dxa"/>
            <w:shd w:val="clear" w:color="auto" w:fill="FFFFFF"/>
          </w:tcPr>
          <w:p w14:paraId="6280DFDB" w14:textId="0278B618" w:rsidR="00CB0E53" w:rsidRPr="00802E2B" w:rsidRDefault="00395692" w:rsidP="00A37532">
            <w:pPr>
              <w:pStyle w:val="CETBodytext"/>
              <w:rPr>
                <w:lang w:val="en-GB"/>
              </w:rPr>
            </w:pPr>
            <w:r w:rsidRPr="00802E2B">
              <w:rPr>
                <w:lang w:val="en-GB"/>
              </w:rPr>
              <w:t>6.1</w:t>
            </w:r>
          </w:p>
        </w:tc>
        <w:tc>
          <w:tcPr>
            <w:tcW w:w="1985" w:type="dxa"/>
            <w:shd w:val="clear" w:color="auto" w:fill="FFFFFF"/>
          </w:tcPr>
          <w:p w14:paraId="0518C7A7" w14:textId="09BBF964" w:rsidR="00CB0E53" w:rsidRPr="00802E2B" w:rsidRDefault="00395692" w:rsidP="00A37532">
            <w:pPr>
              <w:pStyle w:val="CETBodytext"/>
              <w:ind w:right="-1"/>
              <w:rPr>
                <w:rFonts w:cs="Arial"/>
                <w:szCs w:val="18"/>
                <w:lang w:val="en-GB"/>
              </w:rPr>
            </w:pPr>
            <w:r w:rsidRPr="00802E2B">
              <w:rPr>
                <w:rFonts w:cs="Arial"/>
                <w:szCs w:val="18"/>
                <w:lang w:val="en-GB"/>
              </w:rPr>
              <w:t>1909</w:t>
            </w:r>
          </w:p>
        </w:tc>
        <w:tc>
          <w:tcPr>
            <w:tcW w:w="2211" w:type="dxa"/>
            <w:shd w:val="clear" w:color="auto" w:fill="FFFFFF"/>
          </w:tcPr>
          <w:p w14:paraId="22B00525" w14:textId="35FE4B69" w:rsidR="00CB0E53" w:rsidRPr="00802E2B" w:rsidRDefault="00395692" w:rsidP="00A37532">
            <w:pPr>
              <w:pStyle w:val="CETBodytext"/>
              <w:ind w:right="-1"/>
              <w:rPr>
                <w:rFonts w:cs="Arial"/>
                <w:szCs w:val="18"/>
                <w:lang w:val="en-GB"/>
              </w:rPr>
            </w:pPr>
            <w:r w:rsidRPr="00802E2B">
              <w:rPr>
                <w:rFonts w:cs="Arial"/>
                <w:szCs w:val="18"/>
                <w:lang w:val="en-GB"/>
              </w:rPr>
              <w:t>3693</w:t>
            </w:r>
          </w:p>
        </w:tc>
      </w:tr>
      <w:tr w:rsidR="00802E2B" w:rsidRPr="00802E2B" w14:paraId="0531B087" w14:textId="77777777" w:rsidTr="00AB00E0">
        <w:tc>
          <w:tcPr>
            <w:tcW w:w="1985" w:type="dxa"/>
            <w:shd w:val="clear" w:color="auto" w:fill="FFFFFF"/>
          </w:tcPr>
          <w:p w14:paraId="156FE7ED" w14:textId="1ECEC7A3" w:rsidR="00CB0E53" w:rsidRPr="00802E2B" w:rsidRDefault="00AB00E0" w:rsidP="00A37532">
            <w:pPr>
              <w:pStyle w:val="CETBodytext"/>
              <w:ind w:right="-1"/>
              <w:rPr>
                <w:rFonts w:cs="Arial"/>
                <w:szCs w:val="18"/>
                <w:lang w:val="en-GB"/>
              </w:rPr>
            </w:pPr>
            <w:r w:rsidRPr="00802E2B">
              <w:rPr>
                <w:lang w:val="en-GB"/>
              </w:rPr>
              <w:t>2Pt-10Ni/35CeO</w:t>
            </w:r>
            <w:r w:rsidRPr="00802E2B">
              <w:rPr>
                <w:vertAlign w:val="subscript"/>
                <w:lang w:val="en-GB"/>
              </w:rPr>
              <w:t>2</w:t>
            </w:r>
            <w:r w:rsidRPr="00802E2B">
              <w:rPr>
                <w:lang w:val="en-GB"/>
              </w:rPr>
              <w:t>/wc</w:t>
            </w:r>
          </w:p>
        </w:tc>
        <w:tc>
          <w:tcPr>
            <w:tcW w:w="1134" w:type="dxa"/>
            <w:shd w:val="clear" w:color="auto" w:fill="FFFFFF"/>
          </w:tcPr>
          <w:p w14:paraId="01213D54" w14:textId="75F781DC" w:rsidR="00CB0E53" w:rsidRPr="00802E2B" w:rsidRDefault="00395692" w:rsidP="00A37532">
            <w:pPr>
              <w:pStyle w:val="CETBodytext"/>
              <w:ind w:right="-1"/>
              <w:rPr>
                <w:rFonts w:cs="Arial"/>
                <w:szCs w:val="18"/>
                <w:lang w:val="en-GB"/>
              </w:rPr>
            </w:pPr>
            <w:r w:rsidRPr="00802E2B">
              <w:rPr>
                <w:rFonts w:cs="Arial"/>
                <w:szCs w:val="18"/>
                <w:lang w:val="en-GB"/>
              </w:rPr>
              <w:t>113</w:t>
            </w:r>
          </w:p>
        </w:tc>
        <w:tc>
          <w:tcPr>
            <w:tcW w:w="992" w:type="dxa"/>
            <w:shd w:val="clear" w:color="auto" w:fill="FFFFFF"/>
          </w:tcPr>
          <w:p w14:paraId="733A64E7" w14:textId="3A58AF2D" w:rsidR="00CB0E53" w:rsidRPr="00802E2B" w:rsidRDefault="00395692" w:rsidP="00A37532">
            <w:pPr>
              <w:pStyle w:val="CETBodytext"/>
              <w:ind w:right="-1"/>
              <w:rPr>
                <w:rFonts w:cs="Arial"/>
                <w:szCs w:val="18"/>
                <w:lang w:val="en-GB"/>
              </w:rPr>
            </w:pPr>
            <w:r w:rsidRPr="00802E2B">
              <w:rPr>
                <w:rFonts w:cs="Arial"/>
                <w:szCs w:val="18"/>
                <w:lang w:val="en-GB"/>
              </w:rPr>
              <w:t>6.7</w:t>
            </w:r>
          </w:p>
        </w:tc>
        <w:tc>
          <w:tcPr>
            <w:tcW w:w="1985" w:type="dxa"/>
            <w:shd w:val="clear" w:color="auto" w:fill="FFFFFF"/>
          </w:tcPr>
          <w:p w14:paraId="223DE443" w14:textId="3B877B20" w:rsidR="00CB0E53" w:rsidRPr="00802E2B" w:rsidRDefault="00395692" w:rsidP="00A37532">
            <w:pPr>
              <w:pStyle w:val="CETBodytext"/>
              <w:ind w:right="-1"/>
              <w:rPr>
                <w:rFonts w:cs="Arial"/>
                <w:szCs w:val="18"/>
                <w:lang w:val="en-GB"/>
              </w:rPr>
            </w:pPr>
            <w:r w:rsidRPr="00802E2B">
              <w:rPr>
                <w:rFonts w:cs="Arial"/>
                <w:szCs w:val="18"/>
                <w:lang w:val="en-GB"/>
              </w:rPr>
              <w:t>1909</w:t>
            </w:r>
          </w:p>
        </w:tc>
        <w:tc>
          <w:tcPr>
            <w:tcW w:w="2211" w:type="dxa"/>
            <w:shd w:val="clear" w:color="auto" w:fill="FFFFFF"/>
          </w:tcPr>
          <w:p w14:paraId="3B6AA466" w14:textId="326E91B9" w:rsidR="00CB0E53" w:rsidRPr="00802E2B" w:rsidRDefault="00395692" w:rsidP="00A37532">
            <w:pPr>
              <w:pStyle w:val="CETBodytext"/>
              <w:ind w:right="-1"/>
              <w:rPr>
                <w:rFonts w:cs="Arial"/>
                <w:szCs w:val="18"/>
                <w:lang w:val="en-GB"/>
              </w:rPr>
            </w:pPr>
            <w:r w:rsidRPr="00802E2B">
              <w:rPr>
                <w:rFonts w:cs="Arial"/>
                <w:szCs w:val="18"/>
                <w:lang w:val="en-GB"/>
              </w:rPr>
              <w:t>8001</w:t>
            </w:r>
          </w:p>
        </w:tc>
      </w:tr>
      <w:tr w:rsidR="00802E2B" w:rsidRPr="00802E2B" w14:paraId="065D19CC" w14:textId="77777777" w:rsidTr="00AB00E0">
        <w:tc>
          <w:tcPr>
            <w:tcW w:w="1985" w:type="dxa"/>
            <w:shd w:val="clear" w:color="auto" w:fill="FFFFFF"/>
          </w:tcPr>
          <w:p w14:paraId="485DAE5C" w14:textId="2F8D4FED" w:rsidR="00AB00E0" w:rsidRPr="00802E2B" w:rsidRDefault="00AB00E0" w:rsidP="00AB00E0">
            <w:pPr>
              <w:pStyle w:val="CETBodytext"/>
              <w:ind w:right="-1"/>
              <w:rPr>
                <w:lang w:val="en-GB"/>
              </w:rPr>
            </w:pPr>
            <w:r w:rsidRPr="00802E2B">
              <w:rPr>
                <w:lang w:val="en-GB"/>
              </w:rPr>
              <w:t>2Pt-10Ni/45CeO</w:t>
            </w:r>
            <w:r w:rsidRPr="00802E2B">
              <w:rPr>
                <w:vertAlign w:val="subscript"/>
                <w:lang w:val="en-GB"/>
              </w:rPr>
              <w:t>2</w:t>
            </w:r>
            <w:r w:rsidRPr="00802E2B">
              <w:rPr>
                <w:lang w:val="en-GB"/>
              </w:rPr>
              <w:t>/wc</w:t>
            </w:r>
          </w:p>
        </w:tc>
        <w:tc>
          <w:tcPr>
            <w:tcW w:w="1134" w:type="dxa"/>
            <w:shd w:val="clear" w:color="auto" w:fill="FFFFFF"/>
          </w:tcPr>
          <w:p w14:paraId="4CF6E3E6" w14:textId="185ABE71" w:rsidR="00AB00E0" w:rsidRPr="00802E2B" w:rsidRDefault="00395692" w:rsidP="00AB00E0">
            <w:pPr>
              <w:pStyle w:val="CETBodytext"/>
              <w:ind w:right="-1"/>
              <w:rPr>
                <w:rFonts w:cs="Arial"/>
                <w:szCs w:val="18"/>
                <w:lang w:val="en-GB"/>
              </w:rPr>
            </w:pPr>
            <w:r w:rsidRPr="00802E2B">
              <w:rPr>
                <w:rFonts w:cs="Arial"/>
                <w:szCs w:val="18"/>
                <w:lang w:val="en-GB"/>
              </w:rPr>
              <w:t>103</w:t>
            </w:r>
          </w:p>
        </w:tc>
        <w:tc>
          <w:tcPr>
            <w:tcW w:w="992" w:type="dxa"/>
            <w:shd w:val="clear" w:color="auto" w:fill="FFFFFF"/>
          </w:tcPr>
          <w:p w14:paraId="3691DEA6" w14:textId="09A80C0F" w:rsidR="00AB00E0" w:rsidRPr="00802E2B" w:rsidRDefault="00395692" w:rsidP="00AB00E0">
            <w:pPr>
              <w:pStyle w:val="CETBodytext"/>
              <w:ind w:right="-1"/>
              <w:rPr>
                <w:rFonts w:cs="Arial"/>
                <w:szCs w:val="18"/>
                <w:lang w:val="en-GB"/>
              </w:rPr>
            </w:pPr>
            <w:r w:rsidRPr="00802E2B">
              <w:rPr>
                <w:rFonts w:cs="Arial"/>
                <w:szCs w:val="18"/>
                <w:lang w:val="en-GB"/>
              </w:rPr>
              <w:t>8.2</w:t>
            </w:r>
          </w:p>
        </w:tc>
        <w:tc>
          <w:tcPr>
            <w:tcW w:w="1985" w:type="dxa"/>
            <w:shd w:val="clear" w:color="auto" w:fill="FFFFFF"/>
          </w:tcPr>
          <w:p w14:paraId="151755F5" w14:textId="2A5612AA" w:rsidR="00AB00E0" w:rsidRPr="00802E2B" w:rsidRDefault="00395692" w:rsidP="00AB00E0">
            <w:pPr>
              <w:pStyle w:val="CETBodytext"/>
              <w:ind w:right="-1"/>
              <w:rPr>
                <w:rFonts w:cs="Arial"/>
                <w:szCs w:val="18"/>
                <w:lang w:val="en-GB"/>
              </w:rPr>
            </w:pPr>
            <w:r w:rsidRPr="00802E2B">
              <w:rPr>
                <w:rFonts w:cs="Arial"/>
                <w:szCs w:val="18"/>
                <w:lang w:val="en-GB"/>
              </w:rPr>
              <w:t>1909</w:t>
            </w:r>
          </w:p>
        </w:tc>
        <w:tc>
          <w:tcPr>
            <w:tcW w:w="2211" w:type="dxa"/>
            <w:shd w:val="clear" w:color="auto" w:fill="FFFFFF"/>
          </w:tcPr>
          <w:p w14:paraId="3B494EB4" w14:textId="5729465F" w:rsidR="00AB00E0" w:rsidRPr="00802E2B" w:rsidRDefault="00395692" w:rsidP="00AB00E0">
            <w:pPr>
              <w:pStyle w:val="CETBodytext"/>
              <w:ind w:right="-1"/>
              <w:rPr>
                <w:rFonts w:cs="Arial"/>
                <w:szCs w:val="18"/>
                <w:lang w:val="en-GB"/>
              </w:rPr>
            </w:pPr>
            <w:r w:rsidRPr="00802E2B">
              <w:rPr>
                <w:rFonts w:cs="Arial"/>
                <w:szCs w:val="18"/>
                <w:lang w:val="en-GB"/>
              </w:rPr>
              <w:t>10183</w:t>
            </w:r>
          </w:p>
        </w:tc>
      </w:tr>
      <w:tr w:rsidR="00802E2B" w:rsidRPr="00802E2B" w14:paraId="61605F30" w14:textId="77777777" w:rsidTr="00AB00E0">
        <w:tc>
          <w:tcPr>
            <w:tcW w:w="1985" w:type="dxa"/>
            <w:shd w:val="clear" w:color="auto" w:fill="FFFFFF"/>
          </w:tcPr>
          <w:p w14:paraId="3CB368BF" w14:textId="310366AB" w:rsidR="00AB00E0" w:rsidRPr="00802E2B" w:rsidRDefault="00395692" w:rsidP="00AB00E0">
            <w:pPr>
              <w:pStyle w:val="CETBodytext"/>
              <w:ind w:right="-1"/>
              <w:rPr>
                <w:lang w:val="en-GB"/>
              </w:rPr>
            </w:pPr>
            <w:r w:rsidRPr="00802E2B">
              <w:rPr>
                <w:lang w:val="en-GB"/>
              </w:rPr>
              <w:t>3Pt-10Ni/35CeO</w:t>
            </w:r>
            <w:r w:rsidRPr="00802E2B">
              <w:rPr>
                <w:vertAlign w:val="subscript"/>
                <w:lang w:val="en-GB"/>
              </w:rPr>
              <w:t>2</w:t>
            </w:r>
            <w:r w:rsidRPr="00802E2B">
              <w:rPr>
                <w:lang w:val="en-GB"/>
              </w:rPr>
              <w:t>/wc</w:t>
            </w:r>
          </w:p>
        </w:tc>
        <w:tc>
          <w:tcPr>
            <w:tcW w:w="1134" w:type="dxa"/>
            <w:shd w:val="clear" w:color="auto" w:fill="FFFFFF"/>
          </w:tcPr>
          <w:p w14:paraId="49C645B9" w14:textId="5DB91D23" w:rsidR="00AB00E0" w:rsidRPr="00802E2B" w:rsidRDefault="00395692" w:rsidP="00AB00E0">
            <w:pPr>
              <w:pStyle w:val="CETBodytext"/>
              <w:ind w:right="-1"/>
              <w:rPr>
                <w:rFonts w:cs="Arial"/>
                <w:szCs w:val="18"/>
                <w:lang w:val="en-GB"/>
              </w:rPr>
            </w:pPr>
            <w:r w:rsidRPr="00802E2B">
              <w:rPr>
                <w:rFonts w:cs="Arial"/>
                <w:szCs w:val="18"/>
                <w:lang w:val="en-GB"/>
              </w:rPr>
              <w:t>125</w:t>
            </w:r>
          </w:p>
        </w:tc>
        <w:tc>
          <w:tcPr>
            <w:tcW w:w="992" w:type="dxa"/>
            <w:shd w:val="clear" w:color="auto" w:fill="FFFFFF"/>
          </w:tcPr>
          <w:p w14:paraId="566D97FB" w14:textId="5CCACFD9" w:rsidR="00AB00E0" w:rsidRPr="00802E2B" w:rsidRDefault="00395692" w:rsidP="00AB00E0">
            <w:pPr>
              <w:pStyle w:val="CETBodytext"/>
              <w:ind w:right="-1"/>
              <w:rPr>
                <w:rFonts w:cs="Arial"/>
                <w:szCs w:val="18"/>
                <w:lang w:val="en-GB"/>
              </w:rPr>
            </w:pPr>
            <w:r w:rsidRPr="00802E2B">
              <w:rPr>
                <w:rFonts w:cs="Arial"/>
                <w:szCs w:val="18"/>
                <w:lang w:val="en-GB"/>
              </w:rPr>
              <w:t>4.9</w:t>
            </w:r>
          </w:p>
        </w:tc>
        <w:tc>
          <w:tcPr>
            <w:tcW w:w="1985" w:type="dxa"/>
            <w:shd w:val="clear" w:color="auto" w:fill="FFFFFF"/>
          </w:tcPr>
          <w:p w14:paraId="456C66DA" w14:textId="70DC2DCC" w:rsidR="00AB00E0" w:rsidRPr="00802E2B" w:rsidRDefault="00963C33" w:rsidP="00AB00E0">
            <w:pPr>
              <w:pStyle w:val="CETBodytext"/>
              <w:ind w:right="-1"/>
              <w:rPr>
                <w:rFonts w:cs="Arial"/>
                <w:szCs w:val="18"/>
                <w:lang w:val="en-GB"/>
              </w:rPr>
            </w:pPr>
            <w:r w:rsidRPr="00802E2B">
              <w:rPr>
                <w:rFonts w:cs="Arial"/>
                <w:szCs w:val="18"/>
                <w:lang w:val="en-GB"/>
              </w:rPr>
              <w:t>2011</w:t>
            </w:r>
          </w:p>
        </w:tc>
        <w:tc>
          <w:tcPr>
            <w:tcW w:w="2211" w:type="dxa"/>
            <w:shd w:val="clear" w:color="auto" w:fill="FFFFFF"/>
          </w:tcPr>
          <w:p w14:paraId="6AB29DE6" w14:textId="238E7169" w:rsidR="00AB00E0" w:rsidRPr="00802E2B" w:rsidRDefault="00395692" w:rsidP="00AB00E0">
            <w:pPr>
              <w:pStyle w:val="CETBodytext"/>
              <w:ind w:right="-1"/>
              <w:rPr>
                <w:rFonts w:cs="Arial"/>
                <w:szCs w:val="18"/>
                <w:lang w:val="en-GB"/>
              </w:rPr>
            </w:pPr>
            <w:r w:rsidRPr="00802E2B">
              <w:rPr>
                <w:rFonts w:cs="Arial"/>
                <w:szCs w:val="18"/>
                <w:lang w:val="en-GB"/>
              </w:rPr>
              <w:t>9747</w:t>
            </w:r>
          </w:p>
        </w:tc>
      </w:tr>
      <w:tr w:rsidR="00802E2B" w:rsidRPr="00802E2B" w14:paraId="057B0184" w14:textId="77777777" w:rsidTr="00AB00E0">
        <w:tc>
          <w:tcPr>
            <w:tcW w:w="1985" w:type="dxa"/>
            <w:shd w:val="clear" w:color="auto" w:fill="FFFFFF"/>
          </w:tcPr>
          <w:p w14:paraId="204B6ACB" w14:textId="63C1451A" w:rsidR="00395692" w:rsidRPr="00802E2B" w:rsidRDefault="00395692" w:rsidP="00AB00E0">
            <w:pPr>
              <w:pStyle w:val="CETBodytext"/>
              <w:ind w:right="-1"/>
              <w:rPr>
                <w:lang w:val="en-GB"/>
              </w:rPr>
            </w:pPr>
            <w:r w:rsidRPr="00802E2B">
              <w:rPr>
                <w:lang w:val="en-GB"/>
              </w:rPr>
              <w:t>5Pt-10Ni/35CeO</w:t>
            </w:r>
            <w:r w:rsidRPr="00802E2B">
              <w:rPr>
                <w:vertAlign w:val="subscript"/>
                <w:lang w:val="en-GB"/>
              </w:rPr>
              <w:t>2</w:t>
            </w:r>
            <w:r w:rsidRPr="00802E2B">
              <w:rPr>
                <w:lang w:val="en-GB"/>
              </w:rPr>
              <w:t>/wc</w:t>
            </w:r>
          </w:p>
        </w:tc>
        <w:tc>
          <w:tcPr>
            <w:tcW w:w="1134" w:type="dxa"/>
            <w:shd w:val="clear" w:color="auto" w:fill="FFFFFF"/>
          </w:tcPr>
          <w:p w14:paraId="084CB48F" w14:textId="1E1E8B9C" w:rsidR="00395692" w:rsidRPr="00802E2B" w:rsidRDefault="00395692" w:rsidP="00AB00E0">
            <w:pPr>
              <w:pStyle w:val="CETBodytext"/>
              <w:ind w:right="-1"/>
              <w:rPr>
                <w:rFonts w:cs="Arial"/>
                <w:szCs w:val="18"/>
                <w:lang w:val="en-GB"/>
              </w:rPr>
            </w:pPr>
            <w:r w:rsidRPr="00802E2B">
              <w:rPr>
                <w:rFonts w:cs="Arial"/>
                <w:szCs w:val="18"/>
                <w:lang w:val="en-GB"/>
              </w:rPr>
              <w:t>123</w:t>
            </w:r>
          </w:p>
        </w:tc>
        <w:tc>
          <w:tcPr>
            <w:tcW w:w="992" w:type="dxa"/>
            <w:shd w:val="clear" w:color="auto" w:fill="FFFFFF"/>
          </w:tcPr>
          <w:p w14:paraId="01B77804" w14:textId="1053D093" w:rsidR="00395692" w:rsidRPr="00802E2B" w:rsidRDefault="00395692" w:rsidP="00AB00E0">
            <w:pPr>
              <w:pStyle w:val="CETBodytext"/>
              <w:ind w:right="-1"/>
              <w:rPr>
                <w:rFonts w:cs="Arial"/>
                <w:szCs w:val="18"/>
                <w:lang w:val="en-GB"/>
              </w:rPr>
            </w:pPr>
            <w:r w:rsidRPr="00802E2B">
              <w:rPr>
                <w:rFonts w:cs="Arial"/>
                <w:szCs w:val="18"/>
                <w:lang w:val="en-GB"/>
              </w:rPr>
              <w:t>5.1</w:t>
            </w:r>
          </w:p>
        </w:tc>
        <w:tc>
          <w:tcPr>
            <w:tcW w:w="1985" w:type="dxa"/>
            <w:shd w:val="clear" w:color="auto" w:fill="FFFFFF"/>
          </w:tcPr>
          <w:p w14:paraId="7683EF6A" w14:textId="721CFD34" w:rsidR="00395692" w:rsidRPr="00802E2B" w:rsidRDefault="00963C33" w:rsidP="00AB00E0">
            <w:pPr>
              <w:pStyle w:val="CETBodytext"/>
              <w:ind w:right="-1"/>
              <w:rPr>
                <w:rFonts w:cs="Arial"/>
                <w:szCs w:val="18"/>
                <w:lang w:val="en-GB"/>
              </w:rPr>
            </w:pPr>
            <w:r w:rsidRPr="00802E2B">
              <w:rPr>
                <w:rFonts w:cs="Arial"/>
                <w:szCs w:val="18"/>
                <w:lang w:val="en-GB"/>
              </w:rPr>
              <w:t>2234</w:t>
            </w:r>
          </w:p>
        </w:tc>
        <w:tc>
          <w:tcPr>
            <w:tcW w:w="2211" w:type="dxa"/>
            <w:shd w:val="clear" w:color="auto" w:fill="FFFFFF"/>
          </w:tcPr>
          <w:p w14:paraId="3E84BE08" w14:textId="7B05EA05" w:rsidR="00395692" w:rsidRPr="00802E2B" w:rsidRDefault="00395692" w:rsidP="00AB00E0">
            <w:pPr>
              <w:pStyle w:val="CETBodytext"/>
              <w:ind w:right="-1"/>
              <w:rPr>
                <w:rFonts w:cs="Arial"/>
                <w:szCs w:val="18"/>
                <w:lang w:val="en-GB"/>
              </w:rPr>
            </w:pPr>
            <w:r w:rsidRPr="00802E2B">
              <w:rPr>
                <w:rFonts w:cs="Arial"/>
                <w:szCs w:val="18"/>
                <w:lang w:val="en-GB"/>
              </w:rPr>
              <w:t>9944</w:t>
            </w:r>
          </w:p>
        </w:tc>
      </w:tr>
    </w:tbl>
    <w:p w14:paraId="035FC7F6" w14:textId="5C824645" w:rsidR="00600535" w:rsidRPr="00802E2B" w:rsidRDefault="00445CB9" w:rsidP="001B1F63">
      <w:pPr>
        <w:pStyle w:val="CETListbullets"/>
        <w:spacing w:before="240" w:after="240"/>
        <w:ind w:left="0" w:firstLine="0"/>
      </w:pPr>
      <w:r w:rsidRPr="00802E2B">
        <w:t xml:space="preserve">The TPR profiles recorded over the catalysts were compared in Figure 1 while </w:t>
      </w:r>
      <w:r w:rsidR="001B1F63" w:rsidRPr="00802E2B">
        <w:t>the experimental H</w:t>
      </w:r>
      <w:r w:rsidR="001B1F63" w:rsidRPr="00802E2B">
        <w:rPr>
          <w:vertAlign w:val="subscript"/>
        </w:rPr>
        <w:t>2</w:t>
      </w:r>
      <w:r w:rsidR="001B1F63" w:rsidRPr="00802E2B">
        <w:t xml:space="preserve"> uptake were found in Table 1 in comparison with the theoretical values (based on the nominal loadings of the metals).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802E2B" w:rsidRPr="00802E2B" w14:paraId="0A315F56" w14:textId="77777777" w:rsidTr="007E76B3">
        <w:tc>
          <w:tcPr>
            <w:tcW w:w="4388" w:type="dxa"/>
          </w:tcPr>
          <w:p w14:paraId="187E4139" w14:textId="1BD7B4AD" w:rsidR="001B1F63" w:rsidRPr="00802E2B" w:rsidRDefault="001B1F63" w:rsidP="00445CB9">
            <w:pPr>
              <w:pStyle w:val="CETListbullets"/>
              <w:spacing w:before="240"/>
              <w:ind w:left="0" w:firstLine="0"/>
            </w:pPr>
            <w:r w:rsidRPr="00802E2B">
              <w:rPr>
                <w:noProof/>
                <w:lang w:val="it-IT" w:eastAsia="it-IT"/>
              </w:rPr>
              <w:drawing>
                <wp:inline distT="0" distB="0" distL="0" distR="0" wp14:anchorId="2F5F5DDC" wp14:editId="3340C208">
                  <wp:extent cx="2639374" cy="1728000"/>
                  <wp:effectExtent l="0" t="0" r="889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9374" cy="1728000"/>
                          </a:xfrm>
                          <a:prstGeom prst="rect">
                            <a:avLst/>
                          </a:prstGeom>
                          <a:noFill/>
                          <a:ln>
                            <a:noFill/>
                          </a:ln>
                        </pic:spPr>
                      </pic:pic>
                    </a:graphicData>
                  </a:graphic>
                </wp:inline>
              </w:drawing>
            </w:r>
          </w:p>
        </w:tc>
        <w:tc>
          <w:tcPr>
            <w:tcW w:w="4389" w:type="dxa"/>
          </w:tcPr>
          <w:p w14:paraId="3E98E260" w14:textId="39135EE8" w:rsidR="001B1F63" w:rsidRPr="00802E2B" w:rsidRDefault="00B70FFE" w:rsidP="00445CB9">
            <w:pPr>
              <w:pStyle w:val="CETListbullets"/>
              <w:spacing w:before="240"/>
              <w:ind w:left="0" w:firstLine="0"/>
            </w:pPr>
            <w:r w:rsidRPr="00802E2B">
              <w:rPr>
                <w:noProof/>
                <w:lang w:val="it-IT" w:eastAsia="it-IT"/>
              </w:rPr>
              <w:drawing>
                <wp:inline distT="0" distB="0" distL="0" distR="0" wp14:anchorId="0F8DAC74" wp14:editId="61FD45BB">
                  <wp:extent cx="2642558" cy="1728000"/>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2558" cy="1728000"/>
                          </a:xfrm>
                          <a:prstGeom prst="rect">
                            <a:avLst/>
                          </a:prstGeom>
                          <a:noFill/>
                          <a:ln>
                            <a:noFill/>
                          </a:ln>
                        </pic:spPr>
                      </pic:pic>
                    </a:graphicData>
                  </a:graphic>
                </wp:inline>
              </w:drawing>
            </w:r>
          </w:p>
        </w:tc>
      </w:tr>
    </w:tbl>
    <w:p w14:paraId="0CCE9C5C" w14:textId="00D5E952" w:rsidR="001B1F63" w:rsidRPr="00802E2B" w:rsidRDefault="001B1F63" w:rsidP="001B1F63">
      <w:pPr>
        <w:pStyle w:val="CETListbullets"/>
        <w:ind w:left="0" w:firstLine="0"/>
      </w:pPr>
      <w:r w:rsidRPr="00802E2B">
        <w:rPr>
          <w:rStyle w:val="CETCaptionCarattere"/>
        </w:rPr>
        <w:t>Figure 1: H</w:t>
      </w:r>
      <w:r w:rsidRPr="00802E2B">
        <w:rPr>
          <w:rStyle w:val="CETCaptionCarattere"/>
          <w:vertAlign w:val="subscript"/>
        </w:rPr>
        <w:t>2</w:t>
      </w:r>
      <w:r w:rsidRPr="00802E2B">
        <w:rPr>
          <w:rStyle w:val="CETCaptionCarattere"/>
        </w:rPr>
        <w:t xml:space="preserve"> uptake profiles recorded over the catalysts prepared with different ceria as well as Pt contents.</w:t>
      </w:r>
    </w:p>
    <w:p w14:paraId="215AC12E" w14:textId="6578A244" w:rsidR="001B1F63" w:rsidRPr="00802E2B" w:rsidRDefault="001B1F63" w:rsidP="001B1F63">
      <w:pPr>
        <w:pStyle w:val="CETListbullets"/>
        <w:ind w:left="0" w:firstLine="0"/>
      </w:pPr>
    </w:p>
    <w:p w14:paraId="5FF5FC84" w14:textId="283D2781" w:rsidR="001B1F63" w:rsidRPr="00802E2B" w:rsidRDefault="001B1F63" w:rsidP="001B1F63">
      <w:pPr>
        <w:pStyle w:val="CETListbullets"/>
        <w:ind w:left="0" w:firstLine="0"/>
      </w:pPr>
      <w:r w:rsidRPr="00802E2B">
        <w:t xml:space="preserve">According to the literature, the reduction peaks observed at low temperature </w:t>
      </w:r>
      <w:r w:rsidR="001D15C8" w:rsidRPr="00802E2B">
        <w:t>can be linked to the</w:t>
      </w:r>
      <w:r w:rsidRPr="00802E2B">
        <w:t xml:space="preserve"> noble metal oxides </w:t>
      </w:r>
      <w:r w:rsidR="001D15C8" w:rsidRPr="00802E2B">
        <w:t xml:space="preserve">reduction </w:t>
      </w:r>
      <w:r w:rsidRPr="00802E2B">
        <w:t>while the high temperature peaks are ascribed to the nickel phase</w:t>
      </w:r>
      <w:r w:rsidR="009A6AF2" w:rsidRPr="00802E2B">
        <w:t xml:space="preserve"> (Palma et al., 2017)</w:t>
      </w:r>
      <w:r w:rsidRPr="00802E2B">
        <w:t xml:space="preserve">. </w:t>
      </w:r>
      <w:r w:rsidR="00D53EEE" w:rsidRPr="00802E2B">
        <w:t xml:space="preserve">As the ceria particles are very low for all the samples (5-8 nm), hydrogen spillover phenomena were enhanced and the </w:t>
      </w:r>
      <w:r w:rsidR="00EB4C0D" w:rsidRPr="00802E2B">
        <w:t xml:space="preserve">experimental uptakes were considerably higher than the expected values. In particular, the influence of ceria content </w:t>
      </w:r>
      <w:r w:rsidR="00AC790D" w:rsidRPr="00802E2B">
        <w:t>on the total hydrogen</w:t>
      </w:r>
      <w:r w:rsidR="00EB4C0D" w:rsidRPr="00802E2B">
        <w:t xml:space="preserve"> uptake was more pronounced </w:t>
      </w:r>
      <w:r w:rsidR="00AC790D" w:rsidRPr="00802E2B">
        <w:t>than the effect of platinum loading, with the highest H</w:t>
      </w:r>
      <w:r w:rsidR="00AC790D" w:rsidRPr="00802E2B">
        <w:rPr>
          <w:vertAlign w:val="subscript"/>
        </w:rPr>
        <w:t xml:space="preserve">2 </w:t>
      </w:r>
      <w:r w:rsidR="00AC790D" w:rsidRPr="00802E2B">
        <w:t>consumption recorded over the 45%CeO</w:t>
      </w:r>
      <w:r w:rsidR="00AC790D" w:rsidRPr="00802E2B">
        <w:rPr>
          <w:vertAlign w:val="subscript"/>
        </w:rPr>
        <w:t>2</w:t>
      </w:r>
      <w:r w:rsidR="00B66BAF" w:rsidRPr="00802E2B">
        <w:t>-sample and 5%Pt catalyst</w:t>
      </w:r>
      <w:r w:rsidR="009A6AF2" w:rsidRPr="00802E2B">
        <w:t xml:space="preserve"> (Fang B. et al., 2022)</w:t>
      </w:r>
      <w:r w:rsidR="00B66BAF" w:rsidRPr="00802E2B">
        <w:t>.</w:t>
      </w:r>
    </w:p>
    <w:p w14:paraId="1F96CA21" w14:textId="7534C55E" w:rsidR="00600535" w:rsidRPr="00802E2B" w:rsidRDefault="00B66BAF" w:rsidP="00FA5F5F">
      <w:pPr>
        <w:pStyle w:val="CETheadingx"/>
      </w:pPr>
      <w:r w:rsidRPr="00802E2B">
        <w:t xml:space="preserve">Results of stability tests: effect of </w:t>
      </w:r>
      <w:r w:rsidR="004B1ED0" w:rsidRPr="00802E2B">
        <w:t>the catalytic formulation</w:t>
      </w:r>
    </w:p>
    <w:p w14:paraId="04849E4A" w14:textId="1AA8C807" w:rsidR="004B1ED0" w:rsidRPr="00802E2B" w:rsidRDefault="004B1ED0" w:rsidP="00B70FFE">
      <w:pPr>
        <w:pStyle w:val="CETBodytext"/>
      </w:pPr>
      <w:r w:rsidRPr="00802E2B">
        <w:t>The oxidative ethanol reforming performance of the catalysts containing different CeO</w:t>
      </w:r>
      <w:r w:rsidRPr="00802E2B">
        <w:rPr>
          <w:vertAlign w:val="subscript"/>
        </w:rPr>
        <w:t>2</w:t>
      </w:r>
      <w:r w:rsidR="009A6AF2" w:rsidRPr="00802E2B">
        <w:t xml:space="preserve"> and </w:t>
      </w:r>
      <w:r w:rsidR="002F51C4" w:rsidRPr="00802E2B">
        <w:t xml:space="preserve">Pt loadings was </w:t>
      </w:r>
      <w:r w:rsidR="009A6AF2" w:rsidRPr="00802E2B">
        <w:t>preliminarily</w:t>
      </w:r>
      <w:r w:rsidRPr="00802E2B">
        <w:t xml:space="preserve"> compared in terms of ethanol conversion, as shown in Figure 2.</w:t>
      </w:r>
      <w:r w:rsidR="002F51C4" w:rsidRPr="00802E2B">
        <w:t xml:space="preserve"> </w:t>
      </w:r>
    </w:p>
    <w:p w14:paraId="0BDA8ED5" w14:textId="2E393833" w:rsidR="00B70FFE" w:rsidRPr="00802E2B" w:rsidRDefault="00B70FFE" w:rsidP="00B70FFE">
      <w:pPr>
        <w:pStyle w:val="CETBodytext"/>
      </w:pPr>
      <w:r w:rsidRPr="00802E2B">
        <w:t>The growth in the ceria content from 25 to 35 wt% (with respect to the washcoat mass) assured a visible improvement in terms of ethanol conversion; however, a further improvement had a negative impact on catalyst stability, probably due to the CeO</w:t>
      </w:r>
      <w:r w:rsidRPr="00802E2B">
        <w:rPr>
          <w:vertAlign w:val="subscript"/>
        </w:rPr>
        <w:t>2</w:t>
      </w:r>
      <w:r w:rsidRPr="00802E2B">
        <w:t xml:space="preserve"> dispersion worsening (Table 1). Once fixed the ceria loading to 35 wt%, when platinum </w:t>
      </w:r>
      <w:r w:rsidR="009B0270" w:rsidRPr="00802E2B">
        <w:t>content</w:t>
      </w:r>
      <w:r w:rsidRPr="00802E2B">
        <w:t xml:space="preserve"> was changed from 2 to 3 wt%, an almost complete ethanol conversion was achieved for 24 hours</w:t>
      </w:r>
      <w:r w:rsidR="009A6AF2" w:rsidRPr="00802E2B">
        <w:t>. In particular</w:t>
      </w:r>
      <w:r w:rsidRPr="00802E2B">
        <w:t>, the 5wt% loaded catalyst displayed a worse behavior, with a not negligible by-products formation (not shown).</w:t>
      </w:r>
    </w:p>
    <w:p w14:paraId="5AA63B72" w14:textId="69CC7445" w:rsidR="00B70FFE" w:rsidRPr="00802E2B" w:rsidRDefault="00B70FFE" w:rsidP="00B70FFE">
      <w:pPr>
        <w:pStyle w:val="CETBodytext"/>
      </w:pPr>
      <w:r w:rsidRPr="00802E2B">
        <w:t>TPO measurements were performed after stability tests and allowed calculating the carbon formation rate over the spent catalysts. The CFR values have been summarized i</w:t>
      </w:r>
      <w:r w:rsidR="009A6AF2" w:rsidRPr="00802E2B">
        <w:t>n Table 2 while Figure 3 shows</w:t>
      </w:r>
      <w:r w:rsidRPr="00802E2B">
        <w:t xml:space="preserve"> the CO</w:t>
      </w:r>
      <w:r w:rsidRPr="00802E2B">
        <w:rPr>
          <w:vertAlign w:val="subscript"/>
        </w:rPr>
        <w:t>2</w:t>
      </w:r>
      <w:r w:rsidRPr="00802E2B">
        <w:t xml:space="preserve"> profiles recorded during carbon oxidation.</w:t>
      </w:r>
    </w:p>
    <w:p w14:paraId="59EC0F18" w14:textId="500BF37E" w:rsidR="00B70FFE" w:rsidRPr="00802E2B" w:rsidRDefault="00B70FFE" w:rsidP="004B1ED0">
      <w:pPr>
        <w:pStyle w:val="CETBodytext"/>
        <w:spacing w:after="24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90"/>
      </w:tblGrid>
      <w:tr w:rsidR="00802E2B" w:rsidRPr="00802E2B" w14:paraId="7C7F33C3" w14:textId="77777777" w:rsidTr="007E76B3">
        <w:tc>
          <w:tcPr>
            <w:tcW w:w="4388" w:type="dxa"/>
          </w:tcPr>
          <w:p w14:paraId="7D72CE4B" w14:textId="7E881EBF" w:rsidR="004B1ED0" w:rsidRPr="00802E2B" w:rsidRDefault="004B1ED0" w:rsidP="004B1ED0">
            <w:pPr>
              <w:pStyle w:val="CETBodytext"/>
            </w:pPr>
            <w:r w:rsidRPr="00802E2B">
              <w:rPr>
                <w:noProof/>
                <w:lang w:val="it-IT" w:eastAsia="it-IT"/>
              </w:rPr>
              <w:lastRenderedPageBreak/>
              <w:drawing>
                <wp:inline distT="0" distB="0" distL="0" distR="0" wp14:anchorId="609A5A69" wp14:editId="02BA1982">
                  <wp:extent cx="2646283" cy="1728000"/>
                  <wp:effectExtent l="0" t="0" r="190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6283" cy="1728000"/>
                          </a:xfrm>
                          <a:prstGeom prst="rect">
                            <a:avLst/>
                          </a:prstGeom>
                          <a:noFill/>
                          <a:ln>
                            <a:noFill/>
                          </a:ln>
                        </pic:spPr>
                      </pic:pic>
                    </a:graphicData>
                  </a:graphic>
                </wp:inline>
              </w:drawing>
            </w:r>
          </w:p>
        </w:tc>
        <w:tc>
          <w:tcPr>
            <w:tcW w:w="4389" w:type="dxa"/>
          </w:tcPr>
          <w:p w14:paraId="38610164" w14:textId="6423C4E2" w:rsidR="004B1ED0" w:rsidRPr="00802E2B" w:rsidRDefault="002F51C4" w:rsidP="004B1ED0">
            <w:pPr>
              <w:pStyle w:val="CETBodytext"/>
            </w:pPr>
            <w:r w:rsidRPr="00802E2B">
              <w:rPr>
                <w:noProof/>
                <w:lang w:val="it-IT" w:eastAsia="it-IT"/>
              </w:rPr>
              <w:drawing>
                <wp:inline distT="0" distB="0" distL="0" distR="0" wp14:anchorId="5C3C3799" wp14:editId="75CC9311">
                  <wp:extent cx="2650806" cy="1728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0806" cy="1728000"/>
                          </a:xfrm>
                          <a:prstGeom prst="rect">
                            <a:avLst/>
                          </a:prstGeom>
                          <a:noFill/>
                          <a:ln>
                            <a:noFill/>
                          </a:ln>
                        </pic:spPr>
                      </pic:pic>
                    </a:graphicData>
                  </a:graphic>
                </wp:inline>
              </w:drawing>
            </w:r>
          </w:p>
        </w:tc>
      </w:tr>
    </w:tbl>
    <w:p w14:paraId="1CD64BC0" w14:textId="4F0C3672" w:rsidR="004B1ED0" w:rsidRPr="00802E2B" w:rsidRDefault="002F51C4" w:rsidP="004B1ED0">
      <w:pPr>
        <w:pStyle w:val="CETBodytext"/>
        <w:rPr>
          <w:i/>
        </w:rPr>
      </w:pPr>
      <w:r w:rsidRPr="00802E2B">
        <w:rPr>
          <w:i/>
        </w:rPr>
        <w:t>Figure 2. Time-on-stream tests performed over the powder catalysts with different ceria and Pt contents; T=500°C, H</w:t>
      </w:r>
      <w:r w:rsidRPr="00802E2B">
        <w:rPr>
          <w:i/>
          <w:vertAlign w:val="subscript"/>
        </w:rPr>
        <w:t>2</w:t>
      </w:r>
      <w:r w:rsidRPr="00802E2B">
        <w:rPr>
          <w:i/>
        </w:rPr>
        <w:t>O/C</w:t>
      </w:r>
      <w:r w:rsidRPr="00802E2B">
        <w:rPr>
          <w:i/>
          <w:vertAlign w:val="subscript"/>
        </w:rPr>
        <w:t>2</w:t>
      </w:r>
      <w:r w:rsidRPr="00802E2B">
        <w:rPr>
          <w:i/>
        </w:rPr>
        <w:t>H</w:t>
      </w:r>
      <w:r w:rsidRPr="00802E2B">
        <w:rPr>
          <w:i/>
          <w:vertAlign w:val="subscript"/>
        </w:rPr>
        <w:t>5</w:t>
      </w:r>
      <w:r w:rsidRPr="00802E2B">
        <w:rPr>
          <w:i/>
        </w:rPr>
        <w:t>OH=4, O</w:t>
      </w:r>
      <w:r w:rsidRPr="00802E2B">
        <w:rPr>
          <w:i/>
          <w:vertAlign w:val="subscript"/>
        </w:rPr>
        <w:t>2</w:t>
      </w:r>
      <w:r w:rsidRPr="00802E2B">
        <w:rPr>
          <w:i/>
        </w:rPr>
        <w:t>/C</w:t>
      </w:r>
      <w:r w:rsidRPr="00802E2B">
        <w:rPr>
          <w:i/>
          <w:vertAlign w:val="subscript"/>
        </w:rPr>
        <w:t>2</w:t>
      </w:r>
      <w:r w:rsidRPr="00802E2B">
        <w:rPr>
          <w:i/>
        </w:rPr>
        <w:t>H</w:t>
      </w:r>
      <w:r w:rsidRPr="00802E2B">
        <w:rPr>
          <w:i/>
          <w:vertAlign w:val="subscript"/>
        </w:rPr>
        <w:t>5</w:t>
      </w:r>
      <w:r w:rsidRPr="00802E2B">
        <w:rPr>
          <w:i/>
        </w:rPr>
        <w:t>OH=0.5, WHSV=12 h</w:t>
      </w:r>
      <w:r w:rsidRPr="00802E2B">
        <w:rPr>
          <w:i/>
          <w:vertAlign w:val="superscript"/>
        </w:rPr>
        <w:t>-1</w:t>
      </w:r>
      <w:r w:rsidRPr="00802E2B">
        <w:rPr>
          <w:i/>
        </w:rPr>
        <w:t>.</w:t>
      </w:r>
    </w:p>
    <w:p w14:paraId="6EE08E48" w14:textId="7D15345E" w:rsidR="00E80B58" w:rsidRPr="00802E2B" w:rsidRDefault="00E80B58" w:rsidP="00E80B58">
      <w:pPr>
        <w:pStyle w:val="CETTabletitle"/>
      </w:pPr>
      <w:r w:rsidRPr="00802E2B">
        <w:t>Table 2: Results of spent catalysts characterization.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2835"/>
      </w:tblGrid>
      <w:tr w:rsidR="00802E2B" w:rsidRPr="00802E2B" w14:paraId="05D02F46" w14:textId="77777777" w:rsidTr="00F31008">
        <w:tc>
          <w:tcPr>
            <w:tcW w:w="1985" w:type="dxa"/>
            <w:tcBorders>
              <w:top w:val="single" w:sz="12" w:space="0" w:color="008000"/>
              <w:bottom w:val="single" w:sz="6" w:space="0" w:color="008000"/>
            </w:tcBorders>
            <w:shd w:val="clear" w:color="auto" w:fill="FFFFFF"/>
          </w:tcPr>
          <w:p w14:paraId="37BF4828" w14:textId="70CD13DF" w:rsidR="00FF66E7" w:rsidRPr="00802E2B" w:rsidRDefault="00FF66E7" w:rsidP="00075912">
            <w:pPr>
              <w:pStyle w:val="CETBodytext"/>
              <w:rPr>
                <w:lang w:val="en-GB"/>
              </w:rPr>
            </w:pPr>
            <w:r w:rsidRPr="00802E2B">
              <w:rPr>
                <w:lang w:val="en-GB"/>
              </w:rPr>
              <w:t>Sample</w:t>
            </w:r>
          </w:p>
        </w:tc>
        <w:tc>
          <w:tcPr>
            <w:tcW w:w="2835" w:type="dxa"/>
            <w:tcBorders>
              <w:top w:val="single" w:sz="12" w:space="0" w:color="008000"/>
              <w:bottom w:val="single" w:sz="6" w:space="0" w:color="008000"/>
            </w:tcBorders>
            <w:shd w:val="clear" w:color="auto" w:fill="FFFFFF"/>
          </w:tcPr>
          <w:p w14:paraId="1FE741B3" w14:textId="18B13439" w:rsidR="00FF66E7" w:rsidRPr="00802E2B" w:rsidRDefault="00F31008" w:rsidP="00075912">
            <w:pPr>
              <w:pStyle w:val="CETBodytext"/>
              <w:ind w:right="-1"/>
              <w:rPr>
                <w:rFonts w:cs="Arial"/>
                <w:szCs w:val="18"/>
                <w:lang w:val="en-GB"/>
              </w:rPr>
            </w:pPr>
            <w:r w:rsidRPr="00802E2B">
              <w:rPr>
                <w:rFonts w:cs="Arial"/>
                <w:szCs w:val="18"/>
                <w:lang w:val="en-GB"/>
              </w:rPr>
              <w:t>CFR (g</w:t>
            </w:r>
            <w:r w:rsidRPr="00802E2B">
              <w:rPr>
                <w:rFonts w:cs="Arial"/>
                <w:szCs w:val="18"/>
                <w:vertAlign w:val="subscript"/>
                <w:lang w:val="en-GB"/>
              </w:rPr>
              <w:t>coke</w:t>
            </w:r>
            <w:r w:rsidRPr="00802E2B">
              <w:rPr>
                <w:rFonts w:ascii="Times New Roman" w:hAnsi="Times New Roman"/>
                <w:szCs w:val="18"/>
                <w:lang w:val="en-GB"/>
              </w:rPr>
              <w:t>∙</w:t>
            </w:r>
            <w:r w:rsidRPr="00802E2B">
              <w:rPr>
                <w:rFonts w:cs="Arial"/>
                <w:szCs w:val="18"/>
                <w:lang w:val="en-GB"/>
              </w:rPr>
              <w:t>g</w:t>
            </w:r>
            <w:r w:rsidRPr="00802E2B">
              <w:rPr>
                <w:rFonts w:cs="Arial"/>
                <w:szCs w:val="18"/>
                <w:vertAlign w:val="subscript"/>
                <w:lang w:val="en-GB"/>
              </w:rPr>
              <w:t>cat</w:t>
            </w:r>
            <w:r w:rsidRPr="00802E2B">
              <w:rPr>
                <w:rFonts w:cs="Arial"/>
                <w:szCs w:val="18"/>
                <w:vertAlign w:val="superscript"/>
                <w:lang w:val="en-GB"/>
              </w:rPr>
              <w:t>-1</w:t>
            </w:r>
            <w:r w:rsidRPr="00802E2B">
              <w:rPr>
                <w:rFonts w:ascii="Times New Roman" w:hAnsi="Times New Roman"/>
                <w:szCs w:val="18"/>
                <w:lang w:val="en-GB"/>
              </w:rPr>
              <w:t>∙</w:t>
            </w:r>
            <w:r w:rsidRPr="00802E2B">
              <w:rPr>
                <w:rFonts w:cs="Arial"/>
                <w:szCs w:val="18"/>
                <w:lang w:val="en-GB"/>
              </w:rPr>
              <w:t>h</w:t>
            </w:r>
            <w:r w:rsidRPr="00802E2B">
              <w:rPr>
                <w:rFonts w:cs="Arial"/>
                <w:szCs w:val="18"/>
                <w:vertAlign w:val="superscript"/>
                <w:lang w:val="en-GB"/>
              </w:rPr>
              <w:t>-1</w:t>
            </w:r>
            <w:r w:rsidRPr="00802E2B">
              <w:rPr>
                <w:rFonts w:ascii="Times New Roman" w:hAnsi="Times New Roman"/>
                <w:szCs w:val="18"/>
                <w:lang w:val="en-GB"/>
              </w:rPr>
              <w:t>∙</w:t>
            </w:r>
            <w:r w:rsidRPr="00802E2B">
              <w:rPr>
                <w:rFonts w:cs="Arial"/>
                <w:szCs w:val="18"/>
                <w:lang w:val="en-GB"/>
              </w:rPr>
              <w:t>g</w:t>
            </w:r>
            <w:r w:rsidRPr="00802E2B">
              <w:rPr>
                <w:rFonts w:cs="Arial"/>
                <w:szCs w:val="18"/>
                <w:vertAlign w:val="subscript"/>
                <w:lang w:val="en-GB"/>
              </w:rPr>
              <w:t>carbon,fed</w:t>
            </w:r>
            <w:r w:rsidRPr="00802E2B">
              <w:rPr>
                <w:rFonts w:cs="Arial"/>
                <w:szCs w:val="18"/>
                <w:lang w:val="en-GB"/>
              </w:rPr>
              <w:t>)</w:t>
            </w:r>
          </w:p>
        </w:tc>
      </w:tr>
      <w:tr w:rsidR="00802E2B" w:rsidRPr="00802E2B" w14:paraId="66606485" w14:textId="77777777" w:rsidTr="00F31008">
        <w:tc>
          <w:tcPr>
            <w:tcW w:w="1985" w:type="dxa"/>
            <w:shd w:val="clear" w:color="auto" w:fill="FFFFFF"/>
          </w:tcPr>
          <w:p w14:paraId="1EB2403C" w14:textId="77777777" w:rsidR="00FF66E7" w:rsidRPr="00802E2B" w:rsidRDefault="00FF66E7" w:rsidP="00075912">
            <w:pPr>
              <w:pStyle w:val="CETBodytext"/>
              <w:rPr>
                <w:lang w:val="en-GB"/>
              </w:rPr>
            </w:pPr>
            <w:r w:rsidRPr="00802E2B">
              <w:rPr>
                <w:lang w:val="en-GB"/>
              </w:rPr>
              <w:t>2Pt-10Ni/25CeO</w:t>
            </w:r>
            <w:r w:rsidRPr="00802E2B">
              <w:rPr>
                <w:vertAlign w:val="subscript"/>
                <w:lang w:val="en-GB"/>
              </w:rPr>
              <w:t>2</w:t>
            </w:r>
            <w:r w:rsidRPr="00802E2B">
              <w:rPr>
                <w:lang w:val="en-GB"/>
              </w:rPr>
              <w:t>/wc</w:t>
            </w:r>
          </w:p>
        </w:tc>
        <w:tc>
          <w:tcPr>
            <w:tcW w:w="2835" w:type="dxa"/>
            <w:shd w:val="clear" w:color="auto" w:fill="FFFFFF"/>
          </w:tcPr>
          <w:p w14:paraId="5566DE06" w14:textId="362BAD0D" w:rsidR="00FF66E7" w:rsidRPr="00802E2B" w:rsidRDefault="002157D5" w:rsidP="00075912">
            <w:pPr>
              <w:pStyle w:val="CETBodytext"/>
              <w:ind w:right="-1"/>
              <w:rPr>
                <w:rFonts w:cs="Arial"/>
                <w:szCs w:val="18"/>
                <w:lang w:val="en-GB"/>
              </w:rPr>
            </w:pPr>
            <w:r w:rsidRPr="00802E2B">
              <w:rPr>
                <w:rFonts w:cs="Arial"/>
                <w:szCs w:val="18"/>
                <w:lang w:val="en-GB"/>
              </w:rPr>
              <w:t>2.6</w:t>
            </w:r>
            <w:r w:rsidRPr="00802E2B">
              <w:rPr>
                <w:rFonts w:ascii="Times New Roman" w:hAnsi="Times New Roman"/>
                <w:szCs w:val="18"/>
                <w:lang w:val="en-GB"/>
              </w:rPr>
              <w:t>∙</w:t>
            </w:r>
            <w:r w:rsidRPr="00802E2B">
              <w:rPr>
                <w:rFonts w:cs="Arial"/>
                <w:szCs w:val="18"/>
                <w:lang w:val="en-GB"/>
              </w:rPr>
              <w:t>10</w:t>
            </w:r>
            <w:r w:rsidRPr="00802E2B">
              <w:rPr>
                <w:rFonts w:cs="Arial"/>
                <w:szCs w:val="18"/>
                <w:vertAlign w:val="superscript"/>
                <w:lang w:val="en-GB"/>
              </w:rPr>
              <w:t>-4</w:t>
            </w:r>
          </w:p>
        </w:tc>
      </w:tr>
      <w:tr w:rsidR="00802E2B" w:rsidRPr="00802E2B" w14:paraId="5D1B0BA5" w14:textId="77777777" w:rsidTr="00F31008">
        <w:tc>
          <w:tcPr>
            <w:tcW w:w="1985" w:type="dxa"/>
            <w:shd w:val="clear" w:color="auto" w:fill="FFFFFF"/>
          </w:tcPr>
          <w:p w14:paraId="1AFD2214" w14:textId="77777777" w:rsidR="00FF66E7" w:rsidRPr="00802E2B" w:rsidRDefault="00FF66E7" w:rsidP="00075912">
            <w:pPr>
              <w:pStyle w:val="CETBodytext"/>
              <w:ind w:right="-1"/>
              <w:rPr>
                <w:rFonts w:cs="Arial"/>
                <w:szCs w:val="18"/>
                <w:lang w:val="en-GB"/>
              </w:rPr>
            </w:pPr>
            <w:r w:rsidRPr="00802E2B">
              <w:rPr>
                <w:lang w:val="en-GB"/>
              </w:rPr>
              <w:t>2Pt-10Ni/35CeO</w:t>
            </w:r>
            <w:r w:rsidRPr="00802E2B">
              <w:rPr>
                <w:vertAlign w:val="subscript"/>
                <w:lang w:val="en-GB"/>
              </w:rPr>
              <w:t>2</w:t>
            </w:r>
            <w:r w:rsidRPr="00802E2B">
              <w:rPr>
                <w:lang w:val="en-GB"/>
              </w:rPr>
              <w:t>/wc</w:t>
            </w:r>
          </w:p>
        </w:tc>
        <w:tc>
          <w:tcPr>
            <w:tcW w:w="2835" w:type="dxa"/>
            <w:shd w:val="clear" w:color="auto" w:fill="FFFFFF"/>
          </w:tcPr>
          <w:p w14:paraId="63EED981" w14:textId="09DE2D54" w:rsidR="00FF66E7" w:rsidRPr="00802E2B" w:rsidRDefault="002157D5" w:rsidP="00075912">
            <w:pPr>
              <w:pStyle w:val="CETBodytext"/>
              <w:ind w:right="-1"/>
              <w:rPr>
                <w:rFonts w:cs="Arial"/>
                <w:szCs w:val="18"/>
                <w:lang w:val="en-GB"/>
              </w:rPr>
            </w:pPr>
            <w:r w:rsidRPr="00802E2B">
              <w:rPr>
                <w:rFonts w:cs="Arial"/>
                <w:szCs w:val="18"/>
                <w:lang w:val="en-GB"/>
              </w:rPr>
              <w:t>2.1</w:t>
            </w:r>
            <w:r w:rsidRPr="00802E2B">
              <w:rPr>
                <w:rFonts w:ascii="Times New Roman" w:hAnsi="Times New Roman"/>
                <w:szCs w:val="18"/>
                <w:lang w:val="en-GB"/>
              </w:rPr>
              <w:t>∙</w:t>
            </w:r>
            <w:r w:rsidRPr="00802E2B">
              <w:rPr>
                <w:rFonts w:cs="Arial"/>
                <w:szCs w:val="18"/>
                <w:lang w:val="en-GB"/>
              </w:rPr>
              <w:t>10</w:t>
            </w:r>
            <w:r w:rsidRPr="00802E2B">
              <w:rPr>
                <w:rFonts w:cs="Arial"/>
                <w:szCs w:val="18"/>
                <w:vertAlign w:val="superscript"/>
                <w:lang w:val="en-GB"/>
              </w:rPr>
              <w:t>-4</w:t>
            </w:r>
          </w:p>
        </w:tc>
      </w:tr>
      <w:tr w:rsidR="00802E2B" w:rsidRPr="00802E2B" w14:paraId="0CE0857A" w14:textId="77777777" w:rsidTr="00F31008">
        <w:tc>
          <w:tcPr>
            <w:tcW w:w="1985" w:type="dxa"/>
            <w:shd w:val="clear" w:color="auto" w:fill="FFFFFF"/>
          </w:tcPr>
          <w:p w14:paraId="719A945A" w14:textId="77777777" w:rsidR="00FF66E7" w:rsidRPr="00802E2B" w:rsidRDefault="00FF66E7" w:rsidP="00075912">
            <w:pPr>
              <w:pStyle w:val="CETBodytext"/>
              <w:ind w:right="-1"/>
              <w:rPr>
                <w:lang w:val="en-GB"/>
              </w:rPr>
            </w:pPr>
            <w:r w:rsidRPr="00802E2B">
              <w:rPr>
                <w:lang w:val="en-GB"/>
              </w:rPr>
              <w:t>2Pt-10Ni/45CeO</w:t>
            </w:r>
            <w:r w:rsidRPr="00802E2B">
              <w:rPr>
                <w:vertAlign w:val="subscript"/>
                <w:lang w:val="en-GB"/>
              </w:rPr>
              <w:t>2</w:t>
            </w:r>
            <w:r w:rsidRPr="00802E2B">
              <w:rPr>
                <w:lang w:val="en-GB"/>
              </w:rPr>
              <w:t>/wc</w:t>
            </w:r>
          </w:p>
        </w:tc>
        <w:tc>
          <w:tcPr>
            <w:tcW w:w="2835" w:type="dxa"/>
            <w:shd w:val="clear" w:color="auto" w:fill="FFFFFF"/>
          </w:tcPr>
          <w:p w14:paraId="070CB09F" w14:textId="40366533" w:rsidR="00FF66E7" w:rsidRPr="00802E2B" w:rsidRDefault="002157D5" w:rsidP="00075912">
            <w:pPr>
              <w:pStyle w:val="CETBodytext"/>
              <w:ind w:right="-1"/>
              <w:rPr>
                <w:rFonts w:cs="Arial"/>
                <w:szCs w:val="18"/>
                <w:lang w:val="en-GB"/>
              </w:rPr>
            </w:pPr>
            <w:r w:rsidRPr="00802E2B">
              <w:rPr>
                <w:rFonts w:cs="Arial"/>
                <w:szCs w:val="18"/>
                <w:lang w:val="en-GB"/>
              </w:rPr>
              <w:t>3.6</w:t>
            </w:r>
            <w:r w:rsidRPr="00802E2B">
              <w:rPr>
                <w:rFonts w:ascii="Times New Roman" w:hAnsi="Times New Roman"/>
                <w:szCs w:val="18"/>
                <w:lang w:val="en-GB"/>
              </w:rPr>
              <w:t>∙</w:t>
            </w:r>
            <w:r w:rsidRPr="00802E2B">
              <w:rPr>
                <w:rFonts w:cs="Arial"/>
                <w:szCs w:val="18"/>
                <w:lang w:val="en-GB"/>
              </w:rPr>
              <w:t>10</w:t>
            </w:r>
            <w:r w:rsidRPr="00802E2B">
              <w:rPr>
                <w:rFonts w:cs="Arial"/>
                <w:szCs w:val="18"/>
                <w:vertAlign w:val="superscript"/>
                <w:lang w:val="en-GB"/>
              </w:rPr>
              <w:t>-4</w:t>
            </w:r>
          </w:p>
        </w:tc>
      </w:tr>
      <w:tr w:rsidR="00802E2B" w:rsidRPr="00802E2B" w14:paraId="36B7DA8D" w14:textId="77777777" w:rsidTr="00F31008">
        <w:tc>
          <w:tcPr>
            <w:tcW w:w="1985" w:type="dxa"/>
            <w:shd w:val="clear" w:color="auto" w:fill="FFFFFF"/>
          </w:tcPr>
          <w:p w14:paraId="1C6D5843" w14:textId="77777777" w:rsidR="00FF66E7" w:rsidRPr="00802E2B" w:rsidRDefault="00FF66E7" w:rsidP="00075912">
            <w:pPr>
              <w:pStyle w:val="CETBodytext"/>
              <w:ind w:right="-1"/>
              <w:rPr>
                <w:lang w:val="en-GB"/>
              </w:rPr>
            </w:pPr>
            <w:r w:rsidRPr="00802E2B">
              <w:rPr>
                <w:lang w:val="en-GB"/>
              </w:rPr>
              <w:t>3Pt-10Ni/35CeO</w:t>
            </w:r>
            <w:r w:rsidRPr="00802E2B">
              <w:rPr>
                <w:vertAlign w:val="subscript"/>
                <w:lang w:val="en-GB"/>
              </w:rPr>
              <w:t>2</w:t>
            </w:r>
            <w:r w:rsidRPr="00802E2B">
              <w:rPr>
                <w:lang w:val="en-GB"/>
              </w:rPr>
              <w:t>/wc</w:t>
            </w:r>
          </w:p>
        </w:tc>
        <w:tc>
          <w:tcPr>
            <w:tcW w:w="2835" w:type="dxa"/>
            <w:shd w:val="clear" w:color="auto" w:fill="FFFFFF"/>
          </w:tcPr>
          <w:p w14:paraId="6516CCB3" w14:textId="4CCF4AF7" w:rsidR="00FF66E7" w:rsidRPr="00802E2B" w:rsidRDefault="002157D5" w:rsidP="00075912">
            <w:pPr>
              <w:pStyle w:val="CETBodytext"/>
              <w:ind w:right="-1"/>
              <w:rPr>
                <w:rFonts w:cs="Arial"/>
                <w:szCs w:val="18"/>
                <w:lang w:val="en-GB"/>
              </w:rPr>
            </w:pPr>
            <w:r w:rsidRPr="00802E2B">
              <w:rPr>
                <w:rFonts w:cs="Arial"/>
                <w:szCs w:val="18"/>
                <w:lang w:val="en-GB"/>
              </w:rPr>
              <w:t>1.1</w:t>
            </w:r>
            <w:r w:rsidRPr="00802E2B">
              <w:rPr>
                <w:rFonts w:ascii="Times New Roman" w:hAnsi="Times New Roman"/>
                <w:szCs w:val="18"/>
                <w:lang w:val="en-GB"/>
              </w:rPr>
              <w:t>∙</w:t>
            </w:r>
            <w:r w:rsidRPr="00802E2B">
              <w:rPr>
                <w:rFonts w:cs="Arial"/>
                <w:szCs w:val="18"/>
                <w:lang w:val="en-GB"/>
              </w:rPr>
              <w:t>10</w:t>
            </w:r>
            <w:r w:rsidRPr="00802E2B">
              <w:rPr>
                <w:rFonts w:cs="Arial"/>
                <w:szCs w:val="18"/>
                <w:vertAlign w:val="superscript"/>
                <w:lang w:val="en-GB"/>
              </w:rPr>
              <w:t>-4</w:t>
            </w:r>
          </w:p>
        </w:tc>
      </w:tr>
      <w:tr w:rsidR="00802E2B" w:rsidRPr="00802E2B" w14:paraId="11740A40" w14:textId="77777777" w:rsidTr="00F31008">
        <w:tc>
          <w:tcPr>
            <w:tcW w:w="1985" w:type="dxa"/>
            <w:shd w:val="clear" w:color="auto" w:fill="FFFFFF"/>
          </w:tcPr>
          <w:p w14:paraId="46481FCD" w14:textId="77777777" w:rsidR="00FF66E7" w:rsidRPr="00802E2B" w:rsidRDefault="00FF66E7" w:rsidP="00075912">
            <w:pPr>
              <w:pStyle w:val="CETBodytext"/>
              <w:ind w:right="-1"/>
              <w:rPr>
                <w:lang w:val="en-GB"/>
              </w:rPr>
            </w:pPr>
            <w:r w:rsidRPr="00802E2B">
              <w:rPr>
                <w:lang w:val="en-GB"/>
              </w:rPr>
              <w:t>5Pt-10Ni/35CeO</w:t>
            </w:r>
            <w:r w:rsidRPr="00802E2B">
              <w:rPr>
                <w:vertAlign w:val="subscript"/>
                <w:lang w:val="en-GB"/>
              </w:rPr>
              <w:t>2</w:t>
            </w:r>
            <w:r w:rsidRPr="00802E2B">
              <w:rPr>
                <w:lang w:val="en-GB"/>
              </w:rPr>
              <w:t>/wc</w:t>
            </w:r>
          </w:p>
        </w:tc>
        <w:tc>
          <w:tcPr>
            <w:tcW w:w="2835" w:type="dxa"/>
            <w:shd w:val="clear" w:color="auto" w:fill="FFFFFF"/>
          </w:tcPr>
          <w:p w14:paraId="202DA086" w14:textId="143C86AA" w:rsidR="00FF66E7" w:rsidRPr="00802E2B" w:rsidRDefault="002157D5" w:rsidP="00075912">
            <w:pPr>
              <w:pStyle w:val="CETBodytext"/>
              <w:ind w:right="-1"/>
              <w:rPr>
                <w:rFonts w:cs="Arial"/>
                <w:szCs w:val="18"/>
                <w:lang w:val="en-GB"/>
              </w:rPr>
            </w:pPr>
            <w:r w:rsidRPr="00802E2B">
              <w:rPr>
                <w:rFonts w:cs="Arial"/>
                <w:szCs w:val="18"/>
                <w:lang w:val="en-GB"/>
              </w:rPr>
              <w:t>1.5</w:t>
            </w:r>
            <w:r w:rsidRPr="00802E2B">
              <w:rPr>
                <w:rFonts w:ascii="Times New Roman" w:hAnsi="Times New Roman"/>
                <w:szCs w:val="18"/>
                <w:lang w:val="en-GB"/>
              </w:rPr>
              <w:t>∙</w:t>
            </w:r>
            <w:r w:rsidRPr="00802E2B">
              <w:rPr>
                <w:rFonts w:cs="Arial"/>
                <w:szCs w:val="18"/>
                <w:lang w:val="en-GB"/>
              </w:rPr>
              <w:t>10</w:t>
            </w:r>
            <w:r w:rsidRPr="00802E2B">
              <w:rPr>
                <w:rFonts w:cs="Arial"/>
                <w:szCs w:val="18"/>
                <w:vertAlign w:val="superscript"/>
                <w:lang w:val="en-GB"/>
              </w:rPr>
              <w:t>-4</w:t>
            </w:r>
          </w:p>
        </w:tc>
      </w:tr>
    </w:tbl>
    <w:p w14:paraId="2584B355" w14:textId="77777777" w:rsidR="00E80B58" w:rsidRPr="00802E2B" w:rsidRDefault="00E80B58" w:rsidP="004B1ED0">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802E2B" w:rsidRPr="00802E2B" w14:paraId="3707DAE2" w14:textId="77777777" w:rsidTr="007E76B3">
        <w:tc>
          <w:tcPr>
            <w:tcW w:w="4388" w:type="dxa"/>
          </w:tcPr>
          <w:p w14:paraId="5DB2637A" w14:textId="3411371C" w:rsidR="002157D5" w:rsidRPr="00802E2B" w:rsidRDefault="006327DE" w:rsidP="004B1ED0">
            <w:pPr>
              <w:pStyle w:val="CETBodytext"/>
            </w:pPr>
            <w:r w:rsidRPr="00802E2B">
              <w:rPr>
                <w:noProof/>
                <w:lang w:val="it-IT" w:eastAsia="it-IT"/>
              </w:rPr>
              <w:drawing>
                <wp:inline distT="0" distB="0" distL="0" distR="0" wp14:anchorId="3C7AEA63" wp14:editId="1DC496D1">
                  <wp:extent cx="2639374" cy="172800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9374" cy="1728000"/>
                          </a:xfrm>
                          <a:prstGeom prst="rect">
                            <a:avLst/>
                          </a:prstGeom>
                          <a:noFill/>
                          <a:ln>
                            <a:noFill/>
                          </a:ln>
                        </pic:spPr>
                      </pic:pic>
                    </a:graphicData>
                  </a:graphic>
                </wp:inline>
              </w:drawing>
            </w:r>
          </w:p>
        </w:tc>
        <w:tc>
          <w:tcPr>
            <w:tcW w:w="4389" w:type="dxa"/>
          </w:tcPr>
          <w:p w14:paraId="1F9F22D4" w14:textId="007EFE37" w:rsidR="002157D5" w:rsidRPr="00802E2B" w:rsidRDefault="00DB2BCA" w:rsidP="004B1ED0">
            <w:pPr>
              <w:pStyle w:val="CETBodytext"/>
            </w:pPr>
            <w:r w:rsidRPr="00802E2B">
              <w:rPr>
                <w:noProof/>
                <w:lang w:val="it-IT" w:eastAsia="it-IT"/>
              </w:rPr>
              <w:drawing>
                <wp:inline distT="0" distB="0" distL="0" distR="0" wp14:anchorId="69C15763" wp14:editId="40DAD4A9">
                  <wp:extent cx="2639374" cy="172800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9374" cy="1728000"/>
                          </a:xfrm>
                          <a:prstGeom prst="rect">
                            <a:avLst/>
                          </a:prstGeom>
                          <a:noFill/>
                          <a:ln>
                            <a:noFill/>
                          </a:ln>
                        </pic:spPr>
                      </pic:pic>
                    </a:graphicData>
                  </a:graphic>
                </wp:inline>
              </w:drawing>
            </w:r>
          </w:p>
        </w:tc>
      </w:tr>
    </w:tbl>
    <w:p w14:paraId="79FA8ED4" w14:textId="00CA2B6E" w:rsidR="00DB2BCA" w:rsidRPr="00802E2B" w:rsidRDefault="00DB2BCA" w:rsidP="00DB2BCA">
      <w:pPr>
        <w:pStyle w:val="CETBodytext"/>
        <w:rPr>
          <w:i/>
        </w:rPr>
      </w:pPr>
      <w:r w:rsidRPr="00802E2B">
        <w:rPr>
          <w:i/>
        </w:rPr>
        <w:t>Figure 3. CO</w:t>
      </w:r>
      <w:r w:rsidRPr="00802E2B">
        <w:rPr>
          <w:i/>
          <w:vertAlign w:val="subscript"/>
        </w:rPr>
        <w:t>2</w:t>
      </w:r>
      <w:r w:rsidRPr="00802E2B">
        <w:rPr>
          <w:i/>
        </w:rPr>
        <w:t xml:space="preserve"> profiles recorded during TPO measurements over the spent catalysts.</w:t>
      </w:r>
    </w:p>
    <w:p w14:paraId="69000C68" w14:textId="77777777" w:rsidR="002157D5" w:rsidRPr="00802E2B" w:rsidRDefault="002157D5" w:rsidP="004B1ED0">
      <w:pPr>
        <w:pStyle w:val="CETBodytext"/>
      </w:pPr>
    </w:p>
    <w:p w14:paraId="0D920A32" w14:textId="24E760D0" w:rsidR="00DB2BCA" w:rsidRPr="00802E2B" w:rsidRDefault="00DB2BCA" w:rsidP="004B1ED0">
      <w:pPr>
        <w:pStyle w:val="CETBodytext"/>
      </w:pPr>
      <w:r w:rsidRPr="00802E2B">
        <w:t xml:space="preserve">The increase of ceria loading from 25 to 45% caused a growth in carbon deposition rate, probably due to the dispersion worsening discussed in Par. 3.1. By changing the Pt content from 2 to 3 wt%, an improvement of catalyst resistance towards deactivation was observed. However, a further growth in the </w:t>
      </w:r>
      <w:r w:rsidR="00517649" w:rsidRPr="00802E2B">
        <w:t>P</w:t>
      </w:r>
      <w:r w:rsidRPr="00802E2B">
        <w:t>t loadin</w:t>
      </w:r>
      <w:r w:rsidR="007E6238" w:rsidRPr="00802E2B">
        <w:t>g did not assure the desired gain in terms of catalyst durability. From the CO</w:t>
      </w:r>
      <w:r w:rsidR="007E6238" w:rsidRPr="00802E2B">
        <w:rPr>
          <w:vertAlign w:val="subscript"/>
        </w:rPr>
        <w:t>2</w:t>
      </w:r>
      <w:r w:rsidR="007E6238" w:rsidRPr="00802E2B">
        <w:t xml:space="preserve"> profiles observed in Figure 3, it is clear that both amorphous and </w:t>
      </w:r>
      <w:r w:rsidR="002D1CFC" w:rsidRPr="00802E2B">
        <w:t>graphitic</w:t>
      </w:r>
      <w:r w:rsidR="007E6238" w:rsidRPr="00802E2B">
        <w:t xml:space="preserve"> carbon was deposited over the powder catalysts</w:t>
      </w:r>
      <w:r w:rsidR="005854E2" w:rsidRPr="00802E2B">
        <w:t xml:space="preserve"> (Xu T. et al., 2021)</w:t>
      </w:r>
      <w:r w:rsidR="00B00E51" w:rsidRPr="00802E2B">
        <w:t>. In particular, the oxidation of the carbon deposits mainly occurs between 400 and 800°C: the CO</w:t>
      </w:r>
      <w:r w:rsidR="00B00E51" w:rsidRPr="00802E2B">
        <w:rPr>
          <w:vertAlign w:val="subscript"/>
        </w:rPr>
        <w:t>2</w:t>
      </w:r>
      <w:r w:rsidR="00B00E51" w:rsidRPr="00802E2B">
        <w:t xml:space="preserve"> formation observed below</w:t>
      </w:r>
      <w:r w:rsidR="0032184B" w:rsidRPr="00802E2B">
        <w:t xml:space="preserve"> 550°C is attributed to amorphous coke while the oxidation at 500-800°C can be ascribed to filamentous coke at different carbonization degrees</w:t>
      </w:r>
      <w:r w:rsidR="00B14BF3" w:rsidRPr="00802E2B">
        <w:t xml:space="preserve"> (Guo W. et al., 2022).</w:t>
      </w:r>
      <w:r w:rsidR="00835116" w:rsidRPr="00802E2B">
        <w:t xml:space="preserve"> Despite the contributions of the two peaks is different depending on the selected sample, the total amount of deposited carbon is very low over the </w:t>
      </w:r>
      <w:r w:rsidR="00835116" w:rsidRPr="00802E2B">
        <w:rPr>
          <w:lang w:val="en-GB"/>
        </w:rPr>
        <w:t>3Pt-10Ni/35CeO</w:t>
      </w:r>
      <w:r w:rsidR="00835116" w:rsidRPr="00802E2B">
        <w:rPr>
          <w:vertAlign w:val="subscript"/>
          <w:lang w:val="en-GB"/>
        </w:rPr>
        <w:t>2</w:t>
      </w:r>
      <w:r w:rsidR="00835116" w:rsidRPr="00802E2B">
        <w:rPr>
          <w:lang w:val="en-GB"/>
        </w:rPr>
        <w:t xml:space="preserve"> sample</w:t>
      </w:r>
      <w:r w:rsidR="0072560E" w:rsidRPr="00802E2B">
        <w:rPr>
          <w:lang w:val="en-GB"/>
        </w:rPr>
        <w:t xml:space="preserve"> (1.1</w:t>
      </w:r>
      <w:r w:rsidR="0072560E" w:rsidRPr="00802E2B">
        <w:rPr>
          <w:rFonts w:ascii="Times New Roman" w:hAnsi="Times New Roman"/>
          <w:lang w:val="en-GB"/>
        </w:rPr>
        <w:t>∙</w:t>
      </w:r>
      <w:r w:rsidR="0072560E" w:rsidRPr="00802E2B">
        <w:rPr>
          <w:lang w:val="en-GB"/>
        </w:rPr>
        <w:t>10</w:t>
      </w:r>
      <w:r w:rsidR="0072560E" w:rsidRPr="00802E2B">
        <w:rPr>
          <w:vertAlign w:val="superscript"/>
          <w:lang w:val="en-GB"/>
        </w:rPr>
        <w:t>-4</w:t>
      </w:r>
      <w:r w:rsidR="0072560E" w:rsidRPr="00802E2B">
        <w:rPr>
          <w:lang w:val="en-GB"/>
        </w:rPr>
        <w:t xml:space="preserve"> </w:t>
      </w:r>
      <w:r w:rsidR="0072560E" w:rsidRPr="00802E2B">
        <w:rPr>
          <w:rFonts w:cs="Arial"/>
          <w:szCs w:val="18"/>
          <w:lang w:val="en-GB"/>
        </w:rPr>
        <w:t>g</w:t>
      </w:r>
      <w:r w:rsidR="0072560E" w:rsidRPr="00802E2B">
        <w:rPr>
          <w:rFonts w:cs="Arial"/>
          <w:szCs w:val="18"/>
          <w:vertAlign w:val="subscript"/>
          <w:lang w:val="en-GB"/>
        </w:rPr>
        <w:t>coke</w:t>
      </w:r>
      <w:r w:rsidR="0072560E" w:rsidRPr="00802E2B">
        <w:rPr>
          <w:rFonts w:ascii="Times New Roman" w:hAnsi="Times New Roman"/>
          <w:szCs w:val="18"/>
          <w:lang w:val="en-GB"/>
        </w:rPr>
        <w:t>∙</w:t>
      </w:r>
      <w:r w:rsidR="0072560E" w:rsidRPr="00802E2B">
        <w:rPr>
          <w:rFonts w:cs="Arial"/>
          <w:szCs w:val="18"/>
          <w:lang w:val="en-GB"/>
        </w:rPr>
        <w:t>g</w:t>
      </w:r>
      <w:r w:rsidR="0072560E" w:rsidRPr="00802E2B">
        <w:rPr>
          <w:rFonts w:cs="Arial"/>
          <w:szCs w:val="18"/>
          <w:vertAlign w:val="subscript"/>
          <w:lang w:val="en-GB"/>
        </w:rPr>
        <w:t>cat</w:t>
      </w:r>
      <w:r w:rsidR="0072560E" w:rsidRPr="00802E2B">
        <w:rPr>
          <w:rFonts w:cs="Arial"/>
          <w:szCs w:val="18"/>
          <w:vertAlign w:val="superscript"/>
          <w:lang w:val="en-GB"/>
        </w:rPr>
        <w:t>-1</w:t>
      </w:r>
      <w:r w:rsidR="0072560E" w:rsidRPr="00802E2B">
        <w:rPr>
          <w:rFonts w:ascii="Times New Roman" w:hAnsi="Times New Roman"/>
          <w:szCs w:val="18"/>
          <w:lang w:val="en-GB"/>
        </w:rPr>
        <w:t>∙</w:t>
      </w:r>
      <w:r w:rsidR="0072560E" w:rsidRPr="00802E2B">
        <w:rPr>
          <w:rFonts w:cs="Arial"/>
          <w:szCs w:val="18"/>
          <w:lang w:val="en-GB"/>
        </w:rPr>
        <w:t>h</w:t>
      </w:r>
      <w:r w:rsidR="0072560E" w:rsidRPr="00802E2B">
        <w:rPr>
          <w:rFonts w:cs="Arial"/>
          <w:szCs w:val="18"/>
          <w:vertAlign w:val="superscript"/>
          <w:lang w:val="en-GB"/>
        </w:rPr>
        <w:t>-1</w:t>
      </w:r>
      <w:r w:rsidR="0072560E" w:rsidRPr="00802E2B">
        <w:rPr>
          <w:rFonts w:ascii="Times New Roman" w:hAnsi="Times New Roman"/>
          <w:szCs w:val="18"/>
          <w:lang w:val="en-GB"/>
        </w:rPr>
        <w:t>∙</w:t>
      </w:r>
      <w:r w:rsidR="0072560E" w:rsidRPr="00802E2B">
        <w:rPr>
          <w:rFonts w:cs="Arial"/>
          <w:szCs w:val="18"/>
          <w:lang w:val="en-GB"/>
        </w:rPr>
        <w:t>g</w:t>
      </w:r>
      <w:r w:rsidR="0072560E" w:rsidRPr="00802E2B">
        <w:rPr>
          <w:rFonts w:cs="Arial"/>
          <w:szCs w:val="18"/>
          <w:vertAlign w:val="subscript"/>
          <w:lang w:val="en-GB"/>
        </w:rPr>
        <w:t>carbon,fed</w:t>
      </w:r>
      <w:r w:rsidR="0072560E" w:rsidRPr="00802E2B">
        <w:rPr>
          <w:rFonts w:cs="Arial"/>
          <w:szCs w:val="18"/>
          <w:lang w:val="en-GB"/>
        </w:rPr>
        <w:t>)</w:t>
      </w:r>
      <w:r w:rsidR="00835116" w:rsidRPr="00802E2B">
        <w:rPr>
          <w:lang w:val="en-GB"/>
        </w:rPr>
        <w:t>.</w:t>
      </w:r>
      <w:r w:rsidR="00A97CC8" w:rsidRPr="00802E2B">
        <w:rPr>
          <w:lang w:val="en-GB"/>
        </w:rPr>
        <w:t xml:space="preserve"> Conversely, when the ceria loading was increased to 45%, a CFR value almost 3 times higher was recorded.</w:t>
      </w:r>
    </w:p>
    <w:p w14:paraId="2E763DEB" w14:textId="7C275FC5" w:rsidR="00EE56FE" w:rsidRPr="00802E2B" w:rsidRDefault="00EE56FE" w:rsidP="004B1ED0">
      <w:pPr>
        <w:pStyle w:val="CETBodytext"/>
      </w:pPr>
      <w:r w:rsidRPr="00802E2B">
        <w:t>Based on the above results, the 3Pt-10Ni/35CeO</w:t>
      </w:r>
      <w:r w:rsidRPr="00802E2B">
        <w:rPr>
          <w:vertAlign w:val="subscript"/>
        </w:rPr>
        <w:t>2</w:t>
      </w:r>
      <w:r w:rsidRPr="00802E2B">
        <w:t>-Al</w:t>
      </w:r>
      <w:r w:rsidRPr="00802E2B">
        <w:rPr>
          <w:vertAlign w:val="subscript"/>
        </w:rPr>
        <w:t>2</w:t>
      </w:r>
      <w:r w:rsidRPr="00802E2B">
        <w:t>O</w:t>
      </w:r>
      <w:r w:rsidRPr="00802E2B">
        <w:rPr>
          <w:vertAlign w:val="subscript"/>
        </w:rPr>
        <w:t>3</w:t>
      </w:r>
      <w:r w:rsidRPr="00802E2B">
        <w:t xml:space="preserve"> was identified as the most stable formulation, which was consequently deposited over the structured metallic foam carrier.</w:t>
      </w:r>
    </w:p>
    <w:p w14:paraId="7382C781" w14:textId="3A0271EC" w:rsidR="00600535" w:rsidRPr="00802E2B" w:rsidRDefault="004B1ED0" w:rsidP="00FA5F5F">
      <w:pPr>
        <w:pStyle w:val="CETheadingx"/>
      </w:pPr>
      <w:r w:rsidRPr="00802E2B">
        <w:t>Results of stability tests: effect of the catalyst structure</w:t>
      </w:r>
    </w:p>
    <w:p w14:paraId="0AD92BED" w14:textId="1F47681B" w:rsidR="00FC2C65" w:rsidRPr="00802E2B" w:rsidRDefault="00FC2C65" w:rsidP="00FC2C65">
      <w:pPr>
        <w:pStyle w:val="CETBodytext"/>
      </w:pPr>
      <w:r w:rsidRPr="00802E2B">
        <w:t>The time-on-s</w:t>
      </w:r>
      <w:r w:rsidR="00623C9D" w:rsidRPr="00802E2B">
        <w:t xml:space="preserve">tream results recorded over </w:t>
      </w:r>
      <w:r w:rsidRPr="00802E2B">
        <w:t xml:space="preserve">the powder catalyst (shown in Figure 1) were compared with the performance obtained by properly depositing the same formulation over the foam catalyst. Figure </w:t>
      </w:r>
      <w:r w:rsidR="00DB2BCA" w:rsidRPr="00802E2B">
        <w:t>4</w:t>
      </w:r>
      <w:r w:rsidRPr="00802E2B">
        <w:t xml:space="preserve"> </w:t>
      </w:r>
      <w:r w:rsidR="009A6AF2" w:rsidRPr="00802E2B">
        <w:t>shows a comparison of</w:t>
      </w:r>
      <w:r w:rsidRPr="00802E2B">
        <w:t xml:space="preserve"> the ethanol conversion as well as hydrogen yield profiles recorded in the two cases.</w:t>
      </w:r>
    </w:p>
    <w:p w14:paraId="3A25547A" w14:textId="1FE06E9F" w:rsidR="007E76B3" w:rsidRPr="00802E2B" w:rsidRDefault="007E76B3" w:rsidP="007E76B3">
      <w:pPr>
        <w:pStyle w:val="CETBodytext"/>
      </w:pPr>
      <w:r w:rsidRPr="00802E2B">
        <w:t>The superior performance of t</w:t>
      </w:r>
      <w:r w:rsidR="009A6AF2" w:rsidRPr="00802E2B">
        <w:t>he foam structured catalyst was</w:t>
      </w:r>
      <w:r w:rsidRPr="00802E2B">
        <w:t xml:space="preserve"> clearly visible in terms of both ethanol conversion and hydrogen yield profile. In particular, a ver</w:t>
      </w:r>
      <w:r w:rsidR="009A6AF2" w:rsidRPr="00802E2B">
        <w:t xml:space="preserve">y stable behavior was recorded: </w:t>
      </w:r>
      <w:r w:rsidRPr="00802E2B">
        <w:t xml:space="preserve">complete conversion </w:t>
      </w:r>
      <w:r w:rsidR="009A6AF2" w:rsidRPr="00802E2B">
        <w:t>was assured and the</w:t>
      </w:r>
      <w:r w:rsidRPr="00802E2B">
        <w:t xml:space="preserve"> mean hydrogen yield </w:t>
      </w:r>
      <w:r w:rsidR="009A6AF2" w:rsidRPr="00802E2B">
        <w:t xml:space="preserve">was </w:t>
      </w:r>
      <w:r w:rsidRPr="00802E2B">
        <w:t xml:space="preserve">above 50%. </w:t>
      </w:r>
    </w:p>
    <w:p w14:paraId="67937DD7" w14:textId="0F8D968B" w:rsidR="007E76B3" w:rsidRPr="00802E2B" w:rsidRDefault="009A6AF2" w:rsidP="007E76B3">
      <w:pPr>
        <w:pStyle w:val="CETBodytext"/>
      </w:pPr>
      <w:r w:rsidRPr="00802E2B">
        <w:lastRenderedPageBreak/>
        <w:t xml:space="preserve">Table 3 shows </w:t>
      </w:r>
      <w:r w:rsidR="007E76B3" w:rsidRPr="00802E2B">
        <w:t xml:space="preserve">the mean yields towards carbonaceous species measured at the beginning (the first 2 hours) and at the end (the last 1 hours) of the stability tests of Figure </w:t>
      </w:r>
      <w:r w:rsidR="009B0270" w:rsidRPr="00802E2B">
        <w:t>4</w:t>
      </w:r>
      <w:r w:rsidR="007E76B3" w:rsidRPr="00802E2B">
        <w:t>. In both the cases, acetaldehyde, acetone and ethylene formation was inhibited at the beginning of the test; moreover, the initial products gas distribution was very close to the thermodynamic predictions (calculated through the software Gaseq).</w:t>
      </w:r>
    </w:p>
    <w:p w14:paraId="606C9863" w14:textId="1CF176F0" w:rsidR="007E76B3" w:rsidRPr="00802E2B" w:rsidRDefault="007E76B3" w:rsidP="007E76B3">
      <w:pPr>
        <w:pStyle w:val="CETBodytext"/>
      </w:pPr>
      <w:r w:rsidRPr="00802E2B">
        <w:t>The concentration of C</w:t>
      </w:r>
      <w:r w:rsidRPr="00802E2B">
        <w:rPr>
          <w:vertAlign w:val="subscript"/>
        </w:rPr>
        <w:t>2</w:t>
      </w:r>
      <w:r w:rsidRPr="00802E2B">
        <w:t>H</w:t>
      </w:r>
      <w:r w:rsidRPr="00802E2B">
        <w:rPr>
          <w:vertAlign w:val="subscript"/>
        </w:rPr>
        <w:t>4</w:t>
      </w:r>
      <w:r w:rsidRPr="00802E2B">
        <w:t>, C</w:t>
      </w:r>
      <w:r w:rsidRPr="00802E2B">
        <w:rPr>
          <w:vertAlign w:val="subscript"/>
        </w:rPr>
        <w:t>2</w:t>
      </w:r>
      <w:r w:rsidRPr="00802E2B">
        <w:t>H</w:t>
      </w:r>
      <w:r w:rsidRPr="00802E2B">
        <w:rPr>
          <w:vertAlign w:val="subscript"/>
        </w:rPr>
        <w:t>4</w:t>
      </w:r>
      <w:r w:rsidRPr="00802E2B">
        <w:t>O and C</w:t>
      </w:r>
      <w:r w:rsidRPr="00802E2B">
        <w:rPr>
          <w:vertAlign w:val="subscript"/>
        </w:rPr>
        <w:t>3</w:t>
      </w:r>
      <w:r w:rsidRPr="00802E2B">
        <w:t>H</w:t>
      </w:r>
      <w:r w:rsidRPr="00802E2B">
        <w:rPr>
          <w:vertAlign w:val="subscript"/>
        </w:rPr>
        <w:t>6</w:t>
      </w:r>
      <w:r w:rsidRPr="00802E2B">
        <w:t>O was still negligible at the end of the test over the structured foam catalyst. Conversely, b</w:t>
      </w:r>
      <w:r w:rsidR="009A6AF2" w:rsidRPr="00802E2B">
        <w:t xml:space="preserve">y-products formation was significant </w:t>
      </w:r>
      <w:r w:rsidRPr="00802E2B">
        <w:t xml:space="preserve">after 24 h of tests in the presence of the powder, which reached an ethylene concentration of 1.3% at the end of the test. The very promising performance observed in the presence of the catalyst deposited on the Ni-Fe foam </w:t>
      </w:r>
      <w:r w:rsidR="009A6AF2" w:rsidRPr="00802E2B">
        <w:t>is</w:t>
      </w:r>
      <w:r w:rsidRPr="00802E2B">
        <w:t xml:space="preserve"> ascribable to t</w:t>
      </w:r>
      <w:r w:rsidR="009A6AF2" w:rsidRPr="00802E2B">
        <w:t>he support structure. I</w:t>
      </w:r>
      <w:r w:rsidR="009B0270" w:rsidRPr="00802E2B">
        <w:t>n fact, t</w:t>
      </w:r>
      <w:r w:rsidRPr="00802E2B">
        <w:t xml:space="preserve">he use of </w:t>
      </w:r>
      <w:r w:rsidR="009B0270" w:rsidRPr="00802E2B">
        <w:t xml:space="preserve">a </w:t>
      </w:r>
      <w:r w:rsidRPr="00802E2B">
        <w:t>thermal conductive structured support with high porosity for the Pt-Ni/CeO</w:t>
      </w:r>
      <w:r w:rsidRPr="00802E2B">
        <w:rPr>
          <w:vertAlign w:val="subscript"/>
        </w:rPr>
        <w:t>2</w:t>
      </w:r>
      <w:r w:rsidRPr="00802E2B">
        <w:t>-Al</w:t>
      </w:r>
      <w:r w:rsidRPr="00802E2B">
        <w:rPr>
          <w:vertAlign w:val="subscript"/>
        </w:rPr>
        <w:t>2</w:t>
      </w:r>
      <w:r w:rsidRPr="00802E2B">
        <w:t>O</w:t>
      </w:r>
      <w:r w:rsidRPr="00802E2B">
        <w:rPr>
          <w:vertAlign w:val="subscript"/>
        </w:rPr>
        <w:t>3</w:t>
      </w:r>
      <w:r w:rsidRPr="00802E2B">
        <w:t xml:space="preserve"> catalysts allows to improve the thermal exchange inside the reactor.</w:t>
      </w:r>
    </w:p>
    <w:p w14:paraId="016CC95A" w14:textId="77777777" w:rsidR="007E76B3" w:rsidRPr="00802E2B" w:rsidRDefault="007E76B3" w:rsidP="00FC2C65">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802E2B" w:rsidRPr="00802E2B" w14:paraId="0BFFC563" w14:textId="77777777" w:rsidTr="007E76B3">
        <w:tc>
          <w:tcPr>
            <w:tcW w:w="4388" w:type="dxa"/>
          </w:tcPr>
          <w:p w14:paraId="406338A1" w14:textId="73E7D287" w:rsidR="00FC2C65" w:rsidRPr="00802E2B" w:rsidRDefault="00F73AE7" w:rsidP="00FC2C65">
            <w:pPr>
              <w:pStyle w:val="CETBodytext"/>
            </w:pPr>
            <w:r w:rsidRPr="00802E2B">
              <w:rPr>
                <w:noProof/>
                <w:lang w:val="it-IT" w:eastAsia="it-IT"/>
              </w:rPr>
              <w:drawing>
                <wp:inline distT="0" distB="0" distL="0" distR="0" wp14:anchorId="3E554C69" wp14:editId="00914403">
                  <wp:extent cx="2639374" cy="1728000"/>
                  <wp:effectExtent l="0" t="0" r="889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9374" cy="1728000"/>
                          </a:xfrm>
                          <a:prstGeom prst="rect">
                            <a:avLst/>
                          </a:prstGeom>
                          <a:noFill/>
                          <a:ln>
                            <a:noFill/>
                          </a:ln>
                        </pic:spPr>
                      </pic:pic>
                    </a:graphicData>
                  </a:graphic>
                </wp:inline>
              </w:drawing>
            </w:r>
          </w:p>
        </w:tc>
        <w:tc>
          <w:tcPr>
            <w:tcW w:w="4389" w:type="dxa"/>
          </w:tcPr>
          <w:p w14:paraId="398059BF" w14:textId="5928BACE" w:rsidR="00FC2C65" w:rsidRPr="00802E2B" w:rsidRDefault="00623C9D" w:rsidP="00FC2C65">
            <w:pPr>
              <w:pStyle w:val="CETBodytext"/>
            </w:pPr>
            <w:r w:rsidRPr="00802E2B">
              <w:rPr>
                <w:noProof/>
                <w:lang w:val="it-IT" w:eastAsia="it-IT"/>
              </w:rPr>
              <w:drawing>
                <wp:inline distT="0" distB="0" distL="0" distR="0" wp14:anchorId="704A1EFF" wp14:editId="56ECC4EA">
                  <wp:extent cx="2639374" cy="1728000"/>
                  <wp:effectExtent l="0" t="0" r="889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9374" cy="1728000"/>
                          </a:xfrm>
                          <a:prstGeom prst="rect">
                            <a:avLst/>
                          </a:prstGeom>
                          <a:noFill/>
                          <a:ln>
                            <a:noFill/>
                          </a:ln>
                        </pic:spPr>
                      </pic:pic>
                    </a:graphicData>
                  </a:graphic>
                </wp:inline>
              </w:drawing>
            </w:r>
          </w:p>
        </w:tc>
      </w:tr>
    </w:tbl>
    <w:p w14:paraId="14C5DA71" w14:textId="4AAFDFB3" w:rsidR="00623C9D" w:rsidRPr="00802E2B" w:rsidRDefault="00DB2BCA" w:rsidP="00623C9D">
      <w:pPr>
        <w:pStyle w:val="CETBodytext"/>
        <w:rPr>
          <w:i/>
        </w:rPr>
      </w:pPr>
      <w:r w:rsidRPr="00802E2B">
        <w:rPr>
          <w:i/>
        </w:rPr>
        <w:t>Figure 4</w:t>
      </w:r>
      <w:r w:rsidR="00623C9D" w:rsidRPr="00802E2B">
        <w:rPr>
          <w:i/>
        </w:rPr>
        <w:t>. Time-on-stream tests performed over the powder and structured catalysts; T=500°C, H</w:t>
      </w:r>
      <w:r w:rsidR="00623C9D" w:rsidRPr="00802E2B">
        <w:rPr>
          <w:i/>
          <w:vertAlign w:val="subscript"/>
        </w:rPr>
        <w:t>2</w:t>
      </w:r>
      <w:r w:rsidR="00623C9D" w:rsidRPr="00802E2B">
        <w:rPr>
          <w:i/>
        </w:rPr>
        <w:t>O/C</w:t>
      </w:r>
      <w:r w:rsidR="00623C9D" w:rsidRPr="00802E2B">
        <w:rPr>
          <w:i/>
          <w:vertAlign w:val="subscript"/>
        </w:rPr>
        <w:t>2</w:t>
      </w:r>
      <w:r w:rsidR="00623C9D" w:rsidRPr="00802E2B">
        <w:rPr>
          <w:i/>
        </w:rPr>
        <w:t>H</w:t>
      </w:r>
      <w:r w:rsidR="00623C9D" w:rsidRPr="00802E2B">
        <w:rPr>
          <w:i/>
          <w:vertAlign w:val="subscript"/>
        </w:rPr>
        <w:t>5</w:t>
      </w:r>
      <w:r w:rsidR="00623C9D" w:rsidRPr="00802E2B">
        <w:rPr>
          <w:i/>
        </w:rPr>
        <w:t>OH=4, O</w:t>
      </w:r>
      <w:r w:rsidR="00623C9D" w:rsidRPr="00802E2B">
        <w:rPr>
          <w:i/>
          <w:vertAlign w:val="subscript"/>
        </w:rPr>
        <w:t>2</w:t>
      </w:r>
      <w:r w:rsidR="00623C9D" w:rsidRPr="00802E2B">
        <w:rPr>
          <w:i/>
        </w:rPr>
        <w:t>/C</w:t>
      </w:r>
      <w:r w:rsidR="00623C9D" w:rsidRPr="00802E2B">
        <w:rPr>
          <w:i/>
          <w:vertAlign w:val="subscript"/>
        </w:rPr>
        <w:t>2</w:t>
      </w:r>
      <w:r w:rsidR="00623C9D" w:rsidRPr="00802E2B">
        <w:rPr>
          <w:i/>
        </w:rPr>
        <w:t>H</w:t>
      </w:r>
      <w:r w:rsidR="00623C9D" w:rsidRPr="00802E2B">
        <w:rPr>
          <w:i/>
          <w:vertAlign w:val="subscript"/>
        </w:rPr>
        <w:t>5</w:t>
      </w:r>
      <w:r w:rsidR="00623C9D" w:rsidRPr="00802E2B">
        <w:rPr>
          <w:i/>
        </w:rPr>
        <w:t>OH=0.5, WHSV=12 h</w:t>
      </w:r>
      <w:r w:rsidR="00623C9D" w:rsidRPr="00802E2B">
        <w:rPr>
          <w:i/>
          <w:vertAlign w:val="superscript"/>
        </w:rPr>
        <w:t>-1</w:t>
      </w:r>
      <w:r w:rsidR="00623C9D" w:rsidRPr="00802E2B">
        <w:rPr>
          <w:i/>
        </w:rPr>
        <w:t>.</w:t>
      </w:r>
    </w:p>
    <w:p w14:paraId="565330D9" w14:textId="720722D3" w:rsidR="00E234A1" w:rsidRPr="00802E2B" w:rsidRDefault="00DB2BCA" w:rsidP="00E234A1">
      <w:pPr>
        <w:pStyle w:val="CETTabletitle"/>
      </w:pPr>
      <w:r w:rsidRPr="00802E2B">
        <w:t>Table 3</w:t>
      </w:r>
      <w:r w:rsidR="00E234A1" w:rsidRPr="00802E2B">
        <w:t xml:space="preserve">: Reaction products yield recorded at the beginning (B) and at the end (E) of the stability tests shown in Figure </w:t>
      </w:r>
      <w:r w:rsidRPr="00802E2B">
        <w:t>4</w:t>
      </w:r>
      <w:r w:rsidR="00E234A1" w:rsidRPr="00802E2B">
        <w:t xml:space="preserve"> in comparison with the thermodynamic predictions.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88"/>
        <w:gridCol w:w="798"/>
        <w:gridCol w:w="765"/>
        <w:gridCol w:w="1304"/>
        <w:gridCol w:w="1622"/>
        <w:gridCol w:w="1398"/>
        <w:gridCol w:w="1212"/>
      </w:tblGrid>
      <w:tr w:rsidR="00802E2B" w:rsidRPr="00802E2B" w14:paraId="7527C90C" w14:textId="23AED2DF" w:rsidTr="00E234A1">
        <w:tc>
          <w:tcPr>
            <w:tcW w:w="1688" w:type="dxa"/>
            <w:tcBorders>
              <w:top w:val="single" w:sz="12" w:space="0" w:color="008000"/>
              <w:bottom w:val="single" w:sz="6" w:space="0" w:color="008000"/>
            </w:tcBorders>
            <w:shd w:val="clear" w:color="auto" w:fill="FFFFFF"/>
          </w:tcPr>
          <w:p w14:paraId="5085C947" w14:textId="77777777" w:rsidR="00E234A1" w:rsidRPr="00802E2B" w:rsidRDefault="00E234A1" w:rsidP="000F5CED">
            <w:pPr>
              <w:pStyle w:val="CETBodytext"/>
              <w:rPr>
                <w:lang w:val="en-GB"/>
              </w:rPr>
            </w:pPr>
            <w:r w:rsidRPr="00802E2B">
              <w:rPr>
                <w:lang w:val="en-GB"/>
              </w:rPr>
              <w:t xml:space="preserve"> Sample</w:t>
            </w:r>
          </w:p>
        </w:tc>
        <w:tc>
          <w:tcPr>
            <w:tcW w:w="798" w:type="dxa"/>
            <w:tcBorders>
              <w:top w:val="single" w:sz="12" w:space="0" w:color="008000"/>
              <w:bottom w:val="single" w:sz="6" w:space="0" w:color="008000"/>
            </w:tcBorders>
            <w:shd w:val="clear" w:color="auto" w:fill="FFFFFF"/>
          </w:tcPr>
          <w:p w14:paraId="37877778" w14:textId="78F5339A" w:rsidR="00E234A1" w:rsidRPr="00802E2B" w:rsidRDefault="00E234A1" w:rsidP="000F5CED">
            <w:pPr>
              <w:pStyle w:val="CETBodytext"/>
              <w:rPr>
                <w:lang w:val="en-GB"/>
              </w:rPr>
            </w:pPr>
            <w:r w:rsidRPr="00802E2B">
              <w:rPr>
                <w:lang w:val="en-GB"/>
              </w:rPr>
              <w:t>YCO (%)</w:t>
            </w:r>
          </w:p>
        </w:tc>
        <w:tc>
          <w:tcPr>
            <w:tcW w:w="765" w:type="dxa"/>
            <w:tcBorders>
              <w:top w:val="single" w:sz="12" w:space="0" w:color="008000"/>
              <w:bottom w:val="single" w:sz="6" w:space="0" w:color="008000"/>
            </w:tcBorders>
            <w:shd w:val="clear" w:color="auto" w:fill="FFFFFF"/>
          </w:tcPr>
          <w:p w14:paraId="62FF05CB" w14:textId="7C1FF614" w:rsidR="00E234A1" w:rsidRPr="00802E2B" w:rsidRDefault="00E234A1" w:rsidP="000F5CED">
            <w:pPr>
              <w:pStyle w:val="CETBodytext"/>
              <w:rPr>
                <w:lang w:val="en-GB"/>
              </w:rPr>
            </w:pPr>
            <w:r w:rsidRPr="00802E2B">
              <w:rPr>
                <w:lang w:val="en-GB"/>
              </w:rPr>
              <w:t>YCO</w:t>
            </w:r>
            <w:r w:rsidRPr="00802E2B">
              <w:rPr>
                <w:vertAlign w:val="subscript"/>
                <w:lang w:val="en-GB"/>
              </w:rPr>
              <w:t xml:space="preserve">2 </w:t>
            </w:r>
            <w:r w:rsidRPr="00802E2B">
              <w:rPr>
                <w:lang w:val="en-GB"/>
              </w:rPr>
              <w:t>(%)</w:t>
            </w:r>
          </w:p>
        </w:tc>
        <w:tc>
          <w:tcPr>
            <w:tcW w:w="1304" w:type="dxa"/>
            <w:tcBorders>
              <w:top w:val="single" w:sz="12" w:space="0" w:color="008000"/>
              <w:bottom w:val="single" w:sz="6" w:space="0" w:color="008000"/>
            </w:tcBorders>
            <w:shd w:val="clear" w:color="auto" w:fill="FFFFFF"/>
          </w:tcPr>
          <w:p w14:paraId="6C8E165C" w14:textId="7D2EF8C7" w:rsidR="00E234A1" w:rsidRPr="00802E2B" w:rsidRDefault="00E234A1" w:rsidP="000F5CED">
            <w:pPr>
              <w:pStyle w:val="CETBodytext"/>
              <w:ind w:right="-1"/>
              <w:rPr>
                <w:rFonts w:cs="Arial"/>
                <w:szCs w:val="18"/>
                <w:lang w:val="en-GB"/>
              </w:rPr>
            </w:pPr>
            <w:r w:rsidRPr="00802E2B">
              <w:rPr>
                <w:rFonts w:cs="Arial"/>
                <w:szCs w:val="18"/>
                <w:lang w:val="en-GB"/>
              </w:rPr>
              <w:t>YCH</w:t>
            </w:r>
            <w:r w:rsidRPr="00802E2B">
              <w:rPr>
                <w:rFonts w:cs="Arial"/>
                <w:szCs w:val="18"/>
                <w:vertAlign w:val="subscript"/>
                <w:lang w:val="en-GB"/>
              </w:rPr>
              <w:t>4</w:t>
            </w:r>
            <w:r w:rsidRPr="00802E2B">
              <w:rPr>
                <w:rFonts w:cs="Arial"/>
                <w:szCs w:val="18"/>
                <w:lang w:val="en-GB"/>
              </w:rPr>
              <w:t xml:space="preserve"> (%)</w:t>
            </w:r>
          </w:p>
        </w:tc>
        <w:tc>
          <w:tcPr>
            <w:tcW w:w="1622" w:type="dxa"/>
            <w:tcBorders>
              <w:top w:val="single" w:sz="12" w:space="0" w:color="008000"/>
              <w:bottom w:val="single" w:sz="6" w:space="0" w:color="008000"/>
            </w:tcBorders>
            <w:shd w:val="clear" w:color="auto" w:fill="FFFFFF"/>
          </w:tcPr>
          <w:p w14:paraId="21FCAA8E" w14:textId="312B315A" w:rsidR="00E234A1" w:rsidRPr="00802E2B" w:rsidRDefault="00E234A1" w:rsidP="000F5CED">
            <w:pPr>
              <w:pStyle w:val="CETBodytext"/>
              <w:ind w:right="-1"/>
              <w:rPr>
                <w:rFonts w:cs="Arial"/>
                <w:szCs w:val="18"/>
                <w:lang w:val="en-GB"/>
              </w:rPr>
            </w:pPr>
            <w:r w:rsidRPr="00802E2B">
              <w:rPr>
                <w:rFonts w:cs="Arial"/>
                <w:szCs w:val="18"/>
                <w:lang w:val="en-GB"/>
              </w:rPr>
              <w:t>YC</w:t>
            </w:r>
            <w:r w:rsidRPr="00802E2B">
              <w:rPr>
                <w:rFonts w:cs="Arial"/>
                <w:szCs w:val="18"/>
                <w:vertAlign w:val="subscript"/>
                <w:lang w:val="en-GB"/>
              </w:rPr>
              <w:t>2</w:t>
            </w:r>
            <w:r w:rsidRPr="00802E2B">
              <w:rPr>
                <w:rFonts w:cs="Arial"/>
                <w:szCs w:val="18"/>
                <w:lang w:val="en-GB"/>
              </w:rPr>
              <w:t>H</w:t>
            </w:r>
            <w:r w:rsidRPr="00802E2B">
              <w:rPr>
                <w:rFonts w:cs="Arial"/>
                <w:szCs w:val="18"/>
                <w:vertAlign w:val="subscript"/>
                <w:lang w:val="en-GB"/>
              </w:rPr>
              <w:t>4</w:t>
            </w:r>
            <w:r w:rsidRPr="00802E2B">
              <w:rPr>
                <w:rFonts w:cs="Arial"/>
                <w:szCs w:val="18"/>
                <w:lang w:val="en-GB"/>
              </w:rPr>
              <w:t>O (%)</w:t>
            </w:r>
          </w:p>
        </w:tc>
        <w:tc>
          <w:tcPr>
            <w:tcW w:w="1398" w:type="dxa"/>
            <w:tcBorders>
              <w:top w:val="single" w:sz="12" w:space="0" w:color="008000"/>
              <w:bottom w:val="single" w:sz="6" w:space="0" w:color="008000"/>
            </w:tcBorders>
            <w:shd w:val="clear" w:color="auto" w:fill="FFFFFF"/>
          </w:tcPr>
          <w:p w14:paraId="01C33447" w14:textId="59485D44" w:rsidR="00E234A1" w:rsidRPr="00802E2B" w:rsidRDefault="00E234A1" w:rsidP="000F5CED">
            <w:pPr>
              <w:pStyle w:val="CETBodytext"/>
              <w:ind w:right="-1"/>
              <w:rPr>
                <w:rFonts w:cs="Arial"/>
                <w:szCs w:val="18"/>
                <w:lang w:val="en-GB"/>
              </w:rPr>
            </w:pPr>
            <w:r w:rsidRPr="00802E2B">
              <w:rPr>
                <w:rFonts w:cs="Arial"/>
                <w:szCs w:val="18"/>
                <w:lang w:val="en-GB"/>
              </w:rPr>
              <w:t>YC</w:t>
            </w:r>
            <w:r w:rsidRPr="00802E2B">
              <w:rPr>
                <w:rFonts w:cs="Arial"/>
                <w:szCs w:val="18"/>
                <w:vertAlign w:val="subscript"/>
                <w:lang w:val="en-GB"/>
              </w:rPr>
              <w:t>3</w:t>
            </w:r>
            <w:r w:rsidRPr="00802E2B">
              <w:rPr>
                <w:rFonts w:cs="Arial"/>
                <w:szCs w:val="18"/>
                <w:lang w:val="en-GB"/>
              </w:rPr>
              <w:t>H</w:t>
            </w:r>
            <w:r w:rsidRPr="00802E2B">
              <w:rPr>
                <w:rFonts w:cs="Arial"/>
                <w:szCs w:val="18"/>
                <w:vertAlign w:val="subscript"/>
                <w:lang w:val="en-GB"/>
              </w:rPr>
              <w:t>6</w:t>
            </w:r>
            <w:r w:rsidRPr="00802E2B">
              <w:rPr>
                <w:rFonts w:cs="Arial"/>
                <w:szCs w:val="18"/>
                <w:lang w:val="en-GB"/>
              </w:rPr>
              <w:t>O (%)</w:t>
            </w:r>
          </w:p>
        </w:tc>
        <w:tc>
          <w:tcPr>
            <w:tcW w:w="1212" w:type="dxa"/>
            <w:tcBorders>
              <w:top w:val="single" w:sz="12" w:space="0" w:color="008000"/>
              <w:bottom w:val="single" w:sz="6" w:space="0" w:color="008000"/>
            </w:tcBorders>
            <w:shd w:val="clear" w:color="auto" w:fill="FFFFFF"/>
          </w:tcPr>
          <w:p w14:paraId="04DC699E" w14:textId="53D3FEEB" w:rsidR="00E234A1" w:rsidRPr="00802E2B" w:rsidRDefault="00E234A1" w:rsidP="000F5CED">
            <w:pPr>
              <w:pStyle w:val="CETBodytext"/>
              <w:ind w:right="-1"/>
              <w:rPr>
                <w:rFonts w:cs="Arial"/>
                <w:szCs w:val="18"/>
                <w:lang w:val="en-GB"/>
              </w:rPr>
            </w:pPr>
            <w:r w:rsidRPr="00802E2B">
              <w:rPr>
                <w:rFonts w:cs="Arial"/>
                <w:szCs w:val="18"/>
                <w:lang w:val="en-GB"/>
              </w:rPr>
              <w:t>YC</w:t>
            </w:r>
            <w:r w:rsidRPr="00802E2B">
              <w:rPr>
                <w:rFonts w:cs="Arial"/>
                <w:szCs w:val="18"/>
                <w:vertAlign w:val="subscript"/>
                <w:lang w:val="en-GB"/>
              </w:rPr>
              <w:t>2</w:t>
            </w:r>
            <w:r w:rsidRPr="00802E2B">
              <w:rPr>
                <w:rFonts w:cs="Arial"/>
                <w:szCs w:val="18"/>
                <w:lang w:val="en-GB"/>
              </w:rPr>
              <w:t>H</w:t>
            </w:r>
            <w:r w:rsidRPr="00802E2B">
              <w:rPr>
                <w:rFonts w:cs="Arial"/>
                <w:szCs w:val="18"/>
                <w:vertAlign w:val="subscript"/>
                <w:lang w:val="en-GB"/>
              </w:rPr>
              <w:t xml:space="preserve">4 </w:t>
            </w:r>
            <w:r w:rsidRPr="00802E2B">
              <w:rPr>
                <w:rFonts w:cs="Arial"/>
                <w:szCs w:val="18"/>
                <w:lang w:val="en-GB"/>
              </w:rPr>
              <w:t>(%)</w:t>
            </w:r>
          </w:p>
        </w:tc>
      </w:tr>
      <w:tr w:rsidR="00802E2B" w:rsidRPr="00802E2B" w14:paraId="36681A31" w14:textId="16CC7325" w:rsidTr="00E234A1">
        <w:tc>
          <w:tcPr>
            <w:tcW w:w="1688" w:type="dxa"/>
            <w:shd w:val="clear" w:color="auto" w:fill="FFFFFF"/>
          </w:tcPr>
          <w:p w14:paraId="1258CBCC" w14:textId="1D4C1E94" w:rsidR="00E234A1" w:rsidRPr="00802E2B" w:rsidRDefault="00E234A1" w:rsidP="000F5CED">
            <w:pPr>
              <w:pStyle w:val="CETBodytext"/>
              <w:rPr>
                <w:lang w:val="en-GB"/>
              </w:rPr>
            </w:pPr>
            <w:r w:rsidRPr="00802E2B">
              <w:rPr>
                <w:lang w:val="en-GB"/>
              </w:rPr>
              <w:t>Powder B</w:t>
            </w:r>
          </w:p>
        </w:tc>
        <w:tc>
          <w:tcPr>
            <w:tcW w:w="798" w:type="dxa"/>
            <w:shd w:val="clear" w:color="auto" w:fill="FFFFFF"/>
          </w:tcPr>
          <w:p w14:paraId="738EFD17" w14:textId="330C5BA2" w:rsidR="00E234A1" w:rsidRPr="00802E2B" w:rsidRDefault="00E568E0" w:rsidP="000F5CED">
            <w:pPr>
              <w:pStyle w:val="CETBodytext"/>
              <w:rPr>
                <w:lang w:val="en-GB"/>
              </w:rPr>
            </w:pPr>
            <w:r w:rsidRPr="00802E2B">
              <w:rPr>
                <w:lang w:val="en-GB"/>
              </w:rPr>
              <w:t>11</w:t>
            </w:r>
          </w:p>
        </w:tc>
        <w:tc>
          <w:tcPr>
            <w:tcW w:w="765" w:type="dxa"/>
            <w:shd w:val="clear" w:color="auto" w:fill="FFFFFF"/>
          </w:tcPr>
          <w:p w14:paraId="4F904D19" w14:textId="6603573E" w:rsidR="00E234A1" w:rsidRPr="00802E2B" w:rsidRDefault="00E568E0" w:rsidP="000F5CED">
            <w:pPr>
              <w:pStyle w:val="CETBodytext"/>
              <w:rPr>
                <w:lang w:val="en-GB"/>
              </w:rPr>
            </w:pPr>
            <w:r w:rsidRPr="00802E2B">
              <w:rPr>
                <w:lang w:val="en-GB"/>
              </w:rPr>
              <w:t>61</w:t>
            </w:r>
          </w:p>
        </w:tc>
        <w:tc>
          <w:tcPr>
            <w:tcW w:w="1304" w:type="dxa"/>
            <w:shd w:val="clear" w:color="auto" w:fill="FFFFFF"/>
          </w:tcPr>
          <w:p w14:paraId="6DEA87BA" w14:textId="2D0BC5E3" w:rsidR="00E234A1" w:rsidRPr="00802E2B" w:rsidRDefault="00E568E0" w:rsidP="000F5CED">
            <w:pPr>
              <w:pStyle w:val="CETBodytext"/>
              <w:ind w:right="-1"/>
              <w:rPr>
                <w:rFonts w:cs="Arial"/>
                <w:szCs w:val="18"/>
                <w:lang w:val="en-GB"/>
              </w:rPr>
            </w:pPr>
            <w:r w:rsidRPr="00802E2B">
              <w:rPr>
                <w:rFonts w:cs="Arial"/>
                <w:szCs w:val="18"/>
                <w:lang w:val="en-GB"/>
              </w:rPr>
              <w:t>33</w:t>
            </w:r>
          </w:p>
        </w:tc>
        <w:tc>
          <w:tcPr>
            <w:tcW w:w="1622" w:type="dxa"/>
            <w:shd w:val="clear" w:color="auto" w:fill="FFFFFF"/>
          </w:tcPr>
          <w:p w14:paraId="5965EDFE" w14:textId="783FFC58" w:rsidR="00E234A1" w:rsidRPr="00802E2B" w:rsidRDefault="00E568E0" w:rsidP="000F5CED">
            <w:pPr>
              <w:pStyle w:val="CETBodytext"/>
              <w:ind w:right="-1"/>
              <w:rPr>
                <w:rFonts w:cs="Arial"/>
                <w:szCs w:val="18"/>
                <w:lang w:val="en-GB"/>
              </w:rPr>
            </w:pPr>
            <w:r w:rsidRPr="00802E2B">
              <w:rPr>
                <w:rFonts w:cs="Arial"/>
                <w:szCs w:val="18"/>
                <w:lang w:val="en-GB"/>
              </w:rPr>
              <w:t>0.01</w:t>
            </w:r>
          </w:p>
        </w:tc>
        <w:tc>
          <w:tcPr>
            <w:tcW w:w="1398" w:type="dxa"/>
            <w:shd w:val="clear" w:color="auto" w:fill="FFFFFF"/>
          </w:tcPr>
          <w:p w14:paraId="34DBBAFA" w14:textId="42CABA0A" w:rsidR="00E234A1" w:rsidRPr="00802E2B" w:rsidRDefault="00E568E0" w:rsidP="000F5CED">
            <w:pPr>
              <w:pStyle w:val="CETBodytext"/>
              <w:ind w:right="-1"/>
              <w:rPr>
                <w:rFonts w:cs="Arial"/>
                <w:szCs w:val="18"/>
                <w:lang w:val="en-GB"/>
              </w:rPr>
            </w:pPr>
            <w:r w:rsidRPr="00802E2B">
              <w:rPr>
                <w:rFonts w:cs="Arial"/>
                <w:szCs w:val="18"/>
                <w:lang w:val="en-GB"/>
              </w:rPr>
              <w:t>0.01</w:t>
            </w:r>
          </w:p>
        </w:tc>
        <w:tc>
          <w:tcPr>
            <w:tcW w:w="1212" w:type="dxa"/>
            <w:shd w:val="clear" w:color="auto" w:fill="FFFFFF"/>
          </w:tcPr>
          <w:p w14:paraId="3C6A1461" w14:textId="62190A4E" w:rsidR="00E234A1" w:rsidRPr="00802E2B" w:rsidRDefault="00E568E0" w:rsidP="000F5CED">
            <w:pPr>
              <w:pStyle w:val="CETBodytext"/>
              <w:ind w:right="-1"/>
              <w:rPr>
                <w:rFonts w:cs="Arial"/>
                <w:szCs w:val="18"/>
                <w:lang w:val="en-GB"/>
              </w:rPr>
            </w:pPr>
            <w:r w:rsidRPr="00802E2B">
              <w:rPr>
                <w:rFonts w:cs="Arial"/>
                <w:szCs w:val="18"/>
                <w:lang w:val="en-GB"/>
              </w:rPr>
              <w:t>0.01</w:t>
            </w:r>
          </w:p>
        </w:tc>
      </w:tr>
      <w:tr w:rsidR="00802E2B" w:rsidRPr="00802E2B" w14:paraId="4D8B15A6" w14:textId="4C9CA115" w:rsidTr="00E234A1">
        <w:tc>
          <w:tcPr>
            <w:tcW w:w="1688" w:type="dxa"/>
            <w:shd w:val="clear" w:color="auto" w:fill="FFFFFF"/>
          </w:tcPr>
          <w:p w14:paraId="52C19960" w14:textId="2E8FF666" w:rsidR="00E234A1" w:rsidRPr="00802E2B" w:rsidRDefault="00E234A1" w:rsidP="000F5CED">
            <w:pPr>
              <w:pStyle w:val="CETBodytext"/>
              <w:ind w:right="-1"/>
              <w:rPr>
                <w:rFonts w:cs="Arial"/>
                <w:szCs w:val="18"/>
                <w:lang w:val="en-GB"/>
              </w:rPr>
            </w:pPr>
            <w:r w:rsidRPr="00802E2B">
              <w:rPr>
                <w:lang w:val="en-GB"/>
              </w:rPr>
              <w:t>Powder E</w:t>
            </w:r>
          </w:p>
        </w:tc>
        <w:tc>
          <w:tcPr>
            <w:tcW w:w="798" w:type="dxa"/>
            <w:shd w:val="clear" w:color="auto" w:fill="FFFFFF"/>
          </w:tcPr>
          <w:p w14:paraId="6825CDF7" w14:textId="7DC299E3" w:rsidR="00E234A1" w:rsidRPr="00802E2B" w:rsidRDefault="00E568E0" w:rsidP="000F5CED">
            <w:pPr>
              <w:pStyle w:val="CETBodytext"/>
              <w:ind w:right="-1"/>
              <w:rPr>
                <w:rFonts w:cs="Arial"/>
                <w:szCs w:val="18"/>
                <w:lang w:val="en-GB"/>
              </w:rPr>
            </w:pPr>
            <w:r w:rsidRPr="00802E2B">
              <w:rPr>
                <w:rFonts w:cs="Arial"/>
                <w:szCs w:val="18"/>
                <w:lang w:val="en-GB"/>
              </w:rPr>
              <w:t>22</w:t>
            </w:r>
          </w:p>
        </w:tc>
        <w:tc>
          <w:tcPr>
            <w:tcW w:w="765" w:type="dxa"/>
            <w:shd w:val="clear" w:color="auto" w:fill="FFFFFF"/>
          </w:tcPr>
          <w:p w14:paraId="0D5B719F" w14:textId="07BE529F" w:rsidR="00E234A1" w:rsidRPr="00802E2B" w:rsidRDefault="00E568E0" w:rsidP="000F5CED">
            <w:pPr>
              <w:pStyle w:val="CETBodytext"/>
              <w:ind w:right="-1"/>
              <w:rPr>
                <w:rFonts w:cs="Arial"/>
                <w:szCs w:val="18"/>
                <w:lang w:val="en-GB"/>
              </w:rPr>
            </w:pPr>
            <w:r w:rsidRPr="00802E2B">
              <w:rPr>
                <w:rFonts w:cs="Arial"/>
                <w:szCs w:val="18"/>
                <w:lang w:val="en-GB"/>
              </w:rPr>
              <w:t>52</w:t>
            </w:r>
          </w:p>
        </w:tc>
        <w:tc>
          <w:tcPr>
            <w:tcW w:w="1304" w:type="dxa"/>
            <w:shd w:val="clear" w:color="auto" w:fill="FFFFFF"/>
          </w:tcPr>
          <w:p w14:paraId="0822A207" w14:textId="17755D52" w:rsidR="00E234A1" w:rsidRPr="00802E2B" w:rsidRDefault="00E568E0" w:rsidP="000F5CED">
            <w:pPr>
              <w:pStyle w:val="CETBodytext"/>
              <w:ind w:right="-1"/>
              <w:rPr>
                <w:rFonts w:cs="Arial"/>
                <w:szCs w:val="18"/>
                <w:lang w:val="en-GB"/>
              </w:rPr>
            </w:pPr>
            <w:r w:rsidRPr="00802E2B">
              <w:rPr>
                <w:rFonts w:cs="Arial"/>
                <w:szCs w:val="18"/>
                <w:lang w:val="en-GB"/>
              </w:rPr>
              <w:t>18</w:t>
            </w:r>
          </w:p>
        </w:tc>
        <w:tc>
          <w:tcPr>
            <w:tcW w:w="1622" w:type="dxa"/>
            <w:shd w:val="clear" w:color="auto" w:fill="FFFFFF"/>
          </w:tcPr>
          <w:p w14:paraId="33AEA20A" w14:textId="36555A80" w:rsidR="00E234A1" w:rsidRPr="00802E2B" w:rsidRDefault="00E568E0" w:rsidP="000F5CED">
            <w:pPr>
              <w:pStyle w:val="CETBodytext"/>
              <w:ind w:right="-1"/>
              <w:rPr>
                <w:rFonts w:cs="Arial"/>
                <w:szCs w:val="18"/>
                <w:lang w:val="en-GB"/>
              </w:rPr>
            </w:pPr>
            <w:r w:rsidRPr="00802E2B">
              <w:rPr>
                <w:rFonts w:cs="Arial"/>
                <w:szCs w:val="18"/>
                <w:lang w:val="en-GB"/>
              </w:rPr>
              <w:t>0.5</w:t>
            </w:r>
          </w:p>
        </w:tc>
        <w:tc>
          <w:tcPr>
            <w:tcW w:w="1398" w:type="dxa"/>
            <w:shd w:val="clear" w:color="auto" w:fill="FFFFFF"/>
          </w:tcPr>
          <w:p w14:paraId="6EF6EF2C" w14:textId="45B81E8C" w:rsidR="00E234A1" w:rsidRPr="00802E2B" w:rsidRDefault="00E568E0" w:rsidP="000F5CED">
            <w:pPr>
              <w:pStyle w:val="CETBodytext"/>
              <w:ind w:right="-1"/>
              <w:rPr>
                <w:rFonts w:cs="Arial"/>
                <w:szCs w:val="18"/>
                <w:lang w:val="en-GB"/>
              </w:rPr>
            </w:pPr>
            <w:r w:rsidRPr="00802E2B">
              <w:rPr>
                <w:rFonts w:cs="Arial"/>
                <w:szCs w:val="18"/>
                <w:lang w:val="en-GB"/>
              </w:rPr>
              <w:t>0.7</w:t>
            </w:r>
          </w:p>
        </w:tc>
        <w:tc>
          <w:tcPr>
            <w:tcW w:w="1212" w:type="dxa"/>
            <w:shd w:val="clear" w:color="auto" w:fill="FFFFFF"/>
          </w:tcPr>
          <w:p w14:paraId="2FDC8649" w14:textId="7E207B06" w:rsidR="00E234A1" w:rsidRPr="00802E2B" w:rsidRDefault="00E568E0" w:rsidP="000F5CED">
            <w:pPr>
              <w:pStyle w:val="CETBodytext"/>
              <w:ind w:right="-1"/>
              <w:rPr>
                <w:rFonts w:cs="Arial"/>
                <w:szCs w:val="18"/>
                <w:lang w:val="en-GB"/>
              </w:rPr>
            </w:pPr>
            <w:r w:rsidRPr="00802E2B">
              <w:rPr>
                <w:rFonts w:cs="Arial"/>
                <w:szCs w:val="18"/>
                <w:lang w:val="en-GB"/>
              </w:rPr>
              <w:t>1.3</w:t>
            </w:r>
          </w:p>
        </w:tc>
      </w:tr>
      <w:tr w:rsidR="00802E2B" w:rsidRPr="00802E2B" w14:paraId="2B23F1CB" w14:textId="3A186853" w:rsidTr="00E234A1">
        <w:tc>
          <w:tcPr>
            <w:tcW w:w="1688" w:type="dxa"/>
            <w:shd w:val="clear" w:color="auto" w:fill="FFFFFF"/>
          </w:tcPr>
          <w:p w14:paraId="6BCA6E19" w14:textId="46F9BC43" w:rsidR="00E234A1" w:rsidRPr="00802E2B" w:rsidRDefault="00E234A1" w:rsidP="000F5CED">
            <w:pPr>
              <w:pStyle w:val="CETBodytext"/>
              <w:ind w:right="-1"/>
              <w:rPr>
                <w:lang w:val="en-GB"/>
              </w:rPr>
            </w:pPr>
            <w:r w:rsidRPr="00802E2B">
              <w:rPr>
                <w:lang w:val="en-GB"/>
              </w:rPr>
              <w:t>Foam B</w:t>
            </w:r>
          </w:p>
        </w:tc>
        <w:tc>
          <w:tcPr>
            <w:tcW w:w="798" w:type="dxa"/>
            <w:shd w:val="clear" w:color="auto" w:fill="FFFFFF"/>
          </w:tcPr>
          <w:p w14:paraId="4FEEAB65" w14:textId="1A068899" w:rsidR="00E234A1" w:rsidRPr="00802E2B" w:rsidRDefault="00E568E0" w:rsidP="000F5CED">
            <w:pPr>
              <w:pStyle w:val="CETBodytext"/>
              <w:ind w:right="-1"/>
              <w:rPr>
                <w:rFonts w:cs="Arial"/>
                <w:szCs w:val="18"/>
                <w:lang w:val="en-GB"/>
              </w:rPr>
            </w:pPr>
            <w:r w:rsidRPr="00802E2B">
              <w:rPr>
                <w:rFonts w:cs="Arial"/>
                <w:szCs w:val="18"/>
                <w:lang w:val="en-GB"/>
              </w:rPr>
              <w:t>9</w:t>
            </w:r>
          </w:p>
        </w:tc>
        <w:tc>
          <w:tcPr>
            <w:tcW w:w="765" w:type="dxa"/>
            <w:shd w:val="clear" w:color="auto" w:fill="FFFFFF"/>
          </w:tcPr>
          <w:p w14:paraId="12321457" w14:textId="3A8FBBFE" w:rsidR="00E234A1" w:rsidRPr="00802E2B" w:rsidRDefault="00E568E0" w:rsidP="000F5CED">
            <w:pPr>
              <w:pStyle w:val="CETBodytext"/>
              <w:ind w:right="-1"/>
              <w:rPr>
                <w:rFonts w:cs="Arial"/>
                <w:szCs w:val="18"/>
                <w:lang w:val="en-GB"/>
              </w:rPr>
            </w:pPr>
            <w:r w:rsidRPr="00802E2B">
              <w:rPr>
                <w:rFonts w:cs="Arial"/>
                <w:szCs w:val="18"/>
                <w:lang w:val="en-GB"/>
              </w:rPr>
              <w:t>56</w:t>
            </w:r>
          </w:p>
        </w:tc>
        <w:tc>
          <w:tcPr>
            <w:tcW w:w="1304" w:type="dxa"/>
            <w:shd w:val="clear" w:color="auto" w:fill="FFFFFF"/>
          </w:tcPr>
          <w:p w14:paraId="26430E7F" w14:textId="74E1C5A1" w:rsidR="00E234A1" w:rsidRPr="00802E2B" w:rsidRDefault="00E568E0" w:rsidP="000F5CED">
            <w:pPr>
              <w:pStyle w:val="CETBodytext"/>
              <w:ind w:right="-1"/>
              <w:rPr>
                <w:rFonts w:cs="Arial"/>
                <w:szCs w:val="18"/>
                <w:lang w:val="en-GB"/>
              </w:rPr>
            </w:pPr>
            <w:r w:rsidRPr="00802E2B">
              <w:rPr>
                <w:rFonts w:cs="Arial"/>
                <w:szCs w:val="18"/>
                <w:lang w:val="en-GB"/>
              </w:rPr>
              <w:t>34</w:t>
            </w:r>
          </w:p>
        </w:tc>
        <w:tc>
          <w:tcPr>
            <w:tcW w:w="1622" w:type="dxa"/>
            <w:shd w:val="clear" w:color="auto" w:fill="FFFFFF"/>
          </w:tcPr>
          <w:p w14:paraId="758FDD26" w14:textId="58636106" w:rsidR="00E234A1" w:rsidRPr="00802E2B" w:rsidRDefault="00E568E0" w:rsidP="000F5CED">
            <w:pPr>
              <w:pStyle w:val="CETBodytext"/>
              <w:ind w:right="-1"/>
              <w:rPr>
                <w:rFonts w:cs="Arial"/>
                <w:szCs w:val="18"/>
                <w:lang w:val="en-GB"/>
              </w:rPr>
            </w:pPr>
            <w:r w:rsidRPr="00802E2B">
              <w:rPr>
                <w:rFonts w:cs="Arial"/>
                <w:szCs w:val="18"/>
                <w:lang w:val="en-GB"/>
              </w:rPr>
              <w:t>0.02</w:t>
            </w:r>
          </w:p>
        </w:tc>
        <w:tc>
          <w:tcPr>
            <w:tcW w:w="1398" w:type="dxa"/>
            <w:shd w:val="clear" w:color="auto" w:fill="FFFFFF"/>
          </w:tcPr>
          <w:p w14:paraId="18D1E54A" w14:textId="1E679651" w:rsidR="00E234A1" w:rsidRPr="00802E2B" w:rsidRDefault="00E568E0" w:rsidP="000F5CED">
            <w:pPr>
              <w:pStyle w:val="CETBodytext"/>
              <w:ind w:right="-1"/>
              <w:rPr>
                <w:rFonts w:cs="Arial"/>
                <w:szCs w:val="18"/>
                <w:lang w:val="en-GB"/>
              </w:rPr>
            </w:pPr>
            <w:r w:rsidRPr="00802E2B">
              <w:rPr>
                <w:rFonts w:cs="Arial"/>
                <w:szCs w:val="18"/>
                <w:lang w:val="en-GB"/>
              </w:rPr>
              <w:t>0.02</w:t>
            </w:r>
          </w:p>
        </w:tc>
        <w:tc>
          <w:tcPr>
            <w:tcW w:w="1212" w:type="dxa"/>
            <w:shd w:val="clear" w:color="auto" w:fill="FFFFFF"/>
          </w:tcPr>
          <w:p w14:paraId="55670EC5" w14:textId="088C2D94" w:rsidR="00E234A1" w:rsidRPr="00802E2B" w:rsidRDefault="00E568E0" w:rsidP="000F5CED">
            <w:pPr>
              <w:pStyle w:val="CETBodytext"/>
              <w:ind w:right="-1"/>
              <w:rPr>
                <w:rFonts w:cs="Arial"/>
                <w:szCs w:val="18"/>
                <w:lang w:val="en-GB"/>
              </w:rPr>
            </w:pPr>
            <w:r w:rsidRPr="00802E2B">
              <w:rPr>
                <w:rFonts w:cs="Arial"/>
                <w:szCs w:val="18"/>
                <w:lang w:val="en-GB"/>
              </w:rPr>
              <w:t>0.01</w:t>
            </w:r>
          </w:p>
        </w:tc>
      </w:tr>
      <w:tr w:rsidR="00802E2B" w:rsidRPr="00802E2B" w14:paraId="7B59D870" w14:textId="6DAE7481" w:rsidTr="00E234A1">
        <w:tc>
          <w:tcPr>
            <w:tcW w:w="1688" w:type="dxa"/>
            <w:shd w:val="clear" w:color="auto" w:fill="FFFFFF"/>
          </w:tcPr>
          <w:p w14:paraId="1CFFBD4F" w14:textId="3ACBACDA" w:rsidR="00E234A1" w:rsidRPr="00802E2B" w:rsidRDefault="00E234A1" w:rsidP="000F5CED">
            <w:pPr>
              <w:pStyle w:val="CETBodytext"/>
              <w:ind w:right="-1"/>
              <w:rPr>
                <w:lang w:val="en-GB"/>
              </w:rPr>
            </w:pPr>
            <w:r w:rsidRPr="00802E2B">
              <w:rPr>
                <w:lang w:val="en-GB"/>
              </w:rPr>
              <w:t>Foam E</w:t>
            </w:r>
          </w:p>
        </w:tc>
        <w:tc>
          <w:tcPr>
            <w:tcW w:w="798" w:type="dxa"/>
            <w:shd w:val="clear" w:color="auto" w:fill="FFFFFF"/>
          </w:tcPr>
          <w:p w14:paraId="1A0E3AE5" w14:textId="57C85D83" w:rsidR="00E234A1" w:rsidRPr="00802E2B" w:rsidRDefault="00E568E0" w:rsidP="000F5CED">
            <w:pPr>
              <w:pStyle w:val="CETBodytext"/>
              <w:ind w:right="-1"/>
              <w:rPr>
                <w:rFonts w:cs="Arial"/>
                <w:szCs w:val="18"/>
                <w:lang w:val="en-GB"/>
              </w:rPr>
            </w:pPr>
            <w:r w:rsidRPr="00802E2B">
              <w:rPr>
                <w:rFonts w:cs="Arial"/>
                <w:szCs w:val="18"/>
                <w:lang w:val="en-GB"/>
              </w:rPr>
              <w:t>6</w:t>
            </w:r>
          </w:p>
        </w:tc>
        <w:tc>
          <w:tcPr>
            <w:tcW w:w="765" w:type="dxa"/>
            <w:shd w:val="clear" w:color="auto" w:fill="FFFFFF"/>
          </w:tcPr>
          <w:p w14:paraId="2EF629B3" w14:textId="2FAF5EB6" w:rsidR="00E234A1" w:rsidRPr="00802E2B" w:rsidRDefault="00E568E0" w:rsidP="000F5CED">
            <w:pPr>
              <w:pStyle w:val="CETBodytext"/>
              <w:ind w:right="-1"/>
              <w:rPr>
                <w:rFonts w:cs="Arial"/>
                <w:szCs w:val="18"/>
                <w:lang w:val="en-GB"/>
              </w:rPr>
            </w:pPr>
            <w:r w:rsidRPr="00802E2B">
              <w:rPr>
                <w:rFonts w:cs="Arial"/>
                <w:szCs w:val="18"/>
                <w:lang w:val="en-GB"/>
              </w:rPr>
              <w:t>61</w:t>
            </w:r>
          </w:p>
        </w:tc>
        <w:tc>
          <w:tcPr>
            <w:tcW w:w="1304" w:type="dxa"/>
            <w:shd w:val="clear" w:color="auto" w:fill="FFFFFF"/>
          </w:tcPr>
          <w:p w14:paraId="34AA8EF2" w14:textId="23E1CF79" w:rsidR="00E234A1" w:rsidRPr="00802E2B" w:rsidRDefault="00E568E0" w:rsidP="000F5CED">
            <w:pPr>
              <w:pStyle w:val="CETBodytext"/>
              <w:ind w:right="-1"/>
              <w:rPr>
                <w:rFonts w:cs="Arial"/>
                <w:szCs w:val="18"/>
                <w:lang w:val="en-GB"/>
              </w:rPr>
            </w:pPr>
            <w:r w:rsidRPr="00802E2B">
              <w:rPr>
                <w:rFonts w:cs="Arial"/>
                <w:szCs w:val="18"/>
                <w:lang w:val="en-GB"/>
              </w:rPr>
              <w:t>36</w:t>
            </w:r>
          </w:p>
        </w:tc>
        <w:tc>
          <w:tcPr>
            <w:tcW w:w="1622" w:type="dxa"/>
            <w:shd w:val="clear" w:color="auto" w:fill="FFFFFF"/>
          </w:tcPr>
          <w:p w14:paraId="0E3AA85E" w14:textId="5DC7A3BC" w:rsidR="00E234A1" w:rsidRPr="00802E2B" w:rsidRDefault="00E568E0" w:rsidP="000F5CED">
            <w:pPr>
              <w:pStyle w:val="CETBodytext"/>
              <w:ind w:right="-1"/>
              <w:rPr>
                <w:rFonts w:cs="Arial"/>
                <w:szCs w:val="18"/>
                <w:lang w:val="en-GB"/>
              </w:rPr>
            </w:pPr>
            <w:r w:rsidRPr="00802E2B">
              <w:rPr>
                <w:rFonts w:cs="Arial"/>
                <w:szCs w:val="18"/>
                <w:lang w:val="en-GB"/>
              </w:rPr>
              <w:t>0.02</w:t>
            </w:r>
          </w:p>
        </w:tc>
        <w:tc>
          <w:tcPr>
            <w:tcW w:w="1398" w:type="dxa"/>
            <w:shd w:val="clear" w:color="auto" w:fill="FFFFFF"/>
          </w:tcPr>
          <w:p w14:paraId="4CE5B890" w14:textId="0B9C5CF2" w:rsidR="00E234A1" w:rsidRPr="00802E2B" w:rsidRDefault="00E568E0" w:rsidP="000F5CED">
            <w:pPr>
              <w:pStyle w:val="CETBodytext"/>
              <w:ind w:right="-1"/>
              <w:rPr>
                <w:rFonts w:cs="Arial"/>
                <w:szCs w:val="18"/>
                <w:lang w:val="en-GB"/>
              </w:rPr>
            </w:pPr>
            <w:r w:rsidRPr="00802E2B">
              <w:rPr>
                <w:rFonts w:cs="Arial"/>
                <w:szCs w:val="18"/>
                <w:lang w:val="en-GB"/>
              </w:rPr>
              <w:t>0.02</w:t>
            </w:r>
          </w:p>
        </w:tc>
        <w:tc>
          <w:tcPr>
            <w:tcW w:w="1212" w:type="dxa"/>
            <w:shd w:val="clear" w:color="auto" w:fill="FFFFFF"/>
          </w:tcPr>
          <w:p w14:paraId="58B86A01" w14:textId="2BD996E8" w:rsidR="00E234A1" w:rsidRPr="00802E2B" w:rsidRDefault="00E568E0" w:rsidP="000F5CED">
            <w:pPr>
              <w:pStyle w:val="CETBodytext"/>
              <w:ind w:right="-1"/>
              <w:rPr>
                <w:rFonts w:cs="Arial"/>
                <w:szCs w:val="18"/>
                <w:lang w:val="en-GB"/>
              </w:rPr>
            </w:pPr>
            <w:r w:rsidRPr="00802E2B">
              <w:rPr>
                <w:rFonts w:cs="Arial"/>
                <w:szCs w:val="18"/>
                <w:lang w:val="en-GB"/>
              </w:rPr>
              <w:t>0.02</w:t>
            </w:r>
          </w:p>
        </w:tc>
      </w:tr>
      <w:tr w:rsidR="00802E2B" w:rsidRPr="00802E2B" w14:paraId="610BA64B" w14:textId="35C78CFE" w:rsidTr="00E234A1">
        <w:tc>
          <w:tcPr>
            <w:tcW w:w="1688" w:type="dxa"/>
            <w:shd w:val="clear" w:color="auto" w:fill="FFFFFF"/>
          </w:tcPr>
          <w:p w14:paraId="40D14D07" w14:textId="06AF8403" w:rsidR="00E234A1" w:rsidRPr="00802E2B" w:rsidRDefault="00E568E0" w:rsidP="000F5CED">
            <w:pPr>
              <w:pStyle w:val="CETBodytext"/>
              <w:ind w:right="-1"/>
              <w:rPr>
                <w:lang w:val="en-GB"/>
              </w:rPr>
            </w:pPr>
            <w:r w:rsidRPr="00802E2B">
              <w:rPr>
                <w:lang w:val="en-GB"/>
              </w:rPr>
              <w:t>Thermodynamics</w:t>
            </w:r>
          </w:p>
        </w:tc>
        <w:tc>
          <w:tcPr>
            <w:tcW w:w="798" w:type="dxa"/>
            <w:shd w:val="clear" w:color="auto" w:fill="FFFFFF"/>
          </w:tcPr>
          <w:p w14:paraId="3884E7A0" w14:textId="415B5378" w:rsidR="00E234A1" w:rsidRPr="00802E2B" w:rsidRDefault="00E568E0" w:rsidP="000F5CED">
            <w:pPr>
              <w:pStyle w:val="CETBodytext"/>
              <w:ind w:right="-1"/>
              <w:rPr>
                <w:rFonts w:cs="Arial"/>
                <w:szCs w:val="18"/>
                <w:lang w:val="en-GB"/>
              </w:rPr>
            </w:pPr>
            <w:r w:rsidRPr="00802E2B">
              <w:rPr>
                <w:rFonts w:cs="Arial"/>
                <w:szCs w:val="18"/>
                <w:lang w:val="en-GB"/>
              </w:rPr>
              <w:t>9</w:t>
            </w:r>
          </w:p>
        </w:tc>
        <w:tc>
          <w:tcPr>
            <w:tcW w:w="765" w:type="dxa"/>
            <w:shd w:val="clear" w:color="auto" w:fill="FFFFFF"/>
          </w:tcPr>
          <w:p w14:paraId="5DB6B60C" w14:textId="20CD4BAE" w:rsidR="00E234A1" w:rsidRPr="00802E2B" w:rsidRDefault="00E568E0" w:rsidP="000F5CED">
            <w:pPr>
              <w:pStyle w:val="CETBodytext"/>
              <w:ind w:right="-1"/>
              <w:rPr>
                <w:rFonts w:cs="Arial"/>
                <w:szCs w:val="18"/>
                <w:lang w:val="en-GB"/>
              </w:rPr>
            </w:pPr>
            <w:r w:rsidRPr="00802E2B">
              <w:rPr>
                <w:rFonts w:cs="Arial"/>
                <w:szCs w:val="18"/>
                <w:lang w:val="en-GB"/>
              </w:rPr>
              <w:t>63</w:t>
            </w:r>
          </w:p>
        </w:tc>
        <w:tc>
          <w:tcPr>
            <w:tcW w:w="1304" w:type="dxa"/>
            <w:shd w:val="clear" w:color="auto" w:fill="FFFFFF"/>
          </w:tcPr>
          <w:p w14:paraId="4572CACB" w14:textId="716868A6" w:rsidR="00E234A1" w:rsidRPr="00802E2B" w:rsidRDefault="00E568E0" w:rsidP="000F5CED">
            <w:pPr>
              <w:pStyle w:val="CETBodytext"/>
              <w:ind w:right="-1"/>
              <w:rPr>
                <w:rFonts w:cs="Arial"/>
                <w:szCs w:val="18"/>
                <w:lang w:val="en-GB"/>
              </w:rPr>
            </w:pPr>
            <w:r w:rsidRPr="00802E2B">
              <w:rPr>
                <w:rFonts w:cs="Arial"/>
                <w:szCs w:val="18"/>
                <w:lang w:val="en-GB"/>
              </w:rPr>
              <w:t>29</w:t>
            </w:r>
          </w:p>
        </w:tc>
        <w:tc>
          <w:tcPr>
            <w:tcW w:w="1622" w:type="dxa"/>
            <w:shd w:val="clear" w:color="auto" w:fill="FFFFFF"/>
          </w:tcPr>
          <w:p w14:paraId="5FDA9ED1" w14:textId="7D273CED" w:rsidR="00E234A1" w:rsidRPr="00802E2B" w:rsidRDefault="00E568E0" w:rsidP="000F5CED">
            <w:pPr>
              <w:pStyle w:val="CETBodytext"/>
              <w:ind w:right="-1"/>
              <w:rPr>
                <w:rFonts w:cs="Arial"/>
                <w:szCs w:val="18"/>
                <w:lang w:val="en-GB"/>
              </w:rPr>
            </w:pPr>
            <w:r w:rsidRPr="00802E2B">
              <w:rPr>
                <w:rFonts w:cs="Arial"/>
                <w:szCs w:val="18"/>
                <w:lang w:val="en-GB"/>
              </w:rPr>
              <w:t>-</w:t>
            </w:r>
          </w:p>
        </w:tc>
        <w:tc>
          <w:tcPr>
            <w:tcW w:w="1398" w:type="dxa"/>
            <w:shd w:val="clear" w:color="auto" w:fill="FFFFFF"/>
          </w:tcPr>
          <w:p w14:paraId="533B020E" w14:textId="16D9EEE7" w:rsidR="00E234A1" w:rsidRPr="00802E2B" w:rsidRDefault="00E568E0" w:rsidP="000F5CED">
            <w:pPr>
              <w:pStyle w:val="CETBodytext"/>
              <w:ind w:right="-1"/>
              <w:rPr>
                <w:rFonts w:cs="Arial"/>
                <w:szCs w:val="18"/>
                <w:lang w:val="en-GB"/>
              </w:rPr>
            </w:pPr>
            <w:r w:rsidRPr="00802E2B">
              <w:rPr>
                <w:rFonts w:cs="Arial"/>
                <w:szCs w:val="18"/>
                <w:lang w:val="en-GB"/>
              </w:rPr>
              <w:t>-</w:t>
            </w:r>
          </w:p>
        </w:tc>
        <w:tc>
          <w:tcPr>
            <w:tcW w:w="1212" w:type="dxa"/>
            <w:shd w:val="clear" w:color="auto" w:fill="FFFFFF"/>
          </w:tcPr>
          <w:p w14:paraId="4378C3F1" w14:textId="557EFDEC" w:rsidR="00E234A1" w:rsidRPr="00802E2B" w:rsidRDefault="00E568E0" w:rsidP="000F5CED">
            <w:pPr>
              <w:pStyle w:val="CETBodytext"/>
              <w:ind w:right="-1"/>
              <w:rPr>
                <w:rFonts w:cs="Arial"/>
                <w:szCs w:val="18"/>
                <w:lang w:val="en-GB"/>
              </w:rPr>
            </w:pPr>
            <w:r w:rsidRPr="00802E2B">
              <w:rPr>
                <w:rFonts w:cs="Arial"/>
                <w:szCs w:val="18"/>
                <w:lang w:val="en-GB"/>
              </w:rPr>
              <w:t>-</w:t>
            </w:r>
          </w:p>
        </w:tc>
      </w:tr>
    </w:tbl>
    <w:p w14:paraId="4C3F6E5A" w14:textId="77777777" w:rsidR="00E234A1" w:rsidRPr="00802E2B" w:rsidRDefault="00E234A1" w:rsidP="00E234A1">
      <w:pPr>
        <w:pStyle w:val="CETBodytext"/>
      </w:pPr>
    </w:p>
    <w:p w14:paraId="7226082D" w14:textId="65B863B5" w:rsidR="00E234A1" w:rsidRPr="00802E2B" w:rsidRDefault="00F24A7E" w:rsidP="00F24A7E">
      <w:pPr>
        <w:pStyle w:val="CETBodytext"/>
      </w:pPr>
      <w:r w:rsidRPr="00802E2B">
        <w:t>The metallic nature of the support,</w:t>
      </w:r>
      <w:r w:rsidR="001E518E" w:rsidRPr="00802E2B">
        <w:t xml:space="preserve"> combined with the</w:t>
      </w:r>
      <w:r w:rsidRPr="00802E2B">
        <w:t xml:space="preserve"> continuous and the</w:t>
      </w:r>
      <w:r w:rsidR="00F45D98" w:rsidRPr="00802E2B">
        <w:t>rmally connected structure,</w:t>
      </w:r>
      <w:r w:rsidRPr="00802E2B">
        <w:t xml:space="preserve"> </w:t>
      </w:r>
      <w:r w:rsidR="00F45D98" w:rsidRPr="00802E2B">
        <w:t>assures</w:t>
      </w:r>
      <w:r w:rsidRPr="00802E2B">
        <w:t xml:space="preserve"> </w:t>
      </w:r>
      <w:r w:rsidR="00F45D98" w:rsidRPr="00802E2B">
        <w:t xml:space="preserve">a relevant </w:t>
      </w:r>
      <w:r w:rsidRPr="00802E2B">
        <w:t>enhancement of radial heat transfer</w:t>
      </w:r>
      <w:r w:rsidR="00F45D98" w:rsidRPr="00802E2B">
        <w:t xml:space="preserve"> </w:t>
      </w:r>
      <w:r w:rsidRPr="00802E2B">
        <w:t xml:space="preserve">in </w:t>
      </w:r>
      <w:r w:rsidR="00F45D98" w:rsidRPr="00802E2B">
        <w:t xml:space="preserve">reforming </w:t>
      </w:r>
      <w:r w:rsidRPr="00802E2B">
        <w:t>reactors</w:t>
      </w:r>
      <w:r w:rsidR="00F45D98" w:rsidRPr="00802E2B">
        <w:t xml:space="preserve"> loaded with catalytic foams in </w:t>
      </w:r>
      <w:r w:rsidRPr="00802E2B">
        <w:t>comparison with trad</w:t>
      </w:r>
      <w:r w:rsidR="00F45D98" w:rsidRPr="00802E2B">
        <w:t xml:space="preserve">itional packed bed reactors for </w:t>
      </w:r>
      <w:r w:rsidRPr="00802E2B">
        <w:t>highly exothermic he</w:t>
      </w:r>
      <w:r w:rsidR="009A6AF2" w:rsidRPr="00802E2B">
        <w:t>terogeneous catalytic processes. E</w:t>
      </w:r>
      <w:r w:rsidRPr="00802E2B">
        <w:t>nhanced global hea</w:t>
      </w:r>
      <w:r w:rsidR="00F45D98" w:rsidRPr="00802E2B">
        <w:t xml:space="preserve">t transfer rates in </w:t>
      </w:r>
      <w:r w:rsidRPr="00802E2B">
        <w:t>conductive foams can decrease axial and radial temperature gradients, minimizing hot (or cold) spots</w:t>
      </w:r>
      <w:r w:rsidR="00F45D98" w:rsidRPr="00802E2B">
        <w:t xml:space="preserve"> (Tronconi et. al. 2014)</w:t>
      </w:r>
      <w:r w:rsidRPr="00802E2B">
        <w:t>.</w:t>
      </w:r>
    </w:p>
    <w:p w14:paraId="59DDA103" w14:textId="5B79D152" w:rsidR="00FC2C65" w:rsidRPr="00802E2B" w:rsidRDefault="00BE07FA" w:rsidP="005D42DD">
      <w:pPr>
        <w:pStyle w:val="CETBodytext"/>
      </w:pPr>
      <w:r w:rsidRPr="00802E2B">
        <w:t xml:space="preserve">After the </w:t>
      </w:r>
      <w:r w:rsidR="005D42DD" w:rsidRPr="00802E2B">
        <w:t>24 hours of time-o</w:t>
      </w:r>
      <w:r w:rsidR="00517649" w:rsidRPr="00802E2B">
        <w:t>n</w:t>
      </w:r>
      <w:r w:rsidR="005D42DD" w:rsidRPr="00802E2B">
        <w:t xml:space="preserve">-stream, the spent catalysts were characterized via TPO measurements (described in Par.2) and it was possible to quantify the extent of deactivation for the two samples. It is very interesting </w:t>
      </w:r>
      <w:r w:rsidR="00E47ECE" w:rsidRPr="00802E2B">
        <w:t xml:space="preserve">to note </w:t>
      </w:r>
      <w:r w:rsidR="005D42DD" w:rsidRPr="00802E2B">
        <w:t>that the carbon formation rate recorded over the structured catalyst is very close to the</w:t>
      </w:r>
      <w:r w:rsidR="00F24D1F" w:rsidRPr="00802E2B">
        <w:t xml:space="preserve"> value found in the case of the </w:t>
      </w:r>
      <w:r w:rsidR="005D42DD" w:rsidRPr="00802E2B">
        <w:t>powder havi</w:t>
      </w:r>
      <w:r w:rsidR="009B0270" w:rsidRPr="00802E2B">
        <w:t>ng the same formulation (Table 2</w:t>
      </w:r>
      <w:r w:rsidR="005D42DD" w:rsidRPr="00802E2B">
        <w:t xml:space="preserve">). </w:t>
      </w:r>
      <w:r w:rsidR="00F24D1F" w:rsidRPr="00802E2B">
        <w:t>In fact, the</w:t>
      </w:r>
      <w:r w:rsidR="005D42DD" w:rsidRPr="00802E2B">
        <w:t xml:space="preserve"> foam catalyst specific structure </w:t>
      </w:r>
      <w:r w:rsidR="00F24D1F" w:rsidRPr="00802E2B">
        <w:t>as well as its</w:t>
      </w:r>
      <w:r w:rsidR="005D42DD" w:rsidRPr="00802E2B">
        <w:t xml:space="preserve"> high thermal conductivity </w:t>
      </w:r>
      <w:r w:rsidR="00F24D1F" w:rsidRPr="00802E2B">
        <w:t xml:space="preserve">assures to manage almost </w:t>
      </w:r>
      <w:r w:rsidR="005D42DD" w:rsidRPr="00802E2B">
        <w:t>the same amount of carbon without any apparent activity loss.</w:t>
      </w:r>
    </w:p>
    <w:p w14:paraId="68D26B83" w14:textId="77777777" w:rsidR="00600535" w:rsidRPr="00802E2B" w:rsidRDefault="00600535" w:rsidP="00600535">
      <w:pPr>
        <w:pStyle w:val="CETHeading1"/>
        <w:rPr>
          <w:lang w:val="en-GB"/>
        </w:rPr>
      </w:pPr>
      <w:r w:rsidRPr="00802E2B">
        <w:rPr>
          <w:lang w:val="en-GB"/>
        </w:rPr>
        <w:t>Conclusions</w:t>
      </w:r>
    </w:p>
    <w:p w14:paraId="52DAFDE0" w14:textId="4E84DC67" w:rsidR="001D0CFB" w:rsidRPr="00802E2B" w:rsidRDefault="007E76B3" w:rsidP="00600535">
      <w:pPr>
        <w:pStyle w:val="CETBodytext"/>
        <w:rPr>
          <w:lang w:val="en-GB"/>
        </w:rPr>
      </w:pPr>
      <w:r w:rsidRPr="00802E2B">
        <w:rPr>
          <w:lang w:val="en-GB"/>
        </w:rPr>
        <w:t xml:space="preserve">In this work, oxidative steam reforming of ethanol has been investigated in the presence </w:t>
      </w:r>
      <w:r w:rsidR="00504116" w:rsidRPr="00802E2B">
        <w:rPr>
          <w:lang w:val="en-GB"/>
        </w:rPr>
        <w:t>of a Pt-Ni catalyst supported on CeO</w:t>
      </w:r>
      <w:r w:rsidR="00504116" w:rsidRPr="00802E2B">
        <w:rPr>
          <w:vertAlign w:val="subscript"/>
          <w:lang w:val="en-GB"/>
        </w:rPr>
        <w:t>2</w:t>
      </w:r>
      <w:r w:rsidR="00504116" w:rsidRPr="00802E2B">
        <w:rPr>
          <w:lang w:val="en-GB"/>
        </w:rPr>
        <w:t>-Al</w:t>
      </w:r>
      <w:r w:rsidR="00504116" w:rsidRPr="00802E2B">
        <w:rPr>
          <w:vertAlign w:val="subscript"/>
          <w:lang w:val="en-GB"/>
        </w:rPr>
        <w:t>2</w:t>
      </w:r>
      <w:r w:rsidR="00504116" w:rsidRPr="00802E2B">
        <w:rPr>
          <w:lang w:val="en-GB"/>
        </w:rPr>
        <w:t>O</w:t>
      </w:r>
      <w:r w:rsidR="00504116" w:rsidRPr="00802E2B">
        <w:rPr>
          <w:vertAlign w:val="subscript"/>
          <w:lang w:val="en-GB"/>
        </w:rPr>
        <w:t>3</w:t>
      </w:r>
      <w:r w:rsidR="00504116" w:rsidRPr="00802E2B">
        <w:rPr>
          <w:lang w:val="en-GB"/>
        </w:rPr>
        <w:t xml:space="preserve">. In particular, the latter formulation was </w:t>
      </w:r>
      <w:r w:rsidR="008D45CB" w:rsidRPr="00802E2B">
        <w:rPr>
          <w:lang w:val="en-GB"/>
        </w:rPr>
        <w:t xml:space="preserve">optimized </w:t>
      </w:r>
      <w:r w:rsidR="00504116" w:rsidRPr="00802E2B">
        <w:rPr>
          <w:lang w:val="en-GB"/>
        </w:rPr>
        <w:t>by testing samples prepared with a Pt loading in the interval 2-5 wt% and CeO</w:t>
      </w:r>
      <w:r w:rsidR="00504116" w:rsidRPr="00802E2B">
        <w:rPr>
          <w:vertAlign w:val="subscript"/>
          <w:lang w:val="en-GB"/>
        </w:rPr>
        <w:t>2</w:t>
      </w:r>
      <w:r w:rsidR="00504116" w:rsidRPr="00802E2B">
        <w:rPr>
          <w:lang w:val="en-GB"/>
        </w:rPr>
        <w:t>/Al</w:t>
      </w:r>
      <w:r w:rsidR="00504116" w:rsidRPr="00802E2B">
        <w:rPr>
          <w:vertAlign w:val="subscript"/>
          <w:lang w:val="en-GB"/>
        </w:rPr>
        <w:t>2</w:t>
      </w:r>
      <w:r w:rsidR="00504116" w:rsidRPr="00802E2B">
        <w:rPr>
          <w:lang w:val="en-GB"/>
        </w:rPr>
        <w:t>O</w:t>
      </w:r>
      <w:r w:rsidR="00504116" w:rsidRPr="00802E2B">
        <w:rPr>
          <w:vertAlign w:val="subscript"/>
          <w:lang w:val="en-GB"/>
        </w:rPr>
        <w:t>3</w:t>
      </w:r>
      <w:r w:rsidR="00504116" w:rsidRPr="00802E2B">
        <w:rPr>
          <w:lang w:val="en-GB"/>
        </w:rPr>
        <w:t xml:space="preserve"> ratio ranging </w:t>
      </w:r>
      <w:r w:rsidR="00732A46" w:rsidRPr="00802E2B">
        <w:rPr>
          <w:lang w:val="en-GB"/>
        </w:rPr>
        <w:t>from</w:t>
      </w:r>
      <w:r w:rsidR="00504116" w:rsidRPr="00802E2B">
        <w:rPr>
          <w:lang w:val="en-GB"/>
        </w:rPr>
        <w:t xml:space="preserve"> 25 to 45 wt%. The endurance performance of the catalysts was studied at 500°C under an H</w:t>
      </w:r>
      <w:r w:rsidR="00504116" w:rsidRPr="00802E2B">
        <w:rPr>
          <w:vertAlign w:val="subscript"/>
          <w:lang w:val="en-GB"/>
        </w:rPr>
        <w:t>2</w:t>
      </w:r>
      <w:r w:rsidR="00504116" w:rsidRPr="00802E2B">
        <w:rPr>
          <w:lang w:val="en-GB"/>
        </w:rPr>
        <w:t>O/C</w:t>
      </w:r>
      <w:r w:rsidR="00504116" w:rsidRPr="00802E2B">
        <w:rPr>
          <w:vertAlign w:val="subscript"/>
          <w:lang w:val="en-GB"/>
        </w:rPr>
        <w:t>2</w:t>
      </w:r>
      <w:r w:rsidR="00504116" w:rsidRPr="00802E2B">
        <w:rPr>
          <w:lang w:val="en-GB"/>
        </w:rPr>
        <w:t>H</w:t>
      </w:r>
      <w:r w:rsidR="00504116" w:rsidRPr="00802E2B">
        <w:rPr>
          <w:vertAlign w:val="subscript"/>
          <w:lang w:val="en-GB"/>
        </w:rPr>
        <w:t>5</w:t>
      </w:r>
      <w:r w:rsidR="00504116" w:rsidRPr="00802E2B">
        <w:rPr>
          <w:lang w:val="en-GB"/>
        </w:rPr>
        <w:t>OH ratio of 4 and O</w:t>
      </w:r>
      <w:r w:rsidR="00504116" w:rsidRPr="00802E2B">
        <w:rPr>
          <w:vertAlign w:val="subscript"/>
          <w:lang w:val="en-GB"/>
        </w:rPr>
        <w:t>2</w:t>
      </w:r>
      <w:r w:rsidR="00504116" w:rsidRPr="00802E2B">
        <w:rPr>
          <w:lang w:val="en-GB"/>
        </w:rPr>
        <w:t>/C</w:t>
      </w:r>
      <w:r w:rsidR="00504116" w:rsidRPr="00802E2B">
        <w:rPr>
          <w:vertAlign w:val="subscript"/>
          <w:lang w:val="en-GB"/>
        </w:rPr>
        <w:t>2</w:t>
      </w:r>
      <w:r w:rsidR="00504116" w:rsidRPr="00802E2B">
        <w:rPr>
          <w:lang w:val="en-GB"/>
        </w:rPr>
        <w:t>H</w:t>
      </w:r>
      <w:r w:rsidR="00504116" w:rsidRPr="00802E2B">
        <w:rPr>
          <w:vertAlign w:val="subscript"/>
          <w:lang w:val="en-GB"/>
        </w:rPr>
        <w:t>5</w:t>
      </w:r>
      <w:r w:rsidR="00504116" w:rsidRPr="00802E2B">
        <w:rPr>
          <w:lang w:val="en-GB"/>
        </w:rPr>
        <w:t>OH ratio of 0.5; reaction temperature was fixed to 500°C while the WHSV was equal to 12 h</w:t>
      </w:r>
      <w:r w:rsidR="00504116" w:rsidRPr="00802E2B">
        <w:rPr>
          <w:vertAlign w:val="superscript"/>
          <w:lang w:val="en-GB"/>
        </w:rPr>
        <w:t>-1</w:t>
      </w:r>
      <w:r w:rsidR="00504116" w:rsidRPr="00802E2B">
        <w:rPr>
          <w:lang w:val="en-GB"/>
        </w:rPr>
        <w:t xml:space="preserve">. The best results in terms of catalysts durability </w:t>
      </w:r>
      <w:r w:rsidR="004F44E9" w:rsidRPr="00802E2B">
        <w:rPr>
          <w:lang w:val="en-GB"/>
        </w:rPr>
        <w:t xml:space="preserve">were </w:t>
      </w:r>
      <w:r w:rsidR="00504116" w:rsidRPr="00802E2B">
        <w:rPr>
          <w:lang w:val="en-GB"/>
        </w:rPr>
        <w:t xml:space="preserve">achieved by choosing </w:t>
      </w:r>
      <w:r w:rsidR="00F45AF3" w:rsidRPr="00802E2B">
        <w:rPr>
          <w:lang w:val="en-GB"/>
        </w:rPr>
        <w:t>3 wt% for Pt and 35 wt% for ceria</w:t>
      </w:r>
      <w:r w:rsidR="004F44E9" w:rsidRPr="00802E2B">
        <w:rPr>
          <w:lang w:val="en-GB"/>
        </w:rPr>
        <w:t xml:space="preserve">, </w:t>
      </w:r>
      <w:r w:rsidR="00F45AF3" w:rsidRPr="00802E2B">
        <w:rPr>
          <w:lang w:val="en-GB"/>
        </w:rPr>
        <w:t xml:space="preserve">such formulation assures the best ceria dispersion and the lowest </w:t>
      </w:r>
      <w:r w:rsidR="00383DD1" w:rsidRPr="00802E2B">
        <w:rPr>
          <w:lang w:val="en-GB"/>
        </w:rPr>
        <w:t xml:space="preserve">carbon deposition rate. The performance of the </w:t>
      </w:r>
      <w:r w:rsidR="0091377C" w:rsidRPr="00802E2B">
        <w:rPr>
          <w:lang w:val="en-GB"/>
        </w:rPr>
        <w:t xml:space="preserve">most promising powder catalyst was compared with the </w:t>
      </w:r>
      <w:r w:rsidR="0072560E" w:rsidRPr="00802E2B">
        <w:rPr>
          <w:lang w:val="en-GB"/>
        </w:rPr>
        <w:t>OESR activity</w:t>
      </w:r>
      <w:r w:rsidR="0091377C" w:rsidRPr="00802E2B">
        <w:rPr>
          <w:lang w:val="en-GB"/>
        </w:rPr>
        <w:t xml:space="preserve"> of a foam catalyst prepared starting from the same formulation. </w:t>
      </w:r>
      <w:r w:rsidR="00732A46" w:rsidRPr="00802E2B">
        <w:rPr>
          <w:lang w:val="en-GB"/>
        </w:rPr>
        <w:t xml:space="preserve">A clear improvement in terms of selectivity and stability was recorded: ethanol conversion and hydrogen yield profile </w:t>
      </w:r>
      <w:r w:rsidR="00732A46" w:rsidRPr="00802E2B">
        <w:rPr>
          <w:lang w:val="en-GB"/>
        </w:rPr>
        <w:lastRenderedPageBreak/>
        <w:t>were very stable with time-on-stream in the presence of the structured catalyst and the by-products formation was negligible both at the beginning and at the end of the test (after 24 hours). These results are ascribable to the good thermal properties (high thermal conductivity) and to the enhanced mass transfer coefficient assured by the foam catalyst.</w:t>
      </w:r>
    </w:p>
    <w:p w14:paraId="459D05E6" w14:textId="436A70B6" w:rsidR="00600535" w:rsidRPr="00802E2B" w:rsidRDefault="00600535" w:rsidP="00600535">
      <w:pPr>
        <w:pStyle w:val="CETAcknowledgementstitle"/>
      </w:pPr>
      <w:r w:rsidRPr="00802E2B">
        <w:t>Acknowledgments</w:t>
      </w:r>
    </w:p>
    <w:p w14:paraId="0AAD8241" w14:textId="77777777" w:rsidR="00FC2C65" w:rsidRPr="00802E2B" w:rsidRDefault="00FC2C65" w:rsidP="00600535">
      <w:pPr>
        <w:pStyle w:val="CETReference"/>
        <w:rPr>
          <w:b w:val="0"/>
        </w:rPr>
      </w:pPr>
      <w:r w:rsidRPr="00802E2B">
        <w:rPr>
          <w:b w:val="0"/>
        </w:rPr>
        <w:t>The authors wish to thankfully acknowledge Dr. Roberto Clerici (Sasol Performance Chemicals) for providing the alumina used in this work.</w:t>
      </w:r>
    </w:p>
    <w:p w14:paraId="4F1327F8" w14:textId="77F4F024" w:rsidR="00600535" w:rsidRPr="00802E2B" w:rsidRDefault="00600535" w:rsidP="00600535">
      <w:pPr>
        <w:pStyle w:val="CETReference"/>
      </w:pPr>
      <w:r w:rsidRPr="00802E2B">
        <w:t>References</w:t>
      </w:r>
    </w:p>
    <w:p w14:paraId="4EC83858" w14:textId="6B9F172B" w:rsidR="00517649" w:rsidRPr="00802E2B" w:rsidRDefault="00517649" w:rsidP="00892B7C">
      <w:pPr>
        <w:pStyle w:val="CETBodytext"/>
        <w:rPr>
          <w:lang w:val="en-GB"/>
        </w:rPr>
      </w:pPr>
      <w:r w:rsidRPr="00802E2B">
        <w:rPr>
          <w:lang w:val="en-GB"/>
        </w:rPr>
        <w:t>Anil S., Indraja S., Singh R., Appari S., Roy B., 2022, A review on ethanol steam reforming for hydrogen production over Ni/Al2O3 and Ni/CeO2 based catalyst powders, International Journal of Hydrogen Energy, 47, 8177, 8213.</w:t>
      </w:r>
    </w:p>
    <w:p w14:paraId="0B7B0810" w14:textId="6008DB0C" w:rsidR="00892B7C" w:rsidRPr="00802E2B" w:rsidRDefault="00892B7C" w:rsidP="00892B7C">
      <w:pPr>
        <w:pStyle w:val="CETBodytext"/>
        <w:rPr>
          <w:lang w:val="en-GB"/>
        </w:rPr>
      </w:pPr>
      <w:r w:rsidRPr="00802E2B">
        <w:rPr>
          <w:lang w:val="en-GB"/>
        </w:rPr>
        <w:t>Bilal M.; Jackson S.D., Ethanol steam reforming over Pt/Al</w:t>
      </w:r>
      <w:r w:rsidRPr="00802E2B">
        <w:rPr>
          <w:vertAlign w:val="subscript"/>
          <w:lang w:val="en-GB"/>
        </w:rPr>
        <w:t>2</w:t>
      </w:r>
      <w:r w:rsidRPr="00802E2B">
        <w:rPr>
          <w:lang w:val="en-GB"/>
        </w:rPr>
        <w:t>O</w:t>
      </w:r>
      <w:r w:rsidRPr="00802E2B">
        <w:rPr>
          <w:vertAlign w:val="subscript"/>
          <w:lang w:val="en-GB"/>
        </w:rPr>
        <w:t>3</w:t>
      </w:r>
      <w:r w:rsidRPr="00802E2B">
        <w:rPr>
          <w:lang w:val="en-GB"/>
        </w:rPr>
        <w:t xml:space="preserve"> and Rh/Al</w:t>
      </w:r>
      <w:r w:rsidRPr="00802E2B">
        <w:rPr>
          <w:vertAlign w:val="subscript"/>
          <w:lang w:val="en-GB"/>
        </w:rPr>
        <w:t>2</w:t>
      </w:r>
      <w:r w:rsidRPr="00802E2B">
        <w:rPr>
          <w:lang w:val="en-GB"/>
        </w:rPr>
        <w:t>O</w:t>
      </w:r>
      <w:r w:rsidRPr="00802E2B">
        <w:rPr>
          <w:vertAlign w:val="subscript"/>
          <w:lang w:val="en-GB"/>
        </w:rPr>
        <w:t>3</w:t>
      </w:r>
      <w:r w:rsidRPr="00802E2B">
        <w:rPr>
          <w:lang w:val="en-GB"/>
        </w:rPr>
        <w:t xml:space="preserve"> catalysts: The effect of impurities on selectivity and catalyst deactivation, 2017, Applied Catalysis A: General, 529, 98-107.</w:t>
      </w:r>
    </w:p>
    <w:p w14:paraId="09F0F66D" w14:textId="77777777" w:rsidR="00892B7C" w:rsidRPr="00802E2B" w:rsidRDefault="00892B7C" w:rsidP="00892B7C">
      <w:pPr>
        <w:pStyle w:val="CETBodytext"/>
        <w:rPr>
          <w:lang w:val="en-GB"/>
        </w:rPr>
      </w:pPr>
      <w:r w:rsidRPr="00802E2B">
        <w:rPr>
          <w:lang w:val="en-GB"/>
        </w:rPr>
        <w:t>Cerdá-Moreno C.; Da Costa-Serra J.F.; Chica A. Co and La supported on Zn-Hydrotalcite-derived material as efficient catalyst for ethanol steam reforming, 2019, International Journal of Hydrogen Energy 44, 12685-12692.</w:t>
      </w:r>
    </w:p>
    <w:p w14:paraId="7C2A784E" w14:textId="77777777" w:rsidR="00892B7C" w:rsidRPr="00802E2B" w:rsidRDefault="00892B7C" w:rsidP="00892B7C">
      <w:pPr>
        <w:pStyle w:val="CETBodytext"/>
        <w:rPr>
          <w:lang w:val="en-GB"/>
        </w:rPr>
      </w:pPr>
      <w:r w:rsidRPr="00802E2B">
        <w:rPr>
          <w:lang w:val="en-GB"/>
        </w:rPr>
        <w:t>Fang B., Qi Z., Liu F., Zhang C., Li C., Ni J., Lin J., Lin B., Jiang L., 2022, Activity enhancement of ceria-supported Co-Mo bimetallic catalysts by tuning reducibility and metal enrichment, Journal of Catalysis 406, 231-240.</w:t>
      </w:r>
    </w:p>
    <w:p w14:paraId="045637D5" w14:textId="77777777" w:rsidR="00892B7C" w:rsidRPr="00802E2B" w:rsidRDefault="00892B7C" w:rsidP="00892B7C">
      <w:pPr>
        <w:pStyle w:val="CETBodytext"/>
        <w:rPr>
          <w:lang w:val="en-GB"/>
        </w:rPr>
      </w:pPr>
      <w:r w:rsidRPr="00802E2B">
        <w:rPr>
          <w:lang w:val="en-GB"/>
        </w:rPr>
        <w:t>Guo W., Li G., Zheng Y., Li K., Guo L., 2022, Influence of La</w:t>
      </w:r>
      <w:r w:rsidRPr="00802E2B">
        <w:rPr>
          <w:vertAlign w:val="subscript"/>
          <w:lang w:val="en-GB"/>
        </w:rPr>
        <w:t>2</w:t>
      </w:r>
      <w:r w:rsidRPr="00802E2B">
        <w:rPr>
          <w:lang w:val="en-GB"/>
        </w:rPr>
        <w:t>O</w:t>
      </w:r>
      <w:r w:rsidRPr="00802E2B">
        <w:rPr>
          <w:vertAlign w:val="subscript"/>
          <w:lang w:val="en-GB"/>
        </w:rPr>
        <w:t>3</w:t>
      </w:r>
      <w:r w:rsidRPr="00802E2B">
        <w:rPr>
          <w:lang w:val="en-GB"/>
        </w:rPr>
        <w:t xml:space="preserve"> addition on activity and coke formation over Ni/SiO2 for acetic acid steam reforming, International Journal of Hydrogen Energy, 47, 3633-3643.</w:t>
      </w:r>
    </w:p>
    <w:p w14:paraId="7AA8A4A4" w14:textId="6FE0263A" w:rsidR="00892B7C" w:rsidRPr="00802E2B" w:rsidRDefault="00892B7C" w:rsidP="00892B7C">
      <w:pPr>
        <w:pStyle w:val="CETBodytext"/>
        <w:rPr>
          <w:lang w:val="en-GB"/>
        </w:rPr>
      </w:pPr>
      <w:r w:rsidRPr="00802E2B">
        <w:rPr>
          <w:lang w:val="en-GB"/>
        </w:rPr>
        <w:t>Kumar D., Juneja A.,Hohenschuh W., Williams J.D., Murthy G.S., 2012, Chemical composition and bioethanol potential of different plant species found in Pacific Nort</w:t>
      </w:r>
      <w:r w:rsidR="002557C0" w:rsidRPr="00802E2B">
        <w:rPr>
          <w:lang w:val="en-GB"/>
        </w:rPr>
        <w:t xml:space="preserve">hwest conservation buffers, 4, </w:t>
      </w:r>
      <w:r w:rsidRPr="00802E2B">
        <w:rPr>
          <w:lang w:val="en-GB"/>
        </w:rPr>
        <w:t>63114</w:t>
      </w:r>
      <w:r w:rsidR="002557C0" w:rsidRPr="00802E2B">
        <w:rPr>
          <w:lang w:val="en-GB"/>
        </w:rPr>
        <w:t>-63124</w:t>
      </w:r>
      <w:r w:rsidRPr="00802E2B">
        <w:rPr>
          <w:lang w:val="en-GB"/>
        </w:rPr>
        <w:t>.</w:t>
      </w:r>
    </w:p>
    <w:p w14:paraId="32C1259C" w14:textId="77777777" w:rsidR="00892B7C" w:rsidRPr="00802E2B" w:rsidRDefault="00892B7C" w:rsidP="00892B7C">
      <w:pPr>
        <w:pStyle w:val="CETBodytext"/>
        <w:rPr>
          <w:lang w:val="en-GB"/>
        </w:rPr>
      </w:pPr>
      <w:r w:rsidRPr="00802E2B">
        <w:rPr>
          <w:lang w:val="en-GB"/>
        </w:rPr>
        <w:t>Lazar D.M., Senila L., Dan M., Mihet M., 2019, Crude Bioethanol Reforming Process: The Advantage of a Biosource Exploitation, Ethanol Science and Engineering, 10, 257-288.</w:t>
      </w:r>
    </w:p>
    <w:p w14:paraId="36CC993B" w14:textId="77777777" w:rsidR="00892B7C" w:rsidRPr="00802E2B" w:rsidRDefault="00892B7C" w:rsidP="00892B7C">
      <w:pPr>
        <w:pStyle w:val="CETBodytext"/>
        <w:rPr>
          <w:lang w:val="en-GB"/>
        </w:rPr>
      </w:pPr>
      <w:r w:rsidRPr="00802E2B">
        <w:rPr>
          <w:lang w:val="en-GB"/>
        </w:rPr>
        <w:t>Mulewa W., Tahir M., Saidina Amin A.S., 2017, Ethanol Steam Reforming for Renewable Hydrogen Production over La-Modified TiO2 Catalyst, Chemical Engineering Transaction, 56, 349-354.</w:t>
      </w:r>
    </w:p>
    <w:p w14:paraId="61C70068" w14:textId="77777777" w:rsidR="00892B7C" w:rsidRPr="00802E2B" w:rsidRDefault="00892B7C" w:rsidP="00892B7C">
      <w:pPr>
        <w:pStyle w:val="CETBodytext"/>
        <w:rPr>
          <w:lang w:val="en-GB"/>
        </w:rPr>
      </w:pPr>
      <w:r w:rsidRPr="00802E2B">
        <w:rPr>
          <w:lang w:val="en-GB"/>
        </w:rPr>
        <w:t>Palma V., Ruocco C., Meloni E., Ricca A., Coke-resistant Pt-Ni/CeO</w:t>
      </w:r>
      <w:r w:rsidRPr="00802E2B">
        <w:rPr>
          <w:vertAlign w:val="subscript"/>
          <w:lang w:val="en-GB"/>
        </w:rPr>
        <w:t>2</w:t>
      </w:r>
      <w:r w:rsidRPr="00802E2B">
        <w:rPr>
          <w:lang w:val="en-GB"/>
        </w:rPr>
        <w:t>-SiO</w:t>
      </w:r>
      <w:r w:rsidRPr="00802E2B">
        <w:rPr>
          <w:vertAlign w:val="subscript"/>
          <w:lang w:val="en-GB"/>
        </w:rPr>
        <w:t>2</w:t>
      </w:r>
      <w:r w:rsidRPr="00802E2B">
        <w:rPr>
          <w:lang w:val="en-GB"/>
        </w:rPr>
        <w:t xml:space="preserve"> Catalysts for Ethanol Reforming, 2017, Chemical Engineering Transactions, 57 1675-1680.</w:t>
      </w:r>
    </w:p>
    <w:p w14:paraId="2A677BAF" w14:textId="77777777" w:rsidR="00892B7C" w:rsidRPr="00802E2B" w:rsidRDefault="00892B7C" w:rsidP="00892B7C">
      <w:pPr>
        <w:pStyle w:val="CETBodytext"/>
        <w:rPr>
          <w:lang w:val="en-GB"/>
        </w:rPr>
      </w:pPr>
      <w:r w:rsidRPr="00802E2B">
        <w:rPr>
          <w:lang w:val="en-GB"/>
        </w:rPr>
        <w:t>Peres A.P.G., Lunelli B:H. ,FIlho R.M., 2013, Application of Biomass to Hydrogen and Syngas Production, Chemical Engineering Transactions, 32, 589-594.</w:t>
      </w:r>
    </w:p>
    <w:p w14:paraId="5F00C39C" w14:textId="77777777" w:rsidR="00892B7C" w:rsidRPr="00802E2B" w:rsidRDefault="00892B7C" w:rsidP="00892B7C">
      <w:pPr>
        <w:pStyle w:val="CETBodytext"/>
        <w:rPr>
          <w:lang w:val="en-GB"/>
        </w:rPr>
      </w:pPr>
      <w:r w:rsidRPr="00802E2B">
        <w:rPr>
          <w:lang w:val="en-GB"/>
        </w:rPr>
        <w:t>Ruocco C., Palma V., Cortese M., Martino M., 2022, Stability of bimetallic Ni/CeO</w:t>
      </w:r>
      <w:r w:rsidRPr="00802E2B">
        <w:rPr>
          <w:vertAlign w:val="subscript"/>
          <w:lang w:val="en-GB"/>
        </w:rPr>
        <w:t>2</w:t>
      </w:r>
      <w:r w:rsidRPr="00802E2B">
        <w:rPr>
          <w:lang w:val="en-GB"/>
        </w:rPr>
        <w:t>-SiO</w:t>
      </w:r>
      <w:r w:rsidRPr="00802E2B">
        <w:rPr>
          <w:vertAlign w:val="subscript"/>
          <w:lang w:val="en-GB"/>
        </w:rPr>
        <w:t>2</w:t>
      </w:r>
      <w:r w:rsidRPr="00802E2B">
        <w:rPr>
          <w:lang w:val="en-GB"/>
        </w:rPr>
        <w:t xml:space="preserve"> catalysts during fuel grade bioethanol reforming in a fluidized bed reactor, Renewable Energy, 182, 913-922.</w:t>
      </w:r>
    </w:p>
    <w:p w14:paraId="3B5D2C1C" w14:textId="77777777" w:rsidR="00892B7C" w:rsidRPr="00802E2B" w:rsidRDefault="00892B7C" w:rsidP="00892B7C">
      <w:pPr>
        <w:pStyle w:val="CETBodytext"/>
        <w:rPr>
          <w:lang w:val="en-GB"/>
        </w:rPr>
      </w:pPr>
      <w:r w:rsidRPr="00802E2B">
        <w:rPr>
          <w:lang w:val="en-GB"/>
        </w:rPr>
        <w:t>Ruocco C., Palma V., Ricca A., 2019, Hydrogen production by oxidative reforming of ethanol in a fluidized bed reactor using a Pt-Ni/CeO</w:t>
      </w:r>
      <w:r w:rsidRPr="00802E2B">
        <w:rPr>
          <w:vertAlign w:val="subscript"/>
          <w:lang w:val="en-GB"/>
        </w:rPr>
        <w:t>2</w:t>
      </w:r>
      <w:r w:rsidRPr="00802E2B">
        <w:rPr>
          <w:lang w:val="en-GB"/>
        </w:rPr>
        <w:t>-SiO</w:t>
      </w:r>
      <w:r w:rsidRPr="00802E2B">
        <w:rPr>
          <w:vertAlign w:val="subscript"/>
          <w:lang w:val="en-GB"/>
        </w:rPr>
        <w:t>2</w:t>
      </w:r>
      <w:r w:rsidRPr="00802E2B">
        <w:rPr>
          <w:lang w:val="en-GB"/>
        </w:rPr>
        <w:t xml:space="preserve"> catalyst, International Journal of Hydrogen Energy, 44, 12661-12670.</w:t>
      </w:r>
    </w:p>
    <w:p w14:paraId="0072125B" w14:textId="77777777" w:rsidR="00892B7C" w:rsidRPr="00802E2B" w:rsidRDefault="00892B7C" w:rsidP="00892B7C">
      <w:pPr>
        <w:pStyle w:val="CETBodytext"/>
        <w:rPr>
          <w:lang w:val="en-GB"/>
        </w:rPr>
      </w:pPr>
      <w:r w:rsidRPr="00802E2B">
        <w:rPr>
          <w:lang w:val="en-GB"/>
        </w:rPr>
        <w:t>Souza E.L., Liebl G.F., Marangoni C., Sellin N., Montagnoli M.S., Souza O., 2014, Bioethanol from Fresh and Dried Banana Plant Pseudostem, Chemical Engineering Transactions, 38, 271-276.</w:t>
      </w:r>
    </w:p>
    <w:p w14:paraId="3336DAEA" w14:textId="20ED26D3" w:rsidR="00892B7C" w:rsidRPr="00802E2B" w:rsidRDefault="00892B7C" w:rsidP="00892B7C">
      <w:pPr>
        <w:pStyle w:val="CETBodytext"/>
        <w:rPr>
          <w:lang w:val="en-GB"/>
        </w:rPr>
      </w:pPr>
      <w:r w:rsidRPr="00802E2B">
        <w:rPr>
          <w:lang w:val="en-GB"/>
        </w:rPr>
        <w:t>Tronconi E., Groppi G., Visconti C.G., Structured catalysts for non-adiabatic applications, 2014, Current Opinion in</w:t>
      </w:r>
      <w:r w:rsidR="002557C0" w:rsidRPr="00802E2B">
        <w:rPr>
          <w:lang w:val="en-GB"/>
        </w:rPr>
        <w:t xml:space="preserve"> Chemical Engineering, 5, 55-67.</w:t>
      </w:r>
    </w:p>
    <w:p w14:paraId="6605935D" w14:textId="29AED7B4" w:rsidR="00892B7C" w:rsidRPr="00802E2B" w:rsidRDefault="00892B7C" w:rsidP="00892B7C">
      <w:pPr>
        <w:pStyle w:val="CETBodytext"/>
        <w:rPr>
          <w:lang w:val="en-GB"/>
        </w:rPr>
      </w:pPr>
      <w:r w:rsidRPr="00802E2B">
        <w:rPr>
          <w:lang w:val="en-GB"/>
        </w:rPr>
        <w:t>Xu T., Wang X., Xiao B., Liu W., 2021, Single-step production of hydrogen-rich syngas from toluene using multifunctional Ni-dolomite catalysts, Chemical Engineering Journal, 425, 131522</w:t>
      </w:r>
      <w:r w:rsidR="008D45CB" w:rsidRPr="00802E2B">
        <w:rPr>
          <w:lang w:val="en-GB"/>
        </w:rPr>
        <w:t>-131532</w:t>
      </w:r>
      <w:r w:rsidRPr="00802E2B">
        <w:rPr>
          <w:lang w:val="en-GB"/>
        </w:rPr>
        <w:t>.</w:t>
      </w:r>
    </w:p>
    <w:sectPr w:rsidR="00892B7C" w:rsidRPr="00802E2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F620" w14:textId="77777777" w:rsidR="007A64F2" w:rsidRDefault="007A64F2" w:rsidP="004F5E36">
      <w:r>
        <w:separator/>
      </w:r>
    </w:p>
  </w:endnote>
  <w:endnote w:type="continuationSeparator" w:id="0">
    <w:p w14:paraId="11D52FF0" w14:textId="77777777" w:rsidR="007A64F2" w:rsidRDefault="007A64F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706D" w14:textId="77777777" w:rsidR="007A64F2" w:rsidRDefault="007A64F2" w:rsidP="004F5E36">
      <w:r>
        <w:separator/>
      </w:r>
    </w:p>
  </w:footnote>
  <w:footnote w:type="continuationSeparator" w:id="0">
    <w:p w14:paraId="34E513B8" w14:textId="77777777" w:rsidR="007A64F2" w:rsidRDefault="007A64F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6FA1C27"/>
    <w:multiLevelType w:val="hybridMultilevel"/>
    <w:tmpl w:val="DF7C594E"/>
    <w:lvl w:ilvl="0" w:tplc="C8B0A50A">
      <w:start w:val="1"/>
      <w:numFmt w:val="decimal"/>
      <w:lvlText w:val="%1"/>
      <w:lvlJc w:val="left"/>
      <w:pPr>
        <w:ind w:left="720" w:hanging="360"/>
      </w:pPr>
      <w:rPr>
        <w:rFonts w:ascii="Times New Roman" w:hAnsi="Times New Roman" w:cs="Times New Roman" w:hint="default"/>
        <w:b/>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1385208">
    <w:abstractNumId w:val="10"/>
  </w:num>
  <w:num w:numId="2" w16cid:durableId="740954697">
    <w:abstractNumId w:val="8"/>
  </w:num>
  <w:num w:numId="3" w16cid:durableId="1924294753">
    <w:abstractNumId w:val="3"/>
  </w:num>
  <w:num w:numId="4" w16cid:durableId="2009752512">
    <w:abstractNumId w:val="2"/>
  </w:num>
  <w:num w:numId="5" w16cid:durableId="963853627">
    <w:abstractNumId w:val="1"/>
  </w:num>
  <w:num w:numId="6" w16cid:durableId="1596943195">
    <w:abstractNumId w:val="0"/>
  </w:num>
  <w:num w:numId="7" w16cid:durableId="452284302">
    <w:abstractNumId w:val="9"/>
  </w:num>
  <w:num w:numId="8" w16cid:durableId="392317775">
    <w:abstractNumId w:val="7"/>
  </w:num>
  <w:num w:numId="9" w16cid:durableId="1601059212">
    <w:abstractNumId w:val="6"/>
  </w:num>
  <w:num w:numId="10" w16cid:durableId="1093625210">
    <w:abstractNumId w:val="5"/>
  </w:num>
  <w:num w:numId="11" w16cid:durableId="1160315631">
    <w:abstractNumId w:val="4"/>
  </w:num>
  <w:num w:numId="12" w16cid:durableId="794063253">
    <w:abstractNumId w:val="18"/>
  </w:num>
  <w:num w:numId="13" w16cid:durableId="1441218914">
    <w:abstractNumId w:val="12"/>
  </w:num>
  <w:num w:numId="14" w16cid:durableId="1756365885">
    <w:abstractNumId w:val="19"/>
  </w:num>
  <w:num w:numId="15" w16cid:durableId="594247200">
    <w:abstractNumId w:val="21"/>
  </w:num>
  <w:num w:numId="16" w16cid:durableId="1092748949">
    <w:abstractNumId w:val="20"/>
  </w:num>
  <w:num w:numId="17" w16cid:durableId="1210150353">
    <w:abstractNumId w:val="11"/>
  </w:num>
  <w:num w:numId="18" w16cid:durableId="884875334">
    <w:abstractNumId w:val="12"/>
    <w:lvlOverride w:ilvl="0">
      <w:startOverride w:val="1"/>
    </w:lvlOverride>
  </w:num>
  <w:num w:numId="19" w16cid:durableId="349526167">
    <w:abstractNumId w:val="17"/>
  </w:num>
  <w:num w:numId="20" w16cid:durableId="345057008">
    <w:abstractNumId w:val="16"/>
  </w:num>
  <w:num w:numId="21" w16cid:durableId="784882585">
    <w:abstractNumId w:val="14"/>
  </w:num>
  <w:num w:numId="22" w16cid:durableId="493296725">
    <w:abstractNumId w:val="13"/>
  </w:num>
  <w:num w:numId="23" w16cid:durableId="10639134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823"/>
    <w:rsid w:val="0003148D"/>
    <w:rsid w:val="00031EEC"/>
    <w:rsid w:val="000402CF"/>
    <w:rsid w:val="00044FE9"/>
    <w:rsid w:val="00051566"/>
    <w:rsid w:val="00057FF7"/>
    <w:rsid w:val="00062A9A"/>
    <w:rsid w:val="00065058"/>
    <w:rsid w:val="00086C39"/>
    <w:rsid w:val="00093C69"/>
    <w:rsid w:val="000A03B2"/>
    <w:rsid w:val="000C41C9"/>
    <w:rsid w:val="000D0268"/>
    <w:rsid w:val="000D34BE"/>
    <w:rsid w:val="000E102F"/>
    <w:rsid w:val="000E1DAC"/>
    <w:rsid w:val="000E36F1"/>
    <w:rsid w:val="000E3A73"/>
    <w:rsid w:val="000E414A"/>
    <w:rsid w:val="000F093C"/>
    <w:rsid w:val="000F787B"/>
    <w:rsid w:val="0010220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75131"/>
    <w:rsid w:val="00177ED2"/>
    <w:rsid w:val="00184AD6"/>
    <w:rsid w:val="001A3DFA"/>
    <w:rsid w:val="001A4AF7"/>
    <w:rsid w:val="001A73DD"/>
    <w:rsid w:val="001B0349"/>
    <w:rsid w:val="001B1E93"/>
    <w:rsid w:val="001B1F63"/>
    <w:rsid w:val="001B65C1"/>
    <w:rsid w:val="001C684B"/>
    <w:rsid w:val="001D0CFB"/>
    <w:rsid w:val="001D15C8"/>
    <w:rsid w:val="001D21AF"/>
    <w:rsid w:val="001D53FC"/>
    <w:rsid w:val="001E518E"/>
    <w:rsid w:val="001F42A5"/>
    <w:rsid w:val="001F7B9D"/>
    <w:rsid w:val="0020101F"/>
    <w:rsid w:val="00201C93"/>
    <w:rsid w:val="002157D5"/>
    <w:rsid w:val="002224B4"/>
    <w:rsid w:val="00233C69"/>
    <w:rsid w:val="002447EF"/>
    <w:rsid w:val="00251550"/>
    <w:rsid w:val="002557C0"/>
    <w:rsid w:val="00257038"/>
    <w:rsid w:val="00263B05"/>
    <w:rsid w:val="0027221A"/>
    <w:rsid w:val="00275B61"/>
    <w:rsid w:val="00276006"/>
    <w:rsid w:val="00280FAF"/>
    <w:rsid w:val="00282656"/>
    <w:rsid w:val="00296B83"/>
    <w:rsid w:val="002B4015"/>
    <w:rsid w:val="002B78CE"/>
    <w:rsid w:val="002C2FB6"/>
    <w:rsid w:val="002D1CFC"/>
    <w:rsid w:val="002E5FA7"/>
    <w:rsid w:val="002F3309"/>
    <w:rsid w:val="002F51C4"/>
    <w:rsid w:val="003008CE"/>
    <w:rsid w:val="003009B7"/>
    <w:rsid w:val="00300E56"/>
    <w:rsid w:val="0030469C"/>
    <w:rsid w:val="0032184B"/>
    <w:rsid w:val="00321CA6"/>
    <w:rsid w:val="00323763"/>
    <w:rsid w:val="00334C09"/>
    <w:rsid w:val="003651CC"/>
    <w:rsid w:val="003723D4"/>
    <w:rsid w:val="00381905"/>
    <w:rsid w:val="003829E0"/>
    <w:rsid w:val="00383DD1"/>
    <w:rsid w:val="00384CC8"/>
    <w:rsid w:val="003871FD"/>
    <w:rsid w:val="00395692"/>
    <w:rsid w:val="003A1E30"/>
    <w:rsid w:val="003A2829"/>
    <w:rsid w:val="003A7D1C"/>
    <w:rsid w:val="003B304B"/>
    <w:rsid w:val="003B3146"/>
    <w:rsid w:val="003F015E"/>
    <w:rsid w:val="00400414"/>
    <w:rsid w:val="0041446B"/>
    <w:rsid w:val="00427D26"/>
    <w:rsid w:val="0044071E"/>
    <w:rsid w:val="0044329C"/>
    <w:rsid w:val="00445CB9"/>
    <w:rsid w:val="00453E24"/>
    <w:rsid w:val="00454DF1"/>
    <w:rsid w:val="00457456"/>
    <w:rsid w:val="004577FE"/>
    <w:rsid w:val="00457B9C"/>
    <w:rsid w:val="0046164A"/>
    <w:rsid w:val="004621C7"/>
    <w:rsid w:val="004628D2"/>
    <w:rsid w:val="00462DCD"/>
    <w:rsid w:val="004648AD"/>
    <w:rsid w:val="004703A9"/>
    <w:rsid w:val="004760DE"/>
    <w:rsid w:val="004763D7"/>
    <w:rsid w:val="00487C53"/>
    <w:rsid w:val="00491765"/>
    <w:rsid w:val="004A004E"/>
    <w:rsid w:val="004A24CF"/>
    <w:rsid w:val="004B1ED0"/>
    <w:rsid w:val="004B60BC"/>
    <w:rsid w:val="004C3D1D"/>
    <w:rsid w:val="004C3D84"/>
    <w:rsid w:val="004C7913"/>
    <w:rsid w:val="004E4DD6"/>
    <w:rsid w:val="004F44E9"/>
    <w:rsid w:val="004F5E36"/>
    <w:rsid w:val="00504116"/>
    <w:rsid w:val="00507B47"/>
    <w:rsid w:val="00507BEF"/>
    <w:rsid w:val="00507CC9"/>
    <w:rsid w:val="005119A5"/>
    <w:rsid w:val="00517649"/>
    <w:rsid w:val="00522AE2"/>
    <w:rsid w:val="005278B7"/>
    <w:rsid w:val="00532016"/>
    <w:rsid w:val="005346C8"/>
    <w:rsid w:val="00543E7D"/>
    <w:rsid w:val="00547A68"/>
    <w:rsid w:val="00550537"/>
    <w:rsid w:val="005531C9"/>
    <w:rsid w:val="00564EFC"/>
    <w:rsid w:val="005674E3"/>
    <w:rsid w:val="00570C43"/>
    <w:rsid w:val="005854E2"/>
    <w:rsid w:val="00593DB3"/>
    <w:rsid w:val="005B2110"/>
    <w:rsid w:val="005B61E6"/>
    <w:rsid w:val="005C1EB3"/>
    <w:rsid w:val="005C77E1"/>
    <w:rsid w:val="005D42DD"/>
    <w:rsid w:val="005D668A"/>
    <w:rsid w:val="005D6A2F"/>
    <w:rsid w:val="005E1A82"/>
    <w:rsid w:val="005E6185"/>
    <w:rsid w:val="005E794C"/>
    <w:rsid w:val="005F02AF"/>
    <w:rsid w:val="005F0A28"/>
    <w:rsid w:val="005F0E5E"/>
    <w:rsid w:val="00600535"/>
    <w:rsid w:val="00610CD6"/>
    <w:rsid w:val="00617E1B"/>
    <w:rsid w:val="00620DEE"/>
    <w:rsid w:val="00621F92"/>
    <w:rsid w:val="0062280A"/>
    <w:rsid w:val="00623C9D"/>
    <w:rsid w:val="00625639"/>
    <w:rsid w:val="00631B33"/>
    <w:rsid w:val="006327DE"/>
    <w:rsid w:val="0064184D"/>
    <w:rsid w:val="006422CC"/>
    <w:rsid w:val="0064423D"/>
    <w:rsid w:val="00660E3E"/>
    <w:rsid w:val="00662E74"/>
    <w:rsid w:val="00667B4A"/>
    <w:rsid w:val="00672E12"/>
    <w:rsid w:val="00680C23"/>
    <w:rsid w:val="00684BD0"/>
    <w:rsid w:val="00693766"/>
    <w:rsid w:val="006A3281"/>
    <w:rsid w:val="006B4888"/>
    <w:rsid w:val="006C2E45"/>
    <w:rsid w:val="006C359C"/>
    <w:rsid w:val="006C5579"/>
    <w:rsid w:val="006D6E8B"/>
    <w:rsid w:val="006E737D"/>
    <w:rsid w:val="00712411"/>
    <w:rsid w:val="00713973"/>
    <w:rsid w:val="00720A24"/>
    <w:rsid w:val="0072560E"/>
    <w:rsid w:val="00732386"/>
    <w:rsid w:val="00732A46"/>
    <w:rsid w:val="00734F35"/>
    <w:rsid w:val="0073514D"/>
    <w:rsid w:val="007447F3"/>
    <w:rsid w:val="0075499F"/>
    <w:rsid w:val="007623F8"/>
    <w:rsid w:val="007661C8"/>
    <w:rsid w:val="0077098D"/>
    <w:rsid w:val="007931FA"/>
    <w:rsid w:val="007A4861"/>
    <w:rsid w:val="007A64F2"/>
    <w:rsid w:val="007A7BBA"/>
    <w:rsid w:val="007B0C50"/>
    <w:rsid w:val="007B48F9"/>
    <w:rsid w:val="007C1A43"/>
    <w:rsid w:val="007E6238"/>
    <w:rsid w:val="007E76B3"/>
    <w:rsid w:val="0080013E"/>
    <w:rsid w:val="00802E2B"/>
    <w:rsid w:val="00813288"/>
    <w:rsid w:val="008168FC"/>
    <w:rsid w:val="00830996"/>
    <w:rsid w:val="008345F1"/>
    <w:rsid w:val="00835116"/>
    <w:rsid w:val="00856054"/>
    <w:rsid w:val="00856D76"/>
    <w:rsid w:val="00865B07"/>
    <w:rsid w:val="008667EA"/>
    <w:rsid w:val="0087637F"/>
    <w:rsid w:val="00892AD5"/>
    <w:rsid w:val="00892B7C"/>
    <w:rsid w:val="008A1512"/>
    <w:rsid w:val="008A43A3"/>
    <w:rsid w:val="008A78E9"/>
    <w:rsid w:val="008C1AAB"/>
    <w:rsid w:val="008D32B9"/>
    <w:rsid w:val="008D433B"/>
    <w:rsid w:val="008D45CB"/>
    <w:rsid w:val="008D4A16"/>
    <w:rsid w:val="008E0CEB"/>
    <w:rsid w:val="008E1886"/>
    <w:rsid w:val="008E566E"/>
    <w:rsid w:val="008F467B"/>
    <w:rsid w:val="0090161A"/>
    <w:rsid w:val="009018EB"/>
    <w:rsid w:val="00901EB6"/>
    <w:rsid w:val="00904C62"/>
    <w:rsid w:val="0091377C"/>
    <w:rsid w:val="00922BA8"/>
    <w:rsid w:val="0092376E"/>
    <w:rsid w:val="00923BB8"/>
    <w:rsid w:val="00924DAC"/>
    <w:rsid w:val="00927058"/>
    <w:rsid w:val="00942750"/>
    <w:rsid w:val="009450CE"/>
    <w:rsid w:val="00947179"/>
    <w:rsid w:val="0095164B"/>
    <w:rsid w:val="00953682"/>
    <w:rsid w:val="00954090"/>
    <w:rsid w:val="009573E7"/>
    <w:rsid w:val="00963C33"/>
    <w:rsid w:val="00963E05"/>
    <w:rsid w:val="00964A45"/>
    <w:rsid w:val="00965CBB"/>
    <w:rsid w:val="00967843"/>
    <w:rsid w:val="00967D54"/>
    <w:rsid w:val="00971028"/>
    <w:rsid w:val="00990574"/>
    <w:rsid w:val="00993B84"/>
    <w:rsid w:val="00996483"/>
    <w:rsid w:val="00996F5A"/>
    <w:rsid w:val="009A0B14"/>
    <w:rsid w:val="009A6AF2"/>
    <w:rsid w:val="009B0270"/>
    <w:rsid w:val="009B041A"/>
    <w:rsid w:val="009B2DDC"/>
    <w:rsid w:val="009C37C3"/>
    <w:rsid w:val="009C7C86"/>
    <w:rsid w:val="009D2FF7"/>
    <w:rsid w:val="009E7884"/>
    <w:rsid w:val="009E788A"/>
    <w:rsid w:val="009F0E08"/>
    <w:rsid w:val="00A172C5"/>
    <w:rsid w:val="00A1763D"/>
    <w:rsid w:val="00A17CEC"/>
    <w:rsid w:val="00A261B7"/>
    <w:rsid w:val="00A27EF0"/>
    <w:rsid w:val="00A31D29"/>
    <w:rsid w:val="00A42361"/>
    <w:rsid w:val="00A50B20"/>
    <w:rsid w:val="00A51390"/>
    <w:rsid w:val="00A52A1F"/>
    <w:rsid w:val="00A53558"/>
    <w:rsid w:val="00A540B9"/>
    <w:rsid w:val="00A60D13"/>
    <w:rsid w:val="00A7223D"/>
    <w:rsid w:val="00A72745"/>
    <w:rsid w:val="00A76EFC"/>
    <w:rsid w:val="00A91010"/>
    <w:rsid w:val="00A940AF"/>
    <w:rsid w:val="00A97C2E"/>
    <w:rsid w:val="00A97CC8"/>
    <w:rsid w:val="00A97F29"/>
    <w:rsid w:val="00AA702E"/>
    <w:rsid w:val="00AB00E0"/>
    <w:rsid w:val="00AB0964"/>
    <w:rsid w:val="00AB5011"/>
    <w:rsid w:val="00AC7368"/>
    <w:rsid w:val="00AC790D"/>
    <w:rsid w:val="00AD16B9"/>
    <w:rsid w:val="00AE33E4"/>
    <w:rsid w:val="00AE377D"/>
    <w:rsid w:val="00AF0EBA"/>
    <w:rsid w:val="00AF3710"/>
    <w:rsid w:val="00B00E51"/>
    <w:rsid w:val="00B02C8A"/>
    <w:rsid w:val="00B06831"/>
    <w:rsid w:val="00B12054"/>
    <w:rsid w:val="00B14BF3"/>
    <w:rsid w:val="00B17FBD"/>
    <w:rsid w:val="00B27EB0"/>
    <w:rsid w:val="00B315A6"/>
    <w:rsid w:val="00B31813"/>
    <w:rsid w:val="00B33365"/>
    <w:rsid w:val="00B57B36"/>
    <w:rsid w:val="00B57E6F"/>
    <w:rsid w:val="00B60028"/>
    <w:rsid w:val="00B66BAF"/>
    <w:rsid w:val="00B70FFE"/>
    <w:rsid w:val="00B826D3"/>
    <w:rsid w:val="00B8686D"/>
    <w:rsid w:val="00B93F69"/>
    <w:rsid w:val="00BB1DDC"/>
    <w:rsid w:val="00BB688A"/>
    <w:rsid w:val="00BC30C9"/>
    <w:rsid w:val="00BD077D"/>
    <w:rsid w:val="00BE07FA"/>
    <w:rsid w:val="00BE3E58"/>
    <w:rsid w:val="00C01616"/>
    <w:rsid w:val="00C0162B"/>
    <w:rsid w:val="00C068ED"/>
    <w:rsid w:val="00C12073"/>
    <w:rsid w:val="00C22E0C"/>
    <w:rsid w:val="00C278EE"/>
    <w:rsid w:val="00C339FB"/>
    <w:rsid w:val="00C345B1"/>
    <w:rsid w:val="00C40142"/>
    <w:rsid w:val="00C52C3C"/>
    <w:rsid w:val="00C57182"/>
    <w:rsid w:val="00C57863"/>
    <w:rsid w:val="00C640AF"/>
    <w:rsid w:val="00C655FD"/>
    <w:rsid w:val="00C75407"/>
    <w:rsid w:val="00C870A8"/>
    <w:rsid w:val="00C94434"/>
    <w:rsid w:val="00C94E4D"/>
    <w:rsid w:val="00CA0D75"/>
    <w:rsid w:val="00CA1C95"/>
    <w:rsid w:val="00CA31BC"/>
    <w:rsid w:val="00CA5A9C"/>
    <w:rsid w:val="00CB0E53"/>
    <w:rsid w:val="00CC4C20"/>
    <w:rsid w:val="00CD3517"/>
    <w:rsid w:val="00CD5FE2"/>
    <w:rsid w:val="00CE7C68"/>
    <w:rsid w:val="00D02B4C"/>
    <w:rsid w:val="00D040C4"/>
    <w:rsid w:val="00D20AD1"/>
    <w:rsid w:val="00D20D00"/>
    <w:rsid w:val="00D46B7E"/>
    <w:rsid w:val="00D53EEE"/>
    <w:rsid w:val="00D57C84"/>
    <w:rsid w:val="00D6057D"/>
    <w:rsid w:val="00D64C60"/>
    <w:rsid w:val="00D71640"/>
    <w:rsid w:val="00D836C5"/>
    <w:rsid w:val="00D84576"/>
    <w:rsid w:val="00DA1399"/>
    <w:rsid w:val="00DA24C6"/>
    <w:rsid w:val="00DA4D7B"/>
    <w:rsid w:val="00DB2BCA"/>
    <w:rsid w:val="00DD04CD"/>
    <w:rsid w:val="00DD271C"/>
    <w:rsid w:val="00DD5AF3"/>
    <w:rsid w:val="00DE048B"/>
    <w:rsid w:val="00DE264A"/>
    <w:rsid w:val="00DE6C34"/>
    <w:rsid w:val="00DF1CEB"/>
    <w:rsid w:val="00DF5072"/>
    <w:rsid w:val="00E02D18"/>
    <w:rsid w:val="00E041E7"/>
    <w:rsid w:val="00E04704"/>
    <w:rsid w:val="00E234A1"/>
    <w:rsid w:val="00E23CA1"/>
    <w:rsid w:val="00E37C5A"/>
    <w:rsid w:val="00E409A8"/>
    <w:rsid w:val="00E4103D"/>
    <w:rsid w:val="00E425DB"/>
    <w:rsid w:val="00E43EF2"/>
    <w:rsid w:val="00E47ECE"/>
    <w:rsid w:val="00E50C12"/>
    <w:rsid w:val="00E52B80"/>
    <w:rsid w:val="00E568E0"/>
    <w:rsid w:val="00E65B91"/>
    <w:rsid w:val="00E66CC4"/>
    <w:rsid w:val="00E7209D"/>
    <w:rsid w:val="00E72EAD"/>
    <w:rsid w:val="00E77223"/>
    <w:rsid w:val="00E80B58"/>
    <w:rsid w:val="00E8528B"/>
    <w:rsid w:val="00E85B94"/>
    <w:rsid w:val="00E978D0"/>
    <w:rsid w:val="00EA4613"/>
    <w:rsid w:val="00EA7DA1"/>
    <w:rsid w:val="00EA7F91"/>
    <w:rsid w:val="00EB1523"/>
    <w:rsid w:val="00EB4C0D"/>
    <w:rsid w:val="00EC0E49"/>
    <w:rsid w:val="00EC101F"/>
    <w:rsid w:val="00EC1D9F"/>
    <w:rsid w:val="00ED4BBE"/>
    <w:rsid w:val="00EE0131"/>
    <w:rsid w:val="00EE17B0"/>
    <w:rsid w:val="00EE56FE"/>
    <w:rsid w:val="00EF0479"/>
    <w:rsid w:val="00EF06D9"/>
    <w:rsid w:val="00EF6CCD"/>
    <w:rsid w:val="00F24A7E"/>
    <w:rsid w:val="00F24D1F"/>
    <w:rsid w:val="00F30C64"/>
    <w:rsid w:val="00F31008"/>
    <w:rsid w:val="00F32BA2"/>
    <w:rsid w:val="00F32CDB"/>
    <w:rsid w:val="00F45AF3"/>
    <w:rsid w:val="00F45D98"/>
    <w:rsid w:val="00F565FE"/>
    <w:rsid w:val="00F60AD0"/>
    <w:rsid w:val="00F63A70"/>
    <w:rsid w:val="00F73AE7"/>
    <w:rsid w:val="00F7534E"/>
    <w:rsid w:val="00F80D68"/>
    <w:rsid w:val="00FA1802"/>
    <w:rsid w:val="00FA21D0"/>
    <w:rsid w:val="00FA5F5F"/>
    <w:rsid w:val="00FB730C"/>
    <w:rsid w:val="00FC2695"/>
    <w:rsid w:val="00FC2C65"/>
    <w:rsid w:val="00FC3E03"/>
    <w:rsid w:val="00FC3FC1"/>
    <w:rsid w:val="00FC6D83"/>
    <w:rsid w:val="00FD6F2D"/>
    <w:rsid w:val="00FE573C"/>
    <w:rsid w:val="00FF66E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454DF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941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3294-9B05-41FA-999E-250ED2C2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3376</Words>
  <Characters>19246</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aidic@outlook.it</cp:lastModifiedBy>
  <cp:revision>5</cp:revision>
  <cp:lastPrinted>2015-05-12T18:31:00Z</cp:lastPrinted>
  <dcterms:created xsi:type="dcterms:W3CDTF">2022-08-05T13:54:00Z</dcterms:created>
  <dcterms:modified xsi:type="dcterms:W3CDTF">2022-08-10T10:56:00Z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