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71D8D" w14:paraId="2A131A54" w14:textId="77777777" w:rsidTr="001F2F8E">
        <w:trPr>
          <w:trHeight w:val="852"/>
          <w:jc w:val="center"/>
        </w:trPr>
        <w:tc>
          <w:tcPr>
            <w:tcW w:w="6940" w:type="dxa"/>
            <w:vMerge w:val="restart"/>
            <w:tcBorders>
              <w:right w:val="single" w:sz="4" w:space="0" w:color="auto"/>
            </w:tcBorders>
          </w:tcPr>
          <w:p w14:paraId="38C3D2BA" w14:textId="77777777" w:rsidR="000A03B2" w:rsidRPr="00B71D8D" w:rsidRDefault="000A03B2" w:rsidP="00DE264A">
            <w:pPr>
              <w:tabs>
                <w:tab w:val="left" w:pos="-108"/>
              </w:tabs>
              <w:ind w:left="-108"/>
              <w:jc w:val="left"/>
              <w:rPr>
                <w:rFonts w:cs="Arial"/>
                <w:b/>
                <w:bCs/>
                <w:i/>
                <w:iCs/>
                <w:color w:val="000066"/>
                <w:sz w:val="12"/>
                <w:szCs w:val="12"/>
                <w:lang w:eastAsia="it-IT"/>
              </w:rPr>
            </w:pPr>
            <w:r w:rsidRPr="00B71D8D">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71D8D">
              <w:rPr>
                <w:rFonts w:ascii="AdvP6960" w:hAnsi="AdvP6960" w:cs="AdvP6960"/>
                <w:color w:val="241F20"/>
                <w:szCs w:val="18"/>
                <w:lang w:eastAsia="it-IT"/>
              </w:rPr>
              <w:t xml:space="preserve"> </w:t>
            </w:r>
            <w:r w:rsidRPr="00B71D8D">
              <w:rPr>
                <w:rFonts w:cs="Arial"/>
                <w:b/>
                <w:bCs/>
                <w:i/>
                <w:iCs/>
                <w:color w:val="000066"/>
                <w:sz w:val="24"/>
                <w:szCs w:val="24"/>
                <w:lang w:eastAsia="it-IT"/>
              </w:rPr>
              <w:t>CHEMICAL ENGINEERING</w:t>
            </w:r>
            <w:r w:rsidRPr="00B71D8D">
              <w:rPr>
                <w:rFonts w:cs="Arial"/>
                <w:b/>
                <w:bCs/>
                <w:i/>
                <w:iCs/>
                <w:color w:val="0033FF"/>
                <w:sz w:val="24"/>
                <w:szCs w:val="24"/>
                <w:lang w:eastAsia="it-IT"/>
              </w:rPr>
              <w:t xml:space="preserve"> </w:t>
            </w:r>
            <w:r w:rsidRPr="00B71D8D">
              <w:rPr>
                <w:rFonts w:cs="Arial"/>
                <w:b/>
                <w:bCs/>
                <w:i/>
                <w:iCs/>
                <w:color w:val="666666"/>
                <w:sz w:val="24"/>
                <w:szCs w:val="24"/>
                <w:lang w:eastAsia="it-IT"/>
              </w:rPr>
              <w:t>TRANSACTIONS</w:t>
            </w:r>
            <w:r w:rsidRPr="00B71D8D">
              <w:rPr>
                <w:color w:val="333333"/>
                <w:sz w:val="24"/>
                <w:szCs w:val="24"/>
                <w:lang w:eastAsia="it-IT"/>
              </w:rPr>
              <w:t xml:space="preserve"> </w:t>
            </w:r>
            <w:r w:rsidRPr="00B71D8D">
              <w:rPr>
                <w:rFonts w:cs="Arial"/>
                <w:b/>
                <w:bCs/>
                <w:i/>
                <w:iCs/>
                <w:color w:val="000066"/>
                <w:sz w:val="27"/>
                <w:szCs w:val="27"/>
                <w:lang w:eastAsia="it-IT"/>
              </w:rPr>
              <w:br/>
            </w:r>
          </w:p>
          <w:p w14:paraId="4B780582" w14:textId="2ABE30D6" w:rsidR="000A03B2" w:rsidRPr="00B71D8D" w:rsidRDefault="00A76EFC" w:rsidP="001D21AF">
            <w:pPr>
              <w:tabs>
                <w:tab w:val="left" w:pos="-108"/>
              </w:tabs>
              <w:ind w:left="-108"/>
              <w:rPr>
                <w:rFonts w:cs="Arial"/>
                <w:b/>
                <w:bCs/>
                <w:i/>
                <w:iCs/>
                <w:color w:val="000066"/>
                <w:sz w:val="22"/>
                <w:szCs w:val="22"/>
                <w:lang w:eastAsia="it-IT"/>
              </w:rPr>
            </w:pPr>
            <w:r w:rsidRPr="00B71D8D">
              <w:rPr>
                <w:rFonts w:cs="Arial"/>
                <w:b/>
                <w:bCs/>
                <w:i/>
                <w:iCs/>
                <w:color w:val="000066"/>
                <w:sz w:val="22"/>
                <w:szCs w:val="22"/>
                <w:lang w:eastAsia="it-IT"/>
              </w:rPr>
              <w:t xml:space="preserve">VOL. </w:t>
            </w:r>
            <w:r w:rsidR="00D46B7E" w:rsidRPr="00B71D8D">
              <w:rPr>
                <w:rFonts w:cs="Arial"/>
                <w:b/>
                <w:bCs/>
                <w:i/>
                <w:iCs/>
                <w:color w:val="000066"/>
                <w:sz w:val="22"/>
                <w:szCs w:val="22"/>
                <w:lang w:eastAsia="it-IT"/>
              </w:rPr>
              <w:t>9</w:t>
            </w:r>
            <w:r w:rsidR="004C3D84" w:rsidRPr="00B71D8D">
              <w:rPr>
                <w:rFonts w:cs="Arial"/>
                <w:b/>
                <w:bCs/>
                <w:i/>
                <w:iCs/>
                <w:color w:val="000066"/>
                <w:sz w:val="22"/>
                <w:szCs w:val="22"/>
                <w:lang w:eastAsia="it-IT"/>
              </w:rPr>
              <w:t>6</w:t>
            </w:r>
            <w:r w:rsidR="007B48F9" w:rsidRPr="00B71D8D">
              <w:rPr>
                <w:rFonts w:cs="Arial"/>
                <w:b/>
                <w:bCs/>
                <w:i/>
                <w:iCs/>
                <w:color w:val="000066"/>
                <w:sz w:val="22"/>
                <w:szCs w:val="22"/>
                <w:lang w:eastAsia="it-IT"/>
              </w:rPr>
              <w:t>,</w:t>
            </w:r>
            <w:r w:rsidR="00FA5F5F" w:rsidRPr="00B71D8D">
              <w:rPr>
                <w:rFonts w:cs="Arial"/>
                <w:b/>
                <w:bCs/>
                <w:i/>
                <w:iCs/>
                <w:color w:val="000066"/>
                <w:sz w:val="22"/>
                <w:szCs w:val="22"/>
                <w:lang w:eastAsia="it-IT"/>
              </w:rPr>
              <w:t xml:space="preserve"> 20</w:t>
            </w:r>
            <w:r w:rsidR="00DF5072" w:rsidRPr="00B71D8D">
              <w:rPr>
                <w:rFonts w:cs="Arial"/>
                <w:b/>
                <w:bCs/>
                <w:i/>
                <w:iCs/>
                <w:color w:val="000066"/>
                <w:sz w:val="22"/>
                <w:szCs w:val="22"/>
                <w:lang w:eastAsia="it-IT"/>
              </w:rPr>
              <w:t>2</w:t>
            </w:r>
            <w:r w:rsidR="007B48F9" w:rsidRPr="00B71D8D">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71D8D" w:rsidRDefault="000A03B2" w:rsidP="00CD5FE2">
            <w:pPr>
              <w:spacing w:line="140" w:lineRule="atLeast"/>
              <w:jc w:val="right"/>
              <w:rPr>
                <w:rFonts w:cs="Arial"/>
                <w:sz w:val="14"/>
                <w:szCs w:val="14"/>
              </w:rPr>
            </w:pPr>
            <w:r w:rsidRPr="00B71D8D">
              <w:rPr>
                <w:rFonts w:cs="Arial"/>
                <w:sz w:val="14"/>
                <w:szCs w:val="14"/>
              </w:rPr>
              <w:t>A publication of</w:t>
            </w:r>
          </w:p>
          <w:p w14:paraId="599E5441" w14:textId="77777777" w:rsidR="000A03B2" w:rsidRPr="00B71D8D" w:rsidRDefault="000A03B2" w:rsidP="00CD5FE2">
            <w:pPr>
              <w:jc w:val="right"/>
            </w:pPr>
            <w:r w:rsidRPr="00B71D8D">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F2F8E" w:rsidRPr="00B71D8D" w14:paraId="380FA3CD" w14:textId="77777777" w:rsidTr="001F2F8E">
        <w:trPr>
          <w:trHeight w:val="567"/>
          <w:jc w:val="center"/>
        </w:trPr>
        <w:tc>
          <w:tcPr>
            <w:tcW w:w="6940" w:type="dxa"/>
            <w:vMerge/>
            <w:tcBorders>
              <w:right w:val="single" w:sz="4" w:space="0" w:color="auto"/>
            </w:tcBorders>
          </w:tcPr>
          <w:p w14:paraId="39E5E4C1" w14:textId="77777777" w:rsidR="001F2F8E" w:rsidRPr="00B71D8D" w:rsidRDefault="001F2F8E" w:rsidP="001F2F8E">
            <w:pPr>
              <w:tabs>
                <w:tab w:val="left" w:pos="-108"/>
              </w:tabs>
            </w:pPr>
          </w:p>
        </w:tc>
        <w:tc>
          <w:tcPr>
            <w:tcW w:w="1842" w:type="dxa"/>
            <w:tcBorders>
              <w:left w:val="single" w:sz="4" w:space="0" w:color="auto"/>
              <w:bottom w:val="nil"/>
              <w:right w:val="single" w:sz="4" w:space="0" w:color="auto"/>
            </w:tcBorders>
          </w:tcPr>
          <w:p w14:paraId="62353C44" w14:textId="77777777" w:rsidR="001F2F8E" w:rsidRPr="00B71D8D" w:rsidRDefault="001F2F8E" w:rsidP="001F2F8E">
            <w:pPr>
              <w:spacing w:line="140" w:lineRule="atLeast"/>
              <w:jc w:val="right"/>
              <w:rPr>
                <w:rFonts w:cs="Arial"/>
                <w:sz w:val="14"/>
                <w:szCs w:val="14"/>
              </w:rPr>
            </w:pPr>
            <w:r w:rsidRPr="00B71D8D">
              <w:rPr>
                <w:rFonts w:cs="Arial"/>
                <w:sz w:val="14"/>
                <w:szCs w:val="14"/>
              </w:rPr>
              <w:t>The Italian Association</w:t>
            </w:r>
          </w:p>
          <w:p w14:paraId="2F55F171" w14:textId="77777777" w:rsidR="001F2F8E" w:rsidRPr="00B71D8D" w:rsidRDefault="001F2F8E" w:rsidP="001F2F8E">
            <w:pPr>
              <w:spacing w:line="140" w:lineRule="atLeast"/>
              <w:jc w:val="right"/>
              <w:rPr>
                <w:rFonts w:cs="Arial"/>
                <w:sz w:val="14"/>
                <w:szCs w:val="14"/>
              </w:rPr>
            </w:pPr>
            <w:r w:rsidRPr="00B71D8D">
              <w:rPr>
                <w:rFonts w:cs="Arial"/>
                <w:sz w:val="14"/>
                <w:szCs w:val="14"/>
              </w:rPr>
              <w:t>of Chemical Engineering</w:t>
            </w:r>
          </w:p>
          <w:p w14:paraId="4F0CC5DE" w14:textId="0F1C55BE" w:rsidR="001F2F8E" w:rsidRPr="00B71D8D" w:rsidRDefault="001F2F8E" w:rsidP="001F2F8E">
            <w:pPr>
              <w:spacing w:line="140" w:lineRule="atLeast"/>
              <w:jc w:val="right"/>
              <w:rPr>
                <w:rFonts w:cs="Arial"/>
                <w:sz w:val="13"/>
                <w:szCs w:val="13"/>
              </w:rPr>
            </w:pPr>
            <w:r w:rsidRPr="00B71D8D">
              <w:rPr>
                <w:rFonts w:cs="Arial"/>
                <w:sz w:val="13"/>
                <w:szCs w:val="13"/>
              </w:rPr>
              <w:t>Online at www.cetjournal.it</w:t>
            </w:r>
          </w:p>
        </w:tc>
      </w:tr>
      <w:tr w:rsidR="001F2F8E" w:rsidRPr="00B71D8D" w14:paraId="2D1B7169" w14:textId="77777777" w:rsidTr="001F2F8E">
        <w:trPr>
          <w:trHeight w:val="68"/>
          <w:jc w:val="center"/>
        </w:trPr>
        <w:tc>
          <w:tcPr>
            <w:tcW w:w="8782" w:type="dxa"/>
            <w:gridSpan w:val="2"/>
          </w:tcPr>
          <w:p w14:paraId="4B0BB442" w14:textId="2E218E1D" w:rsidR="001F2F8E" w:rsidRPr="00B71D8D" w:rsidRDefault="001F2F8E" w:rsidP="001F2F8E">
            <w:pPr>
              <w:ind w:left="-107"/>
              <w:outlineLvl w:val="2"/>
              <w:rPr>
                <w:rFonts w:ascii="Tahoma" w:hAnsi="Tahoma" w:cs="Tahoma"/>
                <w:bCs/>
                <w:color w:val="000000"/>
                <w:sz w:val="14"/>
                <w:szCs w:val="14"/>
                <w:lang w:eastAsia="it-IT"/>
              </w:rPr>
            </w:pPr>
            <w:r w:rsidRPr="00B71D8D">
              <w:rPr>
                <w:rFonts w:ascii="Tahoma" w:hAnsi="Tahoma" w:cs="Tahoma"/>
                <w:iCs/>
                <w:color w:val="333333"/>
                <w:sz w:val="14"/>
                <w:szCs w:val="14"/>
                <w:lang w:eastAsia="it-IT"/>
              </w:rPr>
              <w:t>Guest Editors:</w:t>
            </w:r>
            <w:r w:rsidRPr="00B71D8D">
              <w:rPr>
                <w:rFonts w:ascii="Tahoma" w:hAnsi="Tahoma" w:cs="Tahoma"/>
                <w:color w:val="000000"/>
                <w:sz w:val="14"/>
                <w:szCs w:val="14"/>
                <w:shd w:val="clear" w:color="auto" w:fill="FFFFFF"/>
              </w:rPr>
              <w:t xml:space="preserve"> </w:t>
            </w:r>
            <w:r w:rsidRPr="00B71D8D">
              <w:rPr>
                <w:sz w:val="14"/>
                <w:szCs w:val="14"/>
              </w:rPr>
              <w:t>David Bogle, Flavio Manenti, Piero Salatino</w:t>
            </w:r>
          </w:p>
          <w:p w14:paraId="1B0F1814" w14:textId="17CEC68E" w:rsidR="001F2F8E" w:rsidRPr="00B71D8D" w:rsidRDefault="001F2F8E" w:rsidP="001F2F8E">
            <w:pPr>
              <w:tabs>
                <w:tab w:val="left" w:pos="-108"/>
              </w:tabs>
              <w:spacing w:line="140" w:lineRule="atLeast"/>
              <w:ind w:left="-107"/>
              <w:jc w:val="left"/>
            </w:pPr>
            <w:r w:rsidRPr="00B71D8D">
              <w:rPr>
                <w:rFonts w:ascii="Tahoma" w:hAnsi="Tahoma" w:cs="Tahoma"/>
                <w:iCs/>
                <w:color w:val="333333"/>
                <w:sz w:val="14"/>
                <w:szCs w:val="14"/>
                <w:lang w:eastAsia="it-IT"/>
              </w:rPr>
              <w:t>Copyright © 2022, AIDIC Servizi S.r.l.</w:t>
            </w:r>
            <w:r w:rsidRPr="00B71D8D">
              <w:rPr>
                <w:rFonts w:ascii="Tahoma" w:hAnsi="Tahoma" w:cs="Tahoma"/>
                <w:iCs/>
                <w:color w:val="333333"/>
                <w:sz w:val="14"/>
                <w:szCs w:val="14"/>
                <w:lang w:eastAsia="it-IT"/>
              </w:rPr>
              <w:br/>
            </w:r>
            <w:r w:rsidRPr="00B71D8D">
              <w:rPr>
                <w:rFonts w:ascii="Tahoma" w:hAnsi="Tahoma" w:cs="Tahoma"/>
                <w:b/>
                <w:iCs/>
                <w:color w:val="000000"/>
                <w:sz w:val="14"/>
                <w:szCs w:val="14"/>
                <w:lang w:eastAsia="it-IT"/>
              </w:rPr>
              <w:t>ISBN</w:t>
            </w:r>
            <w:r w:rsidRPr="00B71D8D">
              <w:rPr>
                <w:rFonts w:ascii="Tahoma" w:hAnsi="Tahoma" w:cs="Tahoma"/>
                <w:iCs/>
                <w:color w:val="000000"/>
                <w:sz w:val="14"/>
                <w:szCs w:val="14"/>
                <w:lang w:eastAsia="it-IT"/>
              </w:rPr>
              <w:t xml:space="preserve"> </w:t>
            </w:r>
            <w:r w:rsidRPr="00B71D8D">
              <w:rPr>
                <w:rFonts w:ascii="Tahoma" w:hAnsi="Tahoma" w:cs="Tahoma"/>
                <w:sz w:val="14"/>
                <w:szCs w:val="14"/>
              </w:rPr>
              <w:t>978-88-95608-95-2</w:t>
            </w:r>
            <w:r w:rsidRPr="00B71D8D">
              <w:rPr>
                <w:rFonts w:ascii="Tahoma" w:hAnsi="Tahoma" w:cs="Tahoma"/>
                <w:iCs/>
                <w:color w:val="333333"/>
                <w:sz w:val="14"/>
                <w:szCs w:val="14"/>
                <w:lang w:eastAsia="it-IT"/>
              </w:rPr>
              <w:t xml:space="preserve">; </w:t>
            </w:r>
            <w:r w:rsidRPr="00B71D8D">
              <w:rPr>
                <w:rFonts w:ascii="Tahoma" w:hAnsi="Tahoma" w:cs="Tahoma"/>
                <w:b/>
                <w:iCs/>
                <w:color w:val="333333"/>
                <w:sz w:val="14"/>
                <w:szCs w:val="14"/>
                <w:lang w:eastAsia="it-IT"/>
              </w:rPr>
              <w:t>ISSN</w:t>
            </w:r>
            <w:r w:rsidRPr="00B71D8D">
              <w:rPr>
                <w:rFonts w:ascii="Tahoma" w:hAnsi="Tahoma" w:cs="Tahoma"/>
                <w:iCs/>
                <w:color w:val="333333"/>
                <w:sz w:val="14"/>
                <w:szCs w:val="14"/>
                <w:lang w:eastAsia="it-IT"/>
              </w:rPr>
              <w:t xml:space="preserve"> 2283-9216</w:t>
            </w:r>
          </w:p>
        </w:tc>
      </w:tr>
    </w:tbl>
    <w:p w14:paraId="10DAA130" w14:textId="77777777" w:rsidR="000A03B2" w:rsidRPr="00B71D8D" w:rsidRDefault="000A03B2" w:rsidP="000A03B2">
      <w:pPr>
        <w:pStyle w:val="CETAuthors"/>
        <w:sectPr w:rsidR="000A03B2" w:rsidRPr="00B71D8D" w:rsidSect="00CD5FE2">
          <w:type w:val="continuous"/>
          <w:pgSz w:w="11906" w:h="16838" w:code="9"/>
          <w:pgMar w:top="1701" w:right="1418" w:bottom="1701" w:left="1701" w:header="1701" w:footer="0" w:gutter="0"/>
          <w:cols w:space="708"/>
          <w:titlePg/>
          <w:docGrid w:linePitch="360"/>
        </w:sectPr>
      </w:pPr>
    </w:p>
    <w:p w14:paraId="2E667253" w14:textId="18911413" w:rsidR="00E978D0" w:rsidRPr="00B71D8D" w:rsidRDefault="001B1F03" w:rsidP="00E978D0">
      <w:pPr>
        <w:pStyle w:val="CETTitle"/>
      </w:pPr>
      <w:r w:rsidRPr="00B71D8D">
        <w:t xml:space="preserve">A Thermal Model for Recuperative </w:t>
      </w:r>
      <w:r w:rsidR="00814D80" w:rsidRPr="00B71D8D">
        <w:t>H</w:t>
      </w:r>
      <w:r w:rsidRPr="00B71D8D">
        <w:t xml:space="preserve">eat </w:t>
      </w:r>
      <w:r w:rsidR="00814D80" w:rsidRPr="00B71D8D">
        <w:t>E</w:t>
      </w:r>
      <w:r w:rsidRPr="00B71D8D">
        <w:t xml:space="preserve">ngines </w:t>
      </w:r>
      <w:r w:rsidR="00814D80" w:rsidRPr="00B71D8D">
        <w:t>O</w:t>
      </w:r>
      <w:r w:rsidRPr="00B71D8D">
        <w:t xml:space="preserve">perating with </w:t>
      </w:r>
      <w:r w:rsidR="00814D80" w:rsidRPr="00B71D8D">
        <w:t>D</w:t>
      </w:r>
      <w:r w:rsidRPr="00B71D8D">
        <w:t>ens</w:t>
      </w:r>
      <w:r w:rsidR="003A1B33" w:rsidRPr="00B71D8D">
        <w:t>e</w:t>
      </w:r>
      <w:r w:rsidR="00830259" w:rsidRPr="00B71D8D">
        <w:t xml:space="preserve"> Working</w:t>
      </w:r>
      <w:r w:rsidRPr="00B71D8D">
        <w:t xml:space="preserve"> </w:t>
      </w:r>
      <w:r w:rsidR="00814D80" w:rsidRPr="00B71D8D">
        <w:t>F</w:t>
      </w:r>
      <w:r w:rsidRPr="00B71D8D">
        <w:t>luids</w:t>
      </w:r>
    </w:p>
    <w:p w14:paraId="0488FED2" w14:textId="2E20E34E" w:rsidR="00B57E6F" w:rsidRPr="00B71D8D" w:rsidRDefault="001B1F03" w:rsidP="00814D80">
      <w:pPr>
        <w:pStyle w:val="CETAuthors"/>
      </w:pPr>
      <w:r w:rsidRPr="00B71D8D">
        <w:t>Nils</w:t>
      </w:r>
      <w:r w:rsidR="00B57E6F" w:rsidRPr="00B71D8D">
        <w:t xml:space="preserve"> </w:t>
      </w:r>
      <w:r w:rsidRPr="00B71D8D">
        <w:t>Mügge</w:t>
      </w:r>
      <w:r w:rsidR="00B57E6F" w:rsidRPr="00B71D8D">
        <w:rPr>
          <w:vertAlign w:val="superscript"/>
        </w:rPr>
        <w:t>a</w:t>
      </w:r>
      <w:r w:rsidR="00B57E6F" w:rsidRPr="00B71D8D">
        <w:t xml:space="preserve">, </w:t>
      </w:r>
      <w:r w:rsidRPr="00B71D8D">
        <w:t>Alexander Kronberg</w:t>
      </w:r>
      <w:r w:rsidRPr="00B71D8D">
        <w:rPr>
          <w:vertAlign w:val="superscript"/>
        </w:rPr>
        <w:t>b</w:t>
      </w:r>
      <w:r w:rsidRPr="00B71D8D">
        <w:t>, Maxim Glushenkov</w:t>
      </w:r>
      <w:r w:rsidRPr="00B71D8D">
        <w:rPr>
          <w:vertAlign w:val="superscript"/>
        </w:rPr>
        <w:t>b</w:t>
      </w:r>
      <w:r w:rsidRPr="00B71D8D">
        <w:t>,</w:t>
      </w:r>
      <w:r w:rsidR="00E8602F" w:rsidRPr="00B71D8D">
        <w:t xml:space="preserve"> Venkatesh Inguva</w:t>
      </w:r>
      <w:r w:rsidR="00E8602F" w:rsidRPr="00B71D8D">
        <w:rPr>
          <w:vertAlign w:val="superscript"/>
        </w:rPr>
        <w:t>a</w:t>
      </w:r>
      <w:r w:rsidR="00E8602F" w:rsidRPr="00B71D8D">
        <w:t>,</w:t>
      </w:r>
      <w:r w:rsidRPr="00B71D8D">
        <w:t xml:space="preserve"> Eugeny Y. Kenig</w:t>
      </w:r>
      <w:r w:rsidRPr="00B71D8D">
        <w:rPr>
          <w:vertAlign w:val="superscript"/>
        </w:rPr>
        <w:t>a,</w:t>
      </w:r>
      <w:r w:rsidRPr="00B71D8D">
        <w:t>*</w:t>
      </w:r>
    </w:p>
    <w:p w14:paraId="6B2D21B3" w14:textId="5357CEA6" w:rsidR="00B57E6F" w:rsidRPr="00B71D8D" w:rsidRDefault="00B57E6F" w:rsidP="00B57E6F">
      <w:pPr>
        <w:pStyle w:val="CETAddress"/>
      </w:pPr>
      <w:r w:rsidRPr="00B71D8D">
        <w:rPr>
          <w:vertAlign w:val="superscript"/>
        </w:rPr>
        <w:t>a</w:t>
      </w:r>
      <w:r w:rsidR="001B1F03" w:rsidRPr="00B71D8D">
        <w:t xml:space="preserve">Chair of Fluid Process Engineering, </w:t>
      </w:r>
      <w:r w:rsidR="00163E27" w:rsidRPr="00B71D8D">
        <w:t xml:space="preserve">Paderborn University, Pohlweg 55, 33098 </w:t>
      </w:r>
      <w:r w:rsidR="001B1F03" w:rsidRPr="00B71D8D">
        <w:t>Paderborn</w:t>
      </w:r>
      <w:r w:rsidR="00163E27" w:rsidRPr="00B71D8D">
        <w:t>,</w:t>
      </w:r>
      <w:r w:rsidR="001B1F03" w:rsidRPr="00B71D8D">
        <w:t xml:space="preserve"> Germany</w:t>
      </w:r>
    </w:p>
    <w:p w14:paraId="3D72B0B0" w14:textId="2A4453CC" w:rsidR="00B57E6F" w:rsidRPr="00B71D8D" w:rsidRDefault="00B57E6F" w:rsidP="00814D80">
      <w:pPr>
        <w:pStyle w:val="CETAddress"/>
      </w:pPr>
      <w:r w:rsidRPr="00B71D8D">
        <w:rPr>
          <w:vertAlign w:val="superscript"/>
        </w:rPr>
        <w:t>b</w:t>
      </w:r>
      <w:r w:rsidR="001B1F03" w:rsidRPr="00B71D8D">
        <w:t>Encontech B.V.,</w:t>
      </w:r>
      <w:r w:rsidR="00163E27" w:rsidRPr="00B71D8D">
        <w:t xml:space="preserve"> </w:t>
      </w:r>
      <w:r w:rsidR="002C45BA" w:rsidRPr="00B71D8D">
        <w:rPr>
          <w:rFonts w:cstheme="minorHAnsi"/>
        </w:rPr>
        <w:t>TNW/SPT, P.O. Box 217, 7500 AE Enschede</w:t>
      </w:r>
      <w:r w:rsidR="00163E27" w:rsidRPr="00B71D8D">
        <w:t>,</w:t>
      </w:r>
      <w:r w:rsidR="001B1F03" w:rsidRPr="00B71D8D">
        <w:t xml:space="preserve"> The Netherlands</w:t>
      </w:r>
      <w:r w:rsidR="00F36A40" w:rsidRPr="00B71D8D">
        <w:t xml:space="preserve"> </w:t>
      </w:r>
    </w:p>
    <w:p w14:paraId="73F1267A" w14:textId="383D74D3" w:rsidR="00B57E6F" w:rsidRPr="00B71D8D" w:rsidRDefault="00B57E6F" w:rsidP="00B57E6F">
      <w:pPr>
        <w:pStyle w:val="CETemail"/>
      </w:pPr>
      <w:r w:rsidRPr="00B71D8D">
        <w:t xml:space="preserve"> </w:t>
      </w:r>
      <w:r w:rsidR="001B1F03" w:rsidRPr="00B71D8D">
        <w:t>eugeny.kenig</w:t>
      </w:r>
      <w:r w:rsidRPr="00B71D8D">
        <w:t>@</w:t>
      </w:r>
      <w:r w:rsidR="001B1F03" w:rsidRPr="00B71D8D">
        <w:t>upb.de</w:t>
      </w:r>
    </w:p>
    <w:p w14:paraId="528E044B" w14:textId="78F2ED6A" w:rsidR="00EE4C41" w:rsidRPr="00B71D8D" w:rsidRDefault="00972A87" w:rsidP="00972A87">
      <w:pPr>
        <w:pStyle w:val="CETBodytext"/>
        <w:rPr>
          <w:lang w:val="en-GB"/>
        </w:rPr>
      </w:pPr>
      <w:r w:rsidRPr="00B71D8D">
        <w:rPr>
          <w:lang w:val="en-GB"/>
        </w:rPr>
        <w:t xml:space="preserve">Currently, there is no commercially available technology for low temperature </w:t>
      </w:r>
      <w:r w:rsidR="002224EC" w:rsidRPr="00B71D8D">
        <w:rPr>
          <w:lang w:val="en-GB"/>
        </w:rPr>
        <w:t xml:space="preserve">(below </w:t>
      </w:r>
      <w:r w:rsidR="00365F8A" w:rsidRPr="00B71D8D">
        <w:rPr>
          <w:lang w:val="en-GB"/>
        </w:rPr>
        <w:t>100°C</w:t>
      </w:r>
      <w:r w:rsidR="002224EC" w:rsidRPr="00B71D8D">
        <w:rPr>
          <w:lang w:val="en-GB"/>
        </w:rPr>
        <w:t xml:space="preserve">) </w:t>
      </w:r>
      <w:r w:rsidR="002A12E8" w:rsidRPr="00B71D8D">
        <w:rPr>
          <w:lang w:val="en-GB"/>
        </w:rPr>
        <w:t xml:space="preserve">heat </w:t>
      </w:r>
      <w:r w:rsidRPr="00B71D8D">
        <w:rPr>
          <w:lang w:val="en-GB"/>
        </w:rPr>
        <w:t xml:space="preserve">conversion </w:t>
      </w:r>
      <w:r w:rsidR="002224EC" w:rsidRPr="00B71D8D">
        <w:rPr>
          <w:lang w:val="en-GB"/>
        </w:rPr>
        <w:t>in</w:t>
      </w:r>
      <w:r w:rsidRPr="00B71D8D">
        <w:rPr>
          <w:lang w:val="en-GB"/>
        </w:rPr>
        <w:t xml:space="preserve">to mechanical or electrical energy. </w:t>
      </w:r>
      <w:r w:rsidR="002224EC" w:rsidRPr="00B71D8D">
        <w:rPr>
          <w:lang w:val="en-GB"/>
        </w:rPr>
        <w:t xml:space="preserve">The Organic Rankine Cycle (ORC) is a typical technology for low temperature applications. However, ORC plants are </w:t>
      </w:r>
      <w:r w:rsidR="004972CB" w:rsidRPr="00B71D8D">
        <w:rPr>
          <w:lang w:val="en-GB"/>
        </w:rPr>
        <w:t>rather complex and not economically sound for small-scale applications (&lt;</w:t>
      </w:r>
      <w:r w:rsidR="00365F8A" w:rsidRPr="00B71D8D">
        <w:rPr>
          <w:lang w:val="en-GB"/>
        </w:rPr>
        <w:t>500kW</w:t>
      </w:r>
      <w:r w:rsidR="004972CB" w:rsidRPr="00B71D8D">
        <w:rPr>
          <w:lang w:val="en-GB"/>
        </w:rPr>
        <w:t xml:space="preserve">). </w:t>
      </w:r>
      <w:r w:rsidRPr="00B71D8D">
        <w:rPr>
          <w:lang w:val="en-GB"/>
        </w:rPr>
        <w:t>The isobaric expansion (IE) engine is a</w:t>
      </w:r>
      <w:r w:rsidR="004972CB" w:rsidRPr="00B71D8D">
        <w:rPr>
          <w:lang w:val="en-GB"/>
        </w:rPr>
        <w:t xml:space="preserve"> promising alternative to ORC</w:t>
      </w:r>
      <w:r w:rsidR="00EE01D4" w:rsidRPr="00B71D8D">
        <w:rPr>
          <w:lang w:val="en-GB"/>
        </w:rPr>
        <w:t xml:space="preserve"> plants</w:t>
      </w:r>
      <w:r w:rsidR="004972CB" w:rsidRPr="00B71D8D">
        <w:rPr>
          <w:lang w:val="en-GB"/>
        </w:rPr>
        <w:t xml:space="preserve"> for low-</w:t>
      </w:r>
      <w:r w:rsidR="002A12E8" w:rsidRPr="00B71D8D">
        <w:rPr>
          <w:lang w:val="en-GB"/>
        </w:rPr>
        <w:t>grade</w:t>
      </w:r>
      <w:r w:rsidR="004972CB" w:rsidRPr="00B71D8D">
        <w:rPr>
          <w:lang w:val="en-GB"/>
        </w:rPr>
        <w:t xml:space="preserve"> and medium-grade (&gt;</w:t>
      </w:r>
      <w:r w:rsidR="0040334F" w:rsidRPr="00B71D8D">
        <w:rPr>
          <w:lang w:val="en-GB"/>
        </w:rPr>
        <w:t>40</w:t>
      </w:r>
      <w:r w:rsidR="00365F8A" w:rsidRPr="00B71D8D">
        <w:rPr>
          <w:lang w:val="en-GB"/>
        </w:rPr>
        <w:t>°C</w:t>
      </w:r>
      <w:r w:rsidR="004972CB" w:rsidRPr="00B71D8D">
        <w:rPr>
          <w:lang w:val="en-GB"/>
        </w:rPr>
        <w:t>) heat conversion.</w:t>
      </w:r>
      <w:r w:rsidRPr="00B71D8D">
        <w:rPr>
          <w:lang w:val="en-GB"/>
        </w:rPr>
        <w:t xml:space="preserve"> </w:t>
      </w:r>
      <w:r w:rsidR="00C76317" w:rsidRPr="00B71D8D">
        <w:rPr>
          <w:lang w:val="en-GB"/>
        </w:rPr>
        <w:t xml:space="preserve">The IE engine </w:t>
      </w:r>
      <w:r w:rsidR="00930D7A" w:rsidRPr="00B71D8D">
        <w:rPr>
          <w:lang w:val="en-GB"/>
        </w:rPr>
        <w:t xml:space="preserve">works under </w:t>
      </w:r>
      <w:r w:rsidR="000D7030" w:rsidRPr="00B71D8D">
        <w:rPr>
          <w:lang w:val="en-GB"/>
        </w:rPr>
        <w:t xml:space="preserve">external </w:t>
      </w:r>
      <w:r w:rsidR="00830259" w:rsidRPr="00B71D8D">
        <w:rPr>
          <w:lang w:val="en-GB"/>
        </w:rPr>
        <w:t>heat supply</w:t>
      </w:r>
      <w:r w:rsidR="00930D7A" w:rsidRPr="00B71D8D">
        <w:rPr>
          <w:lang w:val="en-GB"/>
        </w:rPr>
        <w:t>,</w:t>
      </w:r>
      <w:r w:rsidR="00830259" w:rsidRPr="00B71D8D">
        <w:rPr>
          <w:lang w:val="en-GB"/>
        </w:rPr>
        <w:t xml:space="preserve"> </w:t>
      </w:r>
      <w:r w:rsidR="000D7030" w:rsidRPr="00B71D8D">
        <w:rPr>
          <w:lang w:val="en-GB"/>
        </w:rPr>
        <w:t>and thus, almost every type of heat source</w:t>
      </w:r>
      <w:r w:rsidR="000C33BC" w:rsidRPr="00B71D8D">
        <w:rPr>
          <w:lang w:val="en-GB"/>
        </w:rPr>
        <w:t xml:space="preserve"> is accessible</w:t>
      </w:r>
      <w:r w:rsidR="000D7030" w:rsidRPr="00B71D8D">
        <w:rPr>
          <w:lang w:val="en-GB"/>
        </w:rPr>
        <w:t>.</w:t>
      </w:r>
      <w:r w:rsidR="00EE4C41" w:rsidRPr="00B71D8D">
        <w:rPr>
          <w:lang w:val="en-GB"/>
        </w:rPr>
        <w:t xml:space="preserve"> In this work</w:t>
      </w:r>
      <w:r w:rsidR="00930D7A" w:rsidRPr="00B71D8D">
        <w:rPr>
          <w:lang w:val="en-GB"/>
        </w:rPr>
        <w:t>,</w:t>
      </w:r>
      <w:r w:rsidR="00EE4C41" w:rsidRPr="00B71D8D">
        <w:rPr>
          <w:lang w:val="en-GB"/>
        </w:rPr>
        <w:t xml:space="preserve"> a mathematical model </w:t>
      </w:r>
      <w:r w:rsidR="003936A2" w:rsidRPr="00B71D8D">
        <w:rPr>
          <w:lang w:val="en-GB"/>
        </w:rPr>
        <w:t>for transient thermal simulation of recuperative</w:t>
      </w:r>
      <w:r w:rsidR="00830259" w:rsidRPr="00B71D8D">
        <w:rPr>
          <w:lang w:val="en-GB"/>
        </w:rPr>
        <w:t xml:space="preserve"> displacer</w:t>
      </w:r>
      <w:r w:rsidR="00930D7A" w:rsidRPr="00B71D8D">
        <w:rPr>
          <w:lang w:val="en-GB"/>
        </w:rPr>
        <w:t>-</w:t>
      </w:r>
      <w:r w:rsidR="00830259" w:rsidRPr="00B71D8D">
        <w:rPr>
          <w:lang w:val="en-GB"/>
        </w:rPr>
        <w:t>type</w:t>
      </w:r>
      <w:r w:rsidR="003936A2" w:rsidRPr="00B71D8D">
        <w:rPr>
          <w:lang w:val="en-GB"/>
        </w:rPr>
        <w:t xml:space="preserve"> IE engines operating with dense working fluids </w:t>
      </w:r>
      <w:r w:rsidR="00930D7A" w:rsidRPr="00B71D8D">
        <w:rPr>
          <w:lang w:val="en-GB"/>
        </w:rPr>
        <w:t>is proposed</w:t>
      </w:r>
      <w:r w:rsidR="003936A2" w:rsidRPr="00B71D8D">
        <w:rPr>
          <w:lang w:val="en-GB"/>
        </w:rPr>
        <w:t>.</w:t>
      </w:r>
      <w:r w:rsidR="00C628B9" w:rsidRPr="00B71D8D">
        <w:rPr>
          <w:lang w:val="en-GB"/>
        </w:rPr>
        <w:t xml:space="preserve"> </w:t>
      </w:r>
      <w:r w:rsidR="002B4F5A" w:rsidRPr="00B71D8D">
        <w:rPr>
          <w:lang w:val="en-GB"/>
        </w:rPr>
        <w:t xml:space="preserve">The model is based on </w:t>
      </w:r>
      <w:r w:rsidR="00523C2B" w:rsidRPr="00B71D8D">
        <w:rPr>
          <w:lang w:val="en-GB"/>
        </w:rPr>
        <w:t xml:space="preserve">Nusselt number correlations for </w:t>
      </w:r>
      <w:r w:rsidR="002B4F5A" w:rsidRPr="00B71D8D">
        <w:rPr>
          <w:lang w:val="en-GB"/>
        </w:rPr>
        <w:t xml:space="preserve">the </w:t>
      </w:r>
      <w:r w:rsidR="00523C2B" w:rsidRPr="00B71D8D">
        <w:rPr>
          <w:lang w:val="en-GB"/>
        </w:rPr>
        <w:t xml:space="preserve">heat transfer prediction </w:t>
      </w:r>
      <w:r w:rsidR="002B4F5A" w:rsidRPr="00B71D8D">
        <w:rPr>
          <w:lang w:val="en-GB"/>
        </w:rPr>
        <w:t xml:space="preserve">and is </w:t>
      </w:r>
      <w:r w:rsidR="00523C2B" w:rsidRPr="00B71D8D">
        <w:rPr>
          <w:lang w:val="en-GB"/>
        </w:rPr>
        <w:t xml:space="preserve">coupled to the REFPROP 9.1 database </w:t>
      </w:r>
      <w:r w:rsidR="002B4F5A" w:rsidRPr="00B71D8D">
        <w:rPr>
          <w:lang w:val="en-GB"/>
        </w:rPr>
        <w:t xml:space="preserve">yielding </w:t>
      </w:r>
      <w:r w:rsidR="00523C2B" w:rsidRPr="00B71D8D">
        <w:rPr>
          <w:lang w:val="en-GB"/>
        </w:rPr>
        <w:t>thermophysical properties.</w:t>
      </w:r>
      <w:r w:rsidR="00530E08" w:rsidRPr="00B71D8D">
        <w:rPr>
          <w:lang w:val="en-GB"/>
        </w:rPr>
        <w:t xml:space="preserve"> </w:t>
      </w:r>
      <w:r w:rsidR="00A772A3" w:rsidRPr="00B71D8D">
        <w:rPr>
          <w:lang w:val="en-GB"/>
        </w:rPr>
        <w:t>The f</w:t>
      </w:r>
      <w:r w:rsidR="00930D7A" w:rsidRPr="00B71D8D">
        <w:rPr>
          <w:lang w:val="en-GB"/>
        </w:rPr>
        <w:t>irst</w:t>
      </w:r>
      <w:r w:rsidR="003936A2" w:rsidRPr="00B71D8D">
        <w:rPr>
          <w:lang w:val="en-GB"/>
        </w:rPr>
        <w:t xml:space="preserve"> </w:t>
      </w:r>
      <w:r w:rsidR="00530E08" w:rsidRPr="00B71D8D">
        <w:rPr>
          <w:lang w:val="en-GB"/>
        </w:rPr>
        <w:t xml:space="preserve">results of a parametric study </w:t>
      </w:r>
      <w:r w:rsidR="00930D7A" w:rsidRPr="00B71D8D">
        <w:rPr>
          <w:lang w:val="en-GB"/>
        </w:rPr>
        <w:t xml:space="preserve">performed with two different working fluids, namely R134a and carbon dioxide, are presented to </w:t>
      </w:r>
      <w:r w:rsidR="00530E08" w:rsidRPr="00B71D8D">
        <w:rPr>
          <w:lang w:val="en-GB"/>
        </w:rPr>
        <w:t xml:space="preserve">show the impact of different operating frequencies on the heat transfer characteristics. </w:t>
      </w:r>
    </w:p>
    <w:p w14:paraId="0197101E" w14:textId="4635C769" w:rsidR="00E47203" w:rsidRPr="00B71D8D" w:rsidRDefault="00600535" w:rsidP="00586AEF">
      <w:pPr>
        <w:pStyle w:val="CETHeading1"/>
        <w:rPr>
          <w:lang w:val="en-GB"/>
        </w:rPr>
      </w:pPr>
      <w:r w:rsidRPr="00B71D8D">
        <w:rPr>
          <w:lang w:val="en-GB"/>
        </w:rPr>
        <w:t>Introduction</w:t>
      </w:r>
    </w:p>
    <w:p w14:paraId="60FE33DC" w14:textId="61386D61" w:rsidR="008F2ED7" w:rsidRPr="00B71D8D" w:rsidRDefault="00EE2D75" w:rsidP="00956308">
      <w:pPr>
        <w:pStyle w:val="CETBodytext"/>
        <w:rPr>
          <w:lang w:val="en-GB"/>
        </w:rPr>
      </w:pPr>
      <w:r w:rsidRPr="00B71D8D">
        <w:rPr>
          <w:lang w:val="en-GB"/>
        </w:rPr>
        <w:t>The</w:t>
      </w:r>
      <w:r w:rsidR="00224233" w:rsidRPr="00B71D8D">
        <w:t xml:space="preserve"> version</w:t>
      </w:r>
      <w:r w:rsidRPr="00B71D8D">
        <w:rPr>
          <w:lang w:val="en-GB"/>
        </w:rPr>
        <w:t xml:space="preserve"> </w:t>
      </w:r>
      <w:r w:rsidR="00224233" w:rsidRPr="00B71D8D">
        <w:rPr>
          <w:lang w:val="en-GB"/>
        </w:rPr>
        <w:t xml:space="preserve">of an </w:t>
      </w:r>
      <w:r w:rsidRPr="00B71D8D">
        <w:rPr>
          <w:lang w:val="en-GB"/>
        </w:rPr>
        <w:t>isobaric expansion (IE) engine</w:t>
      </w:r>
      <w:r w:rsidR="00224233" w:rsidRPr="00B71D8D">
        <w:rPr>
          <w:lang w:val="en-GB"/>
        </w:rPr>
        <w:t xml:space="preserve"> </w:t>
      </w:r>
      <w:r w:rsidR="00F46424" w:rsidRPr="00B71D8D">
        <w:rPr>
          <w:lang w:val="en-GB"/>
        </w:rPr>
        <w:t>proposed by Glushenkov et al. (2018)</w:t>
      </w:r>
      <w:r w:rsidR="00224233" w:rsidRPr="00B71D8D">
        <w:rPr>
          <w:lang w:val="en-GB"/>
        </w:rPr>
        <w:t xml:space="preserve"> offers a </w:t>
      </w:r>
      <w:r w:rsidR="00FC369E" w:rsidRPr="00B71D8D">
        <w:rPr>
          <w:lang w:val="en-GB"/>
        </w:rPr>
        <w:t xml:space="preserve">promising </w:t>
      </w:r>
      <w:r w:rsidRPr="00B71D8D">
        <w:rPr>
          <w:lang w:val="en-GB"/>
        </w:rPr>
        <w:t>potential for low and medium</w:t>
      </w:r>
      <w:r w:rsidR="00224233" w:rsidRPr="00B71D8D">
        <w:rPr>
          <w:lang w:val="en-GB"/>
        </w:rPr>
        <w:t xml:space="preserve"> </w:t>
      </w:r>
      <w:r w:rsidRPr="00B71D8D">
        <w:rPr>
          <w:lang w:val="en-GB"/>
        </w:rPr>
        <w:t xml:space="preserve">grade (between </w:t>
      </w:r>
      <w:r w:rsidR="00A20E6C" w:rsidRPr="00B71D8D">
        <w:rPr>
          <w:lang w:val="en-GB"/>
        </w:rPr>
        <w:t>4</w:t>
      </w:r>
      <w:r w:rsidRPr="00B71D8D">
        <w:rPr>
          <w:lang w:val="en-GB"/>
        </w:rPr>
        <w:t xml:space="preserve">0°C and 300°C) </w:t>
      </w:r>
      <w:r w:rsidR="007A0E4D" w:rsidRPr="00B71D8D">
        <w:rPr>
          <w:lang w:val="en-GB"/>
        </w:rPr>
        <w:t xml:space="preserve">heat </w:t>
      </w:r>
      <w:r w:rsidRPr="00B71D8D">
        <w:rPr>
          <w:lang w:val="en-GB"/>
        </w:rPr>
        <w:t>conversion into mechanical energy or electricity.</w:t>
      </w:r>
      <w:r w:rsidR="00EF622F" w:rsidRPr="00B71D8D">
        <w:rPr>
          <w:lang w:val="en-GB"/>
        </w:rPr>
        <w:t xml:space="preserve"> </w:t>
      </w:r>
      <w:r w:rsidR="00AD2A29" w:rsidRPr="00B71D8D">
        <w:rPr>
          <w:lang w:val="en-GB"/>
        </w:rPr>
        <w:t>This IE engine uses external heat supply and can be driven by any type of heat source</w:t>
      </w:r>
      <w:r w:rsidR="00AA6C2A" w:rsidRPr="00B71D8D">
        <w:rPr>
          <w:lang w:val="en-GB"/>
        </w:rPr>
        <w:t>,</w:t>
      </w:r>
      <w:r w:rsidR="00956308" w:rsidRPr="00B71D8D">
        <w:rPr>
          <w:lang w:val="en-GB"/>
        </w:rPr>
        <w:t xml:space="preserve"> such as geothermal energy or industrial waste heat</w:t>
      </w:r>
      <w:r w:rsidR="00AD2A29" w:rsidRPr="00B71D8D">
        <w:rPr>
          <w:lang w:val="en-GB"/>
        </w:rPr>
        <w:t>.</w:t>
      </w:r>
      <w:r w:rsidR="00922E1E" w:rsidRPr="00B71D8D">
        <w:rPr>
          <w:lang w:val="en-GB"/>
        </w:rPr>
        <w:t xml:space="preserve"> </w:t>
      </w:r>
      <w:r w:rsidR="00AA6C2A" w:rsidRPr="00B71D8D">
        <w:rPr>
          <w:lang w:val="en-GB"/>
        </w:rPr>
        <w:t>L</w:t>
      </w:r>
      <w:r w:rsidR="00922E1E" w:rsidRPr="00B71D8D">
        <w:rPr>
          <w:lang w:val="en-GB"/>
        </w:rPr>
        <w:t>ow temperature (&lt;100°C) applications</w:t>
      </w:r>
      <w:r w:rsidR="00AD2A29" w:rsidRPr="00B71D8D">
        <w:rPr>
          <w:lang w:val="en-GB"/>
        </w:rPr>
        <w:t xml:space="preserve"> </w:t>
      </w:r>
      <w:r w:rsidR="00922E1E" w:rsidRPr="00B71D8D">
        <w:rPr>
          <w:lang w:val="en-GB"/>
        </w:rPr>
        <w:t>are</w:t>
      </w:r>
      <w:r w:rsidR="00AA6C2A" w:rsidRPr="00B71D8D">
        <w:rPr>
          <w:lang w:val="en-GB"/>
        </w:rPr>
        <w:t xml:space="preserve"> particularly</w:t>
      </w:r>
      <w:r w:rsidR="00922E1E" w:rsidRPr="00B71D8D">
        <w:rPr>
          <w:lang w:val="en-GB"/>
        </w:rPr>
        <w:t xml:space="preserve"> </w:t>
      </w:r>
      <w:r w:rsidR="00AA6C2A" w:rsidRPr="00B71D8D">
        <w:rPr>
          <w:lang w:val="en-GB"/>
        </w:rPr>
        <w:t xml:space="preserve">promising </w:t>
      </w:r>
      <w:r w:rsidR="00C902B9" w:rsidRPr="00B71D8D">
        <w:rPr>
          <w:lang w:val="en-GB"/>
        </w:rPr>
        <w:t xml:space="preserve">considering that </w:t>
      </w:r>
      <w:r w:rsidR="00922E1E" w:rsidRPr="00B71D8D">
        <w:rPr>
          <w:lang w:val="en-GB"/>
        </w:rPr>
        <w:t xml:space="preserve">the </w:t>
      </w:r>
      <w:r w:rsidR="00C902B9" w:rsidRPr="00B71D8D">
        <w:rPr>
          <w:lang w:val="en-GB"/>
        </w:rPr>
        <w:t>alternative</w:t>
      </w:r>
      <w:r w:rsidR="00922E1E" w:rsidRPr="00B71D8D">
        <w:rPr>
          <w:lang w:val="en-GB"/>
        </w:rPr>
        <w:t xml:space="preserve"> Organic Rankine Cycle </w:t>
      </w:r>
      <w:r w:rsidR="005C3E40" w:rsidRPr="00B71D8D">
        <w:rPr>
          <w:lang w:val="en-GB"/>
        </w:rPr>
        <w:t>technology does not operate</w:t>
      </w:r>
      <w:r w:rsidR="00753392" w:rsidRPr="00B71D8D">
        <w:rPr>
          <w:lang w:val="en-GB"/>
        </w:rPr>
        <w:t xml:space="preserve"> economically</w:t>
      </w:r>
      <w:r w:rsidR="005C3E40" w:rsidRPr="00B71D8D">
        <w:rPr>
          <w:lang w:val="en-GB"/>
        </w:rPr>
        <w:t xml:space="preserve"> </w:t>
      </w:r>
      <w:r w:rsidR="00C902B9" w:rsidRPr="00B71D8D">
        <w:rPr>
          <w:lang w:val="en-GB"/>
        </w:rPr>
        <w:t xml:space="preserve">within this temperature region, mostly because of </w:t>
      </w:r>
      <w:r w:rsidR="005C3E40" w:rsidRPr="00B71D8D">
        <w:rPr>
          <w:lang w:val="en-GB"/>
        </w:rPr>
        <w:t xml:space="preserve">high installation costs. </w:t>
      </w:r>
      <w:r w:rsidR="00486FC0" w:rsidRPr="00B71D8D">
        <w:rPr>
          <w:lang w:val="en-GB"/>
        </w:rPr>
        <w:t xml:space="preserve">A key feature of the IE engine is the use of so-called dense working fluids, </w:t>
      </w:r>
      <w:r w:rsidR="001B3506" w:rsidRPr="00B71D8D">
        <w:rPr>
          <w:lang w:val="en-GB"/>
        </w:rPr>
        <w:t>i.e.</w:t>
      </w:r>
      <w:r w:rsidR="00486FC0" w:rsidRPr="00B71D8D">
        <w:rPr>
          <w:lang w:val="en-GB"/>
        </w:rPr>
        <w:t xml:space="preserve"> fluids that are fully liquid at low process temperature and gaseous or supercritical at high process temperature</w:t>
      </w:r>
      <w:r w:rsidRPr="00B71D8D">
        <w:rPr>
          <w:lang w:val="en-GB"/>
        </w:rPr>
        <w:t xml:space="preserve">. </w:t>
      </w:r>
      <w:r w:rsidR="00486FC0" w:rsidRPr="00B71D8D">
        <w:rPr>
          <w:lang w:val="en-GB"/>
        </w:rPr>
        <w:t xml:space="preserve">The </w:t>
      </w:r>
      <w:r w:rsidR="00B62E5E" w:rsidRPr="00B71D8D">
        <w:rPr>
          <w:lang w:val="en-GB"/>
        </w:rPr>
        <w:t>phase</w:t>
      </w:r>
      <w:r w:rsidR="007A0E4D" w:rsidRPr="00B71D8D">
        <w:rPr>
          <w:lang w:val="en-GB"/>
        </w:rPr>
        <w:t xml:space="preserve"> </w:t>
      </w:r>
      <w:r w:rsidR="00B62E5E" w:rsidRPr="00B71D8D">
        <w:rPr>
          <w:lang w:val="en-GB"/>
        </w:rPr>
        <w:t xml:space="preserve">change </w:t>
      </w:r>
      <w:r w:rsidR="007A0E4D" w:rsidRPr="00B71D8D">
        <w:rPr>
          <w:lang w:val="en-GB"/>
        </w:rPr>
        <w:t xml:space="preserve">effectively </w:t>
      </w:r>
      <w:r w:rsidR="00486FC0" w:rsidRPr="00B71D8D">
        <w:rPr>
          <w:lang w:val="en-GB"/>
        </w:rPr>
        <w:t>contributes to the</w:t>
      </w:r>
      <w:r w:rsidR="00355062" w:rsidRPr="00B71D8D">
        <w:rPr>
          <w:lang w:val="en-GB"/>
        </w:rPr>
        <w:t xml:space="preserve"> engine</w:t>
      </w:r>
      <w:r w:rsidR="00486FC0" w:rsidRPr="00B71D8D">
        <w:rPr>
          <w:lang w:val="en-GB"/>
        </w:rPr>
        <w:t xml:space="preserve"> power output</w:t>
      </w:r>
      <w:r w:rsidR="007A0E4D" w:rsidRPr="00B71D8D">
        <w:rPr>
          <w:lang w:val="en-GB"/>
        </w:rPr>
        <w:t>,</w:t>
      </w:r>
      <w:r w:rsidR="00486FC0" w:rsidRPr="00B71D8D">
        <w:rPr>
          <w:lang w:val="en-GB"/>
        </w:rPr>
        <w:t xml:space="preserve"> </w:t>
      </w:r>
      <w:r w:rsidR="007A0E4D" w:rsidRPr="00B71D8D">
        <w:rPr>
          <w:lang w:val="en-GB"/>
        </w:rPr>
        <w:t>while</w:t>
      </w:r>
      <w:r w:rsidR="009972D0" w:rsidRPr="00B71D8D">
        <w:rPr>
          <w:lang w:val="en-GB"/>
        </w:rPr>
        <w:t xml:space="preserve"> </w:t>
      </w:r>
      <w:r w:rsidR="00861B80" w:rsidRPr="00B71D8D">
        <w:rPr>
          <w:lang w:val="en-GB"/>
        </w:rPr>
        <w:t xml:space="preserve">most </w:t>
      </w:r>
      <w:r w:rsidR="00486FC0" w:rsidRPr="00B71D8D">
        <w:rPr>
          <w:lang w:val="en-GB"/>
        </w:rPr>
        <w:t xml:space="preserve">moving parts of the engine are located in regions </w:t>
      </w:r>
      <w:r w:rsidR="007A0E4D" w:rsidRPr="00B71D8D">
        <w:rPr>
          <w:lang w:val="en-GB"/>
        </w:rPr>
        <w:t>filled with</w:t>
      </w:r>
      <w:r w:rsidR="00486FC0" w:rsidRPr="00B71D8D">
        <w:rPr>
          <w:lang w:val="en-GB"/>
        </w:rPr>
        <w:t xml:space="preserve"> liquid, which </w:t>
      </w:r>
      <w:r w:rsidR="00A20E6C" w:rsidRPr="00B71D8D">
        <w:rPr>
          <w:lang w:val="en-GB"/>
        </w:rPr>
        <w:t>reduces</w:t>
      </w:r>
      <w:r w:rsidR="00486FC0" w:rsidRPr="00B71D8D">
        <w:rPr>
          <w:lang w:val="en-GB"/>
        </w:rPr>
        <w:t xml:space="preserve"> problem</w:t>
      </w:r>
      <w:r w:rsidR="00A20E6C" w:rsidRPr="00B71D8D">
        <w:rPr>
          <w:lang w:val="en-GB"/>
        </w:rPr>
        <w:t>s</w:t>
      </w:r>
      <w:r w:rsidR="00486FC0" w:rsidRPr="00B71D8D">
        <w:rPr>
          <w:lang w:val="en-GB"/>
        </w:rPr>
        <w:t xml:space="preserve"> of sealing and </w:t>
      </w:r>
      <w:r w:rsidR="009972D0" w:rsidRPr="00B71D8D">
        <w:rPr>
          <w:lang w:val="en-GB"/>
        </w:rPr>
        <w:t>lubrication</w:t>
      </w:r>
      <w:r w:rsidR="00944226" w:rsidRPr="00B71D8D">
        <w:rPr>
          <w:lang w:val="en-GB"/>
        </w:rPr>
        <w:t>.</w:t>
      </w:r>
    </w:p>
    <w:p w14:paraId="7B00848B" w14:textId="70DFFB87" w:rsidR="004F47A6" w:rsidRPr="00B71D8D" w:rsidRDefault="000F2FED" w:rsidP="000F2FED">
      <w:pPr>
        <w:pStyle w:val="CETBodytext"/>
        <w:rPr>
          <w:lang w:val="en-GB"/>
        </w:rPr>
      </w:pPr>
      <w:r w:rsidRPr="00B71D8D">
        <w:rPr>
          <w:lang w:val="en-GB"/>
        </w:rPr>
        <w:t>Glushenkov et al. (2018) proposed a special configuration comprising two displacer</w:t>
      </w:r>
      <w:r w:rsidR="00E44B5C" w:rsidRPr="00B71D8D">
        <w:rPr>
          <w:lang w:val="en-GB"/>
        </w:rPr>
        <w:t>-type</w:t>
      </w:r>
      <w:r w:rsidRPr="00B71D8D">
        <w:rPr>
          <w:lang w:val="en-GB"/>
        </w:rPr>
        <w:t xml:space="preserve"> (or Bush-type) IE engines, which </w:t>
      </w:r>
      <w:r w:rsidR="00750BCD" w:rsidRPr="00B71D8D">
        <w:rPr>
          <w:lang w:val="en-GB"/>
        </w:rPr>
        <w:t xml:space="preserve">are </w:t>
      </w:r>
      <w:r w:rsidR="00BA5917" w:rsidRPr="00B71D8D">
        <w:rPr>
          <w:lang w:val="en-GB"/>
        </w:rPr>
        <w:t>interconnected by</w:t>
      </w:r>
      <w:r w:rsidR="00FC4B6B" w:rsidRPr="00B71D8D">
        <w:rPr>
          <w:lang w:val="en-GB"/>
        </w:rPr>
        <w:t xml:space="preserve"> a recuperator as shown in </w:t>
      </w:r>
      <w:r w:rsidR="00FC4B6B" w:rsidRPr="00B71D8D">
        <w:rPr>
          <w:lang w:val="en-GB"/>
        </w:rPr>
        <w:fldChar w:fldCharType="begin"/>
      </w:r>
      <w:r w:rsidR="00FC4B6B" w:rsidRPr="00B71D8D">
        <w:rPr>
          <w:lang w:val="en-GB"/>
        </w:rPr>
        <w:instrText xml:space="preserve"> REF _Ref97281791 \h </w:instrText>
      </w:r>
      <w:r w:rsidR="00750BCD" w:rsidRPr="00B71D8D">
        <w:rPr>
          <w:lang w:val="en-GB"/>
        </w:rPr>
        <w:instrText xml:space="preserve"> \* MERGEFORMAT </w:instrText>
      </w:r>
      <w:r w:rsidR="00FC4B6B" w:rsidRPr="00B71D8D">
        <w:rPr>
          <w:lang w:val="en-GB"/>
        </w:rPr>
      </w:r>
      <w:r w:rsidR="00FC4B6B" w:rsidRPr="00B71D8D">
        <w:rPr>
          <w:lang w:val="en-GB"/>
        </w:rPr>
        <w:fldChar w:fldCharType="separate"/>
      </w:r>
      <w:r w:rsidR="005559CC" w:rsidRPr="00B71D8D">
        <w:rPr>
          <w:lang w:val="en-GB"/>
        </w:rPr>
        <w:t xml:space="preserve">Figure </w:t>
      </w:r>
      <w:r w:rsidR="005559CC" w:rsidRPr="00B71D8D">
        <w:rPr>
          <w:noProof/>
          <w:lang w:val="en-GB"/>
        </w:rPr>
        <w:t>1</w:t>
      </w:r>
      <w:r w:rsidR="00FC4B6B" w:rsidRPr="00B71D8D">
        <w:rPr>
          <w:lang w:val="en-GB"/>
        </w:rPr>
        <w:fldChar w:fldCharType="end"/>
      </w:r>
      <w:r w:rsidR="00FC4B6B" w:rsidRPr="00B71D8D">
        <w:rPr>
          <w:lang w:val="en-GB"/>
        </w:rPr>
        <w:t>.</w:t>
      </w:r>
      <w:r w:rsidR="00BA5917" w:rsidRPr="00B71D8D">
        <w:rPr>
          <w:lang w:val="en-GB"/>
        </w:rPr>
        <w:t xml:space="preserve"> </w:t>
      </w:r>
      <w:r w:rsidR="00CF3C46" w:rsidRPr="00B71D8D">
        <w:rPr>
          <w:lang w:val="en-GB"/>
        </w:rPr>
        <w:t>Th</w:t>
      </w:r>
      <w:r w:rsidR="0095052B" w:rsidRPr="00B71D8D">
        <w:rPr>
          <w:lang w:val="en-GB"/>
        </w:rPr>
        <w:t>is</w:t>
      </w:r>
      <w:r w:rsidR="00CF3C46" w:rsidRPr="00B71D8D">
        <w:rPr>
          <w:lang w:val="en-GB"/>
        </w:rPr>
        <w:t xml:space="preserve"> </w:t>
      </w:r>
      <w:r w:rsidR="0095052B" w:rsidRPr="00B71D8D">
        <w:rPr>
          <w:lang w:val="en-GB"/>
        </w:rPr>
        <w:t xml:space="preserve">combination </w:t>
      </w:r>
      <w:r w:rsidR="00CF3C46" w:rsidRPr="00B71D8D">
        <w:rPr>
          <w:lang w:val="en-GB"/>
        </w:rPr>
        <w:t xml:space="preserve">is called </w:t>
      </w:r>
      <w:r w:rsidR="00CF3C46" w:rsidRPr="00B71D8D">
        <w:rPr>
          <w:i/>
          <w:lang w:val="en-GB"/>
        </w:rPr>
        <w:t>duplex arrangement</w:t>
      </w:r>
      <w:r w:rsidR="00CF3C46" w:rsidRPr="00B71D8D">
        <w:rPr>
          <w:lang w:val="en-GB"/>
        </w:rPr>
        <w:t xml:space="preserve">. </w:t>
      </w:r>
      <w:r w:rsidR="00750BCD" w:rsidRPr="00B71D8D">
        <w:rPr>
          <w:lang w:val="en-GB"/>
        </w:rPr>
        <w:t>According to</w:t>
      </w:r>
      <w:r w:rsidR="0095052B" w:rsidRPr="00B71D8D">
        <w:rPr>
          <w:lang w:val="en-GB"/>
        </w:rPr>
        <w:t xml:space="preserve"> </w:t>
      </w:r>
      <w:r w:rsidR="00556F1E" w:rsidRPr="00B71D8D">
        <w:rPr>
          <w:lang w:val="en-GB"/>
        </w:rPr>
        <w:fldChar w:fldCharType="begin"/>
      </w:r>
      <w:r w:rsidR="00556F1E" w:rsidRPr="00B71D8D">
        <w:rPr>
          <w:lang w:val="en-GB"/>
        </w:rPr>
        <w:instrText xml:space="preserve"> REF _Ref97281791 \h </w:instrText>
      </w:r>
      <w:r w:rsidR="00BE3179" w:rsidRPr="00B71D8D">
        <w:rPr>
          <w:lang w:val="en-GB"/>
        </w:rPr>
        <w:instrText xml:space="preserve"> \* MERGEFORMAT </w:instrText>
      </w:r>
      <w:r w:rsidR="00556F1E" w:rsidRPr="00B71D8D">
        <w:rPr>
          <w:lang w:val="en-GB"/>
        </w:rPr>
      </w:r>
      <w:r w:rsidR="00556F1E" w:rsidRPr="00B71D8D">
        <w:rPr>
          <w:lang w:val="en-GB"/>
        </w:rPr>
        <w:fldChar w:fldCharType="separate"/>
      </w:r>
      <w:r w:rsidR="005559CC" w:rsidRPr="00B71D8D">
        <w:rPr>
          <w:lang w:val="en-GB"/>
        </w:rPr>
        <w:t xml:space="preserve">Figure </w:t>
      </w:r>
      <w:r w:rsidR="005559CC" w:rsidRPr="00B71D8D">
        <w:rPr>
          <w:noProof/>
          <w:lang w:val="en-GB"/>
        </w:rPr>
        <w:t>1</w:t>
      </w:r>
      <w:r w:rsidR="00556F1E" w:rsidRPr="00B71D8D">
        <w:rPr>
          <w:lang w:val="en-GB"/>
        </w:rPr>
        <w:fldChar w:fldCharType="end"/>
      </w:r>
      <w:r w:rsidR="00556F1E" w:rsidRPr="00B71D8D">
        <w:rPr>
          <w:lang w:val="en-GB"/>
        </w:rPr>
        <w:t>a</w:t>
      </w:r>
      <w:r w:rsidR="0095052B" w:rsidRPr="00B71D8D">
        <w:rPr>
          <w:lang w:val="en-GB"/>
        </w:rPr>
        <w:t>,</w:t>
      </w:r>
      <w:r w:rsidR="00556F1E" w:rsidRPr="00B71D8D">
        <w:rPr>
          <w:lang w:val="en-GB"/>
        </w:rPr>
        <w:t xml:space="preserve"> the displacer in engine A </w:t>
      </w:r>
      <w:r w:rsidR="00912C97" w:rsidRPr="00B71D8D">
        <w:rPr>
          <w:lang w:val="en-GB"/>
        </w:rPr>
        <w:t>m</w:t>
      </w:r>
      <w:r w:rsidR="00556F1E" w:rsidRPr="00B71D8D">
        <w:rPr>
          <w:lang w:val="en-GB"/>
        </w:rPr>
        <w:t>ov</w:t>
      </w:r>
      <w:r w:rsidR="0095052B" w:rsidRPr="00B71D8D">
        <w:rPr>
          <w:lang w:val="en-GB"/>
        </w:rPr>
        <w:t>es</w:t>
      </w:r>
      <w:r w:rsidR="00912C97" w:rsidRPr="00B71D8D">
        <w:rPr>
          <w:lang w:val="en-GB"/>
        </w:rPr>
        <w:t xml:space="preserve"> </w:t>
      </w:r>
      <w:r w:rsidR="004939BD" w:rsidRPr="00B71D8D">
        <w:rPr>
          <w:lang w:val="en-GB"/>
        </w:rPr>
        <w:t>t</w:t>
      </w:r>
      <w:r w:rsidR="00556F1E" w:rsidRPr="00B71D8D">
        <w:rPr>
          <w:lang w:val="en-GB"/>
        </w:rPr>
        <w:t>o</w:t>
      </w:r>
      <w:r w:rsidR="00CF3C46" w:rsidRPr="00B71D8D">
        <w:rPr>
          <w:lang w:val="en-GB"/>
        </w:rPr>
        <w:t>wards</w:t>
      </w:r>
      <w:r w:rsidR="00556F1E" w:rsidRPr="00B71D8D">
        <w:rPr>
          <w:lang w:val="en-GB"/>
        </w:rPr>
        <w:t xml:space="preserve"> </w:t>
      </w:r>
      <w:r w:rsidR="003C4B69" w:rsidRPr="00B71D8D">
        <w:rPr>
          <w:lang w:val="en-GB"/>
        </w:rPr>
        <w:t>the hot space (</w:t>
      </w:r>
      <w:r w:rsidR="00556F1E" w:rsidRPr="00B71D8D">
        <w:rPr>
          <w:lang w:val="en-GB"/>
        </w:rPr>
        <w:t>Hs</w:t>
      </w:r>
      <w:r w:rsidR="003C4B69" w:rsidRPr="00B71D8D">
        <w:rPr>
          <w:lang w:val="en-GB"/>
        </w:rPr>
        <w:t>)</w:t>
      </w:r>
      <w:r w:rsidR="00556F1E" w:rsidRPr="00B71D8D">
        <w:rPr>
          <w:lang w:val="en-GB"/>
        </w:rPr>
        <w:t xml:space="preserve"> and displaces hot working fluid through the </w:t>
      </w:r>
      <w:r w:rsidR="003C4B69" w:rsidRPr="00B71D8D">
        <w:rPr>
          <w:lang w:val="en-GB"/>
        </w:rPr>
        <w:t xml:space="preserve">heat exchanger sequence </w:t>
      </w:r>
      <w:r w:rsidR="00C1171F" w:rsidRPr="00B71D8D">
        <w:rPr>
          <w:lang w:val="en-GB"/>
        </w:rPr>
        <w:t xml:space="preserve">comprising </w:t>
      </w:r>
      <w:r w:rsidR="003C4B69" w:rsidRPr="00B71D8D">
        <w:rPr>
          <w:lang w:val="en-GB"/>
        </w:rPr>
        <w:t>heater (H), recuperator (R) and cooler (C).</w:t>
      </w:r>
      <w:r w:rsidR="00556F1E" w:rsidRPr="00B71D8D">
        <w:rPr>
          <w:lang w:val="en-GB"/>
        </w:rPr>
        <w:t xml:space="preserve"> At the same time</w:t>
      </w:r>
      <w:r w:rsidR="001C0A93" w:rsidRPr="00B71D8D">
        <w:rPr>
          <w:lang w:val="en-GB"/>
        </w:rPr>
        <w:t>,</w:t>
      </w:r>
      <w:r w:rsidR="00556F1E" w:rsidRPr="00B71D8D">
        <w:rPr>
          <w:lang w:val="en-GB"/>
        </w:rPr>
        <w:t xml:space="preserve"> in engine</w:t>
      </w:r>
      <w:r w:rsidR="00FE5F5A" w:rsidRPr="00B71D8D">
        <w:rPr>
          <w:lang w:val="en-GB"/>
        </w:rPr>
        <w:t> </w:t>
      </w:r>
      <w:r w:rsidR="00556F1E" w:rsidRPr="00B71D8D">
        <w:rPr>
          <w:lang w:val="en-GB"/>
        </w:rPr>
        <w:t>B fluid is heated and receives heat from engine A</w:t>
      </w:r>
      <w:r w:rsidR="00A265AC" w:rsidRPr="00B71D8D">
        <w:rPr>
          <w:lang w:val="en-GB"/>
        </w:rPr>
        <w:t xml:space="preserve"> in the recuperator</w:t>
      </w:r>
      <w:r w:rsidR="00556F1E" w:rsidRPr="00B71D8D">
        <w:rPr>
          <w:lang w:val="en-GB"/>
        </w:rPr>
        <w:t xml:space="preserve">. The flow direction of the fluid is indicated by small arrows. After one half cycle, </w:t>
      </w:r>
      <w:r w:rsidR="0095052B" w:rsidRPr="00B71D8D">
        <w:rPr>
          <w:lang w:val="en-GB"/>
        </w:rPr>
        <w:t xml:space="preserve">the situation changes, and </w:t>
      </w:r>
      <w:r w:rsidR="00556F1E" w:rsidRPr="00B71D8D">
        <w:rPr>
          <w:lang w:val="en-GB"/>
        </w:rPr>
        <w:t>engine A receives heat from engine</w:t>
      </w:r>
      <w:r w:rsidR="00FE5F5A" w:rsidRPr="00B71D8D">
        <w:rPr>
          <w:lang w:val="en-GB"/>
        </w:rPr>
        <w:t> </w:t>
      </w:r>
      <w:r w:rsidR="00556F1E" w:rsidRPr="00B71D8D">
        <w:rPr>
          <w:lang w:val="en-GB"/>
        </w:rPr>
        <w:t xml:space="preserve">B, as depicted in </w:t>
      </w:r>
      <w:r w:rsidR="00556F1E" w:rsidRPr="00B71D8D">
        <w:rPr>
          <w:lang w:val="en-GB"/>
        </w:rPr>
        <w:fldChar w:fldCharType="begin"/>
      </w:r>
      <w:r w:rsidR="00556F1E" w:rsidRPr="00B71D8D">
        <w:rPr>
          <w:lang w:val="en-GB"/>
        </w:rPr>
        <w:instrText xml:space="preserve"> REF _Ref97281791 \h </w:instrText>
      </w:r>
      <w:r w:rsidRPr="00B71D8D">
        <w:rPr>
          <w:lang w:val="en-GB"/>
        </w:rPr>
        <w:instrText xml:space="preserve"> \* MERGEFORMAT </w:instrText>
      </w:r>
      <w:r w:rsidR="00556F1E" w:rsidRPr="00B71D8D">
        <w:rPr>
          <w:lang w:val="en-GB"/>
        </w:rPr>
      </w:r>
      <w:r w:rsidR="00556F1E" w:rsidRPr="00B71D8D">
        <w:rPr>
          <w:lang w:val="en-GB"/>
        </w:rPr>
        <w:fldChar w:fldCharType="separate"/>
      </w:r>
      <w:r w:rsidR="005559CC" w:rsidRPr="00B71D8D">
        <w:t xml:space="preserve">Figure </w:t>
      </w:r>
      <w:r w:rsidR="005559CC" w:rsidRPr="00B71D8D">
        <w:rPr>
          <w:noProof/>
        </w:rPr>
        <w:t>1</w:t>
      </w:r>
      <w:r w:rsidR="00556F1E" w:rsidRPr="00B71D8D">
        <w:rPr>
          <w:lang w:val="en-GB"/>
        </w:rPr>
        <w:fldChar w:fldCharType="end"/>
      </w:r>
      <w:r w:rsidR="00556F1E" w:rsidRPr="00B71D8D">
        <w:rPr>
          <w:lang w:val="en-GB"/>
        </w:rPr>
        <w:t>b.</w:t>
      </w:r>
      <w:r w:rsidR="004F47A6" w:rsidRPr="00B71D8D">
        <w:rPr>
          <w:lang w:val="en-GB"/>
        </w:rPr>
        <w:t xml:space="preserve"> The thermodynamic behaviour of each IE engine </w:t>
      </w:r>
      <w:r w:rsidR="00A72EFA" w:rsidRPr="00B71D8D">
        <w:rPr>
          <w:lang w:val="en-GB"/>
        </w:rPr>
        <w:t xml:space="preserve">can be </w:t>
      </w:r>
      <w:r w:rsidR="004F47A6" w:rsidRPr="00B71D8D">
        <w:rPr>
          <w:lang w:val="en-GB"/>
        </w:rPr>
        <w:t>described by an ideal rectangular cycle</w:t>
      </w:r>
      <w:r w:rsidR="006F0C60" w:rsidRPr="00B71D8D">
        <w:rPr>
          <w:lang w:val="en-GB"/>
        </w:rPr>
        <w:t xml:space="preserve"> </w:t>
      </w:r>
      <w:r w:rsidR="00A72EFA" w:rsidRPr="00B71D8D">
        <w:rPr>
          <w:lang w:val="en-GB"/>
        </w:rPr>
        <w:t>in</w:t>
      </w:r>
      <w:r w:rsidR="006F0C60" w:rsidRPr="00B71D8D">
        <w:rPr>
          <w:lang w:val="en-GB"/>
        </w:rPr>
        <w:t xml:space="preserve"> the pressure-volume </w:t>
      </w:r>
      <w:r w:rsidR="00A72EFA" w:rsidRPr="00B71D8D">
        <w:rPr>
          <w:lang w:val="en-GB"/>
        </w:rPr>
        <w:t>diagram</w:t>
      </w:r>
      <w:r w:rsidR="004F47A6" w:rsidRPr="00B71D8D">
        <w:rPr>
          <w:lang w:val="en-GB"/>
        </w:rPr>
        <w:t>. When working fluid is displaced f</w:t>
      </w:r>
      <w:r w:rsidR="002B63FC" w:rsidRPr="00B71D8D">
        <w:rPr>
          <w:lang w:val="en-GB"/>
        </w:rPr>
        <w:t>r</w:t>
      </w:r>
      <w:r w:rsidR="004F47A6" w:rsidRPr="00B71D8D">
        <w:rPr>
          <w:lang w:val="en-GB"/>
        </w:rPr>
        <w:t xml:space="preserve">om Cs to Hs, </w:t>
      </w:r>
      <w:r w:rsidR="0095052B" w:rsidRPr="00B71D8D">
        <w:rPr>
          <w:lang w:val="en-GB"/>
        </w:rPr>
        <w:t xml:space="preserve">it </w:t>
      </w:r>
      <w:r w:rsidR="004F47A6" w:rsidRPr="00B71D8D">
        <w:rPr>
          <w:lang w:val="en-GB"/>
        </w:rPr>
        <w:t xml:space="preserve">is heated and the pressure inside the engine rises. </w:t>
      </w:r>
      <w:r w:rsidR="005C3D11" w:rsidRPr="00B71D8D">
        <w:rPr>
          <w:lang w:val="en-GB"/>
        </w:rPr>
        <w:t>As</w:t>
      </w:r>
      <w:r w:rsidR="004F47A6" w:rsidRPr="00B71D8D">
        <w:rPr>
          <w:lang w:val="en-GB"/>
        </w:rPr>
        <w:t xml:space="preserve"> the pressure reaches a certain level </w:t>
      </w:r>
      <m:oMath>
        <m:sSub>
          <m:sSubPr>
            <m:ctrlPr>
              <w:rPr>
                <w:rFonts w:ascii="Cambria Math" w:hAnsi="Cambria Math"/>
                <w:i/>
                <w:lang w:val="en-GB"/>
              </w:rPr>
            </m:ctrlPr>
          </m:sSubPr>
          <m:e>
            <m:r>
              <w:rPr>
                <w:rFonts w:ascii="Cambria Math" w:hAnsi="Cambria Math"/>
                <w:lang w:val="en-GB"/>
              </w:rPr>
              <m:t>p</m:t>
            </m:r>
          </m:e>
          <m:sub>
            <m:r>
              <w:rPr>
                <w:rFonts w:ascii="Cambria Math" w:hAnsi="Cambria Math"/>
                <w:vertAlign w:val="subscript"/>
                <w:lang w:val="en-GB"/>
              </w:rPr>
              <m:t>high</m:t>
            </m:r>
          </m:sub>
        </m:sSub>
      </m:oMath>
      <w:r w:rsidR="004F47A6" w:rsidRPr="00B71D8D">
        <w:rPr>
          <w:lang w:val="en-GB"/>
        </w:rPr>
        <w:t xml:space="preserve">, the power piston starts to move and the overall </w:t>
      </w:r>
      <w:r w:rsidR="00E93A07" w:rsidRPr="00B71D8D">
        <w:rPr>
          <w:lang w:val="en-GB"/>
        </w:rPr>
        <w:t xml:space="preserve">internal </w:t>
      </w:r>
      <w:r w:rsidR="004F47A6" w:rsidRPr="00B71D8D">
        <w:rPr>
          <w:lang w:val="en-GB"/>
        </w:rPr>
        <w:t>volume of the engine expands, while the pressure</w:t>
      </w:r>
      <w:r w:rsidR="005C3D11" w:rsidRPr="00B71D8D">
        <w:rPr>
          <w:lang w:val="en-GB"/>
        </w:rPr>
        <w:t xml:space="preserve"> inside</w:t>
      </w:r>
      <w:r w:rsidR="004F47A6" w:rsidRPr="00B71D8D">
        <w:rPr>
          <w:lang w:val="en-GB"/>
        </w:rPr>
        <w:t xml:space="preserve"> remains constant. After </w:t>
      </w:r>
      <w:r w:rsidR="00DD5AFA" w:rsidRPr="00B71D8D">
        <w:rPr>
          <w:lang w:val="en-GB"/>
        </w:rPr>
        <w:t xml:space="preserve">having reached </w:t>
      </w:r>
      <w:r w:rsidR="004F47A6" w:rsidRPr="00B71D8D">
        <w:rPr>
          <w:lang w:val="en-GB"/>
        </w:rPr>
        <w:t xml:space="preserve">the </w:t>
      </w:r>
      <w:r w:rsidR="00327064" w:rsidRPr="00B71D8D">
        <w:rPr>
          <w:lang w:val="en-GB"/>
        </w:rPr>
        <w:t xml:space="preserve">final </w:t>
      </w:r>
      <w:r w:rsidR="004F47A6" w:rsidRPr="00B71D8D">
        <w:rPr>
          <w:lang w:val="en-GB"/>
        </w:rPr>
        <w:t xml:space="preserve">right </w:t>
      </w:r>
      <w:r w:rsidR="00327064" w:rsidRPr="00B71D8D">
        <w:rPr>
          <w:lang w:val="en-GB"/>
        </w:rPr>
        <w:t xml:space="preserve">position </w:t>
      </w:r>
      <w:r w:rsidR="004F47A6" w:rsidRPr="00B71D8D">
        <w:rPr>
          <w:lang w:val="en-GB"/>
        </w:rPr>
        <w:t xml:space="preserve">(volume occupied by Hs is at its maximum), </w:t>
      </w:r>
      <w:r w:rsidR="00DD5AFA" w:rsidRPr="00B71D8D">
        <w:rPr>
          <w:lang w:val="en-GB"/>
        </w:rPr>
        <w:t xml:space="preserve">the displacer begins its movement in the opposite direction while </w:t>
      </w:r>
      <w:r w:rsidR="004F47A6" w:rsidRPr="00B71D8D">
        <w:rPr>
          <w:lang w:val="en-GB"/>
        </w:rPr>
        <w:t xml:space="preserve">working fluid is displaced from Hs to Cs. </w:t>
      </w:r>
      <w:r w:rsidR="005C3D11" w:rsidRPr="00B71D8D">
        <w:rPr>
          <w:lang w:val="en-GB"/>
        </w:rPr>
        <w:t xml:space="preserve">The </w:t>
      </w:r>
      <w:r w:rsidR="005C3D11" w:rsidRPr="00B71D8D">
        <w:rPr>
          <w:lang w:val="en-GB"/>
        </w:rPr>
        <w:lastRenderedPageBreak/>
        <w:t>w</w:t>
      </w:r>
      <w:r w:rsidR="004F47A6" w:rsidRPr="00B71D8D">
        <w:rPr>
          <w:lang w:val="en-GB"/>
        </w:rPr>
        <w:t>orking fluid is cooled</w:t>
      </w:r>
      <w:r w:rsidR="00327064" w:rsidRPr="00B71D8D">
        <w:rPr>
          <w:lang w:val="en-GB"/>
        </w:rPr>
        <w:t>,</w:t>
      </w:r>
      <w:r w:rsidR="004F47A6" w:rsidRPr="00B71D8D">
        <w:rPr>
          <w:lang w:val="en-GB"/>
        </w:rPr>
        <w:t xml:space="preserve"> and </w:t>
      </w:r>
      <w:r w:rsidR="00327064" w:rsidRPr="00B71D8D">
        <w:rPr>
          <w:lang w:val="en-GB"/>
        </w:rPr>
        <w:t>hence</w:t>
      </w:r>
      <w:r w:rsidR="004F47A6" w:rsidRPr="00B71D8D">
        <w:rPr>
          <w:lang w:val="en-GB"/>
        </w:rPr>
        <w:t xml:space="preserve">, the pressure decreases until </w:t>
      </w:r>
      <w:r w:rsidR="005C3D11" w:rsidRPr="00B71D8D">
        <w:rPr>
          <w:lang w:val="en-GB"/>
        </w:rPr>
        <w:t xml:space="preserve">the </w:t>
      </w:r>
      <w:r w:rsidR="004F47A6" w:rsidRPr="00B71D8D">
        <w:rPr>
          <w:lang w:val="en-GB"/>
        </w:rPr>
        <w:t xml:space="preserve">pressure level </w:t>
      </w:r>
      <m:oMath>
        <m:sSub>
          <m:sSubPr>
            <m:ctrlPr>
              <w:rPr>
                <w:rFonts w:ascii="Cambria Math" w:hAnsi="Cambria Math"/>
                <w:i/>
                <w:lang w:val="en-GB"/>
              </w:rPr>
            </m:ctrlPr>
          </m:sSubPr>
          <m:e>
            <m:r>
              <w:rPr>
                <w:rFonts w:ascii="Cambria Math" w:hAnsi="Cambria Math"/>
                <w:lang w:val="en-GB"/>
              </w:rPr>
              <m:t>p</m:t>
            </m:r>
          </m:e>
          <m:sub>
            <m:r>
              <w:rPr>
                <w:rFonts w:ascii="Cambria Math" w:hAnsi="Cambria Math"/>
                <w:vertAlign w:val="subscript"/>
                <w:lang w:val="en-GB"/>
              </w:rPr>
              <m:t>low</m:t>
            </m:r>
          </m:sub>
        </m:sSub>
      </m:oMath>
      <w:r w:rsidR="004F47A6" w:rsidRPr="00B71D8D">
        <w:rPr>
          <w:lang w:val="en-GB"/>
        </w:rPr>
        <w:t xml:space="preserve"> is reached. Finally, the power piston moves back to its initial position due to continu</w:t>
      </w:r>
      <w:r w:rsidR="00C86468" w:rsidRPr="00B71D8D">
        <w:rPr>
          <w:lang w:val="en-GB"/>
        </w:rPr>
        <w:t>ous</w:t>
      </w:r>
      <w:r w:rsidR="004F47A6" w:rsidRPr="00B71D8D">
        <w:rPr>
          <w:lang w:val="en-GB"/>
        </w:rPr>
        <w:t xml:space="preserve"> cooling of the working fluid at constant pressure.</w:t>
      </w:r>
    </w:p>
    <w:tbl>
      <w:tblPr>
        <w:tblStyle w:val="Tabellenraster"/>
        <w:tblW w:w="89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5"/>
        <w:gridCol w:w="4466"/>
      </w:tblGrid>
      <w:tr w:rsidR="00556F1E" w:rsidRPr="00B71D8D" w14:paraId="6C538350" w14:textId="77777777" w:rsidTr="00F36A40">
        <w:trPr>
          <w:trHeight w:val="2948"/>
        </w:trPr>
        <w:tc>
          <w:tcPr>
            <w:tcW w:w="4465" w:type="dxa"/>
          </w:tcPr>
          <w:p w14:paraId="5D23680A" w14:textId="77777777" w:rsidR="00556F1E" w:rsidRPr="00B71D8D" w:rsidRDefault="00556F1E" w:rsidP="00F36A40">
            <w:pPr>
              <w:pStyle w:val="CETBodytext"/>
              <w:keepNext/>
              <w:spacing w:before="240"/>
              <w:jc w:val="left"/>
              <w:rPr>
                <w:lang w:val="en-GB"/>
              </w:rPr>
            </w:pPr>
            <w:r w:rsidRPr="00B71D8D">
              <w:rPr>
                <w:noProof/>
                <w:lang w:val="en-GB"/>
              </w:rPr>
              <w:drawing>
                <wp:anchor distT="0" distB="0" distL="114300" distR="114300" simplePos="0" relativeHeight="251652608" behindDoc="0" locked="0" layoutInCell="1" allowOverlap="1" wp14:anchorId="63B123C8" wp14:editId="2AC62128">
                  <wp:simplePos x="0" y="0"/>
                  <wp:positionH relativeFrom="column">
                    <wp:posOffset>-4710</wp:posOffset>
                  </wp:positionH>
                  <wp:positionV relativeFrom="paragraph">
                    <wp:posOffset>149583</wp:posOffset>
                  </wp:positionV>
                  <wp:extent cx="2660487" cy="1705662"/>
                  <wp:effectExtent l="0" t="0" r="6985" b="889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3"/>
                          <a:stretch>
                            <a:fillRect/>
                          </a:stretch>
                        </pic:blipFill>
                        <pic:spPr>
                          <a:xfrm>
                            <a:off x="0" y="0"/>
                            <a:ext cx="2660487" cy="1705662"/>
                          </a:xfrm>
                          <a:prstGeom prst="rect">
                            <a:avLst/>
                          </a:prstGeom>
                        </pic:spPr>
                      </pic:pic>
                    </a:graphicData>
                  </a:graphic>
                  <wp14:sizeRelH relativeFrom="margin">
                    <wp14:pctWidth>0</wp14:pctWidth>
                  </wp14:sizeRelH>
                  <wp14:sizeRelV relativeFrom="margin">
                    <wp14:pctHeight>0</wp14:pctHeight>
                  </wp14:sizeRelV>
                </wp:anchor>
              </w:drawing>
            </w:r>
            <w:r w:rsidRPr="00B71D8D">
              <w:rPr>
                <w:lang w:val="en-GB"/>
              </w:rPr>
              <w:t>a)</w:t>
            </w:r>
          </w:p>
          <w:p w14:paraId="325B2F09" w14:textId="77777777" w:rsidR="00556F1E" w:rsidRPr="00B71D8D" w:rsidRDefault="00556F1E" w:rsidP="00F36A40">
            <w:pPr>
              <w:pStyle w:val="CETBodytext"/>
              <w:spacing w:before="240"/>
              <w:rPr>
                <w:lang w:val="en-GB"/>
              </w:rPr>
            </w:pPr>
          </w:p>
          <w:p w14:paraId="6F283938" w14:textId="77777777" w:rsidR="00556F1E" w:rsidRPr="00B71D8D" w:rsidRDefault="00556F1E" w:rsidP="00F36A40">
            <w:pPr>
              <w:pStyle w:val="CETBodytext"/>
              <w:spacing w:before="240"/>
              <w:rPr>
                <w:lang w:val="en-GB"/>
              </w:rPr>
            </w:pPr>
          </w:p>
          <w:p w14:paraId="75280816" w14:textId="77777777" w:rsidR="00556F1E" w:rsidRPr="00B71D8D" w:rsidRDefault="00556F1E" w:rsidP="00F36A40">
            <w:pPr>
              <w:pStyle w:val="CETBodytext"/>
              <w:spacing w:before="240"/>
              <w:rPr>
                <w:lang w:val="en-GB"/>
              </w:rPr>
            </w:pPr>
          </w:p>
          <w:p w14:paraId="1BCB1FD1" w14:textId="77777777" w:rsidR="00556F1E" w:rsidRPr="00B71D8D" w:rsidRDefault="00556F1E" w:rsidP="00F36A40">
            <w:pPr>
              <w:pStyle w:val="CETBodytext"/>
              <w:tabs>
                <w:tab w:val="clear" w:pos="7100"/>
                <w:tab w:val="left" w:pos="3373"/>
              </w:tabs>
              <w:spacing w:before="240"/>
              <w:rPr>
                <w:lang w:val="en-GB"/>
              </w:rPr>
            </w:pPr>
            <w:r w:rsidRPr="00B71D8D">
              <w:rPr>
                <w:lang w:val="en-GB"/>
              </w:rPr>
              <w:tab/>
            </w:r>
          </w:p>
        </w:tc>
        <w:tc>
          <w:tcPr>
            <w:tcW w:w="4466" w:type="dxa"/>
          </w:tcPr>
          <w:p w14:paraId="5A905716" w14:textId="77777777" w:rsidR="00556F1E" w:rsidRPr="00B71D8D" w:rsidRDefault="00556F1E" w:rsidP="00F36A40">
            <w:pPr>
              <w:pStyle w:val="CETBodytext"/>
              <w:spacing w:before="240"/>
              <w:rPr>
                <w:lang w:val="en-GB"/>
              </w:rPr>
            </w:pPr>
            <w:r w:rsidRPr="00B71D8D">
              <w:rPr>
                <w:noProof/>
                <w:lang w:val="en-GB"/>
              </w:rPr>
              <w:drawing>
                <wp:anchor distT="0" distB="0" distL="114300" distR="114300" simplePos="0" relativeHeight="251661824" behindDoc="0" locked="0" layoutInCell="1" allowOverlap="1" wp14:anchorId="028B735C" wp14:editId="7975B377">
                  <wp:simplePos x="0" y="0"/>
                  <wp:positionH relativeFrom="column">
                    <wp:posOffset>13335</wp:posOffset>
                  </wp:positionH>
                  <wp:positionV relativeFrom="paragraph">
                    <wp:posOffset>149971</wp:posOffset>
                  </wp:positionV>
                  <wp:extent cx="2663876" cy="1705662"/>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4"/>
                          <a:stretch>
                            <a:fillRect/>
                          </a:stretch>
                        </pic:blipFill>
                        <pic:spPr>
                          <a:xfrm>
                            <a:off x="0" y="0"/>
                            <a:ext cx="2663876" cy="1705662"/>
                          </a:xfrm>
                          <a:prstGeom prst="rect">
                            <a:avLst/>
                          </a:prstGeom>
                        </pic:spPr>
                      </pic:pic>
                    </a:graphicData>
                  </a:graphic>
                  <wp14:sizeRelH relativeFrom="margin">
                    <wp14:pctWidth>0</wp14:pctWidth>
                  </wp14:sizeRelH>
                  <wp14:sizeRelV relativeFrom="margin">
                    <wp14:pctHeight>0</wp14:pctHeight>
                  </wp14:sizeRelV>
                </wp:anchor>
              </w:drawing>
            </w:r>
            <w:r w:rsidRPr="00B71D8D">
              <w:rPr>
                <w:lang w:val="en-GB"/>
              </w:rPr>
              <w:t>b)</w:t>
            </w:r>
          </w:p>
          <w:p w14:paraId="6E69CFBD" w14:textId="77777777" w:rsidR="00556F1E" w:rsidRPr="00B71D8D" w:rsidRDefault="00556F1E" w:rsidP="00F36A40">
            <w:pPr>
              <w:pStyle w:val="CETBodytext"/>
              <w:spacing w:before="240"/>
              <w:rPr>
                <w:lang w:val="en-GB"/>
              </w:rPr>
            </w:pPr>
          </w:p>
        </w:tc>
      </w:tr>
      <w:tr w:rsidR="00556F1E" w:rsidRPr="00B71D8D" w14:paraId="18C8A00F" w14:textId="77777777" w:rsidTr="00F36A40">
        <w:trPr>
          <w:trHeight w:val="567"/>
        </w:trPr>
        <w:tc>
          <w:tcPr>
            <w:tcW w:w="8931" w:type="dxa"/>
            <w:gridSpan w:val="2"/>
          </w:tcPr>
          <w:p w14:paraId="5AE1856D" w14:textId="6519B7B6" w:rsidR="00556F1E" w:rsidRPr="00B71D8D" w:rsidRDefault="00556F1E" w:rsidP="00F36A40">
            <w:pPr>
              <w:pStyle w:val="CETCaption"/>
            </w:pPr>
            <w:bookmarkStart w:id="0" w:name="_Ref97281791"/>
            <w:r w:rsidRPr="00B71D8D">
              <w:t xml:space="preserve">Figure </w:t>
            </w:r>
            <w:r w:rsidRPr="00B71D8D">
              <w:fldChar w:fldCharType="begin"/>
            </w:r>
            <w:r w:rsidRPr="00B71D8D">
              <w:instrText xml:space="preserve"> SEQ Figure \* ARABIC </w:instrText>
            </w:r>
            <w:r w:rsidRPr="00B71D8D">
              <w:fldChar w:fldCharType="separate"/>
            </w:r>
            <w:r w:rsidR="005559CC" w:rsidRPr="00B71D8D">
              <w:rPr>
                <w:noProof/>
              </w:rPr>
              <w:t>1</w:t>
            </w:r>
            <w:r w:rsidRPr="00B71D8D">
              <w:fldChar w:fldCharType="end"/>
            </w:r>
            <w:bookmarkEnd w:id="0"/>
            <w:r w:rsidRPr="00B71D8D">
              <w:t>: Schematic of two</w:t>
            </w:r>
            <w:r w:rsidR="00DD5AFA" w:rsidRPr="00B71D8D">
              <w:t xml:space="preserve"> coupled</w:t>
            </w:r>
            <w:r w:rsidRPr="00B71D8D">
              <w:t xml:space="preserve"> IE engines in a duplex arrangement: engine A delivers heat to engine B</w:t>
            </w:r>
            <w:r w:rsidR="00A265AC" w:rsidRPr="00B71D8D">
              <w:t xml:space="preserve"> during the first half cycle</w:t>
            </w:r>
            <w:r w:rsidRPr="00B71D8D">
              <w:t xml:space="preserve"> </w:t>
            </w:r>
            <w:r w:rsidR="007D1A33" w:rsidRPr="00B71D8D">
              <w:t>(</w:t>
            </w:r>
            <w:r w:rsidRPr="00B71D8D">
              <w:t xml:space="preserve">a) and </w:t>
            </w:r>
            <w:r w:rsidR="00A265AC" w:rsidRPr="00B71D8D">
              <w:t xml:space="preserve">reversal of the flow direction in the second </w:t>
            </w:r>
            <w:r w:rsidRPr="00B71D8D">
              <w:t xml:space="preserve">half cycle </w:t>
            </w:r>
            <w:r w:rsidR="007D1A33" w:rsidRPr="00B71D8D">
              <w:t>(</w:t>
            </w:r>
            <w:r w:rsidRPr="00B71D8D">
              <w:t>b).</w:t>
            </w:r>
          </w:p>
        </w:tc>
      </w:tr>
    </w:tbl>
    <w:p w14:paraId="0D370B50" w14:textId="12F80814" w:rsidR="007135D9" w:rsidRPr="00B71D8D" w:rsidRDefault="00543051" w:rsidP="0074592D">
      <w:pPr>
        <w:pStyle w:val="CETBodytext"/>
        <w:rPr>
          <w:lang w:val="en-GB"/>
        </w:rPr>
      </w:pPr>
      <w:r w:rsidRPr="00B71D8D">
        <w:rPr>
          <w:lang w:val="en-GB"/>
        </w:rPr>
        <w:t xml:space="preserve">The importance of </w:t>
      </w:r>
      <w:r w:rsidR="00617047" w:rsidRPr="00B71D8D">
        <w:rPr>
          <w:lang w:val="en-GB"/>
        </w:rPr>
        <w:t>well-</w:t>
      </w:r>
      <w:r w:rsidRPr="00B71D8D">
        <w:rPr>
          <w:lang w:val="en-GB"/>
        </w:rPr>
        <w:t xml:space="preserve">designed heat exchangers </w:t>
      </w:r>
      <w:r w:rsidR="00DD5AFA" w:rsidRPr="00B71D8D">
        <w:rPr>
          <w:lang w:val="en-GB"/>
        </w:rPr>
        <w:t xml:space="preserve">in IE engine application </w:t>
      </w:r>
      <w:r w:rsidRPr="00B71D8D">
        <w:rPr>
          <w:lang w:val="en-GB"/>
        </w:rPr>
        <w:t xml:space="preserve">has been </w:t>
      </w:r>
      <w:r w:rsidR="00617047" w:rsidRPr="00B71D8D">
        <w:rPr>
          <w:lang w:val="en-GB"/>
        </w:rPr>
        <w:t xml:space="preserve">emphasised </w:t>
      </w:r>
      <w:r w:rsidRPr="00B71D8D">
        <w:rPr>
          <w:lang w:val="en-GB"/>
        </w:rPr>
        <w:t>by Knoke et al. (2020). They show</w:t>
      </w:r>
      <w:r w:rsidR="00AF0D3D" w:rsidRPr="00B71D8D">
        <w:rPr>
          <w:lang w:val="en-GB"/>
        </w:rPr>
        <w:t>ed</w:t>
      </w:r>
      <w:r w:rsidRPr="00B71D8D">
        <w:rPr>
          <w:lang w:val="en-GB"/>
        </w:rPr>
        <w:t xml:space="preserve"> that dead volumes</w:t>
      </w:r>
      <w:r w:rsidR="003E5943" w:rsidRPr="00B71D8D">
        <w:rPr>
          <w:lang w:val="en-GB"/>
        </w:rPr>
        <w:t xml:space="preserve"> encountered</w:t>
      </w:r>
      <w:r w:rsidRPr="00B71D8D">
        <w:rPr>
          <w:lang w:val="en-GB"/>
        </w:rPr>
        <w:t xml:space="preserve"> </w:t>
      </w:r>
      <w:r w:rsidR="0087014D" w:rsidRPr="00B71D8D">
        <w:rPr>
          <w:lang w:val="en-GB"/>
        </w:rPr>
        <w:t xml:space="preserve">due to </w:t>
      </w:r>
      <w:r w:rsidRPr="00B71D8D">
        <w:rPr>
          <w:lang w:val="en-GB"/>
        </w:rPr>
        <w:t>internal volume of the heat exchanger equipment have a strong negative i</w:t>
      </w:r>
      <w:r w:rsidR="00076CC9" w:rsidRPr="00B71D8D">
        <w:rPr>
          <w:lang w:val="en-GB"/>
        </w:rPr>
        <w:t>nfluence</w:t>
      </w:r>
      <w:r w:rsidRPr="00B71D8D">
        <w:rPr>
          <w:lang w:val="en-GB"/>
        </w:rPr>
        <w:t xml:space="preserve"> on the thermal efficiency of </w:t>
      </w:r>
      <w:r w:rsidR="00E44B5C" w:rsidRPr="00B71D8D">
        <w:rPr>
          <w:lang w:val="en-GB"/>
        </w:rPr>
        <w:t xml:space="preserve">displacer-type </w:t>
      </w:r>
      <w:r w:rsidRPr="00B71D8D">
        <w:rPr>
          <w:lang w:val="en-GB"/>
        </w:rPr>
        <w:t>IE engines. Therefore, they propose</w:t>
      </w:r>
      <w:r w:rsidR="00AF0D3D" w:rsidRPr="00B71D8D">
        <w:rPr>
          <w:lang w:val="en-GB"/>
        </w:rPr>
        <w:t>d</w:t>
      </w:r>
      <w:r w:rsidRPr="00B71D8D">
        <w:rPr>
          <w:lang w:val="en-GB"/>
        </w:rPr>
        <w:t xml:space="preserve"> </w:t>
      </w:r>
      <w:r w:rsidR="003E5943" w:rsidRPr="00B71D8D">
        <w:rPr>
          <w:lang w:val="en-GB"/>
        </w:rPr>
        <w:t xml:space="preserve">using </w:t>
      </w:r>
      <w:r w:rsidRPr="00B71D8D">
        <w:rPr>
          <w:lang w:val="en-GB"/>
        </w:rPr>
        <w:t xml:space="preserve">compact heat exchangers with high surface densities, such as the so-called </w:t>
      </w:r>
      <w:r w:rsidRPr="00B71D8D">
        <w:rPr>
          <w:i/>
          <w:lang w:val="en-GB"/>
        </w:rPr>
        <w:t>printed circuit heat exchangers</w:t>
      </w:r>
      <w:r w:rsidRPr="00B71D8D">
        <w:rPr>
          <w:lang w:val="en-GB"/>
        </w:rPr>
        <w:t xml:space="preserve"> (PCHE). PCHEs </w:t>
      </w:r>
      <w:r w:rsidR="00985147" w:rsidRPr="00B71D8D">
        <w:rPr>
          <w:lang w:val="en-GB"/>
        </w:rPr>
        <w:t>consist of thin plates with semi-circular shaped channels, which are chemically etched</w:t>
      </w:r>
      <w:r w:rsidR="00076CC9" w:rsidRPr="00B71D8D">
        <w:rPr>
          <w:lang w:val="en-GB"/>
        </w:rPr>
        <w:t xml:space="preserve"> into the plates</w:t>
      </w:r>
      <w:r w:rsidR="00885B5A" w:rsidRPr="00B71D8D">
        <w:rPr>
          <w:lang w:val="en-GB"/>
        </w:rPr>
        <w:t xml:space="preserve"> as illustrated in </w:t>
      </w:r>
      <w:r w:rsidR="00885B5A" w:rsidRPr="00B71D8D">
        <w:rPr>
          <w:lang w:val="en-GB"/>
        </w:rPr>
        <w:fldChar w:fldCharType="begin"/>
      </w:r>
      <w:r w:rsidR="00885B5A" w:rsidRPr="00B71D8D">
        <w:rPr>
          <w:lang w:val="en-GB"/>
        </w:rPr>
        <w:instrText xml:space="preserve"> REF _Ref97281780 \h  \* MERGEFORMAT </w:instrText>
      </w:r>
      <w:r w:rsidR="00885B5A" w:rsidRPr="00B71D8D">
        <w:rPr>
          <w:lang w:val="en-GB"/>
        </w:rPr>
      </w:r>
      <w:r w:rsidR="00885B5A" w:rsidRPr="00B71D8D">
        <w:rPr>
          <w:lang w:val="en-GB"/>
        </w:rPr>
        <w:fldChar w:fldCharType="separate"/>
      </w:r>
      <w:r w:rsidR="00885B5A" w:rsidRPr="00B71D8D">
        <w:t xml:space="preserve">Figure </w:t>
      </w:r>
      <w:r w:rsidR="00885B5A" w:rsidRPr="00B71D8D">
        <w:rPr>
          <w:noProof/>
        </w:rPr>
        <w:t>2</w:t>
      </w:r>
      <w:r w:rsidR="00885B5A" w:rsidRPr="00B71D8D">
        <w:rPr>
          <w:lang w:val="en-GB"/>
        </w:rPr>
        <w:fldChar w:fldCharType="end"/>
      </w:r>
      <w:r w:rsidR="00985147" w:rsidRPr="00B71D8D">
        <w:rPr>
          <w:lang w:val="en-GB"/>
        </w:rPr>
        <w:t>. Multiple plates are diffusion bonded in an alternating order</w:t>
      </w:r>
      <w:r w:rsidR="005C3D11" w:rsidRPr="00B71D8D">
        <w:rPr>
          <w:lang w:val="en-GB"/>
        </w:rPr>
        <w:t xml:space="preserve">, </w:t>
      </w:r>
      <w:r w:rsidR="0040370E" w:rsidRPr="00B71D8D">
        <w:rPr>
          <w:lang w:val="en-GB"/>
        </w:rPr>
        <w:t>e.g.,</w:t>
      </w:r>
      <w:r w:rsidR="005C3D11" w:rsidRPr="00B71D8D">
        <w:rPr>
          <w:lang w:val="en-GB"/>
        </w:rPr>
        <w:t xml:space="preserve"> one plate with fluid delivering heat followed by a plate with fluid receiving heat</w:t>
      </w:r>
      <w:r w:rsidR="00985147" w:rsidRPr="00B71D8D">
        <w:rPr>
          <w:lang w:val="en-GB"/>
        </w:rPr>
        <w:t xml:space="preserve">. </w:t>
      </w:r>
      <w:r w:rsidR="00F53F6C" w:rsidRPr="00B71D8D">
        <w:rPr>
          <w:lang w:val="en-GB"/>
        </w:rPr>
        <w:t>With this technology</w:t>
      </w:r>
      <w:r w:rsidR="00C54C15" w:rsidRPr="00B71D8D">
        <w:rPr>
          <w:lang w:val="en-GB"/>
        </w:rPr>
        <w:t>,</w:t>
      </w:r>
      <w:r w:rsidR="00F53F6C" w:rsidRPr="00B71D8D">
        <w:rPr>
          <w:lang w:val="en-GB"/>
        </w:rPr>
        <w:t xml:space="preserve"> compact heat exchangers with small diameter channels up to</w:t>
      </w:r>
      <w:r w:rsidR="00365F8A" w:rsidRPr="00B71D8D">
        <w:rPr>
          <w:lang w:val="en-GB"/>
        </w:rPr>
        <w:t xml:space="preserve"> 0.5mm</w:t>
      </w:r>
      <w:r w:rsidR="00C54C15" w:rsidRPr="00B71D8D">
        <w:rPr>
          <w:lang w:val="en-GB"/>
        </w:rPr>
        <w:t xml:space="preserve"> are feasible</w:t>
      </w:r>
      <w:r w:rsidR="00F53F6C" w:rsidRPr="00B71D8D">
        <w:rPr>
          <w:lang w:val="en-GB"/>
        </w:rPr>
        <w:t>.</w:t>
      </w:r>
      <w:r w:rsidR="00F1332C" w:rsidRPr="00B71D8D">
        <w:rPr>
          <w:lang w:val="en-GB"/>
        </w:rPr>
        <w:t xml:space="preserve"> Additionally, due to the diffusion bonding, these type</w:t>
      </w:r>
      <w:r w:rsidR="00885B5A" w:rsidRPr="00B71D8D">
        <w:rPr>
          <w:lang w:val="en-GB"/>
        </w:rPr>
        <w:t>s</w:t>
      </w:r>
      <w:r w:rsidR="00F1332C" w:rsidRPr="00B71D8D">
        <w:rPr>
          <w:lang w:val="en-GB"/>
        </w:rPr>
        <w:t xml:space="preserve"> of heat exchangers are highly pressure resistant wh</w:t>
      </w:r>
      <w:r w:rsidR="00885B5A" w:rsidRPr="00B71D8D">
        <w:rPr>
          <w:lang w:val="en-GB"/>
        </w:rPr>
        <w:t>ich</w:t>
      </w:r>
      <w:r w:rsidR="00F1332C" w:rsidRPr="00B71D8D">
        <w:rPr>
          <w:lang w:val="en-GB"/>
        </w:rPr>
        <w:t xml:space="preserve"> makes them </w:t>
      </w:r>
      <w:r w:rsidR="003E5943" w:rsidRPr="00B71D8D">
        <w:rPr>
          <w:lang w:val="en-GB"/>
        </w:rPr>
        <w:t xml:space="preserve">useful </w:t>
      </w:r>
      <w:r w:rsidR="00F1332C" w:rsidRPr="00B71D8D">
        <w:rPr>
          <w:lang w:val="en-GB"/>
        </w:rPr>
        <w:t>for IE engine application</w:t>
      </w:r>
      <w:r w:rsidR="00AC795F" w:rsidRPr="00B71D8D">
        <w:rPr>
          <w:lang w:val="en-GB"/>
        </w:rPr>
        <w:t>s</w:t>
      </w:r>
      <w:r w:rsidR="00F1332C" w:rsidRPr="00B71D8D">
        <w:rPr>
          <w:lang w:val="en-GB"/>
        </w:rPr>
        <w:t>.</w:t>
      </w:r>
      <w:r w:rsidR="00EC39BB" w:rsidRPr="00B71D8D">
        <w:rPr>
          <w:lang w:val="en-GB"/>
        </w:rPr>
        <w:t xml:space="preserve"> </w:t>
      </w:r>
    </w:p>
    <w:p w14:paraId="73DF4C1E" w14:textId="2DD4E520" w:rsidR="008F2ED7" w:rsidRPr="00B71D8D" w:rsidRDefault="008F2ED7" w:rsidP="0074592D">
      <w:pPr>
        <w:pStyle w:val="CETBodytext"/>
        <w:rPr>
          <w:lang w:val="en-GB"/>
        </w:rPr>
      </w:pPr>
      <w:r w:rsidRPr="00B71D8D">
        <w:rPr>
          <w:lang w:val="en-GB"/>
        </w:rPr>
        <w:t>In heat engine modelling, heat exchangers are commonly described based on idealised assumptions. Most often, ideal heat transfer conditions or a certain degree of recuperation are assumed, like in Invernizzi (2010). Such assumptions can lead to overestimation of the heat engine performance.</w:t>
      </w:r>
      <w:r w:rsidR="005A1D3A" w:rsidRPr="00B71D8D">
        <w:rPr>
          <w:lang w:val="en-GB"/>
        </w:rPr>
        <w:t xml:space="preserve"> Knoke et al. (2020) have proposed a steady-state design model for IE </w:t>
      </w:r>
      <w:r w:rsidR="003D70A9" w:rsidRPr="00B71D8D">
        <w:rPr>
          <w:lang w:val="en-GB"/>
        </w:rPr>
        <w:t xml:space="preserve">engine </w:t>
      </w:r>
      <w:r w:rsidR="005A1D3A" w:rsidRPr="00B71D8D">
        <w:rPr>
          <w:lang w:val="en-GB"/>
        </w:rPr>
        <w:t>heat exchanger equipment</w:t>
      </w:r>
      <w:r w:rsidR="00A13C84" w:rsidRPr="00B71D8D">
        <w:rPr>
          <w:lang w:val="en-GB"/>
        </w:rPr>
        <w:t xml:space="preserve"> using average values for the mass flow rates</w:t>
      </w:r>
      <w:r w:rsidR="003D70A9" w:rsidRPr="00B71D8D">
        <w:rPr>
          <w:lang w:val="en-GB"/>
        </w:rPr>
        <w:t>.</w:t>
      </w:r>
      <w:r w:rsidR="009C55C0" w:rsidRPr="00B71D8D">
        <w:rPr>
          <w:lang w:val="en-GB"/>
        </w:rPr>
        <w:t xml:space="preserve"> </w:t>
      </w:r>
      <w:r w:rsidR="003D70A9" w:rsidRPr="00B71D8D">
        <w:rPr>
          <w:lang w:val="en-GB"/>
        </w:rPr>
        <w:t>However, their m</w:t>
      </w:r>
      <w:r w:rsidR="00A13C84" w:rsidRPr="00B71D8D">
        <w:rPr>
          <w:lang w:val="en-GB"/>
        </w:rPr>
        <w:t xml:space="preserve">ethod </w:t>
      </w:r>
      <w:r w:rsidR="003D70A9" w:rsidRPr="00B71D8D">
        <w:rPr>
          <w:lang w:val="en-GB"/>
        </w:rPr>
        <w:t>is not capable of describing the strong dynamic behaviour of the cyclically phase-changing working fluid.</w:t>
      </w:r>
      <w:r w:rsidRPr="00B71D8D">
        <w:rPr>
          <w:lang w:val="en-GB"/>
        </w:rPr>
        <w:t xml:space="preserve"> Thus, </w:t>
      </w:r>
      <w:r w:rsidR="00187E16" w:rsidRPr="00B71D8D">
        <w:rPr>
          <w:lang w:val="en-GB"/>
        </w:rPr>
        <w:t xml:space="preserve">the </w:t>
      </w:r>
      <w:r w:rsidRPr="00B71D8D">
        <w:rPr>
          <w:lang w:val="en-GB"/>
        </w:rPr>
        <w:t xml:space="preserve">description of the heat transfer process </w:t>
      </w:r>
      <w:r w:rsidR="00187E16" w:rsidRPr="00B71D8D">
        <w:rPr>
          <w:lang w:val="en-GB"/>
        </w:rPr>
        <w:t xml:space="preserve">must be deepened </w:t>
      </w:r>
      <w:r w:rsidRPr="00B71D8D">
        <w:rPr>
          <w:lang w:val="en-GB"/>
        </w:rPr>
        <w:t>to provide a more accurate view on the overall performance of heat engines and especially the IE engine.</w:t>
      </w:r>
      <w:r w:rsidR="00D46F0D" w:rsidRPr="00B71D8D">
        <w:rPr>
          <w:lang w:val="en-GB"/>
        </w:rPr>
        <w:t xml:space="preserve"> </w:t>
      </w:r>
    </w:p>
    <w:p w14:paraId="6FFCD225" w14:textId="7F25EFF7" w:rsidR="00944226" w:rsidRPr="00B71D8D" w:rsidRDefault="00F1332C" w:rsidP="00157B14">
      <w:pPr>
        <w:pStyle w:val="CETBodytext"/>
        <w:rPr>
          <w:lang w:val="en-GB"/>
        </w:rPr>
      </w:pPr>
      <w:r w:rsidRPr="00B71D8D">
        <w:rPr>
          <w:lang w:val="en-GB"/>
        </w:rPr>
        <w:t>In this work, a</w:t>
      </w:r>
      <w:r w:rsidR="008F2ED7" w:rsidRPr="00B71D8D">
        <w:rPr>
          <w:lang w:val="en-GB"/>
        </w:rPr>
        <w:t xml:space="preserve"> </w:t>
      </w:r>
      <w:r w:rsidR="00187E16" w:rsidRPr="00B71D8D">
        <w:rPr>
          <w:lang w:val="en-GB"/>
        </w:rPr>
        <w:t xml:space="preserve">new </w:t>
      </w:r>
      <w:r w:rsidRPr="00B71D8D">
        <w:rPr>
          <w:lang w:val="en-GB"/>
        </w:rPr>
        <w:t xml:space="preserve">model </w:t>
      </w:r>
      <w:r w:rsidR="008E32D8" w:rsidRPr="00B71D8D">
        <w:rPr>
          <w:lang w:val="en-GB"/>
        </w:rPr>
        <w:t xml:space="preserve">describing </w:t>
      </w:r>
      <w:r w:rsidR="00D6280C" w:rsidRPr="00B71D8D">
        <w:rPr>
          <w:lang w:val="en-GB"/>
        </w:rPr>
        <w:t xml:space="preserve">the dynamic </w:t>
      </w:r>
      <w:r w:rsidRPr="00B71D8D">
        <w:rPr>
          <w:lang w:val="en-GB"/>
        </w:rPr>
        <w:t xml:space="preserve">heat transfer </w:t>
      </w:r>
      <w:r w:rsidR="00EC0257" w:rsidRPr="00B71D8D">
        <w:rPr>
          <w:lang w:val="en-GB"/>
        </w:rPr>
        <w:t xml:space="preserve">in compact heat exchangers </w:t>
      </w:r>
      <w:r w:rsidR="008E32D8" w:rsidRPr="00B71D8D">
        <w:rPr>
          <w:lang w:val="en-GB"/>
        </w:rPr>
        <w:t xml:space="preserve">within an </w:t>
      </w:r>
      <w:r w:rsidR="00EC0257" w:rsidRPr="00B71D8D">
        <w:rPr>
          <w:lang w:val="en-GB"/>
        </w:rPr>
        <w:t>IE engine application</w:t>
      </w:r>
      <w:r w:rsidRPr="00B71D8D">
        <w:rPr>
          <w:lang w:val="en-GB"/>
        </w:rPr>
        <w:t xml:space="preserve"> is presented. </w:t>
      </w:r>
      <w:r w:rsidR="00832DBD" w:rsidRPr="00B71D8D">
        <w:rPr>
          <w:lang w:val="en-GB"/>
        </w:rPr>
        <w:t>The method is used to provide information on the heat transfer for given heat exchanger designs and operating conditions.</w:t>
      </w:r>
      <w:r w:rsidR="00685A64" w:rsidRPr="00B71D8D">
        <w:rPr>
          <w:lang w:val="en-GB"/>
        </w:rPr>
        <w:t xml:space="preserve"> </w:t>
      </w:r>
      <w:r w:rsidR="008E32D8" w:rsidRPr="00B71D8D">
        <w:rPr>
          <w:lang w:val="en-GB"/>
        </w:rPr>
        <w:t>With this model, s</w:t>
      </w:r>
      <w:r w:rsidR="003E4E04" w:rsidRPr="00B71D8D">
        <w:rPr>
          <w:lang w:val="en-GB"/>
        </w:rPr>
        <w:t>tudies o</w:t>
      </w:r>
      <w:r w:rsidR="008E32D8" w:rsidRPr="00B71D8D">
        <w:rPr>
          <w:lang w:val="en-GB"/>
        </w:rPr>
        <w:t>f</w:t>
      </w:r>
      <w:r w:rsidR="003E4E04" w:rsidRPr="00B71D8D">
        <w:rPr>
          <w:lang w:val="en-GB"/>
        </w:rPr>
        <w:t xml:space="preserve"> the operating frequency </w:t>
      </w:r>
      <w:r w:rsidR="008E32D8" w:rsidRPr="00B71D8D">
        <w:rPr>
          <w:lang w:val="en-GB"/>
        </w:rPr>
        <w:t xml:space="preserve">influence </w:t>
      </w:r>
      <w:r w:rsidR="003E4E04" w:rsidRPr="00B71D8D">
        <w:rPr>
          <w:lang w:val="en-GB"/>
        </w:rPr>
        <w:t>on the heat transfer for subcritical refrigerant R134a and supercritical carbon dioxide</w:t>
      </w:r>
      <w:r w:rsidR="001772C7" w:rsidRPr="00B71D8D">
        <w:rPr>
          <w:lang w:val="en-GB"/>
        </w:rPr>
        <w:t xml:space="preserve"> are performed</w:t>
      </w:r>
      <w:r w:rsidR="003E4E04" w:rsidRPr="00B71D8D">
        <w:rPr>
          <w:lang w:val="en-GB"/>
        </w:rPr>
        <w:t>.</w:t>
      </w:r>
      <w:r w:rsidR="002A099B" w:rsidRPr="00B71D8D">
        <w:rPr>
          <w:lang w:val="en-GB"/>
        </w:rPr>
        <w:t xml:space="preserve"> </w:t>
      </w:r>
    </w:p>
    <w:p w14:paraId="5741900F" w14:textId="75A646F2" w:rsidR="00453E24" w:rsidRPr="00B71D8D" w:rsidRDefault="00586AEF" w:rsidP="00157B14">
      <w:pPr>
        <w:pStyle w:val="CETHeading1"/>
        <w:tabs>
          <w:tab w:val="num" w:pos="360"/>
        </w:tabs>
        <w:rPr>
          <w:lang w:val="en-GB"/>
        </w:rPr>
      </w:pPr>
      <w:r w:rsidRPr="00B71D8D">
        <w:rPr>
          <w:lang w:val="en-GB"/>
        </w:rPr>
        <w:t>Mathematical model</w:t>
      </w:r>
    </w:p>
    <w:p w14:paraId="5938C22F" w14:textId="1143C019" w:rsidR="008D3297" w:rsidRPr="00B71D8D" w:rsidRDefault="000812F8" w:rsidP="008D3297">
      <w:pPr>
        <w:pStyle w:val="CETBodytext"/>
        <w:rPr>
          <w:lang w:val="en-GB"/>
        </w:rPr>
      </w:pPr>
      <w:r w:rsidRPr="00B71D8D">
        <w:rPr>
          <w:lang w:val="en-GB"/>
        </w:rPr>
        <w:t xml:space="preserve">In order to investigate </w:t>
      </w:r>
      <w:r w:rsidR="00EA5A04" w:rsidRPr="00B71D8D">
        <w:rPr>
          <w:lang w:val="en-GB"/>
        </w:rPr>
        <w:t>the</w:t>
      </w:r>
      <w:r w:rsidRPr="00B71D8D">
        <w:rPr>
          <w:lang w:val="en-GB"/>
        </w:rPr>
        <w:t xml:space="preserve"> </w:t>
      </w:r>
      <w:r w:rsidR="00BA3549" w:rsidRPr="00B71D8D">
        <w:rPr>
          <w:lang w:val="en-GB"/>
        </w:rPr>
        <w:t xml:space="preserve">influence of </w:t>
      </w:r>
      <w:r w:rsidRPr="00B71D8D">
        <w:rPr>
          <w:lang w:val="en-GB"/>
        </w:rPr>
        <w:t xml:space="preserve">operating </w:t>
      </w:r>
      <w:r w:rsidR="007D2830" w:rsidRPr="00B71D8D">
        <w:rPr>
          <w:lang w:val="en-GB"/>
        </w:rPr>
        <w:t>conditions</w:t>
      </w:r>
      <w:r w:rsidRPr="00B71D8D">
        <w:rPr>
          <w:lang w:val="en-GB"/>
        </w:rPr>
        <w:t xml:space="preserve"> </w:t>
      </w:r>
      <w:r w:rsidR="00BA3549" w:rsidRPr="00B71D8D">
        <w:rPr>
          <w:lang w:val="en-GB"/>
        </w:rPr>
        <w:t xml:space="preserve">on </w:t>
      </w:r>
      <w:r w:rsidRPr="00B71D8D">
        <w:rPr>
          <w:lang w:val="en-GB"/>
        </w:rPr>
        <w:t xml:space="preserve">the </w:t>
      </w:r>
      <w:r w:rsidR="00BA3549" w:rsidRPr="00B71D8D">
        <w:rPr>
          <w:lang w:val="en-GB"/>
        </w:rPr>
        <w:t xml:space="preserve">transient </w:t>
      </w:r>
      <w:r w:rsidRPr="00B71D8D">
        <w:rPr>
          <w:lang w:val="en-GB"/>
        </w:rPr>
        <w:t xml:space="preserve">heat transfer, a one-dimensional heat transfer model was developed. </w:t>
      </w:r>
      <w:r w:rsidR="002A7398" w:rsidRPr="00B71D8D">
        <w:rPr>
          <w:lang w:val="en-GB"/>
        </w:rPr>
        <w:t>The model considers PCHE</w:t>
      </w:r>
      <w:r w:rsidR="00460854" w:rsidRPr="00B71D8D">
        <w:rPr>
          <w:lang w:val="en-GB"/>
        </w:rPr>
        <w:t>s</w:t>
      </w:r>
      <w:r w:rsidR="002A7398" w:rsidRPr="00B71D8D">
        <w:rPr>
          <w:lang w:val="en-GB"/>
        </w:rPr>
        <w:t xml:space="preserve"> for each of the heat exchangers H, R</w:t>
      </w:r>
      <w:r w:rsidR="00836235" w:rsidRPr="00B71D8D">
        <w:rPr>
          <w:lang w:val="en-GB"/>
        </w:rPr>
        <w:t>,</w:t>
      </w:r>
      <w:r w:rsidR="00460854" w:rsidRPr="00B71D8D">
        <w:rPr>
          <w:lang w:val="en-GB"/>
        </w:rPr>
        <w:t xml:space="preserve"> and</w:t>
      </w:r>
      <w:r w:rsidR="002A7398" w:rsidRPr="00B71D8D">
        <w:rPr>
          <w:lang w:val="en-GB"/>
        </w:rPr>
        <w:t xml:space="preserve"> C </w:t>
      </w:r>
      <w:r w:rsidR="00885B5A" w:rsidRPr="00B71D8D">
        <w:rPr>
          <w:lang w:val="en-GB"/>
        </w:rPr>
        <w:t xml:space="preserve">(see </w:t>
      </w:r>
      <w:r w:rsidR="00885B5A" w:rsidRPr="00B71D8D">
        <w:rPr>
          <w:lang w:val="en-GB"/>
        </w:rPr>
        <w:fldChar w:fldCharType="begin"/>
      </w:r>
      <w:r w:rsidR="00885B5A" w:rsidRPr="00B71D8D">
        <w:rPr>
          <w:lang w:val="en-GB"/>
        </w:rPr>
        <w:instrText xml:space="preserve"> REF _Ref97281791 \h  \* MERGEFORMAT </w:instrText>
      </w:r>
      <w:r w:rsidR="00885B5A" w:rsidRPr="00B71D8D">
        <w:rPr>
          <w:lang w:val="en-GB"/>
        </w:rPr>
      </w:r>
      <w:r w:rsidR="00885B5A" w:rsidRPr="00B71D8D">
        <w:rPr>
          <w:lang w:val="en-GB"/>
        </w:rPr>
        <w:fldChar w:fldCharType="separate"/>
      </w:r>
      <w:r w:rsidR="00885B5A" w:rsidRPr="00B71D8D">
        <w:t xml:space="preserve">Figure </w:t>
      </w:r>
      <w:r w:rsidR="00885B5A" w:rsidRPr="00B71D8D">
        <w:rPr>
          <w:noProof/>
        </w:rPr>
        <w:t>1</w:t>
      </w:r>
      <w:r w:rsidR="00885B5A" w:rsidRPr="00B71D8D">
        <w:rPr>
          <w:lang w:val="en-GB"/>
        </w:rPr>
        <w:fldChar w:fldCharType="end"/>
      </w:r>
      <w:r w:rsidR="00885B5A" w:rsidRPr="00B71D8D">
        <w:rPr>
          <w:lang w:val="en-GB"/>
        </w:rPr>
        <w:t xml:space="preserve">) </w:t>
      </w:r>
      <w:r w:rsidR="002A7398" w:rsidRPr="00B71D8D">
        <w:rPr>
          <w:lang w:val="en-GB"/>
        </w:rPr>
        <w:t>and is based on the following</w:t>
      </w:r>
      <w:r w:rsidR="00233CDF" w:rsidRPr="00B71D8D">
        <w:rPr>
          <w:lang w:val="en-GB"/>
        </w:rPr>
        <w:t xml:space="preserve"> </w:t>
      </w:r>
      <w:r w:rsidR="002A7398" w:rsidRPr="00B71D8D">
        <w:rPr>
          <w:lang w:val="en-GB"/>
        </w:rPr>
        <w:t>assumptions</w:t>
      </w:r>
      <w:r w:rsidR="00233CDF" w:rsidRPr="00B71D8D">
        <w:rPr>
          <w:lang w:val="en-GB"/>
        </w:rPr>
        <w:t xml:space="preserve"> for the heat exchanger sequence</w:t>
      </w:r>
      <w:r w:rsidR="002A7398" w:rsidRPr="00B71D8D">
        <w:rPr>
          <w:lang w:val="en-GB"/>
        </w:rPr>
        <w:t>:</w:t>
      </w:r>
    </w:p>
    <w:p w14:paraId="43359E5F" w14:textId="339D514C" w:rsidR="002A7398" w:rsidRPr="00B71D8D" w:rsidRDefault="002A7398" w:rsidP="00574A95">
      <w:pPr>
        <w:pStyle w:val="CETBodytext"/>
        <w:numPr>
          <w:ilvl w:val="0"/>
          <w:numId w:val="26"/>
        </w:numPr>
        <w:ind w:left="714" w:hanging="357"/>
        <w:rPr>
          <w:lang w:val="en-GB"/>
        </w:rPr>
      </w:pPr>
      <w:r w:rsidRPr="00B71D8D">
        <w:rPr>
          <w:lang w:val="en-GB"/>
        </w:rPr>
        <w:t xml:space="preserve">Heat transfer takes place </w:t>
      </w:r>
      <w:r w:rsidR="0087014D" w:rsidRPr="00B71D8D">
        <w:rPr>
          <w:lang w:val="en-GB"/>
        </w:rPr>
        <w:t xml:space="preserve">only </w:t>
      </w:r>
      <w:r w:rsidR="00BA3549" w:rsidRPr="00B71D8D">
        <w:rPr>
          <w:lang w:val="en-GB"/>
        </w:rPr>
        <w:t>during</w:t>
      </w:r>
      <w:r w:rsidRPr="00B71D8D">
        <w:rPr>
          <w:lang w:val="en-GB"/>
        </w:rPr>
        <w:t xml:space="preserve"> the isobaric stages.</w:t>
      </w:r>
    </w:p>
    <w:p w14:paraId="088862C3" w14:textId="712EA50D" w:rsidR="002A7398" w:rsidRPr="00B71D8D" w:rsidRDefault="002A7398" w:rsidP="002A7398">
      <w:pPr>
        <w:pStyle w:val="CETBodytext"/>
        <w:numPr>
          <w:ilvl w:val="0"/>
          <w:numId w:val="26"/>
        </w:numPr>
        <w:rPr>
          <w:lang w:val="en-GB"/>
        </w:rPr>
      </w:pPr>
      <w:r w:rsidRPr="00B71D8D">
        <w:rPr>
          <w:lang w:val="en-GB"/>
        </w:rPr>
        <w:t xml:space="preserve">A recuperative IE engine setup is </w:t>
      </w:r>
      <w:r w:rsidR="00836235" w:rsidRPr="00B71D8D">
        <w:rPr>
          <w:lang w:val="en-GB"/>
        </w:rPr>
        <w:t>studied</w:t>
      </w:r>
      <w:r w:rsidRPr="00B71D8D">
        <w:rPr>
          <w:lang w:val="en-GB"/>
        </w:rPr>
        <w:t>. The recuperator acts as a counter</w:t>
      </w:r>
      <w:r w:rsidR="00836235" w:rsidRPr="00B71D8D">
        <w:rPr>
          <w:lang w:val="en-GB"/>
        </w:rPr>
        <w:t>-</w:t>
      </w:r>
      <w:r w:rsidR="0078638F" w:rsidRPr="00B71D8D">
        <w:rPr>
          <w:lang w:val="en-GB"/>
        </w:rPr>
        <w:t xml:space="preserve">flow </w:t>
      </w:r>
      <w:r w:rsidRPr="00B71D8D">
        <w:rPr>
          <w:lang w:val="en-GB"/>
        </w:rPr>
        <w:t>heat exchanger, which connect</w:t>
      </w:r>
      <w:r w:rsidR="0078638F" w:rsidRPr="00B71D8D">
        <w:rPr>
          <w:lang w:val="en-GB"/>
        </w:rPr>
        <w:t>s</w:t>
      </w:r>
      <w:r w:rsidRPr="00B71D8D">
        <w:rPr>
          <w:lang w:val="en-GB"/>
        </w:rPr>
        <w:t xml:space="preserve"> </w:t>
      </w:r>
      <w:r w:rsidR="00460854" w:rsidRPr="00B71D8D">
        <w:rPr>
          <w:lang w:val="en-GB"/>
        </w:rPr>
        <w:t>engine A and engine B</w:t>
      </w:r>
      <w:r w:rsidRPr="00B71D8D">
        <w:rPr>
          <w:lang w:val="en-GB"/>
        </w:rPr>
        <w:t xml:space="preserve"> operating in counter-phase. </w:t>
      </w:r>
    </w:p>
    <w:p w14:paraId="2A55CEB9" w14:textId="008AA843" w:rsidR="002A7398" w:rsidRPr="00B71D8D" w:rsidRDefault="00E53DD0" w:rsidP="002A7398">
      <w:pPr>
        <w:pStyle w:val="CETBodytext"/>
        <w:numPr>
          <w:ilvl w:val="0"/>
          <w:numId w:val="26"/>
        </w:numPr>
        <w:rPr>
          <w:lang w:val="en-GB"/>
        </w:rPr>
      </w:pPr>
      <w:r w:rsidRPr="00B71D8D">
        <w:rPr>
          <w:lang w:val="en-GB"/>
        </w:rPr>
        <w:t>T</w:t>
      </w:r>
      <w:r w:rsidR="002A7398" w:rsidRPr="00B71D8D">
        <w:rPr>
          <w:lang w:val="en-GB"/>
        </w:rPr>
        <w:t xml:space="preserve">he </w:t>
      </w:r>
      <w:r w:rsidR="00CB5BFD" w:rsidRPr="00B71D8D">
        <w:rPr>
          <w:lang w:val="en-GB"/>
        </w:rPr>
        <w:t>temperature of the heating/cooling agent remains constant along the heater and cooler</w:t>
      </w:r>
      <w:r w:rsidR="00836235" w:rsidRPr="00B71D8D">
        <w:rPr>
          <w:lang w:val="en-GB"/>
        </w:rPr>
        <w:t xml:space="preserve"> length</w:t>
      </w:r>
      <w:r w:rsidR="00CB5BFD" w:rsidRPr="00B71D8D">
        <w:rPr>
          <w:lang w:val="en-GB"/>
        </w:rPr>
        <w:t>, respectively.</w:t>
      </w:r>
    </w:p>
    <w:p w14:paraId="734366C8" w14:textId="2B8234B4" w:rsidR="000D2000" w:rsidRPr="00B71D8D" w:rsidRDefault="007D2830" w:rsidP="000D2000">
      <w:pPr>
        <w:pStyle w:val="CETBodytext"/>
        <w:numPr>
          <w:ilvl w:val="0"/>
          <w:numId w:val="25"/>
        </w:numPr>
        <w:ind w:left="714" w:hanging="357"/>
        <w:rPr>
          <w:lang w:val="en-GB"/>
        </w:rPr>
      </w:pPr>
      <w:r w:rsidRPr="00B71D8D">
        <w:rPr>
          <w:lang w:val="en-GB"/>
        </w:rPr>
        <w:t xml:space="preserve">The displacer moves cyclically between Hs </w:t>
      </w:r>
      <w:r w:rsidR="002A7398" w:rsidRPr="00B71D8D">
        <w:rPr>
          <w:lang w:val="en-GB"/>
        </w:rPr>
        <w:t>and Cs</w:t>
      </w:r>
      <w:r w:rsidR="00CB5BFD" w:rsidRPr="00B71D8D">
        <w:rPr>
          <w:lang w:val="en-GB"/>
        </w:rPr>
        <w:t>.</w:t>
      </w:r>
      <w:r w:rsidR="002A7398" w:rsidRPr="00B71D8D">
        <w:rPr>
          <w:lang w:val="en-GB"/>
        </w:rPr>
        <w:t xml:space="preserve"> </w:t>
      </w:r>
      <w:r w:rsidR="00CB5BFD" w:rsidRPr="00B71D8D">
        <w:rPr>
          <w:lang w:val="en-GB"/>
        </w:rPr>
        <w:t>I</w:t>
      </w:r>
      <w:r w:rsidR="002A7398" w:rsidRPr="00B71D8D">
        <w:rPr>
          <w:lang w:val="en-GB"/>
        </w:rPr>
        <w:t>ts movement</w:t>
      </w:r>
      <w:r w:rsidR="00CB5BFD" w:rsidRPr="00B71D8D">
        <w:rPr>
          <w:lang w:val="en-GB"/>
        </w:rPr>
        <w:t xml:space="preserve"> is</w:t>
      </w:r>
      <w:r w:rsidR="002A7398" w:rsidRPr="00B71D8D">
        <w:rPr>
          <w:lang w:val="en-GB"/>
        </w:rPr>
        <w:t xml:space="preserve"> </w:t>
      </w:r>
      <w:r w:rsidR="00460854" w:rsidRPr="00B71D8D">
        <w:rPr>
          <w:lang w:val="en-GB"/>
        </w:rPr>
        <w:t>approximated</w:t>
      </w:r>
      <w:r w:rsidR="00CB5BFD" w:rsidRPr="00B71D8D">
        <w:rPr>
          <w:lang w:val="en-GB"/>
        </w:rPr>
        <w:t xml:space="preserve"> </w:t>
      </w:r>
      <w:r w:rsidR="002A7398" w:rsidRPr="00B71D8D">
        <w:rPr>
          <w:lang w:val="en-GB"/>
        </w:rPr>
        <w:t>with a sinusoidal function</w:t>
      </w:r>
      <w:r w:rsidR="006B3EEF" w:rsidRPr="00B71D8D">
        <w:rPr>
          <w:lang w:val="en-GB"/>
        </w:rPr>
        <w:t>.</w:t>
      </w:r>
    </w:p>
    <w:p w14:paraId="2C4FFE5D" w14:textId="25CC219F" w:rsidR="000D2000" w:rsidRPr="00B71D8D" w:rsidRDefault="000D2000" w:rsidP="000D2000">
      <w:pPr>
        <w:pStyle w:val="CETBodytext"/>
        <w:numPr>
          <w:ilvl w:val="0"/>
          <w:numId w:val="25"/>
        </w:numPr>
        <w:spacing w:after="240"/>
        <w:ind w:left="714" w:hanging="357"/>
        <w:rPr>
          <w:lang w:val="en-GB"/>
        </w:rPr>
      </w:pPr>
      <w:r w:rsidRPr="00B71D8D">
        <w:rPr>
          <w:lang w:val="en-GB"/>
        </w:rPr>
        <w:t xml:space="preserve">Heat transfer between two fluid streams can be described </w:t>
      </w:r>
      <w:r w:rsidR="00836235" w:rsidRPr="00B71D8D">
        <w:rPr>
          <w:lang w:val="en-GB"/>
        </w:rPr>
        <w:t xml:space="preserve">based on </w:t>
      </w:r>
      <w:r w:rsidRPr="00B71D8D">
        <w:rPr>
          <w:lang w:val="en-GB"/>
        </w:rPr>
        <w:t>overall heat transfer coefficients.</w:t>
      </w:r>
    </w:p>
    <w:p w14:paraId="775C464F" w14:textId="032B6C21" w:rsidR="00B47150" w:rsidRPr="00B71D8D" w:rsidRDefault="00241C73" w:rsidP="00C10BFD">
      <w:pPr>
        <w:pStyle w:val="CETheadingx"/>
        <w:rPr>
          <w:lang w:val="en-GB"/>
        </w:rPr>
      </w:pPr>
      <w:r w:rsidRPr="00B71D8D">
        <w:rPr>
          <w:lang w:val="en-GB"/>
        </w:rPr>
        <w:t xml:space="preserve">Treatment of </w:t>
      </w:r>
      <w:r w:rsidR="0078638F" w:rsidRPr="00B71D8D">
        <w:rPr>
          <w:lang w:val="en-GB"/>
        </w:rPr>
        <w:t>printed circuit heat exchangers</w:t>
      </w:r>
    </w:p>
    <w:p w14:paraId="01D2391F" w14:textId="2F2F8C24" w:rsidR="004906C2" w:rsidRPr="00B71D8D" w:rsidRDefault="00C33B45" w:rsidP="00C10BFD">
      <w:pPr>
        <w:pStyle w:val="CETBodytext"/>
        <w:rPr>
          <w:lang w:val="en-GB"/>
        </w:rPr>
      </w:pPr>
      <w:r w:rsidRPr="00B71D8D">
        <w:rPr>
          <w:lang w:val="en-GB"/>
        </w:rPr>
        <w:t>The channels of PCHEs have a semi-circular shape</w:t>
      </w:r>
      <w:r w:rsidR="00AD44DB" w:rsidRPr="00B71D8D">
        <w:rPr>
          <w:lang w:val="en-GB"/>
        </w:rPr>
        <w:t xml:space="preserve"> with </w:t>
      </w:r>
      <w:r w:rsidR="008D3297" w:rsidRPr="00B71D8D">
        <w:rPr>
          <w:lang w:val="en-GB"/>
        </w:rPr>
        <w:t>diameter</w:t>
      </w:r>
      <m:oMath>
        <m:r>
          <w:rPr>
            <w:rFonts w:ascii="Cambria Math" w:hAnsi="Cambria Math"/>
            <w:lang w:val="en-GB"/>
          </w:rPr>
          <m:t xml:space="preserve"> D</m:t>
        </m:r>
      </m:oMath>
      <w:r w:rsidR="008D3297" w:rsidRPr="00B71D8D">
        <w:rPr>
          <w:lang w:val="en-GB"/>
        </w:rPr>
        <w:t xml:space="preserve">; they </w:t>
      </w:r>
      <w:r w:rsidR="00A46E80" w:rsidRPr="00B71D8D">
        <w:rPr>
          <w:lang w:val="en-GB"/>
        </w:rPr>
        <w:t xml:space="preserve">are chemically etched into plates of thickness </w:t>
      </w:r>
      <w:bookmarkStart w:id="1" w:name="_Hlk104661825"/>
      <m:oMath>
        <m:r>
          <w:rPr>
            <w:rFonts w:ascii="Cambria Math" w:hAnsi="Cambria Math"/>
            <w:lang w:val="en-GB"/>
          </w:rPr>
          <m:t>B</m:t>
        </m:r>
      </m:oMath>
      <w:bookmarkEnd w:id="1"/>
      <w:r w:rsidRPr="00B71D8D">
        <w:rPr>
          <w:lang w:val="en-GB"/>
        </w:rPr>
        <w:t>, as shown in</w:t>
      </w:r>
      <w:r w:rsidR="00837397" w:rsidRPr="00B71D8D">
        <w:rPr>
          <w:lang w:val="en-GB"/>
        </w:rPr>
        <w:t xml:space="preserve"> the cross-sectional view in</w:t>
      </w:r>
      <w:r w:rsidRPr="00B71D8D">
        <w:rPr>
          <w:lang w:val="en-GB"/>
        </w:rPr>
        <w:t xml:space="preserve"> </w:t>
      </w:r>
      <w:r w:rsidR="00AF55D8" w:rsidRPr="00B71D8D">
        <w:rPr>
          <w:lang w:val="en-GB"/>
        </w:rPr>
        <w:fldChar w:fldCharType="begin"/>
      </w:r>
      <w:r w:rsidR="00AF55D8" w:rsidRPr="00B71D8D">
        <w:rPr>
          <w:lang w:val="en-GB"/>
        </w:rPr>
        <w:instrText xml:space="preserve"> REF _Ref97281780 \h </w:instrText>
      </w:r>
      <w:r w:rsidR="00EC1EC6" w:rsidRPr="00B71D8D">
        <w:rPr>
          <w:lang w:val="en-GB"/>
        </w:rPr>
        <w:instrText xml:space="preserve"> \* MERGEFORMAT </w:instrText>
      </w:r>
      <w:r w:rsidR="00AF55D8" w:rsidRPr="00B71D8D">
        <w:rPr>
          <w:lang w:val="en-GB"/>
        </w:rPr>
      </w:r>
      <w:r w:rsidR="00AF55D8" w:rsidRPr="00B71D8D">
        <w:rPr>
          <w:lang w:val="en-GB"/>
        </w:rPr>
        <w:fldChar w:fldCharType="separate"/>
      </w:r>
      <w:r w:rsidR="005559CC" w:rsidRPr="00B71D8D">
        <w:t xml:space="preserve">Figure </w:t>
      </w:r>
      <w:r w:rsidR="005559CC" w:rsidRPr="00B71D8D">
        <w:rPr>
          <w:noProof/>
        </w:rPr>
        <w:t>2</w:t>
      </w:r>
      <w:r w:rsidR="00AF55D8" w:rsidRPr="00B71D8D">
        <w:rPr>
          <w:lang w:val="en-GB"/>
        </w:rPr>
        <w:fldChar w:fldCharType="end"/>
      </w:r>
      <w:r w:rsidRPr="00B71D8D">
        <w:rPr>
          <w:lang w:val="en-GB"/>
        </w:rPr>
        <w:t xml:space="preserve">a. </w:t>
      </w:r>
      <w:r w:rsidR="00A46E80" w:rsidRPr="00B71D8D">
        <w:rPr>
          <w:lang w:val="en-GB"/>
        </w:rPr>
        <w:t xml:space="preserve">In </w:t>
      </w:r>
      <w:r w:rsidR="00837397" w:rsidRPr="00B71D8D">
        <w:rPr>
          <w:lang w:val="en-GB"/>
        </w:rPr>
        <w:t>the present work, heat transfer in</w:t>
      </w:r>
      <w:r w:rsidR="00460854" w:rsidRPr="00B71D8D">
        <w:rPr>
          <w:lang w:val="en-GB"/>
        </w:rPr>
        <w:br/>
      </w:r>
      <m:oMath>
        <m:r>
          <w:rPr>
            <w:rFonts w:ascii="Cambria Math" w:hAnsi="Cambria Math"/>
            <w:lang w:val="en-GB"/>
          </w:rPr>
          <w:lastRenderedPageBreak/>
          <m:t>x</m:t>
        </m:r>
      </m:oMath>
      <w:r w:rsidR="00837397" w:rsidRPr="00B71D8D">
        <w:rPr>
          <w:lang w:val="en-GB"/>
        </w:rPr>
        <w:t>-direction</w:t>
      </w:r>
      <w:r w:rsidR="00A46E80" w:rsidRPr="00B71D8D">
        <w:rPr>
          <w:lang w:val="en-GB"/>
        </w:rPr>
        <w:t xml:space="preserve"> is assumed to be</w:t>
      </w:r>
      <w:r w:rsidR="00837397" w:rsidRPr="00B71D8D">
        <w:rPr>
          <w:lang w:val="en-GB"/>
        </w:rPr>
        <w:t xml:space="preserve"> negligible because the fluid temperature </w:t>
      </w:r>
      <w:r w:rsidR="00460854" w:rsidRPr="00B71D8D">
        <w:rPr>
          <w:lang w:val="en-GB"/>
        </w:rPr>
        <w:t>in</w:t>
      </w:r>
      <w:r w:rsidR="00837397" w:rsidRPr="00B71D8D">
        <w:rPr>
          <w:lang w:val="en-GB"/>
        </w:rPr>
        <w:t xml:space="preserve"> </w:t>
      </w:r>
      <w:r w:rsidR="000829D1" w:rsidRPr="00B71D8D">
        <w:rPr>
          <w:lang w:val="en-GB"/>
        </w:rPr>
        <w:t>parallel</w:t>
      </w:r>
      <w:r w:rsidR="00837397" w:rsidRPr="00B71D8D">
        <w:rPr>
          <w:lang w:val="en-GB"/>
        </w:rPr>
        <w:t xml:space="preserve"> channels is </w:t>
      </w:r>
      <w:r w:rsidR="00633BEB" w:rsidRPr="00B71D8D">
        <w:rPr>
          <w:lang w:val="en-GB"/>
        </w:rPr>
        <w:t xml:space="preserve">nearly </w:t>
      </w:r>
      <w:r w:rsidR="000829D1" w:rsidRPr="00B71D8D">
        <w:rPr>
          <w:lang w:val="en-GB"/>
        </w:rPr>
        <w:t>the same</w:t>
      </w:r>
      <w:r w:rsidR="002B79F4" w:rsidRPr="00B71D8D">
        <w:rPr>
          <w:lang w:val="en-GB"/>
        </w:rPr>
        <w:t xml:space="preserve"> and the spacing between t</w:t>
      </w:r>
      <w:r w:rsidR="00633BEB" w:rsidRPr="00B71D8D">
        <w:rPr>
          <w:lang w:val="en-GB"/>
        </w:rPr>
        <w:t>he</w:t>
      </w:r>
      <w:r w:rsidR="002B79F4" w:rsidRPr="00B71D8D">
        <w:rPr>
          <w:lang w:val="en-GB"/>
        </w:rPr>
        <w:t xml:space="preserve"> channels is small</w:t>
      </w:r>
      <w:r w:rsidR="00837397" w:rsidRPr="00B71D8D">
        <w:rPr>
          <w:lang w:val="en-GB"/>
        </w:rPr>
        <w:t>.</w:t>
      </w:r>
      <w:r w:rsidR="002B79F4" w:rsidRPr="00B71D8D">
        <w:rPr>
          <w:lang w:val="en-GB"/>
        </w:rPr>
        <w:t xml:space="preserve"> Based on this assumption,</w:t>
      </w:r>
      <w:r w:rsidR="000829D1" w:rsidRPr="00B71D8D">
        <w:rPr>
          <w:lang w:val="en-GB"/>
        </w:rPr>
        <w:t xml:space="preserve"> </w:t>
      </w:r>
      <w:r w:rsidR="0019731F" w:rsidRPr="00B71D8D">
        <w:rPr>
          <w:lang w:val="en-GB"/>
        </w:rPr>
        <w:t xml:space="preserve">original </w:t>
      </w:r>
      <w:r w:rsidR="002B79F4" w:rsidRPr="00B71D8D">
        <w:rPr>
          <w:lang w:val="en-GB"/>
        </w:rPr>
        <w:t xml:space="preserve">channels are </w:t>
      </w:r>
      <w:r w:rsidR="00D26BC7" w:rsidRPr="00B71D8D">
        <w:rPr>
          <w:lang w:val="en-GB"/>
        </w:rPr>
        <w:t>modelled</w:t>
      </w:r>
      <w:r w:rsidR="0019731F" w:rsidRPr="00B71D8D">
        <w:rPr>
          <w:lang w:val="en-GB"/>
        </w:rPr>
        <w:t xml:space="preserve"> as </w:t>
      </w:r>
      <w:r w:rsidR="002B79F4" w:rsidRPr="00B71D8D">
        <w:rPr>
          <w:lang w:val="en-GB"/>
        </w:rPr>
        <w:t xml:space="preserve">rectangular </w:t>
      </w:r>
      <w:r w:rsidR="0019731F" w:rsidRPr="00B71D8D">
        <w:rPr>
          <w:lang w:val="en-GB"/>
        </w:rPr>
        <w:t xml:space="preserve">ones, as </w:t>
      </w:r>
      <w:r w:rsidR="002B79F4" w:rsidRPr="00B71D8D">
        <w:rPr>
          <w:lang w:val="en-GB"/>
        </w:rPr>
        <w:t xml:space="preserve">depicted in </w:t>
      </w:r>
      <w:r w:rsidR="00AF55D8" w:rsidRPr="00B71D8D">
        <w:rPr>
          <w:lang w:val="en-GB"/>
        </w:rPr>
        <w:fldChar w:fldCharType="begin"/>
      </w:r>
      <w:r w:rsidR="00AF55D8" w:rsidRPr="00B71D8D">
        <w:rPr>
          <w:lang w:val="en-GB"/>
        </w:rPr>
        <w:instrText xml:space="preserve"> REF _Ref97281780 \h </w:instrText>
      </w:r>
      <w:r w:rsidR="00EC1EC6" w:rsidRPr="00B71D8D">
        <w:rPr>
          <w:lang w:val="en-GB"/>
        </w:rPr>
        <w:instrText xml:space="preserve"> \* MERGEFORMAT </w:instrText>
      </w:r>
      <w:r w:rsidR="00AF55D8" w:rsidRPr="00B71D8D">
        <w:rPr>
          <w:lang w:val="en-GB"/>
        </w:rPr>
      </w:r>
      <w:r w:rsidR="00AF55D8" w:rsidRPr="00B71D8D">
        <w:rPr>
          <w:lang w:val="en-GB"/>
        </w:rPr>
        <w:fldChar w:fldCharType="separate"/>
      </w:r>
      <w:r w:rsidR="005559CC" w:rsidRPr="00B71D8D">
        <w:t xml:space="preserve">Figure </w:t>
      </w:r>
      <w:r w:rsidR="005559CC" w:rsidRPr="00B71D8D">
        <w:rPr>
          <w:noProof/>
        </w:rPr>
        <w:t>2</w:t>
      </w:r>
      <w:r w:rsidR="00AF55D8" w:rsidRPr="00B71D8D">
        <w:rPr>
          <w:lang w:val="en-GB"/>
        </w:rPr>
        <w:fldChar w:fldCharType="end"/>
      </w:r>
      <w:r w:rsidR="002B79F4" w:rsidRPr="00B71D8D">
        <w:rPr>
          <w:lang w:val="en-GB"/>
        </w:rPr>
        <w:t>b. The width of</w:t>
      </w:r>
      <w:r w:rsidR="00822080" w:rsidRPr="00B71D8D">
        <w:rPr>
          <w:lang w:val="en-GB"/>
        </w:rPr>
        <w:t xml:space="preserve"> the</w:t>
      </w:r>
      <w:r w:rsidR="002B79F4" w:rsidRPr="00B71D8D">
        <w:rPr>
          <w:lang w:val="en-GB"/>
        </w:rPr>
        <w:t xml:space="preserve"> rectangular channel</w:t>
      </w:r>
      <w:r w:rsidR="0019731F" w:rsidRPr="00B71D8D">
        <w:rPr>
          <w:lang w:val="en-GB"/>
        </w:rPr>
        <w:t>s</w:t>
      </w:r>
      <w:r w:rsidR="002B79F4" w:rsidRPr="00B71D8D">
        <w:rPr>
          <w:lang w:val="en-GB"/>
        </w:rPr>
        <w:t xml:space="preserve"> is equal to the diameter </w:t>
      </w:r>
      <w:r w:rsidR="00F36718" w:rsidRPr="00B71D8D">
        <w:rPr>
          <w:lang w:val="en-GB"/>
        </w:rPr>
        <w:t xml:space="preserve">of the </w:t>
      </w:r>
      <w:r w:rsidR="00FD3A8C" w:rsidRPr="00B71D8D">
        <w:rPr>
          <w:lang w:val="en-GB"/>
        </w:rPr>
        <w:t xml:space="preserve">original </w:t>
      </w:r>
      <w:r w:rsidR="00F36718" w:rsidRPr="00B71D8D">
        <w:rPr>
          <w:lang w:val="en-GB"/>
        </w:rPr>
        <w:t>semi-circular</w:t>
      </w:r>
      <w:r w:rsidR="00FD3A8C" w:rsidRPr="00B71D8D">
        <w:rPr>
          <w:lang w:val="en-GB"/>
        </w:rPr>
        <w:t xml:space="preserve"> geometry</w:t>
      </w:r>
      <w:r w:rsidR="00F36718" w:rsidRPr="00B71D8D">
        <w:rPr>
          <w:lang w:val="en-GB"/>
        </w:rPr>
        <w:t xml:space="preserve">. This ensures the same </w:t>
      </w:r>
      <w:r w:rsidR="00D274AB" w:rsidRPr="00B71D8D">
        <w:rPr>
          <w:lang w:val="en-GB"/>
        </w:rPr>
        <w:t xml:space="preserve">heat transfer </w:t>
      </w:r>
      <w:r w:rsidR="00F36718" w:rsidRPr="00B71D8D">
        <w:rPr>
          <w:lang w:val="en-GB"/>
        </w:rPr>
        <w:t xml:space="preserve">area </w:t>
      </w:r>
      <w:r w:rsidR="000829D1" w:rsidRPr="00B71D8D">
        <w:rPr>
          <w:lang w:val="en-GB"/>
        </w:rPr>
        <w:t xml:space="preserve">in </w:t>
      </w:r>
      <m:oMath>
        <m:r>
          <w:rPr>
            <w:rFonts w:ascii="Cambria Math" w:hAnsi="Cambria Math"/>
            <w:lang w:val="en-GB"/>
          </w:rPr>
          <m:t>y</m:t>
        </m:r>
      </m:oMath>
      <w:r w:rsidR="000829D1" w:rsidRPr="00B71D8D">
        <w:rPr>
          <w:lang w:val="en-GB"/>
        </w:rPr>
        <w:t>-direction</w:t>
      </w:r>
      <w:r w:rsidR="00F36718" w:rsidRPr="00B71D8D">
        <w:rPr>
          <w:lang w:val="en-GB"/>
        </w:rPr>
        <w:t>. The height</w:t>
      </w:r>
      <w:r w:rsidR="00365F8A" w:rsidRPr="00B71D8D">
        <w:rPr>
          <w:lang w:val="en-GB"/>
        </w:rPr>
        <w:t xml:space="preserve"> </w:t>
      </w:r>
      <m:oMath>
        <m:r>
          <w:rPr>
            <w:rFonts w:ascii="Cambria Math" w:hAnsi="Cambria Math"/>
            <w:lang w:val="en-GB"/>
          </w:rPr>
          <m:t>H</m:t>
        </m:r>
      </m:oMath>
      <w:r w:rsidR="00F36718" w:rsidRPr="00B71D8D">
        <w:rPr>
          <w:lang w:val="en-GB"/>
        </w:rPr>
        <w:t xml:space="preserve"> of rectangular </w:t>
      </w:r>
      <w:r w:rsidR="00332310" w:rsidRPr="00B71D8D">
        <w:rPr>
          <w:lang w:val="en-GB"/>
        </w:rPr>
        <w:t>geometry</w:t>
      </w:r>
      <w:r w:rsidR="00F36718" w:rsidRPr="00B71D8D">
        <w:rPr>
          <w:lang w:val="en-GB"/>
        </w:rPr>
        <w:t xml:space="preserve"> is chosen </w:t>
      </w:r>
      <w:r w:rsidR="00D274AB" w:rsidRPr="00B71D8D">
        <w:rPr>
          <w:lang w:val="en-GB"/>
        </w:rPr>
        <w:t>in such a way that</w:t>
      </w:r>
      <w:r w:rsidR="00F36718" w:rsidRPr="00B71D8D">
        <w:rPr>
          <w:lang w:val="en-GB"/>
        </w:rPr>
        <w:t xml:space="preserve"> </w:t>
      </w:r>
      <w:r w:rsidR="00233CDF" w:rsidRPr="00B71D8D">
        <w:rPr>
          <w:lang w:val="en-GB"/>
        </w:rPr>
        <w:t xml:space="preserve">the </w:t>
      </w:r>
      <w:r w:rsidR="00F36718" w:rsidRPr="00B71D8D">
        <w:rPr>
          <w:lang w:val="en-GB"/>
        </w:rPr>
        <w:t>cross-sectional area</w:t>
      </w:r>
      <w:r w:rsidR="00FD3A8C" w:rsidRPr="00B71D8D">
        <w:rPr>
          <w:lang w:val="en-GB"/>
        </w:rPr>
        <w:t xml:space="preserve"> </w:t>
      </w:r>
      <w:r w:rsidR="00233CDF" w:rsidRPr="00B71D8D">
        <w:rPr>
          <w:lang w:val="en-GB"/>
        </w:rPr>
        <w:t xml:space="preserve">of </w:t>
      </w:r>
      <w:r w:rsidR="00454224" w:rsidRPr="00B71D8D">
        <w:rPr>
          <w:lang w:val="en-GB"/>
        </w:rPr>
        <w:t xml:space="preserve">a </w:t>
      </w:r>
      <w:r w:rsidR="00233CDF" w:rsidRPr="00B71D8D">
        <w:rPr>
          <w:lang w:val="en-GB"/>
        </w:rPr>
        <w:t xml:space="preserve">rectangular </w:t>
      </w:r>
      <w:r w:rsidR="00454224" w:rsidRPr="00B71D8D">
        <w:rPr>
          <w:lang w:val="en-GB"/>
        </w:rPr>
        <w:t xml:space="preserve">channel  is equal to the area </w:t>
      </w:r>
      <w:r w:rsidR="00BE4F7D" w:rsidRPr="00B71D8D">
        <w:rPr>
          <w:lang w:val="en-GB"/>
        </w:rPr>
        <w:t xml:space="preserve">of the </w:t>
      </w:r>
      <w:r w:rsidR="00233CDF" w:rsidRPr="00B71D8D">
        <w:rPr>
          <w:lang w:val="en-GB"/>
        </w:rPr>
        <w:t>original channel</w:t>
      </w:r>
      <w:r w:rsidR="00EE415A" w:rsidRPr="00B71D8D">
        <w:rPr>
          <w:lang w:val="en-GB"/>
        </w:rPr>
        <w:t>,</w:t>
      </w:r>
      <w:r w:rsidR="00233CDF" w:rsidRPr="00B71D8D">
        <w:rPr>
          <w:lang w:val="en-GB"/>
        </w:rPr>
        <w:t xml:space="preserve"> </w:t>
      </w:r>
      <w:r w:rsidR="00BE4F7D" w:rsidRPr="00B71D8D">
        <w:rPr>
          <w:lang w:val="en-GB"/>
        </w:rPr>
        <w:t>with the same flow velocity value</w:t>
      </w:r>
      <w:r w:rsidR="00233CDF" w:rsidRPr="00B71D8D">
        <w:rPr>
          <w:rStyle w:val="Kommentarzeichen"/>
          <w:lang w:val="en-GB"/>
        </w:rPr>
        <w:t>.</w:t>
      </w:r>
      <w:r w:rsidR="00E1229C" w:rsidRPr="00B71D8D">
        <w:rPr>
          <w:lang w:val="en-GB"/>
        </w:rPr>
        <w:t xml:space="preserve"> </w:t>
      </w:r>
      <w:r w:rsidR="007E1D5D" w:rsidRPr="00B71D8D">
        <w:rPr>
          <w:lang w:val="en-GB"/>
        </w:rPr>
        <w:t>The rectangular geometry allows us</w:t>
      </w:r>
      <w:r w:rsidR="00885B5A" w:rsidRPr="00B71D8D">
        <w:rPr>
          <w:lang w:val="en-GB"/>
        </w:rPr>
        <w:t>ing</w:t>
      </w:r>
      <w:r w:rsidR="00C10BFD" w:rsidRPr="00B71D8D">
        <w:rPr>
          <w:lang w:val="en-GB"/>
        </w:rPr>
        <w:t xml:space="preserve"> </w:t>
      </w:r>
      <w:r w:rsidR="00E26167" w:rsidRPr="00B71D8D">
        <w:rPr>
          <w:lang w:val="en-GB"/>
        </w:rPr>
        <w:t xml:space="preserve">geometrical </w:t>
      </w:r>
      <w:r w:rsidR="00C10BFD" w:rsidRPr="00B71D8D">
        <w:rPr>
          <w:lang w:val="en-GB"/>
        </w:rPr>
        <w:t>periodicit</w:t>
      </w:r>
      <w:r w:rsidR="00374854" w:rsidRPr="00B71D8D">
        <w:rPr>
          <w:lang w:val="en-GB"/>
        </w:rPr>
        <w:t xml:space="preserve">y shown </w:t>
      </w:r>
      <w:r w:rsidR="00C10BFD" w:rsidRPr="00B71D8D">
        <w:rPr>
          <w:lang w:val="en-GB"/>
        </w:rPr>
        <w:t xml:space="preserve">in </w:t>
      </w:r>
      <w:r w:rsidR="00AF55D8" w:rsidRPr="00B71D8D">
        <w:rPr>
          <w:lang w:val="en-GB"/>
        </w:rPr>
        <w:fldChar w:fldCharType="begin"/>
      </w:r>
      <w:r w:rsidR="00AF55D8" w:rsidRPr="00B71D8D">
        <w:rPr>
          <w:lang w:val="en-GB"/>
        </w:rPr>
        <w:instrText xml:space="preserve"> REF _Ref97281780 \h </w:instrText>
      </w:r>
      <w:r w:rsidR="00C10BFD" w:rsidRPr="00B71D8D">
        <w:rPr>
          <w:lang w:val="en-GB"/>
        </w:rPr>
        <w:instrText xml:space="preserve"> \* MERGEFORMAT </w:instrText>
      </w:r>
      <w:r w:rsidR="00AF55D8" w:rsidRPr="00B71D8D">
        <w:rPr>
          <w:lang w:val="en-GB"/>
        </w:rPr>
      </w:r>
      <w:r w:rsidR="00AF55D8" w:rsidRPr="00B71D8D">
        <w:rPr>
          <w:lang w:val="en-GB"/>
        </w:rPr>
        <w:fldChar w:fldCharType="separate"/>
      </w:r>
      <w:r w:rsidR="005559CC" w:rsidRPr="00B71D8D">
        <w:rPr>
          <w:lang w:val="en-GB"/>
        </w:rPr>
        <w:t xml:space="preserve">Figure </w:t>
      </w:r>
      <w:r w:rsidR="005559CC" w:rsidRPr="00B71D8D">
        <w:rPr>
          <w:noProof/>
          <w:lang w:val="en-GB"/>
        </w:rPr>
        <w:t>2</w:t>
      </w:r>
      <w:r w:rsidR="00AF55D8" w:rsidRPr="00B71D8D">
        <w:rPr>
          <w:lang w:val="en-GB"/>
        </w:rPr>
        <w:fldChar w:fldCharType="end"/>
      </w:r>
      <w:r w:rsidR="00E1229C" w:rsidRPr="00B71D8D">
        <w:rPr>
          <w:lang w:val="en-GB"/>
        </w:rPr>
        <w:t>b by the dash line</w:t>
      </w:r>
      <w:r w:rsidR="00C10BFD" w:rsidRPr="00B71D8D">
        <w:rPr>
          <w:lang w:val="en-GB"/>
        </w:rPr>
        <w:t>. A more detailed view of one periodic element is</w:t>
      </w:r>
      <w:r w:rsidR="00E1229C" w:rsidRPr="00B71D8D">
        <w:rPr>
          <w:lang w:val="en-GB"/>
        </w:rPr>
        <w:t xml:space="preserve"> </w:t>
      </w:r>
      <w:r w:rsidR="00374854" w:rsidRPr="00B71D8D">
        <w:rPr>
          <w:lang w:val="en-GB"/>
        </w:rPr>
        <w:t>given</w:t>
      </w:r>
      <w:r w:rsidR="00E1229C" w:rsidRPr="00B71D8D">
        <w:rPr>
          <w:lang w:val="en-GB"/>
        </w:rPr>
        <w:t xml:space="preserve"> in </w:t>
      </w:r>
      <w:r w:rsidR="00AF55D8" w:rsidRPr="00B71D8D">
        <w:rPr>
          <w:lang w:val="en-GB"/>
        </w:rPr>
        <w:fldChar w:fldCharType="begin"/>
      </w:r>
      <w:r w:rsidR="00AF55D8" w:rsidRPr="00B71D8D">
        <w:rPr>
          <w:lang w:val="en-GB"/>
        </w:rPr>
        <w:instrText xml:space="preserve"> REF _Ref97281780 \h </w:instrText>
      </w:r>
      <w:r w:rsidR="00C10BFD" w:rsidRPr="00B71D8D">
        <w:rPr>
          <w:lang w:val="en-GB"/>
        </w:rPr>
        <w:instrText xml:space="preserve"> \* MERGEFORMAT </w:instrText>
      </w:r>
      <w:r w:rsidR="00AF55D8" w:rsidRPr="00B71D8D">
        <w:rPr>
          <w:lang w:val="en-GB"/>
        </w:rPr>
      </w:r>
      <w:r w:rsidR="00AF55D8" w:rsidRPr="00B71D8D">
        <w:rPr>
          <w:lang w:val="en-GB"/>
        </w:rPr>
        <w:fldChar w:fldCharType="separate"/>
      </w:r>
      <w:r w:rsidR="005559CC" w:rsidRPr="00B71D8D">
        <w:rPr>
          <w:lang w:val="en-GB"/>
        </w:rPr>
        <w:t xml:space="preserve">Figure </w:t>
      </w:r>
      <w:r w:rsidR="005559CC" w:rsidRPr="00B71D8D">
        <w:rPr>
          <w:noProof/>
          <w:lang w:val="en-GB"/>
        </w:rPr>
        <w:t>2</w:t>
      </w:r>
      <w:r w:rsidR="00AF55D8" w:rsidRPr="00B71D8D">
        <w:rPr>
          <w:lang w:val="en-GB"/>
        </w:rPr>
        <w:fldChar w:fldCharType="end"/>
      </w:r>
      <w:r w:rsidR="00E1229C" w:rsidRPr="00B71D8D">
        <w:rPr>
          <w:lang w:val="en-GB"/>
        </w:rPr>
        <w:t>c.</w:t>
      </w:r>
    </w:p>
    <w:tbl>
      <w:tblPr>
        <w:tblStyle w:val="Tabellenraster"/>
        <w:tblW w:w="90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260"/>
        <w:gridCol w:w="2552"/>
      </w:tblGrid>
      <w:tr w:rsidR="007D2B8B" w:rsidRPr="00B71D8D" w14:paraId="006317FD" w14:textId="1EF8D172" w:rsidTr="00F61AA8">
        <w:trPr>
          <w:trHeight w:val="1361"/>
        </w:trPr>
        <w:tc>
          <w:tcPr>
            <w:tcW w:w="3261" w:type="dxa"/>
          </w:tcPr>
          <w:p w14:paraId="6F86D192" w14:textId="77777777" w:rsidR="007D2B8B" w:rsidRPr="00B71D8D" w:rsidRDefault="007D2B8B" w:rsidP="00F61AA8">
            <w:pPr>
              <w:pStyle w:val="CETBodytext"/>
              <w:keepNext/>
              <w:spacing w:before="120"/>
              <w:jc w:val="left"/>
              <w:rPr>
                <w:lang w:val="en-GB"/>
              </w:rPr>
            </w:pPr>
            <w:r w:rsidRPr="00B71D8D">
              <w:rPr>
                <w:noProof/>
                <w:lang w:val="en-GB"/>
              </w:rPr>
              <w:drawing>
                <wp:anchor distT="0" distB="0" distL="114300" distR="114300" simplePos="0" relativeHeight="251617792" behindDoc="0" locked="0" layoutInCell="1" allowOverlap="1" wp14:anchorId="53052B37" wp14:editId="7424FCFA">
                  <wp:simplePos x="0" y="0"/>
                  <wp:positionH relativeFrom="column">
                    <wp:posOffset>202649</wp:posOffset>
                  </wp:positionH>
                  <wp:positionV relativeFrom="paragraph">
                    <wp:posOffset>80338</wp:posOffset>
                  </wp:positionV>
                  <wp:extent cx="1535756" cy="747796"/>
                  <wp:effectExtent l="0" t="0" r="762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a:stretch>
                            <a:fillRect/>
                          </a:stretch>
                        </pic:blipFill>
                        <pic:spPr>
                          <a:xfrm>
                            <a:off x="0" y="0"/>
                            <a:ext cx="1535756" cy="747796"/>
                          </a:xfrm>
                          <a:prstGeom prst="rect">
                            <a:avLst/>
                          </a:prstGeom>
                        </pic:spPr>
                      </pic:pic>
                    </a:graphicData>
                  </a:graphic>
                  <wp14:sizeRelH relativeFrom="margin">
                    <wp14:pctWidth>0</wp14:pctWidth>
                  </wp14:sizeRelH>
                  <wp14:sizeRelV relativeFrom="margin">
                    <wp14:pctHeight>0</wp14:pctHeight>
                  </wp14:sizeRelV>
                </wp:anchor>
              </w:drawing>
            </w:r>
            <w:r w:rsidRPr="00B71D8D">
              <w:rPr>
                <w:lang w:val="en-GB"/>
              </w:rPr>
              <w:t>a)</w:t>
            </w:r>
          </w:p>
          <w:p w14:paraId="2222B36B" w14:textId="77777777" w:rsidR="007D2B8B" w:rsidRPr="00B71D8D" w:rsidRDefault="007D2B8B" w:rsidP="00F36A40">
            <w:pPr>
              <w:pStyle w:val="CETBodytext"/>
              <w:rPr>
                <w:lang w:val="en-GB"/>
              </w:rPr>
            </w:pPr>
          </w:p>
          <w:p w14:paraId="2849E092" w14:textId="77777777" w:rsidR="007D2B8B" w:rsidRPr="00B71D8D" w:rsidRDefault="007D2B8B" w:rsidP="00F36A40">
            <w:pPr>
              <w:pStyle w:val="CETBodytext"/>
              <w:rPr>
                <w:lang w:val="en-GB"/>
              </w:rPr>
            </w:pPr>
          </w:p>
          <w:p w14:paraId="35390C91" w14:textId="77777777" w:rsidR="007D2B8B" w:rsidRPr="00B71D8D" w:rsidRDefault="007D2B8B" w:rsidP="00F36A40">
            <w:pPr>
              <w:pStyle w:val="CETBodytext"/>
              <w:rPr>
                <w:lang w:val="en-GB"/>
              </w:rPr>
            </w:pPr>
          </w:p>
          <w:p w14:paraId="68A3F41C" w14:textId="77777777" w:rsidR="007D2B8B" w:rsidRPr="00B71D8D" w:rsidRDefault="007D2B8B" w:rsidP="00F36A40">
            <w:pPr>
              <w:pStyle w:val="CETBodytext"/>
              <w:tabs>
                <w:tab w:val="clear" w:pos="7100"/>
                <w:tab w:val="left" w:pos="3373"/>
              </w:tabs>
              <w:rPr>
                <w:lang w:val="en-GB"/>
              </w:rPr>
            </w:pPr>
            <w:r w:rsidRPr="00B71D8D">
              <w:rPr>
                <w:lang w:val="en-GB"/>
              </w:rPr>
              <w:tab/>
            </w:r>
          </w:p>
        </w:tc>
        <w:tc>
          <w:tcPr>
            <w:tcW w:w="3260" w:type="dxa"/>
          </w:tcPr>
          <w:p w14:paraId="74D8C36A" w14:textId="77777777" w:rsidR="007D2B8B" w:rsidRPr="00B71D8D" w:rsidRDefault="007D2B8B" w:rsidP="00F61AA8">
            <w:pPr>
              <w:pStyle w:val="CETBodytext"/>
              <w:spacing w:before="120"/>
              <w:rPr>
                <w:lang w:val="en-GB"/>
              </w:rPr>
            </w:pPr>
            <w:r w:rsidRPr="00B71D8D">
              <w:rPr>
                <w:noProof/>
                <w:lang w:val="en-GB"/>
              </w:rPr>
              <w:drawing>
                <wp:anchor distT="0" distB="0" distL="114300" distR="114300" simplePos="0" relativeHeight="251623936" behindDoc="0" locked="0" layoutInCell="1" allowOverlap="1" wp14:anchorId="26DF958B" wp14:editId="50DACE5A">
                  <wp:simplePos x="0" y="0"/>
                  <wp:positionH relativeFrom="column">
                    <wp:posOffset>186055</wp:posOffset>
                  </wp:positionH>
                  <wp:positionV relativeFrom="paragraph">
                    <wp:posOffset>43470</wp:posOffset>
                  </wp:positionV>
                  <wp:extent cx="1556186" cy="792809"/>
                  <wp:effectExtent l="0" t="0" r="635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6"/>
                          <a:stretch>
                            <a:fillRect/>
                          </a:stretch>
                        </pic:blipFill>
                        <pic:spPr>
                          <a:xfrm>
                            <a:off x="0" y="0"/>
                            <a:ext cx="1556186" cy="792809"/>
                          </a:xfrm>
                          <a:prstGeom prst="rect">
                            <a:avLst/>
                          </a:prstGeom>
                        </pic:spPr>
                      </pic:pic>
                    </a:graphicData>
                  </a:graphic>
                  <wp14:sizeRelH relativeFrom="margin">
                    <wp14:pctWidth>0</wp14:pctWidth>
                  </wp14:sizeRelH>
                  <wp14:sizeRelV relativeFrom="margin">
                    <wp14:pctHeight>0</wp14:pctHeight>
                  </wp14:sizeRelV>
                </wp:anchor>
              </w:drawing>
            </w:r>
            <w:r w:rsidRPr="00B71D8D">
              <w:rPr>
                <w:lang w:val="en-GB"/>
              </w:rPr>
              <w:t>b)</w:t>
            </w:r>
          </w:p>
          <w:p w14:paraId="3ACDB344" w14:textId="77777777" w:rsidR="007D2B8B" w:rsidRPr="00B71D8D" w:rsidRDefault="007D2B8B" w:rsidP="00F61AA8">
            <w:pPr>
              <w:pStyle w:val="CETBodytext"/>
              <w:spacing w:before="120"/>
              <w:rPr>
                <w:lang w:val="en-GB"/>
              </w:rPr>
            </w:pPr>
          </w:p>
        </w:tc>
        <w:tc>
          <w:tcPr>
            <w:tcW w:w="2552" w:type="dxa"/>
          </w:tcPr>
          <w:p w14:paraId="4A87B72A" w14:textId="21603B1B" w:rsidR="007D2B8B" w:rsidRPr="00B71D8D" w:rsidRDefault="007D2B8B" w:rsidP="00F61AA8">
            <w:pPr>
              <w:pStyle w:val="CETBodytext"/>
              <w:spacing w:before="120"/>
              <w:rPr>
                <w:noProof/>
                <w:lang w:val="en-GB"/>
              </w:rPr>
            </w:pPr>
            <w:r w:rsidRPr="00B71D8D">
              <w:rPr>
                <w:noProof/>
                <w:lang w:val="en-GB"/>
              </w:rPr>
              <w:drawing>
                <wp:anchor distT="0" distB="0" distL="114300" distR="114300" simplePos="0" relativeHeight="251647488" behindDoc="0" locked="0" layoutInCell="1" allowOverlap="1" wp14:anchorId="32B71FAF" wp14:editId="46F49CA0">
                  <wp:simplePos x="0" y="0"/>
                  <wp:positionH relativeFrom="column">
                    <wp:posOffset>293438</wp:posOffset>
                  </wp:positionH>
                  <wp:positionV relativeFrom="paragraph">
                    <wp:posOffset>208232</wp:posOffset>
                  </wp:positionV>
                  <wp:extent cx="883996" cy="530756"/>
                  <wp:effectExtent l="0" t="0" r="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7"/>
                          <a:stretch>
                            <a:fillRect/>
                          </a:stretch>
                        </pic:blipFill>
                        <pic:spPr>
                          <a:xfrm>
                            <a:off x="0" y="0"/>
                            <a:ext cx="891952" cy="535533"/>
                          </a:xfrm>
                          <a:prstGeom prst="rect">
                            <a:avLst/>
                          </a:prstGeom>
                        </pic:spPr>
                      </pic:pic>
                    </a:graphicData>
                  </a:graphic>
                  <wp14:sizeRelH relativeFrom="margin">
                    <wp14:pctWidth>0</wp14:pctWidth>
                  </wp14:sizeRelH>
                  <wp14:sizeRelV relativeFrom="margin">
                    <wp14:pctHeight>0</wp14:pctHeight>
                  </wp14:sizeRelV>
                </wp:anchor>
              </w:drawing>
            </w:r>
            <w:r w:rsidRPr="00B71D8D">
              <w:rPr>
                <w:noProof/>
                <w:lang w:val="en-GB"/>
              </w:rPr>
              <w:t>c)</w:t>
            </w:r>
          </w:p>
        </w:tc>
      </w:tr>
      <w:tr w:rsidR="007D2B8B" w:rsidRPr="00B71D8D" w14:paraId="52352A2F" w14:textId="77777777" w:rsidTr="00824450">
        <w:trPr>
          <w:trHeight w:val="452"/>
        </w:trPr>
        <w:tc>
          <w:tcPr>
            <w:tcW w:w="9073" w:type="dxa"/>
            <w:gridSpan w:val="3"/>
          </w:tcPr>
          <w:p w14:paraId="5C8E17D5" w14:textId="7A86B4BF" w:rsidR="007D2B8B" w:rsidRPr="00B71D8D" w:rsidRDefault="007D2B8B" w:rsidP="002A4F69">
            <w:pPr>
              <w:pStyle w:val="CETCaption"/>
            </w:pPr>
            <w:bookmarkStart w:id="2" w:name="_Ref97281780"/>
            <w:r w:rsidRPr="00B71D8D">
              <w:t xml:space="preserve">Figure </w:t>
            </w:r>
            <w:r w:rsidRPr="00B71D8D">
              <w:fldChar w:fldCharType="begin"/>
            </w:r>
            <w:r w:rsidRPr="00B71D8D">
              <w:instrText xml:space="preserve"> SEQ Figure \* ARABIC </w:instrText>
            </w:r>
            <w:r w:rsidRPr="00B71D8D">
              <w:fldChar w:fldCharType="separate"/>
            </w:r>
            <w:r w:rsidR="005559CC" w:rsidRPr="00B71D8D">
              <w:rPr>
                <w:noProof/>
              </w:rPr>
              <w:t>2</w:t>
            </w:r>
            <w:r w:rsidRPr="00B71D8D">
              <w:fldChar w:fldCharType="end"/>
            </w:r>
            <w:bookmarkEnd w:id="2"/>
            <w:r w:rsidRPr="00B71D8D">
              <w:t>: Schematic</w:t>
            </w:r>
            <w:r w:rsidR="00880478" w:rsidRPr="00B71D8D">
              <w:t xml:space="preserve"> cross-sectional</w:t>
            </w:r>
            <w:r w:rsidRPr="00B71D8D">
              <w:t xml:space="preserve"> view on the</w:t>
            </w:r>
            <w:r w:rsidR="00880478" w:rsidRPr="00B71D8D">
              <w:t xml:space="preserve"> original</w:t>
            </w:r>
            <w:r w:rsidRPr="00B71D8D">
              <w:t xml:space="preserve"> PCHE </w:t>
            </w:r>
            <w:r w:rsidR="00880478" w:rsidRPr="00B71D8D">
              <w:t xml:space="preserve">with </w:t>
            </w:r>
            <w:r w:rsidRPr="00B71D8D">
              <w:t xml:space="preserve">semi-circular channels </w:t>
            </w:r>
            <w:r w:rsidR="00CE5C00" w:rsidRPr="00B71D8D">
              <w:t>(</w:t>
            </w:r>
            <w:r w:rsidRPr="00B71D8D">
              <w:t>a)</w:t>
            </w:r>
            <w:r w:rsidR="00A46E80" w:rsidRPr="00B71D8D">
              <w:t>,</w:t>
            </w:r>
            <w:r w:rsidRPr="00B71D8D">
              <w:t xml:space="preserve"> </w:t>
            </w:r>
            <w:r w:rsidR="00A46E80" w:rsidRPr="00B71D8D">
              <w:t xml:space="preserve">simplified rectangular </w:t>
            </w:r>
            <w:r w:rsidRPr="00B71D8D">
              <w:t xml:space="preserve">channels </w:t>
            </w:r>
            <w:r w:rsidR="00A46E80" w:rsidRPr="00B71D8D">
              <w:t>with a</w:t>
            </w:r>
            <w:r w:rsidRPr="00B71D8D">
              <w:t xml:space="preserve"> periodic element marked by the dash line</w:t>
            </w:r>
            <w:r w:rsidR="006B5F8B" w:rsidRPr="00B71D8D">
              <w:t xml:space="preserve"> </w:t>
            </w:r>
            <w:r w:rsidR="00CE5C00" w:rsidRPr="00B71D8D">
              <w:t>(</w:t>
            </w:r>
            <w:r w:rsidR="006B5F8B" w:rsidRPr="00B71D8D">
              <w:t>b)</w:t>
            </w:r>
            <w:r w:rsidR="00A46E80" w:rsidRPr="00B71D8D">
              <w:t xml:space="preserve"> and </w:t>
            </w:r>
            <w:r w:rsidR="00595DC1" w:rsidRPr="00B71D8D">
              <w:t xml:space="preserve">the </w:t>
            </w:r>
            <w:r w:rsidR="00A46E80" w:rsidRPr="00B71D8D">
              <w:t xml:space="preserve">periodic element </w:t>
            </w:r>
            <w:r w:rsidR="00595DC1" w:rsidRPr="00B71D8D">
              <w:t>(</w:t>
            </w:r>
            <w:r w:rsidR="00A46E80" w:rsidRPr="00B71D8D">
              <w:t>c).</w:t>
            </w:r>
          </w:p>
        </w:tc>
      </w:tr>
    </w:tbl>
    <w:p w14:paraId="3607CCCB" w14:textId="2C683A34" w:rsidR="00041F91" w:rsidRPr="00B71D8D" w:rsidRDefault="00241C73" w:rsidP="00AE3DA3">
      <w:pPr>
        <w:pStyle w:val="CETheadingx"/>
        <w:rPr>
          <w:lang w:val="en-GB"/>
        </w:rPr>
      </w:pPr>
      <w:r w:rsidRPr="00B71D8D">
        <w:rPr>
          <w:lang w:val="en-GB"/>
        </w:rPr>
        <w:t>Governing equations</w:t>
      </w:r>
    </w:p>
    <w:p w14:paraId="7531B85A" w14:textId="3B9DF2C4" w:rsidR="00814650" w:rsidRPr="00B71D8D" w:rsidRDefault="00695881" w:rsidP="00814650">
      <w:pPr>
        <w:pStyle w:val="CETBodytext"/>
        <w:rPr>
          <w:lang w:val="en-GB"/>
        </w:rPr>
      </w:pPr>
      <w:r w:rsidRPr="00B71D8D">
        <w:rPr>
          <w:lang w:val="en-GB"/>
        </w:rPr>
        <w:t>It</w:t>
      </w:r>
      <w:r w:rsidR="006551BA" w:rsidRPr="00B71D8D">
        <w:rPr>
          <w:lang w:val="en-GB"/>
        </w:rPr>
        <w:t xml:space="preserve"> is assumed that the main part of heat transfer takes place during the isobaric stages. </w:t>
      </w:r>
      <w:r w:rsidR="005766F9" w:rsidRPr="00B71D8D">
        <w:rPr>
          <w:lang w:val="en-GB"/>
        </w:rPr>
        <w:t>Consequently</w:t>
      </w:r>
      <w:r w:rsidR="006551BA" w:rsidRPr="00B71D8D">
        <w:rPr>
          <w:lang w:val="en-GB"/>
        </w:rPr>
        <w:t xml:space="preserve">, </w:t>
      </w:r>
      <w:r w:rsidR="006F7486" w:rsidRPr="00B71D8D">
        <w:rPr>
          <w:lang w:val="en-GB"/>
        </w:rPr>
        <w:t>the</w:t>
      </w:r>
      <w:r w:rsidR="00313D96" w:rsidRPr="00B71D8D">
        <w:rPr>
          <w:lang w:val="en-GB"/>
        </w:rPr>
        <w:t xml:space="preserve"> IE </w:t>
      </w:r>
      <w:r w:rsidR="006551BA" w:rsidRPr="00B71D8D">
        <w:rPr>
          <w:lang w:val="en-GB"/>
        </w:rPr>
        <w:t xml:space="preserve">cycle </w:t>
      </w:r>
      <w:r w:rsidR="005766F9" w:rsidRPr="00B71D8D">
        <w:rPr>
          <w:lang w:val="en-GB"/>
        </w:rPr>
        <w:t>is sub</w:t>
      </w:r>
      <w:r w:rsidR="006551BA" w:rsidRPr="00B71D8D">
        <w:rPr>
          <w:lang w:val="en-GB"/>
        </w:rPr>
        <w:t xml:space="preserve">divided into a heating phase and a cooling phase. </w:t>
      </w:r>
      <w:r w:rsidR="008D5C4D" w:rsidRPr="00B71D8D">
        <w:rPr>
          <w:lang w:val="en-GB"/>
        </w:rPr>
        <w:t>T</w:t>
      </w:r>
      <w:r w:rsidR="006551BA" w:rsidRPr="00B71D8D">
        <w:rPr>
          <w:lang w:val="en-GB"/>
        </w:rPr>
        <w:t>he pressure inside the engine is at a high</w:t>
      </w:r>
      <w:r w:rsidR="008D5C4D" w:rsidRPr="00B71D8D">
        <w:rPr>
          <w:lang w:val="en-GB"/>
        </w:rPr>
        <w:t xml:space="preserve"> pressure</w:t>
      </w:r>
      <w:r w:rsidR="006551BA" w:rsidRPr="00B71D8D">
        <w:rPr>
          <w:lang w:val="en-GB"/>
        </w:rPr>
        <w:t xml:space="preserve"> level during the heating phase and at </w:t>
      </w:r>
      <w:r w:rsidR="005766F9" w:rsidRPr="00B71D8D">
        <w:rPr>
          <w:lang w:val="en-GB"/>
        </w:rPr>
        <w:t xml:space="preserve">a </w:t>
      </w:r>
      <w:r w:rsidR="006551BA" w:rsidRPr="00B71D8D">
        <w:rPr>
          <w:lang w:val="en-GB"/>
        </w:rPr>
        <w:t>low</w:t>
      </w:r>
      <w:r w:rsidR="008D5C4D" w:rsidRPr="00B71D8D">
        <w:rPr>
          <w:lang w:val="en-GB"/>
        </w:rPr>
        <w:t xml:space="preserve"> pressure</w:t>
      </w:r>
      <w:r w:rsidR="006551BA" w:rsidRPr="00B71D8D">
        <w:rPr>
          <w:lang w:val="en-GB"/>
        </w:rPr>
        <w:t xml:space="preserve"> level during the cooling phase. </w:t>
      </w:r>
      <w:r w:rsidR="00AB3991" w:rsidRPr="00B71D8D">
        <w:rPr>
          <w:lang w:val="en-GB"/>
        </w:rPr>
        <w:t>For engine A s</w:t>
      </w:r>
      <w:r w:rsidR="006551BA" w:rsidRPr="00B71D8D">
        <w:rPr>
          <w:lang w:val="en-GB"/>
        </w:rPr>
        <w:t>tarting with a cooling phase</w:t>
      </w:r>
      <w:r w:rsidR="00AB3991" w:rsidRPr="00B71D8D">
        <w:rPr>
          <w:lang w:val="en-GB"/>
        </w:rPr>
        <w:t>,</w:t>
      </w:r>
      <w:r w:rsidR="006551BA" w:rsidRPr="00B71D8D">
        <w:rPr>
          <w:lang w:val="en-GB"/>
        </w:rPr>
        <w:t xml:space="preserve"> the heating and cooling phase</w:t>
      </w:r>
      <w:r w:rsidR="006B6F20" w:rsidRPr="00B71D8D">
        <w:rPr>
          <w:lang w:val="en-GB"/>
        </w:rPr>
        <w:t>s</w:t>
      </w:r>
      <w:r w:rsidR="006551BA" w:rsidRPr="00B71D8D">
        <w:rPr>
          <w:lang w:val="en-GB"/>
        </w:rPr>
        <w:t xml:space="preserve"> can be </w:t>
      </w:r>
      <w:r w:rsidR="005766F9" w:rsidRPr="00B71D8D">
        <w:rPr>
          <w:lang w:val="en-GB"/>
        </w:rPr>
        <w:t xml:space="preserve">described </w:t>
      </w:r>
      <w:r w:rsidR="006551BA" w:rsidRPr="00B71D8D">
        <w:rPr>
          <w:lang w:val="en-GB"/>
        </w:rPr>
        <w:t>as follows</w:t>
      </w:r>
    </w:p>
    <w:tbl>
      <w:tblPr>
        <w:tblW w:w="5000" w:type="pct"/>
        <w:tblLook w:val="04A0" w:firstRow="1" w:lastRow="0" w:firstColumn="1" w:lastColumn="0" w:noHBand="0" w:noVBand="1"/>
      </w:tblPr>
      <w:tblGrid>
        <w:gridCol w:w="7988"/>
        <w:gridCol w:w="799"/>
      </w:tblGrid>
      <w:tr w:rsidR="006551BA" w:rsidRPr="00B71D8D" w14:paraId="5B213625" w14:textId="77777777" w:rsidTr="00F36A40">
        <w:tc>
          <w:tcPr>
            <w:tcW w:w="7988" w:type="dxa"/>
            <w:shd w:val="clear" w:color="auto" w:fill="auto"/>
            <w:vAlign w:val="center"/>
          </w:tcPr>
          <w:p w14:paraId="29C8253C" w14:textId="5A1F422F" w:rsidR="006551BA" w:rsidRPr="00B71D8D" w:rsidRDefault="00000000" w:rsidP="00F36A40">
            <w:pPr>
              <w:pStyle w:val="CETEquation"/>
            </w:pPr>
            <m:oMath>
              <m:m>
                <m:mPr>
                  <m:mcs>
                    <m:mc>
                      <m:mcPr>
                        <m:count m:val="1"/>
                        <m:mcJc m:val="center"/>
                      </m:mcPr>
                    </m:mc>
                  </m:mcs>
                  <m:ctrlPr>
                    <w:rPr>
                      <w:rFonts w:ascii="Cambria Math" w:hAnsi="Cambria Math"/>
                      <w:i/>
                    </w:rPr>
                  </m:ctrlPr>
                </m:mPr>
                <m:mr>
                  <m:e>
                    <m:r>
                      <w:rPr>
                        <w:rFonts w:ascii="Cambria Math" w:hAnsi="Cambria Math"/>
                      </w:rPr>
                      <m:t>heating phase:</m:t>
                    </m:r>
                    <m:d>
                      <m:dPr>
                        <m:ctrlPr>
                          <w:rPr>
                            <w:rFonts w:ascii="Cambria Math" w:hAnsi="Cambria Math"/>
                            <w:i/>
                          </w:rPr>
                        </m:ctrlPr>
                      </m:dPr>
                      <m:e>
                        <m:r>
                          <w:rPr>
                            <w:rFonts w:ascii="Cambria Math" w:hAnsi="Cambria Math"/>
                          </w:rPr>
                          <m:t>γ-1</m:t>
                        </m:r>
                      </m:e>
                    </m:d>
                    <m:r>
                      <w:rPr>
                        <w:rFonts w:ascii="Cambria Math" w:hAnsi="Cambria Math"/>
                      </w:rPr>
                      <m:t>τ≤t&lt;</m:t>
                    </m:r>
                    <m:d>
                      <m:dPr>
                        <m:ctrlPr>
                          <w:rPr>
                            <w:rFonts w:ascii="Cambria Math" w:hAnsi="Cambria Math"/>
                            <w:i/>
                          </w:rPr>
                        </m:ctrlPr>
                      </m:dPr>
                      <m:e>
                        <m:r>
                          <w:rPr>
                            <w:rFonts w:ascii="Cambria Math" w:hAnsi="Cambria Math"/>
                          </w:rPr>
                          <m:t>γ-0.5</m:t>
                        </m:r>
                      </m:e>
                    </m:d>
                    <m:r>
                      <w:rPr>
                        <w:rFonts w:ascii="Cambria Math" w:hAnsi="Cambria Math"/>
                      </w:rPr>
                      <m:t>τ</m:t>
                    </m:r>
                  </m:e>
                </m:mr>
                <m:mr>
                  <m:e>
                    <m:r>
                      <w:rPr>
                        <w:rFonts w:ascii="Cambria Math" w:hAnsi="Cambria Math"/>
                      </w:rPr>
                      <m:t>cooling phase:</m:t>
                    </m:r>
                    <m:d>
                      <m:dPr>
                        <m:ctrlPr>
                          <w:rPr>
                            <w:rFonts w:ascii="Cambria Math" w:hAnsi="Cambria Math"/>
                            <w:i/>
                          </w:rPr>
                        </m:ctrlPr>
                      </m:dPr>
                      <m:e>
                        <m:r>
                          <w:rPr>
                            <w:rFonts w:ascii="Cambria Math" w:hAnsi="Cambria Math"/>
                          </w:rPr>
                          <m:t>γ-0.5</m:t>
                        </m:r>
                      </m:e>
                    </m:d>
                    <m:r>
                      <w:rPr>
                        <w:rFonts w:ascii="Cambria Math" w:hAnsi="Cambria Math"/>
                      </w:rPr>
                      <m:t xml:space="preserve">τ≤t&lt;γ τ            </m:t>
                    </m:r>
                  </m:e>
                </m:mr>
              </m:m>
            </m:oMath>
            <w:r w:rsidR="006551BA" w:rsidRPr="00B71D8D">
              <w:t xml:space="preserve"> </w:t>
            </w:r>
          </w:p>
        </w:tc>
        <w:tc>
          <w:tcPr>
            <w:tcW w:w="799" w:type="dxa"/>
            <w:shd w:val="clear" w:color="auto" w:fill="auto"/>
            <w:vAlign w:val="center"/>
          </w:tcPr>
          <w:p w14:paraId="7E493FCA" w14:textId="5894029B" w:rsidR="006551BA" w:rsidRPr="00B71D8D" w:rsidRDefault="006551BA"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1</w:t>
            </w:r>
            <w:r w:rsidR="00814650" w:rsidRPr="00B71D8D">
              <w:fldChar w:fldCharType="end"/>
            </w:r>
            <w:r w:rsidRPr="00B71D8D">
              <w:t>)</w:t>
            </w:r>
          </w:p>
        </w:tc>
      </w:tr>
    </w:tbl>
    <w:p w14:paraId="2B2D4613" w14:textId="721A44A4" w:rsidR="008D5C4D" w:rsidRPr="00B71D8D" w:rsidRDefault="006551BA" w:rsidP="00294FB0">
      <w:pPr>
        <w:pStyle w:val="CETBodytext"/>
        <w:rPr>
          <w:lang w:val="en-GB"/>
        </w:rPr>
      </w:pPr>
      <w:r w:rsidRPr="00B71D8D">
        <w:rPr>
          <w:lang w:val="en-GB"/>
        </w:rPr>
        <w:t xml:space="preserve">where </w:t>
      </w:r>
      <m:oMath>
        <m:r>
          <w:rPr>
            <w:rFonts w:ascii="Cambria Math" w:hAnsi="Cambria Math"/>
            <w:lang w:val="en-GB"/>
          </w:rPr>
          <m:t>γ</m:t>
        </m:r>
      </m:oMath>
      <w:r w:rsidRPr="00B71D8D">
        <w:rPr>
          <w:lang w:val="en-GB"/>
        </w:rPr>
        <w:t xml:space="preserve"> is the current cycle </w:t>
      </w:r>
      <w:r w:rsidR="005766F9" w:rsidRPr="00B71D8D">
        <w:rPr>
          <w:lang w:val="en-GB"/>
        </w:rPr>
        <w:t xml:space="preserve">number </w:t>
      </w:r>
      <w:r w:rsidRPr="00B71D8D">
        <w:rPr>
          <w:lang w:val="en-GB"/>
        </w:rPr>
        <w:t xml:space="preserve">(starting with </w:t>
      </w:r>
      <m:oMath>
        <m:r>
          <w:rPr>
            <w:rFonts w:ascii="Cambria Math" w:hAnsi="Cambria Math"/>
            <w:lang w:val="en-GB"/>
          </w:rPr>
          <m:t>γ</m:t>
        </m:r>
      </m:oMath>
      <w:r w:rsidR="00DF6B12" w:rsidRPr="00B71D8D">
        <w:rPr>
          <w:lang w:val="en-GB"/>
        </w:rPr>
        <w:t>=1</w:t>
      </w:r>
      <w:r w:rsidRPr="00B71D8D">
        <w:rPr>
          <w:lang w:val="en-GB"/>
        </w:rPr>
        <w:t>)</w:t>
      </w:r>
      <w:r w:rsidR="0001067C" w:rsidRPr="00B71D8D">
        <w:rPr>
          <w:lang w:val="en-GB"/>
        </w:rPr>
        <w:t>,</w:t>
      </w:r>
      <w:r w:rsidR="0001067C" w:rsidRPr="00B71D8D">
        <w:rPr>
          <w:rFonts w:ascii="Cambria Math" w:hAnsi="Cambria Math"/>
          <w:i/>
          <w:lang w:val="en-GB"/>
        </w:rPr>
        <w:t xml:space="preserve"> </w:t>
      </w:r>
      <m:oMath>
        <m:r>
          <w:rPr>
            <w:rFonts w:ascii="Cambria Math" w:hAnsi="Cambria Math"/>
            <w:lang w:val="en-GB"/>
          </w:rPr>
          <m:t>t</m:t>
        </m:r>
      </m:oMath>
      <w:r w:rsidR="0001067C" w:rsidRPr="00B71D8D">
        <w:rPr>
          <w:rFonts w:ascii="Cambria Math" w:hAnsi="Cambria Math"/>
          <w:i/>
          <w:lang w:val="en-GB"/>
        </w:rPr>
        <w:t xml:space="preserve"> </w:t>
      </w:r>
      <w:r w:rsidR="0001067C" w:rsidRPr="00B71D8D">
        <w:rPr>
          <w:lang w:val="en-GB"/>
        </w:rPr>
        <w:t>is time</w:t>
      </w:r>
      <w:r w:rsidRPr="00B71D8D">
        <w:rPr>
          <w:lang w:val="en-GB"/>
        </w:rPr>
        <w:t xml:space="preserve"> and </w:t>
      </w:r>
      <m:oMath>
        <m:r>
          <w:rPr>
            <w:rFonts w:ascii="Cambria Math" w:hAnsi="Cambria Math"/>
            <w:lang w:val="en-GB"/>
          </w:rPr>
          <m:t>τ</m:t>
        </m:r>
      </m:oMath>
      <w:r w:rsidRPr="00B71D8D">
        <w:rPr>
          <w:lang w:val="en-GB"/>
        </w:rPr>
        <w:t xml:space="preserve"> is the </w:t>
      </w:r>
      <w:r w:rsidR="008A239A" w:rsidRPr="00B71D8D">
        <w:rPr>
          <w:lang w:val="en-GB"/>
        </w:rPr>
        <w:t xml:space="preserve">cycle </w:t>
      </w:r>
      <w:r w:rsidRPr="00B71D8D">
        <w:rPr>
          <w:lang w:val="en-GB"/>
        </w:rPr>
        <w:t xml:space="preserve">period. </w:t>
      </w:r>
      <w:r w:rsidR="00A746B0" w:rsidRPr="00B71D8D">
        <w:rPr>
          <w:lang w:val="en-GB"/>
        </w:rPr>
        <w:t>E</w:t>
      </w:r>
      <w:r w:rsidR="006F7486" w:rsidRPr="00B71D8D">
        <w:rPr>
          <w:lang w:val="en-GB"/>
        </w:rPr>
        <w:t xml:space="preserve">ngine B </w:t>
      </w:r>
      <w:r w:rsidR="00AB3991" w:rsidRPr="00B71D8D">
        <w:rPr>
          <w:lang w:val="en-GB"/>
        </w:rPr>
        <w:t xml:space="preserve">is </w:t>
      </w:r>
      <w:r w:rsidR="008D5C4D" w:rsidRPr="00B71D8D">
        <w:rPr>
          <w:lang w:val="en-GB"/>
        </w:rPr>
        <w:t xml:space="preserve">in a </w:t>
      </w:r>
      <w:r w:rsidR="00AB3991" w:rsidRPr="00B71D8D">
        <w:rPr>
          <w:lang w:val="en-GB"/>
        </w:rPr>
        <w:t xml:space="preserve">cooling </w:t>
      </w:r>
      <w:r w:rsidR="008D5C4D" w:rsidRPr="00B71D8D">
        <w:rPr>
          <w:lang w:val="en-GB"/>
        </w:rPr>
        <w:t xml:space="preserve">phase </w:t>
      </w:r>
      <w:r w:rsidR="00AB3991" w:rsidRPr="00B71D8D">
        <w:rPr>
          <w:lang w:val="en-GB"/>
        </w:rPr>
        <w:t xml:space="preserve">when engine A is </w:t>
      </w:r>
      <w:r w:rsidR="008D5C4D" w:rsidRPr="00B71D8D">
        <w:rPr>
          <w:lang w:val="en-GB"/>
        </w:rPr>
        <w:t>in a</w:t>
      </w:r>
      <w:r w:rsidR="00AB3991" w:rsidRPr="00B71D8D">
        <w:rPr>
          <w:lang w:val="en-GB"/>
        </w:rPr>
        <w:t xml:space="preserve"> heating phase and vice versa.</w:t>
      </w:r>
      <w:r w:rsidR="008D5C4D" w:rsidRPr="00B71D8D">
        <w:rPr>
          <w:lang w:val="en-GB"/>
        </w:rPr>
        <w:t xml:space="preserve"> </w:t>
      </w:r>
      <w:r w:rsidR="008D7881" w:rsidRPr="00B71D8D">
        <w:rPr>
          <w:lang w:val="en-GB"/>
        </w:rPr>
        <w:t>T</w:t>
      </w:r>
      <w:r w:rsidR="008D5C4D" w:rsidRPr="00B71D8D">
        <w:rPr>
          <w:lang w:val="en-GB"/>
        </w:rPr>
        <w:t>he model is presented for one of the engines of the duplex arrangement</w:t>
      </w:r>
      <w:r w:rsidR="00A746B0" w:rsidRPr="00B71D8D">
        <w:rPr>
          <w:lang w:val="en-GB"/>
        </w:rPr>
        <w:t>, while the</w:t>
      </w:r>
      <w:r w:rsidR="008D5C4D" w:rsidRPr="00B71D8D">
        <w:rPr>
          <w:lang w:val="en-GB"/>
        </w:rPr>
        <w:t xml:space="preserve"> description of the second engine is similar.</w:t>
      </w:r>
      <w:r w:rsidR="00AB3991" w:rsidRPr="00B71D8D">
        <w:rPr>
          <w:lang w:val="en-GB"/>
        </w:rPr>
        <w:t xml:space="preserve"> </w:t>
      </w:r>
      <w:r w:rsidR="00294FB0" w:rsidRPr="00B71D8D">
        <w:rPr>
          <w:lang w:val="en-GB"/>
        </w:rPr>
        <w:t>The computational domain</w:t>
      </w:r>
      <w:r w:rsidR="005D37BF" w:rsidRPr="00B71D8D">
        <w:rPr>
          <w:lang w:val="en-GB"/>
        </w:rPr>
        <w:t xml:space="preserve"> shown in</w:t>
      </w:r>
      <w:r w:rsidR="00F54F57" w:rsidRPr="00B71D8D">
        <w:rPr>
          <w:lang w:val="en-GB"/>
        </w:rPr>
        <w:t xml:space="preserve"> </w:t>
      </w:r>
      <w:r w:rsidR="00F54F57" w:rsidRPr="00B71D8D">
        <w:rPr>
          <w:lang w:val="en-GB"/>
        </w:rPr>
        <w:fldChar w:fldCharType="begin"/>
      </w:r>
      <w:r w:rsidR="00F54F57" w:rsidRPr="00B71D8D">
        <w:rPr>
          <w:lang w:val="en-GB"/>
        </w:rPr>
        <w:instrText xml:space="preserve"> REF _Ref97290677 \h  \* MERGEFORMAT </w:instrText>
      </w:r>
      <w:r w:rsidR="00F54F57" w:rsidRPr="00B71D8D">
        <w:rPr>
          <w:lang w:val="en-GB"/>
        </w:rPr>
      </w:r>
      <w:r w:rsidR="00F54F57" w:rsidRPr="00B71D8D">
        <w:rPr>
          <w:lang w:val="en-GB"/>
        </w:rPr>
        <w:fldChar w:fldCharType="separate"/>
      </w:r>
      <w:r w:rsidR="005559CC" w:rsidRPr="00B71D8D">
        <w:rPr>
          <w:lang w:val="en-GB"/>
        </w:rPr>
        <w:t xml:space="preserve">Figure </w:t>
      </w:r>
      <w:r w:rsidR="005559CC" w:rsidRPr="00B71D8D">
        <w:rPr>
          <w:noProof/>
          <w:lang w:val="en-GB"/>
        </w:rPr>
        <w:t>3</w:t>
      </w:r>
      <w:r w:rsidR="00F54F57" w:rsidRPr="00B71D8D">
        <w:rPr>
          <w:lang w:val="en-GB"/>
        </w:rPr>
        <w:fldChar w:fldCharType="end"/>
      </w:r>
      <w:r w:rsidR="005D37BF" w:rsidRPr="00B71D8D">
        <w:rPr>
          <w:lang w:val="en-GB"/>
        </w:rPr>
        <w:t xml:space="preserve"> is based on the </w:t>
      </w:r>
      <w:r w:rsidR="00AB3991" w:rsidRPr="00B71D8D">
        <w:rPr>
          <w:lang w:val="en-GB"/>
        </w:rPr>
        <w:t xml:space="preserve">periodic element </w:t>
      </w:r>
      <w:r w:rsidR="005D37BF" w:rsidRPr="00B71D8D">
        <w:rPr>
          <w:lang w:val="en-GB"/>
        </w:rPr>
        <w:t xml:space="preserve">depicted </w:t>
      </w:r>
      <w:r w:rsidR="00AE0D3B" w:rsidRPr="00B71D8D">
        <w:rPr>
          <w:lang w:val="en-GB"/>
        </w:rPr>
        <w:t>in</w:t>
      </w:r>
      <w:r w:rsidR="00AB3991" w:rsidRPr="00B71D8D">
        <w:rPr>
          <w:lang w:val="en-GB"/>
        </w:rPr>
        <w:t xml:space="preserve"> </w:t>
      </w:r>
      <w:r w:rsidR="00F54F57" w:rsidRPr="00B71D8D">
        <w:rPr>
          <w:lang w:val="en-GB"/>
        </w:rPr>
        <w:fldChar w:fldCharType="begin"/>
      </w:r>
      <w:r w:rsidR="00F54F57" w:rsidRPr="00B71D8D">
        <w:rPr>
          <w:lang w:val="en-GB"/>
        </w:rPr>
        <w:instrText xml:space="preserve"> REF _Ref97281780 \h  \* MERGEFORMAT </w:instrText>
      </w:r>
      <w:r w:rsidR="00F54F57" w:rsidRPr="00B71D8D">
        <w:rPr>
          <w:lang w:val="en-GB"/>
        </w:rPr>
      </w:r>
      <w:r w:rsidR="00F54F57" w:rsidRPr="00B71D8D">
        <w:rPr>
          <w:lang w:val="en-GB"/>
        </w:rPr>
        <w:fldChar w:fldCharType="separate"/>
      </w:r>
      <w:r w:rsidR="005559CC" w:rsidRPr="00B71D8D">
        <w:rPr>
          <w:lang w:val="en-GB"/>
        </w:rPr>
        <w:t xml:space="preserve">Figure </w:t>
      </w:r>
      <w:r w:rsidR="005559CC" w:rsidRPr="00B71D8D">
        <w:rPr>
          <w:noProof/>
          <w:lang w:val="en-GB"/>
        </w:rPr>
        <w:t>2</w:t>
      </w:r>
      <w:r w:rsidR="00F54F57" w:rsidRPr="00B71D8D">
        <w:rPr>
          <w:lang w:val="en-GB"/>
        </w:rPr>
        <w:fldChar w:fldCharType="end"/>
      </w:r>
      <w:r w:rsidR="00AE0D3B" w:rsidRPr="00B71D8D">
        <w:rPr>
          <w:lang w:val="en-GB"/>
        </w:rPr>
        <w:t>c</w:t>
      </w:r>
      <w:r w:rsidR="00F8535F" w:rsidRPr="00B71D8D">
        <w:rPr>
          <w:lang w:val="en-GB"/>
        </w:rPr>
        <w:t xml:space="preserve"> and extended in </w:t>
      </w:r>
      <m:oMath>
        <m:r>
          <w:rPr>
            <w:rFonts w:ascii="Cambria Math" w:hAnsi="Cambria Math"/>
            <w:lang w:val="en-GB"/>
          </w:rPr>
          <m:t>z</m:t>
        </m:r>
      </m:oMath>
      <w:r w:rsidR="00F8535F" w:rsidRPr="00B71D8D">
        <w:rPr>
          <w:lang w:val="en-GB"/>
        </w:rPr>
        <w:t>-direction</w:t>
      </w:r>
      <w:r w:rsidR="00AE0D3B" w:rsidRPr="00B71D8D">
        <w:rPr>
          <w:lang w:val="en-GB"/>
        </w:rPr>
        <w:t>.</w:t>
      </w:r>
    </w:p>
    <w:p w14:paraId="4E6C2DF0" w14:textId="77777777" w:rsidR="00EC46B4" w:rsidRPr="00B71D8D" w:rsidRDefault="00294D4A" w:rsidP="00EC46B4">
      <w:pPr>
        <w:pStyle w:val="CETBodytext"/>
        <w:rPr>
          <w:lang w:val="en-GB"/>
        </w:rPr>
      </w:pPr>
      <w:r w:rsidRPr="00B71D8D">
        <w:rPr>
          <w:lang w:val="en-GB"/>
        </w:rPr>
        <w:t>The following set of equations describes the working fluid</w:t>
      </w:r>
      <w:r w:rsidR="008D5C4D" w:rsidRPr="00B71D8D">
        <w:rPr>
          <w:lang w:val="en-GB"/>
        </w:rPr>
        <w:t xml:space="preserve"> inside the heat exchanger sequence</w:t>
      </w:r>
      <w:r w:rsidRPr="00B71D8D">
        <w:rPr>
          <w:lang w:val="en-GB"/>
        </w:rPr>
        <w:t>.</w:t>
      </w:r>
      <w:r w:rsidR="00574A95" w:rsidRPr="00B71D8D">
        <w:rPr>
          <w:lang w:val="en-GB"/>
        </w:rPr>
        <w:t xml:space="preserve"> </w:t>
      </w:r>
      <w:r w:rsidR="00EC46B4" w:rsidRPr="00B71D8D">
        <w:rPr>
          <w:lang w:val="en-GB"/>
        </w:rPr>
        <w:t xml:space="preserve">The continuity equation for the two-phase flow is </w:t>
      </w:r>
    </w:p>
    <w:tbl>
      <w:tblPr>
        <w:tblW w:w="5000" w:type="pct"/>
        <w:tblLook w:val="04A0" w:firstRow="1" w:lastRow="0" w:firstColumn="1" w:lastColumn="0" w:noHBand="0" w:noVBand="1"/>
      </w:tblPr>
      <w:tblGrid>
        <w:gridCol w:w="7983"/>
        <w:gridCol w:w="804"/>
      </w:tblGrid>
      <w:tr w:rsidR="00EC46B4" w:rsidRPr="00B71D8D" w14:paraId="41B8DA47" w14:textId="77777777" w:rsidTr="00F36A40">
        <w:tc>
          <w:tcPr>
            <w:tcW w:w="8188" w:type="dxa"/>
            <w:shd w:val="clear" w:color="auto" w:fill="auto"/>
            <w:vAlign w:val="center"/>
          </w:tcPr>
          <w:p w14:paraId="272B2AC7" w14:textId="77777777" w:rsidR="00EC46B4" w:rsidRPr="00B71D8D" w:rsidRDefault="00000000" w:rsidP="00F36A40">
            <w:pPr>
              <w:pStyle w:val="CETEquation"/>
              <w:rPr>
                <w:rFonts w:ascii="Cambria Math" w:hAnsi="Cambria Math"/>
                <w:i/>
              </w:rPr>
            </w:p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tp</m:t>
                      </m:r>
                    </m:sub>
                  </m:sSub>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tp</m:t>
                      </m:r>
                    </m:sub>
                  </m:sSub>
                  <m:sSub>
                    <m:sSubPr>
                      <m:ctrlPr>
                        <w:rPr>
                          <w:rFonts w:ascii="Cambria Math" w:hAnsi="Cambria Math"/>
                          <w:i/>
                        </w:rPr>
                      </m:ctrlPr>
                    </m:sSubPr>
                    <m:e>
                      <m:r>
                        <w:rPr>
                          <w:rFonts w:ascii="Cambria Math" w:hAnsi="Cambria Math"/>
                        </w:rPr>
                        <m:t>w</m:t>
                      </m:r>
                    </m:e>
                    <m:sub>
                      <m:r>
                        <w:rPr>
                          <w:rFonts w:ascii="Cambria Math" w:hAnsi="Cambria Math"/>
                        </w:rPr>
                        <m:t>z</m:t>
                      </m:r>
                    </m:sub>
                  </m:sSub>
                </m:num>
                <m:den>
                  <m:r>
                    <w:rPr>
                      <w:rFonts w:ascii="Cambria Math" w:hAnsi="Cambria Math"/>
                    </w:rPr>
                    <m:t>∂z</m:t>
                  </m:r>
                </m:den>
              </m:f>
              <m:r>
                <w:rPr>
                  <w:rFonts w:ascii="Cambria Math" w:hAnsi="Cambria Math"/>
                </w:rPr>
                <m:t>=0</m:t>
              </m:r>
            </m:oMath>
            <w:r w:rsidR="00EC46B4" w:rsidRPr="00B71D8D">
              <w:rPr>
                <w:rFonts w:ascii="Cambria Math" w:hAnsi="Cambria Math"/>
                <w:i/>
              </w:rPr>
              <w:t xml:space="preserve"> </w:t>
            </w:r>
          </w:p>
        </w:tc>
        <w:tc>
          <w:tcPr>
            <w:tcW w:w="815" w:type="dxa"/>
            <w:shd w:val="clear" w:color="auto" w:fill="auto"/>
            <w:vAlign w:val="center"/>
          </w:tcPr>
          <w:p w14:paraId="3E14DEEC" w14:textId="7D4C3526" w:rsidR="00EC46B4" w:rsidRPr="00B71D8D" w:rsidRDefault="00EC46B4"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2</w:t>
            </w:r>
            <w:r w:rsidR="00814650" w:rsidRPr="00B71D8D">
              <w:fldChar w:fldCharType="end"/>
            </w:r>
            <w:r w:rsidR="00814650" w:rsidRPr="00B71D8D">
              <w:t>)</w:t>
            </w:r>
          </w:p>
        </w:tc>
      </w:tr>
    </w:tbl>
    <w:p w14:paraId="6B9AA7C3" w14:textId="2F146008" w:rsidR="00EC46B4" w:rsidRPr="00B71D8D" w:rsidRDefault="00EC46B4" w:rsidP="00EC46B4">
      <w:pPr>
        <w:pStyle w:val="CETBodytext"/>
        <w:rPr>
          <w:lang w:val="en-GB"/>
        </w:rPr>
      </w:pPr>
      <w:r w:rsidRPr="00B71D8D">
        <w:rPr>
          <w:lang w:val="en-GB"/>
        </w:rPr>
        <w:t>in which the density of the two-phase flow is determined as</w:t>
      </w:r>
    </w:p>
    <w:tbl>
      <w:tblPr>
        <w:tblW w:w="5000" w:type="pct"/>
        <w:tblLook w:val="04A0" w:firstRow="1" w:lastRow="0" w:firstColumn="1" w:lastColumn="0" w:noHBand="0" w:noVBand="1"/>
      </w:tblPr>
      <w:tblGrid>
        <w:gridCol w:w="7982"/>
        <w:gridCol w:w="805"/>
      </w:tblGrid>
      <w:tr w:rsidR="00EC46B4" w:rsidRPr="00B71D8D" w14:paraId="49A53458" w14:textId="77777777" w:rsidTr="00F36A40">
        <w:tc>
          <w:tcPr>
            <w:tcW w:w="8188" w:type="dxa"/>
            <w:shd w:val="clear" w:color="auto" w:fill="auto"/>
            <w:vAlign w:val="center"/>
          </w:tcPr>
          <w:p w14:paraId="2722D91B" w14:textId="77777777" w:rsidR="00EC46B4" w:rsidRPr="00B71D8D" w:rsidRDefault="00000000" w:rsidP="00F36A40">
            <w:pPr>
              <w:pStyle w:val="CETEquation"/>
              <w:rPr>
                <w:rFonts w:ascii="Cambria Math" w:hAnsi="Cambria Math"/>
                <w:i/>
              </w:rPr>
            </w:pPr>
            <m:oMath>
              <m:sSub>
                <m:sSubPr>
                  <m:ctrlPr>
                    <w:rPr>
                      <w:rFonts w:ascii="Cambria Math" w:hAnsi="Cambria Math"/>
                      <w:i/>
                    </w:rPr>
                  </m:ctrlPr>
                </m:sSubPr>
                <m:e>
                  <m:r>
                    <w:rPr>
                      <w:rFonts w:ascii="Cambria Math" w:hAnsi="Cambria Math"/>
                    </w:rPr>
                    <m:t>ρ</m:t>
                  </m:r>
                </m:e>
                <m:sub>
                  <m:r>
                    <w:rPr>
                      <w:rFonts w:ascii="Cambria Math" w:hAnsi="Cambria Math"/>
                    </w:rPr>
                    <m:t>tp</m:t>
                  </m:r>
                </m:sub>
              </m:sSub>
              <m:r>
                <w:rPr>
                  <w:rFonts w:ascii="Cambria Math" w:hAnsi="Cambria Math"/>
                </w:rPr>
                <m:t>=φ</m:t>
              </m:r>
              <m:sSub>
                <m:sSubPr>
                  <m:ctrlPr>
                    <w:rPr>
                      <w:rFonts w:ascii="Cambria Math" w:hAnsi="Cambria Math"/>
                      <w:i/>
                    </w:rPr>
                  </m:ctrlPr>
                </m:sSubPr>
                <m:e>
                  <m:r>
                    <w:rPr>
                      <w:rFonts w:ascii="Cambria Math" w:hAnsi="Cambria Math"/>
                    </w:rPr>
                    <m:t>ρ</m:t>
                  </m:r>
                </m:e>
                <m:sub>
                  <m:r>
                    <w:rPr>
                      <w:rFonts w:ascii="Cambria Math" w:hAnsi="Cambria Math"/>
                    </w:rPr>
                    <m:t>G</m:t>
                  </m:r>
                </m:sub>
              </m:sSub>
              <m:r>
                <w:rPr>
                  <w:rFonts w:ascii="Cambria Math" w:hAnsi="Cambria Math"/>
                </w:rPr>
                <m:t>+</m:t>
              </m:r>
              <m:d>
                <m:dPr>
                  <m:ctrlPr>
                    <w:rPr>
                      <w:rFonts w:ascii="Cambria Math" w:hAnsi="Cambria Math"/>
                      <w:i/>
                    </w:rPr>
                  </m:ctrlPr>
                </m:dPr>
                <m:e>
                  <m:r>
                    <w:rPr>
                      <w:rFonts w:ascii="Cambria Math" w:hAnsi="Cambria Math"/>
                    </w:rPr>
                    <m:t>1-φ</m:t>
                  </m:r>
                </m:e>
              </m:d>
              <m:sSub>
                <m:sSubPr>
                  <m:ctrlPr>
                    <w:rPr>
                      <w:rFonts w:ascii="Cambria Math" w:hAnsi="Cambria Math"/>
                      <w:i/>
                    </w:rPr>
                  </m:ctrlPr>
                </m:sSubPr>
                <m:e>
                  <m:r>
                    <w:rPr>
                      <w:rFonts w:ascii="Cambria Math" w:hAnsi="Cambria Math"/>
                    </w:rPr>
                    <m:t>ρ</m:t>
                  </m:r>
                </m:e>
                <m:sub>
                  <m:r>
                    <w:rPr>
                      <w:rFonts w:ascii="Cambria Math" w:hAnsi="Cambria Math"/>
                    </w:rPr>
                    <m:t>L</m:t>
                  </m:r>
                </m:sub>
              </m:sSub>
            </m:oMath>
            <w:r w:rsidR="00EC46B4" w:rsidRPr="00B71D8D">
              <w:t xml:space="preserve"> </w:t>
            </w:r>
          </w:p>
        </w:tc>
        <w:tc>
          <w:tcPr>
            <w:tcW w:w="815" w:type="dxa"/>
            <w:shd w:val="clear" w:color="auto" w:fill="auto"/>
            <w:vAlign w:val="center"/>
          </w:tcPr>
          <w:p w14:paraId="7EEF9E9F" w14:textId="052E9D85" w:rsidR="00EC46B4" w:rsidRPr="00B71D8D" w:rsidRDefault="00EC46B4"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3</w:t>
            </w:r>
            <w:r w:rsidR="00814650" w:rsidRPr="00B71D8D">
              <w:fldChar w:fldCharType="end"/>
            </w:r>
            <w:r w:rsidRPr="00B71D8D">
              <w:t>)</w:t>
            </w:r>
          </w:p>
        </w:tc>
      </w:tr>
    </w:tbl>
    <w:p w14:paraId="7550503E" w14:textId="14316B2D" w:rsidR="001868AC" w:rsidRPr="00B71D8D" w:rsidRDefault="00EC46B4" w:rsidP="00294D4A">
      <w:pPr>
        <w:pStyle w:val="CETBodytext"/>
        <w:rPr>
          <w:lang w:val="en-GB"/>
        </w:rPr>
      </w:pPr>
      <w:r w:rsidRPr="00B71D8D">
        <w:rPr>
          <w:lang w:val="en-GB"/>
        </w:rPr>
        <w:t xml:space="preserve">where </w:t>
      </w:r>
      <m:oMath>
        <m:r>
          <w:rPr>
            <w:rFonts w:ascii="Cambria Math" w:hAnsi="Cambria Math"/>
            <w:lang w:val="en-GB"/>
          </w:rPr>
          <m:t>φ</m:t>
        </m:r>
      </m:oMath>
      <w:r w:rsidRPr="00B71D8D">
        <w:rPr>
          <w:lang w:val="en-GB"/>
        </w:rPr>
        <w:t xml:space="preserve"> is the volume fraction of the gas phase and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G</m:t>
            </m:r>
          </m:sub>
        </m:sSub>
      </m:oMath>
      <w:r w:rsidRPr="00B71D8D">
        <w:rPr>
          <w:lang w:val="en-GB"/>
        </w:rPr>
        <w:t xml:space="preserve"> and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L</m:t>
            </m:r>
          </m:sub>
        </m:sSub>
      </m:oMath>
      <w:r w:rsidRPr="00B71D8D">
        <w:rPr>
          <w:lang w:val="en-GB"/>
        </w:rPr>
        <w:t xml:space="preserve"> are densities of the gas and liquid phase, respectively. </w:t>
      </w:r>
      <w:r w:rsidR="001404CC" w:rsidRPr="00B71D8D">
        <w:rPr>
          <w:lang w:val="en-GB"/>
        </w:rPr>
        <w:t xml:space="preserve">The volume fraction </w:t>
      </w:r>
      <w:r w:rsidR="006256B5" w:rsidRPr="00B71D8D">
        <w:rPr>
          <w:lang w:val="en-GB"/>
        </w:rPr>
        <w:t>can be recalculated from the</w:t>
      </w:r>
      <w:r w:rsidR="000556A6" w:rsidRPr="00B71D8D">
        <w:rPr>
          <w:lang w:val="en-GB"/>
        </w:rPr>
        <w:t xml:space="preserve"> vapour quality </w:t>
      </w:r>
      <m:oMath>
        <m:r>
          <w:rPr>
            <w:rFonts w:ascii="Cambria Math" w:hAnsi="Cambria Math"/>
            <w:lang w:val="en-GB"/>
          </w:rPr>
          <m:t>q</m:t>
        </m:r>
      </m:oMath>
      <w:r w:rsidR="000556A6" w:rsidRPr="00B71D8D">
        <w:rPr>
          <w:lang w:val="en-GB"/>
        </w:rPr>
        <w:t xml:space="preserve"> using the phase density values</w:t>
      </w:r>
      <w:r w:rsidR="000556A6" w:rsidRPr="00B71D8D">
        <w:rPr>
          <w:rStyle w:val="Kommentarzeichen"/>
        </w:rPr>
        <w:t xml:space="preserve">. </w:t>
      </w:r>
      <w:r w:rsidR="00574A95" w:rsidRPr="00B71D8D">
        <w:rPr>
          <w:lang w:val="en-GB"/>
        </w:rPr>
        <w:t>Assuming that thermal conduction in flow direction is negligible compared to the convective energy transport, the energy transport equation is given by</w:t>
      </w:r>
    </w:p>
    <w:tbl>
      <w:tblPr>
        <w:tblW w:w="5000" w:type="pct"/>
        <w:tblLook w:val="04A0" w:firstRow="1" w:lastRow="0" w:firstColumn="1" w:lastColumn="0" w:noHBand="0" w:noVBand="1"/>
      </w:tblPr>
      <w:tblGrid>
        <w:gridCol w:w="7983"/>
        <w:gridCol w:w="804"/>
      </w:tblGrid>
      <w:tr w:rsidR="001868AC" w:rsidRPr="00B71D8D" w14:paraId="1334A0CC" w14:textId="77777777" w:rsidTr="00F36A40">
        <w:tc>
          <w:tcPr>
            <w:tcW w:w="8188" w:type="dxa"/>
            <w:shd w:val="clear" w:color="auto" w:fill="auto"/>
            <w:vAlign w:val="center"/>
          </w:tcPr>
          <w:p w14:paraId="2523479F" w14:textId="010E255C" w:rsidR="001868AC" w:rsidRPr="00B71D8D" w:rsidRDefault="00000000" w:rsidP="00F36A40">
            <w:pPr>
              <w:pStyle w:val="CETEquation"/>
              <w:rPr>
                <w:i/>
              </w:rPr>
            </w:p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tp</m:t>
                      </m:r>
                    </m:sub>
                  </m:sSub>
                  <m:r>
                    <w:rPr>
                      <w:rFonts w:ascii="Cambria Math" w:hAnsi="Cambria Math"/>
                    </w:rPr>
                    <m:t>u</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tp</m:t>
                      </m:r>
                    </m:sub>
                  </m:sSub>
                  <m:sSub>
                    <m:sSubPr>
                      <m:ctrlPr>
                        <w:rPr>
                          <w:rFonts w:ascii="Cambria Math" w:hAnsi="Cambria Math"/>
                          <w:i/>
                        </w:rPr>
                      </m:ctrlPr>
                    </m:sSubPr>
                    <m:e>
                      <m:r>
                        <w:rPr>
                          <w:rFonts w:ascii="Cambria Math" w:hAnsi="Cambria Math"/>
                        </w:rPr>
                        <m:t>w</m:t>
                      </m:r>
                    </m:e>
                    <m:sub>
                      <m:r>
                        <w:rPr>
                          <w:rFonts w:ascii="Cambria Math" w:hAnsi="Cambria Math"/>
                        </w:rPr>
                        <m:t>z</m:t>
                      </m:r>
                    </m:sub>
                  </m:sSub>
                  <m:r>
                    <w:rPr>
                      <w:rFonts w:ascii="Cambria Math" w:hAnsi="Cambria Math"/>
                    </w:rPr>
                    <m:t>h</m:t>
                  </m:r>
                </m:num>
                <m:den>
                  <m:r>
                    <w:rPr>
                      <w:rFonts w:ascii="Cambria Math" w:hAnsi="Cambria Math"/>
                    </w:rPr>
                    <m:t>∂z</m:t>
                  </m:r>
                </m:den>
              </m:f>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u</m:t>
                  </m:r>
                </m:sub>
              </m:sSub>
            </m:oMath>
            <w:r w:rsidR="001868AC" w:rsidRPr="00B71D8D">
              <w:rPr>
                <w:i/>
              </w:rPr>
              <w:t xml:space="preserve"> </w:t>
            </w:r>
          </w:p>
        </w:tc>
        <w:tc>
          <w:tcPr>
            <w:tcW w:w="815" w:type="dxa"/>
            <w:shd w:val="clear" w:color="auto" w:fill="auto"/>
            <w:vAlign w:val="center"/>
          </w:tcPr>
          <w:p w14:paraId="557F6438" w14:textId="0BB1657A" w:rsidR="001868AC" w:rsidRPr="00B71D8D" w:rsidRDefault="001868AC" w:rsidP="00F36A40">
            <w:pPr>
              <w:pStyle w:val="CETEquation"/>
              <w:jc w:val="right"/>
            </w:pPr>
            <w:bookmarkStart w:id="3" w:name="_Ref103341397"/>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4</w:t>
            </w:r>
            <w:r w:rsidR="00814650" w:rsidRPr="00B71D8D">
              <w:fldChar w:fldCharType="end"/>
            </w:r>
            <w:r w:rsidRPr="00B71D8D">
              <w:t>)</w:t>
            </w:r>
            <w:bookmarkEnd w:id="3"/>
          </w:p>
        </w:tc>
      </w:tr>
    </w:tbl>
    <w:p w14:paraId="781364A9" w14:textId="0D797E2B" w:rsidR="00370BA4" w:rsidRPr="00B71D8D" w:rsidRDefault="001868AC" w:rsidP="00370BA4">
      <w:pPr>
        <w:pStyle w:val="CETBodytext"/>
        <w:rPr>
          <w:lang w:val="en-GB"/>
        </w:rPr>
      </w:pPr>
      <w:r w:rsidRPr="00B71D8D">
        <w:rPr>
          <w:lang w:val="en-GB"/>
        </w:rPr>
        <w:t xml:space="preserve">in which </w:t>
      </w:r>
      <m:oMath>
        <m:r>
          <w:rPr>
            <w:rFonts w:ascii="Cambria Math" w:hAnsi="Cambria Math"/>
            <w:lang w:val="en-GB"/>
          </w:rPr>
          <m:t>u</m:t>
        </m:r>
      </m:oMath>
      <w:r w:rsidR="00B44510" w:rsidRPr="00B71D8D">
        <w:rPr>
          <w:lang w:val="en-GB"/>
        </w:rPr>
        <w:t xml:space="preserve"> is the specific internal energy,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z</m:t>
            </m:r>
          </m:sub>
        </m:sSub>
      </m:oMath>
      <w:r w:rsidR="00B44510" w:rsidRPr="00B71D8D">
        <w:rPr>
          <w:lang w:val="en-GB"/>
        </w:rPr>
        <w:t xml:space="preserve"> </w:t>
      </w:r>
      <w:r w:rsidR="009E05F1" w:rsidRPr="00B71D8D">
        <w:rPr>
          <w:lang w:val="en-GB"/>
        </w:rPr>
        <w:t xml:space="preserve">is </w:t>
      </w:r>
      <w:r w:rsidR="00B44510" w:rsidRPr="00B71D8D">
        <w:rPr>
          <w:lang w:val="en-GB"/>
        </w:rPr>
        <w:t>the velocity</w:t>
      </w:r>
      <w:r w:rsidRPr="00B71D8D">
        <w:rPr>
          <w:lang w:val="en-GB"/>
        </w:rPr>
        <w:t xml:space="preserve"> in </w:t>
      </w:r>
      <m:oMath>
        <m:r>
          <w:rPr>
            <w:rFonts w:ascii="Cambria Math" w:hAnsi="Cambria Math"/>
            <w:lang w:val="en-GB"/>
          </w:rPr>
          <m:t>z</m:t>
        </m:r>
      </m:oMath>
      <w:r w:rsidR="002B2239" w:rsidRPr="00B71D8D">
        <w:rPr>
          <w:lang w:val="en-GB"/>
        </w:rPr>
        <w:t>-</w:t>
      </w:r>
      <w:r w:rsidRPr="00B71D8D">
        <w:rPr>
          <w:lang w:val="en-GB"/>
        </w:rPr>
        <w:t xml:space="preserve">direction, </w:t>
      </w:r>
      <m:oMath>
        <m:r>
          <w:rPr>
            <w:rFonts w:ascii="Cambria Math" w:hAnsi="Cambria Math"/>
            <w:lang w:val="en-GB"/>
          </w:rPr>
          <m:t>h</m:t>
        </m:r>
      </m:oMath>
      <w:r w:rsidR="00B44510" w:rsidRPr="00B71D8D">
        <w:rPr>
          <w:lang w:val="en-GB"/>
        </w:rPr>
        <w:t xml:space="preserve"> </w:t>
      </w:r>
      <w:r w:rsidR="009E05F1" w:rsidRPr="00B71D8D">
        <w:rPr>
          <w:lang w:val="en-GB"/>
        </w:rPr>
        <w:t xml:space="preserve">is </w:t>
      </w:r>
      <w:r w:rsidR="00B44510" w:rsidRPr="00B71D8D">
        <w:rPr>
          <w:lang w:val="en-GB"/>
        </w:rPr>
        <w:t xml:space="preserve">the </w:t>
      </w:r>
      <w:r w:rsidRPr="00B71D8D">
        <w:rPr>
          <w:lang w:val="en-GB"/>
        </w:rPr>
        <w:t xml:space="preserve">specific enthalpy and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u</m:t>
            </m:r>
          </m:sub>
        </m:sSub>
      </m:oMath>
      <w:r w:rsidR="00B44510" w:rsidRPr="00B71D8D">
        <w:rPr>
          <w:lang w:val="en-GB"/>
        </w:rPr>
        <w:t xml:space="preserve"> </w:t>
      </w:r>
      <w:r w:rsidR="009E05F1" w:rsidRPr="00B71D8D">
        <w:rPr>
          <w:lang w:val="en-GB"/>
        </w:rPr>
        <w:t xml:space="preserve">is </w:t>
      </w:r>
      <w:r w:rsidR="00B44510" w:rsidRPr="00B71D8D">
        <w:rPr>
          <w:lang w:val="en-GB"/>
        </w:rPr>
        <w:t xml:space="preserve">the </w:t>
      </w:r>
      <w:r w:rsidRPr="00B71D8D">
        <w:rPr>
          <w:lang w:val="en-GB"/>
        </w:rPr>
        <w:t>energy source term</w:t>
      </w:r>
      <w:r w:rsidR="009143FE" w:rsidRPr="00B71D8D">
        <w:rPr>
          <w:lang w:val="en-GB"/>
        </w:rPr>
        <w:t xml:space="preserve"> due to heat</w:t>
      </w:r>
      <w:r w:rsidR="00197773" w:rsidRPr="00B71D8D">
        <w:rPr>
          <w:lang w:val="en-GB"/>
        </w:rPr>
        <w:t xml:space="preserve"> transfer between two neighbouring channels in </w:t>
      </w:r>
      <m:oMath>
        <m:r>
          <w:rPr>
            <w:rFonts w:ascii="Cambria Math" w:hAnsi="Cambria Math"/>
            <w:lang w:val="en-GB"/>
          </w:rPr>
          <m:t>y</m:t>
        </m:r>
      </m:oMath>
      <w:r w:rsidR="00197773" w:rsidRPr="00B71D8D">
        <w:rPr>
          <w:lang w:val="en-GB"/>
        </w:rPr>
        <w:t>-direction</w:t>
      </w:r>
      <w:r w:rsidRPr="00B71D8D">
        <w:rPr>
          <w:lang w:val="en-GB"/>
        </w:rPr>
        <w:t xml:space="preserve">. </w:t>
      </w:r>
    </w:p>
    <w:p w14:paraId="2876F8E7" w14:textId="7EA6CBB5" w:rsidR="00A056C4" w:rsidRPr="00B71D8D" w:rsidRDefault="00A056C4" w:rsidP="001B36FE">
      <w:pPr>
        <w:pStyle w:val="CETCaption"/>
        <w:ind w:left="113"/>
      </w:pPr>
      <w:r w:rsidRPr="00B71D8D">
        <w:rPr>
          <w:noProof/>
        </w:rPr>
        <w:drawing>
          <wp:inline distT="0" distB="0" distL="0" distR="0" wp14:anchorId="243D7495" wp14:editId="634D4FEE">
            <wp:extent cx="4425950" cy="678180"/>
            <wp:effectExtent l="0" t="0" r="0"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18"/>
                    <a:srcRect t="5825" b="7758"/>
                    <a:stretch/>
                  </pic:blipFill>
                  <pic:spPr bwMode="auto">
                    <a:xfrm>
                      <a:off x="0" y="0"/>
                      <a:ext cx="4429327" cy="678697"/>
                    </a:xfrm>
                    <a:prstGeom prst="rect">
                      <a:avLst/>
                    </a:prstGeom>
                    <a:ln>
                      <a:noFill/>
                    </a:ln>
                    <a:extLst>
                      <a:ext uri="{53640926-AAD7-44D8-BBD7-CCE9431645EC}">
                        <a14:shadowObscured xmlns:a14="http://schemas.microsoft.com/office/drawing/2010/main"/>
                      </a:ext>
                    </a:extLst>
                  </pic:spPr>
                </pic:pic>
              </a:graphicData>
            </a:graphic>
          </wp:inline>
        </w:drawing>
      </w:r>
      <w:r w:rsidR="00370BA4" w:rsidRPr="00B71D8D">
        <w:t xml:space="preserve"> </w:t>
      </w:r>
    </w:p>
    <w:p w14:paraId="3FFF5953" w14:textId="4119C7CC" w:rsidR="000A3B36" w:rsidRPr="00B71D8D" w:rsidRDefault="00A056C4" w:rsidP="000A3B36">
      <w:pPr>
        <w:pStyle w:val="CETCaption"/>
      </w:pPr>
      <w:bookmarkStart w:id="4" w:name="_Ref97290677"/>
      <w:r w:rsidRPr="00B71D8D">
        <w:t xml:space="preserve">Figure </w:t>
      </w:r>
      <w:r w:rsidRPr="00B71D8D">
        <w:fldChar w:fldCharType="begin"/>
      </w:r>
      <w:r w:rsidRPr="00B71D8D">
        <w:instrText xml:space="preserve"> SEQ Figure \* ARABIC </w:instrText>
      </w:r>
      <w:r w:rsidRPr="00B71D8D">
        <w:fldChar w:fldCharType="separate"/>
      </w:r>
      <w:r w:rsidR="005559CC" w:rsidRPr="00B71D8D">
        <w:rPr>
          <w:noProof/>
        </w:rPr>
        <w:t>3</w:t>
      </w:r>
      <w:r w:rsidRPr="00B71D8D">
        <w:fldChar w:fldCharType="end"/>
      </w:r>
      <w:bookmarkEnd w:id="4"/>
      <w:r w:rsidRPr="00B71D8D">
        <w:t>: Computational domain for one representative element</w:t>
      </w:r>
      <w:r w:rsidR="00854958" w:rsidRPr="00B71D8D">
        <w:t xml:space="preserve"> in the flow direction (</w:t>
      </w:r>
      <m:oMath>
        <m:r>
          <w:rPr>
            <w:rFonts w:ascii="Cambria Math" w:hAnsi="Cambria Math"/>
            <w:sz w:val="20"/>
            <w:szCs w:val="22"/>
          </w:rPr>
          <m:t>z</m:t>
        </m:r>
      </m:oMath>
      <w:r w:rsidR="00854958" w:rsidRPr="00B71D8D">
        <w:t>-axis)</w:t>
      </w:r>
      <w:r w:rsidRPr="00B71D8D">
        <w:t>.</w:t>
      </w:r>
    </w:p>
    <w:p w14:paraId="2EBD38B3" w14:textId="3F6C1626" w:rsidR="00CB0E8E" w:rsidRPr="00B71D8D" w:rsidRDefault="00605B3F" w:rsidP="008808D0">
      <w:pPr>
        <w:pStyle w:val="CETBodytext"/>
        <w:rPr>
          <w:lang w:val="en-GB"/>
        </w:rPr>
      </w:pPr>
      <w:r w:rsidRPr="00B71D8D">
        <w:rPr>
          <w:lang w:val="en-GB"/>
        </w:rPr>
        <w:t>The specific enthalpy </w:t>
      </w:r>
      <m:oMath>
        <m:r>
          <w:rPr>
            <w:rFonts w:ascii="Cambria Math" w:hAnsi="Cambria Math"/>
            <w:lang w:val="en-GB"/>
          </w:rPr>
          <m:t>h</m:t>
        </m:r>
      </m:oMath>
      <w:r w:rsidRPr="00B71D8D">
        <w:rPr>
          <w:lang w:val="en-GB"/>
        </w:rPr>
        <w:t xml:space="preserve">, fluid temperature </w:t>
      </w:r>
      <m:oMath>
        <m:r>
          <w:rPr>
            <w:rFonts w:ascii="Cambria Math" w:hAnsi="Cambria Math"/>
            <w:lang w:val="en-GB"/>
          </w:rPr>
          <m:t>T</m:t>
        </m:r>
      </m:oMath>
      <w:r w:rsidRPr="00B71D8D">
        <w:rPr>
          <w:lang w:val="en-GB"/>
        </w:rPr>
        <w:t xml:space="preserve">, vapour quality </w:t>
      </w:r>
      <m:oMath>
        <m:r>
          <w:rPr>
            <w:rFonts w:ascii="Cambria Math" w:hAnsi="Cambria Math"/>
            <w:lang w:val="en-GB"/>
          </w:rPr>
          <m:t>q</m:t>
        </m:r>
      </m:oMath>
      <w:r w:rsidRPr="00B71D8D">
        <w:rPr>
          <w:lang w:val="en-GB"/>
        </w:rPr>
        <w:t xml:space="preserve"> and phase densities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G</m:t>
            </m:r>
          </m:sub>
        </m:sSub>
      </m:oMath>
      <w:r w:rsidRPr="00B71D8D">
        <w:rPr>
          <w:lang w:val="en-GB"/>
        </w:rPr>
        <w:t xml:space="preserve"> and </w:t>
      </w:r>
      <m:oMath>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L</m:t>
            </m:r>
          </m:sub>
        </m:sSub>
      </m:oMath>
      <w:r w:rsidRPr="00B71D8D">
        <w:rPr>
          <w:lang w:val="en-GB"/>
        </w:rPr>
        <w:t xml:space="preserve"> are obtained from the REPROP 9.1 database.</w:t>
      </w:r>
    </w:p>
    <w:p w14:paraId="03036C73" w14:textId="1A8300AA" w:rsidR="005054C2" w:rsidRPr="00B71D8D" w:rsidRDefault="008808D0" w:rsidP="008808D0">
      <w:pPr>
        <w:pStyle w:val="CETBodytext"/>
        <w:rPr>
          <w:lang w:val="en-GB"/>
        </w:rPr>
      </w:pPr>
      <w:r w:rsidRPr="00B71D8D">
        <w:rPr>
          <w:lang w:val="en-GB"/>
        </w:rPr>
        <w:lastRenderedPageBreak/>
        <w:t>At the beginning of the simulation, Hs is at its maximum volume and the cooling phase is about to start.</w:t>
      </w:r>
      <w:r w:rsidR="002D3BA7" w:rsidRPr="00B71D8D">
        <w:rPr>
          <w:lang w:val="en-GB"/>
        </w:rPr>
        <w:t xml:space="preserve"> Consequently, the fluid is in high pressure state and the total mass </w:t>
      </w:r>
      <w:r w:rsidR="00E53DD0" w:rsidRPr="00B71D8D">
        <w:rPr>
          <w:lang w:val="en-GB"/>
        </w:rPr>
        <w:t xml:space="preserve">of the working fluid that </w:t>
      </w:r>
      <w:r w:rsidR="002D3BA7" w:rsidRPr="00B71D8D">
        <w:rPr>
          <w:lang w:val="en-GB"/>
        </w:rPr>
        <w:t>is displace</w:t>
      </w:r>
      <w:r w:rsidR="00E53DD0" w:rsidRPr="00B71D8D">
        <w:rPr>
          <w:lang w:val="en-GB"/>
        </w:rPr>
        <w:t>d</w:t>
      </w:r>
      <w:r w:rsidR="002D3BA7" w:rsidRPr="00B71D8D">
        <w:rPr>
          <w:lang w:val="en-GB"/>
        </w:rPr>
        <w:t xml:space="preserve"> per half-cycle is</w:t>
      </w:r>
      <w:r w:rsidR="005054C2" w:rsidRPr="00B71D8D">
        <w:rPr>
          <w:lang w:val="en-GB"/>
        </w:rPr>
        <w:t xml:space="preserve"> </w:t>
      </w:r>
    </w:p>
    <w:tbl>
      <w:tblPr>
        <w:tblW w:w="5000" w:type="pct"/>
        <w:tblLook w:val="04A0" w:firstRow="1" w:lastRow="0" w:firstColumn="1" w:lastColumn="0" w:noHBand="0" w:noVBand="1"/>
      </w:tblPr>
      <w:tblGrid>
        <w:gridCol w:w="7983"/>
        <w:gridCol w:w="804"/>
      </w:tblGrid>
      <w:tr w:rsidR="005054C2" w:rsidRPr="00B71D8D" w14:paraId="1904F9E4" w14:textId="77777777" w:rsidTr="00F36A40">
        <w:tc>
          <w:tcPr>
            <w:tcW w:w="7983" w:type="dxa"/>
            <w:shd w:val="clear" w:color="auto" w:fill="auto"/>
            <w:vAlign w:val="center"/>
          </w:tcPr>
          <w:p w14:paraId="35641766" w14:textId="7F5734C9" w:rsidR="005054C2" w:rsidRPr="00B71D8D" w:rsidRDefault="00000000" w:rsidP="00F36A40">
            <w:pPr>
              <w:pStyle w:val="CETEquation"/>
            </w:pPr>
            <m:oMath>
              <m:sSub>
                <m:sSubPr>
                  <m:ctrlPr>
                    <w:rPr>
                      <w:rFonts w:ascii="Cambria Math" w:hAnsi="Cambria Math"/>
                      <w:i/>
                    </w:rPr>
                  </m:ctrlPr>
                </m:sSubPr>
                <m:e>
                  <m:r>
                    <w:rPr>
                      <w:rFonts w:ascii="Cambria Math" w:hAnsi="Cambria Math"/>
                    </w:rPr>
                    <m:t>m</m:t>
                  </m:r>
                </m:e>
                <m:sub>
                  <m:r>
                    <w:rPr>
                      <w:rFonts w:ascii="Cambria Math" w:hAnsi="Cambria Math"/>
                    </w:rPr>
                    <m:t>sw</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sw</m:t>
                  </m:r>
                </m:sub>
              </m:sSub>
              <m:r>
                <w:rPr>
                  <w:rFonts w:ascii="Cambria Math" w:hAnsi="Cambria Math"/>
                </w:rPr>
                <m:t xml:space="preserve"> </m:t>
              </m:r>
              <m:sSub>
                <m:sSubPr>
                  <m:ctrlPr>
                    <w:rPr>
                      <w:rFonts w:ascii="Cambria Math" w:hAnsi="Cambria Math"/>
                      <w:i/>
                    </w:rPr>
                  </m:ctrlPr>
                </m:sSubPr>
                <m:e>
                  <m:r>
                    <w:rPr>
                      <w:rFonts w:ascii="Cambria Math" w:hAnsi="Cambria Math"/>
                    </w:rPr>
                    <m:t>ρ</m:t>
                  </m:r>
                </m:e>
                <m:sub>
                  <m:r>
                    <w:rPr>
                      <w:rFonts w:ascii="Cambria Math" w:hAnsi="Cambria Math"/>
                    </w:rPr>
                    <m:t>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high</m:t>
                      </m:r>
                    </m:sub>
                  </m:sSub>
                </m:e>
              </m:d>
            </m:oMath>
            <w:r w:rsidR="005054C2" w:rsidRPr="00B71D8D">
              <w:t xml:space="preserve"> </w:t>
            </w:r>
          </w:p>
        </w:tc>
        <w:tc>
          <w:tcPr>
            <w:tcW w:w="804" w:type="dxa"/>
            <w:shd w:val="clear" w:color="auto" w:fill="auto"/>
            <w:vAlign w:val="center"/>
          </w:tcPr>
          <w:p w14:paraId="5BE2708F" w14:textId="2A6BDF6D" w:rsidR="005054C2" w:rsidRPr="00B71D8D" w:rsidRDefault="005054C2"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5</w:t>
            </w:r>
            <w:r w:rsidR="00814650" w:rsidRPr="00B71D8D">
              <w:fldChar w:fldCharType="end"/>
            </w:r>
            <w:r w:rsidRPr="00B71D8D">
              <w:t>)</w:t>
            </w:r>
          </w:p>
        </w:tc>
      </w:tr>
    </w:tbl>
    <w:p w14:paraId="1CB46EF1" w14:textId="229B4F61" w:rsidR="007D590A" w:rsidRPr="00B71D8D" w:rsidRDefault="000724DD" w:rsidP="00E53DD0">
      <w:pPr>
        <w:pStyle w:val="CETBodytext"/>
        <w:rPr>
          <w:lang w:val="en-GB"/>
        </w:rPr>
      </w:pPr>
      <w:r w:rsidRPr="00B71D8D">
        <w:rPr>
          <w:lang w:val="en-GB"/>
        </w:rPr>
        <w:t xml:space="preserve">where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sw</m:t>
            </m:r>
          </m:sub>
        </m:sSub>
      </m:oMath>
      <w:r w:rsidR="005054C2" w:rsidRPr="00B71D8D">
        <w:rPr>
          <w:lang w:val="en-GB"/>
        </w:rPr>
        <w:t xml:space="preserve"> </w:t>
      </w:r>
      <w:r w:rsidRPr="00B71D8D">
        <w:rPr>
          <w:lang w:val="en-GB"/>
        </w:rPr>
        <w:t xml:space="preserve">is </w:t>
      </w:r>
      <w:r w:rsidR="005054C2" w:rsidRPr="00B71D8D">
        <w:rPr>
          <w:lang w:val="en-GB"/>
        </w:rPr>
        <w:t xml:space="preserve">the </w:t>
      </w:r>
      <w:r w:rsidR="00767E62" w:rsidRPr="00B71D8D">
        <w:rPr>
          <w:lang w:val="en-GB"/>
        </w:rPr>
        <w:t xml:space="preserve">corresponding </w:t>
      </w:r>
      <w:r w:rsidR="003F56B9" w:rsidRPr="00B71D8D">
        <w:rPr>
          <w:lang w:val="en-GB"/>
        </w:rPr>
        <w:t xml:space="preserve">swept </w:t>
      </w:r>
      <w:r w:rsidR="005054C2" w:rsidRPr="00B71D8D">
        <w:rPr>
          <w:lang w:val="en-GB"/>
        </w:rPr>
        <w:t>volume.</w:t>
      </w:r>
      <w:r w:rsidR="003F56B9" w:rsidRPr="00B71D8D">
        <w:rPr>
          <w:lang w:val="en-GB"/>
        </w:rPr>
        <w:t xml:space="preserve"> </w:t>
      </w:r>
      <w:r w:rsidR="00E53DD0" w:rsidRPr="00B71D8D">
        <w:rPr>
          <w:lang w:val="en-GB"/>
        </w:rPr>
        <w:t xml:space="preserve">It </w:t>
      </w:r>
      <w:r w:rsidR="00767E62" w:rsidRPr="00B71D8D">
        <w:rPr>
          <w:lang w:val="en-GB"/>
        </w:rPr>
        <w:t xml:space="preserve">is </w:t>
      </w:r>
      <w:r w:rsidR="00E53DD0" w:rsidRPr="00B71D8D">
        <w:rPr>
          <w:lang w:val="en-GB"/>
        </w:rPr>
        <w:t xml:space="preserve">assumed that </w:t>
      </w:r>
      <w:r w:rsidR="00613958" w:rsidRPr="00B71D8D">
        <w:rPr>
          <w:lang w:val="en-GB"/>
        </w:rPr>
        <w:t xml:space="preserve">the swept volume is twice as high as </w:t>
      </w:r>
      <w:r w:rsidR="00072D0C" w:rsidRPr="00B71D8D">
        <w:rPr>
          <w:lang w:val="en-GB"/>
        </w:rPr>
        <w:t>the internal volume of the heat exchanger sequence</w:t>
      </w:r>
      <w:r w:rsidR="009615F3" w:rsidRPr="00B71D8D">
        <w:rPr>
          <w:lang w:val="en-GB"/>
        </w:rPr>
        <w:t>.</w:t>
      </w:r>
      <w:r w:rsidR="00EA0E72" w:rsidRPr="00B71D8D">
        <w:rPr>
          <w:lang w:val="en-GB"/>
        </w:rPr>
        <w:t xml:space="preserve"> </w:t>
      </w:r>
      <w:r w:rsidR="00E53DD0" w:rsidRPr="00B71D8D">
        <w:rPr>
          <w:lang w:val="en-GB"/>
        </w:rPr>
        <w:t>This assumption</w:t>
      </w:r>
      <w:r w:rsidR="00EA0E72" w:rsidRPr="00B71D8D">
        <w:rPr>
          <w:lang w:val="en-GB"/>
        </w:rPr>
        <w:t xml:space="preserve"> is re</w:t>
      </w:r>
      <w:r w:rsidR="00767E62" w:rsidRPr="00B71D8D">
        <w:rPr>
          <w:lang w:val="en-GB"/>
        </w:rPr>
        <w:t xml:space="preserve">alistic </w:t>
      </w:r>
      <w:r w:rsidR="00EA0E72" w:rsidRPr="00B71D8D">
        <w:rPr>
          <w:lang w:val="en-GB"/>
        </w:rPr>
        <w:t xml:space="preserve">according to Knoke et al. (2020). </w:t>
      </w:r>
      <w:r w:rsidR="00F620A0" w:rsidRPr="00B71D8D">
        <w:rPr>
          <w:lang w:val="en-GB"/>
        </w:rPr>
        <w:t>The volume change of Hs</w:t>
      </w:r>
      <w:r w:rsidR="009615F3" w:rsidRPr="00B71D8D">
        <w:rPr>
          <w:lang w:val="en-GB"/>
        </w:rPr>
        <w:t xml:space="preserve"> </w:t>
      </w:r>
      <w:r w:rsidR="00460814" w:rsidRPr="00B71D8D">
        <w:rPr>
          <w:lang w:val="en-GB"/>
        </w:rPr>
        <w:t xml:space="preserve">caused by </w:t>
      </w:r>
      <w:r w:rsidR="009615F3" w:rsidRPr="00B71D8D">
        <w:rPr>
          <w:lang w:val="en-GB"/>
        </w:rPr>
        <w:t xml:space="preserve">the displacer movement leads to a mass flow entering the heater from the </w:t>
      </w:r>
      <w:r w:rsidR="008A239A" w:rsidRPr="00B71D8D">
        <w:rPr>
          <w:lang w:val="en-GB"/>
        </w:rPr>
        <w:t>Hs</w:t>
      </w:r>
      <w:r w:rsidR="00460814" w:rsidRPr="00B71D8D">
        <w:rPr>
          <w:lang w:val="en-GB"/>
        </w:rPr>
        <w:t xml:space="preserve"> or leaving it</w:t>
      </w:r>
      <w:r w:rsidR="005F0EB0" w:rsidRPr="00B71D8D">
        <w:rPr>
          <w:lang w:val="en-GB"/>
        </w:rPr>
        <w:t>. T</w:t>
      </w:r>
      <w:r w:rsidR="007D590A" w:rsidRPr="00B71D8D">
        <w:rPr>
          <w:lang w:val="en-GB"/>
        </w:rPr>
        <w:t>hus</w:t>
      </w:r>
      <w:r w:rsidR="005F0EB0" w:rsidRPr="00B71D8D">
        <w:rPr>
          <w:lang w:val="en-GB"/>
        </w:rPr>
        <w:t xml:space="preserve">, the mass flow rate boundary condition </w:t>
      </w:r>
      <w:r w:rsidR="007D590A" w:rsidRPr="00B71D8D">
        <w:rPr>
          <w:lang w:val="en-GB"/>
        </w:rPr>
        <w:t xml:space="preserve">is </w:t>
      </w:r>
      <w:r w:rsidR="00460814" w:rsidRPr="00B71D8D">
        <w:rPr>
          <w:lang w:val="en-GB"/>
        </w:rPr>
        <w:t>determined</w:t>
      </w:r>
      <w:r w:rsidR="007D590A" w:rsidRPr="00B71D8D">
        <w:rPr>
          <w:lang w:val="en-GB"/>
        </w:rPr>
        <w:t xml:space="preserve"> by the displacer position</w:t>
      </w:r>
      <w:r w:rsidR="005F0EB0" w:rsidRPr="00B71D8D">
        <w:rPr>
          <w:lang w:val="en-GB"/>
        </w:rPr>
        <w:t>:</w:t>
      </w:r>
    </w:p>
    <w:tbl>
      <w:tblPr>
        <w:tblW w:w="5000" w:type="pct"/>
        <w:tblLook w:val="04A0" w:firstRow="1" w:lastRow="0" w:firstColumn="1" w:lastColumn="0" w:noHBand="0" w:noVBand="1"/>
      </w:tblPr>
      <w:tblGrid>
        <w:gridCol w:w="7983"/>
        <w:gridCol w:w="804"/>
      </w:tblGrid>
      <w:tr w:rsidR="007D590A" w:rsidRPr="00B71D8D" w14:paraId="4ECB022B" w14:textId="77777777" w:rsidTr="00F36A40">
        <w:tc>
          <w:tcPr>
            <w:tcW w:w="7983" w:type="dxa"/>
            <w:shd w:val="clear" w:color="auto" w:fill="auto"/>
            <w:vAlign w:val="center"/>
          </w:tcPr>
          <w:p w14:paraId="5110CCA5" w14:textId="2005CE73" w:rsidR="007D590A" w:rsidRPr="00B71D8D" w:rsidRDefault="00000000" w:rsidP="00F36A40">
            <w:pPr>
              <w:pStyle w:val="CETEquation"/>
            </w:pPr>
            <m:oMath>
              <m:acc>
                <m:accPr>
                  <m:chr m:val="̇"/>
                  <m:ctrlPr>
                    <w:rPr>
                      <w:rFonts w:ascii="Cambria Math" w:hAnsi="Cambria Math"/>
                      <w:i/>
                    </w:rPr>
                  </m:ctrlPr>
                </m:accPr>
                <m:e>
                  <m:r>
                    <w:rPr>
                      <w:rFonts w:ascii="Cambria Math" w:hAnsi="Cambria Math"/>
                    </w:rPr>
                    <m:t>m</m:t>
                  </m:r>
                </m:e>
              </m:acc>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Hs</m:t>
                      </m:r>
                    </m:sub>
                  </m:sSub>
                  <m:r>
                    <w:rPr>
                      <w:rFonts w:ascii="Cambria Math" w:hAnsi="Cambria Math"/>
                    </w:rPr>
                    <m:t>,t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sw</m:t>
                      </m:r>
                    </m:sub>
                  </m:sSub>
                </m:num>
                <m:den>
                  <m:sSub>
                    <m:sSubPr>
                      <m:ctrlPr>
                        <w:rPr>
                          <w:rFonts w:ascii="Cambria Math" w:hAnsi="Cambria Math"/>
                          <w:i/>
                        </w:rPr>
                      </m:ctrlPr>
                    </m:sSubPr>
                    <m:e>
                      <m:r>
                        <w:rPr>
                          <w:rFonts w:ascii="Cambria Math" w:hAnsi="Cambria Math"/>
                        </w:rPr>
                        <m:t>N</m:t>
                      </m:r>
                    </m:e>
                    <m:sub>
                      <m:r>
                        <w:rPr>
                          <w:rFonts w:ascii="Cambria Math" w:hAnsi="Cambria Math"/>
                        </w:rPr>
                        <m:t>H</m:t>
                      </m:r>
                    </m:sub>
                  </m:sSub>
                </m:den>
              </m:f>
              <m:r>
                <w:rPr>
                  <w:rFonts w:ascii="Cambria Math" w:hAnsi="Cambria Math"/>
                </w:rPr>
                <m:t xml:space="preserve"> πf</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2πft</m:t>
                      </m:r>
                    </m:e>
                  </m:d>
                </m:e>
              </m:func>
            </m:oMath>
            <w:r w:rsidR="007D590A" w:rsidRPr="00B71D8D">
              <w:t xml:space="preserve"> </w:t>
            </w:r>
          </w:p>
        </w:tc>
        <w:tc>
          <w:tcPr>
            <w:tcW w:w="804" w:type="dxa"/>
            <w:shd w:val="clear" w:color="auto" w:fill="auto"/>
            <w:vAlign w:val="center"/>
          </w:tcPr>
          <w:p w14:paraId="0C87BF85" w14:textId="6BFEB94C" w:rsidR="007D590A" w:rsidRPr="00B71D8D" w:rsidRDefault="007D590A"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6</w:t>
            </w:r>
            <w:r w:rsidR="00814650" w:rsidRPr="00B71D8D">
              <w:fldChar w:fldCharType="end"/>
            </w:r>
            <w:r w:rsidRPr="00B71D8D">
              <w:t>)</w:t>
            </w:r>
          </w:p>
        </w:tc>
      </w:tr>
    </w:tbl>
    <w:p w14:paraId="3C2F766A" w14:textId="3B40EF57" w:rsidR="00F42389" w:rsidRPr="00B71D8D" w:rsidRDefault="00C2573D" w:rsidP="00580124">
      <w:pPr>
        <w:pStyle w:val="CETBodytext"/>
        <w:rPr>
          <w:lang w:val="en-GB"/>
        </w:rPr>
      </w:pPr>
      <w:r w:rsidRPr="00B71D8D">
        <w:rPr>
          <w:lang w:val="en-GB"/>
        </w:rPr>
        <w:t xml:space="preserve">where </w:t>
      </w:r>
      <m:oMath>
        <m:r>
          <w:rPr>
            <w:rFonts w:ascii="Cambria Math" w:hAnsi="Cambria Math"/>
            <w:lang w:val="en-GB"/>
          </w:rPr>
          <m:t>f</m:t>
        </m:r>
      </m:oMath>
      <w:r w:rsidR="00232A59" w:rsidRPr="00B71D8D">
        <w:rPr>
          <w:lang w:val="en-GB"/>
        </w:rPr>
        <w:t xml:space="preserve"> </w:t>
      </w:r>
      <w:r w:rsidRPr="00B71D8D">
        <w:rPr>
          <w:lang w:val="en-GB"/>
        </w:rPr>
        <w:t xml:space="preserve">is </w:t>
      </w:r>
      <w:r w:rsidR="00232A59" w:rsidRPr="00B71D8D">
        <w:rPr>
          <w:lang w:val="en-GB"/>
        </w:rPr>
        <w:t>the frequency</w:t>
      </w:r>
      <w:r w:rsidR="00FF4778" w:rsidRPr="00B71D8D">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H</m:t>
            </m:r>
          </m:sub>
        </m:sSub>
      </m:oMath>
      <w:r w:rsidR="00FF4778" w:rsidRPr="00B71D8D">
        <w:rPr>
          <w:lang w:val="en-GB"/>
        </w:rPr>
        <w:t xml:space="preserve"> </w:t>
      </w:r>
      <w:r w:rsidRPr="00B71D8D">
        <w:rPr>
          <w:lang w:val="en-GB"/>
        </w:rPr>
        <w:t xml:space="preserve">is </w:t>
      </w:r>
      <w:r w:rsidR="00FF4778" w:rsidRPr="00B71D8D">
        <w:rPr>
          <w:lang w:val="en-GB"/>
        </w:rPr>
        <w:t>the number of channels of the heater</w:t>
      </w:r>
      <w:r w:rsidR="00CE497C" w:rsidRPr="00B71D8D">
        <w:rPr>
          <w:lang w:val="en-GB"/>
        </w:rPr>
        <w:t xml:space="preserve">. </w:t>
      </w:r>
      <w:r w:rsidR="00D5403D" w:rsidRPr="00B71D8D">
        <w:rPr>
          <w:lang w:val="en-GB"/>
        </w:rPr>
        <w:t>The specific enthalpy of the fluid entering or leaving the domain is</w:t>
      </w:r>
    </w:p>
    <w:tbl>
      <w:tblPr>
        <w:tblW w:w="5000" w:type="pct"/>
        <w:tblLook w:val="04A0" w:firstRow="1" w:lastRow="0" w:firstColumn="1" w:lastColumn="0" w:noHBand="0" w:noVBand="1"/>
      </w:tblPr>
      <w:tblGrid>
        <w:gridCol w:w="7983"/>
        <w:gridCol w:w="804"/>
      </w:tblGrid>
      <w:tr w:rsidR="00566D8B" w:rsidRPr="00B71D8D" w14:paraId="3567076A" w14:textId="77777777" w:rsidTr="00F36A40">
        <w:tc>
          <w:tcPr>
            <w:tcW w:w="7983" w:type="dxa"/>
            <w:shd w:val="clear" w:color="auto" w:fill="auto"/>
            <w:vAlign w:val="center"/>
          </w:tcPr>
          <w:p w14:paraId="66FE4BD5" w14:textId="2FA0AB73" w:rsidR="00566D8B" w:rsidRPr="00B71D8D" w:rsidRDefault="00566D8B" w:rsidP="00F36A40">
            <w:pPr>
              <w:pStyle w:val="CETEquation"/>
            </w:pP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Hs</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,p</m:t>
                            </m:r>
                          </m:e>
                        </m:d>
                        <m:r>
                          <w:rPr>
                            <w:rFonts w:ascii="Cambria Math" w:hAnsi="Cambria Math"/>
                          </w:rPr>
                          <m:t xml:space="preserve">           </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Hs</m:t>
                                </m:r>
                              </m:sub>
                            </m:sSub>
                          </m:e>
                        </m:d>
                        <m:r>
                          <w:rPr>
                            <w:rFonts w:ascii="Cambria Math" w:hAnsi="Cambria Math"/>
                          </w:rPr>
                          <m:t>&gt;0</m:t>
                        </m:r>
                      </m:e>
                    </m:mr>
                    <m:mr>
                      <m:e>
                        <m:r>
                          <w:rPr>
                            <w:rFonts w:ascii="Cambria Math" w:hAnsi="Cambria Math"/>
                          </w:rPr>
                          <m:t>h</m:t>
                        </m:r>
                        <m:d>
                          <m:dPr>
                            <m:ctrlPr>
                              <w:rPr>
                                <w:rFonts w:ascii="Cambria Math" w:hAnsi="Cambria Math"/>
                                <w:i/>
                              </w:rPr>
                            </m:ctrlPr>
                          </m:dPr>
                          <m:e>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H</m:t>
                                    </m:r>
                                  </m:sub>
                                </m:sSub>
                              </m:e>
                            </m:d>
                            <m:r>
                              <w:rPr>
                                <w:rFonts w:ascii="Cambria Math" w:hAnsi="Cambria Math"/>
                              </w:rPr>
                              <m:t>,p</m:t>
                            </m:r>
                          </m:e>
                        </m:d>
                        <m:r>
                          <w:rPr>
                            <w:rFonts w:ascii="Cambria Math" w:hAnsi="Cambria Math"/>
                          </w:rPr>
                          <m:t xml:space="preserve">     </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Hs</m:t>
                                </m:r>
                              </m:sub>
                            </m:sSub>
                          </m:e>
                        </m:d>
                        <m:r>
                          <w:rPr>
                            <w:rFonts w:ascii="Cambria Math" w:hAnsi="Cambria Math"/>
                          </w:rPr>
                          <m:t>≤0</m:t>
                        </m:r>
                      </m:e>
                    </m:mr>
                  </m:m>
                </m:e>
              </m:d>
            </m:oMath>
            <w:r w:rsidRPr="00B71D8D">
              <w:t xml:space="preserve"> </w:t>
            </w:r>
          </w:p>
        </w:tc>
        <w:tc>
          <w:tcPr>
            <w:tcW w:w="804" w:type="dxa"/>
            <w:shd w:val="clear" w:color="auto" w:fill="auto"/>
            <w:vAlign w:val="center"/>
          </w:tcPr>
          <w:p w14:paraId="44B02ACE" w14:textId="484E24E0" w:rsidR="00566D8B" w:rsidRPr="00B71D8D" w:rsidRDefault="00566D8B"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7</w:t>
            </w:r>
            <w:r w:rsidR="00814650" w:rsidRPr="00B71D8D">
              <w:fldChar w:fldCharType="end"/>
            </w:r>
            <w:r w:rsidRPr="00B71D8D">
              <w:t>)</w:t>
            </w:r>
          </w:p>
        </w:tc>
      </w:tr>
    </w:tbl>
    <w:p w14:paraId="5DF3A498" w14:textId="70298228" w:rsidR="00566D8B" w:rsidRPr="00B71D8D" w:rsidRDefault="00C2573D" w:rsidP="00580124">
      <w:pPr>
        <w:pStyle w:val="CETBodytext"/>
        <w:rPr>
          <w:lang w:val="en-GB"/>
        </w:rPr>
      </w:pPr>
      <w:r w:rsidRPr="00B71D8D">
        <w:rPr>
          <w:lang w:val="en-GB"/>
        </w:rPr>
        <w:t xml:space="preserve">at Hs </w:t>
      </w:r>
      <w:r w:rsidR="001C7776" w:rsidRPr="00B71D8D">
        <w:rPr>
          <w:lang w:val="en-GB"/>
        </w:rPr>
        <w:t>a</w:t>
      </w:r>
      <w:r w:rsidR="0088333E" w:rsidRPr="00B71D8D">
        <w:rPr>
          <w:lang w:val="en-GB"/>
        </w:rPr>
        <w:t xml:space="preserve">nd </w:t>
      </w:r>
    </w:p>
    <w:tbl>
      <w:tblPr>
        <w:tblW w:w="5000" w:type="pct"/>
        <w:tblLook w:val="04A0" w:firstRow="1" w:lastRow="0" w:firstColumn="1" w:lastColumn="0" w:noHBand="0" w:noVBand="1"/>
      </w:tblPr>
      <w:tblGrid>
        <w:gridCol w:w="7976"/>
        <w:gridCol w:w="811"/>
      </w:tblGrid>
      <w:tr w:rsidR="00566D8B" w:rsidRPr="00B71D8D" w14:paraId="504D4100" w14:textId="77777777" w:rsidTr="00C2573D">
        <w:tc>
          <w:tcPr>
            <w:tcW w:w="7976" w:type="dxa"/>
            <w:shd w:val="clear" w:color="auto" w:fill="auto"/>
            <w:vAlign w:val="center"/>
          </w:tcPr>
          <w:p w14:paraId="3E4B8B73" w14:textId="08774381" w:rsidR="00566D8B" w:rsidRPr="00B71D8D" w:rsidRDefault="001C7776" w:rsidP="00F36A40">
            <w:pPr>
              <w:pStyle w:val="CETEquation"/>
            </w:pP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Cs</m:t>
                      </m:r>
                    </m:sub>
                  </m:sSub>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,p</m:t>
                            </m:r>
                          </m:e>
                        </m:d>
                        <m:r>
                          <w:rPr>
                            <w:rFonts w:ascii="Cambria Math" w:hAnsi="Cambria Math"/>
                          </w:rPr>
                          <m:t xml:space="preserve">           </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Cs</m:t>
                                </m:r>
                              </m:sub>
                            </m:sSub>
                          </m:e>
                        </m:d>
                        <m:r>
                          <w:rPr>
                            <w:rFonts w:ascii="Cambria Math" w:hAnsi="Cambria Math"/>
                          </w:rPr>
                          <m:t>&gt;0</m:t>
                        </m:r>
                      </m:e>
                    </m:mr>
                    <m:mr>
                      <m:e>
                        <m:r>
                          <w:rPr>
                            <w:rFonts w:ascii="Cambria Math" w:hAnsi="Cambria Math"/>
                          </w:rPr>
                          <m:t>h</m:t>
                        </m:r>
                        <m:d>
                          <m:dPr>
                            <m:ctrlPr>
                              <w:rPr>
                                <w:rFonts w:ascii="Cambria Math" w:hAnsi="Cambria Math"/>
                                <w:i/>
                              </w:rPr>
                            </m:ctrlPr>
                          </m:dPr>
                          <m:e>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m:t>
                                    </m:r>
                                  </m:sub>
                                </m:sSub>
                              </m:e>
                            </m:d>
                            <m:r>
                              <w:rPr>
                                <w:rFonts w:ascii="Cambria Math" w:hAnsi="Cambria Math"/>
                              </w:rPr>
                              <m:t>,p</m:t>
                            </m:r>
                          </m:e>
                        </m:d>
                        <m:r>
                          <w:rPr>
                            <w:rFonts w:ascii="Cambria Math" w:hAnsi="Cambria Math"/>
                          </w:rPr>
                          <m:t xml:space="preserve">     </m:t>
                        </m:r>
                        <m:acc>
                          <m:accPr>
                            <m:chr m:val="̇"/>
                            <m:ctrlPr>
                              <w:rPr>
                                <w:rFonts w:ascii="Cambria Math" w:hAnsi="Cambria Math"/>
                                <w:i/>
                              </w:rPr>
                            </m:ctrlPr>
                          </m:accPr>
                          <m:e>
                            <m:r>
                              <w:rPr>
                                <w:rFonts w:ascii="Cambria Math" w:hAnsi="Cambria Math"/>
                              </w:rPr>
                              <m:t>m</m:t>
                            </m:r>
                          </m:e>
                        </m:acc>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Cs</m:t>
                                </m:r>
                              </m:sub>
                            </m:sSub>
                          </m:e>
                        </m:d>
                        <m:r>
                          <w:rPr>
                            <w:rFonts w:ascii="Cambria Math" w:hAnsi="Cambria Math"/>
                          </w:rPr>
                          <m:t>≤0</m:t>
                        </m:r>
                      </m:e>
                    </m:mr>
                  </m:m>
                </m:e>
              </m:d>
            </m:oMath>
            <w:r w:rsidR="00566D8B" w:rsidRPr="00B71D8D">
              <w:t xml:space="preserve"> </w:t>
            </w:r>
          </w:p>
        </w:tc>
        <w:tc>
          <w:tcPr>
            <w:tcW w:w="811" w:type="dxa"/>
            <w:shd w:val="clear" w:color="auto" w:fill="auto"/>
            <w:vAlign w:val="center"/>
          </w:tcPr>
          <w:p w14:paraId="733195D0" w14:textId="4A70ACDD" w:rsidR="00566D8B" w:rsidRPr="00B71D8D" w:rsidRDefault="00566D8B"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8</w:t>
            </w:r>
            <w:r w:rsidR="00814650" w:rsidRPr="00B71D8D">
              <w:fldChar w:fldCharType="end"/>
            </w:r>
            <w:r w:rsidRPr="00B71D8D">
              <w:t>)</w:t>
            </w:r>
          </w:p>
        </w:tc>
      </w:tr>
    </w:tbl>
    <w:p w14:paraId="765A7C66" w14:textId="35E0490D" w:rsidR="001200E0" w:rsidRPr="00B71D8D" w:rsidRDefault="00C2573D" w:rsidP="00580124">
      <w:pPr>
        <w:pStyle w:val="CETBodytext"/>
        <w:rPr>
          <w:lang w:val="en-GB"/>
        </w:rPr>
      </w:pPr>
      <w:r w:rsidRPr="00B71D8D">
        <w:rPr>
          <w:lang w:val="en-GB"/>
        </w:rPr>
        <w:t xml:space="preserve">at Cs, </w:t>
      </w:r>
      <w:r w:rsidR="00632E98" w:rsidRPr="00B71D8D">
        <w:rPr>
          <w:lang w:val="en-GB"/>
        </w:rPr>
        <w:t>w</w:t>
      </w:r>
      <w:r w:rsidR="001C7776" w:rsidRPr="00B71D8D">
        <w:rPr>
          <w:lang w:val="en-GB"/>
        </w:rPr>
        <w:t>here</w:t>
      </w:r>
      <w:r w:rsidR="00632E98" w:rsidRPr="00B71D8D">
        <w:rPr>
          <w:lang w:val="en-GB"/>
        </w:rPr>
        <w:t xml:space="preserve">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Hs</m:t>
            </m:r>
          </m:sub>
        </m:sSub>
      </m:oMath>
      <w:r w:rsidR="001C7776" w:rsidRPr="00B71D8D">
        <w:rPr>
          <w:lang w:val="en-GB"/>
        </w:rPr>
        <w:t xml:space="preserve"> </w:t>
      </w:r>
      <w:r w:rsidR="0018672B" w:rsidRPr="00B71D8D">
        <w:rPr>
          <w:lang w:val="en-GB"/>
        </w:rPr>
        <w:t xml:space="preserve">is the coordinate at the interface between the heater and the hot space,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Cs</m:t>
            </m:r>
          </m:sub>
        </m:sSub>
      </m:oMath>
      <w:r w:rsidR="001C7776" w:rsidRPr="00B71D8D">
        <w:rPr>
          <w:lang w:val="en-GB"/>
        </w:rPr>
        <w:t xml:space="preserve"> </w:t>
      </w:r>
      <w:r w:rsidR="0018672B" w:rsidRPr="00B71D8D">
        <w:rPr>
          <w:lang w:val="en-GB"/>
        </w:rPr>
        <w:t xml:space="preserve">is the coordinate </w:t>
      </w:r>
      <w:r w:rsidR="001C7776" w:rsidRPr="00B71D8D">
        <w:rPr>
          <w:lang w:val="en-GB"/>
        </w:rPr>
        <w:t>a</w:t>
      </w:r>
      <w:r w:rsidR="0018672B" w:rsidRPr="00B71D8D">
        <w:rPr>
          <w:lang w:val="en-GB"/>
        </w:rPr>
        <w:t>t</w:t>
      </w:r>
      <w:r w:rsidR="001C7776" w:rsidRPr="00B71D8D">
        <w:rPr>
          <w:lang w:val="en-GB"/>
        </w:rPr>
        <w:t xml:space="preserve"> the </w:t>
      </w:r>
      <w:r w:rsidR="00E4762F" w:rsidRPr="00B71D8D">
        <w:rPr>
          <w:lang w:val="en-GB"/>
        </w:rPr>
        <w:t>interface between the cooler and the cold space</w:t>
      </w:r>
      <w:r w:rsidR="0018672B" w:rsidRPr="00B71D8D">
        <w:rPr>
          <w:lang w:val="en-GB"/>
        </w:rPr>
        <w:t>,</w:t>
      </w:r>
      <w:r w:rsidR="00E4762F" w:rsidRPr="00B71D8D">
        <w:rPr>
          <w:lang w:val="en-GB"/>
        </w:rPr>
        <w:t xml:space="preserve"> </w:t>
      </w:r>
      <w:r w:rsidR="0001067C" w:rsidRPr="00B71D8D">
        <w:rPr>
          <w:lang w:val="en-GB"/>
        </w:rPr>
        <w:t xml:space="preserve">and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H</m:t>
            </m:r>
          </m:sub>
        </m:sSub>
      </m:oMath>
      <w:r w:rsidR="001C7776" w:rsidRPr="00B71D8D">
        <w:rPr>
          <w:lang w:val="en-GB"/>
        </w:rPr>
        <w:t xml:space="preserve"> and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C</m:t>
            </m:r>
          </m:sub>
        </m:sSub>
      </m:oMath>
      <w:r w:rsidR="001B3810" w:rsidRPr="00B71D8D">
        <w:rPr>
          <w:lang w:val="en-GB"/>
        </w:rPr>
        <w:t xml:space="preserve"> </w:t>
      </w:r>
      <w:r w:rsidR="001C7776" w:rsidRPr="00B71D8D">
        <w:rPr>
          <w:lang w:val="en-GB"/>
        </w:rPr>
        <w:t>are the coordinates of the control volumes adjacent to Hs and Cs.</w:t>
      </w:r>
      <w:r w:rsidR="00CE7FF6" w:rsidRPr="00B71D8D">
        <w:rPr>
          <w:lang w:val="en-GB"/>
        </w:rPr>
        <w:t xml:space="preserve"> </w:t>
      </w:r>
      <w:r w:rsidR="00CE7EC9" w:rsidRPr="00B71D8D">
        <w:rPr>
          <w:lang w:val="en-GB"/>
        </w:rPr>
        <w:t xml:space="preserve">The boundary conditions are </w:t>
      </w:r>
      <w:r w:rsidR="00A64F4E" w:rsidRPr="00B71D8D">
        <w:rPr>
          <w:lang w:val="en-GB"/>
        </w:rPr>
        <w:t xml:space="preserve">given </w:t>
      </w:r>
      <w:r w:rsidR="00CE7EC9" w:rsidRPr="00B71D8D">
        <w:rPr>
          <w:lang w:val="en-GB"/>
        </w:rPr>
        <w:t xml:space="preserve">in </w:t>
      </w:r>
      <w:r w:rsidR="00CE7EC9" w:rsidRPr="00B71D8D">
        <w:rPr>
          <w:lang w:val="en-GB"/>
        </w:rPr>
        <w:fldChar w:fldCharType="begin"/>
      </w:r>
      <w:r w:rsidR="00CE7EC9" w:rsidRPr="00B71D8D">
        <w:rPr>
          <w:lang w:val="en-GB"/>
        </w:rPr>
        <w:instrText xml:space="preserve"> REF _Ref97290677 \h </w:instrText>
      </w:r>
      <w:r w:rsidR="00EC1EC6" w:rsidRPr="00B71D8D">
        <w:rPr>
          <w:lang w:val="en-GB"/>
        </w:rPr>
        <w:instrText xml:space="preserve"> \* MERGEFORMAT </w:instrText>
      </w:r>
      <w:r w:rsidR="00CE7EC9" w:rsidRPr="00B71D8D">
        <w:rPr>
          <w:lang w:val="en-GB"/>
        </w:rPr>
      </w:r>
      <w:r w:rsidR="00CE7EC9" w:rsidRPr="00B71D8D">
        <w:rPr>
          <w:lang w:val="en-GB"/>
        </w:rPr>
        <w:fldChar w:fldCharType="separate"/>
      </w:r>
      <w:r w:rsidR="005559CC" w:rsidRPr="00B71D8D">
        <w:t xml:space="preserve">Figure </w:t>
      </w:r>
      <w:r w:rsidR="005559CC" w:rsidRPr="00B71D8D">
        <w:rPr>
          <w:noProof/>
        </w:rPr>
        <w:t>3</w:t>
      </w:r>
      <w:r w:rsidR="00CE7EC9" w:rsidRPr="00B71D8D">
        <w:rPr>
          <w:lang w:val="en-GB"/>
        </w:rPr>
        <w:fldChar w:fldCharType="end"/>
      </w:r>
      <w:r w:rsidR="00CE7EC9" w:rsidRPr="00B71D8D">
        <w:rPr>
          <w:lang w:val="en-GB"/>
        </w:rPr>
        <w:t xml:space="preserve">. </w:t>
      </w:r>
      <w:r w:rsidR="00CE7FF6" w:rsidRPr="00B71D8D">
        <w:rPr>
          <w:lang w:val="en-GB"/>
        </w:rPr>
        <w:t>The volumetric heat source term in Eq</w:t>
      </w:r>
      <w:r w:rsidR="00E4762F" w:rsidRPr="00B71D8D">
        <w:rPr>
          <w:lang w:val="en-GB"/>
        </w:rPr>
        <w:fldChar w:fldCharType="begin"/>
      </w:r>
      <w:r w:rsidR="00E4762F" w:rsidRPr="00B71D8D">
        <w:rPr>
          <w:lang w:val="en-GB"/>
        </w:rPr>
        <w:instrText xml:space="preserve"> REF _Ref103341397 \h </w:instrText>
      </w:r>
      <w:r w:rsidR="00EC1EC6" w:rsidRPr="00B71D8D">
        <w:rPr>
          <w:lang w:val="en-GB"/>
        </w:rPr>
        <w:instrText xml:space="preserve"> \* MERGEFORMAT </w:instrText>
      </w:r>
      <w:r w:rsidR="00E4762F" w:rsidRPr="00B71D8D">
        <w:rPr>
          <w:lang w:val="en-GB"/>
        </w:rPr>
      </w:r>
      <w:r w:rsidR="00E4762F" w:rsidRPr="00B71D8D">
        <w:rPr>
          <w:lang w:val="en-GB"/>
        </w:rPr>
        <w:fldChar w:fldCharType="separate"/>
      </w:r>
      <w:r w:rsidR="005559CC" w:rsidRPr="00B71D8D">
        <w:t>(</w:t>
      </w:r>
      <w:r w:rsidR="005559CC" w:rsidRPr="00B71D8D">
        <w:rPr>
          <w:noProof/>
        </w:rPr>
        <w:t>4</w:t>
      </w:r>
      <w:r w:rsidR="005559CC" w:rsidRPr="00B71D8D">
        <w:t>)</w:t>
      </w:r>
      <w:r w:rsidR="00E4762F" w:rsidRPr="00B71D8D">
        <w:rPr>
          <w:lang w:val="en-GB"/>
        </w:rPr>
        <w:fldChar w:fldCharType="end"/>
      </w:r>
      <w:r w:rsidR="00CE7FF6" w:rsidRPr="00B71D8D">
        <w:rPr>
          <w:lang w:val="en-GB"/>
        </w:rPr>
        <w:t xml:space="preserve"> </w:t>
      </w:r>
      <w:r w:rsidR="00A909B0" w:rsidRPr="00B71D8D">
        <w:rPr>
          <w:lang w:val="en-GB"/>
        </w:rPr>
        <w:t>was</w:t>
      </w:r>
      <w:r w:rsidR="009D0199" w:rsidRPr="00B71D8D">
        <w:rPr>
          <w:lang w:val="en-GB"/>
        </w:rPr>
        <w:t xml:space="preserve"> modelled </w:t>
      </w:r>
      <w:r w:rsidR="00A64F4E" w:rsidRPr="00B71D8D">
        <w:rPr>
          <w:lang w:val="en-GB"/>
        </w:rPr>
        <w:t>based</w:t>
      </w:r>
      <w:r w:rsidR="00E4762F" w:rsidRPr="00B71D8D">
        <w:rPr>
          <w:lang w:val="en-GB"/>
        </w:rPr>
        <w:t xml:space="preserve"> on</w:t>
      </w:r>
      <w:r w:rsidR="00A64F4E" w:rsidRPr="00B71D8D">
        <w:rPr>
          <w:lang w:val="en-GB"/>
        </w:rPr>
        <w:t xml:space="preserve"> </w:t>
      </w:r>
      <w:r w:rsidR="009D0199" w:rsidRPr="00B71D8D">
        <w:rPr>
          <w:lang w:val="en-GB"/>
        </w:rPr>
        <w:t xml:space="preserve">a local heat balance </w:t>
      </w:r>
      <w:r w:rsidR="00A64F4E" w:rsidRPr="00B71D8D">
        <w:rPr>
          <w:lang w:val="en-GB"/>
        </w:rPr>
        <w:t xml:space="preserve">using </w:t>
      </w:r>
      <w:r w:rsidR="009D0199" w:rsidRPr="00B71D8D">
        <w:rPr>
          <w:lang w:val="en-GB"/>
        </w:rPr>
        <w:t xml:space="preserve">overall heat transfer coefficients. The overall heat transfer coefficient </w:t>
      </w:r>
      <w:r w:rsidR="00CE7EC9" w:rsidRPr="00B71D8D">
        <w:rPr>
          <w:lang w:val="en-GB"/>
        </w:rPr>
        <w:t>wa</w:t>
      </w:r>
      <w:r w:rsidR="009D0199" w:rsidRPr="00B71D8D">
        <w:rPr>
          <w:lang w:val="en-GB"/>
        </w:rPr>
        <w:t>s</w:t>
      </w:r>
      <w:r w:rsidR="00FE752E" w:rsidRPr="00B71D8D">
        <w:rPr>
          <w:lang w:val="en-GB"/>
        </w:rPr>
        <w:t xml:space="preserve"> defined for </w:t>
      </w:r>
      <w:r w:rsidR="0001067C" w:rsidRPr="00B71D8D">
        <w:rPr>
          <w:lang w:val="en-GB"/>
        </w:rPr>
        <w:t>a</w:t>
      </w:r>
      <w:r w:rsidR="00FE752E" w:rsidRPr="00B71D8D">
        <w:rPr>
          <w:lang w:val="en-GB"/>
        </w:rPr>
        <w:t xml:space="preserve"> periodic element in </w:t>
      </w:r>
      <w:r w:rsidR="00FE752E" w:rsidRPr="00B71D8D">
        <w:rPr>
          <w:lang w:val="en-GB"/>
        </w:rPr>
        <w:fldChar w:fldCharType="begin"/>
      </w:r>
      <w:r w:rsidR="00FE752E" w:rsidRPr="00B71D8D">
        <w:rPr>
          <w:lang w:val="en-GB"/>
        </w:rPr>
        <w:instrText xml:space="preserve"> REF _Ref97281780 \h </w:instrText>
      </w:r>
      <w:r w:rsidR="00E41E36" w:rsidRPr="00B71D8D">
        <w:rPr>
          <w:lang w:val="en-GB"/>
        </w:rPr>
        <w:instrText xml:space="preserve"> \* MERGEFORMAT </w:instrText>
      </w:r>
      <w:r w:rsidR="00FE752E" w:rsidRPr="00B71D8D">
        <w:rPr>
          <w:lang w:val="en-GB"/>
        </w:rPr>
      </w:r>
      <w:r w:rsidR="00FE752E" w:rsidRPr="00B71D8D">
        <w:rPr>
          <w:lang w:val="en-GB"/>
        </w:rPr>
        <w:fldChar w:fldCharType="separate"/>
      </w:r>
      <w:r w:rsidR="005559CC" w:rsidRPr="00B71D8D">
        <w:rPr>
          <w:lang w:val="en-GB"/>
        </w:rPr>
        <w:t xml:space="preserve">Figure </w:t>
      </w:r>
      <w:r w:rsidR="005559CC" w:rsidRPr="00B71D8D">
        <w:rPr>
          <w:noProof/>
          <w:lang w:val="en-GB"/>
        </w:rPr>
        <w:t>2</w:t>
      </w:r>
      <w:r w:rsidR="00FE752E" w:rsidRPr="00B71D8D">
        <w:rPr>
          <w:lang w:val="en-GB"/>
        </w:rPr>
        <w:fldChar w:fldCharType="end"/>
      </w:r>
      <w:r w:rsidR="00FE752E" w:rsidRPr="00B71D8D">
        <w:rPr>
          <w:lang w:val="en-GB"/>
        </w:rPr>
        <w:t>c</w:t>
      </w:r>
      <w:r w:rsidR="00FF4778" w:rsidRPr="00B71D8D">
        <w:rPr>
          <w:lang w:val="en-GB"/>
        </w:rPr>
        <w:t xml:space="preserve">, assuming </w:t>
      </w:r>
      <w:r w:rsidR="00A64F4E" w:rsidRPr="00B71D8D">
        <w:rPr>
          <w:lang w:val="en-GB"/>
        </w:rPr>
        <w:t xml:space="preserve">that </w:t>
      </w:r>
      <w:r w:rsidR="00545FFF" w:rsidRPr="00B71D8D">
        <w:rPr>
          <w:lang w:val="en-GB"/>
        </w:rPr>
        <w:t>the heat exchanger is made of steel</w:t>
      </w:r>
      <w:r w:rsidR="00FE752E" w:rsidRPr="00B71D8D">
        <w:rPr>
          <w:lang w:val="en-GB"/>
        </w:rPr>
        <w:t>.</w:t>
      </w:r>
      <w:r w:rsidR="00A909B0" w:rsidRPr="00B71D8D">
        <w:rPr>
          <w:lang w:val="en-GB"/>
        </w:rPr>
        <w:t xml:space="preserve"> For channels filled with heating and cooling agent</w:t>
      </w:r>
      <w:r w:rsidR="00A64F4E" w:rsidRPr="00B71D8D">
        <w:rPr>
          <w:lang w:val="en-GB"/>
        </w:rPr>
        <w:t>,</w:t>
      </w:r>
      <w:r w:rsidR="00A909B0" w:rsidRPr="00B71D8D">
        <w:rPr>
          <w:lang w:val="en-GB"/>
        </w:rPr>
        <w:t xml:space="preserve"> constant heat transfer coefficients </w:t>
      </w:r>
      <m:oMath>
        <m:sSub>
          <m:sSubPr>
            <m:ctrlPr>
              <w:rPr>
                <w:rFonts w:ascii="Cambria Math" w:hAnsi="Cambria Math"/>
                <w:i/>
                <w:vertAlign w:val="subscript"/>
                <w:lang w:val="en-GB"/>
              </w:rPr>
            </m:ctrlPr>
          </m:sSubPr>
          <m:e>
            <m:r>
              <w:rPr>
                <w:rFonts w:ascii="Cambria Math" w:hAnsi="Cambria Math"/>
                <w:lang w:val="en-GB"/>
              </w:rPr>
              <m:t>α</m:t>
            </m:r>
            <m:ctrlPr>
              <w:rPr>
                <w:rFonts w:ascii="Cambria Math" w:hAnsi="Cambria Math"/>
                <w:i/>
                <w:lang w:val="en-GB"/>
              </w:rPr>
            </m:ctrlPr>
          </m:e>
          <m:sub>
            <m:r>
              <w:rPr>
                <w:rFonts w:ascii="Cambria Math" w:hAnsi="Cambria Math"/>
                <w:vertAlign w:val="subscript"/>
                <w:lang w:val="en-GB"/>
              </w:rPr>
              <m:t>H/C</m:t>
            </m:r>
          </m:sub>
        </m:sSub>
      </m:oMath>
      <w:r w:rsidR="00632E98" w:rsidRPr="00B71D8D">
        <w:rPr>
          <w:lang w:val="en-GB"/>
        </w:rPr>
        <w:t xml:space="preserve">=500W/(m²K) </w:t>
      </w:r>
      <w:r w:rsidR="00A909B0" w:rsidRPr="00B71D8D">
        <w:rPr>
          <w:lang w:val="en-GB"/>
        </w:rPr>
        <w:t xml:space="preserve">were assumed. </w:t>
      </w:r>
      <w:r w:rsidR="009A105C" w:rsidRPr="00B71D8D">
        <w:rPr>
          <w:lang w:val="en-GB"/>
        </w:rPr>
        <w:t>For channels filled with working fluid</w:t>
      </w:r>
      <w:r w:rsidR="00A64F4E" w:rsidRPr="00B71D8D">
        <w:rPr>
          <w:lang w:val="en-GB"/>
        </w:rPr>
        <w:t>,</w:t>
      </w:r>
      <w:r w:rsidR="009A105C" w:rsidRPr="00B71D8D">
        <w:rPr>
          <w:lang w:val="en-GB"/>
        </w:rPr>
        <w:t xml:space="preserve"> the heat transfer coefficients were obtained by Nusselt number correlations. </w:t>
      </w:r>
      <w:r w:rsidR="00473303" w:rsidRPr="00B71D8D">
        <w:rPr>
          <w:lang w:val="en-GB"/>
        </w:rPr>
        <w:t>In the present work</w:t>
      </w:r>
      <w:r w:rsidR="007C7393" w:rsidRPr="00B71D8D">
        <w:rPr>
          <w:lang w:val="en-GB"/>
        </w:rPr>
        <w:t>,</w:t>
      </w:r>
      <w:r w:rsidR="00473303" w:rsidRPr="00B71D8D">
        <w:rPr>
          <w:lang w:val="en-GB"/>
        </w:rPr>
        <w:t xml:space="preserve"> </w:t>
      </w:r>
      <w:r w:rsidR="003C5174" w:rsidRPr="00B71D8D">
        <w:rPr>
          <w:lang w:val="en-GB"/>
        </w:rPr>
        <w:t>the correlations were primarily chosen based on recommendations for micro-</w:t>
      </w:r>
      <w:r w:rsidR="008E05CB" w:rsidRPr="00B71D8D">
        <w:rPr>
          <w:lang w:val="en-GB"/>
        </w:rPr>
        <w:t>channels</w:t>
      </w:r>
      <w:r w:rsidR="003C5174" w:rsidRPr="00B71D8D">
        <w:rPr>
          <w:lang w:val="en-GB"/>
        </w:rPr>
        <w:t xml:space="preserve"> and mini-channels by </w:t>
      </w:r>
      <w:r w:rsidR="00FF7EA5" w:rsidRPr="00B71D8D">
        <w:rPr>
          <w:lang w:val="en-GB"/>
        </w:rPr>
        <w:t>Kim and Mudawar (2014)</w:t>
      </w:r>
      <w:r w:rsidR="003C5174" w:rsidRPr="00B71D8D">
        <w:rPr>
          <w:lang w:val="en-GB"/>
        </w:rPr>
        <w:t xml:space="preserve"> </w:t>
      </w:r>
      <w:r w:rsidR="007C7393" w:rsidRPr="00B71D8D">
        <w:rPr>
          <w:lang w:val="en-GB"/>
        </w:rPr>
        <w:t>given</w:t>
      </w:r>
      <w:r w:rsidR="003C5174" w:rsidRPr="00B71D8D">
        <w:rPr>
          <w:lang w:val="en-GB"/>
        </w:rPr>
        <w:t xml:space="preserve"> in </w:t>
      </w:r>
      <w:r w:rsidR="003C5174" w:rsidRPr="00B71D8D">
        <w:rPr>
          <w:lang w:val="en-GB"/>
        </w:rPr>
        <w:fldChar w:fldCharType="begin"/>
      </w:r>
      <w:r w:rsidR="003C5174" w:rsidRPr="00B71D8D">
        <w:rPr>
          <w:lang w:val="en-GB"/>
        </w:rPr>
        <w:instrText xml:space="preserve"> REF _Ref97539088 \h </w:instrText>
      </w:r>
      <w:r w:rsidR="00EC1EC6" w:rsidRPr="00B71D8D">
        <w:rPr>
          <w:lang w:val="en-GB"/>
        </w:rPr>
        <w:instrText xml:space="preserve"> \* MERGEFORMAT </w:instrText>
      </w:r>
      <w:r w:rsidR="003C5174" w:rsidRPr="00B71D8D">
        <w:rPr>
          <w:lang w:val="en-GB"/>
        </w:rPr>
      </w:r>
      <w:r w:rsidR="003C5174" w:rsidRPr="00B71D8D">
        <w:rPr>
          <w:lang w:val="en-GB"/>
        </w:rPr>
        <w:fldChar w:fldCharType="separate"/>
      </w:r>
      <w:r w:rsidR="005559CC" w:rsidRPr="00B71D8D">
        <w:t xml:space="preserve">Table </w:t>
      </w:r>
      <w:r w:rsidR="005559CC" w:rsidRPr="00B71D8D">
        <w:rPr>
          <w:noProof/>
        </w:rPr>
        <w:t>1</w:t>
      </w:r>
      <w:r w:rsidR="003C5174" w:rsidRPr="00B71D8D">
        <w:rPr>
          <w:lang w:val="en-GB"/>
        </w:rPr>
        <w:fldChar w:fldCharType="end"/>
      </w:r>
      <w:r w:rsidR="003C5174" w:rsidRPr="00B71D8D">
        <w:rPr>
          <w:lang w:val="en-GB"/>
        </w:rPr>
        <w:t>.</w:t>
      </w:r>
    </w:p>
    <w:p w14:paraId="7E95D1F2" w14:textId="03E55A5F" w:rsidR="00BB4745" w:rsidRPr="00B71D8D" w:rsidRDefault="00BB4745" w:rsidP="005C50C6">
      <w:pPr>
        <w:pStyle w:val="CETTabletitle"/>
      </w:pPr>
      <w:bookmarkStart w:id="5" w:name="_Ref97539088"/>
      <w:r w:rsidRPr="00B71D8D">
        <w:t xml:space="preserve">Table </w:t>
      </w:r>
      <w:r w:rsidRPr="00B71D8D">
        <w:fldChar w:fldCharType="begin"/>
      </w:r>
      <w:r w:rsidRPr="00B71D8D">
        <w:instrText xml:space="preserve"> SEQ Table \* ARABIC </w:instrText>
      </w:r>
      <w:r w:rsidRPr="00B71D8D">
        <w:fldChar w:fldCharType="separate"/>
      </w:r>
      <w:r w:rsidR="005559CC" w:rsidRPr="00B71D8D">
        <w:rPr>
          <w:noProof/>
        </w:rPr>
        <w:t>1</w:t>
      </w:r>
      <w:r w:rsidRPr="00B71D8D">
        <w:fldChar w:fldCharType="end"/>
      </w:r>
      <w:bookmarkEnd w:id="5"/>
      <w:r w:rsidRPr="00B71D8D">
        <w:t>: Nusselt number correlations used in this work</w:t>
      </w:r>
      <w:r w:rsidR="00A909B0" w:rsidRPr="00B71D8D">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410"/>
        <w:gridCol w:w="2551"/>
        <w:gridCol w:w="1985"/>
      </w:tblGrid>
      <w:tr w:rsidR="00C924CB" w:rsidRPr="00B71D8D" w14:paraId="74B0B9F3" w14:textId="77777777" w:rsidTr="004535DC">
        <w:tc>
          <w:tcPr>
            <w:tcW w:w="1843" w:type="dxa"/>
            <w:tcBorders>
              <w:top w:val="single" w:sz="12" w:space="0" w:color="008000"/>
              <w:bottom w:val="single" w:sz="6" w:space="0" w:color="008000"/>
            </w:tcBorders>
            <w:shd w:val="clear" w:color="auto" w:fill="FFFFFF"/>
          </w:tcPr>
          <w:p w14:paraId="34BECB8D" w14:textId="540A8DC2" w:rsidR="00C924CB" w:rsidRPr="00B71D8D" w:rsidRDefault="00C924CB" w:rsidP="008D3DBA">
            <w:pPr>
              <w:pStyle w:val="CETBodytext"/>
              <w:rPr>
                <w:lang w:val="en-GB"/>
              </w:rPr>
            </w:pPr>
            <w:r w:rsidRPr="00B71D8D">
              <w:rPr>
                <w:lang w:val="en-GB"/>
              </w:rPr>
              <w:t>Single-phase flow</w:t>
            </w:r>
          </w:p>
        </w:tc>
        <w:tc>
          <w:tcPr>
            <w:tcW w:w="2410" w:type="dxa"/>
            <w:tcBorders>
              <w:top w:val="single" w:sz="12" w:space="0" w:color="008000"/>
              <w:bottom w:val="single" w:sz="6" w:space="0" w:color="008000"/>
            </w:tcBorders>
            <w:shd w:val="clear" w:color="auto" w:fill="FFFFFF"/>
          </w:tcPr>
          <w:p w14:paraId="1693B7AB" w14:textId="650703AF" w:rsidR="00C924CB" w:rsidRPr="00B71D8D" w:rsidRDefault="00C924CB" w:rsidP="008D3DBA">
            <w:pPr>
              <w:pStyle w:val="CETBodytext"/>
              <w:rPr>
                <w:lang w:val="en-GB"/>
              </w:rPr>
            </w:pPr>
            <w:r w:rsidRPr="00B71D8D">
              <w:rPr>
                <w:lang w:val="en-GB"/>
              </w:rPr>
              <w:t>Condensing flow</w:t>
            </w:r>
          </w:p>
        </w:tc>
        <w:tc>
          <w:tcPr>
            <w:tcW w:w="2551" w:type="dxa"/>
            <w:tcBorders>
              <w:top w:val="single" w:sz="12" w:space="0" w:color="008000"/>
              <w:bottom w:val="single" w:sz="6" w:space="0" w:color="008000"/>
            </w:tcBorders>
            <w:shd w:val="clear" w:color="auto" w:fill="FFFFFF"/>
          </w:tcPr>
          <w:p w14:paraId="3BF9CDA0" w14:textId="6842CAD6" w:rsidR="00C924CB" w:rsidRPr="00B71D8D" w:rsidRDefault="00C924CB" w:rsidP="008D3DBA">
            <w:pPr>
              <w:pStyle w:val="CETBodytext"/>
              <w:rPr>
                <w:lang w:val="en-GB"/>
              </w:rPr>
            </w:pPr>
            <w:r w:rsidRPr="00B71D8D">
              <w:rPr>
                <w:lang w:val="en-GB"/>
              </w:rPr>
              <w:t>Flow-boiling</w:t>
            </w:r>
          </w:p>
        </w:tc>
        <w:tc>
          <w:tcPr>
            <w:tcW w:w="1985" w:type="dxa"/>
            <w:tcBorders>
              <w:top w:val="single" w:sz="12" w:space="0" w:color="008000"/>
              <w:bottom w:val="single" w:sz="6" w:space="0" w:color="008000"/>
            </w:tcBorders>
            <w:shd w:val="clear" w:color="auto" w:fill="FFFFFF"/>
          </w:tcPr>
          <w:p w14:paraId="795236EF" w14:textId="310BB4E7" w:rsidR="00C924CB" w:rsidRPr="00B71D8D" w:rsidRDefault="00C924CB" w:rsidP="008D3DBA">
            <w:pPr>
              <w:pStyle w:val="CETBodytext"/>
              <w:rPr>
                <w:lang w:val="en-GB"/>
              </w:rPr>
            </w:pPr>
            <w:r w:rsidRPr="00B71D8D">
              <w:rPr>
                <w:lang w:val="en-GB"/>
              </w:rPr>
              <w:t>Supercritical flow</w:t>
            </w:r>
          </w:p>
        </w:tc>
      </w:tr>
      <w:tr w:rsidR="00C924CB" w:rsidRPr="00B71D8D" w14:paraId="45BB3930" w14:textId="77777777" w:rsidTr="004535DC">
        <w:tc>
          <w:tcPr>
            <w:tcW w:w="1843" w:type="dxa"/>
            <w:shd w:val="clear" w:color="auto" w:fill="FFFFFF"/>
          </w:tcPr>
          <w:p w14:paraId="3ADA98D0" w14:textId="4A75913C" w:rsidR="00C924CB" w:rsidRPr="00B71D8D" w:rsidRDefault="00C924CB" w:rsidP="008D3DBA">
            <w:pPr>
              <w:pStyle w:val="CETBodytext"/>
              <w:rPr>
                <w:lang w:val="en-GB"/>
              </w:rPr>
            </w:pPr>
            <w:r w:rsidRPr="00B71D8D">
              <w:rPr>
                <w:lang w:val="en-GB"/>
              </w:rPr>
              <w:t>Gnielinski (1995)</w:t>
            </w:r>
          </w:p>
        </w:tc>
        <w:tc>
          <w:tcPr>
            <w:tcW w:w="2410" w:type="dxa"/>
            <w:shd w:val="clear" w:color="auto" w:fill="FFFFFF"/>
          </w:tcPr>
          <w:p w14:paraId="6F252F03" w14:textId="7D497F50" w:rsidR="00C924CB" w:rsidRPr="00B71D8D" w:rsidRDefault="00C924CB" w:rsidP="008D3DBA">
            <w:pPr>
              <w:pStyle w:val="CETBodytext"/>
              <w:rPr>
                <w:lang w:val="en-GB"/>
              </w:rPr>
            </w:pPr>
            <w:r w:rsidRPr="00B71D8D">
              <w:rPr>
                <w:lang w:val="en-GB"/>
              </w:rPr>
              <w:t>Akers and Rosson (1960)</w:t>
            </w:r>
          </w:p>
        </w:tc>
        <w:tc>
          <w:tcPr>
            <w:tcW w:w="2551" w:type="dxa"/>
            <w:shd w:val="clear" w:color="auto" w:fill="FFFFFF"/>
          </w:tcPr>
          <w:p w14:paraId="008982ED" w14:textId="570E6088" w:rsidR="00C924CB" w:rsidRPr="00B71D8D" w:rsidRDefault="004535DC" w:rsidP="008D3DBA">
            <w:pPr>
              <w:pStyle w:val="CETBodytext"/>
              <w:rPr>
                <w:lang w:val="en-GB"/>
              </w:rPr>
            </w:pPr>
            <w:r w:rsidRPr="00B71D8D">
              <w:rPr>
                <w:lang w:val="en-GB"/>
              </w:rPr>
              <w:t xml:space="preserve">Gungor and Winterton </w:t>
            </w:r>
            <w:r w:rsidR="00C924CB" w:rsidRPr="00B71D8D">
              <w:rPr>
                <w:lang w:val="en-GB"/>
              </w:rPr>
              <w:t>(</w:t>
            </w:r>
            <w:r w:rsidRPr="00B71D8D">
              <w:rPr>
                <w:lang w:val="en-GB"/>
              </w:rPr>
              <w:t>1986</w:t>
            </w:r>
            <w:r w:rsidR="00C924CB" w:rsidRPr="00B71D8D">
              <w:rPr>
                <w:lang w:val="en-GB"/>
              </w:rPr>
              <w:t>)</w:t>
            </w:r>
          </w:p>
        </w:tc>
        <w:tc>
          <w:tcPr>
            <w:tcW w:w="1985" w:type="dxa"/>
            <w:shd w:val="clear" w:color="auto" w:fill="FFFFFF"/>
          </w:tcPr>
          <w:p w14:paraId="367062E3" w14:textId="3CACA9F9" w:rsidR="00C924CB" w:rsidRPr="00B71D8D" w:rsidRDefault="00C924CB" w:rsidP="008D3DBA">
            <w:pPr>
              <w:pStyle w:val="CETBodytext"/>
              <w:rPr>
                <w:lang w:val="en-GB"/>
              </w:rPr>
            </w:pPr>
            <w:r w:rsidRPr="00B71D8D">
              <w:rPr>
                <w:lang w:val="en-GB"/>
              </w:rPr>
              <w:t>Mokry et al. (2011)</w:t>
            </w:r>
          </w:p>
        </w:tc>
      </w:tr>
    </w:tbl>
    <w:p w14:paraId="091EA730" w14:textId="00D40220" w:rsidR="00E8602F" w:rsidRPr="00B71D8D" w:rsidRDefault="001B11F9" w:rsidP="008D3DBA">
      <w:pPr>
        <w:pStyle w:val="CETBodytext"/>
        <w:spacing w:before="120"/>
        <w:rPr>
          <w:lang w:val="en-GB"/>
        </w:rPr>
      </w:pPr>
      <w:r w:rsidRPr="00B71D8D">
        <w:rPr>
          <w:lang w:val="en-GB"/>
        </w:rPr>
        <w:t xml:space="preserve">At the beginning of a heating or </w:t>
      </w:r>
      <w:r w:rsidR="008E05CB" w:rsidRPr="00B71D8D">
        <w:rPr>
          <w:lang w:val="en-GB"/>
        </w:rPr>
        <w:t xml:space="preserve">a </w:t>
      </w:r>
      <w:r w:rsidRPr="00B71D8D">
        <w:rPr>
          <w:lang w:val="en-GB"/>
        </w:rPr>
        <w:t xml:space="preserve">cooling phase, the working fluid in the heater and cooler </w:t>
      </w:r>
      <w:r w:rsidR="00A84153" w:rsidRPr="00B71D8D">
        <w:rPr>
          <w:lang w:val="en-GB"/>
        </w:rPr>
        <w:t>w</w:t>
      </w:r>
      <w:r w:rsidR="00545FFF" w:rsidRPr="00B71D8D">
        <w:rPr>
          <w:lang w:val="en-GB"/>
        </w:rPr>
        <w:t>ere</w:t>
      </w:r>
      <w:r w:rsidRPr="00B71D8D">
        <w:rPr>
          <w:lang w:val="en-GB"/>
        </w:rPr>
        <w:t xml:space="preserve"> initialised at heat source and heat sink temperature, respectively. In the </w:t>
      </w:r>
      <w:r w:rsidR="003A1B33" w:rsidRPr="00B71D8D">
        <w:rPr>
          <w:lang w:val="en-GB"/>
        </w:rPr>
        <w:t>recuperator</w:t>
      </w:r>
      <w:r w:rsidRPr="00B71D8D">
        <w:rPr>
          <w:lang w:val="en-GB"/>
        </w:rPr>
        <w:t>, the</w:t>
      </w:r>
      <w:r w:rsidR="003A1B33" w:rsidRPr="00B71D8D">
        <w:rPr>
          <w:lang w:val="en-GB"/>
        </w:rPr>
        <w:t xml:space="preserve"> temperature was initially set to </w:t>
      </w:r>
      <w:r w:rsidR="008E05CB" w:rsidRPr="00B71D8D">
        <w:rPr>
          <w:lang w:val="en-GB"/>
        </w:rPr>
        <w:t xml:space="preserve">the </w:t>
      </w:r>
      <w:r w:rsidR="003A1B33" w:rsidRPr="00B71D8D">
        <w:rPr>
          <w:lang w:val="en-GB"/>
        </w:rPr>
        <w:t>mean temperature between the heat source and heat sink</w:t>
      </w:r>
      <w:r w:rsidRPr="00B71D8D">
        <w:rPr>
          <w:lang w:val="en-GB"/>
        </w:rPr>
        <w:t xml:space="preserve">. </w:t>
      </w:r>
      <w:r w:rsidR="00931E80" w:rsidRPr="00B71D8D">
        <w:rPr>
          <w:lang w:val="en-GB"/>
        </w:rPr>
        <w:t xml:space="preserve">The velocity </w:t>
      </w:r>
      <w:r w:rsidR="00A84153" w:rsidRPr="00B71D8D">
        <w:rPr>
          <w:lang w:val="en-GB"/>
        </w:rPr>
        <w:t>wa</w:t>
      </w:r>
      <w:r w:rsidR="00931E80" w:rsidRPr="00B71D8D">
        <w:rPr>
          <w:lang w:val="en-GB"/>
        </w:rPr>
        <w:t>s set to zero</w:t>
      </w:r>
      <w:r w:rsidR="002D3BA7" w:rsidRPr="00B71D8D">
        <w:rPr>
          <w:lang w:val="en-GB"/>
        </w:rPr>
        <w:t xml:space="preserve"> in all segments</w:t>
      </w:r>
      <w:r w:rsidR="00931E80" w:rsidRPr="00B71D8D">
        <w:rPr>
          <w:lang w:val="en-GB"/>
        </w:rPr>
        <w:t xml:space="preserve">. </w:t>
      </w:r>
      <w:r w:rsidR="00EC0B6A" w:rsidRPr="00B71D8D">
        <w:rPr>
          <w:lang w:val="en-GB"/>
        </w:rPr>
        <w:t xml:space="preserve">The model </w:t>
      </w:r>
      <w:r w:rsidR="002A74C8" w:rsidRPr="00B71D8D">
        <w:rPr>
          <w:lang w:val="en-GB"/>
        </w:rPr>
        <w:t xml:space="preserve">was </w:t>
      </w:r>
      <w:r w:rsidR="00EC0B6A" w:rsidRPr="00B71D8D">
        <w:rPr>
          <w:lang w:val="en-GB"/>
        </w:rPr>
        <w:t>implemented in MATLAB</w:t>
      </w:r>
      <w:r w:rsidR="009825D3" w:rsidRPr="00B71D8D">
        <w:rPr>
          <w:rFonts w:cs="Arial"/>
          <w:color w:val="000000"/>
          <w:szCs w:val="18"/>
          <w:lang w:val="en-GB"/>
        </w:rPr>
        <w:t>®</w:t>
      </w:r>
      <w:r w:rsidR="00EC0B6A" w:rsidRPr="00B71D8D">
        <w:rPr>
          <w:lang w:val="en-GB"/>
        </w:rPr>
        <w:t>.</w:t>
      </w:r>
    </w:p>
    <w:p w14:paraId="677EBFF0" w14:textId="4157B288" w:rsidR="00600535" w:rsidRPr="00B71D8D" w:rsidRDefault="00586AEF" w:rsidP="00600535">
      <w:pPr>
        <w:pStyle w:val="CETHeading1"/>
        <w:tabs>
          <w:tab w:val="right" w:pos="7100"/>
        </w:tabs>
        <w:jc w:val="both"/>
        <w:rPr>
          <w:lang w:val="en-GB"/>
        </w:rPr>
      </w:pPr>
      <w:r w:rsidRPr="00B71D8D">
        <w:rPr>
          <w:lang w:val="en-GB"/>
        </w:rPr>
        <w:t>Results and Discussion</w:t>
      </w:r>
    </w:p>
    <w:p w14:paraId="54976A3F" w14:textId="7038DB6A" w:rsidR="00633CA2" w:rsidRPr="00B71D8D" w:rsidRDefault="00273BC8" w:rsidP="00466D53">
      <w:pPr>
        <w:pStyle w:val="CETBodytext"/>
        <w:rPr>
          <w:lang w:val="en-GB"/>
        </w:rPr>
      </w:pPr>
      <w:r w:rsidRPr="00B71D8D">
        <w:rPr>
          <w:lang w:val="en-GB"/>
        </w:rPr>
        <w:t xml:space="preserve">Cyclic </w:t>
      </w:r>
      <w:r w:rsidR="009825D3" w:rsidRPr="00B71D8D">
        <w:rPr>
          <w:lang w:val="en-GB"/>
        </w:rPr>
        <w:t>heating and cooling of subcritical R134a and supercritical carbon dioxide was investigated</w:t>
      </w:r>
      <w:r w:rsidR="00EE0940" w:rsidRPr="00B71D8D">
        <w:rPr>
          <w:lang w:val="en-GB"/>
        </w:rPr>
        <w:t xml:space="preserve"> for</w:t>
      </w:r>
      <w:r w:rsidR="0090476B" w:rsidRPr="00B71D8D">
        <w:rPr>
          <w:lang w:val="en-GB"/>
        </w:rPr>
        <w:t xml:space="preserve"> four</w:t>
      </w:r>
      <w:r w:rsidR="00EE0940" w:rsidRPr="00B71D8D">
        <w:rPr>
          <w:lang w:val="en-GB"/>
        </w:rPr>
        <w:t xml:space="preserve"> different operating frequencies</w:t>
      </w:r>
      <w:r w:rsidR="00466D53" w:rsidRPr="00B71D8D">
        <w:rPr>
          <w:lang w:val="en-GB"/>
        </w:rPr>
        <w:t xml:space="preserve"> </w:t>
      </w:r>
      <w:r w:rsidR="006F3C78" w:rsidRPr="00B71D8D">
        <w:rPr>
          <w:lang w:val="en-GB"/>
        </w:rPr>
        <w:t xml:space="preserve">varied </w:t>
      </w:r>
      <w:r w:rsidR="009B691D" w:rsidRPr="00B71D8D">
        <w:rPr>
          <w:lang w:val="en-GB"/>
        </w:rPr>
        <w:t>between</w:t>
      </w:r>
      <w:r w:rsidR="00C57DB1" w:rsidRPr="00B71D8D">
        <w:rPr>
          <w:lang w:val="en-GB"/>
        </w:rPr>
        <w:t xml:space="preserve"> 0.125Hz a</w:t>
      </w:r>
      <w:r w:rsidR="00F2283B" w:rsidRPr="00B71D8D">
        <w:rPr>
          <w:lang w:val="en-GB"/>
        </w:rPr>
        <w:t>nd</w:t>
      </w:r>
      <w:r w:rsidR="00C57DB1" w:rsidRPr="00B71D8D">
        <w:rPr>
          <w:lang w:val="en-GB"/>
        </w:rPr>
        <w:t xml:space="preserve"> 1Hz</w:t>
      </w:r>
      <w:r w:rsidR="00F2283B" w:rsidRPr="00B71D8D">
        <w:rPr>
          <w:lang w:val="en-GB"/>
        </w:rPr>
        <w:t xml:space="preserve">. </w:t>
      </w:r>
      <w:r w:rsidR="00BC051C" w:rsidRPr="00B71D8D">
        <w:rPr>
          <w:lang w:val="en-GB"/>
        </w:rPr>
        <w:t xml:space="preserve">The geometric specifications of the heat exchanger equipment are listed in </w:t>
      </w:r>
      <w:r w:rsidR="00BC051C" w:rsidRPr="00B71D8D">
        <w:rPr>
          <w:lang w:val="en-GB"/>
        </w:rPr>
        <w:fldChar w:fldCharType="begin"/>
      </w:r>
      <w:r w:rsidR="00BC051C" w:rsidRPr="00B71D8D">
        <w:rPr>
          <w:lang w:val="en-GB"/>
        </w:rPr>
        <w:instrText xml:space="preserve"> REF _Ref97203610 \h  \* MERGEFORMAT </w:instrText>
      </w:r>
      <w:r w:rsidR="00BC051C" w:rsidRPr="00B71D8D">
        <w:rPr>
          <w:lang w:val="en-GB"/>
        </w:rPr>
      </w:r>
      <w:r w:rsidR="00BC051C" w:rsidRPr="00B71D8D">
        <w:rPr>
          <w:lang w:val="en-GB"/>
        </w:rPr>
        <w:fldChar w:fldCharType="separate"/>
      </w:r>
      <w:r w:rsidR="005559CC" w:rsidRPr="00B71D8D">
        <w:rPr>
          <w:lang w:val="en-GB"/>
        </w:rPr>
        <w:t xml:space="preserve">Table </w:t>
      </w:r>
      <w:r w:rsidR="005559CC" w:rsidRPr="00B71D8D">
        <w:rPr>
          <w:noProof/>
          <w:lang w:val="en-GB"/>
        </w:rPr>
        <w:t>2</w:t>
      </w:r>
      <w:r w:rsidR="00BC051C" w:rsidRPr="00B71D8D">
        <w:rPr>
          <w:lang w:val="en-GB"/>
        </w:rPr>
        <w:fldChar w:fldCharType="end"/>
      </w:r>
      <w:r w:rsidR="006F3C78" w:rsidRPr="00B71D8D">
        <w:rPr>
          <w:lang w:val="en-GB"/>
        </w:rPr>
        <w:t xml:space="preserve">; they </w:t>
      </w:r>
      <w:r w:rsidR="00BC051C" w:rsidRPr="00B71D8D">
        <w:rPr>
          <w:lang w:val="en-GB"/>
        </w:rPr>
        <w:t>were kept for all simulations.</w:t>
      </w:r>
      <w:r w:rsidR="0090476B" w:rsidRPr="00B71D8D">
        <w:rPr>
          <w:lang w:val="en-GB"/>
        </w:rPr>
        <w:t xml:space="preserve"> </w:t>
      </w:r>
      <w:r w:rsidR="006F3C78" w:rsidRPr="00B71D8D">
        <w:rPr>
          <w:lang w:val="en-GB"/>
        </w:rPr>
        <w:t xml:space="preserve">Along with </w:t>
      </w:r>
      <w:r w:rsidR="005B78AC" w:rsidRPr="00B71D8D">
        <w:rPr>
          <w:lang w:val="en-GB"/>
        </w:rPr>
        <w:t>the channel diameter</w:t>
      </w:r>
      <w:r w:rsidR="00E62E9A" w:rsidRPr="00B71D8D">
        <w:rPr>
          <w:lang w:val="en-GB"/>
        </w:rPr>
        <w:t> </w:t>
      </w:r>
      <m:oMath>
        <m:r>
          <w:rPr>
            <w:rFonts w:ascii="Cambria Math" w:hAnsi="Cambria Math"/>
            <w:lang w:val="en-GB"/>
          </w:rPr>
          <m:t>D</m:t>
        </m:r>
      </m:oMath>
      <w:r w:rsidR="00C57DB1" w:rsidRPr="00B71D8D">
        <w:rPr>
          <w:lang w:val="en-GB"/>
        </w:rPr>
        <w:t xml:space="preserve"> </w:t>
      </w:r>
      <w:r w:rsidR="005B78AC" w:rsidRPr="00B71D8D">
        <w:rPr>
          <w:lang w:val="en-GB"/>
        </w:rPr>
        <w:t xml:space="preserve">and the plate thickness </w:t>
      </w:r>
      <m:oMath>
        <m:r>
          <w:rPr>
            <w:rFonts w:ascii="Cambria Math" w:hAnsi="Cambria Math"/>
            <w:lang w:val="en-GB"/>
          </w:rPr>
          <m:t>B</m:t>
        </m:r>
      </m:oMath>
      <w:r w:rsidR="005B78AC" w:rsidRPr="00B71D8D">
        <w:rPr>
          <w:lang w:val="en-GB"/>
        </w:rPr>
        <w:t xml:space="preserve">, </w:t>
      </w:r>
      <w:r w:rsidR="0090476B" w:rsidRPr="00B71D8D">
        <w:rPr>
          <w:lang w:val="en-GB"/>
        </w:rPr>
        <w:t xml:space="preserve">each </w:t>
      </w:r>
      <w:r w:rsidR="005B78AC" w:rsidRPr="00B71D8D">
        <w:rPr>
          <w:lang w:val="en-GB"/>
        </w:rPr>
        <w:t>heat exchanger</w:t>
      </w:r>
      <w:r w:rsidR="0090476B" w:rsidRPr="00B71D8D">
        <w:rPr>
          <w:lang w:val="en-GB"/>
        </w:rPr>
        <w:t xml:space="preserve"> of H, R, C</w:t>
      </w:r>
      <w:r w:rsidR="005B78AC" w:rsidRPr="00B71D8D">
        <w:rPr>
          <w:lang w:val="en-GB"/>
        </w:rPr>
        <w:t xml:space="preserve"> </w:t>
      </w:r>
      <w:r w:rsidR="0090476B" w:rsidRPr="00B71D8D">
        <w:rPr>
          <w:lang w:val="en-GB"/>
        </w:rPr>
        <w:t xml:space="preserve">is </w:t>
      </w:r>
      <w:r w:rsidR="005B78AC" w:rsidRPr="00B71D8D">
        <w:rPr>
          <w:lang w:val="en-GB"/>
        </w:rPr>
        <w:t>characterised by</w:t>
      </w:r>
      <w:r w:rsidR="0090476B" w:rsidRPr="00B71D8D">
        <w:rPr>
          <w:lang w:val="en-GB"/>
        </w:rPr>
        <w:t xml:space="preserve"> its</w:t>
      </w:r>
      <w:r w:rsidR="005B78AC" w:rsidRPr="00B71D8D">
        <w:rPr>
          <w:lang w:val="en-GB"/>
        </w:rPr>
        <w:t xml:space="preserve"> length </w:t>
      </w:r>
      <m:oMath>
        <m:r>
          <w:rPr>
            <w:rFonts w:ascii="Cambria Math" w:hAnsi="Cambria Math"/>
            <w:lang w:val="en-GB"/>
          </w:rPr>
          <m:t>L</m:t>
        </m:r>
      </m:oMath>
      <w:r w:rsidR="005B78AC" w:rsidRPr="00B71D8D">
        <w:rPr>
          <w:lang w:val="en-GB"/>
        </w:rPr>
        <w:t xml:space="preserve"> and total number of channels per fluid stream </w:t>
      </w:r>
      <m:oMath>
        <m:r>
          <w:rPr>
            <w:rFonts w:ascii="Cambria Math" w:hAnsi="Cambria Math"/>
            <w:lang w:val="en-GB"/>
          </w:rPr>
          <m:t>N</m:t>
        </m:r>
      </m:oMath>
      <w:r w:rsidR="005B78AC" w:rsidRPr="00B71D8D">
        <w:rPr>
          <w:lang w:val="en-GB"/>
        </w:rPr>
        <w:t xml:space="preserve">. </w:t>
      </w:r>
      <w:r w:rsidR="00466D53" w:rsidRPr="00B71D8D">
        <w:rPr>
          <w:lang w:val="en-GB"/>
        </w:rPr>
        <w:t>The analysis w</w:t>
      </w:r>
      <w:r w:rsidR="009704C7" w:rsidRPr="00B71D8D">
        <w:rPr>
          <w:lang w:val="en-GB"/>
        </w:rPr>
        <w:t>as</w:t>
      </w:r>
      <w:r w:rsidR="00466D53" w:rsidRPr="00B71D8D">
        <w:rPr>
          <w:lang w:val="en-GB"/>
        </w:rPr>
        <w:t xml:space="preserve"> carried out for a heat source temperature of</w:t>
      </w:r>
      <w:r w:rsidR="00C57DB1" w:rsidRPr="00B71D8D">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m:t>
            </m:r>
          </m:sub>
        </m:sSub>
      </m:oMath>
      <w:r w:rsidR="00C57DB1" w:rsidRPr="00B71D8D">
        <w:rPr>
          <w:lang w:val="en-GB"/>
        </w:rPr>
        <w:t>=353K</w:t>
      </w:r>
      <w:r w:rsidR="00466D53" w:rsidRPr="00B71D8D">
        <w:rPr>
          <w:lang w:val="en-GB"/>
        </w:rPr>
        <w:t xml:space="preserve"> and a heat sink temperature of</w:t>
      </w:r>
      <w:r w:rsidR="00C57DB1" w:rsidRPr="00B71D8D">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oMath>
      <w:r w:rsidR="00C57DB1" w:rsidRPr="00B71D8D">
        <w:rPr>
          <w:lang w:val="en-GB"/>
        </w:rPr>
        <w:t>=283K</w:t>
      </w:r>
      <w:r w:rsidR="00466D53" w:rsidRPr="00B71D8D">
        <w:rPr>
          <w:lang w:val="en-GB"/>
        </w:rPr>
        <w:t>.</w:t>
      </w:r>
    </w:p>
    <w:p w14:paraId="4FD3D079" w14:textId="69A47A0D" w:rsidR="00633CA2" w:rsidRPr="00B71D8D" w:rsidRDefault="00633CA2" w:rsidP="00D5678B">
      <w:pPr>
        <w:pStyle w:val="CETTabletitle"/>
        <w:spacing w:before="120"/>
      </w:pPr>
      <w:bookmarkStart w:id="6" w:name="_Ref97203610"/>
      <w:r w:rsidRPr="00B71D8D">
        <w:t xml:space="preserve">Table </w:t>
      </w:r>
      <w:r w:rsidRPr="00B71D8D">
        <w:fldChar w:fldCharType="begin"/>
      </w:r>
      <w:r w:rsidRPr="00B71D8D">
        <w:instrText xml:space="preserve"> SEQ Table \* ARABIC </w:instrText>
      </w:r>
      <w:r w:rsidRPr="00B71D8D">
        <w:fldChar w:fldCharType="separate"/>
      </w:r>
      <w:r w:rsidR="005559CC" w:rsidRPr="00B71D8D">
        <w:rPr>
          <w:noProof/>
        </w:rPr>
        <w:t>2</w:t>
      </w:r>
      <w:r w:rsidRPr="00B71D8D">
        <w:fldChar w:fldCharType="end"/>
      </w:r>
      <w:bookmarkEnd w:id="6"/>
      <w:r w:rsidRPr="00B71D8D">
        <w:t>: Geometric specification of the heat exchangers.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56"/>
        <w:gridCol w:w="916"/>
        <w:gridCol w:w="916"/>
        <w:gridCol w:w="917"/>
        <w:gridCol w:w="917"/>
      </w:tblGrid>
      <w:tr w:rsidR="004C418A" w:rsidRPr="00B71D8D" w14:paraId="19992174" w14:textId="77777777" w:rsidTr="00791AB3">
        <w:tc>
          <w:tcPr>
            <w:tcW w:w="1456" w:type="dxa"/>
            <w:tcBorders>
              <w:top w:val="single" w:sz="12" w:space="0" w:color="008000"/>
              <w:bottom w:val="single" w:sz="6" w:space="0" w:color="008000"/>
            </w:tcBorders>
            <w:shd w:val="clear" w:color="auto" w:fill="FFFFFF"/>
          </w:tcPr>
          <w:p w14:paraId="128416D2" w14:textId="77777777" w:rsidR="004C418A" w:rsidRPr="00B71D8D" w:rsidRDefault="004C418A" w:rsidP="005A779E">
            <w:pPr>
              <w:pStyle w:val="CETBodytext"/>
              <w:rPr>
                <w:lang w:val="en-GB"/>
              </w:rPr>
            </w:pPr>
          </w:p>
        </w:tc>
        <w:tc>
          <w:tcPr>
            <w:tcW w:w="916" w:type="dxa"/>
            <w:tcBorders>
              <w:top w:val="single" w:sz="12" w:space="0" w:color="008000"/>
              <w:bottom w:val="single" w:sz="6" w:space="0" w:color="008000"/>
            </w:tcBorders>
            <w:shd w:val="clear" w:color="auto" w:fill="FFFFFF"/>
          </w:tcPr>
          <w:p w14:paraId="706C2006" w14:textId="3D05EBE4" w:rsidR="004C418A" w:rsidRPr="00B71D8D" w:rsidRDefault="004C418A" w:rsidP="005A779E">
            <w:pPr>
              <w:pStyle w:val="CETBodytext"/>
              <w:jc w:val="center"/>
              <w:rPr>
                <w:lang w:val="en-GB"/>
              </w:rPr>
            </w:pPr>
            <m:oMath>
              <m:r>
                <w:rPr>
                  <w:rFonts w:ascii="Cambria Math" w:hAnsi="Cambria Math"/>
                  <w:lang w:val="en-GB"/>
                </w:rPr>
                <m:t>D</m:t>
              </m:r>
            </m:oMath>
            <w:r w:rsidRPr="00B71D8D">
              <w:rPr>
                <w:lang w:val="en-GB"/>
              </w:rPr>
              <w:t>/mm</w:t>
            </w:r>
          </w:p>
        </w:tc>
        <w:tc>
          <w:tcPr>
            <w:tcW w:w="916" w:type="dxa"/>
            <w:tcBorders>
              <w:top w:val="single" w:sz="12" w:space="0" w:color="008000"/>
              <w:bottom w:val="single" w:sz="6" w:space="0" w:color="008000"/>
            </w:tcBorders>
            <w:shd w:val="clear" w:color="auto" w:fill="FFFFFF"/>
          </w:tcPr>
          <w:p w14:paraId="7F1566AF" w14:textId="74FEAEFB" w:rsidR="004C418A" w:rsidRPr="00B71D8D" w:rsidRDefault="004C418A" w:rsidP="005A779E">
            <w:pPr>
              <w:pStyle w:val="CETBodytext"/>
              <w:jc w:val="center"/>
              <w:rPr>
                <w:lang w:val="en-GB"/>
              </w:rPr>
            </w:pPr>
            <m:oMath>
              <m:r>
                <w:rPr>
                  <w:rFonts w:ascii="Cambria Math" w:hAnsi="Cambria Math"/>
                  <w:lang w:val="en-GB"/>
                </w:rPr>
                <m:t>B</m:t>
              </m:r>
            </m:oMath>
            <w:r w:rsidRPr="00B71D8D">
              <w:rPr>
                <w:lang w:val="en-GB"/>
              </w:rPr>
              <w:t>/mm</w:t>
            </w:r>
          </w:p>
        </w:tc>
        <w:tc>
          <w:tcPr>
            <w:tcW w:w="917" w:type="dxa"/>
            <w:tcBorders>
              <w:top w:val="single" w:sz="12" w:space="0" w:color="008000"/>
              <w:bottom w:val="single" w:sz="6" w:space="0" w:color="008000"/>
            </w:tcBorders>
            <w:shd w:val="clear" w:color="auto" w:fill="FFFFFF"/>
          </w:tcPr>
          <w:p w14:paraId="2B0BDEDD" w14:textId="3454E620" w:rsidR="004C418A" w:rsidRPr="00B71D8D" w:rsidRDefault="004C418A" w:rsidP="005A779E">
            <w:pPr>
              <w:pStyle w:val="CETBodytext"/>
              <w:ind w:right="-1"/>
              <w:jc w:val="center"/>
              <w:rPr>
                <w:rFonts w:cs="Arial"/>
                <w:i/>
                <w:lang w:val="en-GB"/>
              </w:rPr>
            </w:pPr>
            <m:oMath>
              <m:r>
                <w:rPr>
                  <w:rFonts w:ascii="Cambria Math" w:hAnsi="Cambria Math"/>
                  <w:lang w:val="en-GB"/>
                </w:rPr>
                <m:t>L</m:t>
              </m:r>
            </m:oMath>
            <w:r w:rsidRPr="00B71D8D">
              <w:rPr>
                <w:lang w:val="en-GB"/>
              </w:rPr>
              <w:t>/m</w:t>
            </w:r>
          </w:p>
        </w:tc>
        <w:tc>
          <w:tcPr>
            <w:tcW w:w="917" w:type="dxa"/>
            <w:tcBorders>
              <w:top w:val="single" w:sz="12" w:space="0" w:color="008000"/>
              <w:bottom w:val="single" w:sz="6" w:space="0" w:color="008000"/>
            </w:tcBorders>
            <w:shd w:val="clear" w:color="auto" w:fill="FFFFFF"/>
          </w:tcPr>
          <w:p w14:paraId="20ADA30F" w14:textId="3133CDF9" w:rsidR="004C418A" w:rsidRPr="00B71D8D" w:rsidRDefault="004C418A" w:rsidP="005A779E">
            <w:pPr>
              <w:pStyle w:val="CETBodytext"/>
              <w:ind w:right="-1"/>
              <w:jc w:val="center"/>
              <w:rPr>
                <w:rFonts w:cs="Arial"/>
                <w:i/>
                <w:lang w:val="en-GB"/>
              </w:rPr>
            </w:pPr>
            <m:oMathPara>
              <m:oMath>
                <m:r>
                  <w:rPr>
                    <w:rFonts w:ascii="Cambria Math" w:hAnsi="Cambria Math"/>
                    <w:lang w:val="en-GB"/>
                  </w:rPr>
                  <m:t>N</m:t>
                </m:r>
              </m:oMath>
            </m:oMathPara>
          </w:p>
        </w:tc>
      </w:tr>
      <w:tr w:rsidR="004C418A" w:rsidRPr="00B71D8D" w14:paraId="6F0759C5" w14:textId="3C6A76F5" w:rsidTr="00791AB3">
        <w:tc>
          <w:tcPr>
            <w:tcW w:w="1456" w:type="dxa"/>
            <w:shd w:val="clear" w:color="auto" w:fill="FFFFFF"/>
          </w:tcPr>
          <w:p w14:paraId="00D38EB7" w14:textId="25CEA1A1" w:rsidR="004C418A" w:rsidRPr="00B71D8D" w:rsidRDefault="004C418A" w:rsidP="005A779E">
            <w:pPr>
              <w:pStyle w:val="CETBodytext"/>
              <w:rPr>
                <w:lang w:val="en-GB"/>
              </w:rPr>
            </w:pPr>
            <w:r w:rsidRPr="00B71D8D">
              <w:rPr>
                <w:lang w:val="en-GB"/>
              </w:rPr>
              <w:t>Heater (H)</w:t>
            </w:r>
          </w:p>
        </w:tc>
        <w:tc>
          <w:tcPr>
            <w:tcW w:w="916" w:type="dxa"/>
            <w:shd w:val="clear" w:color="auto" w:fill="FFFFFF"/>
          </w:tcPr>
          <w:p w14:paraId="4F16A77F" w14:textId="2D2FEF97" w:rsidR="004C418A" w:rsidRPr="00B71D8D" w:rsidRDefault="004C418A" w:rsidP="005A779E">
            <w:pPr>
              <w:pStyle w:val="CETBodytext"/>
              <w:jc w:val="center"/>
              <w:rPr>
                <w:lang w:val="en-GB"/>
              </w:rPr>
            </w:pPr>
            <w:r w:rsidRPr="00B71D8D">
              <w:rPr>
                <w:lang w:val="en-GB"/>
              </w:rPr>
              <w:t>0.5</w:t>
            </w:r>
          </w:p>
        </w:tc>
        <w:tc>
          <w:tcPr>
            <w:tcW w:w="916" w:type="dxa"/>
            <w:shd w:val="clear" w:color="auto" w:fill="FFFFFF"/>
          </w:tcPr>
          <w:p w14:paraId="332482A3" w14:textId="3346875A" w:rsidR="004C418A" w:rsidRPr="00B71D8D" w:rsidRDefault="004C418A" w:rsidP="005A779E">
            <w:pPr>
              <w:pStyle w:val="CETBodytext"/>
              <w:jc w:val="center"/>
              <w:rPr>
                <w:lang w:val="en-GB"/>
              </w:rPr>
            </w:pPr>
            <w:r w:rsidRPr="00B71D8D">
              <w:rPr>
                <w:lang w:val="en-GB"/>
              </w:rPr>
              <w:t>2</w:t>
            </w:r>
          </w:p>
        </w:tc>
        <w:tc>
          <w:tcPr>
            <w:tcW w:w="917" w:type="dxa"/>
            <w:shd w:val="clear" w:color="auto" w:fill="FFFFFF"/>
          </w:tcPr>
          <w:p w14:paraId="7CFA583F" w14:textId="380D1B1D" w:rsidR="004C418A" w:rsidRPr="00B71D8D" w:rsidRDefault="004C418A" w:rsidP="005A779E">
            <w:pPr>
              <w:pStyle w:val="CETBodytext"/>
              <w:ind w:right="-1"/>
              <w:jc w:val="center"/>
              <w:rPr>
                <w:rFonts w:cs="Arial"/>
                <w:szCs w:val="18"/>
                <w:lang w:val="en-GB"/>
              </w:rPr>
            </w:pPr>
            <w:r w:rsidRPr="00B71D8D">
              <w:rPr>
                <w:rFonts w:cs="Arial"/>
                <w:szCs w:val="18"/>
                <w:lang w:val="en-GB"/>
              </w:rPr>
              <w:t>0.3</w:t>
            </w:r>
          </w:p>
        </w:tc>
        <w:tc>
          <w:tcPr>
            <w:tcW w:w="917" w:type="dxa"/>
            <w:shd w:val="clear" w:color="auto" w:fill="FFFFFF"/>
          </w:tcPr>
          <w:p w14:paraId="22638AAA" w14:textId="0E722C71" w:rsidR="004C418A" w:rsidRPr="00B71D8D" w:rsidRDefault="004C418A" w:rsidP="005A779E">
            <w:pPr>
              <w:pStyle w:val="CETBodytext"/>
              <w:ind w:right="-1"/>
              <w:jc w:val="center"/>
              <w:rPr>
                <w:rFonts w:cs="Arial"/>
                <w:szCs w:val="18"/>
                <w:lang w:val="en-GB"/>
              </w:rPr>
            </w:pPr>
            <w:r w:rsidRPr="00B71D8D">
              <w:rPr>
                <w:rFonts w:cs="Arial"/>
                <w:szCs w:val="18"/>
                <w:lang w:val="en-GB"/>
              </w:rPr>
              <w:t>400</w:t>
            </w:r>
          </w:p>
        </w:tc>
      </w:tr>
      <w:tr w:rsidR="004C418A" w:rsidRPr="00B71D8D" w14:paraId="173466F3" w14:textId="675D8781" w:rsidTr="00791AB3">
        <w:tc>
          <w:tcPr>
            <w:tcW w:w="1456" w:type="dxa"/>
            <w:shd w:val="clear" w:color="auto" w:fill="FFFFFF"/>
          </w:tcPr>
          <w:p w14:paraId="080BD2E8" w14:textId="59A783E8" w:rsidR="004C418A" w:rsidRPr="00B71D8D" w:rsidRDefault="004C418A" w:rsidP="005A779E">
            <w:pPr>
              <w:pStyle w:val="CETBodytext"/>
              <w:rPr>
                <w:lang w:val="en-GB"/>
              </w:rPr>
            </w:pPr>
            <w:r w:rsidRPr="00B71D8D">
              <w:rPr>
                <w:lang w:val="en-GB"/>
              </w:rPr>
              <w:t>Recuperator (R)</w:t>
            </w:r>
          </w:p>
        </w:tc>
        <w:tc>
          <w:tcPr>
            <w:tcW w:w="916" w:type="dxa"/>
            <w:shd w:val="clear" w:color="auto" w:fill="FFFFFF"/>
          </w:tcPr>
          <w:p w14:paraId="48A6B6F8" w14:textId="0E4A316B" w:rsidR="004C418A" w:rsidRPr="00B71D8D" w:rsidRDefault="004C418A" w:rsidP="005A779E">
            <w:pPr>
              <w:pStyle w:val="CETBodytext"/>
              <w:jc w:val="center"/>
              <w:rPr>
                <w:lang w:val="en-GB"/>
              </w:rPr>
            </w:pPr>
            <w:r w:rsidRPr="00B71D8D">
              <w:rPr>
                <w:lang w:val="en-GB"/>
              </w:rPr>
              <w:t>0.5</w:t>
            </w:r>
          </w:p>
        </w:tc>
        <w:tc>
          <w:tcPr>
            <w:tcW w:w="916" w:type="dxa"/>
            <w:shd w:val="clear" w:color="auto" w:fill="FFFFFF"/>
          </w:tcPr>
          <w:p w14:paraId="3EC613C6" w14:textId="4159DF5A" w:rsidR="004C418A" w:rsidRPr="00B71D8D" w:rsidRDefault="004C418A" w:rsidP="005A779E">
            <w:pPr>
              <w:pStyle w:val="CETBodytext"/>
              <w:jc w:val="center"/>
              <w:rPr>
                <w:lang w:val="en-GB"/>
              </w:rPr>
            </w:pPr>
            <w:r w:rsidRPr="00B71D8D">
              <w:rPr>
                <w:lang w:val="en-GB"/>
              </w:rPr>
              <w:t>2</w:t>
            </w:r>
          </w:p>
        </w:tc>
        <w:tc>
          <w:tcPr>
            <w:tcW w:w="917" w:type="dxa"/>
            <w:shd w:val="clear" w:color="auto" w:fill="FFFFFF"/>
          </w:tcPr>
          <w:p w14:paraId="5F039CFD" w14:textId="69D5F7EE" w:rsidR="004C418A" w:rsidRPr="00B71D8D" w:rsidRDefault="004C418A" w:rsidP="005A779E">
            <w:pPr>
              <w:pStyle w:val="CETBodytext"/>
              <w:ind w:right="-1"/>
              <w:jc w:val="center"/>
              <w:rPr>
                <w:rFonts w:cs="Arial"/>
                <w:szCs w:val="18"/>
                <w:lang w:val="en-GB"/>
              </w:rPr>
            </w:pPr>
            <w:r w:rsidRPr="00B71D8D">
              <w:rPr>
                <w:rFonts w:cs="Arial"/>
                <w:szCs w:val="18"/>
                <w:lang w:val="en-GB"/>
              </w:rPr>
              <w:t>0.3</w:t>
            </w:r>
          </w:p>
        </w:tc>
        <w:tc>
          <w:tcPr>
            <w:tcW w:w="917" w:type="dxa"/>
            <w:shd w:val="clear" w:color="auto" w:fill="FFFFFF"/>
          </w:tcPr>
          <w:p w14:paraId="15D3C0A9" w14:textId="0DBE335C" w:rsidR="004C418A" w:rsidRPr="00B71D8D" w:rsidRDefault="004C418A" w:rsidP="005A779E">
            <w:pPr>
              <w:pStyle w:val="CETBodytext"/>
              <w:ind w:right="-1"/>
              <w:jc w:val="center"/>
              <w:rPr>
                <w:rFonts w:cs="Arial"/>
                <w:szCs w:val="18"/>
                <w:lang w:val="en-GB"/>
              </w:rPr>
            </w:pPr>
            <w:r w:rsidRPr="00B71D8D">
              <w:rPr>
                <w:rFonts w:cs="Arial"/>
                <w:szCs w:val="18"/>
                <w:lang w:val="en-GB"/>
              </w:rPr>
              <w:t>400</w:t>
            </w:r>
          </w:p>
        </w:tc>
      </w:tr>
      <w:tr w:rsidR="004C418A" w:rsidRPr="00B71D8D" w14:paraId="67A81B80" w14:textId="2ED15182" w:rsidTr="00791AB3">
        <w:tc>
          <w:tcPr>
            <w:tcW w:w="1456" w:type="dxa"/>
            <w:shd w:val="clear" w:color="auto" w:fill="FFFFFF"/>
          </w:tcPr>
          <w:p w14:paraId="505E2B27" w14:textId="1D8170AF" w:rsidR="004C418A" w:rsidRPr="00B71D8D" w:rsidRDefault="004C418A" w:rsidP="005A779E">
            <w:pPr>
              <w:pStyle w:val="CETBodytext"/>
              <w:ind w:right="-1"/>
              <w:rPr>
                <w:rFonts w:cs="Arial"/>
                <w:szCs w:val="18"/>
                <w:lang w:val="en-GB"/>
              </w:rPr>
            </w:pPr>
            <w:r w:rsidRPr="00B71D8D">
              <w:rPr>
                <w:rFonts w:cs="Arial"/>
                <w:szCs w:val="18"/>
                <w:lang w:val="en-GB"/>
              </w:rPr>
              <w:t>Cooler (C)</w:t>
            </w:r>
          </w:p>
        </w:tc>
        <w:tc>
          <w:tcPr>
            <w:tcW w:w="916" w:type="dxa"/>
            <w:shd w:val="clear" w:color="auto" w:fill="FFFFFF"/>
          </w:tcPr>
          <w:p w14:paraId="47AA5DD2" w14:textId="3AF6F2F8" w:rsidR="004C418A" w:rsidRPr="00B71D8D" w:rsidRDefault="004C418A" w:rsidP="005A779E">
            <w:pPr>
              <w:pStyle w:val="CETBodytext"/>
              <w:ind w:right="-1"/>
              <w:jc w:val="center"/>
              <w:rPr>
                <w:rFonts w:cs="Arial"/>
                <w:szCs w:val="18"/>
                <w:lang w:val="en-GB"/>
              </w:rPr>
            </w:pPr>
            <w:r w:rsidRPr="00B71D8D">
              <w:rPr>
                <w:rFonts w:cs="Arial"/>
                <w:szCs w:val="18"/>
                <w:lang w:val="en-GB"/>
              </w:rPr>
              <w:t>0.5</w:t>
            </w:r>
          </w:p>
        </w:tc>
        <w:tc>
          <w:tcPr>
            <w:tcW w:w="916" w:type="dxa"/>
            <w:shd w:val="clear" w:color="auto" w:fill="FFFFFF"/>
          </w:tcPr>
          <w:p w14:paraId="6DDE1548" w14:textId="0DBFE0F2" w:rsidR="004C418A" w:rsidRPr="00B71D8D" w:rsidRDefault="004C418A" w:rsidP="005A779E">
            <w:pPr>
              <w:pStyle w:val="CETBodytext"/>
              <w:ind w:right="-1"/>
              <w:jc w:val="center"/>
              <w:rPr>
                <w:rFonts w:cs="Arial"/>
                <w:szCs w:val="18"/>
                <w:lang w:val="en-GB"/>
              </w:rPr>
            </w:pPr>
            <w:r w:rsidRPr="00B71D8D">
              <w:rPr>
                <w:rFonts w:cs="Arial"/>
                <w:szCs w:val="18"/>
                <w:lang w:val="en-GB"/>
              </w:rPr>
              <w:t>2</w:t>
            </w:r>
          </w:p>
        </w:tc>
        <w:tc>
          <w:tcPr>
            <w:tcW w:w="917" w:type="dxa"/>
            <w:shd w:val="clear" w:color="auto" w:fill="FFFFFF"/>
          </w:tcPr>
          <w:p w14:paraId="31569ED7" w14:textId="509561D7" w:rsidR="004C418A" w:rsidRPr="00B71D8D" w:rsidRDefault="004C418A" w:rsidP="005A779E">
            <w:pPr>
              <w:pStyle w:val="CETBodytext"/>
              <w:ind w:right="-1"/>
              <w:jc w:val="center"/>
              <w:rPr>
                <w:rFonts w:cs="Arial"/>
                <w:szCs w:val="18"/>
                <w:lang w:val="en-GB"/>
              </w:rPr>
            </w:pPr>
            <w:r w:rsidRPr="00B71D8D">
              <w:rPr>
                <w:rFonts w:cs="Arial"/>
                <w:szCs w:val="18"/>
                <w:lang w:val="en-GB"/>
              </w:rPr>
              <w:t>0.3</w:t>
            </w:r>
          </w:p>
        </w:tc>
        <w:tc>
          <w:tcPr>
            <w:tcW w:w="917" w:type="dxa"/>
            <w:shd w:val="clear" w:color="auto" w:fill="FFFFFF"/>
          </w:tcPr>
          <w:p w14:paraId="57AD0A9C" w14:textId="03FEDED6" w:rsidR="004C418A" w:rsidRPr="00B71D8D" w:rsidRDefault="004C418A" w:rsidP="005A779E">
            <w:pPr>
              <w:pStyle w:val="CETBodytext"/>
              <w:ind w:right="-1"/>
              <w:jc w:val="center"/>
              <w:rPr>
                <w:rFonts w:cs="Arial"/>
                <w:szCs w:val="18"/>
                <w:lang w:val="en-GB"/>
              </w:rPr>
            </w:pPr>
            <w:r w:rsidRPr="00B71D8D">
              <w:rPr>
                <w:rFonts w:cs="Arial"/>
                <w:szCs w:val="18"/>
                <w:lang w:val="en-GB"/>
              </w:rPr>
              <w:t>500</w:t>
            </w:r>
          </w:p>
        </w:tc>
      </w:tr>
    </w:tbl>
    <w:p w14:paraId="2ABA9FF6" w14:textId="23C9F02E" w:rsidR="00633CA2" w:rsidRPr="00B71D8D" w:rsidRDefault="00BC051C" w:rsidP="00506E00">
      <w:pPr>
        <w:pStyle w:val="CETBodytext"/>
        <w:spacing w:before="120"/>
        <w:rPr>
          <w:lang w:val="en-GB"/>
        </w:rPr>
      </w:pPr>
      <w:r w:rsidRPr="00B71D8D">
        <w:rPr>
          <w:lang w:val="en-GB"/>
        </w:rPr>
        <w:t>The</w:t>
      </w:r>
      <w:r w:rsidR="00506E00" w:rsidRPr="00B71D8D">
        <w:rPr>
          <w:lang w:val="en-GB"/>
        </w:rPr>
        <w:t xml:space="preserve"> low</w:t>
      </w:r>
      <w:r w:rsidRPr="00B71D8D">
        <w:rPr>
          <w:lang w:val="en-GB"/>
        </w:rPr>
        <w:t xml:space="preserve"> </w:t>
      </w:r>
      <w:r w:rsidR="005C3DB2" w:rsidRPr="00B71D8D">
        <w:rPr>
          <w:lang w:val="en-GB"/>
        </w:rPr>
        <w:t>pressure during the cooling phase with working fluid R134a was</w:t>
      </w:r>
      <w:r w:rsidR="00F26DE7" w:rsidRPr="00B71D8D">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low</m:t>
            </m:r>
          </m:sub>
        </m:sSub>
      </m:oMath>
      <w:r w:rsidR="00F26DE7" w:rsidRPr="00B71D8D">
        <w:rPr>
          <w:lang w:val="en-GB"/>
        </w:rPr>
        <w:t>=5.7bar</w:t>
      </w:r>
      <w:r w:rsidR="00506E00" w:rsidRPr="00B71D8D">
        <w:rPr>
          <w:lang w:val="en-GB"/>
        </w:rPr>
        <w:t xml:space="preserve"> and the high pressure during the heating phase</w:t>
      </w:r>
      <w:r w:rsidR="00677524" w:rsidRPr="00B71D8D">
        <w:rPr>
          <w:lang w:val="en-GB"/>
        </w:rPr>
        <w:t xml:space="preserve"> was</w:t>
      </w:r>
      <w:r w:rsidR="00F26DE7" w:rsidRPr="00B71D8D">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high</m:t>
            </m:r>
          </m:sub>
        </m:sSub>
      </m:oMath>
      <w:r w:rsidR="00F26DE7" w:rsidRPr="00B71D8D">
        <w:rPr>
          <w:lang w:val="en-GB"/>
        </w:rPr>
        <w:t>=24.2bar</w:t>
      </w:r>
      <w:r w:rsidR="00506E00" w:rsidRPr="00B71D8D">
        <w:rPr>
          <w:lang w:val="en-GB"/>
        </w:rPr>
        <w:t>. The pressure levels were chosen based on the saturation temperature of the working fluid. At low pressure</w:t>
      </w:r>
      <w:r w:rsidR="00A80EF0" w:rsidRPr="00B71D8D">
        <w:rPr>
          <w:lang w:val="en-GB"/>
        </w:rPr>
        <w:t>,</w:t>
      </w:r>
      <w:r w:rsidR="00506E00" w:rsidRPr="00B71D8D">
        <w:rPr>
          <w:lang w:val="en-GB"/>
        </w:rPr>
        <w:t xml:space="preserve"> the saturation temperature </w:t>
      </w:r>
      <w:r w:rsidR="00A80EF0" w:rsidRPr="00B71D8D">
        <w:rPr>
          <w:lang w:val="en-GB"/>
        </w:rPr>
        <w:t xml:space="preserve">was </w:t>
      </w:r>
      <w:r w:rsidR="00F26DE7" w:rsidRPr="00B71D8D">
        <w:rPr>
          <w:lang w:val="en-GB"/>
        </w:rPr>
        <w:t>10K</w:t>
      </w:r>
      <w:r w:rsidR="00506E00" w:rsidRPr="00B71D8D">
        <w:rPr>
          <w:lang w:val="en-GB"/>
        </w:rPr>
        <w:t xml:space="preserve"> above</w:t>
      </w:r>
      <w:r w:rsidR="00F26DE7" w:rsidRPr="00B71D8D">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oMath>
      <w:r w:rsidR="008A06A1" w:rsidRPr="00B71D8D">
        <w:rPr>
          <w:lang w:val="en-GB"/>
        </w:rPr>
        <w:t xml:space="preserve"> </w:t>
      </w:r>
      <w:r w:rsidR="00506E00" w:rsidRPr="00B71D8D">
        <w:rPr>
          <w:lang w:val="en-GB"/>
        </w:rPr>
        <w:t xml:space="preserve">and </w:t>
      </w:r>
      <w:r w:rsidR="00A84153" w:rsidRPr="00B71D8D">
        <w:rPr>
          <w:lang w:val="en-GB"/>
        </w:rPr>
        <w:t>at</w:t>
      </w:r>
      <w:r w:rsidR="00506E00" w:rsidRPr="00B71D8D">
        <w:rPr>
          <w:lang w:val="en-GB"/>
        </w:rPr>
        <w:t xml:space="preserve"> high pressure</w:t>
      </w:r>
      <w:r w:rsidR="00A80EF0" w:rsidRPr="00B71D8D">
        <w:rPr>
          <w:lang w:val="en-GB"/>
        </w:rPr>
        <w:t>,</w:t>
      </w:r>
      <w:r w:rsidR="00506E00" w:rsidRPr="00B71D8D">
        <w:rPr>
          <w:lang w:val="en-GB"/>
        </w:rPr>
        <w:t xml:space="preserve"> the saturation temperature </w:t>
      </w:r>
      <w:r w:rsidR="00A80EF0" w:rsidRPr="00B71D8D">
        <w:rPr>
          <w:lang w:val="en-GB"/>
        </w:rPr>
        <w:t xml:space="preserve">was </w:t>
      </w:r>
      <w:r w:rsidR="00F26DE7" w:rsidRPr="00B71D8D">
        <w:rPr>
          <w:lang w:val="en-GB"/>
        </w:rPr>
        <w:t>10K</w:t>
      </w:r>
      <w:r w:rsidR="00506E00" w:rsidRPr="00B71D8D">
        <w:rPr>
          <w:lang w:val="en-GB"/>
        </w:rPr>
        <w:t xml:space="preserve"> below</w:t>
      </w:r>
      <w:r w:rsidR="00F26DE7" w:rsidRPr="00B71D8D">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m:t>
            </m:r>
          </m:sub>
        </m:sSub>
      </m:oMath>
      <w:r w:rsidR="00A84153" w:rsidRPr="00B71D8D">
        <w:rPr>
          <w:lang w:val="en-GB"/>
        </w:rPr>
        <w:t>. This</w:t>
      </w:r>
      <w:r w:rsidR="00506E00" w:rsidRPr="00B71D8D">
        <w:rPr>
          <w:lang w:val="en-GB"/>
        </w:rPr>
        <w:t xml:space="preserve"> ensure</w:t>
      </w:r>
      <w:r w:rsidR="00A84153" w:rsidRPr="00B71D8D">
        <w:rPr>
          <w:lang w:val="en-GB"/>
        </w:rPr>
        <w:t>s</w:t>
      </w:r>
      <w:r w:rsidR="008C30DE" w:rsidRPr="00B71D8D">
        <w:rPr>
          <w:lang w:val="en-GB"/>
        </w:rPr>
        <w:t xml:space="preserve"> </w:t>
      </w:r>
      <w:r w:rsidR="00506E00" w:rsidRPr="00B71D8D">
        <w:rPr>
          <w:lang w:val="en-GB"/>
        </w:rPr>
        <w:t xml:space="preserve">a temperature difference </w:t>
      </w:r>
      <w:r w:rsidR="008C30DE" w:rsidRPr="00B71D8D">
        <w:rPr>
          <w:lang w:val="en-GB"/>
        </w:rPr>
        <w:t xml:space="preserve">to </w:t>
      </w:r>
      <w:r w:rsidR="00506E00" w:rsidRPr="00B71D8D">
        <w:rPr>
          <w:lang w:val="en-GB"/>
        </w:rPr>
        <w:t xml:space="preserve">drive the heat </w:t>
      </w:r>
      <w:r w:rsidR="00506E00" w:rsidRPr="00B71D8D">
        <w:rPr>
          <w:lang w:val="en-GB"/>
        </w:rPr>
        <w:lastRenderedPageBreak/>
        <w:t>transfer process</w:t>
      </w:r>
      <w:r w:rsidR="008C30DE" w:rsidRPr="00B71D8D">
        <w:rPr>
          <w:lang w:val="en-GB"/>
        </w:rPr>
        <w:t xml:space="preserve"> during the phase change</w:t>
      </w:r>
      <w:r w:rsidR="00506E00" w:rsidRPr="00B71D8D">
        <w:rPr>
          <w:lang w:val="en-GB"/>
        </w:rPr>
        <w:t>.</w:t>
      </w:r>
      <w:r w:rsidR="002D3A17" w:rsidRPr="00B71D8D">
        <w:rPr>
          <w:lang w:val="en-GB"/>
        </w:rPr>
        <w:t xml:space="preserve"> </w:t>
      </w:r>
      <w:r w:rsidR="00466D53" w:rsidRPr="00B71D8D">
        <w:rPr>
          <w:lang w:val="en-GB"/>
        </w:rPr>
        <w:t>In the study with carbon dioxide, the low pressure was</w:t>
      </w:r>
      <w:r w:rsidR="00F26DE7" w:rsidRPr="00B71D8D">
        <w:rPr>
          <w:lang w:val="en-GB"/>
        </w:rPr>
        <w:t xml:space="preserve"> 65bar</w:t>
      </w:r>
      <w:r w:rsidR="00466D53" w:rsidRPr="00B71D8D">
        <w:rPr>
          <w:lang w:val="en-GB"/>
        </w:rPr>
        <w:t xml:space="preserve"> and the high pressure was</w:t>
      </w:r>
      <w:r w:rsidR="00F26DE7" w:rsidRPr="00B71D8D">
        <w:rPr>
          <w:lang w:val="en-GB"/>
        </w:rPr>
        <w:t xml:space="preserve"> 100bar</w:t>
      </w:r>
      <w:r w:rsidR="007F0946" w:rsidRPr="00B71D8D">
        <w:rPr>
          <w:lang w:val="en-GB"/>
        </w:rPr>
        <w:t xml:space="preserve">. </w:t>
      </w:r>
      <w:r w:rsidR="00606F24" w:rsidRPr="00B71D8D">
        <w:rPr>
          <w:lang w:val="en-GB"/>
        </w:rPr>
        <w:t xml:space="preserve">A mesh independence study was </w:t>
      </w:r>
      <w:r w:rsidR="008C30DE" w:rsidRPr="00B71D8D">
        <w:rPr>
          <w:lang w:val="en-GB"/>
        </w:rPr>
        <w:t xml:space="preserve">carried out </w:t>
      </w:r>
      <w:r w:rsidR="00A80EF0" w:rsidRPr="00B71D8D">
        <w:rPr>
          <w:lang w:val="en-GB"/>
        </w:rPr>
        <w:t xml:space="preserve">yielding the value </w:t>
      </w:r>
      <w:r w:rsidR="00F26DE7" w:rsidRPr="00B71D8D">
        <w:rPr>
          <w:lang w:val="en-GB"/>
        </w:rPr>
        <w:t>1.5mm/segment</w:t>
      </w:r>
      <w:r w:rsidR="00606F24" w:rsidRPr="00B71D8D">
        <w:rPr>
          <w:lang w:val="en-GB"/>
        </w:rPr>
        <w:t>.</w:t>
      </w:r>
      <w:r w:rsidR="00135579" w:rsidRPr="00B71D8D">
        <w:rPr>
          <w:lang w:val="en-GB"/>
        </w:rPr>
        <w:t xml:space="preserve"> </w:t>
      </w:r>
      <w:r w:rsidR="00960F63" w:rsidRPr="00B71D8D">
        <w:rPr>
          <w:lang w:val="en-GB"/>
        </w:rPr>
        <w:t xml:space="preserve">The simulation </w:t>
      </w:r>
      <w:r w:rsidR="00920404" w:rsidRPr="00B71D8D">
        <w:rPr>
          <w:lang w:val="en-GB"/>
        </w:rPr>
        <w:t xml:space="preserve">results </w:t>
      </w:r>
      <w:r w:rsidR="00960F63" w:rsidRPr="00B71D8D">
        <w:rPr>
          <w:lang w:val="en-GB"/>
        </w:rPr>
        <w:t>were used to evaluate the heat exchanger efficiency</w:t>
      </w:r>
      <w:r w:rsidR="00920404" w:rsidRPr="00B71D8D">
        <w:rPr>
          <w:lang w:val="en-GB"/>
        </w:rPr>
        <w:t>, which is defined as</w:t>
      </w:r>
      <w:r w:rsidR="005766E2" w:rsidRPr="00B71D8D">
        <w:rPr>
          <w:lang w:val="en-GB"/>
        </w:rPr>
        <w:t xml:space="preserve"> </w:t>
      </w:r>
    </w:p>
    <w:tbl>
      <w:tblPr>
        <w:tblW w:w="5000" w:type="pct"/>
        <w:tblLook w:val="04A0" w:firstRow="1" w:lastRow="0" w:firstColumn="1" w:lastColumn="0" w:noHBand="0" w:noVBand="1"/>
      </w:tblPr>
      <w:tblGrid>
        <w:gridCol w:w="7983"/>
        <w:gridCol w:w="804"/>
      </w:tblGrid>
      <w:tr w:rsidR="008433B8" w:rsidRPr="00B71D8D" w14:paraId="05A12E8D" w14:textId="77777777" w:rsidTr="00F36A40">
        <w:tc>
          <w:tcPr>
            <w:tcW w:w="7983" w:type="dxa"/>
            <w:shd w:val="clear" w:color="auto" w:fill="auto"/>
            <w:vAlign w:val="center"/>
          </w:tcPr>
          <w:p w14:paraId="741EB7A8" w14:textId="045CB379" w:rsidR="008433B8" w:rsidRPr="00B71D8D" w:rsidRDefault="00000000" w:rsidP="00F36A40">
            <w:pPr>
              <w:pStyle w:val="CETEquation"/>
              <w:rPr>
                <w:rFonts w:ascii="Cambria Math" w:hAnsi="Cambria Math"/>
                <w:i/>
              </w:rPr>
            </w:pPr>
            <m:oMath>
              <m:sSub>
                <m:sSubPr>
                  <m:ctrlPr>
                    <w:rPr>
                      <w:rFonts w:ascii="Cambria Math" w:hAnsi="Cambria Math"/>
                      <w:i/>
                    </w:rPr>
                  </m:ctrlPr>
                </m:sSubPr>
                <m:e>
                  <m:r>
                    <w:rPr>
                      <w:rFonts w:ascii="Cambria Math" w:hAnsi="Cambria Math"/>
                    </w:rPr>
                    <m:t>ϵ</m:t>
                  </m:r>
                </m:e>
                <m:sub>
                  <m:r>
                    <w:rPr>
                      <w:rFonts w:ascii="Cambria Math" w:hAnsi="Cambria Math"/>
                    </w:rPr>
                    <m:t>CP</m:t>
                  </m:r>
                </m:sub>
              </m:sSub>
              <m:r>
                <w:rPr>
                  <w:rFonts w:ascii="Cambria Math" w:hAnsi="Cambria Math"/>
                </w:rPr>
                <m:t>=100⋅</m:t>
              </m:r>
              <m:f>
                <m:fPr>
                  <m:ctrlPr>
                    <w:rPr>
                      <w:rFonts w:ascii="Cambria Math" w:hAnsi="Cambria Math"/>
                      <w:i/>
                    </w:rPr>
                  </m:ctrlPr>
                </m:fPr>
                <m:num>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low</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C</m:t>
                          </m:r>
                        </m:sub>
                      </m:sSub>
                    </m:e>
                  </m:d>
                </m:num>
                <m:den>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low</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low</m:t>
                          </m:r>
                        </m:sub>
                      </m:sSub>
                    </m:e>
                  </m:d>
                  <m:r>
                    <w:rPr>
                      <w:rFonts w:ascii="Cambria Math" w:hAnsi="Cambria Math"/>
                    </w:rPr>
                    <m:t xml:space="preserve"> </m:t>
                  </m:r>
                </m:den>
              </m:f>
            </m:oMath>
            <w:r w:rsidR="005C2029" w:rsidRPr="00B71D8D">
              <w:rPr>
                <w:rFonts w:ascii="Cambria Math" w:hAnsi="Cambria Math"/>
                <w:i/>
              </w:rPr>
              <w:t>.</w:t>
            </w:r>
          </w:p>
        </w:tc>
        <w:tc>
          <w:tcPr>
            <w:tcW w:w="804" w:type="dxa"/>
            <w:shd w:val="clear" w:color="auto" w:fill="auto"/>
            <w:vAlign w:val="center"/>
          </w:tcPr>
          <w:p w14:paraId="5978AD67" w14:textId="4374E973" w:rsidR="008433B8" w:rsidRPr="00B71D8D" w:rsidRDefault="008433B8" w:rsidP="00F36A40">
            <w:pPr>
              <w:pStyle w:val="CETEquation"/>
              <w:jc w:val="right"/>
            </w:pPr>
            <w:r w:rsidRPr="00B71D8D">
              <w:t>(</w:t>
            </w:r>
            <w:r w:rsidR="00814650" w:rsidRPr="00B71D8D">
              <w:fldChar w:fldCharType="begin"/>
            </w:r>
            <w:r w:rsidR="00814650" w:rsidRPr="00B71D8D">
              <w:instrText xml:space="preserve"> SEQ Equation \* ARABIC </w:instrText>
            </w:r>
            <w:r w:rsidR="00814650" w:rsidRPr="00B71D8D">
              <w:fldChar w:fldCharType="separate"/>
            </w:r>
            <w:r w:rsidR="005559CC" w:rsidRPr="00B71D8D">
              <w:rPr>
                <w:noProof/>
              </w:rPr>
              <w:t>9</w:t>
            </w:r>
            <w:r w:rsidR="00814650" w:rsidRPr="00B71D8D">
              <w:fldChar w:fldCharType="end"/>
            </w:r>
            <w:r w:rsidR="00837268" w:rsidRPr="00B71D8D">
              <w:t>)</w:t>
            </w:r>
          </w:p>
        </w:tc>
      </w:tr>
    </w:tbl>
    <w:p w14:paraId="531B22BC" w14:textId="500935E3" w:rsidR="00832AC3" w:rsidRPr="00B71D8D" w:rsidRDefault="00920404" w:rsidP="005C2029">
      <w:pPr>
        <w:pStyle w:val="CETBodytext"/>
        <w:rPr>
          <w:lang w:val="en-GB"/>
        </w:rPr>
      </w:pPr>
      <w:r w:rsidRPr="00B71D8D">
        <w:rPr>
          <w:lang w:val="en-GB"/>
        </w:rPr>
        <w:t xml:space="preserve">for the cooling phase (CP). </w:t>
      </w:r>
      <w:r w:rsidR="005C2029" w:rsidRPr="00B71D8D">
        <w:rPr>
          <w:lang w:val="en-GB"/>
        </w:rPr>
        <w:t>The evaluation of the heating phase</w:t>
      </w:r>
      <w:r w:rsidR="00870435" w:rsidRPr="00B71D8D">
        <w:rPr>
          <w:lang w:val="en-GB"/>
        </w:rPr>
        <w:t xml:space="preserve"> (</w:t>
      </w:r>
      <w:r w:rsidR="00E41E36" w:rsidRPr="00B71D8D">
        <w:rPr>
          <w:lang w:val="en-GB"/>
        </w:rPr>
        <w:t>HP)</w:t>
      </w:r>
      <w:r w:rsidR="005C2029" w:rsidRPr="00B71D8D">
        <w:rPr>
          <w:lang w:val="en-GB"/>
        </w:rPr>
        <w:t xml:space="preserve"> is similar. </w:t>
      </w:r>
      <w:r w:rsidR="00B73EE0" w:rsidRPr="00B71D8D">
        <w:rPr>
          <w:lang w:val="en-GB"/>
        </w:rPr>
        <w:t>The heat exchanger efficiency for one half-cycle with working fluid R134a operating at</w:t>
      </w:r>
      <w:r w:rsidR="00F26DE7" w:rsidRPr="00B71D8D">
        <w:rPr>
          <w:lang w:val="en-GB"/>
        </w:rPr>
        <w:t xml:space="preserve"> 0.125Hz</w:t>
      </w:r>
      <w:r w:rsidR="00B73EE0" w:rsidRPr="00B71D8D">
        <w:rPr>
          <w:lang w:val="en-GB"/>
        </w:rPr>
        <w:t xml:space="preserve"> is </w:t>
      </w:r>
      <w:r w:rsidR="00F822AD" w:rsidRPr="00B71D8D">
        <w:rPr>
          <w:lang w:val="en-GB"/>
        </w:rPr>
        <w:t>depicted</w:t>
      </w:r>
      <w:r w:rsidR="00B73EE0" w:rsidRPr="00B71D8D">
        <w:rPr>
          <w:lang w:val="en-GB"/>
        </w:rPr>
        <w:t xml:space="preserve"> in </w:t>
      </w:r>
      <w:r w:rsidR="00B73EE0" w:rsidRPr="00B71D8D">
        <w:rPr>
          <w:lang w:val="en-GB"/>
        </w:rPr>
        <w:fldChar w:fldCharType="begin"/>
      </w:r>
      <w:r w:rsidR="00B73EE0" w:rsidRPr="00B71D8D">
        <w:rPr>
          <w:lang w:val="en-GB"/>
        </w:rPr>
        <w:instrText xml:space="preserve"> REF _Ref98159237 \h </w:instrText>
      </w:r>
      <w:r w:rsidR="00AD4AE4" w:rsidRPr="00B71D8D">
        <w:rPr>
          <w:lang w:val="en-GB"/>
        </w:rPr>
        <w:instrText xml:space="preserve"> \* MERGEFORMAT </w:instrText>
      </w:r>
      <w:r w:rsidR="00B73EE0" w:rsidRPr="00B71D8D">
        <w:rPr>
          <w:lang w:val="en-GB"/>
        </w:rPr>
      </w:r>
      <w:r w:rsidR="00B73EE0" w:rsidRPr="00B71D8D">
        <w:rPr>
          <w:lang w:val="en-GB"/>
        </w:rPr>
        <w:fldChar w:fldCharType="separate"/>
      </w:r>
      <w:r w:rsidR="005559CC" w:rsidRPr="00B71D8D">
        <w:rPr>
          <w:lang w:val="en-GB"/>
        </w:rPr>
        <w:t xml:space="preserve">Figure </w:t>
      </w:r>
      <w:r w:rsidR="005559CC" w:rsidRPr="00B71D8D">
        <w:rPr>
          <w:noProof/>
          <w:lang w:val="en-GB"/>
        </w:rPr>
        <w:t>4</w:t>
      </w:r>
      <w:r w:rsidR="00B73EE0" w:rsidRPr="00B71D8D">
        <w:rPr>
          <w:lang w:val="en-GB"/>
        </w:rPr>
        <w:fldChar w:fldCharType="end"/>
      </w:r>
      <w:r w:rsidR="008D3DBA" w:rsidRPr="00B71D8D">
        <w:rPr>
          <w:lang w:val="en-GB"/>
        </w:rPr>
        <w:t>a</w:t>
      </w:r>
      <w:r w:rsidR="00B73EE0" w:rsidRPr="00B71D8D">
        <w:rPr>
          <w:lang w:val="en-GB"/>
        </w:rPr>
        <w:t>.</w:t>
      </w:r>
      <w:r w:rsidR="00F822AD" w:rsidRPr="00B71D8D">
        <w:rPr>
          <w:lang w:val="en-GB"/>
        </w:rPr>
        <w:t xml:space="preserve"> The solid blue line shows the efficiency of </w:t>
      </w:r>
      <w:r w:rsidR="00E41E36" w:rsidRPr="00B71D8D">
        <w:rPr>
          <w:lang w:val="en-GB"/>
        </w:rPr>
        <w:t>CP</w:t>
      </w:r>
      <w:r w:rsidR="00F822AD" w:rsidRPr="00B71D8D">
        <w:rPr>
          <w:lang w:val="en-GB"/>
        </w:rPr>
        <w:t xml:space="preserve"> (engine A) </w:t>
      </w:r>
      <w:r w:rsidR="00AD4AE4" w:rsidRPr="00B71D8D">
        <w:rPr>
          <w:lang w:val="en-GB"/>
        </w:rPr>
        <w:t xml:space="preserve">while </w:t>
      </w:r>
      <w:r w:rsidR="00F822AD" w:rsidRPr="00B71D8D">
        <w:rPr>
          <w:lang w:val="en-GB"/>
        </w:rPr>
        <w:t xml:space="preserve">the efficiency during the </w:t>
      </w:r>
      <w:r w:rsidR="00E41E36" w:rsidRPr="00B71D8D">
        <w:rPr>
          <w:lang w:val="en-GB"/>
        </w:rPr>
        <w:t>HP</w:t>
      </w:r>
      <w:r w:rsidR="00870435" w:rsidRPr="00B71D8D">
        <w:rPr>
          <w:lang w:val="en-GB"/>
        </w:rPr>
        <w:t xml:space="preserve"> </w:t>
      </w:r>
      <w:r w:rsidR="00F822AD" w:rsidRPr="00B71D8D">
        <w:rPr>
          <w:lang w:val="en-GB"/>
        </w:rPr>
        <w:t>(engine B) is given by the solid red line. The efficiency of the recuperation is represented by the blue and red dash line</w:t>
      </w:r>
      <w:r w:rsidR="00AD4AE4" w:rsidRPr="00B71D8D">
        <w:rPr>
          <w:lang w:val="en-GB"/>
        </w:rPr>
        <w:t>s</w:t>
      </w:r>
      <w:r w:rsidR="00F822AD" w:rsidRPr="00B71D8D">
        <w:rPr>
          <w:lang w:val="en-GB"/>
        </w:rPr>
        <w:t xml:space="preserve"> for </w:t>
      </w:r>
      <w:r w:rsidR="00E41E36" w:rsidRPr="00B71D8D">
        <w:rPr>
          <w:lang w:val="en-GB"/>
        </w:rPr>
        <w:t>CP</w:t>
      </w:r>
      <w:r w:rsidR="00870435" w:rsidRPr="00B71D8D">
        <w:rPr>
          <w:lang w:val="en-GB"/>
        </w:rPr>
        <w:t xml:space="preserve"> and </w:t>
      </w:r>
      <w:r w:rsidR="00E41E36" w:rsidRPr="00B71D8D">
        <w:rPr>
          <w:lang w:val="en-GB"/>
        </w:rPr>
        <w:t>HP</w:t>
      </w:r>
      <w:r w:rsidR="00F822AD" w:rsidRPr="00B71D8D">
        <w:rPr>
          <w:lang w:val="en-GB"/>
        </w:rPr>
        <w:t>, respectively.</w:t>
      </w:r>
      <w:r w:rsidR="00692877" w:rsidRPr="00B71D8D">
        <w:rPr>
          <w:lang w:val="en-GB"/>
        </w:rPr>
        <w:t xml:space="preserve"> </w:t>
      </w:r>
      <w:r w:rsidR="00687EAB" w:rsidRPr="00B71D8D">
        <w:rPr>
          <w:lang w:val="en-GB"/>
        </w:rPr>
        <w:t xml:space="preserve">Initially, the efficiency of both </w:t>
      </w:r>
      <w:r w:rsidR="0040235F" w:rsidRPr="00B71D8D">
        <w:rPr>
          <w:lang w:val="en-GB"/>
        </w:rPr>
        <w:t>HP</w:t>
      </w:r>
      <w:r w:rsidR="00870435" w:rsidRPr="00B71D8D">
        <w:rPr>
          <w:lang w:val="en-GB"/>
        </w:rPr>
        <w:t xml:space="preserve"> and </w:t>
      </w:r>
      <w:r w:rsidR="0040235F" w:rsidRPr="00B71D8D">
        <w:rPr>
          <w:lang w:val="en-GB"/>
        </w:rPr>
        <w:t>CP</w:t>
      </w:r>
      <w:r w:rsidR="00687EAB" w:rsidRPr="00B71D8D">
        <w:rPr>
          <w:lang w:val="en-GB"/>
        </w:rPr>
        <w:t xml:space="preserve"> </w:t>
      </w:r>
      <w:r w:rsidR="007E4698" w:rsidRPr="00B71D8D">
        <w:rPr>
          <w:lang w:val="en-GB"/>
        </w:rPr>
        <w:t xml:space="preserve">remains </w:t>
      </w:r>
      <w:r w:rsidR="00687EAB" w:rsidRPr="00B71D8D">
        <w:rPr>
          <w:lang w:val="en-GB"/>
        </w:rPr>
        <w:t>at</w:t>
      </w:r>
      <w:r w:rsidR="00F26DE7" w:rsidRPr="00B71D8D">
        <w:rPr>
          <w:lang w:val="en-GB"/>
        </w:rPr>
        <w:t xml:space="preserve"> 100%</w:t>
      </w:r>
      <w:r w:rsidR="00687EAB" w:rsidRPr="00B71D8D">
        <w:rPr>
          <w:lang w:val="en-GB"/>
        </w:rPr>
        <w:t xml:space="preserve"> for about </w:t>
      </w:r>
      <w:r w:rsidR="007E4698" w:rsidRPr="00B71D8D">
        <w:rPr>
          <w:lang w:val="en-GB"/>
        </w:rPr>
        <w:t xml:space="preserve">one </w:t>
      </w:r>
      <w:r w:rsidR="00687EAB" w:rsidRPr="00B71D8D">
        <w:rPr>
          <w:lang w:val="en-GB"/>
        </w:rPr>
        <w:t>second</w:t>
      </w:r>
      <w:r w:rsidR="007E4698" w:rsidRPr="00B71D8D">
        <w:rPr>
          <w:lang w:val="en-GB"/>
        </w:rPr>
        <w:t xml:space="preserve">, because </w:t>
      </w:r>
      <w:r w:rsidR="000E6ECA" w:rsidRPr="00B71D8D">
        <w:rPr>
          <w:lang w:val="en-GB"/>
        </w:rPr>
        <w:t xml:space="preserve">the heater and cooler </w:t>
      </w:r>
      <w:r w:rsidR="007E4698" w:rsidRPr="00B71D8D">
        <w:rPr>
          <w:lang w:val="en-GB"/>
        </w:rPr>
        <w:t xml:space="preserve">are </w:t>
      </w:r>
      <w:r w:rsidR="00BA4FEA" w:rsidRPr="00B71D8D">
        <w:rPr>
          <w:lang w:val="en-GB"/>
        </w:rPr>
        <w:t>initialised at heating/cooling agent temperature</w:t>
      </w:r>
      <w:r w:rsidR="007E4698" w:rsidRPr="00B71D8D">
        <w:rPr>
          <w:lang w:val="en-GB"/>
        </w:rPr>
        <w:t>s</w:t>
      </w:r>
      <w:r w:rsidR="00BA4FEA" w:rsidRPr="00B71D8D">
        <w:rPr>
          <w:lang w:val="en-GB"/>
        </w:rPr>
        <w:t xml:space="preserve"> </w:t>
      </w:r>
      <w:r w:rsidR="00687EAB" w:rsidRPr="00B71D8D">
        <w:rPr>
          <w:lang w:val="en-GB"/>
        </w:rPr>
        <w:t>and displacer movement</w:t>
      </w:r>
      <w:r w:rsidR="007E4698" w:rsidRPr="00B71D8D">
        <w:rPr>
          <w:lang w:val="en-GB"/>
        </w:rPr>
        <w:t xml:space="preserve"> is slow</w:t>
      </w:r>
      <w:r w:rsidR="00687EAB" w:rsidRPr="00B71D8D">
        <w:rPr>
          <w:lang w:val="en-GB"/>
        </w:rPr>
        <w:t xml:space="preserve">. </w:t>
      </w:r>
      <w:r w:rsidR="007E4698" w:rsidRPr="00B71D8D">
        <w:rPr>
          <w:lang w:val="en-GB"/>
        </w:rPr>
        <w:t xml:space="preserve">Afterwards, </w:t>
      </w:r>
      <w:r w:rsidR="00687EAB" w:rsidRPr="00B71D8D">
        <w:rPr>
          <w:lang w:val="en-GB"/>
        </w:rPr>
        <w:t>convection increase</w:t>
      </w:r>
      <w:r w:rsidR="000E6ECA" w:rsidRPr="00B71D8D">
        <w:rPr>
          <w:lang w:val="en-GB"/>
        </w:rPr>
        <w:t>s</w:t>
      </w:r>
      <w:r w:rsidR="00687EAB" w:rsidRPr="00B71D8D">
        <w:rPr>
          <w:lang w:val="en-GB"/>
        </w:rPr>
        <w:t xml:space="preserve"> with </w:t>
      </w:r>
      <w:r w:rsidR="007E4698" w:rsidRPr="00B71D8D">
        <w:rPr>
          <w:lang w:val="en-GB"/>
        </w:rPr>
        <w:t xml:space="preserve">higher </w:t>
      </w:r>
      <w:r w:rsidR="00BA4FEA" w:rsidRPr="00B71D8D">
        <w:rPr>
          <w:lang w:val="en-GB"/>
        </w:rPr>
        <w:t>displacer speed</w:t>
      </w:r>
      <w:r w:rsidR="00687EAB" w:rsidRPr="00B71D8D">
        <w:rPr>
          <w:lang w:val="en-GB"/>
        </w:rPr>
        <w:t xml:space="preserve">, bringing cold fluid to the hot side, which leads to </w:t>
      </w:r>
      <w:r w:rsidR="004F7FDA" w:rsidRPr="00B71D8D">
        <w:rPr>
          <w:lang w:val="en-GB"/>
        </w:rPr>
        <w:t xml:space="preserve">a </w:t>
      </w:r>
      <w:r w:rsidR="00687EAB" w:rsidRPr="00B71D8D">
        <w:rPr>
          <w:lang w:val="en-GB"/>
        </w:rPr>
        <w:t xml:space="preserve">decreased </w:t>
      </w:r>
      <w:r w:rsidR="004F7FDA" w:rsidRPr="00B71D8D">
        <w:rPr>
          <w:lang w:val="en-GB"/>
        </w:rPr>
        <w:t xml:space="preserve">HP </w:t>
      </w:r>
      <w:r w:rsidR="00687EAB" w:rsidRPr="00B71D8D">
        <w:rPr>
          <w:lang w:val="en-GB"/>
        </w:rPr>
        <w:t>efficienc</w:t>
      </w:r>
      <w:r w:rsidR="004F7FDA" w:rsidRPr="00B71D8D">
        <w:rPr>
          <w:lang w:val="en-GB"/>
        </w:rPr>
        <w:t>y</w:t>
      </w:r>
      <w:r w:rsidR="001411AF" w:rsidRPr="00B71D8D">
        <w:rPr>
          <w:lang w:val="en-GB"/>
        </w:rPr>
        <w:t xml:space="preserve"> in engine B</w:t>
      </w:r>
      <w:r w:rsidR="00687EAB" w:rsidRPr="00B71D8D">
        <w:rPr>
          <w:lang w:val="en-GB"/>
        </w:rPr>
        <w:t>.</w:t>
      </w:r>
      <w:r w:rsidR="001411AF" w:rsidRPr="00B71D8D">
        <w:rPr>
          <w:lang w:val="en-GB"/>
        </w:rPr>
        <w:t xml:space="preserve"> The CP efficiency of engine A reacts </w:t>
      </w:r>
      <w:r w:rsidR="00B7101F" w:rsidRPr="00B71D8D">
        <w:rPr>
          <w:lang w:val="en-GB"/>
        </w:rPr>
        <w:t>accordingly</w:t>
      </w:r>
      <w:r w:rsidR="001411AF" w:rsidRPr="00B71D8D">
        <w:rPr>
          <w:lang w:val="en-GB"/>
        </w:rPr>
        <w:t>.</w:t>
      </w:r>
      <w:r w:rsidR="00687EAB" w:rsidRPr="00B71D8D">
        <w:rPr>
          <w:lang w:val="en-GB"/>
        </w:rPr>
        <w:t xml:space="preserve"> </w:t>
      </w:r>
      <w:r w:rsidR="007C256D" w:rsidRPr="00B71D8D">
        <w:rPr>
          <w:lang w:val="en-GB"/>
        </w:rPr>
        <w:t xml:space="preserve">At 1.3s, the HP is at its lowest efficiency, </w:t>
      </w:r>
      <w:r w:rsidR="00544BD2" w:rsidRPr="00B71D8D">
        <w:rPr>
          <w:lang w:val="en-GB"/>
        </w:rPr>
        <w:t>because of</w:t>
      </w:r>
      <w:r w:rsidR="00B7101F" w:rsidRPr="00B71D8D">
        <w:rPr>
          <w:lang w:val="en-GB"/>
        </w:rPr>
        <w:t xml:space="preserve"> the reduced residence time</w:t>
      </w:r>
      <w:r w:rsidR="0061799C" w:rsidRPr="00B71D8D">
        <w:rPr>
          <w:lang w:val="en-GB"/>
        </w:rPr>
        <w:t xml:space="preserve">. </w:t>
      </w:r>
      <w:r w:rsidR="00945122" w:rsidRPr="00B71D8D">
        <w:rPr>
          <w:lang w:val="en-GB"/>
        </w:rPr>
        <w:t xml:space="preserve">At the end of the half-cycle, both </w:t>
      </w:r>
      <w:r w:rsidR="00B621C8" w:rsidRPr="00B71D8D">
        <w:rPr>
          <w:lang w:val="en-GB"/>
        </w:rPr>
        <w:t>CP</w:t>
      </w:r>
      <w:r w:rsidR="008913B5" w:rsidRPr="00B71D8D">
        <w:rPr>
          <w:lang w:val="en-GB"/>
        </w:rPr>
        <w:t xml:space="preserve"> and </w:t>
      </w:r>
      <w:r w:rsidR="00B621C8" w:rsidRPr="00B71D8D">
        <w:rPr>
          <w:lang w:val="en-GB"/>
        </w:rPr>
        <w:t>HP</w:t>
      </w:r>
      <w:r w:rsidR="00945122" w:rsidRPr="00B71D8D">
        <w:rPr>
          <w:lang w:val="en-GB"/>
        </w:rPr>
        <w:t xml:space="preserve"> </w:t>
      </w:r>
      <w:r w:rsidR="00375455" w:rsidRPr="00B71D8D">
        <w:rPr>
          <w:lang w:val="en-GB"/>
        </w:rPr>
        <w:t xml:space="preserve">efficiencies </w:t>
      </w:r>
      <w:r w:rsidR="00945122" w:rsidRPr="00B71D8D">
        <w:rPr>
          <w:lang w:val="en-GB"/>
        </w:rPr>
        <w:t>approach</w:t>
      </w:r>
      <w:r w:rsidR="00F26DE7" w:rsidRPr="00B71D8D">
        <w:rPr>
          <w:lang w:val="en-GB"/>
        </w:rPr>
        <w:t xml:space="preserve"> 100%</w:t>
      </w:r>
      <m:oMath>
        <m:r>
          <w:rPr>
            <w:rFonts w:ascii="Cambria Math" w:hAnsi="Cambria Math"/>
            <w:lang w:val="en-GB"/>
          </w:rPr>
          <m:t>.</m:t>
        </m:r>
      </m:oMath>
      <w:r w:rsidR="008D3DBA" w:rsidRPr="00B71D8D">
        <w:rPr>
          <w:lang w:val="en-GB"/>
        </w:rPr>
        <w:t xml:space="preserve"> </w:t>
      </w:r>
      <w:r w:rsidR="006D56FE" w:rsidRPr="00B71D8D">
        <w:rPr>
          <w:lang w:val="en-GB"/>
        </w:rPr>
        <w:fldChar w:fldCharType="begin"/>
      </w:r>
      <w:r w:rsidR="006D56FE" w:rsidRPr="00B71D8D">
        <w:rPr>
          <w:lang w:val="en-GB"/>
        </w:rPr>
        <w:instrText xml:space="preserve"> REF _Ref98159237 \h </w:instrText>
      </w:r>
      <w:r w:rsidR="00375455" w:rsidRPr="00B71D8D">
        <w:rPr>
          <w:lang w:val="en-GB"/>
        </w:rPr>
        <w:instrText xml:space="preserve"> \* MERGEFORMAT </w:instrText>
      </w:r>
      <w:r w:rsidR="006D56FE" w:rsidRPr="00B71D8D">
        <w:rPr>
          <w:lang w:val="en-GB"/>
        </w:rPr>
      </w:r>
      <w:r w:rsidR="006D56FE" w:rsidRPr="00B71D8D">
        <w:rPr>
          <w:lang w:val="en-GB"/>
        </w:rPr>
        <w:fldChar w:fldCharType="separate"/>
      </w:r>
      <w:r w:rsidR="005559CC" w:rsidRPr="00B71D8D">
        <w:rPr>
          <w:lang w:val="en-GB"/>
        </w:rPr>
        <w:t xml:space="preserve">Figure </w:t>
      </w:r>
      <w:r w:rsidR="005559CC" w:rsidRPr="00B71D8D">
        <w:rPr>
          <w:noProof/>
        </w:rPr>
        <w:t>4</w:t>
      </w:r>
      <w:r w:rsidR="006D56FE" w:rsidRPr="00B71D8D">
        <w:rPr>
          <w:lang w:val="en-GB"/>
        </w:rPr>
        <w:fldChar w:fldCharType="end"/>
      </w:r>
      <w:r w:rsidR="006D56FE" w:rsidRPr="00B71D8D">
        <w:rPr>
          <w:lang w:val="en-GB"/>
        </w:rPr>
        <w:t>b shows the heat exchanger efficienc</w:t>
      </w:r>
      <w:r w:rsidR="00375455" w:rsidRPr="00B71D8D">
        <w:rPr>
          <w:lang w:val="en-GB"/>
        </w:rPr>
        <w:t>ies</w:t>
      </w:r>
      <w:r w:rsidR="006D56FE" w:rsidRPr="00B71D8D">
        <w:rPr>
          <w:lang w:val="en-GB"/>
        </w:rPr>
        <w:t xml:space="preserve"> of the</w:t>
      </w:r>
      <w:r w:rsidR="00355625" w:rsidRPr="00B71D8D">
        <w:rPr>
          <w:lang w:val="en-GB"/>
        </w:rPr>
        <w:t xml:space="preserve"> </w:t>
      </w:r>
      <w:r w:rsidR="00B621C8" w:rsidRPr="00B71D8D">
        <w:rPr>
          <w:lang w:val="en-GB"/>
        </w:rPr>
        <w:t>HP</w:t>
      </w:r>
      <w:r w:rsidR="008913B5" w:rsidRPr="00B71D8D">
        <w:rPr>
          <w:lang w:val="en-GB"/>
        </w:rPr>
        <w:t xml:space="preserve"> </w:t>
      </w:r>
      <w:r w:rsidR="009B3128" w:rsidRPr="00B71D8D">
        <w:rPr>
          <w:lang w:val="en-GB"/>
        </w:rPr>
        <w:t xml:space="preserve">(red) and </w:t>
      </w:r>
      <w:r w:rsidR="00B621C8" w:rsidRPr="00B71D8D">
        <w:rPr>
          <w:lang w:val="en-GB"/>
        </w:rPr>
        <w:t>CP</w:t>
      </w:r>
      <w:r w:rsidR="008913B5" w:rsidRPr="00B71D8D">
        <w:rPr>
          <w:lang w:val="en-GB"/>
        </w:rPr>
        <w:t xml:space="preserve"> </w:t>
      </w:r>
      <w:r w:rsidR="009B3128" w:rsidRPr="00B71D8D">
        <w:rPr>
          <w:lang w:val="en-GB"/>
        </w:rPr>
        <w:t xml:space="preserve">(blue) </w:t>
      </w:r>
      <w:r w:rsidR="00BA4FEA" w:rsidRPr="00B71D8D">
        <w:rPr>
          <w:lang w:val="en-GB"/>
        </w:rPr>
        <w:t>at</w:t>
      </w:r>
      <w:r w:rsidR="009B3128" w:rsidRPr="00B71D8D">
        <w:rPr>
          <w:lang w:val="en-GB"/>
        </w:rPr>
        <w:t xml:space="preserve"> four different operating frequencies. The efficienc</w:t>
      </w:r>
      <w:r w:rsidR="000E6ECA" w:rsidRPr="00B71D8D">
        <w:rPr>
          <w:lang w:val="en-GB"/>
        </w:rPr>
        <w:t>ies were</w:t>
      </w:r>
      <w:r w:rsidR="009B3128" w:rsidRPr="00B71D8D">
        <w:rPr>
          <w:lang w:val="en-GB"/>
        </w:rPr>
        <w:t xml:space="preserve"> evaluated at the end of a half-cycle.</w:t>
      </w:r>
      <w:r w:rsidR="000E6ECA" w:rsidRPr="00B71D8D">
        <w:rPr>
          <w:lang w:val="en-GB"/>
        </w:rPr>
        <w:t xml:space="preserve"> The highest efficienc</w:t>
      </w:r>
      <w:r w:rsidR="00832AC3" w:rsidRPr="00B71D8D">
        <w:rPr>
          <w:lang w:val="en-GB"/>
        </w:rPr>
        <w:t>ies</w:t>
      </w:r>
      <w:r w:rsidR="000E6ECA" w:rsidRPr="00B71D8D">
        <w:rPr>
          <w:lang w:val="en-GB"/>
        </w:rPr>
        <w:t xml:space="preserve"> </w:t>
      </w:r>
      <w:r w:rsidR="00121EFA" w:rsidRPr="00B71D8D">
        <w:rPr>
          <w:lang w:val="en-GB"/>
        </w:rPr>
        <w:t>are</w:t>
      </w:r>
      <w:r w:rsidR="00832AC3" w:rsidRPr="00B71D8D">
        <w:rPr>
          <w:lang w:val="en-GB"/>
        </w:rPr>
        <w:t xml:space="preserve"> reached </w:t>
      </w:r>
      <w:r w:rsidR="00121EFA" w:rsidRPr="00B71D8D">
        <w:rPr>
          <w:lang w:val="en-GB"/>
        </w:rPr>
        <w:t>at</w:t>
      </w:r>
      <w:r w:rsidR="00832AC3" w:rsidRPr="00B71D8D">
        <w:rPr>
          <w:lang w:val="en-GB"/>
        </w:rPr>
        <w:t xml:space="preserve"> the lowest frequency of</w:t>
      </w:r>
      <w:r w:rsidR="00F26DE7" w:rsidRPr="00B71D8D">
        <w:rPr>
          <w:lang w:val="en-GB"/>
        </w:rPr>
        <w:t xml:space="preserve"> 1/8Hz</w:t>
      </w:r>
      <w:r w:rsidR="00832AC3" w:rsidRPr="00B71D8D">
        <w:rPr>
          <w:lang w:val="en-GB"/>
        </w:rPr>
        <w:t xml:space="preserve">, while the lowest efficiencies are observed for the fastest </w:t>
      </w:r>
      <w:r w:rsidR="00121EFA" w:rsidRPr="00B71D8D">
        <w:rPr>
          <w:lang w:val="en-GB"/>
        </w:rPr>
        <w:t xml:space="preserve">displacer movement </w:t>
      </w:r>
      <w:r w:rsidR="00832AC3" w:rsidRPr="00B71D8D">
        <w:rPr>
          <w:lang w:val="en-GB"/>
        </w:rPr>
        <w:t>at</w:t>
      </w:r>
      <w:r w:rsidR="00F26DE7" w:rsidRPr="00B71D8D">
        <w:rPr>
          <w:lang w:val="en-GB"/>
        </w:rPr>
        <w:t xml:space="preserve"> 1Hz</w:t>
      </w:r>
      <w:r w:rsidR="00832AC3" w:rsidRPr="00B71D8D">
        <w:rPr>
          <w:lang w:val="en-GB"/>
        </w:rPr>
        <w:t>.</w:t>
      </w:r>
      <w:r w:rsidR="00254631" w:rsidRPr="00B71D8D">
        <w:rPr>
          <w:lang w:val="en-GB"/>
        </w:rPr>
        <w:t xml:space="preserve"> It </w:t>
      </w:r>
      <w:r w:rsidR="00375455" w:rsidRPr="00B71D8D">
        <w:rPr>
          <w:lang w:val="en-GB"/>
        </w:rPr>
        <w:t xml:space="preserve">is visible </w:t>
      </w:r>
      <w:r w:rsidR="00254631" w:rsidRPr="00B71D8D">
        <w:rPr>
          <w:lang w:val="en-GB"/>
        </w:rPr>
        <w:t xml:space="preserve">that the reduction of the </w:t>
      </w:r>
      <w:r w:rsidR="00B621C8" w:rsidRPr="00B71D8D">
        <w:rPr>
          <w:lang w:val="en-GB"/>
        </w:rPr>
        <w:t>HP</w:t>
      </w:r>
      <w:r w:rsidR="00254631" w:rsidRPr="00B71D8D">
        <w:rPr>
          <w:lang w:val="en-GB"/>
        </w:rPr>
        <w:t xml:space="preserve"> efficiency</w:t>
      </w:r>
      <w:r w:rsidR="00F4446A" w:rsidRPr="00B71D8D">
        <w:rPr>
          <w:lang w:val="en-GB"/>
        </w:rPr>
        <w:t xml:space="preserve">, </w:t>
      </w:r>
      <w:r w:rsidR="00375455" w:rsidRPr="00B71D8D">
        <w:rPr>
          <w:lang w:val="en-GB"/>
        </w:rPr>
        <w:t xml:space="preserve">dropping </w:t>
      </w:r>
      <w:r w:rsidR="00F4446A" w:rsidRPr="00B71D8D">
        <w:rPr>
          <w:lang w:val="en-GB"/>
        </w:rPr>
        <w:t>from</w:t>
      </w:r>
      <w:r w:rsidR="00F26DE7" w:rsidRPr="00B71D8D">
        <w:rPr>
          <w:lang w:val="en-GB"/>
        </w:rPr>
        <w:t xml:space="preserve"> 98%</w:t>
      </w:r>
      <w:r w:rsidR="00F4446A" w:rsidRPr="00B71D8D">
        <w:rPr>
          <w:lang w:val="en-GB"/>
        </w:rPr>
        <w:t xml:space="preserve"> to</w:t>
      </w:r>
      <w:r w:rsidR="00F26DE7" w:rsidRPr="00B71D8D">
        <w:rPr>
          <w:lang w:val="en-GB"/>
        </w:rPr>
        <w:t xml:space="preserve"> 58%</w:t>
      </w:r>
      <w:r w:rsidR="00F4446A" w:rsidRPr="00B71D8D">
        <w:rPr>
          <w:lang w:val="en-GB"/>
        </w:rPr>
        <w:t xml:space="preserve">, is lower than </w:t>
      </w:r>
      <w:r w:rsidR="00375455" w:rsidRPr="00B71D8D">
        <w:rPr>
          <w:lang w:val="en-GB"/>
        </w:rPr>
        <w:t xml:space="preserve">that </w:t>
      </w:r>
      <w:r w:rsidR="008913B5" w:rsidRPr="00B71D8D">
        <w:rPr>
          <w:lang w:val="en-GB"/>
        </w:rPr>
        <w:t xml:space="preserve">of </w:t>
      </w:r>
      <w:r w:rsidR="00B621C8" w:rsidRPr="00B71D8D">
        <w:rPr>
          <w:lang w:val="en-GB"/>
        </w:rPr>
        <w:t>CP</w:t>
      </w:r>
      <w:r w:rsidR="00F4446A" w:rsidRPr="00B71D8D">
        <w:rPr>
          <w:lang w:val="en-GB"/>
        </w:rPr>
        <w:t xml:space="preserve">, </w:t>
      </w:r>
      <w:r w:rsidR="00375455" w:rsidRPr="00B71D8D">
        <w:rPr>
          <w:lang w:val="en-GB"/>
        </w:rPr>
        <w:t xml:space="preserve">decreasing </w:t>
      </w:r>
      <w:r w:rsidR="00F4446A" w:rsidRPr="00B71D8D">
        <w:rPr>
          <w:lang w:val="en-GB"/>
        </w:rPr>
        <w:t>from</w:t>
      </w:r>
      <w:r w:rsidR="00F26DE7" w:rsidRPr="00B71D8D">
        <w:rPr>
          <w:lang w:val="en-GB"/>
        </w:rPr>
        <w:t xml:space="preserve"> 99%</w:t>
      </w:r>
      <w:r w:rsidR="00F4446A" w:rsidRPr="00B71D8D">
        <w:rPr>
          <w:lang w:val="en-GB"/>
        </w:rPr>
        <w:t xml:space="preserve"> to</w:t>
      </w:r>
      <w:r w:rsidR="00F26DE7" w:rsidRPr="00B71D8D">
        <w:rPr>
          <w:lang w:val="en-GB"/>
        </w:rPr>
        <w:t xml:space="preserve"> 36%</w:t>
      </w:r>
      <w:r w:rsidR="00254631" w:rsidRPr="00B71D8D">
        <w:rPr>
          <w:lang w:val="en-GB"/>
        </w:rPr>
        <w:t>.</w:t>
      </w:r>
    </w:p>
    <w:tbl>
      <w:tblPr>
        <w:tblStyle w:val="Tabellenraster"/>
        <w:tblW w:w="89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5"/>
        <w:gridCol w:w="4466"/>
      </w:tblGrid>
      <w:tr w:rsidR="00E921F5" w:rsidRPr="00B71D8D" w14:paraId="530AEB77" w14:textId="77777777" w:rsidTr="00973CA4">
        <w:trPr>
          <w:trHeight w:val="2409"/>
        </w:trPr>
        <w:tc>
          <w:tcPr>
            <w:tcW w:w="4465" w:type="dxa"/>
          </w:tcPr>
          <w:p w14:paraId="19D9ECDA" w14:textId="11E7B586" w:rsidR="00E921F5" w:rsidRPr="00B71D8D" w:rsidRDefault="00973CA4" w:rsidP="00F36A40">
            <w:pPr>
              <w:pStyle w:val="CETBodytext"/>
              <w:keepNext/>
              <w:spacing w:before="240"/>
              <w:jc w:val="left"/>
              <w:rPr>
                <w:lang w:val="en-GB"/>
              </w:rPr>
            </w:pPr>
            <w:r w:rsidRPr="00B71D8D">
              <w:rPr>
                <w:noProof/>
                <w:lang w:val="en-GB"/>
              </w:rPr>
              <w:drawing>
                <wp:anchor distT="0" distB="0" distL="114300" distR="114300" simplePos="0" relativeHeight="251640320" behindDoc="0" locked="0" layoutInCell="1" allowOverlap="1" wp14:anchorId="1D693EC0" wp14:editId="7F240A57">
                  <wp:simplePos x="0" y="0"/>
                  <wp:positionH relativeFrom="column">
                    <wp:posOffset>154235</wp:posOffset>
                  </wp:positionH>
                  <wp:positionV relativeFrom="paragraph">
                    <wp:posOffset>146368</wp:posOffset>
                  </wp:positionV>
                  <wp:extent cx="2590941" cy="1390015"/>
                  <wp:effectExtent l="0" t="0" r="0" b="63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9"/>
                          <a:stretch>
                            <a:fillRect/>
                          </a:stretch>
                        </pic:blipFill>
                        <pic:spPr>
                          <a:xfrm>
                            <a:off x="0" y="0"/>
                            <a:ext cx="2590941" cy="1390015"/>
                          </a:xfrm>
                          <a:prstGeom prst="rect">
                            <a:avLst/>
                          </a:prstGeom>
                        </pic:spPr>
                      </pic:pic>
                    </a:graphicData>
                  </a:graphic>
                  <wp14:sizeRelH relativeFrom="margin">
                    <wp14:pctWidth>0</wp14:pctWidth>
                  </wp14:sizeRelH>
                  <wp14:sizeRelV relativeFrom="margin">
                    <wp14:pctHeight>0</wp14:pctHeight>
                  </wp14:sizeRelV>
                </wp:anchor>
              </w:drawing>
            </w:r>
            <w:r w:rsidR="00E921F5" w:rsidRPr="00B71D8D">
              <w:rPr>
                <w:lang w:val="en-GB"/>
              </w:rPr>
              <w:t>a)</w:t>
            </w:r>
          </w:p>
          <w:p w14:paraId="586035F2" w14:textId="70E957A1" w:rsidR="00E921F5" w:rsidRPr="00B71D8D" w:rsidRDefault="00E921F5" w:rsidP="00F36A40">
            <w:pPr>
              <w:pStyle w:val="CETBodytext"/>
              <w:spacing w:before="240"/>
              <w:rPr>
                <w:lang w:val="en-GB"/>
              </w:rPr>
            </w:pPr>
          </w:p>
          <w:p w14:paraId="7E025B14" w14:textId="77777777" w:rsidR="00E921F5" w:rsidRPr="00B71D8D" w:rsidRDefault="00E921F5" w:rsidP="00F36A40">
            <w:pPr>
              <w:pStyle w:val="CETBodytext"/>
              <w:spacing w:before="240"/>
              <w:rPr>
                <w:lang w:val="en-GB"/>
              </w:rPr>
            </w:pPr>
          </w:p>
          <w:p w14:paraId="3B6D0A1F" w14:textId="77777777" w:rsidR="00E921F5" w:rsidRPr="00B71D8D" w:rsidRDefault="00E921F5" w:rsidP="00F36A40">
            <w:pPr>
              <w:pStyle w:val="CETBodytext"/>
              <w:spacing w:before="240"/>
              <w:rPr>
                <w:lang w:val="en-GB"/>
              </w:rPr>
            </w:pPr>
          </w:p>
          <w:p w14:paraId="612A2AD7" w14:textId="77777777" w:rsidR="00E921F5" w:rsidRPr="00B71D8D" w:rsidRDefault="00E921F5" w:rsidP="00F36A40">
            <w:pPr>
              <w:pStyle w:val="CETBodytext"/>
              <w:tabs>
                <w:tab w:val="clear" w:pos="7100"/>
                <w:tab w:val="left" w:pos="3373"/>
              </w:tabs>
              <w:spacing w:before="240"/>
              <w:rPr>
                <w:lang w:val="en-GB"/>
              </w:rPr>
            </w:pPr>
            <w:r w:rsidRPr="00B71D8D">
              <w:rPr>
                <w:lang w:val="en-GB"/>
              </w:rPr>
              <w:tab/>
            </w:r>
          </w:p>
        </w:tc>
        <w:tc>
          <w:tcPr>
            <w:tcW w:w="4466" w:type="dxa"/>
          </w:tcPr>
          <w:p w14:paraId="29BA634E" w14:textId="44873421" w:rsidR="00E921F5" w:rsidRPr="00B71D8D" w:rsidRDefault="00870435" w:rsidP="00F36A40">
            <w:pPr>
              <w:pStyle w:val="CETBodytext"/>
              <w:spacing w:before="240"/>
              <w:rPr>
                <w:lang w:val="en-GB"/>
              </w:rPr>
            </w:pPr>
            <w:r w:rsidRPr="00B71D8D">
              <w:rPr>
                <w:noProof/>
                <w:lang w:val="en-GB"/>
              </w:rPr>
              <w:drawing>
                <wp:anchor distT="0" distB="0" distL="114300" distR="114300" simplePos="0" relativeHeight="251662848" behindDoc="0" locked="0" layoutInCell="1" allowOverlap="1" wp14:anchorId="1401E908" wp14:editId="629FA93A">
                  <wp:simplePos x="0" y="0"/>
                  <wp:positionH relativeFrom="column">
                    <wp:posOffset>218440</wp:posOffset>
                  </wp:positionH>
                  <wp:positionV relativeFrom="paragraph">
                    <wp:posOffset>140652</wp:posOffset>
                  </wp:positionV>
                  <wp:extent cx="2409825" cy="139509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stretch>
                            <a:fillRect/>
                          </a:stretch>
                        </pic:blipFill>
                        <pic:spPr>
                          <a:xfrm>
                            <a:off x="0" y="0"/>
                            <a:ext cx="2409825" cy="1395095"/>
                          </a:xfrm>
                          <a:prstGeom prst="rect">
                            <a:avLst/>
                          </a:prstGeom>
                        </pic:spPr>
                      </pic:pic>
                    </a:graphicData>
                  </a:graphic>
                  <wp14:sizeRelH relativeFrom="margin">
                    <wp14:pctWidth>0</wp14:pctWidth>
                  </wp14:sizeRelH>
                  <wp14:sizeRelV relativeFrom="margin">
                    <wp14:pctHeight>0</wp14:pctHeight>
                  </wp14:sizeRelV>
                </wp:anchor>
              </w:drawing>
            </w:r>
            <w:r w:rsidR="00E921F5" w:rsidRPr="00B71D8D">
              <w:rPr>
                <w:lang w:val="en-GB"/>
              </w:rPr>
              <w:t>b)</w:t>
            </w:r>
          </w:p>
          <w:p w14:paraId="6E808212" w14:textId="7C0090A3" w:rsidR="00E921F5" w:rsidRPr="00B71D8D" w:rsidRDefault="00E921F5" w:rsidP="00F36A40">
            <w:pPr>
              <w:pStyle w:val="CETBodytext"/>
              <w:spacing w:before="240"/>
              <w:rPr>
                <w:lang w:val="en-GB"/>
              </w:rPr>
            </w:pPr>
          </w:p>
        </w:tc>
      </w:tr>
      <w:tr w:rsidR="00E921F5" w:rsidRPr="00B71D8D" w14:paraId="1F4B6BA8" w14:textId="77777777" w:rsidTr="00F36A40">
        <w:trPr>
          <w:trHeight w:val="567"/>
        </w:trPr>
        <w:tc>
          <w:tcPr>
            <w:tcW w:w="8931" w:type="dxa"/>
            <w:gridSpan w:val="2"/>
          </w:tcPr>
          <w:p w14:paraId="64F8290B" w14:textId="457B2723" w:rsidR="00E921F5" w:rsidRPr="00B71D8D" w:rsidRDefault="00E921F5" w:rsidP="00F36A40">
            <w:pPr>
              <w:pStyle w:val="CETCaption"/>
            </w:pPr>
            <w:bookmarkStart w:id="7" w:name="_Ref98159237"/>
            <w:r w:rsidRPr="00B71D8D">
              <w:t xml:space="preserve">Figure </w:t>
            </w:r>
            <w:r w:rsidRPr="00B71D8D">
              <w:fldChar w:fldCharType="begin"/>
            </w:r>
            <w:r w:rsidRPr="00B71D8D">
              <w:instrText xml:space="preserve"> SEQ Figure \* ARABIC </w:instrText>
            </w:r>
            <w:r w:rsidRPr="00B71D8D">
              <w:fldChar w:fldCharType="separate"/>
            </w:r>
            <w:r w:rsidR="005559CC" w:rsidRPr="00B71D8D">
              <w:rPr>
                <w:noProof/>
              </w:rPr>
              <w:t>4</w:t>
            </w:r>
            <w:r w:rsidRPr="00B71D8D">
              <w:fldChar w:fldCharType="end"/>
            </w:r>
            <w:bookmarkEnd w:id="7"/>
            <w:r w:rsidRPr="00B71D8D">
              <w:t>: Heat exchanger efficiency for working fluid R134a operating at</w:t>
            </w:r>
            <w:r w:rsidR="00F26DE7" w:rsidRPr="00B71D8D">
              <w:t xml:space="preserve"> 0.125Hz</w:t>
            </w:r>
            <w:r w:rsidRPr="00B71D8D">
              <w:t xml:space="preserve"> </w:t>
            </w:r>
            <w:r w:rsidR="00B02C07" w:rsidRPr="00B71D8D">
              <w:t>(</w:t>
            </w:r>
            <w:r w:rsidRPr="00B71D8D">
              <w:t xml:space="preserve">a) and the heat exchanger </w:t>
            </w:r>
            <w:r w:rsidR="003A64E6" w:rsidRPr="00B71D8D">
              <w:t xml:space="preserve">efficiencies </w:t>
            </w:r>
            <w:r w:rsidR="00CD751B" w:rsidRPr="00B71D8D">
              <w:t>at the end of a half-cycle for</w:t>
            </w:r>
            <w:r w:rsidRPr="00B71D8D">
              <w:t xml:space="preserve"> four different frequencies </w:t>
            </w:r>
            <w:r w:rsidR="00B02C07" w:rsidRPr="00B71D8D">
              <w:t>(</w:t>
            </w:r>
            <w:r w:rsidRPr="00B71D8D">
              <w:t>b).</w:t>
            </w:r>
          </w:p>
        </w:tc>
      </w:tr>
      <w:tr w:rsidR="00734F93" w:rsidRPr="00B71D8D" w14:paraId="10BD8153" w14:textId="77777777" w:rsidTr="00B00F50">
        <w:trPr>
          <w:trHeight w:val="2381"/>
        </w:trPr>
        <w:tc>
          <w:tcPr>
            <w:tcW w:w="4465" w:type="dxa"/>
          </w:tcPr>
          <w:p w14:paraId="2BE6C2E4" w14:textId="448D59A0" w:rsidR="00734F93" w:rsidRPr="00B71D8D" w:rsidRDefault="00870435" w:rsidP="00B00F50">
            <w:pPr>
              <w:pStyle w:val="CETBodytext"/>
              <w:keepNext/>
              <w:spacing w:before="240"/>
              <w:jc w:val="left"/>
              <w:rPr>
                <w:lang w:val="en-GB"/>
              </w:rPr>
            </w:pPr>
            <w:r w:rsidRPr="00B71D8D">
              <w:rPr>
                <w:noProof/>
                <w:lang w:val="en-GB"/>
              </w:rPr>
              <w:drawing>
                <wp:anchor distT="0" distB="0" distL="114300" distR="114300" simplePos="0" relativeHeight="251682304" behindDoc="0" locked="0" layoutInCell="1" allowOverlap="1" wp14:anchorId="1B04408F" wp14:editId="057CBCF5">
                  <wp:simplePos x="0" y="0"/>
                  <wp:positionH relativeFrom="column">
                    <wp:posOffset>141395</wp:posOffset>
                  </wp:positionH>
                  <wp:positionV relativeFrom="paragraph">
                    <wp:posOffset>138866</wp:posOffset>
                  </wp:positionV>
                  <wp:extent cx="2590941" cy="1390015"/>
                  <wp:effectExtent l="0" t="0" r="0" b="63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1"/>
                          <a:stretch>
                            <a:fillRect/>
                          </a:stretch>
                        </pic:blipFill>
                        <pic:spPr>
                          <a:xfrm>
                            <a:off x="0" y="0"/>
                            <a:ext cx="2590941" cy="1390015"/>
                          </a:xfrm>
                          <a:prstGeom prst="rect">
                            <a:avLst/>
                          </a:prstGeom>
                        </pic:spPr>
                      </pic:pic>
                    </a:graphicData>
                  </a:graphic>
                  <wp14:sizeRelH relativeFrom="margin">
                    <wp14:pctWidth>0</wp14:pctWidth>
                  </wp14:sizeRelH>
                  <wp14:sizeRelV relativeFrom="margin">
                    <wp14:pctHeight>0</wp14:pctHeight>
                  </wp14:sizeRelV>
                </wp:anchor>
              </w:drawing>
            </w:r>
            <w:r w:rsidR="00734F93" w:rsidRPr="00B71D8D">
              <w:rPr>
                <w:lang w:val="en-GB"/>
              </w:rPr>
              <w:t>a)</w:t>
            </w:r>
            <w:r w:rsidR="00734F93" w:rsidRPr="00B71D8D">
              <w:rPr>
                <w:lang w:val="en-GB"/>
              </w:rPr>
              <w:tab/>
            </w:r>
          </w:p>
        </w:tc>
        <w:tc>
          <w:tcPr>
            <w:tcW w:w="4466" w:type="dxa"/>
          </w:tcPr>
          <w:p w14:paraId="0849C2A9" w14:textId="19A0B004" w:rsidR="00734F93" w:rsidRPr="00B71D8D" w:rsidRDefault="00870435" w:rsidP="00B00F50">
            <w:pPr>
              <w:pStyle w:val="CETBodytext"/>
              <w:spacing w:before="240"/>
              <w:rPr>
                <w:lang w:val="en-GB"/>
              </w:rPr>
            </w:pPr>
            <w:r w:rsidRPr="00B71D8D">
              <w:rPr>
                <w:noProof/>
                <w:lang w:val="en-GB"/>
              </w:rPr>
              <w:drawing>
                <wp:anchor distT="0" distB="0" distL="114300" distR="114300" simplePos="0" relativeHeight="251700736" behindDoc="0" locked="0" layoutInCell="1" allowOverlap="1" wp14:anchorId="07D5A04A" wp14:editId="06065654">
                  <wp:simplePos x="0" y="0"/>
                  <wp:positionH relativeFrom="column">
                    <wp:posOffset>216855</wp:posOffset>
                  </wp:positionH>
                  <wp:positionV relativeFrom="paragraph">
                    <wp:posOffset>140032</wp:posOffset>
                  </wp:positionV>
                  <wp:extent cx="2409825" cy="139509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22"/>
                          <a:stretch>
                            <a:fillRect/>
                          </a:stretch>
                        </pic:blipFill>
                        <pic:spPr>
                          <a:xfrm>
                            <a:off x="0" y="0"/>
                            <a:ext cx="2409825" cy="1395095"/>
                          </a:xfrm>
                          <a:prstGeom prst="rect">
                            <a:avLst/>
                          </a:prstGeom>
                        </pic:spPr>
                      </pic:pic>
                    </a:graphicData>
                  </a:graphic>
                  <wp14:sizeRelH relativeFrom="margin">
                    <wp14:pctWidth>0</wp14:pctWidth>
                  </wp14:sizeRelH>
                  <wp14:sizeRelV relativeFrom="margin">
                    <wp14:pctHeight>0</wp14:pctHeight>
                  </wp14:sizeRelV>
                </wp:anchor>
              </w:drawing>
            </w:r>
            <w:r w:rsidR="00734F93" w:rsidRPr="00B71D8D">
              <w:rPr>
                <w:lang w:val="en-GB"/>
              </w:rPr>
              <w:t>b)</w:t>
            </w:r>
          </w:p>
        </w:tc>
      </w:tr>
      <w:tr w:rsidR="0031749C" w:rsidRPr="00B71D8D" w14:paraId="79CADA4E" w14:textId="77777777" w:rsidTr="00F36A40">
        <w:trPr>
          <w:trHeight w:val="567"/>
        </w:trPr>
        <w:tc>
          <w:tcPr>
            <w:tcW w:w="8931" w:type="dxa"/>
            <w:gridSpan w:val="2"/>
          </w:tcPr>
          <w:p w14:paraId="5116FBE8" w14:textId="57E9F700" w:rsidR="0031749C" w:rsidRPr="00B71D8D" w:rsidRDefault="0031749C" w:rsidP="00AA60CC">
            <w:pPr>
              <w:pStyle w:val="CETCaption"/>
              <w:spacing w:after="0"/>
            </w:pPr>
            <w:bookmarkStart w:id="8" w:name="_Ref98443216"/>
            <w:r w:rsidRPr="00B71D8D">
              <w:t xml:space="preserve">Figure </w:t>
            </w:r>
            <w:r w:rsidRPr="00B71D8D">
              <w:fldChar w:fldCharType="begin"/>
            </w:r>
            <w:r w:rsidRPr="00B71D8D">
              <w:instrText xml:space="preserve"> SEQ Figure \* ARABIC </w:instrText>
            </w:r>
            <w:r w:rsidRPr="00B71D8D">
              <w:fldChar w:fldCharType="separate"/>
            </w:r>
            <w:r w:rsidR="005559CC" w:rsidRPr="00B71D8D">
              <w:rPr>
                <w:noProof/>
              </w:rPr>
              <w:t>5</w:t>
            </w:r>
            <w:r w:rsidRPr="00B71D8D">
              <w:fldChar w:fldCharType="end"/>
            </w:r>
            <w:bookmarkEnd w:id="8"/>
            <w:r w:rsidRPr="00B71D8D">
              <w:t>: Heat exchanger efficiency for carbon dioxide operating at</w:t>
            </w:r>
            <w:r w:rsidR="00F26DE7" w:rsidRPr="00B71D8D">
              <w:t xml:space="preserve"> 0.125Hz</w:t>
            </w:r>
            <w:r w:rsidRPr="00B71D8D">
              <w:t xml:space="preserve"> </w:t>
            </w:r>
            <w:r w:rsidR="00B02C07" w:rsidRPr="00B71D8D">
              <w:t>(</w:t>
            </w:r>
            <w:r w:rsidRPr="00B71D8D">
              <w:t xml:space="preserve">a) and the heat exchanger </w:t>
            </w:r>
            <w:r w:rsidR="00710B3B" w:rsidRPr="00B71D8D">
              <w:t xml:space="preserve">efficiencies </w:t>
            </w:r>
            <w:r w:rsidRPr="00B71D8D">
              <w:t xml:space="preserve">for four different frequencies </w:t>
            </w:r>
            <w:r w:rsidR="00B02C07" w:rsidRPr="00B71D8D">
              <w:t>(</w:t>
            </w:r>
            <w:r w:rsidRPr="00B71D8D">
              <w:t>b).</w:t>
            </w:r>
          </w:p>
        </w:tc>
      </w:tr>
    </w:tbl>
    <w:p w14:paraId="7CE53C39" w14:textId="77777777" w:rsidR="00484550" w:rsidRPr="00B71D8D" w:rsidRDefault="00484550" w:rsidP="00484550">
      <w:pPr>
        <w:pStyle w:val="CETBodytext"/>
        <w:rPr>
          <w:lang w:val="en-GB"/>
        </w:rPr>
      </w:pPr>
      <w:r w:rsidRPr="00B71D8D">
        <w:rPr>
          <w:lang w:val="en-GB"/>
        </w:rPr>
        <w:fldChar w:fldCharType="begin"/>
      </w:r>
      <w:r w:rsidRPr="00B71D8D">
        <w:rPr>
          <w:lang w:val="en-GB"/>
        </w:rPr>
        <w:instrText xml:space="preserve"> REF _Ref98443216 \h  \* MERGEFORMAT </w:instrText>
      </w:r>
      <w:r w:rsidRPr="00B71D8D">
        <w:rPr>
          <w:lang w:val="en-GB"/>
        </w:rPr>
      </w:r>
      <w:r w:rsidRPr="00B71D8D">
        <w:rPr>
          <w:lang w:val="en-GB"/>
        </w:rPr>
        <w:fldChar w:fldCharType="separate"/>
      </w:r>
      <w:r w:rsidRPr="00B71D8D">
        <w:rPr>
          <w:lang w:val="en-GB"/>
        </w:rPr>
        <w:t>Figure 5</w:t>
      </w:r>
      <w:r w:rsidRPr="00B71D8D">
        <w:rPr>
          <w:lang w:val="en-GB"/>
        </w:rPr>
        <w:fldChar w:fldCharType="end"/>
      </w:r>
      <w:r w:rsidRPr="00B71D8D">
        <w:rPr>
          <w:lang w:val="en-GB"/>
        </w:rPr>
        <w:t xml:space="preserve">a depicts the heat exchanger efficiency of a recuperative half-cycle with working fluid carbon dioxide operating at 0.125Hz. In contrast to the refrigerant R134a, the high pressure level in this case is above the fluid critical pressure. Both the CP (blue) and HP (red) efficiency arrive at their minimum after the maximum displacer speed is reached at 2s. While the displacer slows down in the interval between 2s and 4s, the efficiencies of CP and HP increase until they reach their final level at 97% and 99%, respectively. The efficiencies of the recuperation increase during the first 1.5s. This is attributed to the hot fluid entering the recuperator from the heater in engine A providing heat for the HP in engine B. Similar effects were obtained for R134a. At the end of the half-cycle, the recuperation efficiencies reach 36% for CP and 54% for HP, which are at a higher level than in the case of R134a. </w:t>
      </w:r>
    </w:p>
    <w:p w14:paraId="0052A088" w14:textId="336883FE" w:rsidR="00484550" w:rsidRPr="00B71D8D" w:rsidRDefault="00484550" w:rsidP="00484550">
      <w:pPr>
        <w:pStyle w:val="CETBodytext"/>
        <w:rPr>
          <w:lang w:val="en-GB"/>
        </w:rPr>
      </w:pPr>
      <w:r w:rsidRPr="00B71D8D">
        <w:rPr>
          <w:lang w:val="en-GB"/>
        </w:rPr>
        <w:t xml:space="preserve">The heat exchanger efficiencies of CP and HP for four different frequencies are shown in </w:t>
      </w:r>
      <w:r w:rsidRPr="00B71D8D">
        <w:rPr>
          <w:lang w:val="en-GB"/>
        </w:rPr>
        <w:fldChar w:fldCharType="begin"/>
      </w:r>
      <w:r w:rsidRPr="00B71D8D">
        <w:rPr>
          <w:lang w:val="en-GB"/>
        </w:rPr>
        <w:instrText xml:space="preserve"> REF _Ref98443216 \h  \* MERGEFORMAT </w:instrText>
      </w:r>
      <w:r w:rsidRPr="00B71D8D">
        <w:rPr>
          <w:lang w:val="en-GB"/>
        </w:rPr>
      </w:r>
      <w:r w:rsidRPr="00B71D8D">
        <w:rPr>
          <w:lang w:val="en-GB"/>
        </w:rPr>
        <w:fldChar w:fldCharType="separate"/>
      </w:r>
      <w:r w:rsidRPr="00B71D8D">
        <w:rPr>
          <w:lang w:val="en-GB"/>
        </w:rPr>
        <w:t>Figure 5</w:t>
      </w:r>
      <w:r w:rsidRPr="00B71D8D">
        <w:rPr>
          <w:lang w:val="en-GB"/>
        </w:rPr>
        <w:fldChar w:fldCharType="end"/>
      </w:r>
      <w:r w:rsidRPr="00B71D8D">
        <w:rPr>
          <w:lang w:val="en-GB"/>
        </w:rPr>
        <w:t xml:space="preserve">b. Generally, an efficiency decrease with rising frequencies is observed, although this decrease is not as significant as for </w:t>
      </w:r>
      <w:r w:rsidRPr="00B71D8D">
        <w:rPr>
          <w:lang w:val="en-GB"/>
        </w:rPr>
        <w:lastRenderedPageBreak/>
        <w:t>R134a. In particular, the efficiency drop of the heating phase is lower, which is attributed to the enhanced heat transfer and better recuperation with carbon dioxide.</w:t>
      </w:r>
    </w:p>
    <w:p w14:paraId="68D26B83" w14:textId="47E6E7AD" w:rsidR="00600535" w:rsidRPr="00B71D8D" w:rsidRDefault="00600535" w:rsidP="00EC08BA">
      <w:pPr>
        <w:pStyle w:val="CETHeading1"/>
        <w:rPr>
          <w:lang w:val="en-GB"/>
        </w:rPr>
      </w:pPr>
      <w:r w:rsidRPr="00B71D8D">
        <w:rPr>
          <w:lang w:val="en-GB"/>
        </w:rPr>
        <w:t>Conclusions</w:t>
      </w:r>
    </w:p>
    <w:p w14:paraId="52DAFDE0" w14:textId="5943E875" w:rsidR="001D0CFB" w:rsidRPr="00B71D8D" w:rsidRDefault="00DD463E" w:rsidP="003A611A">
      <w:pPr>
        <w:pStyle w:val="CETBodytext"/>
        <w:rPr>
          <w:lang w:val="en-GB"/>
        </w:rPr>
      </w:pPr>
      <w:r w:rsidRPr="00B71D8D">
        <w:rPr>
          <w:lang w:val="en-GB"/>
        </w:rPr>
        <w:t xml:space="preserve">A </w:t>
      </w:r>
      <w:r w:rsidR="00187E16" w:rsidRPr="00B71D8D">
        <w:rPr>
          <w:lang w:val="en-GB"/>
        </w:rPr>
        <w:t xml:space="preserve">new </w:t>
      </w:r>
      <w:r w:rsidRPr="00B71D8D">
        <w:rPr>
          <w:lang w:val="en-GB"/>
        </w:rPr>
        <w:t xml:space="preserve">thermal model for compact heat exchangers in </w:t>
      </w:r>
      <w:r w:rsidR="00DF6D99" w:rsidRPr="00B71D8D">
        <w:rPr>
          <w:lang w:val="en-GB"/>
        </w:rPr>
        <w:t>IE</w:t>
      </w:r>
      <w:r w:rsidR="003F09DF" w:rsidRPr="00B71D8D">
        <w:rPr>
          <w:lang w:val="en-GB"/>
        </w:rPr>
        <w:t xml:space="preserve"> </w:t>
      </w:r>
      <w:r w:rsidRPr="00B71D8D">
        <w:rPr>
          <w:lang w:val="en-GB"/>
        </w:rPr>
        <w:t xml:space="preserve">engine application was developed. </w:t>
      </w:r>
      <w:r w:rsidR="00220F8B" w:rsidRPr="00B71D8D">
        <w:rPr>
          <w:lang w:val="en-GB"/>
        </w:rPr>
        <w:t>First investigations with t</w:t>
      </w:r>
      <w:r w:rsidR="00D675C3" w:rsidRPr="00B71D8D">
        <w:rPr>
          <w:lang w:val="en-GB"/>
        </w:rPr>
        <w:t>wo different working fluids, namely refrigerant R134a in subcritical state and supercritical carbon dioxide</w:t>
      </w:r>
      <w:r w:rsidR="00220F8B" w:rsidRPr="00B71D8D">
        <w:rPr>
          <w:lang w:val="en-GB"/>
        </w:rPr>
        <w:t>,</w:t>
      </w:r>
      <w:r w:rsidR="00D675C3" w:rsidRPr="00B71D8D">
        <w:rPr>
          <w:lang w:val="en-GB"/>
        </w:rPr>
        <w:t xml:space="preserve"> were </w:t>
      </w:r>
      <w:r w:rsidR="00665073" w:rsidRPr="00B71D8D">
        <w:rPr>
          <w:lang w:val="en-GB"/>
        </w:rPr>
        <w:t>carried out</w:t>
      </w:r>
      <w:r w:rsidR="00220F8B" w:rsidRPr="00B71D8D">
        <w:rPr>
          <w:lang w:val="en-GB"/>
        </w:rPr>
        <w:t xml:space="preserve"> </w:t>
      </w:r>
      <w:r w:rsidR="00D675C3" w:rsidRPr="00B71D8D">
        <w:rPr>
          <w:lang w:val="en-GB"/>
        </w:rPr>
        <w:t xml:space="preserve">to study </w:t>
      </w:r>
      <w:r w:rsidR="00220F8B" w:rsidRPr="00B71D8D">
        <w:rPr>
          <w:lang w:val="en-GB"/>
        </w:rPr>
        <w:t xml:space="preserve">the heat exchanger performance at </w:t>
      </w:r>
      <w:r w:rsidR="00D675C3" w:rsidRPr="00B71D8D">
        <w:rPr>
          <w:lang w:val="en-GB"/>
        </w:rPr>
        <w:t>four different frequencies between</w:t>
      </w:r>
      <w:r w:rsidR="00251B9B" w:rsidRPr="00B71D8D">
        <w:rPr>
          <w:lang w:val="en-GB"/>
        </w:rPr>
        <w:t xml:space="preserve"> 0.1</w:t>
      </w:r>
      <w:r w:rsidR="00C57DB1" w:rsidRPr="00B71D8D">
        <w:rPr>
          <w:lang w:val="en-GB"/>
        </w:rPr>
        <w:t>25</w:t>
      </w:r>
      <w:r w:rsidR="00251B9B" w:rsidRPr="00B71D8D">
        <w:rPr>
          <w:lang w:val="en-GB"/>
        </w:rPr>
        <w:t>Hz</w:t>
      </w:r>
      <w:r w:rsidR="00D675C3" w:rsidRPr="00B71D8D">
        <w:rPr>
          <w:lang w:val="en-GB"/>
        </w:rPr>
        <w:t xml:space="preserve"> and</w:t>
      </w:r>
      <w:r w:rsidR="00251B9B" w:rsidRPr="00B71D8D">
        <w:rPr>
          <w:lang w:val="en-GB"/>
        </w:rPr>
        <w:t xml:space="preserve"> 1Hz.</w:t>
      </w:r>
    </w:p>
    <w:p w14:paraId="2A7A4567" w14:textId="2E979DE5" w:rsidR="00D675C3" w:rsidRPr="00B71D8D" w:rsidRDefault="00101197" w:rsidP="00DF494D">
      <w:pPr>
        <w:pStyle w:val="CETBodytext"/>
        <w:rPr>
          <w:lang w:val="en-GB"/>
        </w:rPr>
      </w:pPr>
      <w:r w:rsidRPr="00B71D8D">
        <w:rPr>
          <w:lang w:val="en-GB"/>
        </w:rPr>
        <w:t xml:space="preserve">In general, high heat exchanger efficiencies are </w:t>
      </w:r>
      <w:r w:rsidR="003F09DF" w:rsidRPr="00B71D8D">
        <w:rPr>
          <w:lang w:val="en-GB"/>
        </w:rPr>
        <w:t xml:space="preserve">established </w:t>
      </w:r>
      <w:r w:rsidRPr="00B71D8D">
        <w:rPr>
          <w:lang w:val="en-GB"/>
        </w:rPr>
        <w:t>for lower</w:t>
      </w:r>
      <w:r w:rsidR="00753DD9" w:rsidRPr="00B71D8D">
        <w:rPr>
          <w:lang w:val="en-GB"/>
        </w:rPr>
        <w:t xml:space="preserve"> operating</w:t>
      </w:r>
      <w:r w:rsidRPr="00B71D8D">
        <w:rPr>
          <w:lang w:val="en-GB"/>
        </w:rPr>
        <w:t xml:space="preserve"> frequencies. </w:t>
      </w:r>
      <w:r w:rsidR="00C046B1" w:rsidRPr="00B71D8D">
        <w:rPr>
          <w:lang w:val="en-GB"/>
        </w:rPr>
        <w:t>This makes IE engines favourable for practical application</w:t>
      </w:r>
      <w:r w:rsidR="003F09DF" w:rsidRPr="00B71D8D">
        <w:rPr>
          <w:lang w:val="en-GB"/>
        </w:rPr>
        <w:t>s</w:t>
      </w:r>
      <w:r w:rsidR="00C046B1" w:rsidRPr="00B71D8D">
        <w:rPr>
          <w:lang w:val="en-GB"/>
        </w:rPr>
        <w:t>, because of the</w:t>
      </w:r>
      <w:r w:rsidR="00A86766" w:rsidRPr="00B71D8D">
        <w:rPr>
          <w:lang w:val="en-GB"/>
        </w:rPr>
        <w:t>ir</w:t>
      </w:r>
      <w:r w:rsidR="00C046B1" w:rsidRPr="00B71D8D">
        <w:rPr>
          <w:lang w:val="en-GB"/>
        </w:rPr>
        <w:t xml:space="preserve"> </w:t>
      </w:r>
      <w:r w:rsidR="003F09DF" w:rsidRPr="00B71D8D">
        <w:rPr>
          <w:lang w:val="en-GB"/>
        </w:rPr>
        <w:t xml:space="preserve">ability </w:t>
      </w:r>
      <w:r w:rsidR="00C046B1" w:rsidRPr="00B71D8D">
        <w:rPr>
          <w:lang w:val="en-GB"/>
        </w:rPr>
        <w:t>to have</w:t>
      </w:r>
      <w:r w:rsidR="007E2088" w:rsidRPr="00B71D8D">
        <w:rPr>
          <w:lang w:val="en-GB"/>
        </w:rPr>
        <w:t xml:space="preserve"> a high power density per cycle.</w:t>
      </w:r>
      <w:r w:rsidR="00C046B1" w:rsidRPr="00B71D8D">
        <w:rPr>
          <w:lang w:val="en-GB"/>
        </w:rPr>
        <w:t xml:space="preserve"> </w:t>
      </w:r>
      <w:r w:rsidR="003F09DF" w:rsidRPr="00B71D8D">
        <w:rPr>
          <w:lang w:val="en-GB"/>
        </w:rPr>
        <w:t>T</w:t>
      </w:r>
      <w:r w:rsidR="00DE4575" w:rsidRPr="00B71D8D">
        <w:rPr>
          <w:lang w:val="en-GB"/>
        </w:rPr>
        <w:t>he efficiency is more sensitive to increasing frequencies for working fluid R134a than for carbon dioxide.</w:t>
      </w:r>
      <w:r w:rsidR="00DF494D" w:rsidRPr="00B71D8D">
        <w:rPr>
          <w:lang w:val="en-GB"/>
        </w:rPr>
        <w:t xml:space="preserve"> </w:t>
      </w:r>
      <w:r w:rsidR="009B571C" w:rsidRPr="00B71D8D">
        <w:rPr>
          <w:lang w:val="en-GB"/>
        </w:rPr>
        <w:t xml:space="preserve">Furthermore, this efficiency is higher with carbon dioxide </w:t>
      </w:r>
      <w:r w:rsidR="00DF494D" w:rsidRPr="00B71D8D">
        <w:rPr>
          <w:lang w:val="en-GB"/>
        </w:rPr>
        <w:t xml:space="preserve">achieving </w:t>
      </w:r>
      <w:r w:rsidR="009B571C" w:rsidRPr="00B71D8D">
        <w:rPr>
          <w:lang w:val="en-GB"/>
        </w:rPr>
        <w:t xml:space="preserve">values </w:t>
      </w:r>
      <w:r w:rsidR="0074038B" w:rsidRPr="00B71D8D">
        <w:rPr>
          <w:lang w:val="en-GB"/>
        </w:rPr>
        <w:t xml:space="preserve">between </w:t>
      </w:r>
      <w:r w:rsidR="009B571C" w:rsidRPr="00B71D8D">
        <w:rPr>
          <w:lang w:val="en-GB"/>
        </w:rPr>
        <w:t xml:space="preserve">62% at 1Hz </w:t>
      </w:r>
      <w:r w:rsidR="0074038B" w:rsidRPr="00B71D8D">
        <w:rPr>
          <w:lang w:val="en-GB"/>
        </w:rPr>
        <w:t>and</w:t>
      </w:r>
      <w:r w:rsidR="009B571C" w:rsidRPr="00B71D8D">
        <w:rPr>
          <w:lang w:val="en-GB"/>
        </w:rPr>
        <w:t xml:space="preserve"> 99% at 0.125Hz</w:t>
      </w:r>
      <w:r w:rsidR="00DF494D" w:rsidRPr="00B71D8D">
        <w:rPr>
          <w:lang w:val="en-GB"/>
        </w:rPr>
        <w:t xml:space="preserve"> in the heating phase, which </w:t>
      </w:r>
      <w:r w:rsidR="00C046B1" w:rsidRPr="00B71D8D">
        <w:rPr>
          <w:lang w:val="en-GB"/>
        </w:rPr>
        <w:t xml:space="preserve">is </w:t>
      </w:r>
      <w:r w:rsidR="002852B2" w:rsidRPr="00B71D8D">
        <w:rPr>
          <w:lang w:val="en-GB"/>
        </w:rPr>
        <w:t>favourable</w:t>
      </w:r>
      <w:r w:rsidR="00A86766" w:rsidRPr="00B71D8D">
        <w:rPr>
          <w:lang w:val="en-GB"/>
        </w:rPr>
        <w:t xml:space="preserve"> </w:t>
      </w:r>
      <w:r w:rsidR="00C046B1" w:rsidRPr="00B71D8D">
        <w:rPr>
          <w:lang w:val="en-GB"/>
        </w:rPr>
        <w:t xml:space="preserve">for optimal utilisation of </w:t>
      </w:r>
      <w:r w:rsidR="002132C9" w:rsidRPr="00B71D8D">
        <w:rPr>
          <w:lang w:val="en-GB"/>
        </w:rPr>
        <w:t xml:space="preserve">the </w:t>
      </w:r>
      <w:r w:rsidR="00C046B1" w:rsidRPr="00B71D8D">
        <w:rPr>
          <w:lang w:val="en-GB"/>
        </w:rPr>
        <w:t>heat source</w:t>
      </w:r>
      <w:r w:rsidR="002132C9" w:rsidRPr="00B71D8D">
        <w:rPr>
          <w:lang w:val="en-GB"/>
        </w:rPr>
        <w:t>s</w:t>
      </w:r>
      <w:r w:rsidR="00E42619" w:rsidRPr="00B71D8D">
        <w:rPr>
          <w:lang w:val="en-GB"/>
        </w:rPr>
        <w:t>.</w:t>
      </w:r>
      <w:r w:rsidR="00826B3C" w:rsidRPr="00B71D8D">
        <w:rPr>
          <w:lang w:val="en-GB"/>
        </w:rPr>
        <w:t xml:space="preserve"> </w:t>
      </w:r>
      <w:r w:rsidR="008913B5" w:rsidRPr="00B71D8D">
        <w:rPr>
          <w:lang w:val="en-GB"/>
        </w:rPr>
        <w:t>To quantify the relationship between</w:t>
      </w:r>
      <w:r w:rsidR="00753DD9" w:rsidRPr="00B71D8D">
        <w:rPr>
          <w:lang w:val="en-GB"/>
        </w:rPr>
        <w:t xml:space="preserve"> the </w:t>
      </w:r>
      <w:r w:rsidR="008913B5" w:rsidRPr="00B71D8D">
        <w:rPr>
          <w:lang w:val="en-GB"/>
        </w:rPr>
        <w:t xml:space="preserve">frequency and </w:t>
      </w:r>
      <w:r w:rsidR="00753DD9" w:rsidRPr="00B71D8D">
        <w:rPr>
          <w:lang w:val="en-GB"/>
        </w:rPr>
        <w:t xml:space="preserve">the heat exchanger </w:t>
      </w:r>
      <w:r w:rsidR="008913B5" w:rsidRPr="00B71D8D">
        <w:rPr>
          <w:lang w:val="en-GB"/>
        </w:rPr>
        <w:t xml:space="preserve">efficiency, further </w:t>
      </w:r>
      <w:r w:rsidR="00753DD9" w:rsidRPr="00B71D8D">
        <w:rPr>
          <w:lang w:val="en-GB"/>
        </w:rPr>
        <w:t xml:space="preserve">parametric studies </w:t>
      </w:r>
      <w:r w:rsidR="008913B5" w:rsidRPr="00B71D8D">
        <w:rPr>
          <w:lang w:val="en-GB"/>
        </w:rPr>
        <w:t>are necessary.</w:t>
      </w:r>
    </w:p>
    <w:p w14:paraId="135A7E6A" w14:textId="2C3F6E4F" w:rsidR="00A85032" w:rsidRPr="00B71D8D" w:rsidRDefault="00280FAF" w:rsidP="00E96BCA">
      <w:pPr>
        <w:pStyle w:val="CETHeadingxx"/>
        <w:spacing w:before="120"/>
        <w:rPr>
          <w:lang w:val="en-GB"/>
        </w:rPr>
      </w:pPr>
      <w:r w:rsidRPr="00B71D8D">
        <w:rPr>
          <w:lang w:val="en-GB"/>
        </w:rPr>
        <w:t>Nomenclature</w:t>
      </w:r>
    </w:p>
    <w:p w14:paraId="2C5D0D34" w14:textId="77777777" w:rsidR="003D2295" w:rsidRPr="00B71D8D" w:rsidRDefault="003D2295" w:rsidP="00A73CE0">
      <w:pPr>
        <w:pStyle w:val="CETBodytext"/>
        <w:jc w:val="left"/>
        <w:rPr>
          <w:rFonts w:ascii="Cambria Math" w:eastAsia="SimSun" w:hAnsi="Cambria Math" w:cs="Arial"/>
          <w:lang w:val="en-GB"/>
          <w:oMath/>
        </w:rPr>
        <w:sectPr w:rsidR="003D2295" w:rsidRPr="00B71D8D" w:rsidSect="00B534BB">
          <w:type w:val="continuous"/>
          <w:pgSz w:w="11906" w:h="16838" w:code="9"/>
          <w:pgMar w:top="1701" w:right="1418" w:bottom="1701" w:left="1701" w:header="1701" w:footer="0" w:gutter="0"/>
          <w:cols w:space="708"/>
          <w:formProt w:val="0"/>
          <w:titlePg/>
          <w:docGrid w:linePitch="360"/>
        </w:sectPr>
      </w:pPr>
    </w:p>
    <w:p w14:paraId="35A8C460" w14:textId="737601CF" w:rsidR="00A73CE0" w:rsidRPr="00B71D8D" w:rsidRDefault="00A73CE0" w:rsidP="00A73CE0">
      <w:pPr>
        <w:pStyle w:val="CETBodytext"/>
        <w:jc w:val="left"/>
        <w:rPr>
          <w:rFonts w:eastAsia="SimSun"/>
          <w:lang w:val="en-GB"/>
        </w:rPr>
      </w:pPr>
      <m:oMath>
        <m:r>
          <w:rPr>
            <w:rFonts w:ascii="Cambria Math" w:eastAsia="SimSun" w:hAnsi="Cambria Math" w:cs="Arial"/>
            <w:lang w:val="en-GB"/>
          </w:rPr>
          <m:t>B</m:t>
        </m:r>
      </m:oMath>
      <w:r w:rsidRPr="00B71D8D">
        <w:rPr>
          <w:rFonts w:eastAsia="SimSun"/>
          <w:lang w:val="en-GB"/>
        </w:rPr>
        <w:t xml:space="preserve"> – thickness, m</w:t>
      </w:r>
    </w:p>
    <w:p w14:paraId="26826554" w14:textId="70B38868" w:rsidR="00A73CE0" w:rsidRPr="00B71D8D" w:rsidRDefault="00A73CE0" w:rsidP="00A73CE0">
      <w:pPr>
        <w:pStyle w:val="CETBodytext"/>
        <w:jc w:val="left"/>
        <w:rPr>
          <w:rFonts w:eastAsia="SimSun"/>
          <w:lang w:val="en-GB"/>
        </w:rPr>
      </w:pPr>
      <m:oMath>
        <m:r>
          <w:rPr>
            <w:rFonts w:ascii="Cambria Math" w:eastAsia="SimSun" w:hAnsi="Cambria Math" w:cs="Arial"/>
            <w:lang w:val="en-GB"/>
          </w:rPr>
          <m:t>D</m:t>
        </m:r>
      </m:oMath>
      <w:r w:rsidRPr="00B71D8D">
        <w:rPr>
          <w:rFonts w:eastAsia="SimSun"/>
          <w:lang w:val="en-GB"/>
        </w:rPr>
        <w:t xml:space="preserve"> – diameter, m</w:t>
      </w:r>
    </w:p>
    <w:p w14:paraId="7C300074" w14:textId="59C122A5" w:rsidR="00447418" w:rsidRPr="00B71D8D" w:rsidRDefault="00447418" w:rsidP="00A73CE0">
      <w:pPr>
        <w:pStyle w:val="CETBodytext"/>
        <w:jc w:val="left"/>
        <w:rPr>
          <w:rFonts w:eastAsia="SimSun"/>
          <w:lang w:val="en-GB"/>
        </w:rPr>
      </w:pPr>
      <m:oMath>
        <m:r>
          <w:rPr>
            <w:rFonts w:ascii="Cambria Math" w:eastAsia="SimSun" w:hAnsi="Cambria Math"/>
            <w:lang w:val="en-GB"/>
          </w:rPr>
          <m:t>f</m:t>
        </m:r>
      </m:oMath>
      <w:r w:rsidRPr="00B71D8D">
        <w:rPr>
          <w:rFonts w:eastAsia="SimSun"/>
          <w:lang w:val="en-GB"/>
        </w:rPr>
        <w:t xml:space="preserve"> – frequency, Hz</w:t>
      </w:r>
    </w:p>
    <w:p w14:paraId="3284ED33" w14:textId="77777777" w:rsidR="00A73CE0" w:rsidRPr="00B71D8D" w:rsidRDefault="001D5C8E" w:rsidP="00A73CE0">
      <w:pPr>
        <w:pStyle w:val="CETBodytext"/>
        <w:jc w:val="left"/>
        <w:rPr>
          <w:rFonts w:eastAsia="SimSun"/>
          <w:lang w:val="en-GB"/>
        </w:rPr>
      </w:pPr>
      <m:oMath>
        <m:r>
          <w:rPr>
            <w:rFonts w:ascii="Cambria Math" w:eastAsia="SimSun" w:hAnsi="Cambria Math"/>
            <w:lang w:val="en-GB"/>
          </w:rPr>
          <m:t>h</m:t>
        </m:r>
      </m:oMath>
      <w:r w:rsidRPr="00B71D8D">
        <w:rPr>
          <w:rFonts w:eastAsia="SimSun"/>
          <w:lang w:val="en-GB"/>
        </w:rPr>
        <w:t xml:space="preserve"> – specific enthalpy, J/kg</w:t>
      </w:r>
    </w:p>
    <w:p w14:paraId="308C9B44" w14:textId="2887C3C1" w:rsidR="00A73CE0" w:rsidRPr="00B71D8D" w:rsidRDefault="00A73CE0" w:rsidP="00A73CE0">
      <w:pPr>
        <w:pStyle w:val="CETBodytext"/>
        <w:jc w:val="left"/>
        <w:rPr>
          <w:rFonts w:eastAsia="SimSun"/>
          <w:lang w:val="en-GB"/>
        </w:rPr>
      </w:pPr>
      <m:oMath>
        <m:r>
          <w:rPr>
            <w:rFonts w:ascii="Cambria Math" w:eastAsia="SimSun" w:hAnsi="Cambria Math" w:cs="Arial"/>
            <w:lang w:val="en-GB"/>
          </w:rPr>
          <m:t>H</m:t>
        </m:r>
      </m:oMath>
      <w:r w:rsidRPr="00B71D8D">
        <w:rPr>
          <w:rFonts w:eastAsia="SimSun"/>
          <w:lang w:val="en-GB"/>
        </w:rPr>
        <w:t xml:space="preserve"> – height, m</w:t>
      </w:r>
    </w:p>
    <w:p w14:paraId="4B8AE13A" w14:textId="77777777" w:rsidR="003D2295" w:rsidRPr="00B71D8D" w:rsidRDefault="003D2295" w:rsidP="003D2295">
      <w:pPr>
        <w:pStyle w:val="CETBodytext"/>
        <w:jc w:val="left"/>
        <w:rPr>
          <w:rFonts w:eastAsia="SimSun"/>
          <w:lang w:val="en-GB"/>
        </w:rPr>
      </w:pPr>
      <m:oMath>
        <m:r>
          <w:rPr>
            <w:rFonts w:ascii="Cambria Math" w:eastAsia="SimSun" w:hAnsi="Cambria Math"/>
            <w:lang w:val="en-GB"/>
          </w:rPr>
          <m:t xml:space="preserve">L </m:t>
        </m:r>
      </m:oMath>
      <w:r w:rsidRPr="00B71D8D">
        <w:rPr>
          <w:rFonts w:eastAsia="SimSun"/>
          <w:lang w:val="en-GB"/>
        </w:rPr>
        <w:t>– length, m</w:t>
      </w:r>
    </w:p>
    <w:p w14:paraId="29EF4690" w14:textId="77777777" w:rsidR="003D2295" w:rsidRPr="00B71D8D" w:rsidRDefault="00000000" w:rsidP="003D2295">
      <w:pPr>
        <w:pStyle w:val="CETBodytext"/>
        <w:jc w:val="left"/>
        <w:rPr>
          <w:rFonts w:eastAsia="SimSun"/>
          <w:lang w:val="en-GB"/>
        </w:rPr>
      </w:pPr>
      <m:oMath>
        <m:acc>
          <m:accPr>
            <m:chr m:val="̇"/>
            <m:ctrlPr>
              <w:rPr>
                <w:rFonts w:ascii="Cambria Math" w:eastAsia="SimSun" w:hAnsi="Cambria Math"/>
                <w:i/>
                <w:lang w:val="en-GB"/>
              </w:rPr>
            </m:ctrlPr>
          </m:accPr>
          <m:e>
            <m:r>
              <w:rPr>
                <w:rFonts w:ascii="Cambria Math" w:eastAsia="SimSun" w:hAnsi="Cambria Math"/>
                <w:lang w:val="en-GB"/>
              </w:rPr>
              <m:t>m</m:t>
            </m:r>
          </m:e>
        </m:acc>
      </m:oMath>
      <w:r w:rsidR="003D2295" w:rsidRPr="00B71D8D">
        <w:rPr>
          <w:rFonts w:eastAsia="SimSun"/>
          <w:lang w:val="en-GB"/>
        </w:rPr>
        <w:t xml:space="preserve"> – mass flow rate, kg/s</w:t>
      </w:r>
    </w:p>
    <w:p w14:paraId="2027D1E8" w14:textId="7F98E458" w:rsidR="003D2295" w:rsidRPr="00B71D8D" w:rsidRDefault="00000000" w:rsidP="003D2295">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m</m:t>
            </m:r>
          </m:e>
          <m:sub>
            <m:r>
              <w:rPr>
                <w:rFonts w:ascii="Cambria Math" w:eastAsia="SimSun" w:hAnsi="Cambria Math"/>
                <w:lang w:val="en-GB"/>
              </w:rPr>
              <m:t>sw</m:t>
            </m:r>
          </m:sub>
        </m:sSub>
      </m:oMath>
      <w:r w:rsidR="003D2295" w:rsidRPr="00B71D8D">
        <w:rPr>
          <w:rFonts w:eastAsia="SimSun"/>
          <w:lang w:val="en-GB"/>
        </w:rPr>
        <w:t xml:space="preserve"> – swept mass, kg</w:t>
      </w:r>
    </w:p>
    <w:p w14:paraId="277CFB08" w14:textId="3BAB62AC" w:rsidR="003D2295" w:rsidRPr="00B71D8D" w:rsidRDefault="003D2295" w:rsidP="003D2295">
      <w:pPr>
        <w:pStyle w:val="CETBodytext"/>
        <w:jc w:val="left"/>
        <w:rPr>
          <w:rFonts w:eastAsia="SimSun"/>
          <w:lang w:val="en-GB"/>
        </w:rPr>
      </w:pPr>
      <m:oMath>
        <m:r>
          <w:rPr>
            <w:rFonts w:ascii="Cambria Math" w:eastAsia="SimSun" w:hAnsi="Cambria Math"/>
            <w:lang w:val="en-GB"/>
          </w:rPr>
          <m:t>N</m:t>
        </m:r>
      </m:oMath>
      <w:r w:rsidRPr="00B71D8D">
        <w:rPr>
          <w:rFonts w:eastAsia="SimSun"/>
          <w:lang w:val="en-GB"/>
        </w:rPr>
        <w:t xml:space="preserve"> – number of channels, -</w:t>
      </w:r>
    </w:p>
    <w:p w14:paraId="71E52A7F" w14:textId="5B72C9A5" w:rsidR="003D2295" w:rsidRPr="00B71D8D" w:rsidRDefault="00000000" w:rsidP="003D2295">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p</m:t>
            </m:r>
          </m:e>
          <m:sub>
            <m:r>
              <w:rPr>
                <w:rFonts w:ascii="Cambria Math" w:eastAsia="SimSun" w:hAnsi="Cambria Math"/>
                <w:lang w:val="en-GB"/>
              </w:rPr>
              <m:t>low</m:t>
            </m:r>
          </m:sub>
        </m:sSub>
      </m:oMath>
      <w:r w:rsidR="001D5C8E" w:rsidRPr="00B71D8D">
        <w:rPr>
          <w:rFonts w:eastAsia="SimSun"/>
          <w:lang w:val="en-GB"/>
        </w:rPr>
        <w:t xml:space="preserve"> – low pressure level, Pa</w:t>
      </w:r>
    </w:p>
    <w:p w14:paraId="78EA90C7" w14:textId="77777777" w:rsidR="003D2295" w:rsidRPr="00B71D8D" w:rsidRDefault="00000000" w:rsidP="001D5C8E">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p</m:t>
            </m:r>
          </m:e>
          <m:sub>
            <m:r>
              <w:rPr>
                <w:rFonts w:ascii="Cambria Math" w:eastAsia="SimSun" w:hAnsi="Cambria Math"/>
                <w:lang w:val="en-GB"/>
              </w:rPr>
              <m:t>high</m:t>
            </m:r>
          </m:sub>
        </m:sSub>
      </m:oMath>
      <w:r w:rsidR="001D5C8E" w:rsidRPr="00B71D8D">
        <w:rPr>
          <w:rFonts w:eastAsia="SimSun"/>
          <w:lang w:val="en-GB"/>
        </w:rPr>
        <w:t xml:space="preserve"> – high pressure level, Pa</w:t>
      </w:r>
    </w:p>
    <w:p w14:paraId="54F98D54" w14:textId="681E9943" w:rsidR="00A85032" w:rsidRPr="00B71D8D" w:rsidRDefault="00A85032" w:rsidP="001D5C8E">
      <w:pPr>
        <w:pStyle w:val="CETBodytext"/>
        <w:jc w:val="left"/>
        <w:rPr>
          <w:rFonts w:eastAsia="SimSun"/>
          <w:lang w:val="en-GB"/>
        </w:rPr>
      </w:pPr>
      <m:oMath>
        <m:r>
          <w:rPr>
            <w:rFonts w:ascii="Cambria Math" w:eastAsia="SimSun" w:hAnsi="Cambria Math"/>
            <w:lang w:val="en-GB"/>
          </w:rPr>
          <m:t>q</m:t>
        </m:r>
      </m:oMath>
      <w:r w:rsidR="00280FAF" w:rsidRPr="00B71D8D">
        <w:rPr>
          <w:rFonts w:eastAsia="SimSun"/>
          <w:lang w:val="en-GB"/>
        </w:rPr>
        <w:t xml:space="preserve"> – </w:t>
      </w:r>
      <w:r w:rsidRPr="00B71D8D">
        <w:rPr>
          <w:rFonts w:eastAsia="SimSun"/>
          <w:lang w:val="en-GB"/>
        </w:rPr>
        <w:t>vapo</w:t>
      </w:r>
      <w:r w:rsidR="00EA5A04" w:rsidRPr="00B71D8D">
        <w:rPr>
          <w:rFonts w:eastAsia="SimSun"/>
          <w:lang w:val="en-GB"/>
        </w:rPr>
        <w:t>u</w:t>
      </w:r>
      <w:r w:rsidRPr="00B71D8D">
        <w:rPr>
          <w:rFonts w:eastAsia="SimSun"/>
          <w:lang w:val="en-GB"/>
        </w:rPr>
        <w:t>r quality, -</w:t>
      </w:r>
    </w:p>
    <w:p w14:paraId="2E306065" w14:textId="69720665" w:rsidR="00A85032" w:rsidRPr="00B71D8D" w:rsidRDefault="00000000" w:rsidP="00A85032">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s</m:t>
            </m:r>
          </m:e>
          <m:sub>
            <m:r>
              <w:rPr>
                <w:rFonts w:ascii="Cambria Math" w:eastAsia="SimSun" w:hAnsi="Cambria Math"/>
                <w:lang w:val="en-GB"/>
              </w:rPr>
              <m:t>u</m:t>
            </m:r>
          </m:sub>
        </m:sSub>
      </m:oMath>
      <w:r w:rsidR="00A85032" w:rsidRPr="00B71D8D">
        <w:rPr>
          <w:rFonts w:eastAsia="SimSun"/>
          <w:lang w:val="en-GB"/>
        </w:rPr>
        <w:t xml:space="preserve"> – energy source term, W/m³</w:t>
      </w:r>
    </w:p>
    <w:p w14:paraId="09F72C69" w14:textId="3A2BF6E0" w:rsidR="00A85032" w:rsidRPr="00B71D8D" w:rsidRDefault="00A85032" w:rsidP="00A85032">
      <w:pPr>
        <w:pStyle w:val="CETBodytext"/>
        <w:jc w:val="left"/>
        <w:rPr>
          <w:rFonts w:eastAsia="SimSun"/>
          <w:lang w:val="en-GB"/>
        </w:rPr>
      </w:pPr>
      <m:oMath>
        <m:r>
          <w:rPr>
            <w:rFonts w:ascii="Cambria Math" w:eastAsia="SimSun" w:hAnsi="Cambria Math" w:cs="Arial"/>
            <w:lang w:val="en-GB"/>
          </w:rPr>
          <m:t>t</m:t>
        </m:r>
      </m:oMath>
      <w:r w:rsidRPr="00B71D8D">
        <w:rPr>
          <w:rFonts w:eastAsia="SimSun"/>
          <w:lang w:val="en-GB"/>
        </w:rPr>
        <w:t xml:space="preserve"> – time, s</w:t>
      </w:r>
    </w:p>
    <w:p w14:paraId="7B0EB1D2" w14:textId="16839720" w:rsidR="00883818" w:rsidRPr="00B71D8D" w:rsidRDefault="00883818" w:rsidP="00A85032">
      <w:pPr>
        <w:pStyle w:val="CETBodytext"/>
        <w:jc w:val="left"/>
        <w:rPr>
          <w:rFonts w:eastAsia="SimSun"/>
          <w:lang w:val="en-GB"/>
        </w:rPr>
      </w:pPr>
      <m:oMath>
        <m:r>
          <w:rPr>
            <w:rFonts w:ascii="Cambria Math" w:hAnsi="Cambria Math"/>
            <w:lang w:val="en-GB"/>
          </w:rPr>
          <m:t>T</m:t>
        </m:r>
      </m:oMath>
      <w:r w:rsidRPr="00B71D8D">
        <w:rPr>
          <w:rFonts w:eastAsia="SimSun"/>
          <w:lang w:val="en-GB"/>
        </w:rPr>
        <w:t xml:space="preserve"> – working fluid temperature, K</w:t>
      </w:r>
    </w:p>
    <w:p w14:paraId="23620473" w14:textId="24C6D60F" w:rsidR="00A85032" w:rsidRPr="00B71D8D" w:rsidRDefault="00000000" w:rsidP="00A85032">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T</m:t>
            </m:r>
          </m:e>
          <m:sub>
            <m:r>
              <w:rPr>
                <w:rFonts w:ascii="Cambria Math" w:eastAsia="SimSun" w:hAnsi="Cambria Math"/>
                <w:lang w:val="en-GB"/>
              </w:rPr>
              <m:t>C</m:t>
            </m:r>
          </m:sub>
        </m:sSub>
      </m:oMath>
      <w:r w:rsidR="00A85032" w:rsidRPr="00B71D8D">
        <w:rPr>
          <w:rFonts w:eastAsia="SimSun"/>
          <w:lang w:val="en-GB"/>
        </w:rPr>
        <w:t xml:space="preserve"> – heat sink temperature, K</w:t>
      </w:r>
    </w:p>
    <w:p w14:paraId="2604CF4E" w14:textId="77777777" w:rsidR="00A85032" w:rsidRPr="00B71D8D" w:rsidRDefault="00000000" w:rsidP="00A85032">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T</m:t>
            </m:r>
          </m:e>
          <m:sub>
            <m:r>
              <w:rPr>
                <w:rFonts w:ascii="Cambria Math" w:eastAsia="SimSun" w:hAnsi="Cambria Math"/>
                <w:lang w:val="en-GB"/>
              </w:rPr>
              <m:t>H</m:t>
            </m:r>
          </m:sub>
        </m:sSub>
      </m:oMath>
      <w:r w:rsidR="00A85032" w:rsidRPr="00B71D8D">
        <w:rPr>
          <w:rFonts w:eastAsia="SimSun"/>
          <w:lang w:val="en-GB"/>
        </w:rPr>
        <w:t xml:space="preserve"> – heat source temperature, K</w:t>
      </w:r>
    </w:p>
    <w:p w14:paraId="25FA4748" w14:textId="38F53F0B" w:rsidR="00A85032" w:rsidRPr="00B71D8D" w:rsidRDefault="00A85032" w:rsidP="00A85032">
      <w:pPr>
        <w:pStyle w:val="CETBodytext"/>
        <w:jc w:val="left"/>
        <w:rPr>
          <w:rFonts w:eastAsia="SimSun"/>
          <w:lang w:val="en-GB"/>
        </w:rPr>
      </w:pPr>
      <m:oMath>
        <m:r>
          <w:rPr>
            <w:rFonts w:ascii="Cambria Math" w:eastAsia="SimSun" w:hAnsi="Cambria Math"/>
            <w:lang w:val="en-GB"/>
          </w:rPr>
          <m:t>u</m:t>
        </m:r>
      </m:oMath>
      <w:r w:rsidRPr="00B71D8D">
        <w:rPr>
          <w:rFonts w:eastAsia="SimSun"/>
          <w:lang w:val="en-GB"/>
        </w:rPr>
        <w:t xml:space="preserve"> – specific internal energy, J/kg</w:t>
      </w:r>
    </w:p>
    <w:p w14:paraId="33E79FCA" w14:textId="13D140F0" w:rsidR="003D2295" w:rsidRPr="00B71D8D" w:rsidRDefault="00000000" w:rsidP="003D2295">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V</m:t>
            </m:r>
          </m:e>
          <m:sub>
            <m:r>
              <w:rPr>
                <w:rFonts w:ascii="Cambria Math" w:eastAsia="SimSun" w:hAnsi="Cambria Math"/>
                <w:lang w:val="en-GB"/>
              </w:rPr>
              <m:t>sw</m:t>
            </m:r>
          </m:sub>
        </m:sSub>
      </m:oMath>
      <w:r w:rsidR="003D2295" w:rsidRPr="00B71D8D">
        <w:rPr>
          <w:rFonts w:eastAsia="SimSun"/>
          <w:lang w:val="en-GB"/>
        </w:rPr>
        <w:t xml:space="preserve"> – swept volume, m³</w:t>
      </w:r>
    </w:p>
    <w:p w14:paraId="72AB681D" w14:textId="34C60876" w:rsidR="001B6A69" w:rsidRPr="00B71D8D" w:rsidRDefault="00000000" w:rsidP="00A85032">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w</m:t>
            </m:r>
          </m:e>
          <m:sub>
            <m:r>
              <w:rPr>
                <w:rFonts w:ascii="Cambria Math" w:eastAsia="SimSun" w:hAnsi="Cambria Math"/>
                <w:lang w:val="en-GB"/>
              </w:rPr>
              <m:t>z</m:t>
            </m:r>
          </m:sub>
        </m:sSub>
      </m:oMath>
      <w:r w:rsidR="00A85032" w:rsidRPr="00B71D8D">
        <w:rPr>
          <w:rFonts w:eastAsia="SimSun"/>
          <w:lang w:val="en-GB"/>
        </w:rPr>
        <w:t xml:space="preserve"> – velocity of the fluid phase, m/s</w:t>
      </w:r>
    </w:p>
    <w:p w14:paraId="6B0B5F2B" w14:textId="6928E264" w:rsidR="00280FAF" w:rsidRPr="00B71D8D" w:rsidRDefault="00A85032" w:rsidP="00A85032">
      <w:pPr>
        <w:pStyle w:val="CETBodytext"/>
        <w:jc w:val="left"/>
        <w:rPr>
          <w:rFonts w:eastAsia="SimSun"/>
          <w:lang w:val="en-GB"/>
        </w:rPr>
      </w:pPr>
      <m:oMath>
        <m:r>
          <w:rPr>
            <w:rFonts w:ascii="Cambria Math" w:eastAsia="SimSun" w:hAnsi="Cambria Math"/>
            <w:lang w:val="en-GB"/>
          </w:rPr>
          <m:t>x, y, z</m:t>
        </m:r>
      </m:oMath>
      <w:r w:rsidR="00280FAF" w:rsidRPr="00B71D8D">
        <w:rPr>
          <w:rFonts w:eastAsia="SimSun"/>
          <w:lang w:val="en-GB"/>
        </w:rPr>
        <w:t xml:space="preserve"> – cartesian coordinates</w:t>
      </w:r>
      <w:r w:rsidR="00127F98" w:rsidRPr="00B71D8D">
        <w:rPr>
          <w:rFonts w:eastAsia="SimSun"/>
          <w:lang w:val="en-GB"/>
        </w:rPr>
        <w:t>, m</w:t>
      </w:r>
    </w:p>
    <w:p w14:paraId="06875AF8" w14:textId="7D312720" w:rsidR="00A85032" w:rsidRPr="00B71D8D" w:rsidRDefault="00CC3B6C" w:rsidP="00A85032">
      <w:pPr>
        <w:pStyle w:val="CETBodytext"/>
        <w:jc w:val="left"/>
        <w:rPr>
          <w:rFonts w:eastAsia="SimSun"/>
          <w:lang w:val="en-GB"/>
        </w:rPr>
      </w:pPr>
      <m:oMath>
        <m:r>
          <w:rPr>
            <w:rFonts w:ascii="Cambria Math" w:eastAsia="SimSun" w:hAnsi="Cambria Math" w:cs="Arial"/>
            <w:lang w:val="en-GB"/>
          </w:rPr>
          <m:t>α</m:t>
        </m:r>
      </m:oMath>
      <w:r w:rsidR="00280FAF" w:rsidRPr="00B71D8D">
        <w:rPr>
          <w:rFonts w:eastAsia="SimSun"/>
          <w:lang w:val="en-GB"/>
        </w:rPr>
        <w:t xml:space="preserve"> </w:t>
      </w:r>
      <w:r w:rsidRPr="00B71D8D">
        <w:rPr>
          <w:rFonts w:eastAsia="SimSun"/>
          <w:lang w:val="en-GB"/>
        </w:rPr>
        <w:t>–</w:t>
      </w:r>
      <w:r w:rsidR="00280FAF" w:rsidRPr="00B71D8D">
        <w:rPr>
          <w:rFonts w:eastAsia="SimSun"/>
          <w:lang w:val="en-GB"/>
        </w:rPr>
        <w:t xml:space="preserve"> heat transfer coefficient, W/(m</w:t>
      </w:r>
      <w:r w:rsidR="00280FAF" w:rsidRPr="00B71D8D">
        <w:rPr>
          <w:rFonts w:eastAsia="SimSun"/>
          <w:vertAlign w:val="superscript"/>
          <w:lang w:val="en-GB"/>
        </w:rPr>
        <w:t>2</w:t>
      </w:r>
      <w:r w:rsidR="00280FAF" w:rsidRPr="00B71D8D">
        <w:rPr>
          <w:rFonts w:ascii="Times New Roman" w:eastAsia="SimSun" w:hAnsi="Times New Roman"/>
          <w:lang w:val="en-GB"/>
        </w:rPr>
        <w:t>·</w:t>
      </w:r>
      <w:r w:rsidR="00280FAF" w:rsidRPr="00B71D8D">
        <w:rPr>
          <w:rFonts w:eastAsia="SimSun"/>
          <w:lang w:val="en-GB"/>
        </w:rPr>
        <w:t>K)</w:t>
      </w:r>
    </w:p>
    <w:p w14:paraId="61B6E392" w14:textId="15919782" w:rsidR="00127F98" w:rsidRPr="00B71D8D" w:rsidRDefault="00127F98" w:rsidP="00A85032">
      <w:pPr>
        <w:pStyle w:val="CETBodytext"/>
        <w:jc w:val="left"/>
        <w:rPr>
          <w:rFonts w:eastAsia="SimSun"/>
          <w:lang w:val="en-GB"/>
        </w:rPr>
      </w:pPr>
      <m:oMath>
        <m:r>
          <w:rPr>
            <w:rFonts w:ascii="Cambria Math" w:eastAsia="SimSun" w:hAnsi="Cambria Math" w:cs="Arial"/>
            <w:lang w:val="en-GB"/>
          </w:rPr>
          <m:t>γ</m:t>
        </m:r>
      </m:oMath>
      <w:r w:rsidRPr="00B71D8D">
        <w:rPr>
          <w:rFonts w:eastAsia="SimSun"/>
          <w:lang w:val="en-GB"/>
        </w:rPr>
        <w:t xml:space="preserve"> – cycle number, -</w:t>
      </w:r>
    </w:p>
    <w:p w14:paraId="0D6E073C" w14:textId="4EC3174E" w:rsidR="00127F98" w:rsidRPr="00B71D8D" w:rsidRDefault="00127F98" w:rsidP="00A85032">
      <w:pPr>
        <w:pStyle w:val="CETBodytext"/>
        <w:jc w:val="left"/>
        <w:rPr>
          <w:rFonts w:eastAsia="SimSun"/>
          <w:lang w:val="en-GB"/>
        </w:rPr>
      </w:pPr>
      <m:oMath>
        <m:r>
          <w:rPr>
            <w:rFonts w:ascii="Cambria Math" w:eastAsia="SimSun" w:hAnsi="Cambria Math" w:cs="Arial"/>
            <w:lang w:val="en-GB"/>
          </w:rPr>
          <m:t>ϵ</m:t>
        </m:r>
      </m:oMath>
      <w:r w:rsidRPr="00B71D8D">
        <w:rPr>
          <w:rFonts w:eastAsia="SimSun"/>
          <w:lang w:val="en-GB"/>
        </w:rPr>
        <w:t xml:space="preserve"> – heat exchanger efficiency, -</w:t>
      </w:r>
    </w:p>
    <w:p w14:paraId="337B0DA9" w14:textId="759B25B0" w:rsidR="00A85032" w:rsidRPr="00B71D8D" w:rsidRDefault="00000000" w:rsidP="00A85032">
      <w:pPr>
        <w:pStyle w:val="CETBodytext"/>
        <w:jc w:val="left"/>
        <w:rPr>
          <w:rFonts w:eastAsia="SimSun"/>
          <w:lang w:val="en-GB"/>
        </w:rPr>
      </w:pPr>
      <m:oMath>
        <m:sSub>
          <m:sSubPr>
            <m:ctrlPr>
              <w:rPr>
                <w:rFonts w:ascii="Cambria Math" w:eastAsia="SimSun" w:hAnsi="Cambria Math" w:cs="Arial"/>
                <w:i/>
                <w:lang w:val="en-GB"/>
              </w:rPr>
            </m:ctrlPr>
          </m:sSubPr>
          <m:e>
            <m:r>
              <w:rPr>
                <w:rFonts w:ascii="Cambria Math" w:eastAsia="SimSun" w:hAnsi="Cambria Math" w:cs="Arial"/>
                <w:lang w:val="en-GB"/>
              </w:rPr>
              <m:t>ρ</m:t>
            </m:r>
          </m:e>
          <m:sub>
            <m:r>
              <w:rPr>
                <w:rFonts w:ascii="Cambria Math" w:eastAsia="SimSun" w:hAnsi="Cambria Math" w:cs="Arial"/>
                <w:lang w:val="en-GB"/>
              </w:rPr>
              <m:t>G</m:t>
            </m:r>
          </m:sub>
        </m:sSub>
      </m:oMath>
      <w:r w:rsidR="00CC3B6C" w:rsidRPr="00B71D8D">
        <w:rPr>
          <w:rFonts w:eastAsia="SimSun"/>
          <w:lang w:val="en-GB"/>
        </w:rPr>
        <w:t xml:space="preserve"> </w:t>
      </w:r>
      <w:r w:rsidR="00280FAF" w:rsidRPr="00B71D8D">
        <w:rPr>
          <w:rFonts w:eastAsia="SimSun"/>
          <w:lang w:val="en-GB"/>
        </w:rPr>
        <w:t>–</w:t>
      </w:r>
      <w:r w:rsidR="00CC3B6C" w:rsidRPr="00B71D8D">
        <w:rPr>
          <w:rFonts w:eastAsia="SimSun"/>
          <w:lang w:val="en-GB"/>
        </w:rPr>
        <w:t xml:space="preserve"> gas</w:t>
      </w:r>
      <w:r w:rsidR="006F7938" w:rsidRPr="00B71D8D">
        <w:rPr>
          <w:rFonts w:eastAsia="SimSun"/>
          <w:lang w:val="en-GB"/>
        </w:rPr>
        <w:t>-</w:t>
      </w:r>
      <w:r w:rsidR="00CC3B6C" w:rsidRPr="00B71D8D">
        <w:rPr>
          <w:rFonts w:eastAsia="SimSun"/>
          <w:lang w:val="en-GB"/>
        </w:rPr>
        <w:t>phase density</w:t>
      </w:r>
      <w:r w:rsidR="00280FAF" w:rsidRPr="00B71D8D">
        <w:rPr>
          <w:rFonts w:eastAsia="SimSun"/>
          <w:lang w:val="en-GB"/>
        </w:rPr>
        <w:t xml:space="preserve">, </w:t>
      </w:r>
      <w:r w:rsidR="00CC3B6C" w:rsidRPr="00B71D8D">
        <w:rPr>
          <w:rFonts w:eastAsia="SimSun"/>
          <w:lang w:val="en-GB"/>
        </w:rPr>
        <w:t>kg/m³</w:t>
      </w:r>
    </w:p>
    <w:p w14:paraId="6D466925" w14:textId="26F9D6A9" w:rsidR="00A85032" w:rsidRPr="00B71D8D" w:rsidRDefault="00000000" w:rsidP="00A85032">
      <w:pPr>
        <w:pStyle w:val="CETBodytext"/>
        <w:jc w:val="left"/>
        <w:rPr>
          <w:rFonts w:eastAsia="SimSun"/>
          <w:lang w:val="en-GB"/>
        </w:rPr>
      </w:pPr>
      <m:oMath>
        <m:sSub>
          <m:sSubPr>
            <m:ctrlPr>
              <w:rPr>
                <w:rFonts w:ascii="Cambria Math" w:eastAsia="SimSun" w:hAnsi="Cambria Math" w:cs="Arial"/>
                <w:i/>
                <w:lang w:val="en-GB"/>
              </w:rPr>
            </m:ctrlPr>
          </m:sSubPr>
          <m:e>
            <m:r>
              <w:rPr>
                <w:rFonts w:ascii="Cambria Math" w:eastAsia="SimSun" w:hAnsi="Cambria Math" w:cs="Arial"/>
                <w:lang w:val="en-GB"/>
              </w:rPr>
              <m:t>ρ</m:t>
            </m:r>
          </m:e>
          <m:sub>
            <m:r>
              <w:rPr>
                <w:rFonts w:ascii="Cambria Math" w:eastAsia="SimSun" w:hAnsi="Cambria Math" w:cs="Arial"/>
                <w:lang w:val="en-GB"/>
              </w:rPr>
              <m:t>L</m:t>
            </m:r>
          </m:sub>
        </m:sSub>
      </m:oMath>
      <w:r w:rsidR="00A85032" w:rsidRPr="00B71D8D">
        <w:rPr>
          <w:rFonts w:eastAsia="SimSun"/>
          <w:lang w:val="en-GB"/>
        </w:rPr>
        <w:t xml:space="preserve"> – liquid</w:t>
      </w:r>
      <w:r w:rsidR="006F7938" w:rsidRPr="00B71D8D">
        <w:rPr>
          <w:rFonts w:eastAsia="SimSun"/>
          <w:lang w:val="en-GB"/>
        </w:rPr>
        <w:t>-</w:t>
      </w:r>
      <w:r w:rsidR="00A85032" w:rsidRPr="00B71D8D">
        <w:rPr>
          <w:rFonts w:eastAsia="SimSun"/>
          <w:lang w:val="en-GB"/>
        </w:rPr>
        <w:t>phase density, kg/m³</w:t>
      </w:r>
    </w:p>
    <w:p w14:paraId="62B0DF5A" w14:textId="3FAACB5A" w:rsidR="00A85032" w:rsidRPr="00B71D8D" w:rsidRDefault="00000000" w:rsidP="00A85032">
      <w:pPr>
        <w:pStyle w:val="CETBodytext"/>
        <w:jc w:val="left"/>
        <w:rPr>
          <w:rFonts w:eastAsia="SimSun"/>
          <w:lang w:val="en-GB"/>
        </w:rPr>
      </w:pPr>
      <m:oMath>
        <m:sSub>
          <m:sSubPr>
            <m:ctrlPr>
              <w:rPr>
                <w:rFonts w:ascii="Cambria Math" w:eastAsia="SimSun" w:hAnsi="Cambria Math" w:cs="Arial"/>
                <w:i/>
                <w:lang w:val="en-GB"/>
              </w:rPr>
            </m:ctrlPr>
          </m:sSubPr>
          <m:e>
            <m:r>
              <w:rPr>
                <w:rFonts w:ascii="Cambria Math" w:eastAsia="SimSun" w:hAnsi="Cambria Math" w:cs="Arial"/>
                <w:lang w:val="en-GB"/>
              </w:rPr>
              <m:t>ρ</m:t>
            </m:r>
          </m:e>
          <m:sub>
            <m:r>
              <w:rPr>
                <w:rFonts w:ascii="Cambria Math" w:eastAsia="SimSun" w:hAnsi="Cambria Math" w:cs="Arial"/>
                <w:lang w:val="en-GB"/>
              </w:rPr>
              <m:t>tp</m:t>
            </m:r>
          </m:sub>
        </m:sSub>
      </m:oMath>
      <w:r w:rsidR="00A85032" w:rsidRPr="00B71D8D">
        <w:rPr>
          <w:rFonts w:eastAsia="SimSun"/>
          <w:lang w:val="en-GB"/>
        </w:rPr>
        <w:t xml:space="preserve"> – two</w:t>
      </w:r>
      <w:r w:rsidR="006F7938" w:rsidRPr="00B71D8D">
        <w:rPr>
          <w:rFonts w:eastAsia="SimSun"/>
          <w:lang w:val="en-GB"/>
        </w:rPr>
        <w:t>-</w:t>
      </w:r>
      <w:r w:rsidR="00A85032" w:rsidRPr="00B71D8D">
        <w:rPr>
          <w:rFonts w:eastAsia="SimSun"/>
          <w:lang w:val="en-GB"/>
        </w:rPr>
        <w:t>phase flow density, kg/m³</w:t>
      </w:r>
    </w:p>
    <w:p w14:paraId="56537870" w14:textId="6E22E0E7" w:rsidR="00034D45" w:rsidRPr="00B71D8D" w:rsidRDefault="00551DD7" w:rsidP="00A85032">
      <w:pPr>
        <w:pStyle w:val="CETBodytext"/>
        <w:jc w:val="left"/>
        <w:rPr>
          <w:rFonts w:eastAsia="SimSun"/>
          <w:lang w:val="en-GB"/>
        </w:rPr>
      </w:pPr>
      <m:oMath>
        <m:r>
          <w:rPr>
            <w:rFonts w:ascii="Cambria Math" w:eastAsia="SimSun" w:hAnsi="Cambria Math" w:cs="Arial"/>
            <w:lang w:val="en-GB"/>
          </w:rPr>
          <m:t>τ</m:t>
        </m:r>
      </m:oMath>
      <w:r w:rsidR="00034D45" w:rsidRPr="00B71D8D">
        <w:rPr>
          <w:rFonts w:eastAsia="SimSun"/>
          <w:lang w:val="en-GB"/>
        </w:rPr>
        <w:t xml:space="preserve"> – </w:t>
      </w:r>
      <w:r w:rsidR="0047489A" w:rsidRPr="00B71D8D">
        <w:rPr>
          <w:rFonts w:eastAsia="SimSun"/>
          <w:lang w:val="en-GB"/>
        </w:rPr>
        <w:t>cycle</w:t>
      </w:r>
      <w:r w:rsidR="00034D45" w:rsidRPr="00B71D8D">
        <w:rPr>
          <w:rFonts w:eastAsia="SimSun"/>
          <w:lang w:val="en-GB"/>
        </w:rPr>
        <w:t xml:space="preserve"> period, s</w:t>
      </w:r>
    </w:p>
    <w:p w14:paraId="27949F45" w14:textId="0DD44A66" w:rsidR="00A85032" w:rsidRPr="00B71D8D" w:rsidRDefault="00A85032" w:rsidP="00A85032">
      <w:pPr>
        <w:pStyle w:val="CETBodytext"/>
        <w:jc w:val="left"/>
        <w:rPr>
          <w:rFonts w:eastAsia="SimSun"/>
          <w:lang w:val="en-GB"/>
        </w:rPr>
      </w:pPr>
      <m:oMath>
        <m:r>
          <w:rPr>
            <w:rFonts w:ascii="Cambria Math" w:eastAsia="SimSun" w:hAnsi="Cambria Math" w:cs="Arial"/>
            <w:lang w:val="en-GB"/>
          </w:rPr>
          <m:t>φ</m:t>
        </m:r>
      </m:oMath>
      <w:r w:rsidRPr="00B71D8D">
        <w:rPr>
          <w:rFonts w:eastAsia="SimSun"/>
          <w:lang w:val="en-GB"/>
        </w:rPr>
        <w:t xml:space="preserve"> – vapo</w:t>
      </w:r>
      <w:r w:rsidR="00EA5A04" w:rsidRPr="00B71D8D">
        <w:rPr>
          <w:rFonts w:eastAsia="SimSun"/>
          <w:lang w:val="en-GB"/>
        </w:rPr>
        <w:t>u</w:t>
      </w:r>
      <w:r w:rsidRPr="00B71D8D">
        <w:rPr>
          <w:rFonts w:eastAsia="SimSun"/>
          <w:lang w:val="en-GB"/>
        </w:rPr>
        <w:t>r volume fraction, -</w:t>
      </w:r>
    </w:p>
    <w:p w14:paraId="38BFE636" w14:textId="0BAEE140" w:rsidR="00280FAF" w:rsidRPr="00B71D8D" w:rsidRDefault="00280FAF" w:rsidP="00A85032">
      <w:pPr>
        <w:pStyle w:val="CETBodytext"/>
        <w:jc w:val="left"/>
        <w:rPr>
          <w:rFonts w:eastAsia="SimSun"/>
          <w:lang w:val="en-GB"/>
        </w:rPr>
        <w:sectPr w:rsidR="00280FAF" w:rsidRPr="00B71D8D" w:rsidSect="003D2295">
          <w:type w:val="continuous"/>
          <w:pgSz w:w="11906" w:h="16838" w:code="9"/>
          <w:pgMar w:top="1701" w:right="1418" w:bottom="1701" w:left="1701" w:header="1701" w:footer="0" w:gutter="0"/>
          <w:cols w:num="2" w:space="708"/>
          <w:formProt w:val="0"/>
          <w:titlePg/>
          <w:docGrid w:linePitch="360"/>
        </w:sectPr>
      </w:pPr>
    </w:p>
    <w:p w14:paraId="459D05E6" w14:textId="70830A60" w:rsidR="00600535" w:rsidRPr="00B71D8D" w:rsidRDefault="00600535" w:rsidP="00600535">
      <w:pPr>
        <w:pStyle w:val="CETAcknowledgementstitle"/>
      </w:pPr>
      <w:r w:rsidRPr="00B71D8D">
        <w:t>Acknowledg</w:t>
      </w:r>
      <w:r w:rsidR="007D55C6" w:rsidRPr="00B71D8D">
        <w:t>e</w:t>
      </w:r>
      <w:r w:rsidRPr="00B71D8D">
        <w:t>ment</w:t>
      </w:r>
    </w:p>
    <w:p w14:paraId="33F8138F" w14:textId="7D2AAAED" w:rsidR="00600535" w:rsidRPr="00B71D8D" w:rsidRDefault="00C924CB" w:rsidP="00E96BCA">
      <w:pPr>
        <w:pStyle w:val="CETBodytext"/>
        <w:rPr>
          <w:lang w:val="en-GB"/>
        </w:rPr>
      </w:pPr>
      <w:r w:rsidRPr="00B71D8D">
        <w:rPr>
          <w:rStyle w:val="fontstyle01"/>
          <w:rFonts w:ascii="Arial" w:hAnsi="Arial"/>
          <w:color w:val="auto"/>
          <w:sz w:val="18"/>
          <w:szCs w:val="20"/>
        </w:rPr>
        <w:t>This project has received funding from the European Union’s Horizon 2020 research and</w:t>
      </w:r>
      <w:r w:rsidR="008B77F3" w:rsidRPr="00B71D8D">
        <w:rPr>
          <w:rStyle w:val="fontstyle01"/>
          <w:rFonts w:ascii="Arial" w:hAnsi="Arial"/>
          <w:color w:val="auto"/>
          <w:sz w:val="18"/>
          <w:szCs w:val="20"/>
        </w:rPr>
        <w:t xml:space="preserve"> </w:t>
      </w:r>
      <w:r w:rsidRPr="00B71D8D">
        <w:rPr>
          <w:rStyle w:val="fontstyle01"/>
          <w:rFonts w:ascii="Arial" w:hAnsi="Arial"/>
          <w:color w:val="auto"/>
          <w:sz w:val="18"/>
          <w:szCs w:val="20"/>
        </w:rPr>
        <w:t>innovation program under grant agreement No 764042</w:t>
      </w:r>
      <w:r w:rsidR="007D55C6" w:rsidRPr="00B71D8D">
        <w:rPr>
          <w:rStyle w:val="fontstyle01"/>
          <w:rFonts w:ascii="Arial" w:hAnsi="Arial"/>
          <w:color w:val="auto"/>
          <w:sz w:val="18"/>
          <w:szCs w:val="20"/>
        </w:rPr>
        <w:t>.</w:t>
      </w:r>
    </w:p>
    <w:p w14:paraId="4F1327F8" w14:textId="77777777" w:rsidR="00600535" w:rsidRPr="00B71D8D" w:rsidRDefault="00600535" w:rsidP="00600535">
      <w:pPr>
        <w:pStyle w:val="CETReference"/>
      </w:pPr>
      <w:r w:rsidRPr="00B71D8D">
        <w:t>References</w:t>
      </w:r>
    </w:p>
    <w:p w14:paraId="472CE195" w14:textId="7E83A6AB" w:rsidR="00F54153" w:rsidRPr="00B71D8D" w:rsidRDefault="00F54153" w:rsidP="00F54153">
      <w:pPr>
        <w:pStyle w:val="CETReferencetext"/>
      </w:pPr>
      <w:r w:rsidRPr="00B71D8D">
        <w:t>Akers W.W., Rosson H.F., 1960, Condensation inside a horizontal tube, Chemical Engineering Progress Symposium, 56, 145</w:t>
      </w:r>
      <w:r w:rsidR="008476B4" w:rsidRPr="00B71D8D">
        <w:t>-</w:t>
      </w:r>
      <w:r w:rsidRPr="00B71D8D">
        <w:t>149.</w:t>
      </w:r>
    </w:p>
    <w:p w14:paraId="2C0302AB" w14:textId="5EFE21CB" w:rsidR="00F54153" w:rsidRPr="00B71D8D" w:rsidRDefault="00F54153" w:rsidP="00600535">
      <w:pPr>
        <w:pStyle w:val="CETReferencetext"/>
      </w:pPr>
      <w:r w:rsidRPr="00B71D8D">
        <w:t>Glushenkov M., Kronberg A., Knoke T., Kenig E.Y., 2018, Isobaric expansion engines: new opportunities in energy conversion for heat engines, pumps and compressors, Energies, 11, 154</w:t>
      </w:r>
      <w:r w:rsidR="009A01C9" w:rsidRPr="00B71D8D">
        <w:t>-</w:t>
      </w:r>
      <w:r w:rsidRPr="00B71D8D">
        <w:t>175.</w:t>
      </w:r>
    </w:p>
    <w:p w14:paraId="3690CEA6" w14:textId="1739E5AA" w:rsidR="00F54153" w:rsidRPr="00B71D8D" w:rsidRDefault="00F54153" w:rsidP="00F54153">
      <w:pPr>
        <w:pStyle w:val="CETReferencetext"/>
      </w:pPr>
      <w:r w:rsidRPr="00B71D8D">
        <w:t>Gnielinski V., 1995, A new mathematical</w:t>
      </w:r>
      <w:r w:rsidR="005159C7" w:rsidRPr="00B71D8D">
        <w:t xml:space="preserve"> calculation</w:t>
      </w:r>
      <w:r w:rsidRPr="00B71D8D">
        <w:t xml:space="preserve"> method for the heat transfer in the transition regime between laminar and turbulent pipe flow (in German), Forschung im Ingenieurwesen, 61, 240</w:t>
      </w:r>
      <w:r w:rsidR="009A01C9" w:rsidRPr="00B71D8D">
        <w:t>-</w:t>
      </w:r>
      <w:r w:rsidRPr="00B71D8D">
        <w:t>248.</w:t>
      </w:r>
    </w:p>
    <w:p w14:paraId="232C6102" w14:textId="1695AABF" w:rsidR="004C6C25" w:rsidRPr="00B71D8D" w:rsidRDefault="004C6C25" w:rsidP="00F54153">
      <w:pPr>
        <w:pStyle w:val="CETReferencetext"/>
      </w:pPr>
      <w:r w:rsidRPr="00B71D8D">
        <w:t>Gungor K.E., Winterton R.H.S., 1986, A general correlation for flow boiling in tubes and annuli, International Journal of Heat and Mass Transfer, 29, 351-358</w:t>
      </w:r>
      <w:r w:rsidR="00BC051C" w:rsidRPr="00B71D8D">
        <w:t>.</w:t>
      </w:r>
    </w:p>
    <w:p w14:paraId="06C40E33" w14:textId="2F4C8900" w:rsidR="005462C7" w:rsidRPr="00B71D8D" w:rsidRDefault="005462C7" w:rsidP="00F54153">
      <w:pPr>
        <w:pStyle w:val="CETReferencetext"/>
      </w:pPr>
      <w:r w:rsidRPr="00B71D8D">
        <w:t xml:space="preserve">Invernizzi C.M., 2010, Stirling engines using working fluids with strong real gas effects, Applied </w:t>
      </w:r>
      <w:r w:rsidR="00995A46" w:rsidRPr="00B71D8D">
        <w:t>T</w:t>
      </w:r>
      <w:r w:rsidRPr="00B71D8D">
        <w:t>hermal Engineering, 30, 1703-1710.</w:t>
      </w:r>
    </w:p>
    <w:p w14:paraId="6732008F" w14:textId="4029EA88" w:rsidR="00E02D23" w:rsidRPr="00B71D8D" w:rsidRDefault="00E02D23" w:rsidP="00F54153">
      <w:pPr>
        <w:pStyle w:val="CETReferencetext"/>
      </w:pPr>
      <w:r w:rsidRPr="00B71D8D">
        <w:t>Kim S.-M., Mudawar I., 2014, Review of database and predictive methods for heat transfer in condensing and boiling mini/micro-channel flows, International Journal of Heat and Mass Transfer, 77, 627</w:t>
      </w:r>
      <w:r w:rsidR="009A01C9" w:rsidRPr="00B71D8D">
        <w:t>-</w:t>
      </w:r>
      <w:r w:rsidRPr="00B71D8D">
        <w:t>652.</w:t>
      </w:r>
    </w:p>
    <w:p w14:paraId="1E5741DA" w14:textId="40AEE135" w:rsidR="00543051" w:rsidRPr="00B71D8D" w:rsidRDefault="00543051" w:rsidP="00F54153">
      <w:pPr>
        <w:pStyle w:val="CETReferencetext"/>
      </w:pPr>
      <w:r w:rsidRPr="00B71D8D">
        <w:t>Knoke T., Kronberg A., Glushenkov M., Kenig E.Y., 2020, On the design of heat exchanger equipment for novel-type isobaric expansion engines,</w:t>
      </w:r>
      <w:r w:rsidR="00985147" w:rsidRPr="00B71D8D">
        <w:t xml:space="preserve"> Applied Thermal Engineering, 167, 114382.</w:t>
      </w:r>
    </w:p>
    <w:p w14:paraId="19C4FC68" w14:textId="21F7FBDA" w:rsidR="004628D2" w:rsidRPr="00B71D8D" w:rsidRDefault="003A611A" w:rsidP="004C6C25">
      <w:pPr>
        <w:pStyle w:val="CETReferencetext"/>
      </w:pPr>
      <w:r w:rsidRPr="00B71D8D">
        <w:t xml:space="preserve">Mokry S., Pioro I., Farah A., King K., Gupta K., Peiman W., Kirillov P., 2011, </w:t>
      </w:r>
      <w:r w:rsidR="00EA5A04" w:rsidRPr="00B71D8D">
        <w:t>Development</w:t>
      </w:r>
      <w:r w:rsidRPr="00B71D8D">
        <w:t xml:space="preserve"> of supercritical water heat-transfer correlation for vertical bare tubes, Nuclear Engineering and Design, 241, 1126</w:t>
      </w:r>
      <w:r w:rsidR="009A01C9" w:rsidRPr="00B71D8D">
        <w:t>-</w:t>
      </w:r>
      <w:r w:rsidRPr="00B71D8D">
        <w:t>1136</w:t>
      </w:r>
      <w:r w:rsidR="005159C7" w:rsidRPr="00B71D8D">
        <w:t>.</w:t>
      </w:r>
    </w:p>
    <w:p w14:paraId="418590BE" w14:textId="528FE94E" w:rsidR="00CC2F2A" w:rsidRPr="00290F4F" w:rsidRDefault="00CC2F2A" w:rsidP="004C6C25">
      <w:pPr>
        <w:pStyle w:val="CETReferencetext"/>
      </w:pPr>
      <w:r w:rsidRPr="00B71D8D">
        <w:t>NIST, Reference Fluid Thermodynamic and Transport Properties Database (REFP</w:t>
      </w:r>
      <w:r w:rsidR="00B32F5C" w:rsidRPr="00B71D8D">
        <w:t>ROP); Version 9.1, https://www.nist.gov/srd/reprop, 2019</w:t>
      </w:r>
      <w:r w:rsidR="0041696A" w:rsidRPr="00B71D8D">
        <w:t>.</w:t>
      </w:r>
    </w:p>
    <w:sectPr w:rsidR="00CC2F2A" w:rsidRPr="00290F4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1E50" w14:textId="77777777" w:rsidR="00842430" w:rsidRDefault="00842430" w:rsidP="004F5E36">
      <w:r>
        <w:separator/>
      </w:r>
    </w:p>
  </w:endnote>
  <w:endnote w:type="continuationSeparator" w:id="0">
    <w:p w14:paraId="2AACF8B1" w14:textId="77777777" w:rsidR="00842430" w:rsidRDefault="008424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E5F1" w14:textId="77777777" w:rsidR="00842430" w:rsidRDefault="00842430" w:rsidP="004F5E36">
      <w:r>
        <w:separator/>
      </w:r>
    </w:p>
  </w:footnote>
  <w:footnote w:type="continuationSeparator" w:id="0">
    <w:p w14:paraId="7AEB6DBC" w14:textId="77777777" w:rsidR="00842430" w:rsidRDefault="0084243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730F48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E743B6"/>
    <w:multiLevelType w:val="hybridMultilevel"/>
    <w:tmpl w:val="D3249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A9B6599"/>
    <w:multiLevelType w:val="hybridMultilevel"/>
    <w:tmpl w:val="BD26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E07406"/>
    <w:multiLevelType w:val="hybridMultilevel"/>
    <w:tmpl w:val="8970EE1C"/>
    <w:lvl w:ilvl="0" w:tplc="4E7E96E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061FAF"/>
    <w:multiLevelType w:val="hybridMultilevel"/>
    <w:tmpl w:val="D2F230E0"/>
    <w:lvl w:ilvl="0" w:tplc="9C5E5ED6">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030AFC"/>
    <w:multiLevelType w:val="hybridMultilevel"/>
    <w:tmpl w:val="13AAE0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5B07FD"/>
    <w:multiLevelType w:val="hybridMultilevel"/>
    <w:tmpl w:val="5490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312665"/>
    <w:multiLevelType w:val="hybridMultilevel"/>
    <w:tmpl w:val="72D60218"/>
    <w:lvl w:ilvl="0" w:tplc="56C8BA8E">
      <w:start w:val="6"/>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60368267">
    <w:abstractNumId w:val="10"/>
  </w:num>
  <w:num w:numId="2" w16cid:durableId="626469283">
    <w:abstractNumId w:val="8"/>
  </w:num>
  <w:num w:numId="3" w16cid:durableId="1648240801">
    <w:abstractNumId w:val="3"/>
  </w:num>
  <w:num w:numId="4" w16cid:durableId="353043859">
    <w:abstractNumId w:val="2"/>
  </w:num>
  <w:num w:numId="5" w16cid:durableId="1011881836">
    <w:abstractNumId w:val="1"/>
  </w:num>
  <w:num w:numId="6" w16cid:durableId="993023140">
    <w:abstractNumId w:val="0"/>
  </w:num>
  <w:num w:numId="7" w16cid:durableId="278728400">
    <w:abstractNumId w:val="9"/>
  </w:num>
  <w:num w:numId="8" w16cid:durableId="301229476">
    <w:abstractNumId w:val="7"/>
  </w:num>
  <w:num w:numId="9" w16cid:durableId="8027408">
    <w:abstractNumId w:val="6"/>
  </w:num>
  <w:num w:numId="10" w16cid:durableId="1124811148">
    <w:abstractNumId w:val="5"/>
  </w:num>
  <w:num w:numId="11" w16cid:durableId="290717920">
    <w:abstractNumId w:val="4"/>
  </w:num>
  <w:num w:numId="12" w16cid:durableId="1367103866">
    <w:abstractNumId w:val="20"/>
  </w:num>
  <w:num w:numId="13" w16cid:durableId="1842814457">
    <w:abstractNumId w:val="12"/>
  </w:num>
  <w:num w:numId="14" w16cid:durableId="1110319462">
    <w:abstractNumId w:val="21"/>
  </w:num>
  <w:num w:numId="15" w16cid:durableId="996110633">
    <w:abstractNumId w:val="24"/>
  </w:num>
  <w:num w:numId="16" w16cid:durableId="843057036">
    <w:abstractNumId w:val="23"/>
  </w:num>
  <w:num w:numId="17" w16cid:durableId="1163206274">
    <w:abstractNumId w:val="11"/>
  </w:num>
  <w:num w:numId="18" w16cid:durableId="827094993">
    <w:abstractNumId w:val="12"/>
    <w:lvlOverride w:ilvl="0">
      <w:startOverride w:val="1"/>
    </w:lvlOverride>
  </w:num>
  <w:num w:numId="19" w16cid:durableId="76097987">
    <w:abstractNumId w:val="19"/>
  </w:num>
  <w:num w:numId="20" w16cid:durableId="630214166">
    <w:abstractNumId w:val="17"/>
  </w:num>
  <w:num w:numId="21" w16cid:durableId="1162697727">
    <w:abstractNumId w:val="15"/>
  </w:num>
  <w:num w:numId="22" w16cid:durableId="1265963547">
    <w:abstractNumId w:val="14"/>
  </w:num>
  <w:num w:numId="23" w16cid:durableId="1189027335">
    <w:abstractNumId w:val="16"/>
  </w:num>
  <w:num w:numId="24" w16cid:durableId="1354570390">
    <w:abstractNumId w:val="10"/>
  </w:num>
  <w:num w:numId="25" w16cid:durableId="2076472342">
    <w:abstractNumId w:val="26"/>
  </w:num>
  <w:num w:numId="26" w16cid:durableId="1046218655">
    <w:abstractNumId w:val="13"/>
  </w:num>
  <w:num w:numId="27" w16cid:durableId="352193990">
    <w:abstractNumId w:val="25"/>
  </w:num>
  <w:num w:numId="28" w16cid:durableId="1169826606">
    <w:abstractNumId w:val="22"/>
  </w:num>
  <w:num w:numId="29" w16cid:durableId="1323776928">
    <w:abstractNumId w:val="18"/>
  </w:num>
  <w:num w:numId="30" w16cid:durableId="6860999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5A"/>
    <w:rsid w:val="000027C0"/>
    <w:rsid w:val="000052FB"/>
    <w:rsid w:val="0001067C"/>
    <w:rsid w:val="0001098B"/>
    <w:rsid w:val="000117CB"/>
    <w:rsid w:val="0002489C"/>
    <w:rsid w:val="0003148D"/>
    <w:rsid w:val="00031EEC"/>
    <w:rsid w:val="00034CF3"/>
    <w:rsid w:val="00034D45"/>
    <w:rsid w:val="00041F91"/>
    <w:rsid w:val="00042094"/>
    <w:rsid w:val="000421A6"/>
    <w:rsid w:val="00046046"/>
    <w:rsid w:val="00050E7E"/>
    <w:rsid w:val="00051566"/>
    <w:rsid w:val="00052E4C"/>
    <w:rsid w:val="000556A6"/>
    <w:rsid w:val="00062A9A"/>
    <w:rsid w:val="00063436"/>
    <w:rsid w:val="00065058"/>
    <w:rsid w:val="000724DD"/>
    <w:rsid w:val="00072D0C"/>
    <w:rsid w:val="00076CC9"/>
    <w:rsid w:val="000812F8"/>
    <w:rsid w:val="000815AE"/>
    <w:rsid w:val="000829D1"/>
    <w:rsid w:val="00083D8F"/>
    <w:rsid w:val="00086C39"/>
    <w:rsid w:val="00091E61"/>
    <w:rsid w:val="00092E18"/>
    <w:rsid w:val="000A03B2"/>
    <w:rsid w:val="000A3B36"/>
    <w:rsid w:val="000A6274"/>
    <w:rsid w:val="000B132D"/>
    <w:rsid w:val="000B4700"/>
    <w:rsid w:val="000B51EA"/>
    <w:rsid w:val="000C33BC"/>
    <w:rsid w:val="000D014E"/>
    <w:rsid w:val="000D0268"/>
    <w:rsid w:val="000D2000"/>
    <w:rsid w:val="000D34BE"/>
    <w:rsid w:val="000D3EF7"/>
    <w:rsid w:val="000D4567"/>
    <w:rsid w:val="000D7030"/>
    <w:rsid w:val="000E102F"/>
    <w:rsid w:val="000E239B"/>
    <w:rsid w:val="000E36F1"/>
    <w:rsid w:val="000E3A73"/>
    <w:rsid w:val="000E414A"/>
    <w:rsid w:val="000E6ECA"/>
    <w:rsid w:val="000F093C"/>
    <w:rsid w:val="000F2FED"/>
    <w:rsid w:val="000F3CF8"/>
    <w:rsid w:val="000F5E8C"/>
    <w:rsid w:val="000F787B"/>
    <w:rsid w:val="00101197"/>
    <w:rsid w:val="00114C86"/>
    <w:rsid w:val="001152B9"/>
    <w:rsid w:val="001200E0"/>
    <w:rsid w:val="0012091F"/>
    <w:rsid w:val="00121EFA"/>
    <w:rsid w:val="00125463"/>
    <w:rsid w:val="00125DAB"/>
    <w:rsid w:val="00126BC2"/>
    <w:rsid w:val="00127F98"/>
    <w:rsid w:val="001308B6"/>
    <w:rsid w:val="0013121F"/>
    <w:rsid w:val="00131FA3"/>
    <w:rsid w:val="00131FE6"/>
    <w:rsid w:val="0013263F"/>
    <w:rsid w:val="001331DF"/>
    <w:rsid w:val="00134DE4"/>
    <w:rsid w:val="00135579"/>
    <w:rsid w:val="0014034D"/>
    <w:rsid w:val="001404CC"/>
    <w:rsid w:val="001411AF"/>
    <w:rsid w:val="00144D16"/>
    <w:rsid w:val="00145406"/>
    <w:rsid w:val="00150E59"/>
    <w:rsid w:val="001513D2"/>
    <w:rsid w:val="00152DE3"/>
    <w:rsid w:val="00157B14"/>
    <w:rsid w:val="00157D1C"/>
    <w:rsid w:val="00160B43"/>
    <w:rsid w:val="0016290C"/>
    <w:rsid w:val="00163E27"/>
    <w:rsid w:val="00164CF9"/>
    <w:rsid w:val="001667A6"/>
    <w:rsid w:val="00170790"/>
    <w:rsid w:val="001772C7"/>
    <w:rsid w:val="00181B32"/>
    <w:rsid w:val="00184AD6"/>
    <w:rsid w:val="00184B0F"/>
    <w:rsid w:val="0018672B"/>
    <w:rsid w:val="001868AC"/>
    <w:rsid w:val="001874F1"/>
    <w:rsid w:val="00187E16"/>
    <w:rsid w:val="001947F5"/>
    <w:rsid w:val="0019493B"/>
    <w:rsid w:val="0019731F"/>
    <w:rsid w:val="00197773"/>
    <w:rsid w:val="001A2ECC"/>
    <w:rsid w:val="001A46EF"/>
    <w:rsid w:val="001A4AF7"/>
    <w:rsid w:val="001A5752"/>
    <w:rsid w:val="001B0349"/>
    <w:rsid w:val="001B11F9"/>
    <w:rsid w:val="001B1E93"/>
    <w:rsid w:val="001B1F03"/>
    <w:rsid w:val="001B3506"/>
    <w:rsid w:val="001B36FE"/>
    <w:rsid w:val="001B3810"/>
    <w:rsid w:val="001B65C1"/>
    <w:rsid w:val="001B6A69"/>
    <w:rsid w:val="001B72DB"/>
    <w:rsid w:val="001C0A93"/>
    <w:rsid w:val="001C5117"/>
    <w:rsid w:val="001C684B"/>
    <w:rsid w:val="001C7776"/>
    <w:rsid w:val="001D0849"/>
    <w:rsid w:val="001D0CFB"/>
    <w:rsid w:val="001D21AF"/>
    <w:rsid w:val="001D3708"/>
    <w:rsid w:val="001D53FC"/>
    <w:rsid w:val="001D5C8E"/>
    <w:rsid w:val="001E3400"/>
    <w:rsid w:val="001E5677"/>
    <w:rsid w:val="001E77A2"/>
    <w:rsid w:val="001F18D9"/>
    <w:rsid w:val="001F2F8E"/>
    <w:rsid w:val="001F42A5"/>
    <w:rsid w:val="001F538D"/>
    <w:rsid w:val="001F7B9D"/>
    <w:rsid w:val="002008FA"/>
    <w:rsid w:val="00201C93"/>
    <w:rsid w:val="00203337"/>
    <w:rsid w:val="002132C9"/>
    <w:rsid w:val="00215167"/>
    <w:rsid w:val="002152EE"/>
    <w:rsid w:val="00215692"/>
    <w:rsid w:val="00220F20"/>
    <w:rsid w:val="00220F8B"/>
    <w:rsid w:val="002224B4"/>
    <w:rsid w:val="002224EC"/>
    <w:rsid w:val="00224233"/>
    <w:rsid w:val="00224CF7"/>
    <w:rsid w:val="00227140"/>
    <w:rsid w:val="00232A59"/>
    <w:rsid w:val="00233CDF"/>
    <w:rsid w:val="00241C73"/>
    <w:rsid w:val="002447EF"/>
    <w:rsid w:val="00244F18"/>
    <w:rsid w:val="00250AF5"/>
    <w:rsid w:val="0025145D"/>
    <w:rsid w:val="00251550"/>
    <w:rsid w:val="00251B9B"/>
    <w:rsid w:val="002536B1"/>
    <w:rsid w:val="00254631"/>
    <w:rsid w:val="00260D4D"/>
    <w:rsid w:val="002624AC"/>
    <w:rsid w:val="00263B05"/>
    <w:rsid w:val="00263C7F"/>
    <w:rsid w:val="00267D98"/>
    <w:rsid w:val="002708D3"/>
    <w:rsid w:val="0027221A"/>
    <w:rsid w:val="00273BC8"/>
    <w:rsid w:val="00274A9C"/>
    <w:rsid w:val="00274E88"/>
    <w:rsid w:val="00275B61"/>
    <w:rsid w:val="00280FAF"/>
    <w:rsid w:val="00282656"/>
    <w:rsid w:val="002852B2"/>
    <w:rsid w:val="0028555A"/>
    <w:rsid w:val="00290F4F"/>
    <w:rsid w:val="002916B3"/>
    <w:rsid w:val="00294D4A"/>
    <w:rsid w:val="00294FB0"/>
    <w:rsid w:val="00296B83"/>
    <w:rsid w:val="002A099B"/>
    <w:rsid w:val="002A12E8"/>
    <w:rsid w:val="002A4F69"/>
    <w:rsid w:val="002A7398"/>
    <w:rsid w:val="002A74C8"/>
    <w:rsid w:val="002B2239"/>
    <w:rsid w:val="002B4015"/>
    <w:rsid w:val="002B476F"/>
    <w:rsid w:val="002B48D3"/>
    <w:rsid w:val="002B4F5A"/>
    <w:rsid w:val="002B5393"/>
    <w:rsid w:val="002B63FC"/>
    <w:rsid w:val="002B6C50"/>
    <w:rsid w:val="002B78CE"/>
    <w:rsid w:val="002B79F4"/>
    <w:rsid w:val="002C25B0"/>
    <w:rsid w:val="002C2FB6"/>
    <w:rsid w:val="002C45BA"/>
    <w:rsid w:val="002C5F21"/>
    <w:rsid w:val="002D3A17"/>
    <w:rsid w:val="002D3BA7"/>
    <w:rsid w:val="002E2CC3"/>
    <w:rsid w:val="002E5FA7"/>
    <w:rsid w:val="002F3309"/>
    <w:rsid w:val="003008CE"/>
    <w:rsid w:val="003009B7"/>
    <w:rsid w:val="00300E56"/>
    <w:rsid w:val="0030469C"/>
    <w:rsid w:val="003100E9"/>
    <w:rsid w:val="003119C6"/>
    <w:rsid w:val="00313D96"/>
    <w:rsid w:val="00314099"/>
    <w:rsid w:val="003170E7"/>
    <w:rsid w:val="0031717C"/>
    <w:rsid w:val="0031749C"/>
    <w:rsid w:val="00321CA6"/>
    <w:rsid w:val="00323763"/>
    <w:rsid w:val="00324554"/>
    <w:rsid w:val="00324DF2"/>
    <w:rsid w:val="00327064"/>
    <w:rsid w:val="00332310"/>
    <w:rsid w:val="00332D91"/>
    <w:rsid w:val="00334C09"/>
    <w:rsid w:val="00335FFA"/>
    <w:rsid w:val="003422BD"/>
    <w:rsid w:val="003457F4"/>
    <w:rsid w:val="00350F26"/>
    <w:rsid w:val="00355062"/>
    <w:rsid w:val="00355625"/>
    <w:rsid w:val="003623BC"/>
    <w:rsid w:val="0036416D"/>
    <w:rsid w:val="00365F8A"/>
    <w:rsid w:val="00370BA4"/>
    <w:rsid w:val="003715BD"/>
    <w:rsid w:val="003723D4"/>
    <w:rsid w:val="00374854"/>
    <w:rsid w:val="00375455"/>
    <w:rsid w:val="003808EB"/>
    <w:rsid w:val="00381905"/>
    <w:rsid w:val="00384CC8"/>
    <w:rsid w:val="003871FD"/>
    <w:rsid w:val="003936A2"/>
    <w:rsid w:val="00397CF3"/>
    <w:rsid w:val="003A1B33"/>
    <w:rsid w:val="003A1E30"/>
    <w:rsid w:val="003A2829"/>
    <w:rsid w:val="003A611A"/>
    <w:rsid w:val="003A64E6"/>
    <w:rsid w:val="003A69F5"/>
    <w:rsid w:val="003A7D1C"/>
    <w:rsid w:val="003B304B"/>
    <w:rsid w:val="003B3146"/>
    <w:rsid w:val="003C4B69"/>
    <w:rsid w:val="003C5174"/>
    <w:rsid w:val="003C77F3"/>
    <w:rsid w:val="003D2295"/>
    <w:rsid w:val="003D3917"/>
    <w:rsid w:val="003D70A9"/>
    <w:rsid w:val="003E003D"/>
    <w:rsid w:val="003E4E04"/>
    <w:rsid w:val="003E5943"/>
    <w:rsid w:val="003F015E"/>
    <w:rsid w:val="003F02C4"/>
    <w:rsid w:val="003F09DF"/>
    <w:rsid w:val="003F17BD"/>
    <w:rsid w:val="003F56B9"/>
    <w:rsid w:val="003F7A27"/>
    <w:rsid w:val="00400414"/>
    <w:rsid w:val="0040235F"/>
    <w:rsid w:val="0040334F"/>
    <w:rsid w:val="0040370E"/>
    <w:rsid w:val="00407307"/>
    <w:rsid w:val="004135B3"/>
    <w:rsid w:val="0041446B"/>
    <w:rsid w:val="004156B0"/>
    <w:rsid w:val="0041637D"/>
    <w:rsid w:val="0041696A"/>
    <w:rsid w:val="00424DED"/>
    <w:rsid w:val="00432F65"/>
    <w:rsid w:val="004346E2"/>
    <w:rsid w:val="00434A4B"/>
    <w:rsid w:val="004358BB"/>
    <w:rsid w:val="0043734F"/>
    <w:rsid w:val="0044071E"/>
    <w:rsid w:val="0044329C"/>
    <w:rsid w:val="00447418"/>
    <w:rsid w:val="004535DC"/>
    <w:rsid w:val="00453E24"/>
    <w:rsid w:val="00454224"/>
    <w:rsid w:val="00455731"/>
    <w:rsid w:val="00457456"/>
    <w:rsid w:val="00457520"/>
    <w:rsid w:val="004577FE"/>
    <w:rsid w:val="00457B9C"/>
    <w:rsid w:val="00460814"/>
    <w:rsid w:val="00460854"/>
    <w:rsid w:val="0046164A"/>
    <w:rsid w:val="004628D2"/>
    <w:rsid w:val="00462DCD"/>
    <w:rsid w:val="004648AD"/>
    <w:rsid w:val="00466D53"/>
    <w:rsid w:val="00466EF6"/>
    <w:rsid w:val="004703A9"/>
    <w:rsid w:val="00473303"/>
    <w:rsid w:val="0047489A"/>
    <w:rsid w:val="004760DE"/>
    <w:rsid w:val="004763D7"/>
    <w:rsid w:val="00483A5F"/>
    <w:rsid w:val="00484550"/>
    <w:rsid w:val="00486FC0"/>
    <w:rsid w:val="004906C2"/>
    <w:rsid w:val="0049388F"/>
    <w:rsid w:val="004939BD"/>
    <w:rsid w:val="00496994"/>
    <w:rsid w:val="004972CB"/>
    <w:rsid w:val="004A004E"/>
    <w:rsid w:val="004A24CF"/>
    <w:rsid w:val="004A796B"/>
    <w:rsid w:val="004B1C2A"/>
    <w:rsid w:val="004C10A8"/>
    <w:rsid w:val="004C1364"/>
    <w:rsid w:val="004C2B4F"/>
    <w:rsid w:val="004C3D1D"/>
    <w:rsid w:val="004C3D84"/>
    <w:rsid w:val="004C418A"/>
    <w:rsid w:val="004C6C25"/>
    <w:rsid w:val="004C7913"/>
    <w:rsid w:val="004D1B89"/>
    <w:rsid w:val="004D3584"/>
    <w:rsid w:val="004D57A1"/>
    <w:rsid w:val="004E370B"/>
    <w:rsid w:val="004E4423"/>
    <w:rsid w:val="004E4DD6"/>
    <w:rsid w:val="004E6F99"/>
    <w:rsid w:val="004F47A6"/>
    <w:rsid w:val="004F5D14"/>
    <w:rsid w:val="004F5E36"/>
    <w:rsid w:val="004F7FDA"/>
    <w:rsid w:val="00502CCA"/>
    <w:rsid w:val="00503C13"/>
    <w:rsid w:val="00503D59"/>
    <w:rsid w:val="005054C2"/>
    <w:rsid w:val="00505940"/>
    <w:rsid w:val="00506E00"/>
    <w:rsid w:val="00507B47"/>
    <w:rsid w:val="00507BEF"/>
    <w:rsid w:val="00507CC9"/>
    <w:rsid w:val="005119A5"/>
    <w:rsid w:val="005159C7"/>
    <w:rsid w:val="00523C2B"/>
    <w:rsid w:val="005278B7"/>
    <w:rsid w:val="00530E08"/>
    <w:rsid w:val="005311A1"/>
    <w:rsid w:val="005314EB"/>
    <w:rsid w:val="00532016"/>
    <w:rsid w:val="00532452"/>
    <w:rsid w:val="005346C8"/>
    <w:rsid w:val="005407CE"/>
    <w:rsid w:val="00541405"/>
    <w:rsid w:val="00543051"/>
    <w:rsid w:val="00543E7D"/>
    <w:rsid w:val="00544BD2"/>
    <w:rsid w:val="00545479"/>
    <w:rsid w:val="00545FFF"/>
    <w:rsid w:val="005462C7"/>
    <w:rsid w:val="00547A68"/>
    <w:rsid w:val="00551DD7"/>
    <w:rsid w:val="005531C9"/>
    <w:rsid w:val="00554D24"/>
    <w:rsid w:val="00554DF3"/>
    <w:rsid w:val="00555706"/>
    <w:rsid w:val="005559CC"/>
    <w:rsid w:val="0055614D"/>
    <w:rsid w:val="00556F1E"/>
    <w:rsid w:val="00557355"/>
    <w:rsid w:val="00560E8D"/>
    <w:rsid w:val="00563603"/>
    <w:rsid w:val="00564C82"/>
    <w:rsid w:val="00566D8B"/>
    <w:rsid w:val="00567751"/>
    <w:rsid w:val="00570C43"/>
    <w:rsid w:val="00571FA5"/>
    <w:rsid w:val="00573943"/>
    <w:rsid w:val="00574A95"/>
    <w:rsid w:val="005766E2"/>
    <w:rsid w:val="005766F9"/>
    <w:rsid w:val="00580124"/>
    <w:rsid w:val="005808B0"/>
    <w:rsid w:val="00580F3C"/>
    <w:rsid w:val="00581CAF"/>
    <w:rsid w:val="0058378F"/>
    <w:rsid w:val="00585218"/>
    <w:rsid w:val="00586AEF"/>
    <w:rsid w:val="0059444F"/>
    <w:rsid w:val="00595DC1"/>
    <w:rsid w:val="005A1D3A"/>
    <w:rsid w:val="005A4451"/>
    <w:rsid w:val="005A64CF"/>
    <w:rsid w:val="005A779E"/>
    <w:rsid w:val="005B2110"/>
    <w:rsid w:val="005B3183"/>
    <w:rsid w:val="005B5AB9"/>
    <w:rsid w:val="005B61E6"/>
    <w:rsid w:val="005B78AC"/>
    <w:rsid w:val="005C2029"/>
    <w:rsid w:val="005C3D11"/>
    <w:rsid w:val="005C3DB2"/>
    <w:rsid w:val="005C3E40"/>
    <w:rsid w:val="005C50C6"/>
    <w:rsid w:val="005C5F83"/>
    <w:rsid w:val="005C77E1"/>
    <w:rsid w:val="005C7C4D"/>
    <w:rsid w:val="005D37BF"/>
    <w:rsid w:val="005D668A"/>
    <w:rsid w:val="005D6A2F"/>
    <w:rsid w:val="005E1A82"/>
    <w:rsid w:val="005E794C"/>
    <w:rsid w:val="005F0A28"/>
    <w:rsid w:val="005F0E5E"/>
    <w:rsid w:val="005F0EB0"/>
    <w:rsid w:val="005F77C5"/>
    <w:rsid w:val="00600535"/>
    <w:rsid w:val="00601823"/>
    <w:rsid w:val="00605B3F"/>
    <w:rsid w:val="00606F24"/>
    <w:rsid w:val="00610CD6"/>
    <w:rsid w:val="00613687"/>
    <w:rsid w:val="0061394D"/>
    <w:rsid w:val="00613958"/>
    <w:rsid w:val="0061498D"/>
    <w:rsid w:val="00617047"/>
    <w:rsid w:val="0061799C"/>
    <w:rsid w:val="00620333"/>
    <w:rsid w:val="00620DEE"/>
    <w:rsid w:val="00621F92"/>
    <w:rsid w:val="006222B9"/>
    <w:rsid w:val="0062280A"/>
    <w:rsid w:val="00625639"/>
    <w:rsid w:val="006256B5"/>
    <w:rsid w:val="00625A66"/>
    <w:rsid w:val="00631B33"/>
    <w:rsid w:val="00632E98"/>
    <w:rsid w:val="00633151"/>
    <w:rsid w:val="00633948"/>
    <w:rsid w:val="00633BEB"/>
    <w:rsid w:val="00633CA2"/>
    <w:rsid w:val="0063599D"/>
    <w:rsid w:val="00640958"/>
    <w:rsid w:val="00640DC0"/>
    <w:rsid w:val="0064184D"/>
    <w:rsid w:val="006422CC"/>
    <w:rsid w:val="00652CE4"/>
    <w:rsid w:val="00653BB7"/>
    <w:rsid w:val="006551BA"/>
    <w:rsid w:val="00660E3E"/>
    <w:rsid w:val="00662E74"/>
    <w:rsid w:val="00665073"/>
    <w:rsid w:val="00677524"/>
    <w:rsid w:val="00680C23"/>
    <w:rsid w:val="0068142D"/>
    <w:rsid w:val="0068274B"/>
    <w:rsid w:val="00685A64"/>
    <w:rsid w:val="00687EAB"/>
    <w:rsid w:val="006904A0"/>
    <w:rsid w:val="00692877"/>
    <w:rsid w:val="00693766"/>
    <w:rsid w:val="00694D5B"/>
    <w:rsid w:val="00695881"/>
    <w:rsid w:val="00697F87"/>
    <w:rsid w:val="006A0B09"/>
    <w:rsid w:val="006A2653"/>
    <w:rsid w:val="006A3281"/>
    <w:rsid w:val="006A3B8B"/>
    <w:rsid w:val="006A438E"/>
    <w:rsid w:val="006B3EEF"/>
    <w:rsid w:val="006B4888"/>
    <w:rsid w:val="006B5F8B"/>
    <w:rsid w:val="006B6D13"/>
    <w:rsid w:val="006B6F20"/>
    <w:rsid w:val="006C23A1"/>
    <w:rsid w:val="006C2E45"/>
    <w:rsid w:val="006C359C"/>
    <w:rsid w:val="006C37E5"/>
    <w:rsid w:val="006C5579"/>
    <w:rsid w:val="006D56FE"/>
    <w:rsid w:val="006D6E8B"/>
    <w:rsid w:val="006E737D"/>
    <w:rsid w:val="006F0C60"/>
    <w:rsid w:val="006F3C78"/>
    <w:rsid w:val="006F5523"/>
    <w:rsid w:val="006F7486"/>
    <w:rsid w:val="006F7938"/>
    <w:rsid w:val="00710B3B"/>
    <w:rsid w:val="007135D9"/>
    <w:rsid w:val="00713973"/>
    <w:rsid w:val="00714224"/>
    <w:rsid w:val="007144DD"/>
    <w:rsid w:val="00720A24"/>
    <w:rsid w:val="00722108"/>
    <w:rsid w:val="00726D70"/>
    <w:rsid w:val="00727D66"/>
    <w:rsid w:val="00730AAA"/>
    <w:rsid w:val="00731894"/>
    <w:rsid w:val="00732386"/>
    <w:rsid w:val="007340B7"/>
    <w:rsid w:val="00734F93"/>
    <w:rsid w:val="0073514D"/>
    <w:rsid w:val="0073764F"/>
    <w:rsid w:val="0074038B"/>
    <w:rsid w:val="00742389"/>
    <w:rsid w:val="007447F3"/>
    <w:rsid w:val="0074592D"/>
    <w:rsid w:val="00750BCD"/>
    <w:rsid w:val="00752153"/>
    <w:rsid w:val="00753392"/>
    <w:rsid w:val="00753DD9"/>
    <w:rsid w:val="0075499F"/>
    <w:rsid w:val="00760952"/>
    <w:rsid w:val="00761FD7"/>
    <w:rsid w:val="007629A9"/>
    <w:rsid w:val="00764378"/>
    <w:rsid w:val="007661C8"/>
    <w:rsid w:val="00767E62"/>
    <w:rsid w:val="0077098D"/>
    <w:rsid w:val="00771D96"/>
    <w:rsid w:val="0077408A"/>
    <w:rsid w:val="00775C22"/>
    <w:rsid w:val="00783732"/>
    <w:rsid w:val="0078638F"/>
    <w:rsid w:val="0078652A"/>
    <w:rsid w:val="0079220E"/>
    <w:rsid w:val="007931FA"/>
    <w:rsid w:val="007A0E4D"/>
    <w:rsid w:val="007A3A3F"/>
    <w:rsid w:val="007A4861"/>
    <w:rsid w:val="007A7BBA"/>
    <w:rsid w:val="007B0C50"/>
    <w:rsid w:val="007B48F9"/>
    <w:rsid w:val="007B637B"/>
    <w:rsid w:val="007C1A43"/>
    <w:rsid w:val="007C256D"/>
    <w:rsid w:val="007C60F1"/>
    <w:rsid w:val="007C7393"/>
    <w:rsid w:val="007D1A33"/>
    <w:rsid w:val="007D2830"/>
    <w:rsid w:val="007D2B8B"/>
    <w:rsid w:val="007D4ACE"/>
    <w:rsid w:val="007D55C6"/>
    <w:rsid w:val="007D590A"/>
    <w:rsid w:val="007D7113"/>
    <w:rsid w:val="007E0B00"/>
    <w:rsid w:val="007E1D5D"/>
    <w:rsid w:val="007E2088"/>
    <w:rsid w:val="007E4698"/>
    <w:rsid w:val="007F0946"/>
    <w:rsid w:val="007F09FA"/>
    <w:rsid w:val="007F3779"/>
    <w:rsid w:val="007F623C"/>
    <w:rsid w:val="0080013E"/>
    <w:rsid w:val="00804871"/>
    <w:rsid w:val="0080594F"/>
    <w:rsid w:val="00811F38"/>
    <w:rsid w:val="0081290E"/>
    <w:rsid w:val="00813288"/>
    <w:rsid w:val="00814650"/>
    <w:rsid w:val="00814D80"/>
    <w:rsid w:val="008168FC"/>
    <w:rsid w:val="00821EE7"/>
    <w:rsid w:val="00822080"/>
    <w:rsid w:val="00823C19"/>
    <w:rsid w:val="00824450"/>
    <w:rsid w:val="00825D6B"/>
    <w:rsid w:val="00825F1D"/>
    <w:rsid w:val="008269E5"/>
    <w:rsid w:val="00826B3C"/>
    <w:rsid w:val="00830259"/>
    <w:rsid w:val="00830996"/>
    <w:rsid w:val="00832AC3"/>
    <w:rsid w:val="00832DBD"/>
    <w:rsid w:val="008345F1"/>
    <w:rsid w:val="00836060"/>
    <w:rsid w:val="00836235"/>
    <w:rsid w:val="00837268"/>
    <w:rsid w:val="00837397"/>
    <w:rsid w:val="00837617"/>
    <w:rsid w:val="00842430"/>
    <w:rsid w:val="0084259C"/>
    <w:rsid w:val="008433B8"/>
    <w:rsid w:val="0084612F"/>
    <w:rsid w:val="008476B4"/>
    <w:rsid w:val="00852B27"/>
    <w:rsid w:val="00854958"/>
    <w:rsid w:val="00861B80"/>
    <w:rsid w:val="00863503"/>
    <w:rsid w:val="00865B07"/>
    <w:rsid w:val="008667EA"/>
    <w:rsid w:val="0087014D"/>
    <w:rsid w:val="00870435"/>
    <w:rsid w:val="00871CC8"/>
    <w:rsid w:val="0087637F"/>
    <w:rsid w:val="00880478"/>
    <w:rsid w:val="008808D0"/>
    <w:rsid w:val="00882A66"/>
    <w:rsid w:val="0088333E"/>
    <w:rsid w:val="00883818"/>
    <w:rsid w:val="00885B5A"/>
    <w:rsid w:val="00885F7E"/>
    <w:rsid w:val="00887350"/>
    <w:rsid w:val="00887EC6"/>
    <w:rsid w:val="00891318"/>
    <w:rsid w:val="008913B5"/>
    <w:rsid w:val="00892AD5"/>
    <w:rsid w:val="00895A43"/>
    <w:rsid w:val="008A06A1"/>
    <w:rsid w:val="008A1512"/>
    <w:rsid w:val="008A239A"/>
    <w:rsid w:val="008A39E1"/>
    <w:rsid w:val="008A44D7"/>
    <w:rsid w:val="008A79CE"/>
    <w:rsid w:val="008B0EA5"/>
    <w:rsid w:val="008B77F3"/>
    <w:rsid w:val="008C30DE"/>
    <w:rsid w:val="008C522D"/>
    <w:rsid w:val="008D13F7"/>
    <w:rsid w:val="008D3297"/>
    <w:rsid w:val="008D32B9"/>
    <w:rsid w:val="008D3C5D"/>
    <w:rsid w:val="008D3DBA"/>
    <w:rsid w:val="008D4237"/>
    <w:rsid w:val="008D433B"/>
    <w:rsid w:val="008D4A16"/>
    <w:rsid w:val="008D5C4D"/>
    <w:rsid w:val="008D7881"/>
    <w:rsid w:val="008E05CB"/>
    <w:rsid w:val="008E0B1B"/>
    <w:rsid w:val="008E32D8"/>
    <w:rsid w:val="008E566E"/>
    <w:rsid w:val="008F2ED7"/>
    <w:rsid w:val="008F5061"/>
    <w:rsid w:val="0090161A"/>
    <w:rsid w:val="00901EB6"/>
    <w:rsid w:val="0090476B"/>
    <w:rsid w:val="00904C62"/>
    <w:rsid w:val="00912657"/>
    <w:rsid w:val="00912C97"/>
    <w:rsid w:val="009143FE"/>
    <w:rsid w:val="0091609A"/>
    <w:rsid w:val="00920404"/>
    <w:rsid w:val="009210CE"/>
    <w:rsid w:val="00922BA8"/>
    <w:rsid w:val="00922E1E"/>
    <w:rsid w:val="00924DAC"/>
    <w:rsid w:val="00924F00"/>
    <w:rsid w:val="00927058"/>
    <w:rsid w:val="00930D7A"/>
    <w:rsid w:val="00931E80"/>
    <w:rsid w:val="00934FFA"/>
    <w:rsid w:val="00942750"/>
    <w:rsid w:val="00944226"/>
    <w:rsid w:val="009450CE"/>
    <w:rsid w:val="00945122"/>
    <w:rsid w:val="00947179"/>
    <w:rsid w:val="0095052B"/>
    <w:rsid w:val="0095164B"/>
    <w:rsid w:val="00952295"/>
    <w:rsid w:val="00954090"/>
    <w:rsid w:val="00956308"/>
    <w:rsid w:val="009573E7"/>
    <w:rsid w:val="00960519"/>
    <w:rsid w:val="00960F63"/>
    <w:rsid w:val="009615F3"/>
    <w:rsid w:val="00963E05"/>
    <w:rsid w:val="00964A45"/>
    <w:rsid w:val="00967843"/>
    <w:rsid w:val="00967D54"/>
    <w:rsid w:val="009704C7"/>
    <w:rsid w:val="00971028"/>
    <w:rsid w:val="00972A87"/>
    <w:rsid w:val="00973CA4"/>
    <w:rsid w:val="009825D3"/>
    <w:rsid w:val="0098487B"/>
    <w:rsid w:val="00985147"/>
    <w:rsid w:val="00985A3B"/>
    <w:rsid w:val="00993B84"/>
    <w:rsid w:val="00994CE1"/>
    <w:rsid w:val="00995A46"/>
    <w:rsid w:val="00996483"/>
    <w:rsid w:val="00996F5A"/>
    <w:rsid w:val="009972D0"/>
    <w:rsid w:val="009A01C9"/>
    <w:rsid w:val="009A105C"/>
    <w:rsid w:val="009A3AC3"/>
    <w:rsid w:val="009B041A"/>
    <w:rsid w:val="009B3128"/>
    <w:rsid w:val="009B4013"/>
    <w:rsid w:val="009B571C"/>
    <w:rsid w:val="009B691D"/>
    <w:rsid w:val="009B70D7"/>
    <w:rsid w:val="009C25E9"/>
    <w:rsid w:val="009C37C3"/>
    <w:rsid w:val="009C41A6"/>
    <w:rsid w:val="009C55C0"/>
    <w:rsid w:val="009C7C86"/>
    <w:rsid w:val="009D0199"/>
    <w:rsid w:val="009D2D31"/>
    <w:rsid w:val="009D2FF7"/>
    <w:rsid w:val="009D78D2"/>
    <w:rsid w:val="009E05F1"/>
    <w:rsid w:val="009E7884"/>
    <w:rsid w:val="009E788A"/>
    <w:rsid w:val="009F0E08"/>
    <w:rsid w:val="009F39AD"/>
    <w:rsid w:val="00A056C4"/>
    <w:rsid w:val="00A13C84"/>
    <w:rsid w:val="00A175AB"/>
    <w:rsid w:val="00A1763D"/>
    <w:rsid w:val="00A17CEC"/>
    <w:rsid w:val="00A20E6C"/>
    <w:rsid w:val="00A220E3"/>
    <w:rsid w:val="00A23EA5"/>
    <w:rsid w:val="00A25DBC"/>
    <w:rsid w:val="00A265AC"/>
    <w:rsid w:val="00A267E6"/>
    <w:rsid w:val="00A27EF0"/>
    <w:rsid w:val="00A309AC"/>
    <w:rsid w:val="00A31C23"/>
    <w:rsid w:val="00A34C37"/>
    <w:rsid w:val="00A42361"/>
    <w:rsid w:val="00A43073"/>
    <w:rsid w:val="00A43D0F"/>
    <w:rsid w:val="00A46E80"/>
    <w:rsid w:val="00A47BE7"/>
    <w:rsid w:val="00A50B20"/>
    <w:rsid w:val="00A51390"/>
    <w:rsid w:val="00A561D7"/>
    <w:rsid w:val="00A570E0"/>
    <w:rsid w:val="00A60D13"/>
    <w:rsid w:val="00A64F4E"/>
    <w:rsid w:val="00A6795B"/>
    <w:rsid w:val="00A72745"/>
    <w:rsid w:val="00A72EFA"/>
    <w:rsid w:val="00A737CB"/>
    <w:rsid w:val="00A73CE0"/>
    <w:rsid w:val="00A746B0"/>
    <w:rsid w:val="00A74CB9"/>
    <w:rsid w:val="00A76EFC"/>
    <w:rsid w:val="00A772A3"/>
    <w:rsid w:val="00A80EF0"/>
    <w:rsid w:val="00A84153"/>
    <w:rsid w:val="00A85032"/>
    <w:rsid w:val="00A86766"/>
    <w:rsid w:val="00A86EE5"/>
    <w:rsid w:val="00A9082E"/>
    <w:rsid w:val="00A909B0"/>
    <w:rsid w:val="00A91010"/>
    <w:rsid w:val="00A919C9"/>
    <w:rsid w:val="00A91D5F"/>
    <w:rsid w:val="00A970BC"/>
    <w:rsid w:val="00A97D7D"/>
    <w:rsid w:val="00A97F29"/>
    <w:rsid w:val="00AA01C0"/>
    <w:rsid w:val="00AA60CC"/>
    <w:rsid w:val="00AA6C2A"/>
    <w:rsid w:val="00AA702E"/>
    <w:rsid w:val="00AB06D9"/>
    <w:rsid w:val="00AB0964"/>
    <w:rsid w:val="00AB0F87"/>
    <w:rsid w:val="00AB2A78"/>
    <w:rsid w:val="00AB3390"/>
    <w:rsid w:val="00AB3991"/>
    <w:rsid w:val="00AB3C18"/>
    <w:rsid w:val="00AB3D53"/>
    <w:rsid w:val="00AB5011"/>
    <w:rsid w:val="00AB663F"/>
    <w:rsid w:val="00AC078C"/>
    <w:rsid w:val="00AC5685"/>
    <w:rsid w:val="00AC631E"/>
    <w:rsid w:val="00AC7368"/>
    <w:rsid w:val="00AC795F"/>
    <w:rsid w:val="00AD16B9"/>
    <w:rsid w:val="00AD2A29"/>
    <w:rsid w:val="00AD44DB"/>
    <w:rsid w:val="00AD4AE4"/>
    <w:rsid w:val="00AE0D3B"/>
    <w:rsid w:val="00AE377D"/>
    <w:rsid w:val="00AE3DA3"/>
    <w:rsid w:val="00AF0D3D"/>
    <w:rsid w:val="00AF0EBA"/>
    <w:rsid w:val="00AF1317"/>
    <w:rsid w:val="00AF4FE9"/>
    <w:rsid w:val="00AF55D8"/>
    <w:rsid w:val="00AF5B36"/>
    <w:rsid w:val="00AF6A87"/>
    <w:rsid w:val="00AF76B6"/>
    <w:rsid w:val="00AF7853"/>
    <w:rsid w:val="00B00F50"/>
    <w:rsid w:val="00B02C07"/>
    <w:rsid w:val="00B02C8A"/>
    <w:rsid w:val="00B13ACE"/>
    <w:rsid w:val="00B14E8D"/>
    <w:rsid w:val="00B15A8C"/>
    <w:rsid w:val="00B17FBD"/>
    <w:rsid w:val="00B315A6"/>
    <w:rsid w:val="00B31813"/>
    <w:rsid w:val="00B32F5C"/>
    <w:rsid w:val="00B33365"/>
    <w:rsid w:val="00B40018"/>
    <w:rsid w:val="00B42BF8"/>
    <w:rsid w:val="00B44510"/>
    <w:rsid w:val="00B47150"/>
    <w:rsid w:val="00B534BB"/>
    <w:rsid w:val="00B57B36"/>
    <w:rsid w:val="00B57E6F"/>
    <w:rsid w:val="00B621C8"/>
    <w:rsid w:val="00B62E5E"/>
    <w:rsid w:val="00B6363F"/>
    <w:rsid w:val="00B63AFD"/>
    <w:rsid w:val="00B657B8"/>
    <w:rsid w:val="00B7019B"/>
    <w:rsid w:val="00B7101F"/>
    <w:rsid w:val="00B71C98"/>
    <w:rsid w:val="00B71D8D"/>
    <w:rsid w:val="00B73EE0"/>
    <w:rsid w:val="00B74E7F"/>
    <w:rsid w:val="00B76018"/>
    <w:rsid w:val="00B83AAA"/>
    <w:rsid w:val="00B8686D"/>
    <w:rsid w:val="00B86F2C"/>
    <w:rsid w:val="00B93F69"/>
    <w:rsid w:val="00B9752A"/>
    <w:rsid w:val="00BA3549"/>
    <w:rsid w:val="00BA4448"/>
    <w:rsid w:val="00BA4FEA"/>
    <w:rsid w:val="00BA5917"/>
    <w:rsid w:val="00BB1DDC"/>
    <w:rsid w:val="00BB4745"/>
    <w:rsid w:val="00BC051C"/>
    <w:rsid w:val="00BC30C9"/>
    <w:rsid w:val="00BC5518"/>
    <w:rsid w:val="00BC72B7"/>
    <w:rsid w:val="00BD077D"/>
    <w:rsid w:val="00BE3179"/>
    <w:rsid w:val="00BE3E58"/>
    <w:rsid w:val="00BE4F7D"/>
    <w:rsid w:val="00BE7ADB"/>
    <w:rsid w:val="00BF1534"/>
    <w:rsid w:val="00BF15B7"/>
    <w:rsid w:val="00BF3897"/>
    <w:rsid w:val="00C01616"/>
    <w:rsid w:val="00C0162B"/>
    <w:rsid w:val="00C046B1"/>
    <w:rsid w:val="00C068ED"/>
    <w:rsid w:val="00C10BFD"/>
    <w:rsid w:val="00C1171F"/>
    <w:rsid w:val="00C13194"/>
    <w:rsid w:val="00C14FFB"/>
    <w:rsid w:val="00C21A77"/>
    <w:rsid w:val="00C22287"/>
    <w:rsid w:val="00C22E0C"/>
    <w:rsid w:val="00C24DB6"/>
    <w:rsid w:val="00C2573D"/>
    <w:rsid w:val="00C33B45"/>
    <w:rsid w:val="00C345B1"/>
    <w:rsid w:val="00C40142"/>
    <w:rsid w:val="00C41737"/>
    <w:rsid w:val="00C469CE"/>
    <w:rsid w:val="00C52C3C"/>
    <w:rsid w:val="00C53501"/>
    <w:rsid w:val="00C54C15"/>
    <w:rsid w:val="00C57182"/>
    <w:rsid w:val="00C57863"/>
    <w:rsid w:val="00C579C4"/>
    <w:rsid w:val="00C57DB1"/>
    <w:rsid w:val="00C628B9"/>
    <w:rsid w:val="00C63AE1"/>
    <w:rsid w:val="00C640AF"/>
    <w:rsid w:val="00C655FD"/>
    <w:rsid w:val="00C70479"/>
    <w:rsid w:val="00C70B2E"/>
    <w:rsid w:val="00C75407"/>
    <w:rsid w:val="00C76317"/>
    <w:rsid w:val="00C76EE2"/>
    <w:rsid w:val="00C77276"/>
    <w:rsid w:val="00C82317"/>
    <w:rsid w:val="00C85DFF"/>
    <w:rsid w:val="00C86468"/>
    <w:rsid w:val="00C870A8"/>
    <w:rsid w:val="00C902B9"/>
    <w:rsid w:val="00C924CB"/>
    <w:rsid w:val="00C92A64"/>
    <w:rsid w:val="00C94434"/>
    <w:rsid w:val="00C95456"/>
    <w:rsid w:val="00C963C4"/>
    <w:rsid w:val="00CA0D75"/>
    <w:rsid w:val="00CA1C95"/>
    <w:rsid w:val="00CA3AF1"/>
    <w:rsid w:val="00CA5A9C"/>
    <w:rsid w:val="00CB0E8E"/>
    <w:rsid w:val="00CB1BAA"/>
    <w:rsid w:val="00CB4856"/>
    <w:rsid w:val="00CB57C0"/>
    <w:rsid w:val="00CB5BFD"/>
    <w:rsid w:val="00CB61AF"/>
    <w:rsid w:val="00CC139D"/>
    <w:rsid w:val="00CC2F2A"/>
    <w:rsid w:val="00CC3B6C"/>
    <w:rsid w:val="00CC4C20"/>
    <w:rsid w:val="00CD3517"/>
    <w:rsid w:val="00CD5FE2"/>
    <w:rsid w:val="00CD751B"/>
    <w:rsid w:val="00CE0DD5"/>
    <w:rsid w:val="00CE25B4"/>
    <w:rsid w:val="00CE497C"/>
    <w:rsid w:val="00CE5C00"/>
    <w:rsid w:val="00CE79B1"/>
    <w:rsid w:val="00CE7C68"/>
    <w:rsid w:val="00CE7D5C"/>
    <w:rsid w:val="00CE7EC9"/>
    <w:rsid w:val="00CE7FF6"/>
    <w:rsid w:val="00CF099B"/>
    <w:rsid w:val="00CF1B65"/>
    <w:rsid w:val="00CF1CA3"/>
    <w:rsid w:val="00CF215F"/>
    <w:rsid w:val="00CF3C46"/>
    <w:rsid w:val="00CF3CE0"/>
    <w:rsid w:val="00D02B4C"/>
    <w:rsid w:val="00D040C4"/>
    <w:rsid w:val="00D151C7"/>
    <w:rsid w:val="00D17A00"/>
    <w:rsid w:val="00D20AD1"/>
    <w:rsid w:val="00D22956"/>
    <w:rsid w:val="00D2523D"/>
    <w:rsid w:val="00D26BC7"/>
    <w:rsid w:val="00D274AB"/>
    <w:rsid w:val="00D40A10"/>
    <w:rsid w:val="00D42B7A"/>
    <w:rsid w:val="00D46B7E"/>
    <w:rsid w:val="00D46F0D"/>
    <w:rsid w:val="00D472BE"/>
    <w:rsid w:val="00D5403D"/>
    <w:rsid w:val="00D5678B"/>
    <w:rsid w:val="00D57C84"/>
    <w:rsid w:val="00D6057D"/>
    <w:rsid w:val="00D6280C"/>
    <w:rsid w:val="00D64754"/>
    <w:rsid w:val="00D66195"/>
    <w:rsid w:val="00D667B9"/>
    <w:rsid w:val="00D675C3"/>
    <w:rsid w:val="00D71640"/>
    <w:rsid w:val="00D71943"/>
    <w:rsid w:val="00D7674F"/>
    <w:rsid w:val="00D836C5"/>
    <w:rsid w:val="00D84576"/>
    <w:rsid w:val="00D918FF"/>
    <w:rsid w:val="00D93F49"/>
    <w:rsid w:val="00DA1399"/>
    <w:rsid w:val="00DA24C6"/>
    <w:rsid w:val="00DA41B5"/>
    <w:rsid w:val="00DA4D7B"/>
    <w:rsid w:val="00DB2360"/>
    <w:rsid w:val="00DC1487"/>
    <w:rsid w:val="00DC2093"/>
    <w:rsid w:val="00DC7841"/>
    <w:rsid w:val="00DD1F3E"/>
    <w:rsid w:val="00DD463E"/>
    <w:rsid w:val="00DD50E7"/>
    <w:rsid w:val="00DD5AFA"/>
    <w:rsid w:val="00DE16E1"/>
    <w:rsid w:val="00DE264A"/>
    <w:rsid w:val="00DE2C0C"/>
    <w:rsid w:val="00DE4575"/>
    <w:rsid w:val="00DE49E9"/>
    <w:rsid w:val="00DE78D4"/>
    <w:rsid w:val="00DF494D"/>
    <w:rsid w:val="00DF5072"/>
    <w:rsid w:val="00DF6B12"/>
    <w:rsid w:val="00DF6B9D"/>
    <w:rsid w:val="00DF6D99"/>
    <w:rsid w:val="00E02D18"/>
    <w:rsid w:val="00E02D23"/>
    <w:rsid w:val="00E041E7"/>
    <w:rsid w:val="00E04F31"/>
    <w:rsid w:val="00E05FAC"/>
    <w:rsid w:val="00E121F5"/>
    <w:rsid w:val="00E1229C"/>
    <w:rsid w:val="00E131DB"/>
    <w:rsid w:val="00E2088C"/>
    <w:rsid w:val="00E22C35"/>
    <w:rsid w:val="00E23CA1"/>
    <w:rsid w:val="00E26167"/>
    <w:rsid w:val="00E26A65"/>
    <w:rsid w:val="00E271E5"/>
    <w:rsid w:val="00E36747"/>
    <w:rsid w:val="00E409A8"/>
    <w:rsid w:val="00E41E36"/>
    <w:rsid w:val="00E42619"/>
    <w:rsid w:val="00E44B5C"/>
    <w:rsid w:val="00E47203"/>
    <w:rsid w:val="00E4762F"/>
    <w:rsid w:val="00E501B0"/>
    <w:rsid w:val="00E508C2"/>
    <w:rsid w:val="00E50C12"/>
    <w:rsid w:val="00E51BB7"/>
    <w:rsid w:val="00E53DD0"/>
    <w:rsid w:val="00E571C1"/>
    <w:rsid w:val="00E60A2F"/>
    <w:rsid w:val="00E60C20"/>
    <w:rsid w:val="00E62E9A"/>
    <w:rsid w:val="00E65B91"/>
    <w:rsid w:val="00E70BEA"/>
    <w:rsid w:val="00E71A09"/>
    <w:rsid w:val="00E71D7B"/>
    <w:rsid w:val="00E7209D"/>
    <w:rsid w:val="00E72EAD"/>
    <w:rsid w:val="00E77223"/>
    <w:rsid w:val="00E77A7F"/>
    <w:rsid w:val="00E8043F"/>
    <w:rsid w:val="00E817BF"/>
    <w:rsid w:val="00E8374F"/>
    <w:rsid w:val="00E84C13"/>
    <w:rsid w:val="00E8528B"/>
    <w:rsid w:val="00E85B94"/>
    <w:rsid w:val="00E8602F"/>
    <w:rsid w:val="00E90520"/>
    <w:rsid w:val="00E921F5"/>
    <w:rsid w:val="00E93A07"/>
    <w:rsid w:val="00E96BCA"/>
    <w:rsid w:val="00E975BE"/>
    <w:rsid w:val="00E978D0"/>
    <w:rsid w:val="00EA0E72"/>
    <w:rsid w:val="00EA4613"/>
    <w:rsid w:val="00EA5A04"/>
    <w:rsid w:val="00EA632E"/>
    <w:rsid w:val="00EA6EC6"/>
    <w:rsid w:val="00EA7F91"/>
    <w:rsid w:val="00EB1523"/>
    <w:rsid w:val="00EB2880"/>
    <w:rsid w:val="00EB4920"/>
    <w:rsid w:val="00EB621A"/>
    <w:rsid w:val="00EC0257"/>
    <w:rsid w:val="00EC08BA"/>
    <w:rsid w:val="00EC0B6A"/>
    <w:rsid w:val="00EC0E49"/>
    <w:rsid w:val="00EC101F"/>
    <w:rsid w:val="00EC1D9F"/>
    <w:rsid w:val="00EC1EC6"/>
    <w:rsid w:val="00EC33E8"/>
    <w:rsid w:val="00EC39BB"/>
    <w:rsid w:val="00EC46B4"/>
    <w:rsid w:val="00EC5F8B"/>
    <w:rsid w:val="00EC6BF0"/>
    <w:rsid w:val="00ED0EC3"/>
    <w:rsid w:val="00ED5DDC"/>
    <w:rsid w:val="00EE0131"/>
    <w:rsid w:val="00EE01D4"/>
    <w:rsid w:val="00EE0940"/>
    <w:rsid w:val="00EE17B0"/>
    <w:rsid w:val="00EE2D75"/>
    <w:rsid w:val="00EE415A"/>
    <w:rsid w:val="00EE4C41"/>
    <w:rsid w:val="00EF06D9"/>
    <w:rsid w:val="00EF0DC4"/>
    <w:rsid w:val="00EF622F"/>
    <w:rsid w:val="00F02F1F"/>
    <w:rsid w:val="00F1049D"/>
    <w:rsid w:val="00F11058"/>
    <w:rsid w:val="00F1332C"/>
    <w:rsid w:val="00F2283B"/>
    <w:rsid w:val="00F234EB"/>
    <w:rsid w:val="00F26DE7"/>
    <w:rsid w:val="00F30C64"/>
    <w:rsid w:val="00F310A2"/>
    <w:rsid w:val="00F32BA2"/>
    <w:rsid w:val="00F32CDB"/>
    <w:rsid w:val="00F33C95"/>
    <w:rsid w:val="00F36718"/>
    <w:rsid w:val="00F36A40"/>
    <w:rsid w:val="00F42389"/>
    <w:rsid w:val="00F4446A"/>
    <w:rsid w:val="00F4463D"/>
    <w:rsid w:val="00F46424"/>
    <w:rsid w:val="00F51BF0"/>
    <w:rsid w:val="00F52FBB"/>
    <w:rsid w:val="00F53F6C"/>
    <w:rsid w:val="00F54153"/>
    <w:rsid w:val="00F54F57"/>
    <w:rsid w:val="00F565FE"/>
    <w:rsid w:val="00F61AA8"/>
    <w:rsid w:val="00F620A0"/>
    <w:rsid w:val="00F63A70"/>
    <w:rsid w:val="00F65DF7"/>
    <w:rsid w:val="00F70A8C"/>
    <w:rsid w:val="00F70CF9"/>
    <w:rsid w:val="00F7534E"/>
    <w:rsid w:val="00F75B72"/>
    <w:rsid w:val="00F822AD"/>
    <w:rsid w:val="00F8249F"/>
    <w:rsid w:val="00F83F37"/>
    <w:rsid w:val="00F8535F"/>
    <w:rsid w:val="00F96DAE"/>
    <w:rsid w:val="00FA1802"/>
    <w:rsid w:val="00FA21D0"/>
    <w:rsid w:val="00FA272C"/>
    <w:rsid w:val="00FA436C"/>
    <w:rsid w:val="00FA47B5"/>
    <w:rsid w:val="00FA5F5F"/>
    <w:rsid w:val="00FB22E9"/>
    <w:rsid w:val="00FB2D1A"/>
    <w:rsid w:val="00FB3460"/>
    <w:rsid w:val="00FB730C"/>
    <w:rsid w:val="00FC0D2D"/>
    <w:rsid w:val="00FC2695"/>
    <w:rsid w:val="00FC369E"/>
    <w:rsid w:val="00FC3E03"/>
    <w:rsid w:val="00FC3FC1"/>
    <w:rsid w:val="00FC4B6B"/>
    <w:rsid w:val="00FC5656"/>
    <w:rsid w:val="00FD16C2"/>
    <w:rsid w:val="00FD1AF2"/>
    <w:rsid w:val="00FD3A8C"/>
    <w:rsid w:val="00FD6BF0"/>
    <w:rsid w:val="00FD6E88"/>
    <w:rsid w:val="00FE4C64"/>
    <w:rsid w:val="00FE5F5A"/>
    <w:rsid w:val="00FE752E"/>
    <w:rsid w:val="00FF4778"/>
    <w:rsid w:val="00FF7EA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2767"/>
  <w15:docId w15:val="{45399B22-B2BA-454B-814B-4C66371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E3DA3"/>
    <w:pPr>
      <w:keepNext/>
      <w:numPr>
        <w:ilvl w:val="2"/>
        <w:numId w:val="1"/>
      </w:numPr>
      <w:suppressAutoHyphens/>
      <w:spacing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E3DA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character" w:customStyle="1" w:styleId="fontstyle01">
    <w:name w:val="fontstyle01"/>
    <w:basedOn w:val="Absatz-Standardschriftart"/>
    <w:rsid w:val="00C924CB"/>
    <w:rPr>
      <w:rFonts w:ascii="TimesNewRomanPSMT" w:hAnsi="TimesNewRomanPSMT" w:hint="default"/>
      <w:b w:val="0"/>
      <w:bCs w:val="0"/>
      <w:i w:val="0"/>
      <w:iCs w:val="0"/>
      <w:color w:val="000000"/>
      <w:sz w:val="24"/>
      <w:szCs w:val="24"/>
    </w:rPr>
  </w:style>
  <w:style w:type="character" w:styleId="Platzhaltertext">
    <w:name w:val="Placeholder Text"/>
    <w:basedOn w:val="Absatz-Standardschriftart"/>
    <w:uiPriority w:val="99"/>
    <w:semiHidden/>
    <w:rsid w:val="003A611A"/>
    <w:rPr>
      <w:color w:val="808080"/>
    </w:rPr>
  </w:style>
  <w:style w:type="character" w:styleId="NichtaufgelsteErwhnung">
    <w:name w:val="Unresolved Mention"/>
    <w:basedOn w:val="Absatz-Standardschriftart"/>
    <w:uiPriority w:val="99"/>
    <w:semiHidden/>
    <w:unhideWhenUsed/>
    <w:rsid w:val="00B32F5C"/>
    <w:rPr>
      <w:color w:val="605E5C"/>
      <w:shd w:val="clear" w:color="auto" w:fill="E1DFDD"/>
    </w:rPr>
  </w:style>
  <w:style w:type="paragraph" w:styleId="berarbeitung">
    <w:name w:val="Revision"/>
    <w:hidden/>
    <w:uiPriority w:val="99"/>
    <w:semiHidden/>
    <w:rsid w:val="002A12E8"/>
    <w:pPr>
      <w:spacing w:after="0" w:line="240" w:lineRule="auto"/>
    </w:pPr>
    <w:rPr>
      <w:rFonts w:ascii="Arial" w:eastAsia="Times New Roman" w:hAnsi="Arial" w:cs="Times New Roman"/>
      <w:sz w:val="18"/>
      <w:szCs w:val="20"/>
      <w:lang w:val="en-GB"/>
    </w:rPr>
  </w:style>
  <w:style w:type="character" w:styleId="Zeilennummer">
    <w:name w:val="line number"/>
    <w:basedOn w:val="Absatz-Standardschriftart"/>
    <w:uiPriority w:val="99"/>
    <w:semiHidden/>
    <w:unhideWhenUsed/>
    <w:rsid w:val="00263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64D303A79091A45AA87380962136D03" ma:contentTypeVersion="14" ma:contentTypeDescription="Ein neues Dokument erstellen." ma:contentTypeScope="" ma:versionID="ad5a3f8ebf719041e101b6b892b12c31">
  <xsd:schema xmlns:xsd="http://www.w3.org/2001/XMLSchema" xmlns:xs="http://www.w3.org/2001/XMLSchema" xmlns:p="http://schemas.microsoft.com/office/2006/metadata/properties" xmlns:ns3="74de7817-ef04-405d-8557-896f6e0fe064" xmlns:ns4="42ba68a9-de11-4ed9-908b-ad3d1a1cfb4d" targetNamespace="http://schemas.microsoft.com/office/2006/metadata/properties" ma:root="true" ma:fieldsID="bad799699f7826c6422cba37ff95fd36" ns3:_="" ns4:_="">
    <xsd:import namespace="74de7817-ef04-405d-8557-896f6e0fe064"/>
    <xsd:import namespace="42ba68a9-de11-4ed9-908b-ad3d1a1cfb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e7817-ef04-405d-8557-896f6e0fe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ba68a9-de11-4ed9-908b-ad3d1a1cfb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62D8B-81EC-49AE-ABC9-D8B0B70FE3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62D1A-7CDF-461D-9CD2-64D07DE884A5}">
  <ds:schemaRefs>
    <ds:schemaRef ds:uri="http://schemas.openxmlformats.org/officeDocument/2006/bibliography"/>
  </ds:schemaRefs>
</ds:datastoreItem>
</file>

<file path=customXml/itemProps3.xml><?xml version="1.0" encoding="utf-8"?>
<ds:datastoreItem xmlns:ds="http://schemas.openxmlformats.org/officeDocument/2006/customXml" ds:itemID="{D934C49E-147B-4F2C-A789-5E8D8A0B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e7817-ef04-405d-8557-896f6e0fe064"/>
    <ds:schemaRef ds:uri="42ba68a9-de11-4ed9-908b-ad3d1a1cf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57078-0787-4B94-9E69-B712BCB2A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3203</Words>
  <Characters>20179</Characters>
  <Application>Microsoft Office Word</Application>
  <DocSecurity>0</DocSecurity>
  <Lines>168</Lines>
  <Paragraphs>46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Nils Mügge</cp:lastModifiedBy>
  <cp:revision>4</cp:revision>
  <cp:lastPrinted>2015-05-12T18:31:00Z</cp:lastPrinted>
  <dcterms:created xsi:type="dcterms:W3CDTF">2022-07-12T20:12:00Z</dcterms:created>
  <dcterms:modified xsi:type="dcterms:W3CDTF">2022-08-15T12:56:00Z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0x010100C64D303A79091A45AA87380962136D03</vt:lpwstr>
  </property>
</Properties>
</file>